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6F15C" w14:textId="7927544F" w:rsidR="001441FF" w:rsidRDefault="00BA5E28" w:rsidP="00267128">
      <w:pPr>
        <w:rPr>
          <w:rFonts w:eastAsiaTheme="majorEastAsia" w:cstheme="minorBidi"/>
          <w:bCs/>
          <w:caps/>
          <w:color w:val="FCFCFC" w:themeColor="background1"/>
          <w:spacing w:val="15"/>
          <w:kern w:val="2"/>
          <w:sz w:val="48"/>
          <w:szCs w:val="48"/>
          <w:lang w:val="en-US"/>
          <w14:ligatures w14:val="standardContextual"/>
        </w:rPr>
      </w:pPr>
      <w:r w:rsidRPr="00502993">
        <w:rPr>
          <w:noProof/>
        </w:rPr>
        <mc:AlternateContent>
          <mc:Choice Requires="wps">
            <w:drawing>
              <wp:anchor distT="0" distB="0" distL="114300" distR="114300" simplePos="0" relativeHeight="251658240" behindDoc="0" locked="0" layoutInCell="1" allowOverlap="1" wp14:anchorId="56041AF2" wp14:editId="284F85EC">
                <wp:simplePos x="0" y="0"/>
                <wp:positionH relativeFrom="column">
                  <wp:posOffset>-675005</wp:posOffset>
                </wp:positionH>
                <wp:positionV relativeFrom="paragraph">
                  <wp:posOffset>-908685</wp:posOffset>
                </wp:positionV>
                <wp:extent cx="7547610" cy="10744200"/>
                <wp:effectExtent l="0" t="0" r="0" b="0"/>
                <wp:wrapNone/>
                <wp:docPr id="41880332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7610" cy="107442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2F1AC" id="Rectangle 1" o:spid="_x0000_s1026" alt="&quot;&quot;" style="position:absolute;margin-left:-53.15pt;margin-top:-71.55pt;width:594.3pt;height:84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" fillcolor="#001c55 [3215]" stroked="f" strokeweight="1pt"/>
            </w:pict>
          </mc:Fallback>
        </mc:AlternateContent>
      </w:r>
      <w:r w:rsidR="001441FF">
        <w:rPr>
          <w:rFonts w:eastAsiaTheme="majorEastAsia" w:cstheme="minorBidi"/>
          <w:bCs/>
          <w:caps/>
          <w:color w:val="FCFCFC" w:themeColor="background1"/>
          <w:spacing w:val="15"/>
          <w:kern w:val="2"/>
          <w:sz w:val="48"/>
          <w:szCs w:val="48"/>
          <w:lang w:val="en-US"/>
          <w14:ligatures w14:val="standardContextual"/>
        </w:rPr>
        <w:t xml:space="preserve"> </w:t>
      </w:r>
    </w:p>
    <w:sdt>
      <w:sdtPr>
        <w:rPr>
          <w:rFonts w:eastAsiaTheme="majorEastAsia" w:cstheme="minorBidi"/>
          <w:bCs/>
          <w:caps/>
          <w:color w:val="FCFCFC" w:themeColor="background1"/>
          <w:spacing w:val="15"/>
          <w:kern w:val="2"/>
          <w:sz w:val="48"/>
          <w:szCs w:val="48"/>
          <w:lang w:val="en-US"/>
          <w14:ligatures w14:val="standardContextual"/>
        </w:rPr>
        <w:id w:val="8273374"/>
        <w:docPartObj>
          <w:docPartGallery w:val="Cover Pages"/>
          <w:docPartUnique/>
        </w:docPartObj>
      </w:sdtPr>
      <w:sdtEndPr>
        <w:rPr>
          <w:rFonts w:eastAsiaTheme="minorHAnsi" w:cstheme="majorBidi"/>
          <w:b/>
          <w:bCs w:val="0"/>
          <w:caps w:val="0"/>
          <w:color w:val="0A2471" w:themeColor="accent1"/>
          <w:spacing w:val="0"/>
          <w:kern w:val="0"/>
          <w:sz w:val="56"/>
          <w:szCs w:val="56"/>
          <w:lang w:val="en-AU"/>
          <w14:ligatures w14:val="none"/>
        </w:rPr>
      </w:sdtEndPr>
      <w:sdtContent>
        <w:p w14:paraId="365C755B" w14:textId="4374F6A8" w:rsidR="00267128" w:rsidRPr="00502993" w:rsidRDefault="00267128" w:rsidP="00267128">
          <w:r w:rsidRPr="00502993">
            <w:rPr>
              <w:noProof/>
            </w:rPr>
            <w:drawing>
              <wp:anchor distT="0" distB="0" distL="114300" distR="114300" simplePos="0" relativeHeight="251658242" behindDoc="0" locked="0" layoutInCell="1" allowOverlap="1" wp14:anchorId="3B833EC1" wp14:editId="2AF076B7">
                <wp:simplePos x="0" y="0"/>
                <wp:positionH relativeFrom="column">
                  <wp:posOffset>3516405</wp:posOffset>
                </wp:positionH>
                <wp:positionV relativeFrom="paragraph">
                  <wp:posOffset>-160618</wp:posOffset>
                </wp:positionV>
                <wp:extent cx="2667788" cy="896471"/>
                <wp:effectExtent l="0" t="0" r="0" b="0"/>
                <wp:wrapNone/>
                <wp:docPr id="13995822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82279"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788" cy="896471"/>
                        </a:xfrm>
                        <a:prstGeom prst="rect">
                          <a:avLst/>
                        </a:prstGeom>
                      </pic:spPr>
                    </pic:pic>
                  </a:graphicData>
                </a:graphic>
                <wp14:sizeRelH relativeFrom="page">
                  <wp14:pctWidth>0</wp14:pctWidth>
                </wp14:sizeRelH>
                <wp14:sizeRelV relativeFrom="page">
                  <wp14:pctHeight>0</wp14:pctHeight>
                </wp14:sizeRelV>
              </wp:anchor>
            </w:drawing>
          </w:r>
        </w:p>
        <w:p w14:paraId="140EE9E5" w14:textId="612E0463" w:rsidR="00267128" w:rsidRPr="00502993" w:rsidRDefault="002E499A" w:rsidP="00C420D6">
          <w:pPr>
            <w:rPr>
              <w:rFonts w:eastAsiaTheme="majorEastAsia"/>
              <w:b/>
              <w:sz w:val="56"/>
              <w:szCs w:val="56"/>
              <w:lang w:val="en-US"/>
            </w:rPr>
          </w:pPr>
          <w:bookmarkStart w:id="0" w:name="_Toc174718389"/>
          <w:r w:rsidRPr="00502993">
            <w:rPr>
              <w:noProof/>
            </w:rPr>
            <mc:AlternateContent>
              <mc:Choice Requires="wps">
                <w:drawing>
                  <wp:anchor distT="0" distB="0" distL="114300" distR="114300" simplePos="0" relativeHeight="251658243" behindDoc="0" locked="0" layoutInCell="1" allowOverlap="1" wp14:anchorId="2B71DAA5" wp14:editId="66071B1A">
                    <wp:simplePos x="0" y="0"/>
                    <wp:positionH relativeFrom="column">
                      <wp:posOffset>102686</wp:posOffset>
                    </wp:positionH>
                    <wp:positionV relativeFrom="paragraph">
                      <wp:posOffset>6849008</wp:posOffset>
                    </wp:positionV>
                    <wp:extent cx="5309419" cy="436880"/>
                    <wp:effectExtent l="0" t="0" r="0" b="0"/>
                    <wp:wrapNone/>
                    <wp:docPr id="52020962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09419" cy="436880"/>
                            </a:xfrm>
                            <a:prstGeom prst="rect">
                              <a:avLst/>
                            </a:prstGeom>
                            <a:noFill/>
                            <a:ln w="6350">
                              <a:noFill/>
                            </a:ln>
                          </wps:spPr>
                          <wps:txbx>
                            <w:txbxContent>
                              <w:p w14:paraId="7BF631CC" w14:textId="1A4A6808" w:rsidR="00267128" w:rsidRPr="00EF28B3" w:rsidRDefault="002E499A" w:rsidP="00267128">
                                <w:pPr>
                                  <w:pStyle w:val="Clientname"/>
                                </w:pPr>
                                <w:r>
                                  <w:t xml:space="preserve">Department of Health and Aged Care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1DAA5" id="_x0000_t202" coordsize="21600,21600" o:spt="202" path="m,l,21600r21600,l21600,xe">
                    <v:stroke joinstyle="miter"/>
                    <v:path gradientshapeok="t" o:connecttype="rect"/>
                  </v:shapetype>
                  <v:shape id="Text Box 2" o:spid="_x0000_s1026" type="#_x0000_t202" alt="&quot;&quot;" style="position:absolute;margin-left:8.1pt;margin-top:539.3pt;width:418.05pt;height:3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" filled="f" stroked="f" strokeweight=".5pt">
                    <v:textbox inset="0,,0">
                      <w:txbxContent>
                        <w:p w14:paraId="7BF631CC" w14:textId="1A4A6808" w:rsidR="00267128" w:rsidRPr="00EF28B3" w:rsidRDefault="002E499A" w:rsidP="00267128">
                          <w:pPr>
                            <w:pStyle w:val="Clientname"/>
                          </w:pPr>
                          <w:r>
                            <w:t xml:space="preserve">Department of Health and Aged Care </w:t>
                          </w:r>
                        </w:p>
                      </w:txbxContent>
                    </v:textbox>
                  </v:shape>
                </w:pict>
              </mc:Fallback>
            </mc:AlternateContent>
          </w:r>
          <w:r w:rsidR="00267128" w:rsidRPr="00502993">
            <w:rPr>
              <w:noProof/>
            </w:rPr>
            <mc:AlternateContent>
              <mc:Choice Requires="wps">
                <w:drawing>
                  <wp:anchor distT="0" distB="0" distL="114300" distR="114300" simplePos="0" relativeHeight="251658244" behindDoc="0" locked="0" layoutInCell="1" allowOverlap="1" wp14:anchorId="0B11FC79" wp14:editId="39A79F5E">
                    <wp:simplePos x="0" y="0"/>
                    <wp:positionH relativeFrom="column">
                      <wp:posOffset>102476</wp:posOffset>
                    </wp:positionH>
                    <wp:positionV relativeFrom="paragraph">
                      <wp:posOffset>4516164</wp:posOffset>
                    </wp:positionV>
                    <wp:extent cx="5042535" cy="2270125"/>
                    <wp:effectExtent l="0" t="0" r="0" b="0"/>
                    <wp:wrapNone/>
                    <wp:docPr id="106535160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42535" cy="2270125"/>
                            </a:xfrm>
                            <a:prstGeom prst="rect">
                              <a:avLst/>
                            </a:prstGeom>
                            <a:noFill/>
                            <a:ln w="6350">
                              <a:noFill/>
                            </a:ln>
                          </wps:spPr>
                          <wps:txbx>
                            <w:txbxContent>
                              <w:p w14:paraId="7189FA5F" w14:textId="77850373" w:rsidR="00267128" w:rsidRPr="002E499A" w:rsidRDefault="002E499A" w:rsidP="00006E73">
                                <w:pPr>
                                  <w:pStyle w:val="Documenttitle"/>
                                </w:pPr>
                                <w:r>
                                  <w:t xml:space="preserve">The </w:t>
                                </w:r>
                                <w:r w:rsidRPr="002E499A">
                                  <w:t xml:space="preserve">Australian Health and Medical Research </w:t>
                                </w:r>
                                <w:r>
                                  <w:t>W</w:t>
                                </w:r>
                                <w:r w:rsidRPr="002E499A">
                                  <w:t>orkforce</w:t>
                                </w:r>
                                <w:r>
                                  <w:t xml:space="preserve"> Audit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FC79" id="_x0000_s1027" type="#_x0000_t202" alt="&quot;&quot;" style="position:absolute;margin-left:8.05pt;margin-top:355.6pt;width:397.05pt;height:17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" filled="f" stroked="f" strokeweight=".5pt">
                    <v:textbox inset="0,,0">
                      <w:txbxContent>
                        <w:p w14:paraId="7189FA5F" w14:textId="77850373" w:rsidR="00267128" w:rsidRPr="002E499A" w:rsidRDefault="002E499A" w:rsidP="00006E73">
                          <w:pPr>
                            <w:pStyle w:val="Documenttitle"/>
                          </w:pPr>
                          <w:r>
                            <w:t xml:space="preserve">The </w:t>
                          </w:r>
                          <w:r w:rsidRPr="002E499A">
                            <w:t xml:space="preserve">Australian Health and Medical Research </w:t>
                          </w:r>
                          <w:r>
                            <w:t>W</w:t>
                          </w:r>
                          <w:r w:rsidRPr="002E499A">
                            <w:t>orkforce</w:t>
                          </w:r>
                          <w:r>
                            <w:t xml:space="preserve"> Audit</w:t>
                          </w:r>
                        </w:p>
                      </w:txbxContent>
                    </v:textbox>
                  </v:shape>
                </w:pict>
              </mc:Fallback>
            </mc:AlternateContent>
          </w:r>
          <w:r w:rsidR="00267128" w:rsidRPr="00502993">
            <w:rPr>
              <w:noProof/>
            </w:rPr>
            <mc:AlternateContent>
              <mc:Choice Requires="wps">
                <w:drawing>
                  <wp:anchor distT="0" distB="0" distL="114300" distR="114300" simplePos="0" relativeHeight="251658241" behindDoc="0" locked="0" layoutInCell="1" allowOverlap="1" wp14:anchorId="083E8CCA" wp14:editId="6E99BAB4">
                    <wp:simplePos x="0" y="0"/>
                    <wp:positionH relativeFrom="column">
                      <wp:posOffset>90055</wp:posOffset>
                    </wp:positionH>
                    <wp:positionV relativeFrom="paragraph">
                      <wp:posOffset>7573241</wp:posOffset>
                    </wp:positionV>
                    <wp:extent cx="2438400" cy="415636"/>
                    <wp:effectExtent l="0" t="0" r="0" b="0"/>
                    <wp:wrapNone/>
                    <wp:docPr id="201418010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8400" cy="415636"/>
                            </a:xfrm>
                            <a:prstGeom prst="rect">
                              <a:avLst/>
                            </a:prstGeom>
                            <a:noFill/>
                            <a:ln w="6350">
                              <a:noFill/>
                            </a:ln>
                          </wps:spPr>
                          <wps:txbx>
                            <w:txbxContent>
                              <w:p w14:paraId="0658459D" w14:textId="73A6F463" w:rsidR="00267128" w:rsidRPr="00865975" w:rsidRDefault="00331436" w:rsidP="00267128">
                                <w:pPr>
                                  <w:rPr>
                                    <w:color w:val="C29145" w:themeColor="accent2"/>
                                    <w:sz w:val="28"/>
                                    <w:szCs w:val="28"/>
                                  </w:rPr>
                                </w:pPr>
                                <w:r>
                                  <w:rPr>
                                    <w:color w:val="C29145" w:themeColor="accent2"/>
                                    <w:sz w:val="28"/>
                                    <w:szCs w:val="28"/>
                                  </w:rPr>
                                  <w:t>OCTOBER</w:t>
                                </w:r>
                                <w:r w:rsidR="00267128" w:rsidRPr="00865975">
                                  <w:rPr>
                                    <w:color w:val="C29145" w:themeColor="accent2"/>
                                    <w:sz w:val="28"/>
                                    <w:szCs w:val="28"/>
                                  </w:rPr>
                                  <w:t xml:space="preserve"> 2024</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E8CCA" id="_x0000_s1028" type="#_x0000_t202" alt="&quot;&quot;" style="position:absolute;margin-left:7.1pt;margin-top:596.3pt;width:192pt;height:32.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" filled="f" stroked="f" strokeweight=".5pt">
                    <v:textbox inset="0,,0">
                      <w:txbxContent>
                        <w:p w14:paraId="0658459D" w14:textId="73A6F463" w:rsidR="00267128" w:rsidRPr="00865975" w:rsidRDefault="00331436" w:rsidP="00267128">
                          <w:pPr>
                            <w:rPr>
                              <w:color w:val="C29145" w:themeColor="accent2"/>
                              <w:sz w:val="28"/>
                              <w:szCs w:val="28"/>
                            </w:rPr>
                          </w:pPr>
                          <w:r>
                            <w:rPr>
                              <w:color w:val="C29145" w:themeColor="accent2"/>
                              <w:sz w:val="28"/>
                              <w:szCs w:val="28"/>
                            </w:rPr>
                            <w:t>OCTOBER</w:t>
                          </w:r>
                          <w:r w:rsidR="00267128" w:rsidRPr="00865975">
                            <w:rPr>
                              <w:color w:val="C29145" w:themeColor="accent2"/>
                              <w:sz w:val="28"/>
                              <w:szCs w:val="28"/>
                            </w:rPr>
                            <w:t xml:space="preserve"> 2024</w:t>
                          </w:r>
                        </w:p>
                      </w:txbxContent>
                    </v:textbox>
                  </v:shape>
                </w:pict>
              </mc:Fallback>
            </mc:AlternateContent>
          </w:r>
          <w:r w:rsidR="00267128" w:rsidRPr="00502993">
            <w:rPr>
              <w:noProof/>
            </w:rPr>
            <mc:AlternateContent>
              <mc:Choice Requires="wps">
                <w:drawing>
                  <wp:anchor distT="0" distB="0" distL="114300" distR="114300" simplePos="0" relativeHeight="251658245" behindDoc="0" locked="0" layoutInCell="1" allowOverlap="1" wp14:anchorId="748D938A" wp14:editId="0DD18907">
                    <wp:simplePos x="0" y="0"/>
                    <wp:positionH relativeFrom="column">
                      <wp:posOffset>99060</wp:posOffset>
                    </wp:positionH>
                    <wp:positionV relativeFrom="paragraph">
                      <wp:posOffset>7402195</wp:posOffset>
                    </wp:positionV>
                    <wp:extent cx="454660" cy="0"/>
                    <wp:effectExtent l="0" t="0" r="15240" b="12700"/>
                    <wp:wrapNone/>
                    <wp:docPr id="21" name="Straight Connector 20">
                      <a:extLst xmlns:a="http://schemas.openxmlformats.org/drawingml/2006/main">
                        <a:ext uri="{FF2B5EF4-FFF2-40B4-BE49-F238E27FC236}">
                          <a16:creationId xmlns:a16="http://schemas.microsoft.com/office/drawing/2014/main" id="{0ECD3723-53BA-4253-1CA0-C1C240AB2D8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660" cy="0"/>
                            </a:xfrm>
                            <a:prstGeom prst="line">
                              <a:avLst/>
                            </a:prstGeom>
                            <a:ln w="12700">
                              <a:solidFill>
                                <a:schemeClr val="bg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CD732" id="Straight Connector 20"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582.85pt" to="43.6pt,5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" strokecolor="#fcfcfc [3212]" strokeweight="1pt">
                    <v:stroke joinstyle="miter"/>
                    <o:lock v:ext="edit" shapetype="f"/>
                  </v:line>
                </w:pict>
              </mc:Fallback>
            </mc:AlternateContent>
          </w:r>
          <w:r w:rsidR="00267128" w:rsidRPr="00502993">
            <w:rPr>
              <w:noProof/>
            </w:rPr>
            <w:t xml:space="preserve">  </w:t>
          </w:r>
          <w:r w:rsidR="00267128" w:rsidRPr="00502993">
            <w:rPr>
              <w:sz w:val="26"/>
              <w:szCs w:val="26"/>
            </w:rPr>
            <w:br w:type="page"/>
          </w:r>
        </w:p>
      </w:sdtContent>
    </w:sdt>
    <w:bookmarkEnd w:id="0" w:displacedByCustomXml="prev"/>
    <w:p w14:paraId="1B2FB4C2" w14:textId="77777777" w:rsidR="00115729" w:rsidRPr="00502993" w:rsidRDefault="00115729" w:rsidP="00267128">
      <w:pPr>
        <w:rPr>
          <w:b/>
          <w:bCs/>
          <w:sz w:val="56"/>
          <w:szCs w:val="56"/>
        </w:rPr>
      </w:pPr>
      <w:bookmarkStart w:id="1" w:name="_Toc174718390"/>
      <w:r w:rsidRPr="00502993">
        <w:rPr>
          <w:noProof/>
        </w:rPr>
        <w:lastRenderedPageBreak/>
        <mc:AlternateContent>
          <mc:Choice Requires="wps">
            <w:drawing>
              <wp:anchor distT="0" distB="0" distL="114300" distR="114300" simplePos="0" relativeHeight="251658246" behindDoc="0" locked="0" layoutInCell="1" allowOverlap="1" wp14:anchorId="5C32D8BD" wp14:editId="3A82804D">
                <wp:simplePos x="0" y="0"/>
                <wp:positionH relativeFrom="column">
                  <wp:posOffset>-683895</wp:posOffset>
                </wp:positionH>
                <wp:positionV relativeFrom="paragraph">
                  <wp:posOffset>-1025720</wp:posOffset>
                </wp:positionV>
                <wp:extent cx="7547610" cy="10744200"/>
                <wp:effectExtent l="0" t="0" r="0" b="0"/>
                <wp:wrapNone/>
                <wp:docPr id="163642669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7610" cy="107442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17E16" id="Rectangle 1" o:spid="_x0000_s1026" alt="&quot;&quot;" style="position:absolute;margin-left:-53.85pt;margin-top:-80.75pt;width:594.3pt;height:846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" fillcolor="#001c55 [3215]" stroked="f" strokeweight="1pt"/>
            </w:pict>
          </mc:Fallback>
        </mc:AlternateContent>
      </w:r>
    </w:p>
    <w:p w14:paraId="103643A8" w14:textId="77777777" w:rsidR="00115729" w:rsidRPr="00502993" w:rsidRDefault="00115729">
      <w:pPr>
        <w:spacing w:before="0" w:after="0" w:line="240" w:lineRule="auto"/>
        <w:rPr>
          <w:b/>
          <w:bCs/>
          <w:sz w:val="56"/>
          <w:szCs w:val="56"/>
        </w:rPr>
      </w:pPr>
      <w:r w:rsidRPr="00502993">
        <w:rPr>
          <w:b/>
          <w:bCs/>
          <w:sz w:val="56"/>
          <w:szCs w:val="56"/>
        </w:rPr>
        <w:br w:type="page"/>
      </w:r>
    </w:p>
    <w:p w14:paraId="0CCE3AF5" w14:textId="77777777" w:rsidR="009F4069" w:rsidRPr="001B0725" w:rsidRDefault="009F4069" w:rsidP="00083CE0">
      <w:pPr>
        <w:pStyle w:val="Heading1"/>
      </w:pPr>
      <w:r w:rsidRPr="001B0725">
        <w:lastRenderedPageBreak/>
        <w:t>Executive summary</w:t>
      </w:r>
    </w:p>
    <w:p w14:paraId="5EB881F3" w14:textId="77777777" w:rsidR="0046755A" w:rsidRPr="00502993" w:rsidRDefault="0046755A" w:rsidP="005C1E1F">
      <w:pPr>
        <w:spacing w:before="0" w:after="0" w:line="240" w:lineRule="auto"/>
        <w:sectPr w:rsidR="0046755A" w:rsidRPr="00502993" w:rsidSect="00267128">
          <w:footerReference w:type="even" r:id="rId12"/>
          <w:footerReference w:type="default" r:id="rId13"/>
          <w:pgSz w:w="11906" w:h="16838" w:code="9"/>
          <w:pgMar w:top="1440" w:right="1077" w:bottom="1440" w:left="1077" w:header="578" w:footer="737" w:gutter="0"/>
          <w:pgNumType w:start="0"/>
          <w:cols w:space="720"/>
          <w:titlePg/>
          <w:docGrid w:linePitch="360"/>
        </w:sectPr>
      </w:pPr>
    </w:p>
    <w:p w14:paraId="676E35E3" w14:textId="1402484A" w:rsidR="00545C16" w:rsidRPr="00083CE0" w:rsidRDefault="009410FC" w:rsidP="00083CE0">
      <w:pPr>
        <w:rPr>
          <w:rStyle w:val="Strong"/>
        </w:rPr>
      </w:pPr>
      <w:r w:rsidRPr="00083CE0">
        <w:rPr>
          <w:rStyle w:val="Strong"/>
        </w:rPr>
        <w:t xml:space="preserve">Australia's </w:t>
      </w:r>
      <w:r w:rsidR="00116307" w:rsidRPr="00083CE0">
        <w:rPr>
          <w:rStyle w:val="Strong"/>
        </w:rPr>
        <w:t xml:space="preserve">estimated </w:t>
      </w:r>
      <w:r w:rsidRPr="00083CE0">
        <w:rPr>
          <w:rStyle w:val="Strong"/>
        </w:rPr>
        <w:t xml:space="preserve">39,690 health and medical researchers (HMR) are a key source of competitive advantage for the nation. </w:t>
      </w:r>
    </w:p>
    <w:p w14:paraId="4C89F13F" w14:textId="7AE129FC" w:rsidR="00C047DC" w:rsidRPr="009410FC" w:rsidRDefault="009410FC" w:rsidP="002A1E4F">
      <w:pPr>
        <w:pStyle w:val="BodyText"/>
      </w:pPr>
      <w:r w:rsidRPr="009410FC">
        <w:t>Understanding this workforce is crucial for</w:t>
      </w:r>
      <w:r w:rsidR="00666B48">
        <w:t xml:space="preserve"> its</w:t>
      </w:r>
      <w:r w:rsidRPr="009410FC">
        <w:t xml:space="preserve"> future support and development. </w:t>
      </w:r>
      <w:r w:rsidR="008D5E2A" w:rsidRPr="008D5E2A">
        <w:t xml:space="preserve">This report provides insights into the size estimates, relative composition, </w:t>
      </w:r>
      <w:r w:rsidR="006B5CA3">
        <w:t>employment transitions</w:t>
      </w:r>
      <w:r w:rsidR="0029079A">
        <w:t xml:space="preserve">, </w:t>
      </w:r>
      <w:r w:rsidR="008D5E2A" w:rsidRPr="008D5E2A">
        <w:t>and challenges facing the HMR workforce in Australia.</w:t>
      </w:r>
      <w:r w:rsidR="00D902B5">
        <w:t xml:space="preserve"> The purpose of this report is not to conduct a census</w:t>
      </w:r>
      <w:r w:rsidR="00DF7652">
        <w:t xml:space="preserve">; rather </w:t>
      </w:r>
      <w:r w:rsidR="00D902B5">
        <w:t xml:space="preserve">to </w:t>
      </w:r>
      <w:r w:rsidR="00691F24">
        <w:t>provide insights into segments and</w:t>
      </w:r>
      <w:r w:rsidR="00CB3C4C">
        <w:t xml:space="preserve"> features of the workforce that have been poorly understood to date.</w:t>
      </w:r>
      <w:r w:rsidR="0029079A">
        <w:t xml:space="preserve"> </w:t>
      </w:r>
      <w:r w:rsidR="006B5CA3">
        <w:t xml:space="preserve">The intent of this </w:t>
      </w:r>
      <w:r w:rsidR="00883196">
        <w:t xml:space="preserve">research is to supplement </w:t>
      </w:r>
      <w:r w:rsidR="00D052B0">
        <w:t>work</w:t>
      </w:r>
      <w:r w:rsidR="00883196">
        <w:t xml:space="preserve"> that has occurred to date</w:t>
      </w:r>
      <w:r w:rsidR="00D052B0">
        <w:t xml:space="preserve"> to support </w:t>
      </w:r>
      <w:r w:rsidR="00E17405">
        <w:t>future policy development for the sector.</w:t>
      </w:r>
      <w:r w:rsidR="0029079A">
        <w:t xml:space="preserve"> </w:t>
      </w:r>
    </w:p>
    <w:p w14:paraId="10CE2F9C" w14:textId="77777777" w:rsidR="009410FC" w:rsidRPr="00083CE0" w:rsidRDefault="009410FC" w:rsidP="00083CE0">
      <w:pPr>
        <w:rPr>
          <w:rStyle w:val="Strong"/>
        </w:rPr>
      </w:pPr>
      <w:r w:rsidRPr="00083CE0">
        <w:rPr>
          <w:rStyle w:val="Strong"/>
        </w:rPr>
        <w:t>The HMR sector comprises both traditional and non-traditional researchers, with a small group working across both areas. </w:t>
      </w:r>
    </w:p>
    <w:p w14:paraId="51053BAD" w14:textId="4A300F55" w:rsidR="009410FC" w:rsidRPr="009410FC" w:rsidRDefault="009410FC" w:rsidP="002A1E4F">
      <w:pPr>
        <w:pStyle w:val="BodyText"/>
      </w:pPr>
      <w:r w:rsidRPr="009410FC">
        <w:t xml:space="preserve">Of the total workforce, 65% work in traditional research settings such as universities and </w:t>
      </w:r>
      <w:r w:rsidR="00893E3E">
        <w:t>M</w:t>
      </w:r>
      <w:r w:rsidRPr="009410FC">
        <w:t xml:space="preserve">edical </w:t>
      </w:r>
      <w:r w:rsidR="00893E3E">
        <w:t>R</w:t>
      </w:r>
      <w:r w:rsidRPr="009410FC">
        <w:t xml:space="preserve">esearch </w:t>
      </w:r>
      <w:r w:rsidR="00893E3E">
        <w:t>I</w:t>
      </w:r>
      <w:r w:rsidRPr="009410FC">
        <w:t>nstitutes, while 33% are employed in non-traditional research roles</w:t>
      </w:r>
      <w:r w:rsidR="002028FE">
        <w:t xml:space="preserve">, such as the private sector or </w:t>
      </w:r>
      <w:r w:rsidR="00BD67AE">
        <w:t>clinical space</w:t>
      </w:r>
      <w:r w:rsidRPr="009410FC">
        <w:t xml:space="preserve">. A small proportion, 2%, work across both sectors. This diversity in research settings contributes to a rich ecosystem of scientific inquiry and innovation. </w:t>
      </w:r>
    </w:p>
    <w:p w14:paraId="2BA4A464" w14:textId="271B3167" w:rsidR="00C047DC" w:rsidRPr="009410FC" w:rsidRDefault="009410FC" w:rsidP="002A1E4F">
      <w:pPr>
        <w:pStyle w:val="BodyText"/>
      </w:pPr>
      <w:r w:rsidRPr="009410FC">
        <w:t>Additionally, there are approximately 19,700 inactive researchers who previously worked in HMR, representing a pool of experienced talent that have gone on to contribute to diverse sectors across the economy</w:t>
      </w:r>
      <w:r w:rsidR="009A20F8">
        <w:t>. Thirty-one per cent</w:t>
      </w:r>
      <w:r w:rsidR="00A87754" w:rsidRPr="00BB5D68">
        <w:t xml:space="preserve"> of inactive researchers </w:t>
      </w:r>
      <w:r w:rsidR="00A87754">
        <w:t>move into roles</w:t>
      </w:r>
      <w:r w:rsidR="00A87754" w:rsidRPr="00BB5D68">
        <w:t xml:space="preserve"> in the public sector. Universities continue to play a substantial role, retaining 21% of inactive researchers, possibly in non-research capacities</w:t>
      </w:r>
      <w:r w:rsidR="0058305C">
        <w:t>.</w:t>
      </w:r>
    </w:p>
    <w:p w14:paraId="3B7EADC1" w14:textId="2E24FE28" w:rsidR="009410FC" w:rsidRPr="00083CE0" w:rsidRDefault="009410FC" w:rsidP="00083CE0">
      <w:pPr>
        <w:rPr>
          <w:rStyle w:val="Strong"/>
        </w:rPr>
      </w:pPr>
      <w:r w:rsidRPr="00083CE0">
        <w:rPr>
          <w:rStyle w:val="Strong"/>
        </w:rPr>
        <w:t xml:space="preserve">Victoria leads in HMR workforce concentration, </w:t>
      </w:r>
      <w:r w:rsidR="00C12041" w:rsidRPr="00083CE0">
        <w:rPr>
          <w:rStyle w:val="Strong"/>
        </w:rPr>
        <w:t xml:space="preserve">whereas </w:t>
      </w:r>
      <w:r w:rsidR="001C29BF" w:rsidRPr="00083CE0">
        <w:rPr>
          <w:rStyle w:val="Strong"/>
        </w:rPr>
        <w:t>there is underrepresentation of researchers in regional and remote areas</w:t>
      </w:r>
      <w:r w:rsidRPr="00083CE0">
        <w:rPr>
          <w:rStyle w:val="Strong"/>
        </w:rPr>
        <w:t>. </w:t>
      </w:r>
    </w:p>
    <w:p w14:paraId="4EAE215F" w14:textId="02972627" w:rsidR="00C047DC" w:rsidRPr="009410FC" w:rsidRDefault="001C29BF" w:rsidP="002A1E4F">
      <w:pPr>
        <w:pStyle w:val="BodyText"/>
      </w:pPr>
      <w:r>
        <w:t xml:space="preserve">Victoria </w:t>
      </w:r>
      <w:r w:rsidR="009410FC" w:rsidRPr="009410FC">
        <w:t xml:space="preserve">employs 30% of the traditional </w:t>
      </w:r>
      <w:r w:rsidR="00F648FE">
        <w:t xml:space="preserve">HMR </w:t>
      </w:r>
      <w:r w:rsidR="009410FC" w:rsidRPr="009410FC">
        <w:t xml:space="preserve">workforce and 32% of the non-traditional </w:t>
      </w:r>
      <w:r w:rsidR="00F648FE">
        <w:t xml:space="preserve">HMR </w:t>
      </w:r>
      <w:r w:rsidR="009410FC" w:rsidRPr="009410FC">
        <w:t xml:space="preserve">workforce, higher than Victoria's share of the overall national workforce. </w:t>
      </w:r>
      <w:r w:rsidR="00A352FC">
        <w:t xml:space="preserve">Thirteen per cent </w:t>
      </w:r>
      <w:r w:rsidR="009410FC" w:rsidRPr="009410FC">
        <w:t xml:space="preserve">of the HMR workforce </w:t>
      </w:r>
      <w:r w:rsidR="00FE660A" w:rsidRPr="009410FC">
        <w:t>is in</w:t>
      </w:r>
      <w:r w:rsidR="009410FC" w:rsidRPr="009410FC">
        <w:t xml:space="preserve"> regional, rural, or remote areas, highlighting the sector's reach beyond major cities and the potential for research impact across diverse Australian communities</w:t>
      </w:r>
      <w:r w:rsidR="00173F13">
        <w:t xml:space="preserve">, however this lags the share of the national working population that resides in </w:t>
      </w:r>
      <w:r w:rsidR="00DE260F">
        <w:t>regional, rural, or remote populations, suggesting additional barriers exist for regional researchers</w:t>
      </w:r>
      <w:r w:rsidR="009410FC" w:rsidRPr="009410FC">
        <w:t>.</w:t>
      </w:r>
    </w:p>
    <w:p w14:paraId="783011D3" w14:textId="77777777" w:rsidR="009410FC" w:rsidRPr="00083CE0" w:rsidRDefault="009410FC" w:rsidP="00083CE0">
      <w:pPr>
        <w:rPr>
          <w:rStyle w:val="Strong"/>
        </w:rPr>
      </w:pPr>
      <w:r w:rsidRPr="00083CE0">
        <w:rPr>
          <w:rStyle w:val="Strong"/>
        </w:rPr>
        <w:t>Gender diversity remains a critical issue in the HMR sector, particularly at senior levels. </w:t>
      </w:r>
    </w:p>
    <w:p w14:paraId="372AB9C2" w14:textId="2B149A4A" w:rsidR="00115638" w:rsidRPr="009410FC" w:rsidRDefault="009410FC" w:rsidP="002A1E4F">
      <w:pPr>
        <w:pStyle w:val="BodyText"/>
      </w:pPr>
      <w:r w:rsidRPr="009410FC">
        <w:t xml:space="preserve">While 52% of the HMR workforce are women, their representation declines significantly with seniority. Women are well-represented in junior roles but account for only 25% of the most senior positions. This 'leaky pipeline' phenomenon is a persistent challenge </w:t>
      </w:r>
      <w:r w:rsidR="00E31B83">
        <w:t>f</w:t>
      </w:r>
      <w:r w:rsidR="000A00FD">
        <w:t>or</w:t>
      </w:r>
      <w:r w:rsidR="00E31B83" w:rsidRPr="009410FC">
        <w:t xml:space="preserve"> </w:t>
      </w:r>
      <w:r w:rsidRPr="009410FC">
        <w:t>the sector. </w:t>
      </w:r>
    </w:p>
    <w:p w14:paraId="288364C2" w14:textId="1DEF8FF8" w:rsidR="00C047DC" w:rsidRPr="009410FC" w:rsidRDefault="009410FC" w:rsidP="002A1E4F">
      <w:pPr>
        <w:pStyle w:val="BodyText"/>
      </w:pPr>
      <w:r w:rsidRPr="009410FC">
        <w:t>Career interruptions disproportionately affect women</w:t>
      </w:r>
      <w:r w:rsidR="0075588D">
        <w:t xml:space="preserve">. </w:t>
      </w:r>
      <w:r w:rsidR="00527D85">
        <w:t>Fifty-five per cent</w:t>
      </w:r>
      <w:r w:rsidR="00890E5C">
        <w:t xml:space="preserve"> of w</w:t>
      </w:r>
      <w:r w:rsidR="00987A18">
        <w:t xml:space="preserve">omen </w:t>
      </w:r>
      <w:r w:rsidR="00890E5C">
        <w:t>experience</w:t>
      </w:r>
      <w:r w:rsidR="00A21BC2">
        <w:t xml:space="preserve"> an interruption</w:t>
      </w:r>
      <w:r w:rsidR="00890E5C">
        <w:t>,</w:t>
      </w:r>
      <w:r w:rsidR="00A21BC2">
        <w:t xml:space="preserve"> compared to 27% of men.</w:t>
      </w:r>
      <w:r w:rsidRPr="009410FC">
        <w:t xml:space="preserve"> </w:t>
      </w:r>
      <w:r w:rsidR="00527D85">
        <w:t xml:space="preserve">Seventy-six per cent </w:t>
      </w:r>
      <w:r w:rsidRPr="009410FC">
        <w:t xml:space="preserve">of </w:t>
      </w:r>
      <w:r w:rsidR="00527D85">
        <w:t>interruptions experienced by women are</w:t>
      </w:r>
      <w:r w:rsidRPr="009410FC">
        <w:t xml:space="preserve"> due to parental leave. This highlights the need for policies and support systems that enable researchers, particularly women, to maintain their career progression while managing family responsibilities.</w:t>
      </w:r>
    </w:p>
    <w:p w14:paraId="16383275" w14:textId="77777777" w:rsidR="009410FC" w:rsidRPr="00083CE0" w:rsidRDefault="009410FC" w:rsidP="00083CE0">
      <w:pPr>
        <w:rPr>
          <w:rStyle w:val="Strong"/>
        </w:rPr>
      </w:pPr>
      <w:r w:rsidRPr="00083CE0">
        <w:rPr>
          <w:rStyle w:val="Strong"/>
        </w:rPr>
        <w:t>The HMR workforce is highly international, contributing to Australia's global research standing. </w:t>
      </w:r>
    </w:p>
    <w:p w14:paraId="383D9693" w14:textId="1A696E6A" w:rsidR="00B403E8" w:rsidRPr="009410FC" w:rsidRDefault="00056829" w:rsidP="002A1E4F">
      <w:pPr>
        <w:pStyle w:val="BodyText"/>
      </w:pPr>
      <w:r>
        <w:t>More than</w:t>
      </w:r>
      <w:r w:rsidR="009410FC" w:rsidRPr="009410FC">
        <w:t xml:space="preserve"> 40% of researchers were born overseas, bringing diverse perspectives and international connections to the Australian research community. Non-traditional researchers are more likely to have trained overseas (30%) compared to traditional researchers (21%), suggesting that the non-traditional sector may be more effective at attracting international talent.</w:t>
      </w:r>
      <w:r w:rsidR="00AC5D3F">
        <w:t xml:space="preserve"> </w:t>
      </w:r>
    </w:p>
    <w:p w14:paraId="7D6CF795" w14:textId="02DE526A" w:rsidR="00F77ADA" w:rsidRDefault="009410FC" w:rsidP="002A1E4F">
      <w:pPr>
        <w:pStyle w:val="BodyText"/>
      </w:pPr>
      <w:r w:rsidRPr="009410FC">
        <w:lastRenderedPageBreak/>
        <w:t>International mobility is particularly common among traditional researchers, with 3</w:t>
      </w:r>
      <w:r w:rsidR="00E239C8">
        <w:t>5</w:t>
      </w:r>
      <w:r w:rsidRPr="009410FC">
        <w:t>% moving to Australia for a research job and 44% having worked overseas at some point in their careers. This high level of international engagement enhances Australia's participation in global scientific networks and collaborations.</w:t>
      </w:r>
      <w:r w:rsidR="00F77ADA">
        <w:t xml:space="preserve"> </w:t>
      </w:r>
    </w:p>
    <w:p w14:paraId="596EAF1B" w14:textId="77777777" w:rsidR="009410FC" w:rsidRPr="00083CE0" w:rsidRDefault="009410FC" w:rsidP="00083CE0">
      <w:pPr>
        <w:rPr>
          <w:rStyle w:val="Strong"/>
        </w:rPr>
      </w:pPr>
      <w:r w:rsidRPr="00083CE0">
        <w:rPr>
          <w:rStyle w:val="Strong"/>
        </w:rPr>
        <w:t>Employment characteristics vary significantly between traditional and non-traditional sectors. </w:t>
      </w:r>
    </w:p>
    <w:p w14:paraId="19C67C12" w14:textId="0478624A" w:rsidR="00C047DC" w:rsidRDefault="009410FC" w:rsidP="002A1E4F">
      <w:pPr>
        <w:pStyle w:val="BodyText"/>
      </w:pPr>
      <w:r w:rsidRPr="009410FC">
        <w:t>Universities dominate the traditional research sector, while the non-traditional sector has a mix of public and private employers, including pharmaceutical companies and biotechnology firms. However, job insecurity is a significant issue in the traditional sector, with 5</w:t>
      </w:r>
      <w:r w:rsidR="00A2556C">
        <w:t>5</w:t>
      </w:r>
      <w:r w:rsidRPr="009410FC">
        <w:t>% of researchers on fixed-term or casual contracts, compared to 3</w:t>
      </w:r>
      <w:r w:rsidR="00A2556C">
        <w:t>1</w:t>
      </w:r>
      <w:r w:rsidRPr="009410FC">
        <w:t xml:space="preserve">% in the non-traditional sector. This disparity in job security may contribute to </w:t>
      </w:r>
      <w:r w:rsidR="00902E65">
        <w:t xml:space="preserve">movement </w:t>
      </w:r>
      <w:r w:rsidRPr="009410FC">
        <w:t>from the traditional academic sector to industry or overseas opportunities.</w:t>
      </w:r>
    </w:p>
    <w:p w14:paraId="72196D35" w14:textId="77777777" w:rsidR="009410FC" w:rsidRPr="00083CE0" w:rsidRDefault="009410FC" w:rsidP="00083CE0">
      <w:pPr>
        <w:rPr>
          <w:rStyle w:val="Strong"/>
        </w:rPr>
      </w:pPr>
      <w:r w:rsidRPr="00083CE0">
        <w:rPr>
          <w:rStyle w:val="Strong"/>
        </w:rPr>
        <w:t>Funding sources and challenges differ between sectors, but funding instability remains a common concern. </w:t>
      </w:r>
    </w:p>
    <w:p w14:paraId="719ABF3D" w14:textId="787C1D8E" w:rsidR="00C047DC" w:rsidRPr="009410FC" w:rsidRDefault="009410FC" w:rsidP="002A1E4F">
      <w:pPr>
        <w:pStyle w:val="BodyText"/>
      </w:pPr>
      <w:r w:rsidRPr="009410FC">
        <w:t>Federal government grants are the primary source for traditional researchers, while private sector funding is most common for non-traditional researchers. The lack of funding is cited as the main reason researchers consider leaving the field, followed by job insecurity</w:t>
      </w:r>
      <w:r w:rsidR="004A33DF">
        <w:t xml:space="preserve"> and work-life balance</w:t>
      </w:r>
      <w:r w:rsidRPr="009410FC">
        <w:t>. This highlights the need for more stable and diverse funding mechanisms to retain talent in the sector.</w:t>
      </w:r>
    </w:p>
    <w:p w14:paraId="7C95D72C" w14:textId="2AEBA823" w:rsidR="0037737E" w:rsidRPr="00083CE0" w:rsidRDefault="0037737E" w:rsidP="00083CE0">
      <w:pPr>
        <w:rPr>
          <w:rStyle w:val="Strong"/>
        </w:rPr>
      </w:pPr>
      <w:r w:rsidRPr="00083CE0">
        <w:rPr>
          <w:rStyle w:val="Strong"/>
        </w:rPr>
        <w:t xml:space="preserve">Inactive researchers </w:t>
      </w:r>
      <w:r w:rsidR="00222A6B" w:rsidRPr="00083CE0">
        <w:rPr>
          <w:rStyle w:val="Strong"/>
        </w:rPr>
        <w:t>go on to work in a range of areas of the Australian economy</w:t>
      </w:r>
      <w:r w:rsidR="00902E65" w:rsidRPr="00083CE0">
        <w:rPr>
          <w:rStyle w:val="Strong"/>
        </w:rPr>
        <w:t>.</w:t>
      </w:r>
    </w:p>
    <w:p w14:paraId="0BA662F4" w14:textId="506FD862" w:rsidR="00F91890" w:rsidRDefault="00C73C94" w:rsidP="00721148">
      <w:pPr>
        <w:pStyle w:val="BodyText"/>
      </w:pPr>
      <w:r>
        <w:rPr>
          <w:lang w:val="en-GB"/>
        </w:rPr>
        <w:t>Developing an understanding of</w:t>
      </w:r>
      <w:r w:rsidR="00567E86">
        <w:rPr>
          <w:lang w:val="en-GB"/>
        </w:rPr>
        <w:t xml:space="preserve"> where researchers go </w:t>
      </w:r>
      <w:r w:rsidR="00902E65">
        <w:rPr>
          <w:lang w:val="en-GB"/>
        </w:rPr>
        <w:t xml:space="preserve">after </w:t>
      </w:r>
      <w:r w:rsidR="00567E86">
        <w:rPr>
          <w:lang w:val="en-GB"/>
        </w:rPr>
        <w:t xml:space="preserve">they leave the health and medical research sector </w:t>
      </w:r>
      <w:r>
        <w:rPr>
          <w:lang w:val="en-GB"/>
        </w:rPr>
        <w:t xml:space="preserve">demonstrates the important role that the sector plays in developing talent </w:t>
      </w:r>
      <w:r w:rsidR="004A5A81">
        <w:rPr>
          <w:lang w:val="en-GB"/>
        </w:rPr>
        <w:t xml:space="preserve">for the broader economy. </w:t>
      </w:r>
      <w:r w:rsidR="000A3153">
        <w:rPr>
          <w:lang w:val="en-GB"/>
        </w:rPr>
        <w:t xml:space="preserve">More than 60% of </w:t>
      </w:r>
      <w:r w:rsidR="00335444">
        <w:rPr>
          <w:lang w:val="en-GB"/>
        </w:rPr>
        <w:t xml:space="preserve">individuals have moved from an active research role to inactive roles. </w:t>
      </w:r>
      <w:r w:rsidR="0037737E" w:rsidRPr="001B36A3">
        <w:t xml:space="preserve">Government emerges as the top destination for inactive researchers, employing 31% of inactive researchers. This suggests a substantial migration of research talent into public sector roles. </w:t>
      </w:r>
      <w:r w:rsidR="0037737E" w:rsidRPr="001B36A3">
        <w:rPr>
          <w:lang w:val="en-GB"/>
        </w:rPr>
        <w:t>Most inactive researchers remain in healthcare and social assistance (31%) or professional, scientific and technical services (27%). Other common industries are public administration and safety</w:t>
      </w:r>
      <w:r w:rsidR="00653985">
        <w:rPr>
          <w:lang w:val="en-GB"/>
        </w:rPr>
        <w:t>,</w:t>
      </w:r>
      <w:r w:rsidR="0037737E" w:rsidRPr="001B36A3">
        <w:rPr>
          <w:lang w:val="en-GB"/>
        </w:rPr>
        <w:t xml:space="preserve"> and education and training. </w:t>
      </w:r>
      <w:r w:rsidR="0037737E" w:rsidRPr="001B36A3">
        <w:t xml:space="preserve"> Universities continue to play a substantial role, retaining 21% of inactive researchers, possibly in non-research capacities.</w:t>
      </w:r>
    </w:p>
    <w:p w14:paraId="4CF1969D" w14:textId="1575C169" w:rsidR="00F91890" w:rsidRPr="00083CE0" w:rsidRDefault="00F91890" w:rsidP="00083CE0">
      <w:pPr>
        <w:rPr>
          <w:rStyle w:val="Strong"/>
        </w:rPr>
      </w:pPr>
      <w:r w:rsidRPr="00083CE0">
        <w:rPr>
          <w:rStyle w:val="Strong"/>
        </w:rPr>
        <w:t>There are opportunities to support Australia’s diverse health and medical research workforce</w:t>
      </w:r>
    </w:p>
    <w:p w14:paraId="184D49F4" w14:textId="2C533860" w:rsidR="0013654D" w:rsidRPr="0008226D" w:rsidRDefault="0008226D" w:rsidP="00DB381E">
      <w:pPr>
        <w:pStyle w:val="BodyText"/>
      </w:pPr>
      <w:r>
        <w:t>T</w:t>
      </w:r>
      <w:r w:rsidR="00B050CA">
        <w:t>his audit identifies several opportunities</w:t>
      </w:r>
      <w:r w:rsidR="0013654D">
        <w:t xml:space="preserve"> t</w:t>
      </w:r>
      <w:r w:rsidR="0013654D" w:rsidRPr="009410FC">
        <w:t>o maintain Australia's competitive edge in health and medical research</w:t>
      </w:r>
      <w:r w:rsidR="007255C8">
        <w:t>,</w:t>
      </w:r>
      <w:r w:rsidR="0013654D" w:rsidRPr="009410FC">
        <w:t xml:space="preserve"> and ensure a robust, diverse, and sustainable research workforce:</w:t>
      </w:r>
    </w:p>
    <w:p w14:paraId="681AD8ED" w14:textId="77777777" w:rsidR="0013654D" w:rsidRPr="008A7BE5" w:rsidRDefault="0013654D" w:rsidP="00DB381E">
      <w:pPr>
        <w:pStyle w:val="BodyText"/>
        <w:numPr>
          <w:ilvl w:val="0"/>
          <w:numId w:val="25"/>
        </w:numPr>
      </w:pPr>
      <w:r w:rsidRPr="008A7BE5">
        <w:t>Improving job security and offering longer-term contracts, particularly in the traditional research sector.</w:t>
      </w:r>
    </w:p>
    <w:p w14:paraId="6900DA48" w14:textId="77777777" w:rsidR="0013654D" w:rsidRPr="008A7BE5" w:rsidRDefault="0013654D" w:rsidP="00DB381E">
      <w:pPr>
        <w:pStyle w:val="BodyText"/>
        <w:numPr>
          <w:ilvl w:val="0"/>
          <w:numId w:val="25"/>
        </w:numPr>
      </w:pPr>
      <w:r w:rsidRPr="008A7BE5">
        <w:t>Addressing the gender imbalance in senior roles through targeted mentoring, leadership programs, and family-friendly policies.</w:t>
      </w:r>
    </w:p>
    <w:p w14:paraId="60C2E25B" w14:textId="77777777" w:rsidR="0013654D" w:rsidRPr="008A7BE5" w:rsidRDefault="0013654D" w:rsidP="00DB381E">
      <w:pPr>
        <w:pStyle w:val="BodyText"/>
        <w:numPr>
          <w:ilvl w:val="0"/>
          <w:numId w:val="25"/>
        </w:numPr>
      </w:pPr>
      <w:r w:rsidRPr="008A7BE5">
        <w:t>Enhancing funding stability and opportunities, including exploring innovative funding models that blend public and private sources.</w:t>
      </w:r>
    </w:p>
    <w:p w14:paraId="432ADA86" w14:textId="595F107E" w:rsidR="0008226D" w:rsidRPr="008A7BE5" w:rsidRDefault="0013654D" w:rsidP="00DB381E">
      <w:pPr>
        <w:pStyle w:val="BodyText"/>
        <w:numPr>
          <w:ilvl w:val="0"/>
          <w:numId w:val="25"/>
        </w:numPr>
      </w:pPr>
      <w:r w:rsidRPr="008A7BE5">
        <w:t>Supporting career development and progression, with clear pathways for researchers in both traditional and non-traditional sectors</w:t>
      </w:r>
      <w:r w:rsidR="004C5972" w:rsidRPr="008A7BE5">
        <w:t>, including c</w:t>
      </w:r>
      <w:r w:rsidR="00152944" w:rsidRPr="008A7BE5">
        <w:t xml:space="preserve">ommunicating and </w:t>
      </w:r>
      <w:r w:rsidR="00477B6F" w:rsidRPr="008A7BE5">
        <w:t>fostering</w:t>
      </w:r>
      <w:r w:rsidR="006E0910" w:rsidRPr="008A7BE5">
        <w:t xml:space="preserve"> opportunities </w:t>
      </w:r>
      <w:r w:rsidR="00477B6F" w:rsidRPr="008A7BE5">
        <w:t>for researchers to enrich non-research sectors with their skills, or to support research activity, policy</w:t>
      </w:r>
      <w:r w:rsidR="00E66E9D">
        <w:t>,</w:t>
      </w:r>
      <w:r w:rsidR="00477B6F" w:rsidRPr="008A7BE5">
        <w:t xml:space="preserve"> or translation and commercialisation.</w:t>
      </w:r>
    </w:p>
    <w:p w14:paraId="33F6C6F1" w14:textId="6B221037" w:rsidR="0008226D" w:rsidRDefault="0008226D" w:rsidP="008A7BE5">
      <w:pPr>
        <w:pStyle w:val="BodyText"/>
      </w:pPr>
      <w:r>
        <w:t xml:space="preserve">As no single dataset can provide </w:t>
      </w:r>
      <w:r w:rsidR="00034A67">
        <w:t xml:space="preserve">a </w:t>
      </w:r>
      <w:r>
        <w:t xml:space="preserve">comprehensive overview and answers to the questions this audit seeks to investigate, we </w:t>
      </w:r>
      <w:r w:rsidR="004B1984">
        <w:t>take</w:t>
      </w:r>
      <w:r>
        <w:t xml:space="preserve"> a bespoke approach using three key data sources. Previous reports, including published data, </w:t>
      </w:r>
      <w:r w:rsidRPr="003C7928">
        <w:t xml:space="preserve">allow us to build a working definition of the workforce and sense check </w:t>
      </w:r>
      <w:r>
        <w:t xml:space="preserve">our </w:t>
      </w:r>
      <w:r w:rsidRPr="003C7928">
        <w:t>results</w:t>
      </w:r>
      <w:r>
        <w:t>.</w:t>
      </w:r>
      <w:r w:rsidRPr="003C7928">
        <w:t xml:space="preserve"> </w:t>
      </w:r>
      <w:r>
        <w:t>N</w:t>
      </w:r>
      <w:r w:rsidRPr="003C7928">
        <w:t xml:space="preserve">ovel microdata enables us to enrich public sources such as ABS data whilst getting broad estimates of workforce numbers, proportions and </w:t>
      </w:r>
      <w:r>
        <w:t xml:space="preserve">most uniquely, </w:t>
      </w:r>
      <w:r w:rsidRPr="003C7928">
        <w:t>movements</w:t>
      </w:r>
      <w:r>
        <w:t>. A</w:t>
      </w:r>
      <w:r w:rsidRPr="003C7928">
        <w:t xml:space="preserve"> survey allows </w:t>
      </w:r>
      <w:r w:rsidR="00AB529B">
        <w:t xml:space="preserve">us </w:t>
      </w:r>
      <w:r w:rsidRPr="003C7928">
        <w:t xml:space="preserve">to ask more detailed questions about </w:t>
      </w:r>
      <w:r>
        <w:t xml:space="preserve">contextual and subjective </w:t>
      </w:r>
      <w:r w:rsidRPr="003C7928">
        <w:t>driving factors and barriers</w:t>
      </w:r>
      <w:r>
        <w:t>, understanding the sentiments of the workforce</w:t>
      </w:r>
      <w:r w:rsidR="00AB529B">
        <w:t>.</w:t>
      </w:r>
    </w:p>
    <w:p w14:paraId="2A889958" w14:textId="3D76A117" w:rsidR="0008226D" w:rsidRDefault="00AB529B" w:rsidP="008A7BE5">
      <w:pPr>
        <w:pStyle w:val="BodyText"/>
      </w:pPr>
      <w:r>
        <w:lastRenderedPageBreak/>
        <w:t>T</w:t>
      </w:r>
      <w:r w:rsidR="0008226D">
        <w:t xml:space="preserve">his </w:t>
      </w:r>
      <w:r w:rsidR="0008226D" w:rsidRPr="00A307C5">
        <w:t xml:space="preserve">audit is based on data collected at a point in time, with </w:t>
      </w:r>
      <w:r>
        <w:t xml:space="preserve">noted </w:t>
      </w:r>
      <w:r w:rsidR="0008226D" w:rsidRPr="00A307C5">
        <w:t>limitations</w:t>
      </w:r>
      <w:r w:rsidR="0008226D">
        <w:t>.</w:t>
      </w:r>
      <w:r w:rsidR="0008226D" w:rsidRPr="00A307C5">
        <w:t xml:space="preserve"> </w:t>
      </w:r>
      <w:r w:rsidR="0008226D">
        <w:t>Recommendations for f</w:t>
      </w:r>
      <w:r w:rsidR="0008226D" w:rsidRPr="00A307C5">
        <w:t>uture monitoring</w:t>
      </w:r>
      <w:r w:rsidR="0008226D">
        <w:t xml:space="preserve">, </w:t>
      </w:r>
      <w:r w:rsidR="00A45C1D">
        <w:t>which</w:t>
      </w:r>
      <w:r w:rsidR="00A45C1D" w:rsidRPr="00830A54">
        <w:t xml:space="preserve"> </w:t>
      </w:r>
      <w:r w:rsidR="00830A54" w:rsidRPr="00830A54">
        <w:t>would enable more comprehensive, longitudinal data collection as well as better targeting of specific groups</w:t>
      </w:r>
      <w:r w:rsidR="0008226D">
        <w:t xml:space="preserve">, are </w:t>
      </w:r>
      <w:r w:rsidR="00830A54">
        <w:t>provided as part of this report</w:t>
      </w:r>
      <w:r w:rsidR="0008226D">
        <w:t>. Briefly, policymakers should consider developing an agreed definition of the workforce, explor</w:t>
      </w:r>
      <w:r w:rsidR="00B04D0C">
        <w:t>ing</w:t>
      </w:r>
      <w:r w:rsidR="0008226D">
        <w:t xml:space="preserve"> potential adjustments to ANZSCO or </w:t>
      </w:r>
      <w:r w:rsidR="00830A54">
        <w:t xml:space="preserve">avenues for </w:t>
      </w:r>
      <w:r w:rsidR="0008226D">
        <w:t>future regular data collection, repeating the microdata analysis (including analysis and comparison to other workforces or countries), and explor</w:t>
      </w:r>
      <w:r w:rsidR="00B04D0C">
        <w:t>ing</w:t>
      </w:r>
      <w:r w:rsidR="0008226D">
        <w:t xml:space="preserve"> opportunities to conduct a regular HMR workforce survey.</w:t>
      </w:r>
    </w:p>
    <w:p w14:paraId="5B4CADC4" w14:textId="3A56145A" w:rsidR="009410FC" w:rsidRPr="009410FC" w:rsidRDefault="009410FC" w:rsidP="008A7BE5">
      <w:pPr>
        <w:pStyle w:val="BodyText"/>
      </w:pPr>
      <w:r w:rsidRPr="009410FC">
        <w:t>By tackling these challenges, Australia can strengthen its HMR workforce, dri</w:t>
      </w:r>
      <w:r w:rsidR="00B13C94">
        <w:t>ve</w:t>
      </w:r>
      <w:r w:rsidRPr="009410FC">
        <w:t xml:space="preserve"> innovation and maintai</w:t>
      </w:r>
      <w:r w:rsidR="00B13C94">
        <w:t>n</w:t>
      </w:r>
      <w:r w:rsidRPr="009410FC">
        <w:t xml:space="preserve"> its position as a global leader in health and medical research. The nation's ability to attract, retain, and nurture diverse research talent will be crucial </w:t>
      </w:r>
      <w:r w:rsidR="008529B9">
        <w:t>for</w:t>
      </w:r>
      <w:r w:rsidR="008529B9" w:rsidRPr="009410FC">
        <w:t xml:space="preserve"> </w:t>
      </w:r>
      <w:r w:rsidRPr="009410FC">
        <w:t>addressing future health challenges and contributing to economic growth through scientific discovery and its translation into practical outcomes.</w:t>
      </w:r>
    </w:p>
    <w:p w14:paraId="2B991F15" w14:textId="77777777" w:rsidR="00C26B5E" w:rsidRDefault="00C26B5E" w:rsidP="00DB381E">
      <w:pPr>
        <w:pStyle w:val="BodyText"/>
        <w:sectPr w:rsidR="00C26B5E" w:rsidSect="00CD76B2">
          <w:type w:val="continuous"/>
          <w:pgSz w:w="11906" w:h="16838" w:code="9"/>
          <w:pgMar w:top="1440" w:right="1077" w:bottom="1440" w:left="1077" w:header="578" w:footer="737" w:gutter="0"/>
          <w:pgNumType w:start="0"/>
          <w:cols w:space="720"/>
          <w:titlePg/>
          <w:docGrid w:linePitch="360"/>
        </w:sectPr>
      </w:pPr>
    </w:p>
    <w:p w14:paraId="5A88649C" w14:textId="77777777" w:rsidR="00C26B5E" w:rsidRDefault="00C26B5E">
      <w:pPr>
        <w:spacing w:before="0" w:after="0" w:line="240" w:lineRule="auto"/>
      </w:pPr>
      <w:r>
        <w:br w:type="page"/>
      </w:r>
    </w:p>
    <w:p w14:paraId="3A1A964D" w14:textId="77777777" w:rsidR="00267128" w:rsidRPr="001B0725" w:rsidRDefault="00267128" w:rsidP="00267128">
      <w:pPr>
        <w:rPr>
          <w:color w:val="001C55" w:themeColor="text2"/>
        </w:rPr>
      </w:pPr>
      <w:r w:rsidRPr="001B0725">
        <w:rPr>
          <w:b/>
          <w:bCs/>
          <w:color w:val="001C55" w:themeColor="text2"/>
          <w:sz w:val="56"/>
          <w:szCs w:val="56"/>
        </w:rPr>
        <w:lastRenderedPageBreak/>
        <w:t>Table of Contents</w:t>
      </w:r>
      <w:bookmarkEnd w:id="1"/>
    </w:p>
    <w:p w14:paraId="462D77D6" w14:textId="06EF8361" w:rsidR="00CA372E" w:rsidRDefault="00BF63DD">
      <w:pPr>
        <w:pStyle w:val="TOC1"/>
        <w:tabs>
          <w:tab w:val="right" w:leader="dot" w:pos="9742"/>
        </w:tabs>
        <w:rPr>
          <w:rFonts w:asciiTheme="minorHAnsi" w:eastAsiaTheme="minorEastAsia" w:hAnsiTheme="minorHAnsi" w:cstheme="minorBidi"/>
          <w:caps w:val="0"/>
          <w:noProof/>
          <w:color w:val="auto"/>
          <w:kern w:val="2"/>
          <w:lang w:val="en-AU" w:eastAsia="en-GB"/>
          <w14:ligatures w14:val="standardContextual"/>
        </w:rPr>
      </w:pPr>
      <w:r>
        <w:fldChar w:fldCharType="begin"/>
      </w:r>
      <w:r>
        <w:instrText xml:space="preserve"> TOC \o "1-7" \h \z \u </w:instrText>
      </w:r>
      <w:r>
        <w:fldChar w:fldCharType="separate"/>
      </w:r>
      <w:hyperlink w:anchor="_Toc178009058" w:history="1">
        <w:r w:rsidR="00CA372E" w:rsidRPr="0024033B">
          <w:rPr>
            <w:rStyle w:val="Hyperlink"/>
            <w:noProof/>
          </w:rPr>
          <w:t>Purpose and overview</w:t>
        </w:r>
        <w:r w:rsidR="00CA372E">
          <w:rPr>
            <w:noProof/>
            <w:webHidden/>
          </w:rPr>
          <w:tab/>
        </w:r>
        <w:r w:rsidR="00CA372E">
          <w:rPr>
            <w:noProof/>
            <w:webHidden/>
          </w:rPr>
          <w:fldChar w:fldCharType="begin"/>
        </w:r>
        <w:r w:rsidR="00CA372E">
          <w:rPr>
            <w:noProof/>
            <w:webHidden/>
          </w:rPr>
          <w:instrText xml:space="preserve"> PAGEREF _Toc178009058 \h </w:instrText>
        </w:r>
        <w:r w:rsidR="00CA372E">
          <w:rPr>
            <w:noProof/>
            <w:webHidden/>
          </w:rPr>
        </w:r>
        <w:r w:rsidR="00CA372E">
          <w:rPr>
            <w:noProof/>
            <w:webHidden/>
          </w:rPr>
          <w:fldChar w:fldCharType="separate"/>
        </w:r>
        <w:r w:rsidR="00496859">
          <w:rPr>
            <w:noProof/>
            <w:webHidden/>
          </w:rPr>
          <w:t>4</w:t>
        </w:r>
        <w:r w:rsidR="00CA372E">
          <w:rPr>
            <w:noProof/>
            <w:webHidden/>
          </w:rPr>
          <w:fldChar w:fldCharType="end"/>
        </w:r>
      </w:hyperlink>
    </w:p>
    <w:p w14:paraId="595B1A24" w14:textId="2EDB31B6"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59" w:history="1">
        <w:r w:rsidR="00CA372E" w:rsidRPr="0024033B">
          <w:rPr>
            <w:rStyle w:val="Hyperlink"/>
            <w:noProof/>
          </w:rPr>
          <w:t>The importance of health and medical research</w:t>
        </w:r>
        <w:r w:rsidR="00CA372E">
          <w:rPr>
            <w:noProof/>
            <w:webHidden/>
          </w:rPr>
          <w:tab/>
        </w:r>
        <w:r w:rsidR="00CA372E">
          <w:rPr>
            <w:noProof/>
            <w:webHidden/>
          </w:rPr>
          <w:fldChar w:fldCharType="begin"/>
        </w:r>
        <w:r w:rsidR="00CA372E">
          <w:rPr>
            <w:noProof/>
            <w:webHidden/>
          </w:rPr>
          <w:instrText xml:space="preserve"> PAGEREF _Toc178009059 \h </w:instrText>
        </w:r>
        <w:r w:rsidR="00CA372E">
          <w:rPr>
            <w:noProof/>
            <w:webHidden/>
          </w:rPr>
        </w:r>
        <w:r w:rsidR="00CA372E">
          <w:rPr>
            <w:noProof/>
            <w:webHidden/>
          </w:rPr>
          <w:fldChar w:fldCharType="separate"/>
        </w:r>
        <w:r w:rsidR="00496859">
          <w:rPr>
            <w:noProof/>
            <w:webHidden/>
          </w:rPr>
          <w:t>4</w:t>
        </w:r>
        <w:r w:rsidR="00CA372E">
          <w:rPr>
            <w:noProof/>
            <w:webHidden/>
          </w:rPr>
          <w:fldChar w:fldCharType="end"/>
        </w:r>
      </w:hyperlink>
    </w:p>
    <w:p w14:paraId="1706C946" w14:textId="14EB1B20"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0" w:history="1">
        <w:r w:rsidR="00CA372E" w:rsidRPr="0024033B">
          <w:rPr>
            <w:rStyle w:val="Hyperlink"/>
            <w:noProof/>
          </w:rPr>
          <w:t>Guiding questions for this report</w:t>
        </w:r>
        <w:r w:rsidR="00CA372E">
          <w:rPr>
            <w:noProof/>
            <w:webHidden/>
          </w:rPr>
          <w:tab/>
        </w:r>
        <w:r w:rsidR="00CA372E">
          <w:rPr>
            <w:noProof/>
            <w:webHidden/>
          </w:rPr>
          <w:fldChar w:fldCharType="begin"/>
        </w:r>
        <w:r w:rsidR="00CA372E">
          <w:rPr>
            <w:noProof/>
            <w:webHidden/>
          </w:rPr>
          <w:instrText xml:space="preserve"> PAGEREF _Toc178009060 \h </w:instrText>
        </w:r>
        <w:r w:rsidR="00CA372E">
          <w:rPr>
            <w:noProof/>
            <w:webHidden/>
          </w:rPr>
        </w:r>
        <w:r w:rsidR="00CA372E">
          <w:rPr>
            <w:noProof/>
            <w:webHidden/>
          </w:rPr>
          <w:fldChar w:fldCharType="separate"/>
        </w:r>
        <w:r w:rsidR="00496859">
          <w:rPr>
            <w:noProof/>
            <w:webHidden/>
          </w:rPr>
          <w:t>4</w:t>
        </w:r>
        <w:r w:rsidR="00CA372E">
          <w:rPr>
            <w:noProof/>
            <w:webHidden/>
          </w:rPr>
          <w:fldChar w:fldCharType="end"/>
        </w:r>
      </w:hyperlink>
    </w:p>
    <w:p w14:paraId="7A642F02" w14:textId="2F065F06"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1" w:history="1">
        <w:r w:rsidR="00CA372E" w:rsidRPr="0024033B">
          <w:rPr>
            <w:rStyle w:val="Hyperlink"/>
            <w:noProof/>
          </w:rPr>
          <w:t>Defining the health and medical research workforce</w:t>
        </w:r>
        <w:r w:rsidR="00CA372E">
          <w:rPr>
            <w:noProof/>
            <w:webHidden/>
          </w:rPr>
          <w:tab/>
        </w:r>
        <w:r w:rsidR="00CA372E">
          <w:rPr>
            <w:noProof/>
            <w:webHidden/>
          </w:rPr>
          <w:fldChar w:fldCharType="begin"/>
        </w:r>
        <w:r w:rsidR="00CA372E">
          <w:rPr>
            <w:noProof/>
            <w:webHidden/>
          </w:rPr>
          <w:instrText xml:space="preserve"> PAGEREF _Toc178009061 \h </w:instrText>
        </w:r>
        <w:r w:rsidR="00CA372E">
          <w:rPr>
            <w:noProof/>
            <w:webHidden/>
          </w:rPr>
        </w:r>
        <w:r w:rsidR="00CA372E">
          <w:rPr>
            <w:noProof/>
            <w:webHidden/>
          </w:rPr>
          <w:fldChar w:fldCharType="separate"/>
        </w:r>
        <w:r w:rsidR="00496859">
          <w:rPr>
            <w:noProof/>
            <w:webHidden/>
          </w:rPr>
          <w:t>4</w:t>
        </w:r>
        <w:r w:rsidR="00CA372E">
          <w:rPr>
            <w:noProof/>
            <w:webHidden/>
          </w:rPr>
          <w:fldChar w:fldCharType="end"/>
        </w:r>
      </w:hyperlink>
    </w:p>
    <w:p w14:paraId="706C62D9" w14:textId="768B3835"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2" w:history="1">
        <w:r w:rsidR="00CA372E" w:rsidRPr="0024033B">
          <w:rPr>
            <w:rStyle w:val="Hyperlink"/>
            <w:noProof/>
          </w:rPr>
          <w:t>Previous research</w:t>
        </w:r>
        <w:r w:rsidR="00CA372E">
          <w:rPr>
            <w:noProof/>
            <w:webHidden/>
          </w:rPr>
          <w:tab/>
        </w:r>
        <w:r w:rsidR="00CA372E">
          <w:rPr>
            <w:noProof/>
            <w:webHidden/>
          </w:rPr>
          <w:fldChar w:fldCharType="begin"/>
        </w:r>
        <w:r w:rsidR="00CA372E">
          <w:rPr>
            <w:noProof/>
            <w:webHidden/>
          </w:rPr>
          <w:instrText xml:space="preserve"> PAGEREF _Toc178009062 \h </w:instrText>
        </w:r>
        <w:r w:rsidR="00CA372E">
          <w:rPr>
            <w:noProof/>
            <w:webHidden/>
          </w:rPr>
        </w:r>
        <w:r w:rsidR="00CA372E">
          <w:rPr>
            <w:noProof/>
            <w:webHidden/>
          </w:rPr>
          <w:fldChar w:fldCharType="separate"/>
        </w:r>
        <w:r w:rsidR="00496859">
          <w:rPr>
            <w:noProof/>
            <w:webHidden/>
          </w:rPr>
          <w:t>7</w:t>
        </w:r>
        <w:r w:rsidR="00CA372E">
          <w:rPr>
            <w:noProof/>
            <w:webHidden/>
          </w:rPr>
          <w:fldChar w:fldCharType="end"/>
        </w:r>
      </w:hyperlink>
    </w:p>
    <w:p w14:paraId="09191A18" w14:textId="2F01D7E1"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3" w:history="1">
        <w:r w:rsidR="00CA372E" w:rsidRPr="0024033B">
          <w:rPr>
            <w:rStyle w:val="Hyperlink"/>
            <w:noProof/>
          </w:rPr>
          <w:t>Approach in this report</w:t>
        </w:r>
        <w:r w:rsidR="00CA372E">
          <w:rPr>
            <w:noProof/>
            <w:webHidden/>
          </w:rPr>
          <w:tab/>
        </w:r>
        <w:r w:rsidR="00CA372E">
          <w:rPr>
            <w:noProof/>
            <w:webHidden/>
          </w:rPr>
          <w:fldChar w:fldCharType="begin"/>
        </w:r>
        <w:r w:rsidR="00CA372E">
          <w:rPr>
            <w:noProof/>
            <w:webHidden/>
          </w:rPr>
          <w:instrText xml:space="preserve"> PAGEREF _Toc178009063 \h </w:instrText>
        </w:r>
        <w:r w:rsidR="00CA372E">
          <w:rPr>
            <w:noProof/>
            <w:webHidden/>
          </w:rPr>
        </w:r>
        <w:r w:rsidR="00CA372E">
          <w:rPr>
            <w:noProof/>
            <w:webHidden/>
          </w:rPr>
          <w:fldChar w:fldCharType="separate"/>
        </w:r>
        <w:r w:rsidR="00496859">
          <w:rPr>
            <w:noProof/>
            <w:webHidden/>
          </w:rPr>
          <w:t>8</w:t>
        </w:r>
        <w:r w:rsidR="00CA372E">
          <w:rPr>
            <w:noProof/>
            <w:webHidden/>
          </w:rPr>
          <w:fldChar w:fldCharType="end"/>
        </w:r>
      </w:hyperlink>
    </w:p>
    <w:p w14:paraId="230AB68E" w14:textId="0EE93C29"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4" w:history="1">
        <w:r w:rsidR="00CA372E" w:rsidRPr="0024033B">
          <w:rPr>
            <w:rStyle w:val="Hyperlink"/>
            <w:noProof/>
          </w:rPr>
          <w:t>Potential limitations</w:t>
        </w:r>
        <w:r w:rsidR="00CA372E">
          <w:rPr>
            <w:noProof/>
            <w:webHidden/>
          </w:rPr>
          <w:tab/>
        </w:r>
        <w:r w:rsidR="00CA372E">
          <w:rPr>
            <w:noProof/>
            <w:webHidden/>
          </w:rPr>
          <w:fldChar w:fldCharType="begin"/>
        </w:r>
        <w:r w:rsidR="00CA372E">
          <w:rPr>
            <w:noProof/>
            <w:webHidden/>
          </w:rPr>
          <w:instrText xml:space="preserve"> PAGEREF _Toc178009064 \h </w:instrText>
        </w:r>
        <w:r w:rsidR="00CA372E">
          <w:rPr>
            <w:noProof/>
            <w:webHidden/>
          </w:rPr>
        </w:r>
        <w:r w:rsidR="00CA372E">
          <w:rPr>
            <w:noProof/>
            <w:webHidden/>
          </w:rPr>
          <w:fldChar w:fldCharType="separate"/>
        </w:r>
        <w:r w:rsidR="00496859">
          <w:rPr>
            <w:noProof/>
            <w:webHidden/>
          </w:rPr>
          <w:t>9</w:t>
        </w:r>
        <w:r w:rsidR="00CA372E">
          <w:rPr>
            <w:noProof/>
            <w:webHidden/>
          </w:rPr>
          <w:fldChar w:fldCharType="end"/>
        </w:r>
      </w:hyperlink>
    </w:p>
    <w:p w14:paraId="6D0A2306" w14:textId="6866D70F" w:rsidR="00CA372E" w:rsidRDefault="006666F1">
      <w:pPr>
        <w:pStyle w:val="TOC1"/>
        <w:tabs>
          <w:tab w:val="right" w:leader="dot" w:pos="9742"/>
        </w:tabs>
        <w:rPr>
          <w:rFonts w:asciiTheme="minorHAnsi" w:eastAsiaTheme="minorEastAsia" w:hAnsiTheme="minorHAnsi" w:cstheme="minorBidi"/>
          <w:caps w:val="0"/>
          <w:noProof/>
          <w:color w:val="auto"/>
          <w:kern w:val="2"/>
          <w:lang w:val="en-AU" w:eastAsia="en-GB"/>
          <w14:ligatures w14:val="standardContextual"/>
        </w:rPr>
      </w:pPr>
      <w:hyperlink w:anchor="_Toc178009065" w:history="1">
        <w:r w:rsidR="00CA372E" w:rsidRPr="0024033B">
          <w:rPr>
            <w:rStyle w:val="Hyperlink"/>
            <w:bCs/>
            <w:noProof/>
          </w:rPr>
          <w:t>Chapter 1: Workforce segments</w:t>
        </w:r>
        <w:r w:rsidR="00CA372E">
          <w:rPr>
            <w:noProof/>
            <w:webHidden/>
          </w:rPr>
          <w:tab/>
        </w:r>
        <w:r w:rsidR="00CA372E">
          <w:rPr>
            <w:noProof/>
            <w:webHidden/>
          </w:rPr>
          <w:fldChar w:fldCharType="begin"/>
        </w:r>
        <w:r w:rsidR="00CA372E">
          <w:rPr>
            <w:noProof/>
            <w:webHidden/>
          </w:rPr>
          <w:instrText xml:space="preserve"> PAGEREF _Toc178009065 \h </w:instrText>
        </w:r>
        <w:r w:rsidR="00CA372E">
          <w:rPr>
            <w:noProof/>
            <w:webHidden/>
          </w:rPr>
        </w:r>
        <w:r w:rsidR="00CA372E">
          <w:rPr>
            <w:noProof/>
            <w:webHidden/>
          </w:rPr>
          <w:fldChar w:fldCharType="separate"/>
        </w:r>
        <w:r w:rsidR="00496859">
          <w:rPr>
            <w:noProof/>
            <w:webHidden/>
          </w:rPr>
          <w:t>11</w:t>
        </w:r>
        <w:r w:rsidR="00CA372E">
          <w:rPr>
            <w:noProof/>
            <w:webHidden/>
          </w:rPr>
          <w:fldChar w:fldCharType="end"/>
        </w:r>
      </w:hyperlink>
    </w:p>
    <w:p w14:paraId="38EE9B49" w14:textId="00139AE6"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6" w:history="1">
        <w:r w:rsidR="00CA372E" w:rsidRPr="0024033B">
          <w:rPr>
            <w:rStyle w:val="Hyperlink"/>
            <w:noProof/>
          </w:rPr>
          <w:t>Key finding: There are 39,690 active researchers nationwide, with 65% in the traditional segment and 33% non-traditional</w:t>
        </w:r>
        <w:r w:rsidR="00CA372E">
          <w:rPr>
            <w:noProof/>
            <w:webHidden/>
          </w:rPr>
          <w:tab/>
        </w:r>
        <w:r w:rsidR="00CA372E">
          <w:rPr>
            <w:noProof/>
            <w:webHidden/>
          </w:rPr>
          <w:fldChar w:fldCharType="begin"/>
        </w:r>
        <w:r w:rsidR="00CA372E">
          <w:rPr>
            <w:noProof/>
            <w:webHidden/>
          </w:rPr>
          <w:instrText xml:space="preserve"> PAGEREF _Toc178009066 \h </w:instrText>
        </w:r>
        <w:r w:rsidR="00CA372E">
          <w:rPr>
            <w:noProof/>
            <w:webHidden/>
          </w:rPr>
        </w:r>
        <w:r w:rsidR="00CA372E">
          <w:rPr>
            <w:noProof/>
            <w:webHidden/>
          </w:rPr>
          <w:fldChar w:fldCharType="separate"/>
        </w:r>
        <w:r w:rsidR="00496859">
          <w:rPr>
            <w:noProof/>
            <w:webHidden/>
          </w:rPr>
          <w:t>11</w:t>
        </w:r>
        <w:r w:rsidR="00CA372E">
          <w:rPr>
            <w:noProof/>
            <w:webHidden/>
          </w:rPr>
          <w:fldChar w:fldCharType="end"/>
        </w:r>
      </w:hyperlink>
    </w:p>
    <w:p w14:paraId="34C80DF8" w14:textId="68275EE8"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7" w:history="1">
        <w:r w:rsidR="00CA372E" w:rsidRPr="0024033B">
          <w:rPr>
            <w:rStyle w:val="Hyperlink"/>
            <w:noProof/>
          </w:rPr>
          <w:t>The overall workforce is made up of an estimated 39,690 active researchers</w:t>
        </w:r>
        <w:r w:rsidR="00CA372E">
          <w:rPr>
            <w:noProof/>
            <w:webHidden/>
          </w:rPr>
          <w:tab/>
        </w:r>
        <w:r w:rsidR="00CA372E">
          <w:rPr>
            <w:noProof/>
            <w:webHidden/>
          </w:rPr>
          <w:fldChar w:fldCharType="begin"/>
        </w:r>
        <w:r w:rsidR="00CA372E">
          <w:rPr>
            <w:noProof/>
            <w:webHidden/>
          </w:rPr>
          <w:instrText xml:space="preserve"> PAGEREF _Toc178009067 \h </w:instrText>
        </w:r>
        <w:r w:rsidR="00CA372E">
          <w:rPr>
            <w:noProof/>
            <w:webHidden/>
          </w:rPr>
        </w:r>
        <w:r w:rsidR="00CA372E">
          <w:rPr>
            <w:noProof/>
            <w:webHidden/>
          </w:rPr>
          <w:fldChar w:fldCharType="separate"/>
        </w:r>
        <w:r w:rsidR="00496859">
          <w:rPr>
            <w:noProof/>
            <w:webHidden/>
          </w:rPr>
          <w:t>12</w:t>
        </w:r>
        <w:r w:rsidR="00CA372E">
          <w:rPr>
            <w:noProof/>
            <w:webHidden/>
          </w:rPr>
          <w:fldChar w:fldCharType="end"/>
        </w:r>
      </w:hyperlink>
    </w:p>
    <w:p w14:paraId="79CCC3BF" w14:textId="0A5FF200"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8" w:history="1">
        <w:r w:rsidR="00CA372E" w:rsidRPr="0024033B">
          <w:rPr>
            <w:rStyle w:val="Hyperlink"/>
            <w:noProof/>
          </w:rPr>
          <w:t>Victoria has proportionally more workers from the health and medical workforce than other states and territories</w:t>
        </w:r>
        <w:r w:rsidR="00CA372E">
          <w:rPr>
            <w:noProof/>
            <w:webHidden/>
          </w:rPr>
          <w:tab/>
        </w:r>
        <w:r w:rsidR="00CA372E">
          <w:rPr>
            <w:noProof/>
            <w:webHidden/>
          </w:rPr>
          <w:fldChar w:fldCharType="begin"/>
        </w:r>
        <w:r w:rsidR="00CA372E">
          <w:rPr>
            <w:noProof/>
            <w:webHidden/>
          </w:rPr>
          <w:instrText xml:space="preserve"> PAGEREF _Toc178009068 \h </w:instrText>
        </w:r>
        <w:r w:rsidR="00CA372E">
          <w:rPr>
            <w:noProof/>
            <w:webHidden/>
          </w:rPr>
        </w:r>
        <w:r w:rsidR="00CA372E">
          <w:rPr>
            <w:noProof/>
            <w:webHidden/>
          </w:rPr>
          <w:fldChar w:fldCharType="separate"/>
        </w:r>
        <w:r w:rsidR="00496859">
          <w:rPr>
            <w:noProof/>
            <w:webHidden/>
          </w:rPr>
          <w:t>13</w:t>
        </w:r>
        <w:r w:rsidR="00CA372E">
          <w:rPr>
            <w:noProof/>
            <w:webHidden/>
          </w:rPr>
          <w:fldChar w:fldCharType="end"/>
        </w:r>
      </w:hyperlink>
    </w:p>
    <w:p w14:paraId="3F7E82BA" w14:textId="5C162E6E"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69" w:history="1">
        <w:r w:rsidR="00CA372E" w:rsidRPr="0024033B">
          <w:rPr>
            <w:rStyle w:val="Hyperlink"/>
            <w:noProof/>
          </w:rPr>
          <w:t>50% of the health and medical research workforce are aged under 44 years, and 61% are less than 15 years post graduation</w:t>
        </w:r>
        <w:r w:rsidR="00CA372E">
          <w:rPr>
            <w:noProof/>
            <w:webHidden/>
          </w:rPr>
          <w:tab/>
        </w:r>
        <w:r w:rsidR="00CA372E">
          <w:rPr>
            <w:noProof/>
            <w:webHidden/>
          </w:rPr>
          <w:fldChar w:fldCharType="begin"/>
        </w:r>
        <w:r w:rsidR="00CA372E">
          <w:rPr>
            <w:noProof/>
            <w:webHidden/>
          </w:rPr>
          <w:instrText xml:space="preserve"> PAGEREF _Toc178009069 \h </w:instrText>
        </w:r>
        <w:r w:rsidR="00CA372E">
          <w:rPr>
            <w:noProof/>
            <w:webHidden/>
          </w:rPr>
        </w:r>
        <w:r w:rsidR="00CA372E">
          <w:rPr>
            <w:noProof/>
            <w:webHidden/>
          </w:rPr>
          <w:fldChar w:fldCharType="separate"/>
        </w:r>
        <w:r w:rsidR="00496859">
          <w:rPr>
            <w:noProof/>
            <w:webHidden/>
          </w:rPr>
          <w:t>15</w:t>
        </w:r>
        <w:r w:rsidR="00CA372E">
          <w:rPr>
            <w:noProof/>
            <w:webHidden/>
          </w:rPr>
          <w:fldChar w:fldCharType="end"/>
        </w:r>
      </w:hyperlink>
    </w:p>
    <w:p w14:paraId="7369FBA6" w14:textId="4E4A6F39"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0" w:history="1">
        <w:r w:rsidR="00CA372E" w:rsidRPr="0024033B">
          <w:rPr>
            <w:rStyle w:val="Hyperlink"/>
            <w:noProof/>
          </w:rPr>
          <w:t>Traditional research organisations employ the majority of active researchers, while inactive researchers are more likely to work for government</w:t>
        </w:r>
        <w:r w:rsidR="00CA372E">
          <w:rPr>
            <w:noProof/>
            <w:webHidden/>
          </w:rPr>
          <w:tab/>
        </w:r>
        <w:r w:rsidR="00CA372E">
          <w:rPr>
            <w:noProof/>
            <w:webHidden/>
          </w:rPr>
          <w:fldChar w:fldCharType="begin"/>
        </w:r>
        <w:r w:rsidR="00CA372E">
          <w:rPr>
            <w:noProof/>
            <w:webHidden/>
          </w:rPr>
          <w:instrText xml:space="preserve"> PAGEREF _Toc178009070 \h </w:instrText>
        </w:r>
        <w:r w:rsidR="00CA372E">
          <w:rPr>
            <w:noProof/>
            <w:webHidden/>
          </w:rPr>
        </w:r>
        <w:r w:rsidR="00CA372E">
          <w:rPr>
            <w:noProof/>
            <w:webHidden/>
          </w:rPr>
          <w:fldChar w:fldCharType="separate"/>
        </w:r>
        <w:r w:rsidR="00496859">
          <w:rPr>
            <w:noProof/>
            <w:webHidden/>
          </w:rPr>
          <w:t>17</w:t>
        </w:r>
        <w:r w:rsidR="00CA372E">
          <w:rPr>
            <w:noProof/>
            <w:webHidden/>
          </w:rPr>
          <w:fldChar w:fldCharType="end"/>
        </w:r>
      </w:hyperlink>
    </w:p>
    <w:p w14:paraId="43E80697" w14:textId="5C59E513"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1" w:history="1">
        <w:r w:rsidR="00CA372E" w:rsidRPr="0024033B">
          <w:rPr>
            <w:rStyle w:val="Hyperlink"/>
            <w:noProof/>
          </w:rPr>
          <w:t>The health and medical research workforce is 52% women, with fewer women at the more senior levels</w:t>
        </w:r>
        <w:r w:rsidR="00CA372E">
          <w:rPr>
            <w:noProof/>
            <w:webHidden/>
          </w:rPr>
          <w:tab/>
        </w:r>
        <w:r w:rsidR="00CA372E">
          <w:rPr>
            <w:noProof/>
            <w:webHidden/>
          </w:rPr>
          <w:fldChar w:fldCharType="begin"/>
        </w:r>
        <w:r w:rsidR="00CA372E">
          <w:rPr>
            <w:noProof/>
            <w:webHidden/>
          </w:rPr>
          <w:instrText xml:space="preserve"> PAGEREF _Toc178009071 \h </w:instrText>
        </w:r>
        <w:r w:rsidR="00CA372E">
          <w:rPr>
            <w:noProof/>
            <w:webHidden/>
          </w:rPr>
        </w:r>
        <w:r w:rsidR="00CA372E">
          <w:rPr>
            <w:noProof/>
            <w:webHidden/>
          </w:rPr>
          <w:fldChar w:fldCharType="separate"/>
        </w:r>
        <w:r w:rsidR="00496859">
          <w:rPr>
            <w:noProof/>
            <w:webHidden/>
          </w:rPr>
          <w:t>18</w:t>
        </w:r>
        <w:r w:rsidR="00CA372E">
          <w:rPr>
            <w:noProof/>
            <w:webHidden/>
          </w:rPr>
          <w:fldChar w:fldCharType="end"/>
        </w:r>
      </w:hyperlink>
    </w:p>
    <w:p w14:paraId="3751AF4A" w14:textId="7FA1252F"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2" w:history="1">
        <w:r w:rsidR="00CA372E" w:rsidRPr="0024033B">
          <w:rPr>
            <w:rStyle w:val="Hyperlink"/>
            <w:noProof/>
          </w:rPr>
          <w:t>48% of researchers report experiencing career interruptions, with 76% of those for female researchers due to parental leave</w:t>
        </w:r>
        <w:r w:rsidR="00CA372E">
          <w:rPr>
            <w:noProof/>
            <w:webHidden/>
          </w:rPr>
          <w:tab/>
        </w:r>
        <w:r w:rsidR="00CA372E">
          <w:rPr>
            <w:noProof/>
            <w:webHidden/>
          </w:rPr>
          <w:fldChar w:fldCharType="begin"/>
        </w:r>
        <w:r w:rsidR="00CA372E">
          <w:rPr>
            <w:noProof/>
            <w:webHidden/>
          </w:rPr>
          <w:instrText xml:space="preserve"> PAGEREF _Toc178009072 \h </w:instrText>
        </w:r>
        <w:r w:rsidR="00CA372E">
          <w:rPr>
            <w:noProof/>
            <w:webHidden/>
          </w:rPr>
        </w:r>
        <w:r w:rsidR="00CA372E">
          <w:rPr>
            <w:noProof/>
            <w:webHidden/>
          </w:rPr>
          <w:fldChar w:fldCharType="separate"/>
        </w:r>
        <w:r w:rsidR="00496859">
          <w:rPr>
            <w:noProof/>
            <w:webHidden/>
          </w:rPr>
          <w:t>20</w:t>
        </w:r>
        <w:r w:rsidR="00CA372E">
          <w:rPr>
            <w:noProof/>
            <w:webHidden/>
          </w:rPr>
          <w:fldChar w:fldCharType="end"/>
        </w:r>
      </w:hyperlink>
    </w:p>
    <w:p w14:paraId="53BE7AF4" w14:textId="333788C8"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3" w:history="1">
        <w:r w:rsidR="00CA372E" w:rsidRPr="0024033B">
          <w:rPr>
            <w:rStyle w:val="Hyperlink"/>
            <w:noProof/>
          </w:rPr>
          <w:t>More than 40% of the research workforce were born overseas, while 30% of non-traditional researchers trained overseas, compared to 21% of traditional researchers</w:t>
        </w:r>
        <w:r w:rsidR="00CA372E">
          <w:rPr>
            <w:noProof/>
            <w:webHidden/>
          </w:rPr>
          <w:tab/>
        </w:r>
        <w:r w:rsidR="00CA372E">
          <w:rPr>
            <w:noProof/>
            <w:webHidden/>
          </w:rPr>
          <w:fldChar w:fldCharType="begin"/>
        </w:r>
        <w:r w:rsidR="00CA372E">
          <w:rPr>
            <w:noProof/>
            <w:webHidden/>
          </w:rPr>
          <w:instrText xml:space="preserve"> PAGEREF _Toc178009073 \h </w:instrText>
        </w:r>
        <w:r w:rsidR="00CA372E">
          <w:rPr>
            <w:noProof/>
            <w:webHidden/>
          </w:rPr>
        </w:r>
        <w:r w:rsidR="00CA372E">
          <w:rPr>
            <w:noProof/>
            <w:webHidden/>
          </w:rPr>
          <w:fldChar w:fldCharType="separate"/>
        </w:r>
        <w:r w:rsidR="00496859">
          <w:rPr>
            <w:noProof/>
            <w:webHidden/>
          </w:rPr>
          <w:t>22</w:t>
        </w:r>
        <w:r w:rsidR="00CA372E">
          <w:rPr>
            <w:noProof/>
            <w:webHidden/>
          </w:rPr>
          <w:fldChar w:fldCharType="end"/>
        </w:r>
      </w:hyperlink>
    </w:p>
    <w:p w14:paraId="4D7FD102" w14:textId="03ECFF87"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4" w:history="1">
        <w:r w:rsidR="00CA372E" w:rsidRPr="0024033B">
          <w:rPr>
            <w:rStyle w:val="Hyperlink"/>
            <w:noProof/>
          </w:rPr>
          <w:t>35% of traditional researchers moved to Australia for a research job, compared to 10% for non-traditional researchers</w:t>
        </w:r>
        <w:r w:rsidR="00CA372E">
          <w:rPr>
            <w:noProof/>
            <w:webHidden/>
          </w:rPr>
          <w:tab/>
        </w:r>
        <w:r w:rsidR="00CA372E">
          <w:rPr>
            <w:noProof/>
            <w:webHidden/>
          </w:rPr>
          <w:fldChar w:fldCharType="begin"/>
        </w:r>
        <w:r w:rsidR="00CA372E">
          <w:rPr>
            <w:noProof/>
            <w:webHidden/>
          </w:rPr>
          <w:instrText xml:space="preserve"> PAGEREF _Toc178009074 \h </w:instrText>
        </w:r>
        <w:r w:rsidR="00CA372E">
          <w:rPr>
            <w:noProof/>
            <w:webHidden/>
          </w:rPr>
        </w:r>
        <w:r w:rsidR="00CA372E">
          <w:rPr>
            <w:noProof/>
            <w:webHidden/>
          </w:rPr>
          <w:fldChar w:fldCharType="separate"/>
        </w:r>
        <w:r w:rsidR="00496859">
          <w:rPr>
            <w:noProof/>
            <w:webHidden/>
          </w:rPr>
          <w:t>24</w:t>
        </w:r>
        <w:r w:rsidR="00CA372E">
          <w:rPr>
            <w:noProof/>
            <w:webHidden/>
          </w:rPr>
          <w:fldChar w:fldCharType="end"/>
        </w:r>
      </w:hyperlink>
    </w:p>
    <w:p w14:paraId="3B8228EC" w14:textId="26863B37"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5" w:history="1">
        <w:r w:rsidR="00CA372E" w:rsidRPr="0024033B">
          <w:rPr>
            <w:rStyle w:val="Hyperlink"/>
            <w:noProof/>
          </w:rPr>
          <w:t>44% of traditional researchers have worked overseas at some point, almost all moving for a research role</w:t>
        </w:r>
        <w:r w:rsidR="00CA372E">
          <w:rPr>
            <w:noProof/>
            <w:webHidden/>
          </w:rPr>
          <w:tab/>
        </w:r>
        <w:r w:rsidR="00CA372E">
          <w:rPr>
            <w:noProof/>
            <w:webHidden/>
          </w:rPr>
          <w:fldChar w:fldCharType="begin"/>
        </w:r>
        <w:r w:rsidR="00CA372E">
          <w:rPr>
            <w:noProof/>
            <w:webHidden/>
          </w:rPr>
          <w:instrText xml:space="preserve"> PAGEREF _Toc178009075 \h </w:instrText>
        </w:r>
        <w:r w:rsidR="00CA372E">
          <w:rPr>
            <w:noProof/>
            <w:webHidden/>
          </w:rPr>
        </w:r>
        <w:r w:rsidR="00CA372E">
          <w:rPr>
            <w:noProof/>
            <w:webHidden/>
          </w:rPr>
          <w:fldChar w:fldCharType="separate"/>
        </w:r>
        <w:r w:rsidR="00496859">
          <w:rPr>
            <w:noProof/>
            <w:webHidden/>
          </w:rPr>
          <w:t>25</w:t>
        </w:r>
        <w:r w:rsidR="00CA372E">
          <w:rPr>
            <w:noProof/>
            <w:webHidden/>
          </w:rPr>
          <w:fldChar w:fldCharType="end"/>
        </w:r>
      </w:hyperlink>
    </w:p>
    <w:p w14:paraId="0B68AE7E" w14:textId="701384E4"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6" w:history="1">
        <w:r w:rsidR="00CA372E" w:rsidRPr="0024033B">
          <w:rPr>
            <w:rStyle w:val="Hyperlink"/>
            <w:noProof/>
          </w:rPr>
          <w:t>Traditional researchers are more likely to perform basic science or applied research, while non-traditional researchers are more likely to perform clinical or biotechnology, medical device technology, and pharmaceutical research</w:t>
        </w:r>
        <w:r w:rsidR="00CA372E">
          <w:rPr>
            <w:noProof/>
            <w:webHidden/>
          </w:rPr>
          <w:tab/>
        </w:r>
        <w:r w:rsidR="00CA372E">
          <w:rPr>
            <w:noProof/>
            <w:webHidden/>
          </w:rPr>
          <w:fldChar w:fldCharType="begin"/>
        </w:r>
        <w:r w:rsidR="00CA372E">
          <w:rPr>
            <w:noProof/>
            <w:webHidden/>
          </w:rPr>
          <w:instrText xml:space="preserve"> PAGEREF _Toc178009076 \h </w:instrText>
        </w:r>
        <w:r w:rsidR="00CA372E">
          <w:rPr>
            <w:noProof/>
            <w:webHidden/>
          </w:rPr>
        </w:r>
        <w:r w:rsidR="00CA372E">
          <w:rPr>
            <w:noProof/>
            <w:webHidden/>
          </w:rPr>
          <w:fldChar w:fldCharType="separate"/>
        </w:r>
        <w:r w:rsidR="00496859">
          <w:rPr>
            <w:noProof/>
            <w:webHidden/>
          </w:rPr>
          <w:t>26</w:t>
        </w:r>
        <w:r w:rsidR="00CA372E">
          <w:rPr>
            <w:noProof/>
            <w:webHidden/>
          </w:rPr>
          <w:fldChar w:fldCharType="end"/>
        </w:r>
      </w:hyperlink>
    </w:p>
    <w:p w14:paraId="49FAD98F" w14:textId="5DCC9980"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7" w:history="1">
        <w:r w:rsidR="00CA372E" w:rsidRPr="0024033B">
          <w:rPr>
            <w:rStyle w:val="Hyperlink"/>
            <w:noProof/>
          </w:rPr>
          <w:t>The largest field of research for health and medical researchers is health sciences research at 40% of all researchers</w:t>
        </w:r>
        <w:r w:rsidR="00CA372E">
          <w:rPr>
            <w:noProof/>
            <w:webHidden/>
          </w:rPr>
          <w:tab/>
        </w:r>
        <w:r w:rsidR="00CA372E">
          <w:rPr>
            <w:noProof/>
            <w:webHidden/>
          </w:rPr>
          <w:fldChar w:fldCharType="begin"/>
        </w:r>
        <w:r w:rsidR="00CA372E">
          <w:rPr>
            <w:noProof/>
            <w:webHidden/>
          </w:rPr>
          <w:instrText xml:space="preserve"> PAGEREF _Toc178009077 \h </w:instrText>
        </w:r>
        <w:r w:rsidR="00CA372E">
          <w:rPr>
            <w:noProof/>
            <w:webHidden/>
          </w:rPr>
        </w:r>
        <w:r w:rsidR="00CA372E">
          <w:rPr>
            <w:noProof/>
            <w:webHidden/>
          </w:rPr>
          <w:fldChar w:fldCharType="separate"/>
        </w:r>
        <w:r w:rsidR="00496859">
          <w:rPr>
            <w:noProof/>
            <w:webHidden/>
          </w:rPr>
          <w:t>28</w:t>
        </w:r>
        <w:r w:rsidR="00CA372E">
          <w:rPr>
            <w:noProof/>
            <w:webHidden/>
          </w:rPr>
          <w:fldChar w:fldCharType="end"/>
        </w:r>
      </w:hyperlink>
    </w:p>
    <w:p w14:paraId="37792F39" w14:textId="107D44AB" w:rsidR="00CA372E" w:rsidRDefault="006666F1">
      <w:pPr>
        <w:pStyle w:val="TOC1"/>
        <w:tabs>
          <w:tab w:val="right" w:leader="dot" w:pos="9742"/>
        </w:tabs>
        <w:rPr>
          <w:rFonts w:asciiTheme="minorHAnsi" w:eastAsiaTheme="minorEastAsia" w:hAnsiTheme="minorHAnsi" w:cstheme="minorBidi"/>
          <w:caps w:val="0"/>
          <w:noProof/>
          <w:color w:val="auto"/>
          <w:kern w:val="2"/>
          <w:lang w:val="en-AU" w:eastAsia="en-GB"/>
          <w14:ligatures w14:val="standardContextual"/>
        </w:rPr>
      </w:pPr>
      <w:hyperlink w:anchor="_Toc178009078" w:history="1">
        <w:r w:rsidR="00CA372E" w:rsidRPr="0024033B">
          <w:rPr>
            <w:rStyle w:val="Hyperlink"/>
            <w:noProof/>
          </w:rPr>
          <w:t xml:space="preserve">Chapter 2: </w:t>
        </w:r>
        <w:r w:rsidR="00CA372E" w:rsidRPr="0024033B">
          <w:rPr>
            <w:rStyle w:val="Hyperlink"/>
            <w:bCs/>
            <w:noProof/>
          </w:rPr>
          <w:t>Workforce movement</w:t>
        </w:r>
        <w:r w:rsidR="00CA372E">
          <w:rPr>
            <w:noProof/>
            <w:webHidden/>
          </w:rPr>
          <w:tab/>
        </w:r>
        <w:r w:rsidR="00CA372E">
          <w:rPr>
            <w:noProof/>
            <w:webHidden/>
          </w:rPr>
          <w:fldChar w:fldCharType="begin"/>
        </w:r>
        <w:r w:rsidR="00CA372E">
          <w:rPr>
            <w:noProof/>
            <w:webHidden/>
          </w:rPr>
          <w:instrText xml:space="preserve"> PAGEREF _Toc178009078 \h </w:instrText>
        </w:r>
        <w:r w:rsidR="00CA372E">
          <w:rPr>
            <w:noProof/>
            <w:webHidden/>
          </w:rPr>
        </w:r>
        <w:r w:rsidR="00CA372E">
          <w:rPr>
            <w:noProof/>
            <w:webHidden/>
          </w:rPr>
          <w:fldChar w:fldCharType="separate"/>
        </w:r>
        <w:r w:rsidR="00496859">
          <w:rPr>
            <w:noProof/>
            <w:webHidden/>
          </w:rPr>
          <w:t>29</w:t>
        </w:r>
        <w:r w:rsidR="00CA372E">
          <w:rPr>
            <w:noProof/>
            <w:webHidden/>
          </w:rPr>
          <w:fldChar w:fldCharType="end"/>
        </w:r>
      </w:hyperlink>
    </w:p>
    <w:p w14:paraId="3F15633E" w14:textId="53B955B1"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79" w:history="1">
        <w:r w:rsidR="00CA372E" w:rsidRPr="0024033B">
          <w:rPr>
            <w:rStyle w:val="Hyperlink"/>
            <w:noProof/>
          </w:rPr>
          <w:t>Key finding: The health and medical research workforce are highly mobile, moving jobs every 1.6 years, often to non-research roles</w:t>
        </w:r>
        <w:r w:rsidR="00CA372E">
          <w:rPr>
            <w:noProof/>
            <w:webHidden/>
          </w:rPr>
          <w:tab/>
        </w:r>
        <w:r w:rsidR="00CA372E">
          <w:rPr>
            <w:noProof/>
            <w:webHidden/>
          </w:rPr>
          <w:fldChar w:fldCharType="begin"/>
        </w:r>
        <w:r w:rsidR="00CA372E">
          <w:rPr>
            <w:noProof/>
            <w:webHidden/>
          </w:rPr>
          <w:instrText xml:space="preserve"> PAGEREF _Toc178009079 \h </w:instrText>
        </w:r>
        <w:r w:rsidR="00CA372E">
          <w:rPr>
            <w:noProof/>
            <w:webHidden/>
          </w:rPr>
        </w:r>
        <w:r w:rsidR="00CA372E">
          <w:rPr>
            <w:noProof/>
            <w:webHidden/>
          </w:rPr>
          <w:fldChar w:fldCharType="separate"/>
        </w:r>
        <w:r w:rsidR="00496859">
          <w:rPr>
            <w:noProof/>
            <w:webHidden/>
          </w:rPr>
          <w:t>29</w:t>
        </w:r>
        <w:r w:rsidR="00CA372E">
          <w:rPr>
            <w:noProof/>
            <w:webHidden/>
          </w:rPr>
          <w:fldChar w:fldCharType="end"/>
        </w:r>
      </w:hyperlink>
    </w:p>
    <w:p w14:paraId="328D0A94" w14:textId="4B5DB9D4"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0" w:history="1">
        <w:r w:rsidR="00CA372E" w:rsidRPr="0024033B">
          <w:rPr>
            <w:rStyle w:val="Hyperlink"/>
            <w:noProof/>
          </w:rPr>
          <w:t>Over a 5-year period, researchers are more likely to leave research entirely or remain within their segments than transition across segments</w:t>
        </w:r>
        <w:r w:rsidR="00CA372E">
          <w:rPr>
            <w:noProof/>
            <w:webHidden/>
          </w:rPr>
          <w:tab/>
        </w:r>
        <w:r w:rsidR="00CA372E">
          <w:rPr>
            <w:noProof/>
            <w:webHidden/>
          </w:rPr>
          <w:fldChar w:fldCharType="begin"/>
        </w:r>
        <w:r w:rsidR="00CA372E">
          <w:rPr>
            <w:noProof/>
            <w:webHidden/>
          </w:rPr>
          <w:instrText xml:space="preserve"> PAGEREF _Toc178009080 \h </w:instrText>
        </w:r>
        <w:r w:rsidR="00CA372E">
          <w:rPr>
            <w:noProof/>
            <w:webHidden/>
          </w:rPr>
        </w:r>
        <w:r w:rsidR="00CA372E">
          <w:rPr>
            <w:noProof/>
            <w:webHidden/>
          </w:rPr>
          <w:fldChar w:fldCharType="separate"/>
        </w:r>
        <w:r w:rsidR="00496859">
          <w:rPr>
            <w:noProof/>
            <w:webHidden/>
          </w:rPr>
          <w:t>30</w:t>
        </w:r>
        <w:r w:rsidR="00CA372E">
          <w:rPr>
            <w:noProof/>
            <w:webHidden/>
          </w:rPr>
          <w:fldChar w:fldCharType="end"/>
        </w:r>
      </w:hyperlink>
    </w:p>
    <w:p w14:paraId="67DBAD6D" w14:textId="7F38E7C5"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1" w:history="1">
        <w:r w:rsidR="00CA372E" w:rsidRPr="0024033B">
          <w:rPr>
            <w:rStyle w:val="Hyperlink"/>
            <w:noProof/>
          </w:rPr>
          <w:t>Inactive researchers remain in health and medical research-adjacent industries, often in leadership and management positions</w:t>
        </w:r>
        <w:r w:rsidR="00CA372E">
          <w:rPr>
            <w:noProof/>
            <w:webHidden/>
          </w:rPr>
          <w:tab/>
        </w:r>
        <w:r w:rsidR="00CA372E">
          <w:rPr>
            <w:noProof/>
            <w:webHidden/>
          </w:rPr>
          <w:fldChar w:fldCharType="begin"/>
        </w:r>
        <w:r w:rsidR="00CA372E">
          <w:rPr>
            <w:noProof/>
            <w:webHidden/>
          </w:rPr>
          <w:instrText xml:space="preserve"> PAGEREF _Toc178009081 \h </w:instrText>
        </w:r>
        <w:r w:rsidR="00CA372E">
          <w:rPr>
            <w:noProof/>
            <w:webHidden/>
          </w:rPr>
        </w:r>
        <w:r w:rsidR="00CA372E">
          <w:rPr>
            <w:noProof/>
            <w:webHidden/>
          </w:rPr>
          <w:fldChar w:fldCharType="separate"/>
        </w:r>
        <w:r w:rsidR="00496859">
          <w:rPr>
            <w:noProof/>
            <w:webHidden/>
          </w:rPr>
          <w:t>32</w:t>
        </w:r>
        <w:r w:rsidR="00CA372E">
          <w:rPr>
            <w:noProof/>
            <w:webHidden/>
          </w:rPr>
          <w:fldChar w:fldCharType="end"/>
        </w:r>
      </w:hyperlink>
    </w:p>
    <w:p w14:paraId="71990A62" w14:textId="08456ABC"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2" w:history="1">
        <w:r w:rsidR="00CA372E" w:rsidRPr="0024033B">
          <w:rPr>
            <w:rStyle w:val="Hyperlink"/>
            <w:noProof/>
          </w:rPr>
          <w:t>Inactive researchers were most likely to report that their most recent research role was in a traditional setting, with 43% having worked for a university and 18% for an MRI</w:t>
        </w:r>
        <w:r w:rsidR="00CA372E">
          <w:rPr>
            <w:noProof/>
            <w:webHidden/>
          </w:rPr>
          <w:tab/>
        </w:r>
        <w:r w:rsidR="00CA372E">
          <w:rPr>
            <w:noProof/>
            <w:webHidden/>
          </w:rPr>
          <w:fldChar w:fldCharType="begin"/>
        </w:r>
        <w:r w:rsidR="00CA372E">
          <w:rPr>
            <w:noProof/>
            <w:webHidden/>
          </w:rPr>
          <w:instrText xml:space="preserve"> PAGEREF _Toc178009082 \h </w:instrText>
        </w:r>
        <w:r w:rsidR="00CA372E">
          <w:rPr>
            <w:noProof/>
            <w:webHidden/>
          </w:rPr>
        </w:r>
        <w:r w:rsidR="00CA372E">
          <w:rPr>
            <w:noProof/>
            <w:webHidden/>
          </w:rPr>
          <w:fldChar w:fldCharType="separate"/>
        </w:r>
        <w:r w:rsidR="00496859">
          <w:rPr>
            <w:noProof/>
            <w:webHidden/>
          </w:rPr>
          <w:t>34</w:t>
        </w:r>
        <w:r w:rsidR="00CA372E">
          <w:rPr>
            <w:noProof/>
            <w:webHidden/>
          </w:rPr>
          <w:fldChar w:fldCharType="end"/>
        </w:r>
      </w:hyperlink>
    </w:p>
    <w:p w14:paraId="17303F00" w14:textId="5D3BE1F9"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3" w:history="1">
        <w:r w:rsidR="00CA372E" w:rsidRPr="0024033B">
          <w:rPr>
            <w:rStyle w:val="Hyperlink"/>
            <w:noProof/>
          </w:rPr>
          <w:t>Traditional researchers move jobs less frequently than non-traditional researchers, spending a median 1.6 years per role</w:t>
        </w:r>
        <w:r w:rsidR="00CA372E">
          <w:rPr>
            <w:noProof/>
            <w:webHidden/>
          </w:rPr>
          <w:tab/>
        </w:r>
        <w:r w:rsidR="00CA372E">
          <w:rPr>
            <w:noProof/>
            <w:webHidden/>
          </w:rPr>
          <w:fldChar w:fldCharType="begin"/>
        </w:r>
        <w:r w:rsidR="00CA372E">
          <w:rPr>
            <w:noProof/>
            <w:webHidden/>
          </w:rPr>
          <w:instrText xml:space="preserve"> PAGEREF _Toc178009083 \h </w:instrText>
        </w:r>
        <w:r w:rsidR="00CA372E">
          <w:rPr>
            <w:noProof/>
            <w:webHidden/>
          </w:rPr>
        </w:r>
        <w:r w:rsidR="00CA372E">
          <w:rPr>
            <w:noProof/>
            <w:webHidden/>
          </w:rPr>
          <w:fldChar w:fldCharType="separate"/>
        </w:r>
        <w:r w:rsidR="00496859">
          <w:rPr>
            <w:noProof/>
            <w:webHidden/>
          </w:rPr>
          <w:t>36</w:t>
        </w:r>
        <w:r w:rsidR="00CA372E">
          <w:rPr>
            <w:noProof/>
            <w:webHidden/>
          </w:rPr>
          <w:fldChar w:fldCharType="end"/>
        </w:r>
      </w:hyperlink>
    </w:p>
    <w:p w14:paraId="30ED9DF8" w14:textId="3751F8E9"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4" w:history="1">
        <w:r w:rsidR="00CA372E" w:rsidRPr="0024033B">
          <w:rPr>
            <w:rStyle w:val="Hyperlink"/>
            <w:noProof/>
          </w:rPr>
          <w:t>Inactive researchers report working across more organisations than traditional and non-traditional workers, with 21% of inactive researchers working in 2 or fewer organisations, compared to 56% of traditional and 42% of non-traditional researchers</w:t>
        </w:r>
        <w:r w:rsidR="00CA372E">
          <w:rPr>
            <w:noProof/>
            <w:webHidden/>
          </w:rPr>
          <w:tab/>
        </w:r>
        <w:r w:rsidR="00CA372E">
          <w:rPr>
            <w:noProof/>
            <w:webHidden/>
          </w:rPr>
          <w:fldChar w:fldCharType="begin"/>
        </w:r>
        <w:r w:rsidR="00CA372E">
          <w:rPr>
            <w:noProof/>
            <w:webHidden/>
          </w:rPr>
          <w:instrText xml:space="preserve"> PAGEREF _Toc178009084 \h </w:instrText>
        </w:r>
        <w:r w:rsidR="00CA372E">
          <w:rPr>
            <w:noProof/>
            <w:webHidden/>
          </w:rPr>
        </w:r>
        <w:r w:rsidR="00CA372E">
          <w:rPr>
            <w:noProof/>
            <w:webHidden/>
          </w:rPr>
          <w:fldChar w:fldCharType="separate"/>
        </w:r>
        <w:r w:rsidR="00496859">
          <w:rPr>
            <w:noProof/>
            <w:webHidden/>
          </w:rPr>
          <w:t>38</w:t>
        </w:r>
        <w:r w:rsidR="00CA372E">
          <w:rPr>
            <w:noProof/>
            <w:webHidden/>
          </w:rPr>
          <w:fldChar w:fldCharType="end"/>
        </w:r>
      </w:hyperlink>
    </w:p>
    <w:p w14:paraId="26D20B10" w14:textId="0D3EFBA5"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5" w:history="1">
        <w:r w:rsidR="00CA372E" w:rsidRPr="0024033B">
          <w:rPr>
            <w:rStyle w:val="Hyperlink"/>
            <w:noProof/>
          </w:rPr>
          <w:t>Over a 5-year period, 47% of postdoctoral fellows who change roles leave research, with 34% remaining in traditional research</w:t>
        </w:r>
        <w:r w:rsidR="00CA372E">
          <w:rPr>
            <w:noProof/>
            <w:webHidden/>
          </w:rPr>
          <w:tab/>
        </w:r>
        <w:r w:rsidR="00CA372E">
          <w:rPr>
            <w:noProof/>
            <w:webHidden/>
          </w:rPr>
          <w:fldChar w:fldCharType="begin"/>
        </w:r>
        <w:r w:rsidR="00CA372E">
          <w:rPr>
            <w:noProof/>
            <w:webHidden/>
          </w:rPr>
          <w:instrText xml:space="preserve"> PAGEREF _Toc178009085 \h </w:instrText>
        </w:r>
        <w:r w:rsidR="00CA372E">
          <w:rPr>
            <w:noProof/>
            <w:webHidden/>
          </w:rPr>
        </w:r>
        <w:r w:rsidR="00CA372E">
          <w:rPr>
            <w:noProof/>
            <w:webHidden/>
          </w:rPr>
          <w:fldChar w:fldCharType="separate"/>
        </w:r>
        <w:r w:rsidR="00496859">
          <w:rPr>
            <w:noProof/>
            <w:webHidden/>
          </w:rPr>
          <w:t>40</w:t>
        </w:r>
        <w:r w:rsidR="00CA372E">
          <w:rPr>
            <w:noProof/>
            <w:webHidden/>
          </w:rPr>
          <w:fldChar w:fldCharType="end"/>
        </w:r>
      </w:hyperlink>
    </w:p>
    <w:p w14:paraId="62FF21BA" w14:textId="32F2CC08"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6" w:history="1">
        <w:r w:rsidR="00CA372E" w:rsidRPr="0024033B">
          <w:rPr>
            <w:rStyle w:val="Hyperlink"/>
            <w:noProof/>
          </w:rPr>
          <w:t>Traditional researchers report a desire to remain in research for an average of 14.2 further years, longer than non-traditional researchers who average 12.4 years</w:t>
        </w:r>
        <w:r w:rsidR="00CA372E">
          <w:rPr>
            <w:noProof/>
            <w:webHidden/>
          </w:rPr>
          <w:tab/>
        </w:r>
        <w:r w:rsidR="00CA372E">
          <w:rPr>
            <w:noProof/>
            <w:webHidden/>
          </w:rPr>
          <w:fldChar w:fldCharType="begin"/>
        </w:r>
        <w:r w:rsidR="00CA372E">
          <w:rPr>
            <w:noProof/>
            <w:webHidden/>
          </w:rPr>
          <w:instrText xml:space="preserve"> PAGEREF _Toc178009086 \h </w:instrText>
        </w:r>
        <w:r w:rsidR="00CA372E">
          <w:rPr>
            <w:noProof/>
            <w:webHidden/>
          </w:rPr>
        </w:r>
        <w:r w:rsidR="00CA372E">
          <w:rPr>
            <w:noProof/>
            <w:webHidden/>
          </w:rPr>
          <w:fldChar w:fldCharType="separate"/>
        </w:r>
        <w:r w:rsidR="00496859">
          <w:rPr>
            <w:noProof/>
            <w:webHidden/>
          </w:rPr>
          <w:t>41</w:t>
        </w:r>
        <w:r w:rsidR="00CA372E">
          <w:rPr>
            <w:noProof/>
            <w:webHidden/>
          </w:rPr>
          <w:fldChar w:fldCharType="end"/>
        </w:r>
      </w:hyperlink>
    </w:p>
    <w:p w14:paraId="70BDD042" w14:textId="7A191B41"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7" w:history="1">
        <w:r w:rsidR="00CA372E" w:rsidRPr="0024033B">
          <w:rPr>
            <w:rStyle w:val="Hyperlink"/>
            <w:noProof/>
          </w:rPr>
          <w:t>Many researchers find moving between organisations easy, with majority working in research and non-research roles in their career</w:t>
        </w:r>
        <w:r w:rsidR="00CA372E">
          <w:rPr>
            <w:noProof/>
            <w:webHidden/>
          </w:rPr>
          <w:tab/>
        </w:r>
        <w:r w:rsidR="00CA372E">
          <w:rPr>
            <w:noProof/>
            <w:webHidden/>
          </w:rPr>
          <w:fldChar w:fldCharType="begin"/>
        </w:r>
        <w:r w:rsidR="00CA372E">
          <w:rPr>
            <w:noProof/>
            <w:webHidden/>
          </w:rPr>
          <w:instrText xml:space="preserve"> PAGEREF _Toc178009087 \h </w:instrText>
        </w:r>
        <w:r w:rsidR="00CA372E">
          <w:rPr>
            <w:noProof/>
            <w:webHidden/>
          </w:rPr>
        </w:r>
        <w:r w:rsidR="00CA372E">
          <w:rPr>
            <w:noProof/>
            <w:webHidden/>
          </w:rPr>
          <w:fldChar w:fldCharType="separate"/>
        </w:r>
        <w:r w:rsidR="00496859">
          <w:rPr>
            <w:noProof/>
            <w:webHidden/>
          </w:rPr>
          <w:t>42</w:t>
        </w:r>
        <w:r w:rsidR="00CA372E">
          <w:rPr>
            <w:noProof/>
            <w:webHidden/>
          </w:rPr>
          <w:fldChar w:fldCharType="end"/>
        </w:r>
      </w:hyperlink>
    </w:p>
    <w:p w14:paraId="3CEB5F33" w14:textId="5D10EBE2"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88" w:history="1">
        <w:r w:rsidR="00CA372E" w:rsidRPr="0024033B">
          <w:rPr>
            <w:rStyle w:val="Hyperlink"/>
            <w:noProof/>
          </w:rPr>
          <w:t>Skills from research are transferable with analytical and critical thinking and problem solving the most useful skills</w:t>
        </w:r>
        <w:r w:rsidR="00CA372E">
          <w:rPr>
            <w:noProof/>
            <w:webHidden/>
          </w:rPr>
          <w:tab/>
        </w:r>
        <w:r w:rsidR="00CA372E">
          <w:rPr>
            <w:noProof/>
            <w:webHidden/>
          </w:rPr>
          <w:fldChar w:fldCharType="begin"/>
        </w:r>
        <w:r w:rsidR="00CA372E">
          <w:rPr>
            <w:noProof/>
            <w:webHidden/>
          </w:rPr>
          <w:instrText xml:space="preserve"> PAGEREF _Toc178009088 \h </w:instrText>
        </w:r>
        <w:r w:rsidR="00CA372E">
          <w:rPr>
            <w:noProof/>
            <w:webHidden/>
          </w:rPr>
        </w:r>
        <w:r w:rsidR="00CA372E">
          <w:rPr>
            <w:noProof/>
            <w:webHidden/>
          </w:rPr>
          <w:fldChar w:fldCharType="separate"/>
        </w:r>
        <w:r w:rsidR="00496859">
          <w:rPr>
            <w:noProof/>
            <w:webHidden/>
          </w:rPr>
          <w:t>43</w:t>
        </w:r>
        <w:r w:rsidR="00CA372E">
          <w:rPr>
            <w:noProof/>
            <w:webHidden/>
          </w:rPr>
          <w:fldChar w:fldCharType="end"/>
        </w:r>
      </w:hyperlink>
    </w:p>
    <w:p w14:paraId="2CAFFEAC" w14:textId="5037806B" w:rsidR="00CA372E" w:rsidRDefault="006666F1">
      <w:pPr>
        <w:pStyle w:val="TOC1"/>
        <w:tabs>
          <w:tab w:val="right" w:leader="dot" w:pos="9742"/>
        </w:tabs>
        <w:rPr>
          <w:rFonts w:asciiTheme="minorHAnsi" w:eastAsiaTheme="minorEastAsia" w:hAnsiTheme="minorHAnsi" w:cstheme="minorBidi"/>
          <w:caps w:val="0"/>
          <w:noProof/>
          <w:color w:val="auto"/>
          <w:kern w:val="2"/>
          <w:lang w:val="en-AU" w:eastAsia="en-GB"/>
          <w14:ligatures w14:val="standardContextual"/>
        </w:rPr>
      </w:pPr>
      <w:hyperlink w:anchor="_Toc178009089" w:history="1">
        <w:r w:rsidR="00CA372E" w:rsidRPr="0024033B">
          <w:rPr>
            <w:rStyle w:val="Hyperlink"/>
            <w:noProof/>
          </w:rPr>
          <w:t xml:space="preserve">Chapter 3: </w:t>
        </w:r>
        <w:r w:rsidR="00CA372E" w:rsidRPr="0024033B">
          <w:rPr>
            <w:rStyle w:val="Hyperlink"/>
            <w:bCs/>
            <w:noProof/>
          </w:rPr>
          <w:t>Workforce motivations</w:t>
        </w:r>
        <w:r w:rsidR="00CA372E">
          <w:rPr>
            <w:noProof/>
            <w:webHidden/>
          </w:rPr>
          <w:tab/>
        </w:r>
        <w:r w:rsidR="00CA372E">
          <w:rPr>
            <w:noProof/>
            <w:webHidden/>
          </w:rPr>
          <w:fldChar w:fldCharType="begin"/>
        </w:r>
        <w:r w:rsidR="00CA372E">
          <w:rPr>
            <w:noProof/>
            <w:webHidden/>
          </w:rPr>
          <w:instrText xml:space="preserve"> PAGEREF _Toc178009089 \h </w:instrText>
        </w:r>
        <w:r w:rsidR="00CA372E">
          <w:rPr>
            <w:noProof/>
            <w:webHidden/>
          </w:rPr>
        </w:r>
        <w:r w:rsidR="00CA372E">
          <w:rPr>
            <w:noProof/>
            <w:webHidden/>
          </w:rPr>
          <w:fldChar w:fldCharType="separate"/>
        </w:r>
        <w:r w:rsidR="00496859">
          <w:rPr>
            <w:noProof/>
            <w:webHidden/>
          </w:rPr>
          <w:t>44</w:t>
        </w:r>
        <w:r w:rsidR="00CA372E">
          <w:rPr>
            <w:noProof/>
            <w:webHidden/>
          </w:rPr>
          <w:fldChar w:fldCharType="end"/>
        </w:r>
      </w:hyperlink>
    </w:p>
    <w:p w14:paraId="76C9C979" w14:textId="3550DA41"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0" w:history="1">
        <w:r w:rsidR="00CA372E" w:rsidRPr="0024033B">
          <w:rPr>
            <w:rStyle w:val="Hyperlink"/>
            <w:noProof/>
          </w:rPr>
          <w:t>Key finding: Passion for research and impact on society attract and retain researchers but funding and job security are key challenges and reasons for leaving the sector</w:t>
        </w:r>
        <w:r w:rsidR="00CA372E">
          <w:rPr>
            <w:noProof/>
            <w:webHidden/>
          </w:rPr>
          <w:tab/>
        </w:r>
        <w:r w:rsidR="00CA372E">
          <w:rPr>
            <w:noProof/>
            <w:webHidden/>
          </w:rPr>
          <w:fldChar w:fldCharType="begin"/>
        </w:r>
        <w:r w:rsidR="00CA372E">
          <w:rPr>
            <w:noProof/>
            <w:webHidden/>
          </w:rPr>
          <w:instrText xml:space="preserve"> PAGEREF _Toc178009090 \h </w:instrText>
        </w:r>
        <w:r w:rsidR="00CA372E">
          <w:rPr>
            <w:noProof/>
            <w:webHidden/>
          </w:rPr>
        </w:r>
        <w:r w:rsidR="00CA372E">
          <w:rPr>
            <w:noProof/>
            <w:webHidden/>
          </w:rPr>
          <w:fldChar w:fldCharType="separate"/>
        </w:r>
        <w:r w:rsidR="00496859">
          <w:rPr>
            <w:noProof/>
            <w:webHidden/>
          </w:rPr>
          <w:t>44</w:t>
        </w:r>
        <w:r w:rsidR="00CA372E">
          <w:rPr>
            <w:noProof/>
            <w:webHidden/>
          </w:rPr>
          <w:fldChar w:fldCharType="end"/>
        </w:r>
      </w:hyperlink>
    </w:p>
    <w:p w14:paraId="3643219E" w14:textId="7CEE5E0E"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1" w:history="1">
        <w:r w:rsidR="00CA372E" w:rsidRPr="0024033B">
          <w:rPr>
            <w:rStyle w:val="Hyperlink"/>
            <w:noProof/>
          </w:rPr>
          <w:t>Researchers are attracted to and remain in their roles due to a passion for research and impact on society</w:t>
        </w:r>
        <w:r w:rsidR="00CA372E">
          <w:rPr>
            <w:noProof/>
            <w:webHidden/>
          </w:rPr>
          <w:tab/>
        </w:r>
        <w:r w:rsidR="00CA372E">
          <w:rPr>
            <w:noProof/>
            <w:webHidden/>
          </w:rPr>
          <w:fldChar w:fldCharType="begin"/>
        </w:r>
        <w:r w:rsidR="00CA372E">
          <w:rPr>
            <w:noProof/>
            <w:webHidden/>
          </w:rPr>
          <w:instrText xml:space="preserve"> PAGEREF _Toc178009091 \h </w:instrText>
        </w:r>
        <w:r w:rsidR="00CA372E">
          <w:rPr>
            <w:noProof/>
            <w:webHidden/>
          </w:rPr>
        </w:r>
        <w:r w:rsidR="00CA372E">
          <w:rPr>
            <w:noProof/>
            <w:webHidden/>
          </w:rPr>
          <w:fldChar w:fldCharType="separate"/>
        </w:r>
        <w:r w:rsidR="00496859">
          <w:rPr>
            <w:noProof/>
            <w:webHidden/>
          </w:rPr>
          <w:t>45</w:t>
        </w:r>
        <w:r w:rsidR="00CA372E">
          <w:rPr>
            <w:noProof/>
            <w:webHidden/>
          </w:rPr>
          <w:fldChar w:fldCharType="end"/>
        </w:r>
      </w:hyperlink>
    </w:p>
    <w:p w14:paraId="486D6B36" w14:textId="616A908B"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2" w:history="1">
        <w:r w:rsidR="00CA372E" w:rsidRPr="0024033B">
          <w:rPr>
            <w:rStyle w:val="Hyperlink"/>
            <w:noProof/>
          </w:rPr>
          <w:t>Traditional researchers are more likely to be on fixed term or casual contracts</w:t>
        </w:r>
        <w:r w:rsidR="00CA372E">
          <w:rPr>
            <w:noProof/>
            <w:webHidden/>
          </w:rPr>
          <w:tab/>
        </w:r>
        <w:r w:rsidR="00CA372E">
          <w:rPr>
            <w:noProof/>
            <w:webHidden/>
          </w:rPr>
          <w:fldChar w:fldCharType="begin"/>
        </w:r>
        <w:r w:rsidR="00CA372E">
          <w:rPr>
            <w:noProof/>
            <w:webHidden/>
          </w:rPr>
          <w:instrText xml:space="preserve"> PAGEREF _Toc178009092 \h </w:instrText>
        </w:r>
        <w:r w:rsidR="00CA372E">
          <w:rPr>
            <w:noProof/>
            <w:webHidden/>
          </w:rPr>
        </w:r>
        <w:r w:rsidR="00CA372E">
          <w:rPr>
            <w:noProof/>
            <w:webHidden/>
          </w:rPr>
          <w:fldChar w:fldCharType="separate"/>
        </w:r>
        <w:r w:rsidR="00496859">
          <w:rPr>
            <w:noProof/>
            <w:webHidden/>
          </w:rPr>
          <w:t>47</w:t>
        </w:r>
        <w:r w:rsidR="00CA372E">
          <w:rPr>
            <w:noProof/>
            <w:webHidden/>
          </w:rPr>
          <w:fldChar w:fldCharType="end"/>
        </w:r>
      </w:hyperlink>
    </w:p>
    <w:p w14:paraId="28B6D507" w14:textId="1097CA3C"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3" w:history="1">
        <w:r w:rsidR="00CA372E" w:rsidRPr="0024033B">
          <w:rPr>
            <w:rStyle w:val="Hyperlink"/>
            <w:noProof/>
          </w:rPr>
          <w:t>Federal government grants are the most common funding for traditional researchers, with institutional funding the most common for non-traditional</w:t>
        </w:r>
        <w:r w:rsidR="00CA372E">
          <w:rPr>
            <w:noProof/>
            <w:webHidden/>
          </w:rPr>
          <w:tab/>
        </w:r>
        <w:r w:rsidR="00CA372E">
          <w:rPr>
            <w:noProof/>
            <w:webHidden/>
          </w:rPr>
          <w:fldChar w:fldCharType="begin"/>
        </w:r>
        <w:r w:rsidR="00CA372E">
          <w:rPr>
            <w:noProof/>
            <w:webHidden/>
          </w:rPr>
          <w:instrText xml:space="preserve"> PAGEREF _Toc178009093 \h </w:instrText>
        </w:r>
        <w:r w:rsidR="00CA372E">
          <w:rPr>
            <w:noProof/>
            <w:webHidden/>
          </w:rPr>
        </w:r>
        <w:r w:rsidR="00CA372E">
          <w:rPr>
            <w:noProof/>
            <w:webHidden/>
          </w:rPr>
          <w:fldChar w:fldCharType="separate"/>
        </w:r>
        <w:r w:rsidR="00496859">
          <w:rPr>
            <w:noProof/>
            <w:webHidden/>
          </w:rPr>
          <w:t>49</w:t>
        </w:r>
        <w:r w:rsidR="00CA372E">
          <w:rPr>
            <w:noProof/>
            <w:webHidden/>
          </w:rPr>
          <w:fldChar w:fldCharType="end"/>
        </w:r>
      </w:hyperlink>
    </w:p>
    <w:p w14:paraId="0917424A" w14:textId="784ECD6F"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4" w:history="1">
        <w:r w:rsidR="00CA372E" w:rsidRPr="0024033B">
          <w:rPr>
            <w:rStyle w:val="Hyperlink"/>
            <w:noProof/>
          </w:rPr>
          <w:t>The lack of funding is the most challenging part of research, followed by job security</w:t>
        </w:r>
        <w:r w:rsidR="00CA372E">
          <w:rPr>
            <w:noProof/>
            <w:webHidden/>
          </w:rPr>
          <w:tab/>
        </w:r>
        <w:r w:rsidR="00CA372E">
          <w:rPr>
            <w:noProof/>
            <w:webHidden/>
          </w:rPr>
          <w:fldChar w:fldCharType="begin"/>
        </w:r>
        <w:r w:rsidR="00CA372E">
          <w:rPr>
            <w:noProof/>
            <w:webHidden/>
          </w:rPr>
          <w:instrText xml:space="preserve"> PAGEREF _Toc178009094 \h </w:instrText>
        </w:r>
        <w:r w:rsidR="00CA372E">
          <w:rPr>
            <w:noProof/>
            <w:webHidden/>
          </w:rPr>
        </w:r>
        <w:r w:rsidR="00CA372E">
          <w:rPr>
            <w:noProof/>
            <w:webHidden/>
          </w:rPr>
          <w:fldChar w:fldCharType="separate"/>
        </w:r>
        <w:r w:rsidR="00496859">
          <w:rPr>
            <w:noProof/>
            <w:webHidden/>
          </w:rPr>
          <w:t>51</w:t>
        </w:r>
        <w:r w:rsidR="00CA372E">
          <w:rPr>
            <w:noProof/>
            <w:webHidden/>
          </w:rPr>
          <w:fldChar w:fldCharType="end"/>
        </w:r>
      </w:hyperlink>
    </w:p>
    <w:p w14:paraId="5C56D511" w14:textId="6FF5498D"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5" w:history="1">
        <w:r w:rsidR="00CA372E" w:rsidRPr="0024033B">
          <w:rPr>
            <w:rStyle w:val="Hyperlink"/>
            <w:noProof/>
          </w:rPr>
          <w:t>Career advancement opportunities were the main reason traditional researchers left research, with workplace reasons the most common for non-traditional researchers</w:t>
        </w:r>
        <w:r w:rsidR="00CA372E">
          <w:rPr>
            <w:noProof/>
            <w:webHidden/>
          </w:rPr>
          <w:tab/>
        </w:r>
        <w:r w:rsidR="00CA372E">
          <w:rPr>
            <w:noProof/>
            <w:webHidden/>
          </w:rPr>
          <w:fldChar w:fldCharType="begin"/>
        </w:r>
        <w:r w:rsidR="00CA372E">
          <w:rPr>
            <w:noProof/>
            <w:webHidden/>
          </w:rPr>
          <w:instrText xml:space="preserve"> PAGEREF _Toc178009095 \h </w:instrText>
        </w:r>
        <w:r w:rsidR="00CA372E">
          <w:rPr>
            <w:noProof/>
            <w:webHidden/>
          </w:rPr>
        </w:r>
        <w:r w:rsidR="00CA372E">
          <w:rPr>
            <w:noProof/>
            <w:webHidden/>
          </w:rPr>
          <w:fldChar w:fldCharType="separate"/>
        </w:r>
        <w:r w:rsidR="00496859">
          <w:rPr>
            <w:noProof/>
            <w:webHidden/>
          </w:rPr>
          <w:t>54</w:t>
        </w:r>
        <w:r w:rsidR="00CA372E">
          <w:rPr>
            <w:noProof/>
            <w:webHidden/>
          </w:rPr>
          <w:fldChar w:fldCharType="end"/>
        </w:r>
      </w:hyperlink>
    </w:p>
    <w:p w14:paraId="0A38D242" w14:textId="79EACE77"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6" w:history="1">
        <w:r w:rsidR="00CA372E" w:rsidRPr="0024033B">
          <w:rPr>
            <w:rStyle w:val="Hyperlink"/>
            <w:noProof/>
          </w:rPr>
          <w:t>Researchers want to see funding, security and support improved in the health and medical research sector</w:t>
        </w:r>
        <w:r w:rsidR="00CA372E">
          <w:rPr>
            <w:noProof/>
            <w:webHidden/>
          </w:rPr>
          <w:tab/>
        </w:r>
        <w:r w:rsidR="00CA372E">
          <w:rPr>
            <w:noProof/>
            <w:webHidden/>
          </w:rPr>
          <w:fldChar w:fldCharType="begin"/>
        </w:r>
        <w:r w:rsidR="00CA372E">
          <w:rPr>
            <w:noProof/>
            <w:webHidden/>
          </w:rPr>
          <w:instrText xml:space="preserve"> PAGEREF _Toc178009096 \h </w:instrText>
        </w:r>
        <w:r w:rsidR="00CA372E">
          <w:rPr>
            <w:noProof/>
            <w:webHidden/>
          </w:rPr>
        </w:r>
        <w:r w:rsidR="00CA372E">
          <w:rPr>
            <w:noProof/>
            <w:webHidden/>
          </w:rPr>
          <w:fldChar w:fldCharType="separate"/>
        </w:r>
        <w:r w:rsidR="00496859">
          <w:rPr>
            <w:noProof/>
            <w:webHidden/>
          </w:rPr>
          <w:t>56</w:t>
        </w:r>
        <w:r w:rsidR="00CA372E">
          <w:rPr>
            <w:noProof/>
            <w:webHidden/>
          </w:rPr>
          <w:fldChar w:fldCharType="end"/>
        </w:r>
      </w:hyperlink>
    </w:p>
    <w:p w14:paraId="40E6E2BA" w14:textId="4E97308A" w:rsidR="00CA372E" w:rsidRDefault="006666F1">
      <w:pPr>
        <w:pStyle w:val="TOC1"/>
        <w:tabs>
          <w:tab w:val="right" w:leader="dot" w:pos="9742"/>
        </w:tabs>
        <w:rPr>
          <w:rFonts w:asciiTheme="minorHAnsi" w:eastAsiaTheme="minorEastAsia" w:hAnsiTheme="minorHAnsi" w:cstheme="minorBidi"/>
          <w:caps w:val="0"/>
          <w:noProof/>
          <w:color w:val="auto"/>
          <w:kern w:val="2"/>
          <w:lang w:val="en-AU" w:eastAsia="en-GB"/>
          <w14:ligatures w14:val="standardContextual"/>
        </w:rPr>
      </w:pPr>
      <w:hyperlink w:anchor="_Toc178009097" w:history="1">
        <w:r w:rsidR="00CA372E" w:rsidRPr="0024033B">
          <w:rPr>
            <w:rStyle w:val="Hyperlink"/>
            <w:noProof/>
          </w:rPr>
          <w:t>Future monitoring plan</w:t>
        </w:r>
        <w:r w:rsidR="00CA372E">
          <w:rPr>
            <w:noProof/>
            <w:webHidden/>
          </w:rPr>
          <w:tab/>
        </w:r>
        <w:r w:rsidR="00CA372E">
          <w:rPr>
            <w:noProof/>
            <w:webHidden/>
          </w:rPr>
          <w:fldChar w:fldCharType="begin"/>
        </w:r>
        <w:r w:rsidR="00CA372E">
          <w:rPr>
            <w:noProof/>
            <w:webHidden/>
          </w:rPr>
          <w:instrText xml:space="preserve"> PAGEREF _Toc178009097 \h </w:instrText>
        </w:r>
        <w:r w:rsidR="00CA372E">
          <w:rPr>
            <w:noProof/>
            <w:webHidden/>
          </w:rPr>
        </w:r>
        <w:r w:rsidR="00CA372E">
          <w:rPr>
            <w:noProof/>
            <w:webHidden/>
          </w:rPr>
          <w:fldChar w:fldCharType="separate"/>
        </w:r>
        <w:r w:rsidR="00496859">
          <w:rPr>
            <w:noProof/>
            <w:webHidden/>
          </w:rPr>
          <w:t>57</w:t>
        </w:r>
        <w:r w:rsidR="00CA372E">
          <w:rPr>
            <w:noProof/>
            <w:webHidden/>
          </w:rPr>
          <w:fldChar w:fldCharType="end"/>
        </w:r>
      </w:hyperlink>
    </w:p>
    <w:p w14:paraId="7494CE9C" w14:textId="134140A0" w:rsidR="00CA372E" w:rsidRDefault="006666F1">
      <w:pPr>
        <w:pStyle w:val="TOC1"/>
        <w:tabs>
          <w:tab w:val="right" w:leader="dot" w:pos="9742"/>
        </w:tabs>
        <w:rPr>
          <w:rFonts w:asciiTheme="minorHAnsi" w:eastAsiaTheme="minorEastAsia" w:hAnsiTheme="minorHAnsi" w:cstheme="minorBidi"/>
          <w:caps w:val="0"/>
          <w:noProof/>
          <w:color w:val="auto"/>
          <w:kern w:val="2"/>
          <w:lang w:val="en-AU" w:eastAsia="en-GB"/>
          <w14:ligatures w14:val="standardContextual"/>
        </w:rPr>
      </w:pPr>
      <w:hyperlink w:anchor="_Toc178009098" w:history="1">
        <w:r w:rsidR="00CA372E" w:rsidRPr="0024033B">
          <w:rPr>
            <w:rStyle w:val="Hyperlink"/>
            <w:noProof/>
          </w:rPr>
          <w:t>APPENDIX</w:t>
        </w:r>
        <w:r w:rsidR="00CA372E">
          <w:rPr>
            <w:noProof/>
            <w:webHidden/>
          </w:rPr>
          <w:tab/>
        </w:r>
        <w:r w:rsidR="00CA372E">
          <w:rPr>
            <w:noProof/>
            <w:webHidden/>
          </w:rPr>
          <w:fldChar w:fldCharType="begin"/>
        </w:r>
        <w:r w:rsidR="00CA372E">
          <w:rPr>
            <w:noProof/>
            <w:webHidden/>
          </w:rPr>
          <w:instrText xml:space="preserve"> PAGEREF _Toc178009098 \h </w:instrText>
        </w:r>
        <w:r w:rsidR="00CA372E">
          <w:rPr>
            <w:noProof/>
            <w:webHidden/>
          </w:rPr>
        </w:r>
        <w:r w:rsidR="00CA372E">
          <w:rPr>
            <w:noProof/>
            <w:webHidden/>
          </w:rPr>
          <w:fldChar w:fldCharType="separate"/>
        </w:r>
        <w:r w:rsidR="00496859">
          <w:rPr>
            <w:noProof/>
            <w:webHidden/>
          </w:rPr>
          <w:t>59</w:t>
        </w:r>
        <w:r w:rsidR="00CA372E">
          <w:rPr>
            <w:noProof/>
            <w:webHidden/>
          </w:rPr>
          <w:fldChar w:fldCharType="end"/>
        </w:r>
      </w:hyperlink>
    </w:p>
    <w:p w14:paraId="0BC73D19" w14:textId="72FC25FC"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099" w:history="1">
        <w:r w:rsidR="00CA372E" w:rsidRPr="0024033B">
          <w:rPr>
            <w:rStyle w:val="Hyperlink"/>
            <w:noProof/>
          </w:rPr>
          <w:t>Desktop scan: The desktop scan was performed to understand existing evidence and identify key gaps to be filled by novel microdata and survey data</w:t>
        </w:r>
        <w:r w:rsidR="00CA372E">
          <w:rPr>
            <w:noProof/>
            <w:webHidden/>
          </w:rPr>
          <w:tab/>
        </w:r>
        <w:r w:rsidR="00CA372E">
          <w:rPr>
            <w:noProof/>
            <w:webHidden/>
          </w:rPr>
          <w:fldChar w:fldCharType="begin"/>
        </w:r>
        <w:r w:rsidR="00CA372E">
          <w:rPr>
            <w:noProof/>
            <w:webHidden/>
          </w:rPr>
          <w:instrText xml:space="preserve"> PAGEREF _Toc178009099 \h </w:instrText>
        </w:r>
        <w:r w:rsidR="00CA372E">
          <w:rPr>
            <w:noProof/>
            <w:webHidden/>
          </w:rPr>
        </w:r>
        <w:r w:rsidR="00CA372E">
          <w:rPr>
            <w:noProof/>
            <w:webHidden/>
          </w:rPr>
          <w:fldChar w:fldCharType="separate"/>
        </w:r>
        <w:r w:rsidR="00496859">
          <w:rPr>
            <w:noProof/>
            <w:webHidden/>
          </w:rPr>
          <w:t>59</w:t>
        </w:r>
        <w:r w:rsidR="00CA372E">
          <w:rPr>
            <w:noProof/>
            <w:webHidden/>
          </w:rPr>
          <w:fldChar w:fldCharType="end"/>
        </w:r>
      </w:hyperlink>
    </w:p>
    <w:p w14:paraId="757F964F" w14:textId="107A540E"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100" w:history="1">
        <w:r w:rsidR="00CA372E" w:rsidRPr="0024033B">
          <w:rPr>
            <w:rStyle w:val="Hyperlink"/>
            <w:noProof/>
          </w:rPr>
          <w:t>Microdata: Classification of online job profile microdata using a Large Language Model (LLM) provides insights previously not available through other data sources</w:t>
        </w:r>
        <w:r w:rsidR="00CA372E">
          <w:rPr>
            <w:noProof/>
            <w:webHidden/>
          </w:rPr>
          <w:tab/>
        </w:r>
        <w:r w:rsidR="00CA372E">
          <w:rPr>
            <w:noProof/>
            <w:webHidden/>
          </w:rPr>
          <w:fldChar w:fldCharType="begin"/>
        </w:r>
        <w:r w:rsidR="00CA372E">
          <w:rPr>
            <w:noProof/>
            <w:webHidden/>
          </w:rPr>
          <w:instrText xml:space="preserve"> PAGEREF _Toc178009100 \h </w:instrText>
        </w:r>
        <w:r w:rsidR="00CA372E">
          <w:rPr>
            <w:noProof/>
            <w:webHidden/>
          </w:rPr>
        </w:r>
        <w:r w:rsidR="00CA372E">
          <w:rPr>
            <w:noProof/>
            <w:webHidden/>
          </w:rPr>
          <w:fldChar w:fldCharType="separate"/>
        </w:r>
        <w:r w:rsidR="00496859">
          <w:rPr>
            <w:noProof/>
            <w:webHidden/>
          </w:rPr>
          <w:t>60</w:t>
        </w:r>
        <w:r w:rsidR="00CA372E">
          <w:rPr>
            <w:noProof/>
            <w:webHidden/>
          </w:rPr>
          <w:fldChar w:fldCharType="end"/>
        </w:r>
      </w:hyperlink>
    </w:p>
    <w:p w14:paraId="3AB657AD" w14:textId="0D141EE9"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101" w:history="1">
        <w:r w:rsidR="00CA372E" w:rsidRPr="0024033B">
          <w:rPr>
            <w:rStyle w:val="Hyperlink"/>
            <w:noProof/>
          </w:rPr>
          <w:t>Revelio data was classified to understand employment trends for 59,400 health and medical researchers in Australia over the last 5 years</w:t>
        </w:r>
        <w:r w:rsidR="00CA372E">
          <w:rPr>
            <w:noProof/>
            <w:webHidden/>
          </w:rPr>
          <w:tab/>
        </w:r>
        <w:r w:rsidR="00CA372E">
          <w:rPr>
            <w:noProof/>
            <w:webHidden/>
          </w:rPr>
          <w:fldChar w:fldCharType="begin"/>
        </w:r>
        <w:r w:rsidR="00CA372E">
          <w:rPr>
            <w:noProof/>
            <w:webHidden/>
          </w:rPr>
          <w:instrText xml:space="preserve"> PAGEREF _Toc178009101 \h </w:instrText>
        </w:r>
        <w:r w:rsidR="00CA372E">
          <w:rPr>
            <w:noProof/>
            <w:webHidden/>
          </w:rPr>
        </w:r>
        <w:r w:rsidR="00CA372E">
          <w:rPr>
            <w:noProof/>
            <w:webHidden/>
          </w:rPr>
          <w:fldChar w:fldCharType="separate"/>
        </w:r>
        <w:r w:rsidR="00496859">
          <w:rPr>
            <w:noProof/>
            <w:webHidden/>
          </w:rPr>
          <w:t>62</w:t>
        </w:r>
        <w:r w:rsidR="00CA372E">
          <w:rPr>
            <w:noProof/>
            <w:webHidden/>
          </w:rPr>
          <w:fldChar w:fldCharType="end"/>
        </w:r>
      </w:hyperlink>
    </w:p>
    <w:p w14:paraId="004E4ECF" w14:textId="1010B06D" w:rsidR="00CA372E" w:rsidRDefault="006666F1">
      <w:pPr>
        <w:pStyle w:val="TOC2"/>
        <w:rPr>
          <w:rFonts w:eastAsiaTheme="minorEastAsia" w:cstheme="minorBidi"/>
          <w:b w:val="0"/>
          <w:bCs w:val="0"/>
          <w:noProof/>
          <w:color w:val="auto"/>
          <w:kern w:val="2"/>
          <w:sz w:val="24"/>
          <w:szCs w:val="24"/>
          <w:lang w:eastAsia="en-GB"/>
          <w14:ligatures w14:val="standardContextual"/>
        </w:rPr>
      </w:pPr>
      <w:hyperlink w:anchor="_Toc178009102" w:history="1">
        <w:r w:rsidR="00CA372E" w:rsidRPr="0024033B">
          <w:rPr>
            <w:rStyle w:val="Hyperlink"/>
            <w:noProof/>
          </w:rPr>
          <w:t>Survey: A bespoke survey of the health and medical research workforce supplements and validates findings from the microdata analysis</w:t>
        </w:r>
        <w:r w:rsidR="00CA372E">
          <w:rPr>
            <w:noProof/>
            <w:webHidden/>
          </w:rPr>
          <w:tab/>
        </w:r>
        <w:r w:rsidR="00CA372E">
          <w:rPr>
            <w:noProof/>
            <w:webHidden/>
          </w:rPr>
          <w:fldChar w:fldCharType="begin"/>
        </w:r>
        <w:r w:rsidR="00CA372E">
          <w:rPr>
            <w:noProof/>
            <w:webHidden/>
          </w:rPr>
          <w:instrText xml:space="preserve"> PAGEREF _Toc178009102 \h </w:instrText>
        </w:r>
        <w:r w:rsidR="00CA372E">
          <w:rPr>
            <w:noProof/>
            <w:webHidden/>
          </w:rPr>
        </w:r>
        <w:r w:rsidR="00CA372E">
          <w:rPr>
            <w:noProof/>
            <w:webHidden/>
          </w:rPr>
          <w:fldChar w:fldCharType="separate"/>
        </w:r>
        <w:r w:rsidR="00496859">
          <w:rPr>
            <w:noProof/>
            <w:webHidden/>
          </w:rPr>
          <w:t>64</w:t>
        </w:r>
        <w:r w:rsidR="00CA372E">
          <w:rPr>
            <w:noProof/>
            <w:webHidden/>
          </w:rPr>
          <w:fldChar w:fldCharType="end"/>
        </w:r>
      </w:hyperlink>
    </w:p>
    <w:p w14:paraId="31774D40" w14:textId="417621F3" w:rsidR="00267128" w:rsidRPr="00502993" w:rsidRDefault="00BF63DD" w:rsidP="00267128">
      <w:r>
        <w:fldChar w:fldCharType="end"/>
      </w:r>
      <w:r w:rsidR="00267128" w:rsidRPr="00502993">
        <w:br w:type="page"/>
      </w:r>
    </w:p>
    <w:p w14:paraId="48DB6BF6" w14:textId="76E7EE58" w:rsidR="00267128" w:rsidRPr="00502993" w:rsidRDefault="002E499A" w:rsidP="002E01A8">
      <w:pPr>
        <w:pStyle w:val="Heading1"/>
      </w:pPr>
      <w:bookmarkStart w:id="2" w:name="_Toc175208699"/>
      <w:bookmarkStart w:id="3" w:name="_Toc178009058"/>
      <w:r w:rsidRPr="00502993">
        <w:lastRenderedPageBreak/>
        <w:t>Purpose and overview</w:t>
      </w:r>
      <w:bookmarkEnd w:id="2"/>
      <w:bookmarkEnd w:id="3"/>
    </w:p>
    <w:p w14:paraId="66772B32" w14:textId="7CE3C7BC" w:rsidR="00267128" w:rsidRPr="00502993" w:rsidRDefault="00235126" w:rsidP="002A1E4F">
      <w:pPr>
        <w:pStyle w:val="Heading2"/>
      </w:pPr>
      <w:bookmarkStart w:id="4" w:name="_Toc175208700"/>
      <w:bookmarkStart w:id="5" w:name="_Toc178009059"/>
      <w:r w:rsidRPr="00502993">
        <w:t>The importance of health and medical research</w:t>
      </w:r>
      <w:bookmarkEnd w:id="4"/>
      <w:bookmarkEnd w:id="5"/>
    </w:p>
    <w:p w14:paraId="210A6118" w14:textId="36AEB1FE" w:rsidR="00235126" w:rsidRPr="00502993" w:rsidRDefault="00235126" w:rsidP="005A5A04">
      <w:pPr>
        <w:pStyle w:val="BodyText"/>
      </w:pPr>
      <w:r w:rsidRPr="00502993">
        <w:t xml:space="preserve">Australia is facing a range of health challenges with a rise in the prevalence of chronic disease and an aging population. The COVID-19 pandemic highlighted the importance of a strong public health system, with health and medical research </w:t>
      </w:r>
      <w:r w:rsidR="0043168B">
        <w:t xml:space="preserve">(HMR) </w:t>
      </w:r>
      <w:r w:rsidRPr="00502993">
        <w:t xml:space="preserve">at the forefront. </w:t>
      </w:r>
    </w:p>
    <w:p w14:paraId="263BA897" w14:textId="38CAB3C7" w:rsidR="00235126" w:rsidRPr="00502993" w:rsidRDefault="00235126" w:rsidP="005A5A04">
      <w:pPr>
        <w:pStyle w:val="BodyText"/>
      </w:pPr>
      <w:r w:rsidRPr="00502993">
        <w:t>Health and medical research can deliver better health outcomes for Australians and support an advanced, knowledge-intensive industry that makes an important economic contribution. The HMR sector is a critical sector for sovereign capability. It is also important in achieving the government’s health, education</w:t>
      </w:r>
      <w:r w:rsidR="001B3DDD">
        <w:t>,</w:t>
      </w:r>
      <w:r w:rsidRPr="00502993">
        <w:t xml:space="preserve"> and economic policy objectives. As a result, there </w:t>
      </w:r>
      <w:r w:rsidR="008223F4">
        <w:t xml:space="preserve">are </w:t>
      </w:r>
      <w:r w:rsidRPr="00502993">
        <w:t xml:space="preserve">likely to be continued policy discussions regarding the future of the sector and its workforce. </w:t>
      </w:r>
    </w:p>
    <w:p w14:paraId="081A1584" w14:textId="535F9C0E" w:rsidR="00235126" w:rsidRDefault="00235126" w:rsidP="005A5A04">
      <w:pPr>
        <w:pStyle w:val="BodyText"/>
      </w:pPr>
      <w:r w:rsidRPr="00502993">
        <w:t xml:space="preserve">There is considerable investment in the </w:t>
      </w:r>
      <w:r w:rsidR="008223F4">
        <w:t>HMR</w:t>
      </w:r>
      <w:r w:rsidRPr="00502993">
        <w:t xml:space="preserve"> sector in Australia. Around $6.3 billion is invested by government and non-government sectors each year.</w:t>
      </w:r>
      <w:r w:rsidRPr="00502993">
        <w:rPr>
          <w:rStyle w:val="FootnoteReference"/>
        </w:rPr>
        <w:footnoteReference w:id="2"/>
      </w:r>
      <w:r w:rsidRPr="00502993">
        <w:t xml:space="preserve"> To ensure the investment in the sector is effective, policymakers need to understand the workforce, and work towards supporting sustainable and rewarding careers across the sector. </w:t>
      </w:r>
    </w:p>
    <w:p w14:paraId="3353C097" w14:textId="73C1568C" w:rsidR="002A1D0B" w:rsidRDefault="002A1D0B" w:rsidP="002A1E4F">
      <w:pPr>
        <w:pStyle w:val="Heading2"/>
      </w:pPr>
      <w:bookmarkStart w:id="6" w:name="_Toc178009060"/>
      <w:r>
        <w:t>Guiding questions for this report</w:t>
      </w:r>
      <w:bookmarkEnd w:id="6"/>
    </w:p>
    <w:p w14:paraId="58208908" w14:textId="1C95444D" w:rsidR="00E5133C" w:rsidRDefault="006932C2" w:rsidP="00DE2A83">
      <w:pPr>
        <w:pStyle w:val="BodyText"/>
        <w:rPr>
          <w:lang w:val="en-GB"/>
        </w:rPr>
      </w:pPr>
      <w:r>
        <w:rPr>
          <w:lang w:val="en-GB"/>
        </w:rPr>
        <w:t>This</w:t>
      </w:r>
      <w:r w:rsidR="003B4E55">
        <w:rPr>
          <w:lang w:val="en-GB"/>
        </w:rPr>
        <w:t xml:space="preserve"> audit was guided by a set of key questions</w:t>
      </w:r>
      <w:r w:rsidR="001C2B26">
        <w:rPr>
          <w:lang w:val="en-GB"/>
        </w:rPr>
        <w:t>, developed to understand t</w:t>
      </w:r>
      <w:r w:rsidR="00FA36AA">
        <w:rPr>
          <w:lang w:val="en-GB"/>
        </w:rPr>
        <w:t>he</w:t>
      </w:r>
      <w:r w:rsidR="001C2B26">
        <w:rPr>
          <w:lang w:val="en-GB"/>
        </w:rPr>
        <w:t xml:space="preserve"> </w:t>
      </w:r>
      <w:r w:rsidR="00653E40">
        <w:rPr>
          <w:lang w:val="en-GB"/>
        </w:rPr>
        <w:t xml:space="preserve">segments and features of the Australian </w:t>
      </w:r>
      <w:r w:rsidR="008E1C9A">
        <w:rPr>
          <w:lang w:val="en-GB"/>
        </w:rPr>
        <w:t>HMR</w:t>
      </w:r>
      <w:r w:rsidR="00653E40">
        <w:rPr>
          <w:lang w:val="en-GB"/>
        </w:rPr>
        <w:t xml:space="preserve"> workforce</w:t>
      </w:r>
      <w:r w:rsidR="00FA36AA">
        <w:rPr>
          <w:lang w:val="en-GB"/>
        </w:rPr>
        <w:t xml:space="preserve"> that to date have been less comprehensively researched</w:t>
      </w:r>
      <w:r w:rsidR="00653E40">
        <w:rPr>
          <w:lang w:val="en-GB"/>
        </w:rPr>
        <w:t>. Broadly, these included d</w:t>
      </w:r>
      <w:r w:rsidR="00E410C8">
        <w:rPr>
          <w:lang w:val="en-GB"/>
        </w:rPr>
        <w:t>emographic</w:t>
      </w:r>
      <w:r w:rsidR="00653E40">
        <w:rPr>
          <w:lang w:val="en-GB"/>
        </w:rPr>
        <w:t xml:space="preserve"> feature</w:t>
      </w:r>
      <w:r w:rsidR="00E410C8">
        <w:rPr>
          <w:lang w:val="en-GB"/>
        </w:rPr>
        <w:t>s</w:t>
      </w:r>
      <w:r w:rsidR="00426166">
        <w:rPr>
          <w:lang w:val="en-GB"/>
        </w:rPr>
        <w:t xml:space="preserve"> </w:t>
      </w:r>
      <w:r w:rsidR="00653E40">
        <w:rPr>
          <w:lang w:val="en-GB"/>
        </w:rPr>
        <w:t>(including w</w:t>
      </w:r>
      <w:r w:rsidR="00426166">
        <w:rPr>
          <w:lang w:val="en-GB"/>
        </w:rPr>
        <w:t xml:space="preserve">hat constitutes our current </w:t>
      </w:r>
      <w:r w:rsidR="00B701EC">
        <w:rPr>
          <w:lang w:val="en-GB"/>
        </w:rPr>
        <w:t>HMR</w:t>
      </w:r>
      <w:r w:rsidR="00426166">
        <w:rPr>
          <w:lang w:val="en-GB"/>
        </w:rPr>
        <w:t xml:space="preserve"> workforce</w:t>
      </w:r>
      <w:r w:rsidR="00653E40">
        <w:rPr>
          <w:lang w:val="en-GB"/>
        </w:rPr>
        <w:t>, w</w:t>
      </w:r>
      <w:r w:rsidR="00426166">
        <w:rPr>
          <w:lang w:val="en-GB"/>
        </w:rPr>
        <w:t xml:space="preserve">ho </w:t>
      </w:r>
      <w:r w:rsidR="00EE2695">
        <w:rPr>
          <w:lang w:val="en-GB"/>
        </w:rPr>
        <w:t xml:space="preserve">they </w:t>
      </w:r>
      <w:r w:rsidR="00426166">
        <w:rPr>
          <w:lang w:val="en-GB"/>
        </w:rPr>
        <w:t xml:space="preserve">are and where they </w:t>
      </w:r>
      <w:r w:rsidR="00EE2695">
        <w:rPr>
          <w:lang w:val="en-GB"/>
        </w:rPr>
        <w:t xml:space="preserve">are </w:t>
      </w:r>
      <w:r w:rsidR="00426166">
        <w:rPr>
          <w:lang w:val="en-GB"/>
        </w:rPr>
        <w:t>employed</w:t>
      </w:r>
      <w:r w:rsidR="00653E40">
        <w:rPr>
          <w:lang w:val="en-GB"/>
        </w:rPr>
        <w:t>)</w:t>
      </w:r>
      <w:r w:rsidR="009A5892">
        <w:rPr>
          <w:lang w:val="en-GB"/>
        </w:rPr>
        <w:t>;</w:t>
      </w:r>
      <w:r w:rsidR="00653E40">
        <w:rPr>
          <w:lang w:val="en-GB"/>
        </w:rPr>
        <w:t xml:space="preserve"> modalities of f</w:t>
      </w:r>
      <w:r w:rsidR="00D60877" w:rsidRPr="00D60877">
        <w:rPr>
          <w:lang w:val="en-GB"/>
        </w:rPr>
        <w:t>unding support</w:t>
      </w:r>
      <w:r w:rsidR="00653E40">
        <w:rPr>
          <w:lang w:val="en-GB"/>
        </w:rPr>
        <w:t xml:space="preserve"> (source, nature, </w:t>
      </w:r>
      <w:r w:rsidR="00601501">
        <w:rPr>
          <w:lang w:val="en-GB"/>
        </w:rPr>
        <w:t>and c</w:t>
      </w:r>
      <w:r w:rsidR="00653E40">
        <w:rPr>
          <w:lang w:val="en-GB"/>
        </w:rPr>
        <w:t>ontract type)</w:t>
      </w:r>
      <w:r w:rsidR="009A5892">
        <w:rPr>
          <w:lang w:val="en-GB"/>
        </w:rPr>
        <w:t>; s</w:t>
      </w:r>
      <w:r w:rsidR="005048A1" w:rsidRPr="009A5892">
        <w:rPr>
          <w:lang w:val="en-GB"/>
        </w:rPr>
        <w:t>trengths and gaps</w:t>
      </w:r>
      <w:r w:rsidR="009A5892">
        <w:rPr>
          <w:lang w:val="en-GB"/>
        </w:rPr>
        <w:t xml:space="preserve"> in </w:t>
      </w:r>
      <w:r w:rsidR="005048A1" w:rsidRPr="009A5892">
        <w:rPr>
          <w:lang w:val="en-GB"/>
        </w:rPr>
        <w:t>capability</w:t>
      </w:r>
      <w:r w:rsidR="009A5892">
        <w:rPr>
          <w:lang w:val="en-GB"/>
        </w:rPr>
        <w:t>; d</w:t>
      </w:r>
      <w:r w:rsidR="00E5133C" w:rsidRPr="00E5133C">
        <w:rPr>
          <w:lang w:val="en-GB"/>
        </w:rPr>
        <w:t>iversity of training and professional development</w:t>
      </w:r>
      <w:r w:rsidR="009A5892">
        <w:rPr>
          <w:lang w:val="en-GB"/>
        </w:rPr>
        <w:t xml:space="preserve">); </w:t>
      </w:r>
      <w:r w:rsidR="00834D0C">
        <w:rPr>
          <w:lang w:val="en-GB"/>
        </w:rPr>
        <w:t xml:space="preserve">international </w:t>
      </w:r>
      <w:r w:rsidR="00834D0C" w:rsidRPr="00834D0C">
        <w:rPr>
          <w:lang w:val="en-GB"/>
        </w:rPr>
        <w:t>exchange</w:t>
      </w:r>
      <w:r w:rsidR="00834D0C">
        <w:rPr>
          <w:lang w:val="en-GB"/>
        </w:rPr>
        <w:t xml:space="preserve">; </w:t>
      </w:r>
      <w:r w:rsidR="009A5892">
        <w:rPr>
          <w:rFonts w:eastAsiaTheme="minorEastAsia" w:cstheme="minorBidi"/>
          <w:lang w:val="en-GB"/>
        </w:rPr>
        <w:t xml:space="preserve">and diversity </w:t>
      </w:r>
      <w:r w:rsidR="00D047B5" w:rsidRPr="00D047B5">
        <w:rPr>
          <w:lang w:val="en-GB"/>
        </w:rPr>
        <w:t xml:space="preserve">of research career pathways and </w:t>
      </w:r>
      <w:r w:rsidR="009A5892">
        <w:rPr>
          <w:lang w:val="en-GB"/>
        </w:rPr>
        <w:t xml:space="preserve">movement. </w:t>
      </w:r>
    </w:p>
    <w:p w14:paraId="37157CBD" w14:textId="28F520DC" w:rsidR="006932C2" w:rsidRPr="00E410C8" w:rsidRDefault="00834D0C" w:rsidP="00DE2A83">
      <w:pPr>
        <w:pStyle w:val="BodyText"/>
        <w:rPr>
          <w:lang w:val="en-GB"/>
        </w:rPr>
      </w:pPr>
      <w:r>
        <w:rPr>
          <w:lang w:val="en-GB"/>
        </w:rPr>
        <w:t xml:space="preserve">This final topic, on </w:t>
      </w:r>
      <w:r w:rsidR="001642D9">
        <w:rPr>
          <w:lang w:val="en-GB"/>
        </w:rPr>
        <w:t>pathways and movement,</w:t>
      </w:r>
      <w:r w:rsidR="00296F3B">
        <w:rPr>
          <w:lang w:val="en-GB"/>
        </w:rPr>
        <w:t xml:space="preserve"> involved </w:t>
      </w:r>
      <w:proofErr w:type="gramStart"/>
      <w:r w:rsidR="00296F3B">
        <w:rPr>
          <w:lang w:val="en-GB"/>
        </w:rPr>
        <w:t>a number of</w:t>
      </w:r>
      <w:proofErr w:type="gramEnd"/>
      <w:r w:rsidR="00296F3B">
        <w:rPr>
          <w:lang w:val="en-GB"/>
        </w:rPr>
        <w:t xml:space="preserve"> key sub questions, including </w:t>
      </w:r>
      <w:r w:rsidR="004A162C" w:rsidRPr="004A162C">
        <w:rPr>
          <w:lang w:val="en-GB"/>
        </w:rPr>
        <w:t>the range and diversity of research career pathways</w:t>
      </w:r>
      <w:r w:rsidR="00296F3B">
        <w:rPr>
          <w:lang w:val="en-GB"/>
        </w:rPr>
        <w:t>, t</w:t>
      </w:r>
      <w:r w:rsidR="002F5744" w:rsidRPr="002F5744">
        <w:rPr>
          <w:lang w:val="en-GB"/>
        </w:rPr>
        <w:t>he drivers and barriers for researchers moving between fields or sectors</w:t>
      </w:r>
      <w:r w:rsidR="00296F3B">
        <w:rPr>
          <w:lang w:val="en-GB"/>
        </w:rPr>
        <w:t xml:space="preserve">, </w:t>
      </w:r>
      <w:r w:rsidR="00747AD8">
        <w:rPr>
          <w:lang w:val="en-GB"/>
        </w:rPr>
        <w:t xml:space="preserve">whether </w:t>
      </w:r>
      <w:r w:rsidR="00296F3B">
        <w:rPr>
          <w:lang w:val="en-GB"/>
        </w:rPr>
        <w:t>there</w:t>
      </w:r>
      <w:r w:rsidR="00747AD8">
        <w:rPr>
          <w:lang w:val="en-GB"/>
        </w:rPr>
        <w:t xml:space="preserve"> are</w:t>
      </w:r>
      <w:r w:rsidR="00296F3B">
        <w:rPr>
          <w:lang w:val="en-GB"/>
        </w:rPr>
        <w:t xml:space="preserve"> disjointed pathways, h</w:t>
      </w:r>
      <w:r w:rsidR="001B299D" w:rsidRPr="001B299D">
        <w:rPr>
          <w:lang w:val="en-GB"/>
        </w:rPr>
        <w:t>ow many leave research</w:t>
      </w:r>
      <w:r w:rsidR="006522CE">
        <w:rPr>
          <w:lang w:val="en-GB"/>
        </w:rPr>
        <w:t>,</w:t>
      </w:r>
      <w:r w:rsidR="00296F3B">
        <w:rPr>
          <w:lang w:val="en-GB"/>
        </w:rPr>
        <w:t xml:space="preserve"> why</w:t>
      </w:r>
      <w:r w:rsidR="006522CE">
        <w:rPr>
          <w:lang w:val="en-GB"/>
        </w:rPr>
        <w:t xml:space="preserve"> they leave research</w:t>
      </w:r>
      <w:r w:rsidR="00E200A9">
        <w:rPr>
          <w:lang w:val="en-GB"/>
        </w:rPr>
        <w:t xml:space="preserve">, and whether </w:t>
      </w:r>
      <w:r w:rsidR="003513B1" w:rsidRPr="003513B1">
        <w:rPr>
          <w:lang w:val="en-GB"/>
        </w:rPr>
        <w:t>the mobility of researchers and gaining of transferable skills be acknowledged and supported</w:t>
      </w:r>
      <w:r w:rsidR="00E200A9">
        <w:rPr>
          <w:lang w:val="en-GB"/>
        </w:rPr>
        <w:t>.</w:t>
      </w:r>
      <w:r w:rsidR="001F7554">
        <w:rPr>
          <w:lang w:val="en-GB"/>
        </w:rPr>
        <w:t xml:space="preserve"> </w:t>
      </w:r>
      <w:r w:rsidR="00E410C8">
        <w:rPr>
          <w:lang w:val="en-GB"/>
        </w:rPr>
        <w:t xml:space="preserve">These questions were answered using </w:t>
      </w:r>
      <w:r w:rsidR="00356FC2">
        <w:rPr>
          <w:lang w:val="en-GB"/>
        </w:rPr>
        <w:t>three key sources of information: desktop research, novel microdata, and a survey of the sector.</w:t>
      </w:r>
      <w:r w:rsidR="00E410C8">
        <w:rPr>
          <w:lang w:val="en-GB"/>
        </w:rPr>
        <w:t xml:space="preserve"> </w:t>
      </w:r>
      <w:r w:rsidR="003B4E55" w:rsidRPr="00E410C8">
        <w:rPr>
          <w:lang w:val="en-GB"/>
        </w:rPr>
        <w:t xml:space="preserve"> </w:t>
      </w:r>
      <w:bookmarkStart w:id="7" w:name="_Toc175208701"/>
    </w:p>
    <w:p w14:paraId="6E5460CB" w14:textId="7185C141" w:rsidR="00235126" w:rsidRPr="00502993" w:rsidRDefault="00D3056C" w:rsidP="002A1E4F">
      <w:pPr>
        <w:pStyle w:val="Heading2"/>
      </w:pPr>
      <w:bookmarkStart w:id="8" w:name="_Toc178009061"/>
      <w:r w:rsidRPr="00502993">
        <w:t>Defining the health and medical research workforce</w:t>
      </w:r>
      <w:bookmarkEnd w:id="7"/>
      <w:bookmarkEnd w:id="8"/>
    </w:p>
    <w:p w14:paraId="5A71E0B5" w14:textId="702AF629" w:rsidR="00235126" w:rsidRPr="00502993" w:rsidRDefault="00235126" w:rsidP="001C01CE">
      <w:pPr>
        <w:pStyle w:val="BodyText"/>
        <w:rPr>
          <w:b/>
        </w:rPr>
      </w:pPr>
      <w:r w:rsidRPr="00502993">
        <w:t xml:space="preserve">For the purposes of this </w:t>
      </w:r>
      <w:r w:rsidR="00A76EB6">
        <w:t>a</w:t>
      </w:r>
      <w:r w:rsidRPr="00502993">
        <w:t xml:space="preserve">udit, the </w:t>
      </w:r>
      <w:r w:rsidR="00CA372E">
        <w:t>HMR</w:t>
      </w:r>
      <w:r w:rsidRPr="00502993">
        <w:t xml:space="preserve"> workforce consists of </w:t>
      </w:r>
      <w:r w:rsidR="00E505C2">
        <w:t xml:space="preserve">those </w:t>
      </w:r>
      <w:r w:rsidR="008871A6">
        <w:t xml:space="preserve">typically </w:t>
      </w:r>
      <w:r w:rsidR="00E505C2">
        <w:t xml:space="preserve">considered researchers: those who perform research </w:t>
      </w:r>
      <w:r w:rsidR="003D1A71">
        <w:t xml:space="preserve">or support research </w:t>
      </w:r>
      <w:r w:rsidR="00E505C2">
        <w:t>in organisations like universities and Medical Research Institutes (MRIs)</w:t>
      </w:r>
      <w:r w:rsidR="00E91A4C">
        <w:t xml:space="preserve">. </w:t>
      </w:r>
      <w:r w:rsidR="008E49B4">
        <w:t xml:space="preserve">We describe this group as “traditional researchers”. </w:t>
      </w:r>
      <w:r w:rsidR="001C4FB9">
        <w:t>W</w:t>
      </w:r>
      <w:r w:rsidR="00E91A4C">
        <w:t>e also con</w:t>
      </w:r>
      <w:r w:rsidR="001C4FB9">
        <w:t>sider</w:t>
      </w:r>
      <w:r w:rsidR="00E505C2">
        <w:t xml:space="preserve"> those who work in less commonly surveyed areas of health and medical research, such as those in the private sector (pharmaceuticals, medical technology, and biotechnology) and those in clinical roles such as those who work as clinicians, including</w:t>
      </w:r>
      <w:r w:rsidR="003D1A71">
        <w:t xml:space="preserve"> medical doctors,</w:t>
      </w:r>
      <w:r w:rsidR="00E505C2">
        <w:t xml:space="preserve"> nurses, midwives, allied health workers and others, and also produce </w:t>
      </w:r>
      <w:r w:rsidR="003D1A71">
        <w:t xml:space="preserve">or support </w:t>
      </w:r>
      <w:r w:rsidR="00E505C2">
        <w:t>research.</w:t>
      </w:r>
      <w:r w:rsidR="008E49B4">
        <w:t xml:space="preserve"> We describe this group as “non-traditional researchers”.</w:t>
      </w:r>
      <w:r w:rsidR="00E505C2">
        <w:t xml:space="preserve">  </w:t>
      </w:r>
      <w:r w:rsidR="00097C7C">
        <w:t>These definitions are intended to support understanding of the sector</w:t>
      </w:r>
      <w:r w:rsidR="00C21D94">
        <w:t>. A</w:t>
      </w:r>
      <w:r w:rsidR="00097C7C">
        <w:t xml:space="preserve"> precise</w:t>
      </w:r>
      <w:r w:rsidR="00127211">
        <w:t>, agreed</w:t>
      </w:r>
      <w:r w:rsidR="00097C7C">
        <w:t xml:space="preserve"> definition for the workforce </w:t>
      </w:r>
      <w:r w:rsidR="00127211">
        <w:t>and its segments should be investigated and developed as part of the future monitoring plan.</w:t>
      </w:r>
      <w:r w:rsidR="00D5193E">
        <w:t xml:space="preserve"> </w:t>
      </w:r>
    </w:p>
    <w:p w14:paraId="389A88F2" w14:textId="2B259DEC" w:rsidR="002C1325" w:rsidRDefault="002C1325" w:rsidP="001C01CE">
      <w:pPr>
        <w:pStyle w:val="BodyText"/>
        <w:rPr>
          <w:caps/>
        </w:rPr>
      </w:pPr>
      <w:r w:rsidRPr="00502993">
        <w:lastRenderedPageBreak/>
        <w:t>Given the dynamism of many labour markets</w:t>
      </w:r>
      <w:r w:rsidR="00FF5F56">
        <w:t>,</w:t>
      </w:r>
      <w:r w:rsidRPr="00502993">
        <w:t xml:space="preserve"> an important third segment </w:t>
      </w:r>
      <w:r w:rsidR="00C96C9F">
        <w:t xml:space="preserve">of </w:t>
      </w:r>
      <w:r w:rsidRPr="00502993">
        <w:t xml:space="preserve">the </w:t>
      </w:r>
      <w:r w:rsidR="00FF5F56">
        <w:t>HMR</w:t>
      </w:r>
      <w:r w:rsidRPr="00502993">
        <w:t xml:space="preserve"> workforce is those who may have previously worked as traditional or non-traditional researchers, but now work in other roles across the economy. </w:t>
      </w:r>
      <w:r w:rsidR="008E49B4">
        <w:t>We describe this segment</w:t>
      </w:r>
      <w:r w:rsidRPr="00502993">
        <w:t xml:space="preserve"> as “inactive” researchers</w:t>
      </w:r>
      <w:r w:rsidRPr="00502993">
        <w:rPr>
          <w:caps/>
        </w:rPr>
        <w:t>.</w:t>
      </w:r>
    </w:p>
    <w:p w14:paraId="3E0E77BD" w14:textId="5710D557" w:rsidR="00E51236" w:rsidRPr="004D54DC" w:rsidRDefault="004D54DC" w:rsidP="0008226D">
      <w:pPr>
        <w:pStyle w:val="BodyText"/>
      </w:pPr>
      <w:r>
        <w:t>W</w:t>
      </w:r>
      <w:bookmarkStart w:id="9" w:name="_Ref174971017"/>
      <w:r>
        <w:t xml:space="preserve">e </w:t>
      </w:r>
      <w:r w:rsidR="009C6C57">
        <w:t>segment the workforce in this way</w:t>
      </w:r>
      <w:r w:rsidR="00D519B1">
        <w:t xml:space="preserve"> as the traditional workforce represent the largest proportion of recipients of </w:t>
      </w:r>
      <w:r w:rsidR="009C6C57">
        <w:t>HMR</w:t>
      </w:r>
      <w:r w:rsidR="00D519B1">
        <w:t xml:space="preserve"> funding </w:t>
      </w:r>
      <w:r w:rsidR="006753BA">
        <w:t xml:space="preserve">and </w:t>
      </w:r>
      <w:r w:rsidR="003741A8">
        <w:t>are more commonly the focus of reporting. The non-traditional</w:t>
      </w:r>
      <w:r w:rsidR="00E200A9">
        <w:t xml:space="preserve"> and inactive segments of the</w:t>
      </w:r>
      <w:r w:rsidR="003741A8">
        <w:t xml:space="preserve"> workforce </w:t>
      </w:r>
      <w:r w:rsidR="00E505C2">
        <w:t>represent</w:t>
      </w:r>
      <w:r w:rsidR="003741A8">
        <w:t xml:space="preserve"> those who have been the most difficult to capture in past reports.</w:t>
      </w:r>
      <w:r w:rsidR="00E51236">
        <w:br w:type="page"/>
      </w:r>
    </w:p>
    <w:p w14:paraId="7A88A86C" w14:textId="07DF7D67" w:rsidR="00E51236" w:rsidRDefault="00E51236" w:rsidP="00A10F6E">
      <w:pPr>
        <w:pStyle w:val="Caption"/>
      </w:pPr>
      <w:r w:rsidRPr="00A10F6E">
        <w:lastRenderedPageBreak/>
        <w:t>Figure</w:t>
      </w:r>
      <w:r w:rsidRPr="002E5027">
        <w:t xml:space="preserve"> </w:t>
      </w:r>
      <w:r w:rsidR="00333748">
        <w:fldChar w:fldCharType="begin"/>
      </w:r>
      <w:r w:rsidR="00333748">
        <w:instrText xml:space="preserve"> SEQ Figure \* ARABIC </w:instrText>
      </w:r>
      <w:r w:rsidR="00333748">
        <w:fldChar w:fldCharType="separate"/>
      </w:r>
      <w:r w:rsidR="00496859">
        <w:rPr>
          <w:noProof/>
        </w:rPr>
        <w:t>1</w:t>
      </w:r>
      <w:r w:rsidR="00333748">
        <w:rPr>
          <w:noProof/>
        </w:rPr>
        <w:fldChar w:fldCharType="end"/>
      </w:r>
      <w:bookmarkEnd w:id="9"/>
      <w:r w:rsidRPr="002E5027">
        <w:t>: Overview of workforce segments, definitions, and example roles used in this report</w:t>
      </w:r>
      <w:r w:rsidR="005412B0" w:rsidRPr="002E5027">
        <w:rPr>
          <w:vertAlign w:val="superscript"/>
        </w:rPr>
        <w:footnoteReference w:id="3"/>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083D9B" w14:paraId="0AD146EC" w14:textId="77777777" w:rsidTr="00083D9B">
        <w:tc>
          <w:tcPr>
            <w:tcW w:w="9742" w:type="dxa"/>
          </w:tcPr>
          <w:p w14:paraId="24451F5F" w14:textId="503BA080" w:rsidR="00083D9B" w:rsidRDefault="008A2FCA" w:rsidP="00083D9B">
            <w:r>
              <w:rPr>
                <w:noProof/>
              </w:rPr>
              <w:drawing>
                <wp:inline distT="0" distB="0" distL="0" distR="0" wp14:anchorId="3C71385A" wp14:editId="3B07E0B3">
                  <wp:extent cx="6103972" cy="7642851"/>
                  <wp:effectExtent l="0" t="0" r="5080" b="3175"/>
                  <wp:docPr id="2009171014" name="Picture 8" descr="Description of traditional researchers, non-traditional researchers and inactive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71014" name="Picture 8" descr="Description of traditional researchers, non-traditional researchers and inactive researchers"/>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6103972" cy="7642851"/>
                          </a:xfrm>
                          <a:prstGeom prst="rect">
                            <a:avLst/>
                          </a:prstGeom>
                        </pic:spPr>
                      </pic:pic>
                    </a:graphicData>
                  </a:graphic>
                </wp:inline>
              </w:drawing>
            </w:r>
          </w:p>
        </w:tc>
      </w:tr>
    </w:tbl>
    <w:p w14:paraId="17DA4BD7" w14:textId="3004DAF0" w:rsidR="00F80317" w:rsidRPr="00502993" w:rsidRDefault="00F80317">
      <w:pPr>
        <w:spacing w:before="0" w:after="0" w:line="240" w:lineRule="auto"/>
      </w:pPr>
    </w:p>
    <w:p w14:paraId="63E61613" w14:textId="2291E315" w:rsidR="00F80317" w:rsidRPr="00502993" w:rsidRDefault="005412B0" w:rsidP="002A1E4F">
      <w:pPr>
        <w:pStyle w:val="Heading2"/>
      </w:pPr>
      <w:bookmarkStart w:id="10" w:name="_Toc175208702"/>
      <w:bookmarkStart w:id="11" w:name="_Toc178009062"/>
      <w:r w:rsidRPr="00502993">
        <w:lastRenderedPageBreak/>
        <w:t>Previous research</w:t>
      </w:r>
      <w:bookmarkEnd w:id="10"/>
      <w:bookmarkEnd w:id="11"/>
    </w:p>
    <w:p w14:paraId="39C98B3B" w14:textId="6D00F3A7" w:rsidR="00F80317" w:rsidRPr="00A30BA4" w:rsidRDefault="00F80317" w:rsidP="00A30BA4">
      <w:pPr>
        <w:pStyle w:val="BodyText"/>
      </w:pPr>
      <w:r w:rsidRPr="00A30BA4">
        <w:t xml:space="preserve">Previous research into the health and medical research workforce has </w:t>
      </w:r>
      <w:r w:rsidR="00E65CBF" w:rsidRPr="00A30BA4">
        <w:t>prioritised and focused</w:t>
      </w:r>
      <w:r w:rsidRPr="00A30BA4">
        <w:t xml:space="preserve"> on different segments</w:t>
      </w:r>
      <w:r w:rsidR="00A30BA4">
        <w:t xml:space="preserve"> in order to answer different, and often very specific</w:t>
      </w:r>
      <w:r w:rsidR="006E28CE">
        <w:t>,</w:t>
      </w:r>
      <w:r w:rsidR="00A30BA4">
        <w:t xml:space="preserve"> sets of questions. </w:t>
      </w:r>
      <w:r w:rsidR="006E28CE">
        <w:t xml:space="preserve">Previous </w:t>
      </w:r>
      <w:r w:rsidR="00375E3A">
        <w:t>research has</w:t>
      </w:r>
      <w:r w:rsidR="00A30BA4">
        <w:t xml:space="preserve"> </w:t>
      </w:r>
      <w:r w:rsidR="00375E3A">
        <w:t>focused</w:t>
      </w:r>
      <w:r w:rsidR="00A30BA4">
        <w:t xml:space="preserve"> on groups</w:t>
      </w:r>
      <w:r w:rsidR="00A30BA4" w:rsidRPr="00A30BA4">
        <w:t xml:space="preserve"> </w:t>
      </w:r>
      <w:r w:rsidR="00E65CBF" w:rsidRPr="00A30BA4">
        <w:t>such as</w:t>
      </w:r>
      <w:r w:rsidRPr="00A30BA4">
        <w:t xml:space="preserve"> traditional researchers, traditional researchers in MRIs, non-traditional researchers in clinical settings, </w:t>
      </w:r>
      <w:r w:rsidR="00375E3A">
        <w:t>and</w:t>
      </w:r>
      <w:r w:rsidRPr="00A30BA4">
        <w:t xml:space="preserve"> researchers </w:t>
      </w:r>
      <w:r w:rsidR="00270AAA">
        <w:t xml:space="preserve">with </w:t>
      </w:r>
      <w:r w:rsidRPr="00A30BA4">
        <w:t>particular types of grant funding. This means that while there are estimates o</w:t>
      </w:r>
      <w:r w:rsidR="00270AAA">
        <w:t>f</w:t>
      </w:r>
      <w:r w:rsidRPr="00A30BA4">
        <w:t xml:space="preserve"> the size of different segments of the workforce, </w:t>
      </w:r>
      <w:r w:rsidR="00862E27">
        <w:t>there is not comprehensive view</w:t>
      </w:r>
      <w:r w:rsidRPr="00A30BA4">
        <w:t>.</w:t>
      </w:r>
    </w:p>
    <w:p w14:paraId="70BE3885" w14:textId="1B49AF65" w:rsidR="00E51236" w:rsidRPr="00A10F6E" w:rsidRDefault="00E51236" w:rsidP="00A10F6E">
      <w:pPr>
        <w:pStyle w:val="Caption"/>
      </w:pPr>
      <w:bookmarkStart w:id="12" w:name="_Ref174971567"/>
      <w:r w:rsidRPr="00A10F6E">
        <w:t xml:space="preserve">Figure </w:t>
      </w:r>
      <w:r w:rsidR="00333748">
        <w:fldChar w:fldCharType="begin"/>
      </w:r>
      <w:r w:rsidR="00333748">
        <w:instrText xml:space="preserve"> SEQ Figure \* ARABIC </w:instrText>
      </w:r>
      <w:r w:rsidR="00333748">
        <w:fldChar w:fldCharType="separate"/>
      </w:r>
      <w:r w:rsidR="00496859">
        <w:rPr>
          <w:noProof/>
        </w:rPr>
        <w:t>2</w:t>
      </w:r>
      <w:r w:rsidR="00333748">
        <w:rPr>
          <w:noProof/>
        </w:rPr>
        <w:fldChar w:fldCharType="end"/>
      </w:r>
      <w:bookmarkEnd w:id="12"/>
      <w:r w:rsidRPr="00A10F6E">
        <w:t xml:space="preserve">: Overview of </w:t>
      </w:r>
      <w:r w:rsidR="00CC5C4F" w:rsidRPr="00A10F6E">
        <w:t xml:space="preserve">previous </w:t>
      </w:r>
      <w:r w:rsidRPr="00A10F6E">
        <w:t xml:space="preserve">attempts to quantify </w:t>
      </w:r>
      <w:r w:rsidR="00776BB3">
        <w:t>different aspects</w:t>
      </w:r>
      <w:r w:rsidRPr="00A10F6E">
        <w:t xml:space="preserve"> of the health and medical research workforce</w:t>
      </w:r>
      <w:r w:rsidR="005412B0" w:rsidRPr="005C5132">
        <w:rPr>
          <w:vertAlign w:val="superscript"/>
        </w:rPr>
        <w:footnoteReference w:id="4"/>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A04243" w14:paraId="5C67974E" w14:textId="77777777" w:rsidTr="0008226D">
        <w:tc>
          <w:tcPr>
            <w:tcW w:w="9742" w:type="dxa"/>
            <w:vAlign w:val="center"/>
          </w:tcPr>
          <w:tbl>
            <w:tblPr>
              <w:tblW w:w="4920" w:type="pct"/>
              <w:tblCellMar>
                <w:left w:w="0" w:type="dxa"/>
                <w:right w:w="0" w:type="dxa"/>
              </w:tblCellMar>
              <w:tblLook w:val="0420" w:firstRow="1" w:lastRow="0" w:firstColumn="0" w:lastColumn="0" w:noHBand="0" w:noVBand="1"/>
            </w:tblPr>
            <w:tblGrid>
              <w:gridCol w:w="967"/>
              <w:gridCol w:w="3117"/>
              <w:gridCol w:w="1182"/>
              <w:gridCol w:w="803"/>
              <w:gridCol w:w="1042"/>
              <w:gridCol w:w="971"/>
              <w:gridCol w:w="1272"/>
            </w:tblGrid>
            <w:tr w:rsidR="004101B6" w:rsidRPr="00224D8E" w14:paraId="09B2CC3F" w14:textId="77777777" w:rsidTr="0008226D">
              <w:trPr>
                <w:trHeight w:val="349"/>
              </w:trPr>
              <w:tc>
                <w:tcPr>
                  <w:tcW w:w="517" w:type="pct"/>
                  <w:vMerge w:val="restart"/>
                  <w:tcBorders>
                    <w:top w:val="single" w:sz="8" w:space="0" w:color="BDBDBD"/>
                    <w:left w:val="single" w:sz="8" w:space="0" w:color="BDBDBD"/>
                    <w:bottom w:val="single" w:sz="6" w:space="0" w:color="D6D6D6"/>
                    <w:right w:val="single" w:sz="6" w:space="0" w:color="FCFCFC"/>
                  </w:tcBorders>
                  <w:shd w:val="clear" w:color="auto" w:fill="001C55"/>
                  <w:tcMar>
                    <w:top w:w="72" w:type="dxa"/>
                    <w:left w:w="144" w:type="dxa"/>
                    <w:bottom w:w="72" w:type="dxa"/>
                    <w:right w:w="144" w:type="dxa"/>
                  </w:tcMar>
                  <w:vAlign w:val="center"/>
                  <w:hideMark/>
                </w:tcPr>
                <w:p w14:paraId="6B16497D"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Author (year)</w:t>
                  </w:r>
                </w:p>
              </w:tc>
              <w:tc>
                <w:tcPr>
                  <w:tcW w:w="1666" w:type="pct"/>
                  <w:vMerge w:val="restart"/>
                  <w:tcBorders>
                    <w:top w:val="single" w:sz="8" w:space="0" w:color="BDBDBD"/>
                    <w:left w:val="single" w:sz="6" w:space="0" w:color="FCFCFC"/>
                    <w:bottom w:val="single" w:sz="6" w:space="0" w:color="D6D6D6"/>
                    <w:right w:val="single" w:sz="6" w:space="0" w:color="FCFCFC"/>
                  </w:tcBorders>
                  <w:shd w:val="clear" w:color="auto" w:fill="001C55"/>
                  <w:tcMar>
                    <w:top w:w="72" w:type="dxa"/>
                    <w:left w:w="144" w:type="dxa"/>
                    <w:bottom w:w="72" w:type="dxa"/>
                    <w:right w:w="144" w:type="dxa"/>
                  </w:tcMar>
                  <w:vAlign w:val="center"/>
                  <w:hideMark/>
                </w:tcPr>
                <w:p w14:paraId="510E3E71"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Definition of health and medical workforce</w:t>
                  </w:r>
                </w:p>
              </w:tc>
              <w:tc>
                <w:tcPr>
                  <w:tcW w:w="1061" w:type="pct"/>
                  <w:gridSpan w:val="2"/>
                  <w:tcBorders>
                    <w:top w:val="single" w:sz="8" w:space="0" w:color="BDBDBD"/>
                    <w:left w:val="single" w:sz="6" w:space="0" w:color="FCFCFC"/>
                    <w:bottom w:val="single" w:sz="6" w:space="0" w:color="FCFCFC"/>
                    <w:right w:val="single" w:sz="6" w:space="0" w:color="FCFCFC"/>
                  </w:tcBorders>
                  <w:shd w:val="clear" w:color="auto" w:fill="001C55"/>
                  <w:tcMar>
                    <w:top w:w="72" w:type="dxa"/>
                    <w:left w:w="144" w:type="dxa"/>
                    <w:bottom w:w="72" w:type="dxa"/>
                    <w:right w:w="144" w:type="dxa"/>
                  </w:tcMar>
                  <w:vAlign w:val="center"/>
                  <w:hideMark/>
                </w:tcPr>
                <w:p w14:paraId="2A7E5389"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Traditional</w:t>
                  </w:r>
                </w:p>
              </w:tc>
              <w:tc>
                <w:tcPr>
                  <w:tcW w:w="1076" w:type="pct"/>
                  <w:gridSpan w:val="2"/>
                  <w:tcBorders>
                    <w:top w:val="single" w:sz="8" w:space="0" w:color="BDBDBD"/>
                    <w:left w:val="single" w:sz="6" w:space="0" w:color="FCFCFC"/>
                    <w:bottom w:val="single" w:sz="6" w:space="0" w:color="FCFCFC"/>
                    <w:right w:val="single" w:sz="6" w:space="0" w:color="FCFCFC"/>
                  </w:tcBorders>
                  <w:shd w:val="clear" w:color="auto" w:fill="001C55"/>
                  <w:tcMar>
                    <w:top w:w="72" w:type="dxa"/>
                    <w:left w:w="144" w:type="dxa"/>
                    <w:bottom w:w="72" w:type="dxa"/>
                    <w:right w:w="144" w:type="dxa"/>
                  </w:tcMar>
                  <w:vAlign w:val="center"/>
                  <w:hideMark/>
                </w:tcPr>
                <w:p w14:paraId="4B578A7B"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Non-traditional</w:t>
                  </w:r>
                </w:p>
              </w:tc>
              <w:tc>
                <w:tcPr>
                  <w:tcW w:w="680" w:type="pct"/>
                  <w:tcBorders>
                    <w:top w:val="single" w:sz="8" w:space="0" w:color="BDBDBD"/>
                    <w:left w:val="single" w:sz="6" w:space="0" w:color="FCFCFC"/>
                    <w:bottom w:val="single" w:sz="6" w:space="0" w:color="FCFCFC"/>
                    <w:right w:val="single" w:sz="8" w:space="0" w:color="BDBDBD"/>
                  </w:tcBorders>
                  <w:shd w:val="clear" w:color="auto" w:fill="001C55"/>
                  <w:tcMar>
                    <w:top w:w="72" w:type="dxa"/>
                    <w:left w:w="144" w:type="dxa"/>
                    <w:bottom w:w="72" w:type="dxa"/>
                    <w:right w:w="144" w:type="dxa"/>
                  </w:tcMar>
                  <w:vAlign w:val="center"/>
                  <w:hideMark/>
                </w:tcPr>
                <w:p w14:paraId="7868771C"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Inactive</w:t>
                  </w:r>
                </w:p>
              </w:tc>
            </w:tr>
            <w:tr w:rsidR="00EC5A78" w:rsidRPr="00224D8E" w14:paraId="64A7EDF3" w14:textId="77777777" w:rsidTr="0008226D">
              <w:trPr>
                <w:trHeight w:val="466"/>
              </w:trPr>
              <w:tc>
                <w:tcPr>
                  <w:tcW w:w="517" w:type="pct"/>
                  <w:vMerge/>
                  <w:tcBorders>
                    <w:top w:val="single" w:sz="8" w:space="0" w:color="BDBDBD"/>
                    <w:left w:val="single" w:sz="8" w:space="0" w:color="BDBDBD"/>
                    <w:bottom w:val="single" w:sz="6" w:space="0" w:color="D6D6D6"/>
                    <w:right w:val="single" w:sz="6" w:space="0" w:color="FCFCFC"/>
                  </w:tcBorders>
                  <w:vAlign w:val="center"/>
                  <w:hideMark/>
                </w:tcPr>
                <w:p w14:paraId="6CA49BDD" w14:textId="77777777" w:rsidR="00224D8E" w:rsidRPr="0008226D" w:rsidRDefault="00224D8E" w:rsidP="0008226D">
                  <w:pPr>
                    <w:spacing w:before="0" w:after="0"/>
                    <w:contextualSpacing/>
                    <w:jc w:val="center"/>
                    <w:rPr>
                      <w:color w:val="FCFCFC" w:themeColor="background1"/>
                      <w:sz w:val="14"/>
                      <w:szCs w:val="14"/>
                      <w:lang w:val="en-GB"/>
                    </w:rPr>
                  </w:pPr>
                </w:p>
              </w:tc>
              <w:tc>
                <w:tcPr>
                  <w:tcW w:w="1666" w:type="pct"/>
                  <w:vMerge/>
                  <w:tcBorders>
                    <w:top w:val="single" w:sz="8" w:space="0" w:color="BDBDBD"/>
                    <w:left w:val="single" w:sz="6" w:space="0" w:color="FCFCFC"/>
                    <w:bottom w:val="single" w:sz="6" w:space="0" w:color="D6D6D6"/>
                    <w:right w:val="single" w:sz="6" w:space="0" w:color="FCFCFC"/>
                  </w:tcBorders>
                  <w:vAlign w:val="center"/>
                  <w:hideMark/>
                </w:tcPr>
                <w:p w14:paraId="01FC6207" w14:textId="77777777" w:rsidR="00224D8E" w:rsidRPr="0008226D" w:rsidRDefault="00224D8E" w:rsidP="0008226D">
                  <w:pPr>
                    <w:spacing w:before="0" w:after="0"/>
                    <w:contextualSpacing/>
                    <w:jc w:val="center"/>
                    <w:rPr>
                      <w:color w:val="FCFCFC" w:themeColor="background1"/>
                      <w:sz w:val="14"/>
                      <w:szCs w:val="14"/>
                      <w:lang w:val="en-GB"/>
                    </w:rPr>
                  </w:pPr>
                </w:p>
              </w:tc>
              <w:tc>
                <w:tcPr>
                  <w:tcW w:w="632" w:type="pct"/>
                  <w:tcBorders>
                    <w:top w:val="single" w:sz="6" w:space="0" w:color="FCFCFC"/>
                    <w:left w:val="single" w:sz="6" w:space="0" w:color="FCFCFC"/>
                    <w:bottom w:val="single" w:sz="6" w:space="0" w:color="D6D6D6"/>
                    <w:right w:val="single" w:sz="6" w:space="0" w:color="FCFCFC"/>
                  </w:tcBorders>
                  <w:shd w:val="clear" w:color="auto" w:fill="001C55"/>
                  <w:tcMar>
                    <w:top w:w="72" w:type="dxa"/>
                    <w:left w:w="144" w:type="dxa"/>
                    <w:bottom w:w="72" w:type="dxa"/>
                    <w:right w:w="144" w:type="dxa"/>
                  </w:tcMar>
                  <w:vAlign w:val="center"/>
                  <w:hideMark/>
                </w:tcPr>
                <w:p w14:paraId="4A495A05"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Universities</w:t>
                  </w:r>
                </w:p>
              </w:tc>
              <w:tc>
                <w:tcPr>
                  <w:tcW w:w="429" w:type="pct"/>
                  <w:tcBorders>
                    <w:top w:val="single" w:sz="6" w:space="0" w:color="FCFCFC"/>
                    <w:left w:val="single" w:sz="6" w:space="0" w:color="FCFCFC"/>
                    <w:bottom w:val="single" w:sz="6" w:space="0" w:color="D6D6D6"/>
                    <w:right w:val="single" w:sz="6" w:space="0" w:color="FCFCFC"/>
                  </w:tcBorders>
                  <w:shd w:val="clear" w:color="auto" w:fill="001C55"/>
                  <w:tcMar>
                    <w:top w:w="72" w:type="dxa"/>
                    <w:left w:w="144" w:type="dxa"/>
                    <w:bottom w:w="72" w:type="dxa"/>
                    <w:right w:w="144" w:type="dxa"/>
                  </w:tcMar>
                  <w:vAlign w:val="center"/>
                  <w:hideMark/>
                </w:tcPr>
                <w:p w14:paraId="7B0F437D"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MRIs</w:t>
                  </w:r>
                </w:p>
              </w:tc>
              <w:tc>
                <w:tcPr>
                  <w:tcW w:w="557" w:type="pct"/>
                  <w:tcBorders>
                    <w:top w:val="single" w:sz="6" w:space="0" w:color="FCFCFC"/>
                    <w:left w:val="single" w:sz="6" w:space="0" w:color="FCFCFC"/>
                    <w:bottom w:val="single" w:sz="6" w:space="0" w:color="D6D6D6"/>
                    <w:right w:val="single" w:sz="6" w:space="0" w:color="FCFCFC"/>
                  </w:tcBorders>
                  <w:shd w:val="clear" w:color="auto" w:fill="001C55"/>
                  <w:tcMar>
                    <w:top w:w="72" w:type="dxa"/>
                    <w:left w:w="144" w:type="dxa"/>
                    <w:bottom w:w="72" w:type="dxa"/>
                    <w:right w:w="144" w:type="dxa"/>
                  </w:tcMar>
                  <w:vAlign w:val="center"/>
                  <w:hideMark/>
                </w:tcPr>
                <w:p w14:paraId="139D02CE"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Clinical research</w:t>
                  </w:r>
                </w:p>
              </w:tc>
              <w:tc>
                <w:tcPr>
                  <w:tcW w:w="519" w:type="pct"/>
                  <w:tcBorders>
                    <w:top w:val="single" w:sz="8" w:space="0" w:color="BDBDBD"/>
                    <w:left w:val="single" w:sz="6" w:space="0" w:color="FCFCFC"/>
                    <w:bottom w:val="single" w:sz="6" w:space="0" w:color="D6D6D6"/>
                    <w:right w:val="single" w:sz="6" w:space="0" w:color="FCFCFC"/>
                  </w:tcBorders>
                  <w:shd w:val="clear" w:color="auto" w:fill="001C55"/>
                  <w:tcMar>
                    <w:top w:w="72" w:type="dxa"/>
                    <w:left w:w="144" w:type="dxa"/>
                    <w:bottom w:w="72" w:type="dxa"/>
                    <w:right w:w="144" w:type="dxa"/>
                  </w:tcMar>
                  <w:vAlign w:val="center"/>
                  <w:hideMark/>
                </w:tcPr>
                <w:p w14:paraId="09815E00"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Industry</w:t>
                  </w:r>
                </w:p>
              </w:tc>
              <w:tc>
                <w:tcPr>
                  <w:tcW w:w="680" w:type="pct"/>
                  <w:tcBorders>
                    <w:top w:val="single" w:sz="6" w:space="0" w:color="FCFCFC"/>
                    <w:left w:val="single" w:sz="6" w:space="0" w:color="FCFCFC"/>
                    <w:bottom w:val="single" w:sz="6" w:space="0" w:color="D6D6D6"/>
                    <w:right w:val="single" w:sz="8" w:space="0" w:color="BDBDBD"/>
                  </w:tcBorders>
                  <w:shd w:val="clear" w:color="auto" w:fill="001C55"/>
                  <w:tcMar>
                    <w:top w:w="72" w:type="dxa"/>
                    <w:left w:w="144" w:type="dxa"/>
                    <w:bottom w:w="72" w:type="dxa"/>
                    <w:right w:w="144" w:type="dxa"/>
                  </w:tcMar>
                  <w:vAlign w:val="center"/>
                  <w:hideMark/>
                </w:tcPr>
                <w:p w14:paraId="42FFCC37" w14:textId="77777777" w:rsidR="00224D8E" w:rsidRPr="0008226D" w:rsidRDefault="00224D8E" w:rsidP="0008226D">
                  <w:pPr>
                    <w:spacing w:before="0" w:after="0"/>
                    <w:contextualSpacing/>
                    <w:jc w:val="center"/>
                    <w:rPr>
                      <w:color w:val="FCFCFC" w:themeColor="background1"/>
                      <w:sz w:val="14"/>
                      <w:szCs w:val="14"/>
                      <w:lang w:val="en-GB"/>
                    </w:rPr>
                  </w:pPr>
                  <w:r w:rsidRPr="0008226D">
                    <w:rPr>
                      <w:b/>
                      <w:bCs/>
                      <w:color w:val="FCFCFC" w:themeColor="background1"/>
                      <w:sz w:val="14"/>
                      <w:szCs w:val="14"/>
                      <w:lang w:val="en-US"/>
                    </w:rPr>
                    <w:t>Ex-researchers</w:t>
                  </w:r>
                </w:p>
              </w:tc>
            </w:tr>
            <w:tr w:rsidR="004101B6" w:rsidRPr="00224D8E" w14:paraId="07C44AFC" w14:textId="77777777" w:rsidTr="0008226D">
              <w:trPr>
                <w:trHeight w:val="381"/>
              </w:trPr>
              <w:tc>
                <w:tcPr>
                  <w:tcW w:w="517"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399C2904"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AAMRI (2022)</w:t>
                  </w:r>
                </w:p>
              </w:tc>
              <w:tc>
                <w:tcPr>
                  <w:tcW w:w="1666"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36DE5718"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 xml:space="preserve">People working in </w:t>
                  </w:r>
                  <w:r w:rsidRPr="0008226D">
                    <w:rPr>
                      <w:b/>
                      <w:bCs/>
                      <w:color w:val="001C55" w:themeColor="text2"/>
                      <w:sz w:val="14"/>
                      <w:szCs w:val="14"/>
                      <w:lang w:val="en-US"/>
                    </w:rPr>
                    <w:t>MRIs</w:t>
                  </w:r>
                </w:p>
              </w:tc>
              <w:tc>
                <w:tcPr>
                  <w:tcW w:w="632" w:type="pct"/>
                  <w:tcBorders>
                    <w:top w:val="single" w:sz="6" w:space="0" w:color="D6D6D6"/>
                    <w:left w:val="single" w:sz="6" w:space="0" w:color="D6D6D6"/>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0AC008FE" w14:textId="77777777" w:rsidR="00224D8E" w:rsidRPr="0008226D" w:rsidRDefault="00224D8E" w:rsidP="0008226D">
                  <w:pPr>
                    <w:spacing w:before="0" w:after="0"/>
                    <w:contextualSpacing/>
                    <w:jc w:val="center"/>
                    <w:rPr>
                      <w:color w:val="001C55" w:themeColor="text2"/>
                      <w:sz w:val="14"/>
                      <w:szCs w:val="14"/>
                      <w:lang w:val="en-GB"/>
                    </w:rPr>
                  </w:pPr>
                </w:p>
              </w:tc>
              <w:tc>
                <w:tcPr>
                  <w:tcW w:w="429" w:type="pct"/>
                  <w:tcBorders>
                    <w:top w:val="single" w:sz="6" w:space="0" w:color="D6D6D6"/>
                    <w:left w:val="single" w:sz="6" w:space="0" w:color="FCFCFC"/>
                    <w:bottom w:val="single" w:sz="6" w:space="0" w:color="FCFCFC"/>
                    <w:right w:val="single" w:sz="6" w:space="0" w:color="FCFCFC"/>
                  </w:tcBorders>
                  <w:shd w:val="clear" w:color="auto" w:fill="BCCAD7"/>
                  <w:tcMar>
                    <w:top w:w="72" w:type="dxa"/>
                    <w:left w:w="144" w:type="dxa"/>
                    <w:bottom w:w="72" w:type="dxa"/>
                    <w:right w:w="144" w:type="dxa"/>
                  </w:tcMar>
                  <w:vAlign w:val="center"/>
                  <w:hideMark/>
                </w:tcPr>
                <w:p w14:paraId="0425A084"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20,664</w:t>
                  </w:r>
                </w:p>
              </w:tc>
              <w:tc>
                <w:tcPr>
                  <w:tcW w:w="557" w:type="pct"/>
                  <w:tcBorders>
                    <w:top w:val="single" w:sz="6" w:space="0" w:color="D6D6D6"/>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328B89D2" w14:textId="77777777" w:rsidR="00224D8E" w:rsidRPr="0008226D" w:rsidRDefault="00224D8E" w:rsidP="0008226D">
                  <w:pPr>
                    <w:spacing w:before="0" w:after="0"/>
                    <w:contextualSpacing/>
                    <w:jc w:val="center"/>
                    <w:rPr>
                      <w:rFonts w:ascii="Cambria" w:hAnsi="Cambria"/>
                      <w:color w:val="001C55" w:themeColor="text2"/>
                      <w:sz w:val="14"/>
                      <w:szCs w:val="14"/>
                    </w:rPr>
                  </w:pPr>
                </w:p>
              </w:tc>
              <w:tc>
                <w:tcPr>
                  <w:tcW w:w="519" w:type="pct"/>
                  <w:tcBorders>
                    <w:top w:val="single" w:sz="6" w:space="0" w:color="D6D6D6"/>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2E331B07" w14:textId="77777777" w:rsidR="00224D8E" w:rsidRPr="0008226D" w:rsidRDefault="00224D8E" w:rsidP="0008226D">
                  <w:pPr>
                    <w:spacing w:before="0" w:after="0"/>
                    <w:contextualSpacing/>
                    <w:jc w:val="center"/>
                    <w:rPr>
                      <w:color w:val="001C55" w:themeColor="text2"/>
                      <w:sz w:val="14"/>
                      <w:szCs w:val="14"/>
                      <w:lang w:val="en-GB"/>
                    </w:rPr>
                  </w:pPr>
                </w:p>
              </w:tc>
              <w:tc>
                <w:tcPr>
                  <w:tcW w:w="680" w:type="pct"/>
                  <w:tcBorders>
                    <w:top w:val="single" w:sz="6" w:space="0" w:color="D6D6D6"/>
                    <w:left w:val="single" w:sz="6" w:space="0" w:color="FCFCFC"/>
                    <w:bottom w:val="single" w:sz="6" w:space="0" w:color="FCFCFC"/>
                    <w:right w:val="single" w:sz="6" w:space="0" w:color="D6D6D6"/>
                  </w:tcBorders>
                  <w:shd w:val="clear" w:color="auto" w:fill="E3E3E3"/>
                  <w:tcMar>
                    <w:top w:w="72" w:type="dxa"/>
                    <w:left w:w="144" w:type="dxa"/>
                    <w:bottom w:w="72" w:type="dxa"/>
                    <w:right w:w="144" w:type="dxa"/>
                  </w:tcMar>
                  <w:vAlign w:val="center"/>
                  <w:hideMark/>
                </w:tcPr>
                <w:p w14:paraId="79A097EF" w14:textId="77777777" w:rsidR="00224D8E" w:rsidRPr="0008226D" w:rsidRDefault="00224D8E" w:rsidP="0008226D">
                  <w:pPr>
                    <w:spacing w:before="0" w:after="0"/>
                    <w:contextualSpacing/>
                    <w:jc w:val="center"/>
                    <w:rPr>
                      <w:color w:val="001C55" w:themeColor="text2"/>
                      <w:sz w:val="14"/>
                      <w:szCs w:val="14"/>
                      <w:lang w:val="en-GB"/>
                    </w:rPr>
                  </w:pPr>
                </w:p>
              </w:tc>
            </w:tr>
            <w:tr w:rsidR="004101B6" w:rsidRPr="00224D8E" w14:paraId="0FDB1135" w14:textId="77777777" w:rsidTr="0008226D">
              <w:trPr>
                <w:trHeight w:val="552"/>
              </w:trPr>
              <w:tc>
                <w:tcPr>
                  <w:tcW w:w="517"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6EF1C1DC"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rPr>
                    <w:t>NHMRC (2021)</w:t>
                  </w:r>
                </w:p>
              </w:tc>
              <w:tc>
                <w:tcPr>
                  <w:tcW w:w="1666"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4BA716B3" w14:textId="77777777" w:rsidR="00224D8E" w:rsidRPr="0008226D" w:rsidRDefault="00224D8E" w:rsidP="0008226D">
                  <w:pPr>
                    <w:spacing w:before="0" w:after="0"/>
                    <w:contextualSpacing/>
                    <w:jc w:val="center"/>
                    <w:rPr>
                      <w:color w:val="001C55" w:themeColor="text2"/>
                      <w:sz w:val="14"/>
                      <w:szCs w:val="14"/>
                      <w:lang w:val="en-GB"/>
                    </w:rPr>
                  </w:pPr>
                  <w:r w:rsidRPr="0008226D">
                    <w:rPr>
                      <w:b/>
                      <w:bCs/>
                      <w:color w:val="001C55" w:themeColor="text2"/>
                      <w:sz w:val="14"/>
                      <w:szCs w:val="14"/>
                      <w:lang w:val="en-US"/>
                    </w:rPr>
                    <w:t xml:space="preserve">Health professionals who self-identified as researchers </w:t>
                  </w:r>
                  <w:r w:rsidRPr="0008226D">
                    <w:rPr>
                      <w:color w:val="001C55" w:themeColor="text2"/>
                      <w:sz w:val="14"/>
                      <w:szCs w:val="14"/>
                      <w:lang w:val="en-US"/>
                    </w:rPr>
                    <w:t>in a 2019 AHPRA survey</w:t>
                  </w:r>
                </w:p>
              </w:tc>
              <w:tc>
                <w:tcPr>
                  <w:tcW w:w="632" w:type="pct"/>
                  <w:tcBorders>
                    <w:top w:val="single" w:sz="6" w:space="0" w:color="FCFCFC"/>
                    <w:left w:val="single" w:sz="6" w:space="0" w:color="D6D6D6"/>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641E9B94" w14:textId="77777777" w:rsidR="00224D8E" w:rsidRPr="0008226D" w:rsidRDefault="00224D8E" w:rsidP="0008226D">
                  <w:pPr>
                    <w:spacing w:before="0" w:after="0"/>
                    <w:contextualSpacing/>
                    <w:jc w:val="center"/>
                    <w:rPr>
                      <w:color w:val="001C55" w:themeColor="text2"/>
                      <w:sz w:val="14"/>
                      <w:szCs w:val="14"/>
                      <w:lang w:val="en-GB"/>
                    </w:rPr>
                  </w:pPr>
                </w:p>
              </w:tc>
              <w:tc>
                <w:tcPr>
                  <w:tcW w:w="429"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054372B5" w14:textId="77777777" w:rsidR="00224D8E" w:rsidRPr="0008226D" w:rsidRDefault="00224D8E" w:rsidP="0008226D">
                  <w:pPr>
                    <w:spacing w:before="0" w:after="0"/>
                    <w:contextualSpacing/>
                    <w:jc w:val="center"/>
                    <w:rPr>
                      <w:color w:val="001C55" w:themeColor="text2"/>
                      <w:sz w:val="14"/>
                      <w:szCs w:val="14"/>
                      <w:lang w:val="en-GB"/>
                    </w:rPr>
                  </w:pPr>
                </w:p>
              </w:tc>
              <w:tc>
                <w:tcPr>
                  <w:tcW w:w="557" w:type="pct"/>
                  <w:tcBorders>
                    <w:top w:val="single" w:sz="6" w:space="0" w:color="FCFCFC"/>
                    <w:left w:val="single" w:sz="6" w:space="0" w:color="FCFCFC"/>
                    <w:bottom w:val="single" w:sz="6" w:space="0" w:color="FCFCFC"/>
                    <w:right w:val="single" w:sz="6" w:space="0" w:color="FCFCFC"/>
                  </w:tcBorders>
                  <w:shd w:val="clear" w:color="auto" w:fill="BCCAD7"/>
                  <w:tcMar>
                    <w:top w:w="72" w:type="dxa"/>
                    <w:left w:w="144" w:type="dxa"/>
                    <w:bottom w:w="72" w:type="dxa"/>
                    <w:right w:w="144" w:type="dxa"/>
                  </w:tcMar>
                  <w:vAlign w:val="center"/>
                  <w:hideMark/>
                </w:tcPr>
                <w:p w14:paraId="0794397D"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6,639</w:t>
                  </w:r>
                </w:p>
              </w:tc>
              <w:tc>
                <w:tcPr>
                  <w:tcW w:w="519"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5C6E1892" w14:textId="77777777" w:rsidR="00224D8E" w:rsidRPr="0008226D" w:rsidRDefault="00224D8E" w:rsidP="0008226D">
                  <w:pPr>
                    <w:spacing w:before="0" w:after="0"/>
                    <w:contextualSpacing/>
                    <w:jc w:val="center"/>
                    <w:rPr>
                      <w:color w:val="001C55" w:themeColor="text2"/>
                      <w:sz w:val="14"/>
                      <w:szCs w:val="14"/>
                      <w:lang w:val="en-GB"/>
                    </w:rPr>
                  </w:pPr>
                </w:p>
              </w:tc>
              <w:tc>
                <w:tcPr>
                  <w:tcW w:w="680" w:type="pct"/>
                  <w:tcBorders>
                    <w:top w:val="single" w:sz="6" w:space="0" w:color="FCFCFC"/>
                    <w:left w:val="single" w:sz="6" w:space="0" w:color="FCFCFC"/>
                    <w:bottom w:val="single" w:sz="6" w:space="0" w:color="FCFCFC"/>
                    <w:right w:val="single" w:sz="6" w:space="0" w:color="D6D6D6"/>
                  </w:tcBorders>
                  <w:shd w:val="clear" w:color="auto" w:fill="E3E3E3"/>
                  <w:tcMar>
                    <w:top w:w="72" w:type="dxa"/>
                    <w:left w:w="144" w:type="dxa"/>
                    <w:bottom w:w="72" w:type="dxa"/>
                    <w:right w:w="144" w:type="dxa"/>
                  </w:tcMar>
                  <w:vAlign w:val="center"/>
                  <w:hideMark/>
                </w:tcPr>
                <w:p w14:paraId="06B180AB" w14:textId="77777777" w:rsidR="00224D8E" w:rsidRPr="0008226D" w:rsidRDefault="00224D8E" w:rsidP="0008226D">
                  <w:pPr>
                    <w:spacing w:before="0" w:after="0"/>
                    <w:contextualSpacing/>
                    <w:jc w:val="center"/>
                    <w:rPr>
                      <w:color w:val="001C55" w:themeColor="text2"/>
                      <w:sz w:val="14"/>
                      <w:szCs w:val="14"/>
                      <w:lang w:val="en-GB"/>
                    </w:rPr>
                  </w:pPr>
                </w:p>
              </w:tc>
            </w:tr>
            <w:tr w:rsidR="004101B6" w:rsidRPr="00224D8E" w14:paraId="166926C1" w14:textId="77777777" w:rsidTr="0008226D">
              <w:trPr>
                <w:trHeight w:val="579"/>
              </w:trPr>
              <w:tc>
                <w:tcPr>
                  <w:tcW w:w="517"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7672F86A"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rPr>
                    <w:t>MTP</w:t>
                  </w:r>
                  <w:r w:rsidRPr="0008226D">
                    <w:rPr>
                      <w:color w:val="001C55" w:themeColor="text2"/>
                      <w:sz w:val="14"/>
                      <w:szCs w:val="14"/>
                    </w:rPr>
                    <w:br/>
                    <w:t>Connect (2020)</w:t>
                  </w:r>
                </w:p>
              </w:tc>
              <w:tc>
                <w:tcPr>
                  <w:tcW w:w="1666"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33B0E74E" w14:textId="530ABAD3"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 xml:space="preserve">People in the </w:t>
                  </w:r>
                  <w:r w:rsidRPr="0008226D">
                    <w:rPr>
                      <w:b/>
                      <w:bCs/>
                      <w:color w:val="001C55" w:themeColor="text2"/>
                      <w:sz w:val="14"/>
                      <w:szCs w:val="14"/>
                      <w:lang w:val="en-US"/>
                    </w:rPr>
                    <w:t>medical technology, biotechnology, pharmaceutical</w:t>
                  </w:r>
                  <w:r w:rsidR="009D540A">
                    <w:rPr>
                      <w:b/>
                      <w:bCs/>
                      <w:color w:val="001C55" w:themeColor="text2"/>
                      <w:sz w:val="14"/>
                      <w:szCs w:val="14"/>
                      <w:lang w:val="en-US"/>
                    </w:rPr>
                    <w:t>,</w:t>
                  </w:r>
                  <w:r w:rsidRPr="0008226D">
                    <w:rPr>
                      <w:b/>
                      <w:bCs/>
                      <w:color w:val="001C55" w:themeColor="text2"/>
                      <w:sz w:val="14"/>
                      <w:szCs w:val="14"/>
                      <w:lang w:val="en-US"/>
                    </w:rPr>
                    <w:t xml:space="preserve"> and digital health </w:t>
                  </w:r>
                  <w:r w:rsidRPr="0008226D">
                    <w:rPr>
                      <w:color w:val="001C55" w:themeColor="text2"/>
                      <w:sz w:val="14"/>
                      <w:szCs w:val="14"/>
                      <w:lang w:val="en-US"/>
                    </w:rPr>
                    <w:t>sector</w:t>
                  </w:r>
                </w:p>
              </w:tc>
              <w:tc>
                <w:tcPr>
                  <w:tcW w:w="632" w:type="pct"/>
                  <w:tcBorders>
                    <w:top w:val="single" w:sz="6" w:space="0" w:color="FCFCFC"/>
                    <w:left w:val="single" w:sz="6" w:space="0" w:color="D6D6D6"/>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24A66B49" w14:textId="77777777" w:rsidR="00224D8E" w:rsidRPr="0008226D" w:rsidRDefault="00224D8E" w:rsidP="0008226D">
                  <w:pPr>
                    <w:spacing w:before="0" w:after="0"/>
                    <w:contextualSpacing/>
                    <w:jc w:val="center"/>
                    <w:rPr>
                      <w:color w:val="001C55" w:themeColor="text2"/>
                      <w:sz w:val="14"/>
                      <w:szCs w:val="14"/>
                      <w:lang w:val="en-GB"/>
                    </w:rPr>
                  </w:pPr>
                </w:p>
              </w:tc>
              <w:tc>
                <w:tcPr>
                  <w:tcW w:w="429"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1F6EA218" w14:textId="77777777" w:rsidR="00224D8E" w:rsidRPr="0008226D" w:rsidRDefault="00224D8E" w:rsidP="0008226D">
                  <w:pPr>
                    <w:spacing w:before="0" w:after="0"/>
                    <w:contextualSpacing/>
                    <w:jc w:val="center"/>
                    <w:rPr>
                      <w:color w:val="001C55" w:themeColor="text2"/>
                      <w:sz w:val="14"/>
                      <w:szCs w:val="14"/>
                      <w:lang w:val="en-GB"/>
                    </w:rPr>
                  </w:pPr>
                </w:p>
              </w:tc>
              <w:tc>
                <w:tcPr>
                  <w:tcW w:w="557"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724D2CA3" w14:textId="77777777" w:rsidR="00224D8E" w:rsidRPr="0008226D" w:rsidRDefault="00224D8E" w:rsidP="0008226D">
                  <w:pPr>
                    <w:spacing w:before="0" w:after="0"/>
                    <w:contextualSpacing/>
                    <w:jc w:val="center"/>
                    <w:rPr>
                      <w:color w:val="001C55" w:themeColor="text2"/>
                      <w:sz w:val="14"/>
                      <w:szCs w:val="14"/>
                      <w:lang w:val="en-GB"/>
                    </w:rPr>
                  </w:pPr>
                </w:p>
              </w:tc>
              <w:tc>
                <w:tcPr>
                  <w:tcW w:w="519" w:type="pct"/>
                  <w:tcBorders>
                    <w:top w:val="single" w:sz="6" w:space="0" w:color="FCFCFC"/>
                    <w:left w:val="single" w:sz="6" w:space="0" w:color="FCFCFC"/>
                    <w:bottom w:val="single" w:sz="6" w:space="0" w:color="FCFCFC"/>
                    <w:right w:val="single" w:sz="6" w:space="0" w:color="FCFCFC"/>
                  </w:tcBorders>
                  <w:shd w:val="clear" w:color="auto" w:fill="BCCAD7"/>
                  <w:tcMar>
                    <w:top w:w="72" w:type="dxa"/>
                    <w:left w:w="144" w:type="dxa"/>
                    <w:bottom w:w="72" w:type="dxa"/>
                    <w:right w:w="144" w:type="dxa"/>
                  </w:tcMar>
                  <w:vAlign w:val="center"/>
                  <w:hideMark/>
                </w:tcPr>
                <w:p w14:paraId="15B652B7"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70,000</w:t>
                  </w:r>
                </w:p>
              </w:tc>
              <w:tc>
                <w:tcPr>
                  <w:tcW w:w="680" w:type="pct"/>
                  <w:tcBorders>
                    <w:top w:val="single" w:sz="6" w:space="0" w:color="FCFCFC"/>
                    <w:left w:val="single" w:sz="6" w:space="0" w:color="FCFCFC"/>
                    <w:bottom w:val="single" w:sz="6" w:space="0" w:color="FCFCFC"/>
                    <w:right w:val="single" w:sz="6" w:space="0" w:color="D6D6D6"/>
                  </w:tcBorders>
                  <w:shd w:val="clear" w:color="auto" w:fill="E3E3E3"/>
                  <w:tcMar>
                    <w:top w:w="72" w:type="dxa"/>
                    <w:left w:w="144" w:type="dxa"/>
                    <w:bottom w:w="72" w:type="dxa"/>
                    <w:right w:w="144" w:type="dxa"/>
                  </w:tcMar>
                  <w:vAlign w:val="center"/>
                  <w:hideMark/>
                </w:tcPr>
                <w:p w14:paraId="0E9006BB" w14:textId="77777777" w:rsidR="00224D8E" w:rsidRPr="0008226D" w:rsidRDefault="00224D8E" w:rsidP="0008226D">
                  <w:pPr>
                    <w:spacing w:before="0" w:after="0"/>
                    <w:contextualSpacing/>
                    <w:jc w:val="center"/>
                    <w:rPr>
                      <w:color w:val="001C55" w:themeColor="text2"/>
                      <w:sz w:val="14"/>
                      <w:szCs w:val="14"/>
                      <w:lang w:val="en-GB"/>
                    </w:rPr>
                  </w:pPr>
                </w:p>
              </w:tc>
            </w:tr>
            <w:tr w:rsidR="004101B6" w:rsidRPr="00224D8E" w14:paraId="5062BC14" w14:textId="77777777" w:rsidTr="0008226D">
              <w:trPr>
                <w:trHeight w:val="876"/>
              </w:trPr>
              <w:tc>
                <w:tcPr>
                  <w:tcW w:w="517"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44F6F540"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rPr>
                    <w:t xml:space="preserve">ARC </w:t>
                  </w:r>
                  <w:r w:rsidRPr="0008226D">
                    <w:rPr>
                      <w:color w:val="001C55" w:themeColor="text2"/>
                      <w:sz w:val="14"/>
                      <w:szCs w:val="14"/>
                    </w:rPr>
                    <w:br/>
                    <w:t>(2018)</w:t>
                  </w:r>
                </w:p>
              </w:tc>
              <w:tc>
                <w:tcPr>
                  <w:tcW w:w="1666" w:type="pct"/>
                  <w:tcBorders>
                    <w:top w:val="single" w:sz="6" w:space="0" w:color="D6D6D6"/>
                    <w:left w:val="single" w:sz="6" w:space="0" w:color="D6D6D6"/>
                    <w:bottom w:val="single" w:sz="6" w:space="0" w:color="D6D6D6"/>
                    <w:right w:val="single" w:sz="6" w:space="0" w:color="D6D6D6"/>
                  </w:tcBorders>
                  <w:shd w:val="clear" w:color="auto" w:fill="auto"/>
                  <w:tcMar>
                    <w:top w:w="72" w:type="dxa"/>
                    <w:left w:w="144" w:type="dxa"/>
                    <w:bottom w:w="72" w:type="dxa"/>
                    <w:right w:w="144" w:type="dxa"/>
                  </w:tcMar>
                  <w:vAlign w:val="center"/>
                  <w:hideMark/>
                </w:tcPr>
                <w:p w14:paraId="512B833F"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 xml:space="preserve">Researchers employed/affiliated with </w:t>
                  </w:r>
                  <w:r w:rsidRPr="0008226D">
                    <w:rPr>
                      <w:b/>
                      <w:bCs/>
                      <w:color w:val="001C55" w:themeColor="text2"/>
                      <w:sz w:val="14"/>
                      <w:szCs w:val="14"/>
                      <w:lang w:val="en-US"/>
                    </w:rPr>
                    <w:t xml:space="preserve">higher education institutions </w:t>
                  </w:r>
                  <w:r w:rsidRPr="0008226D">
                    <w:rPr>
                      <w:color w:val="001C55" w:themeColor="text2"/>
                      <w:sz w:val="14"/>
                      <w:szCs w:val="14"/>
                      <w:lang w:val="en-US"/>
                    </w:rPr>
                    <w:t>in medical and health sciences captured under relevant Field of Research codes</w:t>
                  </w:r>
                </w:p>
              </w:tc>
              <w:tc>
                <w:tcPr>
                  <w:tcW w:w="632" w:type="pct"/>
                  <w:tcBorders>
                    <w:top w:val="single" w:sz="6" w:space="0" w:color="FCFCFC"/>
                    <w:left w:val="single" w:sz="6" w:space="0" w:color="D6D6D6"/>
                    <w:bottom w:val="single" w:sz="6" w:space="0" w:color="FCFCFC"/>
                    <w:right w:val="single" w:sz="6" w:space="0" w:color="FCFCFC"/>
                  </w:tcBorders>
                  <w:shd w:val="clear" w:color="auto" w:fill="BCCAD7"/>
                  <w:tcMar>
                    <w:top w:w="72" w:type="dxa"/>
                    <w:left w:w="144" w:type="dxa"/>
                    <w:bottom w:w="72" w:type="dxa"/>
                    <w:right w:w="144" w:type="dxa"/>
                  </w:tcMar>
                  <w:vAlign w:val="center"/>
                  <w:hideMark/>
                </w:tcPr>
                <w:p w14:paraId="0D56F06A"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23,362</w:t>
                  </w:r>
                </w:p>
              </w:tc>
              <w:tc>
                <w:tcPr>
                  <w:tcW w:w="429"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5B51D4E5" w14:textId="77777777" w:rsidR="00224D8E" w:rsidRPr="0008226D" w:rsidRDefault="00224D8E" w:rsidP="0008226D">
                  <w:pPr>
                    <w:spacing w:before="0" w:after="0"/>
                    <w:contextualSpacing/>
                    <w:jc w:val="center"/>
                    <w:rPr>
                      <w:color w:val="001C55" w:themeColor="text2"/>
                      <w:sz w:val="14"/>
                      <w:szCs w:val="14"/>
                      <w:lang w:val="en-GB"/>
                    </w:rPr>
                  </w:pPr>
                </w:p>
              </w:tc>
              <w:tc>
                <w:tcPr>
                  <w:tcW w:w="557"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6D612C7B" w14:textId="77777777" w:rsidR="00224D8E" w:rsidRPr="0008226D" w:rsidRDefault="00224D8E" w:rsidP="0008226D">
                  <w:pPr>
                    <w:spacing w:before="0" w:after="0"/>
                    <w:contextualSpacing/>
                    <w:jc w:val="center"/>
                    <w:rPr>
                      <w:color w:val="001C55" w:themeColor="text2"/>
                      <w:sz w:val="14"/>
                      <w:szCs w:val="14"/>
                      <w:lang w:val="en-GB"/>
                    </w:rPr>
                  </w:pPr>
                </w:p>
              </w:tc>
              <w:tc>
                <w:tcPr>
                  <w:tcW w:w="519"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43F45BFA" w14:textId="77777777" w:rsidR="00224D8E" w:rsidRPr="0008226D" w:rsidRDefault="00224D8E" w:rsidP="0008226D">
                  <w:pPr>
                    <w:spacing w:before="0" w:after="0"/>
                    <w:contextualSpacing/>
                    <w:jc w:val="center"/>
                    <w:rPr>
                      <w:color w:val="001C55" w:themeColor="text2"/>
                      <w:sz w:val="14"/>
                      <w:szCs w:val="14"/>
                      <w:lang w:val="en-GB"/>
                    </w:rPr>
                  </w:pPr>
                </w:p>
              </w:tc>
              <w:tc>
                <w:tcPr>
                  <w:tcW w:w="680" w:type="pct"/>
                  <w:tcBorders>
                    <w:top w:val="single" w:sz="6" w:space="0" w:color="FCFCFC"/>
                    <w:left w:val="single" w:sz="6" w:space="0" w:color="FCFCFC"/>
                    <w:bottom w:val="single" w:sz="6" w:space="0" w:color="FCFCFC"/>
                    <w:right w:val="single" w:sz="6" w:space="0" w:color="D6D6D6"/>
                  </w:tcBorders>
                  <w:shd w:val="clear" w:color="auto" w:fill="E3E3E3"/>
                  <w:tcMar>
                    <w:top w:w="72" w:type="dxa"/>
                    <w:left w:w="144" w:type="dxa"/>
                    <w:bottom w:w="72" w:type="dxa"/>
                    <w:right w:w="144" w:type="dxa"/>
                  </w:tcMar>
                  <w:vAlign w:val="center"/>
                  <w:hideMark/>
                </w:tcPr>
                <w:p w14:paraId="107951E0" w14:textId="77777777" w:rsidR="00224D8E" w:rsidRPr="0008226D" w:rsidRDefault="00224D8E" w:rsidP="0008226D">
                  <w:pPr>
                    <w:spacing w:before="0" w:after="0"/>
                    <w:contextualSpacing/>
                    <w:jc w:val="center"/>
                    <w:rPr>
                      <w:color w:val="001C55" w:themeColor="text2"/>
                      <w:sz w:val="14"/>
                      <w:szCs w:val="14"/>
                      <w:lang w:val="en-GB"/>
                    </w:rPr>
                  </w:pPr>
                </w:p>
              </w:tc>
            </w:tr>
            <w:tr w:rsidR="004101B6" w:rsidRPr="00224D8E" w14:paraId="062FC3F1" w14:textId="77777777" w:rsidTr="0008226D">
              <w:trPr>
                <w:trHeight w:val="1056"/>
              </w:trPr>
              <w:tc>
                <w:tcPr>
                  <w:tcW w:w="517" w:type="pct"/>
                  <w:tcBorders>
                    <w:top w:val="single" w:sz="6" w:space="0" w:color="D6D6D6"/>
                    <w:left w:val="single" w:sz="6" w:space="0" w:color="D6D6D6"/>
                    <w:bottom w:val="single" w:sz="6" w:space="0" w:color="D6D6D6"/>
                    <w:right w:val="single" w:sz="6" w:space="0" w:color="D6D6D6"/>
                  </w:tcBorders>
                  <w:shd w:val="clear" w:color="auto" w:fill="FCFCFC"/>
                  <w:tcMar>
                    <w:top w:w="72" w:type="dxa"/>
                    <w:left w:w="144" w:type="dxa"/>
                    <w:bottom w:w="72" w:type="dxa"/>
                    <w:right w:w="144" w:type="dxa"/>
                  </w:tcMar>
                  <w:vAlign w:val="center"/>
                  <w:hideMark/>
                </w:tcPr>
                <w:p w14:paraId="4A3B51AF"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rPr>
                    <w:t xml:space="preserve">KPMG </w:t>
                  </w:r>
                  <w:r w:rsidRPr="0008226D">
                    <w:rPr>
                      <w:color w:val="001C55" w:themeColor="text2"/>
                      <w:sz w:val="14"/>
                      <w:szCs w:val="14"/>
                    </w:rPr>
                    <w:br/>
                    <w:t>(2018)</w:t>
                  </w:r>
                </w:p>
              </w:tc>
              <w:tc>
                <w:tcPr>
                  <w:tcW w:w="1666" w:type="pct"/>
                  <w:tcBorders>
                    <w:top w:val="single" w:sz="6" w:space="0" w:color="D6D6D6"/>
                    <w:left w:val="single" w:sz="6" w:space="0" w:color="D6D6D6"/>
                    <w:bottom w:val="single" w:sz="6" w:space="0" w:color="D6D6D6"/>
                    <w:right w:val="single" w:sz="6" w:space="0" w:color="D6D6D6"/>
                  </w:tcBorders>
                  <w:shd w:val="clear" w:color="auto" w:fill="FCFCFC"/>
                  <w:tcMar>
                    <w:top w:w="72" w:type="dxa"/>
                    <w:left w:w="144" w:type="dxa"/>
                    <w:bottom w:w="72" w:type="dxa"/>
                    <w:right w:w="144" w:type="dxa"/>
                  </w:tcMar>
                  <w:vAlign w:val="center"/>
                  <w:hideMark/>
                </w:tcPr>
                <w:p w14:paraId="60B97C97" w14:textId="7E9F9826" w:rsidR="00224D8E" w:rsidRPr="0008226D" w:rsidRDefault="00224D8E" w:rsidP="0008226D">
                  <w:pPr>
                    <w:spacing w:before="0" w:after="0"/>
                    <w:contextualSpacing/>
                    <w:jc w:val="center"/>
                    <w:rPr>
                      <w:color w:val="001C55" w:themeColor="text2"/>
                      <w:sz w:val="14"/>
                      <w:szCs w:val="14"/>
                      <w:lang w:val="en-GB"/>
                    </w:rPr>
                  </w:pPr>
                  <w:r w:rsidRPr="0008226D">
                    <w:rPr>
                      <w:b/>
                      <w:bCs/>
                      <w:color w:val="001C55" w:themeColor="text2"/>
                      <w:sz w:val="14"/>
                      <w:szCs w:val="14"/>
                      <w:lang w:val="en-US"/>
                    </w:rPr>
                    <w:t xml:space="preserve">Assumed proportion of researchers </w:t>
                  </w:r>
                  <w:r w:rsidRPr="0008226D">
                    <w:rPr>
                      <w:color w:val="001C55" w:themeColor="text2"/>
                      <w:sz w:val="14"/>
                      <w:szCs w:val="14"/>
                      <w:lang w:val="en-US"/>
                    </w:rPr>
                    <w:t xml:space="preserve">working across higher education, and research and services. People who are supported by medical research in the </w:t>
                  </w:r>
                  <w:r w:rsidRPr="0008226D">
                    <w:rPr>
                      <w:b/>
                      <w:bCs/>
                      <w:color w:val="001C55" w:themeColor="text2"/>
                      <w:sz w:val="14"/>
                      <w:szCs w:val="14"/>
                      <w:lang w:val="en-US"/>
                    </w:rPr>
                    <w:t>medical technologies and pharmaceuticals</w:t>
                  </w:r>
                  <w:r w:rsidRPr="0008226D">
                    <w:rPr>
                      <w:color w:val="001C55" w:themeColor="text2"/>
                      <w:sz w:val="14"/>
                      <w:szCs w:val="14"/>
                      <w:lang w:val="en-US"/>
                    </w:rPr>
                    <w:t xml:space="preserve"> sector</w:t>
                  </w:r>
                </w:p>
              </w:tc>
              <w:tc>
                <w:tcPr>
                  <w:tcW w:w="1618" w:type="pct"/>
                  <w:gridSpan w:val="3"/>
                  <w:tcBorders>
                    <w:top w:val="single" w:sz="6" w:space="0" w:color="FCFCFC"/>
                    <w:left w:val="single" w:sz="6" w:space="0" w:color="D6D6D6"/>
                    <w:bottom w:val="single" w:sz="6" w:space="0" w:color="FCFCFC"/>
                    <w:right w:val="single" w:sz="6" w:space="0" w:color="FCFCFC"/>
                  </w:tcBorders>
                  <w:shd w:val="clear" w:color="auto" w:fill="BCCAD7"/>
                  <w:tcMar>
                    <w:top w:w="72" w:type="dxa"/>
                    <w:left w:w="144" w:type="dxa"/>
                    <w:bottom w:w="72" w:type="dxa"/>
                    <w:right w:w="144" w:type="dxa"/>
                  </w:tcMar>
                  <w:vAlign w:val="center"/>
                  <w:hideMark/>
                </w:tcPr>
                <w:p w14:paraId="46ED9AC6"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32,096</w:t>
                  </w:r>
                </w:p>
              </w:tc>
              <w:tc>
                <w:tcPr>
                  <w:tcW w:w="519" w:type="pct"/>
                  <w:tcBorders>
                    <w:top w:val="single" w:sz="6" w:space="0" w:color="FCFCFC"/>
                    <w:left w:val="single" w:sz="6" w:space="0" w:color="FCFCFC"/>
                    <w:bottom w:val="single" w:sz="6" w:space="0" w:color="FCFCFC"/>
                    <w:right w:val="single" w:sz="6" w:space="0" w:color="FCFCFC"/>
                  </w:tcBorders>
                  <w:shd w:val="clear" w:color="auto" w:fill="BCCAD7"/>
                  <w:tcMar>
                    <w:top w:w="72" w:type="dxa"/>
                    <w:left w:w="144" w:type="dxa"/>
                    <w:bottom w:w="72" w:type="dxa"/>
                    <w:right w:w="144" w:type="dxa"/>
                  </w:tcMar>
                  <w:vAlign w:val="center"/>
                  <w:hideMark/>
                </w:tcPr>
                <w:p w14:paraId="245789AE"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78,409</w:t>
                  </w:r>
                </w:p>
              </w:tc>
              <w:tc>
                <w:tcPr>
                  <w:tcW w:w="680" w:type="pct"/>
                  <w:tcBorders>
                    <w:top w:val="single" w:sz="6" w:space="0" w:color="FCFCFC"/>
                    <w:left w:val="single" w:sz="6" w:space="0" w:color="FCFCFC"/>
                    <w:bottom w:val="single" w:sz="6" w:space="0" w:color="FCFCFC"/>
                    <w:right w:val="single" w:sz="6" w:space="0" w:color="D6D6D6"/>
                  </w:tcBorders>
                  <w:shd w:val="clear" w:color="auto" w:fill="E3E3E3"/>
                  <w:tcMar>
                    <w:top w:w="72" w:type="dxa"/>
                    <w:left w:w="144" w:type="dxa"/>
                    <w:bottom w:w="72" w:type="dxa"/>
                    <w:right w:w="144" w:type="dxa"/>
                  </w:tcMar>
                  <w:vAlign w:val="center"/>
                  <w:hideMark/>
                </w:tcPr>
                <w:p w14:paraId="4D499354" w14:textId="77777777" w:rsidR="00224D8E" w:rsidRPr="0008226D" w:rsidRDefault="00224D8E" w:rsidP="0008226D">
                  <w:pPr>
                    <w:spacing w:before="0" w:after="0"/>
                    <w:contextualSpacing/>
                    <w:jc w:val="center"/>
                    <w:rPr>
                      <w:color w:val="001C55" w:themeColor="text2"/>
                      <w:sz w:val="14"/>
                      <w:szCs w:val="14"/>
                      <w:lang w:val="en-GB"/>
                    </w:rPr>
                  </w:pPr>
                </w:p>
              </w:tc>
            </w:tr>
            <w:tr w:rsidR="0043203F" w:rsidRPr="00224D8E" w14:paraId="43D59654" w14:textId="77777777" w:rsidTr="0008226D">
              <w:trPr>
                <w:trHeight w:val="471"/>
              </w:trPr>
              <w:tc>
                <w:tcPr>
                  <w:tcW w:w="517" w:type="pct"/>
                  <w:tcBorders>
                    <w:top w:val="single" w:sz="6" w:space="0" w:color="D6D6D6"/>
                    <w:left w:val="single" w:sz="6" w:space="0" w:color="D6D6D6"/>
                    <w:bottom w:val="single" w:sz="6" w:space="0" w:color="D6D6D6"/>
                    <w:right w:val="single" w:sz="6" w:space="0" w:color="D6D6D6"/>
                  </w:tcBorders>
                  <w:shd w:val="clear" w:color="auto" w:fill="FCFCFC"/>
                  <w:tcMar>
                    <w:top w:w="72" w:type="dxa"/>
                    <w:left w:w="144" w:type="dxa"/>
                    <w:bottom w:w="72" w:type="dxa"/>
                    <w:right w:w="144" w:type="dxa"/>
                  </w:tcMar>
                  <w:vAlign w:val="center"/>
                  <w:hideMark/>
                </w:tcPr>
                <w:p w14:paraId="69125AE8" w14:textId="242079F1"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rPr>
                    <w:t xml:space="preserve">DAE </w:t>
                  </w:r>
                  <w:r w:rsidRPr="0008226D">
                    <w:rPr>
                      <w:color w:val="001C55" w:themeColor="text2"/>
                      <w:sz w:val="14"/>
                      <w:szCs w:val="14"/>
                    </w:rPr>
                    <w:br/>
                    <w:t>(2016)</w:t>
                  </w:r>
                  <w:r w:rsidR="00777DB3">
                    <w:rPr>
                      <w:rStyle w:val="FootnoteReference"/>
                    </w:rPr>
                    <w:footnoteReference w:id="5"/>
                  </w:r>
                </w:p>
              </w:tc>
              <w:tc>
                <w:tcPr>
                  <w:tcW w:w="1666" w:type="pct"/>
                  <w:tcBorders>
                    <w:top w:val="single" w:sz="6" w:space="0" w:color="D6D6D6"/>
                    <w:left w:val="single" w:sz="6" w:space="0" w:color="D6D6D6"/>
                    <w:bottom w:val="single" w:sz="6" w:space="0" w:color="D6D6D6"/>
                    <w:right w:val="single" w:sz="6" w:space="0" w:color="D6D6D6"/>
                  </w:tcBorders>
                  <w:shd w:val="clear" w:color="auto" w:fill="FCFCFC"/>
                  <w:tcMar>
                    <w:top w:w="72" w:type="dxa"/>
                    <w:left w:w="144" w:type="dxa"/>
                    <w:bottom w:w="72" w:type="dxa"/>
                    <w:right w:w="144" w:type="dxa"/>
                  </w:tcMar>
                  <w:vAlign w:val="center"/>
                  <w:hideMark/>
                </w:tcPr>
                <w:p w14:paraId="00366AB9"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 xml:space="preserve">People with research </w:t>
                  </w:r>
                  <w:r w:rsidRPr="0008226D">
                    <w:rPr>
                      <w:b/>
                      <w:bCs/>
                      <w:color w:val="001C55" w:themeColor="text2"/>
                      <w:sz w:val="14"/>
                      <w:szCs w:val="14"/>
                      <w:lang w:val="en-US"/>
                    </w:rPr>
                    <w:t>funded by the NHMRC</w:t>
                  </w:r>
                </w:p>
              </w:tc>
              <w:tc>
                <w:tcPr>
                  <w:tcW w:w="1061" w:type="pct"/>
                  <w:gridSpan w:val="2"/>
                  <w:tcBorders>
                    <w:top w:val="single" w:sz="6" w:space="0" w:color="FCFCFC"/>
                    <w:left w:val="single" w:sz="6" w:space="0" w:color="D6D6D6"/>
                    <w:bottom w:val="single" w:sz="6" w:space="0" w:color="FCFCFC"/>
                    <w:right w:val="single" w:sz="6" w:space="0" w:color="FCFCFC"/>
                  </w:tcBorders>
                  <w:shd w:val="clear" w:color="auto" w:fill="BCCAD7"/>
                  <w:tcMar>
                    <w:top w:w="72" w:type="dxa"/>
                    <w:left w:w="144" w:type="dxa"/>
                    <w:bottom w:w="72" w:type="dxa"/>
                    <w:right w:w="144" w:type="dxa"/>
                  </w:tcMar>
                  <w:vAlign w:val="center"/>
                  <w:hideMark/>
                </w:tcPr>
                <w:p w14:paraId="42A8F906"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9,777</w:t>
                  </w:r>
                </w:p>
              </w:tc>
              <w:tc>
                <w:tcPr>
                  <w:tcW w:w="557"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67662F66" w14:textId="77777777" w:rsidR="00224D8E" w:rsidRPr="0008226D" w:rsidRDefault="00224D8E" w:rsidP="0008226D">
                  <w:pPr>
                    <w:spacing w:before="0" w:after="0"/>
                    <w:contextualSpacing/>
                    <w:jc w:val="center"/>
                    <w:rPr>
                      <w:color w:val="001C55" w:themeColor="text2"/>
                      <w:sz w:val="14"/>
                      <w:szCs w:val="14"/>
                      <w:lang w:val="en-GB"/>
                    </w:rPr>
                  </w:pPr>
                </w:p>
              </w:tc>
              <w:tc>
                <w:tcPr>
                  <w:tcW w:w="519" w:type="pct"/>
                  <w:tcBorders>
                    <w:top w:val="single" w:sz="6" w:space="0" w:color="FCFCFC"/>
                    <w:left w:val="single" w:sz="6" w:space="0" w:color="FCFCFC"/>
                    <w:bottom w:val="single" w:sz="6" w:space="0" w:color="FCFCFC"/>
                    <w:right w:val="single" w:sz="6" w:space="0" w:color="FCFCFC"/>
                  </w:tcBorders>
                  <w:shd w:val="clear" w:color="auto" w:fill="E3E3E3"/>
                  <w:tcMar>
                    <w:top w:w="72" w:type="dxa"/>
                    <w:left w:w="144" w:type="dxa"/>
                    <w:bottom w:w="72" w:type="dxa"/>
                    <w:right w:w="144" w:type="dxa"/>
                  </w:tcMar>
                  <w:vAlign w:val="center"/>
                  <w:hideMark/>
                </w:tcPr>
                <w:p w14:paraId="56354A93" w14:textId="77777777" w:rsidR="00224D8E" w:rsidRPr="0008226D" w:rsidRDefault="00224D8E" w:rsidP="0008226D">
                  <w:pPr>
                    <w:spacing w:before="0" w:after="0"/>
                    <w:contextualSpacing/>
                    <w:jc w:val="center"/>
                    <w:rPr>
                      <w:color w:val="001C55" w:themeColor="text2"/>
                      <w:sz w:val="14"/>
                      <w:szCs w:val="14"/>
                      <w:lang w:val="en-GB"/>
                    </w:rPr>
                  </w:pPr>
                </w:p>
              </w:tc>
              <w:tc>
                <w:tcPr>
                  <w:tcW w:w="680" w:type="pct"/>
                  <w:tcBorders>
                    <w:top w:val="single" w:sz="6" w:space="0" w:color="FCFCFC"/>
                    <w:left w:val="single" w:sz="6" w:space="0" w:color="FCFCFC"/>
                    <w:bottom w:val="single" w:sz="6" w:space="0" w:color="FCFCFC"/>
                    <w:right w:val="single" w:sz="6" w:space="0" w:color="D6D6D6"/>
                  </w:tcBorders>
                  <w:shd w:val="clear" w:color="auto" w:fill="E3E3E3"/>
                  <w:tcMar>
                    <w:top w:w="72" w:type="dxa"/>
                    <w:left w:w="144" w:type="dxa"/>
                    <w:bottom w:w="72" w:type="dxa"/>
                    <w:right w:w="144" w:type="dxa"/>
                  </w:tcMar>
                  <w:vAlign w:val="center"/>
                  <w:hideMark/>
                </w:tcPr>
                <w:p w14:paraId="557AC02B" w14:textId="77777777" w:rsidR="00224D8E" w:rsidRPr="0008226D" w:rsidRDefault="00224D8E" w:rsidP="0008226D">
                  <w:pPr>
                    <w:spacing w:before="0" w:after="0"/>
                    <w:contextualSpacing/>
                    <w:jc w:val="center"/>
                    <w:rPr>
                      <w:color w:val="001C55" w:themeColor="text2"/>
                      <w:sz w:val="14"/>
                      <w:szCs w:val="14"/>
                      <w:lang w:val="en-GB"/>
                    </w:rPr>
                  </w:pPr>
                </w:p>
              </w:tc>
            </w:tr>
            <w:tr w:rsidR="0043203F" w:rsidRPr="00224D8E" w14:paraId="3BD93403" w14:textId="77777777" w:rsidTr="0008226D">
              <w:trPr>
                <w:trHeight w:val="381"/>
              </w:trPr>
              <w:tc>
                <w:tcPr>
                  <w:tcW w:w="517" w:type="pct"/>
                  <w:tcBorders>
                    <w:top w:val="single" w:sz="6" w:space="0" w:color="D6D6D6"/>
                    <w:left w:val="single" w:sz="6" w:space="0" w:color="D6D6D6"/>
                    <w:bottom w:val="single" w:sz="6" w:space="0" w:color="D6D6D6"/>
                    <w:right w:val="single" w:sz="6" w:space="0" w:color="D6D6D6"/>
                  </w:tcBorders>
                  <w:shd w:val="clear" w:color="auto" w:fill="FCFCFC"/>
                  <w:tcMar>
                    <w:top w:w="72" w:type="dxa"/>
                    <w:left w:w="144" w:type="dxa"/>
                    <w:bottom w:w="72" w:type="dxa"/>
                    <w:right w:w="144" w:type="dxa"/>
                  </w:tcMar>
                  <w:vAlign w:val="center"/>
                  <w:hideMark/>
                </w:tcPr>
                <w:p w14:paraId="4D57A909"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rPr>
                    <w:t>Schofield (2009)</w:t>
                  </w:r>
                </w:p>
              </w:tc>
              <w:tc>
                <w:tcPr>
                  <w:tcW w:w="1666" w:type="pct"/>
                  <w:tcBorders>
                    <w:top w:val="single" w:sz="6" w:space="0" w:color="D6D6D6"/>
                    <w:left w:val="single" w:sz="6" w:space="0" w:color="D6D6D6"/>
                    <w:bottom w:val="single" w:sz="6" w:space="0" w:color="D6D6D6"/>
                    <w:right w:val="single" w:sz="6" w:space="0" w:color="D6D6D6"/>
                  </w:tcBorders>
                  <w:shd w:val="clear" w:color="auto" w:fill="FCFCFC"/>
                  <w:tcMar>
                    <w:top w:w="72" w:type="dxa"/>
                    <w:left w:w="144" w:type="dxa"/>
                    <w:bottom w:w="72" w:type="dxa"/>
                    <w:right w:w="144" w:type="dxa"/>
                  </w:tcMar>
                  <w:vAlign w:val="center"/>
                  <w:hideMark/>
                </w:tcPr>
                <w:p w14:paraId="36FCA380" w14:textId="0CF2D038"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 xml:space="preserve">Staff in </w:t>
                  </w:r>
                  <w:r w:rsidRPr="0008226D">
                    <w:rPr>
                      <w:b/>
                      <w:bCs/>
                      <w:color w:val="001C55" w:themeColor="text2"/>
                      <w:sz w:val="14"/>
                      <w:szCs w:val="14"/>
                      <w:lang w:val="en-US"/>
                    </w:rPr>
                    <w:t xml:space="preserve">MRIs and relevant university departments </w:t>
                  </w:r>
                  <w:r w:rsidRPr="0008226D">
                    <w:rPr>
                      <w:color w:val="001C55" w:themeColor="text2"/>
                      <w:sz w:val="14"/>
                      <w:szCs w:val="14"/>
                      <w:lang w:val="en-US"/>
                    </w:rPr>
                    <w:t>(not including students)</w:t>
                  </w:r>
                </w:p>
              </w:tc>
              <w:tc>
                <w:tcPr>
                  <w:tcW w:w="1061" w:type="pct"/>
                  <w:gridSpan w:val="2"/>
                  <w:tcBorders>
                    <w:top w:val="single" w:sz="6" w:space="0" w:color="FCFCFC"/>
                    <w:left w:val="single" w:sz="6" w:space="0" w:color="D6D6D6"/>
                    <w:bottom w:val="single" w:sz="6" w:space="0" w:color="D6D6D6"/>
                    <w:right w:val="single" w:sz="6" w:space="0" w:color="FCFCFC"/>
                  </w:tcBorders>
                  <w:shd w:val="clear" w:color="auto" w:fill="BCCAD7"/>
                  <w:tcMar>
                    <w:top w:w="72" w:type="dxa"/>
                    <w:left w:w="144" w:type="dxa"/>
                    <w:bottom w:w="72" w:type="dxa"/>
                    <w:right w:w="144" w:type="dxa"/>
                  </w:tcMar>
                  <w:vAlign w:val="center"/>
                  <w:hideMark/>
                </w:tcPr>
                <w:p w14:paraId="15192830" w14:textId="77777777" w:rsidR="00224D8E" w:rsidRPr="0008226D" w:rsidRDefault="00224D8E" w:rsidP="0008226D">
                  <w:pPr>
                    <w:spacing w:before="0" w:after="0"/>
                    <w:contextualSpacing/>
                    <w:jc w:val="center"/>
                    <w:rPr>
                      <w:color w:val="001C55" w:themeColor="text2"/>
                      <w:sz w:val="14"/>
                      <w:szCs w:val="14"/>
                      <w:lang w:val="en-GB"/>
                    </w:rPr>
                  </w:pPr>
                  <w:r w:rsidRPr="0008226D">
                    <w:rPr>
                      <w:color w:val="001C55" w:themeColor="text2"/>
                      <w:sz w:val="14"/>
                      <w:szCs w:val="14"/>
                      <w:lang w:val="en-US"/>
                    </w:rPr>
                    <w:t>39,037</w:t>
                  </w:r>
                </w:p>
              </w:tc>
              <w:tc>
                <w:tcPr>
                  <w:tcW w:w="557" w:type="pct"/>
                  <w:tcBorders>
                    <w:top w:val="single" w:sz="6" w:space="0" w:color="FCFCFC"/>
                    <w:left w:val="single" w:sz="6" w:space="0" w:color="FCFCFC"/>
                    <w:bottom w:val="single" w:sz="6" w:space="0" w:color="D6D6D6"/>
                    <w:right w:val="single" w:sz="6" w:space="0" w:color="FCFCFC"/>
                  </w:tcBorders>
                  <w:shd w:val="clear" w:color="auto" w:fill="E3E3E3"/>
                  <w:tcMar>
                    <w:top w:w="72" w:type="dxa"/>
                    <w:left w:w="144" w:type="dxa"/>
                    <w:bottom w:w="72" w:type="dxa"/>
                    <w:right w:w="144" w:type="dxa"/>
                  </w:tcMar>
                  <w:vAlign w:val="center"/>
                  <w:hideMark/>
                </w:tcPr>
                <w:p w14:paraId="0127863E" w14:textId="77777777" w:rsidR="00224D8E" w:rsidRPr="0008226D" w:rsidRDefault="00224D8E" w:rsidP="0008226D">
                  <w:pPr>
                    <w:spacing w:before="0" w:after="0"/>
                    <w:contextualSpacing/>
                    <w:jc w:val="center"/>
                    <w:rPr>
                      <w:color w:val="001C55" w:themeColor="text2"/>
                      <w:sz w:val="14"/>
                      <w:szCs w:val="14"/>
                      <w:lang w:val="en-GB"/>
                    </w:rPr>
                  </w:pPr>
                </w:p>
              </w:tc>
              <w:tc>
                <w:tcPr>
                  <w:tcW w:w="519" w:type="pct"/>
                  <w:tcBorders>
                    <w:top w:val="single" w:sz="6" w:space="0" w:color="FCFCFC"/>
                    <w:left w:val="single" w:sz="6" w:space="0" w:color="FCFCFC"/>
                    <w:bottom w:val="single" w:sz="6" w:space="0" w:color="D6D6D6"/>
                    <w:right w:val="single" w:sz="6" w:space="0" w:color="FCFCFC"/>
                  </w:tcBorders>
                  <w:shd w:val="clear" w:color="auto" w:fill="E3E3E3"/>
                  <w:tcMar>
                    <w:top w:w="72" w:type="dxa"/>
                    <w:left w:w="144" w:type="dxa"/>
                    <w:bottom w:w="72" w:type="dxa"/>
                    <w:right w:w="144" w:type="dxa"/>
                  </w:tcMar>
                  <w:vAlign w:val="center"/>
                  <w:hideMark/>
                </w:tcPr>
                <w:p w14:paraId="6455B2F7" w14:textId="77777777" w:rsidR="00224D8E" w:rsidRPr="0008226D" w:rsidRDefault="00224D8E" w:rsidP="0008226D">
                  <w:pPr>
                    <w:spacing w:before="0" w:after="0"/>
                    <w:contextualSpacing/>
                    <w:jc w:val="center"/>
                    <w:rPr>
                      <w:color w:val="001C55" w:themeColor="text2"/>
                      <w:sz w:val="14"/>
                      <w:szCs w:val="14"/>
                      <w:lang w:val="en-GB"/>
                    </w:rPr>
                  </w:pPr>
                </w:p>
              </w:tc>
              <w:tc>
                <w:tcPr>
                  <w:tcW w:w="680" w:type="pct"/>
                  <w:tcBorders>
                    <w:top w:val="single" w:sz="6" w:space="0" w:color="FCFCFC"/>
                    <w:left w:val="single" w:sz="6" w:space="0" w:color="FCFCFC"/>
                    <w:bottom w:val="single" w:sz="6" w:space="0" w:color="D6D6D6"/>
                    <w:right w:val="single" w:sz="6" w:space="0" w:color="D6D6D6"/>
                  </w:tcBorders>
                  <w:shd w:val="clear" w:color="auto" w:fill="E3E3E3"/>
                  <w:tcMar>
                    <w:top w:w="72" w:type="dxa"/>
                    <w:left w:w="144" w:type="dxa"/>
                    <w:bottom w:w="72" w:type="dxa"/>
                    <w:right w:w="144" w:type="dxa"/>
                  </w:tcMar>
                  <w:vAlign w:val="center"/>
                  <w:hideMark/>
                </w:tcPr>
                <w:p w14:paraId="46BFA1A5" w14:textId="77777777" w:rsidR="00224D8E" w:rsidRPr="0008226D" w:rsidRDefault="00224D8E" w:rsidP="0008226D">
                  <w:pPr>
                    <w:spacing w:before="0" w:after="0"/>
                    <w:contextualSpacing/>
                    <w:jc w:val="center"/>
                    <w:rPr>
                      <w:color w:val="001C55" w:themeColor="text2"/>
                      <w:sz w:val="14"/>
                      <w:szCs w:val="14"/>
                      <w:lang w:val="en-GB"/>
                    </w:rPr>
                  </w:pPr>
                </w:p>
              </w:tc>
            </w:tr>
          </w:tbl>
          <w:p w14:paraId="4507EEF9" w14:textId="4B9CEE5A" w:rsidR="00A04243" w:rsidRDefault="00A04243" w:rsidP="0008226D">
            <w:pPr>
              <w:jc w:val="center"/>
            </w:pPr>
          </w:p>
        </w:tc>
      </w:tr>
    </w:tbl>
    <w:p w14:paraId="62CD866E" w14:textId="32A67A28" w:rsidR="00F80317" w:rsidRPr="00FC09E3" w:rsidRDefault="00F80317" w:rsidP="0008226D">
      <w:pPr>
        <w:pStyle w:val="BodyText"/>
      </w:pPr>
      <w:r w:rsidRPr="00FC09E3">
        <w:t xml:space="preserve">To date, most research into </w:t>
      </w:r>
      <w:r w:rsidR="00845B4E">
        <w:t xml:space="preserve">the HMR workforce </w:t>
      </w:r>
      <w:r w:rsidRPr="00FC09E3">
        <w:t>has used either survey data or datasets that have relatively good coverage of particular segments</w:t>
      </w:r>
      <w:r w:rsidR="00C70286" w:rsidRPr="00FC09E3">
        <w:t xml:space="preserve">. For example, the </w:t>
      </w:r>
      <w:r w:rsidRPr="00FC09E3">
        <w:t>historical Excellence in Research Australia data from the Australian Research Council</w:t>
      </w:r>
      <w:r w:rsidR="00B0175C" w:rsidRPr="00FC09E3">
        <w:t xml:space="preserve"> </w:t>
      </w:r>
      <w:r w:rsidR="006F32EF">
        <w:t xml:space="preserve">looked at </w:t>
      </w:r>
      <w:r w:rsidR="00E1261B" w:rsidRPr="00FC09E3">
        <w:t>research in Australian universities</w:t>
      </w:r>
      <w:r w:rsidRPr="00FC09E3">
        <w:t>.</w:t>
      </w:r>
      <w:r w:rsidR="007F542D" w:rsidRPr="00FC09E3">
        <w:rPr>
          <w:rStyle w:val="FootnoteReference"/>
        </w:rPr>
        <w:footnoteReference w:id="6"/>
      </w:r>
      <w:r w:rsidRPr="00FC09E3">
        <w:t xml:space="preserve"> Ideally, this workforce should be tracked consistently and comprehensively by a central agency such as the Australian Bureau of Statistics (ABS) in a manner that can be </w:t>
      </w:r>
      <w:r w:rsidRPr="00FC09E3">
        <w:lastRenderedPageBreak/>
        <w:t>compared to other labour forces</w:t>
      </w:r>
      <w:r w:rsidR="003C484F" w:rsidRPr="00FC09E3">
        <w:t xml:space="preserve"> in other industries</w:t>
      </w:r>
      <w:r w:rsidRPr="00FC09E3">
        <w:t>, and in longitudinal, publicly available manner. However, as with other workforces, the ABS standard for occupation classification (ANZSCO) poorly captures this workforce.</w:t>
      </w:r>
    </w:p>
    <w:p w14:paraId="7EBA8EC5" w14:textId="19EC1480" w:rsidR="001F724B" w:rsidRDefault="00F80317" w:rsidP="00A30BA4">
      <w:pPr>
        <w:pStyle w:val="BodyText"/>
      </w:pPr>
      <w:r w:rsidRPr="0097416E">
        <w:t xml:space="preserve">ANZSCO was </w:t>
      </w:r>
      <w:r w:rsidR="00EF321D" w:rsidRPr="0097416E">
        <w:t>initially designed and released in 2006, with subsequent updates to some occupations</w:t>
      </w:r>
      <w:r w:rsidRPr="0097416E">
        <w:t>,</w:t>
      </w:r>
      <w:r w:rsidRPr="00502993">
        <w:t xml:space="preserve"> and as such </w:t>
      </w:r>
      <w:r w:rsidR="00ED7D54">
        <w:t>some</w:t>
      </w:r>
      <w:r w:rsidRPr="00502993">
        <w:t xml:space="preserve"> occupations are poorly represented. F</w:t>
      </w:r>
      <w:r w:rsidR="004025C7">
        <w:t>urthermore, f</w:t>
      </w:r>
      <w:r w:rsidRPr="00502993">
        <w:t xml:space="preserve">or the traditional </w:t>
      </w:r>
      <w:r w:rsidR="00845B4E">
        <w:t>HMR</w:t>
      </w:r>
      <w:r w:rsidRPr="00502993">
        <w:t xml:space="preserve"> workforce, many roles are captured under tertiary education </w:t>
      </w:r>
      <w:r w:rsidR="00B57648" w:rsidRPr="00502993">
        <w:t>roles and</w:t>
      </w:r>
      <w:r w:rsidRPr="00502993">
        <w:t xml:space="preserve"> are indistinguishable from non-</w:t>
      </w:r>
      <w:r w:rsidR="00845B4E">
        <w:t>HMR</w:t>
      </w:r>
      <w:r w:rsidRPr="00502993">
        <w:t xml:space="preserve"> academic teaching and research activities.</w:t>
      </w:r>
      <w:r w:rsidR="00B57648" w:rsidRPr="00502993">
        <w:t xml:space="preserve"> Some information has been captured more specifically on the number of researchers in universities by field of research</w:t>
      </w:r>
      <w:r w:rsidR="006F32EF">
        <w:t>. H</w:t>
      </w:r>
      <w:r w:rsidR="00B57648" w:rsidRPr="00502993">
        <w:t>owever</w:t>
      </w:r>
      <w:r w:rsidR="006F32EF">
        <w:t>,</w:t>
      </w:r>
      <w:r w:rsidR="00B57648" w:rsidRPr="00502993">
        <w:t xml:space="preserve"> this data does not capture or distinguish those working in MRIs</w:t>
      </w:r>
      <w:r w:rsidR="002F6062">
        <w:t>. D</w:t>
      </w:r>
      <w:r w:rsidR="00B57648" w:rsidRPr="00502993">
        <w:t xml:space="preserve">ata collection </w:t>
      </w:r>
      <w:r w:rsidR="006E1C51">
        <w:t>through E</w:t>
      </w:r>
      <w:r w:rsidR="00845B4E">
        <w:t xml:space="preserve">xcellence in </w:t>
      </w:r>
      <w:r w:rsidR="006E1C51">
        <w:t>R</w:t>
      </w:r>
      <w:r w:rsidR="00845B4E">
        <w:t>esearch f</w:t>
      </w:r>
      <w:r w:rsidR="00B367F4">
        <w:t>or</w:t>
      </w:r>
      <w:r w:rsidR="00845B4E">
        <w:t xml:space="preserve"> </w:t>
      </w:r>
      <w:r w:rsidR="006E1C51">
        <w:t>A</w:t>
      </w:r>
      <w:r w:rsidR="00845B4E">
        <w:t>ustralia</w:t>
      </w:r>
      <w:r w:rsidR="006E1C51">
        <w:t xml:space="preserve"> </w:t>
      </w:r>
      <w:r w:rsidR="00B57648" w:rsidRPr="00502993">
        <w:t>ceased in 2018 with no updated information since then.</w:t>
      </w:r>
      <w:r w:rsidR="0011641B">
        <w:rPr>
          <w:rStyle w:val="FootnoteReference"/>
        </w:rPr>
        <w:footnoteReference w:id="7"/>
      </w:r>
      <w:r w:rsidR="00B57648" w:rsidRPr="00502993">
        <w:t xml:space="preserve"> For the non-traditional workforce, there is no simple way to </w:t>
      </w:r>
      <w:r w:rsidR="00B5153D">
        <w:t xml:space="preserve">use </w:t>
      </w:r>
      <w:r w:rsidR="00B57648" w:rsidRPr="00502993">
        <w:t>ABS</w:t>
      </w:r>
      <w:r w:rsidR="00B5153D">
        <w:t xml:space="preserve"> to </w:t>
      </w:r>
      <w:r w:rsidR="00B5153D" w:rsidRPr="00502993">
        <w:t>distinguish which clinical workers</w:t>
      </w:r>
      <w:r w:rsidR="00B57648" w:rsidRPr="00502993">
        <w:t xml:space="preserve"> may be performing research as a task as part of their occupation. Data on task-based analysis, rather than occupation-based analysis, is </w:t>
      </w:r>
      <w:r w:rsidR="002F6062">
        <w:t>very</w:t>
      </w:r>
      <w:r w:rsidR="002F6062" w:rsidRPr="00502993">
        <w:t xml:space="preserve"> </w:t>
      </w:r>
      <w:r w:rsidR="00B57648" w:rsidRPr="00502993">
        <w:t>limited.</w:t>
      </w:r>
      <w:r w:rsidR="00290035">
        <w:t xml:space="preserve"> Similar issues </w:t>
      </w:r>
      <w:r w:rsidR="006A1A43">
        <w:t>on workforce tracking exist in oth</w:t>
      </w:r>
      <w:r w:rsidR="008B4993">
        <w:t>er jurisdictions. In the United King</w:t>
      </w:r>
      <w:r w:rsidR="00EB0F02">
        <w:t>dom, workforce tra</w:t>
      </w:r>
      <w:r w:rsidR="00C164AF">
        <w:t xml:space="preserve">cking uses disparate tools including official labour force surveys, </w:t>
      </w:r>
      <w:r w:rsidR="00E13BAD">
        <w:t>ad hoc surveys</w:t>
      </w:r>
      <w:r w:rsidR="00B5153D">
        <w:t>,</w:t>
      </w:r>
      <w:r w:rsidR="00E13BAD">
        <w:t xml:space="preserve"> and </w:t>
      </w:r>
      <w:r w:rsidR="00AB7BE5">
        <w:t xml:space="preserve">reporting from higher education institutions. </w:t>
      </w:r>
      <w:r w:rsidR="00AB4CC2">
        <w:t xml:space="preserve">The data also </w:t>
      </w:r>
      <w:r w:rsidR="00C70EAE">
        <w:t xml:space="preserve">cover </w:t>
      </w:r>
      <w:r w:rsidR="006522C9">
        <w:t xml:space="preserve">different groups with some instruments capturing the entire research workforce and others only capturing the traditional segments of the HMR workforce. </w:t>
      </w:r>
    </w:p>
    <w:p w14:paraId="32631471" w14:textId="387C2B0E" w:rsidR="00B57648" w:rsidRPr="00502993" w:rsidRDefault="005412B0" w:rsidP="002A1E4F">
      <w:pPr>
        <w:pStyle w:val="Heading2"/>
      </w:pPr>
      <w:bookmarkStart w:id="13" w:name="_Toc175208703"/>
      <w:bookmarkStart w:id="14" w:name="_Toc178009063"/>
      <w:r w:rsidRPr="00502993">
        <w:t>Approach in this report</w:t>
      </w:r>
      <w:bookmarkEnd w:id="13"/>
      <w:bookmarkEnd w:id="14"/>
    </w:p>
    <w:p w14:paraId="7D6BFA02" w14:textId="04C00D79" w:rsidR="00B57648" w:rsidRPr="00502993" w:rsidRDefault="00B57648" w:rsidP="00667499">
      <w:pPr>
        <w:pStyle w:val="BodyText"/>
      </w:pPr>
      <w:r w:rsidRPr="00502993">
        <w:t xml:space="preserve">To overcome some of the limitations </w:t>
      </w:r>
      <w:r w:rsidR="006843B8">
        <w:t>of</w:t>
      </w:r>
      <w:r w:rsidRPr="00502993">
        <w:t xml:space="preserve"> previous attempts to understand the workforce this project </w:t>
      </w:r>
      <w:r w:rsidR="00911F0B">
        <w:t>uses</w:t>
      </w:r>
      <w:r w:rsidRPr="00502993">
        <w:t xml:space="preserve"> three distinct sources of information to estimate the key features of the </w:t>
      </w:r>
      <w:r w:rsidR="00300424">
        <w:t>HMR</w:t>
      </w:r>
      <w:r w:rsidRPr="00502993">
        <w:t xml:space="preserve"> workforce in Australia. These include:</w:t>
      </w:r>
    </w:p>
    <w:p w14:paraId="18D012F3" w14:textId="26C59E47" w:rsidR="00B57648" w:rsidRPr="00502993" w:rsidRDefault="00B57648" w:rsidP="00510B3D">
      <w:pPr>
        <w:pStyle w:val="BodyText"/>
        <w:numPr>
          <w:ilvl w:val="0"/>
          <w:numId w:val="17"/>
        </w:numPr>
      </w:pPr>
      <w:r w:rsidRPr="00502993">
        <w:t>Existing research and public data</w:t>
      </w:r>
      <w:r w:rsidR="00D75489">
        <w:t xml:space="preserve">, which allows us to </w:t>
      </w:r>
      <w:r w:rsidR="00396A37">
        <w:t>build a working definition of the workforce and sense check results.</w:t>
      </w:r>
    </w:p>
    <w:p w14:paraId="7F0CEA08" w14:textId="56D18032" w:rsidR="00B57648" w:rsidRPr="00502993" w:rsidRDefault="00B57648" w:rsidP="00510B3D">
      <w:pPr>
        <w:pStyle w:val="BodyText"/>
        <w:numPr>
          <w:ilvl w:val="0"/>
          <w:numId w:val="17"/>
        </w:numPr>
      </w:pPr>
      <w:r w:rsidRPr="00502993">
        <w:t>Novel microdata at the individual level</w:t>
      </w:r>
      <w:r w:rsidR="00396A37">
        <w:t>, which allows us to enrich public data from sources such as the ABS</w:t>
      </w:r>
      <w:r w:rsidR="001940A7">
        <w:t xml:space="preserve"> and generate broad estimates of size</w:t>
      </w:r>
      <w:r w:rsidR="00396A37">
        <w:t>, whil</w:t>
      </w:r>
      <w:r w:rsidR="00552B8C">
        <w:t>st</w:t>
      </w:r>
      <w:r w:rsidR="001940A7">
        <w:t xml:space="preserve"> also answering questions that have been almost impossible to answer to date, including proportions and movement of the workforce in a dynamic labour market.</w:t>
      </w:r>
    </w:p>
    <w:p w14:paraId="08FEAFC2" w14:textId="3E2FE292" w:rsidR="00B57648" w:rsidRPr="00502993" w:rsidRDefault="00B57648" w:rsidP="00510B3D">
      <w:pPr>
        <w:pStyle w:val="BodyText"/>
        <w:numPr>
          <w:ilvl w:val="0"/>
          <w:numId w:val="17"/>
        </w:numPr>
      </w:pPr>
      <w:r w:rsidRPr="00502993">
        <w:t xml:space="preserve">A bespoke survey of the </w:t>
      </w:r>
      <w:r w:rsidR="00663CFE" w:rsidRPr="00502993">
        <w:t>workforce</w:t>
      </w:r>
      <w:r w:rsidR="00663CFE">
        <w:t>, which</w:t>
      </w:r>
      <w:r w:rsidR="001940A7">
        <w:t xml:space="preserve"> allows us to capture rich, qualitative data to understand </w:t>
      </w:r>
      <w:r w:rsidR="00137BC1">
        <w:t>at a more detailed and nuanced level the motivations and sentiments of the sample of the workforce that respond.</w:t>
      </w:r>
    </w:p>
    <w:p w14:paraId="3F7FD477" w14:textId="3598E412" w:rsidR="00B57648" w:rsidRPr="00502993" w:rsidRDefault="00AB6C21" w:rsidP="00667499">
      <w:pPr>
        <w:pStyle w:val="BodyText"/>
      </w:pPr>
      <w:r w:rsidRPr="00502993">
        <w:t>Whil</w:t>
      </w:r>
      <w:r w:rsidR="00E60BB9">
        <w:t>st</w:t>
      </w:r>
      <w:r w:rsidRPr="00502993">
        <w:t xml:space="preserve"> each source of information has its limitations, t</w:t>
      </w:r>
      <w:r w:rsidR="00B57648" w:rsidRPr="00502993">
        <w:t>ogether</w:t>
      </w:r>
      <w:r w:rsidRPr="00502993">
        <w:t xml:space="preserve"> </w:t>
      </w:r>
      <w:r w:rsidR="006C053A">
        <w:t xml:space="preserve">these sources are critical to </w:t>
      </w:r>
      <w:r w:rsidR="009354B7">
        <w:t xml:space="preserve">answering </w:t>
      </w:r>
      <w:r w:rsidR="006C053A">
        <w:t xml:space="preserve">key questions </w:t>
      </w:r>
      <w:r w:rsidR="00B57648" w:rsidRPr="00502993">
        <w:t xml:space="preserve">about the </w:t>
      </w:r>
      <w:r w:rsidR="009354B7">
        <w:t>HMR</w:t>
      </w:r>
      <w:r w:rsidR="00B57648" w:rsidRPr="00502993">
        <w:t xml:space="preserve"> workforce</w:t>
      </w:r>
      <w:r w:rsidR="00356880">
        <w:t xml:space="preserve">. </w:t>
      </w:r>
      <w:r w:rsidR="0054669A">
        <w:t>T</w:t>
      </w:r>
      <w:r w:rsidRPr="00502993">
        <w:t xml:space="preserve">hese questions </w:t>
      </w:r>
      <w:r w:rsidR="0054669A">
        <w:t xml:space="preserve">can be categorised </w:t>
      </w:r>
      <w:r w:rsidR="00422E4E">
        <w:t>in</w:t>
      </w:r>
      <w:r w:rsidR="00B57648" w:rsidRPr="00502993">
        <w:t xml:space="preserve"> three areas:</w:t>
      </w:r>
    </w:p>
    <w:p w14:paraId="4F4C69EE" w14:textId="76689A6D" w:rsidR="00B57648" w:rsidRPr="00502993" w:rsidRDefault="00B57648" w:rsidP="00510B3D">
      <w:pPr>
        <w:pStyle w:val="BodyText"/>
        <w:numPr>
          <w:ilvl w:val="0"/>
          <w:numId w:val="18"/>
        </w:numPr>
      </w:pPr>
      <w:r w:rsidRPr="00502993">
        <w:rPr>
          <w:b/>
          <w:bCs/>
        </w:rPr>
        <w:t>Workforce segments</w:t>
      </w:r>
      <w:r w:rsidR="00422E4E">
        <w:rPr>
          <w:b/>
          <w:bCs/>
        </w:rPr>
        <w:t>:</w:t>
      </w:r>
      <w:r w:rsidR="00422E4E" w:rsidRPr="00502993">
        <w:rPr>
          <w:b/>
          <w:bCs/>
        </w:rPr>
        <w:t xml:space="preserve"> </w:t>
      </w:r>
      <w:r w:rsidRPr="00502993">
        <w:t>How can the workforce be segmented, how large are these segments, and what are their demographic features?</w:t>
      </w:r>
    </w:p>
    <w:p w14:paraId="1F6ACB81" w14:textId="25F948DA" w:rsidR="00B57648" w:rsidRPr="00502993" w:rsidRDefault="00B57648" w:rsidP="00510B3D">
      <w:pPr>
        <w:pStyle w:val="BodyText"/>
        <w:numPr>
          <w:ilvl w:val="0"/>
          <w:numId w:val="18"/>
        </w:numPr>
      </w:pPr>
      <w:r w:rsidRPr="00502993">
        <w:rPr>
          <w:b/>
          <w:bCs/>
        </w:rPr>
        <w:t>Workforce movement</w:t>
      </w:r>
      <w:r w:rsidR="00422E4E">
        <w:rPr>
          <w:b/>
          <w:bCs/>
        </w:rPr>
        <w:t>:</w:t>
      </w:r>
      <w:r w:rsidR="00422E4E" w:rsidRPr="00502993">
        <w:rPr>
          <w:b/>
          <w:bCs/>
        </w:rPr>
        <w:t xml:space="preserve"> </w:t>
      </w:r>
      <w:r w:rsidRPr="00502993">
        <w:t xml:space="preserve">How often do different segments of the workforce move around the labour market? What are the common pathways for movement? </w:t>
      </w:r>
    </w:p>
    <w:p w14:paraId="292EDBB6" w14:textId="4C5FD217" w:rsidR="001D0CE0" w:rsidRPr="00502993" w:rsidRDefault="00B57648" w:rsidP="0008226D">
      <w:pPr>
        <w:pStyle w:val="BodyText"/>
        <w:numPr>
          <w:ilvl w:val="0"/>
          <w:numId w:val="18"/>
        </w:numPr>
      </w:pPr>
      <w:r w:rsidRPr="00502993">
        <w:rPr>
          <w:b/>
          <w:bCs/>
        </w:rPr>
        <w:t>Workforce motivations</w:t>
      </w:r>
      <w:r w:rsidR="00422E4E">
        <w:rPr>
          <w:b/>
          <w:bCs/>
        </w:rPr>
        <w:t>:</w:t>
      </w:r>
      <w:r w:rsidR="00422E4E" w:rsidRPr="00502993">
        <w:t xml:space="preserve"> </w:t>
      </w:r>
      <w:r w:rsidRPr="00502993">
        <w:t>Why do workers move throughout the labour market? What is driving decision making and leading to workers to move to/from different segments or roles? What do workers consider</w:t>
      </w:r>
      <w:r w:rsidR="00D80E5B">
        <w:t xml:space="preserve"> to be</w:t>
      </w:r>
      <w:r w:rsidRPr="00502993">
        <w:t xml:space="preserve"> the major challenges and opportunities in their previous and current roles?</w:t>
      </w:r>
    </w:p>
    <w:p w14:paraId="01DC57FB" w14:textId="3DA96E13" w:rsidR="00FE18D5" w:rsidRDefault="00FE18D5" w:rsidP="00FE18D5">
      <w:pPr>
        <w:pStyle w:val="Heading2"/>
      </w:pPr>
      <w:bookmarkStart w:id="15" w:name="_Toc178009064"/>
      <w:r>
        <w:t>Potential limitations</w:t>
      </w:r>
      <w:bookmarkEnd w:id="15"/>
    </w:p>
    <w:p w14:paraId="24056E9C" w14:textId="0EF3E302" w:rsidR="007F67D6" w:rsidRDefault="00E738A8" w:rsidP="0008226D">
      <w:pPr>
        <w:pStyle w:val="BodyText"/>
      </w:pPr>
      <w:r>
        <w:rPr>
          <w:lang w:val="en-GB"/>
        </w:rPr>
        <w:t>Without consistent, regular, and comprehensive data collection by responsible government agencies or peak bodies</w:t>
      </w:r>
      <w:r w:rsidR="00D80E5B">
        <w:rPr>
          <w:lang w:val="en-GB"/>
        </w:rPr>
        <w:t>,</w:t>
      </w:r>
      <w:r>
        <w:rPr>
          <w:lang w:val="en-GB"/>
        </w:rPr>
        <w:t xml:space="preserve"> any analysis will be limited </w:t>
      </w:r>
      <w:r w:rsidR="0012617D">
        <w:rPr>
          <w:lang w:val="en-GB"/>
        </w:rPr>
        <w:t xml:space="preserve">to </w:t>
      </w:r>
      <w:r w:rsidR="00190BC8">
        <w:rPr>
          <w:lang w:val="en-GB"/>
        </w:rPr>
        <w:t xml:space="preserve">available disparate sources. This report </w:t>
      </w:r>
      <w:r w:rsidR="00190BC8" w:rsidRPr="00190BC8">
        <w:t xml:space="preserve">relies on three distinct sources of information: </w:t>
      </w:r>
      <w:r w:rsidR="00190BC8" w:rsidRPr="00190BC8">
        <w:lastRenderedPageBreak/>
        <w:t xml:space="preserve">existing research and public data, novel microdata at the individual </w:t>
      </w:r>
      <w:r w:rsidR="00C134D1">
        <w:t xml:space="preserve">position </w:t>
      </w:r>
      <w:r w:rsidR="00190BC8" w:rsidRPr="00190BC8">
        <w:t>level, and a bespoke survey. This multi-faceted approach</w:t>
      </w:r>
      <w:r w:rsidR="00B104AA">
        <w:t xml:space="preserve"> </w:t>
      </w:r>
      <w:r w:rsidR="00190BC8" w:rsidRPr="00190BC8">
        <w:t xml:space="preserve">may </w:t>
      </w:r>
      <w:r w:rsidR="00190BC8">
        <w:t>not necessarily permit like-for-like comparisons</w:t>
      </w:r>
      <w:r w:rsidR="001E5935">
        <w:t xml:space="preserve"> agai</w:t>
      </w:r>
      <w:r w:rsidR="00EE0963">
        <w:t xml:space="preserve">nst other workforces or </w:t>
      </w:r>
      <w:r w:rsidR="009568B5">
        <w:t>countries unless repeated</w:t>
      </w:r>
      <w:r w:rsidR="00190BC8">
        <w:t>.</w:t>
      </w:r>
      <w:r w:rsidR="00190BC8" w:rsidRPr="00190BC8">
        <w:t xml:space="preserve"> </w:t>
      </w:r>
    </w:p>
    <w:p w14:paraId="251804EB" w14:textId="609490CB" w:rsidR="00016ED7" w:rsidRPr="004F1E72" w:rsidRDefault="009568B5" w:rsidP="0008226D">
      <w:pPr>
        <w:pStyle w:val="BodyText"/>
        <w:rPr>
          <w:color w:val="0A2471" w:themeColor="accent1"/>
          <w:lang w:val="en-GB"/>
        </w:rPr>
      </w:pPr>
      <w:r>
        <w:t>The</w:t>
      </w:r>
      <w:r w:rsidR="00BA093C">
        <w:t xml:space="preserve"> workforce headcounts</w:t>
      </w:r>
      <w:r>
        <w:t xml:space="preserve"> based on microdata are estimates that </w:t>
      </w:r>
      <w:r w:rsidR="00BA093C">
        <w:t xml:space="preserve">rely on point-in-time </w:t>
      </w:r>
      <w:r>
        <w:t>information</w:t>
      </w:r>
      <w:r w:rsidR="0015358C">
        <w:t xml:space="preserve">. </w:t>
      </w:r>
      <w:r w:rsidR="007E5B91">
        <w:t xml:space="preserve">Our unique methodology allows us to provide estimates of the total workforce and, for the first time, understand how they move between roles and </w:t>
      </w:r>
      <w:r w:rsidR="00E3059E">
        <w:t>industries</w:t>
      </w:r>
      <w:r w:rsidR="00BA093C">
        <w:t>.</w:t>
      </w:r>
      <w:r w:rsidR="00275E38" w:rsidDel="0081736C">
        <w:t xml:space="preserve"> </w:t>
      </w:r>
      <w:r w:rsidR="00A920FE">
        <w:t xml:space="preserve">Ideally, this information would be captured in a </w:t>
      </w:r>
      <w:r w:rsidR="00A920FE">
        <w:rPr>
          <w:lang w:val="en-GB"/>
        </w:rPr>
        <w:t xml:space="preserve">systematic, ongoing, consistent </w:t>
      </w:r>
      <w:r w:rsidR="008823F4">
        <w:rPr>
          <w:lang w:val="en-GB"/>
        </w:rPr>
        <w:t>manner by an official bod</w:t>
      </w:r>
      <w:r w:rsidR="00E3059E">
        <w:rPr>
          <w:lang w:val="en-GB"/>
        </w:rPr>
        <w:t>y. H</w:t>
      </w:r>
      <w:r w:rsidR="008823F4">
        <w:rPr>
          <w:lang w:val="en-GB"/>
        </w:rPr>
        <w:t>owever</w:t>
      </w:r>
      <w:r w:rsidR="00E3059E">
        <w:rPr>
          <w:lang w:val="en-GB"/>
        </w:rPr>
        <w:t>,</w:t>
      </w:r>
      <w:r w:rsidR="008823F4">
        <w:rPr>
          <w:lang w:val="en-GB"/>
        </w:rPr>
        <w:t xml:space="preserve"> in the absence of such information</w:t>
      </w:r>
      <w:r w:rsidR="00E3059E">
        <w:rPr>
          <w:lang w:val="en-GB"/>
        </w:rPr>
        <w:t>,</w:t>
      </w:r>
      <w:r w:rsidR="008823F4">
        <w:rPr>
          <w:lang w:val="en-GB"/>
        </w:rPr>
        <w:t xml:space="preserve"> this audit uses </w:t>
      </w:r>
      <w:proofErr w:type="spellStart"/>
      <w:r w:rsidR="0065609C">
        <w:rPr>
          <w:lang w:val="en-GB"/>
        </w:rPr>
        <w:t>Revelio</w:t>
      </w:r>
      <w:proofErr w:type="spellEnd"/>
      <w:r w:rsidR="0065609C">
        <w:rPr>
          <w:lang w:val="en-GB"/>
        </w:rPr>
        <w:t>,</w:t>
      </w:r>
      <w:r w:rsidR="00A95DC9">
        <w:rPr>
          <w:lang w:val="en-GB"/>
        </w:rPr>
        <w:t xml:space="preserve"> </w:t>
      </w:r>
      <w:r w:rsidR="00016ED7">
        <w:t xml:space="preserve">a workforce intelligence provider that absorbs and standardises publicly available employment records to create an overview of company workforce dynamics, including the stock and flows of workers. It </w:t>
      </w:r>
      <w:r w:rsidR="00E3059E">
        <w:t>is</w:t>
      </w:r>
      <w:r w:rsidR="00016ED7">
        <w:t xml:space="preserve"> used increasingly in research reports for a variety of topics</w:t>
      </w:r>
      <w:r w:rsidR="00016ED7">
        <w:rPr>
          <w:rStyle w:val="FootnoteReference"/>
        </w:rPr>
        <w:footnoteReference w:id="8"/>
      </w:r>
      <w:r w:rsidR="00016ED7">
        <w:t>.</w:t>
      </w:r>
      <w:r w:rsidR="00016ED7">
        <w:rPr>
          <w:lang w:val="en-GB"/>
        </w:rPr>
        <w:t xml:space="preserve"> </w:t>
      </w:r>
    </w:p>
    <w:p w14:paraId="6CBCCE45" w14:textId="78D200CD" w:rsidR="00EC090E" w:rsidRDefault="00016ED7" w:rsidP="0008226D">
      <w:pPr>
        <w:pStyle w:val="BodyText"/>
      </w:pPr>
      <w:r>
        <w:t>The dataset is at a position</w:t>
      </w:r>
      <w:r w:rsidR="00E3059E">
        <w:t xml:space="preserve"> </w:t>
      </w:r>
      <w:r>
        <w:t xml:space="preserve">level (that is, more detailed than the person level), which allows us to understand transitions and better identify researchers who may hold multiple roles or honorary positions. Our definitions are based on the position history of individuals over the last </w:t>
      </w:r>
      <w:r w:rsidR="00E3059E">
        <w:t xml:space="preserve">five </w:t>
      </w:r>
      <w:r>
        <w:t>years. That is, individuals who have held a position that is defined as belonging to either</w:t>
      </w:r>
      <w:r w:rsidR="00E3059E">
        <w:t xml:space="preserve"> the</w:t>
      </w:r>
      <w:r>
        <w:t xml:space="preserve"> traditional or non-traditional research workforce (as described in methodology in appendix) </w:t>
      </w:r>
      <w:r w:rsidR="001503BC">
        <w:t xml:space="preserve">are </w:t>
      </w:r>
      <w:r>
        <w:t xml:space="preserve">included in the analysis. If individuals have held only one position defined as traditional or non-traditional over the last five years, </w:t>
      </w:r>
      <w:r w:rsidR="001503BC">
        <w:t>they</w:t>
      </w:r>
      <w:r>
        <w:t xml:space="preserve"> would be included in the analysis. Individuals who concurrently hold positions defined as traditional and non-traditional are classed as both for charts displaying person-level data</w:t>
      </w:r>
      <w:r w:rsidR="001049D2">
        <w:t>,</w:t>
      </w:r>
      <w:r>
        <w:t xml:space="preserve"> or counted twice (once in each category) for charts displaying position-level data.</w:t>
      </w:r>
    </w:p>
    <w:p w14:paraId="1104366C" w14:textId="1B0333FD" w:rsidR="00275E38" w:rsidRPr="00190BC8" w:rsidRDefault="00496B00" w:rsidP="0008226D">
      <w:pPr>
        <w:pStyle w:val="BodyText"/>
        <w:rPr>
          <w:lang w:val="en-GB"/>
        </w:rPr>
      </w:pPr>
      <w:r>
        <w:t>A</w:t>
      </w:r>
      <w:r w:rsidR="009F1770">
        <w:t xml:space="preserve">ny </w:t>
      </w:r>
      <w:r>
        <w:t>attempt to define a group of people</w:t>
      </w:r>
      <w:r w:rsidRPr="00496B00">
        <w:t xml:space="preserve"> will always result in edge cases</w:t>
      </w:r>
      <w:r w:rsidR="00F93C48">
        <w:t>. Our</w:t>
      </w:r>
      <w:r w:rsidRPr="00496B00">
        <w:t xml:space="preserve"> </w:t>
      </w:r>
      <w:r w:rsidR="00C313F8">
        <w:t>taxonomy</w:t>
      </w:r>
      <w:r w:rsidR="00C313F8" w:rsidRPr="00496B00">
        <w:t xml:space="preserve"> </w:t>
      </w:r>
      <w:r w:rsidR="00C313F8">
        <w:t>aims</w:t>
      </w:r>
      <w:r w:rsidRPr="00496B00">
        <w:t xml:space="preserve"> to </w:t>
      </w:r>
      <w:r w:rsidR="00D97C79">
        <w:t>capture</w:t>
      </w:r>
      <w:r w:rsidR="00D97C79" w:rsidRPr="00496B00">
        <w:t xml:space="preserve"> </w:t>
      </w:r>
      <w:r w:rsidR="00F93C48">
        <w:t xml:space="preserve">as many people </w:t>
      </w:r>
      <w:r w:rsidR="00056C19">
        <w:t xml:space="preserve">as possible </w:t>
      </w:r>
      <w:r w:rsidR="00F93C48">
        <w:t>who perform</w:t>
      </w:r>
      <w:r w:rsidR="00056C19">
        <w:t xml:space="preserve"> or support</w:t>
      </w:r>
      <w:r w:rsidR="00F93C48">
        <w:t xml:space="preserve"> research as a</w:t>
      </w:r>
      <w:r w:rsidR="00056C19">
        <w:t xml:space="preserve"> core </w:t>
      </w:r>
      <w:r w:rsidR="00F93C48">
        <w:t>component of their occupation, whil</w:t>
      </w:r>
      <w:r w:rsidR="00FC4BA5">
        <w:t xml:space="preserve">st </w:t>
      </w:r>
      <w:r w:rsidR="00F93C48">
        <w:t xml:space="preserve">not </w:t>
      </w:r>
      <w:r w:rsidR="002573CE">
        <w:t>skewing the analysis</w:t>
      </w:r>
      <w:r w:rsidR="009269DB">
        <w:t xml:space="preserve"> </w:t>
      </w:r>
      <w:r w:rsidR="00F93C48">
        <w:t>with</w:t>
      </w:r>
      <w:r w:rsidR="002573CE">
        <w:t xml:space="preserve"> the experiences of</w:t>
      </w:r>
      <w:r w:rsidR="00F93C48">
        <w:t xml:space="preserve"> individuals </w:t>
      </w:r>
      <w:r w:rsidR="00FA22B5">
        <w:t xml:space="preserve">who are less likely to perform or support research as </w:t>
      </w:r>
      <w:r w:rsidR="0071602B">
        <w:t xml:space="preserve">a </w:t>
      </w:r>
      <w:r w:rsidR="00FC4BA5">
        <w:t xml:space="preserve">core </w:t>
      </w:r>
      <w:r w:rsidR="0071602B">
        <w:t xml:space="preserve">component of their occupation. </w:t>
      </w:r>
      <w:r w:rsidR="00275E38">
        <w:t>An occupation- and employer-based approach (as opposed to a task-based approach) to defining segments of the workforce limits the ability to analyse roles that</w:t>
      </w:r>
      <w:r w:rsidR="00377A82">
        <w:t xml:space="preserve"> perform some</w:t>
      </w:r>
      <w:r w:rsidR="00FC4BA5">
        <w:t xml:space="preserve"> </w:t>
      </w:r>
      <w:r w:rsidR="00275E38">
        <w:t>research as only a task undertaken in that occupation (rather than the substantive activity of that occupation). This particularly applies to clinical roles, which may therefore be undercounted.</w:t>
      </w:r>
    </w:p>
    <w:p w14:paraId="02921DDB" w14:textId="6408A4E9" w:rsidR="007F67D6" w:rsidRDefault="00190BC8" w:rsidP="0008226D">
      <w:pPr>
        <w:pStyle w:val="BodyText"/>
      </w:pPr>
      <w:r w:rsidRPr="00190BC8">
        <w:t>Other limitations of the report include</w:t>
      </w:r>
      <w:r w:rsidR="0050351D">
        <w:t xml:space="preserve"> unaccounted</w:t>
      </w:r>
      <w:r w:rsidR="00377A82">
        <w:t>-</w:t>
      </w:r>
      <w:r w:rsidR="0050351D">
        <w:t>for</w:t>
      </w:r>
      <w:r w:rsidRPr="00190BC8">
        <w:t xml:space="preserve"> potential sampling bias in the survey, </w:t>
      </w:r>
      <w:r w:rsidR="0050351D">
        <w:t>as a lack of standardised data limits the ability to assess bias in more detailed ways than gender, location, and overall workforce segment size.</w:t>
      </w:r>
      <w:r w:rsidR="00470693">
        <w:t xml:space="preserve"> </w:t>
      </w:r>
      <w:r w:rsidR="00411168" w:rsidRPr="00CB5CCA">
        <w:t xml:space="preserve">Weights to adjust for these factors are presented in the appendix accompanying this </w:t>
      </w:r>
      <w:r w:rsidR="00411168">
        <w:t xml:space="preserve">report. </w:t>
      </w:r>
      <w:r w:rsidR="00411168" w:rsidRPr="002573CE">
        <w:t xml:space="preserve"> </w:t>
      </w:r>
      <w:r w:rsidR="00470693">
        <w:t xml:space="preserve">Some </w:t>
      </w:r>
      <w:r w:rsidR="00377A82">
        <w:t xml:space="preserve">roles </w:t>
      </w:r>
      <w:r w:rsidR="008E0E09">
        <w:t>are likely</w:t>
      </w:r>
      <w:r w:rsidR="00470693">
        <w:t xml:space="preserve"> underrepresented, particularly </w:t>
      </w:r>
      <w:r w:rsidR="004612AF">
        <w:t xml:space="preserve">clinician </w:t>
      </w:r>
      <w:r w:rsidR="00470693">
        <w:t xml:space="preserve">researchers and inactive researchers. </w:t>
      </w:r>
      <w:r w:rsidR="00D060CA">
        <w:t xml:space="preserve">Given the number of respondents </w:t>
      </w:r>
      <w:r w:rsidR="00EA47F1">
        <w:t>of the surve</w:t>
      </w:r>
      <w:r w:rsidR="00EF5828">
        <w:t>y</w:t>
      </w:r>
      <w:r w:rsidR="00275E38">
        <w:t xml:space="preserve"> (</w:t>
      </w:r>
      <w:r w:rsidR="008E0E09">
        <w:t>n=</w:t>
      </w:r>
      <w:r w:rsidR="00275E38">
        <w:t>2,0</w:t>
      </w:r>
      <w:r w:rsidR="008E0E09">
        <w:t>65</w:t>
      </w:r>
      <w:r w:rsidR="00275E38">
        <w:t>)</w:t>
      </w:r>
      <w:r w:rsidR="00EF5828">
        <w:t xml:space="preserve"> and the estimated size of the workforce, the</w:t>
      </w:r>
      <w:r w:rsidR="00275E38">
        <w:t xml:space="preserve"> overall</w:t>
      </w:r>
      <w:r w:rsidR="00EF5828">
        <w:t xml:space="preserve"> response rate is expected to be </w:t>
      </w:r>
      <w:r w:rsidR="00496E17">
        <w:t>5</w:t>
      </w:r>
      <w:r w:rsidR="00377A82">
        <w:t xml:space="preserve"> per cent. </w:t>
      </w:r>
      <w:r w:rsidR="002573CE" w:rsidRPr="00190BC8">
        <w:t>The reliance on self-reported data in the survey may introduce subjective biases. These limitations should be considered when interpreting the results and using the findings to inform policy decisions. Future iterations of this research could address these issues by establishing more standardised and regular data collection methods across the sector.</w:t>
      </w:r>
      <w:r w:rsidR="001E1740">
        <w:t xml:space="preserve"> </w:t>
      </w:r>
      <w:r w:rsidR="0050351D">
        <w:t>A</w:t>
      </w:r>
      <w:r w:rsidRPr="00190BC8">
        <w:t xml:space="preserve"> lack of longitudinal data </w:t>
      </w:r>
      <w:r w:rsidR="0050351D">
        <w:t xml:space="preserve">also limits the ability </w:t>
      </w:r>
      <w:r w:rsidRPr="00190BC8">
        <w:t>to track changes over time</w:t>
      </w:r>
      <w:r w:rsidR="0050351D">
        <w:t xml:space="preserve"> and understand any potential trends or the impact of historical policies.</w:t>
      </w:r>
      <w:r w:rsidRPr="00190BC8">
        <w:t xml:space="preserve"> </w:t>
      </w:r>
    </w:p>
    <w:p w14:paraId="4415E0E1" w14:textId="77777777" w:rsidR="00667499" w:rsidRDefault="00667499" w:rsidP="0008226D">
      <w:pPr>
        <w:rPr>
          <w:rFonts w:cstheme="minorBidi"/>
          <w:b/>
          <w:caps/>
          <w:color w:val="FCFCFC" w:themeColor="background1"/>
          <w:spacing w:val="15"/>
          <w:kern w:val="2"/>
          <w:sz w:val="32"/>
          <w:szCs w:val="24"/>
          <w:lang w:val="en-GB"/>
          <w14:ligatures w14:val="standardContextual"/>
        </w:rPr>
      </w:pPr>
      <w:bookmarkStart w:id="16" w:name="_Toc175208704"/>
      <w:r>
        <w:br w:type="page"/>
      </w:r>
    </w:p>
    <w:p w14:paraId="05D34706" w14:textId="2BDBE64E" w:rsidR="00D90C1B" w:rsidRDefault="00D90C1B" w:rsidP="002E01A8">
      <w:pPr>
        <w:pStyle w:val="Heading1"/>
      </w:pPr>
      <w:bookmarkStart w:id="17" w:name="_Toc178009065"/>
      <w:r>
        <w:rPr>
          <w:bCs/>
        </w:rPr>
        <w:lastRenderedPageBreak/>
        <w:t xml:space="preserve">Chapter 1: </w:t>
      </w:r>
      <w:r w:rsidRPr="00502993">
        <w:rPr>
          <w:bCs/>
        </w:rPr>
        <w:t>Workforce segments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F21D19" w14:paraId="6A52CF11" w14:textId="77777777" w:rsidTr="00F21D19">
        <w:tc>
          <w:tcPr>
            <w:tcW w:w="9742" w:type="dxa"/>
            <w:shd w:val="clear" w:color="auto" w:fill="E8EDF1" w:themeFill="accent3" w:themeFillTint="33"/>
          </w:tcPr>
          <w:p w14:paraId="6F74D88B" w14:textId="0A34E22C" w:rsidR="00F21D19" w:rsidRDefault="00F21D19" w:rsidP="00F21D19">
            <w:pPr>
              <w:pStyle w:val="Heading2"/>
            </w:pPr>
            <w:bookmarkStart w:id="18" w:name="_Toc178009066"/>
            <w:bookmarkEnd w:id="16"/>
            <w:r w:rsidRPr="00C7436C">
              <w:t xml:space="preserve">Key finding: </w:t>
            </w:r>
            <w:r>
              <w:t>T</w:t>
            </w:r>
            <w:r w:rsidRPr="00C7436C">
              <w:t xml:space="preserve">here are 39,690 active researchers nationwide, with 65% </w:t>
            </w:r>
            <w:r w:rsidR="00F2068A">
              <w:t xml:space="preserve">in the </w:t>
            </w:r>
            <w:r w:rsidRPr="00C7436C">
              <w:t xml:space="preserve">traditional </w:t>
            </w:r>
            <w:r w:rsidR="00F2068A">
              <w:t xml:space="preserve">segment </w:t>
            </w:r>
            <w:r w:rsidRPr="00C7436C">
              <w:t xml:space="preserve">and 33% </w:t>
            </w:r>
            <w:r w:rsidR="00BE493C">
              <w:t xml:space="preserve">in the </w:t>
            </w:r>
            <w:r w:rsidRPr="00C7436C">
              <w:t>non-traditional</w:t>
            </w:r>
            <w:bookmarkEnd w:id="18"/>
            <w:r w:rsidR="00BE493C">
              <w:t xml:space="preserve"> segment</w:t>
            </w:r>
          </w:p>
          <w:p w14:paraId="578A28F9" w14:textId="1A7376DA" w:rsidR="00DB62EE" w:rsidRPr="00DB62EE" w:rsidRDefault="00DB62EE" w:rsidP="00DB62EE">
            <w:pPr>
              <w:pStyle w:val="BodyText"/>
            </w:pPr>
            <w:bookmarkStart w:id="19" w:name="_Toc175208705"/>
            <w:r w:rsidRPr="00DB62EE">
              <w:t xml:space="preserve">This chapter examines the structure and geographical distribution of Australia's health and medical research workforce. With 39,690 active researchers, the sector is divided into traditional (65%) and non-traditional (33%) segments. The traditional workforce, primarily supported by government funding, comprises 25,940 researchers in universities and </w:t>
            </w:r>
            <w:r w:rsidR="00893E3E">
              <w:t>M</w:t>
            </w:r>
            <w:r w:rsidRPr="00DB62EE">
              <w:t xml:space="preserve">edical </w:t>
            </w:r>
            <w:r w:rsidR="00893E3E">
              <w:t>R</w:t>
            </w:r>
            <w:r w:rsidRPr="00DB62EE">
              <w:t xml:space="preserve">esearch </w:t>
            </w:r>
            <w:r w:rsidR="00893E3E">
              <w:t>I</w:t>
            </w:r>
            <w:r w:rsidRPr="00DB62EE">
              <w:t xml:space="preserve">nstitutes. An additional 13,100 researchers work in the non-traditional sector. Victoria emerges as a key area in HMR, employing 30% of the traditional and 32% of the non-traditional workforce, above its share of the national workforce. </w:t>
            </w:r>
            <w:r w:rsidR="00AA498F">
              <w:t xml:space="preserve">Gender disparities </w:t>
            </w:r>
            <w:r w:rsidR="008838C1">
              <w:t xml:space="preserve">emerged in </w:t>
            </w:r>
            <w:r w:rsidR="000709E4">
              <w:t xml:space="preserve">health and medical research workforce. </w:t>
            </w:r>
            <w:r w:rsidR="00AA498F">
              <w:t>W</w:t>
            </w:r>
            <w:r w:rsidRPr="00DB62EE">
              <w:t xml:space="preserve">omen </w:t>
            </w:r>
            <w:r w:rsidR="008366C2">
              <w:t>make up</w:t>
            </w:r>
            <w:r w:rsidRPr="00DB62EE">
              <w:t xml:space="preserve"> 52% of the workforce overall but only one in four researchers at the most senior levels</w:t>
            </w:r>
            <w:r w:rsidR="008366C2">
              <w:t>. Women e</w:t>
            </w:r>
            <w:r w:rsidRPr="00DB62EE">
              <w:t>xperienc</w:t>
            </w:r>
            <w:r w:rsidR="008366C2">
              <w:t>e</w:t>
            </w:r>
            <w:r w:rsidRPr="00DB62EE">
              <w:t xml:space="preserve"> higher rates of career interruptions (55% for women</w:t>
            </w:r>
            <w:r w:rsidR="008366C2">
              <w:t xml:space="preserve"> compared to</w:t>
            </w:r>
            <w:r w:rsidRPr="00DB62EE">
              <w:t xml:space="preserve"> 27% for men), predominantly due to parental leave. </w:t>
            </w:r>
            <w:r w:rsidR="000709E4">
              <w:t>T</w:t>
            </w:r>
            <w:r w:rsidRPr="00DB62EE">
              <w:t xml:space="preserve">he international nature of the workforce is also evident, with </w:t>
            </w:r>
            <w:r w:rsidR="00E22766">
              <w:t>more than</w:t>
            </w:r>
            <w:r w:rsidRPr="00DB62EE">
              <w:t xml:space="preserve"> 40% of researchers born overseas and 35% of traditional researchers having moved to Australia specifically for a research job, compared to only 10% of non-traditional researchers.</w:t>
            </w:r>
          </w:p>
        </w:tc>
      </w:tr>
    </w:tbl>
    <w:p w14:paraId="366E62A8" w14:textId="77777777" w:rsidR="00DB62EE" w:rsidRPr="00083CE0" w:rsidRDefault="00DB62EE" w:rsidP="00083CE0">
      <w:r w:rsidRPr="00083CE0">
        <w:br w:type="page"/>
      </w:r>
    </w:p>
    <w:p w14:paraId="10786F5C" w14:textId="0407702F" w:rsidR="00AB6C21" w:rsidRPr="000918C9" w:rsidRDefault="000918C9" w:rsidP="002A1E4F">
      <w:pPr>
        <w:pStyle w:val="Heading2"/>
      </w:pPr>
      <w:bookmarkStart w:id="20" w:name="_Toc178009067"/>
      <w:r>
        <w:lastRenderedPageBreak/>
        <w:t>The overall workforce</w:t>
      </w:r>
      <w:bookmarkEnd w:id="19"/>
      <w:r w:rsidR="00FC17ED">
        <w:t xml:space="preserve"> is made up of </w:t>
      </w:r>
      <w:r w:rsidR="00DD4AAB">
        <w:t xml:space="preserve">an estimated </w:t>
      </w:r>
      <w:r w:rsidR="005F30F4">
        <w:t>3</w:t>
      </w:r>
      <w:r w:rsidR="00FC17ED">
        <w:t>9,690 active researchers</w:t>
      </w:r>
      <w:bookmarkEnd w:id="20"/>
    </w:p>
    <w:p w14:paraId="23BADC05" w14:textId="0F8E07F0" w:rsidR="00552E89" w:rsidRPr="00A30BA4" w:rsidRDefault="00AB6C21" w:rsidP="00A30BA4">
      <w:pPr>
        <w:pStyle w:val="BodyText"/>
      </w:pPr>
      <w:r w:rsidRPr="00A30BA4">
        <w:t xml:space="preserve">There are currently </w:t>
      </w:r>
      <w:r w:rsidR="00DD4AAB">
        <w:t xml:space="preserve">an estimated </w:t>
      </w:r>
      <w:r w:rsidRPr="00A30BA4">
        <w:t xml:space="preserve">25,940 researchers in the traditional research workforce, who work in universities and </w:t>
      </w:r>
      <w:r w:rsidR="00893E3E" w:rsidRPr="00A30BA4">
        <w:t>M</w:t>
      </w:r>
      <w:r w:rsidRPr="00A30BA4">
        <w:t xml:space="preserve">edical </w:t>
      </w:r>
      <w:r w:rsidR="00893E3E" w:rsidRPr="00A30BA4">
        <w:t>R</w:t>
      </w:r>
      <w:r w:rsidRPr="00A30BA4">
        <w:t xml:space="preserve">esearch </w:t>
      </w:r>
      <w:r w:rsidR="00893E3E" w:rsidRPr="00A30BA4">
        <w:t>I</w:t>
      </w:r>
      <w:r w:rsidRPr="00A30BA4">
        <w:t>nstitutes</w:t>
      </w:r>
      <w:r w:rsidR="00AC22F5" w:rsidRPr="00A30BA4">
        <w:t xml:space="preserve">. This suggests </w:t>
      </w:r>
      <w:r w:rsidR="007F542D" w:rsidRPr="00A30BA4">
        <w:t xml:space="preserve">approximately </w:t>
      </w:r>
      <w:r w:rsidRPr="00A30BA4">
        <w:t>65% of the active workforce is supported in some way by government funding (grants or through university employment). An additional</w:t>
      </w:r>
      <w:r w:rsidR="00DD4AAB">
        <w:t xml:space="preserve"> estimated</w:t>
      </w:r>
      <w:r w:rsidRPr="00A30BA4">
        <w:t xml:space="preserve"> 13,100 researchers work in the non-traditional research sector. </w:t>
      </w:r>
    </w:p>
    <w:p w14:paraId="21C051EA" w14:textId="4E36D7DC" w:rsidR="00552E89" w:rsidRDefault="00552E89" w:rsidP="00552E89">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3</w:t>
      </w:r>
      <w:r w:rsidR="00333748">
        <w:rPr>
          <w:noProof/>
        </w:rPr>
        <w:fldChar w:fldCharType="end"/>
      </w:r>
      <w:r>
        <w:t>:</w:t>
      </w:r>
      <w:r w:rsidRPr="00CC0732">
        <w:t xml:space="preserve"> Health and medical researchers by segment (weighted person count, Australia, at June 2024)</w:t>
      </w:r>
      <w:r>
        <w:rPr>
          <w:rStyle w:val="FootnoteReference"/>
        </w:rPr>
        <w:footnoteReference w:id="9"/>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552E89" w14:paraId="16FE8054" w14:textId="77777777" w:rsidTr="00552E89">
        <w:tc>
          <w:tcPr>
            <w:tcW w:w="9742" w:type="dxa"/>
          </w:tcPr>
          <w:p w14:paraId="30E331E9" w14:textId="3234A77F" w:rsidR="00552E89" w:rsidRDefault="00947B96" w:rsidP="00552E89">
            <w:r w:rsidRPr="00947B96">
              <w:rPr>
                <w:noProof/>
              </w:rPr>
              <w:drawing>
                <wp:inline distT="0" distB="0" distL="0" distR="0" wp14:anchorId="741A919D" wp14:editId="2E0ED5E3">
                  <wp:extent cx="6111646" cy="3683358"/>
                  <wp:effectExtent l="0" t="0" r="0" b="0"/>
                  <wp:docPr id="1131018305" name="Picture 1" descr="Graph illustrating health and medical researchers by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18305" name="Picture 1" descr="Graph illustrating health and medical researchers by segment."/>
                          <pic:cNvPicPr/>
                        </pic:nvPicPr>
                        <pic:blipFill>
                          <a:blip r:embed="rId16"/>
                          <a:stretch>
                            <a:fillRect/>
                          </a:stretch>
                        </pic:blipFill>
                        <pic:spPr>
                          <a:xfrm>
                            <a:off x="0" y="0"/>
                            <a:ext cx="6122587" cy="3689952"/>
                          </a:xfrm>
                          <a:prstGeom prst="rect">
                            <a:avLst/>
                          </a:prstGeom>
                        </pic:spPr>
                      </pic:pic>
                    </a:graphicData>
                  </a:graphic>
                </wp:inline>
              </w:drawing>
            </w:r>
          </w:p>
        </w:tc>
      </w:tr>
    </w:tbl>
    <w:p w14:paraId="30168A24" w14:textId="26F5486C" w:rsidR="00AB6C21" w:rsidRPr="00A30BA4" w:rsidRDefault="00AB6C21" w:rsidP="00A30BA4">
      <w:pPr>
        <w:pStyle w:val="BodyText"/>
      </w:pPr>
      <w:r w:rsidRPr="00A30BA4">
        <w:t xml:space="preserve">A further 650 </w:t>
      </w:r>
      <w:r w:rsidR="0098686D" w:rsidRPr="00A30BA4">
        <w:t xml:space="preserve">people </w:t>
      </w:r>
      <w:r w:rsidRPr="00A30BA4">
        <w:t>(2% of the total active workforce) hold multiple roles across both the traditional and non-traditional workforce. 11% of traditional researchers and 4% of non-traditional researchers hold more than one role within their respective workforce segments</w:t>
      </w:r>
      <w:r w:rsidRPr="0008226D">
        <w:t xml:space="preserve">. </w:t>
      </w:r>
    </w:p>
    <w:p w14:paraId="10DD53D1" w14:textId="0D92974C" w:rsidR="00D809D1" w:rsidRPr="00A30BA4" w:rsidRDefault="00AB6C21" w:rsidP="00A30BA4">
      <w:pPr>
        <w:pStyle w:val="BodyText"/>
      </w:pPr>
      <w:r w:rsidRPr="00A30BA4">
        <w:t>In addition to the current research workforce, there are approximately 19,700 people who previously worked in the health and medical research workforce. Clinicians, such as doctors, who may perform research as part of their role have been excluded from workforce analysis due to the occupation-based approach taken in the analysis.</w:t>
      </w:r>
      <w:r w:rsidR="0018136D" w:rsidRPr="00A30BA4">
        <w:t xml:space="preserve"> </w:t>
      </w:r>
      <w:r w:rsidR="00D809D1" w:rsidRPr="00A30BA4">
        <w:t>There may be more clinical researchers who perform research as a task as part of their occupation, however based on the information available in the microdata this is not able to be confirmed.</w:t>
      </w:r>
    </w:p>
    <w:p w14:paraId="49AC3D7A" w14:textId="77777777" w:rsidR="003379F1" w:rsidRPr="00D809D1" w:rsidRDefault="003379F1" w:rsidP="00D93983">
      <w:pPr>
        <w:pStyle w:val="BodyText"/>
      </w:pPr>
    </w:p>
    <w:p w14:paraId="05DE0320" w14:textId="159B1EFA" w:rsidR="0072750A" w:rsidRPr="00502993" w:rsidRDefault="0072750A" w:rsidP="002A1E4F">
      <w:pPr>
        <w:pStyle w:val="Heading2"/>
      </w:pPr>
      <w:bookmarkStart w:id="21" w:name="_Toc175208706"/>
      <w:bookmarkStart w:id="22" w:name="_Toc178009068"/>
      <w:r w:rsidRPr="00502993">
        <w:lastRenderedPageBreak/>
        <w:t xml:space="preserve">Victoria has proportionally more health and medical </w:t>
      </w:r>
      <w:r w:rsidR="0007781F">
        <w:t xml:space="preserve">researchers </w:t>
      </w:r>
      <w:r w:rsidRPr="00502993">
        <w:t>than other states and territories</w:t>
      </w:r>
      <w:bookmarkEnd w:id="21"/>
      <w:bookmarkEnd w:id="22"/>
      <w:r w:rsidR="00C32F02">
        <w:t>, whereas there are proportionally fewer researchers in regional or remote areas, compared to the national workforce</w:t>
      </w:r>
      <w:r w:rsidRPr="00502993">
        <w:t xml:space="preserve"> </w:t>
      </w:r>
    </w:p>
    <w:p w14:paraId="25A2FC84" w14:textId="6718351B" w:rsidR="00D93983" w:rsidRPr="00A30BA4" w:rsidRDefault="00B2514A" w:rsidP="00A30BA4">
      <w:pPr>
        <w:pStyle w:val="BodyText"/>
      </w:pPr>
      <w:r w:rsidRPr="00A30BA4">
        <w:t xml:space="preserve">The </w:t>
      </w:r>
      <w:r w:rsidR="002D2D01" w:rsidRPr="00A30BA4">
        <w:t xml:space="preserve">39,690 </w:t>
      </w:r>
      <w:r w:rsidRPr="00A30BA4">
        <w:t>health and medical research</w:t>
      </w:r>
      <w:r w:rsidR="002D2D01" w:rsidRPr="00A30BA4">
        <w:t>ers</w:t>
      </w:r>
      <w:r w:rsidRPr="00A30BA4">
        <w:t xml:space="preserve"> </w:t>
      </w:r>
      <w:r w:rsidR="00E41B41" w:rsidRPr="00A30BA4">
        <w:t>are</w:t>
      </w:r>
      <w:r w:rsidRPr="00A30BA4">
        <w:t xml:space="preserve"> distributed throughout the countr</w:t>
      </w:r>
      <w:r w:rsidR="00D40265" w:rsidRPr="00A30BA4">
        <w:t>y.</w:t>
      </w:r>
      <w:r w:rsidRPr="00A30BA4">
        <w:t xml:space="preserve"> </w:t>
      </w:r>
      <w:r w:rsidR="00AB6C21" w:rsidRPr="00A30BA4">
        <w:t>Victoria is home to a strong health and medical research community, including Monash and Melbourne University which are the second and third largest employers of the traditional workforce. Victoria has a higher proportion of the national traditional workforce when compared to the overall workforce distribution in the country. Victoria employs 30% of the traditional workforce, which is 4ppt higher than the proportion of the overall workforce employed in Victoria.</w:t>
      </w:r>
      <w:r w:rsidR="00D93983" w:rsidRPr="00A30BA4">
        <w:t xml:space="preserve"> </w:t>
      </w:r>
    </w:p>
    <w:p w14:paraId="3EF3A2B1" w14:textId="4D8560C1" w:rsidR="00D93983" w:rsidRDefault="00D93983" w:rsidP="00D93983">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4</w:t>
      </w:r>
      <w:r w:rsidR="00333748">
        <w:rPr>
          <w:noProof/>
        </w:rPr>
        <w:fldChar w:fldCharType="end"/>
      </w:r>
      <w:r>
        <w:t xml:space="preserve">: </w:t>
      </w:r>
      <w:r w:rsidRPr="00507724">
        <w:t>Distribution of the health and medical research workforce (weighted proportion of workers by workforce</w:t>
      </w:r>
      <w:r w:rsidR="000C5BEE">
        <w:t xml:space="preserve">, </w:t>
      </w:r>
      <w:r w:rsidRPr="00507724">
        <w:t>compared to distribution of Australian workforce, at June 2024)</w:t>
      </w:r>
      <w:r>
        <w:rPr>
          <w:rStyle w:val="FootnoteReference"/>
        </w:rPr>
        <w:footnoteReference w:id="10"/>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D93983" w14:paraId="351A902B" w14:textId="77777777" w:rsidTr="00D93983">
        <w:tc>
          <w:tcPr>
            <w:tcW w:w="9742" w:type="dxa"/>
          </w:tcPr>
          <w:p w14:paraId="446D6DD0" w14:textId="6E6EA6C5" w:rsidR="00D93983" w:rsidRDefault="00D93983" w:rsidP="00AB6C21">
            <w:r>
              <w:rPr>
                <w:noProof/>
              </w:rPr>
              <w:drawing>
                <wp:inline distT="0" distB="0" distL="0" distR="0" wp14:anchorId="2600C8AE" wp14:editId="141DA724">
                  <wp:extent cx="6010910" cy="4822190"/>
                  <wp:effectExtent l="0" t="0" r="8890" b="0"/>
                  <wp:docPr id="163510963" name="Picture 15" descr="Figure illustrating the location of the traditional and non-traditional workforc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0963" name="Picture 15" descr="Figure illustrating the location of the traditional and non-traditional workforces across Austr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910" cy="4822190"/>
                          </a:xfrm>
                          <a:prstGeom prst="rect">
                            <a:avLst/>
                          </a:prstGeom>
                          <a:noFill/>
                        </pic:spPr>
                      </pic:pic>
                    </a:graphicData>
                  </a:graphic>
                </wp:inline>
              </w:drawing>
            </w:r>
          </w:p>
        </w:tc>
      </w:tr>
    </w:tbl>
    <w:p w14:paraId="6970524C" w14:textId="79A4814F" w:rsidR="003A77C0" w:rsidRPr="00A30BA4" w:rsidRDefault="00AB6C21" w:rsidP="00A30BA4">
      <w:pPr>
        <w:pStyle w:val="BodyText"/>
      </w:pPr>
      <w:r w:rsidRPr="00A30BA4">
        <w:lastRenderedPageBreak/>
        <w:t>In the 202</w:t>
      </w:r>
      <w:r w:rsidR="004D5A29" w:rsidRPr="00A30BA4">
        <w:t>3</w:t>
      </w:r>
      <w:r w:rsidRPr="00A30BA4">
        <w:t xml:space="preserve"> NHMRC Grant Round, Victorian institutions submitted the highest number of applications, making up 3</w:t>
      </w:r>
      <w:r w:rsidR="004D5A29" w:rsidRPr="00A30BA4">
        <w:t>8</w:t>
      </w:r>
      <w:r w:rsidRPr="00A30BA4">
        <w:t>% of applications and receiving 42% of the total grant funding.</w:t>
      </w:r>
      <w:r w:rsidR="000C0CC0" w:rsidRPr="00E52494">
        <w:rPr>
          <w:rStyle w:val="FootnoteReference"/>
        </w:rPr>
        <w:footnoteReference w:id="11"/>
      </w:r>
      <w:r w:rsidRPr="00A30BA4">
        <w:t xml:space="preserve"> Victoria is also home to the headquarters of several large non-traditional employers, including CSL and Moderna. Victoria has 32% of the total non-traditional workforce, which is 6</w:t>
      </w:r>
      <w:r w:rsidR="00BC6EFC" w:rsidRPr="00A30BA4">
        <w:t xml:space="preserve"> percentage points </w:t>
      </w:r>
      <w:r w:rsidRPr="00A30BA4">
        <w:t>higher than the proportion of the overall workforce employed in Victoria.</w:t>
      </w:r>
      <w:r w:rsidR="00B35934" w:rsidRPr="00A30BA4">
        <w:t xml:space="preserve"> </w:t>
      </w:r>
    </w:p>
    <w:p w14:paraId="355F1BFF" w14:textId="1431054E" w:rsidR="00C360C9" w:rsidRPr="00A30BA4" w:rsidRDefault="0025309E" w:rsidP="00A30BA4">
      <w:pPr>
        <w:pStyle w:val="BodyText"/>
      </w:pPr>
      <w:r w:rsidRPr="00A30BA4">
        <w:t xml:space="preserve">Compared to </w:t>
      </w:r>
      <w:r w:rsidR="004403BE" w:rsidRPr="00A30BA4">
        <w:t xml:space="preserve">the overall population where </w:t>
      </w:r>
      <w:r w:rsidRPr="00A30BA4">
        <w:t xml:space="preserve">27% </w:t>
      </w:r>
      <w:r w:rsidR="004403BE" w:rsidRPr="00A30BA4">
        <w:t>live in regional or remote areas</w:t>
      </w:r>
      <w:r w:rsidR="002974A3" w:rsidRPr="00A30BA4">
        <w:t xml:space="preserve"> (26% of </w:t>
      </w:r>
      <w:r w:rsidR="00F91DBC" w:rsidRPr="00A30BA4">
        <w:t xml:space="preserve">all </w:t>
      </w:r>
      <w:r w:rsidR="002974A3" w:rsidRPr="00A30BA4">
        <w:t>employed individuals</w:t>
      </w:r>
      <w:r w:rsidR="00F5344E" w:rsidRPr="00A30BA4">
        <w:t xml:space="preserve"> work in regional or remote locations</w:t>
      </w:r>
      <w:r w:rsidR="002974A3" w:rsidRPr="00A30BA4">
        <w:t>)</w:t>
      </w:r>
      <w:r w:rsidR="00A3351A" w:rsidRPr="00A30BA4">
        <w:t>,</w:t>
      </w:r>
      <w:r w:rsidRPr="00A30BA4">
        <w:t xml:space="preserve"> </w:t>
      </w:r>
      <w:r w:rsidR="004403BE" w:rsidRPr="00A30BA4">
        <w:t xml:space="preserve">only </w:t>
      </w:r>
      <w:r w:rsidR="001118CD" w:rsidRPr="00A30BA4">
        <w:t>13% of the HMR workforce live in regional or remote areas.</w:t>
      </w:r>
      <w:r w:rsidR="000C0CC0" w:rsidRPr="00DE2A83">
        <w:rPr>
          <w:rStyle w:val="FootnoteReference"/>
        </w:rPr>
        <w:footnoteReference w:id="12"/>
      </w:r>
      <w:r w:rsidR="00B35934" w:rsidRPr="00A30BA4">
        <w:t xml:space="preserve"> </w:t>
      </w:r>
      <w:r w:rsidR="00B613F2" w:rsidRPr="00A30BA4">
        <w:t xml:space="preserve">Researchers in regional areas often raised the difficulty of accessing the same opportunities available to researchers in metropolitan locations, citing training and funding as difficult to access. </w:t>
      </w:r>
      <w:r w:rsidR="008341A4" w:rsidRPr="00A30BA4">
        <w:t xml:space="preserve">We acknowledge a limitation of this study was precluding people with a primarily clinical affiliation </w:t>
      </w:r>
      <w:r w:rsidR="005E55D5" w:rsidRPr="00A30BA4">
        <w:t xml:space="preserve">which skews the data. For example, in rural and regional areas, research </w:t>
      </w:r>
      <w:r w:rsidR="00F5344E" w:rsidRPr="00A30BA4">
        <w:t>may be more likely to</w:t>
      </w:r>
      <w:r w:rsidR="005E55D5" w:rsidRPr="00A30BA4">
        <w:t xml:space="preserve"> be performed via primarily clinical settings s</w:t>
      </w:r>
      <w:r w:rsidR="00DE2A83">
        <w:t>u</w:t>
      </w:r>
      <w:r w:rsidR="005E55D5" w:rsidRPr="00A30BA4">
        <w:t xml:space="preserve">ch as hospitals and community healthcare that are not </w:t>
      </w:r>
      <w:r w:rsidR="00DE2A83">
        <w:t xml:space="preserve">as well </w:t>
      </w:r>
      <w:r w:rsidR="005E55D5" w:rsidRPr="00A30BA4">
        <w:t>represented in this report.</w:t>
      </w:r>
    </w:p>
    <w:p w14:paraId="62B5DFE3" w14:textId="39ED9D78" w:rsidR="00AB6C21" w:rsidRPr="00502993" w:rsidRDefault="005E71A4" w:rsidP="002A1E4F">
      <w:pPr>
        <w:pStyle w:val="IntenseQuote"/>
      </w:pPr>
      <w:r>
        <w:rPr>
          <w:lang w:val="en-GB"/>
        </w:rPr>
        <w:t>“</w:t>
      </w:r>
      <w:r w:rsidRPr="005E71A4">
        <w:rPr>
          <w:lang w:val="en-GB"/>
        </w:rPr>
        <w:t>I work in a regional area. It is difficult to access the same opportunities as our metro counterparts including training and funding.</w:t>
      </w:r>
      <w:r>
        <w:rPr>
          <w:lang w:val="en-GB"/>
        </w:rPr>
        <w:t>”</w:t>
      </w:r>
    </w:p>
    <w:p w14:paraId="6BB6C356" w14:textId="08382867" w:rsidR="0065167F" w:rsidRPr="00DE2A83" w:rsidRDefault="00241FDB" w:rsidP="00DE2A83">
      <w:pPr>
        <w:pStyle w:val="BodyText"/>
      </w:pPr>
      <w:r w:rsidRPr="00DE2A83">
        <w:t xml:space="preserve">From our survey, fewer than 1% of respondents identified as </w:t>
      </w:r>
      <w:r w:rsidR="004E1B31" w:rsidRPr="00DE2A83">
        <w:t>Aboriginal and/or Torres Strait Islander</w:t>
      </w:r>
      <w:r w:rsidR="001A705E" w:rsidRPr="00DE2A83">
        <w:t xml:space="preserve">. This is 21 individuals (19 following weighting). </w:t>
      </w:r>
      <w:r w:rsidR="00066E70" w:rsidRPr="00DE2A83">
        <w:t xml:space="preserve">Given the small sample detailed analysis </w:t>
      </w:r>
      <w:r w:rsidR="005D1A1B" w:rsidRPr="00DE2A83">
        <w:t xml:space="preserve">may not be appropriate to draw conclusions from. We do note however that the Aboriginal and/or Torres Strait Islander researchers represent </w:t>
      </w:r>
      <w:r w:rsidR="00E729E4" w:rsidRPr="00DE2A83">
        <w:t>1.9</w:t>
      </w:r>
      <w:r w:rsidR="005D1A1B" w:rsidRPr="00DE2A83">
        <w:t>% of the STEM research workforce</w:t>
      </w:r>
      <w:r w:rsidR="002549B2" w:rsidRPr="00DE2A83">
        <w:t>.</w:t>
      </w:r>
      <w:r w:rsidR="00F5344E" w:rsidRPr="00A30BA4">
        <w:t xml:space="preserve"> </w:t>
      </w:r>
    </w:p>
    <w:p w14:paraId="369AAB92" w14:textId="77777777" w:rsidR="002D2CA1" w:rsidRPr="00DE2A83" w:rsidRDefault="002D2CA1">
      <w:pPr>
        <w:spacing w:before="0" w:after="0" w:line="240" w:lineRule="auto"/>
        <w:rPr>
          <w:rFonts w:eastAsiaTheme="majorEastAsia"/>
          <w:b/>
          <w:bCs/>
          <w:sz w:val="32"/>
          <w:szCs w:val="32"/>
          <w:lang w:val="en-GB"/>
        </w:rPr>
      </w:pPr>
      <w:bookmarkStart w:id="23" w:name="_Toc175208707"/>
      <w:r w:rsidRPr="00F5344E">
        <w:br w:type="page"/>
      </w:r>
    </w:p>
    <w:p w14:paraId="3F42C3BD" w14:textId="646F3208" w:rsidR="00165AE3" w:rsidRDefault="00B039CB" w:rsidP="00BA4A08">
      <w:pPr>
        <w:pStyle w:val="Heading2"/>
      </w:pPr>
      <w:bookmarkStart w:id="24" w:name="_Toc178009069"/>
      <w:r>
        <w:lastRenderedPageBreak/>
        <w:t>50</w:t>
      </w:r>
      <w:r w:rsidR="00831269">
        <w:t xml:space="preserve">% of the health and medical research workforce are aged under </w:t>
      </w:r>
      <w:r>
        <w:t>44</w:t>
      </w:r>
      <w:r w:rsidR="00831269">
        <w:t xml:space="preserve"> years</w:t>
      </w:r>
      <w:r w:rsidR="00417253">
        <w:t>, and</w:t>
      </w:r>
      <w:r w:rsidR="007C3195">
        <w:t xml:space="preserve"> </w:t>
      </w:r>
      <w:r w:rsidR="00F33B7C">
        <w:t>61</w:t>
      </w:r>
      <w:r w:rsidR="00165AE3">
        <w:t xml:space="preserve">% </w:t>
      </w:r>
      <w:r w:rsidR="00417253">
        <w:t xml:space="preserve">are </w:t>
      </w:r>
      <w:r w:rsidR="00603C5D">
        <w:t>less than</w:t>
      </w:r>
      <w:r w:rsidR="00165AE3">
        <w:t xml:space="preserve"> </w:t>
      </w:r>
      <w:r w:rsidR="00B34C15">
        <w:t xml:space="preserve">15 </w:t>
      </w:r>
      <w:r w:rsidR="00165AE3">
        <w:t xml:space="preserve">years </w:t>
      </w:r>
      <w:proofErr w:type="spellStart"/>
      <w:r w:rsidR="00417253">
        <w:t>post graduation</w:t>
      </w:r>
      <w:bookmarkEnd w:id="24"/>
      <w:proofErr w:type="spellEnd"/>
    </w:p>
    <w:p w14:paraId="047C5D4A" w14:textId="5B5DF05C" w:rsidR="001A5F36" w:rsidRPr="00A30BA4" w:rsidRDefault="001A5F36" w:rsidP="00A30BA4">
      <w:pPr>
        <w:pStyle w:val="BodyText"/>
      </w:pPr>
      <w:r w:rsidRPr="00A30BA4">
        <w:t xml:space="preserve">The age distribution of Australia's health and medical research workforce reveals a concentration in the middle-age brackets, with the largest proportion (28%) falling between 35-44 years old, closely followed by those aged 45-54 (26%). There is a notable representation of younger researchers, with 19% aged 25-34 and 3% under 25, indicating a healthy influx of new talent. </w:t>
      </w:r>
      <w:r w:rsidR="005B5E59">
        <w:t>However, t</w:t>
      </w:r>
      <w:r w:rsidR="00F14381" w:rsidRPr="00A30BA4">
        <w:t xml:space="preserve">he age </w:t>
      </w:r>
      <w:r w:rsidR="009B164C" w:rsidRPr="00A30BA4">
        <w:t xml:space="preserve">distribution skews </w:t>
      </w:r>
      <w:r w:rsidR="00630001" w:rsidRPr="00A30BA4">
        <w:t xml:space="preserve">older compared to the general </w:t>
      </w:r>
      <w:r w:rsidR="00E15866" w:rsidRPr="00A30BA4">
        <w:t xml:space="preserve">Australian </w:t>
      </w:r>
      <w:r w:rsidR="00630001" w:rsidRPr="00A30BA4">
        <w:t>workforce</w:t>
      </w:r>
      <w:r w:rsidR="00245EF3" w:rsidRPr="00A30BA4">
        <w:t xml:space="preserve">; </w:t>
      </w:r>
      <w:r w:rsidR="00482E6E" w:rsidRPr="00A30BA4">
        <w:t xml:space="preserve">with </w:t>
      </w:r>
      <w:r w:rsidR="00F70624" w:rsidRPr="00A30BA4">
        <w:t>workers aged un</w:t>
      </w:r>
      <w:r w:rsidR="009C2FFC" w:rsidRPr="00A30BA4">
        <w:t>d</w:t>
      </w:r>
      <w:r w:rsidR="00F70624" w:rsidRPr="00A30BA4">
        <w:t>er 34 years comprising less of the health and medical research workforce (</w:t>
      </w:r>
      <w:r w:rsidR="009C2FFC" w:rsidRPr="00A30BA4">
        <w:t>22%) than the general workforce (37%)</w:t>
      </w:r>
      <w:r w:rsidR="00630001" w:rsidRPr="00A30BA4">
        <w:t>.</w:t>
      </w:r>
      <w:r w:rsidRPr="00A30BA4">
        <w:t xml:space="preserve"> </w:t>
      </w:r>
      <w:r w:rsidR="00FA46D3" w:rsidRPr="00A30BA4">
        <w:t xml:space="preserve">More of the workforce is aged between </w:t>
      </w:r>
      <w:r w:rsidR="00074C50" w:rsidRPr="00A30BA4">
        <w:t>3</w:t>
      </w:r>
      <w:r w:rsidR="0046545E" w:rsidRPr="00A30BA4">
        <w:t>5</w:t>
      </w:r>
      <w:r w:rsidR="00074C50" w:rsidRPr="00A30BA4">
        <w:t xml:space="preserve"> and 64</w:t>
      </w:r>
      <w:r w:rsidR="0046545E" w:rsidRPr="00A30BA4">
        <w:t xml:space="preserve"> at 72% of all health and medical researchers, compared to </w:t>
      </w:r>
      <w:r w:rsidR="007416C1" w:rsidRPr="00A30BA4">
        <w:t>57% of the general workforce.</w:t>
      </w:r>
      <w:r w:rsidR="00074C50" w:rsidRPr="00A30BA4">
        <w:t xml:space="preserve"> </w:t>
      </w:r>
      <w:r w:rsidRPr="00A30BA4">
        <w:t xml:space="preserve">This age profile highlights the importance of retaining mid-career researchers while also fostering the development of early-career </w:t>
      </w:r>
      <w:r w:rsidR="00B34C15" w:rsidRPr="00A30BA4">
        <w:t xml:space="preserve">researchers </w:t>
      </w:r>
      <w:r w:rsidRPr="00A30BA4">
        <w:t>to ensure a sustainable workforce.</w:t>
      </w:r>
    </w:p>
    <w:p w14:paraId="5E8FB663" w14:textId="5B7E83FE" w:rsidR="00165AE3" w:rsidRPr="00A30BA4" w:rsidRDefault="001A5F36" w:rsidP="00A30BA4">
      <w:pPr>
        <w:pStyle w:val="BodyText"/>
      </w:pPr>
      <w:r w:rsidRPr="00A30BA4">
        <w:t>Examining the years since graduation provides insight into the experience levels within the workforce. The data shows a fairly even distribution across early to mid-career stages, with the highest proportion (24%) having graduated within the last 4 years, followed closely by those 5-9 years post-graduation (21%). The challenge for the sector may lie in providing adequate support and opportunities for researchers throughout their career stages to maintain this balanced distribution.</w:t>
      </w:r>
      <w:r w:rsidR="006002EF" w:rsidRPr="00A30BA4">
        <w:t xml:space="preserve"> 86% of respondents </w:t>
      </w:r>
      <w:r w:rsidR="00905D45" w:rsidRPr="00A30BA4">
        <w:t xml:space="preserve">reported they were not currently studying, </w:t>
      </w:r>
      <w:r w:rsidR="006B3CA4" w:rsidRPr="00A30BA4">
        <w:t>while</w:t>
      </w:r>
      <w:r w:rsidR="00905D45" w:rsidRPr="00A30BA4">
        <w:t xml:space="preserve"> 10% </w:t>
      </w:r>
      <w:r w:rsidR="006B3CA4" w:rsidRPr="00A30BA4">
        <w:t xml:space="preserve">are </w:t>
      </w:r>
      <w:r w:rsidR="00905D45" w:rsidRPr="00A30BA4">
        <w:t xml:space="preserve">currently studying for a PhD, 3% studying for a </w:t>
      </w:r>
      <w:proofErr w:type="gramStart"/>
      <w:r w:rsidR="00905D45" w:rsidRPr="00A30BA4">
        <w:t>Master</w:t>
      </w:r>
      <w:r w:rsidR="006B3CA4" w:rsidRPr="00A30BA4">
        <w:t>’</w:t>
      </w:r>
      <w:r w:rsidR="00905D45" w:rsidRPr="00A30BA4">
        <w:t>s</w:t>
      </w:r>
      <w:proofErr w:type="gramEnd"/>
      <w:r w:rsidR="00905D45" w:rsidRPr="00A30BA4">
        <w:t xml:space="preserve"> degree, </w:t>
      </w:r>
      <w:r w:rsidR="006B3CA4" w:rsidRPr="00A30BA4">
        <w:t>and &lt;1% studying for a Bachelor’s degree.</w:t>
      </w:r>
    </w:p>
    <w:p w14:paraId="3B08DAC0" w14:textId="77777777" w:rsidR="009F22A0" w:rsidRDefault="009F22A0">
      <w:pPr>
        <w:spacing w:before="0" w:after="0" w:line="240" w:lineRule="auto"/>
        <w:rPr>
          <w:b/>
          <w:iCs/>
          <w:color w:val="001C55" w:themeColor="text2"/>
          <w:sz w:val="22"/>
          <w:szCs w:val="18"/>
        </w:rPr>
      </w:pPr>
      <w:r>
        <w:br w:type="page"/>
      </w:r>
    </w:p>
    <w:p w14:paraId="36507C81" w14:textId="1030A17B" w:rsidR="00165AE3" w:rsidRPr="00AF1B1E" w:rsidRDefault="00DF5A7E" w:rsidP="00DF5A7E">
      <w:pPr>
        <w:pStyle w:val="Caption"/>
      </w:pPr>
      <w:r>
        <w:lastRenderedPageBreak/>
        <w:t xml:space="preserve">Figure </w:t>
      </w:r>
      <w:r w:rsidR="00333748">
        <w:fldChar w:fldCharType="begin"/>
      </w:r>
      <w:r w:rsidR="00333748">
        <w:instrText xml:space="preserve"> SEQ Figure \* ARABIC </w:instrText>
      </w:r>
      <w:r w:rsidR="00333748">
        <w:fldChar w:fldCharType="separate"/>
      </w:r>
      <w:r w:rsidR="00496859">
        <w:rPr>
          <w:noProof/>
        </w:rPr>
        <w:t>5</w:t>
      </w:r>
      <w:r w:rsidR="00333748">
        <w:rPr>
          <w:noProof/>
        </w:rPr>
        <w:fldChar w:fldCharType="end"/>
      </w:r>
      <w:r>
        <w:t xml:space="preserve">: Proportion of research workforce by </w:t>
      </w:r>
      <w:r w:rsidR="00AC75EB">
        <w:t xml:space="preserve">age (top) and years since graduation (bottom) </w:t>
      </w:r>
      <w:r w:rsidR="00AC75EB" w:rsidRPr="00DD0CC1">
        <w:t>(weighted proportion of total health and medical research workforce (total), Australia, at June 2024)</w:t>
      </w:r>
      <w:r w:rsidR="00AF1B1E">
        <w:rPr>
          <w:rStyle w:val="FootnoteReference"/>
        </w:rPr>
        <w:footnoteReference w:id="13"/>
      </w:r>
    </w:p>
    <w:tbl>
      <w:tblPr>
        <w:tblStyle w:val="TableGrid"/>
        <w:tblW w:w="0" w:type="auto"/>
        <w:tblCellMar>
          <w:left w:w="0" w:type="dxa"/>
          <w:right w:w="0" w:type="dxa"/>
        </w:tblCellMar>
        <w:tblLook w:val="04A0" w:firstRow="1" w:lastRow="0" w:firstColumn="1" w:lastColumn="0" w:noHBand="0" w:noVBand="1"/>
      </w:tblPr>
      <w:tblGrid>
        <w:gridCol w:w="9742"/>
      </w:tblGrid>
      <w:tr w:rsidR="003D617D" w14:paraId="53D834BF" w14:textId="77777777" w:rsidTr="00DE2A83">
        <w:tc>
          <w:tcPr>
            <w:tcW w:w="9742" w:type="dxa"/>
            <w:tcBorders>
              <w:left w:val="nil"/>
              <w:right w:val="nil"/>
            </w:tcBorders>
          </w:tcPr>
          <w:p w14:paraId="072C918B" w14:textId="3E2F86B4" w:rsidR="003D617D" w:rsidRDefault="00E15866" w:rsidP="003D617D">
            <w:pPr>
              <w:rPr>
                <w:lang w:val="en-GB"/>
              </w:rPr>
            </w:pPr>
            <w:r w:rsidRPr="00E15866">
              <w:rPr>
                <w:noProof/>
                <w:lang w:val="en-GB"/>
              </w:rPr>
              <w:drawing>
                <wp:inline distT="0" distB="0" distL="0" distR="0" wp14:anchorId="5CA6F2A8" wp14:editId="77AA6484">
                  <wp:extent cx="6049645" cy="3979572"/>
                  <wp:effectExtent l="0" t="0" r="0" b="0"/>
                  <wp:docPr id="939540873" name="Picture 1" descr="Graphs illustrating the proportion of the research workforce by age and years since 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0873" name="Picture 1" descr="Graphs illustrating the proportion of the research workforce by age and years since graduation."/>
                          <pic:cNvPicPr/>
                        </pic:nvPicPr>
                        <pic:blipFill>
                          <a:blip r:embed="rId18"/>
                          <a:stretch>
                            <a:fillRect/>
                          </a:stretch>
                        </pic:blipFill>
                        <pic:spPr>
                          <a:xfrm>
                            <a:off x="0" y="0"/>
                            <a:ext cx="6068558" cy="3992013"/>
                          </a:xfrm>
                          <a:prstGeom prst="rect">
                            <a:avLst/>
                          </a:prstGeom>
                        </pic:spPr>
                      </pic:pic>
                    </a:graphicData>
                  </a:graphic>
                </wp:inline>
              </w:drawing>
            </w:r>
          </w:p>
        </w:tc>
      </w:tr>
    </w:tbl>
    <w:p w14:paraId="6E1CF99E" w14:textId="77777777" w:rsidR="003D617D" w:rsidRPr="003D617D" w:rsidRDefault="003D617D" w:rsidP="003D617D">
      <w:pPr>
        <w:rPr>
          <w:lang w:val="en-GB"/>
        </w:rPr>
      </w:pPr>
    </w:p>
    <w:p w14:paraId="26436921" w14:textId="77777777" w:rsidR="009F22A0" w:rsidRDefault="009F22A0">
      <w:pPr>
        <w:spacing w:before="0" w:after="0" w:line="240" w:lineRule="auto"/>
        <w:rPr>
          <w:rFonts w:eastAsiaTheme="majorEastAsia"/>
          <w:b/>
          <w:bCs/>
          <w:color w:val="001C55" w:themeColor="text2"/>
          <w:sz w:val="32"/>
          <w:szCs w:val="32"/>
        </w:rPr>
      </w:pPr>
      <w:r>
        <w:br w:type="page"/>
      </w:r>
    </w:p>
    <w:p w14:paraId="34D388F9" w14:textId="0395D61B" w:rsidR="00EA28E0" w:rsidRDefault="006270B4" w:rsidP="00BA4A08">
      <w:pPr>
        <w:pStyle w:val="Heading2"/>
        <w:rPr>
          <w:lang w:val="en-AU"/>
        </w:rPr>
      </w:pPr>
      <w:bookmarkStart w:id="25" w:name="_Toc178009070"/>
      <w:r>
        <w:rPr>
          <w:lang w:val="en-AU"/>
        </w:rPr>
        <w:lastRenderedPageBreak/>
        <w:t>Traditional research organisations employ the majority of active researchers, while inactive researchers are more likely to work for government</w:t>
      </w:r>
      <w:bookmarkEnd w:id="25"/>
    </w:p>
    <w:p w14:paraId="36F51E02" w14:textId="1E4B45D2" w:rsidR="00A027EB" w:rsidRPr="00A30BA4" w:rsidRDefault="00AD1470" w:rsidP="00A30BA4">
      <w:pPr>
        <w:pStyle w:val="BodyText"/>
      </w:pPr>
      <w:r w:rsidRPr="00A30BA4">
        <w:t>Unsurprisingly, Universities lead as the primary employer for active researchers, with 44% of active researchers, followed by Medical Research Institutes at 25%. Clinical settings also play a significant role, employing 16% of the workforce. The private secto</w:t>
      </w:r>
      <w:r w:rsidR="007374FE" w:rsidRPr="00A30BA4">
        <w:t>r a</w:t>
      </w:r>
      <w:r w:rsidRPr="00A30BA4">
        <w:t xml:space="preserve">ccounts for </w:t>
      </w:r>
      <w:r w:rsidR="007374FE" w:rsidRPr="00A30BA4">
        <w:t>7</w:t>
      </w:r>
      <w:r w:rsidRPr="00A30BA4">
        <w:t>% of active researchers, while government</w:t>
      </w:r>
      <w:r w:rsidR="007374FE" w:rsidRPr="00A30BA4">
        <w:t xml:space="preserve">s and government agencies </w:t>
      </w:r>
      <w:r w:rsidRPr="00A30BA4">
        <w:t>employ 4%. </w:t>
      </w:r>
    </w:p>
    <w:p w14:paraId="0A509333" w14:textId="2EB7A6E2" w:rsidR="00EA28E0" w:rsidRPr="00A30BA4" w:rsidRDefault="00A027EB" w:rsidP="00A30BA4">
      <w:pPr>
        <w:pStyle w:val="BodyText"/>
      </w:pPr>
      <w:r w:rsidRPr="00A30BA4">
        <w:t>The distribution of employer organisations shifts when examining inactive researchers. Government emerges as the top destination, employing 31% of inactive researchers, suggesting a substantial migration of research talent into public sector roles. Universities remain significant, retaining 21% of inactive researchers, while Medical Research Institutes account for 16%. There</w:t>
      </w:r>
      <w:r w:rsidR="00AD1470" w:rsidRPr="00A30BA4">
        <w:t xml:space="preserve"> i</w:t>
      </w:r>
      <w:r w:rsidRPr="00A30BA4">
        <w:t>s a</w:t>
      </w:r>
      <w:r w:rsidR="00AD1470" w:rsidRPr="00A30BA4">
        <w:t>lso a</w:t>
      </w:r>
      <w:r w:rsidRPr="00A30BA4">
        <w:t xml:space="preserve"> notable increase in researchers moving to </w:t>
      </w:r>
      <w:r w:rsidR="00B86599" w:rsidRPr="00A30BA4">
        <w:t>non-profit</w:t>
      </w:r>
      <w:r w:rsidRPr="00A30BA4">
        <w:t xml:space="preserve"> organisations (14%) and the private sector (</w:t>
      </w:r>
      <w:r w:rsidR="00F02F1D" w:rsidRPr="00A30BA4">
        <w:t>20</w:t>
      </w:r>
      <w:r w:rsidRPr="00A30BA4">
        <w:t>%) compared to active researchers. This pattern of career transitions highlights the diverse applications of research expertise beyond traditional academic and clinical settings</w:t>
      </w:r>
      <w:r w:rsidR="00AD1470" w:rsidRPr="00A30BA4">
        <w:t>.</w:t>
      </w:r>
    </w:p>
    <w:p w14:paraId="06B9FECE" w14:textId="6AC81B58" w:rsidR="00EA28E0" w:rsidRDefault="00EA28E0" w:rsidP="006F0243">
      <w:pPr>
        <w:pStyle w:val="Caption"/>
      </w:pPr>
      <w:r>
        <w:t xml:space="preserve">Figure </w:t>
      </w:r>
      <w:r w:rsidR="00333748">
        <w:fldChar w:fldCharType="begin"/>
      </w:r>
      <w:r w:rsidR="00333748">
        <w:instrText xml:space="preserve"> SEQ Figure \* ARABIC </w:instrText>
      </w:r>
      <w:r w:rsidR="00333748">
        <w:fldChar w:fldCharType="separate"/>
      </w:r>
      <w:r w:rsidR="00496859">
        <w:rPr>
          <w:noProof/>
        </w:rPr>
        <w:t>6</w:t>
      </w:r>
      <w:r w:rsidR="00333748">
        <w:rPr>
          <w:noProof/>
        </w:rPr>
        <w:fldChar w:fldCharType="end"/>
      </w:r>
      <w:r>
        <w:t xml:space="preserve">: </w:t>
      </w:r>
      <w:r w:rsidR="001254E6">
        <w:t>Proportion by employer organisation type,</w:t>
      </w:r>
      <w:r w:rsidR="00831DED">
        <w:t xml:space="preserve"> </w:t>
      </w:r>
      <w:r w:rsidR="001254E6">
        <w:t>current</w:t>
      </w:r>
      <w:r w:rsidR="00831DED">
        <w:t xml:space="preserve"> (left) and </w:t>
      </w:r>
      <w:r w:rsidR="001254E6">
        <w:t>inactive</w:t>
      </w:r>
      <w:r w:rsidR="00831DED">
        <w:t xml:space="preserve"> (right) </w:t>
      </w:r>
      <w:r w:rsidR="001254E6">
        <w:t>researchers</w:t>
      </w:r>
      <w:r>
        <w:t xml:space="preserve"> </w:t>
      </w:r>
      <w:r w:rsidRPr="00DD0CC1">
        <w:t>(</w:t>
      </w:r>
      <w:r w:rsidR="001254E6" w:rsidRPr="00DD0CC1">
        <w:t xml:space="preserve">weighted proportion of </w:t>
      </w:r>
      <w:r w:rsidR="001254E6">
        <w:t>current and inactive</w:t>
      </w:r>
      <w:r w:rsidR="001254E6" w:rsidRPr="00DD0CC1">
        <w:t xml:space="preserve"> health and medical research workforc</w:t>
      </w:r>
      <w:r w:rsidR="001254E6">
        <w:t>e,</w:t>
      </w:r>
      <w:r w:rsidR="001254E6" w:rsidRPr="00DD0CC1">
        <w:t xml:space="preserve"> </w:t>
      </w:r>
      <w:r w:rsidR="00975AA1">
        <w:t xml:space="preserve">based on position count, </w:t>
      </w:r>
      <w:r w:rsidR="001254E6" w:rsidRPr="00DD0CC1">
        <w:t>Australia, at June 2024</w:t>
      </w:r>
      <w:r w:rsidRPr="00DD0CC1">
        <w:t>)</w:t>
      </w:r>
      <w:r w:rsidR="007374FE">
        <w:rPr>
          <w:rStyle w:val="FootnoteReference"/>
        </w:rPr>
        <w:footnoteReference w:id="14"/>
      </w:r>
    </w:p>
    <w:tbl>
      <w:tblPr>
        <w:tblStyle w:val="TableGrid"/>
        <w:tblW w:w="0" w:type="auto"/>
        <w:tblLook w:val="04A0" w:firstRow="1" w:lastRow="0" w:firstColumn="1" w:lastColumn="0" w:noHBand="0" w:noVBand="1"/>
      </w:tblPr>
      <w:tblGrid>
        <w:gridCol w:w="9752"/>
      </w:tblGrid>
      <w:tr w:rsidR="008C5D1F" w14:paraId="75238B45" w14:textId="77777777" w:rsidTr="008C5D1F">
        <w:tc>
          <w:tcPr>
            <w:tcW w:w="9742" w:type="dxa"/>
            <w:tcBorders>
              <w:left w:val="nil"/>
              <w:right w:val="nil"/>
            </w:tcBorders>
          </w:tcPr>
          <w:p w14:paraId="1597A1B6" w14:textId="3452B3F3" w:rsidR="008C5D1F" w:rsidRPr="006F0243" w:rsidRDefault="007E18D7" w:rsidP="00EA28E0">
            <w:pPr>
              <w:rPr>
                <w:sz w:val="2"/>
                <w:szCs w:val="2"/>
              </w:rPr>
            </w:pPr>
            <w:r w:rsidRPr="007E18D7">
              <w:rPr>
                <w:noProof/>
                <w:sz w:val="2"/>
                <w:szCs w:val="2"/>
              </w:rPr>
              <w:drawing>
                <wp:inline distT="0" distB="0" distL="0" distR="0" wp14:anchorId="63CE450C" wp14:editId="6CED7C2B">
                  <wp:extent cx="6192520" cy="3027680"/>
                  <wp:effectExtent l="0" t="0" r="5080" b="0"/>
                  <wp:docPr id="704731266" name="Picture 1" descr="Figure illustrating the proportion of employer organisation type, current and inactive res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31266" name="Picture 1" descr="Figure illustrating the proportion of employer organisation type, current and inactive reseachers."/>
                          <pic:cNvPicPr/>
                        </pic:nvPicPr>
                        <pic:blipFill>
                          <a:blip r:embed="rId19"/>
                          <a:stretch>
                            <a:fillRect/>
                          </a:stretch>
                        </pic:blipFill>
                        <pic:spPr>
                          <a:xfrm>
                            <a:off x="0" y="0"/>
                            <a:ext cx="6192520" cy="3027680"/>
                          </a:xfrm>
                          <a:prstGeom prst="rect">
                            <a:avLst/>
                          </a:prstGeom>
                        </pic:spPr>
                      </pic:pic>
                    </a:graphicData>
                  </a:graphic>
                </wp:inline>
              </w:drawing>
            </w:r>
          </w:p>
        </w:tc>
      </w:tr>
    </w:tbl>
    <w:p w14:paraId="4B31F0ED" w14:textId="77777777" w:rsidR="00F057AB" w:rsidRDefault="00F057AB" w:rsidP="00083CE0">
      <w:pPr>
        <w:rPr>
          <w:rFonts w:eastAsiaTheme="majorEastAsia"/>
          <w:b/>
          <w:bCs/>
          <w:color w:val="001C55" w:themeColor="text2"/>
          <w:sz w:val="32"/>
          <w:szCs w:val="32"/>
          <w:lang w:val="en-GB"/>
        </w:rPr>
      </w:pPr>
      <w:r>
        <w:br w:type="page"/>
      </w:r>
    </w:p>
    <w:p w14:paraId="1DE72EA8" w14:textId="18CBCBFC" w:rsidR="0072750A" w:rsidRPr="00502993" w:rsidRDefault="0072750A" w:rsidP="002A1E4F">
      <w:pPr>
        <w:pStyle w:val="Heading2"/>
      </w:pPr>
      <w:bookmarkStart w:id="26" w:name="_Toc178009071"/>
      <w:r w:rsidRPr="00502993">
        <w:lastRenderedPageBreak/>
        <w:t xml:space="preserve">The health and medical research workforce </w:t>
      </w:r>
      <w:proofErr w:type="gramStart"/>
      <w:r w:rsidRPr="00502993">
        <w:t>is</w:t>
      </w:r>
      <w:proofErr w:type="gramEnd"/>
      <w:r w:rsidRPr="00502993">
        <w:t xml:space="preserve"> 52% women, with </w:t>
      </w:r>
      <w:bookmarkEnd w:id="23"/>
      <w:r w:rsidR="00E60427">
        <w:t xml:space="preserve">fewer women </w:t>
      </w:r>
      <w:r w:rsidR="004A1DDF">
        <w:t>at the more senior levels</w:t>
      </w:r>
      <w:bookmarkEnd w:id="26"/>
    </w:p>
    <w:p w14:paraId="35F5B3B4" w14:textId="5B188ACB" w:rsidR="0072750A" w:rsidRPr="0072750A" w:rsidRDefault="000E105D" w:rsidP="00D93983">
      <w:pPr>
        <w:pStyle w:val="BodyText"/>
      </w:pPr>
      <w:r w:rsidRPr="000E105D">
        <w:t xml:space="preserve">The </w:t>
      </w:r>
      <w:r>
        <w:t>health and medical research</w:t>
      </w:r>
      <w:r w:rsidRPr="000E105D">
        <w:t xml:space="preserve"> sector exhibits a gender disparity that widens at more senior levels, with systemic issues in funding and career progression contributing to the </w:t>
      </w:r>
      <w:r w:rsidR="001A2A5C">
        <w:t>decline in participation</w:t>
      </w:r>
      <w:r w:rsidR="001A2A5C" w:rsidRPr="000E105D">
        <w:t xml:space="preserve"> </w:t>
      </w:r>
      <w:r w:rsidRPr="000E105D">
        <w:t xml:space="preserve">of women </w:t>
      </w:r>
      <w:r w:rsidR="001A2A5C">
        <w:t>in</w:t>
      </w:r>
      <w:r w:rsidR="001A2A5C" w:rsidRPr="000E105D">
        <w:t xml:space="preserve"> </w:t>
      </w:r>
      <w:r w:rsidRPr="000E105D">
        <w:t>the workforce.</w:t>
      </w:r>
      <w:r>
        <w:t xml:space="preserve"> </w:t>
      </w:r>
      <w:r w:rsidR="0072750A" w:rsidRPr="0072750A">
        <w:t xml:space="preserve">In junior research roles, there are more women than men. There is a decline in the proportion of women in the workforce as women move into more senior roles. There is a noticeable drop once women reach the director level, or level 5. At the most senior level, women only make up one in four health and medical researchers. </w:t>
      </w:r>
      <w:r w:rsidR="00553A06">
        <w:t>Th</w:t>
      </w:r>
      <w:r w:rsidR="00262F54">
        <w:t xml:space="preserve">is </w:t>
      </w:r>
      <w:r w:rsidR="00E752A6">
        <w:t>trend is seen at th</w:t>
      </w:r>
      <w:r w:rsidR="00795785">
        <w:t xml:space="preserve">e total workforce level, though </w:t>
      </w:r>
      <w:r w:rsidR="00543466">
        <w:t xml:space="preserve">women in </w:t>
      </w:r>
      <w:r w:rsidR="00D52612">
        <w:t xml:space="preserve">the health and medical research workforce have </w:t>
      </w:r>
      <w:r w:rsidR="006A3E35">
        <w:t xml:space="preserve">less </w:t>
      </w:r>
      <w:r w:rsidR="00EC29AF">
        <w:t xml:space="preserve">representation that at the Australian average. At the upper quartile of total remuneration, </w:t>
      </w:r>
      <w:r w:rsidR="009A2F7A">
        <w:t xml:space="preserve">35% </w:t>
      </w:r>
      <w:r w:rsidR="0073515D">
        <w:t xml:space="preserve">of the workforce are women which contrasts to </w:t>
      </w:r>
      <w:r w:rsidR="00CF217E">
        <w:t xml:space="preserve">26% </w:t>
      </w:r>
      <w:r w:rsidR="00535EFF">
        <w:t xml:space="preserve">at the highest level </w:t>
      </w:r>
      <w:r w:rsidR="00C072E2">
        <w:t>in the health and medical research workforce.</w:t>
      </w:r>
      <w:r w:rsidR="00C072E2">
        <w:rPr>
          <w:rStyle w:val="FootnoteReference"/>
        </w:rPr>
        <w:footnoteReference w:id="15"/>
      </w:r>
      <w:r w:rsidR="0073515D">
        <w:t xml:space="preserve"> </w:t>
      </w:r>
    </w:p>
    <w:p w14:paraId="6E258FD6" w14:textId="74CE7BC9" w:rsidR="0072750A" w:rsidRDefault="0072750A" w:rsidP="00D93983">
      <w:pPr>
        <w:pStyle w:val="BodyText"/>
        <w:rPr>
          <w:lang w:val="en-GB"/>
        </w:rPr>
      </w:pPr>
      <w:r w:rsidRPr="0072750A">
        <w:t xml:space="preserve">The literature suggests that </w:t>
      </w:r>
      <w:r w:rsidRPr="0072750A">
        <w:rPr>
          <w:lang w:val="en-GB"/>
        </w:rPr>
        <w:t>gender inequity impacts personal career decisions for women, particularly for mid-career researchers.</w:t>
      </w:r>
      <w:r w:rsidR="00C829FD">
        <w:rPr>
          <w:rStyle w:val="FootnoteReference"/>
          <w:lang w:val="en-GB"/>
        </w:rPr>
        <w:footnoteReference w:id="16"/>
      </w:r>
      <w:r w:rsidRPr="0072750A">
        <w:rPr>
          <w:lang w:val="en-GB"/>
        </w:rPr>
        <w:t xml:space="preserve"> Funding is a key area contributing to ongoing gender inequity. For example, </w:t>
      </w:r>
      <w:r w:rsidR="00B5545D">
        <w:rPr>
          <w:lang w:val="en-GB"/>
        </w:rPr>
        <w:t>while</w:t>
      </w:r>
      <w:r w:rsidRPr="0072750A">
        <w:rPr>
          <w:lang w:val="en-GB"/>
        </w:rPr>
        <w:t xml:space="preserve"> near-equal proportions of female and male applicants have been funded for the past 5 years</w:t>
      </w:r>
      <w:r w:rsidR="004D5C98">
        <w:rPr>
          <w:lang w:val="en-GB"/>
        </w:rPr>
        <w:t xml:space="preserve"> for the NHMRC grant program</w:t>
      </w:r>
      <w:r w:rsidR="007B01C4">
        <w:rPr>
          <w:lang w:val="en-GB"/>
        </w:rPr>
        <w:t xml:space="preserve"> overall</w:t>
      </w:r>
      <w:r w:rsidRPr="0072750A">
        <w:rPr>
          <w:lang w:val="en-GB"/>
        </w:rPr>
        <w:t xml:space="preserve">, </w:t>
      </w:r>
      <w:r w:rsidR="007B01C4">
        <w:rPr>
          <w:lang w:val="en-GB"/>
        </w:rPr>
        <w:t xml:space="preserve">for the </w:t>
      </w:r>
      <w:r w:rsidR="007B01C4" w:rsidRPr="004D5C98">
        <w:t>Investigator Grant scheme</w:t>
      </w:r>
      <w:r w:rsidR="007B01C4" w:rsidRPr="0072750A">
        <w:rPr>
          <w:lang w:val="en-GB"/>
        </w:rPr>
        <w:t xml:space="preserve"> </w:t>
      </w:r>
      <w:r w:rsidR="007B01C4">
        <w:rPr>
          <w:lang w:val="en-GB"/>
        </w:rPr>
        <w:t xml:space="preserve">specifically, </w:t>
      </w:r>
      <w:r w:rsidRPr="0072750A">
        <w:rPr>
          <w:lang w:val="en-GB"/>
        </w:rPr>
        <w:t xml:space="preserve">men have applied in higher numbers and a higher proportion of grant applications from men have been funded. </w:t>
      </w:r>
      <w:r w:rsidR="008E423B">
        <w:rPr>
          <w:lang w:val="en-GB"/>
        </w:rPr>
        <w:t>M</w:t>
      </w:r>
      <w:r w:rsidRPr="0072750A">
        <w:rPr>
          <w:lang w:val="en-GB"/>
        </w:rPr>
        <w:t xml:space="preserve">ore </w:t>
      </w:r>
      <w:r w:rsidR="006F3C61" w:rsidRPr="004D5C98">
        <w:t>Investigator Grant scheme</w:t>
      </w:r>
      <w:r w:rsidR="006F3C61" w:rsidRPr="0072750A">
        <w:rPr>
          <w:lang w:val="en-GB"/>
        </w:rPr>
        <w:t xml:space="preserve"> </w:t>
      </w:r>
      <w:r w:rsidRPr="0072750A">
        <w:rPr>
          <w:lang w:val="en-GB"/>
        </w:rPr>
        <w:t>grants have been awarded to men than women (and more funding). This is due to larger proportion of male applicants at the most senior levels of the scheme.</w:t>
      </w:r>
      <w:r w:rsidR="009860DD">
        <w:rPr>
          <w:rStyle w:val="FootnoteReference"/>
          <w:lang w:val="en-GB"/>
        </w:rPr>
        <w:footnoteReference w:id="17"/>
      </w:r>
      <w:r w:rsidRPr="0072750A">
        <w:rPr>
          <w:lang w:val="en-GB"/>
        </w:rPr>
        <w:t xml:space="preserve"> A lack of career progression and funding instability are contributing to the attrition of women from the workforce.</w:t>
      </w:r>
      <w:r w:rsidR="00FB437D">
        <w:rPr>
          <w:rStyle w:val="FootnoteReference"/>
          <w:lang w:val="en-GB"/>
        </w:rPr>
        <w:footnoteReference w:id="18"/>
      </w:r>
    </w:p>
    <w:p w14:paraId="6AC34041" w14:textId="32E3895A" w:rsidR="00373B71" w:rsidRDefault="00373B71" w:rsidP="00373B71">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7</w:t>
      </w:r>
      <w:r w:rsidR="00333748">
        <w:rPr>
          <w:noProof/>
        </w:rPr>
        <w:fldChar w:fldCharType="end"/>
      </w:r>
      <w:r>
        <w:t xml:space="preserve">: </w:t>
      </w:r>
      <w:r w:rsidRPr="00DD0CC1">
        <w:t>Proportion of female and male researchers by seniority level (weighted proportion of total health and medical research workforce (total), Australia, at June 2024)</w:t>
      </w:r>
      <w:r w:rsidR="00356781">
        <w:rPr>
          <w:rStyle w:val="FootnoteReference"/>
        </w:rPr>
        <w:footnoteReference w:id="19"/>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D93983" w14:paraId="2AE653C1" w14:textId="77777777" w:rsidTr="002E0849">
        <w:tc>
          <w:tcPr>
            <w:tcW w:w="9742" w:type="dxa"/>
          </w:tcPr>
          <w:p w14:paraId="73D41995" w14:textId="306FC90E" w:rsidR="00D93983" w:rsidRDefault="006979A4" w:rsidP="00D93983">
            <w:r>
              <w:rPr>
                <w:noProof/>
              </w:rPr>
              <w:drawing>
                <wp:inline distT="0" distB="0" distL="0" distR="0" wp14:anchorId="1EA4D7BF" wp14:editId="2B664B60">
                  <wp:extent cx="6017066" cy="3554569"/>
                  <wp:effectExtent l="0" t="0" r="0" b="0"/>
                  <wp:docPr id="2077039333" name="Picture 8" descr="Chart illustrating the proportion of female and male researchers by seniori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39333" name="Picture 8" descr="Chart illustrating the proportion of female and male researchers by seniority lev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398" cy="3558309"/>
                          </a:xfrm>
                          <a:prstGeom prst="rect">
                            <a:avLst/>
                          </a:prstGeom>
                          <a:noFill/>
                        </pic:spPr>
                      </pic:pic>
                    </a:graphicData>
                  </a:graphic>
                </wp:inline>
              </w:drawing>
            </w:r>
          </w:p>
        </w:tc>
      </w:tr>
    </w:tbl>
    <w:p w14:paraId="53F25A2C" w14:textId="77777777" w:rsidR="00D93983" w:rsidRPr="00D93983" w:rsidRDefault="00D93983" w:rsidP="00D93983"/>
    <w:p w14:paraId="1D4CA35A" w14:textId="77777777" w:rsidR="0063428B" w:rsidRDefault="0063428B">
      <w:pPr>
        <w:spacing w:before="0" w:after="0" w:line="240" w:lineRule="auto"/>
        <w:rPr>
          <w:rFonts w:eastAsiaTheme="majorEastAsia"/>
          <w:b/>
          <w:bCs/>
          <w:color w:val="001C55" w:themeColor="text2"/>
          <w:sz w:val="32"/>
          <w:szCs w:val="32"/>
          <w:lang w:val="en-GB"/>
        </w:rPr>
      </w:pPr>
      <w:bookmarkStart w:id="27" w:name="_Toc175208708"/>
      <w:r>
        <w:br w:type="page"/>
      </w:r>
    </w:p>
    <w:p w14:paraId="16D8DE05" w14:textId="2FCF0360" w:rsidR="00E9017F" w:rsidRPr="002A1E4F" w:rsidRDefault="00F8697C" w:rsidP="002A1E4F">
      <w:pPr>
        <w:pStyle w:val="Heading2"/>
        <w:rPr>
          <w:rFonts w:cstheme="minorBidi"/>
          <w:caps/>
          <w:spacing w:val="10"/>
          <w:kern w:val="2"/>
          <w:sz w:val="24"/>
          <w:szCs w:val="24"/>
          <w14:ligatures w14:val="standardContextual"/>
        </w:rPr>
      </w:pPr>
      <w:bookmarkStart w:id="28" w:name="_Toc178009072"/>
      <w:r w:rsidRPr="005F27D6">
        <w:lastRenderedPageBreak/>
        <w:t xml:space="preserve">48% of researchers report experiencing career interruptions, with 76% of </w:t>
      </w:r>
      <w:r w:rsidR="0063428B">
        <w:t>those for female researchers</w:t>
      </w:r>
      <w:r w:rsidRPr="005F27D6">
        <w:t xml:space="preserve"> due to parental leave</w:t>
      </w:r>
      <w:bookmarkEnd w:id="27"/>
      <w:bookmarkEnd w:id="28"/>
      <w:r w:rsidR="00E35BC5" w:rsidRPr="00F8697C" w:rsidDel="00E35BC5">
        <w:t xml:space="preserve"> </w:t>
      </w:r>
    </w:p>
    <w:p w14:paraId="5726553C" w14:textId="08C01945" w:rsidR="00B07788" w:rsidRDefault="00D70617" w:rsidP="006C6B62">
      <w:pPr>
        <w:pStyle w:val="BodyText"/>
      </w:pPr>
      <w:r>
        <w:t xml:space="preserve">Understanding </w:t>
      </w:r>
      <w:r w:rsidR="00CF6089">
        <w:t xml:space="preserve">how common career interruptions are for men and women and the reasons why researchers experience career interruptions </w:t>
      </w:r>
      <w:r w:rsidR="009B5B27">
        <w:t>can help explain in part why the proportion of women declines with seniority.</w:t>
      </w:r>
      <w:r w:rsidR="00D13928">
        <w:t xml:space="preserve"> </w:t>
      </w:r>
      <w:r w:rsidR="00D624C2">
        <w:t>C</w:t>
      </w:r>
      <w:r w:rsidR="00D624C2" w:rsidRPr="006C3A84">
        <w:t xml:space="preserve">areer interruptions </w:t>
      </w:r>
      <w:r w:rsidR="00D624C2">
        <w:t xml:space="preserve">are experienced by </w:t>
      </w:r>
      <w:r w:rsidR="006C3A84" w:rsidRPr="006C3A84">
        <w:t>55% of women compared to 27% of men. The type of career interruption experienced varies by gender. Parental leave is the most common career interruption for women, with 76% of women who experience a career interruption report it as parental leave.</w:t>
      </w:r>
      <w:r w:rsidR="000A6D7B">
        <w:t xml:space="preserve"> Interruptions at early levels can have long lasting, knock-on effects on the later career stages, particularly when returning to the workforce following a break. </w:t>
      </w:r>
      <w:r w:rsidR="006C3A84" w:rsidRPr="006C3A84">
        <w:t xml:space="preserve">For men, parental leave is the least common type of career interruption, with only 15% of career breaks </w:t>
      </w:r>
      <w:r w:rsidR="00B07788">
        <w:t xml:space="preserve">for men </w:t>
      </w:r>
      <w:r w:rsidR="006C3A84" w:rsidRPr="006C3A84">
        <w:t xml:space="preserve">attributable to parental leave. </w:t>
      </w:r>
      <w:r w:rsidR="00A56371" w:rsidRPr="006C3A84">
        <w:t>Across other industries, men account for 14% of the employer-funded paid primary carers leave taken in 2022/23.</w:t>
      </w:r>
      <w:r w:rsidR="00A56371">
        <w:rPr>
          <w:rStyle w:val="FootnoteReference"/>
        </w:rPr>
        <w:footnoteReference w:id="20"/>
      </w:r>
      <w:r w:rsidR="00A56371" w:rsidRPr="006C3A84">
        <w:t xml:space="preserve"> This suggests there are still barriers in place for men to take parental leave, which is key to advancing gender equity in the workplace. </w:t>
      </w:r>
    </w:p>
    <w:p w14:paraId="22F7CAB5" w14:textId="690F7682" w:rsidR="00DD7552" w:rsidRDefault="00DD7552" w:rsidP="00373B71">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8</w:t>
      </w:r>
      <w:r w:rsidR="00333748">
        <w:rPr>
          <w:noProof/>
        </w:rPr>
        <w:fldChar w:fldCharType="end"/>
      </w:r>
      <w:r>
        <w:t xml:space="preserve">: </w:t>
      </w:r>
      <w:r w:rsidRPr="001D0486">
        <w:t>Type of career interruption (proportion of those who had a significant career interruption, Australia</w:t>
      </w:r>
      <w:r>
        <w:t>)</w:t>
      </w:r>
      <w:r>
        <w:rPr>
          <w:rStyle w:val="FootnoteReference"/>
        </w:rPr>
        <w:footnoteReference w:id="21"/>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D5063A" w14:paraId="4965B7AF" w14:textId="77777777" w:rsidTr="006C6B62">
        <w:tc>
          <w:tcPr>
            <w:tcW w:w="9742" w:type="dxa"/>
          </w:tcPr>
          <w:p w14:paraId="54973F56" w14:textId="1FEF91D1" w:rsidR="00D5063A" w:rsidRDefault="006C6B62" w:rsidP="00D5063A">
            <w:r>
              <w:rPr>
                <w:noProof/>
              </w:rPr>
              <w:drawing>
                <wp:inline distT="0" distB="0" distL="0" distR="0" wp14:anchorId="287DFBBF" wp14:editId="7FBDFEAF">
                  <wp:extent cx="6012913" cy="4249539"/>
                  <wp:effectExtent l="0" t="0" r="6985" b="0"/>
                  <wp:docPr id="807646036" name="Picture 9" descr="Graphs illustrating types of career inter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46036" name="Picture 9" descr="Graphs illustrating types of career interru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447" cy="4259104"/>
                          </a:xfrm>
                          <a:prstGeom prst="rect">
                            <a:avLst/>
                          </a:prstGeom>
                          <a:noFill/>
                        </pic:spPr>
                      </pic:pic>
                    </a:graphicData>
                  </a:graphic>
                </wp:inline>
              </w:drawing>
            </w:r>
          </w:p>
        </w:tc>
      </w:tr>
    </w:tbl>
    <w:p w14:paraId="09594151" w14:textId="43BEA92F" w:rsidR="00DD527D" w:rsidRPr="006C3A84" w:rsidRDefault="00DD527D" w:rsidP="002A1E4F">
      <w:pPr>
        <w:pStyle w:val="IntenseQuote"/>
      </w:pPr>
      <w:r>
        <w:rPr>
          <w:lang w:val="en-GB"/>
        </w:rPr>
        <w:lastRenderedPageBreak/>
        <w:t>“</w:t>
      </w:r>
      <w:r w:rsidRPr="00DD527D">
        <w:rPr>
          <w:lang w:val="en-GB"/>
        </w:rPr>
        <w:t>Career advancement has been challenging, I feel in part because I am female and have had career breaks due to having children earlier in my career.</w:t>
      </w:r>
      <w:r>
        <w:t>”</w:t>
      </w:r>
    </w:p>
    <w:p w14:paraId="68DFA4E1" w14:textId="7CAB807B" w:rsidR="0065167F" w:rsidRDefault="006C3A84" w:rsidP="006C6B62">
      <w:pPr>
        <w:pStyle w:val="BodyText"/>
      </w:pPr>
      <w:r w:rsidRPr="006C3A84">
        <w:t xml:space="preserve">Sabbaticals or career breaks are more common for men than women. For men, almost a third of those who had a career interruption reported it was for a sabbatical or career break, compared to only 9% of women. The </w:t>
      </w:r>
      <w:r w:rsidR="00E431B7" w:rsidRPr="006C3A84">
        <w:t>disproportion</w:t>
      </w:r>
      <w:r w:rsidR="00E431B7">
        <w:t>ate</w:t>
      </w:r>
      <w:r w:rsidRPr="006C3A84">
        <w:t xml:space="preserve"> number of men compared to women who take sabbaticals suggest there are barriers to women taking sabbaticals, likely due to women already having other career interruptions such as parental leave or other carer responsibilities. </w:t>
      </w:r>
      <w:r w:rsidR="00D81A77" w:rsidRPr="00D81A77">
        <w:t xml:space="preserve">The most common response given for ‘other’ </w:t>
      </w:r>
      <w:r w:rsidR="0070297D">
        <w:t xml:space="preserve">by male respondents </w:t>
      </w:r>
      <w:r w:rsidR="00D81A77" w:rsidRPr="00D81A77">
        <w:t>relates to unemployment or funding issues or factors such as COVID-19 resulting in a career interruption</w:t>
      </w:r>
      <w:r w:rsidR="00D81A77">
        <w:t>.</w:t>
      </w:r>
    </w:p>
    <w:p w14:paraId="7C20639A" w14:textId="77777777" w:rsidR="00CC2AB3" w:rsidRPr="00502993" w:rsidRDefault="00CC2AB3" w:rsidP="00CC2AB3">
      <w:pPr>
        <w:pStyle w:val="IntenseQuote"/>
      </w:pPr>
      <w:r>
        <w:rPr>
          <w:lang w:val="en-GB"/>
        </w:rPr>
        <w:t>“</w:t>
      </w:r>
      <w:r w:rsidRPr="00212126">
        <w:rPr>
          <w:lang w:val="en-GB"/>
        </w:rPr>
        <w:t>It is very difficult to be a mother of young children with caregiving responsibilities for elderly parents, and to be a laboratory researcher as well.</w:t>
      </w:r>
      <w:r>
        <w:rPr>
          <w:lang w:val="en-GB"/>
        </w:rPr>
        <w:t>”</w:t>
      </w:r>
    </w:p>
    <w:p w14:paraId="5A9E2604" w14:textId="77777777" w:rsidR="00CC2AB3" w:rsidRDefault="00CC2AB3" w:rsidP="006C6B62">
      <w:pPr>
        <w:pStyle w:val="BodyText"/>
      </w:pPr>
    </w:p>
    <w:p w14:paraId="3963F535" w14:textId="77777777" w:rsidR="0065167F" w:rsidRDefault="0065167F">
      <w:pPr>
        <w:spacing w:before="0" w:after="0" w:line="240" w:lineRule="auto"/>
        <w:rPr>
          <w:rFonts w:asciiTheme="majorHAnsi" w:eastAsiaTheme="majorEastAsia" w:hAnsiTheme="majorHAnsi"/>
          <w:b/>
          <w:bCs/>
          <w:color w:val="071A54" w:themeColor="accent1" w:themeShade="BF"/>
          <w:sz w:val="32"/>
          <w:szCs w:val="32"/>
          <w:lang w:val="en-GB"/>
        </w:rPr>
      </w:pPr>
      <w:r>
        <w:br w:type="page"/>
      </w:r>
    </w:p>
    <w:p w14:paraId="4710CF08" w14:textId="54661896" w:rsidR="00502993" w:rsidRPr="00772688" w:rsidRDefault="00AE2302" w:rsidP="002A1E4F">
      <w:pPr>
        <w:pStyle w:val="Heading2"/>
      </w:pPr>
      <w:bookmarkStart w:id="29" w:name="_Toc175208709"/>
      <w:bookmarkStart w:id="30" w:name="_Toc178009073"/>
      <w:r>
        <w:lastRenderedPageBreak/>
        <w:t>More than</w:t>
      </w:r>
      <w:r w:rsidR="00502993" w:rsidRPr="00772688">
        <w:t xml:space="preserve"> 40% of the research workforce were born overseas, while 30% of non-traditional researchers trained overseas, compared to 21% of traditional researchers</w:t>
      </w:r>
      <w:bookmarkEnd w:id="29"/>
      <w:bookmarkEnd w:id="30"/>
    </w:p>
    <w:p w14:paraId="30821F81" w14:textId="6E2876E8" w:rsidR="00502993" w:rsidRDefault="00B67E4F" w:rsidP="006C6B62">
      <w:pPr>
        <w:pStyle w:val="BodyText"/>
      </w:pPr>
      <w:r>
        <w:t>Australia</w:t>
      </w:r>
      <w:r w:rsidR="00483F96">
        <w:t xml:space="preserve"> has a strong</w:t>
      </w:r>
      <w:r>
        <w:t xml:space="preserve"> health and medical research </w:t>
      </w:r>
      <w:r w:rsidR="00C75642">
        <w:t>sector and</w:t>
      </w:r>
      <w:r w:rsidR="00D02240">
        <w:t xml:space="preserve"> </w:t>
      </w:r>
      <w:r w:rsidR="00C75642">
        <w:t>considerable investment from the public and private sectors. As a result, many international researchers who were either born or train</w:t>
      </w:r>
      <w:r w:rsidR="009A0A8D">
        <w:t>ed</w:t>
      </w:r>
      <w:r w:rsidR="00C75642">
        <w:t xml:space="preserve"> overseas move to Australia </w:t>
      </w:r>
      <w:r w:rsidR="00852F9F">
        <w:t>to work in</w:t>
      </w:r>
      <w:r w:rsidR="00C75642">
        <w:t xml:space="preserve"> health and medical research. </w:t>
      </w:r>
      <w:r w:rsidR="00874E61" w:rsidRPr="00874E61">
        <w:t>The demographic composition of Australia's HMR workforce reflects a diverse international background</w:t>
      </w:r>
      <w:r w:rsidR="0004249B">
        <w:t xml:space="preserve">. </w:t>
      </w:r>
      <w:r w:rsidR="00502993" w:rsidRPr="00502993">
        <w:t xml:space="preserve">For the HMR workforce, England was the most common country of birth after Australia (6%), followed by India (3%), New Zealand (3%), USA (2%) and Malaysia (2%). This differs slightly from the top </w:t>
      </w:r>
      <w:r w:rsidR="002C6F95">
        <w:t>5</w:t>
      </w:r>
      <w:r w:rsidR="00502993" w:rsidRPr="00502993">
        <w:t xml:space="preserve"> countries of overseas countries of birth for the overall population which is England (4%), India (3%), China (3%), New Zealand (2%) and the Philippines (1%).</w:t>
      </w:r>
      <w:r w:rsidR="0053457F">
        <w:rPr>
          <w:rStyle w:val="FootnoteReference"/>
        </w:rPr>
        <w:footnoteReference w:id="22"/>
      </w:r>
      <w:r w:rsidR="00F64F78">
        <w:t xml:space="preserve"> Th</w:t>
      </w:r>
      <w:r w:rsidR="00774307">
        <w:t xml:space="preserve">e proportion of research workforce born overseas is higher than the </w:t>
      </w:r>
      <w:r w:rsidR="00676221">
        <w:t>Australian average (29.5%).</w:t>
      </w:r>
      <w:r w:rsidR="00676221">
        <w:rPr>
          <w:rStyle w:val="FootnoteReference"/>
        </w:rPr>
        <w:footnoteReference w:id="23"/>
      </w:r>
    </w:p>
    <w:p w14:paraId="305EF0B2" w14:textId="2BDC1F6A" w:rsidR="00550013" w:rsidRDefault="00550013"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9</w:t>
      </w:r>
      <w:r w:rsidR="00333748">
        <w:rPr>
          <w:noProof/>
        </w:rPr>
        <w:fldChar w:fldCharType="end"/>
      </w:r>
      <w:r>
        <w:t>: Left</w:t>
      </w:r>
      <w:r w:rsidRPr="006D0795">
        <w:t xml:space="preserve"> - Country of birth (proportion of researchers who had worked in an organisation other than their</w:t>
      </w:r>
      <w:r w:rsidR="006F6FA2">
        <w:t xml:space="preserve"> </w:t>
      </w:r>
      <w:r w:rsidR="006F6FA2" w:rsidRPr="006D0795">
        <w:t>current organisation</w:t>
      </w:r>
      <w:r w:rsidRPr="006D0795">
        <w:t xml:space="preserve">); </w:t>
      </w:r>
      <w:r>
        <w:t>Right</w:t>
      </w:r>
      <w:r w:rsidRPr="006D0795">
        <w:t xml:space="preserve"> - Location of training by workforce group (weighted proportion by workforce, Australia, at June 2024)</w:t>
      </w:r>
      <w:r>
        <w:rPr>
          <w:rStyle w:val="FootnoteReference"/>
        </w:rPr>
        <w:footnoteReference w:id="24"/>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6C6B62" w14:paraId="5D294238" w14:textId="77777777" w:rsidTr="006C6B62">
        <w:tc>
          <w:tcPr>
            <w:tcW w:w="9742" w:type="dxa"/>
          </w:tcPr>
          <w:p w14:paraId="4E423648" w14:textId="4B3AAC2C" w:rsidR="006C6B62" w:rsidRDefault="000026C2" w:rsidP="006C6B62">
            <w:r>
              <w:rPr>
                <w:noProof/>
              </w:rPr>
              <w:drawing>
                <wp:inline distT="0" distB="0" distL="0" distR="0" wp14:anchorId="5159CB1B" wp14:editId="58978066">
                  <wp:extent cx="6058535" cy="3488676"/>
                  <wp:effectExtent l="0" t="0" r="0" b="0"/>
                  <wp:docPr id="1967636963" name="Picture 21" descr="Chart illustrating the county of birth (Australia or overseas) and location of training (Australia or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36963" name="Picture 21" descr="Chart illustrating the county of birth (Australia or overseas) and location of training (Australia or overse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004" cy="3499887"/>
                          </a:xfrm>
                          <a:prstGeom prst="rect">
                            <a:avLst/>
                          </a:prstGeom>
                          <a:noFill/>
                        </pic:spPr>
                      </pic:pic>
                    </a:graphicData>
                  </a:graphic>
                </wp:inline>
              </w:drawing>
            </w:r>
          </w:p>
        </w:tc>
      </w:tr>
    </w:tbl>
    <w:p w14:paraId="3610EEFD" w14:textId="7A4CF9CB" w:rsidR="0059463D" w:rsidRPr="002A1E4F" w:rsidRDefault="0059463D" w:rsidP="006C6B62">
      <w:pPr>
        <w:pStyle w:val="BodyText"/>
        <w:rPr>
          <w:lang w:val="en-GB"/>
        </w:rPr>
      </w:pPr>
      <w:r w:rsidRPr="00502993">
        <w:t>A larger portion of the non-traditional research workforce trained overseas, which could be explained by the international nature of many of the large non-traditional employers who may attract employee from overseas and often recruit talent globally. Many international health graduates also face barriers to register to practice in Australia, with anecdotal evidence suggesting in the interim they often work in the clinical research space.</w:t>
      </w:r>
    </w:p>
    <w:p w14:paraId="70C58A37" w14:textId="77777777" w:rsidR="009F22A0" w:rsidRPr="009E6101" w:rsidRDefault="009F22A0" w:rsidP="009E6101">
      <w:bookmarkStart w:id="31" w:name="_Toc175208710"/>
      <w:r>
        <w:br w:type="page"/>
      </w:r>
    </w:p>
    <w:p w14:paraId="68D5F5BF" w14:textId="42B9E651" w:rsidR="00502993" w:rsidRDefault="00D31948" w:rsidP="002A1E4F">
      <w:pPr>
        <w:pStyle w:val="Heading2"/>
      </w:pPr>
      <w:bookmarkStart w:id="32" w:name="_Toc178009074"/>
      <w:r w:rsidRPr="00D31948">
        <w:lastRenderedPageBreak/>
        <w:t>35% of traditional researchers moved to Australia for a research job, compared to 10% for non-traditional researchers</w:t>
      </w:r>
      <w:bookmarkEnd w:id="31"/>
      <w:bookmarkEnd w:id="32"/>
      <w:r w:rsidRPr="00D31948" w:rsidDel="00D31948">
        <w:t xml:space="preserve"> </w:t>
      </w:r>
    </w:p>
    <w:p w14:paraId="1D165B5C" w14:textId="31A020E7" w:rsidR="00494D6C" w:rsidRDefault="00C5378F" w:rsidP="00F503E6">
      <w:pPr>
        <w:pStyle w:val="BodyText"/>
      </w:pPr>
      <w:r w:rsidRPr="00C5378F">
        <w:t xml:space="preserve">The international appeal of Australia's research sector is evident in the migration patterns of </w:t>
      </w:r>
      <w:r>
        <w:t>health and medical researchers</w:t>
      </w:r>
      <w:r w:rsidRPr="00C5378F">
        <w:t xml:space="preserve">, with </w:t>
      </w:r>
      <w:r>
        <w:t>variation</w:t>
      </w:r>
      <w:r w:rsidRPr="00C5378F">
        <w:t xml:space="preserve"> between traditional and non-traditional researchers' motivations for relocation.</w:t>
      </w:r>
      <w:r>
        <w:t xml:space="preserve"> </w:t>
      </w:r>
      <w:r w:rsidR="00F73F89">
        <w:t>Over a third of traditional researchers move to Australia for a research job,</w:t>
      </w:r>
      <w:r w:rsidR="00873399">
        <w:t xml:space="preserve"> compared to</w:t>
      </w:r>
      <w:r w:rsidR="001F182D">
        <w:t xml:space="preserve"> </w:t>
      </w:r>
      <w:r w:rsidR="00096535">
        <w:t xml:space="preserve">10% of non-traditional </w:t>
      </w:r>
      <w:r w:rsidR="00873399">
        <w:t>researchers.</w:t>
      </w:r>
      <w:r w:rsidR="00096535">
        <w:t xml:space="preserve"> </w:t>
      </w:r>
      <w:r w:rsidR="009332A8" w:rsidRPr="00502993">
        <w:t>For traditional researchers who move to Australia for a research job, 3</w:t>
      </w:r>
      <w:r w:rsidR="009332A8">
        <w:t>2</w:t>
      </w:r>
      <w:r w:rsidR="009332A8" w:rsidRPr="00502993">
        <w:t xml:space="preserve">% were originally from Australia. For non-traditional researchers who moved to Australia for a research job, only </w:t>
      </w:r>
      <w:r w:rsidR="009332A8">
        <w:t>9</w:t>
      </w:r>
      <w:r w:rsidR="009332A8" w:rsidRPr="00502993">
        <w:t>% were originally from Australia.</w:t>
      </w:r>
      <w:r w:rsidR="009332A8">
        <w:t xml:space="preserve"> </w:t>
      </w:r>
      <w:r w:rsidR="003E6D03">
        <w:t>Other than returning to Australia, t</w:t>
      </w:r>
      <w:r w:rsidR="00981D4D">
        <w:t xml:space="preserve">he </w:t>
      </w:r>
      <w:r w:rsidR="00EA6E9C">
        <w:t xml:space="preserve">most common reasons traditional researchers moved to Australia for a research role was for </w:t>
      </w:r>
      <w:r w:rsidR="003E6D03">
        <w:t>the r</w:t>
      </w:r>
      <w:r w:rsidR="003E6D03" w:rsidRPr="003E6D03">
        <w:t>eputation of the researcher</w:t>
      </w:r>
      <w:r w:rsidR="003E6D03">
        <w:t xml:space="preserve"> they</w:t>
      </w:r>
      <w:r w:rsidR="003E6D03" w:rsidRPr="003E6D03">
        <w:t xml:space="preserve"> came to work with</w:t>
      </w:r>
      <w:r w:rsidR="003E6D03">
        <w:t>/for (14%) or</w:t>
      </w:r>
      <w:r w:rsidR="008C1310">
        <w:t xml:space="preserve"> r</w:t>
      </w:r>
      <w:r w:rsidR="008C1310" w:rsidRPr="008C1310">
        <w:t xml:space="preserve">esearch excellence in the topic </w:t>
      </w:r>
      <w:r w:rsidR="008C1310">
        <w:t>they are</w:t>
      </w:r>
      <w:r w:rsidR="008C1310" w:rsidRPr="008C1310">
        <w:t xml:space="preserve"> interested in</w:t>
      </w:r>
      <w:r w:rsidR="00981D4D">
        <w:t xml:space="preserve"> </w:t>
      </w:r>
      <w:r w:rsidR="00423C4E">
        <w:t>(</w:t>
      </w:r>
      <w:r w:rsidR="00C04661">
        <w:t>13%)</w:t>
      </w:r>
      <w:r w:rsidR="003E6D03">
        <w:t>. In contrast, the most common reason for non-traditional researchers to move to Australia was lifestyle (</w:t>
      </w:r>
      <w:r w:rsidR="000D729E">
        <w:t>19%)</w:t>
      </w:r>
      <w:r w:rsidR="00D272ED">
        <w:t xml:space="preserve">. </w:t>
      </w:r>
    </w:p>
    <w:p w14:paraId="4838BDBB" w14:textId="5162FEA9" w:rsidR="000F7C6B" w:rsidRDefault="000F7C6B" w:rsidP="00064AB7">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10</w:t>
      </w:r>
      <w:r w:rsidR="00333748">
        <w:rPr>
          <w:noProof/>
        </w:rPr>
        <w:fldChar w:fldCharType="end"/>
      </w:r>
      <w:r>
        <w:t xml:space="preserve">: </w:t>
      </w:r>
      <w:r w:rsidRPr="006636D3">
        <w:t>Moved to Australia for a research job (proportion of researchers who had worked in an organisation other than their current organisation</w:t>
      </w:r>
      <w:r w:rsidRPr="00943283">
        <w:t>)</w:t>
      </w:r>
      <w:r>
        <w:rPr>
          <w:rStyle w:val="FootnoteReference"/>
        </w:rPr>
        <w:footnoteReference w:id="25"/>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F503E6" w14:paraId="159317C0" w14:textId="77777777" w:rsidTr="00F503E6">
        <w:tc>
          <w:tcPr>
            <w:tcW w:w="9742" w:type="dxa"/>
          </w:tcPr>
          <w:p w14:paraId="58E64933" w14:textId="188201CF" w:rsidR="00F503E6" w:rsidRDefault="00F503E6" w:rsidP="00F503E6">
            <w:r>
              <w:rPr>
                <w:noProof/>
              </w:rPr>
              <w:drawing>
                <wp:inline distT="0" distB="0" distL="0" distR="0" wp14:anchorId="4E8C2F3A" wp14:editId="2BFC646A">
                  <wp:extent cx="6349889" cy="2216141"/>
                  <wp:effectExtent l="0" t="0" r="0" b="0"/>
                  <wp:docPr id="746165666" name="Picture 53" descr="Figure illustrating the proportion of researchers who moved to Australia for a research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65666" name="Picture 53" descr="Figure illustrating the proportion of researchers who moved to Australia for a research jo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3824" cy="2221004"/>
                          </a:xfrm>
                          <a:prstGeom prst="rect">
                            <a:avLst/>
                          </a:prstGeom>
                          <a:noFill/>
                        </pic:spPr>
                      </pic:pic>
                    </a:graphicData>
                  </a:graphic>
                </wp:inline>
              </w:drawing>
            </w:r>
          </w:p>
        </w:tc>
      </w:tr>
    </w:tbl>
    <w:p w14:paraId="26681A2C" w14:textId="3BCF9986" w:rsidR="0065167F" w:rsidRDefault="006F27A0" w:rsidP="00897405">
      <w:pPr>
        <w:pStyle w:val="IntenseQuote"/>
        <w:rPr>
          <w:rFonts w:asciiTheme="majorHAnsi" w:eastAsiaTheme="majorEastAsia" w:hAnsiTheme="majorHAnsi"/>
          <w:sz w:val="32"/>
          <w:szCs w:val="32"/>
          <w:lang w:val="en-GB"/>
        </w:rPr>
      </w:pPr>
      <w:r>
        <w:t>“T</w:t>
      </w:r>
      <w:r w:rsidRPr="006F27A0">
        <w:t>he organisation recruiting me had world-class, enabling infrastructure for my research and translation plans.</w:t>
      </w:r>
      <w:r>
        <w:t>”</w:t>
      </w:r>
    </w:p>
    <w:p w14:paraId="721F173C" w14:textId="68E14D87" w:rsidR="00CA5856" w:rsidRDefault="00CA5856" w:rsidP="002A1E4F">
      <w:pPr>
        <w:pStyle w:val="Heading2"/>
      </w:pPr>
      <w:bookmarkStart w:id="33" w:name="_Toc175208711"/>
      <w:bookmarkStart w:id="34" w:name="_Toc178009075"/>
      <w:r w:rsidRPr="00772688">
        <w:lastRenderedPageBreak/>
        <w:t>44% of traditional researchers have worked overseas at some point, almost all moving for a research role</w:t>
      </w:r>
      <w:bookmarkEnd w:id="33"/>
      <w:bookmarkEnd w:id="34"/>
    </w:p>
    <w:p w14:paraId="7B5E50F6" w14:textId="556D24BE" w:rsidR="00562A42" w:rsidRDefault="00AD6997" w:rsidP="00A267A0">
      <w:pPr>
        <w:pStyle w:val="BodyText"/>
      </w:pPr>
      <w:r w:rsidRPr="00AD6997">
        <w:t xml:space="preserve">The international mobility of Australian </w:t>
      </w:r>
      <w:r w:rsidR="00723CE6">
        <w:t>health and medical research</w:t>
      </w:r>
      <w:r w:rsidRPr="00AD6997">
        <w:t xml:space="preserve"> professionals is high, particularly among traditional researchers, with overseas work experiences driven primarily by the pursuit of research excellence and institutional reputation.</w:t>
      </w:r>
      <w:r>
        <w:t xml:space="preserve"> </w:t>
      </w:r>
      <w:r w:rsidR="00AD37B3">
        <w:t xml:space="preserve">Working overseas provides workers with the opportunity to learn from </w:t>
      </w:r>
      <w:r w:rsidR="009C073F">
        <w:t>others and gain new skills and experiences</w:t>
      </w:r>
      <w:r w:rsidR="00E37F3B">
        <w:t xml:space="preserve">. </w:t>
      </w:r>
      <w:r w:rsidR="00B21DC5">
        <w:t xml:space="preserve">Almost half of traditional </w:t>
      </w:r>
      <w:r w:rsidR="00945F71">
        <w:t>researchers</w:t>
      </w:r>
      <w:r w:rsidR="00B21DC5">
        <w:t xml:space="preserve"> have worked overseas at some point during their </w:t>
      </w:r>
      <w:r w:rsidR="00945F71">
        <w:t>career</w:t>
      </w:r>
      <w:r w:rsidR="00B21DC5">
        <w:t>.</w:t>
      </w:r>
      <w:r w:rsidR="002731D6">
        <w:t xml:space="preserve"> </w:t>
      </w:r>
      <w:r w:rsidR="00803A26">
        <w:t xml:space="preserve">For </w:t>
      </w:r>
      <w:r w:rsidR="00502993" w:rsidRPr="00502993">
        <w:t>traditional researchers</w:t>
      </w:r>
      <w:r w:rsidR="00803A26">
        <w:t>,</w:t>
      </w:r>
      <w:r w:rsidR="00502993" w:rsidRPr="00502993">
        <w:t xml:space="preserve"> </w:t>
      </w:r>
      <w:r w:rsidR="00803A26" w:rsidRPr="00502993">
        <w:t>9</w:t>
      </w:r>
      <w:r w:rsidR="00803A26">
        <w:t>5</w:t>
      </w:r>
      <w:r w:rsidR="00803A26" w:rsidRPr="00502993">
        <w:t xml:space="preserve">% </w:t>
      </w:r>
      <w:r w:rsidR="00803A26">
        <w:t xml:space="preserve">of those </w:t>
      </w:r>
      <w:r w:rsidR="00502993" w:rsidRPr="00502993">
        <w:t xml:space="preserve">who moved overseas moved for a research or research support </w:t>
      </w:r>
      <w:r w:rsidR="00387CA9">
        <w:t>role</w:t>
      </w:r>
      <w:r w:rsidR="00502993" w:rsidRPr="00502993">
        <w:t xml:space="preserve">, compared to only </w:t>
      </w:r>
      <w:r w:rsidR="00A11C62" w:rsidRPr="00502993">
        <w:t>3</w:t>
      </w:r>
      <w:r w:rsidR="00A11C62">
        <w:t>6</w:t>
      </w:r>
      <w:r w:rsidR="00502993" w:rsidRPr="00502993">
        <w:t>% of non-traditional researchers and 68% for researchers who have worked in both sectors.</w:t>
      </w:r>
      <w:r w:rsidR="00E47E47">
        <w:t xml:space="preserve"> T</w:t>
      </w:r>
      <w:r w:rsidR="0039188A">
        <w:t xml:space="preserve">he most common motivator for </w:t>
      </w:r>
      <w:r w:rsidR="00D320BA">
        <w:t>researchers</w:t>
      </w:r>
      <w:r w:rsidR="00C14BFE">
        <w:t xml:space="preserve"> </w:t>
      </w:r>
      <w:r w:rsidR="00D320BA">
        <w:t>from across the workforce to move</w:t>
      </w:r>
      <w:r w:rsidR="0039188A">
        <w:t xml:space="preserve"> overseas was </w:t>
      </w:r>
      <w:r w:rsidR="00BF6E9A">
        <w:t>r</w:t>
      </w:r>
      <w:r w:rsidR="00BF6E9A" w:rsidRPr="00BF6E9A">
        <w:t xml:space="preserve">esearch excellence in the topic </w:t>
      </w:r>
      <w:r w:rsidR="00BF6E9A">
        <w:t xml:space="preserve">they are </w:t>
      </w:r>
      <w:r w:rsidR="00BF6E9A" w:rsidRPr="00BF6E9A">
        <w:t>interested in</w:t>
      </w:r>
      <w:r w:rsidR="00BF6E9A">
        <w:t xml:space="preserve"> (</w:t>
      </w:r>
      <w:r w:rsidR="00D320BA">
        <w:t>30</w:t>
      </w:r>
      <w:r w:rsidR="00730843">
        <w:t xml:space="preserve">%). </w:t>
      </w:r>
      <w:r w:rsidR="006F3A6D">
        <w:t xml:space="preserve">Reputation of the organisation they went to work for is also </w:t>
      </w:r>
      <w:r w:rsidR="00000547">
        <w:t>a key motivator for researchers to move overseas (</w:t>
      </w:r>
      <w:r w:rsidR="00CB52FC">
        <w:t>13%)</w:t>
      </w:r>
      <w:r w:rsidR="005D40DF">
        <w:t>.</w:t>
      </w:r>
    </w:p>
    <w:p w14:paraId="1E8C9EB5" w14:textId="22CE68C0" w:rsidR="00064AB7" w:rsidRDefault="00064AB7" w:rsidP="00064AB7">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11</w:t>
      </w:r>
      <w:r w:rsidR="00333748">
        <w:rPr>
          <w:noProof/>
        </w:rPr>
        <w:fldChar w:fldCharType="end"/>
      </w:r>
      <w:r>
        <w:t xml:space="preserve">: </w:t>
      </w:r>
      <w:r w:rsidRPr="00497586">
        <w:t>Worked overseas at some point during their career (proportion of researchers who had worked in an organisation other than their current organisation</w:t>
      </w:r>
      <w:r>
        <w:t>)</w:t>
      </w:r>
      <w:r>
        <w:rPr>
          <w:rStyle w:val="FootnoteReference"/>
        </w:rPr>
        <w:footnoteReference w:id="26"/>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A267A0" w14:paraId="3941CC16" w14:textId="77777777" w:rsidTr="00A267A0">
        <w:tc>
          <w:tcPr>
            <w:tcW w:w="9742" w:type="dxa"/>
          </w:tcPr>
          <w:p w14:paraId="72D039AE" w14:textId="0271D06A" w:rsidR="00A267A0" w:rsidRDefault="00A267A0" w:rsidP="00A267A0">
            <w:r>
              <w:rPr>
                <w:noProof/>
              </w:rPr>
              <w:drawing>
                <wp:inline distT="0" distB="0" distL="0" distR="0" wp14:anchorId="63552755" wp14:editId="5D26863D">
                  <wp:extent cx="6167009" cy="2510212"/>
                  <wp:effectExtent l="0" t="0" r="0" b="0"/>
                  <wp:docPr id="869844527" name="Picture 54" descr="Figure illustrating the proportion of researchers who worked overseas at some point during their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44527" name="Picture 54" descr="Figure illustrating the proportion of researchers who worked overseas at some point during their care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8445" cy="2523008"/>
                          </a:xfrm>
                          <a:prstGeom prst="rect">
                            <a:avLst/>
                          </a:prstGeom>
                          <a:noFill/>
                        </pic:spPr>
                      </pic:pic>
                    </a:graphicData>
                  </a:graphic>
                </wp:inline>
              </w:drawing>
            </w:r>
          </w:p>
        </w:tc>
      </w:tr>
    </w:tbl>
    <w:p w14:paraId="4AD920C1" w14:textId="73758017" w:rsidR="00075DCB" w:rsidRDefault="00075DCB" w:rsidP="002A1E4F">
      <w:pPr>
        <w:pStyle w:val="IntenseQuote"/>
        <w:rPr>
          <w:lang w:val="en-GB"/>
        </w:rPr>
      </w:pPr>
      <w:r>
        <w:rPr>
          <w:lang w:val="en-GB"/>
        </w:rPr>
        <w:t>“</w:t>
      </w:r>
      <w:r w:rsidRPr="00075DCB">
        <w:rPr>
          <w:lang w:val="en-GB"/>
        </w:rPr>
        <w:t>Working overseas was critical to my development as a researcher and my career prospects</w:t>
      </w:r>
      <w:r>
        <w:rPr>
          <w:lang w:val="en-GB"/>
        </w:rPr>
        <w:t>”</w:t>
      </w:r>
    </w:p>
    <w:p w14:paraId="0793C373" w14:textId="4ABDC1FB" w:rsidR="00B13C4C" w:rsidRDefault="00B13C4C">
      <w:pPr>
        <w:spacing w:before="0" w:after="0" w:line="240" w:lineRule="auto"/>
        <w:rPr>
          <w:lang w:val="en-GB"/>
        </w:rPr>
      </w:pPr>
      <w:r>
        <w:rPr>
          <w:lang w:val="en-GB"/>
        </w:rPr>
        <w:br w:type="page"/>
      </w:r>
    </w:p>
    <w:p w14:paraId="6CC7A4A7" w14:textId="1E62947D" w:rsidR="00B13C4C" w:rsidRDefault="00BC2747" w:rsidP="00B13C4C">
      <w:pPr>
        <w:pStyle w:val="Heading2"/>
      </w:pPr>
      <w:bookmarkStart w:id="35" w:name="_Toc178009076"/>
      <w:r>
        <w:lastRenderedPageBreak/>
        <w:t xml:space="preserve">Traditional researchers are more likely to perform </w:t>
      </w:r>
      <w:r w:rsidR="00F32B61">
        <w:t xml:space="preserve">basic science or applied </w:t>
      </w:r>
      <w:r>
        <w:t>research</w:t>
      </w:r>
      <w:r w:rsidR="00F32B61">
        <w:t>, while</w:t>
      </w:r>
      <w:r w:rsidR="00D65EF4">
        <w:t xml:space="preserve"> non-traditional researchers</w:t>
      </w:r>
      <w:r w:rsidR="00F32B61">
        <w:t xml:space="preserve"> are more likely to perform</w:t>
      </w:r>
      <w:r w:rsidR="00163C16">
        <w:t xml:space="preserve"> clinical or biotechnology</w:t>
      </w:r>
      <w:r w:rsidR="00C31C08">
        <w:t>, medical device technology, and pharmaceutical research</w:t>
      </w:r>
      <w:bookmarkEnd w:id="35"/>
    </w:p>
    <w:p w14:paraId="7EFF3AB5" w14:textId="217FF6E6" w:rsidR="00EF635F" w:rsidRPr="00EF635F" w:rsidRDefault="00EF635F" w:rsidP="00EF635F">
      <w:pPr>
        <w:pStyle w:val="BodyText"/>
      </w:pPr>
      <w:r>
        <w:t xml:space="preserve">There are differences between traditional and non-traditional researchers in regard to the type of research they perform. </w:t>
      </w:r>
      <w:r w:rsidRPr="00EF635F">
        <w:t xml:space="preserve">Among traditional researchers, there is a relatively balanced distribution across various research areas, with a slight emphasis on translational research (39%) and clinical medicine and science research (38%). Basic science research and public health research also feature prominently at 31% and 35% respectively, indicating a strong foundation in fundamental scientific inquiry and population health. Applied research (24%) and health services research (34%) demonstrate the sector's commitment to practical applications and healthcare system improvements. </w:t>
      </w:r>
    </w:p>
    <w:p w14:paraId="362E8E55" w14:textId="4A1229B2" w:rsidR="005F5177" w:rsidRPr="00EF635F" w:rsidRDefault="00EF635F" w:rsidP="00EF635F">
      <w:pPr>
        <w:pStyle w:val="BodyText"/>
      </w:pPr>
      <w:r w:rsidRPr="00EF635F">
        <w:t>In contrast, non-traditional researchers show a markedly different distribution of research types. Clinical medicine and science research dominates this group at 47%, significantly higher than in the traditional sector. This is followed closely by health services research (34%) and translational research (33%), indicating a strong emphasis on research with direct clinical applications.</w:t>
      </w:r>
      <w:r w:rsidR="00445642">
        <w:t xml:space="preserve"> B</w:t>
      </w:r>
      <w:r w:rsidRPr="00EF635F">
        <w:t xml:space="preserve">iotechnology, medical device technology, and pharmaceutical research are much more prevalent among non-traditional researchers (29%), more than double the proportion seen in traditional research settings. </w:t>
      </w:r>
    </w:p>
    <w:p w14:paraId="0FED5CB1" w14:textId="77777777" w:rsidR="009F22A0" w:rsidRDefault="009F22A0">
      <w:pPr>
        <w:spacing w:before="0" w:after="0" w:line="240" w:lineRule="auto"/>
        <w:rPr>
          <w:b/>
          <w:iCs/>
          <w:color w:val="001C55" w:themeColor="text2"/>
          <w:sz w:val="22"/>
          <w:szCs w:val="18"/>
        </w:rPr>
      </w:pPr>
      <w:r>
        <w:br w:type="page"/>
      </w:r>
    </w:p>
    <w:p w14:paraId="567BE950" w14:textId="5D84607B" w:rsidR="00D65EF4" w:rsidRDefault="00D65EF4" w:rsidP="00D65EF4">
      <w:pPr>
        <w:pStyle w:val="Caption"/>
        <w:rPr>
          <w:lang w:val="en-GB"/>
        </w:rPr>
      </w:pPr>
      <w:r>
        <w:lastRenderedPageBreak/>
        <w:t xml:space="preserve">Figure </w:t>
      </w:r>
      <w:r w:rsidR="00333748">
        <w:fldChar w:fldCharType="begin"/>
      </w:r>
      <w:r w:rsidR="00333748">
        <w:instrText xml:space="preserve"> SEQ Figure \* ARABIC </w:instrText>
      </w:r>
      <w:r w:rsidR="00333748">
        <w:fldChar w:fldCharType="separate"/>
      </w:r>
      <w:r w:rsidR="00496859">
        <w:rPr>
          <w:noProof/>
        </w:rPr>
        <w:t>12</w:t>
      </w:r>
      <w:r w:rsidR="00333748">
        <w:rPr>
          <w:noProof/>
        </w:rPr>
        <w:fldChar w:fldCharType="end"/>
      </w:r>
      <w:r>
        <w:t xml:space="preserve">: </w:t>
      </w:r>
      <w:r w:rsidR="005F5177" w:rsidRPr="005F5177">
        <w:rPr>
          <w:bCs/>
        </w:rPr>
        <w:t>Type of research performed or supported by</w:t>
      </w:r>
      <w:r w:rsidR="00F32B61">
        <w:rPr>
          <w:bCs/>
        </w:rPr>
        <w:t xml:space="preserve"> </w:t>
      </w:r>
      <w:r w:rsidR="005F5177" w:rsidRPr="005F5177">
        <w:rPr>
          <w:bCs/>
        </w:rPr>
        <w:t>researchers</w:t>
      </w:r>
      <w:r w:rsidR="005F5177">
        <w:rPr>
          <w:bCs/>
        </w:rPr>
        <w:t xml:space="preserve"> (</w:t>
      </w:r>
      <w:r w:rsidR="005F5177" w:rsidRPr="006D0795">
        <w:t>weighted proportion by workforce, Australia, at June 2024</w:t>
      </w:r>
      <w:r w:rsidR="005F5177">
        <w:rPr>
          <w:bCs/>
        </w:rPr>
        <w:t>)</w:t>
      </w:r>
      <w:r w:rsidR="005F5177">
        <w:rPr>
          <w:rStyle w:val="FootnoteReference"/>
          <w:bCs/>
        </w:rPr>
        <w:footnoteReference w:id="27"/>
      </w:r>
    </w:p>
    <w:tbl>
      <w:tblPr>
        <w:tblStyle w:val="TableGrid"/>
        <w:tblW w:w="0" w:type="auto"/>
        <w:tblLook w:val="04A0" w:firstRow="1" w:lastRow="0" w:firstColumn="1" w:lastColumn="0" w:noHBand="0" w:noVBand="1"/>
      </w:tblPr>
      <w:tblGrid>
        <w:gridCol w:w="9745"/>
      </w:tblGrid>
      <w:tr w:rsidR="00D65EF4" w14:paraId="7150CEB6" w14:textId="77777777" w:rsidTr="00D65EF4">
        <w:tc>
          <w:tcPr>
            <w:tcW w:w="9742" w:type="dxa"/>
            <w:tcBorders>
              <w:left w:val="nil"/>
              <w:right w:val="nil"/>
            </w:tcBorders>
          </w:tcPr>
          <w:p w14:paraId="6D9B13BB" w14:textId="7DCD8F1F" w:rsidR="00D65EF4" w:rsidRDefault="00D65EF4" w:rsidP="00D65EF4">
            <w:pPr>
              <w:rPr>
                <w:lang w:val="en-GB"/>
              </w:rPr>
            </w:pPr>
            <w:r w:rsidRPr="00D65EF4">
              <w:rPr>
                <w:noProof/>
                <w:lang w:val="en-GB"/>
              </w:rPr>
              <w:drawing>
                <wp:inline distT="0" distB="0" distL="0" distR="0" wp14:anchorId="51F8A3C7" wp14:editId="36D7BB46">
                  <wp:extent cx="6051177" cy="3997301"/>
                  <wp:effectExtent l="0" t="0" r="0" b="3810"/>
                  <wp:docPr id="1514665945" name="Picture 1" descr="Graph illustrating the type of research performed or supported by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65945" name="Picture 1" descr="Graph illustrating the type of research performed or supported by researchers."/>
                          <pic:cNvPicPr/>
                        </pic:nvPicPr>
                        <pic:blipFill>
                          <a:blip r:embed="rId25"/>
                          <a:stretch>
                            <a:fillRect/>
                          </a:stretch>
                        </pic:blipFill>
                        <pic:spPr>
                          <a:xfrm>
                            <a:off x="0" y="0"/>
                            <a:ext cx="6058535" cy="4002162"/>
                          </a:xfrm>
                          <a:prstGeom prst="rect">
                            <a:avLst/>
                          </a:prstGeom>
                        </pic:spPr>
                      </pic:pic>
                    </a:graphicData>
                  </a:graphic>
                </wp:inline>
              </w:drawing>
            </w:r>
          </w:p>
        </w:tc>
      </w:tr>
    </w:tbl>
    <w:p w14:paraId="26560159" w14:textId="77777777" w:rsidR="00C31C08" w:rsidRPr="00083CE0" w:rsidRDefault="00C31C08" w:rsidP="00083CE0">
      <w:r w:rsidRPr="00083CE0">
        <w:br w:type="page"/>
      </w:r>
    </w:p>
    <w:p w14:paraId="62289248" w14:textId="158A3163" w:rsidR="001344CD" w:rsidRDefault="00BE7020" w:rsidP="00BE7020">
      <w:pPr>
        <w:pStyle w:val="Heading2"/>
      </w:pPr>
      <w:bookmarkStart w:id="36" w:name="_Toc178009077"/>
      <w:r>
        <w:lastRenderedPageBreak/>
        <w:t xml:space="preserve">The largest field of research for </w:t>
      </w:r>
      <w:r w:rsidR="00CF38A8">
        <w:t xml:space="preserve">health and medical researchers </w:t>
      </w:r>
      <w:r>
        <w:t>is</w:t>
      </w:r>
      <w:r w:rsidR="00CF38A8">
        <w:t xml:space="preserve"> health sciences research at 40% of all researchers</w:t>
      </w:r>
      <w:bookmarkEnd w:id="36"/>
    </w:p>
    <w:p w14:paraId="41213B18" w14:textId="13A84E79" w:rsidR="00CF38A8" w:rsidRDefault="000D078C" w:rsidP="00CF38A8">
      <w:pPr>
        <w:rPr>
          <w:lang w:val="en-GB"/>
        </w:rPr>
      </w:pPr>
      <w:r>
        <w:rPr>
          <w:lang w:val="en-GB"/>
        </w:rPr>
        <w:t>The field of research performed by health and medical researchers is concentrated in health science (40%)</w:t>
      </w:r>
      <w:r w:rsidR="00753E21">
        <w:rPr>
          <w:lang w:val="en-GB"/>
        </w:rPr>
        <w:t>, with a considerable proportion engaged in</w:t>
      </w:r>
      <w:r>
        <w:rPr>
          <w:lang w:val="en-GB"/>
        </w:rPr>
        <w:t xml:space="preserve"> biomedical and clinical sciences </w:t>
      </w:r>
      <w:r w:rsidR="00753E21">
        <w:rPr>
          <w:lang w:val="en-GB"/>
        </w:rPr>
        <w:t xml:space="preserve">research </w:t>
      </w:r>
      <w:r>
        <w:rPr>
          <w:lang w:val="en-GB"/>
        </w:rPr>
        <w:t>(33%)</w:t>
      </w:r>
      <w:r w:rsidR="00D728C3">
        <w:rPr>
          <w:lang w:val="en-GB"/>
        </w:rPr>
        <w:t xml:space="preserve">. </w:t>
      </w:r>
      <w:r w:rsidR="00E311DF">
        <w:rPr>
          <w:lang w:val="en-GB"/>
        </w:rPr>
        <w:t>Within</w:t>
      </w:r>
      <w:r w:rsidR="001B1B7C">
        <w:rPr>
          <w:lang w:val="en-GB"/>
        </w:rPr>
        <w:t xml:space="preserve"> Health Science, </w:t>
      </w:r>
      <w:r w:rsidR="002B0729">
        <w:rPr>
          <w:lang w:val="en-GB"/>
        </w:rPr>
        <w:t>health services and systems (5</w:t>
      </w:r>
      <w:r w:rsidR="004D52CC">
        <w:rPr>
          <w:lang w:val="en-GB"/>
        </w:rPr>
        <w:t>2</w:t>
      </w:r>
      <w:r w:rsidR="002B0729">
        <w:rPr>
          <w:lang w:val="en-GB"/>
        </w:rPr>
        <w:t>%)</w:t>
      </w:r>
      <w:r w:rsidR="00BD7D82">
        <w:rPr>
          <w:lang w:val="en-GB"/>
        </w:rPr>
        <w:t xml:space="preserve">, </w:t>
      </w:r>
      <w:r w:rsidR="002B0729">
        <w:rPr>
          <w:lang w:val="en-GB"/>
        </w:rPr>
        <w:t>public health (4</w:t>
      </w:r>
      <w:r w:rsidR="004D52CC">
        <w:rPr>
          <w:lang w:val="en-GB"/>
        </w:rPr>
        <w:t>8</w:t>
      </w:r>
      <w:r w:rsidR="002B0729">
        <w:rPr>
          <w:lang w:val="en-GB"/>
        </w:rPr>
        <w:t>%) and epidemiology (</w:t>
      </w:r>
      <w:r w:rsidR="00BD7D82">
        <w:rPr>
          <w:lang w:val="en-GB"/>
        </w:rPr>
        <w:t>2</w:t>
      </w:r>
      <w:r w:rsidR="004D52CC">
        <w:rPr>
          <w:lang w:val="en-GB"/>
        </w:rPr>
        <w:t>8</w:t>
      </w:r>
      <w:r w:rsidR="00BD7D82">
        <w:rPr>
          <w:lang w:val="en-GB"/>
        </w:rPr>
        <w:t>%)</w:t>
      </w:r>
      <w:r w:rsidR="00E311DF">
        <w:rPr>
          <w:lang w:val="en-GB"/>
        </w:rPr>
        <w:t xml:space="preserve"> are the most common areas for researchers to be engaged in. For biomedical and clinical science, the most common areas are </w:t>
      </w:r>
      <w:r w:rsidR="006B1645">
        <w:rPr>
          <w:lang w:val="en-GB"/>
        </w:rPr>
        <w:t>o</w:t>
      </w:r>
      <w:r w:rsidR="006B1645" w:rsidRPr="006B1645">
        <w:rPr>
          <w:lang w:val="en-GB"/>
        </w:rPr>
        <w:t>ncology and carcinogenesis</w:t>
      </w:r>
      <w:r w:rsidR="006B1645">
        <w:rPr>
          <w:lang w:val="en-GB"/>
        </w:rPr>
        <w:t xml:space="preserve"> (24%)</w:t>
      </w:r>
      <w:r w:rsidR="00EF5E9E">
        <w:rPr>
          <w:lang w:val="en-GB"/>
        </w:rPr>
        <w:t xml:space="preserve">, clinical science (24%) and </w:t>
      </w:r>
      <w:r w:rsidR="00C221DA">
        <w:rPr>
          <w:lang w:val="en-GB"/>
        </w:rPr>
        <w:t>i</w:t>
      </w:r>
      <w:r w:rsidR="00EF5E9E">
        <w:rPr>
          <w:lang w:val="en-GB"/>
        </w:rPr>
        <w:t>mmunology (21%)</w:t>
      </w:r>
      <w:r w:rsidR="00E311DF">
        <w:rPr>
          <w:lang w:val="en-GB"/>
        </w:rPr>
        <w:t>.</w:t>
      </w:r>
      <w:r w:rsidR="0003355F">
        <w:rPr>
          <w:rStyle w:val="FootnoteReference"/>
          <w:lang w:val="en-GB"/>
        </w:rPr>
        <w:footnoteReference w:id="28"/>
      </w:r>
      <w:r w:rsidR="00645A4E">
        <w:rPr>
          <w:lang w:val="en-GB"/>
        </w:rPr>
        <w:t xml:space="preserve"> </w:t>
      </w:r>
      <w:r w:rsidR="00214705">
        <w:rPr>
          <w:lang w:val="en-GB"/>
        </w:rPr>
        <w:t>We did not collect field of research data at the 6-digit level to reduce the burden on respondents, though this can be included in future monitoring.</w:t>
      </w:r>
      <w:r w:rsidR="0026390A">
        <w:rPr>
          <w:lang w:val="en-GB"/>
        </w:rPr>
        <w:t xml:space="preserve"> </w:t>
      </w:r>
    </w:p>
    <w:p w14:paraId="11B3BC5E" w14:textId="45B25AB2" w:rsidR="00CF38A8" w:rsidRDefault="00CF38A8" w:rsidP="00CF38A8">
      <w:pPr>
        <w:pStyle w:val="Caption"/>
      </w:pPr>
      <w:r>
        <w:t xml:space="preserve">Figure </w:t>
      </w:r>
      <w:r w:rsidR="00333748">
        <w:fldChar w:fldCharType="begin"/>
      </w:r>
      <w:r w:rsidR="00333748">
        <w:instrText xml:space="preserve"> SEQ Figure \* ARABIC </w:instrText>
      </w:r>
      <w:r w:rsidR="00333748">
        <w:fldChar w:fldCharType="separate"/>
      </w:r>
      <w:r w:rsidR="00496859">
        <w:rPr>
          <w:noProof/>
        </w:rPr>
        <w:t>13</w:t>
      </w:r>
      <w:r w:rsidR="00333748">
        <w:rPr>
          <w:noProof/>
        </w:rPr>
        <w:fldChar w:fldCharType="end"/>
      </w:r>
      <w:r w:rsidR="002C44F9">
        <w:t>: Field of research (</w:t>
      </w:r>
      <w:r w:rsidR="00521196" w:rsidRPr="00DD0CC1">
        <w:t>weighted proportion of total health and medical research workforce (total), Australia, at June 2024</w:t>
      </w:r>
      <w:r w:rsidR="00521196">
        <w:t>)</w:t>
      </w:r>
      <w:r w:rsidR="00521196">
        <w:rPr>
          <w:rStyle w:val="FootnoteReference"/>
        </w:rPr>
        <w:footnoteReference w:id="29"/>
      </w:r>
    </w:p>
    <w:tbl>
      <w:tblPr>
        <w:tblStyle w:val="TableGrid"/>
        <w:tblW w:w="0" w:type="auto"/>
        <w:tblLook w:val="04A0" w:firstRow="1" w:lastRow="0" w:firstColumn="1" w:lastColumn="0" w:noHBand="0" w:noVBand="1"/>
      </w:tblPr>
      <w:tblGrid>
        <w:gridCol w:w="9742"/>
      </w:tblGrid>
      <w:tr w:rsidR="00CF38A8" w14:paraId="5AC6775B" w14:textId="77777777" w:rsidTr="00CF38A8">
        <w:tc>
          <w:tcPr>
            <w:tcW w:w="9742" w:type="dxa"/>
            <w:tcBorders>
              <w:left w:val="nil"/>
              <w:right w:val="nil"/>
            </w:tcBorders>
          </w:tcPr>
          <w:p w14:paraId="048E1BA0" w14:textId="4F1B8E66" w:rsidR="00CF38A8" w:rsidRDefault="00CF38A8" w:rsidP="00CF38A8">
            <w:pPr>
              <w:rPr>
                <w:lang w:val="en-GB"/>
              </w:rPr>
            </w:pPr>
            <w:r w:rsidRPr="00CF38A8">
              <w:rPr>
                <w:noProof/>
                <w:lang w:val="en-GB"/>
              </w:rPr>
              <w:drawing>
                <wp:inline distT="0" distB="0" distL="0" distR="0" wp14:anchorId="6F32B49F" wp14:editId="77358ED2">
                  <wp:extent cx="6014433" cy="4140313"/>
                  <wp:effectExtent l="0" t="0" r="5715" b="0"/>
                  <wp:docPr id="874064251" name="Picture 1" descr="Graph illustrating the 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64251" name="Picture 1" descr="Graph illustrating the fields of research."/>
                          <pic:cNvPicPr/>
                        </pic:nvPicPr>
                        <pic:blipFill rotWithShape="1">
                          <a:blip r:embed="rId26"/>
                          <a:srcRect b="1782"/>
                          <a:stretch/>
                        </pic:blipFill>
                        <pic:spPr bwMode="auto">
                          <a:xfrm>
                            <a:off x="0" y="0"/>
                            <a:ext cx="6025097" cy="4147654"/>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Y="207"/>
        <w:tblW w:w="0" w:type="auto"/>
        <w:tblLook w:val="04A0" w:firstRow="1" w:lastRow="0" w:firstColumn="1" w:lastColumn="0" w:noHBand="0" w:noVBand="1"/>
      </w:tblPr>
      <w:tblGrid>
        <w:gridCol w:w="9742"/>
      </w:tblGrid>
      <w:tr w:rsidR="009F22A0" w14:paraId="1C504A70" w14:textId="77777777" w:rsidTr="009F22A0">
        <w:tc>
          <w:tcPr>
            <w:tcW w:w="9742" w:type="dxa"/>
            <w:tcBorders>
              <w:top w:val="nil"/>
              <w:left w:val="nil"/>
              <w:bottom w:val="nil"/>
              <w:right w:val="nil"/>
            </w:tcBorders>
            <w:shd w:val="clear" w:color="auto" w:fill="E8EDF1" w:themeFill="accent3" w:themeFillTint="33"/>
          </w:tcPr>
          <w:p w14:paraId="31336902" w14:textId="77777777" w:rsidR="009F22A0" w:rsidRDefault="009F22A0" w:rsidP="009F22A0">
            <w:pPr>
              <w:pStyle w:val="BodyText"/>
              <w:rPr>
                <w:highlight w:val="yellow"/>
              </w:rPr>
            </w:pPr>
            <w:r>
              <w:t xml:space="preserve">The findings in this chapter provide an evidence base for the size and composition of the segments of the health and medical research workforce, not available through other sources. This evidence can be used in </w:t>
            </w:r>
            <w:r w:rsidRPr="00D15187">
              <w:t>decision making</w:t>
            </w:r>
            <w:r>
              <w:t xml:space="preserve"> and in the development of effective</w:t>
            </w:r>
            <w:r w:rsidRPr="00D15187">
              <w:t xml:space="preserve"> policy</w:t>
            </w:r>
            <w:r>
              <w:t xml:space="preserve">, especially related to gender, geographical location and international talent. </w:t>
            </w:r>
          </w:p>
        </w:tc>
      </w:tr>
    </w:tbl>
    <w:p w14:paraId="0C4DD73A" w14:textId="788D6A53" w:rsidR="00BE7020" w:rsidRDefault="00BE7020">
      <w:pPr>
        <w:spacing w:before="0" w:after="0" w:line="240" w:lineRule="auto"/>
        <w:rPr>
          <w:rFonts w:cstheme="minorBidi"/>
          <w:b/>
          <w:caps/>
          <w:color w:val="FCFCFC" w:themeColor="background1"/>
          <w:spacing w:val="15"/>
          <w:kern w:val="2"/>
          <w:sz w:val="32"/>
          <w:szCs w:val="24"/>
          <w:lang w:val="en-GB"/>
          <w14:ligatures w14:val="standardContextual"/>
        </w:rPr>
      </w:pPr>
    </w:p>
    <w:p w14:paraId="3263ED44" w14:textId="6D205445" w:rsidR="00772688" w:rsidRPr="002A1E4F" w:rsidRDefault="006951D9" w:rsidP="002E01A8">
      <w:pPr>
        <w:pStyle w:val="Heading1"/>
      </w:pPr>
      <w:bookmarkStart w:id="37" w:name="_Toc178009078"/>
      <w:r>
        <w:lastRenderedPageBreak/>
        <w:t xml:space="preserve">Chapter 2: </w:t>
      </w:r>
      <w:r w:rsidRPr="00502993">
        <w:rPr>
          <w:bCs/>
        </w:rPr>
        <w:t>Workforce movement</w:t>
      </w:r>
      <w:bookmarkEnd w:id="37"/>
    </w:p>
    <w:tbl>
      <w:tblPr>
        <w:tblStyle w:val="TableGrid"/>
        <w:tblW w:w="0" w:type="auto"/>
        <w:tblLook w:val="04A0" w:firstRow="1" w:lastRow="0" w:firstColumn="1" w:lastColumn="0" w:noHBand="0" w:noVBand="1"/>
      </w:tblPr>
      <w:tblGrid>
        <w:gridCol w:w="9742"/>
      </w:tblGrid>
      <w:tr w:rsidR="006951D9" w14:paraId="5FB4E370" w14:textId="77777777" w:rsidTr="006951D9">
        <w:tc>
          <w:tcPr>
            <w:tcW w:w="9742" w:type="dxa"/>
            <w:tcBorders>
              <w:top w:val="nil"/>
              <w:left w:val="nil"/>
              <w:bottom w:val="nil"/>
              <w:right w:val="nil"/>
            </w:tcBorders>
            <w:shd w:val="clear" w:color="auto" w:fill="E8EDF1" w:themeFill="accent3" w:themeFillTint="33"/>
          </w:tcPr>
          <w:p w14:paraId="6EE7C12D" w14:textId="77777777" w:rsidR="00206560" w:rsidRDefault="006951D9" w:rsidP="00206560">
            <w:pPr>
              <w:pStyle w:val="Heading2"/>
            </w:pPr>
            <w:bookmarkStart w:id="38" w:name="_Toc178009079"/>
            <w:bookmarkStart w:id="39" w:name="_Toc175208713"/>
            <w:r w:rsidRPr="006951D9">
              <w:t xml:space="preserve">Key finding: </w:t>
            </w:r>
            <w:r>
              <w:t>T</w:t>
            </w:r>
            <w:r w:rsidRPr="006951D9">
              <w:t>he health and medical research workforce are highly mobile, moving jobs every 1.6 years, often to non-research roles</w:t>
            </w:r>
            <w:bookmarkEnd w:id="38"/>
          </w:p>
          <w:p w14:paraId="29849E2D" w14:textId="52AAAFD2" w:rsidR="003A6244" w:rsidRPr="003A6244" w:rsidRDefault="003A6244" w:rsidP="003A6244">
            <w:pPr>
              <w:pStyle w:val="BodyText"/>
              <w:rPr>
                <w:lang w:val="en-GB"/>
              </w:rPr>
            </w:pPr>
            <w:r w:rsidRPr="003A6244">
              <w:rPr>
                <w:lang w:val="en-GB"/>
              </w:rPr>
              <w:t xml:space="preserve">This section </w:t>
            </w:r>
            <w:r w:rsidR="00305699" w:rsidRPr="003A6244">
              <w:rPr>
                <w:lang w:val="en-GB"/>
              </w:rPr>
              <w:t>analyses</w:t>
            </w:r>
            <w:r w:rsidRPr="003A6244">
              <w:rPr>
                <w:lang w:val="en-GB"/>
              </w:rPr>
              <w:t xml:space="preserve"> the career paths and mobility patterns within Australia's health and medical research workforce. The data reveals distinct trends in job transitions and retention rates between traditional and non-traditional research segments. Over a </w:t>
            </w:r>
            <w:r w:rsidR="002C6F95">
              <w:rPr>
                <w:lang w:val="en-GB"/>
              </w:rPr>
              <w:t>5</w:t>
            </w:r>
            <w:r w:rsidRPr="003A6244">
              <w:rPr>
                <w:lang w:val="en-GB"/>
              </w:rPr>
              <w:t xml:space="preserve">-year period, 62% of traditional researchers and 64% of non-traditional researchers exit the HMR sector entirely. Job tenure differs, with traditional researchers spending a median of 1.6 years per role, </w:t>
            </w:r>
            <w:r w:rsidR="0073299C">
              <w:rPr>
                <w:lang w:val="en-GB"/>
              </w:rPr>
              <w:t>4</w:t>
            </w:r>
            <w:r w:rsidRPr="003A6244">
              <w:rPr>
                <w:lang w:val="en-GB"/>
              </w:rPr>
              <w:t xml:space="preserve"> months longer than their non-traditional counterparts. </w:t>
            </w:r>
            <w:r w:rsidR="004C76D6">
              <w:rPr>
                <w:lang w:val="en-GB"/>
              </w:rPr>
              <w:t>Amongst p</w:t>
            </w:r>
            <w:r w:rsidRPr="003A6244">
              <w:rPr>
                <w:lang w:val="en-GB"/>
              </w:rPr>
              <w:t>ostdoctoral fellows, 47% leav</w:t>
            </w:r>
            <w:r w:rsidR="004C76D6">
              <w:rPr>
                <w:lang w:val="en-GB"/>
              </w:rPr>
              <w:t>e</w:t>
            </w:r>
            <w:r w:rsidRPr="003A6244">
              <w:rPr>
                <w:lang w:val="en-GB"/>
              </w:rPr>
              <w:t xml:space="preserve"> research altogether when changing roles. The section also highlights the transferability of research skills, with 75% of researchers rating their skills as easily transferable across </w:t>
            </w:r>
            <w:r w:rsidR="00A6704E" w:rsidRPr="003A6244">
              <w:rPr>
                <w:lang w:val="en-GB"/>
              </w:rPr>
              <w:t>organi</w:t>
            </w:r>
            <w:r w:rsidR="00A6704E">
              <w:rPr>
                <w:lang w:val="en-GB"/>
              </w:rPr>
              <w:t>s</w:t>
            </w:r>
            <w:r w:rsidR="00A6704E" w:rsidRPr="003A6244">
              <w:rPr>
                <w:lang w:val="en-GB"/>
              </w:rPr>
              <w:t>ations</w:t>
            </w:r>
            <w:r w:rsidRPr="003A6244">
              <w:rPr>
                <w:lang w:val="en-GB"/>
              </w:rPr>
              <w:t>. The findings underscore the dynamic nature of the HMR workforce, characteri</w:t>
            </w:r>
            <w:r w:rsidR="00A5298F">
              <w:rPr>
                <w:lang w:val="en-GB"/>
              </w:rPr>
              <w:t>s</w:t>
            </w:r>
            <w:r w:rsidRPr="003A6244">
              <w:rPr>
                <w:lang w:val="en-GB"/>
              </w:rPr>
              <w:t xml:space="preserve">ed by high </w:t>
            </w:r>
            <w:r w:rsidR="00B431FD">
              <w:rPr>
                <w:lang w:val="en-GB"/>
              </w:rPr>
              <w:t>job movement</w:t>
            </w:r>
            <w:r w:rsidR="00B431FD" w:rsidRPr="003A6244">
              <w:rPr>
                <w:lang w:val="en-GB"/>
              </w:rPr>
              <w:t xml:space="preserve"> </w:t>
            </w:r>
            <w:r w:rsidRPr="003A6244">
              <w:rPr>
                <w:lang w:val="en-GB"/>
              </w:rPr>
              <w:t>rates, varying job tenures, and the need for a diverse skill set to navigate career transitions effectively.</w:t>
            </w:r>
          </w:p>
        </w:tc>
      </w:tr>
    </w:tbl>
    <w:p w14:paraId="2C6472A8" w14:textId="77777777" w:rsidR="003A6244" w:rsidRPr="00083CE0" w:rsidRDefault="003A6244" w:rsidP="00083CE0">
      <w:r w:rsidRPr="00083CE0">
        <w:br w:type="page"/>
      </w:r>
    </w:p>
    <w:p w14:paraId="16B420E3" w14:textId="698B9F20" w:rsidR="00772688" w:rsidRDefault="004025C7" w:rsidP="000F2909">
      <w:pPr>
        <w:pStyle w:val="Heading2"/>
      </w:pPr>
      <w:bookmarkStart w:id="40" w:name="_Toc178009080"/>
      <w:r w:rsidRPr="005F27D6">
        <w:lastRenderedPageBreak/>
        <w:t>O</w:t>
      </w:r>
      <w:r w:rsidR="00772688" w:rsidRPr="00772688">
        <w:t>ver a 5-year period</w:t>
      </w:r>
      <w:r w:rsidR="00917004">
        <w:t>,</w:t>
      </w:r>
      <w:r w:rsidR="00772688" w:rsidRPr="00772688">
        <w:t xml:space="preserve"> researchers are more likely to leave research entirely or remain within their segments than transition across segments</w:t>
      </w:r>
      <w:bookmarkEnd w:id="39"/>
      <w:bookmarkEnd w:id="40"/>
    </w:p>
    <w:p w14:paraId="3CF39458" w14:textId="05E2C5DA" w:rsidR="00DB43A9" w:rsidRDefault="002575FA" w:rsidP="002A1E4F">
      <w:pPr>
        <w:pStyle w:val="BodyText"/>
      </w:pPr>
      <w:r w:rsidRPr="00772688">
        <w:t>Researchers from the traditional and non-traditional segments hold a range of jobs within and across the workforce segments during their career</w:t>
      </w:r>
      <w:r>
        <w:t>.</w:t>
      </w:r>
    </w:p>
    <w:p w14:paraId="43BEF666" w14:textId="725213A1" w:rsidR="00186448" w:rsidRDefault="00186448">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14</w:t>
      </w:r>
      <w:r w:rsidR="00333748">
        <w:rPr>
          <w:noProof/>
        </w:rPr>
        <w:fldChar w:fldCharType="end"/>
      </w:r>
      <w:r w:rsidRPr="001D76BD">
        <w:t>: Movement of workforce between traditional and non-traditional sector (positions count, Australia, June 2019 – June 2024</w:t>
      </w:r>
      <w:r>
        <w:t>)</w:t>
      </w:r>
      <w:r>
        <w:rPr>
          <w:rStyle w:val="FootnoteReference"/>
        </w:rPr>
        <w:footnoteReference w:id="30"/>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CD1AEC" w14:paraId="73F4EFE2" w14:textId="77777777" w:rsidTr="00CD1AEC">
        <w:tc>
          <w:tcPr>
            <w:tcW w:w="9742" w:type="dxa"/>
          </w:tcPr>
          <w:p w14:paraId="7270FF09" w14:textId="6BB09E07" w:rsidR="00CD1AEC" w:rsidRDefault="00CD1AEC" w:rsidP="00CD1AEC">
            <w:r>
              <w:rPr>
                <w:noProof/>
              </w:rPr>
              <w:drawing>
                <wp:inline distT="0" distB="0" distL="0" distR="0" wp14:anchorId="71AB6734" wp14:editId="667D51D3">
                  <wp:extent cx="6051690" cy="4058920"/>
                  <wp:effectExtent l="0" t="0" r="6350" b="0"/>
                  <wp:docPr id="1713730591" name="Picture 60" descr="Figure illustrating the movement of the workforce between the traditional and non-traditional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30591" name="Picture 60" descr="Figure illustrating the movement of the workforce between the traditional and non-traditional sec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5918" cy="4068463"/>
                          </a:xfrm>
                          <a:prstGeom prst="rect">
                            <a:avLst/>
                          </a:prstGeom>
                          <a:noFill/>
                        </pic:spPr>
                      </pic:pic>
                    </a:graphicData>
                  </a:graphic>
                </wp:inline>
              </w:drawing>
            </w:r>
          </w:p>
        </w:tc>
      </w:tr>
    </w:tbl>
    <w:p w14:paraId="6A4C04BB" w14:textId="00BE1C7A" w:rsidR="002575FA" w:rsidRPr="00772688" w:rsidRDefault="002575FA" w:rsidP="00CD1AEC">
      <w:pPr>
        <w:pStyle w:val="BodyText"/>
      </w:pPr>
      <w:r w:rsidRPr="00772688">
        <w:t>Of the 35,500 HMR roles identified with end dates, 25,400 of them belonged to the traditional workforc</w:t>
      </w:r>
      <w:r>
        <w:t>e</w:t>
      </w:r>
      <w:r w:rsidRPr="00772688">
        <w:t xml:space="preserve"> while 10,100 belonged to the non-traditional one.</w:t>
      </w:r>
      <w:r w:rsidR="00A6704E">
        <w:rPr>
          <w:rStyle w:val="FootnoteReference"/>
        </w:rPr>
        <w:footnoteReference w:id="31"/>
      </w:r>
      <w:r w:rsidRPr="00772688">
        <w:t xml:space="preserve"> Of the traditional researchers, 62% had a subsequent position in a non-health and medical research-based role (inactive), while 26% moved to another traditional role.</w:t>
      </w:r>
      <w:r w:rsidRPr="00BF63DD">
        <w:rPr>
          <w:noProof/>
        </w:rPr>
        <w:t xml:space="preserve"> </w:t>
      </w:r>
    </w:p>
    <w:p w14:paraId="139406F2" w14:textId="3E5C4BC0" w:rsidR="00740587" w:rsidRDefault="002575FA" w:rsidP="00721148">
      <w:pPr>
        <w:pStyle w:val="BodyText"/>
      </w:pPr>
      <w:r w:rsidRPr="00772688">
        <w:t xml:space="preserve">Non-traditional researchers were less likely to remain in research, with 64% becoming inactive. Non-traditional researchers are more likely to remain in the non-traditional sector, with 24% transitioning to a new role in the same segment. Only 7% of non-traditional researchers reported moving to a traditional </w:t>
      </w:r>
      <w:r>
        <w:br/>
      </w:r>
      <w:r w:rsidRPr="00772688">
        <w:t>research role.</w:t>
      </w:r>
      <w:r w:rsidR="001061C9">
        <w:t xml:space="preserve"> </w:t>
      </w:r>
      <w:r w:rsidR="00740587">
        <w:t xml:space="preserve">Researchers across the traditional and non-traditional sectors hold a range of roles across their careers. </w:t>
      </w:r>
      <w:r w:rsidR="00DF0729">
        <w:t xml:space="preserve">They often move between a range of employers throughout their careers as well. </w:t>
      </w:r>
    </w:p>
    <w:p w14:paraId="1EB9F62C" w14:textId="099E95C4" w:rsidR="00362410" w:rsidRDefault="00362410" w:rsidP="00362410">
      <w:pPr>
        <w:pStyle w:val="Caption"/>
        <w:keepNext/>
      </w:pPr>
      <w:r>
        <w:lastRenderedPageBreak/>
        <w:t xml:space="preserve">Figure </w:t>
      </w:r>
      <w:r w:rsidR="00333748">
        <w:fldChar w:fldCharType="begin"/>
      </w:r>
      <w:r w:rsidR="00333748">
        <w:instrText xml:space="preserve"> SEQ Figure \* ARABIC </w:instrText>
      </w:r>
      <w:r w:rsidR="00333748">
        <w:fldChar w:fldCharType="separate"/>
      </w:r>
      <w:r w:rsidR="00496859">
        <w:rPr>
          <w:noProof/>
        </w:rPr>
        <w:t>15</w:t>
      </w:r>
      <w:r w:rsidR="00333748">
        <w:rPr>
          <w:noProof/>
        </w:rPr>
        <w:fldChar w:fldCharType="end"/>
      </w:r>
      <w:r>
        <w:t xml:space="preserve">: </w:t>
      </w:r>
      <w:r w:rsidRPr="00515CDB">
        <w:t>Example pathways of health and medical research workers (Australia, at June 2024</w:t>
      </w:r>
      <w:r>
        <w:t>)</w:t>
      </w:r>
      <w:r w:rsidRPr="00362410">
        <w:rPr>
          <w:rStyle w:val="FootnoteReference"/>
        </w:rPr>
        <w:t xml:space="preserve"> </w:t>
      </w:r>
      <w:r>
        <w:rPr>
          <w:rStyle w:val="FootnoteReference"/>
        </w:rPr>
        <w:footnoteReference w:id="32"/>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CD1AEC" w14:paraId="18D2030A" w14:textId="77777777" w:rsidTr="00CD1AEC">
        <w:tc>
          <w:tcPr>
            <w:tcW w:w="9742" w:type="dxa"/>
          </w:tcPr>
          <w:p w14:paraId="663BA266" w14:textId="122D3104" w:rsidR="00CD1AEC" w:rsidRDefault="00CD1AEC" w:rsidP="00CD1AEC">
            <w:r>
              <w:rPr>
                <w:noProof/>
              </w:rPr>
              <w:drawing>
                <wp:inline distT="0" distB="0" distL="0" distR="0" wp14:anchorId="6ABE1E6C" wp14:editId="2C16AF79">
                  <wp:extent cx="6048375" cy="4080582"/>
                  <wp:effectExtent l="0" t="0" r="0" b="0"/>
                  <wp:docPr id="1748964673" name="Picture 61" descr="Illustration of example pathways of health and medical research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64673" name="Picture 61" descr="Illustration of example pathways of health and medical research workers."/>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6050392" cy="4081943"/>
                          </a:xfrm>
                          <a:prstGeom prst="rect">
                            <a:avLst/>
                          </a:prstGeom>
                        </pic:spPr>
                      </pic:pic>
                    </a:graphicData>
                  </a:graphic>
                </wp:inline>
              </w:drawing>
            </w:r>
          </w:p>
        </w:tc>
      </w:tr>
    </w:tbl>
    <w:p w14:paraId="2015E27C" w14:textId="77777777" w:rsidR="00CD1AEC" w:rsidRPr="00CD1AEC" w:rsidRDefault="00CD1AEC" w:rsidP="00CD1AEC"/>
    <w:p w14:paraId="67F25A45" w14:textId="1FA72A34" w:rsidR="00772688" w:rsidRDefault="00772688" w:rsidP="002A1E4F"/>
    <w:p w14:paraId="58D2A22D" w14:textId="77777777" w:rsidR="0065167F" w:rsidRPr="00083CE0" w:rsidRDefault="0065167F" w:rsidP="00083CE0">
      <w:r w:rsidRPr="00083CE0">
        <w:br w:type="page"/>
      </w:r>
    </w:p>
    <w:p w14:paraId="7C129F9D" w14:textId="3605B670" w:rsidR="00772688" w:rsidRDefault="00772688" w:rsidP="002A1E4F">
      <w:pPr>
        <w:pStyle w:val="Heading2"/>
      </w:pPr>
      <w:bookmarkStart w:id="41" w:name="_Toc175208714"/>
      <w:bookmarkStart w:id="42" w:name="_Toc178009081"/>
      <w:r w:rsidRPr="00772688">
        <w:lastRenderedPageBreak/>
        <w:t xml:space="preserve">Inactive researchers remain in </w:t>
      </w:r>
      <w:r w:rsidR="00CA372E">
        <w:t>health and medical research</w:t>
      </w:r>
      <w:r w:rsidRPr="00772688">
        <w:t>-adjacent industries, often in leadership and management positions</w:t>
      </w:r>
      <w:bookmarkEnd w:id="41"/>
      <w:bookmarkEnd w:id="42"/>
      <w:r w:rsidRPr="00772688">
        <w:t xml:space="preserve">  </w:t>
      </w:r>
    </w:p>
    <w:p w14:paraId="07501158" w14:textId="38FCBBB1" w:rsidR="00772688" w:rsidRDefault="00C43A1E" w:rsidP="00CD1AEC">
      <w:pPr>
        <w:pStyle w:val="BodyText"/>
        <w:rPr>
          <w:lang w:val="en-GB"/>
        </w:rPr>
      </w:pPr>
      <w:r w:rsidRPr="00C43A1E">
        <w:t xml:space="preserve">Researchers who exit the </w:t>
      </w:r>
      <w:r w:rsidR="001A0DE9">
        <w:t>HMR</w:t>
      </w:r>
      <w:r w:rsidRPr="00C43A1E">
        <w:t xml:space="preserve"> sector contribute significantly to diverse industries, with their skills and experience finding applications across various sectors of the economy.</w:t>
      </w:r>
      <w:r>
        <w:t xml:space="preserve"> </w:t>
      </w:r>
      <w:r w:rsidR="00772688" w:rsidRPr="00772688">
        <w:rPr>
          <w:lang w:val="en-GB"/>
        </w:rPr>
        <w:t>Traditional roles tend to follow more established career paths in academia, research institutions, and government agencies. Non-traditional roles often blend research skills with industry-specific knowledge or emerging fields. Both categories show a trend towards leadership and management positions, suggesting career progression from pure research to overseeing research activities. Non-traditional roles seem to focus more on bridging the gap between research and practical applications or industry needs.</w:t>
      </w:r>
    </w:p>
    <w:p w14:paraId="061EFCFE" w14:textId="77777777" w:rsidR="00AE1A53" w:rsidRDefault="00AE1A53" w:rsidP="00CD1AEC">
      <w:pPr>
        <w:pStyle w:val="BodyText"/>
        <w:rPr>
          <w:lang w:val="en-GB"/>
        </w:rPr>
      </w:pPr>
      <w:r w:rsidRPr="00772688">
        <w:rPr>
          <w:lang w:val="en-GB"/>
        </w:rPr>
        <w:t xml:space="preserve">Most inactive researchers remain in healthcare and social assistance (31%) or professional, scientific and technical services (27%). Other common industries are public administration and safety and education and training. </w:t>
      </w:r>
    </w:p>
    <w:p w14:paraId="7476AE1D" w14:textId="5E196137" w:rsidR="00BB5D68" w:rsidRDefault="00BB5D68" w:rsidP="00CD1AEC">
      <w:pPr>
        <w:pStyle w:val="BodyText"/>
        <w:rPr>
          <w:lang w:val="en-GB"/>
        </w:rPr>
      </w:pPr>
      <w:r w:rsidRPr="00BB5D68">
        <w:t>The organisational breakdown reveals a significant transition to government roles, with 31% of inactive researchers now employed in the public sector. Universities continue to play a substantial role, retaining 21% of inactive researchers, possibly in non-research capacities. Interestingly, the private sector attracts 20% of former researchers, indicating a notable shift from academic to commercial environments. Medical Research Institutes and non-profit organisations also feature prominently, employing 16% and 14% respectively, while 13% find roles in clinical settings. This diverse distribution across industries and organisations highlights the transferability of research skills and the varied career opportunities available to those leaving active research roles, with a clear trend towards health-related, government, and professional service sectors.</w:t>
      </w:r>
    </w:p>
    <w:p w14:paraId="446D5B8B" w14:textId="7F4284B0" w:rsidR="00A958AE" w:rsidRDefault="00A958AE" w:rsidP="002A1E4F">
      <w:pPr>
        <w:pStyle w:val="Caption"/>
        <w:keepNext/>
      </w:pPr>
      <w:r>
        <w:lastRenderedPageBreak/>
        <w:t xml:space="preserve">Figure </w:t>
      </w:r>
      <w:r w:rsidR="00333748">
        <w:fldChar w:fldCharType="begin"/>
      </w:r>
      <w:r w:rsidR="00333748">
        <w:instrText xml:space="preserve"> SEQ Figure \* ARABIC </w:instrText>
      </w:r>
      <w:r w:rsidR="00333748">
        <w:fldChar w:fldCharType="separate"/>
      </w:r>
      <w:r w:rsidR="00496859">
        <w:rPr>
          <w:noProof/>
        </w:rPr>
        <w:t>16</w:t>
      </w:r>
      <w:r w:rsidR="00333748">
        <w:rPr>
          <w:noProof/>
        </w:rPr>
        <w:fldChar w:fldCharType="end"/>
      </w:r>
      <w:r w:rsidRPr="00E238F4">
        <w:t xml:space="preserve">: Current industries </w:t>
      </w:r>
      <w:r w:rsidR="00603ACC">
        <w:t>and organisations</w:t>
      </w:r>
      <w:r w:rsidRPr="00E238F4">
        <w:t xml:space="preserve"> of employment for inactive traditional researchers (proportion of inactive researchers)</w:t>
      </w:r>
      <w:r>
        <w:rPr>
          <w:rStyle w:val="FootnoteReference"/>
        </w:rPr>
        <w:footnoteReference w:id="33"/>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CD1AEC" w14:paraId="2FE2522D" w14:textId="77777777" w:rsidTr="00CD1AEC">
        <w:tc>
          <w:tcPr>
            <w:tcW w:w="9742" w:type="dxa"/>
          </w:tcPr>
          <w:p w14:paraId="5644FE72" w14:textId="1D08A960" w:rsidR="00CD1AEC" w:rsidRDefault="00480499" w:rsidP="00CD1AEC">
            <w:r w:rsidRPr="00480499">
              <w:rPr>
                <w:noProof/>
              </w:rPr>
              <w:drawing>
                <wp:inline distT="0" distB="0" distL="0" distR="0" wp14:anchorId="705686F6" wp14:editId="36789E2B">
                  <wp:extent cx="6192520" cy="4339590"/>
                  <wp:effectExtent l="0" t="0" r="5080" b="3810"/>
                  <wp:docPr id="1475888890" name="Picture 1" descr="Graphs illustrating the current industries and organisations of employment for inactive traditional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88890" name="Picture 1" descr="Graphs illustrating the current industries and organisations of employment for inactive traditional researchers."/>
                          <pic:cNvPicPr/>
                        </pic:nvPicPr>
                        <pic:blipFill>
                          <a:blip r:embed="rId30"/>
                          <a:stretch>
                            <a:fillRect/>
                          </a:stretch>
                        </pic:blipFill>
                        <pic:spPr>
                          <a:xfrm>
                            <a:off x="0" y="0"/>
                            <a:ext cx="6192520" cy="4339590"/>
                          </a:xfrm>
                          <a:prstGeom prst="rect">
                            <a:avLst/>
                          </a:prstGeom>
                        </pic:spPr>
                      </pic:pic>
                    </a:graphicData>
                  </a:graphic>
                </wp:inline>
              </w:drawing>
            </w:r>
          </w:p>
        </w:tc>
      </w:tr>
    </w:tbl>
    <w:p w14:paraId="49C82109" w14:textId="77777777" w:rsidR="00BB5D68" w:rsidRPr="00083CE0" w:rsidRDefault="00BB5D68" w:rsidP="00083CE0">
      <w:r w:rsidRPr="00083CE0">
        <w:br w:type="page"/>
      </w:r>
    </w:p>
    <w:p w14:paraId="2573ECD7" w14:textId="17A56089" w:rsidR="00926CBF" w:rsidRDefault="00926CBF" w:rsidP="002A1E4F">
      <w:pPr>
        <w:pStyle w:val="Heading2"/>
      </w:pPr>
      <w:bookmarkStart w:id="43" w:name="_Toc178009082"/>
      <w:r>
        <w:lastRenderedPageBreak/>
        <w:t xml:space="preserve">Inactive researchers </w:t>
      </w:r>
      <w:r w:rsidR="00B55EBA">
        <w:t>we</w:t>
      </w:r>
      <w:r>
        <w:t xml:space="preserve">re most likely to report </w:t>
      </w:r>
      <w:r w:rsidR="00B55EBA">
        <w:t xml:space="preserve">that their most recent research role was in a </w:t>
      </w:r>
      <w:r w:rsidR="000B7126">
        <w:t>traditional setting</w:t>
      </w:r>
      <w:r w:rsidR="00B55EBA">
        <w:t xml:space="preserve">, with </w:t>
      </w:r>
      <w:r w:rsidR="002C616C">
        <w:t>43</w:t>
      </w:r>
      <w:r w:rsidR="00B55EBA">
        <w:t xml:space="preserve">% </w:t>
      </w:r>
      <w:r w:rsidR="000B7126">
        <w:t>having worked</w:t>
      </w:r>
      <w:r w:rsidR="00767085">
        <w:t xml:space="preserve"> for a university and 18% for an MRI</w:t>
      </w:r>
      <w:bookmarkEnd w:id="43"/>
    </w:p>
    <w:p w14:paraId="28B57DCC" w14:textId="77777777" w:rsidR="00465EF4" w:rsidRDefault="009A743C" w:rsidP="00DE2A83">
      <w:pPr>
        <w:pStyle w:val="BodyText"/>
      </w:pPr>
      <w:r>
        <w:t>There are some differences when comparing</w:t>
      </w:r>
      <w:r w:rsidRPr="009A743C">
        <w:t xml:space="preserve"> </w:t>
      </w:r>
      <w:r>
        <w:t>t</w:t>
      </w:r>
      <w:r w:rsidRPr="009A743C">
        <w:t>he final research roles of inactive researchers and the current roles of active researchers in Australia's health and medical research sector</w:t>
      </w:r>
      <w:r w:rsidR="00184CA1">
        <w:t>, but on the whole the distribution is roughly similar</w:t>
      </w:r>
      <w:r w:rsidRPr="009A743C">
        <w:t>.</w:t>
      </w:r>
      <w:r w:rsidR="00184CA1">
        <w:t xml:space="preserve"> This may suggest that </w:t>
      </w:r>
      <w:r w:rsidR="00465EF4">
        <w:t>choosing to leave research is largely independent on employer type.</w:t>
      </w:r>
    </w:p>
    <w:p w14:paraId="5C186624" w14:textId="75A0A7FA" w:rsidR="00B24658" w:rsidRDefault="009A743C" w:rsidP="00DE2A83">
      <w:pPr>
        <w:pStyle w:val="BodyText"/>
      </w:pPr>
      <w:r w:rsidRPr="009A743C">
        <w:t xml:space="preserve">Universities dominate both categories, accounting for 43% of inactive researchers' final roles and 44% of current active researchers, indicating a stable proportion of university-based research. However, notable differences emerge in other sectors. Medical Research Institutes employ 25% of active researchers but represent only 18% of inactive researchers' final roles, suggesting potentially better retention or career progression within these institutions. Clinical settings show consistency, accounting for 16% of both inactive and active researchers. </w:t>
      </w:r>
    </w:p>
    <w:p w14:paraId="7BF01691" w14:textId="54A981EF" w:rsidR="00926CBF" w:rsidRDefault="00B24658" w:rsidP="00DE2A83">
      <w:pPr>
        <w:pStyle w:val="BodyText"/>
        <w:rPr>
          <w:lang w:val="en-GB"/>
        </w:rPr>
      </w:pPr>
      <w:r>
        <w:t>T</w:t>
      </w:r>
      <w:r w:rsidR="009A743C" w:rsidRPr="009A743C">
        <w:t>he private sector appears to have a higher proportion of researchers transitioning out of research, representing 11% of inactive researchers' final roles compared to only 7% of current active researchers. Non-profit organisations and government roles show slight variations, with marginally higher percentages among inactive researchers. These patterns suggest that while universities remain the primary setting for health and medical research, there are nuanced differences in researcher retention and career trajectories across different organisational types, with Medical Research Institutes showing stronger retention and the private sector potentially serving as a stepping stone to non-research roles.</w:t>
      </w:r>
    </w:p>
    <w:p w14:paraId="68B85DD0" w14:textId="77777777" w:rsidR="0032766B" w:rsidRDefault="0032766B" w:rsidP="00DE2A83">
      <w:pPr>
        <w:pStyle w:val="BodyText"/>
        <w:rPr>
          <w:b/>
          <w:iCs/>
          <w:sz w:val="22"/>
          <w:szCs w:val="18"/>
        </w:rPr>
      </w:pPr>
      <w:r>
        <w:br w:type="page"/>
      </w:r>
    </w:p>
    <w:p w14:paraId="61EFF88E" w14:textId="19A06725" w:rsidR="00926CBF" w:rsidRDefault="00926CBF" w:rsidP="00926CBF">
      <w:pPr>
        <w:pStyle w:val="Caption"/>
        <w:rPr>
          <w:lang w:val="en-GB"/>
        </w:rPr>
      </w:pPr>
      <w:r>
        <w:lastRenderedPageBreak/>
        <w:t xml:space="preserve">Figure </w:t>
      </w:r>
      <w:r w:rsidR="00333748">
        <w:fldChar w:fldCharType="begin"/>
      </w:r>
      <w:r w:rsidR="00333748">
        <w:instrText xml:space="preserve"> SEQ Figure \* ARABIC </w:instrText>
      </w:r>
      <w:r w:rsidR="00333748">
        <w:fldChar w:fldCharType="separate"/>
      </w:r>
      <w:r w:rsidR="00496859">
        <w:rPr>
          <w:noProof/>
        </w:rPr>
        <w:t>17</w:t>
      </w:r>
      <w:r w:rsidR="00333748">
        <w:rPr>
          <w:noProof/>
        </w:rPr>
        <w:fldChar w:fldCharType="end"/>
      </w:r>
      <w:r>
        <w:t xml:space="preserve">: </w:t>
      </w:r>
      <w:r w:rsidR="00767085">
        <w:t>Most recent research role (proportion of all inactive researchers, Australia, at June 2024)</w:t>
      </w:r>
      <w:r w:rsidR="000B7126">
        <w:rPr>
          <w:rStyle w:val="FootnoteReference"/>
        </w:rPr>
        <w:footnoteReference w:id="34"/>
      </w:r>
    </w:p>
    <w:tbl>
      <w:tblPr>
        <w:tblStyle w:val="TableGrid"/>
        <w:tblW w:w="0" w:type="auto"/>
        <w:tblLook w:val="04A0" w:firstRow="1" w:lastRow="0" w:firstColumn="1" w:lastColumn="0" w:noHBand="0" w:noVBand="1"/>
      </w:tblPr>
      <w:tblGrid>
        <w:gridCol w:w="9742"/>
      </w:tblGrid>
      <w:tr w:rsidR="00926CBF" w14:paraId="1D0C7CD9" w14:textId="77777777" w:rsidTr="00926CBF">
        <w:tc>
          <w:tcPr>
            <w:tcW w:w="9742" w:type="dxa"/>
            <w:tcBorders>
              <w:left w:val="nil"/>
              <w:right w:val="nil"/>
            </w:tcBorders>
          </w:tcPr>
          <w:p w14:paraId="13C58F05" w14:textId="5F0A8CEE" w:rsidR="00926CBF" w:rsidRDefault="009264E0" w:rsidP="00926CBF">
            <w:pPr>
              <w:rPr>
                <w:lang w:val="en-GB"/>
              </w:rPr>
            </w:pPr>
            <w:bookmarkStart w:id="44" w:name="_Toc175208715"/>
            <w:r>
              <w:rPr>
                <w:noProof/>
                <w:lang w:val="en-GB"/>
              </w:rPr>
              <w:drawing>
                <wp:inline distT="0" distB="0" distL="0" distR="0" wp14:anchorId="05A262D2" wp14:editId="242750D7">
                  <wp:extent cx="6024283" cy="3331181"/>
                  <wp:effectExtent l="0" t="0" r="0" b="0"/>
                  <wp:docPr id="200109470" name="Picture 11" descr="Graph illustrating most recent research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9470" name="Picture 11" descr="Graph illustrating most recent research ro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867" cy="3355281"/>
                          </a:xfrm>
                          <a:prstGeom prst="rect">
                            <a:avLst/>
                          </a:prstGeom>
                          <a:noFill/>
                        </pic:spPr>
                      </pic:pic>
                    </a:graphicData>
                  </a:graphic>
                </wp:inline>
              </w:drawing>
            </w:r>
          </w:p>
        </w:tc>
      </w:tr>
    </w:tbl>
    <w:p w14:paraId="338C4774" w14:textId="77777777" w:rsidR="00926CBF" w:rsidRDefault="00926CBF">
      <w:pPr>
        <w:spacing w:before="0" w:after="0" w:line="240" w:lineRule="auto"/>
        <w:rPr>
          <w:rFonts w:eastAsiaTheme="majorEastAsia"/>
          <w:b/>
          <w:bCs/>
          <w:color w:val="001C55" w:themeColor="text2"/>
          <w:sz w:val="32"/>
          <w:szCs w:val="32"/>
          <w:lang w:val="en-GB"/>
        </w:rPr>
      </w:pPr>
      <w:r>
        <w:br w:type="page"/>
      </w:r>
    </w:p>
    <w:p w14:paraId="3EB07667" w14:textId="5788BB74" w:rsidR="00772688" w:rsidRDefault="00772688" w:rsidP="002A1E4F">
      <w:pPr>
        <w:pStyle w:val="Heading2"/>
      </w:pPr>
      <w:bookmarkStart w:id="45" w:name="_Toc178009083"/>
      <w:r w:rsidRPr="002A1E4F">
        <w:lastRenderedPageBreak/>
        <w:t xml:space="preserve">Traditional researchers move jobs less frequently than non-traditional researchers, </w:t>
      </w:r>
      <w:r w:rsidRPr="00772688">
        <w:t>spending a median 1.6 years per role</w:t>
      </w:r>
      <w:bookmarkEnd w:id="44"/>
      <w:bookmarkEnd w:id="45"/>
    </w:p>
    <w:p w14:paraId="3D7B6B60" w14:textId="07A78A88" w:rsidR="00772688" w:rsidRPr="002236C4" w:rsidRDefault="007C5353" w:rsidP="002236C4">
      <w:pPr>
        <w:pStyle w:val="BodyText"/>
      </w:pPr>
      <w:r w:rsidRPr="002236C4">
        <w:t xml:space="preserve">The analysis of job tenure in the </w:t>
      </w:r>
      <w:r w:rsidR="00FF6DD8" w:rsidRPr="002236C4">
        <w:t>health and medical research</w:t>
      </w:r>
      <w:r w:rsidRPr="002236C4">
        <w:t xml:space="preserve"> sector </w:t>
      </w:r>
      <w:r w:rsidR="00191A21" w:rsidRPr="002236C4">
        <w:t>shows</w:t>
      </w:r>
      <w:r w:rsidRPr="002236C4">
        <w:t xml:space="preserve"> differences between traditional and non-traditional researchers, with implications for workforce mobility and productivity. </w:t>
      </w:r>
      <w:r w:rsidR="00772688" w:rsidRPr="002236C4">
        <w:t xml:space="preserve">Non-traditional researchers, in the median, spend </w:t>
      </w:r>
      <w:r w:rsidR="00A85D7A" w:rsidRPr="002236C4">
        <w:t>4</w:t>
      </w:r>
      <w:r w:rsidR="00772688" w:rsidRPr="002236C4">
        <w:t xml:space="preserve"> months less in a job than traditional researchers. The longer duration for the traditional workforce could be explained by concerns about </w:t>
      </w:r>
      <w:r w:rsidR="00772688" w:rsidRPr="00DE2A83">
        <w:t>skills transferability.</w:t>
      </w:r>
      <w:r w:rsidR="00DD2112" w:rsidRPr="00DE2A83">
        <w:rPr>
          <w:rStyle w:val="FootnoteReference"/>
        </w:rPr>
        <w:footnoteReference w:id="35"/>
      </w:r>
      <w:r w:rsidR="0065167F" w:rsidRPr="00DE2A83">
        <w:t xml:space="preserve"> </w:t>
      </w:r>
      <w:r w:rsidR="00772688" w:rsidRPr="00DE2A83">
        <w:t>There is a longer tail in the distribution of duration in a role for traditional researchers compared to non-traditional researchers. This means there is a segment of traditional researchers who do not move jobs as frequently. Longer duration on a role suggests less workforce mobility which has a negative impact on productivity.</w:t>
      </w:r>
      <w:r w:rsidR="00DD2112" w:rsidRPr="00DE2A83">
        <w:rPr>
          <w:rStyle w:val="FootnoteReference"/>
        </w:rPr>
        <w:footnoteReference w:id="36"/>
      </w:r>
      <w:r w:rsidR="00FB2E1E" w:rsidRPr="00DE2A83">
        <w:rPr>
          <w:vertAlign w:val="superscript"/>
        </w:rPr>
        <w:t xml:space="preserve"> </w:t>
      </w:r>
      <w:r w:rsidR="00FB2E1E" w:rsidRPr="00DE2A83">
        <w:t>This is also seen in the survey responses,</w:t>
      </w:r>
      <w:r w:rsidR="00D07067" w:rsidRPr="00DE2A83">
        <w:t xml:space="preserve"> where th</w:t>
      </w:r>
      <w:r w:rsidR="00725A15" w:rsidRPr="00DE2A83">
        <w:t>e most frequent duration in role reported is 1-3 years, with a long tail with many workers reporting working for more than 10 years</w:t>
      </w:r>
      <w:r w:rsidR="00BD6DB6" w:rsidRPr="00DE2A83">
        <w:t>.</w:t>
      </w:r>
      <w:r w:rsidR="00BD6DB6" w:rsidRPr="00DE2A83">
        <w:rPr>
          <w:rStyle w:val="FootnoteReference"/>
        </w:rPr>
        <w:footnoteReference w:id="37"/>
      </w:r>
      <w:r w:rsidR="00560647" w:rsidRPr="00DE2A83">
        <w:rPr>
          <w:vertAlign w:val="superscript"/>
        </w:rPr>
        <w:t xml:space="preserve"> </w:t>
      </w:r>
    </w:p>
    <w:p w14:paraId="473DA0A8" w14:textId="0647EBDD" w:rsidR="00BD3D60" w:rsidRPr="002236C4" w:rsidRDefault="00772688" w:rsidP="002236C4">
      <w:pPr>
        <w:pStyle w:val="BodyText"/>
      </w:pPr>
      <w:r w:rsidRPr="00DE2A83">
        <w:t>Job stability is unevenly distributed across workers. Some workers change jobs often while a relatively large group of workers change jobs rarely. Age is a key determining factor behind this. Younger workers are more likely to change jobs more frequently.</w:t>
      </w:r>
      <w:r w:rsidR="00DD2112" w:rsidRPr="00DE2A83">
        <w:rPr>
          <w:rStyle w:val="FootnoteReference"/>
        </w:rPr>
        <w:footnoteReference w:id="38"/>
      </w:r>
      <w:r w:rsidRPr="00DE2A83">
        <w:rPr>
          <w:vertAlign w:val="superscript"/>
        </w:rPr>
        <w:t xml:space="preserve"> </w:t>
      </w:r>
      <w:r w:rsidRPr="00DE2A83">
        <w:t xml:space="preserve">In the research sector, insecure jobs in more junior roles </w:t>
      </w:r>
      <w:r w:rsidR="00C25673" w:rsidRPr="00DE2A83">
        <w:t>a</w:t>
      </w:r>
      <w:r w:rsidR="00DE2A83">
        <w:t>re</w:t>
      </w:r>
      <w:r w:rsidR="00C25673" w:rsidRPr="00DE2A83">
        <w:t xml:space="preserve"> </w:t>
      </w:r>
      <w:r w:rsidRPr="00DE2A83">
        <w:t>likely to add to the age effect experienced in overall workforce mobility.</w:t>
      </w:r>
      <w:r w:rsidR="00C25673" w:rsidRPr="00DE2A83">
        <w:t xml:space="preserve"> </w:t>
      </w:r>
      <w:r w:rsidR="00475FB5" w:rsidRPr="002236C4">
        <w:t xml:space="preserve">In the broader Australian workforce, </w:t>
      </w:r>
      <w:r w:rsidR="00C3266F" w:rsidRPr="002236C4">
        <w:t>57.3% of workers have been in their current role for fewer than 4 years, with 18.6% less than 1 year.</w:t>
      </w:r>
      <w:r w:rsidR="004C4A6F" w:rsidRPr="00DE2A83">
        <w:rPr>
          <w:rStyle w:val="FootnoteReference"/>
        </w:rPr>
        <w:footnoteReference w:id="39"/>
      </w:r>
      <w:r w:rsidR="004C4A6F" w:rsidRPr="00DE2A83">
        <w:rPr>
          <w:vertAlign w:val="superscript"/>
        </w:rPr>
        <w:t xml:space="preserve"> </w:t>
      </w:r>
    </w:p>
    <w:p w14:paraId="531DA9BD" w14:textId="1AE9612D" w:rsidR="006B030B" w:rsidRDefault="006B030B" w:rsidP="00C420D6">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18</w:t>
      </w:r>
      <w:r w:rsidR="00333748">
        <w:rPr>
          <w:noProof/>
        </w:rPr>
        <w:fldChar w:fldCharType="end"/>
      </w:r>
      <w:r w:rsidRPr="004054E6">
        <w:t>: Duration in role (Interquartile range</w:t>
      </w:r>
      <w:r w:rsidR="00474161">
        <w:t xml:space="preserve">; </w:t>
      </w:r>
      <w:r w:rsidRPr="004054E6">
        <w:t>25th, 50th and 75th percentile), years, June 2019 – June 2024</w:t>
      </w:r>
      <w:r>
        <w:rPr>
          <w:rStyle w:val="FootnoteReference"/>
        </w:rPr>
        <w:footnoteReference w:id="40"/>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CD1AEC" w14:paraId="25884995" w14:textId="77777777" w:rsidTr="00CD1AEC">
        <w:tc>
          <w:tcPr>
            <w:tcW w:w="9742" w:type="dxa"/>
          </w:tcPr>
          <w:p w14:paraId="2838C91E" w14:textId="6F460707" w:rsidR="00CD1AEC" w:rsidRDefault="00774C05" w:rsidP="00CD1AEC">
            <w:r>
              <w:rPr>
                <w:noProof/>
              </w:rPr>
              <w:drawing>
                <wp:inline distT="0" distB="0" distL="0" distR="0" wp14:anchorId="67702E8A" wp14:editId="74B49074">
                  <wp:extent cx="6115644" cy="2865985"/>
                  <wp:effectExtent l="0" t="0" r="0" b="0"/>
                  <wp:docPr id="1013010408" name="Picture 14" descr="Graph illustrating the duration in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10408" name="Picture 14" descr="Graph illustrating the duration in ro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8502" cy="2872011"/>
                          </a:xfrm>
                          <a:prstGeom prst="rect">
                            <a:avLst/>
                          </a:prstGeom>
                          <a:noFill/>
                        </pic:spPr>
                      </pic:pic>
                    </a:graphicData>
                  </a:graphic>
                </wp:inline>
              </w:drawing>
            </w:r>
          </w:p>
        </w:tc>
      </w:tr>
    </w:tbl>
    <w:p w14:paraId="54805F40" w14:textId="100387D0" w:rsidR="00DC1B79" w:rsidRPr="00774C05" w:rsidRDefault="00B263FA" w:rsidP="00774C05">
      <w:pPr>
        <w:pStyle w:val="IntenseQuote"/>
      </w:pPr>
      <w:r>
        <w:rPr>
          <w:lang w:val="en-GB"/>
        </w:rPr>
        <w:lastRenderedPageBreak/>
        <w:t>“</w:t>
      </w:r>
      <w:r w:rsidRPr="00B263FA">
        <w:rPr>
          <w:lang w:val="en-GB"/>
        </w:rPr>
        <w:t>Positions are normally for 2-3 years maximum - this doesn't provide stability for long-term decisions, especially when you have family responsibilities.</w:t>
      </w:r>
      <w:r>
        <w:t>”</w:t>
      </w:r>
      <w:bookmarkStart w:id="46" w:name="_Toc175208716"/>
    </w:p>
    <w:p w14:paraId="02650BC1" w14:textId="77777777" w:rsidR="004974BA" w:rsidRDefault="004974BA">
      <w:pPr>
        <w:spacing w:before="0" w:after="0" w:line="240" w:lineRule="auto"/>
        <w:rPr>
          <w:rFonts w:eastAsiaTheme="majorEastAsia"/>
          <w:b/>
          <w:bCs/>
          <w:color w:val="001C55" w:themeColor="text2"/>
          <w:sz w:val="32"/>
          <w:szCs w:val="32"/>
          <w:lang w:val="en-GB"/>
        </w:rPr>
      </w:pPr>
      <w:r>
        <w:br w:type="page"/>
      </w:r>
    </w:p>
    <w:p w14:paraId="5E4CF292" w14:textId="652CCA98" w:rsidR="00401958" w:rsidRDefault="005E6CF2" w:rsidP="002A1E4F">
      <w:pPr>
        <w:pStyle w:val="Heading2"/>
      </w:pPr>
      <w:bookmarkStart w:id="47" w:name="_Toc178009084"/>
      <w:r>
        <w:lastRenderedPageBreak/>
        <w:t xml:space="preserve">Inactive researchers </w:t>
      </w:r>
      <w:r w:rsidR="005B7179">
        <w:t xml:space="preserve">report working across more organisations than traditional and non-traditional workers, with </w:t>
      </w:r>
      <w:r w:rsidR="00392598">
        <w:t>21% of inactive researchers working in 2 or fewer organisations, compared t</w:t>
      </w:r>
      <w:r w:rsidR="00CF3FF9">
        <w:t>o 56% of traditional and 42% of non-traditional researchers</w:t>
      </w:r>
      <w:bookmarkEnd w:id="47"/>
    </w:p>
    <w:p w14:paraId="4FA65535" w14:textId="77777777" w:rsidR="00B352EC" w:rsidRPr="00B352EC" w:rsidRDefault="00B352EC" w:rsidP="00B352EC">
      <w:pPr>
        <w:pStyle w:val="BodyText"/>
      </w:pPr>
      <w:r w:rsidRPr="00B352EC">
        <w:t>Traditional researchers show a concentrated pattern of organisational moves, with the majority (82%) having moved between 1-3 times. The peak is at 2 moves (31%), closely followed by 3 moves (26%) and 1 move (25%). There's a sharp decline after 3 moves, with only 10% moving 4 times and very few moving more than 5 times. This suggests a career pattern where traditional researchers tend to settle into organisations after a few initial moves.</w:t>
      </w:r>
    </w:p>
    <w:p w14:paraId="3B1FABB8" w14:textId="77777777" w:rsidR="00B352EC" w:rsidRPr="00B352EC" w:rsidRDefault="00B352EC" w:rsidP="00B352EC">
      <w:pPr>
        <w:pStyle w:val="BodyText"/>
      </w:pPr>
      <w:r w:rsidRPr="00B352EC">
        <w:t>Non-traditional researchers display a slightly more distributed pattern of mobility. While the majority (65%) still fall within the 1-3 moves range, the distribution is more even across these categories (22%, 20%, and 23% respectively). There's a more gradual decline in percentages for higher numbers of moves, with 14% moving 4 times and 10% moving 5 times. This indicates potentially greater career fluidity in non-traditional research roles.</w:t>
      </w:r>
    </w:p>
    <w:p w14:paraId="6B7090C6" w14:textId="61741862" w:rsidR="00C10E68" w:rsidRPr="00B352EC" w:rsidRDefault="00B352EC" w:rsidP="00B352EC">
      <w:pPr>
        <w:pStyle w:val="BodyText"/>
      </w:pPr>
      <w:r w:rsidRPr="00B352EC">
        <w:t>Inactive researchers show the most diverse pattern of organisational moves. Their distribution is relatively flat from 2 to 5 moves (ranging from 13% to 19%), with a notable 10% having moved 6 times. Interestingly, they have the highest percentages for very frequent moves, with 6% moving 10 times and 2% moving more than 10 times. This suggests that researchers who eventually leave active research roles may have more varied career paths, possibly exploring different organisations before transitioning out of research.</w:t>
      </w:r>
    </w:p>
    <w:p w14:paraId="554B173F" w14:textId="77777777" w:rsidR="00EA0067" w:rsidRPr="00DE2A83" w:rsidRDefault="00EA0067">
      <w:pPr>
        <w:spacing w:before="0" w:after="0" w:line="240" w:lineRule="auto"/>
        <w:rPr>
          <w:b/>
          <w:color w:val="001C55" w:themeColor="text2"/>
          <w:sz w:val="22"/>
          <w:szCs w:val="18"/>
          <w:lang w:val="en-US"/>
        </w:rPr>
      </w:pPr>
      <w:r>
        <w:br w:type="page"/>
      </w:r>
    </w:p>
    <w:p w14:paraId="12A3BAC9" w14:textId="0695DA13" w:rsidR="003B3FBE" w:rsidRDefault="003B3FBE" w:rsidP="003B3FBE">
      <w:pPr>
        <w:pStyle w:val="Caption"/>
        <w:rPr>
          <w:lang w:val="en-GB"/>
        </w:rPr>
      </w:pPr>
      <w:r>
        <w:lastRenderedPageBreak/>
        <w:t xml:space="preserve">Figure </w:t>
      </w:r>
      <w:r w:rsidR="00333748">
        <w:fldChar w:fldCharType="begin"/>
      </w:r>
      <w:r w:rsidR="00333748">
        <w:instrText xml:space="preserve"> SEQ Figure \* ARABIC </w:instrText>
      </w:r>
      <w:r w:rsidR="00333748">
        <w:fldChar w:fldCharType="separate"/>
      </w:r>
      <w:r w:rsidR="00496859">
        <w:rPr>
          <w:noProof/>
        </w:rPr>
        <w:t>19</w:t>
      </w:r>
      <w:r w:rsidR="00333748">
        <w:rPr>
          <w:noProof/>
        </w:rPr>
        <w:fldChar w:fldCharType="end"/>
      </w:r>
      <w:r>
        <w:t xml:space="preserve">: </w:t>
      </w:r>
      <w:r w:rsidR="00BA6EB0">
        <w:t>Number of times researchers report moving organisations (proportion of</w:t>
      </w:r>
      <w:r w:rsidR="00EB62E8">
        <w:t xml:space="preserve"> r</w:t>
      </w:r>
      <w:r w:rsidR="00EB62E8" w:rsidRPr="00EB62E8">
        <w:t xml:space="preserve">espondents who </w:t>
      </w:r>
      <w:r w:rsidR="00FC7E99">
        <w:t>selected a response to the question “H</w:t>
      </w:r>
      <w:r w:rsidR="00EB62E8" w:rsidRPr="00EB62E8">
        <w:t xml:space="preserve">ow many times </w:t>
      </w:r>
      <w:r w:rsidR="00FC7E99">
        <w:t>have you</w:t>
      </w:r>
      <w:r w:rsidR="00EB62E8" w:rsidRPr="00EB62E8">
        <w:t xml:space="preserve"> moved organisation</w:t>
      </w:r>
      <w:r w:rsidR="00FC7E99">
        <w:t>s?”</w:t>
      </w:r>
      <w:r w:rsidR="00EA0067">
        <w:t>)</w:t>
      </w:r>
      <w:r w:rsidR="00CF3FF9">
        <w:rPr>
          <w:rStyle w:val="FootnoteReference"/>
        </w:rPr>
        <w:footnoteReference w:id="41"/>
      </w:r>
    </w:p>
    <w:tbl>
      <w:tblPr>
        <w:tblStyle w:val="TableGrid"/>
        <w:tblW w:w="0" w:type="auto"/>
        <w:tblLook w:val="04A0" w:firstRow="1" w:lastRow="0" w:firstColumn="1" w:lastColumn="0" w:noHBand="0" w:noVBand="1"/>
      </w:tblPr>
      <w:tblGrid>
        <w:gridCol w:w="9752"/>
      </w:tblGrid>
      <w:tr w:rsidR="003B3FBE" w14:paraId="20CD9612" w14:textId="77777777" w:rsidTr="003B3FBE">
        <w:tc>
          <w:tcPr>
            <w:tcW w:w="9742" w:type="dxa"/>
            <w:tcBorders>
              <w:left w:val="nil"/>
              <w:right w:val="nil"/>
            </w:tcBorders>
          </w:tcPr>
          <w:p w14:paraId="375707A8" w14:textId="1A796161" w:rsidR="003B3FBE" w:rsidRDefault="00B7612F" w:rsidP="003B3FBE">
            <w:pPr>
              <w:rPr>
                <w:lang w:val="en-GB"/>
              </w:rPr>
            </w:pPr>
            <w:r w:rsidRPr="00B7612F">
              <w:rPr>
                <w:noProof/>
                <w:lang w:val="en-GB"/>
              </w:rPr>
              <w:drawing>
                <wp:inline distT="0" distB="0" distL="0" distR="0" wp14:anchorId="3D9988B3" wp14:editId="0CA9BEAA">
                  <wp:extent cx="6192520" cy="4606925"/>
                  <wp:effectExtent l="0" t="0" r="5080" b="3175"/>
                  <wp:docPr id="893579570" name="Picture 1" descr="Graph illustrating the number of times traditional, non-traditional and inactive researchers report moving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79570" name="Picture 1" descr="Graph illustrating the number of times traditional, non-traditional and inactive researchers report moving organisation."/>
                          <pic:cNvPicPr/>
                        </pic:nvPicPr>
                        <pic:blipFill>
                          <a:blip r:embed="rId33"/>
                          <a:stretch>
                            <a:fillRect/>
                          </a:stretch>
                        </pic:blipFill>
                        <pic:spPr>
                          <a:xfrm>
                            <a:off x="0" y="0"/>
                            <a:ext cx="6192520" cy="4606925"/>
                          </a:xfrm>
                          <a:prstGeom prst="rect">
                            <a:avLst/>
                          </a:prstGeom>
                        </pic:spPr>
                      </pic:pic>
                    </a:graphicData>
                  </a:graphic>
                </wp:inline>
              </w:drawing>
            </w:r>
          </w:p>
        </w:tc>
      </w:tr>
    </w:tbl>
    <w:p w14:paraId="1E083A41" w14:textId="77777777" w:rsidR="003B3FBE" w:rsidRPr="003B3FBE" w:rsidRDefault="003B3FBE" w:rsidP="003B3FBE">
      <w:pPr>
        <w:rPr>
          <w:lang w:val="en-GB"/>
        </w:rPr>
      </w:pPr>
    </w:p>
    <w:p w14:paraId="0525E14B" w14:textId="77777777" w:rsidR="00401958" w:rsidRDefault="00401958">
      <w:pPr>
        <w:spacing w:before="0" w:after="0" w:line="240" w:lineRule="auto"/>
        <w:rPr>
          <w:rFonts w:eastAsiaTheme="majorEastAsia"/>
          <w:b/>
          <w:bCs/>
          <w:color w:val="001C55" w:themeColor="text2"/>
          <w:sz w:val="32"/>
          <w:szCs w:val="32"/>
          <w:lang w:val="en-GB"/>
        </w:rPr>
      </w:pPr>
      <w:r>
        <w:br w:type="page"/>
      </w:r>
    </w:p>
    <w:p w14:paraId="194C640E" w14:textId="21FBA2A6" w:rsidR="00960F3E" w:rsidRDefault="00960F3E" w:rsidP="002A1E4F">
      <w:pPr>
        <w:pStyle w:val="Heading2"/>
      </w:pPr>
      <w:bookmarkStart w:id="48" w:name="_Toc178009085"/>
      <w:r w:rsidRPr="00960F3E">
        <w:lastRenderedPageBreak/>
        <w:t>Over a 5-year period, 47% of postdoctoral fellows who change roles leave research, with 34% remaining in traditional research</w:t>
      </w:r>
      <w:bookmarkEnd w:id="46"/>
      <w:bookmarkEnd w:id="48"/>
    </w:p>
    <w:p w14:paraId="60CF9CAA" w14:textId="265B5067" w:rsidR="0062509F" w:rsidRDefault="0099777F" w:rsidP="008F67FD">
      <w:pPr>
        <w:pStyle w:val="BodyText"/>
      </w:pPr>
      <w:r>
        <w:t>As a case study of a particular type of position, we can look at t</w:t>
      </w:r>
      <w:r w:rsidR="008C744B" w:rsidRPr="008C744B">
        <w:t>he career trajectories of postdoctoral fellows in the HMR sector</w:t>
      </w:r>
      <w:r>
        <w:t>. This</w:t>
      </w:r>
      <w:r w:rsidR="008C744B" w:rsidRPr="008C744B">
        <w:t xml:space="preserve"> reveal</w:t>
      </w:r>
      <w:r>
        <w:t>s</w:t>
      </w:r>
      <w:r w:rsidR="008C744B" w:rsidRPr="008C744B">
        <w:t xml:space="preserve"> a significant </w:t>
      </w:r>
      <w:r w:rsidR="00726BEE">
        <w:t>movement</w:t>
      </w:r>
      <w:r w:rsidR="00726BEE" w:rsidRPr="008C744B">
        <w:t xml:space="preserve"> </w:t>
      </w:r>
      <w:r w:rsidR="008C744B" w:rsidRPr="008C744B">
        <w:t>from research, with nearly half transitioning to other sectors, highlighting both challenges in retention and the broader economic impact of research training.</w:t>
      </w:r>
      <w:r w:rsidR="008C744B">
        <w:t xml:space="preserve"> </w:t>
      </w:r>
      <w:r w:rsidR="00960F3E" w:rsidRPr="00960F3E">
        <w:t xml:space="preserve">The largest portion of postdoctoral fellows leave the research workforce all together, with 47% moving into roles in other sectors when changing jobs. Postdoctoral fellows are highly skilled in research. The high proportion who </w:t>
      </w:r>
      <w:r w:rsidR="0051057D">
        <w:t xml:space="preserve">transition from </w:t>
      </w:r>
      <w:r w:rsidR="00A22B82">
        <w:t>active</w:t>
      </w:r>
      <w:r w:rsidR="00960F3E" w:rsidRPr="00960F3E">
        <w:t xml:space="preserve"> research represents the dynamic flow of highly skilled workers to other sectors in the economy.</w:t>
      </w:r>
      <w:r w:rsidR="0062509F">
        <w:t xml:space="preserve"> Survey data shows that for inactive researchers, 49% report being in their most recent research role for 3 years or fewer, suggesting </w:t>
      </w:r>
      <w:r w:rsidR="007A4C58">
        <w:t xml:space="preserve">individuals moving to other roles early in their career. </w:t>
      </w:r>
    </w:p>
    <w:p w14:paraId="45ECB45D" w14:textId="77777777" w:rsidR="0032766B" w:rsidRPr="0021242D" w:rsidRDefault="0032766B" w:rsidP="0032766B">
      <w:pPr>
        <w:pStyle w:val="IntenseQuote"/>
        <w:rPr>
          <w:lang w:val="en-GB"/>
        </w:rPr>
      </w:pPr>
      <w:r>
        <w:rPr>
          <w:lang w:val="en-GB"/>
        </w:rPr>
        <w:t>“</w:t>
      </w:r>
      <w:r w:rsidRPr="00580224">
        <w:rPr>
          <w:lang w:val="en-GB"/>
        </w:rPr>
        <w:t>There is a massive exodus during postdoc years from academia to industry.</w:t>
      </w:r>
      <w:r>
        <w:t>”</w:t>
      </w:r>
    </w:p>
    <w:p w14:paraId="53975A7C" w14:textId="792F838A" w:rsidR="008409E9" w:rsidRDefault="00960F3E" w:rsidP="008F67FD">
      <w:pPr>
        <w:pStyle w:val="BodyText"/>
      </w:pPr>
      <w:r w:rsidRPr="00960F3E">
        <w:t>A large proportion of postdoctoral fellows remain in the traditional research sector, with 34% moving into traditional research roles. A further 13%, postdoctoral fellows move overseas. The postdoctoral fellows who move overseas have not been further classified by the sector they move into as they have left the Australian workforce. This shows the highly international nature of research and scientific collaboration.</w:t>
      </w:r>
      <w:r w:rsidR="00E7269E">
        <w:t xml:space="preserve"> </w:t>
      </w:r>
      <w:r w:rsidRPr="00960F3E">
        <w:t>A small proportion of postdoctoral fellows move into the non-traditional research sector. Only 6% move from being a postdoctoral fellow into a non-traditional research role.</w:t>
      </w:r>
      <w:r w:rsidR="0051117B">
        <w:t xml:space="preserve"> </w:t>
      </w:r>
      <w:r w:rsidR="009A6D33">
        <w:t xml:space="preserve">Comments in the survey </w:t>
      </w:r>
      <w:r w:rsidR="00D13EB8">
        <w:t xml:space="preserve">suggest that there is a perception that </w:t>
      </w:r>
      <w:r w:rsidR="00E76969">
        <w:t xml:space="preserve">many postdoctoral fellows move into </w:t>
      </w:r>
      <w:r w:rsidR="00200C59">
        <w:t>industry,</w:t>
      </w:r>
      <w:r w:rsidR="00E76969">
        <w:t xml:space="preserve"> </w:t>
      </w:r>
      <w:r w:rsidR="00156AD8">
        <w:t xml:space="preserve">but </w:t>
      </w:r>
      <w:proofErr w:type="spellStart"/>
      <w:r w:rsidR="00156AD8">
        <w:t>Revelio</w:t>
      </w:r>
      <w:proofErr w:type="spellEnd"/>
      <w:r w:rsidR="00156AD8">
        <w:t xml:space="preserve"> data shows that while many move into industry out of academia, very few move into research roles. </w:t>
      </w:r>
    </w:p>
    <w:p w14:paraId="01D63F8E" w14:textId="7D72B65A" w:rsidR="00200C59" w:rsidRDefault="00200C59" w:rsidP="00200C59">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20</w:t>
      </w:r>
      <w:r w:rsidR="00333748">
        <w:rPr>
          <w:noProof/>
        </w:rPr>
        <w:fldChar w:fldCharType="end"/>
      </w:r>
      <w:r>
        <w:t xml:space="preserve">: </w:t>
      </w:r>
      <w:r w:rsidRPr="009D7074">
        <w:t>Pathways for movement for health and medical research postdoctoral fellows (positions count (proportion), Australia, June 2019 – June 2024</w:t>
      </w:r>
      <w:r w:rsidRPr="00200C59">
        <w:rPr>
          <w:rStyle w:val="FootnoteReference"/>
        </w:rPr>
        <w:t xml:space="preserve"> </w:t>
      </w:r>
      <w:r>
        <w:rPr>
          <w:rStyle w:val="FootnoteReference"/>
        </w:rPr>
        <w:footnoteReference w:id="42"/>
      </w:r>
    </w:p>
    <w:tbl>
      <w:tblPr>
        <w:tblStyle w:val="TableGrid"/>
        <w:tblW w:w="0" w:type="auto"/>
        <w:tblLook w:val="04A0" w:firstRow="1" w:lastRow="0" w:firstColumn="1" w:lastColumn="0" w:noHBand="0" w:noVBand="1"/>
      </w:tblPr>
      <w:tblGrid>
        <w:gridCol w:w="9742"/>
      </w:tblGrid>
      <w:tr w:rsidR="008F67FD" w14:paraId="67C2A1E8" w14:textId="77777777" w:rsidTr="008F67FD">
        <w:tc>
          <w:tcPr>
            <w:tcW w:w="9742" w:type="dxa"/>
            <w:tcBorders>
              <w:top w:val="single" w:sz="4" w:space="0" w:color="auto"/>
              <w:left w:val="nil"/>
              <w:bottom w:val="single" w:sz="4" w:space="0" w:color="auto"/>
              <w:right w:val="nil"/>
            </w:tcBorders>
          </w:tcPr>
          <w:p w14:paraId="58DB1507" w14:textId="04594713" w:rsidR="008F67FD" w:rsidRDefault="008C73AF" w:rsidP="008F67FD">
            <w:r w:rsidRPr="008C73AF">
              <w:rPr>
                <w:noProof/>
              </w:rPr>
              <w:drawing>
                <wp:inline distT="0" distB="0" distL="0" distR="0" wp14:anchorId="70084A43" wp14:editId="3949E7F7">
                  <wp:extent cx="6001555" cy="2543522"/>
                  <wp:effectExtent l="0" t="0" r="0" b="0"/>
                  <wp:docPr id="1602333044" name="Picture 1" descr="Graph illustrating the pathways for movement for postdoctoral fe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33044" name="Picture 1" descr="Graph illustrating the pathways for movement for postdoctoral fellows."/>
                          <pic:cNvPicPr/>
                        </pic:nvPicPr>
                        <pic:blipFill>
                          <a:blip r:embed="rId34"/>
                          <a:stretch>
                            <a:fillRect/>
                          </a:stretch>
                        </pic:blipFill>
                        <pic:spPr>
                          <a:xfrm>
                            <a:off x="0" y="0"/>
                            <a:ext cx="6012656" cy="2548227"/>
                          </a:xfrm>
                          <a:prstGeom prst="rect">
                            <a:avLst/>
                          </a:prstGeom>
                        </pic:spPr>
                      </pic:pic>
                    </a:graphicData>
                  </a:graphic>
                </wp:inline>
              </w:drawing>
            </w:r>
          </w:p>
        </w:tc>
      </w:tr>
    </w:tbl>
    <w:p w14:paraId="16DA7C48" w14:textId="2C61560F" w:rsidR="00BB782E" w:rsidRDefault="00BB782E" w:rsidP="002A1E4F">
      <w:pPr>
        <w:pStyle w:val="Heading2"/>
      </w:pPr>
      <w:bookmarkStart w:id="49" w:name="_Toc178009086"/>
      <w:bookmarkStart w:id="50" w:name="_Toc175208717"/>
      <w:r>
        <w:lastRenderedPageBreak/>
        <w:t>Traditional researchers report a desire to remain in research for an average of 14.2 further years, longer than non-traditional researchers who average 12.4 years</w:t>
      </w:r>
      <w:bookmarkEnd w:id="49"/>
    </w:p>
    <w:p w14:paraId="66BBC86B" w14:textId="4ACDF968" w:rsidR="005470E7" w:rsidRDefault="00B04D48" w:rsidP="00DE2A83">
      <w:pPr>
        <w:pStyle w:val="BodyText"/>
        <w:rPr>
          <w:lang w:val="en-GB"/>
        </w:rPr>
      </w:pPr>
      <w:r w:rsidRPr="00B04D48">
        <w:t>Traditional researchers show a greater long-term commitment to their field, planning to continue their work for nearly two years longer on average compared to their non-traditional counterparts.</w:t>
      </w:r>
      <w:r w:rsidR="00C24CD5">
        <w:rPr>
          <w:lang w:val="en-GB"/>
        </w:rPr>
        <w:t xml:space="preserve"> Literature suggests a shorter expected duration for researchers</w:t>
      </w:r>
      <w:r w:rsidR="00CD3C08">
        <w:rPr>
          <w:lang w:val="en-GB"/>
        </w:rPr>
        <w:t xml:space="preserve"> to remain in a research role</w:t>
      </w:r>
      <w:r w:rsidR="00C24CD5">
        <w:rPr>
          <w:lang w:val="en-GB"/>
        </w:rPr>
        <w:t xml:space="preserve">. One study found that a </w:t>
      </w:r>
      <w:r w:rsidR="00C24CD5" w:rsidRPr="00C24CD5">
        <w:rPr>
          <w:lang w:val="en-GB"/>
        </w:rPr>
        <w:t>large portion of the workforce expects to leave the sector within five years, largely due to job insecurity and the competitive nature of grant funding.</w:t>
      </w:r>
      <w:r w:rsidR="006A630D">
        <w:rPr>
          <w:rStyle w:val="FootnoteReference"/>
          <w:lang w:val="en-GB"/>
        </w:rPr>
        <w:footnoteReference w:id="43"/>
      </w:r>
    </w:p>
    <w:p w14:paraId="21461A5F" w14:textId="13AA5272" w:rsidR="00BB782E" w:rsidRDefault="00BB782E" w:rsidP="00BB782E">
      <w:pPr>
        <w:pStyle w:val="Caption"/>
        <w:rPr>
          <w:lang w:val="en-GB"/>
        </w:rPr>
      </w:pPr>
      <w:r>
        <w:t xml:space="preserve">Figure </w:t>
      </w:r>
      <w:r w:rsidR="00333748">
        <w:fldChar w:fldCharType="begin"/>
      </w:r>
      <w:r w:rsidR="00333748">
        <w:instrText xml:space="preserve"> SEQ Figure \* ARABIC </w:instrText>
      </w:r>
      <w:r w:rsidR="00333748">
        <w:fldChar w:fldCharType="separate"/>
      </w:r>
      <w:r w:rsidR="00496859">
        <w:rPr>
          <w:noProof/>
        </w:rPr>
        <w:t>21</w:t>
      </w:r>
      <w:r w:rsidR="00333748">
        <w:rPr>
          <w:noProof/>
        </w:rPr>
        <w:fldChar w:fldCharType="end"/>
      </w:r>
      <w:r>
        <w:t xml:space="preserve">: Average number of years </w:t>
      </w:r>
      <w:r w:rsidR="002E1332">
        <w:t>researchers desire to remain in research (average response to question “</w:t>
      </w:r>
      <w:r w:rsidR="002E1332" w:rsidRPr="002E1332">
        <w:t>How many years do you plan to spend in research (conducting research</w:t>
      </w:r>
      <w:r w:rsidR="002E1332">
        <w:t>)?”)</w:t>
      </w:r>
      <w:r w:rsidR="002E1332">
        <w:rPr>
          <w:rStyle w:val="FootnoteReference"/>
        </w:rPr>
        <w:footnoteReference w:id="44"/>
      </w:r>
    </w:p>
    <w:tbl>
      <w:tblPr>
        <w:tblStyle w:val="TableGrid"/>
        <w:tblW w:w="0" w:type="auto"/>
        <w:tblLook w:val="04A0" w:firstRow="1" w:lastRow="0" w:firstColumn="1" w:lastColumn="0" w:noHBand="0" w:noVBand="1"/>
      </w:tblPr>
      <w:tblGrid>
        <w:gridCol w:w="9752"/>
      </w:tblGrid>
      <w:tr w:rsidR="00BB782E" w14:paraId="08884FEF" w14:textId="77777777" w:rsidTr="00BB782E">
        <w:tc>
          <w:tcPr>
            <w:tcW w:w="9742" w:type="dxa"/>
            <w:tcBorders>
              <w:left w:val="nil"/>
              <w:right w:val="nil"/>
            </w:tcBorders>
          </w:tcPr>
          <w:p w14:paraId="7C0936CD" w14:textId="04296FCF" w:rsidR="00BB782E" w:rsidRDefault="00BB782E" w:rsidP="00BB782E">
            <w:pPr>
              <w:rPr>
                <w:lang w:val="en-GB"/>
              </w:rPr>
            </w:pPr>
            <w:r w:rsidRPr="00BB782E">
              <w:rPr>
                <w:noProof/>
                <w:lang w:val="en-GB"/>
              </w:rPr>
              <w:drawing>
                <wp:inline distT="0" distB="0" distL="0" distR="0" wp14:anchorId="44B30322" wp14:editId="6AEC1046">
                  <wp:extent cx="6192520" cy="2397125"/>
                  <wp:effectExtent l="0" t="0" r="5080" b="3175"/>
                  <wp:docPr id="1385583599" name="Picture 1" descr="Figure illustrating the average number of years researchers desire to remain i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83599" name="Picture 1" descr="Figure illustrating the average number of years researchers desire to remain in research."/>
                          <pic:cNvPicPr/>
                        </pic:nvPicPr>
                        <pic:blipFill>
                          <a:blip r:embed="rId35"/>
                          <a:stretch>
                            <a:fillRect/>
                          </a:stretch>
                        </pic:blipFill>
                        <pic:spPr>
                          <a:xfrm>
                            <a:off x="0" y="0"/>
                            <a:ext cx="6192520" cy="2397125"/>
                          </a:xfrm>
                          <a:prstGeom prst="rect">
                            <a:avLst/>
                          </a:prstGeom>
                        </pic:spPr>
                      </pic:pic>
                    </a:graphicData>
                  </a:graphic>
                </wp:inline>
              </w:drawing>
            </w:r>
          </w:p>
        </w:tc>
      </w:tr>
    </w:tbl>
    <w:p w14:paraId="621215BB" w14:textId="77777777" w:rsidR="00BB782E" w:rsidRDefault="00BB782E" w:rsidP="00BB782E">
      <w:pPr>
        <w:rPr>
          <w:lang w:val="en-GB"/>
        </w:rPr>
      </w:pPr>
    </w:p>
    <w:p w14:paraId="10FEA484" w14:textId="1F2A20CA" w:rsidR="00BB782E" w:rsidRDefault="006D056E" w:rsidP="008D2BA4">
      <w:pPr>
        <w:pStyle w:val="IntenseQuote"/>
        <w:rPr>
          <w:lang w:val="en-GB"/>
        </w:rPr>
      </w:pPr>
      <w:r>
        <w:rPr>
          <w:lang w:val="en-GB"/>
        </w:rPr>
        <w:t>“</w:t>
      </w:r>
      <w:r w:rsidR="008D2BA4" w:rsidRPr="008D2BA4">
        <w:rPr>
          <w:lang w:val="en-GB"/>
        </w:rPr>
        <w:t xml:space="preserve">I want to make a difference in people's </w:t>
      </w:r>
      <w:r w:rsidRPr="008D2BA4">
        <w:rPr>
          <w:lang w:val="en-GB"/>
        </w:rPr>
        <w:t>lives,</w:t>
      </w:r>
      <w:r w:rsidR="008D2BA4" w:rsidRPr="008D2BA4">
        <w:rPr>
          <w:lang w:val="en-GB"/>
        </w:rPr>
        <w:t xml:space="preserve"> and I love research as my way of </w:t>
      </w:r>
      <w:r>
        <w:rPr>
          <w:lang w:val="en-GB"/>
        </w:rPr>
        <w:br/>
      </w:r>
      <w:r w:rsidR="008D2BA4" w:rsidRPr="008D2BA4">
        <w:rPr>
          <w:lang w:val="en-GB"/>
        </w:rPr>
        <w:t>doing this</w:t>
      </w:r>
      <w:r>
        <w:rPr>
          <w:lang w:val="en-GB"/>
        </w:rPr>
        <w:t>”</w:t>
      </w:r>
    </w:p>
    <w:p w14:paraId="40CD850D" w14:textId="77777777" w:rsidR="008D2BA4" w:rsidRPr="00BB782E" w:rsidRDefault="008D2BA4" w:rsidP="00BB782E">
      <w:pPr>
        <w:rPr>
          <w:lang w:val="en-GB"/>
        </w:rPr>
      </w:pPr>
    </w:p>
    <w:p w14:paraId="31924630" w14:textId="77777777" w:rsidR="00BB782E" w:rsidRDefault="00BB782E">
      <w:pPr>
        <w:spacing w:before="0" w:after="0" w:line="240" w:lineRule="auto"/>
        <w:rPr>
          <w:rFonts w:eastAsiaTheme="majorEastAsia"/>
          <w:b/>
          <w:bCs/>
          <w:color w:val="001C55" w:themeColor="text2"/>
          <w:sz w:val="32"/>
          <w:szCs w:val="32"/>
          <w:lang w:val="en-GB"/>
        </w:rPr>
      </w:pPr>
      <w:r>
        <w:br w:type="page"/>
      </w:r>
    </w:p>
    <w:p w14:paraId="5210F139" w14:textId="40323801" w:rsidR="00960F3E" w:rsidRDefault="00F61466" w:rsidP="002A1E4F">
      <w:pPr>
        <w:pStyle w:val="Heading2"/>
      </w:pPr>
      <w:bookmarkStart w:id="51" w:name="_Toc178009087"/>
      <w:r>
        <w:lastRenderedPageBreak/>
        <w:t>Many r</w:t>
      </w:r>
      <w:r w:rsidR="00960F3E" w:rsidRPr="00960F3E">
        <w:t>esearchers find moving between organisations easy, with majority working in research and non-research roles in their career</w:t>
      </w:r>
      <w:bookmarkEnd w:id="50"/>
      <w:bookmarkEnd w:id="51"/>
    </w:p>
    <w:p w14:paraId="2FA6699B" w14:textId="37A73970" w:rsidR="00960F3E" w:rsidRPr="00DE2A83" w:rsidRDefault="00960F3E" w:rsidP="000E0F37">
      <w:pPr>
        <w:pStyle w:val="BodyText"/>
      </w:pPr>
      <w:r w:rsidRPr="000E0F37">
        <w:t xml:space="preserve">Researchers across the traditional and non-traditional sectors find it easy to transfer between organisations and sectors. </w:t>
      </w:r>
      <w:r w:rsidR="00FF0737" w:rsidRPr="000E0F37">
        <w:t xml:space="preserve">Movement between organisations was reported to be </w:t>
      </w:r>
      <w:r w:rsidR="00DB12D8" w:rsidRPr="000E0F37">
        <w:t xml:space="preserve">easy </w:t>
      </w:r>
      <w:r w:rsidR="00FF0737" w:rsidRPr="000E0F37">
        <w:t xml:space="preserve">by </w:t>
      </w:r>
      <w:r w:rsidRPr="000E0F37">
        <w:t>46% of researchers</w:t>
      </w:r>
      <w:r w:rsidR="008752C1" w:rsidRPr="000E0F37">
        <w:t>, with 16% reporting movement as difficult</w:t>
      </w:r>
      <w:r w:rsidRPr="000E0F37">
        <w:t xml:space="preserve">. </w:t>
      </w:r>
      <w:r w:rsidRPr="00DE2A83">
        <w:t>While many researchers find their skills transferable and see opportunities for career advancement, they also face significant challenges related to administrative processes, funding continuity, and adapting to new organisational cultures. The ease of transition often depends on individual adaptability and the level of support provided by the new organisation.</w:t>
      </w:r>
      <w:r w:rsidRPr="000E0F37">
        <w:t xml:space="preserve"> Non-traditional researchers are more likely to work across both research and non-research roles. </w:t>
      </w:r>
    </w:p>
    <w:p w14:paraId="78F2F5B3" w14:textId="3E3BE747" w:rsidR="003B5174" w:rsidRDefault="003B5174" w:rsidP="00064AB7">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22</w:t>
      </w:r>
      <w:r w:rsidR="00333748">
        <w:rPr>
          <w:noProof/>
        </w:rPr>
        <w:fldChar w:fldCharType="end"/>
      </w:r>
      <w:r>
        <w:t xml:space="preserve">: </w:t>
      </w:r>
      <w:r w:rsidRPr="000352ED">
        <w:t>Researchers working in research and non-research roles (proportion of the active researchers</w:t>
      </w:r>
      <w:r>
        <w:t>)</w:t>
      </w:r>
      <w:r w:rsidRPr="003B5174">
        <w:rPr>
          <w:rStyle w:val="FootnoteReference"/>
        </w:rPr>
        <w:t xml:space="preserve"> </w:t>
      </w:r>
      <w:r>
        <w:rPr>
          <w:rStyle w:val="FootnoteReference"/>
        </w:rPr>
        <w:footnoteReference w:id="45"/>
      </w:r>
    </w:p>
    <w:tbl>
      <w:tblPr>
        <w:tblStyle w:val="TableGrid"/>
        <w:tblW w:w="0" w:type="auto"/>
        <w:tblLook w:val="04A0" w:firstRow="1" w:lastRow="0" w:firstColumn="1" w:lastColumn="0" w:noHBand="0" w:noVBand="1"/>
      </w:tblPr>
      <w:tblGrid>
        <w:gridCol w:w="9752"/>
      </w:tblGrid>
      <w:tr w:rsidR="008F67FD" w14:paraId="20678AB4" w14:textId="77777777" w:rsidTr="008F67FD">
        <w:tc>
          <w:tcPr>
            <w:tcW w:w="9742" w:type="dxa"/>
            <w:tcBorders>
              <w:top w:val="single" w:sz="4" w:space="0" w:color="auto"/>
              <w:left w:val="nil"/>
              <w:bottom w:val="single" w:sz="4" w:space="0" w:color="auto"/>
              <w:right w:val="nil"/>
            </w:tcBorders>
          </w:tcPr>
          <w:p w14:paraId="666DE142" w14:textId="326CF8B4" w:rsidR="008F67FD" w:rsidRDefault="008F67FD" w:rsidP="008F67FD">
            <w:r>
              <w:rPr>
                <w:noProof/>
                <w:lang w:val="en-GB"/>
              </w:rPr>
              <w:drawing>
                <wp:inline distT="0" distB="0" distL="0" distR="0" wp14:anchorId="198DE011" wp14:editId="3B3D0A77">
                  <wp:extent cx="6217230" cy="2198908"/>
                  <wp:effectExtent l="0" t="0" r="0" b="0"/>
                  <wp:docPr id="1156772474" name="Picture 52" descr="Chart illustrating the proportion of active researchers working in research and non-research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72474" name="Picture 52" descr="Chart illustrating the proportion of active researchers working in research and non-research ro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8418" cy="2206402"/>
                          </a:xfrm>
                          <a:prstGeom prst="rect">
                            <a:avLst/>
                          </a:prstGeom>
                          <a:noFill/>
                        </pic:spPr>
                      </pic:pic>
                    </a:graphicData>
                  </a:graphic>
                </wp:inline>
              </w:drawing>
            </w:r>
          </w:p>
        </w:tc>
      </w:tr>
    </w:tbl>
    <w:p w14:paraId="17AC62F2" w14:textId="77777777" w:rsidR="008F67FD" w:rsidRPr="00083CE0" w:rsidRDefault="008F67FD" w:rsidP="00083CE0">
      <w:bookmarkStart w:id="52" w:name="_Toc175208718"/>
      <w:r w:rsidRPr="00083CE0">
        <w:br w:type="page"/>
      </w:r>
    </w:p>
    <w:p w14:paraId="63611DD9" w14:textId="3EC7F26F" w:rsidR="00960F3E" w:rsidRDefault="00960F3E" w:rsidP="002A1E4F">
      <w:pPr>
        <w:pStyle w:val="Heading2"/>
      </w:pPr>
      <w:bookmarkStart w:id="53" w:name="_Toc178009088"/>
      <w:r w:rsidRPr="002A1E4F">
        <w:lastRenderedPageBreak/>
        <w:t xml:space="preserve">Skills from research are transferable with analytical and critical thinking and problem solving the most </w:t>
      </w:r>
      <w:r w:rsidRPr="00960F3E">
        <w:t>useful skills</w:t>
      </w:r>
      <w:bookmarkEnd w:id="52"/>
      <w:bookmarkEnd w:id="53"/>
    </w:p>
    <w:p w14:paraId="1CE85293" w14:textId="7209F2B9" w:rsidR="00960F3E" w:rsidRPr="00960F3E" w:rsidRDefault="009133D8" w:rsidP="00661C15">
      <w:pPr>
        <w:pStyle w:val="BodyText"/>
      </w:pPr>
      <w:r w:rsidRPr="009133D8">
        <w:t>The high transferability of research skills across organi</w:t>
      </w:r>
      <w:r>
        <w:t>s</w:t>
      </w:r>
      <w:r w:rsidRPr="009133D8">
        <w:t xml:space="preserve">ations </w:t>
      </w:r>
      <w:r>
        <w:t>highlights</w:t>
      </w:r>
      <w:r w:rsidRPr="009133D8">
        <w:t xml:space="preserve"> the HMR sector's role as a</w:t>
      </w:r>
      <w:r w:rsidR="00B93C30">
        <w:t xml:space="preserve">n </w:t>
      </w:r>
      <w:r w:rsidRPr="009133D8">
        <w:t>incubator for developing talent for the broader Australian workforce</w:t>
      </w:r>
      <w:r>
        <w:t xml:space="preserve">. </w:t>
      </w:r>
      <w:r w:rsidR="00A835F8">
        <w:t xml:space="preserve">When assessing the </w:t>
      </w:r>
      <w:r w:rsidR="00A835F8" w:rsidRPr="00960F3E">
        <w:rPr>
          <w:lang w:val="en-GB"/>
        </w:rPr>
        <w:t>transferability of research skills</w:t>
      </w:r>
      <w:r w:rsidR="00A835F8">
        <w:rPr>
          <w:lang w:val="en-GB"/>
        </w:rPr>
        <w:t>,</w:t>
      </w:r>
      <w:r w:rsidR="00A835F8" w:rsidRPr="00960F3E">
        <w:rPr>
          <w:lang w:val="en-GB"/>
        </w:rPr>
        <w:t xml:space="preserve"> </w:t>
      </w:r>
      <w:r w:rsidR="00983231" w:rsidRPr="00960F3E">
        <w:rPr>
          <w:lang w:val="en-GB"/>
        </w:rPr>
        <w:t>7</w:t>
      </w:r>
      <w:r w:rsidR="00983231">
        <w:rPr>
          <w:lang w:val="en-GB"/>
        </w:rPr>
        <w:t>5</w:t>
      </w:r>
      <w:r w:rsidR="00960F3E" w:rsidRPr="00960F3E">
        <w:rPr>
          <w:lang w:val="en-GB"/>
        </w:rPr>
        <w:t xml:space="preserve">% of researchers </w:t>
      </w:r>
      <w:r w:rsidR="00A835F8">
        <w:rPr>
          <w:lang w:val="en-GB"/>
        </w:rPr>
        <w:t>said it was</w:t>
      </w:r>
      <w:r w:rsidR="00960F3E" w:rsidRPr="00960F3E">
        <w:rPr>
          <w:lang w:val="en-GB"/>
        </w:rPr>
        <w:t xml:space="preserve"> very easy or easy to transfer when moving across organisations. Those who have left research were more likely to say their research skills were transferable when moving across organisations. This suggests that the research sector is an important sector for developing capabilities of the broader Australian workforce.</w:t>
      </w:r>
      <w:r w:rsidR="003C3073">
        <w:rPr>
          <w:lang w:val="en-GB"/>
        </w:rPr>
        <w:t xml:space="preserve"> </w:t>
      </w:r>
    </w:p>
    <w:p w14:paraId="540DC809" w14:textId="7E2BA209" w:rsidR="00960F3E" w:rsidRPr="002A1E4F" w:rsidRDefault="00960F3E" w:rsidP="00155141">
      <w:pPr>
        <w:pStyle w:val="BodyText"/>
      </w:pPr>
      <w:r w:rsidRPr="00960F3E">
        <w:t xml:space="preserve">Researchers who have moved between organisations in their career reported would </w:t>
      </w:r>
      <w:r w:rsidR="00CD4EFE">
        <w:t xml:space="preserve">they </w:t>
      </w:r>
      <w:r w:rsidRPr="00960F3E">
        <w:t xml:space="preserve">have </w:t>
      </w:r>
      <w:r w:rsidR="00CD4EFE">
        <w:t xml:space="preserve">most </w:t>
      </w:r>
      <w:r w:rsidRPr="00960F3E">
        <w:t xml:space="preserve">liked to have </w:t>
      </w:r>
      <w:r w:rsidR="00830A26">
        <w:t>m</w:t>
      </w:r>
      <w:proofErr w:type="spellStart"/>
      <w:r w:rsidRPr="00960F3E">
        <w:rPr>
          <w:lang w:val="en-GB"/>
        </w:rPr>
        <w:t>anagement</w:t>
      </w:r>
      <w:proofErr w:type="spellEnd"/>
      <w:r w:rsidRPr="00960F3E">
        <w:rPr>
          <w:lang w:val="en-GB"/>
        </w:rPr>
        <w:t xml:space="preserve"> or leadership skills</w:t>
      </w:r>
      <w:r w:rsidR="00830A26">
        <w:rPr>
          <w:lang w:val="en-GB"/>
        </w:rPr>
        <w:t>, c</w:t>
      </w:r>
      <w:r w:rsidRPr="00960F3E">
        <w:rPr>
          <w:lang w:val="en-GB"/>
        </w:rPr>
        <w:t>ommunication skills</w:t>
      </w:r>
      <w:r w:rsidR="00830A26">
        <w:rPr>
          <w:lang w:val="en-GB"/>
        </w:rPr>
        <w:t>, s</w:t>
      </w:r>
      <w:r w:rsidRPr="00960F3E">
        <w:rPr>
          <w:lang w:val="en-GB"/>
        </w:rPr>
        <w:t>tatistical or data analysis skills</w:t>
      </w:r>
      <w:r w:rsidR="00830A26">
        <w:rPr>
          <w:lang w:val="en-GB"/>
        </w:rPr>
        <w:t>, f</w:t>
      </w:r>
      <w:r w:rsidRPr="00960F3E">
        <w:rPr>
          <w:lang w:val="en-GB"/>
        </w:rPr>
        <w:t xml:space="preserve">inancial or budgeting skills </w:t>
      </w:r>
      <w:r w:rsidR="00155141">
        <w:rPr>
          <w:lang w:val="en-GB"/>
        </w:rPr>
        <w:t>and n</w:t>
      </w:r>
      <w:r w:rsidRPr="00960F3E">
        <w:rPr>
          <w:lang w:val="en-GB"/>
        </w:rPr>
        <w:t>etworking skills</w:t>
      </w:r>
      <w:r w:rsidR="00155141">
        <w:rPr>
          <w:lang w:val="en-GB"/>
        </w:rPr>
        <w:t>.</w:t>
      </w:r>
      <w:r w:rsidRPr="00960F3E">
        <w:rPr>
          <w:lang w:val="en-GB"/>
        </w:rPr>
        <w:t xml:space="preserve">  </w:t>
      </w:r>
    </w:p>
    <w:p w14:paraId="5B951624" w14:textId="653D7318" w:rsidR="00B0704B" w:rsidRDefault="00B0704B"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23</w:t>
      </w:r>
      <w:r w:rsidR="00333748">
        <w:rPr>
          <w:noProof/>
        </w:rPr>
        <w:fldChar w:fldCharType="end"/>
      </w:r>
      <w:r>
        <w:t xml:space="preserve">: </w:t>
      </w:r>
      <w:r w:rsidRPr="000734A2">
        <w:t xml:space="preserve">Skills from research that </w:t>
      </w:r>
      <w:r w:rsidR="000B52F3">
        <w:t xml:space="preserve">have </w:t>
      </w:r>
      <w:r w:rsidRPr="000734A2">
        <w:t>been the most useful when moving across different organisations (proportion of researchers who had worked in an organisation other than their current organisation)</w:t>
      </w:r>
      <w:r>
        <w:rPr>
          <w:rStyle w:val="FootnoteReference"/>
        </w:rPr>
        <w:footnoteReference w:id="46"/>
      </w:r>
    </w:p>
    <w:tbl>
      <w:tblPr>
        <w:tblStyle w:val="TableGrid"/>
        <w:tblW w:w="0" w:type="auto"/>
        <w:tblLook w:val="04A0" w:firstRow="1" w:lastRow="0" w:firstColumn="1" w:lastColumn="0" w:noHBand="0" w:noVBand="1"/>
      </w:tblPr>
      <w:tblGrid>
        <w:gridCol w:w="9752"/>
      </w:tblGrid>
      <w:tr w:rsidR="0027719E" w14:paraId="60D7A632" w14:textId="77777777" w:rsidTr="00E21C8C">
        <w:tc>
          <w:tcPr>
            <w:tcW w:w="9752" w:type="dxa"/>
            <w:tcBorders>
              <w:top w:val="single" w:sz="4" w:space="0" w:color="auto"/>
              <w:left w:val="nil"/>
              <w:bottom w:val="nil"/>
              <w:right w:val="nil"/>
            </w:tcBorders>
          </w:tcPr>
          <w:p w14:paraId="32862F77" w14:textId="164F6CEF" w:rsidR="0027719E" w:rsidRDefault="00770F46" w:rsidP="0027719E">
            <w:r>
              <w:rPr>
                <w:noProof/>
              </w:rPr>
              <w:drawing>
                <wp:inline distT="0" distB="0" distL="0" distR="0" wp14:anchorId="484DBF56" wp14:editId="0362F49A">
                  <wp:extent cx="6080907" cy="3830419"/>
                  <wp:effectExtent l="0" t="0" r="0" b="0"/>
                  <wp:docPr id="1236906282" name="Picture 19" descr="Graph illustrating the skills researchers have found most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6282" name="Picture 19" descr="Graph illustrating the skills researchers have found most usefu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811" cy="3840437"/>
                          </a:xfrm>
                          <a:prstGeom prst="rect">
                            <a:avLst/>
                          </a:prstGeom>
                          <a:noFill/>
                        </pic:spPr>
                      </pic:pic>
                    </a:graphicData>
                  </a:graphic>
                </wp:inline>
              </w:drawing>
            </w:r>
          </w:p>
        </w:tc>
      </w:tr>
      <w:tr w:rsidR="00E21C8C" w14:paraId="74131AE8" w14:textId="77777777" w:rsidTr="00E21C8C">
        <w:tc>
          <w:tcPr>
            <w:tcW w:w="9752" w:type="dxa"/>
            <w:tcBorders>
              <w:top w:val="nil"/>
              <w:left w:val="nil"/>
              <w:bottom w:val="nil"/>
              <w:right w:val="nil"/>
            </w:tcBorders>
            <w:shd w:val="clear" w:color="auto" w:fill="E8EDF1" w:themeFill="accent3" w:themeFillTint="33"/>
          </w:tcPr>
          <w:p w14:paraId="44C5D1EC" w14:textId="5E1D394C" w:rsidR="00E21C8C" w:rsidRDefault="0059693B" w:rsidP="00305BCF">
            <w:pPr>
              <w:pStyle w:val="BodyText"/>
              <w:rPr>
                <w:highlight w:val="yellow"/>
              </w:rPr>
            </w:pPr>
            <w:bookmarkStart w:id="54" w:name="_Toc175208719"/>
            <w:r>
              <w:t xml:space="preserve">Workforce </w:t>
            </w:r>
            <w:r w:rsidR="00BF4FF7">
              <w:t>movements</w:t>
            </w:r>
            <w:r>
              <w:t xml:space="preserve"> between and in and out of the health and medical research workforce </w:t>
            </w:r>
            <w:r w:rsidR="00F92170">
              <w:t xml:space="preserve">show </w:t>
            </w:r>
            <w:r w:rsidR="00FE44EE">
              <w:t xml:space="preserve">job and sector transitions which have not previously been mapped. </w:t>
            </w:r>
            <w:r w:rsidR="00E903E6">
              <w:t xml:space="preserve">Understanding the transitions </w:t>
            </w:r>
            <w:r w:rsidR="00273F3E">
              <w:t xml:space="preserve">allows for more effective </w:t>
            </w:r>
            <w:r w:rsidR="00802280">
              <w:t>planning and decision making</w:t>
            </w:r>
            <w:r w:rsidR="003A5D64">
              <w:t xml:space="preserve">. These findings also demonstrate the positive impact that the health and medical research workforce has on training </w:t>
            </w:r>
            <w:r w:rsidR="007F4A49">
              <w:t>individuals who go on to work in a range of areas of the Australian economy.</w:t>
            </w:r>
          </w:p>
        </w:tc>
      </w:tr>
    </w:tbl>
    <w:p w14:paraId="35B0433C" w14:textId="64FDA126" w:rsidR="00960F3E" w:rsidRDefault="00206560" w:rsidP="002E01A8">
      <w:pPr>
        <w:pStyle w:val="Heading1"/>
      </w:pPr>
      <w:bookmarkStart w:id="55" w:name="_Toc178009089"/>
      <w:bookmarkEnd w:id="54"/>
      <w:r>
        <w:t xml:space="preserve">Chapter 3: </w:t>
      </w:r>
      <w:r w:rsidRPr="00502993">
        <w:rPr>
          <w:bCs/>
        </w:rPr>
        <w:t>Workforce motivations</w:t>
      </w:r>
      <w:bookmarkEnd w:id="55"/>
    </w:p>
    <w:tbl>
      <w:tblPr>
        <w:tblStyle w:val="TableGrid"/>
        <w:tblW w:w="0" w:type="auto"/>
        <w:tblLook w:val="04A0" w:firstRow="1" w:lastRow="0" w:firstColumn="1" w:lastColumn="0" w:noHBand="0" w:noVBand="1"/>
      </w:tblPr>
      <w:tblGrid>
        <w:gridCol w:w="9742"/>
      </w:tblGrid>
      <w:tr w:rsidR="00206560" w14:paraId="30FAA504" w14:textId="77777777" w:rsidTr="00206560">
        <w:tc>
          <w:tcPr>
            <w:tcW w:w="9742" w:type="dxa"/>
            <w:tcBorders>
              <w:top w:val="nil"/>
              <w:left w:val="nil"/>
              <w:bottom w:val="nil"/>
              <w:right w:val="nil"/>
            </w:tcBorders>
            <w:shd w:val="clear" w:color="auto" w:fill="E8EDF1" w:themeFill="accent3" w:themeFillTint="33"/>
          </w:tcPr>
          <w:p w14:paraId="6B10A600" w14:textId="0EDAEB18" w:rsidR="00206560" w:rsidRDefault="00206560" w:rsidP="00206560">
            <w:pPr>
              <w:pStyle w:val="Heading2"/>
            </w:pPr>
            <w:bookmarkStart w:id="56" w:name="_Toc178009090"/>
            <w:r w:rsidRPr="00206560">
              <w:lastRenderedPageBreak/>
              <w:t xml:space="preserve">Key finding: </w:t>
            </w:r>
            <w:r>
              <w:t>P</w:t>
            </w:r>
            <w:r w:rsidRPr="00206560">
              <w:t>assion for research and impact on society attract and retain researchers but funding and job security are key challenges and reasons for leaving the sector</w:t>
            </w:r>
            <w:bookmarkEnd w:id="56"/>
          </w:p>
          <w:p w14:paraId="4181F0AB" w14:textId="309B9A1E" w:rsidR="0063325D" w:rsidRPr="0063325D" w:rsidRDefault="0063325D" w:rsidP="00E142D3">
            <w:pPr>
              <w:pStyle w:val="BodyText"/>
              <w:rPr>
                <w:lang w:val="en-GB"/>
              </w:rPr>
            </w:pPr>
            <w:r w:rsidRPr="0063325D">
              <w:rPr>
                <w:lang w:val="en-GB"/>
              </w:rPr>
              <w:t xml:space="preserve">This section delves into the factors driving recruitment, retention, and attrition within Australia's health and medical research sector. Passion for research and societal impact emerge as the primary motivators, attracting 78% of traditional and 70% of non-traditional researchers to their roles. However, significant disparities in job security exist, with 55% of traditional researchers on fixed-term or casual contracts compared to 31% of non-traditional researchers. Funding sources vary between sectors, with </w:t>
            </w:r>
            <w:r w:rsidR="00D809F8">
              <w:rPr>
                <w:lang w:val="en-GB"/>
              </w:rPr>
              <w:t>Federal Government grants the most common for</w:t>
            </w:r>
            <w:r w:rsidRPr="0063325D">
              <w:rPr>
                <w:lang w:val="en-GB"/>
              </w:rPr>
              <w:t xml:space="preserve"> traditional researchers, while </w:t>
            </w:r>
            <w:r w:rsidR="00545666">
              <w:rPr>
                <w:lang w:val="en-GB"/>
              </w:rPr>
              <w:t xml:space="preserve">institutional and </w:t>
            </w:r>
            <w:r w:rsidRPr="0063325D">
              <w:rPr>
                <w:lang w:val="en-GB"/>
              </w:rPr>
              <w:t xml:space="preserve">private sector funding </w:t>
            </w:r>
            <w:r w:rsidR="00545666">
              <w:rPr>
                <w:lang w:val="en-GB"/>
              </w:rPr>
              <w:t>are prominent</w:t>
            </w:r>
            <w:r w:rsidRPr="0063325D">
              <w:rPr>
                <w:lang w:val="en-GB"/>
              </w:rPr>
              <w:t xml:space="preserve"> </w:t>
            </w:r>
            <w:r w:rsidR="00545666">
              <w:rPr>
                <w:lang w:val="en-GB"/>
              </w:rPr>
              <w:t xml:space="preserve">for </w:t>
            </w:r>
            <w:r w:rsidRPr="0063325D">
              <w:rPr>
                <w:lang w:val="en-GB"/>
              </w:rPr>
              <w:t xml:space="preserve">non-traditional </w:t>
            </w:r>
            <w:r w:rsidR="00545666">
              <w:rPr>
                <w:lang w:val="en-GB"/>
              </w:rPr>
              <w:t>researchers</w:t>
            </w:r>
            <w:r w:rsidRPr="0063325D">
              <w:rPr>
                <w:lang w:val="en-GB"/>
              </w:rPr>
              <w:t>. Th</w:t>
            </w:r>
            <w:r w:rsidR="008C1677">
              <w:rPr>
                <w:lang w:val="en-GB"/>
              </w:rPr>
              <w:t xml:space="preserve">is chapter covers </w:t>
            </w:r>
            <w:r w:rsidRPr="0063325D">
              <w:rPr>
                <w:lang w:val="en-GB"/>
              </w:rPr>
              <w:t xml:space="preserve">challenges, with 72% of traditional researchers citing lack of funding as their </w:t>
            </w:r>
            <w:r w:rsidR="002711FC">
              <w:rPr>
                <w:lang w:val="en-GB"/>
              </w:rPr>
              <w:t>greatest challen</w:t>
            </w:r>
            <w:r w:rsidR="003C0497">
              <w:rPr>
                <w:lang w:val="en-GB"/>
              </w:rPr>
              <w:t>ge</w:t>
            </w:r>
            <w:r w:rsidRPr="0063325D">
              <w:rPr>
                <w:lang w:val="en-GB"/>
              </w:rPr>
              <w:t xml:space="preserve">, followed closely by job insecurity. These factors contribute to high potential </w:t>
            </w:r>
            <w:r w:rsidR="001F0C86">
              <w:rPr>
                <w:lang w:val="en-GB"/>
              </w:rPr>
              <w:t>job departure</w:t>
            </w:r>
            <w:r w:rsidR="001F0C86" w:rsidRPr="0063325D">
              <w:rPr>
                <w:lang w:val="en-GB"/>
              </w:rPr>
              <w:t xml:space="preserve"> </w:t>
            </w:r>
            <w:r w:rsidRPr="0063325D">
              <w:rPr>
                <w:lang w:val="en-GB"/>
              </w:rPr>
              <w:t>rates, with 75% of traditional and 65% of non-traditional researchers having considered leaving the field. For those who have left, career advancement opportunities (cited by over 50%) and workplace reasons were the primary drivers for traditional and non-traditional researchers, respectively.</w:t>
            </w:r>
          </w:p>
        </w:tc>
      </w:tr>
    </w:tbl>
    <w:p w14:paraId="2D1234B7" w14:textId="77777777" w:rsidR="00B93C30" w:rsidRPr="00083CE0" w:rsidRDefault="00B93C30" w:rsidP="00083CE0">
      <w:bookmarkStart w:id="57" w:name="_Toc175208720"/>
    </w:p>
    <w:p w14:paraId="113AEF92" w14:textId="77777777" w:rsidR="00B93C30" w:rsidRPr="00083CE0" w:rsidRDefault="00B93C30" w:rsidP="00083CE0">
      <w:r w:rsidRPr="00083CE0">
        <w:br w:type="page"/>
      </w:r>
    </w:p>
    <w:p w14:paraId="6AE14630" w14:textId="2E7D1FD5" w:rsidR="00960F3E" w:rsidRDefault="00960F3E" w:rsidP="00206560">
      <w:pPr>
        <w:pStyle w:val="Heading2"/>
      </w:pPr>
      <w:bookmarkStart w:id="58" w:name="_Toc178009091"/>
      <w:r w:rsidRPr="00960F3E">
        <w:lastRenderedPageBreak/>
        <w:t>Researchers are attracted to and remain in their roles due to a passion for research and impact on society</w:t>
      </w:r>
      <w:bookmarkEnd w:id="57"/>
      <w:bookmarkEnd w:id="58"/>
    </w:p>
    <w:p w14:paraId="48F389B5" w14:textId="379A5AAF" w:rsidR="00960F3E" w:rsidRDefault="003325D3" w:rsidP="00661C15">
      <w:pPr>
        <w:pStyle w:val="BodyText"/>
      </w:pPr>
      <w:r w:rsidRPr="003325D3">
        <w:t>The primary motivators for entering and remaining in the HMR sector are intrinsic, with passion for research and societal impact driving both recruitment and retention, though some differences emerge between traditional and non-traditional researchers' priorities.</w:t>
      </w:r>
      <w:r>
        <w:t xml:space="preserve"> </w:t>
      </w:r>
      <w:r w:rsidR="00960F3E" w:rsidRPr="00960F3E">
        <w:t xml:space="preserve">Passion for research and impact on society are given as the main factors which attract individuals to a role in research. It is also the most common reason why researchers stay in research. </w:t>
      </w:r>
      <w:r w:rsidR="00144018">
        <w:t xml:space="preserve">A higher proportion of </w:t>
      </w:r>
      <w:r w:rsidR="00B61C71">
        <w:t>non-</w:t>
      </w:r>
      <w:r w:rsidR="00144018">
        <w:t>traditional researchers reported</w:t>
      </w:r>
      <w:r w:rsidR="00DC5D1E">
        <w:t xml:space="preserve"> </w:t>
      </w:r>
      <w:r w:rsidR="00B61C71">
        <w:t>opportunities for advancement (31% compared to 25%</w:t>
      </w:r>
      <w:r w:rsidR="002711FC">
        <w:t xml:space="preserve"> for traditional researchers</w:t>
      </w:r>
      <w:r w:rsidR="00B61C71">
        <w:t>) and financial stability (22% compared to 14%</w:t>
      </w:r>
      <w:r w:rsidR="002711FC">
        <w:t xml:space="preserve"> for traditional researchers</w:t>
      </w:r>
      <w:r w:rsidR="00B61C71">
        <w:t xml:space="preserve">) </w:t>
      </w:r>
      <w:r w:rsidR="00B92A6D">
        <w:t>as</w:t>
      </w:r>
      <w:r w:rsidR="00B61C71">
        <w:t xml:space="preserve"> the factors which attracted them to their research roles. </w:t>
      </w:r>
    </w:p>
    <w:p w14:paraId="08B01E56" w14:textId="451D1AE5" w:rsidR="006C2DA1" w:rsidRDefault="006C2DA1" w:rsidP="006C2DA1">
      <w:pPr>
        <w:pStyle w:val="IntenseQuote"/>
      </w:pPr>
      <w:r>
        <w:rPr>
          <w:lang w:val="en-GB"/>
        </w:rPr>
        <w:t>“</w:t>
      </w:r>
      <w:r w:rsidRPr="006C2DA1">
        <w:rPr>
          <w:lang w:val="en-GB"/>
        </w:rPr>
        <w:t>I love research and feel I am able to make a positive contribution to my field.</w:t>
      </w:r>
      <w:r>
        <w:t>”</w:t>
      </w:r>
    </w:p>
    <w:p w14:paraId="0182FA56" w14:textId="259296DC" w:rsidR="00286FDA" w:rsidRDefault="00286FDA"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24</w:t>
      </w:r>
      <w:r w:rsidR="00333748">
        <w:rPr>
          <w:noProof/>
        </w:rPr>
        <w:fldChar w:fldCharType="end"/>
      </w:r>
      <w:r>
        <w:t>:</w:t>
      </w:r>
      <w:r w:rsidRPr="001005A5">
        <w:t xml:space="preserve"> Factors that attracted researchers to their current role (</w:t>
      </w:r>
      <w:r w:rsidR="008A7BC4">
        <w:t>p</w:t>
      </w:r>
      <w:r w:rsidRPr="001005A5">
        <w:t>roportion of current researchers)</w:t>
      </w:r>
      <w:r>
        <w:rPr>
          <w:rStyle w:val="FootnoteReference"/>
        </w:rPr>
        <w:footnoteReference w:id="47"/>
      </w:r>
    </w:p>
    <w:tbl>
      <w:tblPr>
        <w:tblStyle w:val="TableGrid"/>
        <w:tblW w:w="0" w:type="auto"/>
        <w:tblLook w:val="04A0" w:firstRow="1" w:lastRow="0" w:firstColumn="1" w:lastColumn="0" w:noHBand="0" w:noVBand="1"/>
      </w:tblPr>
      <w:tblGrid>
        <w:gridCol w:w="9752"/>
      </w:tblGrid>
      <w:tr w:rsidR="0027719E" w14:paraId="705E63DE" w14:textId="77777777" w:rsidTr="0027719E">
        <w:tc>
          <w:tcPr>
            <w:tcW w:w="9742" w:type="dxa"/>
            <w:tcBorders>
              <w:top w:val="single" w:sz="4" w:space="0" w:color="auto"/>
              <w:left w:val="nil"/>
              <w:bottom w:val="single" w:sz="4" w:space="0" w:color="auto"/>
              <w:right w:val="nil"/>
            </w:tcBorders>
          </w:tcPr>
          <w:p w14:paraId="7E2BC62B" w14:textId="594900C6" w:rsidR="0027719E" w:rsidRDefault="0027719E" w:rsidP="0027719E">
            <w:r>
              <w:rPr>
                <w:noProof/>
              </w:rPr>
              <w:drawing>
                <wp:inline distT="0" distB="0" distL="0" distR="0" wp14:anchorId="60AF7F8C" wp14:editId="165A6242">
                  <wp:extent cx="6063175" cy="3840944"/>
                  <wp:effectExtent l="0" t="0" r="0" b="0"/>
                  <wp:docPr id="1218913991" name="Picture 39" descr="Chart illustrating factors that attracted researchers to their curren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13991" name="Picture 39" descr="Chart illustrating factors that attracted researchers to their current ro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7636" cy="3850105"/>
                          </a:xfrm>
                          <a:prstGeom prst="rect">
                            <a:avLst/>
                          </a:prstGeom>
                          <a:noFill/>
                        </pic:spPr>
                      </pic:pic>
                    </a:graphicData>
                  </a:graphic>
                </wp:inline>
              </w:drawing>
            </w:r>
          </w:p>
        </w:tc>
      </w:tr>
    </w:tbl>
    <w:p w14:paraId="37F5D93D" w14:textId="77777777" w:rsidR="002711FC" w:rsidRDefault="002711FC" w:rsidP="00661C15">
      <w:pPr>
        <w:pStyle w:val="BodyText"/>
        <w:rPr>
          <w:lang w:val="en-GB"/>
        </w:rPr>
      </w:pPr>
    </w:p>
    <w:p w14:paraId="0F98660D" w14:textId="77777777" w:rsidR="002711FC" w:rsidRDefault="002711FC">
      <w:pPr>
        <w:spacing w:before="0" w:after="0" w:line="240" w:lineRule="auto"/>
        <w:rPr>
          <w:color w:val="001C55" w:themeColor="text2"/>
          <w:lang w:val="en-GB"/>
        </w:rPr>
      </w:pPr>
      <w:r>
        <w:rPr>
          <w:lang w:val="en-GB"/>
        </w:rPr>
        <w:br w:type="page"/>
      </w:r>
    </w:p>
    <w:p w14:paraId="0D109FAB" w14:textId="6D9BDDC9" w:rsidR="003E31D4" w:rsidRDefault="003E31D4" w:rsidP="00661C15">
      <w:pPr>
        <w:pStyle w:val="BodyText"/>
        <w:rPr>
          <w:lang w:val="en-GB"/>
        </w:rPr>
      </w:pPr>
      <w:r>
        <w:rPr>
          <w:lang w:val="en-GB"/>
        </w:rPr>
        <w:lastRenderedPageBreak/>
        <w:t>Passion for research is the most common reason why traditional researchers remain in their research role</w:t>
      </w:r>
      <w:r w:rsidR="009F5BA8">
        <w:rPr>
          <w:lang w:val="en-GB"/>
        </w:rPr>
        <w:t xml:space="preserve">. Impact on society was the most common reason given by non-traditional researchers </w:t>
      </w:r>
      <w:r w:rsidR="000A0E51">
        <w:rPr>
          <w:lang w:val="en-GB"/>
        </w:rPr>
        <w:t xml:space="preserve">when asked about their motivations to stay in their research role. </w:t>
      </w:r>
      <w:r w:rsidR="0026792A">
        <w:rPr>
          <w:lang w:val="en-GB"/>
        </w:rPr>
        <w:t>Another notable difference in motivations between the two is that more non-traditional researchers cited job satisfaction as a motivat</w:t>
      </w:r>
      <w:r w:rsidR="007D356C">
        <w:rPr>
          <w:lang w:val="en-GB"/>
        </w:rPr>
        <w:t xml:space="preserve">or to stay in their role, with 57% </w:t>
      </w:r>
      <w:r w:rsidR="008B2293">
        <w:rPr>
          <w:lang w:val="en-GB"/>
        </w:rPr>
        <w:t xml:space="preserve">giving it as a reason compared to 47% for traditional researchers. As is the case with the factors which attract researchers to their roles, career advancement opportunities and financial stability were the least common motivations to remain in a research role. </w:t>
      </w:r>
    </w:p>
    <w:p w14:paraId="0BC53644" w14:textId="6C5F2A75" w:rsidR="00B63D30" w:rsidRPr="00B63D30" w:rsidRDefault="00B63D30" w:rsidP="00B63D30">
      <w:pPr>
        <w:pStyle w:val="IntenseQuote"/>
      </w:pPr>
      <w:r>
        <w:t>“</w:t>
      </w:r>
      <w:r w:rsidRPr="00E74C83">
        <w:t>It's interesting and allow me to learn at the same time, to be a better clinician and I feel like I'm indirectly helping relevant patients</w:t>
      </w:r>
      <w:r>
        <w:t>.”</w:t>
      </w:r>
    </w:p>
    <w:p w14:paraId="3DA30AAA" w14:textId="3A289918" w:rsidR="000E55D9" w:rsidRDefault="000E55D9"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25</w:t>
      </w:r>
      <w:r w:rsidR="00333748">
        <w:rPr>
          <w:noProof/>
        </w:rPr>
        <w:fldChar w:fldCharType="end"/>
      </w:r>
      <w:r>
        <w:t xml:space="preserve">: </w:t>
      </w:r>
      <w:r w:rsidRPr="00032551">
        <w:t>Motivation to stay in a research role (proportion of active researchers)</w:t>
      </w:r>
      <w:r>
        <w:rPr>
          <w:rStyle w:val="FootnoteReference"/>
        </w:rPr>
        <w:footnoteReference w:id="48"/>
      </w:r>
    </w:p>
    <w:tbl>
      <w:tblPr>
        <w:tblStyle w:val="TableGrid"/>
        <w:tblW w:w="0" w:type="auto"/>
        <w:tblLook w:val="04A0" w:firstRow="1" w:lastRow="0" w:firstColumn="1" w:lastColumn="0" w:noHBand="0" w:noVBand="1"/>
      </w:tblPr>
      <w:tblGrid>
        <w:gridCol w:w="9742"/>
      </w:tblGrid>
      <w:tr w:rsidR="00661C15" w14:paraId="34C5141D" w14:textId="77777777" w:rsidTr="00661C15">
        <w:tc>
          <w:tcPr>
            <w:tcW w:w="9742" w:type="dxa"/>
            <w:tcBorders>
              <w:top w:val="single" w:sz="4" w:space="0" w:color="auto"/>
              <w:left w:val="nil"/>
              <w:bottom w:val="single" w:sz="4" w:space="0" w:color="auto"/>
              <w:right w:val="nil"/>
            </w:tcBorders>
          </w:tcPr>
          <w:p w14:paraId="43DA9CFB" w14:textId="075475A4" w:rsidR="00661C15" w:rsidRDefault="00661C15" w:rsidP="00661C15">
            <w:r>
              <w:rPr>
                <w:noProof/>
                <w:lang w:val="en-GB"/>
              </w:rPr>
              <w:drawing>
                <wp:inline distT="0" distB="0" distL="0" distR="0" wp14:anchorId="4E31BE03" wp14:editId="31924A16">
                  <wp:extent cx="6037675" cy="3933483"/>
                  <wp:effectExtent l="0" t="0" r="0" b="0"/>
                  <wp:docPr id="134623824" name="Picture 41" descr="Chart illustrating active researchers' motivation to stay in a research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3824" name="Picture 41" descr="Chart illustrating active researchers' motivation to stay in a research ro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1767" cy="3942664"/>
                          </a:xfrm>
                          <a:prstGeom prst="rect">
                            <a:avLst/>
                          </a:prstGeom>
                          <a:noFill/>
                        </pic:spPr>
                      </pic:pic>
                    </a:graphicData>
                  </a:graphic>
                </wp:inline>
              </w:drawing>
            </w:r>
          </w:p>
        </w:tc>
      </w:tr>
    </w:tbl>
    <w:p w14:paraId="4403F561" w14:textId="58F7B499" w:rsidR="003C68EB" w:rsidRDefault="003C68EB" w:rsidP="00661C15">
      <w:pPr>
        <w:pStyle w:val="BodyText"/>
        <w:rPr>
          <w:b/>
          <w:bCs/>
        </w:rPr>
      </w:pPr>
      <w:r w:rsidRPr="00960F3E">
        <w:t xml:space="preserve">For those who have not considered leaving research, the general sentiment about a career in research is positive. </w:t>
      </w:r>
      <w:r>
        <w:t xml:space="preserve">When asked why they had not considered leaving research, </w:t>
      </w:r>
      <w:r>
        <w:rPr>
          <w:lang w:val="en-GB"/>
        </w:rPr>
        <w:t>p</w:t>
      </w:r>
      <w:r w:rsidRPr="00960F3E">
        <w:rPr>
          <w:lang w:val="en-GB"/>
        </w:rPr>
        <w:t xml:space="preserve">assion and enjoyment </w:t>
      </w:r>
      <w:r>
        <w:rPr>
          <w:lang w:val="en-GB"/>
        </w:rPr>
        <w:t>was</w:t>
      </w:r>
      <w:r w:rsidRPr="00960F3E">
        <w:rPr>
          <w:lang w:val="en-GB"/>
        </w:rPr>
        <w:t xml:space="preserve"> the most common theme, representing nearly half of all responses. Impact and contribution </w:t>
      </w:r>
      <w:proofErr w:type="gramStart"/>
      <w:r w:rsidRPr="00960F3E">
        <w:rPr>
          <w:lang w:val="en-GB"/>
        </w:rPr>
        <w:t>is</w:t>
      </w:r>
      <w:proofErr w:type="gramEnd"/>
      <w:r w:rsidRPr="00960F3E">
        <w:rPr>
          <w:lang w:val="en-GB"/>
        </w:rPr>
        <w:t xml:space="preserve"> the second most common theme, indicating that many researchers are driven by the desire to make a difference in their field or society.</w:t>
      </w:r>
      <w:bookmarkStart w:id="59" w:name="_Toc175208721"/>
    </w:p>
    <w:p w14:paraId="28A3D4B7" w14:textId="77777777" w:rsidR="00315C88" w:rsidRDefault="00315C88">
      <w:pPr>
        <w:spacing w:before="0" w:after="0" w:line="240" w:lineRule="auto"/>
        <w:rPr>
          <w:rFonts w:eastAsiaTheme="majorEastAsia"/>
          <w:b/>
          <w:bCs/>
          <w:color w:val="001C55" w:themeColor="text2"/>
          <w:sz w:val="32"/>
          <w:szCs w:val="32"/>
          <w:lang w:val="en-GB"/>
        </w:rPr>
      </w:pPr>
      <w:r>
        <w:br w:type="page"/>
      </w:r>
    </w:p>
    <w:p w14:paraId="059959D9" w14:textId="28643DCE" w:rsidR="004D1BFB" w:rsidRDefault="004D1BFB" w:rsidP="003C68EB">
      <w:pPr>
        <w:pStyle w:val="Heading2"/>
      </w:pPr>
      <w:bookmarkStart w:id="60" w:name="_Toc178009092"/>
      <w:r w:rsidRPr="004D1BFB">
        <w:lastRenderedPageBreak/>
        <w:t>Traditional researchers are more likely to be on fixed term or casual contracts</w:t>
      </w:r>
      <w:bookmarkEnd w:id="59"/>
      <w:bookmarkEnd w:id="60"/>
    </w:p>
    <w:p w14:paraId="0B410A0E" w14:textId="6F296FB1" w:rsidR="004D1BFB" w:rsidRDefault="00066A9C" w:rsidP="00661C15">
      <w:pPr>
        <w:pStyle w:val="BodyText"/>
      </w:pPr>
      <w:r w:rsidRPr="00066A9C">
        <w:t>Job insecurity, characteri</w:t>
      </w:r>
      <w:r>
        <w:t>s</w:t>
      </w:r>
      <w:r w:rsidRPr="00066A9C">
        <w:t>ed by prevalent short-term contracts, emerges as a significant challenge in the HMR sector, particularly affecting traditional researchers and persisting throughout their careers.</w:t>
      </w:r>
      <w:r>
        <w:t xml:space="preserve"> </w:t>
      </w:r>
      <w:r w:rsidR="004D1BFB" w:rsidRPr="004D1BFB">
        <w:t xml:space="preserve">Existing literature about the health and medical research workforce has found that short-term contracts are common, with job insecurity often cited as a challenge to ongoing employment in the sector. According to Research Australia, </w:t>
      </w:r>
      <w:r w:rsidR="00B52B8B">
        <w:t>55</w:t>
      </w:r>
      <w:r w:rsidR="004D1BFB" w:rsidRPr="004D1BFB">
        <w:t>% health and medical researchers are employed on contract</w:t>
      </w:r>
      <w:r w:rsidR="002D08DE">
        <w:t xml:space="preserve">, with </w:t>
      </w:r>
      <w:r w:rsidR="004D1BFB" w:rsidRPr="004D1BFB">
        <w:t>12 month</w:t>
      </w:r>
      <w:r w:rsidR="002D08DE">
        <w:t xml:space="preserve"> contracts the most common</w:t>
      </w:r>
      <w:r w:rsidR="004D1BFB" w:rsidRPr="004D1BFB">
        <w:t>.</w:t>
      </w:r>
      <w:r w:rsidR="00977321">
        <w:rPr>
          <w:rStyle w:val="FootnoteReference"/>
        </w:rPr>
        <w:footnoteReference w:id="49"/>
      </w:r>
    </w:p>
    <w:p w14:paraId="42F41EFD" w14:textId="334F643E" w:rsidR="00C20EBD" w:rsidRDefault="00C20EBD" w:rsidP="00C20EBD">
      <w:pPr>
        <w:pStyle w:val="IntenseQuote"/>
      </w:pPr>
      <w:r>
        <w:t>“</w:t>
      </w:r>
      <w:r w:rsidRPr="00C20EBD">
        <w:t>Temporary contracts make it difficult to attract and retain staff</w:t>
      </w:r>
      <w:r>
        <w:t>”</w:t>
      </w:r>
    </w:p>
    <w:p w14:paraId="1C37A50A" w14:textId="7786534B" w:rsidR="004D1BFB" w:rsidRDefault="004D1BFB" w:rsidP="00661C15">
      <w:pPr>
        <w:pStyle w:val="BodyText"/>
      </w:pPr>
      <w:r w:rsidRPr="004D1BFB">
        <w:t xml:space="preserve">Fixed term and casual contracts are common across the workforce, especially for traditional researchers. Traditional researchers are more likely to be employed in fixed-term role, compared to non-traditional researchers. </w:t>
      </w:r>
      <w:r w:rsidR="00EA27D7">
        <w:t>For t</w:t>
      </w:r>
      <w:r w:rsidR="00EA27D7" w:rsidRPr="004D1BFB">
        <w:t>raditional researchers</w:t>
      </w:r>
      <w:r w:rsidR="00EA27D7">
        <w:t>,</w:t>
      </w:r>
      <w:r w:rsidR="00EA27D7" w:rsidRPr="004D1BFB">
        <w:t xml:space="preserve"> </w:t>
      </w:r>
      <w:r w:rsidRPr="004D1BFB">
        <w:t>5</w:t>
      </w:r>
      <w:r w:rsidR="0098378D">
        <w:t>5</w:t>
      </w:r>
      <w:r w:rsidRPr="004D1BFB">
        <w:t>% are on fixed-term or casual contacts compared to 3</w:t>
      </w:r>
      <w:r w:rsidR="0098378D">
        <w:t>1</w:t>
      </w:r>
      <w:r w:rsidRPr="004D1BFB">
        <w:t xml:space="preserve">% for non-traditional researchers. </w:t>
      </w:r>
      <w:r w:rsidR="0049480C">
        <w:t xml:space="preserve">There is a </w:t>
      </w:r>
      <w:r w:rsidR="005B4FAD">
        <w:t xml:space="preserve">lower proportion of researchers across both </w:t>
      </w:r>
      <w:r w:rsidR="00B07274">
        <w:t xml:space="preserve">types on permanent </w:t>
      </w:r>
      <w:r w:rsidR="00432AA5">
        <w:t>full time</w:t>
      </w:r>
      <w:r w:rsidR="002D31D7">
        <w:t xml:space="preserve"> (64%)</w:t>
      </w:r>
      <w:r w:rsidR="00432AA5">
        <w:t xml:space="preserve"> and part time</w:t>
      </w:r>
      <w:r w:rsidR="002D31D7">
        <w:t xml:space="preserve"> (13%)</w:t>
      </w:r>
      <w:r w:rsidR="00432AA5">
        <w:t xml:space="preserve"> </w:t>
      </w:r>
      <w:r w:rsidR="00F71D37">
        <w:t xml:space="preserve">contracts compared to </w:t>
      </w:r>
      <w:r w:rsidR="00C859D8">
        <w:t>the professional, scientific and technical services sector.</w:t>
      </w:r>
      <w:r w:rsidR="00C859D8">
        <w:rPr>
          <w:rStyle w:val="FootnoteReference"/>
        </w:rPr>
        <w:footnoteReference w:id="50"/>
      </w:r>
    </w:p>
    <w:p w14:paraId="539D5F43" w14:textId="526BB33C" w:rsidR="008E6147" w:rsidRDefault="008E6147"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26</w:t>
      </w:r>
      <w:r w:rsidR="00333748">
        <w:rPr>
          <w:noProof/>
        </w:rPr>
        <w:fldChar w:fldCharType="end"/>
      </w:r>
      <w:r>
        <w:t xml:space="preserve">: </w:t>
      </w:r>
      <w:r w:rsidRPr="00C371DE">
        <w:t>Type of employment contract (</w:t>
      </w:r>
      <w:r w:rsidR="00EA27D7">
        <w:t>p</w:t>
      </w:r>
      <w:r w:rsidR="00EA27D7" w:rsidRPr="00C371DE">
        <w:t xml:space="preserve">roportion </w:t>
      </w:r>
      <w:r w:rsidRPr="00C371DE">
        <w:t>of current researchers)</w:t>
      </w:r>
      <w:r>
        <w:rPr>
          <w:rStyle w:val="FootnoteReference"/>
        </w:rPr>
        <w:footnoteReference w:id="51"/>
      </w:r>
    </w:p>
    <w:tbl>
      <w:tblPr>
        <w:tblStyle w:val="TableGrid"/>
        <w:tblW w:w="0" w:type="auto"/>
        <w:tblLook w:val="04A0" w:firstRow="1" w:lastRow="0" w:firstColumn="1" w:lastColumn="0" w:noHBand="0" w:noVBand="1"/>
      </w:tblPr>
      <w:tblGrid>
        <w:gridCol w:w="9742"/>
      </w:tblGrid>
      <w:tr w:rsidR="00661C15" w14:paraId="6AF3CE1B" w14:textId="77777777" w:rsidTr="00661C15">
        <w:tc>
          <w:tcPr>
            <w:tcW w:w="9742" w:type="dxa"/>
            <w:tcBorders>
              <w:top w:val="single" w:sz="4" w:space="0" w:color="auto"/>
              <w:left w:val="nil"/>
              <w:bottom w:val="single" w:sz="4" w:space="0" w:color="auto"/>
              <w:right w:val="nil"/>
            </w:tcBorders>
          </w:tcPr>
          <w:p w14:paraId="103C0E0D" w14:textId="68E38052" w:rsidR="00661C15" w:rsidRDefault="00661C15" w:rsidP="00661C15">
            <w:r>
              <w:rPr>
                <w:noProof/>
              </w:rPr>
              <w:drawing>
                <wp:inline distT="0" distB="0" distL="0" distR="0" wp14:anchorId="7ABEABA4" wp14:editId="7DDCEDF8">
                  <wp:extent cx="5409864" cy="3594100"/>
                  <wp:effectExtent l="0" t="0" r="0" b="0"/>
                  <wp:docPr id="449669443" name="Picture 43" descr="Graph illustrating current researchers' type of employment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69443" name="Picture 43" descr="Graph illustrating current researchers' type of employment contra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4197" cy="3610266"/>
                          </a:xfrm>
                          <a:prstGeom prst="rect">
                            <a:avLst/>
                          </a:prstGeom>
                          <a:noFill/>
                        </pic:spPr>
                      </pic:pic>
                    </a:graphicData>
                  </a:graphic>
                </wp:inline>
              </w:drawing>
            </w:r>
          </w:p>
        </w:tc>
      </w:tr>
    </w:tbl>
    <w:p w14:paraId="7630009C" w14:textId="2EA6C2AF" w:rsidR="009C3901" w:rsidRDefault="009C3901" w:rsidP="002A1E4F">
      <w:pPr>
        <w:pStyle w:val="IntenseQuote"/>
      </w:pPr>
      <w:r>
        <w:rPr>
          <w:lang w:val="en-GB"/>
        </w:rPr>
        <w:lastRenderedPageBreak/>
        <w:t>“</w:t>
      </w:r>
      <w:r w:rsidRPr="00084D98">
        <w:rPr>
          <w:lang w:val="en-GB"/>
        </w:rPr>
        <w:t>I have concerns for job security for women, and availability to access paid parental leave with fixed term contracts</w:t>
      </w:r>
      <w:r>
        <w:rPr>
          <w:lang w:val="en-GB"/>
        </w:rPr>
        <w:t>”</w:t>
      </w:r>
    </w:p>
    <w:p w14:paraId="367B1119" w14:textId="7C17F334" w:rsidR="008924B7" w:rsidRDefault="008924B7" w:rsidP="00661C15">
      <w:pPr>
        <w:pStyle w:val="BodyText"/>
      </w:pPr>
      <w:r>
        <w:t xml:space="preserve">Researchers are also likely to remain on fixed term or casual contracts for a significant period of their career. </w:t>
      </w:r>
      <w:r w:rsidR="00B92D3A">
        <w:t xml:space="preserve">Out of the traditional researchers who are on fixed term or casual contracts, </w:t>
      </w:r>
      <w:r w:rsidR="001E2496">
        <w:t xml:space="preserve">53% </w:t>
      </w:r>
      <w:r w:rsidR="008172F9">
        <w:t>have been working in health and medical research for more than 10 years.</w:t>
      </w:r>
      <w:r w:rsidR="000F5AA7">
        <w:t xml:space="preserve"> </w:t>
      </w:r>
      <w:r w:rsidR="00C239EA">
        <w:t xml:space="preserve">For the traditional researchers who are on permanent contracts, 38% have under 10 years of experience in the workforce. </w:t>
      </w:r>
      <w:r w:rsidR="0047361A">
        <w:t xml:space="preserve">This indicates there are a limited number of </w:t>
      </w:r>
      <w:r w:rsidR="00977632">
        <w:t xml:space="preserve">permanent contracts in traditional research </w:t>
      </w:r>
      <w:r w:rsidR="00836699">
        <w:t xml:space="preserve">roles, especially for those with fewer years’ experience in the workforce. </w:t>
      </w:r>
    </w:p>
    <w:p w14:paraId="0AE555A6" w14:textId="55763879" w:rsidR="00591768" w:rsidRDefault="00591768" w:rsidP="002A1E4F">
      <w:pPr>
        <w:pStyle w:val="IntenseQuote"/>
      </w:pPr>
      <w:r>
        <w:t>“</w:t>
      </w:r>
      <w:r w:rsidRPr="00591768">
        <w:t>The unstable and stressful employment - I've been on 1-year contracts my entire career.</w:t>
      </w:r>
      <w:r>
        <w:t>”</w:t>
      </w:r>
      <w:r w:rsidRPr="00591768">
        <w:t xml:space="preserve"> – Female, 45–54-year-old</w:t>
      </w:r>
    </w:p>
    <w:p w14:paraId="3A0E2F34" w14:textId="5C743E39" w:rsidR="002560E9" w:rsidRPr="00661C15" w:rsidRDefault="00A835F8" w:rsidP="00661C15">
      <w:pPr>
        <w:pStyle w:val="BodyText"/>
      </w:pPr>
      <w:r>
        <w:t>A</w:t>
      </w:r>
      <w:r w:rsidRPr="004D1BFB">
        <w:t>cross both sectors</w:t>
      </w:r>
      <w:r>
        <w:t>,</w:t>
      </w:r>
      <w:r w:rsidRPr="004D1BFB">
        <w:t xml:space="preserve"> </w:t>
      </w:r>
      <w:r w:rsidR="00BC1AF9" w:rsidRPr="004D1BFB">
        <w:t>3</w:t>
      </w:r>
      <w:r w:rsidR="00BC1AF9">
        <w:t>6</w:t>
      </w:r>
      <w:r w:rsidR="00BC1AF9" w:rsidRPr="004D1BFB">
        <w:t>% of researchers have more than one job. Holding more than one job is slightly more common for the non-traditional workforce, with 3</w:t>
      </w:r>
      <w:r w:rsidR="00BC1AF9">
        <w:t>9</w:t>
      </w:r>
      <w:r w:rsidR="00BC1AF9" w:rsidRPr="004D1BFB">
        <w:t>% compared to 34% for the traditional workforce. The most common types of additional jobs for traditional researchers are academic or teaching roles. For non-traditional researchers, the most common type of additional jobs are roles in clinical practice such as a physician. It is more common for men to hold more than one job than females, with 40% of men who are active researchers holding more than one job compared to 3</w:t>
      </w:r>
      <w:r w:rsidR="00BC1AF9">
        <w:t>3</w:t>
      </w:r>
      <w:r w:rsidR="00BC1AF9" w:rsidRPr="004D1BFB">
        <w:t xml:space="preserve">% of women. </w:t>
      </w:r>
    </w:p>
    <w:p w14:paraId="38DEE297" w14:textId="77777777" w:rsidR="00661C15" w:rsidRDefault="00661C15">
      <w:pPr>
        <w:spacing w:before="0" w:after="0" w:line="240" w:lineRule="auto"/>
        <w:rPr>
          <w:rFonts w:eastAsiaTheme="majorEastAsia"/>
          <w:b/>
          <w:bCs/>
          <w:color w:val="001C55" w:themeColor="text2"/>
          <w:sz w:val="32"/>
          <w:szCs w:val="32"/>
          <w:lang w:val="en-GB"/>
        </w:rPr>
      </w:pPr>
      <w:bookmarkStart w:id="61" w:name="_Toc175208722"/>
      <w:r>
        <w:br w:type="page"/>
      </w:r>
    </w:p>
    <w:p w14:paraId="21494D6F" w14:textId="294B4E3B" w:rsidR="004D1BFB" w:rsidRDefault="004D1BFB" w:rsidP="002A1E4F">
      <w:pPr>
        <w:pStyle w:val="Heading2"/>
      </w:pPr>
      <w:bookmarkStart w:id="62" w:name="_Toc178009093"/>
      <w:r w:rsidRPr="004D1BFB">
        <w:lastRenderedPageBreak/>
        <w:t xml:space="preserve">Federal government grants are the most </w:t>
      </w:r>
      <w:r w:rsidR="00AA2EC6">
        <w:t xml:space="preserve">common </w:t>
      </w:r>
      <w:r w:rsidRPr="004D1BFB">
        <w:t>funding for traditional researchers, with institutional funding the most common for non-traditional</w:t>
      </w:r>
      <w:bookmarkEnd w:id="61"/>
      <w:bookmarkEnd w:id="62"/>
    </w:p>
    <w:p w14:paraId="0440423E" w14:textId="1356809C" w:rsidR="008F3E77" w:rsidRDefault="008F3E77" w:rsidP="00661C15">
      <w:pPr>
        <w:pStyle w:val="BodyText"/>
      </w:pPr>
      <w:r w:rsidRPr="008F3E77">
        <w:t xml:space="preserve">The funding landscape </w:t>
      </w:r>
      <w:r>
        <w:t>varies</w:t>
      </w:r>
      <w:r w:rsidRPr="008F3E77">
        <w:t xml:space="preserve"> between traditional and non-traditional sectors, with government grants dominating the former and private sector </w:t>
      </w:r>
      <w:r w:rsidR="002441A5">
        <w:t>and inst</w:t>
      </w:r>
      <w:r w:rsidR="00E61836">
        <w:t xml:space="preserve">itutional </w:t>
      </w:r>
      <w:r w:rsidRPr="008F3E77">
        <w:t xml:space="preserve">funding </w:t>
      </w:r>
      <w:r w:rsidR="00E61836">
        <w:t>common</w:t>
      </w:r>
      <w:r w:rsidRPr="008F3E77">
        <w:t xml:space="preserve"> in the latter, while also highlighting gender disparities in grant leadership roles.</w:t>
      </w:r>
    </w:p>
    <w:p w14:paraId="604BE232" w14:textId="3D545E53" w:rsidR="004D1BFB" w:rsidRPr="004D1BFB" w:rsidRDefault="004D1BFB" w:rsidP="00661C15">
      <w:pPr>
        <w:pStyle w:val="BodyText"/>
      </w:pPr>
      <w:r w:rsidRPr="004D1BFB">
        <w:t>Federal Government grants are the most common source of funding for traditional researchers. This is followed by institutional funding. The top three most common federal government grants that supported traditional researchers are NHMRC (</w:t>
      </w:r>
      <w:r w:rsidR="00837CEA">
        <w:t>68</w:t>
      </w:r>
      <w:r w:rsidRPr="004D1BFB">
        <w:t>%), MRFF (</w:t>
      </w:r>
      <w:r w:rsidR="00837CEA">
        <w:t>42</w:t>
      </w:r>
      <w:r w:rsidR="00AA2EC6" w:rsidRPr="004D1BFB">
        <w:t>%)</w:t>
      </w:r>
      <w:r w:rsidR="00AA2EC6">
        <w:t xml:space="preserve"> and</w:t>
      </w:r>
      <w:r w:rsidR="00AA2EC6" w:rsidRPr="004D1BFB">
        <w:t xml:space="preserve"> </w:t>
      </w:r>
      <w:r w:rsidRPr="004D1BFB">
        <w:t>ARC (</w:t>
      </w:r>
      <w:r w:rsidR="00837CEA">
        <w:t>12</w:t>
      </w:r>
      <w:r w:rsidR="00AA2EC6">
        <w:t>%)</w:t>
      </w:r>
      <w:r w:rsidRPr="004D1BFB">
        <w:t>.</w:t>
      </w:r>
      <w:r w:rsidR="00230A52">
        <w:rPr>
          <w:rStyle w:val="FootnoteReference"/>
        </w:rPr>
        <w:footnoteReference w:id="52"/>
      </w:r>
      <w:r w:rsidRPr="004D1BFB">
        <w:t xml:space="preserve"> </w:t>
      </w:r>
      <w:r w:rsidR="00E46F2E">
        <w:t>Survey d</w:t>
      </w:r>
      <w:r w:rsidR="00BD70D9" w:rsidRPr="009A3E90">
        <w:t>ata from the MRFF suggests that each grant supports on average 7.7 positions</w:t>
      </w:r>
      <w:r w:rsidR="00BD70D9">
        <w:t>.</w:t>
      </w:r>
      <w:r w:rsidR="003B3561">
        <w:rPr>
          <w:rStyle w:val="FootnoteReference"/>
        </w:rPr>
        <w:footnoteReference w:id="53"/>
      </w:r>
    </w:p>
    <w:p w14:paraId="5A318AA7" w14:textId="47EAE8FA" w:rsidR="004D1BFB" w:rsidRPr="004D1BFB" w:rsidRDefault="00E47F27" w:rsidP="00661C15">
      <w:pPr>
        <w:pStyle w:val="BodyText"/>
      </w:pPr>
      <w:r>
        <w:t>Institutional and p</w:t>
      </w:r>
      <w:r w:rsidR="004D1BFB" w:rsidRPr="004D1BFB">
        <w:t xml:space="preserve">rivate sector funding </w:t>
      </w:r>
      <w:r>
        <w:t>are</w:t>
      </w:r>
      <w:r w:rsidRPr="004D1BFB">
        <w:t xml:space="preserve"> </w:t>
      </w:r>
      <w:r w:rsidR="004D1BFB" w:rsidRPr="004D1BFB">
        <w:t>the most common type of funding for non-traditional researchers. Non-traditional researchers are less likely than traditional researchers to cit</w:t>
      </w:r>
      <w:r w:rsidR="00B61F3E">
        <w:t>e</w:t>
      </w:r>
      <w:r w:rsidR="004D1BFB" w:rsidRPr="004D1BFB">
        <w:t xml:space="preserve"> a lack of funding as a challenge they faced in their research role. </w:t>
      </w:r>
    </w:p>
    <w:p w14:paraId="049A33FF" w14:textId="4F4EDE04" w:rsidR="005C5132" w:rsidRDefault="004D1BFB" w:rsidP="00661C15">
      <w:pPr>
        <w:pStyle w:val="BodyText"/>
        <w:rPr>
          <w:lang w:val="en-GB"/>
        </w:rPr>
      </w:pPr>
      <w:r w:rsidRPr="004D1BFB">
        <w:t>The primary source for on-costs</w:t>
      </w:r>
      <w:r w:rsidR="006B6676">
        <w:t xml:space="preserve">, </w:t>
      </w:r>
      <w:r w:rsidRPr="004D1BFB">
        <w:t>such as leave entitlements</w:t>
      </w:r>
      <w:r w:rsidR="006B6676">
        <w:t>,</w:t>
      </w:r>
      <w:r w:rsidR="006B6676" w:rsidRPr="004D1BFB">
        <w:t xml:space="preserve"> </w:t>
      </w:r>
      <w:r w:rsidRPr="004D1BFB">
        <w:t xml:space="preserve">for the traditional research sector are grants, scholarships or fellowships. For the non-traditional sector it is self-funded or private funding, with </w:t>
      </w:r>
      <w:r w:rsidRPr="004D1BFB">
        <w:rPr>
          <w:lang w:val="en-GB"/>
        </w:rPr>
        <w:t>industry and pharmaceutical company funding prominent</w:t>
      </w:r>
      <w:r w:rsidRPr="004D1BFB">
        <w:t xml:space="preserve">. The overall sentiment of responses related to funding on-costs is </w:t>
      </w:r>
      <w:r w:rsidRPr="004D1BFB">
        <w:rPr>
          <w:lang w:val="en-GB"/>
        </w:rPr>
        <w:t xml:space="preserve">that there is a significant reliance on self-funding and private sources, which may indicate challenges in securing funding for on-costs. </w:t>
      </w:r>
    </w:p>
    <w:p w14:paraId="020626F6" w14:textId="669435D1" w:rsidR="006C6989" w:rsidRDefault="006C6989" w:rsidP="005C5132">
      <w:pPr>
        <w:pStyle w:val="Caption"/>
      </w:pPr>
      <w:r>
        <w:t xml:space="preserve">Figure </w:t>
      </w:r>
      <w:r w:rsidR="00333748">
        <w:fldChar w:fldCharType="begin"/>
      </w:r>
      <w:r w:rsidR="00333748">
        <w:instrText xml:space="preserve"> SEQ Figure \* ARABIC </w:instrText>
      </w:r>
      <w:r w:rsidR="00333748">
        <w:fldChar w:fldCharType="separate"/>
      </w:r>
      <w:r w:rsidR="00496859">
        <w:rPr>
          <w:noProof/>
        </w:rPr>
        <w:t>27</w:t>
      </w:r>
      <w:r w:rsidR="00333748">
        <w:rPr>
          <w:noProof/>
        </w:rPr>
        <w:fldChar w:fldCharType="end"/>
      </w:r>
      <w:r>
        <w:t>: Primary source of funding for a research position (Proportion of current researchers)</w:t>
      </w:r>
      <w:r>
        <w:rPr>
          <w:rStyle w:val="FootnoteReference"/>
        </w:rPr>
        <w:footnoteReference w:id="54"/>
      </w:r>
    </w:p>
    <w:tbl>
      <w:tblPr>
        <w:tblStyle w:val="TableGrid"/>
        <w:tblW w:w="0" w:type="auto"/>
        <w:tblLook w:val="04A0" w:firstRow="1" w:lastRow="0" w:firstColumn="1" w:lastColumn="0" w:noHBand="0" w:noVBand="1"/>
      </w:tblPr>
      <w:tblGrid>
        <w:gridCol w:w="9742"/>
      </w:tblGrid>
      <w:tr w:rsidR="00661C15" w14:paraId="0655C7AE" w14:textId="77777777" w:rsidTr="00661C15">
        <w:tc>
          <w:tcPr>
            <w:tcW w:w="9742" w:type="dxa"/>
            <w:tcBorders>
              <w:top w:val="single" w:sz="4" w:space="0" w:color="auto"/>
              <w:left w:val="nil"/>
              <w:bottom w:val="single" w:sz="4" w:space="0" w:color="auto"/>
              <w:right w:val="nil"/>
            </w:tcBorders>
          </w:tcPr>
          <w:p w14:paraId="2BD786A9" w14:textId="22022091" w:rsidR="00661C15" w:rsidRDefault="00E42729" w:rsidP="00661C15">
            <w:r>
              <w:rPr>
                <w:noProof/>
              </w:rPr>
              <w:drawing>
                <wp:inline distT="0" distB="0" distL="0" distR="0" wp14:anchorId="68523DC6" wp14:editId="17AB31FF">
                  <wp:extent cx="6049127" cy="3034778"/>
                  <wp:effectExtent l="0" t="0" r="0" b="0"/>
                  <wp:docPr id="220018470" name="Picture 12" descr="Chart illustrating current researchers' primary source of funding for a research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18470" name="Picture 12" descr="Chart illustrating current researchers' primary source of funding for a research posi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3150" cy="3041813"/>
                          </a:xfrm>
                          <a:prstGeom prst="rect">
                            <a:avLst/>
                          </a:prstGeom>
                          <a:noFill/>
                        </pic:spPr>
                      </pic:pic>
                    </a:graphicData>
                  </a:graphic>
                </wp:inline>
              </w:drawing>
            </w:r>
          </w:p>
        </w:tc>
      </w:tr>
    </w:tbl>
    <w:p w14:paraId="58F83F61" w14:textId="77777777" w:rsidR="00661C15" w:rsidRPr="00661C15" w:rsidRDefault="00661C15" w:rsidP="00661C15"/>
    <w:p w14:paraId="7C4DD19A" w14:textId="175E3D5A" w:rsidR="00DA0C79" w:rsidRDefault="003D3DC8" w:rsidP="00661C15">
      <w:pPr>
        <w:pStyle w:val="BodyText"/>
      </w:pPr>
      <w:r>
        <w:lastRenderedPageBreak/>
        <w:t xml:space="preserve">Within the research projects which are funded through grants, men are more likely to be in more senior roles. Women are most likely to be funded by someone else’s grant </w:t>
      </w:r>
      <w:r w:rsidR="00031F0F">
        <w:t>as</w:t>
      </w:r>
      <w:r>
        <w:t xml:space="preserve"> a </w:t>
      </w:r>
      <w:r w:rsidR="00031F0F">
        <w:t>non-chief investigator role</w:t>
      </w:r>
      <w:r>
        <w:t xml:space="preserve"> (4</w:t>
      </w:r>
      <w:r w:rsidR="00960CA9">
        <w:t>2</w:t>
      </w:r>
      <w:r>
        <w:t>%)</w:t>
      </w:r>
      <w:r w:rsidR="006B6676">
        <w:t>. M</w:t>
      </w:r>
      <w:r>
        <w:t xml:space="preserve">en are </w:t>
      </w:r>
      <w:r w:rsidR="003A2D10">
        <w:t xml:space="preserve">Lead or Chief Investigator in </w:t>
      </w:r>
      <w:r w:rsidR="000E1A8D">
        <w:t xml:space="preserve">79% of cases, </w:t>
      </w:r>
      <w:r w:rsidR="00C857AC">
        <w:t xml:space="preserve">with more </w:t>
      </w:r>
      <w:r>
        <w:t xml:space="preserve">in a </w:t>
      </w:r>
      <w:r w:rsidR="00031F0F">
        <w:t xml:space="preserve">lead </w:t>
      </w:r>
      <w:r>
        <w:t xml:space="preserve">investigator </w:t>
      </w:r>
      <w:r w:rsidR="00641902">
        <w:t xml:space="preserve">(37% for men, compared to 25% for women) </w:t>
      </w:r>
      <w:r w:rsidR="00031F0F">
        <w:t xml:space="preserve">or </w:t>
      </w:r>
      <w:r>
        <w:t xml:space="preserve">chief investigator role </w:t>
      </w:r>
      <w:r w:rsidR="00C678C7">
        <w:t>(</w:t>
      </w:r>
      <w:r w:rsidR="000346D8">
        <w:t>42</w:t>
      </w:r>
      <w:r w:rsidR="00031F0F">
        <w:t>% for men, compared 32% for women</w:t>
      </w:r>
      <w:r w:rsidR="00C678C7">
        <w:t>)</w:t>
      </w:r>
      <w:r>
        <w:t xml:space="preserve">.   </w:t>
      </w:r>
    </w:p>
    <w:p w14:paraId="63D23516" w14:textId="6D89079C" w:rsidR="005B7AE7" w:rsidRDefault="005B7AE7"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28</w:t>
      </w:r>
      <w:r w:rsidR="00333748">
        <w:rPr>
          <w:noProof/>
        </w:rPr>
        <w:fldChar w:fldCharType="end"/>
      </w:r>
      <w:r w:rsidRPr="006537EF">
        <w:t xml:space="preserve">: Whether a researcher </w:t>
      </w:r>
      <w:r w:rsidR="00E92E38">
        <w:t>i</w:t>
      </w:r>
      <w:r w:rsidRPr="006537EF">
        <w:t xml:space="preserve">s a lead investigator, chief investigator or funded through someone else’s government grant (proportion of </w:t>
      </w:r>
      <w:r w:rsidR="006E39DA">
        <w:t>researchers</w:t>
      </w:r>
      <w:r w:rsidRPr="006537EF">
        <w:t>)</w:t>
      </w:r>
      <w:r>
        <w:rPr>
          <w:rStyle w:val="FootnoteReference"/>
        </w:rPr>
        <w:footnoteReference w:id="55"/>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661C15" w14:paraId="3A8AD6D9" w14:textId="77777777" w:rsidTr="00661C15">
        <w:tc>
          <w:tcPr>
            <w:tcW w:w="9742" w:type="dxa"/>
          </w:tcPr>
          <w:p w14:paraId="050F6463" w14:textId="259A0141" w:rsidR="00661C15" w:rsidRDefault="00960CA9" w:rsidP="00661C15">
            <w:r>
              <w:rPr>
                <w:noProof/>
              </w:rPr>
              <w:drawing>
                <wp:inline distT="0" distB="0" distL="0" distR="0" wp14:anchorId="3D2ECDBA" wp14:editId="3557956F">
                  <wp:extent cx="6086064" cy="3557416"/>
                  <wp:effectExtent l="0" t="0" r="0" b="0"/>
                  <wp:docPr id="568536304" name="Picture 7" descr="Chart illustrating whether a researcher is a lead investigator, chief investigator or funded through someone else's government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6304" name="Picture 7" descr="Chart illustrating whether a researcher is a lead investigator, chief investigator or funded through someone else's government gra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1395" cy="3560532"/>
                          </a:xfrm>
                          <a:prstGeom prst="rect">
                            <a:avLst/>
                          </a:prstGeom>
                          <a:noFill/>
                        </pic:spPr>
                      </pic:pic>
                    </a:graphicData>
                  </a:graphic>
                </wp:inline>
              </w:drawing>
            </w:r>
          </w:p>
        </w:tc>
      </w:tr>
    </w:tbl>
    <w:p w14:paraId="5B2A42C3" w14:textId="77777777" w:rsidR="00661C15" w:rsidRPr="00661C15" w:rsidRDefault="00661C15" w:rsidP="00661C15"/>
    <w:p w14:paraId="78D6293F" w14:textId="036030AE" w:rsidR="003E00F2" w:rsidRDefault="003E00F2" w:rsidP="00DA0C79"/>
    <w:p w14:paraId="44BCC7CF" w14:textId="779422F8" w:rsidR="002560E9" w:rsidRDefault="002560E9">
      <w:pPr>
        <w:spacing w:before="0" w:after="0" w:line="240" w:lineRule="auto"/>
        <w:rPr>
          <w:rFonts w:asciiTheme="majorHAnsi" w:eastAsiaTheme="majorEastAsia" w:hAnsiTheme="majorHAnsi"/>
          <w:b/>
          <w:bCs/>
          <w:color w:val="071A54" w:themeColor="accent1" w:themeShade="BF"/>
          <w:sz w:val="32"/>
          <w:szCs w:val="32"/>
          <w:lang w:val="en-GB"/>
        </w:rPr>
      </w:pPr>
      <w:r>
        <w:br w:type="page"/>
      </w:r>
    </w:p>
    <w:p w14:paraId="5454E7A9" w14:textId="13EF61E7" w:rsidR="006F6D36" w:rsidRDefault="006F6D36" w:rsidP="0097416E">
      <w:pPr>
        <w:pStyle w:val="Heading2"/>
      </w:pPr>
      <w:bookmarkStart w:id="63" w:name="_Toc175208723"/>
      <w:bookmarkStart w:id="64" w:name="_Toc178009094"/>
      <w:r w:rsidRPr="00944776">
        <w:lastRenderedPageBreak/>
        <w:t>The lack of funding is the most challenging part of research, followed by job security</w:t>
      </w:r>
      <w:bookmarkEnd w:id="63"/>
      <w:bookmarkEnd w:id="64"/>
    </w:p>
    <w:p w14:paraId="4CE7B324" w14:textId="187F0886" w:rsidR="00BE2AB4" w:rsidRDefault="00510B3D" w:rsidP="00661C15">
      <w:pPr>
        <w:pStyle w:val="BodyText"/>
      </w:pPr>
      <w:r w:rsidRPr="00510B3D">
        <w:t>Researchers in the HMR sector face a variety of challenges that impact their career satisfaction and longevity, with differences</w:t>
      </w:r>
      <w:r w:rsidR="00F8214A">
        <w:t xml:space="preserve"> </w:t>
      </w:r>
      <w:r w:rsidRPr="00510B3D">
        <w:t>between traditional and non-traditional</w:t>
      </w:r>
      <w:r w:rsidR="00A955B6">
        <w:t xml:space="preserve"> research environments</w:t>
      </w:r>
      <w:r w:rsidRPr="00510B3D">
        <w:t>.</w:t>
      </w:r>
      <w:r w:rsidR="00A955B6">
        <w:t xml:space="preserve"> </w:t>
      </w:r>
      <w:r w:rsidR="006F6D36">
        <w:t>Both traditional and non-traditional researchers reported a lack of funding as the most challenging part of their research role</w:t>
      </w:r>
      <w:r w:rsidR="008F4C00">
        <w:t xml:space="preserve">. </w:t>
      </w:r>
      <w:r w:rsidR="00E869EC">
        <w:t xml:space="preserve">More traditional researchers reported a lack </w:t>
      </w:r>
      <w:r w:rsidR="008F4C00">
        <w:t xml:space="preserve">of funding as a challenge </w:t>
      </w:r>
      <w:r w:rsidR="00E869EC">
        <w:t>(</w:t>
      </w:r>
      <w:r w:rsidR="008F4C00">
        <w:t>72% compared to 55%</w:t>
      </w:r>
      <w:r w:rsidR="00E869EC">
        <w:t>)</w:t>
      </w:r>
      <w:r w:rsidR="008F4C00">
        <w:t xml:space="preserve">. </w:t>
      </w:r>
      <w:r w:rsidR="00E746A3">
        <w:t xml:space="preserve">Job insecurity is the next more common challenge for traditional researchers. </w:t>
      </w:r>
      <w:r w:rsidR="00BE2AB4" w:rsidRPr="004D1BFB">
        <w:t>With 5</w:t>
      </w:r>
      <w:r w:rsidR="00BE2AB4">
        <w:t>5</w:t>
      </w:r>
      <w:r w:rsidR="00BE2AB4" w:rsidRPr="004D1BFB">
        <w:t>%</w:t>
      </w:r>
      <w:r w:rsidR="00BE2AB4" w:rsidRPr="004D1BFB">
        <w:rPr>
          <w:b/>
          <w:bCs/>
        </w:rPr>
        <w:t xml:space="preserve"> </w:t>
      </w:r>
      <w:r w:rsidR="00BE2AB4" w:rsidRPr="004D1BFB">
        <w:t xml:space="preserve">of traditional researchers on fixed-term contracts, it is unsurprising that job insecurity is a key challenge for researchers. </w:t>
      </w:r>
      <w:r w:rsidR="0091118A">
        <w:t xml:space="preserve">The </w:t>
      </w:r>
      <w:r w:rsidR="00277B1E">
        <w:t xml:space="preserve">most common </w:t>
      </w:r>
      <w:r w:rsidR="0091118A">
        <w:t xml:space="preserve">challenges reported by non-traditional researchers differ </w:t>
      </w:r>
      <w:r w:rsidR="002E1EA2">
        <w:t xml:space="preserve">with </w:t>
      </w:r>
      <w:r w:rsidR="00277B1E">
        <w:t xml:space="preserve">46% reporting </w:t>
      </w:r>
      <w:r w:rsidR="002E1EA2">
        <w:t xml:space="preserve">administrative burden </w:t>
      </w:r>
      <w:r w:rsidR="00277B1E">
        <w:t xml:space="preserve">as </w:t>
      </w:r>
      <w:r w:rsidR="00006E6D">
        <w:t xml:space="preserve">a challenging part of their role. A lower proportion of non-traditional researchers reported job security as a challenge, which aligns with </w:t>
      </w:r>
      <w:r w:rsidR="003C6C95">
        <w:t>more</w:t>
      </w:r>
      <w:r w:rsidR="00006E6D">
        <w:t xml:space="preserve"> non-traditional researchers on </w:t>
      </w:r>
      <w:r w:rsidR="003C6C95">
        <w:t>permanent contracts (</w:t>
      </w:r>
      <w:r w:rsidR="00C35697">
        <w:t>64% compared to 40% for traditional researchers).</w:t>
      </w:r>
    </w:p>
    <w:p w14:paraId="02A0F7A4" w14:textId="2DCF3817" w:rsidR="006E746B" w:rsidRDefault="0073382D" w:rsidP="002A1E4F">
      <w:pPr>
        <w:pStyle w:val="IntenseQuote"/>
      </w:pPr>
      <w:r>
        <w:rPr>
          <w:lang w:val="en-GB"/>
        </w:rPr>
        <w:t>“</w:t>
      </w:r>
      <w:r w:rsidRPr="0073382D">
        <w:rPr>
          <w:lang w:val="en-GB"/>
        </w:rPr>
        <w:t>The uncertain funding situation has pushed so many bright and brilliant researchers into different fields where financial and job stability can be guaranteed.</w:t>
      </w:r>
      <w:r>
        <w:t>”</w:t>
      </w:r>
    </w:p>
    <w:p w14:paraId="3E931D8D" w14:textId="3A8179CC" w:rsidR="00BC1E49" w:rsidRDefault="00BC1E49"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29</w:t>
      </w:r>
      <w:r w:rsidR="00333748">
        <w:rPr>
          <w:noProof/>
        </w:rPr>
        <w:fldChar w:fldCharType="end"/>
      </w:r>
      <w:r w:rsidRPr="00872AD8">
        <w:t>: Aspects current researchers find the most challenging about their roles (</w:t>
      </w:r>
      <w:r w:rsidR="00E6321A">
        <w:t>p</w:t>
      </w:r>
      <w:r w:rsidRPr="00872AD8">
        <w:t>roportion of current researchers</w:t>
      </w:r>
      <w:r w:rsidRPr="00413076">
        <w:t>)</w:t>
      </w:r>
      <w:r>
        <w:rPr>
          <w:rStyle w:val="FootnoteReference"/>
        </w:rPr>
        <w:footnoteReference w:id="56"/>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661C15" w14:paraId="7C58762A" w14:textId="77777777" w:rsidTr="00661C15">
        <w:tc>
          <w:tcPr>
            <w:tcW w:w="9742" w:type="dxa"/>
          </w:tcPr>
          <w:p w14:paraId="7569F13C" w14:textId="37462E15" w:rsidR="00661C15" w:rsidRDefault="00661C15" w:rsidP="00661C15">
            <w:r>
              <w:rPr>
                <w:noProof/>
              </w:rPr>
              <w:drawing>
                <wp:inline distT="0" distB="0" distL="0" distR="0" wp14:anchorId="1A62B3AC" wp14:editId="2A085ED1">
                  <wp:extent cx="6132278" cy="4393444"/>
                  <wp:effectExtent l="0" t="0" r="0" b="0"/>
                  <wp:docPr id="1521027486" name="Picture 51" descr="Charts illustrating aspects that current researchers find the most challenging about thei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27486" name="Picture 51" descr="Charts illustrating aspects that current researchers find the most challenging about their ro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9466" cy="4398594"/>
                          </a:xfrm>
                          <a:prstGeom prst="rect">
                            <a:avLst/>
                          </a:prstGeom>
                          <a:noFill/>
                        </pic:spPr>
                      </pic:pic>
                    </a:graphicData>
                  </a:graphic>
                </wp:inline>
              </w:drawing>
            </w:r>
          </w:p>
        </w:tc>
      </w:tr>
    </w:tbl>
    <w:p w14:paraId="249B5419" w14:textId="1633CCDC" w:rsidR="00BE2AB4" w:rsidRDefault="006E746B" w:rsidP="00CE0887">
      <w:pPr>
        <w:pStyle w:val="IntenseQuote"/>
      </w:pPr>
      <w:r>
        <w:rPr>
          <w:lang w:val="en-GB"/>
        </w:rPr>
        <w:lastRenderedPageBreak/>
        <w:t>“</w:t>
      </w:r>
      <w:r w:rsidRPr="006E746B">
        <w:rPr>
          <w:lang w:val="en-GB"/>
        </w:rPr>
        <w:t>The complete lack of job security as a result of limited funding availability is a major impediment to undertaking and continuing with research.</w:t>
      </w:r>
      <w:r>
        <w:t>”</w:t>
      </w:r>
    </w:p>
    <w:p w14:paraId="55D55C35" w14:textId="55E75DE5" w:rsidR="004D1BFB" w:rsidRDefault="003F1EA8" w:rsidP="00CE0887">
      <w:pPr>
        <w:pStyle w:val="BodyText"/>
      </w:pPr>
      <w:r>
        <w:t xml:space="preserve">Amongst current researchers, </w:t>
      </w:r>
      <w:r w:rsidR="004D1BFB" w:rsidRPr="004D1BFB">
        <w:t xml:space="preserve">75% of traditional and 65% of non-traditional researchers have considered leaving research. </w:t>
      </w:r>
      <w:r w:rsidR="002367E5">
        <w:t xml:space="preserve">This is slightly lower than existing research which found that 83% of </w:t>
      </w:r>
      <w:r w:rsidR="00F559B6">
        <w:t xml:space="preserve">health and </w:t>
      </w:r>
      <w:r w:rsidR="002367E5">
        <w:t>medical researchers have considered leaving research.</w:t>
      </w:r>
      <w:r w:rsidR="00545B0E">
        <w:rPr>
          <w:rStyle w:val="FootnoteReference"/>
        </w:rPr>
        <w:footnoteReference w:id="57"/>
      </w:r>
      <w:r w:rsidR="002367E5">
        <w:t xml:space="preserve"> </w:t>
      </w:r>
      <w:r w:rsidR="004D1BFB" w:rsidRPr="004D1BFB">
        <w:t xml:space="preserve">For those who are considering leaving, </w:t>
      </w:r>
      <w:r w:rsidR="00171270">
        <w:t>financial reasons is most common for traditional researchers with over half of respondents citing it as a reason for considering leaving</w:t>
      </w:r>
      <w:r w:rsidR="004D1BFB" w:rsidRPr="004D1BFB">
        <w:t>. The literature supports this, with one report noting that 91% of researchers consider shortage of funding as an important factor in deciding whether to leave health and medical research.</w:t>
      </w:r>
      <w:r w:rsidR="007060D7">
        <w:rPr>
          <w:rStyle w:val="FootnoteReference"/>
        </w:rPr>
        <w:footnoteReference w:id="58"/>
      </w:r>
      <w:r w:rsidR="00171270">
        <w:t xml:space="preserve"> For non-traditional researchers, financial reasons was still a key reason for considering leaving but was behind workplace reasons as the key reason for considering leaving research.  </w:t>
      </w:r>
    </w:p>
    <w:p w14:paraId="6887C0B7" w14:textId="358F68B2" w:rsidR="00C84F4C" w:rsidRDefault="00C84F4C" w:rsidP="00C84F4C">
      <w:pPr>
        <w:pStyle w:val="IntenseQuote"/>
        <w:rPr>
          <w:lang w:val="en-GB"/>
        </w:rPr>
      </w:pPr>
      <w:r>
        <w:rPr>
          <w:lang w:val="en-GB"/>
        </w:rPr>
        <w:t>“</w:t>
      </w:r>
      <w:r w:rsidRPr="002A1E4F">
        <w:rPr>
          <w:lang w:val="en-GB"/>
        </w:rPr>
        <w:t xml:space="preserve">I love the work and the impact but am always worried about what may happen in the next one to two </w:t>
      </w:r>
      <w:r w:rsidR="00D03886" w:rsidRPr="00D03886">
        <w:rPr>
          <w:lang w:val="en-GB"/>
        </w:rPr>
        <w:t>years and</w:t>
      </w:r>
      <w:r w:rsidRPr="002A1E4F">
        <w:rPr>
          <w:lang w:val="en-GB"/>
        </w:rPr>
        <w:t xml:space="preserve"> am constantly considering when I should </w:t>
      </w:r>
      <w:r>
        <w:rPr>
          <w:lang w:val="en-GB"/>
        </w:rPr>
        <w:t>‘</w:t>
      </w:r>
      <w:r w:rsidRPr="002A1E4F">
        <w:rPr>
          <w:lang w:val="en-GB"/>
        </w:rPr>
        <w:t>jump ship</w:t>
      </w:r>
      <w:r>
        <w:rPr>
          <w:lang w:val="en-GB"/>
        </w:rPr>
        <w:t>’</w:t>
      </w:r>
      <w:r w:rsidRPr="002A1E4F">
        <w:rPr>
          <w:lang w:val="en-GB"/>
        </w:rPr>
        <w:t xml:space="preserve"> and move away from primary research to something more stable.</w:t>
      </w:r>
      <w:r>
        <w:rPr>
          <w:lang w:val="en-GB"/>
        </w:rPr>
        <w:t>”</w:t>
      </w:r>
    </w:p>
    <w:p w14:paraId="4C132AEB" w14:textId="7EEBBEC7" w:rsidR="006E3F48" w:rsidRDefault="006E3F48"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30</w:t>
      </w:r>
      <w:r w:rsidR="00333748">
        <w:rPr>
          <w:noProof/>
        </w:rPr>
        <w:fldChar w:fldCharType="end"/>
      </w:r>
      <w:r>
        <w:t xml:space="preserve">: </w:t>
      </w:r>
      <w:r w:rsidRPr="007073E0">
        <w:t>Reasons for considering leaving research (</w:t>
      </w:r>
      <w:r w:rsidR="00E6321A">
        <w:t>p</w:t>
      </w:r>
      <w:r w:rsidR="00E6321A" w:rsidRPr="007073E0">
        <w:t xml:space="preserve">roportion </w:t>
      </w:r>
      <w:r w:rsidRPr="007073E0">
        <w:t>of current researchers who have considered leaving research)</w:t>
      </w:r>
      <w:r>
        <w:rPr>
          <w:rStyle w:val="FootnoteReference"/>
        </w:rPr>
        <w:footnoteReference w:id="59"/>
      </w:r>
    </w:p>
    <w:tbl>
      <w:tblPr>
        <w:tblStyle w:val="TableGrid"/>
        <w:tblW w:w="0" w:type="auto"/>
        <w:tblLook w:val="04A0" w:firstRow="1" w:lastRow="0" w:firstColumn="1" w:lastColumn="0" w:noHBand="0" w:noVBand="1"/>
      </w:tblPr>
      <w:tblGrid>
        <w:gridCol w:w="9752"/>
      </w:tblGrid>
      <w:tr w:rsidR="00CE0887" w14:paraId="017BDC19" w14:textId="77777777" w:rsidTr="00CE0887">
        <w:tc>
          <w:tcPr>
            <w:tcW w:w="9742" w:type="dxa"/>
            <w:tcBorders>
              <w:top w:val="single" w:sz="4" w:space="0" w:color="auto"/>
              <w:left w:val="nil"/>
              <w:bottom w:val="single" w:sz="4" w:space="0" w:color="auto"/>
              <w:right w:val="nil"/>
            </w:tcBorders>
          </w:tcPr>
          <w:p w14:paraId="5344624C" w14:textId="575E9404" w:rsidR="00CE0887" w:rsidRDefault="00CE0887" w:rsidP="00CE0887">
            <w:r>
              <w:rPr>
                <w:noProof/>
                <w:lang w:val="en-GB"/>
              </w:rPr>
              <w:drawing>
                <wp:inline distT="0" distB="0" distL="0" distR="0" wp14:anchorId="62613B30" wp14:editId="5F22BEE7">
                  <wp:extent cx="6075293" cy="3746156"/>
                  <wp:effectExtent l="0" t="0" r="0" b="0"/>
                  <wp:docPr id="1740684296" name="Picture 48" descr="Graph illustrating current researchers' reasons for considering leav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4296" name="Picture 48" descr="Graph illustrating current researchers' reasons for considering leaving resear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9153" cy="3754703"/>
                          </a:xfrm>
                          <a:prstGeom prst="rect">
                            <a:avLst/>
                          </a:prstGeom>
                          <a:noFill/>
                        </pic:spPr>
                      </pic:pic>
                    </a:graphicData>
                  </a:graphic>
                </wp:inline>
              </w:drawing>
            </w:r>
          </w:p>
        </w:tc>
      </w:tr>
    </w:tbl>
    <w:p w14:paraId="54062106" w14:textId="77777777" w:rsidR="00B41258" w:rsidRPr="00083CE0" w:rsidRDefault="00B41258" w:rsidP="00083CE0">
      <w:bookmarkStart w:id="65" w:name="_Toc175208724"/>
      <w:r w:rsidRPr="00083CE0">
        <w:br w:type="page"/>
      </w:r>
    </w:p>
    <w:p w14:paraId="5731A508" w14:textId="01FCA301" w:rsidR="004D1BFB" w:rsidRDefault="004D1BFB" w:rsidP="00CB70C9">
      <w:pPr>
        <w:pStyle w:val="Heading2"/>
      </w:pPr>
      <w:bookmarkStart w:id="66" w:name="_Toc178009095"/>
      <w:r w:rsidRPr="004D1BFB">
        <w:lastRenderedPageBreak/>
        <w:t>Career advancement opportunities were the main reason</w:t>
      </w:r>
      <w:r w:rsidR="0097564C">
        <w:t xml:space="preserve"> traditional</w:t>
      </w:r>
      <w:r w:rsidRPr="004D1BFB">
        <w:t xml:space="preserve"> researchers left research</w:t>
      </w:r>
      <w:r w:rsidR="000D1284">
        <w:t>, with workplace reasons the most common for non-traditional</w:t>
      </w:r>
      <w:r w:rsidR="0074243E">
        <w:t xml:space="preserve"> researchers</w:t>
      </w:r>
      <w:bookmarkEnd w:id="65"/>
      <w:bookmarkEnd w:id="66"/>
    </w:p>
    <w:p w14:paraId="5704D57F" w14:textId="5553EBC4" w:rsidR="001A39D3" w:rsidRDefault="001A39D3" w:rsidP="00CE0887">
      <w:pPr>
        <w:pStyle w:val="BodyText"/>
      </w:pPr>
      <w:r w:rsidRPr="001A39D3">
        <w:t xml:space="preserve">The decision to leave the HMR sector is driven by a </w:t>
      </w:r>
      <w:r>
        <w:t>range of</w:t>
      </w:r>
      <w:r w:rsidRPr="001A39D3">
        <w:t xml:space="preserve"> factors, with career advancement opportunities and workplace conditions playing pivotal roles for both traditional and non-traditional researchers.</w:t>
      </w:r>
    </w:p>
    <w:p w14:paraId="3FFC2B94" w14:textId="0E0E55F8" w:rsidR="003C2BF9" w:rsidRDefault="003C2BF9" w:rsidP="00CE0887">
      <w:pPr>
        <w:pStyle w:val="BodyText"/>
        <w:rPr>
          <w:lang w:val="en-GB"/>
        </w:rPr>
      </w:pPr>
      <w:r>
        <w:rPr>
          <w:lang w:val="en-GB"/>
        </w:rPr>
        <w:t xml:space="preserve">More than half of the inactive researchers who most recently worked in a traditional research role reported career advancement opportunities as the reason they left their research role. </w:t>
      </w:r>
      <w:r w:rsidR="0069784B">
        <w:rPr>
          <w:lang w:val="en-GB"/>
        </w:rPr>
        <w:t xml:space="preserve">Existing research supports these findings with one report showing </w:t>
      </w:r>
      <w:r w:rsidR="0069784B" w:rsidRPr="0099248A">
        <w:rPr>
          <w:lang w:val="en-GB"/>
        </w:rPr>
        <w:t>78% consider a lack of career development opportunities as an important factor on whether to leave health and medical research</w:t>
      </w:r>
      <w:r w:rsidR="0069784B">
        <w:rPr>
          <w:lang w:val="en-GB"/>
        </w:rPr>
        <w:t>.</w:t>
      </w:r>
      <w:r w:rsidR="0069784B">
        <w:rPr>
          <w:rStyle w:val="FootnoteReference"/>
          <w:lang w:val="en-GB"/>
        </w:rPr>
        <w:footnoteReference w:id="60"/>
      </w:r>
      <w:r w:rsidR="0069784B">
        <w:rPr>
          <w:lang w:val="en-GB"/>
        </w:rPr>
        <w:t xml:space="preserve"> </w:t>
      </w:r>
      <w:r w:rsidR="001B572B">
        <w:rPr>
          <w:lang w:val="en-GB"/>
        </w:rPr>
        <w:t xml:space="preserve">Workplace reasons followed by career advancement opportunities were the most common reason for non-traditional researchers to leave research. </w:t>
      </w:r>
    </w:p>
    <w:p w14:paraId="0D2A8242" w14:textId="5E47A51A" w:rsidR="00545690" w:rsidRDefault="00545690" w:rsidP="002A1E4F">
      <w:pPr>
        <w:pStyle w:val="Caption"/>
        <w:keepNext/>
      </w:pPr>
      <w:r>
        <w:t xml:space="preserve">Figure </w:t>
      </w:r>
      <w:r w:rsidR="00333748">
        <w:fldChar w:fldCharType="begin"/>
      </w:r>
      <w:r w:rsidR="00333748">
        <w:instrText xml:space="preserve"> SEQ Figure \* ARABIC </w:instrText>
      </w:r>
      <w:r w:rsidR="00333748">
        <w:fldChar w:fldCharType="separate"/>
      </w:r>
      <w:r w:rsidR="00496859">
        <w:rPr>
          <w:noProof/>
        </w:rPr>
        <w:t>31</w:t>
      </w:r>
      <w:r w:rsidR="00333748">
        <w:rPr>
          <w:noProof/>
        </w:rPr>
        <w:fldChar w:fldCharType="end"/>
      </w:r>
      <w:r w:rsidRPr="002D7830">
        <w:t>: Reasons why the traditional and non-traditional workforce left their role in research (</w:t>
      </w:r>
      <w:r w:rsidR="00E6321A">
        <w:t>p</w:t>
      </w:r>
      <w:r w:rsidR="00E6321A" w:rsidRPr="002D7830">
        <w:t xml:space="preserve">roportion </w:t>
      </w:r>
      <w:r w:rsidRPr="002D7830">
        <w:t>of responses who do not currently work in research)</w:t>
      </w:r>
      <w:r>
        <w:rPr>
          <w:rStyle w:val="FootnoteReference"/>
        </w:rPr>
        <w:footnoteReference w:id="61"/>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CE0887" w14:paraId="46412C88" w14:textId="77777777" w:rsidTr="00CE0887">
        <w:tc>
          <w:tcPr>
            <w:tcW w:w="9742" w:type="dxa"/>
          </w:tcPr>
          <w:p w14:paraId="66BEF16F" w14:textId="60499AFF" w:rsidR="00CE0887" w:rsidRDefault="00CE0887" w:rsidP="00CE0887">
            <w:r>
              <w:rPr>
                <w:noProof/>
                <w:lang w:val="en-GB"/>
              </w:rPr>
              <w:drawing>
                <wp:inline distT="0" distB="0" distL="0" distR="0" wp14:anchorId="02CC210D" wp14:editId="47D7554E">
                  <wp:extent cx="6018887" cy="3723558"/>
                  <wp:effectExtent l="0" t="0" r="0" b="0"/>
                  <wp:docPr id="1806641506" name="Picture 49" descr="Graph illustrating reasons why traditional and non-traditional workforce left their role i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41506" name="Picture 49" descr="Graph illustrating reasons why traditional and non-traditional workforce left their role in resear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7024" cy="3734779"/>
                          </a:xfrm>
                          <a:prstGeom prst="rect">
                            <a:avLst/>
                          </a:prstGeom>
                          <a:noFill/>
                        </pic:spPr>
                      </pic:pic>
                    </a:graphicData>
                  </a:graphic>
                </wp:inline>
              </w:drawing>
            </w:r>
          </w:p>
        </w:tc>
      </w:tr>
    </w:tbl>
    <w:p w14:paraId="6BAF6306" w14:textId="07DF9818" w:rsidR="004D1BFB" w:rsidRPr="004D1BFB" w:rsidRDefault="003C2BF9" w:rsidP="00CE0887">
      <w:pPr>
        <w:pStyle w:val="BodyText"/>
      </w:pPr>
      <w:r>
        <w:rPr>
          <w:lang w:val="en-GB"/>
        </w:rPr>
        <w:t>When providing more detail of why they left their role in research, a</w:t>
      </w:r>
      <w:r w:rsidR="004D1BFB" w:rsidRPr="004D1BFB">
        <w:rPr>
          <w:lang w:val="en-GB"/>
        </w:rPr>
        <w:t xml:space="preserve">cross both traditional and non-traditional researchers, job insecurity and funding uncertainties were the most </w:t>
      </w:r>
      <w:r w:rsidR="00C30852">
        <w:rPr>
          <w:lang w:val="en-GB"/>
        </w:rPr>
        <w:t>common</w:t>
      </w:r>
      <w:r w:rsidR="00C30852" w:rsidRPr="004D1BFB">
        <w:rPr>
          <w:lang w:val="en-GB"/>
        </w:rPr>
        <w:t xml:space="preserve"> </w:t>
      </w:r>
      <w:r w:rsidR="004D1BFB" w:rsidRPr="004D1BFB">
        <w:rPr>
          <w:lang w:val="en-GB"/>
        </w:rPr>
        <w:t xml:space="preserve">reasons for leaving research roles. Work-life balance issues, including long hours, high stress, and difficulty balancing family responsibilities, were consistently cited as significant factors. </w:t>
      </w:r>
      <w:r w:rsidR="004D1BFB" w:rsidRPr="004D1BFB">
        <w:t>Workplace culture issues was also referenced by some.</w:t>
      </w:r>
    </w:p>
    <w:p w14:paraId="4276D18B" w14:textId="00A8CDC0" w:rsidR="004D1BFB" w:rsidRPr="004D1BFB" w:rsidRDefault="004D1BFB" w:rsidP="00CE0887">
      <w:pPr>
        <w:pStyle w:val="BodyText"/>
      </w:pPr>
      <w:r w:rsidRPr="004D1BFB">
        <w:rPr>
          <w:lang w:val="en-GB"/>
        </w:rPr>
        <w:lastRenderedPageBreak/>
        <w:t xml:space="preserve">For traditional researchers, job insecurity and lack of stable funding were overwhelmingly cited as </w:t>
      </w:r>
      <w:r w:rsidR="003038D2">
        <w:rPr>
          <w:lang w:val="en-GB"/>
        </w:rPr>
        <w:t xml:space="preserve">key </w:t>
      </w:r>
      <w:r w:rsidRPr="004D1BFB">
        <w:rPr>
          <w:lang w:val="en-GB"/>
        </w:rPr>
        <w:t>reasons for leaving research roles. Career progression concerns, including limited advancement opportunities and low salaries, pushed many to seek roles outside of research.</w:t>
      </w:r>
    </w:p>
    <w:p w14:paraId="63519EC8" w14:textId="6E3850E7" w:rsidR="004D1BFB" w:rsidRDefault="004D1BFB" w:rsidP="00CE0887">
      <w:pPr>
        <w:pStyle w:val="BodyText"/>
        <w:rPr>
          <w:lang w:val="en-GB"/>
        </w:rPr>
      </w:pPr>
      <w:r w:rsidRPr="004D1BFB">
        <w:rPr>
          <w:lang w:val="en-GB"/>
        </w:rPr>
        <w:t xml:space="preserve">For non-traditional researchers many cited a desire for better work-life balance, higher pay, and more job security as motivations for seeking opportunities outside of research. Career advancement and the opportunity to apply their skills in different contexts </w:t>
      </w:r>
      <w:r w:rsidR="00206560">
        <w:rPr>
          <w:lang w:val="en-GB"/>
        </w:rPr>
        <w:t>such as in</w:t>
      </w:r>
      <w:r w:rsidRPr="004D1BFB">
        <w:rPr>
          <w:lang w:val="en-GB"/>
        </w:rPr>
        <w:t xml:space="preserve"> industry</w:t>
      </w:r>
      <w:r w:rsidR="00206560">
        <w:rPr>
          <w:lang w:val="en-GB"/>
        </w:rPr>
        <w:t xml:space="preserve"> or</w:t>
      </w:r>
      <w:r w:rsidRPr="004D1BFB">
        <w:rPr>
          <w:lang w:val="en-GB"/>
        </w:rPr>
        <w:t xml:space="preserve"> policy</w:t>
      </w:r>
      <w:r w:rsidR="00206560">
        <w:rPr>
          <w:lang w:val="en-GB"/>
        </w:rPr>
        <w:t xml:space="preserve"> roles</w:t>
      </w:r>
      <w:r w:rsidRPr="004D1BFB">
        <w:rPr>
          <w:lang w:val="en-GB"/>
        </w:rPr>
        <w:t xml:space="preserve"> attracted some away from research roles. </w:t>
      </w:r>
    </w:p>
    <w:p w14:paraId="08904540" w14:textId="3D41E626" w:rsidR="002F4916" w:rsidRPr="002A1E4F" w:rsidRDefault="002F4916" w:rsidP="002A1E4F">
      <w:pPr>
        <w:pStyle w:val="IntenseQuote"/>
        <w:rPr>
          <w:rFonts w:eastAsiaTheme="majorEastAsia"/>
        </w:rPr>
      </w:pPr>
      <w:r>
        <w:rPr>
          <w:rFonts w:eastAsiaTheme="majorEastAsia"/>
          <w:lang w:val="en-GB"/>
        </w:rPr>
        <w:t>“</w:t>
      </w:r>
      <w:r w:rsidRPr="00EF2A97">
        <w:rPr>
          <w:rFonts w:eastAsiaTheme="majorEastAsia"/>
          <w:lang w:val="en-GB"/>
        </w:rPr>
        <w:t>I wanted to employ my research expertise and experience in an industrial setup and build my career around it</w:t>
      </w:r>
      <w:r>
        <w:rPr>
          <w:rFonts w:eastAsiaTheme="majorEastAsia"/>
        </w:rPr>
        <w:t>”</w:t>
      </w:r>
    </w:p>
    <w:p w14:paraId="4D453DF7" w14:textId="77777777" w:rsidR="004D1BFB" w:rsidRDefault="004D1BFB" w:rsidP="00CE0887">
      <w:pPr>
        <w:pStyle w:val="BodyText"/>
        <w:rPr>
          <w:lang w:val="en-GB"/>
        </w:rPr>
      </w:pPr>
      <w:r w:rsidRPr="004D1BFB">
        <w:rPr>
          <w:lang w:val="en-GB"/>
        </w:rPr>
        <w:t>A significant number of respondents indicated that nothing would convince them to return to research.</w:t>
      </w:r>
      <w:r w:rsidRPr="004D1BFB">
        <w:t xml:space="preserve"> For those who did provide a suggestion, the majority referenced job security and compensation. Researchers noted the </w:t>
      </w:r>
      <w:r w:rsidRPr="004D1BFB">
        <w:rPr>
          <w:lang w:val="en-GB"/>
        </w:rPr>
        <w:t>need for permanent positions, ongoing contracts, or longer-term job security and movement away from reliance on short-term grant funding. They also mentioned improved salaries and pay that reflects their experience and qualifications.</w:t>
      </w:r>
    </w:p>
    <w:p w14:paraId="0F93B5C7" w14:textId="31C327F7" w:rsidR="009E16B0" w:rsidRDefault="009E16B0" w:rsidP="009E16B0">
      <w:pPr>
        <w:pStyle w:val="IntenseQuote"/>
      </w:pPr>
      <w:r>
        <w:rPr>
          <w:lang w:val="en-GB"/>
        </w:rPr>
        <w:t>“</w:t>
      </w:r>
      <w:r w:rsidRPr="009E16B0">
        <w:rPr>
          <w:lang w:val="en-GB"/>
        </w:rPr>
        <w:t>I'm not interested in returning to research. I don't think I could handle the decrease in pay, working conditions, or work-life balance.</w:t>
      </w:r>
      <w:r>
        <w:t>”</w:t>
      </w:r>
    </w:p>
    <w:p w14:paraId="17D8F012" w14:textId="77777777" w:rsidR="00B41258" w:rsidRDefault="00B41258">
      <w:pPr>
        <w:spacing w:before="0" w:after="0" w:line="240" w:lineRule="auto"/>
        <w:rPr>
          <w:rFonts w:eastAsiaTheme="majorEastAsia"/>
          <w:b/>
          <w:bCs/>
          <w:color w:val="001C55" w:themeColor="text2"/>
          <w:sz w:val="32"/>
          <w:szCs w:val="32"/>
          <w:lang w:val="en-GB"/>
        </w:rPr>
      </w:pPr>
      <w:r>
        <w:br w:type="page"/>
      </w:r>
    </w:p>
    <w:p w14:paraId="1C02AD24" w14:textId="0A2DBDD9" w:rsidR="00F347B3" w:rsidRDefault="00F347B3" w:rsidP="00F347B3">
      <w:pPr>
        <w:pStyle w:val="Heading2"/>
      </w:pPr>
      <w:bookmarkStart w:id="67" w:name="_Toc178009096"/>
      <w:r w:rsidRPr="00F347B3">
        <w:lastRenderedPageBreak/>
        <w:t>Researchers want to see funding, security and support improved in the health and medical research sector</w:t>
      </w:r>
      <w:bookmarkEnd w:id="67"/>
    </w:p>
    <w:p w14:paraId="4A112F48" w14:textId="42CEB048" w:rsidR="001143DA" w:rsidRDefault="007D64F3" w:rsidP="001143DA">
      <w:pPr>
        <w:pStyle w:val="BodyText"/>
      </w:pPr>
      <w:r w:rsidRPr="00CE0887">
        <w:t>There are several opportunities identified to maintain Australia's competitive edge in health and medical research and ensure a robust, diverse, and sustainable research workforce:</w:t>
      </w:r>
      <w:r w:rsidR="001143DA" w:rsidRPr="001143DA">
        <w:t xml:space="preserve"> </w:t>
      </w:r>
      <w:r w:rsidR="001143DA">
        <w:t xml:space="preserve">This audit also identified key opportunities and challenges for the health and medical research workforce more broadly. </w:t>
      </w:r>
    </w:p>
    <w:p w14:paraId="104FCADB" w14:textId="77777777" w:rsidR="001143DA" w:rsidRDefault="001143DA" w:rsidP="004F1E72">
      <w:pPr>
        <w:pStyle w:val="BodyText"/>
        <w:numPr>
          <w:ilvl w:val="0"/>
          <w:numId w:val="1"/>
        </w:numPr>
      </w:pPr>
      <w:r w:rsidRPr="009410FC">
        <w:t>Improving job security and offering longer-term contracts, particularly in the traditional research sector.</w:t>
      </w:r>
    </w:p>
    <w:p w14:paraId="6025E409" w14:textId="77777777" w:rsidR="001143DA" w:rsidRPr="00DE2A83" w:rsidRDefault="001143DA" w:rsidP="004F1E72">
      <w:pPr>
        <w:pStyle w:val="BodyText"/>
        <w:numPr>
          <w:ilvl w:val="1"/>
          <w:numId w:val="1"/>
        </w:numPr>
        <w:rPr>
          <w:i/>
          <w:iCs/>
        </w:rPr>
      </w:pPr>
      <w:r w:rsidRPr="00DE2A83">
        <w:rPr>
          <w:i/>
          <w:iCs/>
          <w:lang w:val="en-GB"/>
        </w:rPr>
        <w:t>Significant disparities in job security exist, with 55% of traditional researchers on fixed-term or casual contracts compared to 31% of non-traditional researchers.</w:t>
      </w:r>
    </w:p>
    <w:p w14:paraId="28AA1B1E" w14:textId="77777777" w:rsidR="001143DA" w:rsidRDefault="001143DA" w:rsidP="004F1E72">
      <w:pPr>
        <w:pStyle w:val="BodyText"/>
        <w:numPr>
          <w:ilvl w:val="0"/>
          <w:numId w:val="1"/>
        </w:numPr>
      </w:pPr>
      <w:r w:rsidRPr="009410FC">
        <w:t>Addressing the gender imbalance in senior roles through targeted mentoring, leadership programs, and family-friendly policies.</w:t>
      </w:r>
    </w:p>
    <w:p w14:paraId="20DF0C51" w14:textId="77777777" w:rsidR="001143DA" w:rsidRPr="00DE2A83" w:rsidRDefault="001143DA" w:rsidP="004F1E72">
      <w:pPr>
        <w:pStyle w:val="BodyText"/>
        <w:numPr>
          <w:ilvl w:val="1"/>
          <w:numId w:val="1"/>
        </w:numPr>
        <w:rPr>
          <w:i/>
          <w:iCs/>
        </w:rPr>
      </w:pPr>
      <w:r w:rsidRPr="00DE2A83">
        <w:rPr>
          <w:i/>
          <w:iCs/>
        </w:rPr>
        <w:t>Women make up 52% of the workforce overall but only one in four researchers at the most senior levels. Women experience higher rates of career interruptions (55% for women compared to 27% for men), predominantly due to parental leave.</w:t>
      </w:r>
    </w:p>
    <w:p w14:paraId="27E83EAB" w14:textId="77777777" w:rsidR="001143DA" w:rsidRPr="00DE2A83" w:rsidRDefault="001143DA" w:rsidP="004F1E72">
      <w:pPr>
        <w:pStyle w:val="BodyText"/>
        <w:numPr>
          <w:ilvl w:val="1"/>
          <w:numId w:val="1"/>
        </w:numPr>
        <w:rPr>
          <w:i/>
          <w:iCs/>
        </w:rPr>
      </w:pPr>
      <w:r w:rsidRPr="00DE2A83">
        <w:rPr>
          <w:i/>
          <w:iCs/>
        </w:rPr>
        <w:t xml:space="preserve">Women are most likely to be funded by someone else’s grant as a non-chief investigator role (42%). Men are Lead or Chief Investigator in 79% of cases, with more in a lead investigator (37% for men, compared to 25% for women) or chief investigator role (42% for men, compared 32% for women).   </w:t>
      </w:r>
    </w:p>
    <w:p w14:paraId="13B8E54A" w14:textId="77777777" w:rsidR="001143DA" w:rsidRDefault="001143DA" w:rsidP="004F1E72">
      <w:pPr>
        <w:pStyle w:val="BodyText"/>
        <w:numPr>
          <w:ilvl w:val="0"/>
          <w:numId w:val="1"/>
        </w:numPr>
      </w:pPr>
      <w:r w:rsidRPr="009410FC">
        <w:t>Enhancing funding stability and opportunities, including exploring innovative funding models that blend public and private sources.</w:t>
      </w:r>
    </w:p>
    <w:p w14:paraId="37410014" w14:textId="77777777" w:rsidR="001143DA" w:rsidRPr="00DE2A83" w:rsidRDefault="001143DA" w:rsidP="004F1E72">
      <w:pPr>
        <w:pStyle w:val="BodyText"/>
        <w:numPr>
          <w:ilvl w:val="1"/>
          <w:numId w:val="1"/>
        </w:numPr>
        <w:rPr>
          <w:i/>
          <w:iCs/>
        </w:rPr>
      </w:pPr>
      <w:r w:rsidRPr="00DE2A83">
        <w:rPr>
          <w:i/>
          <w:iCs/>
          <w:lang w:val="en-GB"/>
        </w:rPr>
        <w:t>72% of traditional researchers citing lack of funding as their greatest challenge, followed closely by job insecurity.</w:t>
      </w:r>
    </w:p>
    <w:p w14:paraId="130160B5" w14:textId="77777777" w:rsidR="00EE3085" w:rsidRDefault="00EE3085" w:rsidP="00EE3085">
      <w:pPr>
        <w:pStyle w:val="BodyText"/>
        <w:numPr>
          <w:ilvl w:val="0"/>
          <w:numId w:val="1"/>
        </w:numPr>
      </w:pPr>
      <w:r w:rsidRPr="009410FC">
        <w:t>Supporting career development and progression, with clear pathways for researchers in both traditional and non-traditional sectors</w:t>
      </w:r>
      <w:r>
        <w:t>, including communicating and fostering opportunities for researchers to enrich non-research sectors with their skills, or to support research activity, policy or translation and commercialisation.</w:t>
      </w:r>
    </w:p>
    <w:p w14:paraId="2A64E339" w14:textId="77777777" w:rsidR="001143DA" w:rsidRPr="00DE2A83" w:rsidRDefault="001143DA" w:rsidP="004F1E72">
      <w:pPr>
        <w:pStyle w:val="BodyText"/>
        <w:numPr>
          <w:ilvl w:val="1"/>
          <w:numId w:val="1"/>
        </w:numPr>
        <w:rPr>
          <w:i/>
          <w:iCs/>
        </w:rPr>
      </w:pPr>
      <w:r w:rsidRPr="00DE2A83">
        <w:rPr>
          <w:i/>
          <w:iCs/>
          <w:lang w:val="en-GB"/>
        </w:rPr>
        <w:t>Over a 5-year period, 62% of traditional researchers and 64% of non-traditional researchers leave the HMR workforce for other roles and sectors.</w:t>
      </w:r>
    </w:p>
    <w:p w14:paraId="7B6DC12B" w14:textId="77777777" w:rsidR="001143DA" w:rsidRPr="00DE2A83" w:rsidRDefault="001143DA" w:rsidP="001143DA">
      <w:pPr>
        <w:pStyle w:val="BodyText"/>
        <w:numPr>
          <w:ilvl w:val="1"/>
          <w:numId w:val="1"/>
        </w:numPr>
        <w:rPr>
          <w:i/>
          <w:iCs/>
        </w:rPr>
      </w:pPr>
      <w:r w:rsidRPr="00DE2A83">
        <w:rPr>
          <w:i/>
          <w:iCs/>
        </w:rPr>
        <w:t xml:space="preserve">The </w:t>
      </w:r>
      <w:r>
        <w:rPr>
          <w:i/>
          <w:iCs/>
        </w:rPr>
        <w:t xml:space="preserve">largest destination for inactive HMR workers is into </w:t>
      </w:r>
      <w:r w:rsidRPr="00DE2A83">
        <w:rPr>
          <w:i/>
          <w:iCs/>
        </w:rPr>
        <w:t>government roles, with 31% of inactive researchers now employed in the public sector.</w:t>
      </w:r>
    </w:p>
    <w:tbl>
      <w:tblPr>
        <w:tblStyle w:val="TableGrid"/>
        <w:tblW w:w="0" w:type="auto"/>
        <w:tblLook w:val="04A0" w:firstRow="1" w:lastRow="0" w:firstColumn="1" w:lastColumn="0" w:noHBand="0" w:noVBand="1"/>
      </w:tblPr>
      <w:tblGrid>
        <w:gridCol w:w="9742"/>
      </w:tblGrid>
      <w:tr w:rsidR="007B76BB" w14:paraId="0BC84206" w14:textId="77777777" w:rsidTr="007B76BB">
        <w:tc>
          <w:tcPr>
            <w:tcW w:w="9742" w:type="dxa"/>
            <w:tcBorders>
              <w:top w:val="nil"/>
              <w:left w:val="nil"/>
              <w:bottom w:val="nil"/>
              <w:right w:val="nil"/>
            </w:tcBorders>
            <w:shd w:val="clear" w:color="auto" w:fill="E8EDF1" w:themeFill="accent3" w:themeFillTint="33"/>
          </w:tcPr>
          <w:p w14:paraId="7105EFAA" w14:textId="52653E6C" w:rsidR="007B76BB" w:rsidRDefault="00D2459F" w:rsidP="00F347B3">
            <w:pPr>
              <w:pStyle w:val="BodyText"/>
            </w:pPr>
            <w:r>
              <w:t xml:space="preserve">The findings in this chapter </w:t>
            </w:r>
            <w:r w:rsidR="00BB5373">
              <w:t xml:space="preserve">provide </w:t>
            </w:r>
            <w:r w:rsidR="002A69D2">
              <w:t xml:space="preserve">an evidence base </w:t>
            </w:r>
            <w:r w:rsidR="00221A64">
              <w:t xml:space="preserve">for </w:t>
            </w:r>
            <w:r w:rsidR="002A69D2">
              <w:t xml:space="preserve">policy and decision making </w:t>
            </w:r>
            <w:r w:rsidR="003E74F9">
              <w:t xml:space="preserve">by demonstrating the </w:t>
            </w:r>
            <w:r w:rsidR="0048535B" w:rsidRPr="0048535B">
              <w:t>factors driving recruitment, retention, and attrition within health and medical research</w:t>
            </w:r>
            <w:r w:rsidR="0048535B">
              <w:t xml:space="preserve">. </w:t>
            </w:r>
            <w:r w:rsidR="00531F33">
              <w:t xml:space="preserve">This chapter </w:t>
            </w:r>
            <w:r w:rsidR="002C03F7">
              <w:t xml:space="preserve">validates </w:t>
            </w:r>
            <w:r w:rsidR="00C42330">
              <w:t xml:space="preserve">testimonial </w:t>
            </w:r>
            <w:r w:rsidR="00802A7E">
              <w:t>evidence from throughout the sector</w:t>
            </w:r>
            <w:r w:rsidR="00221A64">
              <w:t xml:space="preserve"> around </w:t>
            </w:r>
            <w:r w:rsidR="00CE499E">
              <w:t>what attracts researchers to the sector and what are the challenges and reasons for leaving</w:t>
            </w:r>
            <w:r w:rsidR="00087328">
              <w:t>.</w:t>
            </w:r>
          </w:p>
        </w:tc>
      </w:tr>
    </w:tbl>
    <w:p w14:paraId="4195587D" w14:textId="16AB788F" w:rsidR="00545690" w:rsidRDefault="00545690" w:rsidP="00F347B3">
      <w:pPr>
        <w:pStyle w:val="BodyText"/>
        <w:rPr>
          <w:rFonts w:asciiTheme="majorHAnsi" w:hAnsiTheme="majorHAnsi"/>
        </w:rPr>
      </w:pPr>
      <w:r>
        <w:br w:type="page"/>
      </w:r>
    </w:p>
    <w:p w14:paraId="1DA1F674" w14:textId="20E0842B" w:rsidR="00FF547E" w:rsidRDefault="000F5002" w:rsidP="00206560">
      <w:pPr>
        <w:pStyle w:val="Heading1"/>
      </w:pPr>
      <w:bookmarkStart w:id="68" w:name="_Toc175208725"/>
      <w:bookmarkStart w:id="69" w:name="_Toc178009097"/>
      <w:r>
        <w:lastRenderedPageBreak/>
        <w:t>Future monitoring plan</w:t>
      </w:r>
      <w:bookmarkEnd w:id="68"/>
      <w:bookmarkEnd w:id="69"/>
    </w:p>
    <w:p w14:paraId="521F28A1" w14:textId="77777777" w:rsidR="005069AC" w:rsidRDefault="00D15187" w:rsidP="00CE0887">
      <w:pPr>
        <w:pStyle w:val="BodyText"/>
      </w:pPr>
      <w:r w:rsidRPr="00D15187">
        <w:t xml:space="preserve">To guide effective policy and decision making, collecting and analysing the right data on the health and medical research workforce is essential. This report does this by using a range of data sources, including </w:t>
      </w:r>
      <w:proofErr w:type="spellStart"/>
      <w:r w:rsidRPr="00D15187">
        <w:t>Revelio</w:t>
      </w:r>
      <w:proofErr w:type="spellEnd"/>
      <w:r w:rsidRPr="00D15187">
        <w:t xml:space="preserve"> microdata and a one-off survey. </w:t>
      </w:r>
      <w:r w:rsidR="005069AC" w:rsidRPr="005069AC">
        <w:t xml:space="preserve">However, to guide effective policy and decision-making in the long term, it is </w:t>
      </w:r>
      <w:r w:rsidR="005069AC">
        <w:t>important</w:t>
      </w:r>
      <w:r w:rsidR="005069AC" w:rsidRPr="005069AC">
        <w:t xml:space="preserve"> to implement systematic and regular data collection processes.</w:t>
      </w:r>
    </w:p>
    <w:p w14:paraId="3A92B6A0" w14:textId="2C81C04A" w:rsidR="00D15187" w:rsidRDefault="002C6F95" w:rsidP="00CE0887">
      <w:pPr>
        <w:pStyle w:val="BodyText"/>
      </w:pPr>
      <w:r>
        <w:t>5</w:t>
      </w:r>
      <w:r w:rsidR="005069AC">
        <w:t xml:space="preserve"> opportunities</w:t>
      </w:r>
      <w:r w:rsidR="0025356A">
        <w:t xml:space="preserve"> for future monitoring of the health and medical research workforce were identified through this Audit</w:t>
      </w:r>
      <w:r w:rsidR="00861201">
        <w:t xml:space="preserve">: </w:t>
      </w:r>
    </w:p>
    <w:p w14:paraId="4ABB16FD" w14:textId="711EC65B" w:rsidR="003A6702" w:rsidRDefault="00377D3C" w:rsidP="00750BD5">
      <w:pPr>
        <w:pStyle w:val="BodyText"/>
        <w:numPr>
          <w:ilvl w:val="0"/>
          <w:numId w:val="21"/>
        </w:numPr>
      </w:pPr>
      <w:r w:rsidRPr="00C55B23">
        <w:rPr>
          <w:b/>
          <w:bCs/>
        </w:rPr>
        <w:t xml:space="preserve">Agree on a workforce definition: </w:t>
      </w:r>
      <w:r w:rsidR="00A864DE" w:rsidRPr="00A864DE">
        <w:t>The sector should agree upon a clear, comprehensive definition of the health and medical research workforce. This definition should encompass both traditional and non-traditional roles, reflecting the evolving nature of the field.</w:t>
      </w:r>
      <w:r w:rsidR="00A84EAC">
        <w:t xml:space="preserve"> Consideration as to whether a task-based or occupation-based approach should be taken when defining the workforce is important to guide future data collection approaches.</w:t>
      </w:r>
      <w:r w:rsidR="00C55B23">
        <w:t xml:space="preserve"> </w:t>
      </w:r>
      <w:r w:rsidR="006E3B7A">
        <w:t xml:space="preserve">An important distinction </w:t>
      </w:r>
      <w:r w:rsidR="00DF42EB">
        <w:t>th</w:t>
      </w:r>
      <w:r w:rsidR="006E3B7A">
        <w:t xml:space="preserve">at may be useful to consider for inclusion in workforce definitions is the status of </w:t>
      </w:r>
      <w:r w:rsidR="00DD2350">
        <w:t>individuals as either researchers, or research support roles. While both are captured using th</w:t>
      </w:r>
      <w:r w:rsidR="00DF42EB">
        <w:t>e</w:t>
      </w:r>
      <w:r w:rsidR="00DD2350">
        <w:t xml:space="preserve"> approach </w:t>
      </w:r>
      <w:r w:rsidR="00DF42EB">
        <w:t xml:space="preserve">in this audit, </w:t>
      </w:r>
      <w:r w:rsidR="00DD2350">
        <w:t>they are not necessarily distinguished or split out.</w:t>
      </w:r>
    </w:p>
    <w:p w14:paraId="1D734FD0" w14:textId="58F55689" w:rsidR="00377D3C" w:rsidRPr="00377D3C" w:rsidRDefault="006E3B7A" w:rsidP="003A6702">
      <w:pPr>
        <w:pStyle w:val="BodyText"/>
        <w:ind w:left="720"/>
      </w:pPr>
      <w:r w:rsidRPr="006E3B7A">
        <w:t>To</w:t>
      </w:r>
      <w:r>
        <w:t xml:space="preserve"> reiterate, f</w:t>
      </w:r>
      <w:r w:rsidR="00750BD5">
        <w:t xml:space="preserve">or the purposes of this Audit, the health and medical research workforce consists of those traditionally considered researchers: those who perform research in organisations like universities and Medical Research Institutes (MRIs), and those who work in less commonly surveyed areas of health and medical research, such as those in the private sector (pharmaceuticals, medical technology, and biotechnology) and those in clinical roles such as those who work as clinicians, </w:t>
      </w:r>
      <w:r w:rsidR="00B27B01">
        <w:t xml:space="preserve">including </w:t>
      </w:r>
      <w:r w:rsidR="00750BD5">
        <w:t>nurses</w:t>
      </w:r>
      <w:r w:rsidR="00B27B01">
        <w:t xml:space="preserve">, </w:t>
      </w:r>
      <w:r w:rsidR="00145898">
        <w:t>midwives</w:t>
      </w:r>
      <w:r w:rsidR="00750BD5">
        <w:t>,</w:t>
      </w:r>
      <w:r w:rsidR="00B27B01">
        <w:t xml:space="preserve"> </w:t>
      </w:r>
      <w:r w:rsidR="00750BD5">
        <w:t>allied health workers</w:t>
      </w:r>
      <w:r w:rsidR="00B27B01">
        <w:t xml:space="preserve"> and others</w:t>
      </w:r>
      <w:r w:rsidR="00750BD5">
        <w:t>, and also produce research. We describe these groups as “traditional” and “non-traditional” researchers respectively. Given the dynamism of many labour markets an important third segment to the health and medical research workforce is those who may have previously worked as traditional or non-traditional researchers, but now work in other roles across the economy. This segment we describe as “inactive” researchers. A similar definition could be considered for future monitoring</w:t>
      </w:r>
      <w:r w:rsidR="00CC6573">
        <w:t xml:space="preserve"> following consultation with the sector</w:t>
      </w:r>
      <w:r w:rsidR="00750BD5">
        <w:t>.</w:t>
      </w:r>
    </w:p>
    <w:p w14:paraId="760089D2" w14:textId="2489C9AA" w:rsidR="00F03885" w:rsidRPr="002A1E4F" w:rsidRDefault="00973AE9" w:rsidP="00510B3D">
      <w:pPr>
        <w:pStyle w:val="BodyText"/>
        <w:numPr>
          <w:ilvl w:val="0"/>
          <w:numId w:val="21"/>
        </w:numPr>
      </w:pPr>
      <w:r w:rsidRPr="00F03885">
        <w:rPr>
          <w:b/>
          <w:bCs/>
          <w:lang w:val="en-GB"/>
        </w:rPr>
        <w:t xml:space="preserve">Explore potential adjustments to ANZSCO: </w:t>
      </w:r>
      <w:r w:rsidR="00F03885" w:rsidRPr="00F03885">
        <w:rPr>
          <w:lang w:val="en-GB"/>
        </w:rPr>
        <w:t>Exploring potential adjustments to the Australian and New Zealand Standard Classification of Occupations (ANZSCO) could significantly improve the accuracy of workforce categori</w:t>
      </w:r>
      <w:r w:rsidR="00F03885">
        <w:rPr>
          <w:lang w:val="en-GB"/>
        </w:rPr>
        <w:t>s</w:t>
      </w:r>
      <w:r w:rsidR="00F03885" w:rsidRPr="00F03885">
        <w:rPr>
          <w:lang w:val="en-GB"/>
        </w:rPr>
        <w:t>ation. These refinements would enable more precise tracking and analysis of workforce trends over time</w:t>
      </w:r>
      <w:r w:rsidR="00F03885">
        <w:rPr>
          <w:lang w:val="en-GB"/>
        </w:rPr>
        <w:t xml:space="preserve"> through official statistical channels including the Census</w:t>
      </w:r>
      <w:r w:rsidR="00F03885" w:rsidRPr="00F03885">
        <w:rPr>
          <w:lang w:val="en-GB"/>
        </w:rPr>
        <w:t>.</w:t>
      </w:r>
    </w:p>
    <w:p w14:paraId="5EA64BC6" w14:textId="6F460AF2" w:rsidR="002512B0" w:rsidRDefault="00B51127" w:rsidP="00510B3D">
      <w:pPr>
        <w:pStyle w:val="BodyText"/>
        <w:numPr>
          <w:ilvl w:val="0"/>
          <w:numId w:val="21"/>
        </w:numPr>
      </w:pPr>
      <w:r>
        <w:rPr>
          <w:b/>
          <w:bCs/>
        </w:rPr>
        <w:t>Explore future</w:t>
      </w:r>
      <w:r w:rsidR="002512B0" w:rsidRPr="00F03885">
        <w:rPr>
          <w:b/>
          <w:bCs/>
        </w:rPr>
        <w:t xml:space="preserve"> regular data collection: </w:t>
      </w:r>
      <w:r w:rsidR="0022286A" w:rsidRPr="00DE2A83">
        <w:t>The</w:t>
      </w:r>
      <w:r w:rsidR="00FF55D7" w:rsidRPr="00DE2A83">
        <w:t>re are existing and historical datasets that provide varying levels of coverage for segments over the workforce, including traditional academic researchers, graduate students</w:t>
      </w:r>
      <w:r w:rsidR="00CE0C94" w:rsidRPr="00DE2A83">
        <w:t>, and clinicians. These do not account for any potential overlap, but are valuable sources of understanding for specific segments.</w:t>
      </w:r>
      <w:r w:rsidR="0022286A" w:rsidRPr="00DE2A83">
        <w:t xml:space="preserve"> Australian Research Council evaluations have historically provided valuable benchmarks for in-depth analysis</w:t>
      </w:r>
      <w:r w:rsidR="002C4D97" w:rsidRPr="00DE2A83">
        <w:t xml:space="preserve"> of the traditional health and medical research workforce in universities</w:t>
      </w:r>
      <w:r w:rsidR="002512B0" w:rsidRPr="00DE2A83">
        <w:t>.</w:t>
      </w:r>
      <w:r w:rsidR="0022286A" w:rsidRPr="00DE2A83">
        <w:t xml:space="preserve"> </w:t>
      </w:r>
      <w:r w:rsidR="003B636A" w:rsidRPr="00DE2A83">
        <w:t xml:space="preserve">While the ARC’s new Research Evaluation Framework is being developed, considerations should be made as to how to capture valuable workforce data from the health and medical research sector in a data-driven manner than minimised reporting </w:t>
      </w:r>
      <w:r w:rsidR="00BA0196" w:rsidRPr="00DE2A83">
        <w:t>burden</w:t>
      </w:r>
      <w:r w:rsidR="0022286A" w:rsidRPr="00DE2A83">
        <w:t>.</w:t>
      </w:r>
      <w:r w:rsidR="00E75392" w:rsidRPr="00DF42EB">
        <w:rPr>
          <w:color w:val="FF0000"/>
        </w:rPr>
        <w:t xml:space="preserve"> </w:t>
      </w:r>
      <w:r w:rsidR="00E75392">
        <w:t xml:space="preserve">The appropriate frequency of data collection can be </w:t>
      </w:r>
      <w:r w:rsidR="00775D1F">
        <w:t xml:space="preserve">determined in consultation with the sector and other reporting requirements, or to align to other </w:t>
      </w:r>
      <w:r w:rsidR="00640624">
        <w:t xml:space="preserve">government reporting. For example, the </w:t>
      </w:r>
      <w:r w:rsidR="00C6692F">
        <w:t>A</w:t>
      </w:r>
      <w:r w:rsidR="00BD04D1">
        <w:t xml:space="preserve">ged Care </w:t>
      </w:r>
      <w:r w:rsidR="00E83E4B">
        <w:t xml:space="preserve">Workforce Census (now Survey) has been run every </w:t>
      </w:r>
      <w:r w:rsidR="003B1957">
        <w:t>3</w:t>
      </w:r>
      <w:r w:rsidR="00AC309A">
        <w:t>-5 years, in 2003, 2007, 2012</w:t>
      </w:r>
      <w:r w:rsidR="00210A81">
        <w:t>, 2016, 2020</w:t>
      </w:r>
      <w:r w:rsidR="003B1957">
        <w:t>, and 2023</w:t>
      </w:r>
      <w:r w:rsidR="00210A81">
        <w:t>.</w:t>
      </w:r>
      <w:r w:rsidR="003B1957">
        <w:t xml:space="preserve"> </w:t>
      </w:r>
      <w:r w:rsidR="000A55FD">
        <w:t>Collection of data should include continuous as well as regular collection.</w:t>
      </w:r>
    </w:p>
    <w:p w14:paraId="166B3A38" w14:textId="03E7C8A1" w:rsidR="002512B0" w:rsidRDefault="00F23F3D" w:rsidP="00510B3D">
      <w:pPr>
        <w:pStyle w:val="BodyText"/>
        <w:numPr>
          <w:ilvl w:val="0"/>
          <w:numId w:val="21"/>
        </w:numPr>
      </w:pPr>
      <w:r>
        <w:rPr>
          <w:b/>
          <w:bCs/>
        </w:rPr>
        <w:t xml:space="preserve">Consider repeating </w:t>
      </w:r>
      <w:r w:rsidRPr="00F23F3D">
        <w:rPr>
          <w:b/>
          <w:bCs/>
        </w:rPr>
        <w:t>microdata analysis:</w:t>
      </w:r>
      <w:r>
        <w:rPr>
          <w:b/>
          <w:bCs/>
        </w:rPr>
        <w:t xml:space="preserve"> </w:t>
      </w:r>
      <w:r w:rsidR="002A3BDF" w:rsidRPr="002A3BDF">
        <w:t xml:space="preserve">To monitor changes in workforce composition, employment trends, and the impact of funding or policy changes, it is recommended to repeat the </w:t>
      </w:r>
      <w:proofErr w:type="spellStart"/>
      <w:r w:rsidR="002A3BDF" w:rsidRPr="002A3BDF">
        <w:t>Revelio</w:t>
      </w:r>
      <w:proofErr w:type="spellEnd"/>
      <w:r w:rsidR="002A3BDF" w:rsidRPr="002A3BDF">
        <w:t xml:space="preserve"> microdata analysis at regular intervals. This longitudinal approach will provide insights into workforce transitions and sector </w:t>
      </w:r>
      <w:r w:rsidR="002A3BDF" w:rsidRPr="002A3BDF">
        <w:lastRenderedPageBreak/>
        <w:t>dynamics.</w:t>
      </w:r>
      <w:r w:rsidR="009F4E49">
        <w:t xml:space="preserve"> </w:t>
      </w:r>
      <w:r w:rsidR="00A7555D">
        <w:t xml:space="preserve">Future analysis could also include assessment of other industries for comparison, or assessment of other </w:t>
      </w:r>
      <w:r w:rsidR="00B050CA">
        <w:t>countries HMR workforces.</w:t>
      </w:r>
    </w:p>
    <w:p w14:paraId="232B3250" w14:textId="4F57DC72" w:rsidR="00163D39" w:rsidRPr="00DE2A83" w:rsidRDefault="00571C87" w:rsidP="00510B3D">
      <w:pPr>
        <w:pStyle w:val="BodyText"/>
        <w:numPr>
          <w:ilvl w:val="0"/>
          <w:numId w:val="21"/>
        </w:numPr>
      </w:pPr>
      <w:r w:rsidRPr="00163D39">
        <w:rPr>
          <w:b/>
          <w:bCs/>
        </w:rPr>
        <w:t xml:space="preserve">Explore opportunities to </w:t>
      </w:r>
      <w:r w:rsidR="004C189E" w:rsidRPr="00163D39">
        <w:rPr>
          <w:b/>
          <w:bCs/>
        </w:rPr>
        <w:t xml:space="preserve">conduct a regular HMR workforce survey: </w:t>
      </w:r>
      <w:r w:rsidR="00163D39" w:rsidRPr="00163D39">
        <w:t xml:space="preserve">Collaborating with the </w:t>
      </w:r>
      <w:r w:rsidR="0055630F">
        <w:t>ABS</w:t>
      </w:r>
      <w:r w:rsidR="00163D39" w:rsidRPr="00163D39">
        <w:t xml:space="preserve"> to develop and conduct a regular health and medical research workforce survey would significantly enhance the quality and specificity of official statistics in this area.</w:t>
      </w:r>
      <w:r w:rsidR="004A7379">
        <w:t xml:space="preserve"> Distinct strategies could be undertaken to capture specific groups, particularly underrepresented ones </w:t>
      </w:r>
      <w:r w:rsidR="00761A55">
        <w:t>such as non-traditional groups and inactive researchers</w:t>
      </w:r>
      <w:r w:rsidR="00761A55" w:rsidRPr="000E0F37">
        <w:t>.</w:t>
      </w:r>
      <w:r w:rsidR="00C24955" w:rsidRPr="000E0F37">
        <w:t xml:space="preserve"> </w:t>
      </w:r>
      <w:r w:rsidR="00C24955" w:rsidRPr="00DE2A83">
        <w:t xml:space="preserve">Specific targeting and engagement of underrepresented groups </w:t>
      </w:r>
      <w:r w:rsidR="00651972" w:rsidRPr="00DE2A83">
        <w:t xml:space="preserve">via peak bodies, </w:t>
      </w:r>
      <w:r w:rsidR="00C24955" w:rsidRPr="00DE2A83">
        <w:t xml:space="preserve">such as non-traditional </w:t>
      </w:r>
      <w:r w:rsidR="00651972" w:rsidRPr="00DE2A83">
        <w:t xml:space="preserve">clinician </w:t>
      </w:r>
      <w:r w:rsidR="00C24955" w:rsidRPr="00DE2A83">
        <w:t xml:space="preserve">researchers </w:t>
      </w:r>
      <w:r w:rsidR="00651972" w:rsidRPr="00DE2A83">
        <w:t>through AHPRA</w:t>
      </w:r>
      <w:r w:rsidR="008E5BDB" w:rsidRPr="00DE2A83">
        <w:t xml:space="preserve">. For the </w:t>
      </w:r>
      <w:r w:rsidR="00DF5AD8" w:rsidRPr="00DE2A83">
        <w:t xml:space="preserve">inactive </w:t>
      </w:r>
      <w:r w:rsidR="00BD5527" w:rsidRPr="00DE2A83">
        <w:t xml:space="preserve">researchers, approaches such as the tertiary education sector’s </w:t>
      </w:r>
      <w:r w:rsidR="00BB0429" w:rsidRPr="00DE2A83">
        <w:t>G</w:t>
      </w:r>
      <w:r w:rsidR="00BD5527" w:rsidRPr="00DE2A83">
        <w:t xml:space="preserve">raduate </w:t>
      </w:r>
      <w:r w:rsidR="00BB0429" w:rsidRPr="00DE2A83">
        <w:t>O</w:t>
      </w:r>
      <w:r w:rsidR="00BD5527" w:rsidRPr="00DE2A83">
        <w:t>utcome</w:t>
      </w:r>
      <w:r w:rsidR="00BB0429" w:rsidRPr="00DE2A83">
        <w:t>s</w:t>
      </w:r>
      <w:r w:rsidR="00BD5527" w:rsidRPr="00DE2A83">
        <w:t xml:space="preserve"> </w:t>
      </w:r>
      <w:r w:rsidR="00BB0429" w:rsidRPr="00DE2A83">
        <w:t>S</w:t>
      </w:r>
      <w:r w:rsidR="00BD5527" w:rsidRPr="00DE2A83">
        <w:t>urvey (GOS) could be adapted to track and maintain engagement with those who no longer perform or support research.</w:t>
      </w:r>
    </w:p>
    <w:p w14:paraId="34E9092F" w14:textId="3CB9136E" w:rsidR="009E4474" w:rsidRPr="00973AE9" w:rsidRDefault="009E4474" w:rsidP="00CE0887">
      <w:pPr>
        <w:pStyle w:val="BodyText"/>
      </w:pPr>
      <w:r>
        <w:t>Through these opportunities</w:t>
      </w:r>
      <w:r w:rsidRPr="009E4474">
        <w:t xml:space="preserve">, the sector can establish a robust, data-driven framework for ongoing workforce monitoring. This approach will not only provide a clear picture of the current state of the workforce but also enable stakeholders to anticipate future trends, identify emerging challenges, and make informed decisions to support the continued growth and success of Australia's health and medical research </w:t>
      </w:r>
      <w:r w:rsidR="00493B6D">
        <w:t>workforce</w:t>
      </w:r>
      <w:r w:rsidRPr="009E4474">
        <w:t>. Regular, high-quality data collection and analysis will ultimately contribute to more effective policymaking, resource allocation, and strategic planning, ensuring that Australia remains at the forefront of global health and medical research.</w:t>
      </w:r>
    </w:p>
    <w:p w14:paraId="725EAFBC" w14:textId="0C3A7576" w:rsidR="001402B5" w:rsidRDefault="001402B5">
      <w:pPr>
        <w:spacing w:before="0" w:after="0" w:line="240" w:lineRule="auto"/>
      </w:pPr>
      <w:r>
        <w:br w:type="page"/>
      </w:r>
    </w:p>
    <w:p w14:paraId="6C46A594" w14:textId="16EBCDE8" w:rsidR="00FA0A0A" w:rsidRPr="00FA0A0A" w:rsidRDefault="00FF547E" w:rsidP="0097416E">
      <w:pPr>
        <w:pStyle w:val="Heading1"/>
      </w:pPr>
      <w:bookmarkStart w:id="70" w:name="_Toc175208726"/>
      <w:bookmarkStart w:id="71" w:name="_Toc178009098"/>
      <w:r>
        <w:lastRenderedPageBreak/>
        <w:t>APPENDIX</w:t>
      </w:r>
      <w:bookmarkEnd w:id="70"/>
      <w:bookmarkEnd w:id="71"/>
    </w:p>
    <w:p w14:paraId="0DFFD401" w14:textId="0248A471" w:rsidR="00FA0A0A" w:rsidRPr="00615C63" w:rsidRDefault="00FA0A0A" w:rsidP="00615C63">
      <w:pPr>
        <w:pStyle w:val="Heading2"/>
      </w:pPr>
      <w:bookmarkStart w:id="72" w:name="_Toc175208727"/>
      <w:bookmarkStart w:id="73" w:name="_Toc178009099"/>
      <w:r w:rsidRPr="00615C63">
        <w:t>D</w:t>
      </w:r>
      <w:r w:rsidR="00545690" w:rsidRPr="00615C63">
        <w:t>e</w:t>
      </w:r>
      <w:r w:rsidRPr="00615C63">
        <w:t>sktop scan</w:t>
      </w:r>
      <w:bookmarkEnd w:id="72"/>
      <w:r w:rsidR="003150DE" w:rsidRPr="00615C63">
        <w:t xml:space="preserve">: </w:t>
      </w:r>
      <w:r w:rsidR="000466DD" w:rsidRPr="00A04B6B">
        <w:t>The desktop scan was performed to understand existing evidence and identify key gaps to be filled by novel microdata and survey data</w:t>
      </w:r>
      <w:bookmarkEnd w:id="73"/>
    </w:p>
    <w:p w14:paraId="7E01819B" w14:textId="7F30BB2A" w:rsidR="00553A62" w:rsidRDefault="00553A62" w:rsidP="00A56518">
      <w:pPr>
        <w:pStyle w:val="BodyText"/>
      </w:pPr>
      <w:r w:rsidRPr="00553A62">
        <w:t>A large language model approach was used to scrape, categorise and assess 21 previous reports on the health and medical research workforce.</w:t>
      </w:r>
      <w:r w:rsidR="001C6A48">
        <w:t xml:space="preserve"> </w:t>
      </w:r>
      <w:r w:rsidR="00B614CB">
        <w:t xml:space="preserve">The desktop scan </w:t>
      </w:r>
      <w:r w:rsidR="009E7C70">
        <w:t>was made up of three stages:</w:t>
      </w:r>
    </w:p>
    <w:p w14:paraId="0A01AA9C" w14:textId="6E6B345F" w:rsidR="00D45343" w:rsidRDefault="00E84EFC" w:rsidP="00510B3D">
      <w:pPr>
        <w:pStyle w:val="BodyText"/>
        <w:numPr>
          <w:ilvl w:val="0"/>
          <w:numId w:val="10"/>
        </w:numPr>
        <w:rPr>
          <w:b/>
          <w:bCs/>
        </w:rPr>
      </w:pPr>
      <w:bookmarkStart w:id="74" w:name="_Toc175208728"/>
      <w:r>
        <w:rPr>
          <w:b/>
          <w:bCs/>
        </w:rPr>
        <w:t>Scrape</w:t>
      </w:r>
      <w:r w:rsidR="00D45343" w:rsidRPr="00D45343">
        <w:rPr>
          <w:b/>
          <w:bCs/>
        </w:rPr>
        <w:t xml:space="preserve"> data from public reports</w:t>
      </w:r>
    </w:p>
    <w:p w14:paraId="2F755544" w14:textId="6AC2C646" w:rsidR="009523A5" w:rsidRDefault="009523A5" w:rsidP="00A56518">
      <w:pPr>
        <w:pStyle w:val="BodyText"/>
      </w:pPr>
      <w:r w:rsidRPr="009523A5">
        <w:t>A large language model was used to scrape information from 21 public reports. These were published over the period 2008-2023 from a mix of government and private sources</w:t>
      </w:r>
      <w:r>
        <w:t>:</w:t>
      </w:r>
    </w:p>
    <w:p w14:paraId="460AEE46" w14:textId="10764057" w:rsidR="0015622B" w:rsidRPr="0015622B" w:rsidRDefault="0015622B" w:rsidP="00510B3D">
      <w:pPr>
        <w:pStyle w:val="BodyText"/>
        <w:numPr>
          <w:ilvl w:val="0"/>
          <w:numId w:val="11"/>
        </w:numPr>
      </w:pPr>
      <w:r w:rsidRPr="0015622B">
        <w:t>Government bodies including the Department of Health and A</w:t>
      </w:r>
      <w:r w:rsidR="00E52494">
        <w:t>ged Care</w:t>
      </w:r>
      <w:r w:rsidRPr="0015622B">
        <w:t>, ARC and NHMRC</w:t>
      </w:r>
    </w:p>
    <w:p w14:paraId="2C63CC4C" w14:textId="77777777" w:rsidR="0015622B" w:rsidRPr="0015622B" w:rsidRDefault="0015622B" w:rsidP="00510B3D">
      <w:pPr>
        <w:pStyle w:val="BodyText"/>
        <w:numPr>
          <w:ilvl w:val="0"/>
          <w:numId w:val="11"/>
        </w:numPr>
      </w:pPr>
      <w:r w:rsidRPr="0015622B">
        <w:t>Peak bodies such as AAMRI</w:t>
      </w:r>
    </w:p>
    <w:p w14:paraId="70483FBD" w14:textId="0BA1436C" w:rsidR="0015622B" w:rsidRPr="00D45343" w:rsidRDefault="0015622B" w:rsidP="00510B3D">
      <w:pPr>
        <w:pStyle w:val="BodyText"/>
        <w:numPr>
          <w:ilvl w:val="0"/>
          <w:numId w:val="11"/>
        </w:numPr>
      </w:pPr>
      <w:r w:rsidRPr="0015622B">
        <w:t>Private sources including Deloitte Access Economics and KPMG</w:t>
      </w:r>
    </w:p>
    <w:p w14:paraId="4E9062D9" w14:textId="77777777" w:rsidR="00996A8C" w:rsidRDefault="00996A8C" w:rsidP="00510B3D">
      <w:pPr>
        <w:pStyle w:val="BodyText"/>
        <w:numPr>
          <w:ilvl w:val="0"/>
          <w:numId w:val="10"/>
        </w:numPr>
        <w:rPr>
          <w:b/>
          <w:bCs/>
        </w:rPr>
      </w:pPr>
      <w:r w:rsidRPr="00996A8C">
        <w:rPr>
          <w:b/>
          <w:bCs/>
        </w:rPr>
        <w:t>Assess based on topic areas</w:t>
      </w:r>
    </w:p>
    <w:p w14:paraId="639CB9F8" w14:textId="77777777" w:rsidR="00E80E35" w:rsidRDefault="00E80E35" w:rsidP="00A56518">
      <w:pPr>
        <w:pStyle w:val="BodyText"/>
      </w:pPr>
      <w:r w:rsidRPr="00E80E35">
        <w:t>After fine-tuning model context and parameters, the model was used to collect information and understand gaps on the following key issues:</w:t>
      </w:r>
    </w:p>
    <w:p w14:paraId="60EC7412" w14:textId="40210E32" w:rsidR="00302975" w:rsidRPr="00302975" w:rsidRDefault="00302975" w:rsidP="00510B3D">
      <w:pPr>
        <w:pStyle w:val="BodyText"/>
        <w:numPr>
          <w:ilvl w:val="0"/>
          <w:numId w:val="8"/>
        </w:numPr>
      </w:pPr>
      <w:r w:rsidRPr="00721148">
        <w:rPr>
          <w:b/>
          <w:bCs/>
        </w:rPr>
        <w:t>Segments</w:t>
      </w:r>
      <w:r w:rsidR="0055630F" w:rsidRPr="00721148">
        <w:rPr>
          <w:b/>
          <w:bCs/>
        </w:rPr>
        <w:t>:</w:t>
      </w:r>
      <w:r w:rsidR="0055630F">
        <w:t xml:space="preserve"> </w:t>
      </w:r>
      <w:r w:rsidRPr="00302975">
        <w:t>How are the traditional, non-traditional and inactive workforce categories structured? How big are they, which employers are key, and what are the primary sources for funding?</w:t>
      </w:r>
    </w:p>
    <w:p w14:paraId="6A2DC0A3" w14:textId="4F2A7772" w:rsidR="00302975" w:rsidRPr="00302975" w:rsidRDefault="00302975" w:rsidP="00510B3D">
      <w:pPr>
        <w:pStyle w:val="BodyText"/>
        <w:numPr>
          <w:ilvl w:val="0"/>
          <w:numId w:val="8"/>
        </w:numPr>
      </w:pPr>
      <w:r w:rsidRPr="00721148">
        <w:rPr>
          <w:b/>
          <w:bCs/>
        </w:rPr>
        <w:t>Transitions</w:t>
      </w:r>
      <w:r w:rsidR="0055630F" w:rsidRPr="00721148">
        <w:rPr>
          <w:b/>
          <w:bCs/>
        </w:rPr>
        <w:t xml:space="preserve">: </w:t>
      </w:r>
      <w:r w:rsidRPr="00302975">
        <w:t>How do researchers move between workforce categories? How often is movement occurring and what are the major pathways for movement?</w:t>
      </w:r>
    </w:p>
    <w:p w14:paraId="6BD344AC" w14:textId="2B351DBE" w:rsidR="0015622B" w:rsidRPr="00996A8C" w:rsidRDefault="00302975" w:rsidP="00510B3D">
      <w:pPr>
        <w:pStyle w:val="BodyText"/>
        <w:numPr>
          <w:ilvl w:val="0"/>
          <w:numId w:val="8"/>
        </w:numPr>
      </w:pPr>
      <w:r w:rsidRPr="00721148">
        <w:rPr>
          <w:b/>
          <w:bCs/>
        </w:rPr>
        <w:t>Motivators</w:t>
      </w:r>
      <w:r w:rsidR="0055630F" w:rsidRPr="00721148">
        <w:rPr>
          <w:b/>
          <w:bCs/>
        </w:rPr>
        <w:t>:</w:t>
      </w:r>
      <w:r w:rsidR="0055630F" w:rsidRPr="00302975">
        <w:t xml:space="preserve"> </w:t>
      </w:r>
      <w:r w:rsidRPr="00302975">
        <w:t>Why do people move between workforce categories? What are the personal and financial reasons for movement or retention?</w:t>
      </w:r>
    </w:p>
    <w:p w14:paraId="321112B4" w14:textId="634744FB" w:rsidR="00F63574" w:rsidRDefault="00F46BD4" w:rsidP="00510B3D">
      <w:pPr>
        <w:pStyle w:val="BodyText"/>
        <w:numPr>
          <w:ilvl w:val="0"/>
          <w:numId w:val="10"/>
        </w:numPr>
        <w:rPr>
          <w:b/>
          <w:bCs/>
        </w:rPr>
      </w:pPr>
      <w:r w:rsidRPr="00F46BD4">
        <w:rPr>
          <w:b/>
          <w:bCs/>
        </w:rPr>
        <w:t>Synthesise results</w:t>
      </w:r>
    </w:p>
    <w:p w14:paraId="7EC736B6" w14:textId="77777777" w:rsidR="00E84EFC" w:rsidRDefault="00E84EFC" w:rsidP="00A56518">
      <w:pPr>
        <w:pStyle w:val="BodyText"/>
      </w:pPr>
      <w:r w:rsidRPr="00E84EFC">
        <w:t>The accuracy of the model results was assessed by reviewing a sample of the outputs. Results were then synthesised for presentation according to a prioritisation framework:</w:t>
      </w:r>
    </w:p>
    <w:p w14:paraId="2ADF20E7" w14:textId="009C1466" w:rsidR="00F551AF" w:rsidRPr="00F551AF" w:rsidRDefault="00F551AF" w:rsidP="00510B3D">
      <w:pPr>
        <w:pStyle w:val="BodyText"/>
        <w:numPr>
          <w:ilvl w:val="0"/>
          <w:numId w:val="9"/>
        </w:numPr>
      </w:pPr>
      <w:r w:rsidRPr="00F551AF">
        <w:t>Workforce definitions</w:t>
      </w:r>
    </w:p>
    <w:p w14:paraId="4CFDFD4F" w14:textId="77777777" w:rsidR="00F551AF" w:rsidRPr="00F551AF" w:rsidRDefault="00F551AF" w:rsidP="00510B3D">
      <w:pPr>
        <w:pStyle w:val="BodyText"/>
        <w:numPr>
          <w:ilvl w:val="0"/>
          <w:numId w:val="9"/>
        </w:numPr>
      </w:pPr>
      <w:r w:rsidRPr="00F551AF">
        <w:t>Workforce size estimates</w:t>
      </w:r>
    </w:p>
    <w:p w14:paraId="1F3C29AB" w14:textId="46EB8CCD" w:rsidR="00F551AF" w:rsidRDefault="00F551AF" w:rsidP="00510B3D">
      <w:pPr>
        <w:pStyle w:val="BodyText"/>
        <w:numPr>
          <w:ilvl w:val="0"/>
          <w:numId w:val="9"/>
        </w:numPr>
      </w:pPr>
      <w:r w:rsidRPr="00F551AF">
        <w:t>Information gaps for project issues framework</w:t>
      </w:r>
    </w:p>
    <w:p w14:paraId="418B0860" w14:textId="77777777" w:rsidR="00E84EFC" w:rsidRDefault="00E84EFC" w:rsidP="00A04B6B">
      <w:pPr>
        <w:pStyle w:val="BodyText"/>
        <w:rPr>
          <w:rFonts w:eastAsiaTheme="majorEastAsia"/>
          <w:b/>
          <w:bCs/>
          <w:color w:val="071A54" w:themeColor="accent1" w:themeShade="BF"/>
          <w:sz w:val="32"/>
          <w:szCs w:val="32"/>
          <w:lang w:val="en-GB"/>
        </w:rPr>
      </w:pPr>
      <w:r>
        <w:br w:type="page"/>
      </w:r>
    </w:p>
    <w:p w14:paraId="243CBCF1" w14:textId="589908E7" w:rsidR="00034FBD" w:rsidRPr="00A04B6B" w:rsidRDefault="00FA0A0A" w:rsidP="00615C63">
      <w:pPr>
        <w:pStyle w:val="Heading2"/>
      </w:pPr>
      <w:bookmarkStart w:id="75" w:name="_Toc178009100"/>
      <w:r w:rsidRPr="00615C63">
        <w:lastRenderedPageBreak/>
        <w:t>Microdata</w:t>
      </w:r>
      <w:r w:rsidR="00545690" w:rsidRPr="00615C63">
        <w:t xml:space="preserve">: </w:t>
      </w:r>
      <w:r w:rsidR="00661860" w:rsidRPr="00A04B6B">
        <w:t xml:space="preserve">Classification of online job profile microdata using a </w:t>
      </w:r>
      <w:r w:rsidR="0055630F">
        <w:t>Large Language Model (LLM)</w:t>
      </w:r>
      <w:r w:rsidR="0055630F" w:rsidRPr="00A04B6B">
        <w:t xml:space="preserve"> </w:t>
      </w:r>
      <w:r w:rsidR="00661860" w:rsidRPr="00A04B6B">
        <w:t>provides insights previously not available through other data sources</w:t>
      </w:r>
      <w:bookmarkEnd w:id="74"/>
      <w:bookmarkEnd w:id="75"/>
      <w:r w:rsidR="003B0A77" w:rsidRPr="00A04B6B">
        <w:t xml:space="preserve"> </w:t>
      </w:r>
    </w:p>
    <w:p w14:paraId="75BDDFE9" w14:textId="01F774F7" w:rsidR="00367A0B" w:rsidRPr="001946F9" w:rsidRDefault="00367A0B" w:rsidP="00A04B6B">
      <w:pPr>
        <w:pStyle w:val="BodyText"/>
      </w:pPr>
      <w:r w:rsidRPr="00367A0B">
        <w:rPr>
          <w:lang w:val="en-GB"/>
        </w:rPr>
        <w:t>Methods typically used to capture traditional workforce statistics do not accurately capture the health and medical research workforce</w:t>
      </w:r>
      <w:r>
        <w:rPr>
          <w:lang w:val="en-GB"/>
        </w:rPr>
        <w:t xml:space="preserve">. </w:t>
      </w:r>
      <w:r w:rsidRPr="001946F9">
        <w:rPr>
          <w:lang w:val="en-GB"/>
        </w:rPr>
        <w:t>The ABS collects population-wide figured with industries and sectors of employment classified under ANZSCO and ANZSIC codes</w:t>
      </w:r>
      <w:r>
        <w:t xml:space="preserve">. </w:t>
      </w:r>
      <w:r w:rsidR="00793B7B">
        <w:t>F</w:t>
      </w:r>
      <w:r w:rsidR="00793B7B" w:rsidRPr="00502993">
        <w:t>or the traditional health and medical research workforce,</w:t>
      </w:r>
      <w:r w:rsidR="00793B7B">
        <w:t xml:space="preserve"> these classification structures are not useful as</w:t>
      </w:r>
      <w:r w:rsidR="00793B7B" w:rsidRPr="00502993">
        <w:t xml:space="preserve"> many roles are captured under tertiary education </w:t>
      </w:r>
      <w:r w:rsidR="00793B7B">
        <w:t>occupations and</w:t>
      </w:r>
      <w:r w:rsidR="00793B7B" w:rsidRPr="00502993">
        <w:t xml:space="preserve"> are indistinguishable from non-health and medical research academic teaching and research activities. For the non-traditional workforce, there is no simple way to distinguish which clinical workers in the ABS may be performing research as a task as part of their occupation.</w:t>
      </w:r>
    </w:p>
    <w:p w14:paraId="29D00CE7" w14:textId="77777777" w:rsidR="00B155DE" w:rsidRDefault="0086501C" w:rsidP="00A04B6B">
      <w:pPr>
        <w:pStyle w:val="BodyText"/>
        <w:rPr>
          <w:lang w:val="en-GB"/>
        </w:rPr>
      </w:pPr>
      <w:r>
        <w:rPr>
          <w:lang w:val="en-GB"/>
        </w:rPr>
        <w:t xml:space="preserve">Given the limitations of </w:t>
      </w:r>
      <w:r w:rsidR="0062093E">
        <w:rPr>
          <w:lang w:val="en-GB"/>
        </w:rPr>
        <w:t xml:space="preserve">common data sources for workforce analysis, microdata sources </w:t>
      </w:r>
      <w:r w:rsidR="00E041AA">
        <w:rPr>
          <w:lang w:val="en-GB"/>
        </w:rPr>
        <w:t>were explored as an alternative to provide rich information on</w:t>
      </w:r>
      <w:r w:rsidR="00C61A98">
        <w:rPr>
          <w:lang w:val="en-GB"/>
        </w:rPr>
        <w:t>:</w:t>
      </w:r>
    </w:p>
    <w:p w14:paraId="7185293F" w14:textId="77777777" w:rsidR="00B155DE" w:rsidRPr="002A1E4F" w:rsidRDefault="00980351" w:rsidP="00510B3D">
      <w:pPr>
        <w:pStyle w:val="BodyText"/>
        <w:numPr>
          <w:ilvl w:val="0"/>
          <w:numId w:val="12"/>
        </w:numPr>
        <w:rPr>
          <w:lang w:val="en-GB"/>
        </w:rPr>
      </w:pPr>
      <w:r w:rsidRPr="00B155DE">
        <w:rPr>
          <w:lang w:val="en-GB"/>
        </w:rPr>
        <w:t>The career pathways and transitions of health and medical research workers</w:t>
      </w:r>
    </w:p>
    <w:p w14:paraId="3240EAF5" w14:textId="6E3139D9" w:rsidR="00980351" w:rsidRPr="00B155DE" w:rsidRDefault="00980351" w:rsidP="00510B3D">
      <w:pPr>
        <w:pStyle w:val="BodyText"/>
        <w:numPr>
          <w:ilvl w:val="0"/>
          <w:numId w:val="12"/>
        </w:numPr>
        <w:rPr>
          <w:lang w:val="en-GB"/>
        </w:rPr>
      </w:pPr>
      <w:r w:rsidRPr="00B155DE">
        <w:rPr>
          <w:lang w:val="en-GB"/>
        </w:rPr>
        <w:t>Employers and their characteristics</w:t>
      </w:r>
    </w:p>
    <w:p w14:paraId="2E4AE474" w14:textId="455AD949" w:rsidR="001946F9" w:rsidRDefault="001946F9" w:rsidP="00A04B6B">
      <w:pPr>
        <w:pStyle w:val="BodyText"/>
      </w:pPr>
      <w:proofErr w:type="spellStart"/>
      <w:r w:rsidRPr="001946F9">
        <w:rPr>
          <w:lang w:val="en-GB"/>
        </w:rPr>
        <w:t>Revelio</w:t>
      </w:r>
      <w:proofErr w:type="spellEnd"/>
      <w:r w:rsidRPr="001946F9">
        <w:rPr>
          <w:lang w:val="en-GB"/>
        </w:rPr>
        <w:t xml:space="preserve"> Labs data is a workforce database which collects and aggregates publicly available employment information worldwide. </w:t>
      </w:r>
      <w:r w:rsidR="007F7394">
        <w:rPr>
          <w:lang w:val="en-GB"/>
        </w:rPr>
        <w:t>Despite it</w:t>
      </w:r>
      <w:r w:rsidR="008B4609">
        <w:rPr>
          <w:lang w:val="en-GB"/>
        </w:rPr>
        <w:t xml:space="preserve"> being a </w:t>
      </w:r>
      <w:r w:rsidR="00B72AA4">
        <w:rPr>
          <w:lang w:val="en-GB"/>
        </w:rPr>
        <w:t>relatively</w:t>
      </w:r>
      <w:r w:rsidR="008B4609">
        <w:rPr>
          <w:lang w:val="en-GB"/>
        </w:rPr>
        <w:t xml:space="preserve"> new dataset, </w:t>
      </w:r>
      <w:proofErr w:type="spellStart"/>
      <w:r w:rsidR="000765BD">
        <w:rPr>
          <w:lang w:val="en-GB"/>
        </w:rPr>
        <w:t>Revelio</w:t>
      </w:r>
      <w:proofErr w:type="spellEnd"/>
      <w:r w:rsidR="000765BD">
        <w:rPr>
          <w:lang w:val="en-GB"/>
        </w:rPr>
        <w:t xml:space="preserve"> Labs has been used in several </w:t>
      </w:r>
      <w:r w:rsidR="000040B0">
        <w:rPr>
          <w:lang w:val="en-GB"/>
        </w:rPr>
        <w:t>economics’</w:t>
      </w:r>
      <w:r w:rsidR="000765BD">
        <w:rPr>
          <w:lang w:val="en-GB"/>
        </w:rPr>
        <w:t xml:space="preserve"> papers in the past year</w:t>
      </w:r>
      <w:r w:rsidR="00685950">
        <w:rPr>
          <w:rStyle w:val="FootnoteReference"/>
          <w:lang w:val="en-GB"/>
        </w:rPr>
        <w:footnoteReference w:id="62"/>
      </w:r>
      <w:r w:rsidR="00AE0370">
        <w:rPr>
          <w:lang w:val="en-GB"/>
        </w:rPr>
        <w:t xml:space="preserve">. </w:t>
      </w:r>
      <w:r w:rsidR="00841C64">
        <w:rPr>
          <w:lang w:val="en-GB"/>
        </w:rPr>
        <w:t xml:space="preserve">To analyse the microdata for the health and medical research workforce, a classification exercise was required to identify the health and medical research workforce within the overall Australian workforce. </w:t>
      </w:r>
      <w:r w:rsidR="005935E7">
        <w:t>Three approaches were explored</w:t>
      </w:r>
      <w:r w:rsidR="00841C64">
        <w:t xml:space="preserve"> to classify the microdata</w:t>
      </w:r>
      <w:r w:rsidR="001B01C2">
        <w:t>.</w:t>
      </w:r>
      <w:r w:rsidR="005935E7">
        <w:t xml:space="preserve"> </w:t>
      </w:r>
    </w:p>
    <w:p w14:paraId="2DC5EA85" w14:textId="6B4DB0DA" w:rsidR="008111B0" w:rsidRPr="002A1E4F" w:rsidRDefault="008111B0" w:rsidP="00510B3D">
      <w:pPr>
        <w:pStyle w:val="BodyText"/>
        <w:numPr>
          <w:ilvl w:val="0"/>
          <w:numId w:val="15"/>
        </w:numPr>
      </w:pPr>
      <w:r w:rsidRPr="002A1E4F">
        <w:rPr>
          <w:b/>
          <w:bCs/>
          <w:lang w:val="en-US"/>
        </w:rPr>
        <w:t>Rules-based classification</w:t>
      </w:r>
    </w:p>
    <w:p w14:paraId="22409F25" w14:textId="1E8681A0" w:rsidR="00043B9E" w:rsidRPr="00043B9E" w:rsidRDefault="00043B9E" w:rsidP="00A04B6B">
      <w:pPr>
        <w:pStyle w:val="BodyText"/>
      </w:pPr>
      <w:r w:rsidRPr="00043B9E">
        <w:rPr>
          <w:lang w:val="en-GB"/>
        </w:rPr>
        <w:t xml:space="preserve">Determine a set of selection criteria characteristics and included workers who fit all the criteria. Process excluded workers who did not meet all the inclusion criteria. Inclusion criteria were research role in Australia, degree in a </w:t>
      </w:r>
      <w:r w:rsidR="003B784D" w:rsidRPr="00043B9E">
        <w:rPr>
          <w:lang w:val="en-GB"/>
        </w:rPr>
        <w:t xml:space="preserve">relevant field of study </w:t>
      </w:r>
      <w:r w:rsidR="00206560">
        <w:rPr>
          <w:lang w:val="en-GB"/>
        </w:rPr>
        <w:t>such as</w:t>
      </w:r>
      <w:r w:rsidR="003B784D" w:rsidRPr="00043B9E">
        <w:rPr>
          <w:lang w:val="en-GB"/>
        </w:rPr>
        <w:t xml:space="preserve"> medical sciences</w:t>
      </w:r>
      <w:r w:rsidR="0055630F">
        <w:rPr>
          <w:lang w:val="en-GB"/>
        </w:rPr>
        <w:t xml:space="preserve"> and </w:t>
      </w:r>
      <w:r w:rsidRPr="00043B9E">
        <w:rPr>
          <w:lang w:val="en-GB"/>
        </w:rPr>
        <w:t xml:space="preserve">worked in a relevant industry </w:t>
      </w:r>
      <w:r w:rsidR="00206560">
        <w:rPr>
          <w:lang w:val="en-GB"/>
        </w:rPr>
        <w:t>such as</w:t>
      </w:r>
      <w:r w:rsidRPr="00043B9E">
        <w:rPr>
          <w:lang w:val="en-GB"/>
        </w:rPr>
        <w:t xml:space="preserve"> professional, scientific and technical services</w:t>
      </w:r>
      <w:r w:rsidR="00206560">
        <w:rPr>
          <w:lang w:val="en-GB"/>
        </w:rPr>
        <w:t>.</w:t>
      </w:r>
    </w:p>
    <w:p w14:paraId="1F08FA9A" w14:textId="5170FA7B" w:rsidR="00043B9E" w:rsidRPr="002A1E4F" w:rsidRDefault="001B01C2" w:rsidP="00A04B6B">
      <w:pPr>
        <w:pStyle w:val="BodyText"/>
      </w:pPr>
      <w:r>
        <w:rPr>
          <w:b/>
          <w:bCs/>
          <w:lang w:val="en-GB"/>
        </w:rPr>
        <w:t>However, this approach was t</w:t>
      </w:r>
      <w:r w:rsidRPr="001B01C2">
        <w:rPr>
          <w:b/>
          <w:bCs/>
          <w:lang w:val="en-GB"/>
        </w:rPr>
        <w:t xml:space="preserve">oo strict and excluded too much of the workforce. </w:t>
      </w:r>
      <w:r w:rsidRPr="001B01C2">
        <w:rPr>
          <w:lang w:val="en-GB"/>
        </w:rPr>
        <w:t>This approach was very strict in the selection of relevant researchers and did not account for the diversity within the health and medical research workforce. For example, researchers working in HMR roles who do</w:t>
      </w:r>
      <w:r w:rsidR="009120E6">
        <w:rPr>
          <w:lang w:val="en-GB"/>
        </w:rPr>
        <w:t xml:space="preserve"> </w:t>
      </w:r>
      <w:r w:rsidRPr="001B01C2">
        <w:rPr>
          <w:lang w:val="en-GB"/>
        </w:rPr>
        <w:t>n</w:t>
      </w:r>
      <w:r w:rsidR="009120E6">
        <w:rPr>
          <w:lang w:val="en-GB"/>
        </w:rPr>
        <w:t>o</w:t>
      </w:r>
      <w:r w:rsidRPr="001B01C2">
        <w:rPr>
          <w:lang w:val="en-GB"/>
        </w:rPr>
        <w:t xml:space="preserve">t have relevant fields of study would be excluded. </w:t>
      </w:r>
    </w:p>
    <w:p w14:paraId="591ACFB2" w14:textId="2927964B" w:rsidR="000258B3" w:rsidRPr="002A1E4F" w:rsidRDefault="000258B3" w:rsidP="00510B3D">
      <w:pPr>
        <w:pStyle w:val="BodyText"/>
        <w:numPr>
          <w:ilvl w:val="0"/>
          <w:numId w:val="15"/>
        </w:numPr>
        <w:rPr>
          <w:b/>
          <w:vertAlign w:val="superscript"/>
          <w:lang w:val="en-US"/>
        </w:rPr>
      </w:pPr>
      <w:r w:rsidRPr="002A1E4F">
        <w:rPr>
          <w:rFonts w:cstheme="minorBidi"/>
          <w:b/>
          <w:bCs/>
          <w:lang w:val="en-US"/>
        </w:rPr>
        <w:t>Machine learning model</w:t>
      </w:r>
      <w:r w:rsidR="000F55DA">
        <w:rPr>
          <w:rStyle w:val="FootnoteReference"/>
          <w:b/>
          <w:bCs/>
          <w:lang w:val="en-US"/>
        </w:rPr>
        <w:footnoteReference w:id="63"/>
      </w:r>
    </w:p>
    <w:p w14:paraId="5E219C91" w14:textId="2E394DDF" w:rsidR="00DD722A" w:rsidRPr="002A1E4F" w:rsidRDefault="00DD722A" w:rsidP="00A04B6B">
      <w:pPr>
        <w:pStyle w:val="BodyText"/>
      </w:pPr>
      <w:r w:rsidRPr="00DD722A">
        <w:rPr>
          <w:lang w:val="en-GB"/>
        </w:rPr>
        <w:t xml:space="preserve">The use of a machine learning algorithms such as a random forest model to better classify and segment the workforce was assessed. A machine learning model would be based on a combination of decision trees to determine the outcome of inclusion into the health and medical research workforce. This process would require the construction of a training data set, which involves manual classification of a sample of the data to train </w:t>
      </w:r>
      <w:r w:rsidR="0055630F">
        <w:rPr>
          <w:lang w:val="en-GB"/>
        </w:rPr>
        <w:t>t</w:t>
      </w:r>
      <w:r w:rsidRPr="00DD722A">
        <w:rPr>
          <w:lang w:val="en-GB"/>
        </w:rPr>
        <w:t xml:space="preserve">he model. </w:t>
      </w:r>
    </w:p>
    <w:p w14:paraId="471CE6D2" w14:textId="7821C157" w:rsidR="00FB2606" w:rsidRPr="002A1E4F" w:rsidRDefault="00FB2606" w:rsidP="00A04B6B">
      <w:pPr>
        <w:pStyle w:val="BodyText"/>
      </w:pPr>
      <w:r>
        <w:rPr>
          <w:b/>
          <w:bCs/>
          <w:lang w:val="en-GB"/>
        </w:rPr>
        <w:t>However, this approach was t</w:t>
      </w:r>
      <w:r w:rsidRPr="00FB2606">
        <w:rPr>
          <w:b/>
          <w:bCs/>
          <w:lang w:val="en-GB"/>
        </w:rPr>
        <w:t xml:space="preserve">oo time-consuming and had a high risk of human error. </w:t>
      </w:r>
      <w:r w:rsidRPr="00FB2606">
        <w:rPr>
          <w:lang w:val="en-GB"/>
        </w:rPr>
        <w:t xml:space="preserve">Assuming 30 seconds per person classifying, with a two-person team, this would take 500 hours to classify 120,000 positions required to train </w:t>
      </w:r>
      <w:r w:rsidRPr="00FB2606">
        <w:rPr>
          <w:lang w:val="en-GB"/>
        </w:rPr>
        <w:lastRenderedPageBreak/>
        <w:t>the machine learning model. This was not reasonable in our timeframe for this project and the degree of human-error is potentially high with manual classification</w:t>
      </w:r>
      <w:r w:rsidR="007D4673">
        <w:rPr>
          <w:lang w:val="en-GB"/>
        </w:rPr>
        <w:t>.</w:t>
      </w:r>
    </w:p>
    <w:p w14:paraId="4244BA2B" w14:textId="6EBD7371" w:rsidR="008E49F7" w:rsidRPr="002A1E4F" w:rsidRDefault="008E49F7" w:rsidP="00510B3D">
      <w:pPr>
        <w:pStyle w:val="BodyText"/>
        <w:numPr>
          <w:ilvl w:val="0"/>
          <w:numId w:val="15"/>
        </w:numPr>
        <w:rPr>
          <w:b/>
          <w:lang w:val="en-US"/>
        </w:rPr>
      </w:pPr>
      <w:r w:rsidRPr="002A1E4F">
        <w:rPr>
          <w:rFonts w:cstheme="minorBidi"/>
          <w:b/>
          <w:bCs/>
          <w:lang w:val="en-US"/>
        </w:rPr>
        <w:t>Large language model (LLM)</w:t>
      </w:r>
      <w:r>
        <w:rPr>
          <w:rStyle w:val="FootnoteReference"/>
          <w:b/>
          <w:bCs/>
          <w:lang w:val="en-US"/>
        </w:rPr>
        <w:footnoteReference w:id="64"/>
      </w:r>
    </w:p>
    <w:p w14:paraId="3AF321F3" w14:textId="750298BA" w:rsidR="002450BD" w:rsidRPr="005628CE" w:rsidRDefault="002450BD" w:rsidP="00A04B6B">
      <w:pPr>
        <w:pStyle w:val="BodyText"/>
        <w:rPr>
          <w:lang w:val="en-GB"/>
        </w:rPr>
      </w:pPr>
      <w:r w:rsidRPr="005628CE">
        <w:rPr>
          <w:lang w:val="en-US"/>
        </w:rPr>
        <w:t xml:space="preserve">An LLM, such as ChatGPT, to segment the workforce. The </w:t>
      </w:r>
      <w:r w:rsidRPr="005628CE">
        <w:rPr>
          <w:lang w:val="en-GB"/>
        </w:rPr>
        <w:t xml:space="preserve">LLM classifier is designed to assign a probability score of the likelihood of an individual working in the HMR workforce. A prompt with job title, company, degree, industry and field of study is given to the LLM to provide examples of workers who are within the traditional or non-traditional segments. Based on these suggested definitions the model assigns each worker a probability score of being in the HMR workforce. </w:t>
      </w:r>
    </w:p>
    <w:p w14:paraId="4829F46D" w14:textId="59D6862A" w:rsidR="005628CE" w:rsidRPr="005628CE" w:rsidRDefault="005628CE" w:rsidP="00A04B6B">
      <w:pPr>
        <w:pStyle w:val="BodyText"/>
      </w:pPr>
      <w:r w:rsidRPr="005628CE">
        <w:rPr>
          <w:b/>
          <w:bCs/>
          <w:lang w:val="en-US"/>
        </w:rPr>
        <w:t xml:space="preserve">False positives </w:t>
      </w:r>
      <w:r w:rsidR="00DF7044">
        <w:rPr>
          <w:b/>
          <w:bCs/>
          <w:lang w:val="en-US"/>
        </w:rPr>
        <w:t xml:space="preserve">can </w:t>
      </w:r>
      <w:r w:rsidRPr="005628CE">
        <w:rPr>
          <w:b/>
          <w:bCs/>
          <w:lang w:val="en-US"/>
        </w:rPr>
        <w:t>occur within the classifier</w:t>
      </w:r>
      <w:r w:rsidR="00DF7044">
        <w:rPr>
          <w:b/>
          <w:bCs/>
          <w:lang w:val="en-US"/>
        </w:rPr>
        <w:t xml:space="preserve">, </w:t>
      </w:r>
      <w:r w:rsidR="005D0629">
        <w:rPr>
          <w:b/>
          <w:bCs/>
          <w:lang w:val="en-US"/>
        </w:rPr>
        <w:t>but manual checks can resolve this</w:t>
      </w:r>
      <w:r w:rsidRPr="005628CE">
        <w:rPr>
          <w:b/>
          <w:bCs/>
          <w:lang w:val="en-US"/>
        </w:rPr>
        <w:t xml:space="preserve">. </w:t>
      </w:r>
      <w:r w:rsidRPr="005628CE">
        <w:rPr>
          <w:lang w:val="en-US"/>
        </w:rPr>
        <w:t xml:space="preserve">The model is accurate when classifying the traditional workers with more reclassification and exclusions of the non-traditional workers. </w:t>
      </w:r>
    </w:p>
    <w:p w14:paraId="487A2218" w14:textId="77777777" w:rsidR="005935E7" w:rsidRDefault="005935E7" w:rsidP="00A04B6B">
      <w:pPr>
        <w:pStyle w:val="BodyText"/>
      </w:pPr>
      <w:r w:rsidRPr="003266A5">
        <w:rPr>
          <w:b/>
          <w:bCs/>
        </w:rPr>
        <w:t>Large language model (LLM)</w:t>
      </w:r>
      <w:r w:rsidRPr="003266A5">
        <w:t xml:space="preserve"> approach was chosen to ensure timeliness of delivery and to ensure the data represents the diversity of the HMR workforce in terms of field of study, role and industry. </w:t>
      </w:r>
    </w:p>
    <w:p w14:paraId="42717C03" w14:textId="77777777" w:rsidR="002156E7" w:rsidRPr="001946F9" w:rsidRDefault="002156E7" w:rsidP="00A04B6B">
      <w:pPr>
        <w:pStyle w:val="BodyText"/>
      </w:pPr>
      <w:r w:rsidRPr="001946F9">
        <w:rPr>
          <w:lang w:val="en-GB"/>
        </w:rPr>
        <w:t xml:space="preserve">Using the LLM approach, we were able to segment the HMR workforce from the </w:t>
      </w:r>
      <w:proofErr w:type="spellStart"/>
      <w:r w:rsidRPr="001946F9">
        <w:rPr>
          <w:lang w:val="en-GB"/>
        </w:rPr>
        <w:t>Revelio</w:t>
      </w:r>
      <w:proofErr w:type="spellEnd"/>
      <w:r w:rsidRPr="001946F9">
        <w:rPr>
          <w:lang w:val="en-GB"/>
        </w:rPr>
        <w:t xml:space="preserve"> Labs data. The model included workers in the HMR workforce with characteristics such as: </w:t>
      </w:r>
    </w:p>
    <w:p w14:paraId="16AF5A6E" w14:textId="77777777" w:rsidR="001946F9" w:rsidRPr="001946F9" w:rsidRDefault="001946F9" w:rsidP="00510B3D">
      <w:pPr>
        <w:pStyle w:val="BodyText"/>
        <w:numPr>
          <w:ilvl w:val="0"/>
          <w:numId w:val="13"/>
        </w:numPr>
      </w:pPr>
      <w:r w:rsidRPr="001946F9">
        <w:rPr>
          <w:lang w:val="en-US"/>
        </w:rPr>
        <w:t>Research officer</w:t>
      </w:r>
      <w:r w:rsidRPr="001946F9">
        <w:t xml:space="preserve"> at t</w:t>
      </w:r>
      <w:r w:rsidRPr="001946F9">
        <w:rPr>
          <w:lang w:val="en-GB"/>
        </w:rPr>
        <w:t>he Walter and Eliza Hall Institute of Medical Research, qualification in m</w:t>
      </w:r>
      <w:proofErr w:type="spellStart"/>
      <w:r w:rsidRPr="001946F9">
        <w:rPr>
          <w:lang w:val="en-US"/>
        </w:rPr>
        <w:t>olecular</w:t>
      </w:r>
      <w:proofErr w:type="spellEnd"/>
      <w:r w:rsidRPr="001946F9">
        <w:rPr>
          <w:lang w:val="en-US"/>
        </w:rPr>
        <w:t xml:space="preserve"> medicine</w:t>
      </w:r>
    </w:p>
    <w:p w14:paraId="602CF18B" w14:textId="77777777" w:rsidR="001946F9" w:rsidRPr="001946F9" w:rsidRDefault="001946F9" w:rsidP="00510B3D">
      <w:pPr>
        <w:pStyle w:val="BodyText"/>
        <w:numPr>
          <w:ilvl w:val="0"/>
          <w:numId w:val="13"/>
        </w:numPr>
      </w:pPr>
      <w:r w:rsidRPr="001946F9">
        <w:t xml:space="preserve">Senior clinical research associate, at </w:t>
      </w:r>
      <w:proofErr w:type="spellStart"/>
      <w:r w:rsidRPr="001946F9">
        <w:t>Novotech</w:t>
      </w:r>
      <w:proofErr w:type="spellEnd"/>
      <w:r w:rsidRPr="001946F9">
        <w:t xml:space="preserve">, qualification in biomedical sciences </w:t>
      </w:r>
    </w:p>
    <w:p w14:paraId="373B5B8E" w14:textId="77777777" w:rsidR="002156E7" w:rsidRPr="001946F9" w:rsidRDefault="002156E7" w:rsidP="00A04B6B">
      <w:pPr>
        <w:pStyle w:val="BodyText"/>
      </w:pPr>
      <w:r w:rsidRPr="001946F9">
        <w:t xml:space="preserve">The model excluded workers with characteristics such as: </w:t>
      </w:r>
    </w:p>
    <w:p w14:paraId="7B342C4D" w14:textId="77777777" w:rsidR="001946F9" w:rsidRPr="001946F9" w:rsidRDefault="001946F9" w:rsidP="00510B3D">
      <w:pPr>
        <w:pStyle w:val="BodyText"/>
        <w:numPr>
          <w:ilvl w:val="0"/>
          <w:numId w:val="14"/>
        </w:numPr>
      </w:pPr>
      <w:r w:rsidRPr="001946F9">
        <w:t xml:space="preserve">PhD researcher at the </w:t>
      </w:r>
      <w:r w:rsidRPr="001946F9">
        <w:rPr>
          <w:lang w:val="en-GB"/>
        </w:rPr>
        <w:t xml:space="preserve">Australian Nuclear Science &amp; Technology Organisation, qualification in industrial engineering </w:t>
      </w:r>
    </w:p>
    <w:p w14:paraId="1B947E63" w14:textId="77777777" w:rsidR="002156E7" w:rsidRPr="00B151BE" w:rsidRDefault="001946F9" w:rsidP="00510B3D">
      <w:pPr>
        <w:pStyle w:val="BodyText"/>
        <w:numPr>
          <w:ilvl w:val="0"/>
          <w:numId w:val="14"/>
        </w:numPr>
      </w:pPr>
      <w:r w:rsidRPr="001946F9">
        <w:rPr>
          <w:lang w:val="en-GB"/>
        </w:rPr>
        <w:t xml:space="preserve">Research scientist at the CSIRO, qualification in Animal Science </w:t>
      </w:r>
    </w:p>
    <w:p w14:paraId="4A72491F" w14:textId="77777777" w:rsidR="004A7A09" w:rsidRDefault="004A7A09">
      <w:pPr>
        <w:spacing w:before="0" w:after="0" w:line="240" w:lineRule="auto"/>
        <w:rPr>
          <w:rFonts w:eastAsiaTheme="majorEastAsia"/>
          <w:b/>
          <w:bCs/>
          <w:color w:val="001C55" w:themeColor="text2"/>
          <w:sz w:val="32"/>
          <w:szCs w:val="32"/>
          <w:lang w:val="en-GB"/>
        </w:rPr>
      </w:pPr>
      <w:r>
        <w:br w:type="page"/>
      </w:r>
    </w:p>
    <w:p w14:paraId="387A6910" w14:textId="68EF969F" w:rsidR="009311EB" w:rsidRDefault="00AE2674" w:rsidP="00A04B6B">
      <w:pPr>
        <w:pStyle w:val="Heading2"/>
      </w:pPr>
      <w:bookmarkStart w:id="76" w:name="_Toc178009101"/>
      <w:proofErr w:type="spellStart"/>
      <w:r w:rsidRPr="002A1E4F">
        <w:lastRenderedPageBreak/>
        <w:t>Revelio</w:t>
      </w:r>
      <w:proofErr w:type="spellEnd"/>
      <w:r w:rsidR="00E51236">
        <w:t xml:space="preserve"> data</w:t>
      </w:r>
      <w:r w:rsidRPr="002A1E4F">
        <w:t xml:space="preserve"> </w:t>
      </w:r>
      <w:r w:rsidR="000E4EAC">
        <w:t xml:space="preserve">was classified </w:t>
      </w:r>
      <w:r w:rsidRPr="002A1E4F">
        <w:t xml:space="preserve">to understand employment trends for 59,400 health and medical researchers in Australia over the last </w:t>
      </w:r>
      <w:r w:rsidR="002C6F95">
        <w:t>5</w:t>
      </w:r>
      <w:r w:rsidRPr="002A1E4F">
        <w:t xml:space="preserve"> years</w:t>
      </w:r>
      <w:bookmarkEnd w:id="76"/>
    </w:p>
    <w:p w14:paraId="57FC8416" w14:textId="1C9B19C3" w:rsidR="00252A6F" w:rsidRDefault="00FC4A5F" w:rsidP="00A04B6B">
      <w:pPr>
        <w:pStyle w:val="BodyText"/>
      </w:pPr>
      <w:r>
        <w:t xml:space="preserve">The </w:t>
      </w:r>
      <w:proofErr w:type="spellStart"/>
      <w:r w:rsidR="008E3D89">
        <w:t>Revelio</w:t>
      </w:r>
      <w:proofErr w:type="spellEnd"/>
      <w:r>
        <w:t xml:space="preserve"> data set has </w:t>
      </w:r>
      <w:r w:rsidRPr="00DE2A83">
        <w:rPr>
          <w:b/>
          <w:bCs/>
          <w:lang w:val="en-US"/>
        </w:rPr>
        <w:t>1.4 billion positions</w:t>
      </w:r>
      <w:r w:rsidRPr="0097416E">
        <w:rPr>
          <w:lang w:val="en-US"/>
        </w:rPr>
        <w:t xml:space="preserve"> </w:t>
      </w:r>
      <w:r w:rsidRPr="00DE2A83">
        <w:rPr>
          <w:b/>
          <w:bCs/>
          <w:lang w:val="en-US"/>
        </w:rPr>
        <w:t>worldwide</w:t>
      </w:r>
      <w:r w:rsidRPr="008E3D89">
        <w:t xml:space="preserve"> </w:t>
      </w:r>
      <w:r w:rsidR="004B5398" w:rsidRPr="008E3D89">
        <w:t xml:space="preserve">and after classification, </w:t>
      </w:r>
      <w:r w:rsidR="008E3D89" w:rsidRPr="0097416E">
        <w:rPr>
          <w:lang w:val="en-US"/>
        </w:rPr>
        <w:t>59,400 health and medical researchers</w:t>
      </w:r>
      <w:r w:rsidR="008E3D89" w:rsidRPr="008E3D89">
        <w:t xml:space="preserve"> were identified.</w:t>
      </w:r>
      <w:r w:rsidR="008E3D89">
        <w:t xml:space="preserve"> </w:t>
      </w:r>
    </w:p>
    <w:p w14:paraId="60A7F30C" w14:textId="1E345062" w:rsidR="00763B67" w:rsidRDefault="00763B67" w:rsidP="00A04B6B">
      <w:pPr>
        <w:pStyle w:val="BodyText"/>
      </w:pPr>
      <w:r w:rsidRPr="0097416E">
        <w:t>Key steps in identifying health and medical researchers in the dataset</w:t>
      </w:r>
      <w:r>
        <w:t xml:space="preserve">: </w:t>
      </w:r>
    </w:p>
    <w:p w14:paraId="7C417AE4" w14:textId="240485AA" w:rsidR="00361B59" w:rsidRPr="007261B6" w:rsidRDefault="00361B59" w:rsidP="00510B3D">
      <w:pPr>
        <w:pStyle w:val="BodyText"/>
        <w:numPr>
          <w:ilvl w:val="0"/>
          <w:numId w:val="16"/>
        </w:numPr>
        <w:rPr>
          <w:b/>
        </w:rPr>
      </w:pPr>
      <w:r w:rsidRPr="00DE2A83">
        <w:rPr>
          <w:b/>
          <w:bCs/>
        </w:rPr>
        <w:t xml:space="preserve">Identify </w:t>
      </w:r>
      <w:r w:rsidR="007261B6" w:rsidRPr="00DE2A83">
        <w:rPr>
          <w:b/>
          <w:bCs/>
        </w:rPr>
        <w:t>potential job categories:</w:t>
      </w:r>
      <w:r w:rsidR="007261B6">
        <w:rPr>
          <w:b/>
          <w:bCs/>
        </w:rPr>
        <w:t xml:space="preserve"> </w:t>
      </w:r>
      <w:r w:rsidR="007261B6">
        <w:t xml:space="preserve">To create the initial dataset, we </w:t>
      </w:r>
      <w:r w:rsidR="005B4E9A">
        <w:t xml:space="preserve">identified </w:t>
      </w:r>
      <w:r w:rsidR="004E28FC">
        <w:t>pro</w:t>
      </w:r>
      <w:r w:rsidR="00614A92">
        <w:t xml:space="preserve">files </w:t>
      </w:r>
      <w:r w:rsidR="007261B6" w:rsidRPr="003414A8">
        <w:t>who had a</w:t>
      </w:r>
      <w:r w:rsidR="007261B6">
        <w:t>t least one</w:t>
      </w:r>
      <w:r w:rsidR="007261B6" w:rsidRPr="003414A8">
        <w:t xml:space="preserve"> </w:t>
      </w:r>
      <w:r w:rsidR="00A7258F">
        <w:t xml:space="preserve">position </w:t>
      </w:r>
      <w:r w:rsidR="00753176">
        <w:t xml:space="preserve">that was in </w:t>
      </w:r>
      <w:r w:rsidR="007261B6">
        <w:t>one</w:t>
      </w:r>
      <w:r w:rsidR="007261B6" w:rsidRPr="003414A8">
        <w:t xml:space="preserve"> </w:t>
      </w:r>
      <w:r w:rsidR="00F73D39">
        <w:t xml:space="preserve">of the </w:t>
      </w:r>
      <w:r w:rsidR="007261B6" w:rsidRPr="003414A8">
        <w:t>relevant</w:t>
      </w:r>
      <w:r w:rsidR="007261B6">
        <w:t xml:space="preserve"> </w:t>
      </w:r>
      <w:r w:rsidR="007261B6" w:rsidRPr="003414A8">
        <w:t xml:space="preserve">job </w:t>
      </w:r>
      <w:r w:rsidR="007261B6">
        <w:t>categor</w:t>
      </w:r>
      <w:r w:rsidR="00566F25">
        <w:t xml:space="preserve">ies. </w:t>
      </w:r>
      <w:proofErr w:type="spellStart"/>
      <w:r w:rsidR="00566F25">
        <w:t>Revelio</w:t>
      </w:r>
      <w:proofErr w:type="spellEnd"/>
      <w:r w:rsidR="00D635B6">
        <w:t xml:space="preserve"> Labs</w:t>
      </w:r>
      <w:r w:rsidR="00702813">
        <w:t xml:space="preserve"> maps </w:t>
      </w:r>
      <w:r w:rsidR="00AE66EC">
        <w:t>the job titles from a free text field to one of 1,500 job categories</w:t>
      </w:r>
      <w:r w:rsidR="007261B6">
        <w:t xml:space="preserve"> using a proprietary algorithm. These job categories are a mapping of underlying free text entries and are not a list of keywords. </w:t>
      </w:r>
      <w:r w:rsidR="00D635B6">
        <w:t xml:space="preserve">Mandala identified </w:t>
      </w:r>
      <w:r w:rsidR="004D7049">
        <w:t xml:space="preserve">98 possible job categories of </w:t>
      </w:r>
      <w:r w:rsidR="000C4DB8">
        <w:t xml:space="preserve">individuals who could be in the HMR workforce and removed all profiles that did not have a </w:t>
      </w:r>
      <w:r w:rsidR="00891902">
        <w:t>position</w:t>
      </w:r>
      <w:r w:rsidR="000C4DB8">
        <w:t xml:space="preserve"> containing one of these </w:t>
      </w:r>
      <w:r w:rsidR="00891902">
        <w:t>j</w:t>
      </w:r>
      <w:r w:rsidR="00D635B6">
        <w:t>ob categories</w:t>
      </w:r>
      <w:r w:rsidR="00891902">
        <w:t>.</w:t>
      </w:r>
      <w:r w:rsidR="00D635B6">
        <w:t xml:space="preserve">  </w:t>
      </w:r>
    </w:p>
    <w:p w14:paraId="250E97CC" w14:textId="0E241BF6" w:rsidR="009A126B" w:rsidRPr="003414A8" w:rsidRDefault="008C4D32" w:rsidP="00510B3D">
      <w:pPr>
        <w:pStyle w:val="BodyText"/>
        <w:numPr>
          <w:ilvl w:val="0"/>
          <w:numId w:val="16"/>
        </w:numPr>
      </w:pPr>
      <w:r w:rsidRPr="0097416E">
        <w:rPr>
          <w:b/>
        </w:rPr>
        <w:t>Remove non-Australian profiles:</w:t>
      </w:r>
      <w:r w:rsidRPr="003414A8">
        <w:t xml:space="preserve"> To generate a workable dataset, we limited our analysis to individuals who have been active in Australia at some point in the last </w:t>
      </w:r>
      <w:r w:rsidR="002C6F95">
        <w:t>5</w:t>
      </w:r>
      <w:r w:rsidRPr="003414A8">
        <w:t xml:space="preserve"> years (June 2019 – June 2024)</w:t>
      </w:r>
      <w:r w:rsidR="00F602A5">
        <w:t>.</w:t>
      </w:r>
      <w:r w:rsidRPr="003414A8">
        <w:t xml:space="preserve"> </w:t>
      </w:r>
    </w:p>
    <w:p w14:paraId="6833AA35" w14:textId="576B1D7E" w:rsidR="00D23981" w:rsidRPr="003414A8" w:rsidRDefault="00F90521" w:rsidP="0005225E">
      <w:pPr>
        <w:pStyle w:val="BodyText"/>
        <w:numPr>
          <w:ilvl w:val="0"/>
          <w:numId w:val="16"/>
        </w:numPr>
      </w:pPr>
      <w:r w:rsidRPr="0097416E">
        <w:rPr>
          <w:b/>
        </w:rPr>
        <w:t xml:space="preserve">Remove non-relevant industries and roles: </w:t>
      </w:r>
      <w:r w:rsidRPr="003414A8">
        <w:t xml:space="preserve">To further refine our working list of individuals and positions we removed any individuals that reported </w:t>
      </w:r>
      <w:r w:rsidRPr="00F5403C">
        <w:rPr>
          <w:b/>
          <w:bCs/>
        </w:rPr>
        <w:t>only</w:t>
      </w:r>
      <w:r w:rsidRPr="003414A8">
        <w:t xml:space="preserve"> holding </w:t>
      </w:r>
      <w:r w:rsidR="00F5403C">
        <w:t>positions</w:t>
      </w:r>
      <w:r w:rsidRPr="003414A8">
        <w:t xml:space="preserve"> in non-relevant industries</w:t>
      </w:r>
      <w:r w:rsidR="00CE14C7">
        <w:t xml:space="preserve"> (taking a conservative approach to non</w:t>
      </w:r>
      <w:r w:rsidR="0005225E">
        <w:t>-relevant industries, e.g., mining and steel manufacturing)</w:t>
      </w:r>
      <w:r w:rsidRPr="003414A8">
        <w:t xml:space="preserve">. We also removed individuals who reported </w:t>
      </w:r>
      <w:r w:rsidR="00F5403C" w:rsidRPr="0005225E">
        <w:rPr>
          <w:b/>
        </w:rPr>
        <w:t xml:space="preserve">only </w:t>
      </w:r>
      <w:r w:rsidRPr="003414A8">
        <w:t>non-research healthcare roles</w:t>
      </w:r>
      <w:r w:rsidR="00CE14C7">
        <w:t xml:space="preserve">. </w:t>
      </w:r>
      <w:r w:rsidR="00CE14C7" w:rsidRPr="00DE2A83">
        <w:t>I</w:t>
      </w:r>
      <w:r w:rsidR="00F5403C" w:rsidRPr="00DE2A83">
        <w:t xml:space="preserve">ndividuals who hold non-research healthcare roles, e.g., nurse practitioner or </w:t>
      </w:r>
      <w:r w:rsidR="00145898" w:rsidRPr="00DE2A83">
        <w:t xml:space="preserve">midwife or </w:t>
      </w:r>
      <w:r w:rsidR="004D4C39" w:rsidRPr="00DE2A83">
        <w:t xml:space="preserve">RN or medical specialist would be included if </w:t>
      </w:r>
      <w:r w:rsidR="009507BA" w:rsidRPr="00DE2A83">
        <w:t xml:space="preserve">at any point </w:t>
      </w:r>
      <w:r w:rsidR="004D4C39" w:rsidRPr="00DE2A83">
        <w:t xml:space="preserve">in the past 5 years they had also held a position that is assigned a high probability of being involved in HMR, </w:t>
      </w:r>
      <w:r w:rsidR="009507BA" w:rsidRPr="00DE2A83">
        <w:t xml:space="preserve">for example (but not limited to) </w:t>
      </w:r>
      <w:r w:rsidR="004D4C39" w:rsidRPr="00DE2A83">
        <w:t>a</w:t>
      </w:r>
      <w:r w:rsidR="002728D0" w:rsidRPr="00DE2A83">
        <w:t xml:space="preserve">n honorary position at a </w:t>
      </w:r>
      <w:r w:rsidR="004A7AEA" w:rsidRPr="00DE2A83">
        <w:t>university</w:t>
      </w:r>
      <w:r w:rsidR="009507BA" w:rsidRPr="00DE2A83">
        <w:t>, a research role at a hospital</w:t>
      </w:r>
      <w:r w:rsidRPr="00DE2A83">
        <w:t>.</w:t>
      </w:r>
      <w:r w:rsidR="003D1F32" w:rsidRPr="00DE2A83">
        <w:t xml:space="preserve"> If </w:t>
      </w:r>
      <w:r w:rsidR="00F602A5" w:rsidRPr="00DE2A83">
        <w:t xml:space="preserve">this step were not performed, and </w:t>
      </w:r>
      <w:r w:rsidR="003D1F32" w:rsidRPr="00DE2A83">
        <w:t xml:space="preserve">all clinical roles were included this </w:t>
      </w:r>
      <w:r w:rsidR="0078281A" w:rsidRPr="00DE2A83">
        <w:t>c</w:t>
      </w:r>
      <w:r w:rsidR="003D1F32" w:rsidRPr="00DE2A83">
        <w:t xml:space="preserve">ould </w:t>
      </w:r>
      <w:r w:rsidR="007F1CBA" w:rsidRPr="00DE2A83">
        <w:t xml:space="preserve">add </w:t>
      </w:r>
      <w:r w:rsidR="0078281A" w:rsidRPr="00DE2A83">
        <w:t>up to 300,000 registered nurses</w:t>
      </w:r>
      <w:r w:rsidR="00CF0C01" w:rsidRPr="00DE2A83">
        <w:t>, or up to 130,000 registered medical specialists and doctors, across Australia.</w:t>
      </w:r>
      <w:r w:rsidR="00CF0C01" w:rsidRPr="0005225E">
        <w:rPr>
          <w:color w:val="FF0000"/>
        </w:rPr>
        <w:t xml:space="preserve"> </w:t>
      </w:r>
    </w:p>
    <w:p w14:paraId="5F32356E" w14:textId="2DF9E39D" w:rsidR="00D23981" w:rsidRDefault="001A544E" w:rsidP="00D23981">
      <w:pPr>
        <w:pStyle w:val="BodyText"/>
        <w:numPr>
          <w:ilvl w:val="0"/>
          <w:numId w:val="16"/>
        </w:numPr>
      </w:pPr>
      <w:r w:rsidRPr="0097416E">
        <w:rPr>
          <w:b/>
        </w:rPr>
        <w:t>Weighting of data</w:t>
      </w:r>
      <w:r w:rsidR="00D23981">
        <w:rPr>
          <w:b/>
        </w:rPr>
        <w:t xml:space="preserve">: </w:t>
      </w:r>
      <w:r w:rsidR="00B478DF">
        <w:rPr>
          <w:b/>
        </w:rPr>
        <w:t>Step 1.</w:t>
      </w:r>
      <w:r w:rsidR="00D23981">
        <w:rPr>
          <w:b/>
        </w:rPr>
        <w:t xml:space="preserve"> </w:t>
      </w:r>
      <w:proofErr w:type="spellStart"/>
      <w:r w:rsidR="00D23981">
        <w:rPr>
          <w:b/>
        </w:rPr>
        <w:t>Revelio</w:t>
      </w:r>
      <w:proofErr w:type="spellEnd"/>
      <w:r w:rsidRPr="0097416E">
        <w:rPr>
          <w:b/>
        </w:rPr>
        <w:t>:</w:t>
      </w:r>
      <w:r w:rsidRPr="003414A8">
        <w:t xml:space="preserve"> </w:t>
      </w:r>
      <w:r w:rsidR="0088067D">
        <w:t xml:space="preserve">To account for </w:t>
      </w:r>
      <w:r w:rsidR="00BB008C">
        <w:t xml:space="preserve">bias in the microdata, </w:t>
      </w:r>
      <w:r w:rsidR="00402B50">
        <w:t xml:space="preserve">we </w:t>
      </w:r>
      <w:r w:rsidR="004A7B2A">
        <w:t>employed a two-</w:t>
      </w:r>
      <w:r w:rsidR="00E22D55">
        <w:t>step weighting approach</w:t>
      </w:r>
      <w:r w:rsidR="00303D92">
        <w:t xml:space="preserve">. </w:t>
      </w:r>
      <w:r w:rsidR="00644B66">
        <w:t xml:space="preserve">The </w:t>
      </w:r>
      <w:r w:rsidR="001C450B">
        <w:t xml:space="preserve">first step uses </w:t>
      </w:r>
      <w:r w:rsidR="00B05D45">
        <w:t xml:space="preserve">weights </w:t>
      </w:r>
      <w:r w:rsidR="00CE7C9C" w:rsidRPr="00CA6239">
        <w:t>for each individual profile</w:t>
      </w:r>
      <w:r w:rsidR="00B05D45">
        <w:t xml:space="preserve"> </w:t>
      </w:r>
      <w:r w:rsidR="00F470D5">
        <w:t xml:space="preserve">provided by </w:t>
      </w:r>
      <w:proofErr w:type="spellStart"/>
      <w:r w:rsidR="00F470D5">
        <w:t>R</w:t>
      </w:r>
      <w:r w:rsidR="005062F8">
        <w:t>evelio</w:t>
      </w:r>
      <w:proofErr w:type="spellEnd"/>
      <w:r w:rsidR="005062F8">
        <w:t xml:space="preserve"> Labs</w:t>
      </w:r>
      <w:r w:rsidR="00CE7C9C" w:rsidRPr="00CA6239">
        <w:t>. These</w:t>
      </w:r>
      <w:r w:rsidR="00215380">
        <w:t xml:space="preserve"> weightings</w:t>
      </w:r>
      <w:r w:rsidR="00CE7C9C" w:rsidRPr="00CA6239">
        <w:t xml:space="preserve"> are always larger than 1 and reflect the probability that an individual is not on LinkedIn.</w:t>
      </w:r>
      <w:r w:rsidR="00215380">
        <w:t xml:space="preserve"> They take into account the </w:t>
      </w:r>
      <w:r w:rsidR="00BA6AB9">
        <w:t>individual’s</w:t>
      </w:r>
      <w:r w:rsidR="00215380">
        <w:t xml:space="preserve"> country, gender, </w:t>
      </w:r>
      <w:r w:rsidR="00954D7E">
        <w:t>seniority</w:t>
      </w:r>
      <w:r w:rsidR="00215380">
        <w:t xml:space="preserve"> and occupation</w:t>
      </w:r>
      <w:r w:rsidR="00CE7C9C" w:rsidRPr="00CA6239">
        <w:t>.</w:t>
      </w:r>
      <w:r w:rsidR="004417E3">
        <w:t xml:space="preserve"> For example, </w:t>
      </w:r>
      <w:r w:rsidR="00954D7E">
        <w:t>the profile of a</w:t>
      </w:r>
      <w:r w:rsidR="004417E3">
        <w:t xml:space="preserve"> male</w:t>
      </w:r>
      <w:r w:rsidR="00954D7E">
        <w:t>,</w:t>
      </w:r>
      <w:r w:rsidR="004417E3">
        <w:t xml:space="preserve"> </w:t>
      </w:r>
      <w:r w:rsidR="00954D7E">
        <w:t>senior</w:t>
      </w:r>
      <w:r w:rsidR="004417E3">
        <w:t xml:space="preserve"> </w:t>
      </w:r>
      <w:r w:rsidR="00DC5445">
        <w:t xml:space="preserve">professor from the ACT </w:t>
      </w:r>
      <w:r w:rsidR="00954D7E">
        <w:t xml:space="preserve">may have a weighting of 1.2. </w:t>
      </w:r>
      <w:proofErr w:type="spellStart"/>
      <w:r w:rsidR="001935BD">
        <w:t>Revelio</w:t>
      </w:r>
      <w:proofErr w:type="spellEnd"/>
      <w:r w:rsidR="001935BD">
        <w:t xml:space="preserve"> uses </w:t>
      </w:r>
      <w:r w:rsidR="00501D46">
        <w:t>d</w:t>
      </w:r>
      <w:r w:rsidR="00501D46" w:rsidRPr="00501D46">
        <w:t xml:space="preserve">etailed occupational breakdowns for the United States (using Bureau of Labor Statistics data), </w:t>
      </w:r>
      <w:r w:rsidR="00501D46">
        <w:t>which allows them</w:t>
      </w:r>
      <w:r w:rsidR="00501D46" w:rsidRPr="00501D46">
        <w:t xml:space="preserve"> to infer the likelihood of representation in </w:t>
      </w:r>
      <w:r w:rsidR="00501D46">
        <w:t>the</w:t>
      </w:r>
      <w:r w:rsidR="00501D46" w:rsidRPr="00501D46">
        <w:t xml:space="preserve"> dataset. </w:t>
      </w:r>
      <w:r w:rsidR="00501D46">
        <w:t xml:space="preserve">They </w:t>
      </w:r>
      <w:r w:rsidR="00501D46" w:rsidRPr="00501D46">
        <w:t>then extrapolate to other countries</w:t>
      </w:r>
      <w:r w:rsidR="00501D46">
        <w:t>, such as Australia,</w:t>
      </w:r>
      <w:r w:rsidR="00501D46" w:rsidRPr="00501D46">
        <w:t xml:space="preserve"> using international statistics (using International Labor Organization data) with a similar methodology.</w:t>
      </w:r>
    </w:p>
    <w:p w14:paraId="18B66DDC" w14:textId="24F455D1" w:rsidR="006D3369" w:rsidRPr="00DE2A83" w:rsidRDefault="00D23981" w:rsidP="006D3369">
      <w:pPr>
        <w:pStyle w:val="BodyText"/>
        <w:numPr>
          <w:ilvl w:val="0"/>
          <w:numId w:val="16"/>
        </w:numPr>
      </w:pPr>
      <w:r w:rsidRPr="00D23981">
        <w:rPr>
          <w:b/>
        </w:rPr>
        <w:t>Weighting of data</w:t>
      </w:r>
      <w:r>
        <w:rPr>
          <w:b/>
        </w:rPr>
        <w:t xml:space="preserve">: </w:t>
      </w:r>
      <w:r w:rsidR="00B478DF">
        <w:rPr>
          <w:b/>
        </w:rPr>
        <w:t>Step 2.</w:t>
      </w:r>
      <w:r>
        <w:rPr>
          <w:b/>
        </w:rPr>
        <w:t xml:space="preserve"> Post-stratification weighting:</w:t>
      </w:r>
      <w:r>
        <w:t xml:space="preserve"> </w:t>
      </w:r>
      <w:r w:rsidR="00AB2AE5">
        <w:t xml:space="preserve">Mandala then </w:t>
      </w:r>
      <w:r w:rsidR="00DD5E3B">
        <w:t xml:space="preserve">adjusts these profile weights </w:t>
      </w:r>
      <w:r w:rsidR="003852F8">
        <w:t>using a post</w:t>
      </w:r>
      <w:r w:rsidR="00EC5C43">
        <w:t xml:space="preserve">-stratification weighting method. </w:t>
      </w:r>
      <w:r w:rsidR="00BA6AB9">
        <w:t>This me</w:t>
      </w:r>
      <w:r w:rsidR="00EB3CC7">
        <w:t>tho</w:t>
      </w:r>
      <w:r w:rsidR="00E54E0E">
        <w:t xml:space="preserve">d </w:t>
      </w:r>
      <w:r w:rsidR="00EA5CDB">
        <w:t xml:space="preserve">updates </w:t>
      </w:r>
      <w:proofErr w:type="spellStart"/>
      <w:r w:rsidR="00EA5CDB">
        <w:t>Revelio</w:t>
      </w:r>
      <w:proofErr w:type="spellEnd"/>
      <w:r w:rsidR="00EA5CDB">
        <w:t xml:space="preserve"> Labs weights </w:t>
      </w:r>
      <w:r w:rsidR="00EA5CDB" w:rsidRPr="003414A8">
        <w:t xml:space="preserve">using the proportion of each gender and state and territory within a select sample of the </w:t>
      </w:r>
      <w:r w:rsidR="004A7A09">
        <w:t xml:space="preserve">broad </w:t>
      </w:r>
      <w:r w:rsidR="00EA5CDB" w:rsidRPr="003414A8">
        <w:t>science workforce within the ABS census</w:t>
      </w:r>
      <w:r w:rsidR="00EA5CDB">
        <w:t xml:space="preserve">. This ensures </w:t>
      </w:r>
      <w:r w:rsidR="007A187F">
        <w:t xml:space="preserve">that </w:t>
      </w:r>
      <w:r w:rsidR="008D37EF">
        <w:t>the geographic and gender split of our dataset across Australia is comparable to that of</w:t>
      </w:r>
      <w:r w:rsidR="00EC5C43">
        <w:t xml:space="preserve"> </w:t>
      </w:r>
      <w:r w:rsidR="00DA5022">
        <w:t>the scientific workforce. Post stratification weighting means</w:t>
      </w:r>
      <w:r w:rsidR="00495330" w:rsidRPr="00CA6239">
        <w:t xml:space="preserve"> that the total weight across all profiles assessed by the LLM remains the same. </w:t>
      </w:r>
      <w:r w:rsidR="0016383A" w:rsidRPr="00CA6239">
        <w:t>This means the male</w:t>
      </w:r>
      <w:r w:rsidR="008563A8">
        <w:t>, senior professor from the ACT</w:t>
      </w:r>
      <w:r w:rsidR="0016383A" w:rsidRPr="00CA6239">
        <w:t xml:space="preserve"> contributes 1.2 to the overall person count, however, their contribution to other charts, i.e. gender distribution by seniority may be 0.4.</w:t>
      </w:r>
      <w:r w:rsidR="00250404">
        <w:t xml:space="preserve"> Note, w</w:t>
      </w:r>
      <w:r w:rsidR="0016383A" w:rsidRPr="00CA6239">
        <w:t xml:space="preserve">e do post-stratification weighting before removing profiles that are unlikely to be categorised as in the HMR workforce. This is because the dataset before segmentation most closely resembles the </w:t>
      </w:r>
      <w:r w:rsidR="00B478DF">
        <w:t xml:space="preserve">entire </w:t>
      </w:r>
      <w:r w:rsidR="0016383A" w:rsidRPr="00CA6239">
        <w:t xml:space="preserve">scientific </w:t>
      </w:r>
      <w:r w:rsidR="0016383A" w:rsidRPr="00D23981">
        <w:t>workforce</w:t>
      </w:r>
      <w:r>
        <w:t xml:space="preserve">. </w:t>
      </w:r>
      <w:r w:rsidR="00DD446F">
        <w:t>Due to this,</w:t>
      </w:r>
      <w:r w:rsidR="00CA6239" w:rsidRPr="00CA6239">
        <w:t xml:space="preserve"> there is a small discrepancy between results that have been weighted using just the </w:t>
      </w:r>
      <w:proofErr w:type="spellStart"/>
      <w:r w:rsidR="00CA6239" w:rsidRPr="00CA6239">
        <w:t>Revelio</w:t>
      </w:r>
      <w:proofErr w:type="spellEnd"/>
      <w:r w:rsidR="00CA6239" w:rsidRPr="00CA6239">
        <w:t xml:space="preserve"> </w:t>
      </w:r>
      <w:r w:rsidR="0002084B">
        <w:t xml:space="preserve">Labs </w:t>
      </w:r>
      <w:r w:rsidR="00CA6239" w:rsidRPr="00CA6239">
        <w:t xml:space="preserve">weights and the post-stratified </w:t>
      </w:r>
      <w:proofErr w:type="spellStart"/>
      <w:r w:rsidR="00CA6239" w:rsidRPr="00CA6239">
        <w:t>Revelio</w:t>
      </w:r>
      <w:proofErr w:type="spellEnd"/>
      <w:r w:rsidR="00CA6239" w:rsidRPr="00CA6239">
        <w:t xml:space="preserve"> </w:t>
      </w:r>
      <w:r w:rsidR="0002084B">
        <w:t xml:space="preserve">Labs </w:t>
      </w:r>
      <w:r w:rsidR="00CA6239" w:rsidRPr="00CA6239">
        <w:t xml:space="preserve">weights. In the cause of the overall numbers, results are slightly larger if </w:t>
      </w:r>
      <w:proofErr w:type="spellStart"/>
      <w:r w:rsidR="00CA6239" w:rsidRPr="00CA6239">
        <w:t>Revelio</w:t>
      </w:r>
      <w:proofErr w:type="spellEnd"/>
      <w:r w:rsidR="00CA6239" w:rsidRPr="00CA6239">
        <w:t xml:space="preserve"> </w:t>
      </w:r>
      <w:r w:rsidR="0002084B">
        <w:t xml:space="preserve">Labs </w:t>
      </w:r>
      <w:r w:rsidR="00CA6239" w:rsidRPr="00CA6239">
        <w:t>weights are used. </w:t>
      </w:r>
    </w:p>
    <w:p w14:paraId="6F0A444B" w14:textId="1368B076" w:rsidR="002A3F09" w:rsidRPr="0097416E" w:rsidRDefault="00571DFA" w:rsidP="00510B3D">
      <w:pPr>
        <w:pStyle w:val="BodyText"/>
        <w:numPr>
          <w:ilvl w:val="0"/>
          <w:numId w:val="16"/>
        </w:numPr>
      </w:pPr>
      <w:r w:rsidRPr="0097416E">
        <w:rPr>
          <w:b/>
        </w:rPr>
        <w:lastRenderedPageBreak/>
        <w:t>LLM-based segmentation</w:t>
      </w:r>
      <w:r w:rsidR="002A3F09" w:rsidRPr="0097416E">
        <w:rPr>
          <w:b/>
        </w:rPr>
        <w:t>:</w:t>
      </w:r>
      <w:r w:rsidR="002A3F09" w:rsidRPr="0097416E">
        <w:t xml:space="preserve"> </w:t>
      </w:r>
      <w:r w:rsidRPr="0097416E">
        <w:t xml:space="preserve">We then used a LLM to assign a probability to each individual position </w:t>
      </w:r>
      <w:r w:rsidR="004A7A09">
        <w:t xml:space="preserve">(not individual) </w:t>
      </w:r>
      <w:r w:rsidRPr="0097416E">
        <w:t>in the dataset of likelihood to be a traditional or non-traditional researcher, based on a combination of features including job title, company name, degree name, and degree field.</w:t>
      </w:r>
    </w:p>
    <w:p w14:paraId="206F217B" w14:textId="4FE66A9B" w:rsidR="002A3F09" w:rsidRPr="003414A8" w:rsidRDefault="002A3F09" w:rsidP="00510B3D">
      <w:pPr>
        <w:pStyle w:val="BodyText"/>
        <w:numPr>
          <w:ilvl w:val="0"/>
          <w:numId w:val="16"/>
        </w:numPr>
      </w:pPr>
      <w:r w:rsidRPr="0097416E">
        <w:rPr>
          <w:b/>
        </w:rPr>
        <w:t>Review segmentation results and remove edge cases:</w:t>
      </w:r>
      <w:r w:rsidRPr="0097416E">
        <w:t xml:space="preserve"> We took any individual position with a greater than 80% probability to be a researcher and reviewed the segmentation results, adjusting for edge cases such as individuals with limited data available or incorrectly classified by the LLM (&lt;20% of results).</w:t>
      </w:r>
    </w:p>
    <w:p w14:paraId="2894217B" w14:textId="77777777" w:rsidR="004A7A09" w:rsidRDefault="004A7A09">
      <w:pPr>
        <w:spacing w:before="0" w:after="0" w:line="240" w:lineRule="auto"/>
        <w:rPr>
          <w:rFonts w:eastAsiaTheme="majorEastAsia"/>
          <w:b/>
          <w:bCs/>
          <w:color w:val="001C55" w:themeColor="text2"/>
          <w:sz w:val="32"/>
          <w:szCs w:val="32"/>
          <w:lang w:val="en-GB"/>
        </w:rPr>
      </w:pPr>
      <w:r>
        <w:br w:type="page"/>
      </w:r>
    </w:p>
    <w:p w14:paraId="70EEA587" w14:textId="243DB893" w:rsidR="00034FBD" w:rsidRPr="00A04B6B" w:rsidRDefault="00034FBD" w:rsidP="00615C63">
      <w:pPr>
        <w:pStyle w:val="Heading2"/>
      </w:pPr>
      <w:bookmarkStart w:id="77" w:name="_Toc175208729"/>
      <w:bookmarkStart w:id="78" w:name="_Toc178009102"/>
      <w:r w:rsidRPr="00615C63">
        <w:lastRenderedPageBreak/>
        <w:t>Survey</w:t>
      </w:r>
      <w:r w:rsidR="00545690" w:rsidRPr="00615C63">
        <w:t xml:space="preserve">: </w:t>
      </w:r>
      <w:r w:rsidR="0075470D" w:rsidRPr="00A04B6B">
        <w:t xml:space="preserve">A bespoke survey of the health and medical research workforce </w:t>
      </w:r>
      <w:r w:rsidR="00F17792" w:rsidRPr="00A04B6B">
        <w:t xml:space="preserve">supplements and </w:t>
      </w:r>
      <w:r w:rsidR="00251E27" w:rsidRPr="00A04B6B">
        <w:t>validate</w:t>
      </w:r>
      <w:r w:rsidR="00F17792" w:rsidRPr="00A04B6B">
        <w:t>s</w:t>
      </w:r>
      <w:r w:rsidR="00251E27" w:rsidRPr="00A04B6B">
        <w:t xml:space="preserve"> findings from the microdata analysis</w:t>
      </w:r>
      <w:bookmarkEnd w:id="77"/>
      <w:bookmarkEnd w:id="78"/>
    </w:p>
    <w:p w14:paraId="0E511E76" w14:textId="77777777" w:rsidR="00034FBD" w:rsidRPr="0097416E" w:rsidRDefault="00034FBD" w:rsidP="002A1E4F">
      <w:pPr>
        <w:pStyle w:val="BodyText"/>
        <w:rPr>
          <w:b/>
        </w:rPr>
      </w:pPr>
      <w:bookmarkStart w:id="79" w:name="_Toc175146855"/>
      <w:r w:rsidRPr="0097416E">
        <w:rPr>
          <w:b/>
        </w:rPr>
        <w:t>Purpose and Scope</w:t>
      </w:r>
      <w:bookmarkEnd w:id="79"/>
    </w:p>
    <w:p w14:paraId="590A566E" w14:textId="77777777" w:rsidR="00034FBD" w:rsidRPr="00034FBD" w:rsidRDefault="00034FBD" w:rsidP="002A1E4F">
      <w:pPr>
        <w:pStyle w:val="BodyText"/>
      </w:pPr>
      <w:r w:rsidRPr="00034FBD">
        <w:t xml:space="preserve">The primary objective of this survey was to establish a comprehensive fact base for the health and medical research workforce. The survey aimed to capture data that is not readily available through other means, and supplement research to date from desktop and novel microdata sources. </w:t>
      </w:r>
    </w:p>
    <w:p w14:paraId="7CA29153" w14:textId="77777777" w:rsidR="00034FBD" w:rsidRPr="00034FBD" w:rsidRDefault="00034FBD" w:rsidP="002A1E4F">
      <w:pPr>
        <w:pStyle w:val="BodyText"/>
      </w:pPr>
      <w:r w:rsidRPr="00034FBD">
        <w:t>The key questions in scope for this analysis were:</w:t>
      </w:r>
    </w:p>
    <w:p w14:paraId="03AE156B" w14:textId="77777777" w:rsidR="00034FBD" w:rsidRPr="00034FBD" w:rsidRDefault="00034FBD" w:rsidP="00510B3D">
      <w:pPr>
        <w:pStyle w:val="BodyText"/>
        <w:numPr>
          <w:ilvl w:val="0"/>
          <w:numId w:val="2"/>
        </w:numPr>
        <w:rPr>
          <w:rFonts w:eastAsiaTheme="minorEastAsia" w:cstheme="minorBidi"/>
        </w:rPr>
      </w:pPr>
      <w:r w:rsidRPr="00034FBD">
        <w:rPr>
          <w:rFonts w:eastAsiaTheme="minorEastAsia" w:cstheme="minorBidi"/>
        </w:rPr>
        <w:t>What are the characteristics of the different segments of the health and medical research workforce?</w:t>
      </w:r>
    </w:p>
    <w:p w14:paraId="48784B84" w14:textId="77777777" w:rsidR="00034FBD" w:rsidRPr="00034FBD" w:rsidRDefault="00034FBD" w:rsidP="00510B3D">
      <w:pPr>
        <w:pStyle w:val="BodyText"/>
        <w:numPr>
          <w:ilvl w:val="0"/>
          <w:numId w:val="2"/>
        </w:numPr>
        <w:rPr>
          <w:rFonts w:eastAsiaTheme="minorEastAsia" w:cstheme="minorBidi"/>
        </w:rPr>
      </w:pPr>
      <w:r w:rsidRPr="00034FBD">
        <w:rPr>
          <w:rFonts w:eastAsiaTheme="minorEastAsia" w:cstheme="minorBidi"/>
        </w:rPr>
        <w:t xml:space="preserve">How do these workers transition to different jobs across the economy? </w:t>
      </w:r>
    </w:p>
    <w:p w14:paraId="49F5CFC8" w14:textId="77777777" w:rsidR="00034FBD" w:rsidRPr="00034FBD" w:rsidRDefault="00034FBD" w:rsidP="00510B3D">
      <w:pPr>
        <w:pStyle w:val="BodyText"/>
        <w:numPr>
          <w:ilvl w:val="0"/>
          <w:numId w:val="2"/>
        </w:numPr>
        <w:rPr>
          <w:rFonts w:eastAsiaTheme="minorEastAsia" w:cstheme="minorBidi"/>
        </w:rPr>
      </w:pPr>
      <w:r w:rsidRPr="00034FBD">
        <w:rPr>
          <w:rFonts w:eastAsiaTheme="minorEastAsia" w:cstheme="minorBidi"/>
        </w:rPr>
        <w:t>What are the motivating factors behind decisions to remain in different segments of the research workforce and/or transition to other segments?</w:t>
      </w:r>
    </w:p>
    <w:p w14:paraId="76311AC6" w14:textId="77777777" w:rsidR="00034FBD" w:rsidRPr="0097416E" w:rsidRDefault="00034FBD" w:rsidP="002A1E4F">
      <w:pPr>
        <w:pStyle w:val="BodyText"/>
        <w:rPr>
          <w:b/>
        </w:rPr>
      </w:pPr>
      <w:bookmarkStart w:id="80" w:name="_Toc175146856"/>
      <w:r w:rsidRPr="0097416E">
        <w:rPr>
          <w:b/>
        </w:rPr>
        <w:t>Target Population</w:t>
      </w:r>
      <w:bookmarkEnd w:id="80"/>
    </w:p>
    <w:p w14:paraId="54DD0614" w14:textId="77777777" w:rsidR="00034FBD" w:rsidRPr="00034FBD" w:rsidRDefault="00034FBD" w:rsidP="002A1E4F">
      <w:pPr>
        <w:pStyle w:val="BodyText"/>
      </w:pPr>
      <w:r w:rsidRPr="00034FBD">
        <w:t>The survey was designed to encompass a broad spectrum of individuals within the health and medical research domain, including:</w:t>
      </w:r>
    </w:p>
    <w:p w14:paraId="3E3F19B0" w14:textId="77777777" w:rsidR="00034FBD" w:rsidRPr="00034FBD" w:rsidRDefault="00034FBD" w:rsidP="00510B3D">
      <w:pPr>
        <w:pStyle w:val="BodyText"/>
        <w:numPr>
          <w:ilvl w:val="0"/>
          <w:numId w:val="3"/>
        </w:numPr>
        <w:rPr>
          <w:rFonts w:eastAsiaTheme="minorEastAsia" w:cstheme="minorBidi"/>
        </w:rPr>
      </w:pPr>
      <w:r w:rsidRPr="00034FBD">
        <w:rPr>
          <w:rFonts w:eastAsiaTheme="minorEastAsia" w:cstheme="minorBidi"/>
        </w:rPr>
        <w:t>Direct research roles (primary or secondary activities, paid or unpaid)</w:t>
      </w:r>
    </w:p>
    <w:p w14:paraId="15C94869" w14:textId="77777777" w:rsidR="00034FBD" w:rsidRPr="00034FBD" w:rsidRDefault="00034FBD" w:rsidP="00510B3D">
      <w:pPr>
        <w:pStyle w:val="BodyText"/>
        <w:numPr>
          <w:ilvl w:val="0"/>
          <w:numId w:val="3"/>
        </w:numPr>
        <w:rPr>
          <w:rFonts w:eastAsiaTheme="minorEastAsia" w:cstheme="minorBidi"/>
        </w:rPr>
      </w:pPr>
      <w:r w:rsidRPr="00034FBD">
        <w:rPr>
          <w:rFonts w:eastAsiaTheme="minorEastAsia" w:cstheme="minorBidi"/>
        </w:rPr>
        <w:t>Supportive roles (indirectly contributing to research activities)</w:t>
      </w:r>
    </w:p>
    <w:p w14:paraId="65EBA4F5" w14:textId="11AAA891" w:rsidR="00034FBD" w:rsidRPr="00034FBD" w:rsidRDefault="00034FBD" w:rsidP="002A1E4F">
      <w:pPr>
        <w:pStyle w:val="BodyText"/>
      </w:pPr>
      <w:r w:rsidRPr="00034FBD">
        <w:t xml:space="preserve">It was distributed through networks from peak bodies and representative organisations </w:t>
      </w:r>
      <w:r w:rsidR="00D31ED4">
        <w:t>including</w:t>
      </w:r>
      <w:r w:rsidRPr="00034FBD">
        <w:t xml:space="preserve"> Research Australia, direct requests for distribution with large employers </w:t>
      </w:r>
      <w:r w:rsidR="00D31ED4">
        <w:t>such as</w:t>
      </w:r>
      <w:r w:rsidRPr="00034FBD">
        <w:t xml:space="preserve"> pharmaceutical firms, and by utilising a snowballing approach whereby respondents are asked to share the survey within their circles.</w:t>
      </w:r>
    </w:p>
    <w:p w14:paraId="1C24296B" w14:textId="77777777" w:rsidR="00034FBD" w:rsidRPr="00034FBD" w:rsidRDefault="00034FBD" w:rsidP="002A1E4F">
      <w:pPr>
        <w:pStyle w:val="BodyText"/>
      </w:pPr>
      <w:r w:rsidRPr="00034FBD">
        <w:t>Individuals self-identified as either currently performing, or previously performing, a role that is involved with health and medical research. The definitions provided to the target population were:</w:t>
      </w:r>
    </w:p>
    <w:p w14:paraId="32559C41" w14:textId="77777777" w:rsidR="00034FBD" w:rsidRPr="00034FBD" w:rsidRDefault="00034FBD" w:rsidP="002A1E4F">
      <w:pPr>
        <w:pStyle w:val="BodyText"/>
        <w:rPr>
          <w:i/>
        </w:rPr>
      </w:pPr>
      <w:r w:rsidRPr="00034FBD">
        <w:rPr>
          <w:i/>
        </w:rPr>
        <w:t>The researchers are interested in hearing from anyone who has at some point worked in the health and medical research space. Participants may be in:</w:t>
      </w:r>
    </w:p>
    <w:p w14:paraId="19582DCD" w14:textId="5AE958CC" w:rsidR="00034FBD" w:rsidRPr="00034FBD" w:rsidRDefault="00034FBD" w:rsidP="00510B3D">
      <w:pPr>
        <w:pStyle w:val="BodyText"/>
        <w:numPr>
          <w:ilvl w:val="0"/>
          <w:numId w:val="4"/>
        </w:numPr>
        <w:rPr>
          <w:rFonts w:eastAsiaTheme="minorEastAsia" w:cstheme="minorBidi"/>
          <w:i/>
        </w:rPr>
      </w:pPr>
      <w:r w:rsidRPr="00034FBD">
        <w:rPr>
          <w:rFonts w:eastAsiaTheme="minorEastAsia" w:cstheme="minorBidi"/>
          <w:i/>
        </w:rPr>
        <w:t xml:space="preserve">A direct research role (performing research as a primary or secondary activity, in paid or unpaid roles including research students, and in university, </w:t>
      </w:r>
      <w:r w:rsidR="00893E3E">
        <w:rPr>
          <w:rFonts w:eastAsiaTheme="minorEastAsia" w:cstheme="minorBidi"/>
          <w:i/>
        </w:rPr>
        <w:t>M</w:t>
      </w:r>
      <w:r w:rsidRPr="00034FBD">
        <w:rPr>
          <w:rFonts w:eastAsiaTheme="minorEastAsia" w:cstheme="minorBidi"/>
          <w:i/>
        </w:rPr>
        <w:t xml:space="preserve">edical </w:t>
      </w:r>
      <w:r w:rsidR="00893E3E">
        <w:rPr>
          <w:rFonts w:eastAsiaTheme="minorEastAsia" w:cstheme="minorBidi"/>
          <w:i/>
        </w:rPr>
        <w:t>R</w:t>
      </w:r>
      <w:r w:rsidRPr="00034FBD">
        <w:rPr>
          <w:rFonts w:eastAsiaTheme="minorEastAsia" w:cstheme="minorBidi"/>
          <w:i/>
        </w:rPr>
        <w:t xml:space="preserve">esearch </w:t>
      </w:r>
      <w:r w:rsidR="00893E3E">
        <w:rPr>
          <w:rFonts w:eastAsiaTheme="minorEastAsia" w:cstheme="minorBidi"/>
          <w:i/>
        </w:rPr>
        <w:t>I</w:t>
      </w:r>
      <w:r w:rsidRPr="00034FBD">
        <w:rPr>
          <w:rFonts w:eastAsiaTheme="minorEastAsia" w:cstheme="minorBidi"/>
          <w:i/>
        </w:rPr>
        <w:t>nstitutes, industry, health services or other settings), or </w:t>
      </w:r>
    </w:p>
    <w:p w14:paraId="66E1D030" w14:textId="77777777" w:rsidR="00034FBD" w:rsidRPr="00034FBD" w:rsidRDefault="00034FBD" w:rsidP="00510B3D">
      <w:pPr>
        <w:pStyle w:val="BodyText"/>
        <w:numPr>
          <w:ilvl w:val="0"/>
          <w:numId w:val="4"/>
        </w:numPr>
        <w:rPr>
          <w:rFonts w:eastAsiaTheme="minorEastAsia" w:cstheme="minorBidi"/>
          <w:i/>
        </w:rPr>
      </w:pPr>
      <w:r w:rsidRPr="00034FBD">
        <w:rPr>
          <w:rFonts w:eastAsiaTheme="minorEastAsia" w:cstheme="minorBidi"/>
          <w:i/>
        </w:rPr>
        <w:t>A supportive role (not directly performing research yourself but supporting those who do, e.g. clinical trial coordinator, research nurses, biostatistician, laboratory technician, medical product research and development, research support officer, etc), or</w:t>
      </w:r>
    </w:p>
    <w:p w14:paraId="7FFC9C8C" w14:textId="77777777" w:rsidR="00034FBD" w:rsidRPr="00034FBD" w:rsidRDefault="00034FBD" w:rsidP="00510B3D">
      <w:pPr>
        <w:pStyle w:val="BodyText"/>
        <w:numPr>
          <w:ilvl w:val="0"/>
          <w:numId w:val="4"/>
        </w:numPr>
        <w:rPr>
          <w:rFonts w:eastAsiaTheme="minorEastAsia" w:cstheme="minorBidi"/>
          <w:i/>
        </w:rPr>
      </w:pPr>
      <w:r w:rsidRPr="00034FBD">
        <w:rPr>
          <w:rFonts w:eastAsiaTheme="minorEastAsia" w:cstheme="minorBidi"/>
          <w:i/>
        </w:rPr>
        <w:t>A non-research role currently, but have had one or more of the roles above in the past.</w:t>
      </w:r>
    </w:p>
    <w:p w14:paraId="190EA245" w14:textId="77777777" w:rsidR="00034FBD" w:rsidRPr="00034FBD" w:rsidRDefault="00034FBD" w:rsidP="002A1E4F">
      <w:pPr>
        <w:pStyle w:val="BodyText"/>
        <w:rPr>
          <w:i/>
          <w:iCs/>
        </w:rPr>
      </w:pPr>
      <w:r w:rsidRPr="00034FBD">
        <w:rPr>
          <w:i/>
          <w:iCs/>
        </w:rPr>
        <w:t>For this study, health and medical research is defined as a wide range of scientific investigations aimed at improving human health and healthcare. This includes:</w:t>
      </w:r>
    </w:p>
    <w:p w14:paraId="6173EAD6" w14:textId="77777777" w:rsidR="00034FBD" w:rsidRPr="00034FBD" w:rsidRDefault="00034FBD" w:rsidP="00510B3D">
      <w:pPr>
        <w:pStyle w:val="BodyText"/>
        <w:numPr>
          <w:ilvl w:val="0"/>
          <w:numId w:val="5"/>
        </w:numPr>
        <w:rPr>
          <w:rFonts w:eastAsiaTheme="minorEastAsia" w:cstheme="minorBidi"/>
          <w:i/>
          <w:iCs/>
        </w:rPr>
      </w:pPr>
      <w:r w:rsidRPr="00034FBD">
        <w:rPr>
          <w:rFonts w:eastAsiaTheme="minorEastAsia" w:cstheme="minorBidi"/>
          <w:i/>
          <w:iCs/>
        </w:rPr>
        <w:t>Basic Science Research </w:t>
      </w:r>
    </w:p>
    <w:p w14:paraId="3704EF4E" w14:textId="77777777" w:rsidR="00034FBD" w:rsidRPr="00034FBD" w:rsidRDefault="00034FBD" w:rsidP="00510B3D">
      <w:pPr>
        <w:pStyle w:val="BodyText"/>
        <w:numPr>
          <w:ilvl w:val="0"/>
          <w:numId w:val="5"/>
        </w:numPr>
        <w:rPr>
          <w:rFonts w:eastAsiaTheme="minorEastAsia" w:cstheme="minorBidi"/>
          <w:i/>
          <w:iCs/>
        </w:rPr>
      </w:pPr>
      <w:r w:rsidRPr="00034FBD">
        <w:rPr>
          <w:rFonts w:eastAsiaTheme="minorEastAsia" w:cstheme="minorBidi"/>
          <w:i/>
          <w:iCs/>
        </w:rPr>
        <w:t>Applied Research </w:t>
      </w:r>
    </w:p>
    <w:p w14:paraId="535D5BD3" w14:textId="77777777" w:rsidR="00034FBD" w:rsidRPr="00034FBD" w:rsidRDefault="00034FBD" w:rsidP="00510B3D">
      <w:pPr>
        <w:pStyle w:val="BodyText"/>
        <w:numPr>
          <w:ilvl w:val="0"/>
          <w:numId w:val="5"/>
        </w:numPr>
        <w:rPr>
          <w:rFonts w:eastAsiaTheme="minorEastAsia" w:cstheme="minorBidi"/>
          <w:i/>
          <w:iCs/>
        </w:rPr>
      </w:pPr>
      <w:r w:rsidRPr="00034FBD">
        <w:rPr>
          <w:rFonts w:eastAsiaTheme="minorEastAsia" w:cstheme="minorBidi"/>
          <w:i/>
          <w:iCs/>
        </w:rPr>
        <w:lastRenderedPageBreak/>
        <w:t>Translational Research</w:t>
      </w:r>
    </w:p>
    <w:p w14:paraId="3F989B59" w14:textId="77777777" w:rsidR="00034FBD" w:rsidRPr="00034FBD" w:rsidRDefault="00034FBD" w:rsidP="00510B3D">
      <w:pPr>
        <w:pStyle w:val="BodyText"/>
        <w:numPr>
          <w:ilvl w:val="0"/>
          <w:numId w:val="5"/>
        </w:numPr>
        <w:rPr>
          <w:rFonts w:eastAsiaTheme="minorEastAsia" w:cstheme="minorBidi"/>
          <w:i/>
          <w:iCs/>
        </w:rPr>
      </w:pPr>
      <w:r w:rsidRPr="00034FBD">
        <w:rPr>
          <w:rFonts w:eastAsiaTheme="minorEastAsia" w:cstheme="minorBidi"/>
          <w:i/>
          <w:iCs/>
        </w:rPr>
        <w:t>Clinical Medicine and Science Research</w:t>
      </w:r>
    </w:p>
    <w:p w14:paraId="5C8C7C2C" w14:textId="77777777" w:rsidR="00034FBD" w:rsidRPr="00034FBD" w:rsidRDefault="00034FBD" w:rsidP="00510B3D">
      <w:pPr>
        <w:pStyle w:val="BodyText"/>
        <w:numPr>
          <w:ilvl w:val="0"/>
          <w:numId w:val="5"/>
        </w:numPr>
        <w:rPr>
          <w:rFonts w:eastAsiaTheme="minorEastAsia" w:cstheme="minorBidi"/>
          <w:i/>
          <w:iCs/>
        </w:rPr>
      </w:pPr>
      <w:r w:rsidRPr="00034FBD">
        <w:rPr>
          <w:rFonts w:eastAsiaTheme="minorEastAsia" w:cstheme="minorBidi"/>
          <w:i/>
          <w:iCs/>
        </w:rPr>
        <w:t>Biotechnology, Medical Device Technology, and Pharmaceutical Research</w:t>
      </w:r>
    </w:p>
    <w:p w14:paraId="148491D5" w14:textId="77777777" w:rsidR="00034FBD" w:rsidRPr="00034FBD" w:rsidRDefault="00034FBD" w:rsidP="00510B3D">
      <w:pPr>
        <w:pStyle w:val="BodyText"/>
        <w:numPr>
          <w:ilvl w:val="0"/>
          <w:numId w:val="5"/>
        </w:numPr>
        <w:rPr>
          <w:rFonts w:eastAsiaTheme="minorEastAsia" w:cstheme="minorBidi"/>
          <w:i/>
          <w:iCs/>
        </w:rPr>
      </w:pPr>
      <w:r w:rsidRPr="00034FBD">
        <w:rPr>
          <w:rFonts w:eastAsiaTheme="minorEastAsia" w:cstheme="minorBidi"/>
          <w:i/>
          <w:iCs/>
        </w:rPr>
        <w:t>Public Health Research</w:t>
      </w:r>
    </w:p>
    <w:p w14:paraId="3CDB56CB" w14:textId="77777777" w:rsidR="00034FBD" w:rsidRPr="00034FBD" w:rsidRDefault="00034FBD" w:rsidP="00510B3D">
      <w:pPr>
        <w:pStyle w:val="BodyText"/>
        <w:numPr>
          <w:ilvl w:val="0"/>
          <w:numId w:val="5"/>
        </w:numPr>
        <w:rPr>
          <w:rFonts w:eastAsiaTheme="minorEastAsia" w:cstheme="minorBidi"/>
          <w:i/>
          <w:iCs/>
        </w:rPr>
      </w:pPr>
      <w:r w:rsidRPr="00034FBD">
        <w:rPr>
          <w:rFonts w:eastAsiaTheme="minorEastAsia" w:cstheme="minorBidi"/>
          <w:i/>
          <w:iCs/>
        </w:rPr>
        <w:t>Health Services Research</w:t>
      </w:r>
    </w:p>
    <w:p w14:paraId="459D8F59" w14:textId="7C1293F9" w:rsidR="00034FBD" w:rsidRPr="00034FBD" w:rsidRDefault="00034FBD" w:rsidP="002A1E4F">
      <w:pPr>
        <w:pStyle w:val="BodyText"/>
        <w:rPr>
          <w:i/>
          <w:iCs/>
        </w:rPr>
      </w:pPr>
      <w:r w:rsidRPr="00034FBD">
        <w:rPr>
          <w:i/>
          <w:iCs/>
        </w:rPr>
        <w:t xml:space="preserve">Research may be performed across various settings, including universities, </w:t>
      </w:r>
      <w:r w:rsidR="00893E3E">
        <w:rPr>
          <w:i/>
          <w:iCs/>
        </w:rPr>
        <w:t>M</w:t>
      </w:r>
      <w:r w:rsidRPr="00034FBD">
        <w:rPr>
          <w:i/>
          <w:iCs/>
        </w:rPr>
        <w:t xml:space="preserve">edical </w:t>
      </w:r>
      <w:r w:rsidR="00893E3E">
        <w:rPr>
          <w:i/>
          <w:iCs/>
        </w:rPr>
        <w:t>R</w:t>
      </w:r>
      <w:r w:rsidRPr="00034FBD">
        <w:rPr>
          <w:i/>
          <w:iCs/>
        </w:rPr>
        <w:t xml:space="preserve">esearch </w:t>
      </w:r>
      <w:r w:rsidR="00893E3E">
        <w:rPr>
          <w:i/>
          <w:iCs/>
        </w:rPr>
        <w:t>I</w:t>
      </w:r>
      <w:r w:rsidRPr="00034FBD">
        <w:rPr>
          <w:i/>
          <w:iCs/>
        </w:rPr>
        <w:t>nstitutes, hospitals, government agencies, and private companies.</w:t>
      </w:r>
    </w:p>
    <w:p w14:paraId="48912EDC" w14:textId="77777777" w:rsidR="00034FBD" w:rsidRPr="00034FBD" w:rsidRDefault="00034FBD" w:rsidP="002A1E4F">
      <w:pPr>
        <w:pStyle w:val="BodyText"/>
      </w:pPr>
      <w:r w:rsidRPr="00034FBD">
        <w:t>Because the survey relied on self-identification as belonging to the health and medical research workforce, it is possible that some individuals may have elected not to participate that would still be classed as health and medical researchers using the definition above.</w:t>
      </w:r>
    </w:p>
    <w:p w14:paraId="04BF8C7C" w14:textId="77777777" w:rsidR="00034FBD" w:rsidRPr="0097416E" w:rsidRDefault="00034FBD" w:rsidP="002A1E4F">
      <w:pPr>
        <w:pStyle w:val="BodyText"/>
        <w:rPr>
          <w:b/>
        </w:rPr>
      </w:pPr>
      <w:bookmarkStart w:id="81" w:name="_Toc175146857"/>
      <w:r w:rsidRPr="0097416E">
        <w:rPr>
          <w:b/>
        </w:rPr>
        <w:t>Complementary Data Sources</w:t>
      </w:r>
      <w:bookmarkEnd w:id="81"/>
    </w:p>
    <w:p w14:paraId="437D2D5D" w14:textId="7FAA2050" w:rsidR="00034FBD" w:rsidRPr="00034FBD" w:rsidRDefault="00034FBD" w:rsidP="002A1E4F">
      <w:pPr>
        <w:pStyle w:val="BodyText"/>
      </w:pPr>
      <w:r w:rsidRPr="00034FBD">
        <w:t>This survey serves as a complement other data collection methods:</w:t>
      </w:r>
    </w:p>
    <w:p w14:paraId="34422B18" w14:textId="77777777" w:rsidR="00034FBD" w:rsidRPr="00034FBD" w:rsidRDefault="00034FBD" w:rsidP="00510B3D">
      <w:pPr>
        <w:pStyle w:val="BodyText"/>
        <w:numPr>
          <w:ilvl w:val="0"/>
          <w:numId w:val="6"/>
        </w:numPr>
        <w:rPr>
          <w:rFonts w:eastAsiaTheme="minorEastAsia" w:cstheme="minorBidi"/>
        </w:rPr>
      </w:pPr>
      <w:proofErr w:type="spellStart"/>
      <w:r w:rsidRPr="00034FBD">
        <w:rPr>
          <w:rFonts w:eastAsiaTheme="minorEastAsia" w:cstheme="minorBidi"/>
        </w:rPr>
        <w:t>Revelio</w:t>
      </w:r>
      <w:proofErr w:type="spellEnd"/>
      <w:r w:rsidRPr="00034FBD">
        <w:rPr>
          <w:rFonts w:eastAsiaTheme="minorEastAsia" w:cstheme="minorBidi"/>
        </w:rPr>
        <w:t xml:space="preserve"> microdata analysis</w:t>
      </w:r>
    </w:p>
    <w:p w14:paraId="697BF72E" w14:textId="77777777" w:rsidR="00034FBD" w:rsidRPr="00034FBD" w:rsidRDefault="00034FBD" w:rsidP="00510B3D">
      <w:pPr>
        <w:pStyle w:val="BodyText"/>
        <w:numPr>
          <w:ilvl w:val="0"/>
          <w:numId w:val="6"/>
        </w:numPr>
        <w:rPr>
          <w:rFonts w:eastAsiaTheme="minorEastAsia" w:cstheme="minorBidi"/>
        </w:rPr>
      </w:pPr>
      <w:r w:rsidRPr="00034FBD">
        <w:rPr>
          <w:rFonts w:eastAsiaTheme="minorEastAsia" w:cstheme="minorBidi"/>
        </w:rPr>
        <w:t>Desktop scan</w:t>
      </w:r>
    </w:p>
    <w:p w14:paraId="53C69A25" w14:textId="77777777" w:rsidR="00034FBD" w:rsidRPr="00034FBD" w:rsidRDefault="00034FBD" w:rsidP="00510B3D">
      <w:pPr>
        <w:pStyle w:val="BodyText"/>
        <w:numPr>
          <w:ilvl w:val="0"/>
          <w:numId w:val="6"/>
        </w:numPr>
      </w:pPr>
      <w:bookmarkStart w:id="82" w:name="_Toc175146858"/>
      <w:r w:rsidRPr="00034FBD">
        <w:t>Data Validation</w:t>
      </w:r>
      <w:bookmarkEnd w:id="82"/>
    </w:p>
    <w:p w14:paraId="05144FA4" w14:textId="77777777" w:rsidR="00034FBD" w:rsidRPr="00034FBD" w:rsidRDefault="00034FBD" w:rsidP="002A1E4F">
      <w:pPr>
        <w:pStyle w:val="BodyText"/>
      </w:pPr>
      <w:r w:rsidRPr="00034FBD">
        <w:t xml:space="preserve">The survey intentionally overlapped with some areas covered in the </w:t>
      </w:r>
      <w:proofErr w:type="spellStart"/>
      <w:r w:rsidRPr="00034FBD">
        <w:t>Revelio</w:t>
      </w:r>
      <w:proofErr w:type="spellEnd"/>
      <w:r w:rsidRPr="00034FBD">
        <w:t xml:space="preserve"> microdata analysis, enabling cross-validation between these two data sources. Results below demonstrate good alignment between the survey results and the </w:t>
      </w:r>
      <w:proofErr w:type="spellStart"/>
      <w:r w:rsidRPr="00034FBD">
        <w:t>Revelio</w:t>
      </w:r>
      <w:proofErr w:type="spellEnd"/>
      <w:r w:rsidRPr="00034FBD">
        <w:t xml:space="preserve"> microdata analysis.</w:t>
      </w:r>
    </w:p>
    <w:p w14:paraId="77400404" w14:textId="77777777" w:rsidR="00034FBD" w:rsidRPr="0097416E" w:rsidRDefault="00034FBD" w:rsidP="002A1E4F">
      <w:pPr>
        <w:pStyle w:val="BodyText"/>
        <w:rPr>
          <w:b/>
        </w:rPr>
      </w:pPr>
      <w:bookmarkStart w:id="83" w:name="_Toc175146859"/>
      <w:r w:rsidRPr="0097416E">
        <w:rPr>
          <w:b/>
        </w:rPr>
        <w:t>Unique Contributions</w:t>
      </w:r>
      <w:bookmarkEnd w:id="83"/>
    </w:p>
    <w:p w14:paraId="6DE70B8E" w14:textId="77777777" w:rsidR="00034FBD" w:rsidRPr="00034FBD" w:rsidRDefault="00034FBD" w:rsidP="002A1E4F">
      <w:pPr>
        <w:pStyle w:val="BodyText"/>
      </w:pPr>
      <w:r w:rsidRPr="00034FBD">
        <w:t>A key contribution of this survey to the Audit is the collection of sentiment data, providing insights into:</w:t>
      </w:r>
    </w:p>
    <w:p w14:paraId="53B33B66" w14:textId="77777777" w:rsidR="00034FBD" w:rsidRPr="00034FBD" w:rsidRDefault="00034FBD" w:rsidP="00510B3D">
      <w:pPr>
        <w:pStyle w:val="BodyText"/>
        <w:numPr>
          <w:ilvl w:val="0"/>
          <w:numId w:val="7"/>
        </w:numPr>
        <w:rPr>
          <w:rFonts w:eastAsiaTheme="minorEastAsia" w:cstheme="minorBidi"/>
        </w:rPr>
      </w:pPr>
      <w:r w:rsidRPr="00034FBD">
        <w:rPr>
          <w:rFonts w:eastAsiaTheme="minorEastAsia" w:cstheme="minorBidi"/>
        </w:rPr>
        <w:t>Motivations for working in health and medical research</w:t>
      </w:r>
    </w:p>
    <w:p w14:paraId="1DFA98CA" w14:textId="77777777" w:rsidR="00034FBD" w:rsidRPr="00034FBD" w:rsidRDefault="00034FBD" w:rsidP="00510B3D">
      <w:pPr>
        <w:pStyle w:val="BodyText"/>
        <w:numPr>
          <w:ilvl w:val="0"/>
          <w:numId w:val="7"/>
        </w:numPr>
        <w:rPr>
          <w:rFonts w:eastAsiaTheme="minorEastAsia" w:cstheme="minorBidi"/>
        </w:rPr>
      </w:pPr>
      <w:r w:rsidRPr="00034FBD">
        <w:rPr>
          <w:rFonts w:eastAsiaTheme="minorEastAsia" w:cstheme="minorBidi"/>
        </w:rPr>
        <w:t>Challenges faced by the workforce</w:t>
      </w:r>
    </w:p>
    <w:p w14:paraId="31C443F7" w14:textId="77777777" w:rsidR="00034FBD" w:rsidRPr="00034FBD" w:rsidRDefault="00034FBD" w:rsidP="00510B3D">
      <w:pPr>
        <w:pStyle w:val="BodyText"/>
        <w:numPr>
          <w:ilvl w:val="0"/>
          <w:numId w:val="7"/>
        </w:numPr>
        <w:rPr>
          <w:rFonts w:eastAsiaTheme="minorEastAsia" w:cstheme="minorBidi"/>
        </w:rPr>
      </w:pPr>
      <w:r w:rsidRPr="00034FBD">
        <w:rPr>
          <w:rFonts w:eastAsiaTheme="minorEastAsia" w:cstheme="minorBidi"/>
        </w:rPr>
        <w:t>Reasons for leaving the field</w:t>
      </w:r>
    </w:p>
    <w:p w14:paraId="5170389D" w14:textId="77777777" w:rsidR="00034FBD" w:rsidRPr="0097416E" w:rsidRDefault="00034FBD" w:rsidP="002A1E4F">
      <w:pPr>
        <w:pStyle w:val="BodyText"/>
        <w:rPr>
          <w:b/>
        </w:rPr>
      </w:pPr>
      <w:bookmarkStart w:id="84" w:name="_Toc175146860"/>
      <w:r w:rsidRPr="0097416E">
        <w:rPr>
          <w:b/>
        </w:rPr>
        <w:t>Survey Design</w:t>
      </w:r>
      <w:bookmarkEnd w:id="84"/>
    </w:p>
    <w:p w14:paraId="5938CFBA" w14:textId="77777777" w:rsidR="00034FBD" w:rsidRPr="00034FBD" w:rsidRDefault="00034FBD" w:rsidP="002A1E4F">
      <w:pPr>
        <w:pStyle w:val="BodyText"/>
      </w:pPr>
      <w:r w:rsidRPr="00034FBD">
        <w:t>The Australian Health and Medical Research Workforce Survey was developed by Mandala, the Department of Health and Aged Care, and members of the project’s Expert Panel.</w:t>
      </w:r>
    </w:p>
    <w:p w14:paraId="7385F39A" w14:textId="77777777" w:rsidR="00034FBD" w:rsidRPr="0097416E" w:rsidRDefault="00034FBD" w:rsidP="002A1E4F">
      <w:pPr>
        <w:pStyle w:val="BodyText"/>
        <w:rPr>
          <w:b/>
        </w:rPr>
      </w:pPr>
      <w:bookmarkStart w:id="85" w:name="_Toc175146861"/>
      <w:r w:rsidRPr="0097416E">
        <w:rPr>
          <w:b/>
        </w:rPr>
        <w:t>Data Collection Methodology</w:t>
      </w:r>
      <w:bookmarkEnd w:id="85"/>
    </w:p>
    <w:p w14:paraId="74DF3D66" w14:textId="06E6F9A4" w:rsidR="00034FBD" w:rsidRPr="00034FBD" w:rsidRDefault="00034FBD" w:rsidP="002A1E4F">
      <w:pPr>
        <w:pStyle w:val="BodyText"/>
      </w:pPr>
      <w:r w:rsidRPr="00034FBD">
        <w:t xml:space="preserve">The survey was hosted on </w:t>
      </w:r>
      <w:proofErr w:type="spellStart"/>
      <w:r w:rsidRPr="00034FBD">
        <w:t>Typeform</w:t>
      </w:r>
      <w:proofErr w:type="spellEnd"/>
      <w:r w:rsidRPr="00034FBD">
        <w:t xml:space="preserve">, a digital survey platform. The distribution channels included the Department of Health and Aged Care, peak bodies and industry partners. The survey remained active in the field for a period of </w:t>
      </w:r>
      <w:r w:rsidR="0073299C">
        <w:t>4</w:t>
      </w:r>
      <w:r w:rsidRPr="00034FBD">
        <w:t xml:space="preserve"> weeks and was extended at the request of peak bodies.</w:t>
      </w:r>
    </w:p>
    <w:p w14:paraId="3BABB4EF" w14:textId="3D1A429B" w:rsidR="00034FBD" w:rsidRPr="0097416E" w:rsidRDefault="00034FBD" w:rsidP="002A1E4F">
      <w:pPr>
        <w:pStyle w:val="BodyText"/>
        <w:rPr>
          <w:b/>
        </w:rPr>
      </w:pPr>
      <w:bookmarkStart w:id="86" w:name="_Toc175146863"/>
      <w:r w:rsidRPr="0097416E">
        <w:rPr>
          <w:b/>
        </w:rPr>
        <w:t>Rationale</w:t>
      </w:r>
      <w:bookmarkEnd w:id="86"/>
      <w:r w:rsidR="000E4EAC">
        <w:rPr>
          <w:b/>
          <w:bCs/>
        </w:rPr>
        <w:t xml:space="preserve"> for data weighting </w:t>
      </w:r>
    </w:p>
    <w:p w14:paraId="4549067F" w14:textId="77777777" w:rsidR="00034FBD" w:rsidRPr="00034FBD" w:rsidRDefault="00034FBD" w:rsidP="002A1E4F">
      <w:pPr>
        <w:pStyle w:val="BodyText"/>
      </w:pPr>
      <w:r w:rsidRPr="00034FBD">
        <w:lastRenderedPageBreak/>
        <w:t xml:space="preserve">Data weighting was implemented to mitigate selection bias in the survey sample. This process ensures that the results accurately represent the workforce population rather than merely reflecting the characteristics of survey respondents. The survey results had a strong bias towards women that is not reflected in the </w:t>
      </w:r>
      <w:proofErr w:type="spellStart"/>
      <w:r w:rsidRPr="00034FBD">
        <w:t>Revelio</w:t>
      </w:r>
      <w:proofErr w:type="spellEnd"/>
      <w:r w:rsidRPr="00034FBD">
        <w:t xml:space="preserve"> data or other research. It is a known and well-reported phenomenon that women are more likely to respond to surveys than men, biasing raw results.</w:t>
      </w:r>
      <w:r w:rsidRPr="00034FBD">
        <w:rPr>
          <w:vertAlign w:val="superscript"/>
        </w:rPr>
        <w:t>1</w:t>
      </w:r>
      <w:r w:rsidRPr="00034FBD">
        <w:rPr>
          <w:vertAlign w:val="superscript"/>
        </w:rPr>
        <w:footnoteReference w:id="65"/>
      </w:r>
      <w:r w:rsidRPr="00034FBD">
        <w:t xml:space="preserve"> For this reason, the majority of weighting is driven by gender, rather than location or workforce segment.</w:t>
      </w:r>
    </w:p>
    <w:p w14:paraId="1D8B0F87" w14:textId="77777777" w:rsidR="00034FBD" w:rsidRPr="0097416E" w:rsidRDefault="00034FBD" w:rsidP="002A1E4F">
      <w:pPr>
        <w:pStyle w:val="BodyText"/>
        <w:rPr>
          <w:b/>
        </w:rPr>
      </w:pPr>
      <w:bookmarkStart w:id="87" w:name="_Toc175146864"/>
      <w:r w:rsidRPr="0097416E">
        <w:rPr>
          <w:b/>
        </w:rPr>
        <w:t>Reference Dataset</w:t>
      </w:r>
      <w:bookmarkEnd w:id="87"/>
    </w:p>
    <w:p w14:paraId="7ADF7C44" w14:textId="3CA689EF" w:rsidR="00034FBD" w:rsidRPr="00034FBD" w:rsidRDefault="00034FBD" w:rsidP="002A1E4F">
      <w:pPr>
        <w:pStyle w:val="BodyText"/>
      </w:pPr>
      <w:r w:rsidRPr="00034FBD">
        <w:t xml:space="preserve">Due to the limited availability of comprehensive data on the health and medical research workforce, the weighted </w:t>
      </w:r>
      <w:proofErr w:type="spellStart"/>
      <w:r w:rsidRPr="00034FBD">
        <w:t>Revelio</w:t>
      </w:r>
      <w:proofErr w:type="spellEnd"/>
      <w:r w:rsidRPr="00034FBD">
        <w:t xml:space="preserve"> dataset was selected as the most reliable representation of this population. It served as the reference point for generating weights to be applied to the survey data. The </w:t>
      </w:r>
      <w:proofErr w:type="spellStart"/>
      <w:r w:rsidRPr="00034FBD">
        <w:t>Revelio</w:t>
      </w:r>
      <w:proofErr w:type="spellEnd"/>
      <w:r w:rsidRPr="00034FBD">
        <w:t xml:space="preserve"> data weights  were derived from the Australian Bureau of Statistics (ABS) 2021 Census data, based on combinations of gender, state</w:t>
      </w:r>
      <w:r w:rsidR="00531DF0">
        <w:t xml:space="preserve"> and </w:t>
      </w:r>
      <w:r w:rsidRPr="00034FBD">
        <w:t>territory, and industry.</w:t>
      </w:r>
    </w:p>
    <w:p w14:paraId="6AAF2ED1" w14:textId="77777777" w:rsidR="00034FBD" w:rsidRPr="0097416E" w:rsidRDefault="00034FBD" w:rsidP="002A1E4F">
      <w:pPr>
        <w:pStyle w:val="BodyText"/>
        <w:rPr>
          <w:b/>
        </w:rPr>
      </w:pPr>
      <w:bookmarkStart w:id="88" w:name="_Toc175146865"/>
      <w:r w:rsidRPr="0097416E">
        <w:rPr>
          <w:b/>
        </w:rPr>
        <w:t>Weighting Procedure</w:t>
      </w:r>
      <w:bookmarkEnd w:id="88"/>
    </w:p>
    <w:p w14:paraId="5DA3FA57" w14:textId="5C066CD1" w:rsidR="00034FBD" w:rsidRPr="00034FBD" w:rsidRDefault="00034FBD" w:rsidP="002A1E4F">
      <w:pPr>
        <w:pStyle w:val="BodyText"/>
      </w:pPr>
      <w:r w:rsidRPr="00034FBD">
        <w:t>Weights were calculated for each unique combination of demographic characteristics, including gender, state</w:t>
      </w:r>
      <w:r w:rsidR="00531DF0">
        <w:t xml:space="preserve"> and </w:t>
      </w:r>
      <w:r w:rsidRPr="00034FBD">
        <w:t xml:space="preserve">territory, and researcher classification (traditional or non-traditional). This approach aligns the survey sample with the </w:t>
      </w:r>
      <w:proofErr w:type="spellStart"/>
      <w:r w:rsidRPr="00034FBD">
        <w:t>Revelio</w:t>
      </w:r>
      <w:proofErr w:type="spellEnd"/>
      <w:r w:rsidRPr="00034FBD">
        <w:t xml:space="preserve"> dataset distribution.</w:t>
      </w:r>
    </w:p>
    <w:p w14:paraId="76C7C374" w14:textId="77777777" w:rsidR="00034FBD" w:rsidRPr="0097416E" w:rsidRDefault="00034FBD" w:rsidP="002A1E4F">
      <w:pPr>
        <w:pStyle w:val="BodyText"/>
        <w:rPr>
          <w:b/>
          <w:caps/>
        </w:rPr>
      </w:pPr>
      <w:bookmarkStart w:id="89" w:name="_Toc175146867"/>
      <w:r w:rsidRPr="0097416E">
        <w:rPr>
          <w:b/>
        </w:rPr>
        <w:t>Comparative analysis</w:t>
      </w:r>
      <w:bookmarkEnd w:id="89"/>
    </w:p>
    <w:p w14:paraId="31148703" w14:textId="25894B12" w:rsidR="00034FBD" w:rsidRDefault="00034FBD" w:rsidP="002A1E4F">
      <w:pPr>
        <w:pStyle w:val="BodyText"/>
      </w:pPr>
      <w:r w:rsidRPr="00034FBD">
        <w:t xml:space="preserve">By employing this dual weighting strategy—weighting the survey data to the </w:t>
      </w:r>
      <w:proofErr w:type="spellStart"/>
      <w:r w:rsidRPr="00034FBD">
        <w:t>Revelio</w:t>
      </w:r>
      <w:proofErr w:type="spellEnd"/>
      <w:r w:rsidRPr="00034FBD">
        <w:t xml:space="preserve"> dataset, and the </w:t>
      </w:r>
      <w:proofErr w:type="spellStart"/>
      <w:r w:rsidRPr="00034FBD">
        <w:t>Revelio</w:t>
      </w:r>
      <w:proofErr w:type="spellEnd"/>
      <w:r w:rsidRPr="00034FBD">
        <w:t xml:space="preserve"> dataset to Census data—a basis for valid comparisons between these data sources was established. This methodology facilitates integrated reporting and analysis of findings from multiple sources.</w:t>
      </w:r>
    </w:p>
    <w:p w14:paraId="1CF4E8C9" w14:textId="3E39BB4C" w:rsidR="00531DF0" w:rsidRPr="00704608" w:rsidRDefault="00531DF0" w:rsidP="002A1E4F">
      <w:pPr>
        <w:pStyle w:val="BodyText"/>
        <w:rPr>
          <w:b/>
          <w:bCs/>
        </w:rPr>
      </w:pPr>
      <w:r w:rsidRPr="00704608">
        <w:rPr>
          <w:b/>
          <w:bCs/>
        </w:rPr>
        <w:t xml:space="preserve">Survey weights </w:t>
      </w:r>
    </w:p>
    <w:p w14:paraId="5A261F43" w14:textId="3CDCF490" w:rsidR="00531DF0" w:rsidRPr="002A1E4F" w:rsidRDefault="00531DF0" w:rsidP="002A1E4F">
      <w:pPr>
        <w:pStyle w:val="BodyText"/>
      </w:pPr>
      <w:r>
        <w:t xml:space="preserve">Survey weights as shown in table 1 are calculated based on a combination of state and territory, gender and workforce segment. When values are missing from the survey data, a value of 1 is given to this piece of survey data. </w:t>
      </w:r>
    </w:p>
    <w:p w14:paraId="7A024394" w14:textId="6FC3C0F3" w:rsidR="00516864" w:rsidRDefault="00516864" w:rsidP="002A1E4F">
      <w:pPr>
        <w:pStyle w:val="Caption"/>
        <w:keepNext/>
      </w:pPr>
      <w:r>
        <w:t xml:space="preserve">Table </w:t>
      </w:r>
      <w:r w:rsidR="000F3A2E">
        <w:t>4</w:t>
      </w:r>
      <w:r>
        <w:t xml:space="preserve">: </w:t>
      </w:r>
      <w:r w:rsidRPr="002A1E4F">
        <w:rPr>
          <w:bCs/>
        </w:rPr>
        <w:t>Survey weights</w:t>
      </w:r>
    </w:p>
    <w:tbl>
      <w:tblPr>
        <w:tblStyle w:val="TableGrid"/>
        <w:tblW w:w="0" w:type="auto"/>
        <w:tblLayout w:type="fixed"/>
        <w:tblLook w:val="04A0" w:firstRow="1" w:lastRow="0" w:firstColumn="1" w:lastColumn="0" w:noHBand="0" w:noVBand="1"/>
      </w:tblPr>
      <w:tblGrid>
        <w:gridCol w:w="988"/>
        <w:gridCol w:w="1275"/>
        <w:gridCol w:w="1985"/>
        <w:gridCol w:w="992"/>
        <w:gridCol w:w="1276"/>
        <w:gridCol w:w="992"/>
        <w:gridCol w:w="1276"/>
        <w:gridCol w:w="958"/>
      </w:tblGrid>
      <w:tr w:rsidR="00CE0887" w:rsidRPr="00CE0887" w14:paraId="0B8615CA" w14:textId="77777777" w:rsidTr="00721148">
        <w:trPr>
          <w:trHeight w:val="290"/>
        </w:trPr>
        <w:tc>
          <w:tcPr>
            <w:tcW w:w="988" w:type="dxa"/>
            <w:noWrap/>
            <w:vAlign w:val="center"/>
            <w:hideMark/>
          </w:tcPr>
          <w:p w14:paraId="7B8C4C9D" w14:textId="5D53219A" w:rsidR="00034FBD" w:rsidRPr="00CE0887" w:rsidRDefault="00034FBD" w:rsidP="00034FBD">
            <w:pPr>
              <w:rPr>
                <w:b/>
                <w:bCs/>
                <w:color w:val="001C55" w:themeColor="text2"/>
                <w:sz w:val="16"/>
                <w:szCs w:val="16"/>
              </w:rPr>
            </w:pPr>
            <w:r w:rsidRPr="00CE0887">
              <w:rPr>
                <w:b/>
                <w:bCs/>
                <w:color w:val="001C55" w:themeColor="text2"/>
                <w:sz w:val="16"/>
                <w:szCs w:val="16"/>
              </w:rPr>
              <w:t>State</w:t>
            </w:r>
            <w:r w:rsidR="00531DF0">
              <w:rPr>
                <w:b/>
                <w:bCs/>
                <w:color w:val="001C55" w:themeColor="text2"/>
                <w:sz w:val="16"/>
                <w:szCs w:val="16"/>
              </w:rPr>
              <w:t xml:space="preserve"> and territory </w:t>
            </w:r>
          </w:p>
        </w:tc>
        <w:tc>
          <w:tcPr>
            <w:tcW w:w="1275" w:type="dxa"/>
            <w:noWrap/>
            <w:vAlign w:val="center"/>
            <w:hideMark/>
          </w:tcPr>
          <w:p w14:paraId="50640AA9" w14:textId="77777777" w:rsidR="00034FBD" w:rsidRPr="00CE0887" w:rsidRDefault="00034FBD" w:rsidP="00034FBD">
            <w:pPr>
              <w:rPr>
                <w:b/>
                <w:bCs/>
                <w:color w:val="001C55" w:themeColor="text2"/>
                <w:sz w:val="16"/>
                <w:szCs w:val="16"/>
              </w:rPr>
            </w:pPr>
            <w:r w:rsidRPr="00CE0887">
              <w:rPr>
                <w:b/>
                <w:bCs/>
                <w:color w:val="001C55" w:themeColor="text2"/>
                <w:sz w:val="16"/>
                <w:szCs w:val="16"/>
              </w:rPr>
              <w:t>Gender</w:t>
            </w:r>
          </w:p>
        </w:tc>
        <w:tc>
          <w:tcPr>
            <w:tcW w:w="1985" w:type="dxa"/>
            <w:noWrap/>
            <w:vAlign w:val="center"/>
            <w:hideMark/>
          </w:tcPr>
          <w:p w14:paraId="28F9D754" w14:textId="7D896357" w:rsidR="00034FBD" w:rsidRPr="00CE0887" w:rsidRDefault="00531DF0" w:rsidP="00034FBD">
            <w:pPr>
              <w:rPr>
                <w:b/>
                <w:bCs/>
                <w:color w:val="001C55" w:themeColor="text2"/>
                <w:sz w:val="16"/>
                <w:szCs w:val="16"/>
              </w:rPr>
            </w:pPr>
            <w:r>
              <w:rPr>
                <w:b/>
                <w:bCs/>
                <w:color w:val="001C55" w:themeColor="text2"/>
                <w:sz w:val="16"/>
                <w:szCs w:val="16"/>
              </w:rPr>
              <w:t>Workforce</w:t>
            </w:r>
          </w:p>
        </w:tc>
        <w:tc>
          <w:tcPr>
            <w:tcW w:w="992" w:type="dxa"/>
            <w:noWrap/>
            <w:vAlign w:val="center"/>
            <w:hideMark/>
          </w:tcPr>
          <w:p w14:paraId="13C67481" w14:textId="77777777" w:rsidR="00034FBD" w:rsidRPr="00CE0887" w:rsidRDefault="00034FBD" w:rsidP="00034FBD">
            <w:pPr>
              <w:rPr>
                <w:b/>
                <w:bCs/>
                <w:color w:val="001C55" w:themeColor="text2"/>
                <w:sz w:val="16"/>
                <w:szCs w:val="16"/>
              </w:rPr>
            </w:pPr>
            <w:proofErr w:type="spellStart"/>
            <w:r w:rsidRPr="00CE0887">
              <w:rPr>
                <w:b/>
                <w:bCs/>
                <w:color w:val="001C55" w:themeColor="text2"/>
                <w:sz w:val="16"/>
                <w:szCs w:val="16"/>
              </w:rPr>
              <w:t>Revelio</w:t>
            </w:r>
            <w:proofErr w:type="spellEnd"/>
            <w:r w:rsidRPr="00CE0887">
              <w:rPr>
                <w:b/>
                <w:bCs/>
                <w:color w:val="001C55" w:themeColor="text2"/>
                <w:sz w:val="16"/>
                <w:szCs w:val="16"/>
              </w:rPr>
              <w:t xml:space="preserve"> count</w:t>
            </w:r>
          </w:p>
        </w:tc>
        <w:tc>
          <w:tcPr>
            <w:tcW w:w="1276" w:type="dxa"/>
            <w:noWrap/>
            <w:vAlign w:val="center"/>
            <w:hideMark/>
          </w:tcPr>
          <w:p w14:paraId="3F703B2D" w14:textId="77777777" w:rsidR="00034FBD" w:rsidRPr="00CE0887" w:rsidRDefault="00034FBD" w:rsidP="00034FBD">
            <w:pPr>
              <w:rPr>
                <w:b/>
                <w:bCs/>
                <w:color w:val="001C55" w:themeColor="text2"/>
                <w:sz w:val="16"/>
                <w:szCs w:val="16"/>
              </w:rPr>
            </w:pPr>
            <w:proofErr w:type="spellStart"/>
            <w:r w:rsidRPr="00CE0887">
              <w:rPr>
                <w:b/>
                <w:bCs/>
                <w:color w:val="001C55" w:themeColor="text2"/>
                <w:sz w:val="16"/>
                <w:szCs w:val="16"/>
              </w:rPr>
              <w:t>Revelio</w:t>
            </w:r>
            <w:proofErr w:type="spellEnd"/>
            <w:r w:rsidRPr="00CE0887">
              <w:rPr>
                <w:b/>
                <w:bCs/>
                <w:color w:val="001C55" w:themeColor="text2"/>
                <w:sz w:val="16"/>
                <w:szCs w:val="16"/>
              </w:rPr>
              <w:t xml:space="preserve"> proportion</w:t>
            </w:r>
          </w:p>
        </w:tc>
        <w:tc>
          <w:tcPr>
            <w:tcW w:w="992" w:type="dxa"/>
            <w:noWrap/>
            <w:vAlign w:val="center"/>
            <w:hideMark/>
          </w:tcPr>
          <w:p w14:paraId="4F9AFDAC" w14:textId="77777777" w:rsidR="00034FBD" w:rsidRPr="00CE0887" w:rsidRDefault="00034FBD" w:rsidP="00034FBD">
            <w:pPr>
              <w:rPr>
                <w:b/>
                <w:bCs/>
                <w:color w:val="001C55" w:themeColor="text2"/>
                <w:sz w:val="16"/>
                <w:szCs w:val="16"/>
              </w:rPr>
            </w:pPr>
            <w:r w:rsidRPr="00CE0887">
              <w:rPr>
                <w:b/>
                <w:bCs/>
                <w:color w:val="001C55" w:themeColor="text2"/>
                <w:sz w:val="16"/>
                <w:szCs w:val="16"/>
              </w:rPr>
              <w:t>Survey count</w:t>
            </w:r>
          </w:p>
        </w:tc>
        <w:tc>
          <w:tcPr>
            <w:tcW w:w="1276" w:type="dxa"/>
            <w:noWrap/>
            <w:vAlign w:val="center"/>
            <w:hideMark/>
          </w:tcPr>
          <w:p w14:paraId="08027E8A" w14:textId="77777777" w:rsidR="00034FBD" w:rsidRPr="00CE0887" w:rsidRDefault="00034FBD" w:rsidP="00034FBD">
            <w:pPr>
              <w:rPr>
                <w:b/>
                <w:bCs/>
                <w:color w:val="001C55" w:themeColor="text2"/>
                <w:sz w:val="16"/>
                <w:szCs w:val="16"/>
              </w:rPr>
            </w:pPr>
            <w:r w:rsidRPr="00CE0887">
              <w:rPr>
                <w:b/>
                <w:bCs/>
                <w:color w:val="001C55" w:themeColor="text2"/>
                <w:sz w:val="16"/>
                <w:szCs w:val="16"/>
              </w:rPr>
              <w:t>Survey proportion</w:t>
            </w:r>
          </w:p>
        </w:tc>
        <w:tc>
          <w:tcPr>
            <w:tcW w:w="958" w:type="dxa"/>
            <w:noWrap/>
            <w:vAlign w:val="center"/>
            <w:hideMark/>
          </w:tcPr>
          <w:p w14:paraId="62BD1972" w14:textId="77777777" w:rsidR="00034FBD" w:rsidRPr="00CE0887" w:rsidRDefault="00034FBD" w:rsidP="00034FBD">
            <w:pPr>
              <w:rPr>
                <w:b/>
                <w:bCs/>
                <w:color w:val="001C55" w:themeColor="text2"/>
                <w:sz w:val="16"/>
                <w:szCs w:val="16"/>
              </w:rPr>
            </w:pPr>
            <w:r w:rsidRPr="00CE0887">
              <w:rPr>
                <w:b/>
                <w:bCs/>
                <w:color w:val="001C55" w:themeColor="text2"/>
                <w:sz w:val="16"/>
                <w:szCs w:val="16"/>
              </w:rPr>
              <w:t>Weight</w:t>
            </w:r>
          </w:p>
        </w:tc>
      </w:tr>
      <w:tr w:rsidR="00CE0887" w:rsidRPr="00CE0887" w14:paraId="0088E7AA" w14:textId="77777777" w:rsidTr="00721148">
        <w:trPr>
          <w:trHeight w:val="290"/>
        </w:trPr>
        <w:tc>
          <w:tcPr>
            <w:tcW w:w="988" w:type="dxa"/>
            <w:noWrap/>
            <w:vAlign w:val="center"/>
            <w:hideMark/>
          </w:tcPr>
          <w:p w14:paraId="31FEA506" w14:textId="77777777" w:rsidR="00034FBD" w:rsidRPr="00CE0887" w:rsidRDefault="00034FBD" w:rsidP="00034FBD">
            <w:pPr>
              <w:rPr>
                <w:color w:val="001C55" w:themeColor="text2"/>
                <w:sz w:val="16"/>
                <w:szCs w:val="16"/>
              </w:rPr>
            </w:pPr>
            <w:r w:rsidRPr="00CE0887">
              <w:rPr>
                <w:color w:val="001C55" w:themeColor="text2"/>
                <w:sz w:val="16"/>
                <w:szCs w:val="16"/>
              </w:rPr>
              <w:t>ACT</w:t>
            </w:r>
          </w:p>
        </w:tc>
        <w:tc>
          <w:tcPr>
            <w:tcW w:w="1275" w:type="dxa"/>
            <w:noWrap/>
            <w:vAlign w:val="center"/>
            <w:hideMark/>
          </w:tcPr>
          <w:p w14:paraId="110DAB54"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54726851"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4418CB1C" w14:textId="77777777" w:rsidR="00034FBD" w:rsidRPr="00CE0887" w:rsidRDefault="00034FBD" w:rsidP="00034FBD">
            <w:pPr>
              <w:rPr>
                <w:color w:val="001C55" w:themeColor="text2"/>
                <w:sz w:val="16"/>
                <w:szCs w:val="16"/>
              </w:rPr>
            </w:pPr>
            <w:r w:rsidRPr="00CE0887">
              <w:rPr>
                <w:color w:val="001C55" w:themeColor="text2"/>
                <w:sz w:val="16"/>
                <w:szCs w:val="16"/>
              </w:rPr>
              <w:t>145</w:t>
            </w:r>
          </w:p>
        </w:tc>
        <w:tc>
          <w:tcPr>
            <w:tcW w:w="1276" w:type="dxa"/>
            <w:noWrap/>
            <w:hideMark/>
          </w:tcPr>
          <w:p w14:paraId="0634C94B" w14:textId="77777777" w:rsidR="00034FBD" w:rsidRPr="00CE0887" w:rsidRDefault="00034FBD" w:rsidP="00034FBD">
            <w:pPr>
              <w:rPr>
                <w:color w:val="001C55" w:themeColor="text2"/>
                <w:sz w:val="16"/>
                <w:szCs w:val="16"/>
              </w:rPr>
            </w:pPr>
            <w:r w:rsidRPr="00CE0887">
              <w:rPr>
                <w:color w:val="001C55" w:themeColor="text2"/>
                <w:sz w:val="16"/>
                <w:szCs w:val="16"/>
              </w:rPr>
              <w:t>0.4%</w:t>
            </w:r>
          </w:p>
        </w:tc>
        <w:tc>
          <w:tcPr>
            <w:tcW w:w="992" w:type="dxa"/>
            <w:noWrap/>
            <w:hideMark/>
          </w:tcPr>
          <w:p w14:paraId="321AE6BD" w14:textId="77777777" w:rsidR="00034FBD" w:rsidRPr="00CE0887" w:rsidRDefault="00034FBD" w:rsidP="00034FBD">
            <w:pPr>
              <w:rPr>
                <w:color w:val="001C55" w:themeColor="text2"/>
                <w:sz w:val="16"/>
                <w:szCs w:val="16"/>
              </w:rPr>
            </w:pPr>
            <w:r w:rsidRPr="00CE0887">
              <w:rPr>
                <w:color w:val="001C55" w:themeColor="text2"/>
                <w:sz w:val="16"/>
                <w:szCs w:val="16"/>
              </w:rPr>
              <w:t>22</w:t>
            </w:r>
          </w:p>
        </w:tc>
        <w:tc>
          <w:tcPr>
            <w:tcW w:w="1276" w:type="dxa"/>
            <w:noWrap/>
            <w:hideMark/>
          </w:tcPr>
          <w:p w14:paraId="4D12A5BE" w14:textId="77777777" w:rsidR="00034FBD" w:rsidRPr="00CE0887" w:rsidRDefault="00034FBD" w:rsidP="00034FBD">
            <w:pPr>
              <w:rPr>
                <w:color w:val="001C55" w:themeColor="text2"/>
                <w:sz w:val="16"/>
                <w:szCs w:val="16"/>
              </w:rPr>
            </w:pPr>
            <w:r w:rsidRPr="00CE0887">
              <w:rPr>
                <w:color w:val="001C55" w:themeColor="text2"/>
                <w:sz w:val="16"/>
                <w:szCs w:val="16"/>
              </w:rPr>
              <w:t>1.1%</w:t>
            </w:r>
          </w:p>
        </w:tc>
        <w:tc>
          <w:tcPr>
            <w:tcW w:w="958" w:type="dxa"/>
            <w:noWrap/>
            <w:hideMark/>
          </w:tcPr>
          <w:p w14:paraId="5F6D55FE" w14:textId="77777777" w:rsidR="00034FBD" w:rsidRPr="00CE0887" w:rsidRDefault="00034FBD" w:rsidP="00034FBD">
            <w:pPr>
              <w:rPr>
                <w:color w:val="001C55" w:themeColor="text2"/>
                <w:sz w:val="16"/>
                <w:szCs w:val="16"/>
              </w:rPr>
            </w:pPr>
            <w:r w:rsidRPr="00CE0887">
              <w:rPr>
                <w:color w:val="001C55" w:themeColor="text2"/>
                <w:sz w:val="16"/>
                <w:szCs w:val="16"/>
              </w:rPr>
              <w:t>0.4</w:t>
            </w:r>
          </w:p>
        </w:tc>
      </w:tr>
      <w:tr w:rsidR="00CE0887" w:rsidRPr="00CE0887" w14:paraId="462BA709" w14:textId="77777777" w:rsidTr="00721148">
        <w:trPr>
          <w:trHeight w:val="290"/>
        </w:trPr>
        <w:tc>
          <w:tcPr>
            <w:tcW w:w="988" w:type="dxa"/>
            <w:noWrap/>
            <w:vAlign w:val="center"/>
            <w:hideMark/>
          </w:tcPr>
          <w:p w14:paraId="1F2C17F0" w14:textId="77777777" w:rsidR="00034FBD" w:rsidRPr="00CE0887" w:rsidRDefault="00034FBD" w:rsidP="00034FBD">
            <w:pPr>
              <w:rPr>
                <w:color w:val="001C55" w:themeColor="text2"/>
                <w:sz w:val="16"/>
                <w:szCs w:val="16"/>
              </w:rPr>
            </w:pPr>
            <w:r w:rsidRPr="00CE0887">
              <w:rPr>
                <w:color w:val="001C55" w:themeColor="text2"/>
                <w:sz w:val="16"/>
                <w:szCs w:val="16"/>
              </w:rPr>
              <w:t>ACT</w:t>
            </w:r>
          </w:p>
        </w:tc>
        <w:tc>
          <w:tcPr>
            <w:tcW w:w="1275" w:type="dxa"/>
            <w:noWrap/>
            <w:vAlign w:val="center"/>
            <w:hideMark/>
          </w:tcPr>
          <w:p w14:paraId="799F07FC"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650243EC"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22F49039" w14:textId="77777777" w:rsidR="00034FBD" w:rsidRPr="00CE0887" w:rsidRDefault="00034FBD" w:rsidP="00034FBD">
            <w:pPr>
              <w:rPr>
                <w:color w:val="001C55" w:themeColor="text2"/>
                <w:sz w:val="16"/>
                <w:szCs w:val="16"/>
              </w:rPr>
            </w:pPr>
            <w:r w:rsidRPr="00CE0887">
              <w:rPr>
                <w:color w:val="001C55" w:themeColor="text2"/>
                <w:sz w:val="16"/>
                <w:szCs w:val="16"/>
              </w:rPr>
              <w:t>338</w:t>
            </w:r>
          </w:p>
        </w:tc>
        <w:tc>
          <w:tcPr>
            <w:tcW w:w="1276" w:type="dxa"/>
            <w:noWrap/>
            <w:hideMark/>
          </w:tcPr>
          <w:p w14:paraId="1B4DAC3B" w14:textId="77777777" w:rsidR="00034FBD" w:rsidRPr="00CE0887" w:rsidRDefault="00034FBD" w:rsidP="00034FBD">
            <w:pPr>
              <w:rPr>
                <w:color w:val="001C55" w:themeColor="text2"/>
                <w:sz w:val="16"/>
                <w:szCs w:val="16"/>
              </w:rPr>
            </w:pPr>
            <w:r w:rsidRPr="00CE0887">
              <w:rPr>
                <w:color w:val="001C55" w:themeColor="text2"/>
                <w:sz w:val="16"/>
                <w:szCs w:val="16"/>
              </w:rPr>
              <w:t>1.0%</w:t>
            </w:r>
          </w:p>
        </w:tc>
        <w:tc>
          <w:tcPr>
            <w:tcW w:w="992" w:type="dxa"/>
            <w:noWrap/>
            <w:hideMark/>
          </w:tcPr>
          <w:p w14:paraId="0DD51EE4" w14:textId="77777777" w:rsidR="00034FBD" w:rsidRPr="00CE0887" w:rsidRDefault="00034FBD" w:rsidP="00034FBD">
            <w:pPr>
              <w:rPr>
                <w:color w:val="001C55" w:themeColor="text2"/>
                <w:sz w:val="16"/>
                <w:szCs w:val="16"/>
              </w:rPr>
            </w:pPr>
            <w:r w:rsidRPr="00CE0887">
              <w:rPr>
                <w:color w:val="001C55" w:themeColor="text2"/>
                <w:sz w:val="16"/>
                <w:szCs w:val="16"/>
              </w:rPr>
              <w:t>42</w:t>
            </w:r>
          </w:p>
        </w:tc>
        <w:tc>
          <w:tcPr>
            <w:tcW w:w="1276" w:type="dxa"/>
            <w:noWrap/>
            <w:hideMark/>
          </w:tcPr>
          <w:p w14:paraId="440EC0EF" w14:textId="77777777" w:rsidR="00034FBD" w:rsidRPr="00CE0887" w:rsidRDefault="00034FBD" w:rsidP="00034FBD">
            <w:pPr>
              <w:rPr>
                <w:color w:val="001C55" w:themeColor="text2"/>
                <w:sz w:val="16"/>
                <w:szCs w:val="16"/>
              </w:rPr>
            </w:pPr>
            <w:r w:rsidRPr="00CE0887">
              <w:rPr>
                <w:color w:val="001C55" w:themeColor="text2"/>
                <w:sz w:val="16"/>
                <w:szCs w:val="16"/>
              </w:rPr>
              <w:t>2.1%</w:t>
            </w:r>
          </w:p>
        </w:tc>
        <w:tc>
          <w:tcPr>
            <w:tcW w:w="958" w:type="dxa"/>
            <w:noWrap/>
            <w:hideMark/>
          </w:tcPr>
          <w:p w14:paraId="050C5BD5" w14:textId="77777777" w:rsidR="00034FBD" w:rsidRPr="00CE0887" w:rsidRDefault="00034FBD" w:rsidP="00034FBD">
            <w:pPr>
              <w:rPr>
                <w:color w:val="001C55" w:themeColor="text2"/>
                <w:sz w:val="16"/>
                <w:szCs w:val="16"/>
              </w:rPr>
            </w:pPr>
            <w:r w:rsidRPr="00CE0887">
              <w:rPr>
                <w:color w:val="001C55" w:themeColor="text2"/>
                <w:sz w:val="16"/>
                <w:szCs w:val="16"/>
              </w:rPr>
              <w:t>0.5</w:t>
            </w:r>
          </w:p>
        </w:tc>
      </w:tr>
      <w:tr w:rsidR="00CE0887" w:rsidRPr="00CE0887" w14:paraId="77E03E4A" w14:textId="77777777" w:rsidTr="00721148">
        <w:trPr>
          <w:trHeight w:val="290"/>
        </w:trPr>
        <w:tc>
          <w:tcPr>
            <w:tcW w:w="988" w:type="dxa"/>
            <w:noWrap/>
            <w:vAlign w:val="center"/>
            <w:hideMark/>
          </w:tcPr>
          <w:p w14:paraId="13B3E801" w14:textId="77777777" w:rsidR="00034FBD" w:rsidRPr="00CE0887" w:rsidRDefault="00034FBD" w:rsidP="00034FBD">
            <w:pPr>
              <w:rPr>
                <w:color w:val="001C55" w:themeColor="text2"/>
                <w:sz w:val="16"/>
                <w:szCs w:val="16"/>
              </w:rPr>
            </w:pPr>
            <w:r w:rsidRPr="00CE0887">
              <w:rPr>
                <w:color w:val="001C55" w:themeColor="text2"/>
                <w:sz w:val="16"/>
                <w:szCs w:val="16"/>
              </w:rPr>
              <w:t>ACT</w:t>
            </w:r>
          </w:p>
        </w:tc>
        <w:tc>
          <w:tcPr>
            <w:tcW w:w="1275" w:type="dxa"/>
            <w:noWrap/>
            <w:vAlign w:val="center"/>
            <w:hideMark/>
          </w:tcPr>
          <w:p w14:paraId="77D818C5"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383B366D"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52A3CCFC" w14:textId="77777777" w:rsidR="00034FBD" w:rsidRPr="00CE0887" w:rsidRDefault="00034FBD" w:rsidP="00034FBD">
            <w:pPr>
              <w:rPr>
                <w:color w:val="001C55" w:themeColor="text2"/>
                <w:sz w:val="16"/>
                <w:szCs w:val="16"/>
              </w:rPr>
            </w:pPr>
            <w:r w:rsidRPr="00CE0887">
              <w:rPr>
                <w:color w:val="001C55" w:themeColor="text2"/>
                <w:sz w:val="16"/>
                <w:szCs w:val="16"/>
              </w:rPr>
              <w:t>196</w:t>
            </w:r>
          </w:p>
        </w:tc>
        <w:tc>
          <w:tcPr>
            <w:tcW w:w="1276" w:type="dxa"/>
            <w:noWrap/>
            <w:hideMark/>
          </w:tcPr>
          <w:p w14:paraId="70FBD422" w14:textId="77777777" w:rsidR="00034FBD" w:rsidRPr="00CE0887" w:rsidRDefault="00034FBD" w:rsidP="00034FBD">
            <w:pPr>
              <w:rPr>
                <w:color w:val="001C55" w:themeColor="text2"/>
                <w:sz w:val="16"/>
                <w:szCs w:val="16"/>
              </w:rPr>
            </w:pPr>
            <w:r w:rsidRPr="00CE0887">
              <w:rPr>
                <w:color w:val="001C55" w:themeColor="text2"/>
                <w:sz w:val="16"/>
                <w:szCs w:val="16"/>
              </w:rPr>
              <w:t>0.6%</w:t>
            </w:r>
          </w:p>
        </w:tc>
        <w:tc>
          <w:tcPr>
            <w:tcW w:w="992" w:type="dxa"/>
            <w:noWrap/>
            <w:hideMark/>
          </w:tcPr>
          <w:p w14:paraId="08060E79" w14:textId="77777777" w:rsidR="00034FBD" w:rsidRPr="00CE0887" w:rsidRDefault="00034FBD" w:rsidP="00034FBD">
            <w:pPr>
              <w:rPr>
                <w:color w:val="001C55" w:themeColor="text2"/>
                <w:sz w:val="16"/>
                <w:szCs w:val="16"/>
              </w:rPr>
            </w:pPr>
            <w:r w:rsidRPr="00CE0887">
              <w:rPr>
                <w:color w:val="001C55" w:themeColor="text2"/>
                <w:sz w:val="16"/>
                <w:szCs w:val="16"/>
              </w:rPr>
              <w:t>1</w:t>
            </w:r>
          </w:p>
        </w:tc>
        <w:tc>
          <w:tcPr>
            <w:tcW w:w="1276" w:type="dxa"/>
            <w:noWrap/>
            <w:hideMark/>
          </w:tcPr>
          <w:p w14:paraId="6B65DDA5" w14:textId="77777777" w:rsidR="00034FBD" w:rsidRPr="00CE0887" w:rsidRDefault="00034FBD" w:rsidP="00034FBD">
            <w:pPr>
              <w:rPr>
                <w:color w:val="001C55" w:themeColor="text2"/>
                <w:sz w:val="16"/>
                <w:szCs w:val="16"/>
              </w:rPr>
            </w:pPr>
            <w:r w:rsidRPr="00CE0887">
              <w:rPr>
                <w:color w:val="001C55" w:themeColor="text2"/>
                <w:sz w:val="16"/>
                <w:szCs w:val="16"/>
              </w:rPr>
              <w:t>0.0%</w:t>
            </w:r>
          </w:p>
        </w:tc>
        <w:tc>
          <w:tcPr>
            <w:tcW w:w="958" w:type="dxa"/>
            <w:noWrap/>
            <w:hideMark/>
          </w:tcPr>
          <w:p w14:paraId="3DF4EACB"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0637AAF4" w14:textId="77777777" w:rsidTr="00721148">
        <w:trPr>
          <w:trHeight w:val="290"/>
        </w:trPr>
        <w:tc>
          <w:tcPr>
            <w:tcW w:w="988" w:type="dxa"/>
            <w:noWrap/>
            <w:vAlign w:val="center"/>
            <w:hideMark/>
          </w:tcPr>
          <w:p w14:paraId="70C2A733" w14:textId="77777777" w:rsidR="00034FBD" w:rsidRPr="00CE0887" w:rsidRDefault="00034FBD" w:rsidP="00034FBD">
            <w:pPr>
              <w:rPr>
                <w:color w:val="001C55" w:themeColor="text2"/>
                <w:sz w:val="16"/>
                <w:szCs w:val="16"/>
              </w:rPr>
            </w:pPr>
            <w:r w:rsidRPr="00CE0887">
              <w:rPr>
                <w:color w:val="001C55" w:themeColor="text2"/>
                <w:sz w:val="16"/>
                <w:szCs w:val="16"/>
              </w:rPr>
              <w:t>ACT</w:t>
            </w:r>
          </w:p>
        </w:tc>
        <w:tc>
          <w:tcPr>
            <w:tcW w:w="1275" w:type="dxa"/>
            <w:noWrap/>
            <w:vAlign w:val="center"/>
            <w:hideMark/>
          </w:tcPr>
          <w:p w14:paraId="7695355A"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552CB834"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2FA37C22" w14:textId="77777777" w:rsidR="00034FBD" w:rsidRPr="00CE0887" w:rsidRDefault="00034FBD" w:rsidP="00034FBD">
            <w:pPr>
              <w:rPr>
                <w:color w:val="001C55" w:themeColor="text2"/>
                <w:sz w:val="16"/>
                <w:szCs w:val="16"/>
              </w:rPr>
            </w:pPr>
            <w:r w:rsidRPr="00CE0887">
              <w:rPr>
                <w:color w:val="001C55" w:themeColor="text2"/>
                <w:sz w:val="16"/>
                <w:szCs w:val="16"/>
              </w:rPr>
              <w:t>242</w:t>
            </w:r>
          </w:p>
        </w:tc>
        <w:tc>
          <w:tcPr>
            <w:tcW w:w="1276" w:type="dxa"/>
            <w:noWrap/>
            <w:hideMark/>
          </w:tcPr>
          <w:p w14:paraId="2DDDE4A4" w14:textId="77777777" w:rsidR="00034FBD" w:rsidRPr="00CE0887" w:rsidRDefault="00034FBD" w:rsidP="00034FBD">
            <w:pPr>
              <w:rPr>
                <w:color w:val="001C55" w:themeColor="text2"/>
                <w:sz w:val="16"/>
                <w:szCs w:val="16"/>
              </w:rPr>
            </w:pPr>
            <w:r w:rsidRPr="00CE0887">
              <w:rPr>
                <w:color w:val="001C55" w:themeColor="text2"/>
                <w:sz w:val="16"/>
                <w:szCs w:val="16"/>
              </w:rPr>
              <w:t>0.7%</w:t>
            </w:r>
          </w:p>
        </w:tc>
        <w:tc>
          <w:tcPr>
            <w:tcW w:w="992" w:type="dxa"/>
            <w:noWrap/>
            <w:hideMark/>
          </w:tcPr>
          <w:p w14:paraId="34993B93" w14:textId="77777777" w:rsidR="00034FBD" w:rsidRPr="00CE0887" w:rsidRDefault="00034FBD" w:rsidP="00034FBD">
            <w:pPr>
              <w:rPr>
                <w:color w:val="001C55" w:themeColor="text2"/>
                <w:sz w:val="16"/>
                <w:szCs w:val="16"/>
              </w:rPr>
            </w:pPr>
            <w:r w:rsidRPr="00CE0887">
              <w:rPr>
                <w:color w:val="001C55" w:themeColor="text2"/>
                <w:sz w:val="16"/>
                <w:szCs w:val="16"/>
              </w:rPr>
              <w:t>11</w:t>
            </w:r>
          </w:p>
        </w:tc>
        <w:tc>
          <w:tcPr>
            <w:tcW w:w="1276" w:type="dxa"/>
            <w:noWrap/>
            <w:hideMark/>
          </w:tcPr>
          <w:p w14:paraId="758F41A1" w14:textId="77777777" w:rsidR="00034FBD" w:rsidRPr="00CE0887" w:rsidRDefault="00034FBD" w:rsidP="00034FBD">
            <w:pPr>
              <w:rPr>
                <w:color w:val="001C55" w:themeColor="text2"/>
                <w:sz w:val="16"/>
                <w:szCs w:val="16"/>
              </w:rPr>
            </w:pPr>
            <w:r w:rsidRPr="00CE0887">
              <w:rPr>
                <w:color w:val="001C55" w:themeColor="text2"/>
                <w:sz w:val="16"/>
                <w:szCs w:val="16"/>
              </w:rPr>
              <w:t>0.5%</w:t>
            </w:r>
          </w:p>
        </w:tc>
        <w:tc>
          <w:tcPr>
            <w:tcW w:w="958" w:type="dxa"/>
            <w:noWrap/>
            <w:hideMark/>
          </w:tcPr>
          <w:p w14:paraId="13D5A56B" w14:textId="77777777" w:rsidR="00034FBD" w:rsidRPr="00CE0887" w:rsidRDefault="00034FBD" w:rsidP="00034FBD">
            <w:pPr>
              <w:rPr>
                <w:color w:val="001C55" w:themeColor="text2"/>
                <w:sz w:val="16"/>
                <w:szCs w:val="16"/>
              </w:rPr>
            </w:pPr>
            <w:r w:rsidRPr="00CE0887">
              <w:rPr>
                <w:color w:val="001C55" w:themeColor="text2"/>
                <w:sz w:val="16"/>
                <w:szCs w:val="16"/>
              </w:rPr>
              <w:t>1.3</w:t>
            </w:r>
          </w:p>
        </w:tc>
      </w:tr>
      <w:tr w:rsidR="00CE0887" w:rsidRPr="00CE0887" w14:paraId="17ECE254" w14:textId="77777777" w:rsidTr="00721148">
        <w:trPr>
          <w:trHeight w:val="290"/>
        </w:trPr>
        <w:tc>
          <w:tcPr>
            <w:tcW w:w="988" w:type="dxa"/>
            <w:noWrap/>
            <w:vAlign w:val="center"/>
            <w:hideMark/>
          </w:tcPr>
          <w:p w14:paraId="20A60525" w14:textId="77777777" w:rsidR="00034FBD" w:rsidRPr="00CE0887" w:rsidRDefault="00034FBD" w:rsidP="00034FBD">
            <w:pPr>
              <w:rPr>
                <w:color w:val="001C55" w:themeColor="text2"/>
                <w:sz w:val="16"/>
                <w:szCs w:val="16"/>
              </w:rPr>
            </w:pPr>
            <w:r w:rsidRPr="00CE0887">
              <w:rPr>
                <w:color w:val="001C55" w:themeColor="text2"/>
                <w:sz w:val="16"/>
                <w:szCs w:val="16"/>
              </w:rPr>
              <w:t>NSW</w:t>
            </w:r>
          </w:p>
        </w:tc>
        <w:tc>
          <w:tcPr>
            <w:tcW w:w="1275" w:type="dxa"/>
            <w:noWrap/>
            <w:vAlign w:val="center"/>
            <w:hideMark/>
          </w:tcPr>
          <w:p w14:paraId="1C202041"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17821FDA"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760CB78C" w14:textId="77777777" w:rsidR="00034FBD" w:rsidRPr="00CE0887" w:rsidRDefault="00034FBD" w:rsidP="00034FBD">
            <w:pPr>
              <w:rPr>
                <w:color w:val="001C55" w:themeColor="text2"/>
                <w:sz w:val="16"/>
                <w:szCs w:val="16"/>
              </w:rPr>
            </w:pPr>
            <w:r w:rsidRPr="00CE0887">
              <w:rPr>
                <w:color w:val="001C55" w:themeColor="text2"/>
                <w:sz w:val="16"/>
                <w:szCs w:val="16"/>
              </w:rPr>
              <w:t>2130</w:t>
            </w:r>
          </w:p>
        </w:tc>
        <w:tc>
          <w:tcPr>
            <w:tcW w:w="1276" w:type="dxa"/>
            <w:noWrap/>
            <w:hideMark/>
          </w:tcPr>
          <w:p w14:paraId="60EA6F64" w14:textId="77777777" w:rsidR="00034FBD" w:rsidRPr="00CE0887" w:rsidRDefault="00034FBD" w:rsidP="00034FBD">
            <w:pPr>
              <w:rPr>
                <w:color w:val="001C55" w:themeColor="text2"/>
                <w:sz w:val="16"/>
                <w:szCs w:val="16"/>
              </w:rPr>
            </w:pPr>
            <w:r w:rsidRPr="00CE0887">
              <w:rPr>
                <w:color w:val="001C55" w:themeColor="text2"/>
                <w:sz w:val="16"/>
                <w:szCs w:val="16"/>
              </w:rPr>
              <w:t>6.3%</w:t>
            </w:r>
          </w:p>
        </w:tc>
        <w:tc>
          <w:tcPr>
            <w:tcW w:w="992" w:type="dxa"/>
            <w:noWrap/>
            <w:hideMark/>
          </w:tcPr>
          <w:p w14:paraId="1CC04126" w14:textId="77777777" w:rsidR="00034FBD" w:rsidRPr="00CE0887" w:rsidRDefault="00034FBD" w:rsidP="00034FBD">
            <w:pPr>
              <w:rPr>
                <w:color w:val="001C55" w:themeColor="text2"/>
                <w:sz w:val="16"/>
                <w:szCs w:val="16"/>
              </w:rPr>
            </w:pPr>
            <w:r w:rsidRPr="00CE0887">
              <w:rPr>
                <w:color w:val="001C55" w:themeColor="text2"/>
                <w:sz w:val="16"/>
                <w:szCs w:val="16"/>
              </w:rPr>
              <w:t>185</w:t>
            </w:r>
          </w:p>
        </w:tc>
        <w:tc>
          <w:tcPr>
            <w:tcW w:w="1276" w:type="dxa"/>
            <w:noWrap/>
            <w:hideMark/>
          </w:tcPr>
          <w:p w14:paraId="168FFEE9" w14:textId="77777777" w:rsidR="00034FBD" w:rsidRPr="00CE0887" w:rsidRDefault="00034FBD" w:rsidP="00034FBD">
            <w:pPr>
              <w:rPr>
                <w:color w:val="001C55" w:themeColor="text2"/>
                <w:sz w:val="16"/>
                <w:szCs w:val="16"/>
              </w:rPr>
            </w:pPr>
            <w:r w:rsidRPr="00CE0887">
              <w:rPr>
                <w:color w:val="001C55" w:themeColor="text2"/>
                <w:sz w:val="16"/>
                <w:szCs w:val="16"/>
              </w:rPr>
              <w:t>9.1%</w:t>
            </w:r>
          </w:p>
        </w:tc>
        <w:tc>
          <w:tcPr>
            <w:tcW w:w="958" w:type="dxa"/>
            <w:noWrap/>
            <w:hideMark/>
          </w:tcPr>
          <w:p w14:paraId="2D32FBA6" w14:textId="77777777" w:rsidR="00034FBD" w:rsidRPr="00CE0887" w:rsidRDefault="00034FBD" w:rsidP="00034FBD">
            <w:pPr>
              <w:rPr>
                <w:color w:val="001C55" w:themeColor="text2"/>
                <w:sz w:val="16"/>
                <w:szCs w:val="16"/>
              </w:rPr>
            </w:pPr>
            <w:r w:rsidRPr="00CE0887">
              <w:rPr>
                <w:color w:val="001C55" w:themeColor="text2"/>
                <w:sz w:val="16"/>
                <w:szCs w:val="16"/>
              </w:rPr>
              <w:t>0.7</w:t>
            </w:r>
          </w:p>
        </w:tc>
      </w:tr>
      <w:tr w:rsidR="00CE0887" w:rsidRPr="00CE0887" w14:paraId="1245A197" w14:textId="77777777" w:rsidTr="00721148">
        <w:trPr>
          <w:trHeight w:val="290"/>
        </w:trPr>
        <w:tc>
          <w:tcPr>
            <w:tcW w:w="988" w:type="dxa"/>
            <w:noWrap/>
            <w:vAlign w:val="center"/>
            <w:hideMark/>
          </w:tcPr>
          <w:p w14:paraId="75B36DE1" w14:textId="77777777" w:rsidR="00034FBD" w:rsidRPr="00CE0887" w:rsidRDefault="00034FBD" w:rsidP="00034FBD">
            <w:pPr>
              <w:rPr>
                <w:color w:val="001C55" w:themeColor="text2"/>
                <w:sz w:val="16"/>
                <w:szCs w:val="16"/>
              </w:rPr>
            </w:pPr>
            <w:r w:rsidRPr="00CE0887">
              <w:rPr>
                <w:color w:val="001C55" w:themeColor="text2"/>
                <w:sz w:val="16"/>
                <w:szCs w:val="16"/>
              </w:rPr>
              <w:t>NSW</w:t>
            </w:r>
          </w:p>
        </w:tc>
        <w:tc>
          <w:tcPr>
            <w:tcW w:w="1275" w:type="dxa"/>
            <w:noWrap/>
            <w:vAlign w:val="center"/>
            <w:hideMark/>
          </w:tcPr>
          <w:p w14:paraId="7F8B47DF"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1D512F06"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4E85BA24" w14:textId="77777777" w:rsidR="00034FBD" w:rsidRPr="00CE0887" w:rsidRDefault="00034FBD" w:rsidP="00034FBD">
            <w:pPr>
              <w:rPr>
                <w:color w:val="001C55" w:themeColor="text2"/>
                <w:sz w:val="16"/>
                <w:szCs w:val="16"/>
              </w:rPr>
            </w:pPr>
            <w:r w:rsidRPr="00CE0887">
              <w:rPr>
                <w:color w:val="001C55" w:themeColor="text2"/>
                <w:sz w:val="16"/>
                <w:szCs w:val="16"/>
              </w:rPr>
              <w:t>4270</w:t>
            </w:r>
          </w:p>
        </w:tc>
        <w:tc>
          <w:tcPr>
            <w:tcW w:w="1276" w:type="dxa"/>
            <w:noWrap/>
            <w:hideMark/>
          </w:tcPr>
          <w:p w14:paraId="7B42E36C" w14:textId="77777777" w:rsidR="00034FBD" w:rsidRPr="00CE0887" w:rsidRDefault="00034FBD" w:rsidP="00034FBD">
            <w:pPr>
              <w:rPr>
                <w:color w:val="001C55" w:themeColor="text2"/>
                <w:sz w:val="16"/>
                <w:szCs w:val="16"/>
              </w:rPr>
            </w:pPr>
            <w:r w:rsidRPr="00CE0887">
              <w:rPr>
                <w:color w:val="001C55" w:themeColor="text2"/>
                <w:sz w:val="16"/>
                <w:szCs w:val="16"/>
              </w:rPr>
              <w:t>12.7%</w:t>
            </w:r>
          </w:p>
        </w:tc>
        <w:tc>
          <w:tcPr>
            <w:tcW w:w="992" w:type="dxa"/>
            <w:noWrap/>
            <w:hideMark/>
          </w:tcPr>
          <w:p w14:paraId="501B9919" w14:textId="77777777" w:rsidR="00034FBD" w:rsidRPr="00CE0887" w:rsidRDefault="00034FBD" w:rsidP="00034FBD">
            <w:pPr>
              <w:rPr>
                <w:color w:val="001C55" w:themeColor="text2"/>
                <w:sz w:val="16"/>
                <w:szCs w:val="16"/>
              </w:rPr>
            </w:pPr>
            <w:r w:rsidRPr="00CE0887">
              <w:rPr>
                <w:color w:val="001C55" w:themeColor="text2"/>
                <w:sz w:val="16"/>
                <w:szCs w:val="16"/>
              </w:rPr>
              <w:t>288</w:t>
            </w:r>
          </w:p>
        </w:tc>
        <w:tc>
          <w:tcPr>
            <w:tcW w:w="1276" w:type="dxa"/>
            <w:noWrap/>
            <w:hideMark/>
          </w:tcPr>
          <w:p w14:paraId="4DCD3F74" w14:textId="77777777" w:rsidR="00034FBD" w:rsidRPr="00CE0887" w:rsidRDefault="00034FBD" w:rsidP="00034FBD">
            <w:pPr>
              <w:rPr>
                <w:color w:val="001C55" w:themeColor="text2"/>
                <w:sz w:val="16"/>
                <w:szCs w:val="16"/>
              </w:rPr>
            </w:pPr>
            <w:r w:rsidRPr="00CE0887">
              <w:rPr>
                <w:color w:val="001C55" w:themeColor="text2"/>
                <w:sz w:val="16"/>
                <w:szCs w:val="16"/>
              </w:rPr>
              <w:t>14.1%</w:t>
            </w:r>
          </w:p>
        </w:tc>
        <w:tc>
          <w:tcPr>
            <w:tcW w:w="958" w:type="dxa"/>
            <w:noWrap/>
            <w:hideMark/>
          </w:tcPr>
          <w:p w14:paraId="56082A25" w14:textId="77777777" w:rsidR="00034FBD" w:rsidRPr="00CE0887" w:rsidRDefault="00034FBD" w:rsidP="00034FBD">
            <w:pPr>
              <w:rPr>
                <w:color w:val="001C55" w:themeColor="text2"/>
                <w:sz w:val="16"/>
                <w:szCs w:val="16"/>
              </w:rPr>
            </w:pPr>
            <w:r w:rsidRPr="00CE0887">
              <w:rPr>
                <w:color w:val="001C55" w:themeColor="text2"/>
                <w:sz w:val="16"/>
                <w:szCs w:val="16"/>
              </w:rPr>
              <w:t>0.9</w:t>
            </w:r>
          </w:p>
        </w:tc>
      </w:tr>
      <w:tr w:rsidR="00CE0887" w:rsidRPr="00CE0887" w14:paraId="6C917897" w14:textId="77777777" w:rsidTr="00721148">
        <w:trPr>
          <w:trHeight w:val="290"/>
        </w:trPr>
        <w:tc>
          <w:tcPr>
            <w:tcW w:w="988" w:type="dxa"/>
            <w:noWrap/>
            <w:vAlign w:val="center"/>
            <w:hideMark/>
          </w:tcPr>
          <w:p w14:paraId="1454D0A9" w14:textId="77777777" w:rsidR="00034FBD" w:rsidRPr="00CE0887" w:rsidRDefault="00034FBD" w:rsidP="00034FBD">
            <w:pPr>
              <w:rPr>
                <w:color w:val="001C55" w:themeColor="text2"/>
                <w:sz w:val="16"/>
                <w:szCs w:val="16"/>
              </w:rPr>
            </w:pPr>
            <w:r w:rsidRPr="00CE0887">
              <w:rPr>
                <w:color w:val="001C55" w:themeColor="text2"/>
                <w:sz w:val="16"/>
                <w:szCs w:val="16"/>
              </w:rPr>
              <w:t>NSW</w:t>
            </w:r>
          </w:p>
        </w:tc>
        <w:tc>
          <w:tcPr>
            <w:tcW w:w="1275" w:type="dxa"/>
            <w:noWrap/>
            <w:vAlign w:val="center"/>
            <w:hideMark/>
          </w:tcPr>
          <w:p w14:paraId="14D59CB8"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61E9F098"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66BFE86F" w14:textId="77777777" w:rsidR="00034FBD" w:rsidRPr="00CE0887" w:rsidRDefault="00034FBD" w:rsidP="00034FBD">
            <w:pPr>
              <w:rPr>
                <w:color w:val="001C55" w:themeColor="text2"/>
                <w:sz w:val="16"/>
                <w:szCs w:val="16"/>
              </w:rPr>
            </w:pPr>
            <w:r w:rsidRPr="00CE0887">
              <w:rPr>
                <w:color w:val="001C55" w:themeColor="text2"/>
                <w:sz w:val="16"/>
                <w:szCs w:val="16"/>
              </w:rPr>
              <w:t>1416</w:t>
            </w:r>
          </w:p>
        </w:tc>
        <w:tc>
          <w:tcPr>
            <w:tcW w:w="1276" w:type="dxa"/>
            <w:noWrap/>
            <w:hideMark/>
          </w:tcPr>
          <w:p w14:paraId="6B44D5C5" w14:textId="77777777" w:rsidR="00034FBD" w:rsidRPr="00CE0887" w:rsidRDefault="00034FBD" w:rsidP="00034FBD">
            <w:pPr>
              <w:rPr>
                <w:color w:val="001C55" w:themeColor="text2"/>
                <w:sz w:val="16"/>
                <w:szCs w:val="16"/>
              </w:rPr>
            </w:pPr>
            <w:r w:rsidRPr="00CE0887">
              <w:rPr>
                <w:color w:val="001C55" w:themeColor="text2"/>
                <w:sz w:val="16"/>
                <w:szCs w:val="16"/>
              </w:rPr>
              <w:t>4.2%</w:t>
            </w:r>
          </w:p>
        </w:tc>
        <w:tc>
          <w:tcPr>
            <w:tcW w:w="992" w:type="dxa"/>
            <w:noWrap/>
            <w:hideMark/>
          </w:tcPr>
          <w:p w14:paraId="4AC9D28A" w14:textId="77777777" w:rsidR="00034FBD" w:rsidRPr="00CE0887" w:rsidRDefault="00034FBD" w:rsidP="00034FBD">
            <w:pPr>
              <w:rPr>
                <w:color w:val="001C55" w:themeColor="text2"/>
                <w:sz w:val="16"/>
                <w:szCs w:val="16"/>
              </w:rPr>
            </w:pPr>
            <w:r w:rsidRPr="00CE0887">
              <w:rPr>
                <w:color w:val="001C55" w:themeColor="text2"/>
                <w:sz w:val="16"/>
                <w:szCs w:val="16"/>
              </w:rPr>
              <w:t>55</w:t>
            </w:r>
          </w:p>
        </w:tc>
        <w:tc>
          <w:tcPr>
            <w:tcW w:w="1276" w:type="dxa"/>
            <w:noWrap/>
            <w:hideMark/>
          </w:tcPr>
          <w:p w14:paraId="3B9EC83B" w14:textId="77777777" w:rsidR="00034FBD" w:rsidRPr="00CE0887" w:rsidRDefault="00034FBD" w:rsidP="00034FBD">
            <w:pPr>
              <w:rPr>
                <w:color w:val="001C55" w:themeColor="text2"/>
                <w:sz w:val="16"/>
                <w:szCs w:val="16"/>
              </w:rPr>
            </w:pPr>
            <w:r w:rsidRPr="00CE0887">
              <w:rPr>
                <w:color w:val="001C55" w:themeColor="text2"/>
                <w:sz w:val="16"/>
                <w:szCs w:val="16"/>
              </w:rPr>
              <w:t>2.7%</w:t>
            </w:r>
          </w:p>
        </w:tc>
        <w:tc>
          <w:tcPr>
            <w:tcW w:w="958" w:type="dxa"/>
            <w:noWrap/>
            <w:hideMark/>
          </w:tcPr>
          <w:p w14:paraId="55745FF1" w14:textId="77777777" w:rsidR="00034FBD" w:rsidRPr="00CE0887" w:rsidRDefault="00034FBD" w:rsidP="00034FBD">
            <w:pPr>
              <w:rPr>
                <w:color w:val="001C55" w:themeColor="text2"/>
                <w:sz w:val="16"/>
                <w:szCs w:val="16"/>
              </w:rPr>
            </w:pPr>
            <w:r w:rsidRPr="00CE0887">
              <w:rPr>
                <w:color w:val="001C55" w:themeColor="text2"/>
                <w:sz w:val="16"/>
                <w:szCs w:val="16"/>
              </w:rPr>
              <w:t>1.6</w:t>
            </w:r>
          </w:p>
        </w:tc>
      </w:tr>
      <w:tr w:rsidR="00CE0887" w:rsidRPr="00CE0887" w14:paraId="1CA2A5F1" w14:textId="77777777" w:rsidTr="00721148">
        <w:trPr>
          <w:trHeight w:val="290"/>
        </w:trPr>
        <w:tc>
          <w:tcPr>
            <w:tcW w:w="988" w:type="dxa"/>
            <w:noWrap/>
            <w:vAlign w:val="center"/>
            <w:hideMark/>
          </w:tcPr>
          <w:p w14:paraId="23CC231B" w14:textId="77777777" w:rsidR="00034FBD" w:rsidRPr="00CE0887" w:rsidRDefault="00034FBD" w:rsidP="00034FBD">
            <w:pPr>
              <w:rPr>
                <w:color w:val="001C55" w:themeColor="text2"/>
                <w:sz w:val="16"/>
                <w:szCs w:val="16"/>
              </w:rPr>
            </w:pPr>
            <w:r w:rsidRPr="00CE0887">
              <w:rPr>
                <w:color w:val="001C55" w:themeColor="text2"/>
                <w:sz w:val="16"/>
                <w:szCs w:val="16"/>
              </w:rPr>
              <w:lastRenderedPageBreak/>
              <w:t>NSW</w:t>
            </w:r>
          </w:p>
        </w:tc>
        <w:tc>
          <w:tcPr>
            <w:tcW w:w="1275" w:type="dxa"/>
            <w:noWrap/>
            <w:vAlign w:val="center"/>
            <w:hideMark/>
          </w:tcPr>
          <w:p w14:paraId="696B8C29"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5DECFA6D"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67501943" w14:textId="77777777" w:rsidR="00034FBD" w:rsidRPr="00CE0887" w:rsidRDefault="00034FBD" w:rsidP="00034FBD">
            <w:pPr>
              <w:rPr>
                <w:color w:val="001C55" w:themeColor="text2"/>
                <w:sz w:val="16"/>
                <w:szCs w:val="16"/>
              </w:rPr>
            </w:pPr>
            <w:r w:rsidRPr="00CE0887">
              <w:rPr>
                <w:color w:val="001C55" w:themeColor="text2"/>
                <w:sz w:val="16"/>
                <w:szCs w:val="16"/>
              </w:rPr>
              <w:t>2718</w:t>
            </w:r>
          </w:p>
        </w:tc>
        <w:tc>
          <w:tcPr>
            <w:tcW w:w="1276" w:type="dxa"/>
            <w:noWrap/>
            <w:hideMark/>
          </w:tcPr>
          <w:p w14:paraId="06E60E3D" w14:textId="77777777" w:rsidR="00034FBD" w:rsidRPr="00CE0887" w:rsidRDefault="00034FBD" w:rsidP="00034FBD">
            <w:pPr>
              <w:rPr>
                <w:color w:val="001C55" w:themeColor="text2"/>
                <w:sz w:val="16"/>
                <w:szCs w:val="16"/>
              </w:rPr>
            </w:pPr>
            <w:r w:rsidRPr="00CE0887">
              <w:rPr>
                <w:color w:val="001C55" w:themeColor="text2"/>
                <w:sz w:val="16"/>
                <w:szCs w:val="16"/>
              </w:rPr>
              <w:t>8.1%</w:t>
            </w:r>
          </w:p>
        </w:tc>
        <w:tc>
          <w:tcPr>
            <w:tcW w:w="992" w:type="dxa"/>
            <w:noWrap/>
            <w:hideMark/>
          </w:tcPr>
          <w:p w14:paraId="42BCE70B" w14:textId="77777777" w:rsidR="00034FBD" w:rsidRPr="00CE0887" w:rsidRDefault="00034FBD" w:rsidP="00034FBD">
            <w:pPr>
              <w:rPr>
                <w:color w:val="001C55" w:themeColor="text2"/>
                <w:sz w:val="16"/>
                <w:szCs w:val="16"/>
              </w:rPr>
            </w:pPr>
            <w:r w:rsidRPr="00CE0887">
              <w:rPr>
                <w:color w:val="001C55" w:themeColor="text2"/>
                <w:sz w:val="16"/>
                <w:szCs w:val="16"/>
              </w:rPr>
              <w:t>108</w:t>
            </w:r>
          </w:p>
        </w:tc>
        <w:tc>
          <w:tcPr>
            <w:tcW w:w="1276" w:type="dxa"/>
            <w:noWrap/>
            <w:hideMark/>
          </w:tcPr>
          <w:p w14:paraId="63F86344" w14:textId="77777777" w:rsidR="00034FBD" w:rsidRPr="00CE0887" w:rsidRDefault="00034FBD" w:rsidP="00034FBD">
            <w:pPr>
              <w:rPr>
                <w:color w:val="001C55" w:themeColor="text2"/>
                <w:sz w:val="16"/>
                <w:szCs w:val="16"/>
              </w:rPr>
            </w:pPr>
            <w:r w:rsidRPr="00CE0887">
              <w:rPr>
                <w:color w:val="001C55" w:themeColor="text2"/>
                <w:sz w:val="16"/>
                <w:szCs w:val="16"/>
              </w:rPr>
              <w:t>5.3%</w:t>
            </w:r>
          </w:p>
        </w:tc>
        <w:tc>
          <w:tcPr>
            <w:tcW w:w="958" w:type="dxa"/>
            <w:noWrap/>
            <w:hideMark/>
          </w:tcPr>
          <w:p w14:paraId="4B05127A" w14:textId="77777777" w:rsidR="00034FBD" w:rsidRPr="00CE0887" w:rsidRDefault="00034FBD" w:rsidP="00034FBD">
            <w:pPr>
              <w:rPr>
                <w:color w:val="001C55" w:themeColor="text2"/>
                <w:sz w:val="16"/>
                <w:szCs w:val="16"/>
              </w:rPr>
            </w:pPr>
            <w:r w:rsidRPr="00CE0887">
              <w:rPr>
                <w:color w:val="001C55" w:themeColor="text2"/>
                <w:sz w:val="16"/>
                <w:szCs w:val="16"/>
              </w:rPr>
              <w:t>1.5</w:t>
            </w:r>
          </w:p>
        </w:tc>
      </w:tr>
      <w:tr w:rsidR="00CE0887" w:rsidRPr="00CE0887" w14:paraId="4504713C" w14:textId="77777777" w:rsidTr="00721148">
        <w:trPr>
          <w:trHeight w:val="290"/>
        </w:trPr>
        <w:tc>
          <w:tcPr>
            <w:tcW w:w="988" w:type="dxa"/>
            <w:noWrap/>
            <w:vAlign w:val="center"/>
            <w:hideMark/>
          </w:tcPr>
          <w:p w14:paraId="26C4DD4D" w14:textId="77777777" w:rsidR="00034FBD" w:rsidRPr="00CE0887" w:rsidRDefault="00034FBD" w:rsidP="00034FBD">
            <w:pPr>
              <w:rPr>
                <w:color w:val="001C55" w:themeColor="text2"/>
                <w:sz w:val="16"/>
                <w:szCs w:val="16"/>
              </w:rPr>
            </w:pPr>
            <w:r w:rsidRPr="00CE0887">
              <w:rPr>
                <w:color w:val="001C55" w:themeColor="text2"/>
                <w:sz w:val="16"/>
                <w:szCs w:val="16"/>
              </w:rPr>
              <w:t>NT</w:t>
            </w:r>
          </w:p>
        </w:tc>
        <w:tc>
          <w:tcPr>
            <w:tcW w:w="1275" w:type="dxa"/>
            <w:noWrap/>
            <w:vAlign w:val="center"/>
            <w:hideMark/>
          </w:tcPr>
          <w:p w14:paraId="696AA923"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3BE79F92"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3FE1878B" w14:textId="77777777" w:rsidR="00034FBD" w:rsidRPr="00CE0887" w:rsidRDefault="00034FBD" w:rsidP="00034FBD">
            <w:pPr>
              <w:rPr>
                <w:color w:val="001C55" w:themeColor="text2"/>
                <w:sz w:val="16"/>
                <w:szCs w:val="16"/>
              </w:rPr>
            </w:pPr>
            <w:r w:rsidRPr="00CE0887">
              <w:rPr>
                <w:color w:val="001C55" w:themeColor="text2"/>
                <w:sz w:val="16"/>
                <w:szCs w:val="16"/>
              </w:rPr>
              <w:t>24</w:t>
            </w:r>
          </w:p>
        </w:tc>
        <w:tc>
          <w:tcPr>
            <w:tcW w:w="1276" w:type="dxa"/>
            <w:noWrap/>
            <w:hideMark/>
          </w:tcPr>
          <w:p w14:paraId="4A19C1BA" w14:textId="77777777" w:rsidR="00034FBD" w:rsidRPr="00CE0887" w:rsidRDefault="00034FBD" w:rsidP="00034FBD">
            <w:pPr>
              <w:rPr>
                <w:color w:val="001C55" w:themeColor="text2"/>
                <w:sz w:val="16"/>
                <w:szCs w:val="16"/>
              </w:rPr>
            </w:pPr>
            <w:r w:rsidRPr="00CE0887">
              <w:rPr>
                <w:color w:val="001C55" w:themeColor="text2"/>
                <w:sz w:val="16"/>
                <w:szCs w:val="16"/>
              </w:rPr>
              <w:t>0.1%</w:t>
            </w:r>
          </w:p>
        </w:tc>
        <w:tc>
          <w:tcPr>
            <w:tcW w:w="992" w:type="dxa"/>
            <w:noWrap/>
            <w:hideMark/>
          </w:tcPr>
          <w:p w14:paraId="5929DB6E" w14:textId="77777777" w:rsidR="00034FBD" w:rsidRPr="00CE0887" w:rsidRDefault="00034FBD" w:rsidP="00034FBD">
            <w:pPr>
              <w:rPr>
                <w:color w:val="001C55" w:themeColor="text2"/>
                <w:sz w:val="16"/>
                <w:szCs w:val="16"/>
              </w:rPr>
            </w:pPr>
            <w:r w:rsidRPr="00CE0887">
              <w:rPr>
                <w:color w:val="001C55" w:themeColor="text2"/>
                <w:sz w:val="16"/>
                <w:szCs w:val="16"/>
              </w:rPr>
              <w:t>5</w:t>
            </w:r>
          </w:p>
        </w:tc>
        <w:tc>
          <w:tcPr>
            <w:tcW w:w="1276" w:type="dxa"/>
            <w:noWrap/>
            <w:hideMark/>
          </w:tcPr>
          <w:p w14:paraId="35D3E327" w14:textId="77777777" w:rsidR="00034FBD" w:rsidRPr="00CE0887" w:rsidRDefault="00034FBD" w:rsidP="00034FBD">
            <w:pPr>
              <w:rPr>
                <w:color w:val="001C55" w:themeColor="text2"/>
                <w:sz w:val="16"/>
                <w:szCs w:val="16"/>
              </w:rPr>
            </w:pPr>
            <w:r w:rsidRPr="00CE0887">
              <w:rPr>
                <w:color w:val="001C55" w:themeColor="text2"/>
                <w:sz w:val="16"/>
                <w:szCs w:val="16"/>
              </w:rPr>
              <w:t>0.2%</w:t>
            </w:r>
          </w:p>
        </w:tc>
        <w:tc>
          <w:tcPr>
            <w:tcW w:w="958" w:type="dxa"/>
            <w:noWrap/>
            <w:hideMark/>
          </w:tcPr>
          <w:p w14:paraId="1CBE20FE" w14:textId="77777777" w:rsidR="00034FBD" w:rsidRPr="00CE0887" w:rsidRDefault="00034FBD" w:rsidP="00034FBD">
            <w:pPr>
              <w:rPr>
                <w:color w:val="001C55" w:themeColor="text2"/>
                <w:sz w:val="16"/>
                <w:szCs w:val="16"/>
              </w:rPr>
            </w:pPr>
            <w:r w:rsidRPr="00CE0887">
              <w:rPr>
                <w:color w:val="001C55" w:themeColor="text2"/>
                <w:sz w:val="16"/>
                <w:szCs w:val="16"/>
              </w:rPr>
              <w:t>0.3</w:t>
            </w:r>
          </w:p>
        </w:tc>
      </w:tr>
      <w:tr w:rsidR="00CE0887" w:rsidRPr="00CE0887" w14:paraId="7A8F38E3" w14:textId="77777777" w:rsidTr="00721148">
        <w:trPr>
          <w:trHeight w:val="290"/>
        </w:trPr>
        <w:tc>
          <w:tcPr>
            <w:tcW w:w="988" w:type="dxa"/>
            <w:noWrap/>
            <w:vAlign w:val="center"/>
            <w:hideMark/>
          </w:tcPr>
          <w:p w14:paraId="5678F724" w14:textId="77777777" w:rsidR="00034FBD" w:rsidRPr="00CE0887" w:rsidRDefault="00034FBD" w:rsidP="00034FBD">
            <w:pPr>
              <w:rPr>
                <w:color w:val="001C55" w:themeColor="text2"/>
                <w:sz w:val="16"/>
                <w:szCs w:val="16"/>
              </w:rPr>
            </w:pPr>
            <w:r w:rsidRPr="00CE0887">
              <w:rPr>
                <w:color w:val="001C55" w:themeColor="text2"/>
                <w:sz w:val="16"/>
                <w:szCs w:val="16"/>
              </w:rPr>
              <w:t>NT</w:t>
            </w:r>
          </w:p>
        </w:tc>
        <w:tc>
          <w:tcPr>
            <w:tcW w:w="1275" w:type="dxa"/>
            <w:noWrap/>
            <w:vAlign w:val="center"/>
            <w:hideMark/>
          </w:tcPr>
          <w:p w14:paraId="79AE12F1"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261992DA"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3E236CDE" w14:textId="77777777" w:rsidR="00034FBD" w:rsidRPr="00CE0887" w:rsidRDefault="00034FBD" w:rsidP="00034FBD">
            <w:pPr>
              <w:rPr>
                <w:color w:val="001C55" w:themeColor="text2"/>
                <w:sz w:val="16"/>
                <w:szCs w:val="16"/>
              </w:rPr>
            </w:pPr>
            <w:r w:rsidRPr="00CE0887">
              <w:rPr>
                <w:color w:val="001C55" w:themeColor="text2"/>
                <w:sz w:val="16"/>
                <w:szCs w:val="16"/>
              </w:rPr>
              <w:t>85</w:t>
            </w:r>
          </w:p>
        </w:tc>
        <w:tc>
          <w:tcPr>
            <w:tcW w:w="1276" w:type="dxa"/>
            <w:noWrap/>
            <w:hideMark/>
          </w:tcPr>
          <w:p w14:paraId="701458E9" w14:textId="77777777" w:rsidR="00034FBD" w:rsidRPr="00CE0887" w:rsidRDefault="00034FBD" w:rsidP="00034FBD">
            <w:pPr>
              <w:rPr>
                <w:color w:val="001C55" w:themeColor="text2"/>
                <w:sz w:val="16"/>
                <w:szCs w:val="16"/>
              </w:rPr>
            </w:pPr>
            <w:r w:rsidRPr="00CE0887">
              <w:rPr>
                <w:color w:val="001C55" w:themeColor="text2"/>
                <w:sz w:val="16"/>
                <w:szCs w:val="16"/>
              </w:rPr>
              <w:t>0.3%</w:t>
            </w:r>
          </w:p>
        </w:tc>
        <w:tc>
          <w:tcPr>
            <w:tcW w:w="992" w:type="dxa"/>
            <w:noWrap/>
            <w:hideMark/>
          </w:tcPr>
          <w:p w14:paraId="57A3E1CC" w14:textId="77777777" w:rsidR="00034FBD" w:rsidRPr="00CE0887" w:rsidRDefault="00034FBD" w:rsidP="00034FBD">
            <w:pPr>
              <w:rPr>
                <w:color w:val="001C55" w:themeColor="text2"/>
                <w:sz w:val="16"/>
                <w:szCs w:val="16"/>
              </w:rPr>
            </w:pPr>
            <w:r w:rsidRPr="00CE0887">
              <w:rPr>
                <w:color w:val="001C55" w:themeColor="text2"/>
                <w:sz w:val="16"/>
                <w:szCs w:val="16"/>
              </w:rPr>
              <w:t>22</w:t>
            </w:r>
          </w:p>
        </w:tc>
        <w:tc>
          <w:tcPr>
            <w:tcW w:w="1276" w:type="dxa"/>
            <w:noWrap/>
            <w:hideMark/>
          </w:tcPr>
          <w:p w14:paraId="451A3264" w14:textId="77777777" w:rsidR="00034FBD" w:rsidRPr="00CE0887" w:rsidRDefault="00034FBD" w:rsidP="00034FBD">
            <w:pPr>
              <w:rPr>
                <w:color w:val="001C55" w:themeColor="text2"/>
                <w:sz w:val="16"/>
                <w:szCs w:val="16"/>
              </w:rPr>
            </w:pPr>
            <w:r w:rsidRPr="00CE0887">
              <w:rPr>
                <w:color w:val="001C55" w:themeColor="text2"/>
                <w:sz w:val="16"/>
                <w:szCs w:val="16"/>
              </w:rPr>
              <w:t>1.1%</w:t>
            </w:r>
          </w:p>
        </w:tc>
        <w:tc>
          <w:tcPr>
            <w:tcW w:w="958" w:type="dxa"/>
            <w:noWrap/>
            <w:hideMark/>
          </w:tcPr>
          <w:p w14:paraId="190BF3A8" w14:textId="77777777" w:rsidR="00034FBD" w:rsidRPr="00CE0887" w:rsidRDefault="00034FBD" w:rsidP="00034FBD">
            <w:pPr>
              <w:rPr>
                <w:color w:val="001C55" w:themeColor="text2"/>
                <w:sz w:val="16"/>
                <w:szCs w:val="16"/>
              </w:rPr>
            </w:pPr>
            <w:r w:rsidRPr="00CE0887">
              <w:rPr>
                <w:color w:val="001C55" w:themeColor="text2"/>
                <w:sz w:val="16"/>
                <w:szCs w:val="16"/>
              </w:rPr>
              <w:t>0.2</w:t>
            </w:r>
          </w:p>
        </w:tc>
      </w:tr>
      <w:tr w:rsidR="00CE0887" w:rsidRPr="00CE0887" w14:paraId="4F26E12F" w14:textId="77777777" w:rsidTr="00721148">
        <w:trPr>
          <w:trHeight w:val="290"/>
        </w:trPr>
        <w:tc>
          <w:tcPr>
            <w:tcW w:w="988" w:type="dxa"/>
            <w:noWrap/>
            <w:vAlign w:val="center"/>
            <w:hideMark/>
          </w:tcPr>
          <w:p w14:paraId="638659E5" w14:textId="77777777" w:rsidR="00034FBD" w:rsidRPr="00CE0887" w:rsidRDefault="00034FBD" w:rsidP="00034FBD">
            <w:pPr>
              <w:rPr>
                <w:color w:val="001C55" w:themeColor="text2"/>
                <w:sz w:val="16"/>
                <w:szCs w:val="16"/>
              </w:rPr>
            </w:pPr>
            <w:r w:rsidRPr="00CE0887">
              <w:rPr>
                <w:color w:val="001C55" w:themeColor="text2"/>
                <w:sz w:val="16"/>
                <w:szCs w:val="16"/>
              </w:rPr>
              <w:t>NT</w:t>
            </w:r>
          </w:p>
        </w:tc>
        <w:tc>
          <w:tcPr>
            <w:tcW w:w="1275" w:type="dxa"/>
            <w:noWrap/>
            <w:vAlign w:val="center"/>
            <w:hideMark/>
          </w:tcPr>
          <w:p w14:paraId="343382BB"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372AFFEC"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07A8DF39" w14:textId="77777777" w:rsidR="00034FBD" w:rsidRPr="00CE0887" w:rsidRDefault="00034FBD" w:rsidP="00034FBD">
            <w:pPr>
              <w:rPr>
                <w:color w:val="001C55" w:themeColor="text2"/>
                <w:sz w:val="16"/>
                <w:szCs w:val="16"/>
              </w:rPr>
            </w:pPr>
            <w:r w:rsidRPr="00CE0887">
              <w:rPr>
                <w:color w:val="001C55" w:themeColor="text2"/>
                <w:sz w:val="16"/>
                <w:szCs w:val="16"/>
              </w:rPr>
              <w:t>20</w:t>
            </w:r>
          </w:p>
        </w:tc>
        <w:tc>
          <w:tcPr>
            <w:tcW w:w="1276" w:type="dxa"/>
            <w:noWrap/>
            <w:hideMark/>
          </w:tcPr>
          <w:p w14:paraId="7488430E" w14:textId="77777777" w:rsidR="00034FBD" w:rsidRPr="00CE0887" w:rsidRDefault="00034FBD" w:rsidP="00034FBD">
            <w:pPr>
              <w:rPr>
                <w:color w:val="001C55" w:themeColor="text2"/>
                <w:sz w:val="16"/>
                <w:szCs w:val="16"/>
              </w:rPr>
            </w:pPr>
            <w:r w:rsidRPr="00CE0887">
              <w:rPr>
                <w:color w:val="001C55" w:themeColor="text2"/>
                <w:sz w:val="16"/>
                <w:szCs w:val="16"/>
              </w:rPr>
              <w:t>0.1%</w:t>
            </w:r>
          </w:p>
        </w:tc>
        <w:tc>
          <w:tcPr>
            <w:tcW w:w="992" w:type="dxa"/>
            <w:noWrap/>
            <w:hideMark/>
          </w:tcPr>
          <w:p w14:paraId="2A815684" w14:textId="77777777" w:rsidR="00034FBD" w:rsidRPr="00CE0887" w:rsidRDefault="00034FBD" w:rsidP="00034FBD">
            <w:pPr>
              <w:rPr>
                <w:color w:val="001C55" w:themeColor="text2"/>
                <w:sz w:val="16"/>
                <w:szCs w:val="16"/>
              </w:rPr>
            </w:pPr>
            <w:r w:rsidRPr="00CE0887">
              <w:rPr>
                <w:color w:val="001C55" w:themeColor="text2"/>
                <w:sz w:val="16"/>
                <w:szCs w:val="16"/>
              </w:rPr>
              <w:t>0</w:t>
            </w:r>
          </w:p>
        </w:tc>
        <w:tc>
          <w:tcPr>
            <w:tcW w:w="1276" w:type="dxa"/>
            <w:noWrap/>
            <w:hideMark/>
          </w:tcPr>
          <w:p w14:paraId="3EE0C51E" w14:textId="77777777" w:rsidR="00034FBD" w:rsidRPr="00CE0887" w:rsidRDefault="00034FBD" w:rsidP="00034FBD">
            <w:pPr>
              <w:rPr>
                <w:color w:val="001C55" w:themeColor="text2"/>
                <w:sz w:val="16"/>
                <w:szCs w:val="16"/>
              </w:rPr>
            </w:pPr>
            <w:r w:rsidRPr="00CE0887">
              <w:rPr>
                <w:color w:val="001C55" w:themeColor="text2"/>
                <w:sz w:val="16"/>
                <w:szCs w:val="16"/>
              </w:rPr>
              <w:t>0.0%</w:t>
            </w:r>
          </w:p>
        </w:tc>
        <w:tc>
          <w:tcPr>
            <w:tcW w:w="958" w:type="dxa"/>
            <w:noWrap/>
            <w:hideMark/>
          </w:tcPr>
          <w:p w14:paraId="4FF6EE75" w14:textId="77777777" w:rsidR="00034FBD" w:rsidRPr="00CE0887" w:rsidRDefault="00034FBD" w:rsidP="00034FBD">
            <w:pPr>
              <w:rPr>
                <w:color w:val="001C55" w:themeColor="text2"/>
                <w:sz w:val="16"/>
                <w:szCs w:val="16"/>
              </w:rPr>
            </w:pPr>
            <w:r w:rsidRPr="00CE0887">
              <w:rPr>
                <w:color w:val="001C55" w:themeColor="text2"/>
                <w:sz w:val="16"/>
                <w:szCs w:val="16"/>
              </w:rPr>
              <w:t>-</w:t>
            </w:r>
          </w:p>
        </w:tc>
      </w:tr>
      <w:tr w:rsidR="00CE0887" w:rsidRPr="00CE0887" w14:paraId="7FE8E1A1" w14:textId="77777777" w:rsidTr="00721148">
        <w:trPr>
          <w:trHeight w:val="290"/>
        </w:trPr>
        <w:tc>
          <w:tcPr>
            <w:tcW w:w="988" w:type="dxa"/>
            <w:noWrap/>
            <w:vAlign w:val="center"/>
            <w:hideMark/>
          </w:tcPr>
          <w:p w14:paraId="2199AA62" w14:textId="77777777" w:rsidR="00034FBD" w:rsidRPr="00CE0887" w:rsidRDefault="00034FBD" w:rsidP="00034FBD">
            <w:pPr>
              <w:rPr>
                <w:color w:val="001C55" w:themeColor="text2"/>
                <w:sz w:val="16"/>
                <w:szCs w:val="16"/>
              </w:rPr>
            </w:pPr>
            <w:r w:rsidRPr="00CE0887">
              <w:rPr>
                <w:color w:val="001C55" w:themeColor="text2"/>
                <w:sz w:val="16"/>
                <w:szCs w:val="16"/>
              </w:rPr>
              <w:t>NT</w:t>
            </w:r>
          </w:p>
        </w:tc>
        <w:tc>
          <w:tcPr>
            <w:tcW w:w="1275" w:type="dxa"/>
            <w:noWrap/>
            <w:vAlign w:val="center"/>
            <w:hideMark/>
          </w:tcPr>
          <w:p w14:paraId="1F2A3111"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30A92D3F"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65399C15" w14:textId="77777777" w:rsidR="00034FBD" w:rsidRPr="00CE0887" w:rsidRDefault="00034FBD" w:rsidP="00034FBD">
            <w:pPr>
              <w:rPr>
                <w:color w:val="001C55" w:themeColor="text2"/>
                <w:sz w:val="16"/>
                <w:szCs w:val="16"/>
              </w:rPr>
            </w:pPr>
            <w:r w:rsidRPr="00CE0887">
              <w:rPr>
                <w:color w:val="001C55" w:themeColor="text2"/>
                <w:sz w:val="16"/>
                <w:szCs w:val="16"/>
              </w:rPr>
              <w:t>34</w:t>
            </w:r>
          </w:p>
        </w:tc>
        <w:tc>
          <w:tcPr>
            <w:tcW w:w="1276" w:type="dxa"/>
            <w:noWrap/>
            <w:hideMark/>
          </w:tcPr>
          <w:p w14:paraId="6E25B56E" w14:textId="77777777" w:rsidR="00034FBD" w:rsidRPr="00CE0887" w:rsidRDefault="00034FBD" w:rsidP="00034FBD">
            <w:pPr>
              <w:rPr>
                <w:color w:val="001C55" w:themeColor="text2"/>
                <w:sz w:val="16"/>
                <w:szCs w:val="16"/>
              </w:rPr>
            </w:pPr>
            <w:r w:rsidRPr="00CE0887">
              <w:rPr>
                <w:color w:val="001C55" w:themeColor="text2"/>
                <w:sz w:val="16"/>
                <w:szCs w:val="16"/>
              </w:rPr>
              <w:t>0.1%</w:t>
            </w:r>
          </w:p>
        </w:tc>
        <w:tc>
          <w:tcPr>
            <w:tcW w:w="992" w:type="dxa"/>
            <w:noWrap/>
            <w:hideMark/>
          </w:tcPr>
          <w:p w14:paraId="37AE3B11" w14:textId="77777777" w:rsidR="00034FBD" w:rsidRPr="00CE0887" w:rsidRDefault="00034FBD" w:rsidP="00034FBD">
            <w:pPr>
              <w:rPr>
                <w:color w:val="001C55" w:themeColor="text2"/>
                <w:sz w:val="16"/>
                <w:szCs w:val="16"/>
              </w:rPr>
            </w:pPr>
            <w:r w:rsidRPr="00CE0887">
              <w:rPr>
                <w:color w:val="001C55" w:themeColor="text2"/>
                <w:sz w:val="16"/>
                <w:szCs w:val="16"/>
              </w:rPr>
              <w:t>4</w:t>
            </w:r>
          </w:p>
        </w:tc>
        <w:tc>
          <w:tcPr>
            <w:tcW w:w="1276" w:type="dxa"/>
            <w:noWrap/>
            <w:hideMark/>
          </w:tcPr>
          <w:p w14:paraId="321CC9A0" w14:textId="77777777" w:rsidR="00034FBD" w:rsidRPr="00CE0887" w:rsidRDefault="00034FBD" w:rsidP="00034FBD">
            <w:pPr>
              <w:rPr>
                <w:color w:val="001C55" w:themeColor="text2"/>
                <w:sz w:val="16"/>
                <w:szCs w:val="16"/>
              </w:rPr>
            </w:pPr>
            <w:r w:rsidRPr="00CE0887">
              <w:rPr>
                <w:color w:val="001C55" w:themeColor="text2"/>
                <w:sz w:val="16"/>
                <w:szCs w:val="16"/>
              </w:rPr>
              <w:t>0.2%</w:t>
            </w:r>
          </w:p>
        </w:tc>
        <w:tc>
          <w:tcPr>
            <w:tcW w:w="958" w:type="dxa"/>
            <w:noWrap/>
            <w:hideMark/>
          </w:tcPr>
          <w:p w14:paraId="156FDFC9" w14:textId="77777777" w:rsidR="00034FBD" w:rsidRPr="00CE0887" w:rsidRDefault="00034FBD" w:rsidP="00034FBD">
            <w:pPr>
              <w:rPr>
                <w:color w:val="001C55" w:themeColor="text2"/>
                <w:sz w:val="16"/>
                <w:szCs w:val="16"/>
              </w:rPr>
            </w:pPr>
            <w:r w:rsidRPr="00CE0887">
              <w:rPr>
                <w:color w:val="001C55" w:themeColor="text2"/>
                <w:sz w:val="16"/>
                <w:szCs w:val="16"/>
              </w:rPr>
              <w:t>0.5</w:t>
            </w:r>
          </w:p>
        </w:tc>
      </w:tr>
      <w:tr w:rsidR="00CE0887" w:rsidRPr="00CE0887" w14:paraId="13A4CA99" w14:textId="77777777" w:rsidTr="00721148">
        <w:trPr>
          <w:trHeight w:val="290"/>
        </w:trPr>
        <w:tc>
          <w:tcPr>
            <w:tcW w:w="988" w:type="dxa"/>
            <w:noWrap/>
            <w:vAlign w:val="center"/>
            <w:hideMark/>
          </w:tcPr>
          <w:p w14:paraId="2424E5DC" w14:textId="77777777" w:rsidR="00034FBD" w:rsidRPr="00CE0887" w:rsidRDefault="00034FBD" w:rsidP="00034FBD">
            <w:pPr>
              <w:rPr>
                <w:color w:val="001C55" w:themeColor="text2"/>
                <w:sz w:val="16"/>
                <w:szCs w:val="16"/>
              </w:rPr>
            </w:pPr>
            <w:r w:rsidRPr="00CE0887">
              <w:rPr>
                <w:color w:val="001C55" w:themeColor="text2"/>
                <w:sz w:val="16"/>
                <w:szCs w:val="16"/>
              </w:rPr>
              <w:t>QLD</w:t>
            </w:r>
          </w:p>
        </w:tc>
        <w:tc>
          <w:tcPr>
            <w:tcW w:w="1275" w:type="dxa"/>
            <w:noWrap/>
            <w:vAlign w:val="center"/>
            <w:hideMark/>
          </w:tcPr>
          <w:p w14:paraId="3692F2E1"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3E7C5FEE"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4478FE29" w14:textId="77777777" w:rsidR="00034FBD" w:rsidRPr="00CE0887" w:rsidRDefault="00034FBD" w:rsidP="00034FBD">
            <w:pPr>
              <w:rPr>
                <w:color w:val="001C55" w:themeColor="text2"/>
                <w:sz w:val="16"/>
                <w:szCs w:val="16"/>
              </w:rPr>
            </w:pPr>
            <w:r w:rsidRPr="00CE0887">
              <w:rPr>
                <w:color w:val="001C55" w:themeColor="text2"/>
                <w:sz w:val="16"/>
                <w:szCs w:val="16"/>
              </w:rPr>
              <w:t>980</w:t>
            </w:r>
          </w:p>
        </w:tc>
        <w:tc>
          <w:tcPr>
            <w:tcW w:w="1276" w:type="dxa"/>
            <w:noWrap/>
            <w:hideMark/>
          </w:tcPr>
          <w:p w14:paraId="70BB366B" w14:textId="77777777" w:rsidR="00034FBD" w:rsidRPr="00CE0887" w:rsidRDefault="00034FBD" w:rsidP="00034FBD">
            <w:pPr>
              <w:rPr>
                <w:color w:val="001C55" w:themeColor="text2"/>
                <w:sz w:val="16"/>
                <w:szCs w:val="16"/>
              </w:rPr>
            </w:pPr>
            <w:r w:rsidRPr="00CE0887">
              <w:rPr>
                <w:color w:val="001C55" w:themeColor="text2"/>
                <w:sz w:val="16"/>
                <w:szCs w:val="16"/>
              </w:rPr>
              <w:t>2.9%</w:t>
            </w:r>
          </w:p>
        </w:tc>
        <w:tc>
          <w:tcPr>
            <w:tcW w:w="992" w:type="dxa"/>
            <w:noWrap/>
            <w:hideMark/>
          </w:tcPr>
          <w:p w14:paraId="5923AAAB" w14:textId="77777777" w:rsidR="00034FBD" w:rsidRPr="00CE0887" w:rsidRDefault="00034FBD" w:rsidP="00034FBD">
            <w:pPr>
              <w:rPr>
                <w:color w:val="001C55" w:themeColor="text2"/>
                <w:sz w:val="16"/>
                <w:szCs w:val="16"/>
              </w:rPr>
            </w:pPr>
            <w:r w:rsidRPr="00CE0887">
              <w:rPr>
                <w:color w:val="001C55" w:themeColor="text2"/>
                <w:sz w:val="16"/>
                <w:szCs w:val="16"/>
              </w:rPr>
              <w:t>64</w:t>
            </w:r>
          </w:p>
        </w:tc>
        <w:tc>
          <w:tcPr>
            <w:tcW w:w="1276" w:type="dxa"/>
            <w:noWrap/>
            <w:hideMark/>
          </w:tcPr>
          <w:p w14:paraId="48574F71" w14:textId="77777777" w:rsidR="00034FBD" w:rsidRPr="00CE0887" w:rsidRDefault="00034FBD" w:rsidP="00034FBD">
            <w:pPr>
              <w:rPr>
                <w:color w:val="001C55" w:themeColor="text2"/>
                <w:sz w:val="16"/>
                <w:szCs w:val="16"/>
              </w:rPr>
            </w:pPr>
            <w:r w:rsidRPr="00CE0887">
              <w:rPr>
                <w:color w:val="001C55" w:themeColor="text2"/>
                <w:sz w:val="16"/>
                <w:szCs w:val="16"/>
              </w:rPr>
              <w:t>3.1%</w:t>
            </w:r>
          </w:p>
        </w:tc>
        <w:tc>
          <w:tcPr>
            <w:tcW w:w="958" w:type="dxa"/>
            <w:noWrap/>
            <w:hideMark/>
          </w:tcPr>
          <w:p w14:paraId="588F7C6A" w14:textId="77777777" w:rsidR="00034FBD" w:rsidRPr="00CE0887" w:rsidRDefault="00034FBD" w:rsidP="00034FBD">
            <w:pPr>
              <w:rPr>
                <w:color w:val="001C55" w:themeColor="text2"/>
                <w:sz w:val="16"/>
                <w:szCs w:val="16"/>
              </w:rPr>
            </w:pPr>
            <w:r w:rsidRPr="00CE0887">
              <w:rPr>
                <w:color w:val="001C55" w:themeColor="text2"/>
                <w:sz w:val="16"/>
                <w:szCs w:val="16"/>
              </w:rPr>
              <w:t>0.9</w:t>
            </w:r>
          </w:p>
        </w:tc>
      </w:tr>
      <w:tr w:rsidR="00CE0887" w:rsidRPr="00CE0887" w14:paraId="7FDDF664" w14:textId="77777777" w:rsidTr="00721148">
        <w:trPr>
          <w:trHeight w:val="290"/>
        </w:trPr>
        <w:tc>
          <w:tcPr>
            <w:tcW w:w="988" w:type="dxa"/>
            <w:noWrap/>
            <w:vAlign w:val="center"/>
            <w:hideMark/>
          </w:tcPr>
          <w:p w14:paraId="33FD0C20" w14:textId="77777777" w:rsidR="00034FBD" w:rsidRPr="00CE0887" w:rsidRDefault="00034FBD" w:rsidP="00034FBD">
            <w:pPr>
              <w:rPr>
                <w:color w:val="001C55" w:themeColor="text2"/>
                <w:sz w:val="16"/>
                <w:szCs w:val="16"/>
              </w:rPr>
            </w:pPr>
            <w:r w:rsidRPr="00CE0887">
              <w:rPr>
                <w:color w:val="001C55" w:themeColor="text2"/>
                <w:sz w:val="16"/>
                <w:szCs w:val="16"/>
              </w:rPr>
              <w:t>QLD</w:t>
            </w:r>
          </w:p>
        </w:tc>
        <w:tc>
          <w:tcPr>
            <w:tcW w:w="1275" w:type="dxa"/>
            <w:noWrap/>
            <w:vAlign w:val="center"/>
            <w:hideMark/>
          </w:tcPr>
          <w:p w14:paraId="0DC6F87A"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2537136C"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4CF0EB6D" w14:textId="77777777" w:rsidR="00034FBD" w:rsidRPr="00CE0887" w:rsidRDefault="00034FBD" w:rsidP="00034FBD">
            <w:pPr>
              <w:rPr>
                <w:color w:val="001C55" w:themeColor="text2"/>
                <w:sz w:val="16"/>
                <w:szCs w:val="16"/>
              </w:rPr>
            </w:pPr>
            <w:r w:rsidRPr="00CE0887">
              <w:rPr>
                <w:color w:val="001C55" w:themeColor="text2"/>
                <w:sz w:val="16"/>
                <w:szCs w:val="16"/>
              </w:rPr>
              <w:t>2371</w:t>
            </w:r>
          </w:p>
        </w:tc>
        <w:tc>
          <w:tcPr>
            <w:tcW w:w="1276" w:type="dxa"/>
            <w:noWrap/>
            <w:hideMark/>
          </w:tcPr>
          <w:p w14:paraId="5184A297" w14:textId="77777777" w:rsidR="00034FBD" w:rsidRPr="00CE0887" w:rsidRDefault="00034FBD" w:rsidP="00034FBD">
            <w:pPr>
              <w:rPr>
                <w:color w:val="001C55" w:themeColor="text2"/>
                <w:sz w:val="16"/>
                <w:szCs w:val="16"/>
              </w:rPr>
            </w:pPr>
            <w:r w:rsidRPr="00CE0887">
              <w:rPr>
                <w:color w:val="001C55" w:themeColor="text2"/>
                <w:sz w:val="16"/>
                <w:szCs w:val="16"/>
              </w:rPr>
              <w:t>7.0%</w:t>
            </w:r>
          </w:p>
        </w:tc>
        <w:tc>
          <w:tcPr>
            <w:tcW w:w="992" w:type="dxa"/>
            <w:noWrap/>
            <w:hideMark/>
          </w:tcPr>
          <w:p w14:paraId="685E6D92" w14:textId="77777777" w:rsidR="00034FBD" w:rsidRPr="00CE0887" w:rsidRDefault="00034FBD" w:rsidP="00034FBD">
            <w:pPr>
              <w:rPr>
                <w:color w:val="001C55" w:themeColor="text2"/>
                <w:sz w:val="16"/>
                <w:szCs w:val="16"/>
              </w:rPr>
            </w:pPr>
            <w:r w:rsidRPr="00CE0887">
              <w:rPr>
                <w:color w:val="001C55" w:themeColor="text2"/>
                <w:sz w:val="16"/>
                <w:szCs w:val="16"/>
              </w:rPr>
              <w:t>151</w:t>
            </w:r>
          </w:p>
        </w:tc>
        <w:tc>
          <w:tcPr>
            <w:tcW w:w="1276" w:type="dxa"/>
            <w:noWrap/>
            <w:hideMark/>
          </w:tcPr>
          <w:p w14:paraId="099E5767" w14:textId="77777777" w:rsidR="00034FBD" w:rsidRPr="00CE0887" w:rsidRDefault="00034FBD" w:rsidP="00034FBD">
            <w:pPr>
              <w:rPr>
                <w:color w:val="001C55" w:themeColor="text2"/>
                <w:sz w:val="16"/>
                <w:szCs w:val="16"/>
              </w:rPr>
            </w:pPr>
            <w:r w:rsidRPr="00CE0887">
              <w:rPr>
                <w:color w:val="001C55" w:themeColor="text2"/>
                <w:sz w:val="16"/>
                <w:szCs w:val="16"/>
              </w:rPr>
              <w:t>7.4%</w:t>
            </w:r>
          </w:p>
        </w:tc>
        <w:tc>
          <w:tcPr>
            <w:tcW w:w="958" w:type="dxa"/>
            <w:noWrap/>
            <w:hideMark/>
          </w:tcPr>
          <w:p w14:paraId="1A8BCA56" w14:textId="77777777" w:rsidR="00034FBD" w:rsidRPr="00CE0887" w:rsidRDefault="00034FBD" w:rsidP="00034FBD">
            <w:pPr>
              <w:rPr>
                <w:color w:val="001C55" w:themeColor="text2"/>
                <w:sz w:val="16"/>
                <w:szCs w:val="16"/>
              </w:rPr>
            </w:pPr>
            <w:r w:rsidRPr="00CE0887">
              <w:rPr>
                <w:color w:val="001C55" w:themeColor="text2"/>
                <w:sz w:val="16"/>
                <w:szCs w:val="16"/>
              </w:rPr>
              <w:t>0.9</w:t>
            </w:r>
          </w:p>
        </w:tc>
      </w:tr>
      <w:tr w:rsidR="00CE0887" w:rsidRPr="00CE0887" w14:paraId="60E79C20" w14:textId="77777777" w:rsidTr="00721148">
        <w:trPr>
          <w:trHeight w:val="290"/>
        </w:trPr>
        <w:tc>
          <w:tcPr>
            <w:tcW w:w="988" w:type="dxa"/>
            <w:noWrap/>
            <w:vAlign w:val="center"/>
            <w:hideMark/>
          </w:tcPr>
          <w:p w14:paraId="01426087" w14:textId="77777777" w:rsidR="00034FBD" w:rsidRPr="00CE0887" w:rsidRDefault="00034FBD" w:rsidP="00034FBD">
            <w:pPr>
              <w:rPr>
                <w:color w:val="001C55" w:themeColor="text2"/>
                <w:sz w:val="16"/>
                <w:szCs w:val="16"/>
              </w:rPr>
            </w:pPr>
            <w:r w:rsidRPr="00CE0887">
              <w:rPr>
                <w:color w:val="001C55" w:themeColor="text2"/>
                <w:sz w:val="16"/>
                <w:szCs w:val="16"/>
              </w:rPr>
              <w:t>QLD</w:t>
            </w:r>
          </w:p>
        </w:tc>
        <w:tc>
          <w:tcPr>
            <w:tcW w:w="1275" w:type="dxa"/>
            <w:noWrap/>
            <w:vAlign w:val="center"/>
            <w:hideMark/>
          </w:tcPr>
          <w:p w14:paraId="6A7DDACE"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794000C7"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276AC5D6" w14:textId="77777777" w:rsidR="00034FBD" w:rsidRPr="00CE0887" w:rsidRDefault="00034FBD" w:rsidP="00034FBD">
            <w:pPr>
              <w:rPr>
                <w:color w:val="001C55" w:themeColor="text2"/>
                <w:sz w:val="16"/>
                <w:szCs w:val="16"/>
              </w:rPr>
            </w:pPr>
            <w:r w:rsidRPr="00CE0887">
              <w:rPr>
                <w:color w:val="001C55" w:themeColor="text2"/>
                <w:sz w:val="16"/>
                <w:szCs w:val="16"/>
              </w:rPr>
              <w:t>685</w:t>
            </w:r>
          </w:p>
        </w:tc>
        <w:tc>
          <w:tcPr>
            <w:tcW w:w="1276" w:type="dxa"/>
            <w:noWrap/>
            <w:hideMark/>
          </w:tcPr>
          <w:p w14:paraId="463459D0" w14:textId="77777777" w:rsidR="00034FBD" w:rsidRPr="00CE0887" w:rsidRDefault="00034FBD" w:rsidP="00034FBD">
            <w:pPr>
              <w:rPr>
                <w:color w:val="001C55" w:themeColor="text2"/>
                <w:sz w:val="16"/>
                <w:szCs w:val="16"/>
              </w:rPr>
            </w:pPr>
            <w:r w:rsidRPr="00CE0887">
              <w:rPr>
                <w:color w:val="001C55" w:themeColor="text2"/>
                <w:sz w:val="16"/>
                <w:szCs w:val="16"/>
              </w:rPr>
              <w:t>2.0%</w:t>
            </w:r>
          </w:p>
        </w:tc>
        <w:tc>
          <w:tcPr>
            <w:tcW w:w="992" w:type="dxa"/>
            <w:noWrap/>
            <w:hideMark/>
          </w:tcPr>
          <w:p w14:paraId="61666DCE" w14:textId="77777777" w:rsidR="00034FBD" w:rsidRPr="00CE0887" w:rsidRDefault="00034FBD" w:rsidP="00034FBD">
            <w:pPr>
              <w:rPr>
                <w:color w:val="001C55" w:themeColor="text2"/>
                <w:sz w:val="16"/>
                <w:szCs w:val="16"/>
              </w:rPr>
            </w:pPr>
            <w:r w:rsidRPr="00CE0887">
              <w:rPr>
                <w:color w:val="001C55" w:themeColor="text2"/>
                <w:sz w:val="16"/>
                <w:szCs w:val="16"/>
              </w:rPr>
              <w:t>21</w:t>
            </w:r>
          </w:p>
        </w:tc>
        <w:tc>
          <w:tcPr>
            <w:tcW w:w="1276" w:type="dxa"/>
            <w:noWrap/>
            <w:hideMark/>
          </w:tcPr>
          <w:p w14:paraId="318F7198" w14:textId="77777777" w:rsidR="00034FBD" w:rsidRPr="00CE0887" w:rsidRDefault="00034FBD" w:rsidP="00034FBD">
            <w:pPr>
              <w:rPr>
                <w:color w:val="001C55" w:themeColor="text2"/>
                <w:sz w:val="16"/>
                <w:szCs w:val="16"/>
              </w:rPr>
            </w:pPr>
            <w:r w:rsidRPr="00CE0887">
              <w:rPr>
                <w:color w:val="001C55" w:themeColor="text2"/>
                <w:sz w:val="16"/>
                <w:szCs w:val="16"/>
              </w:rPr>
              <w:t>1.0%</w:t>
            </w:r>
          </w:p>
        </w:tc>
        <w:tc>
          <w:tcPr>
            <w:tcW w:w="958" w:type="dxa"/>
            <w:noWrap/>
            <w:hideMark/>
          </w:tcPr>
          <w:p w14:paraId="6705B46D" w14:textId="77777777" w:rsidR="00034FBD" w:rsidRPr="00CE0887" w:rsidRDefault="00034FBD" w:rsidP="00034FBD">
            <w:pPr>
              <w:rPr>
                <w:color w:val="001C55" w:themeColor="text2"/>
                <w:sz w:val="16"/>
                <w:szCs w:val="16"/>
              </w:rPr>
            </w:pPr>
            <w:r w:rsidRPr="00CE0887">
              <w:rPr>
                <w:color w:val="001C55" w:themeColor="text2"/>
                <w:sz w:val="16"/>
                <w:szCs w:val="16"/>
              </w:rPr>
              <w:t>2.0</w:t>
            </w:r>
          </w:p>
        </w:tc>
      </w:tr>
      <w:tr w:rsidR="00CE0887" w:rsidRPr="00CE0887" w14:paraId="18247997" w14:textId="77777777" w:rsidTr="00721148">
        <w:trPr>
          <w:trHeight w:val="290"/>
        </w:trPr>
        <w:tc>
          <w:tcPr>
            <w:tcW w:w="988" w:type="dxa"/>
            <w:noWrap/>
            <w:vAlign w:val="center"/>
            <w:hideMark/>
          </w:tcPr>
          <w:p w14:paraId="305D725C" w14:textId="77777777" w:rsidR="00034FBD" w:rsidRPr="00CE0887" w:rsidRDefault="00034FBD" w:rsidP="00034FBD">
            <w:pPr>
              <w:rPr>
                <w:color w:val="001C55" w:themeColor="text2"/>
                <w:sz w:val="16"/>
                <w:szCs w:val="16"/>
              </w:rPr>
            </w:pPr>
            <w:r w:rsidRPr="00CE0887">
              <w:rPr>
                <w:color w:val="001C55" w:themeColor="text2"/>
                <w:sz w:val="16"/>
                <w:szCs w:val="16"/>
              </w:rPr>
              <w:t>QLD</w:t>
            </w:r>
          </w:p>
        </w:tc>
        <w:tc>
          <w:tcPr>
            <w:tcW w:w="1275" w:type="dxa"/>
            <w:noWrap/>
            <w:vAlign w:val="center"/>
            <w:hideMark/>
          </w:tcPr>
          <w:p w14:paraId="0BF8FB22"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69C6F44E"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109753F1" w14:textId="77777777" w:rsidR="00034FBD" w:rsidRPr="00CE0887" w:rsidRDefault="00034FBD" w:rsidP="00034FBD">
            <w:pPr>
              <w:rPr>
                <w:color w:val="001C55" w:themeColor="text2"/>
                <w:sz w:val="16"/>
                <w:szCs w:val="16"/>
              </w:rPr>
            </w:pPr>
            <w:r w:rsidRPr="00CE0887">
              <w:rPr>
                <w:color w:val="001C55" w:themeColor="text2"/>
                <w:sz w:val="16"/>
                <w:szCs w:val="16"/>
              </w:rPr>
              <w:t>1652</w:t>
            </w:r>
          </w:p>
        </w:tc>
        <w:tc>
          <w:tcPr>
            <w:tcW w:w="1276" w:type="dxa"/>
            <w:noWrap/>
            <w:hideMark/>
          </w:tcPr>
          <w:p w14:paraId="187C04D8" w14:textId="77777777" w:rsidR="00034FBD" w:rsidRPr="00CE0887" w:rsidRDefault="00034FBD" w:rsidP="00034FBD">
            <w:pPr>
              <w:rPr>
                <w:color w:val="001C55" w:themeColor="text2"/>
                <w:sz w:val="16"/>
                <w:szCs w:val="16"/>
              </w:rPr>
            </w:pPr>
            <w:r w:rsidRPr="00CE0887">
              <w:rPr>
                <w:color w:val="001C55" w:themeColor="text2"/>
                <w:sz w:val="16"/>
                <w:szCs w:val="16"/>
              </w:rPr>
              <w:t>4.9%</w:t>
            </w:r>
          </w:p>
        </w:tc>
        <w:tc>
          <w:tcPr>
            <w:tcW w:w="992" w:type="dxa"/>
            <w:noWrap/>
            <w:hideMark/>
          </w:tcPr>
          <w:p w14:paraId="68D28019" w14:textId="77777777" w:rsidR="00034FBD" w:rsidRPr="00CE0887" w:rsidRDefault="00034FBD" w:rsidP="00034FBD">
            <w:pPr>
              <w:rPr>
                <w:color w:val="001C55" w:themeColor="text2"/>
                <w:sz w:val="16"/>
                <w:szCs w:val="16"/>
              </w:rPr>
            </w:pPr>
            <w:r w:rsidRPr="00CE0887">
              <w:rPr>
                <w:color w:val="001C55" w:themeColor="text2"/>
                <w:sz w:val="16"/>
                <w:szCs w:val="16"/>
              </w:rPr>
              <w:t>53</w:t>
            </w:r>
          </w:p>
        </w:tc>
        <w:tc>
          <w:tcPr>
            <w:tcW w:w="1276" w:type="dxa"/>
            <w:noWrap/>
            <w:hideMark/>
          </w:tcPr>
          <w:p w14:paraId="6E8930AC" w14:textId="77777777" w:rsidR="00034FBD" w:rsidRPr="00CE0887" w:rsidRDefault="00034FBD" w:rsidP="00034FBD">
            <w:pPr>
              <w:rPr>
                <w:color w:val="001C55" w:themeColor="text2"/>
                <w:sz w:val="16"/>
                <w:szCs w:val="16"/>
              </w:rPr>
            </w:pPr>
            <w:r w:rsidRPr="00CE0887">
              <w:rPr>
                <w:color w:val="001C55" w:themeColor="text2"/>
                <w:sz w:val="16"/>
                <w:szCs w:val="16"/>
              </w:rPr>
              <w:t>2.6%</w:t>
            </w:r>
          </w:p>
        </w:tc>
        <w:tc>
          <w:tcPr>
            <w:tcW w:w="958" w:type="dxa"/>
            <w:noWrap/>
            <w:hideMark/>
          </w:tcPr>
          <w:p w14:paraId="201D1E6A" w14:textId="77777777" w:rsidR="00034FBD" w:rsidRPr="00CE0887" w:rsidRDefault="00034FBD" w:rsidP="00034FBD">
            <w:pPr>
              <w:rPr>
                <w:color w:val="001C55" w:themeColor="text2"/>
                <w:sz w:val="16"/>
                <w:szCs w:val="16"/>
              </w:rPr>
            </w:pPr>
            <w:r w:rsidRPr="00CE0887">
              <w:rPr>
                <w:color w:val="001C55" w:themeColor="text2"/>
                <w:sz w:val="16"/>
                <w:szCs w:val="16"/>
              </w:rPr>
              <w:t>1.9</w:t>
            </w:r>
          </w:p>
        </w:tc>
      </w:tr>
      <w:tr w:rsidR="00CE0887" w:rsidRPr="00CE0887" w14:paraId="12E6EF83" w14:textId="77777777" w:rsidTr="00721148">
        <w:trPr>
          <w:trHeight w:val="290"/>
        </w:trPr>
        <w:tc>
          <w:tcPr>
            <w:tcW w:w="988" w:type="dxa"/>
            <w:noWrap/>
            <w:vAlign w:val="center"/>
            <w:hideMark/>
          </w:tcPr>
          <w:p w14:paraId="4A59485B" w14:textId="77777777" w:rsidR="00034FBD" w:rsidRPr="00CE0887" w:rsidRDefault="00034FBD" w:rsidP="00034FBD">
            <w:pPr>
              <w:rPr>
                <w:color w:val="001C55" w:themeColor="text2"/>
                <w:sz w:val="16"/>
                <w:szCs w:val="16"/>
              </w:rPr>
            </w:pPr>
            <w:r w:rsidRPr="00CE0887">
              <w:rPr>
                <w:color w:val="001C55" w:themeColor="text2"/>
                <w:sz w:val="16"/>
                <w:szCs w:val="16"/>
              </w:rPr>
              <w:t>SA</w:t>
            </w:r>
          </w:p>
        </w:tc>
        <w:tc>
          <w:tcPr>
            <w:tcW w:w="1275" w:type="dxa"/>
            <w:noWrap/>
            <w:vAlign w:val="center"/>
            <w:hideMark/>
          </w:tcPr>
          <w:p w14:paraId="5E39B53B"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66EA8108"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4D64FFA0" w14:textId="77777777" w:rsidR="00034FBD" w:rsidRPr="00CE0887" w:rsidRDefault="00034FBD" w:rsidP="00034FBD">
            <w:pPr>
              <w:rPr>
                <w:color w:val="001C55" w:themeColor="text2"/>
                <w:sz w:val="16"/>
                <w:szCs w:val="16"/>
              </w:rPr>
            </w:pPr>
            <w:r w:rsidRPr="00CE0887">
              <w:rPr>
                <w:color w:val="001C55" w:themeColor="text2"/>
                <w:sz w:val="16"/>
                <w:szCs w:val="16"/>
              </w:rPr>
              <w:t>384</w:t>
            </w:r>
          </w:p>
        </w:tc>
        <w:tc>
          <w:tcPr>
            <w:tcW w:w="1276" w:type="dxa"/>
            <w:noWrap/>
            <w:hideMark/>
          </w:tcPr>
          <w:p w14:paraId="36AF704C" w14:textId="77777777" w:rsidR="00034FBD" w:rsidRPr="00CE0887" w:rsidRDefault="00034FBD" w:rsidP="00034FBD">
            <w:pPr>
              <w:rPr>
                <w:color w:val="001C55" w:themeColor="text2"/>
                <w:sz w:val="16"/>
                <w:szCs w:val="16"/>
              </w:rPr>
            </w:pPr>
            <w:r w:rsidRPr="00CE0887">
              <w:rPr>
                <w:color w:val="001C55" w:themeColor="text2"/>
                <w:sz w:val="16"/>
                <w:szCs w:val="16"/>
              </w:rPr>
              <w:t>1.1%</w:t>
            </w:r>
          </w:p>
        </w:tc>
        <w:tc>
          <w:tcPr>
            <w:tcW w:w="992" w:type="dxa"/>
            <w:noWrap/>
            <w:hideMark/>
          </w:tcPr>
          <w:p w14:paraId="0373DEEB" w14:textId="77777777" w:rsidR="00034FBD" w:rsidRPr="00CE0887" w:rsidRDefault="00034FBD" w:rsidP="00034FBD">
            <w:pPr>
              <w:rPr>
                <w:color w:val="001C55" w:themeColor="text2"/>
                <w:sz w:val="16"/>
                <w:szCs w:val="16"/>
              </w:rPr>
            </w:pPr>
            <w:r w:rsidRPr="00CE0887">
              <w:rPr>
                <w:color w:val="001C55" w:themeColor="text2"/>
                <w:sz w:val="16"/>
                <w:szCs w:val="16"/>
              </w:rPr>
              <w:t>49</w:t>
            </w:r>
          </w:p>
        </w:tc>
        <w:tc>
          <w:tcPr>
            <w:tcW w:w="1276" w:type="dxa"/>
            <w:noWrap/>
            <w:hideMark/>
          </w:tcPr>
          <w:p w14:paraId="0F3B7F8B" w14:textId="77777777" w:rsidR="00034FBD" w:rsidRPr="00CE0887" w:rsidRDefault="00034FBD" w:rsidP="00034FBD">
            <w:pPr>
              <w:rPr>
                <w:color w:val="001C55" w:themeColor="text2"/>
                <w:sz w:val="16"/>
                <w:szCs w:val="16"/>
              </w:rPr>
            </w:pPr>
            <w:r w:rsidRPr="00CE0887">
              <w:rPr>
                <w:color w:val="001C55" w:themeColor="text2"/>
                <w:sz w:val="16"/>
                <w:szCs w:val="16"/>
              </w:rPr>
              <w:t>2.4%</w:t>
            </w:r>
          </w:p>
        </w:tc>
        <w:tc>
          <w:tcPr>
            <w:tcW w:w="958" w:type="dxa"/>
            <w:noWrap/>
            <w:hideMark/>
          </w:tcPr>
          <w:p w14:paraId="7898A460" w14:textId="77777777" w:rsidR="00034FBD" w:rsidRPr="00CE0887" w:rsidRDefault="00034FBD" w:rsidP="00034FBD">
            <w:pPr>
              <w:rPr>
                <w:color w:val="001C55" w:themeColor="text2"/>
                <w:sz w:val="16"/>
                <w:szCs w:val="16"/>
              </w:rPr>
            </w:pPr>
            <w:r w:rsidRPr="00CE0887">
              <w:rPr>
                <w:color w:val="001C55" w:themeColor="text2"/>
                <w:sz w:val="16"/>
                <w:szCs w:val="16"/>
              </w:rPr>
              <w:t>0.5</w:t>
            </w:r>
          </w:p>
        </w:tc>
      </w:tr>
      <w:tr w:rsidR="00CE0887" w:rsidRPr="00CE0887" w14:paraId="2E23A5D2" w14:textId="77777777" w:rsidTr="00721148">
        <w:trPr>
          <w:trHeight w:val="290"/>
        </w:trPr>
        <w:tc>
          <w:tcPr>
            <w:tcW w:w="988" w:type="dxa"/>
            <w:noWrap/>
            <w:vAlign w:val="center"/>
            <w:hideMark/>
          </w:tcPr>
          <w:p w14:paraId="407F3926" w14:textId="77777777" w:rsidR="00034FBD" w:rsidRPr="00CE0887" w:rsidRDefault="00034FBD" w:rsidP="00034FBD">
            <w:pPr>
              <w:rPr>
                <w:color w:val="001C55" w:themeColor="text2"/>
                <w:sz w:val="16"/>
                <w:szCs w:val="16"/>
              </w:rPr>
            </w:pPr>
            <w:r w:rsidRPr="00CE0887">
              <w:rPr>
                <w:color w:val="001C55" w:themeColor="text2"/>
                <w:sz w:val="16"/>
                <w:szCs w:val="16"/>
              </w:rPr>
              <w:t>SA</w:t>
            </w:r>
          </w:p>
        </w:tc>
        <w:tc>
          <w:tcPr>
            <w:tcW w:w="1275" w:type="dxa"/>
            <w:noWrap/>
            <w:vAlign w:val="center"/>
            <w:hideMark/>
          </w:tcPr>
          <w:p w14:paraId="6BC0485C"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4AA4DE4B"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31F0BA3D" w14:textId="77777777" w:rsidR="00034FBD" w:rsidRPr="00CE0887" w:rsidRDefault="00034FBD" w:rsidP="00034FBD">
            <w:pPr>
              <w:rPr>
                <w:color w:val="001C55" w:themeColor="text2"/>
                <w:sz w:val="16"/>
                <w:szCs w:val="16"/>
              </w:rPr>
            </w:pPr>
            <w:r w:rsidRPr="00CE0887">
              <w:rPr>
                <w:color w:val="001C55" w:themeColor="text2"/>
                <w:sz w:val="16"/>
                <w:szCs w:val="16"/>
              </w:rPr>
              <w:t>1044</w:t>
            </w:r>
          </w:p>
        </w:tc>
        <w:tc>
          <w:tcPr>
            <w:tcW w:w="1276" w:type="dxa"/>
            <w:noWrap/>
            <w:hideMark/>
          </w:tcPr>
          <w:p w14:paraId="7B258B93" w14:textId="77777777" w:rsidR="00034FBD" w:rsidRPr="00CE0887" w:rsidRDefault="00034FBD" w:rsidP="00034FBD">
            <w:pPr>
              <w:rPr>
                <w:color w:val="001C55" w:themeColor="text2"/>
                <w:sz w:val="16"/>
                <w:szCs w:val="16"/>
              </w:rPr>
            </w:pPr>
            <w:r w:rsidRPr="00CE0887">
              <w:rPr>
                <w:color w:val="001C55" w:themeColor="text2"/>
                <w:sz w:val="16"/>
                <w:szCs w:val="16"/>
              </w:rPr>
              <w:t>3.1%</w:t>
            </w:r>
          </w:p>
        </w:tc>
        <w:tc>
          <w:tcPr>
            <w:tcW w:w="992" w:type="dxa"/>
            <w:noWrap/>
            <w:hideMark/>
          </w:tcPr>
          <w:p w14:paraId="6A68894D" w14:textId="77777777" w:rsidR="00034FBD" w:rsidRPr="00CE0887" w:rsidRDefault="00034FBD" w:rsidP="00034FBD">
            <w:pPr>
              <w:rPr>
                <w:color w:val="001C55" w:themeColor="text2"/>
                <w:sz w:val="16"/>
                <w:szCs w:val="16"/>
              </w:rPr>
            </w:pPr>
            <w:r w:rsidRPr="00CE0887">
              <w:rPr>
                <w:color w:val="001C55" w:themeColor="text2"/>
                <w:sz w:val="16"/>
                <w:szCs w:val="16"/>
              </w:rPr>
              <w:t>60</w:t>
            </w:r>
          </w:p>
        </w:tc>
        <w:tc>
          <w:tcPr>
            <w:tcW w:w="1276" w:type="dxa"/>
            <w:noWrap/>
            <w:hideMark/>
          </w:tcPr>
          <w:p w14:paraId="47683566" w14:textId="77777777" w:rsidR="00034FBD" w:rsidRPr="00CE0887" w:rsidRDefault="00034FBD" w:rsidP="00034FBD">
            <w:pPr>
              <w:rPr>
                <w:color w:val="001C55" w:themeColor="text2"/>
                <w:sz w:val="16"/>
                <w:szCs w:val="16"/>
              </w:rPr>
            </w:pPr>
            <w:r w:rsidRPr="00CE0887">
              <w:rPr>
                <w:color w:val="001C55" w:themeColor="text2"/>
                <w:sz w:val="16"/>
                <w:szCs w:val="16"/>
              </w:rPr>
              <w:t>2.9%</w:t>
            </w:r>
          </w:p>
        </w:tc>
        <w:tc>
          <w:tcPr>
            <w:tcW w:w="958" w:type="dxa"/>
            <w:noWrap/>
            <w:hideMark/>
          </w:tcPr>
          <w:p w14:paraId="03D56F83" w14:textId="77777777" w:rsidR="00034FBD" w:rsidRPr="00CE0887" w:rsidRDefault="00034FBD" w:rsidP="00034FBD">
            <w:pPr>
              <w:rPr>
                <w:color w:val="001C55" w:themeColor="text2"/>
                <w:sz w:val="16"/>
                <w:szCs w:val="16"/>
              </w:rPr>
            </w:pPr>
            <w:r w:rsidRPr="00CE0887">
              <w:rPr>
                <w:color w:val="001C55" w:themeColor="text2"/>
                <w:sz w:val="16"/>
                <w:szCs w:val="16"/>
              </w:rPr>
              <w:t>1.1</w:t>
            </w:r>
          </w:p>
        </w:tc>
      </w:tr>
      <w:tr w:rsidR="00CE0887" w:rsidRPr="00CE0887" w14:paraId="3C0A86B7" w14:textId="77777777" w:rsidTr="00721148">
        <w:trPr>
          <w:trHeight w:val="290"/>
        </w:trPr>
        <w:tc>
          <w:tcPr>
            <w:tcW w:w="988" w:type="dxa"/>
            <w:noWrap/>
            <w:vAlign w:val="center"/>
            <w:hideMark/>
          </w:tcPr>
          <w:p w14:paraId="289D29BB" w14:textId="77777777" w:rsidR="00034FBD" w:rsidRPr="00CE0887" w:rsidRDefault="00034FBD" w:rsidP="00034FBD">
            <w:pPr>
              <w:rPr>
                <w:color w:val="001C55" w:themeColor="text2"/>
                <w:sz w:val="16"/>
                <w:szCs w:val="16"/>
              </w:rPr>
            </w:pPr>
            <w:r w:rsidRPr="00CE0887">
              <w:rPr>
                <w:color w:val="001C55" w:themeColor="text2"/>
                <w:sz w:val="16"/>
                <w:szCs w:val="16"/>
              </w:rPr>
              <w:t>SA</w:t>
            </w:r>
          </w:p>
        </w:tc>
        <w:tc>
          <w:tcPr>
            <w:tcW w:w="1275" w:type="dxa"/>
            <w:noWrap/>
            <w:vAlign w:val="center"/>
            <w:hideMark/>
          </w:tcPr>
          <w:p w14:paraId="3056A681"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073E65DA"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7FD61E81" w14:textId="77777777" w:rsidR="00034FBD" w:rsidRPr="00CE0887" w:rsidRDefault="00034FBD" w:rsidP="00034FBD">
            <w:pPr>
              <w:rPr>
                <w:color w:val="001C55" w:themeColor="text2"/>
                <w:sz w:val="16"/>
                <w:szCs w:val="16"/>
              </w:rPr>
            </w:pPr>
            <w:r w:rsidRPr="00CE0887">
              <w:rPr>
                <w:color w:val="001C55" w:themeColor="text2"/>
                <w:sz w:val="16"/>
                <w:szCs w:val="16"/>
              </w:rPr>
              <w:t>286</w:t>
            </w:r>
          </w:p>
        </w:tc>
        <w:tc>
          <w:tcPr>
            <w:tcW w:w="1276" w:type="dxa"/>
            <w:noWrap/>
            <w:hideMark/>
          </w:tcPr>
          <w:p w14:paraId="545D318C" w14:textId="77777777" w:rsidR="00034FBD" w:rsidRPr="00CE0887" w:rsidRDefault="00034FBD" w:rsidP="00034FBD">
            <w:pPr>
              <w:rPr>
                <w:color w:val="001C55" w:themeColor="text2"/>
                <w:sz w:val="16"/>
                <w:szCs w:val="16"/>
              </w:rPr>
            </w:pPr>
            <w:r w:rsidRPr="00CE0887">
              <w:rPr>
                <w:color w:val="001C55" w:themeColor="text2"/>
                <w:sz w:val="16"/>
                <w:szCs w:val="16"/>
              </w:rPr>
              <w:t>0.8%</w:t>
            </w:r>
          </w:p>
        </w:tc>
        <w:tc>
          <w:tcPr>
            <w:tcW w:w="992" w:type="dxa"/>
            <w:noWrap/>
            <w:hideMark/>
          </w:tcPr>
          <w:p w14:paraId="1642BD46" w14:textId="77777777" w:rsidR="00034FBD" w:rsidRPr="00CE0887" w:rsidRDefault="00034FBD" w:rsidP="00034FBD">
            <w:pPr>
              <w:rPr>
                <w:color w:val="001C55" w:themeColor="text2"/>
                <w:sz w:val="16"/>
                <w:szCs w:val="16"/>
              </w:rPr>
            </w:pPr>
            <w:r w:rsidRPr="00CE0887">
              <w:rPr>
                <w:color w:val="001C55" w:themeColor="text2"/>
                <w:sz w:val="16"/>
                <w:szCs w:val="16"/>
              </w:rPr>
              <w:t>14</w:t>
            </w:r>
          </w:p>
        </w:tc>
        <w:tc>
          <w:tcPr>
            <w:tcW w:w="1276" w:type="dxa"/>
            <w:noWrap/>
            <w:hideMark/>
          </w:tcPr>
          <w:p w14:paraId="1963F21C" w14:textId="77777777" w:rsidR="00034FBD" w:rsidRPr="00CE0887" w:rsidRDefault="00034FBD" w:rsidP="00034FBD">
            <w:pPr>
              <w:rPr>
                <w:color w:val="001C55" w:themeColor="text2"/>
                <w:sz w:val="16"/>
                <w:szCs w:val="16"/>
              </w:rPr>
            </w:pPr>
            <w:r w:rsidRPr="00CE0887">
              <w:rPr>
                <w:color w:val="001C55" w:themeColor="text2"/>
                <w:sz w:val="16"/>
                <w:szCs w:val="16"/>
              </w:rPr>
              <w:t>0.7%</w:t>
            </w:r>
          </w:p>
        </w:tc>
        <w:tc>
          <w:tcPr>
            <w:tcW w:w="958" w:type="dxa"/>
            <w:noWrap/>
            <w:hideMark/>
          </w:tcPr>
          <w:p w14:paraId="2A4BE12F" w14:textId="77777777" w:rsidR="00034FBD" w:rsidRPr="00CE0887" w:rsidRDefault="00034FBD" w:rsidP="00034FBD">
            <w:pPr>
              <w:rPr>
                <w:color w:val="001C55" w:themeColor="text2"/>
                <w:sz w:val="16"/>
                <w:szCs w:val="16"/>
              </w:rPr>
            </w:pPr>
            <w:r w:rsidRPr="00CE0887">
              <w:rPr>
                <w:color w:val="001C55" w:themeColor="text2"/>
                <w:sz w:val="16"/>
                <w:szCs w:val="16"/>
              </w:rPr>
              <w:t>1.2</w:t>
            </w:r>
          </w:p>
        </w:tc>
      </w:tr>
      <w:tr w:rsidR="00CE0887" w:rsidRPr="00CE0887" w14:paraId="6B7EE3AB" w14:textId="77777777" w:rsidTr="00721148">
        <w:trPr>
          <w:trHeight w:val="290"/>
        </w:trPr>
        <w:tc>
          <w:tcPr>
            <w:tcW w:w="988" w:type="dxa"/>
            <w:noWrap/>
            <w:vAlign w:val="center"/>
            <w:hideMark/>
          </w:tcPr>
          <w:p w14:paraId="7ADEEE9F" w14:textId="77777777" w:rsidR="00034FBD" w:rsidRPr="00CE0887" w:rsidRDefault="00034FBD" w:rsidP="00034FBD">
            <w:pPr>
              <w:rPr>
                <w:color w:val="001C55" w:themeColor="text2"/>
                <w:sz w:val="16"/>
                <w:szCs w:val="16"/>
              </w:rPr>
            </w:pPr>
            <w:r w:rsidRPr="00CE0887">
              <w:rPr>
                <w:color w:val="001C55" w:themeColor="text2"/>
                <w:sz w:val="16"/>
                <w:szCs w:val="16"/>
              </w:rPr>
              <w:t>SA</w:t>
            </w:r>
          </w:p>
        </w:tc>
        <w:tc>
          <w:tcPr>
            <w:tcW w:w="1275" w:type="dxa"/>
            <w:noWrap/>
            <w:vAlign w:val="center"/>
            <w:hideMark/>
          </w:tcPr>
          <w:p w14:paraId="5575494A"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0F897BB8"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285C0189" w14:textId="77777777" w:rsidR="00034FBD" w:rsidRPr="00CE0887" w:rsidRDefault="00034FBD" w:rsidP="00034FBD">
            <w:pPr>
              <w:rPr>
                <w:color w:val="001C55" w:themeColor="text2"/>
                <w:sz w:val="16"/>
                <w:szCs w:val="16"/>
              </w:rPr>
            </w:pPr>
            <w:r w:rsidRPr="00CE0887">
              <w:rPr>
                <w:color w:val="001C55" w:themeColor="text2"/>
                <w:sz w:val="16"/>
                <w:szCs w:val="16"/>
              </w:rPr>
              <w:t>675</w:t>
            </w:r>
          </w:p>
        </w:tc>
        <w:tc>
          <w:tcPr>
            <w:tcW w:w="1276" w:type="dxa"/>
            <w:noWrap/>
            <w:hideMark/>
          </w:tcPr>
          <w:p w14:paraId="6CB3A761" w14:textId="77777777" w:rsidR="00034FBD" w:rsidRPr="00CE0887" w:rsidRDefault="00034FBD" w:rsidP="00034FBD">
            <w:pPr>
              <w:rPr>
                <w:color w:val="001C55" w:themeColor="text2"/>
                <w:sz w:val="16"/>
                <w:szCs w:val="16"/>
              </w:rPr>
            </w:pPr>
            <w:r w:rsidRPr="00CE0887">
              <w:rPr>
                <w:color w:val="001C55" w:themeColor="text2"/>
                <w:sz w:val="16"/>
                <w:szCs w:val="16"/>
              </w:rPr>
              <w:t>2.0%</w:t>
            </w:r>
          </w:p>
        </w:tc>
        <w:tc>
          <w:tcPr>
            <w:tcW w:w="992" w:type="dxa"/>
            <w:noWrap/>
            <w:hideMark/>
          </w:tcPr>
          <w:p w14:paraId="4329206F" w14:textId="77777777" w:rsidR="00034FBD" w:rsidRPr="00CE0887" w:rsidRDefault="00034FBD" w:rsidP="00034FBD">
            <w:pPr>
              <w:rPr>
                <w:color w:val="001C55" w:themeColor="text2"/>
                <w:sz w:val="16"/>
                <w:szCs w:val="16"/>
              </w:rPr>
            </w:pPr>
            <w:r w:rsidRPr="00CE0887">
              <w:rPr>
                <w:color w:val="001C55" w:themeColor="text2"/>
                <w:sz w:val="16"/>
                <w:szCs w:val="16"/>
              </w:rPr>
              <w:t>23</w:t>
            </w:r>
          </w:p>
        </w:tc>
        <w:tc>
          <w:tcPr>
            <w:tcW w:w="1276" w:type="dxa"/>
            <w:noWrap/>
            <w:hideMark/>
          </w:tcPr>
          <w:p w14:paraId="1BCE2741" w14:textId="77777777" w:rsidR="00034FBD" w:rsidRPr="00CE0887" w:rsidRDefault="00034FBD" w:rsidP="00034FBD">
            <w:pPr>
              <w:rPr>
                <w:color w:val="001C55" w:themeColor="text2"/>
                <w:sz w:val="16"/>
                <w:szCs w:val="16"/>
              </w:rPr>
            </w:pPr>
            <w:r w:rsidRPr="00CE0887">
              <w:rPr>
                <w:color w:val="001C55" w:themeColor="text2"/>
                <w:sz w:val="16"/>
                <w:szCs w:val="16"/>
              </w:rPr>
              <w:t>1.1%</w:t>
            </w:r>
          </w:p>
        </w:tc>
        <w:tc>
          <w:tcPr>
            <w:tcW w:w="958" w:type="dxa"/>
            <w:noWrap/>
            <w:hideMark/>
          </w:tcPr>
          <w:p w14:paraId="4EC4B5CA" w14:textId="77777777" w:rsidR="00034FBD" w:rsidRPr="00CE0887" w:rsidRDefault="00034FBD" w:rsidP="00034FBD">
            <w:pPr>
              <w:rPr>
                <w:color w:val="001C55" w:themeColor="text2"/>
                <w:sz w:val="16"/>
                <w:szCs w:val="16"/>
              </w:rPr>
            </w:pPr>
            <w:r w:rsidRPr="00CE0887">
              <w:rPr>
                <w:color w:val="001C55" w:themeColor="text2"/>
                <w:sz w:val="16"/>
                <w:szCs w:val="16"/>
              </w:rPr>
              <w:t>1.8</w:t>
            </w:r>
          </w:p>
        </w:tc>
      </w:tr>
      <w:tr w:rsidR="00CE0887" w:rsidRPr="00CE0887" w14:paraId="6AFA2687" w14:textId="77777777" w:rsidTr="00721148">
        <w:trPr>
          <w:trHeight w:val="290"/>
        </w:trPr>
        <w:tc>
          <w:tcPr>
            <w:tcW w:w="988" w:type="dxa"/>
            <w:noWrap/>
            <w:vAlign w:val="center"/>
            <w:hideMark/>
          </w:tcPr>
          <w:p w14:paraId="7DF0F66D" w14:textId="77777777" w:rsidR="00034FBD" w:rsidRPr="00CE0887" w:rsidRDefault="00034FBD" w:rsidP="00034FBD">
            <w:pPr>
              <w:rPr>
                <w:color w:val="001C55" w:themeColor="text2"/>
                <w:sz w:val="16"/>
                <w:szCs w:val="16"/>
              </w:rPr>
            </w:pPr>
            <w:r w:rsidRPr="00CE0887">
              <w:rPr>
                <w:color w:val="001C55" w:themeColor="text2"/>
                <w:sz w:val="16"/>
                <w:szCs w:val="16"/>
              </w:rPr>
              <w:t>TAS</w:t>
            </w:r>
          </w:p>
        </w:tc>
        <w:tc>
          <w:tcPr>
            <w:tcW w:w="1275" w:type="dxa"/>
            <w:noWrap/>
            <w:vAlign w:val="center"/>
            <w:hideMark/>
          </w:tcPr>
          <w:p w14:paraId="202AB59A"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21858E1E"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1BA9DF14" w14:textId="77777777" w:rsidR="00034FBD" w:rsidRPr="00CE0887" w:rsidRDefault="00034FBD" w:rsidP="00034FBD">
            <w:pPr>
              <w:rPr>
                <w:color w:val="001C55" w:themeColor="text2"/>
                <w:sz w:val="16"/>
                <w:szCs w:val="16"/>
              </w:rPr>
            </w:pPr>
            <w:r w:rsidRPr="00CE0887">
              <w:rPr>
                <w:color w:val="001C55" w:themeColor="text2"/>
                <w:sz w:val="16"/>
                <w:szCs w:val="16"/>
              </w:rPr>
              <w:t>61</w:t>
            </w:r>
          </w:p>
        </w:tc>
        <w:tc>
          <w:tcPr>
            <w:tcW w:w="1276" w:type="dxa"/>
            <w:noWrap/>
            <w:hideMark/>
          </w:tcPr>
          <w:p w14:paraId="5EDFD55C" w14:textId="77777777" w:rsidR="00034FBD" w:rsidRPr="00CE0887" w:rsidRDefault="00034FBD" w:rsidP="00034FBD">
            <w:pPr>
              <w:rPr>
                <w:color w:val="001C55" w:themeColor="text2"/>
                <w:sz w:val="16"/>
                <w:szCs w:val="16"/>
              </w:rPr>
            </w:pPr>
            <w:r w:rsidRPr="00CE0887">
              <w:rPr>
                <w:color w:val="001C55" w:themeColor="text2"/>
                <w:sz w:val="16"/>
                <w:szCs w:val="16"/>
              </w:rPr>
              <w:t>0.2%</w:t>
            </w:r>
          </w:p>
        </w:tc>
        <w:tc>
          <w:tcPr>
            <w:tcW w:w="992" w:type="dxa"/>
            <w:noWrap/>
            <w:hideMark/>
          </w:tcPr>
          <w:p w14:paraId="4C09151F" w14:textId="77777777" w:rsidR="00034FBD" w:rsidRPr="00CE0887" w:rsidRDefault="00034FBD" w:rsidP="00034FBD">
            <w:pPr>
              <w:rPr>
                <w:color w:val="001C55" w:themeColor="text2"/>
                <w:sz w:val="16"/>
                <w:szCs w:val="16"/>
              </w:rPr>
            </w:pPr>
            <w:r w:rsidRPr="00CE0887">
              <w:rPr>
                <w:color w:val="001C55" w:themeColor="text2"/>
                <w:sz w:val="16"/>
                <w:szCs w:val="16"/>
              </w:rPr>
              <w:t>4</w:t>
            </w:r>
          </w:p>
        </w:tc>
        <w:tc>
          <w:tcPr>
            <w:tcW w:w="1276" w:type="dxa"/>
            <w:noWrap/>
            <w:hideMark/>
          </w:tcPr>
          <w:p w14:paraId="137C12EB" w14:textId="77777777" w:rsidR="00034FBD" w:rsidRPr="00CE0887" w:rsidRDefault="00034FBD" w:rsidP="00034FBD">
            <w:pPr>
              <w:rPr>
                <w:color w:val="001C55" w:themeColor="text2"/>
                <w:sz w:val="16"/>
                <w:szCs w:val="16"/>
              </w:rPr>
            </w:pPr>
            <w:r w:rsidRPr="00CE0887">
              <w:rPr>
                <w:color w:val="001C55" w:themeColor="text2"/>
                <w:sz w:val="16"/>
                <w:szCs w:val="16"/>
              </w:rPr>
              <w:t>0.2%</w:t>
            </w:r>
          </w:p>
        </w:tc>
        <w:tc>
          <w:tcPr>
            <w:tcW w:w="958" w:type="dxa"/>
            <w:noWrap/>
            <w:hideMark/>
          </w:tcPr>
          <w:p w14:paraId="19EE6DE2" w14:textId="77777777" w:rsidR="00034FBD" w:rsidRPr="00CE0887" w:rsidRDefault="00034FBD" w:rsidP="00034FBD">
            <w:pPr>
              <w:rPr>
                <w:color w:val="001C55" w:themeColor="text2"/>
                <w:sz w:val="16"/>
                <w:szCs w:val="16"/>
              </w:rPr>
            </w:pPr>
            <w:r w:rsidRPr="00CE0887">
              <w:rPr>
                <w:color w:val="001C55" w:themeColor="text2"/>
                <w:sz w:val="16"/>
                <w:szCs w:val="16"/>
              </w:rPr>
              <w:t>0.9</w:t>
            </w:r>
          </w:p>
        </w:tc>
      </w:tr>
      <w:tr w:rsidR="00CE0887" w:rsidRPr="00CE0887" w14:paraId="2B586316" w14:textId="77777777" w:rsidTr="00721148">
        <w:trPr>
          <w:trHeight w:val="290"/>
        </w:trPr>
        <w:tc>
          <w:tcPr>
            <w:tcW w:w="988" w:type="dxa"/>
            <w:noWrap/>
            <w:vAlign w:val="center"/>
            <w:hideMark/>
          </w:tcPr>
          <w:p w14:paraId="19A5086C" w14:textId="77777777" w:rsidR="00034FBD" w:rsidRPr="00CE0887" w:rsidRDefault="00034FBD" w:rsidP="00034FBD">
            <w:pPr>
              <w:rPr>
                <w:color w:val="001C55" w:themeColor="text2"/>
                <w:sz w:val="16"/>
                <w:szCs w:val="16"/>
              </w:rPr>
            </w:pPr>
            <w:r w:rsidRPr="00CE0887">
              <w:rPr>
                <w:color w:val="001C55" w:themeColor="text2"/>
                <w:sz w:val="16"/>
                <w:szCs w:val="16"/>
              </w:rPr>
              <w:t>TAS</w:t>
            </w:r>
          </w:p>
        </w:tc>
        <w:tc>
          <w:tcPr>
            <w:tcW w:w="1275" w:type="dxa"/>
            <w:noWrap/>
            <w:vAlign w:val="center"/>
            <w:hideMark/>
          </w:tcPr>
          <w:p w14:paraId="6B40E8FB"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3436C58B"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34452FC0" w14:textId="77777777" w:rsidR="00034FBD" w:rsidRPr="00CE0887" w:rsidRDefault="00034FBD" w:rsidP="00034FBD">
            <w:pPr>
              <w:rPr>
                <w:color w:val="001C55" w:themeColor="text2"/>
                <w:sz w:val="16"/>
                <w:szCs w:val="16"/>
              </w:rPr>
            </w:pPr>
            <w:r w:rsidRPr="00CE0887">
              <w:rPr>
                <w:color w:val="001C55" w:themeColor="text2"/>
                <w:sz w:val="16"/>
                <w:szCs w:val="16"/>
              </w:rPr>
              <w:t>221</w:t>
            </w:r>
          </w:p>
        </w:tc>
        <w:tc>
          <w:tcPr>
            <w:tcW w:w="1276" w:type="dxa"/>
            <w:noWrap/>
            <w:hideMark/>
          </w:tcPr>
          <w:p w14:paraId="5D45B2D0" w14:textId="77777777" w:rsidR="00034FBD" w:rsidRPr="00CE0887" w:rsidRDefault="00034FBD" w:rsidP="00034FBD">
            <w:pPr>
              <w:rPr>
                <w:color w:val="001C55" w:themeColor="text2"/>
                <w:sz w:val="16"/>
                <w:szCs w:val="16"/>
              </w:rPr>
            </w:pPr>
            <w:r w:rsidRPr="00CE0887">
              <w:rPr>
                <w:color w:val="001C55" w:themeColor="text2"/>
                <w:sz w:val="16"/>
                <w:szCs w:val="16"/>
              </w:rPr>
              <w:t>0.7%</w:t>
            </w:r>
          </w:p>
        </w:tc>
        <w:tc>
          <w:tcPr>
            <w:tcW w:w="992" w:type="dxa"/>
            <w:noWrap/>
            <w:hideMark/>
          </w:tcPr>
          <w:p w14:paraId="55E9BC23" w14:textId="77777777" w:rsidR="00034FBD" w:rsidRPr="00CE0887" w:rsidRDefault="00034FBD" w:rsidP="00034FBD">
            <w:pPr>
              <w:rPr>
                <w:color w:val="001C55" w:themeColor="text2"/>
                <w:sz w:val="16"/>
                <w:szCs w:val="16"/>
              </w:rPr>
            </w:pPr>
            <w:r w:rsidRPr="00CE0887">
              <w:rPr>
                <w:color w:val="001C55" w:themeColor="text2"/>
                <w:sz w:val="16"/>
                <w:szCs w:val="16"/>
              </w:rPr>
              <w:t>37</w:t>
            </w:r>
          </w:p>
        </w:tc>
        <w:tc>
          <w:tcPr>
            <w:tcW w:w="1276" w:type="dxa"/>
            <w:noWrap/>
            <w:hideMark/>
          </w:tcPr>
          <w:p w14:paraId="02E37E1C" w14:textId="77777777" w:rsidR="00034FBD" w:rsidRPr="00CE0887" w:rsidRDefault="00034FBD" w:rsidP="00034FBD">
            <w:pPr>
              <w:rPr>
                <w:color w:val="001C55" w:themeColor="text2"/>
                <w:sz w:val="16"/>
                <w:szCs w:val="16"/>
              </w:rPr>
            </w:pPr>
            <w:r w:rsidRPr="00CE0887">
              <w:rPr>
                <w:color w:val="001C55" w:themeColor="text2"/>
                <w:sz w:val="16"/>
                <w:szCs w:val="16"/>
              </w:rPr>
              <w:t>1.8%</w:t>
            </w:r>
          </w:p>
        </w:tc>
        <w:tc>
          <w:tcPr>
            <w:tcW w:w="958" w:type="dxa"/>
            <w:noWrap/>
            <w:hideMark/>
          </w:tcPr>
          <w:p w14:paraId="6C69A128" w14:textId="77777777" w:rsidR="00034FBD" w:rsidRPr="00CE0887" w:rsidRDefault="00034FBD" w:rsidP="00034FBD">
            <w:pPr>
              <w:rPr>
                <w:color w:val="001C55" w:themeColor="text2"/>
                <w:sz w:val="16"/>
                <w:szCs w:val="16"/>
              </w:rPr>
            </w:pPr>
            <w:r w:rsidRPr="00CE0887">
              <w:rPr>
                <w:color w:val="001C55" w:themeColor="text2"/>
                <w:sz w:val="16"/>
                <w:szCs w:val="16"/>
              </w:rPr>
              <w:t>0.4</w:t>
            </w:r>
          </w:p>
        </w:tc>
      </w:tr>
      <w:tr w:rsidR="00CE0887" w:rsidRPr="00CE0887" w14:paraId="5E8F53B3" w14:textId="77777777" w:rsidTr="00721148">
        <w:trPr>
          <w:trHeight w:val="290"/>
        </w:trPr>
        <w:tc>
          <w:tcPr>
            <w:tcW w:w="988" w:type="dxa"/>
            <w:noWrap/>
            <w:vAlign w:val="center"/>
            <w:hideMark/>
          </w:tcPr>
          <w:p w14:paraId="78DE0E97" w14:textId="77777777" w:rsidR="00034FBD" w:rsidRPr="00CE0887" w:rsidRDefault="00034FBD" w:rsidP="00034FBD">
            <w:pPr>
              <w:rPr>
                <w:color w:val="001C55" w:themeColor="text2"/>
                <w:sz w:val="16"/>
                <w:szCs w:val="16"/>
              </w:rPr>
            </w:pPr>
            <w:r w:rsidRPr="00CE0887">
              <w:rPr>
                <w:color w:val="001C55" w:themeColor="text2"/>
                <w:sz w:val="16"/>
                <w:szCs w:val="16"/>
              </w:rPr>
              <w:t>TAS</w:t>
            </w:r>
          </w:p>
        </w:tc>
        <w:tc>
          <w:tcPr>
            <w:tcW w:w="1275" w:type="dxa"/>
            <w:noWrap/>
            <w:vAlign w:val="center"/>
            <w:hideMark/>
          </w:tcPr>
          <w:p w14:paraId="79E2C19F"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0B2AD9E4"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05F5AD50" w14:textId="77777777" w:rsidR="00034FBD" w:rsidRPr="00CE0887" w:rsidRDefault="00034FBD" w:rsidP="00034FBD">
            <w:pPr>
              <w:rPr>
                <w:color w:val="001C55" w:themeColor="text2"/>
                <w:sz w:val="16"/>
                <w:szCs w:val="16"/>
              </w:rPr>
            </w:pPr>
            <w:r w:rsidRPr="00CE0887">
              <w:rPr>
                <w:color w:val="001C55" w:themeColor="text2"/>
                <w:sz w:val="16"/>
                <w:szCs w:val="16"/>
              </w:rPr>
              <w:t>65</w:t>
            </w:r>
          </w:p>
        </w:tc>
        <w:tc>
          <w:tcPr>
            <w:tcW w:w="1276" w:type="dxa"/>
            <w:noWrap/>
            <w:hideMark/>
          </w:tcPr>
          <w:p w14:paraId="3D06935B" w14:textId="77777777" w:rsidR="00034FBD" w:rsidRPr="00CE0887" w:rsidRDefault="00034FBD" w:rsidP="00034FBD">
            <w:pPr>
              <w:rPr>
                <w:color w:val="001C55" w:themeColor="text2"/>
                <w:sz w:val="16"/>
                <w:szCs w:val="16"/>
              </w:rPr>
            </w:pPr>
            <w:r w:rsidRPr="00CE0887">
              <w:rPr>
                <w:color w:val="001C55" w:themeColor="text2"/>
                <w:sz w:val="16"/>
                <w:szCs w:val="16"/>
              </w:rPr>
              <w:t>0.2%</w:t>
            </w:r>
          </w:p>
        </w:tc>
        <w:tc>
          <w:tcPr>
            <w:tcW w:w="992" w:type="dxa"/>
            <w:noWrap/>
            <w:hideMark/>
          </w:tcPr>
          <w:p w14:paraId="404FD3DD" w14:textId="77777777" w:rsidR="00034FBD" w:rsidRPr="00CE0887" w:rsidRDefault="00034FBD" w:rsidP="00034FBD">
            <w:pPr>
              <w:rPr>
                <w:color w:val="001C55" w:themeColor="text2"/>
                <w:sz w:val="16"/>
                <w:szCs w:val="16"/>
              </w:rPr>
            </w:pPr>
            <w:r w:rsidRPr="00CE0887">
              <w:rPr>
                <w:color w:val="001C55" w:themeColor="text2"/>
                <w:sz w:val="16"/>
                <w:szCs w:val="16"/>
              </w:rPr>
              <w:t>3</w:t>
            </w:r>
          </w:p>
        </w:tc>
        <w:tc>
          <w:tcPr>
            <w:tcW w:w="1276" w:type="dxa"/>
            <w:noWrap/>
            <w:hideMark/>
          </w:tcPr>
          <w:p w14:paraId="517F9BE7" w14:textId="77777777" w:rsidR="00034FBD" w:rsidRPr="00CE0887" w:rsidRDefault="00034FBD" w:rsidP="00034FBD">
            <w:pPr>
              <w:rPr>
                <w:color w:val="001C55" w:themeColor="text2"/>
                <w:sz w:val="16"/>
                <w:szCs w:val="16"/>
              </w:rPr>
            </w:pPr>
            <w:r w:rsidRPr="00CE0887">
              <w:rPr>
                <w:color w:val="001C55" w:themeColor="text2"/>
                <w:sz w:val="16"/>
                <w:szCs w:val="16"/>
              </w:rPr>
              <w:t>0.1%</w:t>
            </w:r>
          </w:p>
        </w:tc>
        <w:tc>
          <w:tcPr>
            <w:tcW w:w="958" w:type="dxa"/>
            <w:noWrap/>
            <w:hideMark/>
          </w:tcPr>
          <w:p w14:paraId="278CC5DC" w14:textId="77777777" w:rsidR="00034FBD" w:rsidRPr="00CE0887" w:rsidRDefault="00034FBD" w:rsidP="00034FBD">
            <w:pPr>
              <w:rPr>
                <w:color w:val="001C55" w:themeColor="text2"/>
                <w:sz w:val="16"/>
                <w:szCs w:val="16"/>
              </w:rPr>
            </w:pPr>
            <w:r w:rsidRPr="00CE0887">
              <w:rPr>
                <w:color w:val="001C55" w:themeColor="text2"/>
                <w:sz w:val="16"/>
                <w:szCs w:val="16"/>
              </w:rPr>
              <w:t>1.3</w:t>
            </w:r>
          </w:p>
        </w:tc>
      </w:tr>
      <w:tr w:rsidR="00CE0887" w:rsidRPr="00CE0887" w14:paraId="10D5AA35" w14:textId="77777777" w:rsidTr="00721148">
        <w:trPr>
          <w:trHeight w:val="290"/>
        </w:trPr>
        <w:tc>
          <w:tcPr>
            <w:tcW w:w="988" w:type="dxa"/>
            <w:noWrap/>
            <w:vAlign w:val="center"/>
            <w:hideMark/>
          </w:tcPr>
          <w:p w14:paraId="3B8ADE82" w14:textId="77777777" w:rsidR="00034FBD" w:rsidRPr="00CE0887" w:rsidRDefault="00034FBD" w:rsidP="00034FBD">
            <w:pPr>
              <w:rPr>
                <w:color w:val="001C55" w:themeColor="text2"/>
                <w:sz w:val="16"/>
                <w:szCs w:val="16"/>
              </w:rPr>
            </w:pPr>
            <w:r w:rsidRPr="00CE0887">
              <w:rPr>
                <w:color w:val="001C55" w:themeColor="text2"/>
                <w:sz w:val="16"/>
                <w:szCs w:val="16"/>
              </w:rPr>
              <w:t>TAS</w:t>
            </w:r>
          </w:p>
        </w:tc>
        <w:tc>
          <w:tcPr>
            <w:tcW w:w="1275" w:type="dxa"/>
            <w:noWrap/>
            <w:vAlign w:val="center"/>
            <w:hideMark/>
          </w:tcPr>
          <w:p w14:paraId="5986EAF4"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27F088A8"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51B74BBA" w14:textId="77777777" w:rsidR="00034FBD" w:rsidRPr="00CE0887" w:rsidRDefault="00034FBD" w:rsidP="00034FBD">
            <w:pPr>
              <w:rPr>
                <w:color w:val="001C55" w:themeColor="text2"/>
                <w:sz w:val="16"/>
                <w:szCs w:val="16"/>
              </w:rPr>
            </w:pPr>
            <w:r w:rsidRPr="00CE0887">
              <w:rPr>
                <w:color w:val="001C55" w:themeColor="text2"/>
                <w:sz w:val="16"/>
                <w:szCs w:val="16"/>
              </w:rPr>
              <w:t>112</w:t>
            </w:r>
          </w:p>
        </w:tc>
        <w:tc>
          <w:tcPr>
            <w:tcW w:w="1276" w:type="dxa"/>
            <w:noWrap/>
            <w:hideMark/>
          </w:tcPr>
          <w:p w14:paraId="7FE10F55" w14:textId="77777777" w:rsidR="00034FBD" w:rsidRPr="00CE0887" w:rsidRDefault="00034FBD" w:rsidP="00034FBD">
            <w:pPr>
              <w:rPr>
                <w:color w:val="001C55" w:themeColor="text2"/>
                <w:sz w:val="16"/>
                <w:szCs w:val="16"/>
              </w:rPr>
            </w:pPr>
            <w:r w:rsidRPr="00CE0887">
              <w:rPr>
                <w:color w:val="001C55" w:themeColor="text2"/>
                <w:sz w:val="16"/>
                <w:szCs w:val="16"/>
              </w:rPr>
              <w:t>0.3%</w:t>
            </w:r>
          </w:p>
        </w:tc>
        <w:tc>
          <w:tcPr>
            <w:tcW w:w="992" w:type="dxa"/>
            <w:noWrap/>
            <w:hideMark/>
          </w:tcPr>
          <w:p w14:paraId="78163E3D" w14:textId="77777777" w:rsidR="00034FBD" w:rsidRPr="00CE0887" w:rsidRDefault="00034FBD" w:rsidP="00034FBD">
            <w:pPr>
              <w:rPr>
                <w:color w:val="001C55" w:themeColor="text2"/>
                <w:sz w:val="16"/>
                <w:szCs w:val="16"/>
              </w:rPr>
            </w:pPr>
            <w:r w:rsidRPr="00CE0887">
              <w:rPr>
                <w:color w:val="001C55" w:themeColor="text2"/>
                <w:sz w:val="16"/>
                <w:szCs w:val="16"/>
              </w:rPr>
              <w:t>7</w:t>
            </w:r>
          </w:p>
        </w:tc>
        <w:tc>
          <w:tcPr>
            <w:tcW w:w="1276" w:type="dxa"/>
            <w:noWrap/>
            <w:hideMark/>
          </w:tcPr>
          <w:p w14:paraId="085EAEDD" w14:textId="77777777" w:rsidR="00034FBD" w:rsidRPr="00CE0887" w:rsidRDefault="00034FBD" w:rsidP="00034FBD">
            <w:pPr>
              <w:rPr>
                <w:color w:val="001C55" w:themeColor="text2"/>
                <w:sz w:val="16"/>
                <w:szCs w:val="16"/>
              </w:rPr>
            </w:pPr>
            <w:r w:rsidRPr="00CE0887">
              <w:rPr>
                <w:color w:val="001C55" w:themeColor="text2"/>
                <w:sz w:val="16"/>
                <w:szCs w:val="16"/>
              </w:rPr>
              <w:t>0.3%</w:t>
            </w:r>
          </w:p>
        </w:tc>
        <w:tc>
          <w:tcPr>
            <w:tcW w:w="958" w:type="dxa"/>
            <w:noWrap/>
            <w:hideMark/>
          </w:tcPr>
          <w:p w14:paraId="3366FBC6" w14:textId="77777777" w:rsidR="00034FBD" w:rsidRPr="00CE0887" w:rsidRDefault="00034FBD" w:rsidP="00034FBD">
            <w:pPr>
              <w:rPr>
                <w:color w:val="001C55" w:themeColor="text2"/>
                <w:sz w:val="16"/>
                <w:szCs w:val="16"/>
              </w:rPr>
            </w:pPr>
            <w:r w:rsidRPr="00CE0887">
              <w:rPr>
                <w:color w:val="001C55" w:themeColor="text2"/>
                <w:sz w:val="16"/>
                <w:szCs w:val="16"/>
              </w:rPr>
              <w:t>1.0</w:t>
            </w:r>
          </w:p>
        </w:tc>
      </w:tr>
      <w:tr w:rsidR="00CE0887" w:rsidRPr="00CE0887" w14:paraId="3EF3F1D6" w14:textId="77777777" w:rsidTr="00721148">
        <w:trPr>
          <w:trHeight w:val="290"/>
        </w:trPr>
        <w:tc>
          <w:tcPr>
            <w:tcW w:w="988" w:type="dxa"/>
            <w:noWrap/>
            <w:vAlign w:val="center"/>
            <w:hideMark/>
          </w:tcPr>
          <w:p w14:paraId="6FEF6D78" w14:textId="77777777" w:rsidR="00034FBD" w:rsidRPr="00CE0887" w:rsidRDefault="00034FBD" w:rsidP="00034FBD">
            <w:pPr>
              <w:rPr>
                <w:color w:val="001C55" w:themeColor="text2"/>
                <w:sz w:val="16"/>
                <w:szCs w:val="16"/>
              </w:rPr>
            </w:pPr>
            <w:r w:rsidRPr="00CE0887">
              <w:rPr>
                <w:color w:val="001C55" w:themeColor="text2"/>
                <w:sz w:val="16"/>
                <w:szCs w:val="16"/>
              </w:rPr>
              <w:t>VIC</w:t>
            </w:r>
          </w:p>
        </w:tc>
        <w:tc>
          <w:tcPr>
            <w:tcW w:w="1275" w:type="dxa"/>
            <w:noWrap/>
            <w:vAlign w:val="center"/>
            <w:hideMark/>
          </w:tcPr>
          <w:p w14:paraId="4F4799F7"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08EA7EDD"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27118781" w14:textId="77777777" w:rsidR="00034FBD" w:rsidRPr="00CE0887" w:rsidRDefault="00034FBD" w:rsidP="00034FBD">
            <w:pPr>
              <w:rPr>
                <w:color w:val="001C55" w:themeColor="text2"/>
                <w:sz w:val="16"/>
                <w:szCs w:val="16"/>
              </w:rPr>
            </w:pPr>
            <w:r w:rsidRPr="00CE0887">
              <w:rPr>
                <w:color w:val="001C55" w:themeColor="text2"/>
                <w:sz w:val="16"/>
                <w:szCs w:val="16"/>
              </w:rPr>
              <w:t>2190</w:t>
            </w:r>
          </w:p>
        </w:tc>
        <w:tc>
          <w:tcPr>
            <w:tcW w:w="1276" w:type="dxa"/>
            <w:noWrap/>
            <w:hideMark/>
          </w:tcPr>
          <w:p w14:paraId="66882193" w14:textId="77777777" w:rsidR="00034FBD" w:rsidRPr="00CE0887" w:rsidRDefault="00034FBD" w:rsidP="00034FBD">
            <w:pPr>
              <w:rPr>
                <w:color w:val="001C55" w:themeColor="text2"/>
                <w:sz w:val="16"/>
                <w:szCs w:val="16"/>
              </w:rPr>
            </w:pPr>
            <w:r w:rsidRPr="00CE0887">
              <w:rPr>
                <w:color w:val="001C55" w:themeColor="text2"/>
                <w:sz w:val="16"/>
                <w:szCs w:val="16"/>
              </w:rPr>
              <w:t>6.5%</w:t>
            </w:r>
          </w:p>
        </w:tc>
        <w:tc>
          <w:tcPr>
            <w:tcW w:w="992" w:type="dxa"/>
            <w:noWrap/>
            <w:hideMark/>
          </w:tcPr>
          <w:p w14:paraId="0F7CE9B5" w14:textId="77777777" w:rsidR="00034FBD" w:rsidRPr="00CE0887" w:rsidRDefault="00034FBD" w:rsidP="00034FBD">
            <w:pPr>
              <w:rPr>
                <w:color w:val="001C55" w:themeColor="text2"/>
                <w:sz w:val="16"/>
                <w:szCs w:val="16"/>
              </w:rPr>
            </w:pPr>
            <w:r w:rsidRPr="00CE0887">
              <w:rPr>
                <w:color w:val="001C55" w:themeColor="text2"/>
                <w:sz w:val="16"/>
                <w:szCs w:val="16"/>
              </w:rPr>
              <w:t>119</w:t>
            </w:r>
          </w:p>
        </w:tc>
        <w:tc>
          <w:tcPr>
            <w:tcW w:w="1276" w:type="dxa"/>
            <w:noWrap/>
            <w:hideMark/>
          </w:tcPr>
          <w:p w14:paraId="461E8E69" w14:textId="77777777" w:rsidR="00034FBD" w:rsidRPr="00CE0887" w:rsidRDefault="00034FBD" w:rsidP="00034FBD">
            <w:pPr>
              <w:rPr>
                <w:color w:val="001C55" w:themeColor="text2"/>
                <w:sz w:val="16"/>
                <w:szCs w:val="16"/>
              </w:rPr>
            </w:pPr>
            <w:r w:rsidRPr="00CE0887">
              <w:rPr>
                <w:color w:val="001C55" w:themeColor="text2"/>
                <w:sz w:val="16"/>
                <w:szCs w:val="16"/>
              </w:rPr>
              <w:t>5.8%</w:t>
            </w:r>
          </w:p>
        </w:tc>
        <w:tc>
          <w:tcPr>
            <w:tcW w:w="958" w:type="dxa"/>
            <w:noWrap/>
            <w:hideMark/>
          </w:tcPr>
          <w:p w14:paraId="1D4A1AD4" w14:textId="77777777" w:rsidR="00034FBD" w:rsidRPr="00CE0887" w:rsidRDefault="00034FBD" w:rsidP="00034FBD">
            <w:pPr>
              <w:rPr>
                <w:color w:val="001C55" w:themeColor="text2"/>
                <w:sz w:val="16"/>
                <w:szCs w:val="16"/>
              </w:rPr>
            </w:pPr>
            <w:r w:rsidRPr="00CE0887">
              <w:rPr>
                <w:color w:val="001C55" w:themeColor="text2"/>
                <w:sz w:val="16"/>
                <w:szCs w:val="16"/>
              </w:rPr>
              <w:t>1.1</w:t>
            </w:r>
          </w:p>
        </w:tc>
      </w:tr>
      <w:tr w:rsidR="00CE0887" w:rsidRPr="00CE0887" w14:paraId="094D70AE" w14:textId="77777777" w:rsidTr="00721148">
        <w:trPr>
          <w:trHeight w:val="290"/>
        </w:trPr>
        <w:tc>
          <w:tcPr>
            <w:tcW w:w="988" w:type="dxa"/>
            <w:noWrap/>
            <w:vAlign w:val="center"/>
            <w:hideMark/>
          </w:tcPr>
          <w:p w14:paraId="2F9168C6" w14:textId="77777777" w:rsidR="00034FBD" w:rsidRPr="00CE0887" w:rsidRDefault="00034FBD" w:rsidP="00034FBD">
            <w:pPr>
              <w:rPr>
                <w:color w:val="001C55" w:themeColor="text2"/>
                <w:sz w:val="16"/>
                <w:szCs w:val="16"/>
              </w:rPr>
            </w:pPr>
            <w:r w:rsidRPr="00CE0887">
              <w:rPr>
                <w:color w:val="001C55" w:themeColor="text2"/>
                <w:sz w:val="16"/>
                <w:szCs w:val="16"/>
              </w:rPr>
              <w:t>VIC</w:t>
            </w:r>
          </w:p>
        </w:tc>
        <w:tc>
          <w:tcPr>
            <w:tcW w:w="1275" w:type="dxa"/>
            <w:noWrap/>
            <w:vAlign w:val="center"/>
            <w:hideMark/>
          </w:tcPr>
          <w:p w14:paraId="786D3916"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1133F3EF"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1121E3E1" w14:textId="77777777" w:rsidR="00034FBD" w:rsidRPr="00CE0887" w:rsidRDefault="00034FBD" w:rsidP="00034FBD">
            <w:pPr>
              <w:rPr>
                <w:color w:val="001C55" w:themeColor="text2"/>
                <w:sz w:val="16"/>
                <w:szCs w:val="16"/>
              </w:rPr>
            </w:pPr>
            <w:r w:rsidRPr="00CE0887">
              <w:rPr>
                <w:color w:val="001C55" w:themeColor="text2"/>
                <w:sz w:val="16"/>
                <w:szCs w:val="16"/>
              </w:rPr>
              <w:t>4476</w:t>
            </w:r>
          </w:p>
        </w:tc>
        <w:tc>
          <w:tcPr>
            <w:tcW w:w="1276" w:type="dxa"/>
            <w:noWrap/>
            <w:hideMark/>
          </w:tcPr>
          <w:p w14:paraId="5C2FF039" w14:textId="77777777" w:rsidR="00034FBD" w:rsidRPr="00CE0887" w:rsidRDefault="00034FBD" w:rsidP="00034FBD">
            <w:pPr>
              <w:rPr>
                <w:color w:val="001C55" w:themeColor="text2"/>
                <w:sz w:val="16"/>
                <w:szCs w:val="16"/>
              </w:rPr>
            </w:pPr>
            <w:r w:rsidRPr="00CE0887">
              <w:rPr>
                <w:color w:val="001C55" w:themeColor="text2"/>
                <w:sz w:val="16"/>
                <w:szCs w:val="16"/>
              </w:rPr>
              <w:t>13.3%</w:t>
            </w:r>
          </w:p>
        </w:tc>
        <w:tc>
          <w:tcPr>
            <w:tcW w:w="992" w:type="dxa"/>
            <w:noWrap/>
            <w:hideMark/>
          </w:tcPr>
          <w:p w14:paraId="361FB178" w14:textId="77777777" w:rsidR="00034FBD" w:rsidRPr="00CE0887" w:rsidRDefault="00034FBD" w:rsidP="00034FBD">
            <w:pPr>
              <w:rPr>
                <w:color w:val="001C55" w:themeColor="text2"/>
                <w:sz w:val="16"/>
                <w:szCs w:val="16"/>
              </w:rPr>
            </w:pPr>
            <w:r w:rsidRPr="00CE0887">
              <w:rPr>
                <w:color w:val="001C55" w:themeColor="text2"/>
                <w:sz w:val="16"/>
                <w:szCs w:val="16"/>
              </w:rPr>
              <w:t>294</w:t>
            </w:r>
          </w:p>
        </w:tc>
        <w:tc>
          <w:tcPr>
            <w:tcW w:w="1276" w:type="dxa"/>
            <w:noWrap/>
            <w:hideMark/>
          </w:tcPr>
          <w:p w14:paraId="78E81E9C" w14:textId="77777777" w:rsidR="00034FBD" w:rsidRPr="00CE0887" w:rsidRDefault="00034FBD" w:rsidP="00034FBD">
            <w:pPr>
              <w:rPr>
                <w:color w:val="001C55" w:themeColor="text2"/>
                <w:sz w:val="16"/>
                <w:szCs w:val="16"/>
              </w:rPr>
            </w:pPr>
            <w:r w:rsidRPr="00CE0887">
              <w:rPr>
                <w:color w:val="001C55" w:themeColor="text2"/>
                <w:sz w:val="16"/>
                <w:szCs w:val="16"/>
              </w:rPr>
              <w:t>14.4%</w:t>
            </w:r>
          </w:p>
        </w:tc>
        <w:tc>
          <w:tcPr>
            <w:tcW w:w="958" w:type="dxa"/>
            <w:noWrap/>
            <w:hideMark/>
          </w:tcPr>
          <w:p w14:paraId="7BEB3497" w14:textId="77777777" w:rsidR="00034FBD" w:rsidRPr="00CE0887" w:rsidRDefault="00034FBD" w:rsidP="00034FBD">
            <w:pPr>
              <w:rPr>
                <w:color w:val="001C55" w:themeColor="text2"/>
                <w:sz w:val="16"/>
                <w:szCs w:val="16"/>
              </w:rPr>
            </w:pPr>
            <w:r w:rsidRPr="00CE0887">
              <w:rPr>
                <w:color w:val="001C55" w:themeColor="text2"/>
                <w:sz w:val="16"/>
                <w:szCs w:val="16"/>
              </w:rPr>
              <w:t>0.9</w:t>
            </w:r>
          </w:p>
        </w:tc>
      </w:tr>
      <w:tr w:rsidR="00CE0887" w:rsidRPr="00CE0887" w14:paraId="1227AA00" w14:textId="77777777" w:rsidTr="00721148">
        <w:trPr>
          <w:trHeight w:val="290"/>
        </w:trPr>
        <w:tc>
          <w:tcPr>
            <w:tcW w:w="988" w:type="dxa"/>
            <w:noWrap/>
            <w:vAlign w:val="center"/>
            <w:hideMark/>
          </w:tcPr>
          <w:p w14:paraId="7AE8855F" w14:textId="77777777" w:rsidR="00034FBD" w:rsidRPr="00CE0887" w:rsidRDefault="00034FBD" w:rsidP="00034FBD">
            <w:pPr>
              <w:rPr>
                <w:color w:val="001C55" w:themeColor="text2"/>
                <w:sz w:val="16"/>
                <w:szCs w:val="16"/>
              </w:rPr>
            </w:pPr>
            <w:r w:rsidRPr="00CE0887">
              <w:rPr>
                <w:color w:val="001C55" w:themeColor="text2"/>
                <w:sz w:val="16"/>
                <w:szCs w:val="16"/>
              </w:rPr>
              <w:t>VIC</w:t>
            </w:r>
          </w:p>
        </w:tc>
        <w:tc>
          <w:tcPr>
            <w:tcW w:w="1275" w:type="dxa"/>
            <w:noWrap/>
            <w:vAlign w:val="center"/>
            <w:hideMark/>
          </w:tcPr>
          <w:p w14:paraId="45517643"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6132BFC8"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72F43485" w14:textId="77777777" w:rsidR="00034FBD" w:rsidRPr="00CE0887" w:rsidRDefault="00034FBD" w:rsidP="00034FBD">
            <w:pPr>
              <w:rPr>
                <w:color w:val="001C55" w:themeColor="text2"/>
                <w:sz w:val="16"/>
                <w:szCs w:val="16"/>
              </w:rPr>
            </w:pPr>
            <w:r w:rsidRPr="00CE0887">
              <w:rPr>
                <w:color w:val="001C55" w:themeColor="text2"/>
                <w:sz w:val="16"/>
                <w:szCs w:val="16"/>
              </w:rPr>
              <w:t>1507</w:t>
            </w:r>
          </w:p>
        </w:tc>
        <w:tc>
          <w:tcPr>
            <w:tcW w:w="1276" w:type="dxa"/>
            <w:noWrap/>
            <w:hideMark/>
          </w:tcPr>
          <w:p w14:paraId="1D8FBC7E" w14:textId="77777777" w:rsidR="00034FBD" w:rsidRPr="00CE0887" w:rsidRDefault="00034FBD" w:rsidP="00034FBD">
            <w:pPr>
              <w:rPr>
                <w:color w:val="001C55" w:themeColor="text2"/>
                <w:sz w:val="16"/>
                <w:szCs w:val="16"/>
              </w:rPr>
            </w:pPr>
            <w:r w:rsidRPr="00CE0887">
              <w:rPr>
                <w:color w:val="001C55" w:themeColor="text2"/>
                <w:sz w:val="16"/>
                <w:szCs w:val="16"/>
              </w:rPr>
              <w:t>4.5%</w:t>
            </w:r>
          </w:p>
        </w:tc>
        <w:tc>
          <w:tcPr>
            <w:tcW w:w="992" w:type="dxa"/>
            <w:noWrap/>
            <w:hideMark/>
          </w:tcPr>
          <w:p w14:paraId="2E3EF016" w14:textId="77777777" w:rsidR="00034FBD" w:rsidRPr="00CE0887" w:rsidRDefault="00034FBD" w:rsidP="00034FBD">
            <w:pPr>
              <w:rPr>
                <w:color w:val="001C55" w:themeColor="text2"/>
                <w:sz w:val="16"/>
                <w:szCs w:val="16"/>
              </w:rPr>
            </w:pPr>
            <w:r w:rsidRPr="00CE0887">
              <w:rPr>
                <w:color w:val="001C55" w:themeColor="text2"/>
                <w:sz w:val="16"/>
                <w:szCs w:val="16"/>
              </w:rPr>
              <w:t>30</w:t>
            </w:r>
          </w:p>
        </w:tc>
        <w:tc>
          <w:tcPr>
            <w:tcW w:w="1276" w:type="dxa"/>
            <w:noWrap/>
            <w:hideMark/>
          </w:tcPr>
          <w:p w14:paraId="3F8D4C51" w14:textId="77777777" w:rsidR="00034FBD" w:rsidRPr="00CE0887" w:rsidRDefault="00034FBD" w:rsidP="00034FBD">
            <w:pPr>
              <w:rPr>
                <w:color w:val="001C55" w:themeColor="text2"/>
                <w:sz w:val="16"/>
                <w:szCs w:val="16"/>
              </w:rPr>
            </w:pPr>
            <w:r w:rsidRPr="00CE0887">
              <w:rPr>
                <w:color w:val="001C55" w:themeColor="text2"/>
                <w:sz w:val="16"/>
                <w:szCs w:val="16"/>
              </w:rPr>
              <w:t>1.5%</w:t>
            </w:r>
          </w:p>
        </w:tc>
        <w:tc>
          <w:tcPr>
            <w:tcW w:w="958" w:type="dxa"/>
            <w:noWrap/>
            <w:hideMark/>
          </w:tcPr>
          <w:p w14:paraId="2AB58E7A" w14:textId="77777777" w:rsidR="00034FBD" w:rsidRPr="00CE0887" w:rsidRDefault="00034FBD" w:rsidP="00034FBD">
            <w:pPr>
              <w:rPr>
                <w:color w:val="001C55" w:themeColor="text2"/>
                <w:sz w:val="16"/>
                <w:szCs w:val="16"/>
              </w:rPr>
            </w:pPr>
            <w:r w:rsidRPr="00CE0887">
              <w:rPr>
                <w:color w:val="001C55" w:themeColor="text2"/>
                <w:sz w:val="16"/>
                <w:szCs w:val="16"/>
              </w:rPr>
              <w:t>3.0</w:t>
            </w:r>
          </w:p>
        </w:tc>
      </w:tr>
      <w:tr w:rsidR="00CE0887" w:rsidRPr="00CE0887" w14:paraId="4FED0BAC" w14:textId="77777777" w:rsidTr="00721148">
        <w:trPr>
          <w:trHeight w:val="290"/>
        </w:trPr>
        <w:tc>
          <w:tcPr>
            <w:tcW w:w="988" w:type="dxa"/>
            <w:noWrap/>
            <w:vAlign w:val="center"/>
            <w:hideMark/>
          </w:tcPr>
          <w:p w14:paraId="16B18703" w14:textId="77777777" w:rsidR="00034FBD" w:rsidRPr="00CE0887" w:rsidRDefault="00034FBD" w:rsidP="00034FBD">
            <w:pPr>
              <w:rPr>
                <w:color w:val="001C55" w:themeColor="text2"/>
                <w:sz w:val="16"/>
                <w:szCs w:val="16"/>
              </w:rPr>
            </w:pPr>
            <w:r w:rsidRPr="00CE0887">
              <w:rPr>
                <w:color w:val="001C55" w:themeColor="text2"/>
                <w:sz w:val="16"/>
                <w:szCs w:val="16"/>
              </w:rPr>
              <w:t>VIC</w:t>
            </w:r>
          </w:p>
        </w:tc>
        <w:tc>
          <w:tcPr>
            <w:tcW w:w="1275" w:type="dxa"/>
            <w:noWrap/>
            <w:vAlign w:val="center"/>
            <w:hideMark/>
          </w:tcPr>
          <w:p w14:paraId="33953CBB"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7F47A613"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7ABB266D" w14:textId="77777777" w:rsidR="00034FBD" w:rsidRPr="00CE0887" w:rsidRDefault="00034FBD" w:rsidP="00034FBD">
            <w:pPr>
              <w:rPr>
                <w:color w:val="001C55" w:themeColor="text2"/>
                <w:sz w:val="16"/>
                <w:szCs w:val="16"/>
              </w:rPr>
            </w:pPr>
            <w:r w:rsidRPr="00CE0887">
              <w:rPr>
                <w:color w:val="001C55" w:themeColor="text2"/>
                <w:sz w:val="16"/>
                <w:szCs w:val="16"/>
              </w:rPr>
              <w:t>2759</w:t>
            </w:r>
          </w:p>
        </w:tc>
        <w:tc>
          <w:tcPr>
            <w:tcW w:w="1276" w:type="dxa"/>
            <w:noWrap/>
            <w:hideMark/>
          </w:tcPr>
          <w:p w14:paraId="78BE29CB" w14:textId="77777777" w:rsidR="00034FBD" w:rsidRPr="00CE0887" w:rsidRDefault="00034FBD" w:rsidP="00034FBD">
            <w:pPr>
              <w:rPr>
                <w:color w:val="001C55" w:themeColor="text2"/>
                <w:sz w:val="16"/>
                <w:szCs w:val="16"/>
              </w:rPr>
            </w:pPr>
            <w:r w:rsidRPr="00CE0887">
              <w:rPr>
                <w:color w:val="001C55" w:themeColor="text2"/>
                <w:sz w:val="16"/>
                <w:szCs w:val="16"/>
              </w:rPr>
              <w:t>8.2%</w:t>
            </w:r>
          </w:p>
        </w:tc>
        <w:tc>
          <w:tcPr>
            <w:tcW w:w="992" w:type="dxa"/>
            <w:noWrap/>
            <w:hideMark/>
          </w:tcPr>
          <w:p w14:paraId="325636E0" w14:textId="77777777" w:rsidR="00034FBD" w:rsidRPr="00CE0887" w:rsidRDefault="00034FBD" w:rsidP="00034FBD">
            <w:pPr>
              <w:rPr>
                <w:color w:val="001C55" w:themeColor="text2"/>
                <w:sz w:val="16"/>
                <w:szCs w:val="16"/>
              </w:rPr>
            </w:pPr>
            <w:r w:rsidRPr="00CE0887">
              <w:rPr>
                <w:color w:val="001C55" w:themeColor="text2"/>
                <w:sz w:val="16"/>
                <w:szCs w:val="16"/>
              </w:rPr>
              <w:t>95</w:t>
            </w:r>
          </w:p>
        </w:tc>
        <w:tc>
          <w:tcPr>
            <w:tcW w:w="1276" w:type="dxa"/>
            <w:noWrap/>
            <w:hideMark/>
          </w:tcPr>
          <w:p w14:paraId="3083F908" w14:textId="77777777" w:rsidR="00034FBD" w:rsidRPr="00CE0887" w:rsidRDefault="00034FBD" w:rsidP="00034FBD">
            <w:pPr>
              <w:rPr>
                <w:color w:val="001C55" w:themeColor="text2"/>
                <w:sz w:val="16"/>
                <w:szCs w:val="16"/>
              </w:rPr>
            </w:pPr>
            <w:r w:rsidRPr="00CE0887">
              <w:rPr>
                <w:color w:val="001C55" w:themeColor="text2"/>
                <w:sz w:val="16"/>
                <w:szCs w:val="16"/>
              </w:rPr>
              <w:t>4.7%</w:t>
            </w:r>
          </w:p>
        </w:tc>
        <w:tc>
          <w:tcPr>
            <w:tcW w:w="958" w:type="dxa"/>
            <w:noWrap/>
            <w:hideMark/>
          </w:tcPr>
          <w:p w14:paraId="51F57096" w14:textId="77777777" w:rsidR="00034FBD" w:rsidRPr="00CE0887" w:rsidRDefault="00034FBD" w:rsidP="00034FBD">
            <w:pPr>
              <w:rPr>
                <w:color w:val="001C55" w:themeColor="text2"/>
                <w:sz w:val="16"/>
                <w:szCs w:val="16"/>
              </w:rPr>
            </w:pPr>
            <w:r w:rsidRPr="00CE0887">
              <w:rPr>
                <w:color w:val="001C55" w:themeColor="text2"/>
                <w:sz w:val="16"/>
                <w:szCs w:val="16"/>
              </w:rPr>
              <w:t>1.8</w:t>
            </w:r>
          </w:p>
        </w:tc>
      </w:tr>
      <w:tr w:rsidR="00CE0887" w:rsidRPr="00CE0887" w14:paraId="05F730C6" w14:textId="77777777" w:rsidTr="00721148">
        <w:trPr>
          <w:trHeight w:val="290"/>
        </w:trPr>
        <w:tc>
          <w:tcPr>
            <w:tcW w:w="988" w:type="dxa"/>
            <w:noWrap/>
            <w:vAlign w:val="center"/>
            <w:hideMark/>
          </w:tcPr>
          <w:p w14:paraId="53E5B5E0" w14:textId="77777777" w:rsidR="00034FBD" w:rsidRPr="00CE0887" w:rsidRDefault="00034FBD" w:rsidP="00034FBD">
            <w:pPr>
              <w:rPr>
                <w:color w:val="001C55" w:themeColor="text2"/>
                <w:sz w:val="16"/>
                <w:szCs w:val="16"/>
              </w:rPr>
            </w:pPr>
            <w:r w:rsidRPr="00CE0887">
              <w:rPr>
                <w:color w:val="001C55" w:themeColor="text2"/>
                <w:sz w:val="16"/>
                <w:szCs w:val="16"/>
              </w:rPr>
              <w:t>WA</w:t>
            </w:r>
          </w:p>
        </w:tc>
        <w:tc>
          <w:tcPr>
            <w:tcW w:w="1275" w:type="dxa"/>
            <w:noWrap/>
            <w:vAlign w:val="center"/>
            <w:hideMark/>
          </w:tcPr>
          <w:p w14:paraId="2E7F3DE6"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62766D21"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74457D40" w14:textId="77777777" w:rsidR="00034FBD" w:rsidRPr="00CE0887" w:rsidRDefault="00034FBD" w:rsidP="00034FBD">
            <w:pPr>
              <w:rPr>
                <w:color w:val="001C55" w:themeColor="text2"/>
                <w:sz w:val="16"/>
                <w:szCs w:val="16"/>
              </w:rPr>
            </w:pPr>
            <w:r w:rsidRPr="00CE0887">
              <w:rPr>
                <w:color w:val="001C55" w:themeColor="text2"/>
                <w:sz w:val="16"/>
                <w:szCs w:val="16"/>
              </w:rPr>
              <w:t>546</w:t>
            </w:r>
          </w:p>
        </w:tc>
        <w:tc>
          <w:tcPr>
            <w:tcW w:w="1276" w:type="dxa"/>
            <w:noWrap/>
            <w:hideMark/>
          </w:tcPr>
          <w:p w14:paraId="28E30087" w14:textId="77777777" w:rsidR="00034FBD" w:rsidRPr="00CE0887" w:rsidRDefault="00034FBD" w:rsidP="00034FBD">
            <w:pPr>
              <w:rPr>
                <w:color w:val="001C55" w:themeColor="text2"/>
                <w:sz w:val="16"/>
                <w:szCs w:val="16"/>
              </w:rPr>
            </w:pPr>
            <w:r w:rsidRPr="00CE0887">
              <w:rPr>
                <w:color w:val="001C55" w:themeColor="text2"/>
                <w:sz w:val="16"/>
                <w:szCs w:val="16"/>
              </w:rPr>
              <w:t>1.6%</w:t>
            </w:r>
          </w:p>
        </w:tc>
        <w:tc>
          <w:tcPr>
            <w:tcW w:w="992" w:type="dxa"/>
            <w:noWrap/>
            <w:hideMark/>
          </w:tcPr>
          <w:p w14:paraId="279813AF" w14:textId="77777777" w:rsidR="00034FBD" w:rsidRPr="00CE0887" w:rsidRDefault="00034FBD" w:rsidP="00034FBD">
            <w:pPr>
              <w:rPr>
                <w:color w:val="001C55" w:themeColor="text2"/>
                <w:sz w:val="16"/>
                <w:szCs w:val="16"/>
              </w:rPr>
            </w:pPr>
            <w:r w:rsidRPr="00CE0887">
              <w:rPr>
                <w:color w:val="001C55" w:themeColor="text2"/>
                <w:sz w:val="16"/>
                <w:szCs w:val="16"/>
              </w:rPr>
              <w:t>55</w:t>
            </w:r>
          </w:p>
        </w:tc>
        <w:tc>
          <w:tcPr>
            <w:tcW w:w="1276" w:type="dxa"/>
            <w:noWrap/>
            <w:hideMark/>
          </w:tcPr>
          <w:p w14:paraId="1037F5D9" w14:textId="77777777" w:rsidR="00034FBD" w:rsidRPr="00CE0887" w:rsidRDefault="00034FBD" w:rsidP="00034FBD">
            <w:pPr>
              <w:rPr>
                <w:color w:val="001C55" w:themeColor="text2"/>
                <w:sz w:val="16"/>
                <w:szCs w:val="16"/>
              </w:rPr>
            </w:pPr>
            <w:r w:rsidRPr="00CE0887">
              <w:rPr>
                <w:color w:val="001C55" w:themeColor="text2"/>
                <w:sz w:val="16"/>
                <w:szCs w:val="16"/>
              </w:rPr>
              <w:t>2.7%</w:t>
            </w:r>
          </w:p>
        </w:tc>
        <w:tc>
          <w:tcPr>
            <w:tcW w:w="958" w:type="dxa"/>
            <w:noWrap/>
            <w:hideMark/>
          </w:tcPr>
          <w:p w14:paraId="4DDF2E11" w14:textId="77777777" w:rsidR="00034FBD" w:rsidRPr="00CE0887" w:rsidRDefault="00034FBD" w:rsidP="00034FBD">
            <w:pPr>
              <w:rPr>
                <w:color w:val="001C55" w:themeColor="text2"/>
                <w:sz w:val="16"/>
                <w:szCs w:val="16"/>
              </w:rPr>
            </w:pPr>
            <w:r w:rsidRPr="00CE0887">
              <w:rPr>
                <w:color w:val="001C55" w:themeColor="text2"/>
                <w:sz w:val="16"/>
                <w:szCs w:val="16"/>
              </w:rPr>
              <w:t>0.6</w:t>
            </w:r>
          </w:p>
        </w:tc>
      </w:tr>
      <w:tr w:rsidR="00CE0887" w:rsidRPr="00CE0887" w14:paraId="31DF72D5" w14:textId="77777777" w:rsidTr="00721148">
        <w:trPr>
          <w:trHeight w:val="290"/>
        </w:trPr>
        <w:tc>
          <w:tcPr>
            <w:tcW w:w="988" w:type="dxa"/>
            <w:noWrap/>
            <w:vAlign w:val="center"/>
            <w:hideMark/>
          </w:tcPr>
          <w:p w14:paraId="7716D34C" w14:textId="77777777" w:rsidR="00034FBD" w:rsidRPr="00CE0887" w:rsidRDefault="00034FBD" w:rsidP="00034FBD">
            <w:pPr>
              <w:rPr>
                <w:color w:val="001C55" w:themeColor="text2"/>
                <w:sz w:val="16"/>
                <w:szCs w:val="16"/>
              </w:rPr>
            </w:pPr>
            <w:r w:rsidRPr="00CE0887">
              <w:rPr>
                <w:color w:val="001C55" w:themeColor="text2"/>
                <w:sz w:val="16"/>
                <w:szCs w:val="16"/>
              </w:rPr>
              <w:t>WA</w:t>
            </w:r>
          </w:p>
        </w:tc>
        <w:tc>
          <w:tcPr>
            <w:tcW w:w="1275" w:type="dxa"/>
            <w:noWrap/>
            <w:vAlign w:val="center"/>
            <w:hideMark/>
          </w:tcPr>
          <w:p w14:paraId="41B513BA"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5AC2AFFE"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79E692EA" w14:textId="77777777" w:rsidR="00034FBD" w:rsidRPr="00CE0887" w:rsidRDefault="00034FBD" w:rsidP="00034FBD">
            <w:pPr>
              <w:rPr>
                <w:color w:val="001C55" w:themeColor="text2"/>
                <w:sz w:val="16"/>
                <w:szCs w:val="16"/>
              </w:rPr>
            </w:pPr>
            <w:r w:rsidRPr="00CE0887">
              <w:rPr>
                <w:color w:val="001C55" w:themeColor="text2"/>
                <w:sz w:val="16"/>
                <w:szCs w:val="16"/>
              </w:rPr>
              <w:t>1093</w:t>
            </w:r>
          </w:p>
        </w:tc>
        <w:tc>
          <w:tcPr>
            <w:tcW w:w="1276" w:type="dxa"/>
            <w:noWrap/>
            <w:hideMark/>
          </w:tcPr>
          <w:p w14:paraId="1D9F0D93" w14:textId="77777777" w:rsidR="00034FBD" w:rsidRPr="00CE0887" w:rsidRDefault="00034FBD" w:rsidP="00034FBD">
            <w:pPr>
              <w:rPr>
                <w:color w:val="001C55" w:themeColor="text2"/>
                <w:sz w:val="16"/>
                <w:szCs w:val="16"/>
              </w:rPr>
            </w:pPr>
            <w:r w:rsidRPr="00CE0887">
              <w:rPr>
                <w:color w:val="001C55" w:themeColor="text2"/>
                <w:sz w:val="16"/>
                <w:szCs w:val="16"/>
              </w:rPr>
              <w:t>3.2%</w:t>
            </w:r>
          </w:p>
        </w:tc>
        <w:tc>
          <w:tcPr>
            <w:tcW w:w="992" w:type="dxa"/>
            <w:noWrap/>
            <w:hideMark/>
          </w:tcPr>
          <w:p w14:paraId="79D88FE6" w14:textId="77777777" w:rsidR="00034FBD" w:rsidRPr="00CE0887" w:rsidRDefault="00034FBD" w:rsidP="00034FBD">
            <w:pPr>
              <w:rPr>
                <w:color w:val="001C55" w:themeColor="text2"/>
                <w:sz w:val="16"/>
                <w:szCs w:val="16"/>
              </w:rPr>
            </w:pPr>
            <w:r w:rsidRPr="00CE0887">
              <w:rPr>
                <w:color w:val="001C55" w:themeColor="text2"/>
                <w:sz w:val="16"/>
                <w:szCs w:val="16"/>
              </w:rPr>
              <w:t>142</w:t>
            </w:r>
          </w:p>
        </w:tc>
        <w:tc>
          <w:tcPr>
            <w:tcW w:w="1276" w:type="dxa"/>
            <w:noWrap/>
            <w:hideMark/>
          </w:tcPr>
          <w:p w14:paraId="0415600C" w14:textId="77777777" w:rsidR="00034FBD" w:rsidRPr="00CE0887" w:rsidRDefault="00034FBD" w:rsidP="00034FBD">
            <w:pPr>
              <w:rPr>
                <w:color w:val="001C55" w:themeColor="text2"/>
                <w:sz w:val="16"/>
                <w:szCs w:val="16"/>
              </w:rPr>
            </w:pPr>
            <w:r w:rsidRPr="00CE0887">
              <w:rPr>
                <w:color w:val="001C55" w:themeColor="text2"/>
                <w:sz w:val="16"/>
                <w:szCs w:val="16"/>
              </w:rPr>
              <w:t>7.0%</w:t>
            </w:r>
          </w:p>
        </w:tc>
        <w:tc>
          <w:tcPr>
            <w:tcW w:w="958" w:type="dxa"/>
            <w:noWrap/>
            <w:hideMark/>
          </w:tcPr>
          <w:p w14:paraId="431258A4" w14:textId="77777777" w:rsidR="00034FBD" w:rsidRPr="00CE0887" w:rsidRDefault="00034FBD" w:rsidP="00034FBD">
            <w:pPr>
              <w:rPr>
                <w:color w:val="001C55" w:themeColor="text2"/>
                <w:sz w:val="16"/>
                <w:szCs w:val="16"/>
              </w:rPr>
            </w:pPr>
            <w:r w:rsidRPr="00CE0887">
              <w:rPr>
                <w:color w:val="001C55" w:themeColor="text2"/>
                <w:sz w:val="16"/>
                <w:szCs w:val="16"/>
              </w:rPr>
              <w:t>0.5</w:t>
            </w:r>
          </w:p>
        </w:tc>
      </w:tr>
      <w:tr w:rsidR="00CE0887" w:rsidRPr="00CE0887" w14:paraId="7DF35B04" w14:textId="77777777" w:rsidTr="00721148">
        <w:trPr>
          <w:trHeight w:val="290"/>
        </w:trPr>
        <w:tc>
          <w:tcPr>
            <w:tcW w:w="988" w:type="dxa"/>
            <w:noWrap/>
            <w:vAlign w:val="center"/>
            <w:hideMark/>
          </w:tcPr>
          <w:p w14:paraId="64451464" w14:textId="77777777" w:rsidR="00034FBD" w:rsidRPr="00CE0887" w:rsidRDefault="00034FBD" w:rsidP="00034FBD">
            <w:pPr>
              <w:rPr>
                <w:color w:val="001C55" w:themeColor="text2"/>
                <w:sz w:val="16"/>
                <w:szCs w:val="16"/>
              </w:rPr>
            </w:pPr>
            <w:r w:rsidRPr="00CE0887">
              <w:rPr>
                <w:color w:val="001C55" w:themeColor="text2"/>
                <w:sz w:val="16"/>
                <w:szCs w:val="16"/>
              </w:rPr>
              <w:lastRenderedPageBreak/>
              <w:t>WA</w:t>
            </w:r>
          </w:p>
        </w:tc>
        <w:tc>
          <w:tcPr>
            <w:tcW w:w="1275" w:type="dxa"/>
            <w:noWrap/>
            <w:vAlign w:val="center"/>
            <w:hideMark/>
          </w:tcPr>
          <w:p w14:paraId="492C3750"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4052E2FC"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46DABF1A" w14:textId="77777777" w:rsidR="00034FBD" w:rsidRPr="00CE0887" w:rsidRDefault="00034FBD" w:rsidP="00034FBD">
            <w:pPr>
              <w:rPr>
                <w:color w:val="001C55" w:themeColor="text2"/>
                <w:sz w:val="16"/>
                <w:szCs w:val="16"/>
              </w:rPr>
            </w:pPr>
            <w:r w:rsidRPr="00CE0887">
              <w:rPr>
                <w:color w:val="001C55" w:themeColor="text2"/>
                <w:sz w:val="16"/>
                <w:szCs w:val="16"/>
              </w:rPr>
              <w:t>364</w:t>
            </w:r>
          </w:p>
        </w:tc>
        <w:tc>
          <w:tcPr>
            <w:tcW w:w="1276" w:type="dxa"/>
            <w:noWrap/>
            <w:hideMark/>
          </w:tcPr>
          <w:p w14:paraId="50E23551" w14:textId="77777777" w:rsidR="00034FBD" w:rsidRPr="00CE0887" w:rsidRDefault="00034FBD" w:rsidP="00034FBD">
            <w:pPr>
              <w:rPr>
                <w:color w:val="001C55" w:themeColor="text2"/>
                <w:sz w:val="16"/>
                <w:szCs w:val="16"/>
              </w:rPr>
            </w:pPr>
            <w:r w:rsidRPr="00CE0887">
              <w:rPr>
                <w:color w:val="001C55" w:themeColor="text2"/>
                <w:sz w:val="16"/>
                <w:szCs w:val="16"/>
              </w:rPr>
              <w:t>1.1%</w:t>
            </w:r>
          </w:p>
        </w:tc>
        <w:tc>
          <w:tcPr>
            <w:tcW w:w="992" w:type="dxa"/>
            <w:noWrap/>
            <w:hideMark/>
          </w:tcPr>
          <w:p w14:paraId="11243B59" w14:textId="77777777" w:rsidR="00034FBD" w:rsidRPr="00CE0887" w:rsidRDefault="00034FBD" w:rsidP="00034FBD">
            <w:pPr>
              <w:rPr>
                <w:color w:val="001C55" w:themeColor="text2"/>
                <w:sz w:val="16"/>
                <w:szCs w:val="16"/>
              </w:rPr>
            </w:pPr>
            <w:r w:rsidRPr="00CE0887">
              <w:rPr>
                <w:color w:val="001C55" w:themeColor="text2"/>
                <w:sz w:val="16"/>
                <w:szCs w:val="16"/>
              </w:rPr>
              <w:t>14</w:t>
            </w:r>
          </w:p>
        </w:tc>
        <w:tc>
          <w:tcPr>
            <w:tcW w:w="1276" w:type="dxa"/>
            <w:noWrap/>
            <w:hideMark/>
          </w:tcPr>
          <w:p w14:paraId="36056D6B" w14:textId="77777777" w:rsidR="00034FBD" w:rsidRPr="00CE0887" w:rsidRDefault="00034FBD" w:rsidP="00034FBD">
            <w:pPr>
              <w:rPr>
                <w:color w:val="001C55" w:themeColor="text2"/>
                <w:sz w:val="16"/>
                <w:szCs w:val="16"/>
              </w:rPr>
            </w:pPr>
            <w:r w:rsidRPr="00CE0887">
              <w:rPr>
                <w:color w:val="001C55" w:themeColor="text2"/>
                <w:sz w:val="16"/>
                <w:szCs w:val="16"/>
              </w:rPr>
              <w:t>0.7%</w:t>
            </w:r>
          </w:p>
        </w:tc>
        <w:tc>
          <w:tcPr>
            <w:tcW w:w="958" w:type="dxa"/>
            <w:noWrap/>
            <w:hideMark/>
          </w:tcPr>
          <w:p w14:paraId="09438288" w14:textId="77777777" w:rsidR="00034FBD" w:rsidRPr="00CE0887" w:rsidRDefault="00034FBD" w:rsidP="00034FBD">
            <w:pPr>
              <w:rPr>
                <w:color w:val="001C55" w:themeColor="text2"/>
                <w:sz w:val="16"/>
                <w:szCs w:val="16"/>
              </w:rPr>
            </w:pPr>
            <w:r w:rsidRPr="00CE0887">
              <w:rPr>
                <w:color w:val="001C55" w:themeColor="text2"/>
                <w:sz w:val="16"/>
                <w:szCs w:val="16"/>
              </w:rPr>
              <w:t>1.6</w:t>
            </w:r>
          </w:p>
        </w:tc>
      </w:tr>
      <w:tr w:rsidR="00CE0887" w:rsidRPr="00CE0887" w14:paraId="30242E59" w14:textId="77777777" w:rsidTr="00721148">
        <w:trPr>
          <w:trHeight w:val="290"/>
        </w:trPr>
        <w:tc>
          <w:tcPr>
            <w:tcW w:w="988" w:type="dxa"/>
            <w:noWrap/>
            <w:vAlign w:val="center"/>
            <w:hideMark/>
          </w:tcPr>
          <w:p w14:paraId="7BF7B0D2" w14:textId="77777777" w:rsidR="00034FBD" w:rsidRPr="00CE0887" w:rsidRDefault="00034FBD" w:rsidP="00034FBD">
            <w:pPr>
              <w:rPr>
                <w:color w:val="001C55" w:themeColor="text2"/>
                <w:sz w:val="16"/>
                <w:szCs w:val="16"/>
              </w:rPr>
            </w:pPr>
            <w:r w:rsidRPr="00CE0887">
              <w:rPr>
                <w:color w:val="001C55" w:themeColor="text2"/>
                <w:sz w:val="16"/>
                <w:szCs w:val="16"/>
              </w:rPr>
              <w:t>WA</w:t>
            </w:r>
          </w:p>
        </w:tc>
        <w:tc>
          <w:tcPr>
            <w:tcW w:w="1275" w:type="dxa"/>
            <w:noWrap/>
            <w:vAlign w:val="center"/>
            <w:hideMark/>
          </w:tcPr>
          <w:p w14:paraId="6847589B"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141F16F1"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07BFCCDB" w14:textId="77777777" w:rsidR="00034FBD" w:rsidRPr="00CE0887" w:rsidRDefault="00034FBD" w:rsidP="00034FBD">
            <w:pPr>
              <w:rPr>
                <w:color w:val="001C55" w:themeColor="text2"/>
                <w:sz w:val="16"/>
                <w:szCs w:val="16"/>
              </w:rPr>
            </w:pPr>
            <w:r w:rsidRPr="00CE0887">
              <w:rPr>
                <w:color w:val="001C55" w:themeColor="text2"/>
                <w:sz w:val="16"/>
                <w:szCs w:val="16"/>
              </w:rPr>
              <w:t>648</w:t>
            </w:r>
          </w:p>
        </w:tc>
        <w:tc>
          <w:tcPr>
            <w:tcW w:w="1276" w:type="dxa"/>
            <w:noWrap/>
            <w:hideMark/>
          </w:tcPr>
          <w:p w14:paraId="6422B4F7" w14:textId="77777777" w:rsidR="00034FBD" w:rsidRPr="00CE0887" w:rsidRDefault="00034FBD" w:rsidP="00034FBD">
            <w:pPr>
              <w:rPr>
                <w:color w:val="001C55" w:themeColor="text2"/>
                <w:sz w:val="16"/>
                <w:szCs w:val="16"/>
              </w:rPr>
            </w:pPr>
            <w:r w:rsidRPr="00CE0887">
              <w:rPr>
                <w:color w:val="001C55" w:themeColor="text2"/>
                <w:sz w:val="16"/>
                <w:szCs w:val="16"/>
              </w:rPr>
              <w:t>1.9%</w:t>
            </w:r>
          </w:p>
        </w:tc>
        <w:tc>
          <w:tcPr>
            <w:tcW w:w="992" w:type="dxa"/>
            <w:noWrap/>
            <w:hideMark/>
          </w:tcPr>
          <w:p w14:paraId="2285458B" w14:textId="77777777" w:rsidR="00034FBD" w:rsidRPr="00CE0887" w:rsidRDefault="00034FBD" w:rsidP="00034FBD">
            <w:pPr>
              <w:rPr>
                <w:color w:val="001C55" w:themeColor="text2"/>
                <w:sz w:val="16"/>
                <w:szCs w:val="16"/>
              </w:rPr>
            </w:pPr>
            <w:r w:rsidRPr="00CE0887">
              <w:rPr>
                <w:color w:val="001C55" w:themeColor="text2"/>
                <w:sz w:val="16"/>
                <w:szCs w:val="16"/>
              </w:rPr>
              <w:t>61</w:t>
            </w:r>
          </w:p>
        </w:tc>
        <w:tc>
          <w:tcPr>
            <w:tcW w:w="1276" w:type="dxa"/>
            <w:noWrap/>
            <w:hideMark/>
          </w:tcPr>
          <w:p w14:paraId="6DC9A8DB" w14:textId="77777777" w:rsidR="00034FBD" w:rsidRPr="00CE0887" w:rsidRDefault="00034FBD" w:rsidP="00034FBD">
            <w:pPr>
              <w:rPr>
                <w:color w:val="001C55" w:themeColor="text2"/>
                <w:sz w:val="16"/>
                <w:szCs w:val="16"/>
              </w:rPr>
            </w:pPr>
            <w:r w:rsidRPr="00CE0887">
              <w:rPr>
                <w:color w:val="001C55" w:themeColor="text2"/>
                <w:sz w:val="16"/>
                <w:szCs w:val="16"/>
              </w:rPr>
              <w:t>3.0%</w:t>
            </w:r>
          </w:p>
        </w:tc>
        <w:tc>
          <w:tcPr>
            <w:tcW w:w="958" w:type="dxa"/>
            <w:noWrap/>
            <w:hideMark/>
          </w:tcPr>
          <w:p w14:paraId="6C5FBEB6" w14:textId="77777777" w:rsidR="00034FBD" w:rsidRPr="00CE0887" w:rsidRDefault="00034FBD" w:rsidP="00034FBD">
            <w:pPr>
              <w:rPr>
                <w:color w:val="001C55" w:themeColor="text2"/>
                <w:sz w:val="16"/>
                <w:szCs w:val="16"/>
              </w:rPr>
            </w:pPr>
            <w:r w:rsidRPr="00CE0887">
              <w:rPr>
                <w:color w:val="001C55" w:themeColor="text2"/>
                <w:sz w:val="16"/>
                <w:szCs w:val="16"/>
              </w:rPr>
              <w:t>0.6</w:t>
            </w:r>
          </w:p>
        </w:tc>
      </w:tr>
      <w:tr w:rsidR="00CE0887" w:rsidRPr="00CE0887" w14:paraId="0B4530A9" w14:textId="77777777" w:rsidTr="00721148">
        <w:trPr>
          <w:trHeight w:val="290"/>
        </w:trPr>
        <w:tc>
          <w:tcPr>
            <w:tcW w:w="988" w:type="dxa"/>
            <w:noWrap/>
            <w:vAlign w:val="center"/>
            <w:hideMark/>
          </w:tcPr>
          <w:p w14:paraId="7712EB43" w14:textId="77777777" w:rsidR="00034FBD" w:rsidRPr="00CE0887" w:rsidRDefault="00034FBD" w:rsidP="00034FBD">
            <w:pPr>
              <w:rPr>
                <w:color w:val="001C55" w:themeColor="text2"/>
                <w:sz w:val="16"/>
                <w:szCs w:val="16"/>
              </w:rPr>
            </w:pPr>
            <w:r w:rsidRPr="00CE0887">
              <w:rPr>
                <w:color w:val="001C55" w:themeColor="text2"/>
                <w:sz w:val="16"/>
                <w:szCs w:val="16"/>
              </w:rPr>
              <w:t>ACT</w:t>
            </w:r>
          </w:p>
        </w:tc>
        <w:tc>
          <w:tcPr>
            <w:tcW w:w="1275" w:type="dxa"/>
            <w:noWrap/>
            <w:vAlign w:val="center"/>
            <w:hideMark/>
          </w:tcPr>
          <w:p w14:paraId="2BD86EDD"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2921E223"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13ED27FE" w14:textId="77777777" w:rsidR="00034FBD" w:rsidRPr="00CE0887" w:rsidRDefault="00034FBD" w:rsidP="00034FBD">
            <w:pPr>
              <w:rPr>
                <w:color w:val="001C55" w:themeColor="text2"/>
                <w:sz w:val="16"/>
                <w:szCs w:val="16"/>
              </w:rPr>
            </w:pPr>
          </w:p>
        </w:tc>
        <w:tc>
          <w:tcPr>
            <w:tcW w:w="1276" w:type="dxa"/>
            <w:noWrap/>
            <w:hideMark/>
          </w:tcPr>
          <w:p w14:paraId="0C23F57F" w14:textId="77777777" w:rsidR="00034FBD" w:rsidRPr="00CE0887" w:rsidRDefault="00034FBD" w:rsidP="00034FBD">
            <w:pPr>
              <w:rPr>
                <w:color w:val="001C55" w:themeColor="text2"/>
                <w:sz w:val="16"/>
                <w:szCs w:val="16"/>
              </w:rPr>
            </w:pPr>
          </w:p>
        </w:tc>
        <w:tc>
          <w:tcPr>
            <w:tcW w:w="992" w:type="dxa"/>
            <w:noWrap/>
            <w:hideMark/>
          </w:tcPr>
          <w:p w14:paraId="5A8DC1C8" w14:textId="77777777" w:rsidR="00034FBD" w:rsidRPr="00CE0887" w:rsidRDefault="00034FBD" w:rsidP="00034FBD">
            <w:pPr>
              <w:rPr>
                <w:color w:val="001C55" w:themeColor="text2"/>
                <w:sz w:val="16"/>
                <w:szCs w:val="16"/>
              </w:rPr>
            </w:pPr>
            <w:r w:rsidRPr="00CE0887">
              <w:rPr>
                <w:color w:val="001C55" w:themeColor="text2"/>
                <w:sz w:val="16"/>
                <w:szCs w:val="16"/>
              </w:rPr>
              <w:t>3</w:t>
            </w:r>
          </w:p>
        </w:tc>
        <w:tc>
          <w:tcPr>
            <w:tcW w:w="1276" w:type="dxa"/>
            <w:noWrap/>
            <w:hideMark/>
          </w:tcPr>
          <w:p w14:paraId="0B4FFBC9" w14:textId="77777777" w:rsidR="00034FBD" w:rsidRPr="00CE0887" w:rsidRDefault="00034FBD" w:rsidP="00034FBD">
            <w:pPr>
              <w:rPr>
                <w:color w:val="001C55" w:themeColor="text2"/>
                <w:sz w:val="16"/>
                <w:szCs w:val="16"/>
              </w:rPr>
            </w:pPr>
          </w:p>
        </w:tc>
        <w:tc>
          <w:tcPr>
            <w:tcW w:w="958" w:type="dxa"/>
            <w:noWrap/>
            <w:hideMark/>
          </w:tcPr>
          <w:p w14:paraId="167B179A"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386C74A2" w14:textId="77777777" w:rsidTr="00721148">
        <w:trPr>
          <w:trHeight w:val="290"/>
        </w:trPr>
        <w:tc>
          <w:tcPr>
            <w:tcW w:w="988" w:type="dxa"/>
            <w:noWrap/>
            <w:vAlign w:val="center"/>
            <w:hideMark/>
          </w:tcPr>
          <w:p w14:paraId="78688255" w14:textId="77777777" w:rsidR="00034FBD" w:rsidRPr="00CE0887" w:rsidRDefault="00034FBD" w:rsidP="00034FBD">
            <w:pPr>
              <w:rPr>
                <w:color w:val="001C55" w:themeColor="text2"/>
                <w:sz w:val="16"/>
                <w:szCs w:val="16"/>
              </w:rPr>
            </w:pPr>
            <w:r w:rsidRPr="00CE0887">
              <w:rPr>
                <w:color w:val="001C55" w:themeColor="text2"/>
                <w:sz w:val="16"/>
                <w:szCs w:val="16"/>
              </w:rPr>
              <w:t>ACT</w:t>
            </w:r>
          </w:p>
        </w:tc>
        <w:tc>
          <w:tcPr>
            <w:tcW w:w="1275" w:type="dxa"/>
            <w:noWrap/>
            <w:vAlign w:val="center"/>
            <w:hideMark/>
          </w:tcPr>
          <w:p w14:paraId="5C5CE6E5"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7312CE4F"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338194DA" w14:textId="77777777" w:rsidR="00034FBD" w:rsidRPr="00CE0887" w:rsidRDefault="00034FBD" w:rsidP="00034FBD">
            <w:pPr>
              <w:rPr>
                <w:color w:val="001C55" w:themeColor="text2"/>
                <w:sz w:val="16"/>
                <w:szCs w:val="16"/>
              </w:rPr>
            </w:pPr>
          </w:p>
        </w:tc>
        <w:tc>
          <w:tcPr>
            <w:tcW w:w="1276" w:type="dxa"/>
            <w:noWrap/>
            <w:hideMark/>
          </w:tcPr>
          <w:p w14:paraId="0D383542" w14:textId="77777777" w:rsidR="00034FBD" w:rsidRPr="00CE0887" w:rsidRDefault="00034FBD" w:rsidP="00034FBD">
            <w:pPr>
              <w:rPr>
                <w:color w:val="001C55" w:themeColor="text2"/>
                <w:sz w:val="16"/>
                <w:szCs w:val="16"/>
              </w:rPr>
            </w:pPr>
          </w:p>
        </w:tc>
        <w:tc>
          <w:tcPr>
            <w:tcW w:w="992" w:type="dxa"/>
            <w:noWrap/>
            <w:hideMark/>
          </w:tcPr>
          <w:p w14:paraId="405FD215" w14:textId="77777777" w:rsidR="00034FBD" w:rsidRPr="00CE0887" w:rsidRDefault="00034FBD" w:rsidP="00034FBD">
            <w:pPr>
              <w:rPr>
                <w:color w:val="001C55" w:themeColor="text2"/>
                <w:sz w:val="16"/>
                <w:szCs w:val="16"/>
              </w:rPr>
            </w:pPr>
            <w:r w:rsidRPr="00CE0887">
              <w:rPr>
                <w:color w:val="001C55" w:themeColor="text2"/>
                <w:sz w:val="16"/>
                <w:szCs w:val="16"/>
              </w:rPr>
              <w:t>0</w:t>
            </w:r>
          </w:p>
        </w:tc>
        <w:tc>
          <w:tcPr>
            <w:tcW w:w="1276" w:type="dxa"/>
            <w:noWrap/>
            <w:hideMark/>
          </w:tcPr>
          <w:p w14:paraId="370B56CE" w14:textId="77777777" w:rsidR="00034FBD" w:rsidRPr="00CE0887" w:rsidRDefault="00034FBD" w:rsidP="00034FBD">
            <w:pPr>
              <w:rPr>
                <w:color w:val="001C55" w:themeColor="text2"/>
                <w:sz w:val="16"/>
                <w:szCs w:val="16"/>
              </w:rPr>
            </w:pPr>
          </w:p>
        </w:tc>
        <w:tc>
          <w:tcPr>
            <w:tcW w:w="958" w:type="dxa"/>
            <w:noWrap/>
            <w:hideMark/>
          </w:tcPr>
          <w:p w14:paraId="490DFB3F"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7BBE4E0E" w14:textId="77777777" w:rsidTr="00721148">
        <w:trPr>
          <w:trHeight w:val="290"/>
        </w:trPr>
        <w:tc>
          <w:tcPr>
            <w:tcW w:w="988" w:type="dxa"/>
            <w:noWrap/>
            <w:vAlign w:val="center"/>
            <w:hideMark/>
          </w:tcPr>
          <w:p w14:paraId="33C32F0A" w14:textId="77777777" w:rsidR="00034FBD" w:rsidRPr="00CE0887" w:rsidRDefault="00034FBD" w:rsidP="00034FBD">
            <w:pPr>
              <w:rPr>
                <w:color w:val="001C55" w:themeColor="text2"/>
                <w:sz w:val="16"/>
                <w:szCs w:val="16"/>
              </w:rPr>
            </w:pPr>
            <w:r w:rsidRPr="00CE0887">
              <w:rPr>
                <w:color w:val="001C55" w:themeColor="text2"/>
                <w:sz w:val="16"/>
                <w:szCs w:val="16"/>
              </w:rPr>
              <w:t>NSW</w:t>
            </w:r>
          </w:p>
        </w:tc>
        <w:tc>
          <w:tcPr>
            <w:tcW w:w="1275" w:type="dxa"/>
            <w:noWrap/>
            <w:vAlign w:val="center"/>
            <w:hideMark/>
          </w:tcPr>
          <w:p w14:paraId="61F05159"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5B6D9E72"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17645076" w14:textId="77777777" w:rsidR="00034FBD" w:rsidRPr="00CE0887" w:rsidRDefault="00034FBD" w:rsidP="00034FBD">
            <w:pPr>
              <w:rPr>
                <w:color w:val="001C55" w:themeColor="text2"/>
                <w:sz w:val="16"/>
                <w:szCs w:val="16"/>
              </w:rPr>
            </w:pPr>
          </w:p>
        </w:tc>
        <w:tc>
          <w:tcPr>
            <w:tcW w:w="1276" w:type="dxa"/>
            <w:noWrap/>
            <w:hideMark/>
          </w:tcPr>
          <w:p w14:paraId="7E6F788F" w14:textId="77777777" w:rsidR="00034FBD" w:rsidRPr="00CE0887" w:rsidRDefault="00034FBD" w:rsidP="00034FBD">
            <w:pPr>
              <w:rPr>
                <w:color w:val="001C55" w:themeColor="text2"/>
                <w:sz w:val="16"/>
                <w:szCs w:val="16"/>
              </w:rPr>
            </w:pPr>
          </w:p>
        </w:tc>
        <w:tc>
          <w:tcPr>
            <w:tcW w:w="992" w:type="dxa"/>
            <w:noWrap/>
            <w:hideMark/>
          </w:tcPr>
          <w:p w14:paraId="157100E9" w14:textId="77777777" w:rsidR="00034FBD" w:rsidRPr="00CE0887" w:rsidRDefault="00034FBD" w:rsidP="00034FBD">
            <w:pPr>
              <w:rPr>
                <w:color w:val="001C55" w:themeColor="text2"/>
                <w:sz w:val="16"/>
                <w:szCs w:val="16"/>
              </w:rPr>
            </w:pPr>
            <w:r w:rsidRPr="00CE0887">
              <w:rPr>
                <w:color w:val="001C55" w:themeColor="text2"/>
                <w:sz w:val="16"/>
                <w:szCs w:val="16"/>
              </w:rPr>
              <w:t>11</w:t>
            </w:r>
          </w:p>
        </w:tc>
        <w:tc>
          <w:tcPr>
            <w:tcW w:w="1276" w:type="dxa"/>
            <w:noWrap/>
            <w:hideMark/>
          </w:tcPr>
          <w:p w14:paraId="2B3CA0F8" w14:textId="77777777" w:rsidR="00034FBD" w:rsidRPr="00CE0887" w:rsidRDefault="00034FBD" w:rsidP="00034FBD">
            <w:pPr>
              <w:rPr>
                <w:color w:val="001C55" w:themeColor="text2"/>
                <w:sz w:val="16"/>
                <w:szCs w:val="16"/>
              </w:rPr>
            </w:pPr>
          </w:p>
        </w:tc>
        <w:tc>
          <w:tcPr>
            <w:tcW w:w="958" w:type="dxa"/>
            <w:noWrap/>
            <w:hideMark/>
          </w:tcPr>
          <w:p w14:paraId="4FF81805"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2649CE1B" w14:textId="77777777" w:rsidTr="00721148">
        <w:trPr>
          <w:trHeight w:val="290"/>
        </w:trPr>
        <w:tc>
          <w:tcPr>
            <w:tcW w:w="988" w:type="dxa"/>
            <w:noWrap/>
            <w:vAlign w:val="center"/>
            <w:hideMark/>
          </w:tcPr>
          <w:p w14:paraId="4EC571E9" w14:textId="6C102FCE" w:rsidR="00034FBD" w:rsidRPr="00CE0887" w:rsidRDefault="00034FBD" w:rsidP="00034FBD">
            <w:pPr>
              <w:rPr>
                <w:color w:val="001C55" w:themeColor="text2"/>
                <w:sz w:val="16"/>
                <w:szCs w:val="16"/>
              </w:rPr>
            </w:pPr>
            <w:r w:rsidRPr="00CE0887">
              <w:rPr>
                <w:color w:val="001C55" w:themeColor="text2"/>
                <w:sz w:val="16"/>
                <w:szCs w:val="16"/>
              </w:rPr>
              <w:t>NSW</w:t>
            </w:r>
          </w:p>
        </w:tc>
        <w:tc>
          <w:tcPr>
            <w:tcW w:w="1275" w:type="dxa"/>
            <w:noWrap/>
            <w:vAlign w:val="center"/>
            <w:hideMark/>
          </w:tcPr>
          <w:p w14:paraId="07AFD72F"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7FDEC9E3"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20F402ED" w14:textId="77777777" w:rsidR="00034FBD" w:rsidRPr="00CE0887" w:rsidRDefault="00034FBD" w:rsidP="00034FBD">
            <w:pPr>
              <w:rPr>
                <w:color w:val="001C55" w:themeColor="text2"/>
                <w:sz w:val="16"/>
                <w:szCs w:val="16"/>
              </w:rPr>
            </w:pPr>
          </w:p>
        </w:tc>
        <w:tc>
          <w:tcPr>
            <w:tcW w:w="1276" w:type="dxa"/>
            <w:noWrap/>
            <w:hideMark/>
          </w:tcPr>
          <w:p w14:paraId="4C210282" w14:textId="77777777" w:rsidR="00034FBD" w:rsidRPr="00CE0887" w:rsidRDefault="00034FBD" w:rsidP="00034FBD">
            <w:pPr>
              <w:rPr>
                <w:color w:val="001C55" w:themeColor="text2"/>
                <w:sz w:val="16"/>
                <w:szCs w:val="16"/>
              </w:rPr>
            </w:pPr>
          </w:p>
        </w:tc>
        <w:tc>
          <w:tcPr>
            <w:tcW w:w="992" w:type="dxa"/>
            <w:noWrap/>
            <w:hideMark/>
          </w:tcPr>
          <w:p w14:paraId="296A08D9" w14:textId="77777777" w:rsidR="00034FBD" w:rsidRPr="00CE0887" w:rsidRDefault="00034FBD" w:rsidP="00034FBD">
            <w:pPr>
              <w:rPr>
                <w:color w:val="001C55" w:themeColor="text2"/>
                <w:sz w:val="16"/>
                <w:szCs w:val="16"/>
              </w:rPr>
            </w:pPr>
            <w:r w:rsidRPr="00CE0887">
              <w:rPr>
                <w:color w:val="001C55" w:themeColor="text2"/>
                <w:sz w:val="16"/>
                <w:szCs w:val="16"/>
              </w:rPr>
              <w:t>5</w:t>
            </w:r>
          </w:p>
        </w:tc>
        <w:tc>
          <w:tcPr>
            <w:tcW w:w="1276" w:type="dxa"/>
            <w:noWrap/>
            <w:hideMark/>
          </w:tcPr>
          <w:p w14:paraId="63E23B94" w14:textId="77777777" w:rsidR="00034FBD" w:rsidRPr="00CE0887" w:rsidRDefault="00034FBD" w:rsidP="00034FBD">
            <w:pPr>
              <w:rPr>
                <w:color w:val="001C55" w:themeColor="text2"/>
                <w:sz w:val="16"/>
                <w:szCs w:val="16"/>
              </w:rPr>
            </w:pPr>
          </w:p>
        </w:tc>
        <w:tc>
          <w:tcPr>
            <w:tcW w:w="958" w:type="dxa"/>
            <w:noWrap/>
            <w:hideMark/>
          </w:tcPr>
          <w:p w14:paraId="7914994B"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29DFF10E" w14:textId="77777777" w:rsidTr="00721148">
        <w:trPr>
          <w:trHeight w:val="290"/>
        </w:trPr>
        <w:tc>
          <w:tcPr>
            <w:tcW w:w="988" w:type="dxa"/>
            <w:noWrap/>
            <w:vAlign w:val="center"/>
            <w:hideMark/>
          </w:tcPr>
          <w:p w14:paraId="78749F06" w14:textId="77777777" w:rsidR="00034FBD" w:rsidRPr="00CE0887" w:rsidRDefault="00034FBD" w:rsidP="00034FBD">
            <w:pPr>
              <w:rPr>
                <w:color w:val="001C55" w:themeColor="text2"/>
                <w:sz w:val="16"/>
                <w:szCs w:val="16"/>
              </w:rPr>
            </w:pPr>
            <w:r w:rsidRPr="00CE0887">
              <w:rPr>
                <w:color w:val="001C55" w:themeColor="text2"/>
                <w:sz w:val="16"/>
                <w:szCs w:val="16"/>
              </w:rPr>
              <w:t>NT</w:t>
            </w:r>
          </w:p>
        </w:tc>
        <w:tc>
          <w:tcPr>
            <w:tcW w:w="1275" w:type="dxa"/>
            <w:noWrap/>
            <w:vAlign w:val="center"/>
            <w:hideMark/>
          </w:tcPr>
          <w:p w14:paraId="2D059261"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49CD6DFA"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6900E862" w14:textId="77777777" w:rsidR="00034FBD" w:rsidRPr="00CE0887" w:rsidRDefault="00034FBD" w:rsidP="00034FBD">
            <w:pPr>
              <w:rPr>
                <w:color w:val="001C55" w:themeColor="text2"/>
                <w:sz w:val="16"/>
                <w:szCs w:val="16"/>
              </w:rPr>
            </w:pPr>
          </w:p>
        </w:tc>
        <w:tc>
          <w:tcPr>
            <w:tcW w:w="1276" w:type="dxa"/>
            <w:noWrap/>
            <w:hideMark/>
          </w:tcPr>
          <w:p w14:paraId="62DFEC43" w14:textId="77777777" w:rsidR="00034FBD" w:rsidRPr="00CE0887" w:rsidRDefault="00034FBD" w:rsidP="00034FBD">
            <w:pPr>
              <w:rPr>
                <w:color w:val="001C55" w:themeColor="text2"/>
                <w:sz w:val="16"/>
                <w:szCs w:val="16"/>
              </w:rPr>
            </w:pPr>
          </w:p>
        </w:tc>
        <w:tc>
          <w:tcPr>
            <w:tcW w:w="992" w:type="dxa"/>
            <w:noWrap/>
            <w:hideMark/>
          </w:tcPr>
          <w:p w14:paraId="4377BF6D" w14:textId="77777777" w:rsidR="00034FBD" w:rsidRPr="00CE0887" w:rsidRDefault="00034FBD" w:rsidP="00034FBD">
            <w:pPr>
              <w:rPr>
                <w:color w:val="001C55" w:themeColor="text2"/>
                <w:sz w:val="16"/>
                <w:szCs w:val="16"/>
              </w:rPr>
            </w:pPr>
            <w:r w:rsidRPr="00CE0887">
              <w:rPr>
                <w:color w:val="001C55" w:themeColor="text2"/>
                <w:sz w:val="16"/>
                <w:szCs w:val="16"/>
              </w:rPr>
              <w:t>1</w:t>
            </w:r>
          </w:p>
        </w:tc>
        <w:tc>
          <w:tcPr>
            <w:tcW w:w="1276" w:type="dxa"/>
            <w:noWrap/>
            <w:hideMark/>
          </w:tcPr>
          <w:p w14:paraId="63F78074" w14:textId="77777777" w:rsidR="00034FBD" w:rsidRPr="00CE0887" w:rsidRDefault="00034FBD" w:rsidP="00034FBD">
            <w:pPr>
              <w:rPr>
                <w:color w:val="001C55" w:themeColor="text2"/>
                <w:sz w:val="16"/>
                <w:szCs w:val="16"/>
              </w:rPr>
            </w:pPr>
          </w:p>
        </w:tc>
        <w:tc>
          <w:tcPr>
            <w:tcW w:w="958" w:type="dxa"/>
            <w:noWrap/>
            <w:hideMark/>
          </w:tcPr>
          <w:p w14:paraId="2907C366"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3B221178" w14:textId="77777777" w:rsidTr="00721148">
        <w:trPr>
          <w:trHeight w:val="290"/>
        </w:trPr>
        <w:tc>
          <w:tcPr>
            <w:tcW w:w="988" w:type="dxa"/>
            <w:noWrap/>
            <w:vAlign w:val="center"/>
            <w:hideMark/>
          </w:tcPr>
          <w:p w14:paraId="0F2F6721" w14:textId="77777777" w:rsidR="00034FBD" w:rsidRPr="00CE0887" w:rsidRDefault="00034FBD" w:rsidP="00034FBD">
            <w:pPr>
              <w:rPr>
                <w:color w:val="001C55" w:themeColor="text2"/>
                <w:sz w:val="16"/>
                <w:szCs w:val="16"/>
              </w:rPr>
            </w:pPr>
            <w:r w:rsidRPr="00CE0887">
              <w:rPr>
                <w:color w:val="001C55" w:themeColor="text2"/>
                <w:sz w:val="16"/>
                <w:szCs w:val="16"/>
              </w:rPr>
              <w:t>QLD</w:t>
            </w:r>
          </w:p>
        </w:tc>
        <w:tc>
          <w:tcPr>
            <w:tcW w:w="1275" w:type="dxa"/>
            <w:noWrap/>
            <w:vAlign w:val="center"/>
            <w:hideMark/>
          </w:tcPr>
          <w:p w14:paraId="28940394"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515A0D25"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06B7301E" w14:textId="77777777" w:rsidR="00034FBD" w:rsidRPr="00CE0887" w:rsidRDefault="00034FBD" w:rsidP="00034FBD">
            <w:pPr>
              <w:rPr>
                <w:color w:val="001C55" w:themeColor="text2"/>
                <w:sz w:val="16"/>
                <w:szCs w:val="16"/>
              </w:rPr>
            </w:pPr>
          </w:p>
        </w:tc>
        <w:tc>
          <w:tcPr>
            <w:tcW w:w="1276" w:type="dxa"/>
            <w:noWrap/>
            <w:hideMark/>
          </w:tcPr>
          <w:p w14:paraId="3CBDA30D" w14:textId="77777777" w:rsidR="00034FBD" w:rsidRPr="00CE0887" w:rsidRDefault="00034FBD" w:rsidP="00034FBD">
            <w:pPr>
              <w:rPr>
                <w:color w:val="001C55" w:themeColor="text2"/>
                <w:sz w:val="16"/>
                <w:szCs w:val="16"/>
              </w:rPr>
            </w:pPr>
          </w:p>
        </w:tc>
        <w:tc>
          <w:tcPr>
            <w:tcW w:w="992" w:type="dxa"/>
            <w:noWrap/>
            <w:hideMark/>
          </w:tcPr>
          <w:p w14:paraId="5224ED62" w14:textId="77777777" w:rsidR="00034FBD" w:rsidRPr="00CE0887" w:rsidRDefault="00034FBD" w:rsidP="00034FBD">
            <w:pPr>
              <w:rPr>
                <w:color w:val="001C55" w:themeColor="text2"/>
                <w:sz w:val="16"/>
                <w:szCs w:val="16"/>
              </w:rPr>
            </w:pPr>
            <w:r w:rsidRPr="00CE0887">
              <w:rPr>
                <w:color w:val="001C55" w:themeColor="text2"/>
                <w:sz w:val="16"/>
                <w:szCs w:val="16"/>
              </w:rPr>
              <w:t>1</w:t>
            </w:r>
          </w:p>
        </w:tc>
        <w:tc>
          <w:tcPr>
            <w:tcW w:w="1276" w:type="dxa"/>
            <w:noWrap/>
            <w:hideMark/>
          </w:tcPr>
          <w:p w14:paraId="6DB3A343" w14:textId="77777777" w:rsidR="00034FBD" w:rsidRPr="00CE0887" w:rsidRDefault="00034FBD" w:rsidP="00034FBD">
            <w:pPr>
              <w:rPr>
                <w:color w:val="001C55" w:themeColor="text2"/>
                <w:sz w:val="16"/>
                <w:szCs w:val="16"/>
              </w:rPr>
            </w:pPr>
          </w:p>
        </w:tc>
        <w:tc>
          <w:tcPr>
            <w:tcW w:w="958" w:type="dxa"/>
            <w:noWrap/>
            <w:hideMark/>
          </w:tcPr>
          <w:p w14:paraId="1F8B394D"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0F4BABA7" w14:textId="77777777" w:rsidTr="00721148">
        <w:trPr>
          <w:trHeight w:val="290"/>
        </w:trPr>
        <w:tc>
          <w:tcPr>
            <w:tcW w:w="988" w:type="dxa"/>
            <w:noWrap/>
            <w:vAlign w:val="center"/>
            <w:hideMark/>
          </w:tcPr>
          <w:p w14:paraId="250501E9" w14:textId="77777777" w:rsidR="00034FBD" w:rsidRPr="00CE0887" w:rsidRDefault="00034FBD" w:rsidP="00034FBD">
            <w:pPr>
              <w:rPr>
                <w:color w:val="001C55" w:themeColor="text2"/>
                <w:sz w:val="16"/>
                <w:szCs w:val="16"/>
              </w:rPr>
            </w:pPr>
            <w:r w:rsidRPr="00CE0887">
              <w:rPr>
                <w:color w:val="001C55" w:themeColor="text2"/>
                <w:sz w:val="16"/>
                <w:szCs w:val="16"/>
              </w:rPr>
              <w:t>QLD</w:t>
            </w:r>
          </w:p>
        </w:tc>
        <w:tc>
          <w:tcPr>
            <w:tcW w:w="1275" w:type="dxa"/>
            <w:noWrap/>
            <w:vAlign w:val="center"/>
            <w:hideMark/>
          </w:tcPr>
          <w:p w14:paraId="4C270EE7"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117383CB"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1793CE5A" w14:textId="77777777" w:rsidR="00034FBD" w:rsidRPr="00CE0887" w:rsidRDefault="00034FBD" w:rsidP="00034FBD">
            <w:pPr>
              <w:rPr>
                <w:color w:val="001C55" w:themeColor="text2"/>
                <w:sz w:val="16"/>
                <w:szCs w:val="16"/>
              </w:rPr>
            </w:pPr>
          </w:p>
        </w:tc>
        <w:tc>
          <w:tcPr>
            <w:tcW w:w="1276" w:type="dxa"/>
            <w:noWrap/>
            <w:hideMark/>
          </w:tcPr>
          <w:p w14:paraId="1C6010BD" w14:textId="77777777" w:rsidR="00034FBD" w:rsidRPr="00CE0887" w:rsidRDefault="00034FBD" w:rsidP="00034FBD">
            <w:pPr>
              <w:rPr>
                <w:color w:val="001C55" w:themeColor="text2"/>
                <w:sz w:val="16"/>
                <w:szCs w:val="16"/>
              </w:rPr>
            </w:pPr>
          </w:p>
        </w:tc>
        <w:tc>
          <w:tcPr>
            <w:tcW w:w="992" w:type="dxa"/>
            <w:noWrap/>
            <w:hideMark/>
          </w:tcPr>
          <w:p w14:paraId="2C6EE56C" w14:textId="77777777" w:rsidR="00034FBD" w:rsidRPr="00CE0887" w:rsidRDefault="00034FBD" w:rsidP="00034FBD">
            <w:pPr>
              <w:rPr>
                <w:color w:val="001C55" w:themeColor="text2"/>
                <w:sz w:val="16"/>
                <w:szCs w:val="16"/>
              </w:rPr>
            </w:pPr>
            <w:r w:rsidRPr="00CE0887">
              <w:rPr>
                <w:color w:val="001C55" w:themeColor="text2"/>
                <w:sz w:val="16"/>
                <w:szCs w:val="16"/>
              </w:rPr>
              <w:t>2</w:t>
            </w:r>
          </w:p>
        </w:tc>
        <w:tc>
          <w:tcPr>
            <w:tcW w:w="1276" w:type="dxa"/>
            <w:noWrap/>
            <w:hideMark/>
          </w:tcPr>
          <w:p w14:paraId="35643401" w14:textId="77777777" w:rsidR="00034FBD" w:rsidRPr="00CE0887" w:rsidRDefault="00034FBD" w:rsidP="00034FBD">
            <w:pPr>
              <w:rPr>
                <w:color w:val="001C55" w:themeColor="text2"/>
                <w:sz w:val="16"/>
                <w:szCs w:val="16"/>
              </w:rPr>
            </w:pPr>
          </w:p>
        </w:tc>
        <w:tc>
          <w:tcPr>
            <w:tcW w:w="958" w:type="dxa"/>
            <w:noWrap/>
            <w:hideMark/>
          </w:tcPr>
          <w:p w14:paraId="602BE70C"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514D4A2E" w14:textId="77777777" w:rsidTr="00721148">
        <w:trPr>
          <w:trHeight w:val="290"/>
        </w:trPr>
        <w:tc>
          <w:tcPr>
            <w:tcW w:w="988" w:type="dxa"/>
            <w:noWrap/>
            <w:vAlign w:val="center"/>
            <w:hideMark/>
          </w:tcPr>
          <w:p w14:paraId="6504D58C" w14:textId="77777777" w:rsidR="00034FBD" w:rsidRPr="00CE0887" w:rsidRDefault="00034FBD" w:rsidP="00034FBD">
            <w:pPr>
              <w:rPr>
                <w:color w:val="001C55" w:themeColor="text2"/>
                <w:sz w:val="16"/>
                <w:szCs w:val="16"/>
              </w:rPr>
            </w:pPr>
            <w:r w:rsidRPr="00CE0887">
              <w:rPr>
                <w:color w:val="001C55" w:themeColor="text2"/>
                <w:sz w:val="16"/>
                <w:szCs w:val="16"/>
              </w:rPr>
              <w:t>SA</w:t>
            </w:r>
          </w:p>
        </w:tc>
        <w:tc>
          <w:tcPr>
            <w:tcW w:w="1275" w:type="dxa"/>
            <w:noWrap/>
            <w:vAlign w:val="center"/>
            <w:hideMark/>
          </w:tcPr>
          <w:p w14:paraId="05813853"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495A812C"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301A5797" w14:textId="77777777" w:rsidR="00034FBD" w:rsidRPr="00CE0887" w:rsidRDefault="00034FBD" w:rsidP="00034FBD">
            <w:pPr>
              <w:rPr>
                <w:color w:val="001C55" w:themeColor="text2"/>
                <w:sz w:val="16"/>
                <w:szCs w:val="16"/>
              </w:rPr>
            </w:pPr>
          </w:p>
        </w:tc>
        <w:tc>
          <w:tcPr>
            <w:tcW w:w="1276" w:type="dxa"/>
            <w:noWrap/>
            <w:hideMark/>
          </w:tcPr>
          <w:p w14:paraId="7D9F1731" w14:textId="77777777" w:rsidR="00034FBD" w:rsidRPr="00CE0887" w:rsidRDefault="00034FBD" w:rsidP="00034FBD">
            <w:pPr>
              <w:rPr>
                <w:color w:val="001C55" w:themeColor="text2"/>
                <w:sz w:val="16"/>
                <w:szCs w:val="16"/>
              </w:rPr>
            </w:pPr>
          </w:p>
        </w:tc>
        <w:tc>
          <w:tcPr>
            <w:tcW w:w="992" w:type="dxa"/>
            <w:noWrap/>
            <w:hideMark/>
          </w:tcPr>
          <w:p w14:paraId="5B499CC0" w14:textId="77777777" w:rsidR="00034FBD" w:rsidRPr="00CE0887" w:rsidRDefault="00034FBD" w:rsidP="00034FBD">
            <w:pPr>
              <w:rPr>
                <w:color w:val="001C55" w:themeColor="text2"/>
                <w:sz w:val="16"/>
                <w:szCs w:val="16"/>
              </w:rPr>
            </w:pPr>
            <w:r w:rsidRPr="00CE0887">
              <w:rPr>
                <w:color w:val="001C55" w:themeColor="text2"/>
                <w:sz w:val="16"/>
                <w:szCs w:val="16"/>
              </w:rPr>
              <w:t>0</w:t>
            </w:r>
          </w:p>
        </w:tc>
        <w:tc>
          <w:tcPr>
            <w:tcW w:w="1276" w:type="dxa"/>
            <w:noWrap/>
            <w:hideMark/>
          </w:tcPr>
          <w:p w14:paraId="320F4599" w14:textId="77777777" w:rsidR="00034FBD" w:rsidRPr="00CE0887" w:rsidRDefault="00034FBD" w:rsidP="00034FBD">
            <w:pPr>
              <w:rPr>
                <w:color w:val="001C55" w:themeColor="text2"/>
                <w:sz w:val="16"/>
                <w:szCs w:val="16"/>
              </w:rPr>
            </w:pPr>
          </w:p>
        </w:tc>
        <w:tc>
          <w:tcPr>
            <w:tcW w:w="958" w:type="dxa"/>
            <w:noWrap/>
            <w:hideMark/>
          </w:tcPr>
          <w:p w14:paraId="0EEDBBE0"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2E20A19C" w14:textId="77777777" w:rsidTr="00721148">
        <w:trPr>
          <w:trHeight w:val="290"/>
        </w:trPr>
        <w:tc>
          <w:tcPr>
            <w:tcW w:w="988" w:type="dxa"/>
            <w:noWrap/>
            <w:vAlign w:val="center"/>
            <w:hideMark/>
          </w:tcPr>
          <w:p w14:paraId="1D239D55" w14:textId="77777777" w:rsidR="00034FBD" w:rsidRPr="00CE0887" w:rsidRDefault="00034FBD" w:rsidP="00034FBD">
            <w:pPr>
              <w:rPr>
                <w:color w:val="001C55" w:themeColor="text2"/>
                <w:sz w:val="16"/>
                <w:szCs w:val="16"/>
              </w:rPr>
            </w:pPr>
            <w:r w:rsidRPr="00CE0887">
              <w:rPr>
                <w:color w:val="001C55" w:themeColor="text2"/>
                <w:sz w:val="16"/>
                <w:szCs w:val="16"/>
              </w:rPr>
              <w:t>SA</w:t>
            </w:r>
          </w:p>
        </w:tc>
        <w:tc>
          <w:tcPr>
            <w:tcW w:w="1275" w:type="dxa"/>
            <w:noWrap/>
            <w:vAlign w:val="center"/>
            <w:hideMark/>
          </w:tcPr>
          <w:p w14:paraId="7A577874"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08B4EB49"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1FB30DCA" w14:textId="77777777" w:rsidR="00034FBD" w:rsidRPr="00CE0887" w:rsidRDefault="00034FBD" w:rsidP="00034FBD">
            <w:pPr>
              <w:rPr>
                <w:color w:val="001C55" w:themeColor="text2"/>
                <w:sz w:val="16"/>
                <w:szCs w:val="16"/>
              </w:rPr>
            </w:pPr>
          </w:p>
        </w:tc>
        <w:tc>
          <w:tcPr>
            <w:tcW w:w="1276" w:type="dxa"/>
            <w:noWrap/>
            <w:hideMark/>
          </w:tcPr>
          <w:p w14:paraId="3324AFB0" w14:textId="77777777" w:rsidR="00034FBD" w:rsidRPr="00CE0887" w:rsidRDefault="00034FBD" w:rsidP="00034FBD">
            <w:pPr>
              <w:rPr>
                <w:color w:val="001C55" w:themeColor="text2"/>
                <w:sz w:val="16"/>
                <w:szCs w:val="16"/>
              </w:rPr>
            </w:pPr>
          </w:p>
        </w:tc>
        <w:tc>
          <w:tcPr>
            <w:tcW w:w="992" w:type="dxa"/>
            <w:noWrap/>
            <w:hideMark/>
          </w:tcPr>
          <w:p w14:paraId="2174BA59" w14:textId="77777777" w:rsidR="00034FBD" w:rsidRPr="00CE0887" w:rsidRDefault="00034FBD" w:rsidP="00034FBD">
            <w:pPr>
              <w:rPr>
                <w:color w:val="001C55" w:themeColor="text2"/>
                <w:sz w:val="16"/>
                <w:szCs w:val="16"/>
              </w:rPr>
            </w:pPr>
            <w:r w:rsidRPr="00CE0887">
              <w:rPr>
                <w:color w:val="001C55" w:themeColor="text2"/>
                <w:sz w:val="16"/>
                <w:szCs w:val="16"/>
              </w:rPr>
              <w:t>1</w:t>
            </w:r>
          </w:p>
        </w:tc>
        <w:tc>
          <w:tcPr>
            <w:tcW w:w="1276" w:type="dxa"/>
            <w:noWrap/>
            <w:hideMark/>
          </w:tcPr>
          <w:p w14:paraId="161D9FC8" w14:textId="77777777" w:rsidR="00034FBD" w:rsidRPr="00CE0887" w:rsidRDefault="00034FBD" w:rsidP="00034FBD">
            <w:pPr>
              <w:rPr>
                <w:color w:val="001C55" w:themeColor="text2"/>
                <w:sz w:val="16"/>
                <w:szCs w:val="16"/>
              </w:rPr>
            </w:pPr>
          </w:p>
        </w:tc>
        <w:tc>
          <w:tcPr>
            <w:tcW w:w="958" w:type="dxa"/>
            <w:noWrap/>
            <w:hideMark/>
          </w:tcPr>
          <w:p w14:paraId="09877F05"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1462DB16" w14:textId="77777777" w:rsidTr="00721148">
        <w:trPr>
          <w:trHeight w:val="290"/>
        </w:trPr>
        <w:tc>
          <w:tcPr>
            <w:tcW w:w="988" w:type="dxa"/>
            <w:noWrap/>
            <w:vAlign w:val="center"/>
            <w:hideMark/>
          </w:tcPr>
          <w:p w14:paraId="34E49964" w14:textId="77777777" w:rsidR="00034FBD" w:rsidRPr="00CE0887" w:rsidRDefault="00034FBD" w:rsidP="00034FBD">
            <w:pPr>
              <w:rPr>
                <w:color w:val="001C55" w:themeColor="text2"/>
                <w:sz w:val="16"/>
                <w:szCs w:val="16"/>
              </w:rPr>
            </w:pPr>
            <w:r w:rsidRPr="00CE0887">
              <w:rPr>
                <w:color w:val="001C55" w:themeColor="text2"/>
                <w:sz w:val="16"/>
                <w:szCs w:val="16"/>
              </w:rPr>
              <w:t>TAS</w:t>
            </w:r>
          </w:p>
        </w:tc>
        <w:tc>
          <w:tcPr>
            <w:tcW w:w="1275" w:type="dxa"/>
            <w:noWrap/>
            <w:vAlign w:val="center"/>
            <w:hideMark/>
          </w:tcPr>
          <w:p w14:paraId="40DD6240"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080F11B0"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452637A6" w14:textId="77777777" w:rsidR="00034FBD" w:rsidRPr="00CE0887" w:rsidRDefault="00034FBD" w:rsidP="00034FBD">
            <w:pPr>
              <w:rPr>
                <w:color w:val="001C55" w:themeColor="text2"/>
                <w:sz w:val="16"/>
                <w:szCs w:val="16"/>
              </w:rPr>
            </w:pPr>
          </w:p>
        </w:tc>
        <w:tc>
          <w:tcPr>
            <w:tcW w:w="1276" w:type="dxa"/>
            <w:noWrap/>
            <w:hideMark/>
          </w:tcPr>
          <w:p w14:paraId="6631A34F" w14:textId="77777777" w:rsidR="00034FBD" w:rsidRPr="00CE0887" w:rsidRDefault="00034FBD" w:rsidP="00034FBD">
            <w:pPr>
              <w:rPr>
                <w:color w:val="001C55" w:themeColor="text2"/>
                <w:sz w:val="16"/>
                <w:szCs w:val="16"/>
              </w:rPr>
            </w:pPr>
          </w:p>
        </w:tc>
        <w:tc>
          <w:tcPr>
            <w:tcW w:w="992" w:type="dxa"/>
            <w:noWrap/>
            <w:hideMark/>
          </w:tcPr>
          <w:p w14:paraId="1952FCE5" w14:textId="77777777" w:rsidR="00034FBD" w:rsidRPr="00CE0887" w:rsidRDefault="00034FBD" w:rsidP="00034FBD">
            <w:pPr>
              <w:rPr>
                <w:color w:val="001C55" w:themeColor="text2"/>
                <w:sz w:val="16"/>
                <w:szCs w:val="16"/>
              </w:rPr>
            </w:pPr>
            <w:r w:rsidRPr="00CE0887">
              <w:rPr>
                <w:color w:val="001C55" w:themeColor="text2"/>
                <w:sz w:val="16"/>
                <w:szCs w:val="16"/>
              </w:rPr>
              <w:t>1</w:t>
            </w:r>
          </w:p>
        </w:tc>
        <w:tc>
          <w:tcPr>
            <w:tcW w:w="1276" w:type="dxa"/>
            <w:noWrap/>
            <w:hideMark/>
          </w:tcPr>
          <w:p w14:paraId="1FBCA5F3" w14:textId="77777777" w:rsidR="00034FBD" w:rsidRPr="00CE0887" w:rsidRDefault="00034FBD" w:rsidP="00034FBD">
            <w:pPr>
              <w:rPr>
                <w:color w:val="001C55" w:themeColor="text2"/>
                <w:sz w:val="16"/>
                <w:szCs w:val="16"/>
              </w:rPr>
            </w:pPr>
          </w:p>
        </w:tc>
        <w:tc>
          <w:tcPr>
            <w:tcW w:w="958" w:type="dxa"/>
            <w:noWrap/>
            <w:hideMark/>
          </w:tcPr>
          <w:p w14:paraId="23371D11"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0A20F32C" w14:textId="77777777" w:rsidTr="00721148">
        <w:trPr>
          <w:trHeight w:val="290"/>
        </w:trPr>
        <w:tc>
          <w:tcPr>
            <w:tcW w:w="988" w:type="dxa"/>
            <w:noWrap/>
            <w:vAlign w:val="center"/>
            <w:hideMark/>
          </w:tcPr>
          <w:p w14:paraId="2F7BA087" w14:textId="77777777" w:rsidR="00034FBD" w:rsidRPr="00CE0887" w:rsidRDefault="00034FBD" w:rsidP="00034FBD">
            <w:pPr>
              <w:rPr>
                <w:color w:val="001C55" w:themeColor="text2"/>
                <w:sz w:val="16"/>
                <w:szCs w:val="16"/>
              </w:rPr>
            </w:pPr>
            <w:r w:rsidRPr="00CE0887">
              <w:rPr>
                <w:color w:val="001C55" w:themeColor="text2"/>
                <w:sz w:val="16"/>
                <w:szCs w:val="16"/>
              </w:rPr>
              <w:t>TAS</w:t>
            </w:r>
          </w:p>
        </w:tc>
        <w:tc>
          <w:tcPr>
            <w:tcW w:w="1275" w:type="dxa"/>
            <w:noWrap/>
            <w:vAlign w:val="center"/>
            <w:hideMark/>
          </w:tcPr>
          <w:p w14:paraId="34CA2419"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49D7B0BE"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72A444CF" w14:textId="77777777" w:rsidR="00034FBD" w:rsidRPr="00CE0887" w:rsidRDefault="00034FBD" w:rsidP="00034FBD">
            <w:pPr>
              <w:rPr>
                <w:color w:val="001C55" w:themeColor="text2"/>
                <w:sz w:val="16"/>
                <w:szCs w:val="16"/>
              </w:rPr>
            </w:pPr>
          </w:p>
        </w:tc>
        <w:tc>
          <w:tcPr>
            <w:tcW w:w="1276" w:type="dxa"/>
            <w:noWrap/>
            <w:hideMark/>
          </w:tcPr>
          <w:p w14:paraId="22F0A699" w14:textId="77777777" w:rsidR="00034FBD" w:rsidRPr="00CE0887" w:rsidRDefault="00034FBD" w:rsidP="00034FBD">
            <w:pPr>
              <w:rPr>
                <w:color w:val="001C55" w:themeColor="text2"/>
                <w:sz w:val="16"/>
                <w:szCs w:val="16"/>
              </w:rPr>
            </w:pPr>
          </w:p>
        </w:tc>
        <w:tc>
          <w:tcPr>
            <w:tcW w:w="992" w:type="dxa"/>
            <w:noWrap/>
            <w:hideMark/>
          </w:tcPr>
          <w:p w14:paraId="0533F68E" w14:textId="77777777" w:rsidR="00034FBD" w:rsidRPr="00CE0887" w:rsidRDefault="00034FBD" w:rsidP="00034FBD">
            <w:pPr>
              <w:rPr>
                <w:color w:val="001C55" w:themeColor="text2"/>
                <w:sz w:val="16"/>
                <w:szCs w:val="16"/>
              </w:rPr>
            </w:pPr>
            <w:r w:rsidRPr="00CE0887">
              <w:rPr>
                <w:color w:val="001C55" w:themeColor="text2"/>
                <w:sz w:val="16"/>
                <w:szCs w:val="16"/>
              </w:rPr>
              <w:t>2</w:t>
            </w:r>
          </w:p>
        </w:tc>
        <w:tc>
          <w:tcPr>
            <w:tcW w:w="1276" w:type="dxa"/>
            <w:noWrap/>
            <w:hideMark/>
          </w:tcPr>
          <w:p w14:paraId="35865730" w14:textId="77777777" w:rsidR="00034FBD" w:rsidRPr="00CE0887" w:rsidRDefault="00034FBD" w:rsidP="00034FBD">
            <w:pPr>
              <w:rPr>
                <w:color w:val="001C55" w:themeColor="text2"/>
                <w:sz w:val="16"/>
                <w:szCs w:val="16"/>
              </w:rPr>
            </w:pPr>
          </w:p>
        </w:tc>
        <w:tc>
          <w:tcPr>
            <w:tcW w:w="958" w:type="dxa"/>
            <w:noWrap/>
            <w:hideMark/>
          </w:tcPr>
          <w:p w14:paraId="7DCBAFB7"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66FD6562" w14:textId="77777777" w:rsidTr="00721148">
        <w:trPr>
          <w:trHeight w:val="290"/>
        </w:trPr>
        <w:tc>
          <w:tcPr>
            <w:tcW w:w="988" w:type="dxa"/>
            <w:noWrap/>
            <w:vAlign w:val="center"/>
            <w:hideMark/>
          </w:tcPr>
          <w:p w14:paraId="2D1DA3D8" w14:textId="77777777" w:rsidR="00034FBD" w:rsidRPr="00CE0887" w:rsidRDefault="00034FBD" w:rsidP="00034FBD">
            <w:pPr>
              <w:rPr>
                <w:color w:val="001C55" w:themeColor="text2"/>
                <w:sz w:val="16"/>
                <w:szCs w:val="16"/>
              </w:rPr>
            </w:pPr>
            <w:r w:rsidRPr="00CE0887">
              <w:rPr>
                <w:color w:val="001C55" w:themeColor="text2"/>
                <w:sz w:val="16"/>
                <w:szCs w:val="16"/>
              </w:rPr>
              <w:t>VIC</w:t>
            </w:r>
          </w:p>
        </w:tc>
        <w:tc>
          <w:tcPr>
            <w:tcW w:w="1275" w:type="dxa"/>
            <w:noWrap/>
            <w:vAlign w:val="center"/>
            <w:hideMark/>
          </w:tcPr>
          <w:p w14:paraId="65236C89"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1B07A029"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0E97F6F3" w14:textId="77777777" w:rsidR="00034FBD" w:rsidRPr="00CE0887" w:rsidRDefault="00034FBD" w:rsidP="00034FBD">
            <w:pPr>
              <w:rPr>
                <w:color w:val="001C55" w:themeColor="text2"/>
                <w:sz w:val="16"/>
                <w:szCs w:val="16"/>
              </w:rPr>
            </w:pPr>
          </w:p>
        </w:tc>
        <w:tc>
          <w:tcPr>
            <w:tcW w:w="1276" w:type="dxa"/>
            <w:noWrap/>
            <w:hideMark/>
          </w:tcPr>
          <w:p w14:paraId="76E988A3" w14:textId="77777777" w:rsidR="00034FBD" w:rsidRPr="00CE0887" w:rsidRDefault="00034FBD" w:rsidP="00034FBD">
            <w:pPr>
              <w:rPr>
                <w:color w:val="001C55" w:themeColor="text2"/>
                <w:sz w:val="16"/>
                <w:szCs w:val="16"/>
              </w:rPr>
            </w:pPr>
          </w:p>
        </w:tc>
        <w:tc>
          <w:tcPr>
            <w:tcW w:w="992" w:type="dxa"/>
            <w:noWrap/>
            <w:hideMark/>
          </w:tcPr>
          <w:p w14:paraId="782BD68A" w14:textId="77777777" w:rsidR="00034FBD" w:rsidRPr="00CE0887" w:rsidRDefault="00034FBD" w:rsidP="00034FBD">
            <w:pPr>
              <w:rPr>
                <w:color w:val="001C55" w:themeColor="text2"/>
                <w:sz w:val="16"/>
                <w:szCs w:val="16"/>
              </w:rPr>
            </w:pPr>
            <w:r w:rsidRPr="00CE0887">
              <w:rPr>
                <w:color w:val="001C55" w:themeColor="text2"/>
                <w:sz w:val="16"/>
                <w:szCs w:val="16"/>
              </w:rPr>
              <w:t>2</w:t>
            </w:r>
          </w:p>
        </w:tc>
        <w:tc>
          <w:tcPr>
            <w:tcW w:w="1276" w:type="dxa"/>
            <w:noWrap/>
            <w:hideMark/>
          </w:tcPr>
          <w:p w14:paraId="44D259C1" w14:textId="77777777" w:rsidR="00034FBD" w:rsidRPr="00CE0887" w:rsidRDefault="00034FBD" w:rsidP="00034FBD">
            <w:pPr>
              <w:rPr>
                <w:color w:val="001C55" w:themeColor="text2"/>
                <w:sz w:val="16"/>
                <w:szCs w:val="16"/>
              </w:rPr>
            </w:pPr>
          </w:p>
        </w:tc>
        <w:tc>
          <w:tcPr>
            <w:tcW w:w="958" w:type="dxa"/>
            <w:noWrap/>
            <w:hideMark/>
          </w:tcPr>
          <w:p w14:paraId="54CA1110"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3EC5BED8" w14:textId="77777777" w:rsidTr="00721148">
        <w:trPr>
          <w:trHeight w:val="290"/>
        </w:trPr>
        <w:tc>
          <w:tcPr>
            <w:tcW w:w="988" w:type="dxa"/>
            <w:noWrap/>
            <w:vAlign w:val="center"/>
            <w:hideMark/>
          </w:tcPr>
          <w:p w14:paraId="222740E3" w14:textId="77777777" w:rsidR="00034FBD" w:rsidRPr="00CE0887" w:rsidRDefault="00034FBD" w:rsidP="00034FBD">
            <w:pPr>
              <w:rPr>
                <w:color w:val="001C55" w:themeColor="text2"/>
                <w:sz w:val="16"/>
                <w:szCs w:val="16"/>
              </w:rPr>
            </w:pPr>
            <w:r w:rsidRPr="00CE0887">
              <w:rPr>
                <w:color w:val="001C55" w:themeColor="text2"/>
                <w:sz w:val="16"/>
                <w:szCs w:val="16"/>
              </w:rPr>
              <w:t>VIC</w:t>
            </w:r>
          </w:p>
        </w:tc>
        <w:tc>
          <w:tcPr>
            <w:tcW w:w="1275" w:type="dxa"/>
            <w:noWrap/>
            <w:vAlign w:val="center"/>
            <w:hideMark/>
          </w:tcPr>
          <w:p w14:paraId="56F10799"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77BD6F31"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395F993F" w14:textId="77777777" w:rsidR="00034FBD" w:rsidRPr="00CE0887" w:rsidRDefault="00034FBD" w:rsidP="00034FBD">
            <w:pPr>
              <w:rPr>
                <w:color w:val="001C55" w:themeColor="text2"/>
                <w:sz w:val="16"/>
                <w:szCs w:val="16"/>
              </w:rPr>
            </w:pPr>
          </w:p>
        </w:tc>
        <w:tc>
          <w:tcPr>
            <w:tcW w:w="1276" w:type="dxa"/>
            <w:noWrap/>
            <w:hideMark/>
          </w:tcPr>
          <w:p w14:paraId="2386D5D6" w14:textId="77777777" w:rsidR="00034FBD" w:rsidRPr="00CE0887" w:rsidRDefault="00034FBD" w:rsidP="00034FBD">
            <w:pPr>
              <w:rPr>
                <w:color w:val="001C55" w:themeColor="text2"/>
                <w:sz w:val="16"/>
                <w:szCs w:val="16"/>
              </w:rPr>
            </w:pPr>
          </w:p>
        </w:tc>
        <w:tc>
          <w:tcPr>
            <w:tcW w:w="992" w:type="dxa"/>
            <w:noWrap/>
            <w:hideMark/>
          </w:tcPr>
          <w:p w14:paraId="06C64551" w14:textId="77777777" w:rsidR="00034FBD" w:rsidRPr="00CE0887" w:rsidRDefault="00034FBD" w:rsidP="00034FBD">
            <w:pPr>
              <w:rPr>
                <w:color w:val="001C55" w:themeColor="text2"/>
                <w:sz w:val="16"/>
                <w:szCs w:val="16"/>
              </w:rPr>
            </w:pPr>
            <w:r w:rsidRPr="00CE0887">
              <w:rPr>
                <w:color w:val="001C55" w:themeColor="text2"/>
                <w:sz w:val="16"/>
                <w:szCs w:val="16"/>
              </w:rPr>
              <w:t>6</w:t>
            </w:r>
          </w:p>
        </w:tc>
        <w:tc>
          <w:tcPr>
            <w:tcW w:w="1276" w:type="dxa"/>
            <w:noWrap/>
            <w:hideMark/>
          </w:tcPr>
          <w:p w14:paraId="7F5DEE58" w14:textId="77777777" w:rsidR="00034FBD" w:rsidRPr="00CE0887" w:rsidRDefault="00034FBD" w:rsidP="00034FBD">
            <w:pPr>
              <w:rPr>
                <w:color w:val="001C55" w:themeColor="text2"/>
                <w:sz w:val="16"/>
                <w:szCs w:val="16"/>
              </w:rPr>
            </w:pPr>
          </w:p>
        </w:tc>
        <w:tc>
          <w:tcPr>
            <w:tcW w:w="958" w:type="dxa"/>
            <w:noWrap/>
            <w:hideMark/>
          </w:tcPr>
          <w:p w14:paraId="518D8F78"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6B1847E9" w14:textId="77777777" w:rsidTr="00721148">
        <w:trPr>
          <w:trHeight w:val="290"/>
        </w:trPr>
        <w:tc>
          <w:tcPr>
            <w:tcW w:w="988" w:type="dxa"/>
            <w:noWrap/>
            <w:vAlign w:val="center"/>
            <w:hideMark/>
          </w:tcPr>
          <w:p w14:paraId="43372C8D" w14:textId="77777777" w:rsidR="00034FBD" w:rsidRPr="00CE0887" w:rsidRDefault="00034FBD" w:rsidP="00034FBD">
            <w:pPr>
              <w:rPr>
                <w:color w:val="001C55" w:themeColor="text2"/>
                <w:sz w:val="16"/>
                <w:szCs w:val="16"/>
              </w:rPr>
            </w:pPr>
            <w:r w:rsidRPr="00CE0887">
              <w:rPr>
                <w:color w:val="001C55" w:themeColor="text2"/>
                <w:sz w:val="16"/>
                <w:szCs w:val="16"/>
              </w:rPr>
              <w:t>WA</w:t>
            </w:r>
          </w:p>
        </w:tc>
        <w:tc>
          <w:tcPr>
            <w:tcW w:w="1275" w:type="dxa"/>
            <w:noWrap/>
            <w:vAlign w:val="center"/>
            <w:hideMark/>
          </w:tcPr>
          <w:p w14:paraId="36B4ED06"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55F5C3D0"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5065EB16" w14:textId="77777777" w:rsidR="00034FBD" w:rsidRPr="00CE0887" w:rsidRDefault="00034FBD" w:rsidP="00034FBD">
            <w:pPr>
              <w:rPr>
                <w:color w:val="001C55" w:themeColor="text2"/>
                <w:sz w:val="16"/>
                <w:szCs w:val="16"/>
              </w:rPr>
            </w:pPr>
          </w:p>
        </w:tc>
        <w:tc>
          <w:tcPr>
            <w:tcW w:w="1276" w:type="dxa"/>
            <w:noWrap/>
            <w:hideMark/>
          </w:tcPr>
          <w:p w14:paraId="70F893BD" w14:textId="77777777" w:rsidR="00034FBD" w:rsidRPr="00CE0887" w:rsidRDefault="00034FBD" w:rsidP="00034FBD">
            <w:pPr>
              <w:rPr>
                <w:color w:val="001C55" w:themeColor="text2"/>
                <w:sz w:val="16"/>
                <w:szCs w:val="16"/>
              </w:rPr>
            </w:pPr>
          </w:p>
        </w:tc>
        <w:tc>
          <w:tcPr>
            <w:tcW w:w="992" w:type="dxa"/>
            <w:noWrap/>
            <w:hideMark/>
          </w:tcPr>
          <w:p w14:paraId="0B48B752" w14:textId="77777777" w:rsidR="00034FBD" w:rsidRPr="00CE0887" w:rsidRDefault="00034FBD" w:rsidP="00034FBD">
            <w:pPr>
              <w:rPr>
                <w:color w:val="001C55" w:themeColor="text2"/>
                <w:sz w:val="16"/>
                <w:szCs w:val="16"/>
              </w:rPr>
            </w:pPr>
            <w:r w:rsidRPr="00CE0887">
              <w:rPr>
                <w:color w:val="001C55" w:themeColor="text2"/>
                <w:sz w:val="16"/>
                <w:szCs w:val="16"/>
              </w:rPr>
              <w:t>1</w:t>
            </w:r>
          </w:p>
        </w:tc>
        <w:tc>
          <w:tcPr>
            <w:tcW w:w="1276" w:type="dxa"/>
            <w:noWrap/>
            <w:hideMark/>
          </w:tcPr>
          <w:p w14:paraId="7FAD696D" w14:textId="77777777" w:rsidR="00034FBD" w:rsidRPr="00CE0887" w:rsidRDefault="00034FBD" w:rsidP="00034FBD">
            <w:pPr>
              <w:rPr>
                <w:color w:val="001C55" w:themeColor="text2"/>
                <w:sz w:val="16"/>
                <w:szCs w:val="16"/>
              </w:rPr>
            </w:pPr>
          </w:p>
        </w:tc>
        <w:tc>
          <w:tcPr>
            <w:tcW w:w="958" w:type="dxa"/>
            <w:noWrap/>
            <w:hideMark/>
          </w:tcPr>
          <w:p w14:paraId="3AB273FB"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7FEC1DC6" w14:textId="77777777" w:rsidTr="00721148">
        <w:trPr>
          <w:trHeight w:val="290"/>
        </w:trPr>
        <w:tc>
          <w:tcPr>
            <w:tcW w:w="988" w:type="dxa"/>
            <w:noWrap/>
            <w:vAlign w:val="center"/>
            <w:hideMark/>
          </w:tcPr>
          <w:p w14:paraId="1D8BACC8" w14:textId="77777777" w:rsidR="00034FBD" w:rsidRPr="00CE0887" w:rsidRDefault="00034FBD" w:rsidP="00034FBD">
            <w:pPr>
              <w:rPr>
                <w:color w:val="001C55" w:themeColor="text2"/>
                <w:sz w:val="16"/>
                <w:szCs w:val="16"/>
              </w:rPr>
            </w:pPr>
            <w:r w:rsidRPr="00CE0887">
              <w:rPr>
                <w:color w:val="001C55" w:themeColor="text2"/>
                <w:sz w:val="16"/>
                <w:szCs w:val="16"/>
              </w:rPr>
              <w:t>WA</w:t>
            </w:r>
          </w:p>
        </w:tc>
        <w:tc>
          <w:tcPr>
            <w:tcW w:w="1275" w:type="dxa"/>
            <w:noWrap/>
            <w:vAlign w:val="center"/>
            <w:hideMark/>
          </w:tcPr>
          <w:p w14:paraId="1270474E" w14:textId="77777777" w:rsidR="00034FBD" w:rsidRPr="00CE0887" w:rsidRDefault="00034FBD" w:rsidP="00034FBD">
            <w:pPr>
              <w:rPr>
                <w:color w:val="001C55" w:themeColor="text2"/>
                <w:sz w:val="16"/>
                <w:szCs w:val="16"/>
              </w:rPr>
            </w:pPr>
            <w:r w:rsidRPr="00CE0887">
              <w:rPr>
                <w:color w:val="001C55" w:themeColor="text2"/>
                <w:sz w:val="16"/>
                <w:szCs w:val="16"/>
              </w:rPr>
              <w:t>other</w:t>
            </w:r>
          </w:p>
        </w:tc>
        <w:tc>
          <w:tcPr>
            <w:tcW w:w="1985" w:type="dxa"/>
            <w:noWrap/>
            <w:vAlign w:val="center"/>
            <w:hideMark/>
          </w:tcPr>
          <w:p w14:paraId="786C3C39"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6B4F3C15" w14:textId="77777777" w:rsidR="00034FBD" w:rsidRPr="00CE0887" w:rsidRDefault="00034FBD" w:rsidP="00034FBD">
            <w:pPr>
              <w:rPr>
                <w:color w:val="001C55" w:themeColor="text2"/>
                <w:sz w:val="16"/>
                <w:szCs w:val="16"/>
              </w:rPr>
            </w:pPr>
          </w:p>
        </w:tc>
        <w:tc>
          <w:tcPr>
            <w:tcW w:w="1276" w:type="dxa"/>
            <w:noWrap/>
            <w:hideMark/>
          </w:tcPr>
          <w:p w14:paraId="59C0E8B0" w14:textId="77777777" w:rsidR="00034FBD" w:rsidRPr="00CE0887" w:rsidRDefault="00034FBD" w:rsidP="00034FBD">
            <w:pPr>
              <w:rPr>
                <w:color w:val="001C55" w:themeColor="text2"/>
                <w:sz w:val="16"/>
                <w:szCs w:val="16"/>
              </w:rPr>
            </w:pPr>
          </w:p>
        </w:tc>
        <w:tc>
          <w:tcPr>
            <w:tcW w:w="992" w:type="dxa"/>
            <w:noWrap/>
            <w:hideMark/>
          </w:tcPr>
          <w:p w14:paraId="58AB99E7" w14:textId="77777777" w:rsidR="00034FBD" w:rsidRPr="00CE0887" w:rsidRDefault="00034FBD" w:rsidP="00034FBD">
            <w:pPr>
              <w:rPr>
                <w:color w:val="001C55" w:themeColor="text2"/>
                <w:sz w:val="16"/>
                <w:szCs w:val="16"/>
              </w:rPr>
            </w:pPr>
            <w:r w:rsidRPr="00CE0887">
              <w:rPr>
                <w:color w:val="001C55" w:themeColor="text2"/>
                <w:sz w:val="16"/>
                <w:szCs w:val="16"/>
              </w:rPr>
              <w:t>3</w:t>
            </w:r>
          </w:p>
        </w:tc>
        <w:tc>
          <w:tcPr>
            <w:tcW w:w="1276" w:type="dxa"/>
            <w:noWrap/>
            <w:hideMark/>
          </w:tcPr>
          <w:p w14:paraId="4A3C1752" w14:textId="77777777" w:rsidR="00034FBD" w:rsidRPr="00CE0887" w:rsidRDefault="00034FBD" w:rsidP="00034FBD">
            <w:pPr>
              <w:rPr>
                <w:color w:val="001C55" w:themeColor="text2"/>
                <w:sz w:val="16"/>
                <w:szCs w:val="16"/>
              </w:rPr>
            </w:pPr>
          </w:p>
        </w:tc>
        <w:tc>
          <w:tcPr>
            <w:tcW w:w="958" w:type="dxa"/>
            <w:noWrap/>
            <w:hideMark/>
          </w:tcPr>
          <w:p w14:paraId="7E578DE9"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3B0573A5" w14:textId="77777777" w:rsidTr="00721148">
        <w:trPr>
          <w:trHeight w:val="290"/>
        </w:trPr>
        <w:tc>
          <w:tcPr>
            <w:tcW w:w="988" w:type="dxa"/>
            <w:noWrap/>
            <w:vAlign w:val="center"/>
            <w:hideMark/>
          </w:tcPr>
          <w:p w14:paraId="203F3822" w14:textId="77777777" w:rsidR="00034FBD" w:rsidRPr="00CE0887" w:rsidRDefault="00034FBD" w:rsidP="00034FBD">
            <w:pPr>
              <w:rPr>
                <w:color w:val="001C55" w:themeColor="text2"/>
                <w:sz w:val="16"/>
                <w:szCs w:val="16"/>
              </w:rPr>
            </w:pPr>
            <w:r w:rsidRPr="00CE0887">
              <w:rPr>
                <w:color w:val="001C55" w:themeColor="text2"/>
                <w:sz w:val="16"/>
                <w:szCs w:val="16"/>
              </w:rPr>
              <w:t>empty</w:t>
            </w:r>
          </w:p>
        </w:tc>
        <w:tc>
          <w:tcPr>
            <w:tcW w:w="1275" w:type="dxa"/>
            <w:noWrap/>
            <w:vAlign w:val="center"/>
            <w:hideMark/>
          </w:tcPr>
          <w:p w14:paraId="345925ED"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5B10CA11"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2E24C744" w14:textId="77777777" w:rsidR="00034FBD" w:rsidRPr="00CE0887" w:rsidRDefault="00034FBD" w:rsidP="00034FBD">
            <w:pPr>
              <w:rPr>
                <w:color w:val="001C55" w:themeColor="text2"/>
                <w:sz w:val="16"/>
                <w:szCs w:val="16"/>
              </w:rPr>
            </w:pPr>
          </w:p>
        </w:tc>
        <w:tc>
          <w:tcPr>
            <w:tcW w:w="1276" w:type="dxa"/>
            <w:noWrap/>
            <w:hideMark/>
          </w:tcPr>
          <w:p w14:paraId="53FD546B" w14:textId="77777777" w:rsidR="00034FBD" w:rsidRPr="00CE0887" w:rsidRDefault="00034FBD" w:rsidP="00034FBD">
            <w:pPr>
              <w:rPr>
                <w:color w:val="001C55" w:themeColor="text2"/>
                <w:sz w:val="16"/>
                <w:szCs w:val="16"/>
              </w:rPr>
            </w:pPr>
          </w:p>
        </w:tc>
        <w:tc>
          <w:tcPr>
            <w:tcW w:w="992" w:type="dxa"/>
            <w:noWrap/>
            <w:hideMark/>
          </w:tcPr>
          <w:p w14:paraId="389C691C" w14:textId="77777777" w:rsidR="00034FBD" w:rsidRPr="00CE0887" w:rsidRDefault="00034FBD" w:rsidP="00034FBD">
            <w:pPr>
              <w:rPr>
                <w:color w:val="001C55" w:themeColor="text2"/>
                <w:sz w:val="16"/>
                <w:szCs w:val="16"/>
              </w:rPr>
            </w:pPr>
          </w:p>
        </w:tc>
        <w:tc>
          <w:tcPr>
            <w:tcW w:w="1276" w:type="dxa"/>
            <w:noWrap/>
            <w:hideMark/>
          </w:tcPr>
          <w:p w14:paraId="637921A6" w14:textId="77777777" w:rsidR="00034FBD" w:rsidRPr="00CE0887" w:rsidRDefault="00034FBD" w:rsidP="00034FBD">
            <w:pPr>
              <w:rPr>
                <w:color w:val="001C55" w:themeColor="text2"/>
                <w:sz w:val="16"/>
                <w:szCs w:val="16"/>
              </w:rPr>
            </w:pPr>
          </w:p>
        </w:tc>
        <w:tc>
          <w:tcPr>
            <w:tcW w:w="958" w:type="dxa"/>
            <w:noWrap/>
            <w:hideMark/>
          </w:tcPr>
          <w:p w14:paraId="390CCC46"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343A93BF" w14:textId="77777777" w:rsidTr="00721148">
        <w:trPr>
          <w:trHeight w:val="290"/>
        </w:trPr>
        <w:tc>
          <w:tcPr>
            <w:tcW w:w="988" w:type="dxa"/>
            <w:noWrap/>
            <w:vAlign w:val="center"/>
            <w:hideMark/>
          </w:tcPr>
          <w:p w14:paraId="5B324F17" w14:textId="77777777" w:rsidR="00034FBD" w:rsidRPr="00CE0887" w:rsidRDefault="00034FBD" w:rsidP="00034FBD">
            <w:pPr>
              <w:rPr>
                <w:color w:val="001C55" w:themeColor="text2"/>
                <w:sz w:val="16"/>
                <w:szCs w:val="16"/>
              </w:rPr>
            </w:pPr>
            <w:r w:rsidRPr="00CE0887">
              <w:rPr>
                <w:color w:val="001C55" w:themeColor="text2"/>
                <w:sz w:val="16"/>
                <w:szCs w:val="16"/>
              </w:rPr>
              <w:t>empty</w:t>
            </w:r>
          </w:p>
        </w:tc>
        <w:tc>
          <w:tcPr>
            <w:tcW w:w="1275" w:type="dxa"/>
            <w:noWrap/>
            <w:vAlign w:val="center"/>
            <w:hideMark/>
          </w:tcPr>
          <w:p w14:paraId="34111081" w14:textId="77777777" w:rsidR="00034FBD" w:rsidRPr="00CE0887" w:rsidRDefault="00034FBD" w:rsidP="00034FBD">
            <w:pPr>
              <w:rPr>
                <w:color w:val="001C55" w:themeColor="text2"/>
                <w:sz w:val="16"/>
                <w:szCs w:val="16"/>
              </w:rPr>
            </w:pPr>
            <w:r w:rsidRPr="00CE0887">
              <w:rPr>
                <w:color w:val="001C55" w:themeColor="text2"/>
                <w:sz w:val="16"/>
                <w:szCs w:val="16"/>
              </w:rPr>
              <w:t>Woman or female</w:t>
            </w:r>
          </w:p>
        </w:tc>
        <w:tc>
          <w:tcPr>
            <w:tcW w:w="1985" w:type="dxa"/>
            <w:noWrap/>
            <w:vAlign w:val="center"/>
            <w:hideMark/>
          </w:tcPr>
          <w:p w14:paraId="0DB2F4F7"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256C61E0" w14:textId="77777777" w:rsidR="00034FBD" w:rsidRPr="00CE0887" w:rsidRDefault="00034FBD" w:rsidP="00034FBD">
            <w:pPr>
              <w:rPr>
                <w:color w:val="001C55" w:themeColor="text2"/>
                <w:sz w:val="16"/>
                <w:szCs w:val="16"/>
              </w:rPr>
            </w:pPr>
          </w:p>
        </w:tc>
        <w:tc>
          <w:tcPr>
            <w:tcW w:w="1276" w:type="dxa"/>
            <w:noWrap/>
            <w:hideMark/>
          </w:tcPr>
          <w:p w14:paraId="49F3A66A" w14:textId="77777777" w:rsidR="00034FBD" w:rsidRPr="00CE0887" w:rsidRDefault="00034FBD" w:rsidP="00034FBD">
            <w:pPr>
              <w:rPr>
                <w:color w:val="001C55" w:themeColor="text2"/>
                <w:sz w:val="16"/>
                <w:szCs w:val="16"/>
              </w:rPr>
            </w:pPr>
          </w:p>
        </w:tc>
        <w:tc>
          <w:tcPr>
            <w:tcW w:w="992" w:type="dxa"/>
            <w:noWrap/>
            <w:hideMark/>
          </w:tcPr>
          <w:p w14:paraId="23441AC2" w14:textId="77777777" w:rsidR="00034FBD" w:rsidRPr="00CE0887" w:rsidRDefault="00034FBD" w:rsidP="00034FBD">
            <w:pPr>
              <w:rPr>
                <w:color w:val="001C55" w:themeColor="text2"/>
                <w:sz w:val="16"/>
                <w:szCs w:val="16"/>
              </w:rPr>
            </w:pPr>
          </w:p>
        </w:tc>
        <w:tc>
          <w:tcPr>
            <w:tcW w:w="1276" w:type="dxa"/>
            <w:noWrap/>
            <w:hideMark/>
          </w:tcPr>
          <w:p w14:paraId="06C34DAF" w14:textId="77777777" w:rsidR="00034FBD" w:rsidRPr="00CE0887" w:rsidRDefault="00034FBD" w:rsidP="00034FBD">
            <w:pPr>
              <w:rPr>
                <w:color w:val="001C55" w:themeColor="text2"/>
                <w:sz w:val="16"/>
                <w:szCs w:val="16"/>
              </w:rPr>
            </w:pPr>
          </w:p>
        </w:tc>
        <w:tc>
          <w:tcPr>
            <w:tcW w:w="958" w:type="dxa"/>
            <w:noWrap/>
            <w:hideMark/>
          </w:tcPr>
          <w:p w14:paraId="0D87F7D0"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CE0887" w:rsidRPr="00CE0887" w14:paraId="1CA41ADE" w14:textId="77777777" w:rsidTr="00721148">
        <w:trPr>
          <w:trHeight w:val="290"/>
        </w:trPr>
        <w:tc>
          <w:tcPr>
            <w:tcW w:w="988" w:type="dxa"/>
            <w:noWrap/>
            <w:vAlign w:val="center"/>
            <w:hideMark/>
          </w:tcPr>
          <w:p w14:paraId="4642CE2B" w14:textId="77777777" w:rsidR="00034FBD" w:rsidRPr="00CE0887" w:rsidRDefault="00034FBD" w:rsidP="00034FBD">
            <w:pPr>
              <w:rPr>
                <w:color w:val="001C55" w:themeColor="text2"/>
                <w:sz w:val="16"/>
                <w:szCs w:val="16"/>
              </w:rPr>
            </w:pPr>
            <w:r w:rsidRPr="00CE0887">
              <w:rPr>
                <w:color w:val="001C55" w:themeColor="text2"/>
                <w:sz w:val="16"/>
                <w:szCs w:val="16"/>
              </w:rPr>
              <w:t>empty</w:t>
            </w:r>
          </w:p>
        </w:tc>
        <w:tc>
          <w:tcPr>
            <w:tcW w:w="1275" w:type="dxa"/>
            <w:noWrap/>
            <w:vAlign w:val="center"/>
            <w:hideMark/>
          </w:tcPr>
          <w:p w14:paraId="0BEC21EA"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7CDDBCC2" w14:textId="77777777" w:rsidR="00034FBD" w:rsidRPr="00CE0887" w:rsidRDefault="00034FBD" w:rsidP="00034FBD">
            <w:pPr>
              <w:rPr>
                <w:color w:val="001C55" w:themeColor="text2"/>
                <w:sz w:val="16"/>
                <w:szCs w:val="16"/>
              </w:rPr>
            </w:pPr>
            <w:r w:rsidRPr="00CE0887">
              <w:rPr>
                <w:color w:val="001C55" w:themeColor="text2"/>
                <w:sz w:val="16"/>
                <w:szCs w:val="16"/>
              </w:rPr>
              <w:t>Non-Traditional</w:t>
            </w:r>
          </w:p>
        </w:tc>
        <w:tc>
          <w:tcPr>
            <w:tcW w:w="992" w:type="dxa"/>
            <w:noWrap/>
            <w:hideMark/>
          </w:tcPr>
          <w:p w14:paraId="619F6BDD" w14:textId="77777777" w:rsidR="00034FBD" w:rsidRPr="00CE0887" w:rsidRDefault="00034FBD" w:rsidP="00034FBD">
            <w:pPr>
              <w:rPr>
                <w:color w:val="001C55" w:themeColor="text2"/>
                <w:sz w:val="16"/>
                <w:szCs w:val="16"/>
              </w:rPr>
            </w:pPr>
          </w:p>
        </w:tc>
        <w:tc>
          <w:tcPr>
            <w:tcW w:w="1276" w:type="dxa"/>
            <w:noWrap/>
            <w:hideMark/>
          </w:tcPr>
          <w:p w14:paraId="3BF9F432" w14:textId="77777777" w:rsidR="00034FBD" w:rsidRPr="00CE0887" w:rsidRDefault="00034FBD" w:rsidP="00034FBD">
            <w:pPr>
              <w:rPr>
                <w:color w:val="001C55" w:themeColor="text2"/>
                <w:sz w:val="16"/>
                <w:szCs w:val="16"/>
              </w:rPr>
            </w:pPr>
          </w:p>
        </w:tc>
        <w:tc>
          <w:tcPr>
            <w:tcW w:w="992" w:type="dxa"/>
            <w:noWrap/>
            <w:hideMark/>
          </w:tcPr>
          <w:p w14:paraId="7F1A061D" w14:textId="77777777" w:rsidR="00034FBD" w:rsidRPr="00CE0887" w:rsidRDefault="00034FBD" w:rsidP="00034FBD">
            <w:pPr>
              <w:rPr>
                <w:color w:val="001C55" w:themeColor="text2"/>
                <w:sz w:val="16"/>
                <w:szCs w:val="16"/>
              </w:rPr>
            </w:pPr>
          </w:p>
        </w:tc>
        <w:tc>
          <w:tcPr>
            <w:tcW w:w="1276" w:type="dxa"/>
            <w:noWrap/>
            <w:hideMark/>
          </w:tcPr>
          <w:p w14:paraId="24699294" w14:textId="77777777" w:rsidR="00034FBD" w:rsidRPr="00CE0887" w:rsidRDefault="00034FBD" w:rsidP="00034FBD">
            <w:pPr>
              <w:rPr>
                <w:color w:val="001C55" w:themeColor="text2"/>
                <w:sz w:val="16"/>
                <w:szCs w:val="16"/>
              </w:rPr>
            </w:pPr>
          </w:p>
        </w:tc>
        <w:tc>
          <w:tcPr>
            <w:tcW w:w="958" w:type="dxa"/>
            <w:noWrap/>
            <w:hideMark/>
          </w:tcPr>
          <w:p w14:paraId="0128FDFA" w14:textId="77777777" w:rsidR="00034FBD" w:rsidRPr="00CE0887" w:rsidRDefault="00034FBD" w:rsidP="00034FBD">
            <w:pPr>
              <w:rPr>
                <w:color w:val="001C55" w:themeColor="text2"/>
                <w:sz w:val="16"/>
                <w:szCs w:val="16"/>
              </w:rPr>
            </w:pPr>
            <w:r w:rsidRPr="00CE0887">
              <w:rPr>
                <w:color w:val="001C55" w:themeColor="text2"/>
                <w:sz w:val="16"/>
                <w:szCs w:val="16"/>
              </w:rPr>
              <w:t>1</w:t>
            </w:r>
          </w:p>
        </w:tc>
      </w:tr>
      <w:tr w:rsidR="00034FBD" w:rsidRPr="00CE0887" w14:paraId="7FA0FCD3" w14:textId="77777777" w:rsidTr="00721148">
        <w:trPr>
          <w:trHeight w:val="290"/>
        </w:trPr>
        <w:tc>
          <w:tcPr>
            <w:tcW w:w="988" w:type="dxa"/>
            <w:noWrap/>
            <w:vAlign w:val="center"/>
            <w:hideMark/>
          </w:tcPr>
          <w:p w14:paraId="5EA76F38" w14:textId="77777777" w:rsidR="00034FBD" w:rsidRPr="00CE0887" w:rsidRDefault="00034FBD" w:rsidP="00034FBD">
            <w:pPr>
              <w:rPr>
                <w:color w:val="001C55" w:themeColor="text2"/>
                <w:sz w:val="16"/>
                <w:szCs w:val="16"/>
              </w:rPr>
            </w:pPr>
            <w:r w:rsidRPr="00CE0887">
              <w:rPr>
                <w:color w:val="001C55" w:themeColor="text2"/>
                <w:sz w:val="16"/>
                <w:szCs w:val="16"/>
              </w:rPr>
              <w:t>empty</w:t>
            </w:r>
          </w:p>
        </w:tc>
        <w:tc>
          <w:tcPr>
            <w:tcW w:w="1275" w:type="dxa"/>
            <w:noWrap/>
            <w:vAlign w:val="center"/>
            <w:hideMark/>
          </w:tcPr>
          <w:p w14:paraId="5862A201" w14:textId="77777777" w:rsidR="00034FBD" w:rsidRPr="00CE0887" w:rsidRDefault="00034FBD" w:rsidP="00034FBD">
            <w:pPr>
              <w:rPr>
                <w:color w:val="001C55" w:themeColor="text2"/>
                <w:sz w:val="16"/>
                <w:szCs w:val="16"/>
              </w:rPr>
            </w:pPr>
            <w:r w:rsidRPr="00CE0887">
              <w:rPr>
                <w:color w:val="001C55" w:themeColor="text2"/>
                <w:sz w:val="16"/>
                <w:szCs w:val="16"/>
              </w:rPr>
              <w:t>Man or male</w:t>
            </w:r>
          </w:p>
        </w:tc>
        <w:tc>
          <w:tcPr>
            <w:tcW w:w="1985" w:type="dxa"/>
            <w:noWrap/>
            <w:vAlign w:val="center"/>
            <w:hideMark/>
          </w:tcPr>
          <w:p w14:paraId="5AEDDCAC" w14:textId="77777777" w:rsidR="00034FBD" w:rsidRPr="00CE0887" w:rsidRDefault="00034FBD" w:rsidP="00034FBD">
            <w:pPr>
              <w:rPr>
                <w:color w:val="001C55" w:themeColor="text2"/>
                <w:sz w:val="16"/>
                <w:szCs w:val="16"/>
              </w:rPr>
            </w:pPr>
            <w:r w:rsidRPr="00CE0887">
              <w:rPr>
                <w:color w:val="001C55" w:themeColor="text2"/>
                <w:sz w:val="16"/>
                <w:szCs w:val="16"/>
              </w:rPr>
              <w:t>Traditional</w:t>
            </w:r>
          </w:p>
        </w:tc>
        <w:tc>
          <w:tcPr>
            <w:tcW w:w="992" w:type="dxa"/>
            <w:noWrap/>
            <w:hideMark/>
          </w:tcPr>
          <w:p w14:paraId="7237AA4B" w14:textId="77777777" w:rsidR="00034FBD" w:rsidRPr="00CE0887" w:rsidRDefault="00034FBD" w:rsidP="00034FBD">
            <w:pPr>
              <w:rPr>
                <w:color w:val="001C55" w:themeColor="text2"/>
                <w:sz w:val="16"/>
                <w:szCs w:val="16"/>
              </w:rPr>
            </w:pPr>
          </w:p>
        </w:tc>
        <w:tc>
          <w:tcPr>
            <w:tcW w:w="1276" w:type="dxa"/>
            <w:noWrap/>
            <w:hideMark/>
          </w:tcPr>
          <w:p w14:paraId="5C8CEA18" w14:textId="77777777" w:rsidR="00034FBD" w:rsidRPr="00CE0887" w:rsidRDefault="00034FBD" w:rsidP="00034FBD">
            <w:pPr>
              <w:rPr>
                <w:color w:val="001C55" w:themeColor="text2"/>
                <w:sz w:val="16"/>
                <w:szCs w:val="16"/>
              </w:rPr>
            </w:pPr>
          </w:p>
        </w:tc>
        <w:tc>
          <w:tcPr>
            <w:tcW w:w="992" w:type="dxa"/>
            <w:noWrap/>
            <w:hideMark/>
          </w:tcPr>
          <w:p w14:paraId="24FD7575" w14:textId="77777777" w:rsidR="00034FBD" w:rsidRPr="00CE0887" w:rsidRDefault="00034FBD" w:rsidP="00034FBD">
            <w:pPr>
              <w:rPr>
                <w:color w:val="001C55" w:themeColor="text2"/>
                <w:sz w:val="16"/>
                <w:szCs w:val="16"/>
              </w:rPr>
            </w:pPr>
          </w:p>
        </w:tc>
        <w:tc>
          <w:tcPr>
            <w:tcW w:w="1276" w:type="dxa"/>
            <w:noWrap/>
            <w:hideMark/>
          </w:tcPr>
          <w:p w14:paraId="2A8FE212" w14:textId="77777777" w:rsidR="00034FBD" w:rsidRPr="00CE0887" w:rsidRDefault="00034FBD" w:rsidP="00034FBD">
            <w:pPr>
              <w:rPr>
                <w:color w:val="001C55" w:themeColor="text2"/>
                <w:sz w:val="16"/>
                <w:szCs w:val="16"/>
              </w:rPr>
            </w:pPr>
          </w:p>
        </w:tc>
        <w:tc>
          <w:tcPr>
            <w:tcW w:w="958" w:type="dxa"/>
            <w:noWrap/>
            <w:hideMark/>
          </w:tcPr>
          <w:p w14:paraId="6CE09AD6" w14:textId="77777777" w:rsidR="00034FBD" w:rsidRPr="00CE0887" w:rsidRDefault="00034FBD" w:rsidP="00034FBD">
            <w:pPr>
              <w:rPr>
                <w:color w:val="001C55" w:themeColor="text2"/>
                <w:sz w:val="16"/>
                <w:szCs w:val="16"/>
              </w:rPr>
            </w:pPr>
            <w:r w:rsidRPr="00CE0887">
              <w:rPr>
                <w:color w:val="001C55" w:themeColor="text2"/>
                <w:sz w:val="16"/>
                <w:szCs w:val="16"/>
              </w:rPr>
              <w:t>1</w:t>
            </w:r>
          </w:p>
        </w:tc>
      </w:tr>
    </w:tbl>
    <w:p w14:paraId="2A970458" w14:textId="7ECAB99A" w:rsidR="00034FBD" w:rsidRPr="00CE0887" w:rsidRDefault="00034FBD" w:rsidP="00034FBD">
      <w:pPr>
        <w:spacing w:before="0" w:after="0" w:line="240" w:lineRule="auto"/>
        <w:rPr>
          <w:rFonts w:cstheme="minorBidi"/>
          <w:bCs/>
          <w:caps/>
          <w:color w:val="001C55" w:themeColor="text2"/>
          <w:spacing w:val="15"/>
          <w:kern w:val="2"/>
          <w:sz w:val="24"/>
          <w:szCs w:val="24"/>
          <w14:ligatures w14:val="standardContextual"/>
        </w:rPr>
      </w:pPr>
    </w:p>
    <w:p w14:paraId="54EE7046" w14:textId="48BF6A17" w:rsidR="00FF547E" w:rsidRPr="00CE0887" w:rsidRDefault="00FF547E" w:rsidP="002A1E4F">
      <w:pPr>
        <w:spacing w:before="0" w:after="0" w:line="240" w:lineRule="auto"/>
        <w:rPr>
          <w:color w:val="001C55" w:themeColor="text2"/>
        </w:rPr>
      </w:pPr>
    </w:p>
    <w:sectPr w:rsidR="00FF547E" w:rsidRPr="00CE0887" w:rsidSect="0046755A">
      <w:type w:val="continuous"/>
      <w:pgSz w:w="11906" w:h="16838" w:code="9"/>
      <w:pgMar w:top="1440" w:right="1077" w:bottom="1440" w:left="1077" w:header="578" w:footer="7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94D95" w14:textId="77777777" w:rsidR="00176379" w:rsidRDefault="00176379" w:rsidP="00267128">
      <w:pPr>
        <w:spacing w:before="0" w:after="0" w:line="240" w:lineRule="auto"/>
      </w:pPr>
      <w:r>
        <w:separator/>
      </w:r>
    </w:p>
  </w:endnote>
  <w:endnote w:type="continuationSeparator" w:id="0">
    <w:p w14:paraId="3E1921FD" w14:textId="77777777" w:rsidR="00176379" w:rsidRDefault="00176379" w:rsidP="00267128">
      <w:pPr>
        <w:spacing w:before="0" w:after="0" w:line="240" w:lineRule="auto"/>
      </w:pPr>
      <w:r>
        <w:continuationSeparator/>
      </w:r>
    </w:p>
  </w:endnote>
  <w:endnote w:type="continuationNotice" w:id="1">
    <w:p w14:paraId="75C39EFA" w14:textId="77777777" w:rsidR="00176379" w:rsidRDefault="001763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56039"/>
      <w:docPartObj>
        <w:docPartGallery w:val="Page Numbers (Bottom of Page)"/>
        <w:docPartUnique/>
      </w:docPartObj>
    </w:sdtPr>
    <w:sdtEndPr>
      <w:rPr>
        <w:rStyle w:val="PageNumber"/>
      </w:rPr>
    </w:sdtEndPr>
    <w:sdtContent>
      <w:p w14:paraId="730A5A99" w14:textId="77777777" w:rsidR="009072A7" w:rsidRDefault="00F81D1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429332" w14:textId="77777777" w:rsidR="009072A7" w:rsidRDefault="00907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FC902" w14:textId="77777777" w:rsidR="009072A7" w:rsidRPr="00865975" w:rsidRDefault="00F81D16">
    <w:pPr>
      <w:pStyle w:val="Footer"/>
      <w:jc w:val="center"/>
      <w:rPr>
        <w:color w:val="7E7E7E" w:themeColor="background1" w:themeShade="80"/>
        <w:sz w:val="18"/>
        <w:szCs w:val="18"/>
      </w:rPr>
    </w:pPr>
    <w:r w:rsidRPr="00865975">
      <w:rPr>
        <w:color w:val="7E7E7E" w:themeColor="background1" w:themeShade="80"/>
        <w:sz w:val="18"/>
        <w:szCs w:val="18"/>
      </w:rPr>
      <w:t>MANDALA</w:t>
    </w:r>
    <w:r w:rsidRPr="00865975">
      <w:rPr>
        <w:color w:val="7E7E7E" w:themeColor="background1" w:themeShade="80"/>
        <w:sz w:val="18"/>
        <w:szCs w:val="18"/>
      </w:rPr>
      <w:tab/>
    </w:r>
    <w:r w:rsidRPr="00865975">
      <w:rPr>
        <w:color w:val="7E7E7E" w:themeColor="background1" w:themeShade="80"/>
        <w:sz w:val="18"/>
        <w:szCs w:val="18"/>
      </w:rPr>
      <w:tab/>
      <w:t xml:space="preserve">Page </w:t>
    </w:r>
    <w:r w:rsidRPr="00865975">
      <w:rPr>
        <w:color w:val="7E7E7E" w:themeColor="background1" w:themeShade="80"/>
        <w:sz w:val="18"/>
        <w:szCs w:val="18"/>
      </w:rPr>
      <w:fldChar w:fldCharType="begin"/>
    </w:r>
    <w:r w:rsidRPr="00865975">
      <w:rPr>
        <w:color w:val="7E7E7E" w:themeColor="background1" w:themeShade="80"/>
        <w:sz w:val="18"/>
        <w:szCs w:val="18"/>
      </w:rPr>
      <w:instrText xml:space="preserve"> PAGE  \* Arabic  \* MERGEFORMAT </w:instrText>
    </w:r>
    <w:r w:rsidRPr="00865975">
      <w:rPr>
        <w:color w:val="7E7E7E" w:themeColor="background1" w:themeShade="80"/>
        <w:sz w:val="18"/>
        <w:szCs w:val="18"/>
      </w:rPr>
      <w:fldChar w:fldCharType="separate"/>
    </w:r>
    <w:r w:rsidRPr="00865975">
      <w:rPr>
        <w:color w:val="7E7E7E" w:themeColor="background1" w:themeShade="80"/>
        <w:sz w:val="18"/>
        <w:szCs w:val="18"/>
      </w:rPr>
      <w:t>1</w:t>
    </w:r>
    <w:r w:rsidRPr="00865975">
      <w:rPr>
        <w:color w:val="7E7E7E" w:themeColor="background1" w:themeShade="80"/>
        <w:sz w:val="18"/>
        <w:szCs w:val="18"/>
      </w:rPr>
      <w:fldChar w:fldCharType="end"/>
    </w:r>
    <w:r w:rsidRPr="00865975">
      <w:rPr>
        <w:color w:val="7E7E7E" w:themeColor="background1" w:themeShade="80"/>
        <w:sz w:val="18"/>
        <w:szCs w:val="18"/>
      </w:rPr>
      <w:t xml:space="preserve"> of </w:t>
    </w:r>
    <w:r w:rsidRPr="00865975">
      <w:rPr>
        <w:color w:val="7E7E7E" w:themeColor="background1" w:themeShade="80"/>
        <w:sz w:val="18"/>
        <w:szCs w:val="18"/>
      </w:rPr>
      <w:fldChar w:fldCharType="begin"/>
    </w:r>
    <w:r w:rsidRPr="00865975">
      <w:rPr>
        <w:color w:val="7E7E7E" w:themeColor="background1" w:themeShade="80"/>
        <w:sz w:val="18"/>
        <w:szCs w:val="18"/>
      </w:rPr>
      <w:instrText xml:space="preserve"> NUMPAGES  \* Arabic  \* MERGEFORMAT </w:instrText>
    </w:r>
    <w:r w:rsidRPr="00865975">
      <w:rPr>
        <w:color w:val="7E7E7E" w:themeColor="background1" w:themeShade="80"/>
        <w:sz w:val="18"/>
        <w:szCs w:val="18"/>
      </w:rPr>
      <w:fldChar w:fldCharType="separate"/>
    </w:r>
    <w:r w:rsidRPr="00865975">
      <w:rPr>
        <w:color w:val="7E7E7E" w:themeColor="background1" w:themeShade="80"/>
        <w:sz w:val="18"/>
        <w:szCs w:val="18"/>
      </w:rPr>
      <w:t>3</w:t>
    </w:r>
    <w:r w:rsidRPr="00865975">
      <w:rPr>
        <w:color w:val="7E7E7E"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61223" w14:textId="77777777" w:rsidR="00176379" w:rsidRDefault="00176379" w:rsidP="00267128">
      <w:pPr>
        <w:spacing w:before="0" w:after="0" w:line="240" w:lineRule="auto"/>
      </w:pPr>
      <w:r>
        <w:separator/>
      </w:r>
    </w:p>
  </w:footnote>
  <w:footnote w:type="continuationSeparator" w:id="0">
    <w:p w14:paraId="0AF7169C" w14:textId="77777777" w:rsidR="00176379" w:rsidRDefault="00176379" w:rsidP="00267128">
      <w:pPr>
        <w:spacing w:before="0" w:after="0" w:line="240" w:lineRule="auto"/>
      </w:pPr>
      <w:r>
        <w:continuationSeparator/>
      </w:r>
    </w:p>
  </w:footnote>
  <w:footnote w:type="continuationNotice" w:id="1">
    <w:p w14:paraId="41224779" w14:textId="77777777" w:rsidR="00176379" w:rsidRDefault="00176379">
      <w:pPr>
        <w:spacing w:before="0" w:after="0" w:line="240" w:lineRule="auto"/>
      </w:pPr>
    </w:p>
  </w:footnote>
  <w:footnote w:id="2">
    <w:p w14:paraId="5AEE85D2" w14:textId="6CD75ABC" w:rsidR="00235126" w:rsidRDefault="00235126">
      <w:pPr>
        <w:pStyle w:val="FootnoteText"/>
      </w:pPr>
      <w:r>
        <w:rPr>
          <w:rStyle w:val="FootnoteReference"/>
        </w:rPr>
        <w:footnoteRef/>
      </w:r>
      <w:r>
        <w:t xml:space="preserve"> </w:t>
      </w:r>
      <w:r w:rsidRPr="00235126">
        <w:t>AAMRI (</w:t>
      </w:r>
      <w:hyperlink r:id="rId1" w:history="1">
        <w:r w:rsidRPr="00235126">
          <w:rPr>
            <w:rStyle w:val="Hyperlink"/>
          </w:rPr>
          <w:t>2021</w:t>
        </w:r>
      </w:hyperlink>
      <w:r w:rsidRPr="00235126">
        <w:t xml:space="preserve">) </w:t>
      </w:r>
      <w:r w:rsidRPr="00235126">
        <w:rPr>
          <w:lang w:val="en-GB"/>
        </w:rPr>
        <w:t>Australia’s missing link: a national health and medical research strategy</w:t>
      </w:r>
    </w:p>
  </w:footnote>
  <w:footnote w:id="3">
    <w:p w14:paraId="38F35EDF" w14:textId="7FBB1F65" w:rsidR="005412B0" w:rsidRDefault="005412B0">
      <w:pPr>
        <w:pStyle w:val="FootnoteText"/>
      </w:pPr>
      <w:r>
        <w:rPr>
          <w:rStyle w:val="FootnoteReference"/>
        </w:rPr>
        <w:footnoteRef/>
      </w:r>
      <w:r>
        <w:t xml:space="preserve"> </w:t>
      </w:r>
      <w:r w:rsidRPr="005412B0">
        <w:t>Research support roles are included in all three segments and are classified based on the place of employment</w:t>
      </w:r>
    </w:p>
  </w:footnote>
  <w:footnote w:id="4">
    <w:p w14:paraId="029139B7" w14:textId="16E5C657" w:rsidR="005412B0" w:rsidRPr="00A04B6B" w:rsidRDefault="005412B0" w:rsidP="009E6101">
      <w:pPr>
        <w:pStyle w:val="FootnoteText"/>
        <w:rPr>
          <w:rStyle w:val="FootnoteTextChar"/>
          <w:b/>
          <w:bCs/>
        </w:rPr>
      </w:pPr>
      <w:r w:rsidRPr="0008226D">
        <w:rPr>
          <w:rStyle w:val="FootnoteReference"/>
        </w:rPr>
        <w:footnoteRef/>
      </w:r>
      <w:r w:rsidR="00793F16">
        <w:rPr>
          <w:bCs/>
        </w:rPr>
        <w:t xml:space="preserve"> </w:t>
      </w:r>
      <w:r w:rsidRPr="00F8214A">
        <w:rPr>
          <w:rStyle w:val="FootnoteTextChar"/>
        </w:rPr>
        <w:t>Source: AAMRI (</w:t>
      </w:r>
      <w:hyperlink r:id="rId2" w:history="1">
        <w:r w:rsidRPr="00F8214A">
          <w:rPr>
            <w:rStyle w:val="FootnoteTextChar"/>
          </w:rPr>
          <w:t>2022</w:t>
        </w:r>
      </w:hyperlink>
      <w:r w:rsidRPr="00F8214A">
        <w:rPr>
          <w:rStyle w:val="FootnoteTextChar"/>
        </w:rPr>
        <w:t>) The AAMRI Report 2022; NHMRC (</w:t>
      </w:r>
      <w:hyperlink r:id="rId3" w:anchor="block-views-block-file-attachments-content-block-1" w:history="1">
        <w:r w:rsidRPr="00F8214A">
          <w:rPr>
            <w:rStyle w:val="FootnoteTextChar"/>
          </w:rPr>
          <w:t>2021</w:t>
        </w:r>
      </w:hyperlink>
      <w:r w:rsidR="006F32EF">
        <w:rPr>
          <w:rStyle w:val="FootnoteTextChar"/>
        </w:rPr>
        <w:t>)</w:t>
      </w:r>
      <w:r w:rsidRPr="00F8214A">
        <w:rPr>
          <w:rStyle w:val="FootnoteTextChar"/>
        </w:rPr>
        <w:t xml:space="preserve"> Investigating clinician researcher career pathways: Summary Report to the NHMRC Chief Executive Officer); MTPConnect and BehaviourWorks Australia (</w:t>
      </w:r>
      <w:hyperlink r:id="rId4" w:history="1">
        <w:r w:rsidRPr="00F8214A">
          <w:rPr>
            <w:rStyle w:val="FootnoteTextChar"/>
          </w:rPr>
          <w:t>2020</w:t>
        </w:r>
      </w:hyperlink>
      <w:r w:rsidRPr="00F8214A">
        <w:rPr>
          <w:rStyle w:val="FootnoteTextChar"/>
        </w:rPr>
        <w:t>) A Survey of Workforce Skills and Capacity in the Medical Technology, Biotechnology, Pharmaceutical and Digital Health (MTP) Sector; ARC (</w:t>
      </w:r>
      <w:hyperlink r:id="rId5" w:history="1">
        <w:r w:rsidRPr="00F8214A">
          <w:rPr>
            <w:rStyle w:val="FootnoteTextChar"/>
          </w:rPr>
          <w:t>2018</w:t>
        </w:r>
      </w:hyperlink>
      <w:r w:rsidRPr="00F8214A">
        <w:rPr>
          <w:rStyle w:val="FootnoteTextChar"/>
        </w:rPr>
        <w:t>) State of Australian University Research; DAE (</w:t>
      </w:r>
      <w:hyperlink r:id="rId6" w:history="1">
        <w:r w:rsidRPr="00F8214A">
          <w:rPr>
            <w:rStyle w:val="FootnoteTextChar"/>
          </w:rPr>
          <w:t>2016</w:t>
        </w:r>
      </w:hyperlink>
      <w:r w:rsidRPr="00F8214A">
        <w:rPr>
          <w:rStyle w:val="FootnoteTextChar"/>
        </w:rPr>
        <w:t>) Australia's health and medical research workforce: Expert people providing exceptional returns; KPMG (</w:t>
      </w:r>
      <w:hyperlink r:id="rId7" w:history="1">
        <w:r w:rsidRPr="00F8214A">
          <w:rPr>
            <w:rStyle w:val="FootnoteTextChar"/>
          </w:rPr>
          <w:t>2018</w:t>
        </w:r>
      </w:hyperlink>
      <w:r w:rsidRPr="00F8214A">
        <w:rPr>
          <w:rStyle w:val="FootnoteTextChar"/>
        </w:rPr>
        <w:t>) Economic Impact of Medical Research in Australia; Schofield (</w:t>
      </w:r>
      <w:hyperlink r:id="rId8" w:history="1">
        <w:r w:rsidRPr="00F8214A">
          <w:rPr>
            <w:rStyle w:val="FootnoteTextChar"/>
          </w:rPr>
          <w:t>2009</w:t>
        </w:r>
      </w:hyperlink>
      <w:r w:rsidRPr="00F8214A">
        <w:rPr>
          <w:rStyle w:val="FootnoteTextChar"/>
        </w:rPr>
        <w:t>) Planning the Health and Medical Research Workforce 2010-2019; Mandala analysis.</w:t>
      </w:r>
      <w:r w:rsidR="00041247" w:rsidRPr="00F8214A">
        <w:rPr>
          <w:rStyle w:val="FootnoteTextChar"/>
        </w:rPr>
        <w:t xml:space="preserve"> Abbreviations include: AAMRI, Association of Australian Medical Research Institutes; ARC, Australian Research Council; NHMRC, National Health and Medical Research Council; AHPRA, Australian Health Practitioner Regulation Agency; ABS, Australian Bureau of Statistics; DAE; Deloitte Access Economics. These reports were selected as they had a definition relating to the health and medical research workforce and provided an estimate of size within the last 15 years.</w:t>
      </w:r>
      <w:r w:rsidR="00041247" w:rsidRPr="00A04B6B">
        <w:rPr>
          <w:rStyle w:val="FootnoteTextChar"/>
          <w:bCs/>
        </w:rPr>
        <w:t xml:space="preserve"> </w:t>
      </w:r>
    </w:p>
  </w:footnote>
  <w:footnote w:id="5">
    <w:p w14:paraId="08227A78" w14:textId="6671C59C" w:rsidR="00777DB3" w:rsidRPr="0088736A" w:rsidRDefault="00777DB3" w:rsidP="009E6101">
      <w:pPr>
        <w:pStyle w:val="FootnoteText"/>
      </w:pPr>
      <w:r>
        <w:rPr>
          <w:rStyle w:val="FootnoteReference"/>
        </w:rPr>
        <w:footnoteRef/>
      </w:r>
      <w:r>
        <w:t xml:space="preserve"> The </w:t>
      </w:r>
      <w:r w:rsidR="007644F2">
        <w:t xml:space="preserve">figures </w:t>
      </w:r>
      <w:r w:rsidR="007644F2" w:rsidRPr="009E6101">
        <w:t>from</w:t>
      </w:r>
      <w:r w:rsidR="007644F2">
        <w:t xml:space="preserve"> this report are included under</w:t>
      </w:r>
      <w:r w:rsidR="002F3313">
        <w:t xml:space="preserve"> </w:t>
      </w:r>
      <w:r>
        <w:t>traditional</w:t>
      </w:r>
      <w:r w:rsidR="00334B4A">
        <w:t xml:space="preserve"> researchers</w:t>
      </w:r>
      <w:r>
        <w:t xml:space="preserve"> as this represents researchers in organisations that are eligible for NHMRC funding (i.e. universities and MRIs only). The report used NHMRC funding statistics data to assume that Chief Investigators equated to workforce staff supported</w:t>
      </w:r>
      <w:r w:rsidR="007644F2">
        <w:t>, which is not necessarily true.</w:t>
      </w:r>
    </w:p>
  </w:footnote>
  <w:footnote w:id="6">
    <w:p w14:paraId="6EA6A974" w14:textId="0E8B5757" w:rsidR="007F542D" w:rsidRDefault="007F542D">
      <w:pPr>
        <w:pStyle w:val="FootnoteText"/>
      </w:pPr>
      <w:r>
        <w:rPr>
          <w:rStyle w:val="FootnoteReference"/>
        </w:rPr>
        <w:footnoteRef/>
      </w:r>
      <w:r>
        <w:t xml:space="preserve"> </w:t>
      </w:r>
      <w:r w:rsidRPr="00F8214A">
        <w:rPr>
          <w:rStyle w:val="FootnoteTextChar"/>
        </w:rPr>
        <w:t>ARC (</w:t>
      </w:r>
      <w:hyperlink r:id="rId9" w:history="1">
        <w:r w:rsidRPr="00F8214A">
          <w:rPr>
            <w:rStyle w:val="FootnoteTextChar"/>
          </w:rPr>
          <w:t>2018</w:t>
        </w:r>
      </w:hyperlink>
      <w:r w:rsidRPr="00F8214A">
        <w:rPr>
          <w:rStyle w:val="FootnoteTextChar"/>
        </w:rPr>
        <w:t>) State of Australian University Research</w:t>
      </w:r>
    </w:p>
  </w:footnote>
  <w:footnote w:id="7">
    <w:p w14:paraId="39DDE90D" w14:textId="6D287D19" w:rsidR="0011641B" w:rsidRDefault="0011641B">
      <w:pPr>
        <w:pStyle w:val="FootnoteText"/>
      </w:pPr>
      <w:r>
        <w:rPr>
          <w:rStyle w:val="FootnoteReference"/>
        </w:rPr>
        <w:footnoteRef/>
      </w:r>
      <w:r>
        <w:t xml:space="preserve"> Australian Research Council (</w:t>
      </w:r>
      <w:hyperlink r:id="rId10" w:history="1">
        <w:r w:rsidRPr="0011641B">
          <w:rPr>
            <w:rStyle w:val="Hyperlink"/>
          </w:rPr>
          <w:t>n.d.</w:t>
        </w:r>
      </w:hyperlink>
      <w:r>
        <w:t xml:space="preserve">) Excellence in Research for Australia </w:t>
      </w:r>
    </w:p>
  </w:footnote>
  <w:footnote w:id="8">
    <w:p w14:paraId="63D325AD" w14:textId="499D7817" w:rsidR="00016ED7" w:rsidRDefault="00016ED7">
      <w:pPr>
        <w:pStyle w:val="FootnoteText"/>
      </w:pPr>
      <w:r>
        <w:rPr>
          <w:rStyle w:val="FootnoteReference"/>
        </w:rPr>
        <w:footnoteRef/>
      </w:r>
      <w:r>
        <w:t xml:space="preserve"> </w:t>
      </w:r>
      <w:r w:rsidR="00D24DBA" w:rsidRPr="00D24DBA">
        <w:t>Cole, Jeng, Lerner, Rigol, and Roth (</w:t>
      </w:r>
      <w:hyperlink r:id="rId11" w:history="1">
        <w:r w:rsidR="00D24DBA" w:rsidRPr="00D24DBA">
          <w:rPr>
            <w:rStyle w:val="Hyperlink"/>
          </w:rPr>
          <w:t>2022</w:t>
        </w:r>
      </w:hyperlink>
      <w:r w:rsidR="00D24DBA" w:rsidRPr="00D24DBA">
        <w:t>)</w:t>
      </w:r>
      <w:r w:rsidR="00D24DBA">
        <w:t xml:space="preserve">; </w:t>
      </w:r>
      <w:r w:rsidR="00D24DBA" w:rsidRPr="00D24DBA">
        <w:t>C</w:t>
      </w:r>
      <w:r w:rsidR="00EC0ED5">
        <w:t>ai</w:t>
      </w:r>
      <w:r w:rsidR="00D24DBA" w:rsidRPr="00D24DBA">
        <w:t xml:space="preserve">, </w:t>
      </w:r>
      <w:r w:rsidR="00EC0ED5">
        <w:t>Chen</w:t>
      </w:r>
      <w:r w:rsidR="00D24DBA" w:rsidRPr="00D24DBA">
        <w:t>, Rajgopal</w:t>
      </w:r>
      <w:r w:rsidR="00EC0ED5">
        <w:t xml:space="preserve"> et. al.</w:t>
      </w:r>
      <w:r w:rsidR="00D24DBA" w:rsidRPr="00D24DBA">
        <w:t xml:space="preserve"> (</w:t>
      </w:r>
      <w:hyperlink r:id="rId12" w:history="1">
        <w:r w:rsidR="00D24DBA" w:rsidRPr="00D24DBA">
          <w:rPr>
            <w:rStyle w:val="Hyperlink"/>
          </w:rPr>
          <w:t>2024</w:t>
        </w:r>
      </w:hyperlink>
      <w:r w:rsidR="00D24DBA" w:rsidRPr="00D24DBA">
        <w:t>)</w:t>
      </w:r>
      <w:r w:rsidR="00D24DBA">
        <w:t xml:space="preserve">; </w:t>
      </w:r>
      <w:r w:rsidR="00D24DBA" w:rsidRPr="00D24DBA">
        <w:t>Li</w:t>
      </w:r>
      <w:r w:rsidR="0050318B">
        <w:t>u, Chen and Lyu</w:t>
      </w:r>
      <w:r w:rsidR="00D24DBA" w:rsidRPr="00D24DBA">
        <w:t xml:space="preserve"> (</w:t>
      </w:r>
      <w:hyperlink r:id="rId13" w:history="1">
        <w:r w:rsidR="00D24DBA" w:rsidRPr="00D24DBA">
          <w:rPr>
            <w:rStyle w:val="Hyperlink"/>
          </w:rPr>
          <w:t>2024</w:t>
        </w:r>
      </w:hyperlink>
      <w:r w:rsidR="00D24DBA" w:rsidRPr="00D24DBA">
        <w:t>)</w:t>
      </w:r>
      <w:r w:rsidR="0065184B">
        <w:t>; Welsh and Ruda (</w:t>
      </w:r>
      <w:hyperlink r:id="rId14" w:history="1">
        <w:r w:rsidR="0065184B" w:rsidRPr="0065184B">
          <w:rPr>
            <w:rStyle w:val="Hyperlink"/>
          </w:rPr>
          <w:t>2024</w:t>
        </w:r>
      </w:hyperlink>
      <w:r w:rsidR="0065184B">
        <w:t>)</w:t>
      </w:r>
    </w:p>
  </w:footnote>
  <w:footnote w:id="9">
    <w:p w14:paraId="0169052A" w14:textId="77777777" w:rsidR="00552E89" w:rsidRDefault="00552E89" w:rsidP="00552E89">
      <w:pPr>
        <w:pStyle w:val="FootnoteText"/>
      </w:pPr>
      <w:r>
        <w:rPr>
          <w:rStyle w:val="FootnoteReference"/>
        </w:rPr>
        <w:footnoteRef/>
      </w:r>
      <w:r w:rsidRPr="00DE2A83">
        <w:rPr>
          <w:lang w:val="fr-FR"/>
        </w:rPr>
        <w:t xml:space="preserve"> Revelio Labs; Mandala analysis. </w:t>
      </w:r>
      <w:r w:rsidRPr="00B22FA4">
        <w:t>Figures rounded to the nearest 10. Non-student researchers in the traditional workforce are academic level A-E and technical support staff. Student researchers in the traditional workforce are PhD by research, Masters by Research and Honours students. Inactive researchers were identified as individuals who had a position as either a traditional or non-traditional researcher in the past 5 years but no longer hold a position in either traditional or non-traditional research sector. Post-stratification weightings have been applied to people based on gender and state splits of the science workforce.</w:t>
      </w:r>
    </w:p>
  </w:footnote>
  <w:footnote w:id="10">
    <w:p w14:paraId="7B268CFA" w14:textId="05129F28" w:rsidR="00D93983" w:rsidRDefault="00D93983" w:rsidP="009E6101">
      <w:pPr>
        <w:pStyle w:val="FootnoteText"/>
      </w:pPr>
      <w:r>
        <w:rPr>
          <w:rStyle w:val="FootnoteReference"/>
        </w:rPr>
        <w:footnoteRef/>
      </w:r>
      <w:r>
        <w:t xml:space="preserve"> </w:t>
      </w:r>
      <w:r w:rsidRPr="00A878E1">
        <w:t>ABS (</w:t>
      </w:r>
      <w:hyperlink r:id="rId15" w:history="1">
        <w:r w:rsidRPr="00A878E1">
          <w:rPr>
            <w:rStyle w:val="Hyperlink"/>
          </w:rPr>
          <w:t>2024</w:t>
        </w:r>
      </w:hyperlink>
      <w:r w:rsidRPr="00A878E1">
        <w:t>), Revelio Labs; Mandala analysis. Notes: 1,960 of the traditional workforce did not have state or territory data available. 1,226 of the non-traditional workforce did not have state or territory data available. 651 researchers work across both the traditional and non-traditional research sectors. These workers have been excluded from analysis.</w:t>
      </w:r>
    </w:p>
  </w:footnote>
  <w:footnote w:id="11">
    <w:p w14:paraId="2C42009B" w14:textId="7BA1F7F0" w:rsidR="000C0CC0" w:rsidRDefault="000C0CC0">
      <w:pPr>
        <w:pStyle w:val="FootnoteText"/>
      </w:pPr>
      <w:r>
        <w:rPr>
          <w:rStyle w:val="FootnoteReference"/>
        </w:rPr>
        <w:footnoteRef/>
      </w:r>
      <w:r>
        <w:t xml:space="preserve"> </w:t>
      </w:r>
      <w:r w:rsidRPr="002D448A">
        <w:t>NHMRC (</w:t>
      </w:r>
      <w:hyperlink r:id="rId16" w:history="1">
        <w:r w:rsidR="00D70F24">
          <w:rPr>
            <w:rStyle w:val="Hyperlink"/>
          </w:rPr>
          <w:t>2023</w:t>
        </w:r>
      </w:hyperlink>
      <w:r w:rsidRPr="002D448A">
        <w:t xml:space="preserve">) </w:t>
      </w:r>
      <w:r w:rsidR="00517282" w:rsidRPr="00517282">
        <w:t>Outcomes of funding rounds</w:t>
      </w:r>
    </w:p>
  </w:footnote>
  <w:footnote w:id="12">
    <w:p w14:paraId="733C23E1" w14:textId="63AE6584" w:rsidR="000C0CC0" w:rsidRDefault="000C0CC0">
      <w:pPr>
        <w:pStyle w:val="FootnoteText"/>
      </w:pPr>
      <w:r>
        <w:rPr>
          <w:rStyle w:val="FootnoteReference"/>
        </w:rPr>
        <w:footnoteRef/>
      </w:r>
      <w:r>
        <w:t xml:space="preserve"> </w:t>
      </w:r>
      <w:r w:rsidRPr="002D448A">
        <w:t>ABS (</w:t>
      </w:r>
      <w:hyperlink r:id="rId17" w:history="1">
        <w:r w:rsidRPr="002D448A">
          <w:rPr>
            <w:rStyle w:val="Hyperlink"/>
          </w:rPr>
          <w:t>2024</w:t>
        </w:r>
      </w:hyperlink>
      <w:r w:rsidRPr="002D448A">
        <w:t xml:space="preserve">), </w:t>
      </w:r>
      <w:r w:rsidRPr="002D448A">
        <w:rPr>
          <w:lang w:val="en-GB"/>
        </w:rPr>
        <w:t>Australian Health and Medical Research Workforce Survey (2024); Mandala analysis.</w:t>
      </w:r>
    </w:p>
  </w:footnote>
  <w:footnote w:id="13">
    <w:p w14:paraId="1FA8863A" w14:textId="28325192" w:rsidR="00AF1B1E" w:rsidRDefault="00AF1B1E">
      <w:pPr>
        <w:pStyle w:val="FootnoteText"/>
      </w:pPr>
      <w:r>
        <w:rPr>
          <w:rStyle w:val="FootnoteReference"/>
        </w:rPr>
        <w:footnoteRef/>
      </w:r>
      <w:r>
        <w:t xml:space="preserve"> </w:t>
      </w:r>
      <w:r w:rsidR="004A377B" w:rsidRPr="002A1E4F">
        <w:rPr>
          <w:rStyle w:val="FootnoteTextChar"/>
        </w:rPr>
        <w:t>Australian Health and Medical Research Workforce Survey (2024);</w:t>
      </w:r>
      <w:r w:rsidR="009A0D0F">
        <w:rPr>
          <w:rStyle w:val="FootnoteTextChar"/>
        </w:rPr>
        <w:t xml:space="preserve"> ABS (2021)</w:t>
      </w:r>
      <w:r w:rsidR="00A5279D">
        <w:rPr>
          <w:rStyle w:val="FootnoteTextChar"/>
        </w:rPr>
        <w:t xml:space="preserve"> Census of Population and Housing</w:t>
      </w:r>
      <w:r w:rsidR="009A0D0F">
        <w:rPr>
          <w:rStyle w:val="FootnoteTextChar"/>
        </w:rPr>
        <w:t>;</w:t>
      </w:r>
      <w:r w:rsidR="004A377B" w:rsidRPr="002A1E4F">
        <w:rPr>
          <w:rStyle w:val="FootnoteTextChar"/>
        </w:rPr>
        <w:t xml:space="preserve"> Mandala analysis. Responses have been weighted to align with the Revelio data on gender, state and territory and traditional and non-traditional workforce fields.</w:t>
      </w:r>
    </w:p>
  </w:footnote>
  <w:footnote w:id="14">
    <w:p w14:paraId="05E047E0" w14:textId="7B1DDB61" w:rsidR="007374FE" w:rsidRDefault="007374FE" w:rsidP="00F057AB">
      <w:pPr>
        <w:pStyle w:val="FootnoteText"/>
      </w:pPr>
      <w:r>
        <w:rPr>
          <w:rStyle w:val="FootnoteReference"/>
        </w:rPr>
        <w:footnoteRef/>
      </w:r>
      <w:r>
        <w:t xml:space="preserve"> </w:t>
      </w:r>
      <w:r w:rsidR="00F057AB" w:rsidRPr="00A958AE">
        <w:t xml:space="preserve">Australian Health and Medical Research Workforce Survey (2024); Mandala analysis. Responses have been weighted to align with the Revelio data on gender, state and territory and traditional and non-traditional workforce fields. </w:t>
      </w:r>
      <w:r w:rsidR="00AC77D0">
        <w:t xml:space="preserve">*Clinical settings may include </w:t>
      </w:r>
      <w:r w:rsidR="00AC77D0" w:rsidRPr="002055BA">
        <w:t>hospitals, clinics, health service delivery</w:t>
      </w:r>
      <w:r w:rsidR="00AC77D0">
        <w:t xml:space="preserve">, ACCHOs. Private sector includes pharmaceuticals, biotechnology and medical device technology companies, contract research organisations, and consultancy. Non-profit includes </w:t>
      </w:r>
      <w:r w:rsidR="00AC77D0" w:rsidRPr="00F64579">
        <w:t>peak body/professional organisation</w:t>
      </w:r>
      <w:r w:rsidR="00AC77D0">
        <w:t>s</w:t>
      </w:r>
      <w:r w:rsidR="00AC77D0" w:rsidRPr="00F64579">
        <w:t>, community/interest group</w:t>
      </w:r>
      <w:r w:rsidR="00AC77D0">
        <w:t>s</w:t>
      </w:r>
      <w:r w:rsidR="00AC77D0" w:rsidRPr="00F64579">
        <w:t>, advocacy</w:t>
      </w:r>
      <w:r w:rsidR="00AC77D0">
        <w:t xml:space="preserve"> organisations, and philanthropy.</w:t>
      </w:r>
      <w:r w:rsidR="00975AA1">
        <w:t xml:space="preserve"> Data is based on positions and not individuals</w:t>
      </w:r>
      <w:r w:rsidR="00931285">
        <w:t xml:space="preserve"> and individuals may hold more than one position.</w:t>
      </w:r>
      <w:r w:rsidR="00A32F70">
        <w:t xml:space="preserve"> Note</w:t>
      </w:r>
      <w:r w:rsidR="00E14C23">
        <w:t>:</w:t>
      </w:r>
      <w:r w:rsidR="00A32F70">
        <w:t xml:space="preserve"> for active researchers displayed totals do not sum to 100 du</w:t>
      </w:r>
      <w:r w:rsidR="006752A4">
        <w:t>e</w:t>
      </w:r>
      <w:r w:rsidR="00A32F70">
        <w:t xml:space="preserve"> to rounding. To 1 decimal place these values sum to 100 (</w:t>
      </w:r>
      <w:r w:rsidR="006752A4">
        <w:t>43.7, 15.9, 6.7, 24.9,</w:t>
      </w:r>
      <w:r w:rsidR="00B64E80">
        <w:t xml:space="preserve"> 5.1, 3.7)</w:t>
      </w:r>
    </w:p>
  </w:footnote>
  <w:footnote w:id="15">
    <w:p w14:paraId="7C3F0B4D" w14:textId="3D6C0354" w:rsidR="00C072E2" w:rsidRPr="00C072E2" w:rsidRDefault="00C072E2">
      <w:pPr>
        <w:pStyle w:val="FootnoteText"/>
      </w:pPr>
      <w:r>
        <w:rPr>
          <w:rStyle w:val="FootnoteReference"/>
        </w:rPr>
        <w:footnoteRef/>
      </w:r>
      <w:r>
        <w:t xml:space="preserve"> </w:t>
      </w:r>
      <w:r w:rsidR="00A20630">
        <w:t>Workforce Gender Equality Agency (</w:t>
      </w:r>
      <w:hyperlink r:id="rId18" w:history="1">
        <w:r w:rsidR="00A20630" w:rsidRPr="00DF1CDD">
          <w:rPr>
            <w:rStyle w:val="Hyperlink"/>
          </w:rPr>
          <w:t>2023</w:t>
        </w:r>
      </w:hyperlink>
      <w:r w:rsidR="00A20630">
        <w:t>)</w:t>
      </w:r>
    </w:p>
  </w:footnote>
  <w:footnote w:id="16">
    <w:p w14:paraId="02CE2B6C" w14:textId="7DD230C5" w:rsidR="00C829FD" w:rsidRDefault="00C829FD">
      <w:pPr>
        <w:pStyle w:val="FootnoteText"/>
      </w:pPr>
      <w:r>
        <w:rPr>
          <w:rStyle w:val="FootnoteReference"/>
        </w:rPr>
        <w:footnoteRef/>
      </w:r>
      <w:r>
        <w:t xml:space="preserve"> </w:t>
      </w:r>
      <w:r w:rsidR="00C978B0" w:rsidRPr="00C978B0">
        <w:t>Association of Australian Medical Research Institutes Ltd (AAMRI)</w:t>
      </w:r>
      <w:r w:rsidR="00C978B0" w:rsidRPr="0020681B" w:rsidDel="00C978B0">
        <w:rPr>
          <w:lang w:val="en-GB"/>
        </w:rPr>
        <w:t xml:space="preserve"> </w:t>
      </w:r>
      <w:r w:rsidR="00C978B0">
        <w:t>(</w:t>
      </w:r>
      <w:hyperlink r:id="rId19" w:history="1">
        <w:r w:rsidR="00C978B0" w:rsidRPr="00033D1C">
          <w:rPr>
            <w:rStyle w:val="Hyperlink"/>
          </w:rPr>
          <w:t>2021</w:t>
        </w:r>
      </w:hyperlink>
      <w:r w:rsidR="00C978B0">
        <w:t>)</w:t>
      </w:r>
      <w:r w:rsidR="00033D1C">
        <w:t xml:space="preserve"> </w:t>
      </w:r>
      <w:r w:rsidR="00033D1C" w:rsidRPr="00033D1C">
        <w:t>Australia's missing link: A national health and medical research strategy</w:t>
      </w:r>
    </w:p>
  </w:footnote>
  <w:footnote w:id="17">
    <w:p w14:paraId="42DA0754" w14:textId="29F7932B" w:rsidR="009860DD" w:rsidRDefault="009860DD">
      <w:pPr>
        <w:pStyle w:val="FootnoteText"/>
      </w:pPr>
      <w:r>
        <w:rPr>
          <w:rStyle w:val="FootnoteReference"/>
        </w:rPr>
        <w:footnoteRef/>
      </w:r>
      <w:r>
        <w:t xml:space="preserve"> </w:t>
      </w:r>
      <w:r w:rsidRPr="0020681B">
        <w:rPr>
          <w:lang w:val="en-GB"/>
        </w:rPr>
        <w:t>National Health and Medical Research Council (NHMRC) (</w:t>
      </w:r>
      <w:hyperlink r:id="rId20" w:history="1">
        <w:r w:rsidRPr="0020681B">
          <w:rPr>
            <w:rStyle w:val="Hyperlink"/>
            <w:lang w:val="en-GB"/>
          </w:rPr>
          <w:t>2021</w:t>
        </w:r>
      </w:hyperlink>
      <w:r w:rsidR="00E55357">
        <w:t>)</w:t>
      </w:r>
      <w:r w:rsidR="00E55357" w:rsidRPr="00E55357">
        <w:t xml:space="preserve"> Gender disparities in NHMRC’s Investigator Grant Scheme</w:t>
      </w:r>
    </w:p>
  </w:footnote>
  <w:footnote w:id="18">
    <w:p w14:paraId="72A7FAA0" w14:textId="5EE43B73" w:rsidR="00FB437D" w:rsidRDefault="00FB437D">
      <w:pPr>
        <w:pStyle w:val="FootnoteText"/>
      </w:pPr>
      <w:r>
        <w:rPr>
          <w:rStyle w:val="FootnoteReference"/>
        </w:rPr>
        <w:footnoteRef/>
      </w:r>
      <w:r>
        <w:t xml:space="preserve"> </w:t>
      </w:r>
      <w:r w:rsidRPr="0020681B">
        <w:rPr>
          <w:lang w:val="en-GB"/>
        </w:rPr>
        <w:t>Australian Academy of Science (</w:t>
      </w:r>
      <w:hyperlink r:id="rId21" w:history="1">
        <w:r w:rsidRPr="0020681B">
          <w:rPr>
            <w:rStyle w:val="Hyperlink"/>
            <w:lang w:val="en-GB"/>
          </w:rPr>
          <w:t>2019</w:t>
        </w:r>
      </w:hyperlink>
      <w:r w:rsidRPr="0020681B">
        <w:rPr>
          <w:lang w:val="en-GB"/>
        </w:rPr>
        <w:t>)</w:t>
      </w:r>
      <w:r w:rsidR="00E55357">
        <w:rPr>
          <w:lang w:val="en-GB"/>
        </w:rPr>
        <w:t xml:space="preserve"> </w:t>
      </w:r>
      <w:r w:rsidR="0079025E">
        <w:rPr>
          <w:lang w:val="en-GB"/>
        </w:rPr>
        <w:t xml:space="preserve">Women in STEM Decadal Plan </w:t>
      </w:r>
    </w:p>
  </w:footnote>
  <w:footnote w:id="19">
    <w:p w14:paraId="66ABD52F" w14:textId="61599DD6" w:rsidR="00356781" w:rsidRDefault="00356781">
      <w:pPr>
        <w:pStyle w:val="FootnoteText"/>
      </w:pPr>
      <w:r>
        <w:rPr>
          <w:rStyle w:val="FootnoteReference"/>
        </w:rPr>
        <w:footnoteRef/>
      </w:r>
      <w:r>
        <w:t xml:space="preserve"> </w:t>
      </w:r>
      <w:r w:rsidRPr="00356781">
        <w:t>Revelio Labs; Mandala analysis.</w:t>
      </w:r>
    </w:p>
  </w:footnote>
  <w:footnote w:id="20">
    <w:p w14:paraId="3CC42F4A" w14:textId="49D3ECA4" w:rsidR="00A56371" w:rsidRPr="00BE71BD" w:rsidRDefault="00A56371" w:rsidP="00BE71BD">
      <w:pPr>
        <w:pStyle w:val="Caption"/>
        <w:spacing w:before="0" w:after="0"/>
        <w:rPr>
          <w:rStyle w:val="FootnoteReference"/>
          <w:b w:val="0"/>
          <w:bCs/>
          <w:iCs w:val="0"/>
          <w:sz w:val="16"/>
          <w:szCs w:val="16"/>
        </w:rPr>
      </w:pPr>
      <w:r w:rsidRPr="00BE71BD">
        <w:rPr>
          <w:rStyle w:val="FootnoteReference"/>
          <w:b w:val="0"/>
          <w:bCs/>
          <w:iCs w:val="0"/>
          <w:sz w:val="16"/>
          <w:szCs w:val="16"/>
        </w:rPr>
        <w:footnoteRef/>
      </w:r>
      <w:r w:rsidRPr="00BE71BD">
        <w:rPr>
          <w:rStyle w:val="FootnoteReference"/>
          <w:b w:val="0"/>
          <w:bCs/>
          <w:sz w:val="16"/>
          <w:szCs w:val="16"/>
          <w:vertAlign w:val="baseline"/>
        </w:rPr>
        <w:t xml:space="preserve"> </w:t>
      </w:r>
      <w:r w:rsidRPr="00BE71BD">
        <w:rPr>
          <w:rStyle w:val="FootnoteReference"/>
          <w:b w:val="0"/>
          <w:bCs/>
          <w:iCs w:val="0"/>
          <w:sz w:val="16"/>
          <w:szCs w:val="16"/>
          <w:vertAlign w:val="baseline"/>
        </w:rPr>
        <w:t>Workplace Gender Equality Agency (</w:t>
      </w:r>
      <w:hyperlink r:id="rId22" w:history="1">
        <w:r w:rsidRPr="00BE71BD">
          <w:rPr>
            <w:rStyle w:val="FootnoteReference"/>
            <w:b w:val="0"/>
            <w:bCs/>
            <w:iCs w:val="0"/>
            <w:sz w:val="16"/>
            <w:szCs w:val="16"/>
            <w:vertAlign w:val="baseline"/>
          </w:rPr>
          <w:t>2023</w:t>
        </w:r>
      </w:hyperlink>
      <w:r w:rsidRPr="00BE71BD">
        <w:rPr>
          <w:rStyle w:val="FootnoteReference"/>
          <w:b w:val="0"/>
          <w:bCs/>
          <w:iCs w:val="0"/>
          <w:sz w:val="16"/>
          <w:szCs w:val="16"/>
          <w:vertAlign w:val="baseline"/>
        </w:rPr>
        <w:t>) Australia’s Gender Equity Scorecard</w:t>
      </w:r>
    </w:p>
  </w:footnote>
  <w:footnote w:id="21">
    <w:p w14:paraId="5EAC6980" w14:textId="64814602" w:rsidR="00DD7552" w:rsidRDefault="00DD7552" w:rsidP="009E6101">
      <w:pPr>
        <w:pStyle w:val="FootnoteText"/>
      </w:pPr>
      <w:r>
        <w:rPr>
          <w:rStyle w:val="FootnoteReference"/>
        </w:rPr>
        <w:footnoteRef/>
      </w:r>
      <w:r>
        <w:t xml:space="preserve"> </w:t>
      </w:r>
      <w:r w:rsidRPr="002A1E4F">
        <w:rPr>
          <w:rStyle w:val="FootnoteTextChar"/>
        </w:rPr>
        <w:t>Australian Health and Medical Research Workforce Survey (2024); Mandala analysis. Respondents could select more than one reason. Responses have been weighted to align with the Revelio data on gender, state and territory and traditional and non-traditional workforce fields.</w:t>
      </w:r>
      <w:r w:rsidR="005773A8">
        <w:rPr>
          <w:rStyle w:val="FootnoteTextChar"/>
        </w:rPr>
        <w:t xml:space="preserve"> </w:t>
      </w:r>
      <w:r w:rsidR="003675BE">
        <w:rPr>
          <w:rStyle w:val="FootnoteTextChar"/>
        </w:rPr>
        <w:t xml:space="preserve">Respondents were asked </w:t>
      </w:r>
      <w:r w:rsidR="003675BE" w:rsidRPr="00DE2A83">
        <w:rPr>
          <w:rStyle w:val="FootnoteTextChar"/>
          <w:i/>
          <w:iCs/>
        </w:rPr>
        <w:t>“</w:t>
      </w:r>
      <w:r w:rsidR="003675BE" w:rsidRPr="003675BE">
        <w:rPr>
          <w:i/>
          <w:iCs/>
        </w:rPr>
        <w:t>Have you had what you would consider a significant interruption to your career?</w:t>
      </w:r>
      <w:r w:rsidR="003675BE" w:rsidRPr="00DE2A83">
        <w:rPr>
          <w:rStyle w:val="FootnoteTextChar"/>
          <w:i/>
          <w:iCs/>
        </w:rPr>
        <w:t>”</w:t>
      </w:r>
      <w:r w:rsidR="005773A8">
        <w:rPr>
          <w:rStyle w:val="FootnoteTextChar"/>
        </w:rPr>
        <w:t>.</w:t>
      </w:r>
    </w:p>
  </w:footnote>
  <w:footnote w:id="22">
    <w:p w14:paraId="48266E0A" w14:textId="154E9B9C" w:rsidR="0053457F" w:rsidRDefault="0053457F">
      <w:pPr>
        <w:pStyle w:val="FootnoteText"/>
      </w:pPr>
      <w:r>
        <w:rPr>
          <w:rStyle w:val="FootnoteReference"/>
        </w:rPr>
        <w:footnoteRef/>
      </w:r>
      <w:r>
        <w:t xml:space="preserve"> Australian Bureau of Statistics (</w:t>
      </w:r>
      <w:hyperlink r:id="rId23" w:history="1">
        <w:r w:rsidRPr="0053457F">
          <w:rPr>
            <w:rStyle w:val="Hyperlink"/>
          </w:rPr>
          <w:t>2023</w:t>
        </w:r>
      </w:hyperlink>
      <w:r>
        <w:t xml:space="preserve">) </w:t>
      </w:r>
      <w:r w:rsidR="008F35D8" w:rsidRPr="008F35D8">
        <w:t>Australia's Population by Country of Birth</w:t>
      </w:r>
    </w:p>
  </w:footnote>
  <w:footnote w:id="23">
    <w:p w14:paraId="21669D17" w14:textId="39B2D741" w:rsidR="00676221" w:rsidRPr="00676221" w:rsidRDefault="00676221">
      <w:pPr>
        <w:pStyle w:val="FootnoteText"/>
      </w:pPr>
      <w:r>
        <w:rPr>
          <w:rStyle w:val="FootnoteReference"/>
        </w:rPr>
        <w:footnoteRef/>
      </w:r>
      <w:r>
        <w:t xml:space="preserve"> Australian In</w:t>
      </w:r>
      <w:r w:rsidR="00D52EDE">
        <w:t>stitute of Health and Welfare (</w:t>
      </w:r>
      <w:hyperlink r:id="rId24" w:history="1">
        <w:r w:rsidR="00306EA2" w:rsidRPr="00306EA2">
          <w:rPr>
            <w:rStyle w:val="Hyperlink"/>
          </w:rPr>
          <w:t>2024</w:t>
        </w:r>
      </w:hyperlink>
      <w:r w:rsidR="00306EA2">
        <w:t>).</w:t>
      </w:r>
    </w:p>
  </w:footnote>
  <w:footnote w:id="24">
    <w:p w14:paraId="1FFE3E6D" w14:textId="26418638" w:rsidR="00550013" w:rsidRPr="009E6101" w:rsidRDefault="00550013" w:rsidP="009E6101">
      <w:pPr>
        <w:pStyle w:val="FootnoteText"/>
      </w:pPr>
      <w:r>
        <w:rPr>
          <w:rStyle w:val="FootnoteReference"/>
        </w:rPr>
        <w:footnoteRef/>
      </w:r>
      <w:r>
        <w:t xml:space="preserve"> </w:t>
      </w:r>
      <w:r w:rsidRPr="002A1E4F">
        <w:t>Australian Health and Medical Research Workforce Survey (2024); Mandala analysis. ABS (</w:t>
      </w:r>
      <w:hyperlink r:id="rId25" w:history="1">
        <w:r w:rsidRPr="002A1E4F">
          <w:t>2023</w:t>
        </w:r>
      </w:hyperlink>
      <w:r w:rsidRPr="002A1E4F">
        <w:t>) Australia's Population by Country of Birth. Responses have been weighted to align with the Revelio data on gender, state and territory and traditional and non-traditional workforce fields.</w:t>
      </w:r>
      <w:r w:rsidRPr="009F5EE0">
        <w:rPr>
          <w:i/>
          <w:iCs/>
          <w:sz w:val="18"/>
          <w:szCs w:val="18"/>
        </w:rPr>
        <w:t xml:space="preserve"> </w:t>
      </w:r>
    </w:p>
  </w:footnote>
  <w:footnote w:id="25">
    <w:p w14:paraId="50C0F5CC" w14:textId="0EBE740D" w:rsidR="000F7C6B" w:rsidRPr="002A1E4F" w:rsidRDefault="000F7C6B" w:rsidP="000F7C6B">
      <w:pPr>
        <w:pStyle w:val="FootnoteText"/>
        <w:rPr>
          <w:sz w:val="18"/>
          <w:szCs w:val="18"/>
        </w:rPr>
      </w:pPr>
      <w:r>
        <w:rPr>
          <w:rStyle w:val="FootnoteReference"/>
        </w:rPr>
        <w:footnoteRef/>
      </w:r>
      <w:r>
        <w:t xml:space="preserve"> </w:t>
      </w:r>
      <w:r w:rsidRPr="002A1E4F">
        <w:t xml:space="preserve">Australian Health and Medical Research Workforce Survey (2024); Mandala analysis. Responses have been weighted to align with the Revelio data on gender, state and territory and traditional and non-traditional workforce fields. </w:t>
      </w:r>
      <w:r w:rsidR="0097537B">
        <w:t>Traditional refers to researchers (both a</w:t>
      </w:r>
      <w:r w:rsidR="000048A5">
        <w:t xml:space="preserve">ctive and inactive) who have only worked in traditional research roles in their career. Non-traditional refers to researchers (both active and inactive) who have only worked in non-traditional research roles in their career. </w:t>
      </w:r>
      <w:r w:rsidRPr="002A1E4F">
        <w:t xml:space="preserve">Both refers to researchers </w:t>
      </w:r>
      <w:r w:rsidR="000048A5">
        <w:t xml:space="preserve">(both active and inactive) </w:t>
      </w:r>
      <w:r w:rsidRPr="002A1E4F">
        <w:t>who have at some point in their career worked in both the traditional and non-traditional research sectors.</w:t>
      </w:r>
      <w:r w:rsidRPr="006E0E0D">
        <w:rPr>
          <w:sz w:val="18"/>
          <w:szCs w:val="18"/>
        </w:rPr>
        <w:t xml:space="preserve">  </w:t>
      </w:r>
    </w:p>
  </w:footnote>
  <w:footnote w:id="26">
    <w:p w14:paraId="7B0EDD6D" w14:textId="2F47852A" w:rsidR="00064AB7" w:rsidRDefault="00064AB7" w:rsidP="00064AB7">
      <w:pPr>
        <w:pStyle w:val="FootnoteText"/>
      </w:pPr>
      <w:r>
        <w:rPr>
          <w:rStyle w:val="FootnoteReference"/>
        </w:rPr>
        <w:footnoteRef/>
      </w:r>
      <w:r>
        <w:t xml:space="preserve"> </w:t>
      </w:r>
      <w:r w:rsidRPr="006E0E0D">
        <w:rPr>
          <w:lang w:val="en-GB"/>
        </w:rPr>
        <w:t>Australian Health and Medical Research Workforce Survey (2024); Mandala analysis.</w:t>
      </w:r>
      <w:r w:rsidRPr="006E0E0D">
        <w:t xml:space="preserve"> Responses have been weighted to align with the Revelio data on gender, state and territory and traditional and non-traditional workforce fields. </w:t>
      </w:r>
      <w:r w:rsidR="000048A5">
        <w:t xml:space="preserve">Traditional refers to researchers (both active and inactive) who have only worked in traditional research roles in their career. Non-traditional refers to researchers (both active and inactive) who have only worked in non-traditional research roles in their career. </w:t>
      </w:r>
      <w:r w:rsidR="000048A5" w:rsidRPr="002A1E4F">
        <w:t xml:space="preserve">Both refers to researchers </w:t>
      </w:r>
      <w:r w:rsidR="000048A5">
        <w:t xml:space="preserve">(both active and inactive) </w:t>
      </w:r>
      <w:r w:rsidR="000048A5" w:rsidRPr="002A1E4F">
        <w:t>who have at some point in their career worked in both the traditional and non-traditional research sectors.</w:t>
      </w:r>
      <w:r w:rsidR="000048A5" w:rsidRPr="006E0E0D">
        <w:rPr>
          <w:sz w:val="18"/>
          <w:szCs w:val="18"/>
        </w:rPr>
        <w:t xml:space="preserve"> </w:t>
      </w:r>
    </w:p>
  </w:footnote>
  <w:footnote w:id="27">
    <w:p w14:paraId="1BB0D9CB" w14:textId="6A15E4DD" w:rsidR="005F5177" w:rsidRDefault="005F5177">
      <w:pPr>
        <w:pStyle w:val="FootnoteText"/>
      </w:pPr>
      <w:r>
        <w:rPr>
          <w:rStyle w:val="FootnoteReference"/>
        </w:rPr>
        <w:footnoteRef/>
      </w:r>
      <w:r>
        <w:t xml:space="preserve"> </w:t>
      </w:r>
      <w:r w:rsidRPr="006E0E0D">
        <w:rPr>
          <w:lang w:val="en-GB"/>
        </w:rPr>
        <w:t>Australian Health and Medical Research Workforce Survey (2024); Mandala analysis.</w:t>
      </w:r>
      <w:r w:rsidRPr="006E0E0D">
        <w:t xml:space="preserve"> Responses have been weighted to align with the Revelio data on gender, state and territory and traditional and non-traditional workforce fields</w:t>
      </w:r>
      <w:r>
        <w:t>.</w:t>
      </w:r>
      <w:r w:rsidR="00EF635F">
        <w:t xml:space="preserve"> Respondents could select more than one type of research.</w:t>
      </w:r>
    </w:p>
  </w:footnote>
  <w:footnote w:id="28">
    <w:p w14:paraId="6126B713" w14:textId="01BAAE15" w:rsidR="0003355F" w:rsidRDefault="0003355F">
      <w:pPr>
        <w:pStyle w:val="FootnoteText"/>
      </w:pPr>
      <w:r>
        <w:rPr>
          <w:rStyle w:val="FootnoteReference"/>
        </w:rPr>
        <w:footnoteRef/>
      </w:r>
      <w:r>
        <w:t xml:space="preserve"> The survey option which received the highest proportion of responses was other biomedical and clinical sciences (32%). </w:t>
      </w:r>
    </w:p>
  </w:footnote>
  <w:footnote w:id="29">
    <w:p w14:paraId="06A05AF7" w14:textId="61C93F13" w:rsidR="00521196" w:rsidRDefault="00521196">
      <w:pPr>
        <w:pStyle w:val="FootnoteText"/>
      </w:pPr>
      <w:r>
        <w:rPr>
          <w:rStyle w:val="FootnoteReference"/>
        </w:rPr>
        <w:footnoteRef/>
      </w:r>
      <w:r>
        <w:t xml:space="preserve"> </w:t>
      </w:r>
      <w:r w:rsidR="0003355F" w:rsidRPr="006E0E0D">
        <w:rPr>
          <w:lang w:val="en-GB"/>
        </w:rPr>
        <w:t>Australian Health and Medical Research Workforce Survey (2024); Mandala analysis.</w:t>
      </w:r>
      <w:r w:rsidR="0003355F" w:rsidRPr="006E0E0D">
        <w:t xml:space="preserve"> Responses have been weighted to align with the Revelio data on gender, state and territory and traditional and non-traditional workforce fields</w:t>
      </w:r>
      <w:r w:rsidR="0003355F">
        <w:t>. Respondents could select more than one type of research.</w:t>
      </w:r>
      <w:r w:rsidR="007B3C6E">
        <w:t xml:space="preserve"> Field of Research code descriptions</w:t>
      </w:r>
      <w:r w:rsidR="004A28BA">
        <w:t xml:space="preserve"> as part of the Australian and New Zealand Standard Research Classification (ANZSRC)</w:t>
      </w:r>
      <w:r w:rsidR="007B3C6E">
        <w:t xml:space="preserve"> </w:t>
      </w:r>
      <w:r w:rsidR="004A28BA">
        <w:t xml:space="preserve">can be found at </w:t>
      </w:r>
      <w:hyperlink r:id="rId26" w:history="1">
        <w:r w:rsidR="004A28BA" w:rsidRPr="004A28BA">
          <w:rPr>
            <w:rStyle w:val="Hyperlink"/>
          </w:rPr>
          <w:t>ABS 2020</w:t>
        </w:r>
      </w:hyperlink>
      <w:r w:rsidR="004A28BA">
        <w:t>.</w:t>
      </w:r>
    </w:p>
  </w:footnote>
  <w:footnote w:id="30">
    <w:p w14:paraId="0E9777CC" w14:textId="0B254904" w:rsidR="00186448" w:rsidRDefault="00186448" w:rsidP="00186448">
      <w:pPr>
        <w:pStyle w:val="FootnoteText"/>
      </w:pPr>
      <w:r>
        <w:rPr>
          <w:rStyle w:val="FootnoteReference"/>
        </w:rPr>
        <w:footnoteRef/>
      </w:r>
      <w:r>
        <w:t xml:space="preserve"> Revelio Labs; Mandala analysis. Researchers who leave a traditional or non-traditional research role and move overseas have not been classified in more detail as this group was outside the scope of the LLM classifier process. </w:t>
      </w:r>
      <w:r w:rsidRPr="00C479D1">
        <w:t>Some of these positions are below the probability threshold for likelihood to be a researcher, but may still be in research-adjacent roles</w:t>
      </w:r>
      <w:r w:rsidR="00F25D0E">
        <w:t xml:space="preserve">. Abroad </w:t>
      </w:r>
      <w:r w:rsidR="00215337">
        <w:t>indicate</w:t>
      </w:r>
      <w:r w:rsidR="00F25D0E">
        <w:t xml:space="preserve"> individuals have moved to a role that is not located in Australia and therefore not classified as </w:t>
      </w:r>
      <w:r w:rsidR="00215337">
        <w:t>either HMR or not as part of our methodology.</w:t>
      </w:r>
      <w:r w:rsidR="00DD7074">
        <w:t xml:space="preserve"> </w:t>
      </w:r>
      <w:r w:rsidR="00DD7074" w:rsidRPr="00DD7074">
        <w:t>These results do not represent attrition</w:t>
      </w:r>
      <w:r w:rsidR="00DD7074">
        <w:t>,</w:t>
      </w:r>
      <w:r w:rsidR="00DD7074" w:rsidRPr="00DD7074">
        <w:t xml:space="preserve"> </w:t>
      </w:r>
      <w:r w:rsidR="00DD7074">
        <w:t xml:space="preserve">which is </w:t>
      </w:r>
      <w:r w:rsidR="00DD7074" w:rsidRPr="00DD7074">
        <w:t xml:space="preserve">the reduction in workforce number due to </w:t>
      </w:r>
      <w:r w:rsidR="00DD7074">
        <w:t>workers</w:t>
      </w:r>
      <w:r w:rsidR="00DD7074" w:rsidRPr="00DD7074">
        <w:t xml:space="preserve"> leaving and not being replaced</w:t>
      </w:r>
      <w:r w:rsidR="00DD7074">
        <w:t>.</w:t>
      </w:r>
    </w:p>
  </w:footnote>
  <w:footnote w:id="31">
    <w:p w14:paraId="18573151" w14:textId="4D66CF9C" w:rsidR="00A6704E" w:rsidRDefault="00A6704E">
      <w:pPr>
        <w:pStyle w:val="FootnoteText"/>
      </w:pPr>
      <w:r>
        <w:rPr>
          <w:rStyle w:val="FootnoteReference"/>
        </w:rPr>
        <w:footnoteRef/>
      </w:r>
      <w:r>
        <w:t xml:space="preserve"> An end date refers to </w:t>
      </w:r>
      <w:r w:rsidR="001F2B74">
        <w:t xml:space="preserve">a piece of data within the microdata set which indicates when someone left a prior role. Roles without an end date indicate that an individual is still working in that role. </w:t>
      </w:r>
    </w:p>
  </w:footnote>
  <w:footnote w:id="32">
    <w:p w14:paraId="7D040739" w14:textId="7305288F" w:rsidR="00362410" w:rsidRDefault="00362410" w:rsidP="00362410">
      <w:pPr>
        <w:pStyle w:val="FootnoteText"/>
      </w:pPr>
      <w:r>
        <w:rPr>
          <w:rStyle w:val="FootnoteReference"/>
        </w:rPr>
        <w:footnoteRef/>
      </w:r>
      <w:r>
        <w:t xml:space="preserve"> </w:t>
      </w:r>
      <w:r w:rsidR="00976141">
        <w:t xml:space="preserve">Role information has been anonymised. </w:t>
      </w:r>
      <w:r w:rsidRPr="0078511E">
        <w:t>Revelio Labs; Mandala analysis.</w:t>
      </w:r>
    </w:p>
  </w:footnote>
  <w:footnote w:id="33">
    <w:p w14:paraId="7FB0D06F" w14:textId="31F85D8C" w:rsidR="00A958AE" w:rsidRDefault="00A958AE" w:rsidP="00A958AE">
      <w:pPr>
        <w:pStyle w:val="FootnoteText"/>
      </w:pPr>
      <w:r>
        <w:rPr>
          <w:rStyle w:val="FootnoteReference"/>
        </w:rPr>
        <w:footnoteRef/>
      </w:r>
      <w:r w:rsidRPr="00A958AE">
        <w:t xml:space="preserve"> Responses have been weighted to align with the Revelio data on gender, state and territory and traditional and non-traditional workforce fields. </w:t>
      </w:r>
      <w:r w:rsidR="00620012">
        <w:t xml:space="preserve">*Clinical settings may include </w:t>
      </w:r>
      <w:r w:rsidR="00620012" w:rsidRPr="002055BA">
        <w:t>hospitals, clinics, health service delivery</w:t>
      </w:r>
      <w:r w:rsidR="00620012">
        <w:t xml:space="preserve">, ACCHOs. Private sector includes pharmaceuticals, biotechnology and medical device technology companies, contract research organisations, and consultancy. Non-profit includes </w:t>
      </w:r>
      <w:r w:rsidR="00620012" w:rsidRPr="00F64579">
        <w:t>peak body/professional organisation</w:t>
      </w:r>
      <w:r w:rsidR="00620012">
        <w:t>s</w:t>
      </w:r>
      <w:r w:rsidR="00620012" w:rsidRPr="00F64579">
        <w:t>, community/interest group</w:t>
      </w:r>
      <w:r w:rsidR="00620012">
        <w:t>s</w:t>
      </w:r>
      <w:r w:rsidR="00620012" w:rsidRPr="00F64579">
        <w:t>, advocacy</w:t>
      </w:r>
      <w:r w:rsidR="00620012">
        <w:t xml:space="preserve"> organisations, and philanthropy. </w:t>
      </w:r>
      <w:r w:rsidRPr="00A958AE">
        <w:t>Australian Health and Medical Research Workforce Survey (2024); Mandala analysis.</w:t>
      </w:r>
    </w:p>
  </w:footnote>
  <w:footnote w:id="34">
    <w:p w14:paraId="11C8BDCC" w14:textId="31676713" w:rsidR="000B7126" w:rsidRDefault="000B7126">
      <w:pPr>
        <w:pStyle w:val="FootnoteText"/>
      </w:pPr>
      <w:r>
        <w:rPr>
          <w:rStyle w:val="FootnoteReference"/>
        </w:rPr>
        <w:footnoteRef/>
      </w:r>
      <w:r w:rsidR="00B24658">
        <w:t xml:space="preserve"> </w:t>
      </w:r>
      <w:r w:rsidRPr="000B7126">
        <w:t>Responses have been weighted to align with the Revelio data on gender, state and territory and traditional and non-traditional workforce fields.</w:t>
      </w:r>
      <w:r w:rsidR="00FE54F9">
        <w:t xml:space="preserve"> *Clinical settings may include </w:t>
      </w:r>
      <w:r w:rsidR="00FE54F9" w:rsidRPr="002055BA">
        <w:t>hospitals, clinics, health service delivery</w:t>
      </w:r>
      <w:r w:rsidR="00FE54F9">
        <w:t xml:space="preserve">, ACCHOs. Private sector includes pharmaceuticals, biotechnology and medical device technology companies, contract research organisations, and </w:t>
      </w:r>
      <w:r w:rsidR="00F64579">
        <w:t>consultancy</w:t>
      </w:r>
      <w:r w:rsidR="00FE54F9">
        <w:t>.</w:t>
      </w:r>
      <w:r w:rsidR="00F64579">
        <w:t xml:space="preserve"> Non-profit includes </w:t>
      </w:r>
      <w:r w:rsidR="00F64579" w:rsidRPr="00F64579">
        <w:t>peak body/professional organisation</w:t>
      </w:r>
      <w:r w:rsidR="00F64579">
        <w:t>s</w:t>
      </w:r>
      <w:r w:rsidR="00F64579" w:rsidRPr="00F64579">
        <w:t>, community/interest group</w:t>
      </w:r>
      <w:r w:rsidR="00F64579">
        <w:t>s</w:t>
      </w:r>
      <w:r w:rsidR="00F64579" w:rsidRPr="00F64579">
        <w:t>, advocacy</w:t>
      </w:r>
      <w:r w:rsidR="00F64579">
        <w:t xml:space="preserve"> organisations, and philanthropy.</w:t>
      </w:r>
      <w:r w:rsidRPr="000B7126">
        <w:t xml:space="preserve"> Australian Health and Medical Research Workforce Survey (2024); Mandala analysis. </w:t>
      </w:r>
    </w:p>
  </w:footnote>
  <w:footnote w:id="35">
    <w:p w14:paraId="0A6B8BFB" w14:textId="2A9B95E3" w:rsidR="00DD2112" w:rsidRDefault="00DD2112">
      <w:pPr>
        <w:pStyle w:val="FootnoteText"/>
      </w:pPr>
      <w:r w:rsidRPr="00067F86">
        <w:rPr>
          <w:rStyle w:val="FootnoteReference"/>
        </w:rPr>
        <w:footnoteRef/>
      </w:r>
      <w:r w:rsidRPr="00067F86">
        <w:t xml:space="preserve"> </w:t>
      </w:r>
      <w:r w:rsidRPr="00067F86">
        <w:rPr>
          <w:lang w:val="en-GB"/>
        </w:rPr>
        <w:t>MTPConnect and BehaviourWorks Australia (</w:t>
      </w:r>
      <w:hyperlink r:id="rId27" w:history="1">
        <w:r w:rsidRPr="00BE2AB2">
          <w:rPr>
            <w:rStyle w:val="Hyperlink"/>
            <w:lang w:val="en-GB"/>
          </w:rPr>
          <w:t>202</w:t>
        </w:r>
        <w:r w:rsidR="000611D7" w:rsidRPr="00BE2AB2">
          <w:rPr>
            <w:rStyle w:val="Hyperlink"/>
            <w:lang w:val="en-GB"/>
          </w:rPr>
          <w:t>0</w:t>
        </w:r>
      </w:hyperlink>
      <w:r w:rsidRPr="00067F86">
        <w:rPr>
          <w:lang w:val="en-GB"/>
        </w:rPr>
        <w:t>)</w:t>
      </w:r>
      <w:r w:rsidR="00067F86" w:rsidRPr="00067F86">
        <w:rPr>
          <w:lang w:val="en-GB"/>
        </w:rPr>
        <w:t xml:space="preserve"> A Survey of Workforce Skills and Capacity in the Medical Technology, Biotechnology, Pharmaceutical and Digital Health (MTP) Sector</w:t>
      </w:r>
    </w:p>
  </w:footnote>
  <w:footnote w:id="36">
    <w:p w14:paraId="24050168" w14:textId="700DC1A2" w:rsidR="00DD2112" w:rsidRDefault="00DD2112">
      <w:pPr>
        <w:pStyle w:val="FootnoteText"/>
      </w:pPr>
      <w:r w:rsidRPr="006A7869">
        <w:rPr>
          <w:rStyle w:val="FootnoteReference"/>
        </w:rPr>
        <w:footnoteRef/>
      </w:r>
      <w:r w:rsidRPr="006A7869">
        <w:t xml:space="preserve"> </w:t>
      </w:r>
      <w:r w:rsidRPr="006A7869">
        <w:rPr>
          <w:lang w:val="en-GB"/>
        </w:rPr>
        <w:t>Andrews, D and Hansell, D (</w:t>
      </w:r>
      <w:hyperlink r:id="rId28" w:history="1">
        <w:r w:rsidRPr="002A1E4F">
          <w:rPr>
            <w:rStyle w:val="Hyperlink"/>
          </w:rPr>
          <w:t>2019</w:t>
        </w:r>
      </w:hyperlink>
      <w:r w:rsidRPr="006A7869">
        <w:rPr>
          <w:lang w:val="en-GB"/>
        </w:rPr>
        <w:t>)</w:t>
      </w:r>
      <w:r w:rsidR="006A7869" w:rsidRPr="006A7869">
        <w:rPr>
          <w:lang w:val="en-GB"/>
        </w:rPr>
        <w:t xml:space="preserve"> </w:t>
      </w:r>
      <w:r w:rsidR="006A7869" w:rsidRPr="006A7869">
        <w:t>Productivity-enhancing labour reallocation in Australia</w:t>
      </w:r>
    </w:p>
  </w:footnote>
  <w:footnote w:id="37">
    <w:p w14:paraId="417A341C" w14:textId="6A164316" w:rsidR="00BD6DB6" w:rsidRDefault="00BD6DB6">
      <w:pPr>
        <w:pStyle w:val="FootnoteText"/>
      </w:pPr>
      <w:r>
        <w:rPr>
          <w:rStyle w:val="FootnoteReference"/>
        </w:rPr>
        <w:footnoteRef/>
      </w:r>
      <w:r>
        <w:t xml:space="preserve"> Survey respondents were asked to state how long they had been in their current role from the following </w:t>
      </w:r>
      <w:r w:rsidR="00E42604">
        <w:t>options: Less th</w:t>
      </w:r>
      <w:r w:rsidR="00DD52CB">
        <w:t xml:space="preserve">an 1 year, 1-3 years, 4-6 years, 7-10 years, and More than 10 years. </w:t>
      </w:r>
      <w:r w:rsidR="00AC4ED4">
        <w:t xml:space="preserve">Revelio data captures does not capture age, which prevents specific age-based analysis of these results. </w:t>
      </w:r>
    </w:p>
  </w:footnote>
  <w:footnote w:id="38">
    <w:p w14:paraId="4BB4E00C" w14:textId="4E98C81F" w:rsidR="00DD2112" w:rsidRDefault="00DD2112">
      <w:pPr>
        <w:pStyle w:val="FootnoteText"/>
      </w:pPr>
      <w:r w:rsidRPr="00B70476">
        <w:rPr>
          <w:rStyle w:val="FootnoteReference"/>
        </w:rPr>
        <w:footnoteRef/>
      </w:r>
      <w:r w:rsidRPr="00B70476">
        <w:t xml:space="preserve"> </w:t>
      </w:r>
      <w:r w:rsidRPr="00B70476">
        <w:rPr>
          <w:lang w:val="en-GB"/>
        </w:rPr>
        <w:t>ABS (</w:t>
      </w:r>
      <w:hyperlink r:id="rId29" w:history="1">
        <w:r w:rsidRPr="002A1E4F">
          <w:rPr>
            <w:rStyle w:val="Hyperlink"/>
          </w:rPr>
          <w:t>202</w:t>
        </w:r>
        <w:r w:rsidR="00B70476" w:rsidRPr="002A1E4F">
          <w:rPr>
            <w:rStyle w:val="Hyperlink"/>
            <w:lang w:val="en-GB"/>
          </w:rPr>
          <w:t>4</w:t>
        </w:r>
      </w:hyperlink>
      <w:r w:rsidRPr="00B70476">
        <w:rPr>
          <w:lang w:val="en-GB"/>
        </w:rPr>
        <w:t>)</w:t>
      </w:r>
      <w:r w:rsidR="00F1423D" w:rsidRPr="00B70476">
        <w:rPr>
          <w:lang w:val="en-GB"/>
        </w:rPr>
        <w:t xml:space="preserve"> Job mobility</w:t>
      </w:r>
    </w:p>
  </w:footnote>
  <w:footnote w:id="39">
    <w:p w14:paraId="0322AE99" w14:textId="77777777" w:rsidR="004C4A6F" w:rsidRDefault="004C4A6F" w:rsidP="004C4A6F">
      <w:pPr>
        <w:pStyle w:val="FootnoteText"/>
      </w:pPr>
      <w:r w:rsidRPr="00B70476">
        <w:rPr>
          <w:rStyle w:val="FootnoteReference"/>
        </w:rPr>
        <w:footnoteRef/>
      </w:r>
      <w:r w:rsidRPr="00B70476">
        <w:t xml:space="preserve"> </w:t>
      </w:r>
      <w:r w:rsidRPr="00B70476">
        <w:rPr>
          <w:lang w:val="en-GB"/>
        </w:rPr>
        <w:t>ABS (</w:t>
      </w:r>
      <w:hyperlink r:id="rId30" w:history="1">
        <w:r w:rsidRPr="002A1E4F">
          <w:rPr>
            <w:rStyle w:val="Hyperlink"/>
          </w:rPr>
          <w:t>202</w:t>
        </w:r>
        <w:r w:rsidRPr="002A1E4F">
          <w:rPr>
            <w:rStyle w:val="Hyperlink"/>
            <w:lang w:val="en-GB"/>
          </w:rPr>
          <w:t>4</w:t>
        </w:r>
      </w:hyperlink>
      <w:r w:rsidRPr="00B70476">
        <w:rPr>
          <w:lang w:val="en-GB"/>
        </w:rPr>
        <w:t>) Job mobility</w:t>
      </w:r>
    </w:p>
  </w:footnote>
  <w:footnote w:id="40">
    <w:p w14:paraId="0D081723" w14:textId="77777777" w:rsidR="006B030B" w:rsidRDefault="006B030B" w:rsidP="006B030B">
      <w:pPr>
        <w:pStyle w:val="FootnoteText"/>
      </w:pPr>
      <w:r>
        <w:rPr>
          <w:rStyle w:val="FootnoteReference"/>
        </w:rPr>
        <w:footnoteRef/>
      </w:r>
      <w:r>
        <w:t xml:space="preserve"> Revelio Labs; Mandala analysis. Data is unweighted as duration in a role has been analysed at the position level. </w:t>
      </w:r>
    </w:p>
  </w:footnote>
  <w:footnote w:id="41">
    <w:p w14:paraId="40A119CA" w14:textId="1937544A" w:rsidR="00CF3FF9" w:rsidRDefault="00CF3FF9">
      <w:pPr>
        <w:pStyle w:val="FootnoteText"/>
      </w:pPr>
      <w:r>
        <w:rPr>
          <w:rStyle w:val="FootnoteReference"/>
        </w:rPr>
        <w:footnoteRef/>
      </w:r>
      <w:r>
        <w:t xml:space="preserve"> </w:t>
      </w:r>
      <w:r w:rsidR="009051A2" w:rsidRPr="000B7126">
        <w:t>Australian Health and Medical Research Workforce Survey (2024); Mandala analysis.</w:t>
      </w:r>
      <w:r w:rsidR="009051A2">
        <w:t xml:space="preserve"> </w:t>
      </w:r>
      <w:r w:rsidRPr="000B7126">
        <w:t>Responses have been weighted to align with the Revelio data on gender, state and territory and traditional and non-traditional workforce fields..</w:t>
      </w:r>
    </w:p>
  </w:footnote>
  <w:footnote w:id="42">
    <w:p w14:paraId="2191AFE9" w14:textId="77777777" w:rsidR="00200C59" w:rsidRDefault="00200C59" w:rsidP="009E6101">
      <w:pPr>
        <w:pStyle w:val="FootnoteText"/>
      </w:pPr>
      <w:r w:rsidRPr="00721148">
        <w:rPr>
          <w:rStyle w:val="FootnoteReference"/>
          <w:bCs/>
        </w:rPr>
        <w:footnoteRef/>
      </w:r>
      <w:r w:rsidRPr="00721148">
        <w:rPr>
          <w:bCs/>
        </w:rPr>
        <w:t xml:space="preserve"> </w:t>
      </w:r>
      <w:r w:rsidRPr="0097416E">
        <w:rPr>
          <w:lang w:val="en-GB"/>
        </w:rPr>
        <w:t>Revelio Labs; Mandala analysis. Researchers who leave a traditional or non-traditional research role and move overseas have not been classified in more detail as this group was outside the scope of the LLM classifier process.</w:t>
      </w:r>
    </w:p>
  </w:footnote>
  <w:footnote w:id="43">
    <w:p w14:paraId="7336839D" w14:textId="3A808EA5" w:rsidR="006A630D" w:rsidRPr="009E6101" w:rsidRDefault="006A630D" w:rsidP="009E6101">
      <w:pPr>
        <w:pStyle w:val="FootnoteText"/>
      </w:pPr>
      <w:r>
        <w:rPr>
          <w:rStyle w:val="FootnoteReference"/>
        </w:rPr>
        <w:footnoteRef/>
      </w:r>
      <w:r>
        <w:t xml:space="preserve"> </w:t>
      </w:r>
      <w:r w:rsidRPr="006A630D">
        <w:t>Association of Australian Medical Research Institutes Ltd (AAMRI)</w:t>
      </w:r>
      <w:r>
        <w:t xml:space="preserve"> (2021) </w:t>
      </w:r>
      <w:r w:rsidRPr="006A630D">
        <w:t>Australia's missing link: A national health and medical research strategy</w:t>
      </w:r>
    </w:p>
  </w:footnote>
  <w:footnote w:id="44">
    <w:p w14:paraId="32130CD9" w14:textId="503E07F7" w:rsidR="002E1332" w:rsidRDefault="002E1332">
      <w:pPr>
        <w:pStyle w:val="FootnoteText"/>
      </w:pPr>
      <w:r>
        <w:rPr>
          <w:rStyle w:val="FootnoteReference"/>
        </w:rPr>
        <w:footnoteRef/>
      </w:r>
      <w:r>
        <w:t xml:space="preserve"> </w:t>
      </w:r>
      <w:r w:rsidR="005470E7" w:rsidRPr="00314450">
        <w:rPr>
          <w:lang w:val="en-GB"/>
        </w:rPr>
        <w:t>Australian Health and Medical Research Workforce Survey (2024); Mandala analysis.</w:t>
      </w:r>
      <w:r w:rsidR="005470E7">
        <w:rPr>
          <w:lang w:val="en-GB"/>
        </w:rPr>
        <w:t xml:space="preserve"> </w:t>
      </w:r>
      <w:r w:rsidR="005470E7" w:rsidRPr="005470E7">
        <w:t>13 respondents who reported desire to stay for more than 60 years were truncated and assigned values of 60 years for the purposes of this analysis</w:t>
      </w:r>
    </w:p>
  </w:footnote>
  <w:footnote w:id="45">
    <w:p w14:paraId="3C54FE4A" w14:textId="77777777" w:rsidR="003B5174" w:rsidRPr="002A1E4F" w:rsidRDefault="003B5174" w:rsidP="003B5174">
      <w:pPr>
        <w:pStyle w:val="FootnoteText"/>
        <w:rPr>
          <w:lang w:val="en-GB"/>
        </w:rPr>
      </w:pPr>
      <w:r>
        <w:rPr>
          <w:rStyle w:val="FootnoteReference"/>
        </w:rPr>
        <w:footnoteRef/>
      </w:r>
      <w:r>
        <w:t xml:space="preserve"> </w:t>
      </w:r>
      <w:r w:rsidRPr="00314450">
        <w:rPr>
          <w:lang w:val="en-GB"/>
        </w:rPr>
        <w:t>Australian Health and Medical Research Workforce Survey (2024); Mandala analysis.</w:t>
      </w:r>
      <w:r>
        <w:rPr>
          <w:lang w:val="en-GB"/>
        </w:rPr>
        <w:t xml:space="preserve"> </w:t>
      </w:r>
      <w:r w:rsidRPr="00314450">
        <w:rPr>
          <w:lang w:val="en-GB"/>
        </w:rPr>
        <w:t>Responses have been weighted to align with the Revelio data on gender, state and territory and traditional and non-traditional workforce fields.</w:t>
      </w:r>
    </w:p>
  </w:footnote>
  <w:footnote w:id="46">
    <w:p w14:paraId="6D6F84E7" w14:textId="07DE7EE6" w:rsidR="00B0704B" w:rsidRDefault="00B0704B" w:rsidP="006B183B">
      <w:pPr>
        <w:pStyle w:val="FootnoteText"/>
      </w:pPr>
      <w:r>
        <w:rPr>
          <w:rStyle w:val="FootnoteReference"/>
        </w:rPr>
        <w:footnoteRef/>
      </w:r>
      <w:r>
        <w:t xml:space="preserve"> </w:t>
      </w:r>
      <w:r w:rsidR="006B183B">
        <w:t>Australian Health and Medical Research Workforce Survey (2024); Mandala analysis.</w:t>
      </w:r>
      <w:r w:rsidR="0023079A">
        <w:t xml:space="preserve"> </w:t>
      </w:r>
      <w:r w:rsidR="0023079A" w:rsidRPr="002A1E4F">
        <w:rPr>
          <w:rStyle w:val="FootnoteTextChar"/>
        </w:rPr>
        <w:t>Respondents could select more than one reason.</w:t>
      </w:r>
      <w:r w:rsidR="0023079A">
        <w:rPr>
          <w:rStyle w:val="FootnoteTextChar"/>
        </w:rPr>
        <w:t xml:space="preserve"> </w:t>
      </w:r>
      <w:r w:rsidR="006B183B">
        <w:t xml:space="preserve">Responses have been weighted to align with the Revelio data on gender, state and territory and traditional and non-traditional workforce fields. </w:t>
      </w:r>
    </w:p>
  </w:footnote>
  <w:footnote w:id="47">
    <w:p w14:paraId="5E6BDBF1" w14:textId="4A0504BF" w:rsidR="00286FDA" w:rsidRDefault="00286FDA" w:rsidP="00286FDA">
      <w:pPr>
        <w:pStyle w:val="FootnoteText"/>
      </w:pPr>
      <w:r>
        <w:rPr>
          <w:rStyle w:val="FootnoteReference"/>
        </w:rPr>
        <w:footnoteRef/>
      </w:r>
      <w:r>
        <w:t xml:space="preserve"> Australian Health and Medical Research Workforce Survey (2024); Mandala analysis. </w:t>
      </w:r>
      <w:r w:rsidR="00B54288" w:rsidRPr="002A1E4F">
        <w:rPr>
          <w:rStyle w:val="FootnoteTextChar"/>
        </w:rPr>
        <w:t>Respondents could select more than one reason.</w:t>
      </w:r>
      <w:r w:rsidR="00B54288">
        <w:rPr>
          <w:rStyle w:val="FootnoteTextChar"/>
        </w:rPr>
        <w:t xml:space="preserve"> </w:t>
      </w:r>
      <w:r>
        <w:t>Responses have been weighted to align with the Revelio data on gender, state and territory and traditional and non-traditional workforce fields.</w:t>
      </w:r>
    </w:p>
  </w:footnote>
  <w:footnote w:id="48">
    <w:p w14:paraId="352AAFA4" w14:textId="258CBC6D" w:rsidR="000E55D9" w:rsidRDefault="000E55D9" w:rsidP="000E55D9">
      <w:pPr>
        <w:pStyle w:val="FootnoteText"/>
      </w:pPr>
      <w:r>
        <w:rPr>
          <w:rStyle w:val="FootnoteReference"/>
        </w:rPr>
        <w:footnoteRef/>
      </w:r>
      <w:r>
        <w:t xml:space="preserve">  Australian Health and Medical Research Workforce Survey (2024); Mandala analysis.</w:t>
      </w:r>
      <w:r w:rsidR="00B54288" w:rsidRPr="00B54288">
        <w:rPr>
          <w:rStyle w:val="Heading6Char"/>
        </w:rPr>
        <w:t xml:space="preserve"> </w:t>
      </w:r>
      <w:r w:rsidR="00B54288" w:rsidRPr="002A1E4F">
        <w:rPr>
          <w:rStyle w:val="FootnoteTextChar"/>
        </w:rPr>
        <w:t>Respondents could select more than one reason.</w:t>
      </w:r>
      <w:r w:rsidR="00B54288">
        <w:t xml:space="preserve"> </w:t>
      </w:r>
      <w:r>
        <w:t>Responses have been weighted to align with the Revelio data on gender, state and territory and traditional and non-traditional workforce fields.</w:t>
      </w:r>
    </w:p>
  </w:footnote>
  <w:footnote w:id="49">
    <w:p w14:paraId="7E37F318" w14:textId="0E693735" w:rsidR="00977321" w:rsidRDefault="00977321">
      <w:pPr>
        <w:pStyle w:val="FootnoteText"/>
      </w:pPr>
      <w:r>
        <w:rPr>
          <w:rStyle w:val="FootnoteReference"/>
        </w:rPr>
        <w:footnoteRef/>
      </w:r>
      <w:r>
        <w:t xml:space="preserve"> </w:t>
      </w:r>
      <w:r w:rsidRPr="00977321">
        <w:t>Research Australia (</w:t>
      </w:r>
      <w:hyperlink r:id="rId31" w:history="1">
        <w:r w:rsidRPr="00E72A27">
          <w:rPr>
            <w:rStyle w:val="Hyperlink"/>
          </w:rPr>
          <w:t>2021</w:t>
        </w:r>
      </w:hyperlink>
      <w:r w:rsidRPr="00977321">
        <w:t>)</w:t>
      </w:r>
      <w:r w:rsidR="00036972">
        <w:t xml:space="preserve"> </w:t>
      </w:r>
      <w:r w:rsidR="00036972" w:rsidRPr="00036972">
        <w:t>COVID-19 Series: Report 2: The impact of Covid-19 on health and medical researchers</w:t>
      </w:r>
    </w:p>
  </w:footnote>
  <w:footnote w:id="50">
    <w:p w14:paraId="1218CB6C" w14:textId="60404376" w:rsidR="00C859D8" w:rsidRPr="00C859D8" w:rsidRDefault="00C859D8">
      <w:pPr>
        <w:pStyle w:val="FootnoteText"/>
      </w:pPr>
      <w:r>
        <w:rPr>
          <w:rStyle w:val="FootnoteReference"/>
        </w:rPr>
        <w:footnoteRef/>
      </w:r>
      <w:r>
        <w:t xml:space="preserve"> Australian Bureau of Statistics</w:t>
      </w:r>
      <w:r w:rsidR="008A581C">
        <w:t xml:space="preserve"> (</w:t>
      </w:r>
      <w:hyperlink r:id="rId32" w:anchor="data-downloads" w:history="1">
        <w:r w:rsidR="008A581C" w:rsidRPr="008A581C">
          <w:rPr>
            <w:rStyle w:val="Hyperlink"/>
          </w:rPr>
          <w:t>2023</w:t>
        </w:r>
      </w:hyperlink>
      <w:r w:rsidR="008A581C">
        <w:t>)</w:t>
      </w:r>
    </w:p>
  </w:footnote>
  <w:footnote w:id="51">
    <w:p w14:paraId="39F96844" w14:textId="365E5826" w:rsidR="008E6147" w:rsidRDefault="008E6147" w:rsidP="009E6101">
      <w:pPr>
        <w:pStyle w:val="FootnoteText"/>
      </w:pPr>
      <w:r>
        <w:rPr>
          <w:rStyle w:val="FootnoteReference"/>
        </w:rPr>
        <w:footnoteRef/>
      </w:r>
      <w:r>
        <w:t xml:space="preserve"> Australian Health and Medical Research Workforce Survey (2024); Mandala analysis. Responses have been weighted to align with the Revelio data on gender, state and territory and traditional and non-traditional workforce fields. </w:t>
      </w:r>
    </w:p>
  </w:footnote>
  <w:footnote w:id="52">
    <w:p w14:paraId="771139D5" w14:textId="447FF213" w:rsidR="00230A52" w:rsidRDefault="00230A52">
      <w:pPr>
        <w:pStyle w:val="FootnoteText"/>
      </w:pPr>
      <w:r>
        <w:rPr>
          <w:rStyle w:val="FootnoteReference"/>
        </w:rPr>
        <w:footnoteRef/>
      </w:r>
      <w:r>
        <w:t xml:space="preserve"> NHMRC </w:t>
      </w:r>
      <w:r w:rsidR="0046615A">
        <w:t xml:space="preserve">- </w:t>
      </w:r>
      <w:r w:rsidR="0046615A" w:rsidRPr="0046615A">
        <w:t>National Health and Medical Research Council</w:t>
      </w:r>
      <w:r w:rsidR="0046615A">
        <w:t xml:space="preserve">. MRFF - </w:t>
      </w:r>
      <w:r w:rsidR="0046615A" w:rsidRPr="0046615A">
        <w:t>Medical Research Future Fund</w:t>
      </w:r>
      <w:r w:rsidR="0046615A">
        <w:t xml:space="preserve">. ARC – Australian Research Council </w:t>
      </w:r>
    </w:p>
  </w:footnote>
  <w:footnote w:id="53">
    <w:p w14:paraId="40B181A2" w14:textId="7E04023C" w:rsidR="003B3561" w:rsidRDefault="003B3561">
      <w:pPr>
        <w:pStyle w:val="FootnoteText"/>
      </w:pPr>
      <w:r>
        <w:rPr>
          <w:rStyle w:val="FootnoteReference"/>
        </w:rPr>
        <w:footnoteRef/>
      </w:r>
      <w:r>
        <w:t xml:space="preserve"> Department of Health and Age Care (</w:t>
      </w:r>
      <w:hyperlink r:id="rId33" w:history="1">
        <w:r w:rsidRPr="003B3561">
          <w:rPr>
            <w:rStyle w:val="Hyperlink"/>
          </w:rPr>
          <w:t>2024</w:t>
        </w:r>
      </w:hyperlink>
      <w:r>
        <w:t xml:space="preserve">) </w:t>
      </w:r>
      <w:r w:rsidR="006B6676" w:rsidRPr="006B6676">
        <w:t>Medical Research Future Fund (MRFF) grant recipients</w:t>
      </w:r>
    </w:p>
  </w:footnote>
  <w:footnote w:id="54">
    <w:p w14:paraId="04F38CDB" w14:textId="54621960" w:rsidR="006C6989" w:rsidRDefault="006C6989" w:rsidP="006C6989">
      <w:pPr>
        <w:pStyle w:val="FootnoteText"/>
      </w:pPr>
      <w:r>
        <w:rPr>
          <w:rStyle w:val="FootnoteReference"/>
        </w:rPr>
        <w:footnoteRef/>
      </w:r>
      <w:r>
        <w:t xml:space="preserve"> Australian Health and Medical Research Workforce Survey (2024); Mandala analysis. </w:t>
      </w:r>
      <w:r w:rsidR="00CA56E8" w:rsidRPr="002A1E4F">
        <w:rPr>
          <w:rStyle w:val="FootnoteTextChar"/>
        </w:rPr>
        <w:t>Respondents could select more than one reason.</w:t>
      </w:r>
      <w:r w:rsidR="00CA56E8">
        <w:rPr>
          <w:rStyle w:val="FootnoteTextChar"/>
        </w:rPr>
        <w:t xml:space="preserve"> </w:t>
      </w:r>
      <w:r>
        <w:t xml:space="preserve">Responses have been weighted to align with the Revelio data on gender, state and territory and traditional and non-traditional workforce fields. </w:t>
      </w:r>
    </w:p>
  </w:footnote>
  <w:footnote w:id="55">
    <w:p w14:paraId="6B14B2BF" w14:textId="55FCB2D7" w:rsidR="005B7AE7" w:rsidRDefault="005B7AE7" w:rsidP="005B7AE7">
      <w:pPr>
        <w:pStyle w:val="FootnoteText"/>
      </w:pPr>
      <w:r>
        <w:rPr>
          <w:rStyle w:val="FootnoteReference"/>
        </w:rPr>
        <w:footnoteRef/>
      </w:r>
      <w:r>
        <w:t xml:space="preserve"> Australian Health and Medical Research Workforce Survey (2024); Mandala analysis. </w:t>
      </w:r>
      <w:r w:rsidR="00E536EC" w:rsidRPr="002A1E4F">
        <w:rPr>
          <w:rStyle w:val="FootnoteTextChar"/>
        </w:rPr>
        <w:t xml:space="preserve">Respondents </w:t>
      </w:r>
      <w:r w:rsidR="0099222E">
        <w:rPr>
          <w:rStyle w:val="FootnoteTextChar"/>
        </w:rPr>
        <w:t>were asked “</w:t>
      </w:r>
      <w:r w:rsidR="0099222E" w:rsidRPr="0099222E">
        <w:rPr>
          <w:rStyle w:val="FootnoteTextChar"/>
        </w:rPr>
        <w:t>If applicable, are you a chief investigator (CI) on a government grant and/or are you funded by someone else’s grant?</w:t>
      </w:r>
      <w:r w:rsidR="0099222E">
        <w:rPr>
          <w:rStyle w:val="FootnoteTextChar"/>
        </w:rPr>
        <w:t>”.</w:t>
      </w:r>
      <w:r w:rsidR="00E536EC">
        <w:rPr>
          <w:rStyle w:val="FootnoteTextChar"/>
        </w:rPr>
        <w:t xml:space="preserve"> </w:t>
      </w:r>
      <w:r>
        <w:t xml:space="preserve">Responses have been weighted to align with the Revelio data on gender, state and territory and traditional and non-traditional workforce fields. </w:t>
      </w:r>
      <w:r w:rsidR="00166CE1">
        <w:t>Lead Investigator refers to C</w:t>
      </w:r>
      <w:r w:rsidR="00D53307">
        <w:t xml:space="preserve">hief Investigator </w:t>
      </w:r>
      <w:r w:rsidR="00166CE1">
        <w:t>A</w:t>
      </w:r>
      <w:r w:rsidR="00D53307">
        <w:t xml:space="preserve"> (CIA) positions</w:t>
      </w:r>
      <w:r w:rsidR="00CA7658">
        <w:t>, while Chief investigator</w:t>
      </w:r>
      <w:r w:rsidR="00D53307">
        <w:t xml:space="preserve"> refers to all other named </w:t>
      </w:r>
      <w:r w:rsidR="007D49D4">
        <w:t>C</w:t>
      </w:r>
      <w:r w:rsidR="00D53307">
        <w:t>hief Investigators</w:t>
      </w:r>
      <w:r w:rsidR="005E3B42">
        <w:t xml:space="preserve"> (e.g. non-leading role CIB, CIC, etc)</w:t>
      </w:r>
      <w:r w:rsidR="007D49D4">
        <w:t>.</w:t>
      </w:r>
    </w:p>
  </w:footnote>
  <w:footnote w:id="56">
    <w:p w14:paraId="5EE66ED8" w14:textId="7A68EB42" w:rsidR="00BC1E49" w:rsidRDefault="00BC1E49" w:rsidP="00BC1E49">
      <w:pPr>
        <w:pStyle w:val="FootnoteText"/>
      </w:pPr>
      <w:r>
        <w:rPr>
          <w:rStyle w:val="FootnoteReference"/>
        </w:rPr>
        <w:footnoteRef/>
      </w:r>
      <w:r>
        <w:t xml:space="preserve"> Australian Health and Medical Research Workforce Survey; Mandala analysis. </w:t>
      </w:r>
      <w:r w:rsidR="00B357C8" w:rsidRPr="002A1E4F">
        <w:rPr>
          <w:rStyle w:val="FootnoteTextChar"/>
        </w:rPr>
        <w:t>Respondents could select more than one reason.</w:t>
      </w:r>
      <w:r w:rsidR="00B357C8">
        <w:rPr>
          <w:rStyle w:val="FootnoteTextChar"/>
        </w:rPr>
        <w:t xml:space="preserve"> </w:t>
      </w:r>
      <w:r>
        <w:t xml:space="preserve">Responses have been weighted to align with the Revelio data on gender, state and territory and traditional and non-traditional workforce fields. </w:t>
      </w:r>
    </w:p>
  </w:footnote>
  <w:footnote w:id="57">
    <w:p w14:paraId="466D8F9A" w14:textId="2450EFCD" w:rsidR="00545B0E" w:rsidRDefault="00545B0E">
      <w:pPr>
        <w:pStyle w:val="FootnoteText"/>
      </w:pPr>
      <w:r>
        <w:rPr>
          <w:rStyle w:val="FootnoteReference"/>
        </w:rPr>
        <w:footnoteRef/>
      </w:r>
      <w:r>
        <w:t xml:space="preserve"> ASMR (</w:t>
      </w:r>
      <w:hyperlink r:id="rId34" w:history="1">
        <w:r w:rsidRPr="00545B0E">
          <w:rPr>
            <w:rStyle w:val="Hyperlink"/>
          </w:rPr>
          <w:t>2016</w:t>
        </w:r>
      </w:hyperlink>
      <w:r>
        <w:t>)</w:t>
      </w:r>
      <w:r w:rsidR="00732AE4">
        <w:t xml:space="preserve"> </w:t>
      </w:r>
      <w:r w:rsidR="00732AE4" w:rsidRPr="00732AE4">
        <w:t>Building Knowledge, Supporting Innovation 2016 ASMR Health and Medical Research Workforce Survey Brief Report</w:t>
      </w:r>
    </w:p>
  </w:footnote>
  <w:footnote w:id="58">
    <w:p w14:paraId="1D301C3C" w14:textId="7CA6A57E" w:rsidR="007060D7" w:rsidRDefault="007060D7">
      <w:pPr>
        <w:pStyle w:val="FootnoteText"/>
      </w:pPr>
      <w:r>
        <w:rPr>
          <w:rStyle w:val="FootnoteReference"/>
        </w:rPr>
        <w:footnoteRef/>
      </w:r>
      <w:r>
        <w:t xml:space="preserve"> </w:t>
      </w:r>
      <w:r w:rsidRPr="002A1E4F">
        <w:rPr>
          <w:rStyle w:val="FootnoteTextChar"/>
        </w:rPr>
        <w:t>Kavallaris et al. (</w:t>
      </w:r>
      <w:hyperlink r:id="rId35" w:history="1">
        <w:r w:rsidRPr="002A1E4F">
          <w:rPr>
            <w:rStyle w:val="FootnoteTextChar"/>
          </w:rPr>
          <w:t>2008</w:t>
        </w:r>
      </w:hyperlink>
      <w:r w:rsidRPr="002A1E4F">
        <w:rPr>
          <w:rStyle w:val="FootnoteTextChar"/>
        </w:rPr>
        <w:t>)</w:t>
      </w:r>
      <w:r w:rsidR="007D39AF" w:rsidRPr="002A1E4F">
        <w:rPr>
          <w:rStyle w:val="FootnoteTextChar"/>
        </w:rPr>
        <w:t xml:space="preserve"> Perceptions in health and medical research careers: the Australian Society for Medical Research Workforce Survey</w:t>
      </w:r>
    </w:p>
  </w:footnote>
  <w:footnote w:id="59">
    <w:p w14:paraId="5752321B" w14:textId="757F834B" w:rsidR="006E3F48" w:rsidRDefault="006E3F48" w:rsidP="006E3F48">
      <w:pPr>
        <w:pStyle w:val="FootnoteText"/>
      </w:pPr>
      <w:r>
        <w:rPr>
          <w:rStyle w:val="FootnoteReference"/>
        </w:rPr>
        <w:footnoteRef/>
      </w:r>
      <w:r>
        <w:t xml:space="preserve"> Australian Health and Medical Research Workforce Survey; Mandala analysis. </w:t>
      </w:r>
      <w:r w:rsidR="00977C08" w:rsidRPr="002A1E4F">
        <w:rPr>
          <w:rStyle w:val="FootnoteTextChar"/>
        </w:rPr>
        <w:t>Respondents could select more than one reason.</w:t>
      </w:r>
      <w:r w:rsidR="00977C08">
        <w:rPr>
          <w:rStyle w:val="FootnoteTextChar"/>
        </w:rPr>
        <w:t xml:space="preserve"> </w:t>
      </w:r>
      <w:r>
        <w:t xml:space="preserve">Responses have been weighted to align with the Revelio data on gender, state and territory and traditional and non-traditional workforce fields. </w:t>
      </w:r>
    </w:p>
  </w:footnote>
  <w:footnote w:id="60">
    <w:p w14:paraId="09367446" w14:textId="77777777" w:rsidR="0069784B" w:rsidRDefault="0069784B" w:rsidP="0069784B">
      <w:pPr>
        <w:pStyle w:val="FootnoteText"/>
      </w:pPr>
      <w:r>
        <w:rPr>
          <w:rStyle w:val="FootnoteReference"/>
        </w:rPr>
        <w:footnoteRef/>
      </w:r>
      <w:r>
        <w:t xml:space="preserve"> </w:t>
      </w:r>
      <w:r w:rsidRPr="002A1E4F">
        <w:rPr>
          <w:rStyle w:val="FootnoteTextChar"/>
        </w:rPr>
        <w:t>Kavallaris et al. (</w:t>
      </w:r>
      <w:hyperlink r:id="rId36" w:history="1">
        <w:r w:rsidRPr="002A1E4F">
          <w:rPr>
            <w:rStyle w:val="FootnoteTextChar"/>
          </w:rPr>
          <w:t>2008</w:t>
        </w:r>
      </w:hyperlink>
      <w:r w:rsidRPr="002A1E4F">
        <w:rPr>
          <w:rStyle w:val="FootnoteTextChar"/>
        </w:rPr>
        <w:t>) Perceptions in health and medical research careers: the Australian Society for Medical Research Workforce Survey</w:t>
      </w:r>
    </w:p>
  </w:footnote>
  <w:footnote w:id="61">
    <w:p w14:paraId="000B647B" w14:textId="1BF72EE3" w:rsidR="00545690" w:rsidRDefault="00545690" w:rsidP="00545690">
      <w:pPr>
        <w:pStyle w:val="FootnoteText"/>
      </w:pPr>
      <w:r>
        <w:rPr>
          <w:rStyle w:val="FootnoteReference"/>
        </w:rPr>
        <w:footnoteRef/>
      </w:r>
      <w:r>
        <w:t xml:space="preserve"> </w:t>
      </w:r>
      <w:r w:rsidRPr="004A539F">
        <w:rPr>
          <w:lang w:val="en-GB"/>
        </w:rPr>
        <w:t>Australian Health and Medical Research Workforce Survey</w:t>
      </w:r>
      <w:r w:rsidRPr="004A539F">
        <w:t>; Mandala analysis</w:t>
      </w:r>
      <w:r>
        <w:t xml:space="preserve">. </w:t>
      </w:r>
      <w:r w:rsidR="00F37CD5" w:rsidRPr="002A1E4F">
        <w:rPr>
          <w:rStyle w:val="FootnoteTextChar"/>
        </w:rPr>
        <w:t>Respondents could select more than one reason.</w:t>
      </w:r>
      <w:r w:rsidR="00F37CD5">
        <w:rPr>
          <w:rStyle w:val="FootnoteTextChar"/>
        </w:rPr>
        <w:t xml:space="preserve"> </w:t>
      </w:r>
      <w:r w:rsidRPr="00977321">
        <w:t xml:space="preserve">Responses have been weighted to align with the Revelio data on gender, state and territory and traditional and non-traditional workforce fields. </w:t>
      </w:r>
    </w:p>
  </w:footnote>
  <w:footnote w:id="62">
    <w:p w14:paraId="68EF9736" w14:textId="305C9759" w:rsidR="00685950" w:rsidRDefault="00685950">
      <w:pPr>
        <w:pStyle w:val="FootnoteText"/>
      </w:pPr>
      <w:r>
        <w:rPr>
          <w:rStyle w:val="FootnoteReference"/>
        </w:rPr>
        <w:footnoteRef/>
      </w:r>
      <w:r>
        <w:t xml:space="preserve"> </w:t>
      </w:r>
      <w:r w:rsidR="008762B9" w:rsidRPr="00D24DBA">
        <w:t>Cole, Jeng, Lerner, Rigol, and Roth (</w:t>
      </w:r>
      <w:hyperlink r:id="rId37" w:history="1">
        <w:r w:rsidR="008762B9" w:rsidRPr="00D24DBA">
          <w:rPr>
            <w:rStyle w:val="Hyperlink"/>
          </w:rPr>
          <w:t>2022</w:t>
        </w:r>
      </w:hyperlink>
      <w:r w:rsidR="008762B9" w:rsidRPr="00D24DBA">
        <w:t>)</w:t>
      </w:r>
      <w:r w:rsidR="008762B9">
        <w:t xml:space="preserve">; </w:t>
      </w:r>
      <w:r w:rsidR="008762B9" w:rsidRPr="00D24DBA">
        <w:t>C</w:t>
      </w:r>
      <w:r w:rsidR="008762B9">
        <w:t>ai</w:t>
      </w:r>
      <w:r w:rsidR="008762B9" w:rsidRPr="00D24DBA">
        <w:t xml:space="preserve">, </w:t>
      </w:r>
      <w:r w:rsidR="008762B9">
        <w:t>Chen</w:t>
      </w:r>
      <w:r w:rsidR="008762B9" w:rsidRPr="00D24DBA">
        <w:t>, Rajgopal</w:t>
      </w:r>
      <w:r w:rsidR="008762B9">
        <w:t xml:space="preserve"> et. al.</w:t>
      </w:r>
      <w:r w:rsidR="008762B9" w:rsidRPr="00D24DBA">
        <w:t xml:space="preserve"> (</w:t>
      </w:r>
      <w:hyperlink r:id="rId38" w:history="1">
        <w:r w:rsidR="008762B9" w:rsidRPr="00D24DBA">
          <w:rPr>
            <w:rStyle w:val="Hyperlink"/>
          </w:rPr>
          <w:t>2024</w:t>
        </w:r>
      </w:hyperlink>
      <w:r w:rsidR="008762B9" w:rsidRPr="00D24DBA">
        <w:t>)</w:t>
      </w:r>
      <w:r w:rsidR="008762B9">
        <w:t xml:space="preserve">; </w:t>
      </w:r>
      <w:r w:rsidR="008762B9" w:rsidRPr="00D24DBA">
        <w:t>Li</w:t>
      </w:r>
      <w:r w:rsidR="008762B9">
        <w:t>u, Chen and Lyu</w:t>
      </w:r>
      <w:r w:rsidR="008762B9" w:rsidRPr="00D24DBA">
        <w:t xml:space="preserve"> (</w:t>
      </w:r>
      <w:hyperlink r:id="rId39" w:history="1">
        <w:r w:rsidR="008762B9" w:rsidRPr="00D24DBA">
          <w:rPr>
            <w:rStyle w:val="Hyperlink"/>
          </w:rPr>
          <w:t>2024</w:t>
        </w:r>
      </w:hyperlink>
      <w:r w:rsidR="008762B9" w:rsidRPr="00D24DBA">
        <w:t>)</w:t>
      </w:r>
      <w:r w:rsidR="008762B9">
        <w:t>; Welsh and Ruda (</w:t>
      </w:r>
      <w:hyperlink r:id="rId40" w:history="1">
        <w:r w:rsidR="008762B9" w:rsidRPr="0065184B">
          <w:rPr>
            <w:rStyle w:val="Hyperlink"/>
          </w:rPr>
          <w:t>2024</w:t>
        </w:r>
      </w:hyperlink>
      <w:r w:rsidR="008762B9">
        <w:t>)</w:t>
      </w:r>
    </w:p>
  </w:footnote>
  <w:footnote w:id="63">
    <w:p w14:paraId="03D29B79" w14:textId="077AB8D0" w:rsidR="000F55DA" w:rsidRDefault="000F55DA">
      <w:pPr>
        <w:pStyle w:val="FootnoteText"/>
      </w:pPr>
      <w:r>
        <w:rPr>
          <w:rStyle w:val="FootnoteReference"/>
        </w:rPr>
        <w:footnoteRef/>
      </w:r>
      <w:r>
        <w:t xml:space="preserve"> </w:t>
      </w:r>
      <w:r w:rsidR="006947A5" w:rsidRPr="006947A5">
        <w:rPr>
          <w:lang w:val="en-GB"/>
        </w:rPr>
        <w:t>Machine learning models have been used to classify large unstructured datasets to understand cybersecurity roles (Centre for Security and Emerging Technology, 2024) and job advertisements (Boselli et al. 2018)</w:t>
      </w:r>
    </w:p>
  </w:footnote>
  <w:footnote w:id="64">
    <w:p w14:paraId="343D6980" w14:textId="2C286BEC" w:rsidR="008E49F7" w:rsidRDefault="008E49F7">
      <w:pPr>
        <w:pStyle w:val="FootnoteText"/>
      </w:pPr>
      <w:r>
        <w:rPr>
          <w:rStyle w:val="FootnoteReference"/>
        </w:rPr>
        <w:footnoteRef/>
      </w:r>
      <w:r>
        <w:t xml:space="preserve"> </w:t>
      </w:r>
      <w:r w:rsidR="007B782D" w:rsidRPr="007B782D">
        <w:t xml:space="preserve">LLM have been </w:t>
      </w:r>
      <w:r w:rsidR="007B782D" w:rsidRPr="007B782D">
        <w:rPr>
          <w:lang w:val="en-GB"/>
        </w:rPr>
        <w:t>used in various text classification tasks across legal, medical and job data (Zhang et al. 2024; Levine et al. 2023; Laughlin et al. 2024).</w:t>
      </w:r>
    </w:p>
  </w:footnote>
  <w:footnote w:id="65">
    <w:p w14:paraId="0A27D037" w14:textId="77777777" w:rsidR="00034FBD" w:rsidRDefault="00034FBD" w:rsidP="00034FBD">
      <w:pPr>
        <w:pStyle w:val="FootnoteText"/>
      </w:pPr>
      <w:r>
        <w:rPr>
          <w:rStyle w:val="FootnoteReference"/>
        </w:rPr>
        <w:footnoteRef/>
      </w:r>
      <w:r>
        <w:t xml:space="preserve"> </w:t>
      </w:r>
      <w:r w:rsidRPr="006E6CB1">
        <w:t>Does Gender Influence Online Survey Participation? A Record-Linkage Analysis of University Faculty Online Survey Response Behavior</w:t>
      </w:r>
      <w:r>
        <w:t xml:space="preserve"> (</w:t>
      </w:r>
      <w:hyperlink r:id="rId41" w:history="1">
        <w:r w:rsidRPr="00E01F1A">
          <w:rPr>
            <w:rStyle w:val="Hyperlink"/>
          </w:rPr>
          <w:t>2008</w:t>
        </w:r>
      </w:hyperlink>
      <w:r>
        <w:t xml:space="preserve">) </w:t>
      </w:r>
      <w:r w:rsidRPr="00E01F1A">
        <w:t>William G. Smith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C0E0E"/>
    <w:multiLevelType w:val="hybridMultilevel"/>
    <w:tmpl w:val="E34C9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F4FEA"/>
    <w:multiLevelType w:val="hybridMultilevel"/>
    <w:tmpl w:val="C15441F8"/>
    <w:lvl w:ilvl="0" w:tplc="98B03A36">
      <w:start w:val="1"/>
      <w:numFmt w:val="decimal"/>
      <w:lvlText w:val="%1."/>
      <w:lvlJc w:val="left"/>
      <w:pPr>
        <w:ind w:left="720" w:hanging="360"/>
      </w:pPr>
      <w:rPr>
        <w:b/>
        <w:bCs/>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654D86"/>
    <w:multiLevelType w:val="hybridMultilevel"/>
    <w:tmpl w:val="B30C7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10B7D"/>
    <w:multiLevelType w:val="hybridMultilevel"/>
    <w:tmpl w:val="BCAA3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B066EE"/>
    <w:multiLevelType w:val="hybridMultilevel"/>
    <w:tmpl w:val="1DACC1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D63728"/>
    <w:multiLevelType w:val="hybridMultilevel"/>
    <w:tmpl w:val="6250F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BF5893"/>
    <w:multiLevelType w:val="hybridMultilevel"/>
    <w:tmpl w:val="92DA2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FC1ACE"/>
    <w:multiLevelType w:val="hybridMultilevel"/>
    <w:tmpl w:val="11682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373E4"/>
    <w:multiLevelType w:val="hybridMultilevel"/>
    <w:tmpl w:val="6C00C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7A4BE8"/>
    <w:multiLevelType w:val="multilevel"/>
    <w:tmpl w:val="8D6000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93D215F"/>
    <w:multiLevelType w:val="hybridMultilevel"/>
    <w:tmpl w:val="0760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6584F"/>
    <w:multiLevelType w:val="hybridMultilevel"/>
    <w:tmpl w:val="379E1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C24B0E"/>
    <w:multiLevelType w:val="hybridMultilevel"/>
    <w:tmpl w:val="3DE85A2A"/>
    <w:lvl w:ilvl="0" w:tplc="1B94584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BA2EC6"/>
    <w:multiLevelType w:val="hybridMultilevel"/>
    <w:tmpl w:val="5502C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058CD"/>
    <w:multiLevelType w:val="hybridMultilevel"/>
    <w:tmpl w:val="0FF21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0908B5"/>
    <w:multiLevelType w:val="hybridMultilevel"/>
    <w:tmpl w:val="8FA8C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3E4EA2"/>
    <w:multiLevelType w:val="hybridMultilevel"/>
    <w:tmpl w:val="C9763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8E674D"/>
    <w:multiLevelType w:val="hybridMultilevel"/>
    <w:tmpl w:val="4F7A71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3A731D"/>
    <w:multiLevelType w:val="hybridMultilevel"/>
    <w:tmpl w:val="685E477A"/>
    <w:lvl w:ilvl="0" w:tplc="5F8AAB6E">
      <w:start w:val="1"/>
      <w:numFmt w:val="bullet"/>
      <w:lvlText w:val=""/>
      <w:lvlJc w:val="left"/>
      <w:pPr>
        <w:ind w:left="720" w:hanging="360"/>
      </w:pPr>
      <w:rPr>
        <w:rFonts w:ascii="Symbol" w:hAnsi="Symbol" w:hint="default"/>
        <w:b/>
        <w:bCs/>
        <w:sz w:val="20"/>
        <w:szCs w:val="2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CF2AF9"/>
    <w:multiLevelType w:val="hybridMultilevel"/>
    <w:tmpl w:val="A8D45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307DC3"/>
    <w:multiLevelType w:val="hybridMultilevel"/>
    <w:tmpl w:val="51BC0CD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8422BD6"/>
    <w:multiLevelType w:val="hybridMultilevel"/>
    <w:tmpl w:val="B4BE4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0F5B19"/>
    <w:multiLevelType w:val="hybridMultilevel"/>
    <w:tmpl w:val="37C2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215505"/>
    <w:multiLevelType w:val="hybridMultilevel"/>
    <w:tmpl w:val="F2D4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3F3A47"/>
    <w:multiLevelType w:val="hybridMultilevel"/>
    <w:tmpl w:val="60C03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3705438">
    <w:abstractNumId w:val="13"/>
  </w:num>
  <w:num w:numId="2" w16cid:durableId="1917400173">
    <w:abstractNumId w:val="2"/>
  </w:num>
  <w:num w:numId="3" w16cid:durableId="404183101">
    <w:abstractNumId w:val="19"/>
  </w:num>
  <w:num w:numId="4" w16cid:durableId="29456884">
    <w:abstractNumId w:val="16"/>
  </w:num>
  <w:num w:numId="5" w16cid:durableId="1583951672">
    <w:abstractNumId w:val="7"/>
  </w:num>
  <w:num w:numId="6" w16cid:durableId="1161778000">
    <w:abstractNumId w:val="21"/>
  </w:num>
  <w:num w:numId="7" w16cid:durableId="444890827">
    <w:abstractNumId w:val="6"/>
  </w:num>
  <w:num w:numId="8" w16cid:durableId="1489980387">
    <w:abstractNumId w:val="0"/>
  </w:num>
  <w:num w:numId="9" w16cid:durableId="1892888658">
    <w:abstractNumId w:val="3"/>
  </w:num>
  <w:num w:numId="10" w16cid:durableId="8652389">
    <w:abstractNumId w:val="24"/>
  </w:num>
  <w:num w:numId="11" w16cid:durableId="1947303555">
    <w:abstractNumId w:val="20"/>
  </w:num>
  <w:num w:numId="12" w16cid:durableId="1268461481">
    <w:abstractNumId w:val="5"/>
  </w:num>
  <w:num w:numId="13" w16cid:durableId="757873709">
    <w:abstractNumId w:val="11"/>
  </w:num>
  <w:num w:numId="14" w16cid:durableId="449010126">
    <w:abstractNumId w:val="23"/>
  </w:num>
  <w:num w:numId="15" w16cid:durableId="114326731">
    <w:abstractNumId w:val="1"/>
  </w:num>
  <w:num w:numId="16" w16cid:durableId="1774202651">
    <w:abstractNumId w:val="18"/>
  </w:num>
  <w:num w:numId="17" w16cid:durableId="1174877432">
    <w:abstractNumId w:val="15"/>
  </w:num>
  <w:num w:numId="18" w16cid:durableId="1129739383">
    <w:abstractNumId w:val="14"/>
  </w:num>
  <w:num w:numId="19" w16cid:durableId="2090423031">
    <w:abstractNumId w:val="4"/>
  </w:num>
  <w:num w:numId="20" w16cid:durableId="1949583103">
    <w:abstractNumId w:val="22"/>
  </w:num>
  <w:num w:numId="21" w16cid:durableId="273099278">
    <w:abstractNumId w:val="8"/>
  </w:num>
  <w:num w:numId="22" w16cid:durableId="589042155">
    <w:abstractNumId w:val="17"/>
  </w:num>
  <w:num w:numId="23" w16cid:durableId="158498976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3719514">
    <w:abstractNumId w:val="10"/>
  </w:num>
  <w:num w:numId="25" w16cid:durableId="681860627">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87"/>
    <w:rsid w:val="00000547"/>
    <w:rsid w:val="00000E59"/>
    <w:rsid w:val="000012C3"/>
    <w:rsid w:val="000012F8"/>
    <w:rsid w:val="000017CE"/>
    <w:rsid w:val="000026C2"/>
    <w:rsid w:val="00002892"/>
    <w:rsid w:val="000040B0"/>
    <w:rsid w:val="000048A5"/>
    <w:rsid w:val="00004EDD"/>
    <w:rsid w:val="00004F2E"/>
    <w:rsid w:val="000067D1"/>
    <w:rsid w:val="00006E6D"/>
    <w:rsid w:val="00006E73"/>
    <w:rsid w:val="000071C9"/>
    <w:rsid w:val="00007383"/>
    <w:rsid w:val="00007B95"/>
    <w:rsid w:val="00014BBB"/>
    <w:rsid w:val="00015605"/>
    <w:rsid w:val="00015D57"/>
    <w:rsid w:val="0001633B"/>
    <w:rsid w:val="00016ED7"/>
    <w:rsid w:val="00017857"/>
    <w:rsid w:val="0002084B"/>
    <w:rsid w:val="0002197D"/>
    <w:rsid w:val="00022864"/>
    <w:rsid w:val="000233EB"/>
    <w:rsid w:val="00024DE7"/>
    <w:rsid w:val="00025462"/>
    <w:rsid w:val="000258B3"/>
    <w:rsid w:val="00026153"/>
    <w:rsid w:val="0002682F"/>
    <w:rsid w:val="00027FC4"/>
    <w:rsid w:val="00030362"/>
    <w:rsid w:val="0003037B"/>
    <w:rsid w:val="00030479"/>
    <w:rsid w:val="00030A37"/>
    <w:rsid w:val="00031B87"/>
    <w:rsid w:val="00031F0F"/>
    <w:rsid w:val="0003355F"/>
    <w:rsid w:val="0003380E"/>
    <w:rsid w:val="00033D1C"/>
    <w:rsid w:val="00033F22"/>
    <w:rsid w:val="0003424C"/>
    <w:rsid w:val="000346D8"/>
    <w:rsid w:val="00034A67"/>
    <w:rsid w:val="00034D4B"/>
    <w:rsid w:val="00034FBD"/>
    <w:rsid w:val="00035BD4"/>
    <w:rsid w:val="00036972"/>
    <w:rsid w:val="000401B2"/>
    <w:rsid w:val="00040209"/>
    <w:rsid w:val="00041247"/>
    <w:rsid w:val="00041564"/>
    <w:rsid w:val="00041B99"/>
    <w:rsid w:val="00041C15"/>
    <w:rsid w:val="0004249B"/>
    <w:rsid w:val="00043387"/>
    <w:rsid w:val="00043873"/>
    <w:rsid w:val="00043B9E"/>
    <w:rsid w:val="00044482"/>
    <w:rsid w:val="00044A25"/>
    <w:rsid w:val="00046136"/>
    <w:rsid w:val="00046361"/>
    <w:rsid w:val="000466DD"/>
    <w:rsid w:val="00047754"/>
    <w:rsid w:val="0004797E"/>
    <w:rsid w:val="00050059"/>
    <w:rsid w:val="00050126"/>
    <w:rsid w:val="00050CB2"/>
    <w:rsid w:val="00050D19"/>
    <w:rsid w:val="0005225E"/>
    <w:rsid w:val="00052F67"/>
    <w:rsid w:val="000540EA"/>
    <w:rsid w:val="0005515C"/>
    <w:rsid w:val="0005544D"/>
    <w:rsid w:val="00056829"/>
    <w:rsid w:val="00056C19"/>
    <w:rsid w:val="00057508"/>
    <w:rsid w:val="000575D5"/>
    <w:rsid w:val="000600C1"/>
    <w:rsid w:val="000611D7"/>
    <w:rsid w:val="000618A4"/>
    <w:rsid w:val="0006229D"/>
    <w:rsid w:val="00062749"/>
    <w:rsid w:val="000629B4"/>
    <w:rsid w:val="00063063"/>
    <w:rsid w:val="00063660"/>
    <w:rsid w:val="00063971"/>
    <w:rsid w:val="00063C1D"/>
    <w:rsid w:val="00064AB7"/>
    <w:rsid w:val="000652C8"/>
    <w:rsid w:val="00066823"/>
    <w:rsid w:val="00066A9C"/>
    <w:rsid w:val="00066E70"/>
    <w:rsid w:val="00066F1B"/>
    <w:rsid w:val="000671F0"/>
    <w:rsid w:val="00067F86"/>
    <w:rsid w:val="000706A3"/>
    <w:rsid w:val="000709E4"/>
    <w:rsid w:val="00070BA6"/>
    <w:rsid w:val="00070CF4"/>
    <w:rsid w:val="00070FC9"/>
    <w:rsid w:val="000713B5"/>
    <w:rsid w:val="000720B9"/>
    <w:rsid w:val="0007210C"/>
    <w:rsid w:val="00072738"/>
    <w:rsid w:val="00072D56"/>
    <w:rsid w:val="00073D76"/>
    <w:rsid w:val="00074B4B"/>
    <w:rsid w:val="00074C50"/>
    <w:rsid w:val="000752C9"/>
    <w:rsid w:val="00075B86"/>
    <w:rsid w:val="00075DCB"/>
    <w:rsid w:val="0007623F"/>
    <w:rsid w:val="0007626C"/>
    <w:rsid w:val="000765BD"/>
    <w:rsid w:val="00076CF4"/>
    <w:rsid w:val="000770A9"/>
    <w:rsid w:val="0007781F"/>
    <w:rsid w:val="00077EA3"/>
    <w:rsid w:val="0008226D"/>
    <w:rsid w:val="000828F8"/>
    <w:rsid w:val="00082C2C"/>
    <w:rsid w:val="0008305F"/>
    <w:rsid w:val="00083B55"/>
    <w:rsid w:val="00083CE0"/>
    <w:rsid w:val="00083D9B"/>
    <w:rsid w:val="00083FAC"/>
    <w:rsid w:val="00084385"/>
    <w:rsid w:val="00084D98"/>
    <w:rsid w:val="00085049"/>
    <w:rsid w:val="000853D9"/>
    <w:rsid w:val="000855F9"/>
    <w:rsid w:val="00087328"/>
    <w:rsid w:val="000900B3"/>
    <w:rsid w:val="00090F47"/>
    <w:rsid w:val="000918C9"/>
    <w:rsid w:val="000924BC"/>
    <w:rsid w:val="00096535"/>
    <w:rsid w:val="00096A02"/>
    <w:rsid w:val="00097C7C"/>
    <w:rsid w:val="00097CCE"/>
    <w:rsid w:val="000A00FD"/>
    <w:rsid w:val="000A0E51"/>
    <w:rsid w:val="000A0E8B"/>
    <w:rsid w:val="000A0F9A"/>
    <w:rsid w:val="000A16DB"/>
    <w:rsid w:val="000A2308"/>
    <w:rsid w:val="000A2823"/>
    <w:rsid w:val="000A3153"/>
    <w:rsid w:val="000A34DB"/>
    <w:rsid w:val="000A357B"/>
    <w:rsid w:val="000A4A14"/>
    <w:rsid w:val="000A4B81"/>
    <w:rsid w:val="000A55FD"/>
    <w:rsid w:val="000A641D"/>
    <w:rsid w:val="000A647D"/>
    <w:rsid w:val="000A6D7B"/>
    <w:rsid w:val="000A7730"/>
    <w:rsid w:val="000B0A0B"/>
    <w:rsid w:val="000B1560"/>
    <w:rsid w:val="000B2639"/>
    <w:rsid w:val="000B29C0"/>
    <w:rsid w:val="000B396F"/>
    <w:rsid w:val="000B4029"/>
    <w:rsid w:val="000B4500"/>
    <w:rsid w:val="000B4633"/>
    <w:rsid w:val="000B4F9A"/>
    <w:rsid w:val="000B52F3"/>
    <w:rsid w:val="000B5B64"/>
    <w:rsid w:val="000B5DF9"/>
    <w:rsid w:val="000B6503"/>
    <w:rsid w:val="000B7126"/>
    <w:rsid w:val="000B7DA2"/>
    <w:rsid w:val="000C036A"/>
    <w:rsid w:val="000C0BCF"/>
    <w:rsid w:val="000C0CC0"/>
    <w:rsid w:val="000C1D07"/>
    <w:rsid w:val="000C2522"/>
    <w:rsid w:val="000C35EC"/>
    <w:rsid w:val="000C3AC9"/>
    <w:rsid w:val="000C3DF1"/>
    <w:rsid w:val="000C4918"/>
    <w:rsid w:val="000C4DB8"/>
    <w:rsid w:val="000C59FA"/>
    <w:rsid w:val="000C5BEE"/>
    <w:rsid w:val="000C6749"/>
    <w:rsid w:val="000C68BE"/>
    <w:rsid w:val="000C7301"/>
    <w:rsid w:val="000C73B1"/>
    <w:rsid w:val="000C75E3"/>
    <w:rsid w:val="000D078C"/>
    <w:rsid w:val="000D11E2"/>
    <w:rsid w:val="000D1272"/>
    <w:rsid w:val="000D1284"/>
    <w:rsid w:val="000D1635"/>
    <w:rsid w:val="000D2C13"/>
    <w:rsid w:val="000D3C25"/>
    <w:rsid w:val="000D56EA"/>
    <w:rsid w:val="000D5E2A"/>
    <w:rsid w:val="000D635E"/>
    <w:rsid w:val="000D729E"/>
    <w:rsid w:val="000E004A"/>
    <w:rsid w:val="000E0F37"/>
    <w:rsid w:val="000E105D"/>
    <w:rsid w:val="000E1A8D"/>
    <w:rsid w:val="000E4EAC"/>
    <w:rsid w:val="000E51B3"/>
    <w:rsid w:val="000E55D9"/>
    <w:rsid w:val="000E5A14"/>
    <w:rsid w:val="000E5F6D"/>
    <w:rsid w:val="000E67BC"/>
    <w:rsid w:val="000E6E51"/>
    <w:rsid w:val="000E71F8"/>
    <w:rsid w:val="000E7260"/>
    <w:rsid w:val="000E76D8"/>
    <w:rsid w:val="000F119E"/>
    <w:rsid w:val="000F21C1"/>
    <w:rsid w:val="000F2909"/>
    <w:rsid w:val="000F3A2E"/>
    <w:rsid w:val="000F3B8F"/>
    <w:rsid w:val="000F41FA"/>
    <w:rsid w:val="000F4928"/>
    <w:rsid w:val="000F5002"/>
    <w:rsid w:val="000F5103"/>
    <w:rsid w:val="000F55DA"/>
    <w:rsid w:val="000F5AA7"/>
    <w:rsid w:val="000F6ADB"/>
    <w:rsid w:val="000F7C6B"/>
    <w:rsid w:val="00100474"/>
    <w:rsid w:val="00100DC5"/>
    <w:rsid w:val="00101982"/>
    <w:rsid w:val="0010323C"/>
    <w:rsid w:val="00103BB9"/>
    <w:rsid w:val="0010484C"/>
    <w:rsid w:val="001049D2"/>
    <w:rsid w:val="001061BC"/>
    <w:rsid w:val="001061C9"/>
    <w:rsid w:val="00107108"/>
    <w:rsid w:val="0010720E"/>
    <w:rsid w:val="00110C49"/>
    <w:rsid w:val="00110CDF"/>
    <w:rsid w:val="00110E3F"/>
    <w:rsid w:val="001118CD"/>
    <w:rsid w:val="001123CF"/>
    <w:rsid w:val="00112467"/>
    <w:rsid w:val="00112C62"/>
    <w:rsid w:val="00113344"/>
    <w:rsid w:val="001141F4"/>
    <w:rsid w:val="001143DA"/>
    <w:rsid w:val="00114FF4"/>
    <w:rsid w:val="001154E0"/>
    <w:rsid w:val="00115638"/>
    <w:rsid w:val="00115729"/>
    <w:rsid w:val="0011589E"/>
    <w:rsid w:val="00115EA6"/>
    <w:rsid w:val="00116307"/>
    <w:rsid w:val="0011641B"/>
    <w:rsid w:val="001169CB"/>
    <w:rsid w:val="00116BD9"/>
    <w:rsid w:val="00117DCA"/>
    <w:rsid w:val="001201AF"/>
    <w:rsid w:val="00122552"/>
    <w:rsid w:val="00124EE7"/>
    <w:rsid w:val="001254E6"/>
    <w:rsid w:val="00125778"/>
    <w:rsid w:val="0012617D"/>
    <w:rsid w:val="001261E6"/>
    <w:rsid w:val="001263A7"/>
    <w:rsid w:val="0012657F"/>
    <w:rsid w:val="00127078"/>
    <w:rsid w:val="00127211"/>
    <w:rsid w:val="0012730F"/>
    <w:rsid w:val="0012795D"/>
    <w:rsid w:val="00127D5E"/>
    <w:rsid w:val="00130706"/>
    <w:rsid w:val="00130F28"/>
    <w:rsid w:val="00130F81"/>
    <w:rsid w:val="00131490"/>
    <w:rsid w:val="00131B4F"/>
    <w:rsid w:val="00132E8D"/>
    <w:rsid w:val="001335BB"/>
    <w:rsid w:val="001344CD"/>
    <w:rsid w:val="001347AC"/>
    <w:rsid w:val="00135EFD"/>
    <w:rsid w:val="0013654D"/>
    <w:rsid w:val="00137235"/>
    <w:rsid w:val="00137BC1"/>
    <w:rsid w:val="001402B5"/>
    <w:rsid w:val="0014048E"/>
    <w:rsid w:val="00141D4B"/>
    <w:rsid w:val="00142390"/>
    <w:rsid w:val="00143563"/>
    <w:rsid w:val="00144018"/>
    <w:rsid w:val="001441FF"/>
    <w:rsid w:val="0014444F"/>
    <w:rsid w:val="001445EE"/>
    <w:rsid w:val="00145898"/>
    <w:rsid w:val="0014638F"/>
    <w:rsid w:val="00147A7B"/>
    <w:rsid w:val="001503BC"/>
    <w:rsid w:val="001511D1"/>
    <w:rsid w:val="001519F6"/>
    <w:rsid w:val="00152944"/>
    <w:rsid w:val="00152A2D"/>
    <w:rsid w:val="00152F46"/>
    <w:rsid w:val="0015358C"/>
    <w:rsid w:val="00153DC4"/>
    <w:rsid w:val="00155141"/>
    <w:rsid w:val="001560B2"/>
    <w:rsid w:val="0015622B"/>
    <w:rsid w:val="00156826"/>
    <w:rsid w:val="00156AD8"/>
    <w:rsid w:val="00157100"/>
    <w:rsid w:val="00157A61"/>
    <w:rsid w:val="0016045F"/>
    <w:rsid w:val="0016054C"/>
    <w:rsid w:val="001607B1"/>
    <w:rsid w:val="0016080E"/>
    <w:rsid w:val="00160FC9"/>
    <w:rsid w:val="00161ACE"/>
    <w:rsid w:val="0016262A"/>
    <w:rsid w:val="0016383A"/>
    <w:rsid w:val="00163B65"/>
    <w:rsid w:val="00163C16"/>
    <w:rsid w:val="00163D39"/>
    <w:rsid w:val="001642D9"/>
    <w:rsid w:val="00164738"/>
    <w:rsid w:val="001656B0"/>
    <w:rsid w:val="00165AE3"/>
    <w:rsid w:val="00166CE1"/>
    <w:rsid w:val="00167658"/>
    <w:rsid w:val="00170899"/>
    <w:rsid w:val="00171270"/>
    <w:rsid w:val="00171BB9"/>
    <w:rsid w:val="00172B13"/>
    <w:rsid w:val="0017337D"/>
    <w:rsid w:val="0017353C"/>
    <w:rsid w:val="001736AF"/>
    <w:rsid w:val="00173DA8"/>
    <w:rsid w:val="00173F13"/>
    <w:rsid w:val="00174D08"/>
    <w:rsid w:val="00174D8B"/>
    <w:rsid w:val="00174EC3"/>
    <w:rsid w:val="00175A1D"/>
    <w:rsid w:val="00176379"/>
    <w:rsid w:val="0017646F"/>
    <w:rsid w:val="001774EE"/>
    <w:rsid w:val="0018136D"/>
    <w:rsid w:val="00181551"/>
    <w:rsid w:val="001827F1"/>
    <w:rsid w:val="00182C32"/>
    <w:rsid w:val="001832F1"/>
    <w:rsid w:val="00184CA1"/>
    <w:rsid w:val="001861AF"/>
    <w:rsid w:val="00186448"/>
    <w:rsid w:val="00186CD8"/>
    <w:rsid w:val="00186F87"/>
    <w:rsid w:val="00187296"/>
    <w:rsid w:val="001876D3"/>
    <w:rsid w:val="00187C91"/>
    <w:rsid w:val="00190232"/>
    <w:rsid w:val="00190BC8"/>
    <w:rsid w:val="0019197D"/>
    <w:rsid w:val="00191A21"/>
    <w:rsid w:val="00191A8C"/>
    <w:rsid w:val="001935BD"/>
    <w:rsid w:val="001940A7"/>
    <w:rsid w:val="001946F9"/>
    <w:rsid w:val="001948E5"/>
    <w:rsid w:val="00195652"/>
    <w:rsid w:val="00195CFB"/>
    <w:rsid w:val="001975CA"/>
    <w:rsid w:val="001A0257"/>
    <w:rsid w:val="001A0DE9"/>
    <w:rsid w:val="001A14E2"/>
    <w:rsid w:val="001A2146"/>
    <w:rsid w:val="001A2A5C"/>
    <w:rsid w:val="001A39D3"/>
    <w:rsid w:val="001A3F8B"/>
    <w:rsid w:val="001A544E"/>
    <w:rsid w:val="001A5F36"/>
    <w:rsid w:val="001A6381"/>
    <w:rsid w:val="001A66AB"/>
    <w:rsid w:val="001A66BD"/>
    <w:rsid w:val="001A6A88"/>
    <w:rsid w:val="001A705E"/>
    <w:rsid w:val="001A7397"/>
    <w:rsid w:val="001A74AD"/>
    <w:rsid w:val="001A7B47"/>
    <w:rsid w:val="001A7B91"/>
    <w:rsid w:val="001B01C2"/>
    <w:rsid w:val="001B0725"/>
    <w:rsid w:val="001B135B"/>
    <w:rsid w:val="001B1507"/>
    <w:rsid w:val="001B1B7C"/>
    <w:rsid w:val="001B299D"/>
    <w:rsid w:val="001B348B"/>
    <w:rsid w:val="001B36A3"/>
    <w:rsid w:val="001B3DDD"/>
    <w:rsid w:val="001B5539"/>
    <w:rsid w:val="001B572B"/>
    <w:rsid w:val="001B5F51"/>
    <w:rsid w:val="001B7B66"/>
    <w:rsid w:val="001C01CE"/>
    <w:rsid w:val="001C0D4E"/>
    <w:rsid w:val="001C0DEA"/>
    <w:rsid w:val="001C1195"/>
    <w:rsid w:val="001C29BF"/>
    <w:rsid w:val="001C2B26"/>
    <w:rsid w:val="001C32CE"/>
    <w:rsid w:val="001C3748"/>
    <w:rsid w:val="001C41E0"/>
    <w:rsid w:val="001C450B"/>
    <w:rsid w:val="001C46B2"/>
    <w:rsid w:val="001C4BD1"/>
    <w:rsid w:val="001C4FB9"/>
    <w:rsid w:val="001C5D6D"/>
    <w:rsid w:val="001C65C2"/>
    <w:rsid w:val="001C6A48"/>
    <w:rsid w:val="001C7D85"/>
    <w:rsid w:val="001C7F3F"/>
    <w:rsid w:val="001D0714"/>
    <w:rsid w:val="001D0998"/>
    <w:rsid w:val="001D0AD4"/>
    <w:rsid w:val="001D0CE0"/>
    <w:rsid w:val="001D1D7D"/>
    <w:rsid w:val="001D318A"/>
    <w:rsid w:val="001D3553"/>
    <w:rsid w:val="001D3BC4"/>
    <w:rsid w:val="001D47F4"/>
    <w:rsid w:val="001D4B9E"/>
    <w:rsid w:val="001D5C0D"/>
    <w:rsid w:val="001D6035"/>
    <w:rsid w:val="001D6434"/>
    <w:rsid w:val="001D7DC1"/>
    <w:rsid w:val="001D7E63"/>
    <w:rsid w:val="001E0BAE"/>
    <w:rsid w:val="001E1740"/>
    <w:rsid w:val="001E1F73"/>
    <w:rsid w:val="001E2496"/>
    <w:rsid w:val="001E3958"/>
    <w:rsid w:val="001E3BF8"/>
    <w:rsid w:val="001E5754"/>
    <w:rsid w:val="001E5806"/>
    <w:rsid w:val="001E5935"/>
    <w:rsid w:val="001E674C"/>
    <w:rsid w:val="001E67D0"/>
    <w:rsid w:val="001E741C"/>
    <w:rsid w:val="001E7AC2"/>
    <w:rsid w:val="001F0AB0"/>
    <w:rsid w:val="001F0ABE"/>
    <w:rsid w:val="001F0B3D"/>
    <w:rsid w:val="001F0C86"/>
    <w:rsid w:val="001F182D"/>
    <w:rsid w:val="001F2054"/>
    <w:rsid w:val="001F2221"/>
    <w:rsid w:val="001F2958"/>
    <w:rsid w:val="001F2B74"/>
    <w:rsid w:val="001F35E8"/>
    <w:rsid w:val="001F4985"/>
    <w:rsid w:val="001F6C07"/>
    <w:rsid w:val="001F724B"/>
    <w:rsid w:val="001F740D"/>
    <w:rsid w:val="001F7554"/>
    <w:rsid w:val="00200C59"/>
    <w:rsid w:val="00200C6D"/>
    <w:rsid w:val="00201353"/>
    <w:rsid w:val="002028FE"/>
    <w:rsid w:val="00203B17"/>
    <w:rsid w:val="00203DB0"/>
    <w:rsid w:val="002055BA"/>
    <w:rsid w:val="00206560"/>
    <w:rsid w:val="0020681B"/>
    <w:rsid w:val="00207275"/>
    <w:rsid w:val="00210A81"/>
    <w:rsid w:val="00210D42"/>
    <w:rsid w:val="00212126"/>
    <w:rsid w:val="0021242D"/>
    <w:rsid w:val="002143E5"/>
    <w:rsid w:val="00214705"/>
    <w:rsid w:val="00215337"/>
    <w:rsid w:val="00215380"/>
    <w:rsid w:val="002156E7"/>
    <w:rsid w:val="00215D3A"/>
    <w:rsid w:val="002162A5"/>
    <w:rsid w:val="0022044A"/>
    <w:rsid w:val="002204D9"/>
    <w:rsid w:val="00220D9B"/>
    <w:rsid w:val="002210FA"/>
    <w:rsid w:val="00221925"/>
    <w:rsid w:val="00221A64"/>
    <w:rsid w:val="0022286A"/>
    <w:rsid w:val="002228D2"/>
    <w:rsid w:val="00222A6B"/>
    <w:rsid w:val="002234C1"/>
    <w:rsid w:val="002236C4"/>
    <w:rsid w:val="00223D55"/>
    <w:rsid w:val="00224D8E"/>
    <w:rsid w:val="0022548C"/>
    <w:rsid w:val="0022552B"/>
    <w:rsid w:val="00225AD5"/>
    <w:rsid w:val="00226AAE"/>
    <w:rsid w:val="00227FAE"/>
    <w:rsid w:val="00230017"/>
    <w:rsid w:val="0023079A"/>
    <w:rsid w:val="00230A52"/>
    <w:rsid w:val="00230ADF"/>
    <w:rsid w:val="00231E5F"/>
    <w:rsid w:val="00233F0F"/>
    <w:rsid w:val="00234921"/>
    <w:rsid w:val="00235126"/>
    <w:rsid w:val="00235583"/>
    <w:rsid w:val="002365E5"/>
    <w:rsid w:val="002367E5"/>
    <w:rsid w:val="00236A29"/>
    <w:rsid w:val="00236BBA"/>
    <w:rsid w:val="00237E84"/>
    <w:rsid w:val="00240107"/>
    <w:rsid w:val="00241FDB"/>
    <w:rsid w:val="002441A5"/>
    <w:rsid w:val="00244AAF"/>
    <w:rsid w:val="002450BD"/>
    <w:rsid w:val="002455C7"/>
    <w:rsid w:val="00245EF3"/>
    <w:rsid w:val="002468AF"/>
    <w:rsid w:val="0024725E"/>
    <w:rsid w:val="002472B0"/>
    <w:rsid w:val="00247FC0"/>
    <w:rsid w:val="00250404"/>
    <w:rsid w:val="00250419"/>
    <w:rsid w:val="00250AFE"/>
    <w:rsid w:val="00250BEA"/>
    <w:rsid w:val="002512B0"/>
    <w:rsid w:val="00251327"/>
    <w:rsid w:val="00251801"/>
    <w:rsid w:val="00251E27"/>
    <w:rsid w:val="00252012"/>
    <w:rsid w:val="002527AF"/>
    <w:rsid w:val="002528F6"/>
    <w:rsid w:val="00252A6F"/>
    <w:rsid w:val="0025309E"/>
    <w:rsid w:val="0025356A"/>
    <w:rsid w:val="00254033"/>
    <w:rsid w:val="002549B2"/>
    <w:rsid w:val="00254D12"/>
    <w:rsid w:val="0025503F"/>
    <w:rsid w:val="00255A1A"/>
    <w:rsid w:val="00255B0A"/>
    <w:rsid w:val="002560E9"/>
    <w:rsid w:val="002573CE"/>
    <w:rsid w:val="002575FA"/>
    <w:rsid w:val="00260FE6"/>
    <w:rsid w:val="00261DF6"/>
    <w:rsid w:val="0026217A"/>
    <w:rsid w:val="00262DA1"/>
    <w:rsid w:val="00262F54"/>
    <w:rsid w:val="00263433"/>
    <w:rsid w:val="0026390A"/>
    <w:rsid w:val="00263EF6"/>
    <w:rsid w:val="002642B2"/>
    <w:rsid w:val="00265DD9"/>
    <w:rsid w:val="00267128"/>
    <w:rsid w:val="00267400"/>
    <w:rsid w:val="0026792A"/>
    <w:rsid w:val="0027021B"/>
    <w:rsid w:val="00270AAA"/>
    <w:rsid w:val="002710E3"/>
    <w:rsid w:val="002711FC"/>
    <w:rsid w:val="00271BE9"/>
    <w:rsid w:val="002728D0"/>
    <w:rsid w:val="002731D6"/>
    <w:rsid w:val="00273D56"/>
    <w:rsid w:val="00273F3E"/>
    <w:rsid w:val="00273F65"/>
    <w:rsid w:val="00274701"/>
    <w:rsid w:val="00274982"/>
    <w:rsid w:val="00275840"/>
    <w:rsid w:val="00275E38"/>
    <w:rsid w:val="00276479"/>
    <w:rsid w:val="0027719E"/>
    <w:rsid w:val="0027768A"/>
    <w:rsid w:val="00277AAB"/>
    <w:rsid w:val="00277B1E"/>
    <w:rsid w:val="00280519"/>
    <w:rsid w:val="0028106A"/>
    <w:rsid w:val="00281795"/>
    <w:rsid w:val="00281D2A"/>
    <w:rsid w:val="00281D63"/>
    <w:rsid w:val="00284AAD"/>
    <w:rsid w:val="00285133"/>
    <w:rsid w:val="00285745"/>
    <w:rsid w:val="002860BB"/>
    <w:rsid w:val="00286AF6"/>
    <w:rsid w:val="00286FDA"/>
    <w:rsid w:val="00290035"/>
    <w:rsid w:val="002902BF"/>
    <w:rsid w:val="0029079A"/>
    <w:rsid w:val="00290A3B"/>
    <w:rsid w:val="00290E4E"/>
    <w:rsid w:val="00291031"/>
    <w:rsid w:val="00293725"/>
    <w:rsid w:val="00294099"/>
    <w:rsid w:val="00294DFF"/>
    <w:rsid w:val="00296F3B"/>
    <w:rsid w:val="002974A3"/>
    <w:rsid w:val="00297815"/>
    <w:rsid w:val="00297D4C"/>
    <w:rsid w:val="002A0404"/>
    <w:rsid w:val="002A0714"/>
    <w:rsid w:val="002A1649"/>
    <w:rsid w:val="002A1D0B"/>
    <w:rsid w:val="002A1E4F"/>
    <w:rsid w:val="002A3974"/>
    <w:rsid w:val="002A3BDF"/>
    <w:rsid w:val="002A3F09"/>
    <w:rsid w:val="002A56C4"/>
    <w:rsid w:val="002A5A8E"/>
    <w:rsid w:val="002A69D2"/>
    <w:rsid w:val="002B0729"/>
    <w:rsid w:val="002B0C88"/>
    <w:rsid w:val="002B0D61"/>
    <w:rsid w:val="002B124E"/>
    <w:rsid w:val="002B35AA"/>
    <w:rsid w:val="002B35D4"/>
    <w:rsid w:val="002B53CC"/>
    <w:rsid w:val="002B7C18"/>
    <w:rsid w:val="002C0020"/>
    <w:rsid w:val="002C03F7"/>
    <w:rsid w:val="002C0455"/>
    <w:rsid w:val="002C0945"/>
    <w:rsid w:val="002C0A12"/>
    <w:rsid w:val="002C1325"/>
    <w:rsid w:val="002C19A7"/>
    <w:rsid w:val="002C31C2"/>
    <w:rsid w:val="002C396B"/>
    <w:rsid w:val="002C3E99"/>
    <w:rsid w:val="002C44F9"/>
    <w:rsid w:val="002C4D97"/>
    <w:rsid w:val="002C5897"/>
    <w:rsid w:val="002C616C"/>
    <w:rsid w:val="002C6F95"/>
    <w:rsid w:val="002C73AC"/>
    <w:rsid w:val="002C7885"/>
    <w:rsid w:val="002D08DE"/>
    <w:rsid w:val="002D1A2F"/>
    <w:rsid w:val="002D2CA1"/>
    <w:rsid w:val="002D2D01"/>
    <w:rsid w:val="002D2D99"/>
    <w:rsid w:val="002D31D7"/>
    <w:rsid w:val="002D3495"/>
    <w:rsid w:val="002D3854"/>
    <w:rsid w:val="002D40EA"/>
    <w:rsid w:val="002D448A"/>
    <w:rsid w:val="002D45A7"/>
    <w:rsid w:val="002D5166"/>
    <w:rsid w:val="002D571C"/>
    <w:rsid w:val="002D5DE9"/>
    <w:rsid w:val="002D5EE7"/>
    <w:rsid w:val="002D6039"/>
    <w:rsid w:val="002D60B7"/>
    <w:rsid w:val="002D6120"/>
    <w:rsid w:val="002D6412"/>
    <w:rsid w:val="002D7A93"/>
    <w:rsid w:val="002D7E96"/>
    <w:rsid w:val="002E01A8"/>
    <w:rsid w:val="002E0849"/>
    <w:rsid w:val="002E1332"/>
    <w:rsid w:val="002E1C82"/>
    <w:rsid w:val="002E1EA2"/>
    <w:rsid w:val="002E4814"/>
    <w:rsid w:val="002E499A"/>
    <w:rsid w:val="002E5027"/>
    <w:rsid w:val="002E54D1"/>
    <w:rsid w:val="002E596B"/>
    <w:rsid w:val="002E5F12"/>
    <w:rsid w:val="002E7184"/>
    <w:rsid w:val="002F04A6"/>
    <w:rsid w:val="002F2696"/>
    <w:rsid w:val="002F3313"/>
    <w:rsid w:val="002F35E4"/>
    <w:rsid w:val="002F38E5"/>
    <w:rsid w:val="002F48D0"/>
    <w:rsid w:val="002F4916"/>
    <w:rsid w:val="002F5744"/>
    <w:rsid w:val="002F583A"/>
    <w:rsid w:val="002F5908"/>
    <w:rsid w:val="002F6062"/>
    <w:rsid w:val="002F6809"/>
    <w:rsid w:val="002F6A6D"/>
    <w:rsid w:val="002F7E33"/>
    <w:rsid w:val="003000B8"/>
    <w:rsid w:val="00300424"/>
    <w:rsid w:val="00300437"/>
    <w:rsid w:val="00300461"/>
    <w:rsid w:val="003004B0"/>
    <w:rsid w:val="00300AAD"/>
    <w:rsid w:val="00301393"/>
    <w:rsid w:val="00301729"/>
    <w:rsid w:val="00302975"/>
    <w:rsid w:val="003038D2"/>
    <w:rsid w:val="00303D92"/>
    <w:rsid w:val="00304422"/>
    <w:rsid w:val="00305699"/>
    <w:rsid w:val="003058BB"/>
    <w:rsid w:val="00305BCF"/>
    <w:rsid w:val="00306320"/>
    <w:rsid w:val="00306EA2"/>
    <w:rsid w:val="00307590"/>
    <w:rsid w:val="00310F9F"/>
    <w:rsid w:val="00311E48"/>
    <w:rsid w:val="00312613"/>
    <w:rsid w:val="00313C15"/>
    <w:rsid w:val="00314450"/>
    <w:rsid w:val="00314E2A"/>
    <w:rsid w:val="003150DE"/>
    <w:rsid w:val="00315C88"/>
    <w:rsid w:val="00317112"/>
    <w:rsid w:val="00317DA5"/>
    <w:rsid w:val="00320819"/>
    <w:rsid w:val="00321351"/>
    <w:rsid w:val="00321772"/>
    <w:rsid w:val="003233BF"/>
    <w:rsid w:val="00323B9F"/>
    <w:rsid w:val="003242A3"/>
    <w:rsid w:val="00326043"/>
    <w:rsid w:val="003266A5"/>
    <w:rsid w:val="00326F09"/>
    <w:rsid w:val="0032766B"/>
    <w:rsid w:val="00327F6B"/>
    <w:rsid w:val="003305FF"/>
    <w:rsid w:val="00330D00"/>
    <w:rsid w:val="00330FFA"/>
    <w:rsid w:val="00331436"/>
    <w:rsid w:val="00331A1C"/>
    <w:rsid w:val="0033202A"/>
    <w:rsid w:val="00332190"/>
    <w:rsid w:val="003325D3"/>
    <w:rsid w:val="00332AB3"/>
    <w:rsid w:val="003331EF"/>
    <w:rsid w:val="00333748"/>
    <w:rsid w:val="00334359"/>
    <w:rsid w:val="00334396"/>
    <w:rsid w:val="0033459C"/>
    <w:rsid w:val="00334B4A"/>
    <w:rsid w:val="00335173"/>
    <w:rsid w:val="00335444"/>
    <w:rsid w:val="00335B0C"/>
    <w:rsid w:val="00336657"/>
    <w:rsid w:val="00336922"/>
    <w:rsid w:val="00336A70"/>
    <w:rsid w:val="00336E00"/>
    <w:rsid w:val="003374F6"/>
    <w:rsid w:val="003379F1"/>
    <w:rsid w:val="0034044B"/>
    <w:rsid w:val="00340798"/>
    <w:rsid w:val="00340C68"/>
    <w:rsid w:val="00340FFB"/>
    <w:rsid w:val="003414A8"/>
    <w:rsid w:val="00342180"/>
    <w:rsid w:val="00342D20"/>
    <w:rsid w:val="00342F71"/>
    <w:rsid w:val="00343F40"/>
    <w:rsid w:val="003446A0"/>
    <w:rsid w:val="003450D6"/>
    <w:rsid w:val="0034603C"/>
    <w:rsid w:val="003460D2"/>
    <w:rsid w:val="003469B5"/>
    <w:rsid w:val="00346C4D"/>
    <w:rsid w:val="00346CE0"/>
    <w:rsid w:val="0035030A"/>
    <w:rsid w:val="00350C50"/>
    <w:rsid w:val="003513B1"/>
    <w:rsid w:val="00351DB0"/>
    <w:rsid w:val="00352977"/>
    <w:rsid w:val="00356781"/>
    <w:rsid w:val="00356880"/>
    <w:rsid w:val="00356FC2"/>
    <w:rsid w:val="003572A9"/>
    <w:rsid w:val="003603B0"/>
    <w:rsid w:val="003617B6"/>
    <w:rsid w:val="003618B1"/>
    <w:rsid w:val="00361B59"/>
    <w:rsid w:val="00362410"/>
    <w:rsid w:val="00363F63"/>
    <w:rsid w:val="003675BE"/>
    <w:rsid w:val="003678E8"/>
    <w:rsid w:val="00367A0B"/>
    <w:rsid w:val="003733DE"/>
    <w:rsid w:val="003738CA"/>
    <w:rsid w:val="00373B71"/>
    <w:rsid w:val="003741A8"/>
    <w:rsid w:val="00374B87"/>
    <w:rsid w:val="00375E3A"/>
    <w:rsid w:val="00376194"/>
    <w:rsid w:val="0037641F"/>
    <w:rsid w:val="003769C8"/>
    <w:rsid w:val="00376DC2"/>
    <w:rsid w:val="0037737E"/>
    <w:rsid w:val="00377419"/>
    <w:rsid w:val="003777C8"/>
    <w:rsid w:val="00377A82"/>
    <w:rsid w:val="00377D3C"/>
    <w:rsid w:val="00377D52"/>
    <w:rsid w:val="00381ABB"/>
    <w:rsid w:val="00381CAD"/>
    <w:rsid w:val="00382858"/>
    <w:rsid w:val="0038315F"/>
    <w:rsid w:val="00384003"/>
    <w:rsid w:val="00384A60"/>
    <w:rsid w:val="00384E16"/>
    <w:rsid w:val="003852F8"/>
    <w:rsid w:val="003857A7"/>
    <w:rsid w:val="003869C5"/>
    <w:rsid w:val="00387AAB"/>
    <w:rsid w:val="00387CA9"/>
    <w:rsid w:val="00390246"/>
    <w:rsid w:val="003911A3"/>
    <w:rsid w:val="003916E1"/>
    <w:rsid w:val="0039188A"/>
    <w:rsid w:val="00391C23"/>
    <w:rsid w:val="00392598"/>
    <w:rsid w:val="00393329"/>
    <w:rsid w:val="003950B1"/>
    <w:rsid w:val="00395A6B"/>
    <w:rsid w:val="0039676D"/>
    <w:rsid w:val="00396A37"/>
    <w:rsid w:val="00396B42"/>
    <w:rsid w:val="0039781F"/>
    <w:rsid w:val="00397A1F"/>
    <w:rsid w:val="00397CFB"/>
    <w:rsid w:val="003A0643"/>
    <w:rsid w:val="003A0D26"/>
    <w:rsid w:val="003A1154"/>
    <w:rsid w:val="003A1E78"/>
    <w:rsid w:val="003A2D10"/>
    <w:rsid w:val="003A2E5E"/>
    <w:rsid w:val="003A376B"/>
    <w:rsid w:val="003A5D64"/>
    <w:rsid w:val="003A5F84"/>
    <w:rsid w:val="003A6244"/>
    <w:rsid w:val="003A6702"/>
    <w:rsid w:val="003A77C0"/>
    <w:rsid w:val="003A7F70"/>
    <w:rsid w:val="003B079F"/>
    <w:rsid w:val="003B0A77"/>
    <w:rsid w:val="003B1281"/>
    <w:rsid w:val="003B13C5"/>
    <w:rsid w:val="003B162B"/>
    <w:rsid w:val="003B1957"/>
    <w:rsid w:val="003B2E0A"/>
    <w:rsid w:val="003B3561"/>
    <w:rsid w:val="003B35EF"/>
    <w:rsid w:val="003B3FBE"/>
    <w:rsid w:val="003B41AA"/>
    <w:rsid w:val="003B4892"/>
    <w:rsid w:val="003B4ACD"/>
    <w:rsid w:val="003B4E55"/>
    <w:rsid w:val="003B5174"/>
    <w:rsid w:val="003B5331"/>
    <w:rsid w:val="003B570E"/>
    <w:rsid w:val="003B5BA6"/>
    <w:rsid w:val="003B5C44"/>
    <w:rsid w:val="003B636A"/>
    <w:rsid w:val="003B63C0"/>
    <w:rsid w:val="003B784D"/>
    <w:rsid w:val="003C0497"/>
    <w:rsid w:val="003C0C89"/>
    <w:rsid w:val="003C0D88"/>
    <w:rsid w:val="003C102F"/>
    <w:rsid w:val="003C113C"/>
    <w:rsid w:val="003C1206"/>
    <w:rsid w:val="003C1A02"/>
    <w:rsid w:val="003C1A0A"/>
    <w:rsid w:val="003C1E5A"/>
    <w:rsid w:val="003C2BF9"/>
    <w:rsid w:val="003C3073"/>
    <w:rsid w:val="003C484F"/>
    <w:rsid w:val="003C584B"/>
    <w:rsid w:val="003C68EB"/>
    <w:rsid w:val="003C6C95"/>
    <w:rsid w:val="003C6F21"/>
    <w:rsid w:val="003C7928"/>
    <w:rsid w:val="003D1336"/>
    <w:rsid w:val="003D1A71"/>
    <w:rsid w:val="003D1F32"/>
    <w:rsid w:val="003D23AA"/>
    <w:rsid w:val="003D2DE2"/>
    <w:rsid w:val="003D3DC8"/>
    <w:rsid w:val="003D617D"/>
    <w:rsid w:val="003D6616"/>
    <w:rsid w:val="003D7451"/>
    <w:rsid w:val="003D7D67"/>
    <w:rsid w:val="003E00D4"/>
    <w:rsid w:val="003E00F2"/>
    <w:rsid w:val="003E0A96"/>
    <w:rsid w:val="003E181C"/>
    <w:rsid w:val="003E28BA"/>
    <w:rsid w:val="003E2DC0"/>
    <w:rsid w:val="003E31D4"/>
    <w:rsid w:val="003E3DDC"/>
    <w:rsid w:val="003E42D8"/>
    <w:rsid w:val="003E6C69"/>
    <w:rsid w:val="003E6D03"/>
    <w:rsid w:val="003E7260"/>
    <w:rsid w:val="003E74F9"/>
    <w:rsid w:val="003E77E7"/>
    <w:rsid w:val="003E7F37"/>
    <w:rsid w:val="003F008B"/>
    <w:rsid w:val="003F0DE3"/>
    <w:rsid w:val="003F161A"/>
    <w:rsid w:val="003F17B8"/>
    <w:rsid w:val="003F1B44"/>
    <w:rsid w:val="003F1EA8"/>
    <w:rsid w:val="003F2120"/>
    <w:rsid w:val="003F21D6"/>
    <w:rsid w:val="003F292F"/>
    <w:rsid w:val="003F2C1D"/>
    <w:rsid w:val="003F3C22"/>
    <w:rsid w:val="003F4957"/>
    <w:rsid w:val="003F49ED"/>
    <w:rsid w:val="003F4C33"/>
    <w:rsid w:val="003F5F32"/>
    <w:rsid w:val="003F7C43"/>
    <w:rsid w:val="00400B2B"/>
    <w:rsid w:val="00400E3B"/>
    <w:rsid w:val="004017CE"/>
    <w:rsid w:val="00401958"/>
    <w:rsid w:val="00401994"/>
    <w:rsid w:val="00401F60"/>
    <w:rsid w:val="004021D6"/>
    <w:rsid w:val="004025C7"/>
    <w:rsid w:val="00402B50"/>
    <w:rsid w:val="00403510"/>
    <w:rsid w:val="00403756"/>
    <w:rsid w:val="00403E4C"/>
    <w:rsid w:val="0040441F"/>
    <w:rsid w:val="00404503"/>
    <w:rsid w:val="00407D6F"/>
    <w:rsid w:val="00410168"/>
    <w:rsid w:val="004101B6"/>
    <w:rsid w:val="0041056C"/>
    <w:rsid w:val="00410661"/>
    <w:rsid w:val="00411168"/>
    <w:rsid w:val="0041205F"/>
    <w:rsid w:val="004133E3"/>
    <w:rsid w:val="00413974"/>
    <w:rsid w:val="00413BD3"/>
    <w:rsid w:val="00416988"/>
    <w:rsid w:val="00417253"/>
    <w:rsid w:val="00417CC7"/>
    <w:rsid w:val="00417F93"/>
    <w:rsid w:val="004200D8"/>
    <w:rsid w:val="00422DB3"/>
    <w:rsid w:val="00422E4E"/>
    <w:rsid w:val="004231B7"/>
    <w:rsid w:val="00423818"/>
    <w:rsid w:val="00423C4E"/>
    <w:rsid w:val="00424137"/>
    <w:rsid w:val="00424535"/>
    <w:rsid w:val="0042461C"/>
    <w:rsid w:val="00425387"/>
    <w:rsid w:val="0042548C"/>
    <w:rsid w:val="004255CD"/>
    <w:rsid w:val="00426166"/>
    <w:rsid w:val="00430304"/>
    <w:rsid w:val="00430A09"/>
    <w:rsid w:val="004311D0"/>
    <w:rsid w:val="00431389"/>
    <w:rsid w:val="0043168B"/>
    <w:rsid w:val="004316BD"/>
    <w:rsid w:val="0043203F"/>
    <w:rsid w:val="004323AD"/>
    <w:rsid w:val="00432AA5"/>
    <w:rsid w:val="00432D1F"/>
    <w:rsid w:val="0043310A"/>
    <w:rsid w:val="00433766"/>
    <w:rsid w:val="00434AFE"/>
    <w:rsid w:val="00434E8E"/>
    <w:rsid w:val="00436091"/>
    <w:rsid w:val="00436140"/>
    <w:rsid w:val="00436344"/>
    <w:rsid w:val="00437948"/>
    <w:rsid w:val="004401DE"/>
    <w:rsid w:val="004403BE"/>
    <w:rsid w:val="00440A78"/>
    <w:rsid w:val="004417E3"/>
    <w:rsid w:val="00441FE7"/>
    <w:rsid w:val="004425A7"/>
    <w:rsid w:val="00443D9E"/>
    <w:rsid w:val="0044410A"/>
    <w:rsid w:val="00445642"/>
    <w:rsid w:val="00445699"/>
    <w:rsid w:val="0044620E"/>
    <w:rsid w:val="004467CF"/>
    <w:rsid w:val="004470B5"/>
    <w:rsid w:val="00450DB4"/>
    <w:rsid w:val="00454099"/>
    <w:rsid w:val="00455078"/>
    <w:rsid w:val="004558CB"/>
    <w:rsid w:val="00457C8F"/>
    <w:rsid w:val="00461180"/>
    <w:rsid w:val="004612AF"/>
    <w:rsid w:val="00462149"/>
    <w:rsid w:val="00463601"/>
    <w:rsid w:val="00463C58"/>
    <w:rsid w:val="0046545E"/>
    <w:rsid w:val="0046596E"/>
    <w:rsid w:val="00465EF4"/>
    <w:rsid w:val="0046615A"/>
    <w:rsid w:val="0046755A"/>
    <w:rsid w:val="0047000A"/>
    <w:rsid w:val="00470693"/>
    <w:rsid w:val="00470AEE"/>
    <w:rsid w:val="00471863"/>
    <w:rsid w:val="00471B0E"/>
    <w:rsid w:val="00472480"/>
    <w:rsid w:val="00472A66"/>
    <w:rsid w:val="0047361A"/>
    <w:rsid w:val="0047391E"/>
    <w:rsid w:val="00473D09"/>
    <w:rsid w:val="00474161"/>
    <w:rsid w:val="00475F30"/>
    <w:rsid w:val="00475FB5"/>
    <w:rsid w:val="004762F4"/>
    <w:rsid w:val="00476745"/>
    <w:rsid w:val="00476F4E"/>
    <w:rsid w:val="004776EC"/>
    <w:rsid w:val="004777A9"/>
    <w:rsid w:val="00477B6F"/>
    <w:rsid w:val="00480499"/>
    <w:rsid w:val="00481F0B"/>
    <w:rsid w:val="00482811"/>
    <w:rsid w:val="00482E6E"/>
    <w:rsid w:val="004837EB"/>
    <w:rsid w:val="004838CB"/>
    <w:rsid w:val="00483E0C"/>
    <w:rsid w:val="00483F96"/>
    <w:rsid w:val="00484E8D"/>
    <w:rsid w:val="00485042"/>
    <w:rsid w:val="0048535B"/>
    <w:rsid w:val="00486A07"/>
    <w:rsid w:val="00487536"/>
    <w:rsid w:val="00487943"/>
    <w:rsid w:val="00487B22"/>
    <w:rsid w:val="00487E1D"/>
    <w:rsid w:val="00493B6D"/>
    <w:rsid w:val="00493D28"/>
    <w:rsid w:val="00494707"/>
    <w:rsid w:val="0049480C"/>
    <w:rsid w:val="00494AC6"/>
    <w:rsid w:val="00494D6C"/>
    <w:rsid w:val="004950BF"/>
    <w:rsid w:val="00495330"/>
    <w:rsid w:val="00495716"/>
    <w:rsid w:val="00495E93"/>
    <w:rsid w:val="00496859"/>
    <w:rsid w:val="00496B00"/>
    <w:rsid w:val="00496E17"/>
    <w:rsid w:val="004974BA"/>
    <w:rsid w:val="004A02A6"/>
    <w:rsid w:val="004A03FE"/>
    <w:rsid w:val="004A14BC"/>
    <w:rsid w:val="004A162C"/>
    <w:rsid w:val="004A1DDF"/>
    <w:rsid w:val="004A1E3E"/>
    <w:rsid w:val="004A217E"/>
    <w:rsid w:val="004A28BA"/>
    <w:rsid w:val="004A33DF"/>
    <w:rsid w:val="004A377B"/>
    <w:rsid w:val="004A3B11"/>
    <w:rsid w:val="004A5112"/>
    <w:rsid w:val="004A539F"/>
    <w:rsid w:val="004A5A81"/>
    <w:rsid w:val="004A5C1A"/>
    <w:rsid w:val="004A5E58"/>
    <w:rsid w:val="004A5EF1"/>
    <w:rsid w:val="004A65EE"/>
    <w:rsid w:val="004A7379"/>
    <w:rsid w:val="004A7A09"/>
    <w:rsid w:val="004A7AEA"/>
    <w:rsid w:val="004A7B2A"/>
    <w:rsid w:val="004B0901"/>
    <w:rsid w:val="004B0BBB"/>
    <w:rsid w:val="004B1188"/>
    <w:rsid w:val="004B1984"/>
    <w:rsid w:val="004B47C7"/>
    <w:rsid w:val="004B5398"/>
    <w:rsid w:val="004B5C6E"/>
    <w:rsid w:val="004B652B"/>
    <w:rsid w:val="004B7EAE"/>
    <w:rsid w:val="004C0BEB"/>
    <w:rsid w:val="004C1104"/>
    <w:rsid w:val="004C147F"/>
    <w:rsid w:val="004C189E"/>
    <w:rsid w:val="004C19DC"/>
    <w:rsid w:val="004C254E"/>
    <w:rsid w:val="004C2751"/>
    <w:rsid w:val="004C2D6E"/>
    <w:rsid w:val="004C31B7"/>
    <w:rsid w:val="004C4152"/>
    <w:rsid w:val="004C4A6F"/>
    <w:rsid w:val="004C56B5"/>
    <w:rsid w:val="004C5972"/>
    <w:rsid w:val="004C5EAC"/>
    <w:rsid w:val="004C618E"/>
    <w:rsid w:val="004C6826"/>
    <w:rsid w:val="004C76D6"/>
    <w:rsid w:val="004D01AF"/>
    <w:rsid w:val="004D0B18"/>
    <w:rsid w:val="004D0DDB"/>
    <w:rsid w:val="004D0E16"/>
    <w:rsid w:val="004D1622"/>
    <w:rsid w:val="004D1BFB"/>
    <w:rsid w:val="004D1D43"/>
    <w:rsid w:val="004D1E6F"/>
    <w:rsid w:val="004D2039"/>
    <w:rsid w:val="004D3180"/>
    <w:rsid w:val="004D48B8"/>
    <w:rsid w:val="004D4C39"/>
    <w:rsid w:val="004D52CC"/>
    <w:rsid w:val="004D54DC"/>
    <w:rsid w:val="004D5A29"/>
    <w:rsid w:val="004D5BA1"/>
    <w:rsid w:val="004D5C98"/>
    <w:rsid w:val="004D7049"/>
    <w:rsid w:val="004D7579"/>
    <w:rsid w:val="004D7B80"/>
    <w:rsid w:val="004E0669"/>
    <w:rsid w:val="004E087E"/>
    <w:rsid w:val="004E0A46"/>
    <w:rsid w:val="004E1B31"/>
    <w:rsid w:val="004E1C4A"/>
    <w:rsid w:val="004E2150"/>
    <w:rsid w:val="004E2795"/>
    <w:rsid w:val="004E28FC"/>
    <w:rsid w:val="004E3E6E"/>
    <w:rsid w:val="004E4782"/>
    <w:rsid w:val="004E4AAA"/>
    <w:rsid w:val="004E4B29"/>
    <w:rsid w:val="004E4B7A"/>
    <w:rsid w:val="004E4C80"/>
    <w:rsid w:val="004E533C"/>
    <w:rsid w:val="004E6185"/>
    <w:rsid w:val="004E6790"/>
    <w:rsid w:val="004E7369"/>
    <w:rsid w:val="004F0B16"/>
    <w:rsid w:val="004F1A88"/>
    <w:rsid w:val="004F1CEB"/>
    <w:rsid w:val="004F2D47"/>
    <w:rsid w:val="004F47C0"/>
    <w:rsid w:val="004F6F95"/>
    <w:rsid w:val="00500548"/>
    <w:rsid w:val="005013C2"/>
    <w:rsid w:val="00501D46"/>
    <w:rsid w:val="00502993"/>
    <w:rsid w:val="00502D4F"/>
    <w:rsid w:val="0050318B"/>
    <w:rsid w:val="00503204"/>
    <w:rsid w:val="0050351D"/>
    <w:rsid w:val="005036B8"/>
    <w:rsid w:val="00503D26"/>
    <w:rsid w:val="00503DD6"/>
    <w:rsid w:val="005048A1"/>
    <w:rsid w:val="00505299"/>
    <w:rsid w:val="00505D2D"/>
    <w:rsid w:val="005062F8"/>
    <w:rsid w:val="005069AC"/>
    <w:rsid w:val="00506DB2"/>
    <w:rsid w:val="0051057D"/>
    <w:rsid w:val="00510B3D"/>
    <w:rsid w:val="0051117B"/>
    <w:rsid w:val="00511518"/>
    <w:rsid w:val="00512C91"/>
    <w:rsid w:val="00513ABE"/>
    <w:rsid w:val="00515808"/>
    <w:rsid w:val="00516864"/>
    <w:rsid w:val="00517282"/>
    <w:rsid w:val="005174E1"/>
    <w:rsid w:val="00521196"/>
    <w:rsid w:val="005218B2"/>
    <w:rsid w:val="00521C48"/>
    <w:rsid w:val="00521D89"/>
    <w:rsid w:val="00521E2E"/>
    <w:rsid w:val="00522D0B"/>
    <w:rsid w:val="00523372"/>
    <w:rsid w:val="0052405D"/>
    <w:rsid w:val="005244B1"/>
    <w:rsid w:val="0052737D"/>
    <w:rsid w:val="00527AB9"/>
    <w:rsid w:val="00527B5C"/>
    <w:rsid w:val="00527D85"/>
    <w:rsid w:val="005301A4"/>
    <w:rsid w:val="00531094"/>
    <w:rsid w:val="00531DF0"/>
    <w:rsid w:val="00531F33"/>
    <w:rsid w:val="005334F9"/>
    <w:rsid w:val="00534077"/>
    <w:rsid w:val="0053457F"/>
    <w:rsid w:val="0053471C"/>
    <w:rsid w:val="00534880"/>
    <w:rsid w:val="005357A7"/>
    <w:rsid w:val="00535EFF"/>
    <w:rsid w:val="00537C0B"/>
    <w:rsid w:val="0054117D"/>
    <w:rsid w:val="005412B0"/>
    <w:rsid w:val="0054299D"/>
    <w:rsid w:val="00543466"/>
    <w:rsid w:val="00543DBA"/>
    <w:rsid w:val="00544483"/>
    <w:rsid w:val="00545467"/>
    <w:rsid w:val="00545666"/>
    <w:rsid w:val="00545690"/>
    <w:rsid w:val="00545B0E"/>
    <w:rsid w:val="00545C16"/>
    <w:rsid w:val="0054669A"/>
    <w:rsid w:val="00546D69"/>
    <w:rsid w:val="005470E7"/>
    <w:rsid w:val="00550013"/>
    <w:rsid w:val="0055023E"/>
    <w:rsid w:val="005508F9"/>
    <w:rsid w:val="005518F8"/>
    <w:rsid w:val="00552B8C"/>
    <w:rsid w:val="00552E89"/>
    <w:rsid w:val="00553A06"/>
    <w:rsid w:val="00553A62"/>
    <w:rsid w:val="00553AA1"/>
    <w:rsid w:val="00553D6E"/>
    <w:rsid w:val="00554047"/>
    <w:rsid w:val="00556162"/>
    <w:rsid w:val="0055630F"/>
    <w:rsid w:val="00556564"/>
    <w:rsid w:val="005577D4"/>
    <w:rsid w:val="005601B1"/>
    <w:rsid w:val="00560647"/>
    <w:rsid w:val="00560BD0"/>
    <w:rsid w:val="005628CE"/>
    <w:rsid w:val="00562A42"/>
    <w:rsid w:val="005637D5"/>
    <w:rsid w:val="00563AD6"/>
    <w:rsid w:val="005648BC"/>
    <w:rsid w:val="00566B24"/>
    <w:rsid w:val="00566F25"/>
    <w:rsid w:val="005676BD"/>
    <w:rsid w:val="00567E86"/>
    <w:rsid w:val="00567F01"/>
    <w:rsid w:val="00570021"/>
    <w:rsid w:val="00570F76"/>
    <w:rsid w:val="00571043"/>
    <w:rsid w:val="00571121"/>
    <w:rsid w:val="00571BDB"/>
    <w:rsid w:val="00571C87"/>
    <w:rsid w:val="00571DFA"/>
    <w:rsid w:val="005725F2"/>
    <w:rsid w:val="00573A71"/>
    <w:rsid w:val="00573D7A"/>
    <w:rsid w:val="005773A8"/>
    <w:rsid w:val="00580224"/>
    <w:rsid w:val="0058305C"/>
    <w:rsid w:val="0058314E"/>
    <w:rsid w:val="00583EE8"/>
    <w:rsid w:val="0058404B"/>
    <w:rsid w:val="005840A4"/>
    <w:rsid w:val="00584788"/>
    <w:rsid w:val="00585785"/>
    <w:rsid w:val="00585C8D"/>
    <w:rsid w:val="00587A09"/>
    <w:rsid w:val="005905AF"/>
    <w:rsid w:val="00590738"/>
    <w:rsid w:val="00591768"/>
    <w:rsid w:val="005928C0"/>
    <w:rsid w:val="005933BA"/>
    <w:rsid w:val="005935E7"/>
    <w:rsid w:val="0059463D"/>
    <w:rsid w:val="00596103"/>
    <w:rsid w:val="0059693B"/>
    <w:rsid w:val="005975DF"/>
    <w:rsid w:val="005A0010"/>
    <w:rsid w:val="005A10FF"/>
    <w:rsid w:val="005A2480"/>
    <w:rsid w:val="005A24C5"/>
    <w:rsid w:val="005A3712"/>
    <w:rsid w:val="005A43B2"/>
    <w:rsid w:val="005A53F1"/>
    <w:rsid w:val="005A5986"/>
    <w:rsid w:val="005A5A04"/>
    <w:rsid w:val="005A5C41"/>
    <w:rsid w:val="005A66BE"/>
    <w:rsid w:val="005B0515"/>
    <w:rsid w:val="005B1504"/>
    <w:rsid w:val="005B234D"/>
    <w:rsid w:val="005B24EF"/>
    <w:rsid w:val="005B2967"/>
    <w:rsid w:val="005B3513"/>
    <w:rsid w:val="005B3F87"/>
    <w:rsid w:val="005B4E9A"/>
    <w:rsid w:val="005B4FAD"/>
    <w:rsid w:val="005B512A"/>
    <w:rsid w:val="005B5543"/>
    <w:rsid w:val="005B5E59"/>
    <w:rsid w:val="005B61E2"/>
    <w:rsid w:val="005B7179"/>
    <w:rsid w:val="005B7A59"/>
    <w:rsid w:val="005B7AE7"/>
    <w:rsid w:val="005C0D2B"/>
    <w:rsid w:val="005C1E1F"/>
    <w:rsid w:val="005C22E9"/>
    <w:rsid w:val="005C2BC7"/>
    <w:rsid w:val="005C4C47"/>
    <w:rsid w:val="005C5125"/>
    <w:rsid w:val="005C5132"/>
    <w:rsid w:val="005C54F3"/>
    <w:rsid w:val="005C5A3A"/>
    <w:rsid w:val="005C6334"/>
    <w:rsid w:val="005C6B5F"/>
    <w:rsid w:val="005C7030"/>
    <w:rsid w:val="005C76FE"/>
    <w:rsid w:val="005D029E"/>
    <w:rsid w:val="005D0629"/>
    <w:rsid w:val="005D0EBB"/>
    <w:rsid w:val="005D10F5"/>
    <w:rsid w:val="005D170F"/>
    <w:rsid w:val="005D17E7"/>
    <w:rsid w:val="005D1A1B"/>
    <w:rsid w:val="005D2434"/>
    <w:rsid w:val="005D27DF"/>
    <w:rsid w:val="005D2B37"/>
    <w:rsid w:val="005D40DF"/>
    <w:rsid w:val="005D5843"/>
    <w:rsid w:val="005D60DC"/>
    <w:rsid w:val="005D6457"/>
    <w:rsid w:val="005D790F"/>
    <w:rsid w:val="005E0B49"/>
    <w:rsid w:val="005E13A3"/>
    <w:rsid w:val="005E1488"/>
    <w:rsid w:val="005E1C84"/>
    <w:rsid w:val="005E28DB"/>
    <w:rsid w:val="005E299A"/>
    <w:rsid w:val="005E35AD"/>
    <w:rsid w:val="005E39C2"/>
    <w:rsid w:val="005E3B42"/>
    <w:rsid w:val="005E3EF3"/>
    <w:rsid w:val="005E55D5"/>
    <w:rsid w:val="005E5604"/>
    <w:rsid w:val="005E59E3"/>
    <w:rsid w:val="005E5BDF"/>
    <w:rsid w:val="005E5CA4"/>
    <w:rsid w:val="005E6168"/>
    <w:rsid w:val="005E6CF2"/>
    <w:rsid w:val="005E71A4"/>
    <w:rsid w:val="005F14CB"/>
    <w:rsid w:val="005F1799"/>
    <w:rsid w:val="005F1932"/>
    <w:rsid w:val="005F21A0"/>
    <w:rsid w:val="005F268A"/>
    <w:rsid w:val="005F27D6"/>
    <w:rsid w:val="005F30F4"/>
    <w:rsid w:val="005F4F1B"/>
    <w:rsid w:val="005F5177"/>
    <w:rsid w:val="005F6B90"/>
    <w:rsid w:val="006002EF"/>
    <w:rsid w:val="00601501"/>
    <w:rsid w:val="00602390"/>
    <w:rsid w:val="00602442"/>
    <w:rsid w:val="0060292B"/>
    <w:rsid w:val="00603ACC"/>
    <w:rsid w:val="00603C5D"/>
    <w:rsid w:val="00603CB9"/>
    <w:rsid w:val="00604230"/>
    <w:rsid w:val="00604675"/>
    <w:rsid w:val="00604841"/>
    <w:rsid w:val="00604FAD"/>
    <w:rsid w:val="00607B7E"/>
    <w:rsid w:val="006103ED"/>
    <w:rsid w:val="0061062F"/>
    <w:rsid w:val="00610757"/>
    <w:rsid w:val="00610D47"/>
    <w:rsid w:val="0061134D"/>
    <w:rsid w:val="0061169A"/>
    <w:rsid w:val="00611EB6"/>
    <w:rsid w:val="00611F76"/>
    <w:rsid w:val="00613FA0"/>
    <w:rsid w:val="0061411E"/>
    <w:rsid w:val="00614665"/>
    <w:rsid w:val="00614A92"/>
    <w:rsid w:val="00614E30"/>
    <w:rsid w:val="00615C63"/>
    <w:rsid w:val="00615EAE"/>
    <w:rsid w:val="00616B51"/>
    <w:rsid w:val="00616D85"/>
    <w:rsid w:val="0061739C"/>
    <w:rsid w:val="00617C7A"/>
    <w:rsid w:val="00617FEE"/>
    <w:rsid w:val="00620012"/>
    <w:rsid w:val="00620062"/>
    <w:rsid w:val="0062093E"/>
    <w:rsid w:val="00620A9A"/>
    <w:rsid w:val="00620AED"/>
    <w:rsid w:val="00621188"/>
    <w:rsid w:val="00621FB1"/>
    <w:rsid w:val="006229E7"/>
    <w:rsid w:val="00623CE6"/>
    <w:rsid w:val="00624372"/>
    <w:rsid w:val="00624525"/>
    <w:rsid w:val="0062509F"/>
    <w:rsid w:val="00625948"/>
    <w:rsid w:val="00626EF3"/>
    <w:rsid w:val="006270B4"/>
    <w:rsid w:val="00627E0E"/>
    <w:rsid w:val="00630001"/>
    <w:rsid w:val="006306C0"/>
    <w:rsid w:val="0063121D"/>
    <w:rsid w:val="0063156E"/>
    <w:rsid w:val="006315D0"/>
    <w:rsid w:val="0063243D"/>
    <w:rsid w:val="00632798"/>
    <w:rsid w:val="0063298F"/>
    <w:rsid w:val="0063325D"/>
    <w:rsid w:val="0063378C"/>
    <w:rsid w:val="0063428B"/>
    <w:rsid w:val="006349B0"/>
    <w:rsid w:val="006356C3"/>
    <w:rsid w:val="00636440"/>
    <w:rsid w:val="00637B68"/>
    <w:rsid w:val="00640624"/>
    <w:rsid w:val="00640AC5"/>
    <w:rsid w:val="00640BFF"/>
    <w:rsid w:val="00641073"/>
    <w:rsid w:val="00641902"/>
    <w:rsid w:val="00642AFE"/>
    <w:rsid w:val="00643D92"/>
    <w:rsid w:val="00643FEC"/>
    <w:rsid w:val="00644082"/>
    <w:rsid w:val="00644B66"/>
    <w:rsid w:val="00645A4E"/>
    <w:rsid w:val="006505E0"/>
    <w:rsid w:val="00650F12"/>
    <w:rsid w:val="0065111F"/>
    <w:rsid w:val="0065167F"/>
    <w:rsid w:val="00651818"/>
    <w:rsid w:val="0065184B"/>
    <w:rsid w:val="00651972"/>
    <w:rsid w:val="00651993"/>
    <w:rsid w:val="00651C31"/>
    <w:rsid w:val="00651DFC"/>
    <w:rsid w:val="006522C9"/>
    <w:rsid w:val="006522CE"/>
    <w:rsid w:val="0065239F"/>
    <w:rsid w:val="00652BB0"/>
    <w:rsid w:val="00653081"/>
    <w:rsid w:val="00653985"/>
    <w:rsid w:val="00653E40"/>
    <w:rsid w:val="0065609C"/>
    <w:rsid w:val="00657CC2"/>
    <w:rsid w:val="006613B0"/>
    <w:rsid w:val="00661860"/>
    <w:rsid w:val="00661A0A"/>
    <w:rsid w:val="00661C15"/>
    <w:rsid w:val="00661F8E"/>
    <w:rsid w:val="00663CFE"/>
    <w:rsid w:val="006641CC"/>
    <w:rsid w:val="006659D3"/>
    <w:rsid w:val="00666AC4"/>
    <w:rsid w:val="00666B48"/>
    <w:rsid w:val="00666CD2"/>
    <w:rsid w:val="00666FCA"/>
    <w:rsid w:val="006670BA"/>
    <w:rsid w:val="00667499"/>
    <w:rsid w:val="006679C2"/>
    <w:rsid w:val="00667E92"/>
    <w:rsid w:val="00670857"/>
    <w:rsid w:val="00671ADC"/>
    <w:rsid w:val="00671DC6"/>
    <w:rsid w:val="00672BED"/>
    <w:rsid w:val="006736FA"/>
    <w:rsid w:val="006744A5"/>
    <w:rsid w:val="0067451F"/>
    <w:rsid w:val="00674BF8"/>
    <w:rsid w:val="006752A4"/>
    <w:rsid w:val="0067534C"/>
    <w:rsid w:val="006753BA"/>
    <w:rsid w:val="00675FF9"/>
    <w:rsid w:val="00676221"/>
    <w:rsid w:val="00681330"/>
    <w:rsid w:val="0068181D"/>
    <w:rsid w:val="00681B40"/>
    <w:rsid w:val="00681BA0"/>
    <w:rsid w:val="006843B8"/>
    <w:rsid w:val="0068521A"/>
    <w:rsid w:val="006856CC"/>
    <w:rsid w:val="00685950"/>
    <w:rsid w:val="006861BD"/>
    <w:rsid w:val="00686A8E"/>
    <w:rsid w:val="00686E59"/>
    <w:rsid w:val="00687489"/>
    <w:rsid w:val="00691D30"/>
    <w:rsid w:val="00691F24"/>
    <w:rsid w:val="00692007"/>
    <w:rsid w:val="00692B27"/>
    <w:rsid w:val="00692CE7"/>
    <w:rsid w:val="006932C2"/>
    <w:rsid w:val="006945E2"/>
    <w:rsid w:val="006947A5"/>
    <w:rsid w:val="00694EA8"/>
    <w:rsid w:val="006951D9"/>
    <w:rsid w:val="00695C48"/>
    <w:rsid w:val="00695CD8"/>
    <w:rsid w:val="00695EB4"/>
    <w:rsid w:val="00697207"/>
    <w:rsid w:val="0069784B"/>
    <w:rsid w:val="006979A4"/>
    <w:rsid w:val="006A0958"/>
    <w:rsid w:val="006A0BC5"/>
    <w:rsid w:val="006A12A6"/>
    <w:rsid w:val="006A1A43"/>
    <w:rsid w:val="006A2CE5"/>
    <w:rsid w:val="006A2D1B"/>
    <w:rsid w:val="006A3CD8"/>
    <w:rsid w:val="006A3E35"/>
    <w:rsid w:val="006A415E"/>
    <w:rsid w:val="006A4B70"/>
    <w:rsid w:val="006A5F10"/>
    <w:rsid w:val="006A6199"/>
    <w:rsid w:val="006A630D"/>
    <w:rsid w:val="006A74BF"/>
    <w:rsid w:val="006A7869"/>
    <w:rsid w:val="006A7DAE"/>
    <w:rsid w:val="006B030B"/>
    <w:rsid w:val="006B13E4"/>
    <w:rsid w:val="006B1645"/>
    <w:rsid w:val="006B183B"/>
    <w:rsid w:val="006B189E"/>
    <w:rsid w:val="006B236B"/>
    <w:rsid w:val="006B3CA4"/>
    <w:rsid w:val="006B5121"/>
    <w:rsid w:val="006B5487"/>
    <w:rsid w:val="006B5CA3"/>
    <w:rsid w:val="006B6676"/>
    <w:rsid w:val="006B68D2"/>
    <w:rsid w:val="006B7E3E"/>
    <w:rsid w:val="006B7E8C"/>
    <w:rsid w:val="006C053A"/>
    <w:rsid w:val="006C14E9"/>
    <w:rsid w:val="006C17C1"/>
    <w:rsid w:val="006C1F86"/>
    <w:rsid w:val="006C2902"/>
    <w:rsid w:val="006C2DA1"/>
    <w:rsid w:val="006C3A84"/>
    <w:rsid w:val="006C4594"/>
    <w:rsid w:val="006C46D2"/>
    <w:rsid w:val="006C5A32"/>
    <w:rsid w:val="006C6989"/>
    <w:rsid w:val="006C6B62"/>
    <w:rsid w:val="006C6DC5"/>
    <w:rsid w:val="006D0293"/>
    <w:rsid w:val="006D056E"/>
    <w:rsid w:val="006D1097"/>
    <w:rsid w:val="006D1F10"/>
    <w:rsid w:val="006D2357"/>
    <w:rsid w:val="006D3369"/>
    <w:rsid w:val="006D34B0"/>
    <w:rsid w:val="006D40B8"/>
    <w:rsid w:val="006D411F"/>
    <w:rsid w:val="006D6D24"/>
    <w:rsid w:val="006D6DA1"/>
    <w:rsid w:val="006D7328"/>
    <w:rsid w:val="006D76FB"/>
    <w:rsid w:val="006D7DB7"/>
    <w:rsid w:val="006E0910"/>
    <w:rsid w:val="006E0DFE"/>
    <w:rsid w:val="006E1C51"/>
    <w:rsid w:val="006E2167"/>
    <w:rsid w:val="006E28CE"/>
    <w:rsid w:val="006E39DA"/>
    <w:rsid w:val="006E3B7A"/>
    <w:rsid w:val="006E3F48"/>
    <w:rsid w:val="006E4EE7"/>
    <w:rsid w:val="006E6C1D"/>
    <w:rsid w:val="006E6E97"/>
    <w:rsid w:val="006E746B"/>
    <w:rsid w:val="006F0243"/>
    <w:rsid w:val="006F053D"/>
    <w:rsid w:val="006F24E9"/>
    <w:rsid w:val="006F27A0"/>
    <w:rsid w:val="006F3229"/>
    <w:rsid w:val="006F32EF"/>
    <w:rsid w:val="006F3A6D"/>
    <w:rsid w:val="006F3C61"/>
    <w:rsid w:val="006F3E6F"/>
    <w:rsid w:val="006F403A"/>
    <w:rsid w:val="006F6D36"/>
    <w:rsid w:val="006F6EB7"/>
    <w:rsid w:val="006F6FA2"/>
    <w:rsid w:val="007005EB"/>
    <w:rsid w:val="007014E7"/>
    <w:rsid w:val="00702288"/>
    <w:rsid w:val="00702813"/>
    <w:rsid w:val="0070297D"/>
    <w:rsid w:val="00702EB2"/>
    <w:rsid w:val="00703EB7"/>
    <w:rsid w:val="00703F41"/>
    <w:rsid w:val="007041AE"/>
    <w:rsid w:val="00704608"/>
    <w:rsid w:val="007054C2"/>
    <w:rsid w:val="007060D7"/>
    <w:rsid w:val="00706290"/>
    <w:rsid w:val="007063F8"/>
    <w:rsid w:val="00706A2D"/>
    <w:rsid w:val="00706A7D"/>
    <w:rsid w:val="00707067"/>
    <w:rsid w:val="00707BD0"/>
    <w:rsid w:val="00707E16"/>
    <w:rsid w:val="00711382"/>
    <w:rsid w:val="00711BAE"/>
    <w:rsid w:val="007123A9"/>
    <w:rsid w:val="007139D7"/>
    <w:rsid w:val="007149FE"/>
    <w:rsid w:val="00714FA3"/>
    <w:rsid w:val="00715520"/>
    <w:rsid w:val="00715B76"/>
    <w:rsid w:val="0071602B"/>
    <w:rsid w:val="007166F7"/>
    <w:rsid w:val="00716B1B"/>
    <w:rsid w:val="00716C42"/>
    <w:rsid w:val="00716D5C"/>
    <w:rsid w:val="00720429"/>
    <w:rsid w:val="00720478"/>
    <w:rsid w:val="00720578"/>
    <w:rsid w:val="00720632"/>
    <w:rsid w:val="0072068B"/>
    <w:rsid w:val="00720D84"/>
    <w:rsid w:val="00721148"/>
    <w:rsid w:val="007212A9"/>
    <w:rsid w:val="00721F55"/>
    <w:rsid w:val="00722F2E"/>
    <w:rsid w:val="0072383F"/>
    <w:rsid w:val="00723CE6"/>
    <w:rsid w:val="0072558D"/>
    <w:rsid w:val="007255C8"/>
    <w:rsid w:val="007258DF"/>
    <w:rsid w:val="00725A15"/>
    <w:rsid w:val="007261B6"/>
    <w:rsid w:val="00726BEE"/>
    <w:rsid w:val="00726DB5"/>
    <w:rsid w:val="0072750A"/>
    <w:rsid w:val="007275B6"/>
    <w:rsid w:val="00727AD1"/>
    <w:rsid w:val="00727F30"/>
    <w:rsid w:val="00730370"/>
    <w:rsid w:val="00730843"/>
    <w:rsid w:val="00730FDE"/>
    <w:rsid w:val="0073299C"/>
    <w:rsid w:val="00732AE4"/>
    <w:rsid w:val="0073300D"/>
    <w:rsid w:val="0073382D"/>
    <w:rsid w:val="00733CAC"/>
    <w:rsid w:val="0073432E"/>
    <w:rsid w:val="007348B9"/>
    <w:rsid w:val="007349AD"/>
    <w:rsid w:val="00734B14"/>
    <w:rsid w:val="00734B90"/>
    <w:rsid w:val="0073515D"/>
    <w:rsid w:val="007373BC"/>
    <w:rsid w:val="00737436"/>
    <w:rsid w:val="0073745B"/>
    <w:rsid w:val="007374FE"/>
    <w:rsid w:val="00737EF0"/>
    <w:rsid w:val="00740587"/>
    <w:rsid w:val="0074080D"/>
    <w:rsid w:val="007416C1"/>
    <w:rsid w:val="0074243E"/>
    <w:rsid w:val="007432FA"/>
    <w:rsid w:val="007440EC"/>
    <w:rsid w:val="00744632"/>
    <w:rsid w:val="00744729"/>
    <w:rsid w:val="007447D4"/>
    <w:rsid w:val="0074615B"/>
    <w:rsid w:val="00747AD8"/>
    <w:rsid w:val="0075026D"/>
    <w:rsid w:val="00750BD5"/>
    <w:rsid w:val="00752D00"/>
    <w:rsid w:val="00753176"/>
    <w:rsid w:val="00753872"/>
    <w:rsid w:val="00753E0B"/>
    <w:rsid w:val="00753E21"/>
    <w:rsid w:val="0075470D"/>
    <w:rsid w:val="00754FF8"/>
    <w:rsid w:val="0075588D"/>
    <w:rsid w:val="00755A5A"/>
    <w:rsid w:val="007574E9"/>
    <w:rsid w:val="00757665"/>
    <w:rsid w:val="00760B56"/>
    <w:rsid w:val="0076174B"/>
    <w:rsid w:val="00761910"/>
    <w:rsid w:val="00761A55"/>
    <w:rsid w:val="00762433"/>
    <w:rsid w:val="007634F3"/>
    <w:rsid w:val="00763B67"/>
    <w:rsid w:val="00763B69"/>
    <w:rsid w:val="007644F2"/>
    <w:rsid w:val="0076608D"/>
    <w:rsid w:val="00766299"/>
    <w:rsid w:val="00767085"/>
    <w:rsid w:val="00767168"/>
    <w:rsid w:val="00767921"/>
    <w:rsid w:val="007679D0"/>
    <w:rsid w:val="00770F46"/>
    <w:rsid w:val="00772688"/>
    <w:rsid w:val="00773B71"/>
    <w:rsid w:val="00774307"/>
    <w:rsid w:val="007745BA"/>
    <w:rsid w:val="00774C05"/>
    <w:rsid w:val="007752A4"/>
    <w:rsid w:val="00775D1F"/>
    <w:rsid w:val="0077607F"/>
    <w:rsid w:val="00776BB3"/>
    <w:rsid w:val="00777DB3"/>
    <w:rsid w:val="00780A59"/>
    <w:rsid w:val="0078281A"/>
    <w:rsid w:val="007829CA"/>
    <w:rsid w:val="007831FF"/>
    <w:rsid w:val="00783A29"/>
    <w:rsid w:val="00786D13"/>
    <w:rsid w:val="0079025E"/>
    <w:rsid w:val="007904C1"/>
    <w:rsid w:val="00790746"/>
    <w:rsid w:val="0079096B"/>
    <w:rsid w:val="007923C4"/>
    <w:rsid w:val="00793AE7"/>
    <w:rsid w:val="00793B7B"/>
    <w:rsid w:val="00793F16"/>
    <w:rsid w:val="00794CA4"/>
    <w:rsid w:val="00794E50"/>
    <w:rsid w:val="00795295"/>
    <w:rsid w:val="00795785"/>
    <w:rsid w:val="00796B59"/>
    <w:rsid w:val="007972CB"/>
    <w:rsid w:val="007974EC"/>
    <w:rsid w:val="00797834"/>
    <w:rsid w:val="00797DF9"/>
    <w:rsid w:val="00797EB8"/>
    <w:rsid w:val="007A0ED7"/>
    <w:rsid w:val="007A187F"/>
    <w:rsid w:val="007A22BF"/>
    <w:rsid w:val="007A287C"/>
    <w:rsid w:val="007A383A"/>
    <w:rsid w:val="007A46DB"/>
    <w:rsid w:val="007A473D"/>
    <w:rsid w:val="007A4892"/>
    <w:rsid w:val="007A4C58"/>
    <w:rsid w:val="007A6405"/>
    <w:rsid w:val="007A6E7D"/>
    <w:rsid w:val="007A6F56"/>
    <w:rsid w:val="007B01C4"/>
    <w:rsid w:val="007B1EA2"/>
    <w:rsid w:val="007B24CF"/>
    <w:rsid w:val="007B3C6E"/>
    <w:rsid w:val="007B3D7C"/>
    <w:rsid w:val="007B47B1"/>
    <w:rsid w:val="007B5980"/>
    <w:rsid w:val="007B5C3D"/>
    <w:rsid w:val="007B73B3"/>
    <w:rsid w:val="007B76BB"/>
    <w:rsid w:val="007B782D"/>
    <w:rsid w:val="007B7989"/>
    <w:rsid w:val="007C0B4E"/>
    <w:rsid w:val="007C1A77"/>
    <w:rsid w:val="007C3195"/>
    <w:rsid w:val="007C3493"/>
    <w:rsid w:val="007C3D2E"/>
    <w:rsid w:val="007C5353"/>
    <w:rsid w:val="007C5447"/>
    <w:rsid w:val="007C69CB"/>
    <w:rsid w:val="007D0929"/>
    <w:rsid w:val="007D1B9C"/>
    <w:rsid w:val="007D2289"/>
    <w:rsid w:val="007D356C"/>
    <w:rsid w:val="007D39AF"/>
    <w:rsid w:val="007D3AF6"/>
    <w:rsid w:val="007D43DC"/>
    <w:rsid w:val="007D4673"/>
    <w:rsid w:val="007D49D4"/>
    <w:rsid w:val="007D4DA1"/>
    <w:rsid w:val="007D4F75"/>
    <w:rsid w:val="007D64F3"/>
    <w:rsid w:val="007E0208"/>
    <w:rsid w:val="007E18D7"/>
    <w:rsid w:val="007E1DE3"/>
    <w:rsid w:val="007E2B23"/>
    <w:rsid w:val="007E2BA3"/>
    <w:rsid w:val="007E2BA8"/>
    <w:rsid w:val="007E2BC2"/>
    <w:rsid w:val="007E3011"/>
    <w:rsid w:val="007E308C"/>
    <w:rsid w:val="007E3C57"/>
    <w:rsid w:val="007E4A4C"/>
    <w:rsid w:val="007E5253"/>
    <w:rsid w:val="007E5B91"/>
    <w:rsid w:val="007E6218"/>
    <w:rsid w:val="007E695E"/>
    <w:rsid w:val="007E76C7"/>
    <w:rsid w:val="007E7C6B"/>
    <w:rsid w:val="007F0134"/>
    <w:rsid w:val="007F08C8"/>
    <w:rsid w:val="007F1CBA"/>
    <w:rsid w:val="007F1F72"/>
    <w:rsid w:val="007F29A7"/>
    <w:rsid w:val="007F3414"/>
    <w:rsid w:val="007F37F8"/>
    <w:rsid w:val="007F4551"/>
    <w:rsid w:val="007F4A49"/>
    <w:rsid w:val="007F4F4F"/>
    <w:rsid w:val="007F542D"/>
    <w:rsid w:val="007F67D6"/>
    <w:rsid w:val="007F7286"/>
    <w:rsid w:val="007F7394"/>
    <w:rsid w:val="007F7D9D"/>
    <w:rsid w:val="008006D5"/>
    <w:rsid w:val="0080134D"/>
    <w:rsid w:val="008013A7"/>
    <w:rsid w:val="00802280"/>
    <w:rsid w:val="0080248A"/>
    <w:rsid w:val="00802A7E"/>
    <w:rsid w:val="0080314A"/>
    <w:rsid w:val="0080344C"/>
    <w:rsid w:val="00803A26"/>
    <w:rsid w:val="00804AE7"/>
    <w:rsid w:val="008050A3"/>
    <w:rsid w:val="0080614C"/>
    <w:rsid w:val="00806152"/>
    <w:rsid w:val="00807F9A"/>
    <w:rsid w:val="00810ED9"/>
    <w:rsid w:val="00810F01"/>
    <w:rsid w:val="008111B0"/>
    <w:rsid w:val="0081230C"/>
    <w:rsid w:val="00814666"/>
    <w:rsid w:val="00815945"/>
    <w:rsid w:val="00816C91"/>
    <w:rsid w:val="00817107"/>
    <w:rsid w:val="008172F9"/>
    <w:rsid w:val="0081736C"/>
    <w:rsid w:val="0081762D"/>
    <w:rsid w:val="00817C4A"/>
    <w:rsid w:val="008202A5"/>
    <w:rsid w:val="008223F4"/>
    <w:rsid w:val="00822DB4"/>
    <w:rsid w:val="00823484"/>
    <w:rsid w:val="0082475D"/>
    <w:rsid w:val="00825052"/>
    <w:rsid w:val="008265B9"/>
    <w:rsid w:val="0082661D"/>
    <w:rsid w:val="00827873"/>
    <w:rsid w:val="00827F2B"/>
    <w:rsid w:val="008305A2"/>
    <w:rsid w:val="00830A26"/>
    <w:rsid w:val="00830A54"/>
    <w:rsid w:val="00830C38"/>
    <w:rsid w:val="00831269"/>
    <w:rsid w:val="00831DED"/>
    <w:rsid w:val="00832F34"/>
    <w:rsid w:val="008332F7"/>
    <w:rsid w:val="008341A4"/>
    <w:rsid w:val="00834D0C"/>
    <w:rsid w:val="0083501B"/>
    <w:rsid w:val="0083542F"/>
    <w:rsid w:val="00836699"/>
    <w:rsid w:val="008366C2"/>
    <w:rsid w:val="00836E23"/>
    <w:rsid w:val="00837223"/>
    <w:rsid w:val="00837CEA"/>
    <w:rsid w:val="008408A9"/>
    <w:rsid w:val="008409E9"/>
    <w:rsid w:val="00840C20"/>
    <w:rsid w:val="00841C64"/>
    <w:rsid w:val="00841DF3"/>
    <w:rsid w:val="00842ED5"/>
    <w:rsid w:val="0084419C"/>
    <w:rsid w:val="00845B4E"/>
    <w:rsid w:val="008462D5"/>
    <w:rsid w:val="00847D86"/>
    <w:rsid w:val="00847DAD"/>
    <w:rsid w:val="0085034A"/>
    <w:rsid w:val="00850943"/>
    <w:rsid w:val="00851A67"/>
    <w:rsid w:val="008529B9"/>
    <w:rsid w:val="00852C8A"/>
    <w:rsid w:val="00852F9F"/>
    <w:rsid w:val="008550F0"/>
    <w:rsid w:val="0085551E"/>
    <w:rsid w:val="008558C9"/>
    <w:rsid w:val="00855D2E"/>
    <w:rsid w:val="008563A8"/>
    <w:rsid w:val="0085652E"/>
    <w:rsid w:val="00856EEF"/>
    <w:rsid w:val="00860C74"/>
    <w:rsid w:val="00861201"/>
    <w:rsid w:val="00861F45"/>
    <w:rsid w:val="00861FC6"/>
    <w:rsid w:val="00862E27"/>
    <w:rsid w:val="00863CA5"/>
    <w:rsid w:val="008648A4"/>
    <w:rsid w:val="008648E6"/>
    <w:rsid w:val="0086501C"/>
    <w:rsid w:val="00865935"/>
    <w:rsid w:val="008669DD"/>
    <w:rsid w:val="00866B03"/>
    <w:rsid w:val="00866D49"/>
    <w:rsid w:val="00867895"/>
    <w:rsid w:val="00871ADC"/>
    <w:rsid w:val="00871E3C"/>
    <w:rsid w:val="00872528"/>
    <w:rsid w:val="008725FE"/>
    <w:rsid w:val="00872C46"/>
    <w:rsid w:val="0087309D"/>
    <w:rsid w:val="0087338A"/>
    <w:rsid w:val="00873399"/>
    <w:rsid w:val="0087399E"/>
    <w:rsid w:val="00874E61"/>
    <w:rsid w:val="008752C1"/>
    <w:rsid w:val="008762B9"/>
    <w:rsid w:val="00876381"/>
    <w:rsid w:val="00876429"/>
    <w:rsid w:val="00877F1E"/>
    <w:rsid w:val="008801E0"/>
    <w:rsid w:val="0088067D"/>
    <w:rsid w:val="00880B40"/>
    <w:rsid w:val="0088203F"/>
    <w:rsid w:val="008823F4"/>
    <w:rsid w:val="00883196"/>
    <w:rsid w:val="008838C1"/>
    <w:rsid w:val="008847AD"/>
    <w:rsid w:val="00885144"/>
    <w:rsid w:val="00885B98"/>
    <w:rsid w:val="00885FC7"/>
    <w:rsid w:val="0088705D"/>
    <w:rsid w:val="008871A6"/>
    <w:rsid w:val="008872C0"/>
    <w:rsid w:val="0088736A"/>
    <w:rsid w:val="00887ECD"/>
    <w:rsid w:val="0089021D"/>
    <w:rsid w:val="008909D0"/>
    <w:rsid w:val="00890E5C"/>
    <w:rsid w:val="00890F9C"/>
    <w:rsid w:val="008913B0"/>
    <w:rsid w:val="008916B3"/>
    <w:rsid w:val="00891902"/>
    <w:rsid w:val="008924B7"/>
    <w:rsid w:val="00892667"/>
    <w:rsid w:val="008936FC"/>
    <w:rsid w:val="00893E3E"/>
    <w:rsid w:val="00895452"/>
    <w:rsid w:val="0089556F"/>
    <w:rsid w:val="00895DBB"/>
    <w:rsid w:val="0089628C"/>
    <w:rsid w:val="008965D3"/>
    <w:rsid w:val="00897405"/>
    <w:rsid w:val="0089741B"/>
    <w:rsid w:val="00897EAB"/>
    <w:rsid w:val="008A1CB8"/>
    <w:rsid w:val="008A2E73"/>
    <w:rsid w:val="008A2FCA"/>
    <w:rsid w:val="008A3255"/>
    <w:rsid w:val="008A384B"/>
    <w:rsid w:val="008A3ECE"/>
    <w:rsid w:val="008A4874"/>
    <w:rsid w:val="008A581C"/>
    <w:rsid w:val="008A7BC4"/>
    <w:rsid w:val="008A7BE5"/>
    <w:rsid w:val="008B04BC"/>
    <w:rsid w:val="008B0C33"/>
    <w:rsid w:val="008B2293"/>
    <w:rsid w:val="008B26B0"/>
    <w:rsid w:val="008B3ACA"/>
    <w:rsid w:val="008B4609"/>
    <w:rsid w:val="008B4993"/>
    <w:rsid w:val="008B5565"/>
    <w:rsid w:val="008B6467"/>
    <w:rsid w:val="008B682D"/>
    <w:rsid w:val="008B6ACA"/>
    <w:rsid w:val="008B6F28"/>
    <w:rsid w:val="008B79F7"/>
    <w:rsid w:val="008B7B71"/>
    <w:rsid w:val="008C02E0"/>
    <w:rsid w:val="008C0C23"/>
    <w:rsid w:val="008C0C36"/>
    <w:rsid w:val="008C1140"/>
    <w:rsid w:val="008C1310"/>
    <w:rsid w:val="008C1677"/>
    <w:rsid w:val="008C2C16"/>
    <w:rsid w:val="008C4D32"/>
    <w:rsid w:val="008C4E4E"/>
    <w:rsid w:val="008C5081"/>
    <w:rsid w:val="008C5B4D"/>
    <w:rsid w:val="008C5D1F"/>
    <w:rsid w:val="008C6E4D"/>
    <w:rsid w:val="008C73AF"/>
    <w:rsid w:val="008C744B"/>
    <w:rsid w:val="008D12D9"/>
    <w:rsid w:val="008D1F82"/>
    <w:rsid w:val="008D2BA4"/>
    <w:rsid w:val="008D36E0"/>
    <w:rsid w:val="008D37EF"/>
    <w:rsid w:val="008D397E"/>
    <w:rsid w:val="008D4488"/>
    <w:rsid w:val="008D5A92"/>
    <w:rsid w:val="008D5E2A"/>
    <w:rsid w:val="008D5FCA"/>
    <w:rsid w:val="008D6138"/>
    <w:rsid w:val="008D6231"/>
    <w:rsid w:val="008D6305"/>
    <w:rsid w:val="008D7B3F"/>
    <w:rsid w:val="008E039F"/>
    <w:rsid w:val="008E0E09"/>
    <w:rsid w:val="008E14CC"/>
    <w:rsid w:val="008E1654"/>
    <w:rsid w:val="008E17DC"/>
    <w:rsid w:val="008E186E"/>
    <w:rsid w:val="008E1C9A"/>
    <w:rsid w:val="008E3AA6"/>
    <w:rsid w:val="008E3CB8"/>
    <w:rsid w:val="008E3D89"/>
    <w:rsid w:val="008E423B"/>
    <w:rsid w:val="008E478B"/>
    <w:rsid w:val="008E4993"/>
    <w:rsid w:val="008E49B4"/>
    <w:rsid w:val="008E49F7"/>
    <w:rsid w:val="008E4B96"/>
    <w:rsid w:val="008E4C7F"/>
    <w:rsid w:val="008E4FE3"/>
    <w:rsid w:val="008E56E8"/>
    <w:rsid w:val="008E5BDB"/>
    <w:rsid w:val="008E5D51"/>
    <w:rsid w:val="008E6147"/>
    <w:rsid w:val="008F00D1"/>
    <w:rsid w:val="008F0275"/>
    <w:rsid w:val="008F1524"/>
    <w:rsid w:val="008F22F5"/>
    <w:rsid w:val="008F2492"/>
    <w:rsid w:val="008F2FCF"/>
    <w:rsid w:val="008F35D8"/>
    <w:rsid w:val="008F3E77"/>
    <w:rsid w:val="008F4360"/>
    <w:rsid w:val="008F4B30"/>
    <w:rsid w:val="008F4C00"/>
    <w:rsid w:val="008F5183"/>
    <w:rsid w:val="008F5339"/>
    <w:rsid w:val="008F5469"/>
    <w:rsid w:val="008F60BA"/>
    <w:rsid w:val="008F65B7"/>
    <w:rsid w:val="008F67FD"/>
    <w:rsid w:val="008F7AF6"/>
    <w:rsid w:val="008F7DDE"/>
    <w:rsid w:val="0090021B"/>
    <w:rsid w:val="00901E30"/>
    <w:rsid w:val="00902E65"/>
    <w:rsid w:val="00902FF2"/>
    <w:rsid w:val="0090382F"/>
    <w:rsid w:val="00903968"/>
    <w:rsid w:val="009048B9"/>
    <w:rsid w:val="009051A2"/>
    <w:rsid w:val="00905573"/>
    <w:rsid w:val="00905D45"/>
    <w:rsid w:val="00906FD4"/>
    <w:rsid w:val="009072A7"/>
    <w:rsid w:val="009103A5"/>
    <w:rsid w:val="0091118A"/>
    <w:rsid w:val="00911F0B"/>
    <w:rsid w:val="009120E6"/>
    <w:rsid w:val="00912C20"/>
    <w:rsid w:val="00912D1F"/>
    <w:rsid w:val="009133D8"/>
    <w:rsid w:val="009146E2"/>
    <w:rsid w:val="0091485C"/>
    <w:rsid w:val="00916754"/>
    <w:rsid w:val="0091690B"/>
    <w:rsid w:val="00917004"/>
    <w:rsid w:val="00917063"/>
    <w:rsid w:val="0091750B"/>
    <w:rsid w:val="00917D07"/>
    <w:rsid w:val="00917DC8"/>
    <w:rsid w:val="009216F3"/>
    <w:rsid w:val="00921831"/>
    <w:rsid w:val="00922442"/>
    <w:rsid w:val="00923509"/>
    <w:rsid w:val="00923915"/>
    <w:rsid w:val="00923960"/>
    <w:rsid w:val="00925792"/>
    <w:rsid w:val="009264E0"/>
    <w:rsid w:val="009269DB"/>
    <w:rsid w:val="00926CBF"/>
    <w:rsid w:val="0093069B"/>
    <w:rsid w:val="009309EF"/>
    <w:rsid w:val="009311EB"/>
    <w:rsid w:val="00931285"/>
    <w:rsid w:val="00932554"/>
    <w:rsid w:val="009332A8"/>
    <w:rsid w:val="00934D1E"/>
    <w:rsid w:val="009354B7"/>
    <w:rsid w:val="009359DC"/>
    <w:rsid w:val="00935AFF"/>
    <w:rsid w:val="00935B24"/>
    <w:rsid w:val="00936456"/>
    <w:rsid w:val="009367ED"/>
    <w:rsid w:val="00936F0E"/>
    <w:rsid w:val="009373D4"/>
    <w:rsid w:val="009402BB"/>
    <w:rsid w:val="009404A7"/>
    <w:rsid w:val="00940CA0"/>
    <w:rsid w:val="009410FC"/>
    <w:rsid w:val="009435C8"/>
    <w:rsid w:val="00943F97"/>
    <w:rsid w:val="00943FDC"/>
    <w:rsid w:val="0094431D"/>
    <w:rsid w:val="0094460B"/>
    <w:rsid w:val="00944776"/>
    <w:rsid w:val="00944B2E"/>
    <w:rsid w:val="00945269"/>
    <w:rsid w:val="00945AA0"/>
    <w:rsid w:val="00945B4F"/>
    <w:rsid w:val="00945F22"/>
    <w:rsid w:val="00945F71"/>
    <w:rsid w:val="00946722"/>
    <w:rsid w:val="00946FF4"/>
    <w:rsid w:val="00947B96"/>
    <w:rsid w:val="009500A9"/>
    <w:rsid w:val="009507BA"/>
    <w:rsid w:val="009509EE"/>
    <w:rsid w:val="009518CE"/>
    <w:rsid w:val="00952254"/>
    <w:rsid w:val="009523A5"/>
    <w:rsid w:val="009535E2"/>
    <w:rsid w:val="00954AB4"/>
    <w:rsid w:val="00954D7E"/>
    <w:rsid w:val="00954F49"/>
    <w:rsid w:val="009568B5"/>
    <w:rsid w:val="0095728E"/>
    <w:rsid w:val="0095788A"/>
    <w:rsid w:val="00957969"/>
    <w:rsid w:val="00960550"/>
    <w:rsid w:val="00960CA9"/>
    <w:rsid w:val="00960F3E"/>
    <w:rsid w:val="009617BA"/>
    <w:rsid w:val="00962092"/>
    <w:rsid w:val="00963154"/>
    <w:rsid w:val="009641D9"/>
    <w:rsid w:val="00964FB6"/>
    <w:rsid w:val="00965398"/>
    <w:rsid w:val="00965440"/>
    <w:rsid w:val="00965942"/>
    <w:rsid w:val="00965BC0"/>
    <w:rsid w:val="00967CB3"/>
    <w:rsid w:val="00970094"/>
    <w:rsid w:val="00970B80"/>
    <w:rsid w:val="00970FE8"/>
    <w:rsid w:val="009721FE"/>
    <w:rsid w:val="00973AE9"/>
    <w:rsid w:val="0097416E"/>
    <w:rsid w:val="0097513C"/>
    <w:rsid w:val="0097537B"/>
    <w:rsid w:val="0097564C"/>
    <w:rsid w:val="00975AA1"/>
    <w:rsid w:val="00976141"/>
    <w:rsid w:val="0097615D"/>
    <w:rsid w:val="00976636"/>
    <w:rsid w:val="00976C89"/>
    <w:rsid w:val="00976FEC"/>
    <w:rsid w:val="00977321"/>
    <w:rsid w:val="0097756D"/>
    <w:rsid w:val="00977632"/>
    <w:rsid w:val="00977C08"/>
    <w:rsid w:val="00980351"/>
    <w:rsid w:val="00981D4D"/>
    <w:rsid w:val="00983231"/>
    <w:rsid w:val="0098378D"/>
    <w:rsid w:val="00984662"/>
    <w:rsid w:val="0098466F"/>
    <w:rsid w:val="009860DD"/>
    <w:rsid w:val="00986283"/>
    <w:rsid w:val="0098686D"/>
    <w:rsid w:val="00986CD2"/>
    <w:rsid w:val="00987970"/>
    <w:rsid w:val="00987A18"/>
    <w:rsid w:val="00987F33"/>
    <w:rsid w:val="00990AFA"/>
    <w:rsid w:val="009912DF"/>
    <w:rsid w:val="00991468"/>
    <w:rsid w:val="0099222E"/>
    <w:rsid w:val="0099248A"/>
    <w:rsid w:val="009929D1"/>
    <w:rsid w:val="00993C0B"/>
    <w:rsid w:val="00994923"/>
    <w:rsid w:val="00996201"/>
    <w:rsid w:val="009967E4"/>
    <w:rsid w:val="00996A20"/>
    <w:rsid w:val="00996A8C"/>
    <w:rsid w:val="00996CFD"/>
    <w:rsid w:val="0099777F"/>
    <w:rsid w:val="00997F45"/>
    <w:rsid w:val="009A01E4"/>
    <w:rsid w:val="009A040F"/>
    <w:rsid w:val="009A0A8D"/>
    <w:rsid w:val="009A0D0F"/>
    <w:rsid w:val="009A126B"/>
    <w:rsid w:val="009A20F8"/>
    <w:rsid w:val="009A2E31"/>
    <w:rsid w:val="009A2F7A"/>
    <w:rsid w:val="009A3240"/>
    <w:rsid w:val="009A3881"/>
    <w:rsid w:val="009A3D5C"/>
    <w:rsid w:val="009A3E90"/>
    <w:rsid w:val="009A411D"/>
    <w:rsid w:val="009A4B64"/>
    <w:rsid w:val="009A4E5A"/>
    <w:rsid w:val="009A54E4"/>
    <w:rsid w:val="009A5892"/>
    <w:rsid w:val="009A58E4"/>
    <w:rsid w:val="009A6D33"/>
    <w:rsid w:val="009A743C"/>
    <w:rsid w:val="009A77FE"/>
    <w:rsid w:val="009A7B13"/>
    <w:rsid w:val="009B08D3"/>
    <w:rsid w:val="009B164C"/>
    <w:rsid w:val="009B1B16"/>
    <w:rsid w:val="009B4497"/>
    <w:rsid w:val="009B46BA"/>
    <w:rsid w:val="009B5B27"/>
    <w:rsid w:val="009B6396"/>
    <w:rsid w:val="009B6522"/>
    <w:rsid w:val="009B66CB"/>
    <w:rsid w:val="009B789D"/>
    <w:rsid w:val="009C073F"/>
    <w:rsid w:val="009C084F"/>
    <w:rsid w:val="009C0D94"/>
    <w:rsid w:val="009C1C57"/>
    <w:rsid w:val="009C22E1"/>
    <w:rsid w:val="009C2FFC"/>
    <w:rsid w:val="009C3901"/>
    <w:rsid w:val="009C3A54"/>
    <w:rsid w:val="009C3DF7"/>
    <w:rsid w:val="009C4628"/>
    <w:rsid w:val="009C467B"/>
    <w:rsid w:val="009C5017"/>
    <w:rsid w:val="009C521F"/>
    <w:rsid w:val="009C5CCC"/>
    <w:rsid w:val="009C61DF"/>
    <w:rsid w:val="009C6C57"/>
    <w:rsid w:val="009C7989"/>
    <w:rsid w:val="009D0044"/>
    <w:rsid w:val="009D3D47"/>
    <w:rsid w:val="009D4929"/>
    <w:rsid w:val="009D540A"/>
    <w:rsid w:val="009D6670"/>
    <w:rsid w:val="009E007D"/>
    <w:rsid w:val="009E0278"/>
    <w:rsid w:val="009E0447"/>
    <w:rsid w:val="009E065D"/>
    <w:rsid w:val="009E13E9"/>
    <w:rsid w:val="009E16B0"/>
    <w:rsid w:val="009E17E0"/>
    <w:rsid w:val="009E261C"/>
    <w:rsid w:val="009E391D"/>
    <w:rsid w:val="009E42B0"/>
    <w:rsid w:val="009E4474"/>
    <w:rsid w:val="009E6101"/>
    <w:rsid w:val="009E6FDE"/>
    <w:rsid w:val="009E70D5"/>
    <w:rsid w:val="009E75F8"/>
    <w:rsid w:val="009E7C70"/>
    <w:rsid w:val="009F1770"/>
    <w:rsid w:val="009F22A0"/>
    <w:rsid w:val="009F3BF6"/>
    <w:rsid w:val="009F3F37"/>
    <w:rsid w:val="009F4069"/>
    <w:rsid w:val="009F4B6A"/>
    <w:rsid w:val="009F4E49"/>
    <w:rsid w:val="009F5BA8"/>
    <w:rsid w:val="009F6224"/>
    <w:rsid w:val="009F67DC"/>
    <w:rsid w:val="009F6859"/>
    <w:rsid w:val="009F715C"/>
    <w:rsid w:val="009F766E"/>
    <w:rsid w:val="009F78BE"/>
    <w:rsid w:val="00A00FBF"/>
    <w:rsid w:val="00A019B0"/>
    <w:rsid w:val="00A0213E"/>
    <w:rsid w:val="00A027EB"/>
    <w:rsid w:val="00A028A6"/>
    <w:rsid w:val="00A02D49"/>
    <w:rsid w:val="00A035C2"/>
    <w:rsid w:val="00A036A9"/>
    <w:rsid w:val="00A036BB"/>
    <w:rsid w:val="00A0422C"/>
    <w:rsid w:val="00A04243"/>
    <w:rsid w:val="00A04B6B"/>
    <w:rsid w:val="00A04FDA"/>
    <w:rsid w:val="00A05F1B"/>
    <w:rsid w:val="00A06C23"/>
    <w:rsid w:val="00A07227"/>
    <w:rsid w:val="00A100CD"/>
    <w:rsid w:val="00A10609"/>
    <w:rsid w:val="00A10F6E"/>
    <w:rsid w:val="00A1122A"/>
    <w:rsid w:val="00A116C9"/>
    <w:rsid w:val="00A11C62"/>
    <w:rsid w:val="00A11D15"/>
    <w:rsid w:val="00A12124"/>
    <w:rsid w:val="00A13B2A"/>
    <w:rsid w:val="00A15BF3"/>
    <w:rsid w:val="00A16C6B"/>
    <w:rsid w:val="00A20630"/>
    <w:rsid w:val="00A21893"/>
    <w:rsid w:val="00A21BC2"/>
    <w:rsid w:val="00A22B82"/>
    <w:rsid w:val="00A2325B"/>
    <w:rsid w:val="00A23316"/>
    <w:rsid w:val="00A2370E"/>
    <w:rsid w:val="00A237AC"/>
    <w:rsid w:val="00A240DC"/>
    <w:rsid w:val="00A24C23"/>
    <w:rsid w:val="00A2556C"/>
    <w:rsid w:val="00A2656E"/>
    <w:rsid w:val="00A267A0"/>
    <w:rsid w:val="00A26E00"/>
    <w:rsid w:val="00A27B62"/>
    <w:rsid w:val="00A307C5"/>
    <w:rsid w:val="00A30BA4"/>
    <w:rsid w:val="00A329D1"/>
    <w:rsid w:val="00A32F70"/>
    <w:rsid w:val="00A333E9"/>
    <w:rsid w:val="00A334AB"/>
    <w:rsid w:val="00A3351A"/>
    <w:rsid w:val="00A345C8"/>
    <w:rsid w:val="00A352FC"/>
    <w:rsid w:val="00A35B25"/>
    <w:rsid w:val="00A37696"/>
    <w:rsid w:val="00A37FDA"/>
    <w:rsid w:val="00A41FA6"/>
    <w:rsid w:val="00A42181"/>
    <w:rsid w:val="00A4384A"/>
    <w:rsid w:val="00A43BCA"/>
    <w:rsid w:val="00A44C63"/>
    <w:rsid w:val="00A44D27"/>
    <w:rsid w:val="00A45C1D"/>
    <w:rsid w:val="00A466B3"/>
    <w:rsid w:val="00A478EB"/>
    <w:rsid w:val="00A517C7"/>
    <w:rsid w:val="00A51C1F"/>
    <w:rsid w:val="00A51FB8"/>
    <w:rsid w:val="00A5279D"/>
    <w:rsid w:val="00A5298F"/>
    <w:rsid w:val="00A558AB"/>
    <w:rsid w:val="00A56371"/>
    <w:rsid w:val="00A56518"/>
    <w:rsid w:val="00A56A26"/>
    <w:rsid w:val="00A56F79"/>
    <w:rsid w:val="00A57EB9"/>
    <w:rsid w:val="00A605C8"/>
    <w:rsid w:val="00A60E17"/>
    <w:rsid w:val="00A61407"/>
    <w:rsid w:val="00A62523"/>
    <w:rsid w:val="00A62BE8"/>
    <w:rsid w:val="00A642F5"/>
    <w:rsid w:val="00A64769"/>
    <w:rsid w:val="00A64B68"/>
    <w:rsid w:val="00A66AC0"/>
    <w:rsid w:val="00A66CEE"/>
    <w:rsid w:val="00A66D0E"/>
    <w:rsid w:val="00A6704E"/>
    <w:rsid w:val="00A70351"/>
    <w:rsid w:val="00A7258F"/>
    <w:rsid w:val="00A725F1"/>
    <w:rsid w:val="00A7352F"/>
    <w:rsid w:val="00A737CE"/>
    <w:rsid w:val="00A74226"/>
    <w:rsid w:val="00A745FC"/>
    <w:rsid w:val="00A7509B"/>
    <w:rsid w:val="00A7555D"/>
    <w:rsid w:val="00A7594A"/>
    <w:rsid w:val="00A75F98"/>
    <w:rsid w:val="00A76958"/>
    <w:rsid w:val="00A76EB6"/>
    <w:rsid w:val="00A77BCD"/>
    <w:rsid w:val="00A809EA"/>
    <w:rsid w:val="00A81146"/>
    <w:rsid w:val="00A81397"/>
    <w:rsid w:val="00A82C17"/>
    <w:rsid w:val="00A8303E"/>
    <w:rsid w:val="00A835F8"/>
    <w:rsid w:val="00A836BA"/>
    <w:rsid w:val="00A837AF"/>
    <w:rsid w:val="00A83A6A"/>
    <w:rsid w:val="00A84EAC"/>
    <w:rsid w:val="00A85088"/>
    <w:rsid w:val="00A852FD"/>
    <w:rsid w:val="00A85C33"/>
    <w:rsid w:val="00A85D7A"/>
    <w:rsid w:val="00A864DE"/>
    <w:rsid w:val="00A87754"/>
    <w:rsid w:val="00A878E1"/>
    <w:rsid w:val="00A87ABE"/>
    <w:rsid w:val="00A87D28"/>
    <w:rsid w:val="00A87FC8"/>
    <w:rsid w:val="00A909E2"/>
    <w:rsid w:val="00A920FE"/>
    <w:rsid w:val="00A93175"/>
    <w:rsid w:val="00A935B5"/>
    <w:rsid w:val="00A939C2"/>
    <w:rsid w:val="00A95064"/>
    <w:rsid w:val="00A95190"/>
    <w:rsid w:val="00A95411"/>
    <w:rsid w:val="00A955B6"/>
    <w:rsid w:val="00A9568B"/>
    <w:rsid w:val="00A958AE"/>
    <w:rsid w:val="00A95DC9"/>
    <w:rsid w:val="00A960D5"/>
    <w:rsid w:val="00A96B6D"/>
    <w:rsid w:val="00AA07EC"/>
    <w:rsid w:val="00AA0E3D"/>
    <w:rsid w:val="00AA1AE6"/>
    <w:rsid w:val="00AA2EC6"/>
    <w:rsid w:val="00AA4394"/>
    <w:rsid w:val="00AA43EC"/>
    <w:rsid w:val="00AA498F"/>
    <w:rsid w:val="00AA5290"/>
    <w:rsid w:val="00AA59C1"/>
    <w:rsid w:val="00AA5F5A"/>
    <w:rsid w:val="00AA6D23"/>
    <w:rsid w:val="00AB02CC"/>
    <w:rsid w:val="00AB0717"/>
    <w:rsid w:val="00AB0E43"/>
    <w:rsid w:val="00AB2339"/>
    <w:rsid w:val="00AB2AE5"/>
    <w:rsid w:val="00AB2C94"/>
    <w:rsid w:val="00AB342A"/>
    <w:rsid w:val="00AB355C"/>
    <w:rsid w:val="00AB38B9"/>
    <w:rsid w:val="00AB4190"/>
    <w:rsid w:val="00AB4CC2"/>
    <w:rsid w:val="00AB529B"/>
    <w:rsid w:val="00AB6C21"/>
    <w:rsid w:val="00AB6C29"/>
    <w:rsid w:val="00AB7BE5"/>
    <w:rsid w:val="00AC10B7"/>
    <w:rsid w:val="00AC22F5"/>
    <w:rsid w:val="00AC2E23"/>
    <w:rsid w:val="00AC309A"/>
    <w:rsid w:val="00AC3290"/>
    <w:rsid w:val="00AC438A"/>
    <w:rsid w:val="00AC448F"/>
    <w:rsid w:val="00AC4ED4"/>
    <w:rsid w:val="00AC5658"/>
    <w:rsid w:val="00AC597D"/>
    <w:rsid w:val="00AC5D3F"/>
    <w:rsid w:val="00AC7137"/>
    <w:rsid w:val="00AC740B"/>
    <w:rsid w:val="00AC75EB"/>
    <w:rsid w:val="00AC77D0"/>
    <w:rsid w:val="00AD1268"/>
    <w:rsid w:val="00AD1470"/>
    <w:rsid w:val="00AD1CA5"/>
    <w:rsid w:val="00AD22A3"/>
    <w:rsid w:val="00AD2F73"/>
    <w:rsid w:val="00AD37B3"/>
    <w:rsid w:val="00AD3F6F"/>
    <w:rsid w:val="00AD4F4C"/>
    <w:rsid w:val="00AD5384"/>
    <w:rsid w:val="00AD5C38"/>
    <w:rsid w:val="00AD6997"/>
    <w:rsid w:val="00AD71A6"/>
    <w:rsid w:val="00AD754B"/>
    <w:rsid w:val="00AD79AC"/>
    <w:rsid w:val="00AE002A"/>
    <w:rsid w:val="00AE0319"/>
    <w:rsid w:val="00AE0370"/>
    <w:rsid w:val="00AE088D"/>
    <w:rsid w:val="00AE19F7"/>
    <w:rsid w:val="00AE1A53"/>
    <w:rsid w:val="00AE216C"/>
    <w:rsid w:val="00AE22DE"/>
    <w:rsid w:val="00AE2302"/>
    <w:rsid w:val="00AE2674"/>
    <w:rsid w:val="00AE3E87"/>
    <w:rsid w:val="00AE4074"/>
    <w:rsid w:val="00AE47F9"/>
    <w:rsid w:val="00AE4938"/>
    <w:rsid w:val="00AE61D6"/>
    <w:rsid w:val="00AE62CF"/>
    <w:rsid w:val="00AE66EC"/>
    <w:rsid w:val="00AE6D01"/>
    <w:rsid w:val="00AE6E7B"/>
    <w:rsid w:val="00AE74C2"/>
    <w:rsid w:val="00AE7A28"/>
    <w:rsid w:val="00AF1B1E"/>
    <w:rsid w:val="00AF298B"/>
    <w:rsid w:val="00AF2DC9"/>
    <w:rsid w:val="00AF42F0"/>
    <w:rsid w:val="00AF491B"/>
    <w:rsid w:val="00AF786D"/>
    <w:rsid w:val="00B00EB0"/>
    <w:rsid w:val="00B0175C"/>
    <w:rsid w:val="00B039CB"/>
    <w:rsid w:val="00B044F0"/>
    <w:rsid w:val="00B04D0C"/>
    <w:rsid w:val="00B04D48"/>
    <w:rsid w:val="00B050CA"/>
    <w:rsid w:val="00B05D45"/>
    <w:rsid w:val="00B05F81"/>
    <w:rsid w:val="00B0704B"/>
    <w:rsid w:val="00B07274"/>
    <w:rsid w:val="00B07788"/>
    <w:rsid w:val="00B104AA"/>
    <w:rsid w:val="00B109D7"/>
    <w:rsid w:val="00B12989"/>
    <w:rsid w:val="00B138F0"/>
    <w:rsid w:val="00B13C4C"/>
    <w:rsid w:val="00B13C94"/>
    <w:rsid w:val="00B14918"/>
    <w:rsid w:val="00B155DE"/>
    <w:rsid w:val="00B160C2"/>
    <w:rsid w:val="00B1648D"/>
    <w:rsid w:val="00B16EF9"/>
    <w:rsid w:val="00B21CCE"/>
    <w:rsid w:val="00B21DC5"/>
    <w:rsid w:val="00B21EC9"/>
    <w:rsid w:val="00B22184"/>
    <w:rsid w:val="00B22FA4"/>
    <w:rsid w:val="00B238B9"/>
    <w:rsid w:val="00B2455A"/>
    <w:rsid w:val="00B24658"/>
    <w:rsid w:val="00B24F95"/>
    <w:rsid w:val="00B2514A"/>
    <w:rsid w:val="00B26188"/>
    <w:rsid w:val="00B263FA"/>
    <w:rsid w:val="00B26DE7"/>
    <w:rsid w:val="00B2740B"/>
    <w:rsid w:val="00B27B01"/>
    <w:rsid w:val="00B31802"/>
    <w:rsid w:val="00B32C4C"/>
    <w:rsid w:val="00B32C4E"/>
    <w:rsid w:val="00B341C9"/>
    <w:rsid w:val="00B34C15"/>
    <w:rsid w:val="00B34E2B"/>
    <w:rsid w:val="00B35034"/>
    <w:rsid w:val="00B352EC"/>
    <w:rsid w:val="00B35495"/>
    <w:rsid w:val="00B357C8"/>
    <w:rsid w:val="00B35934"/>
    <w:rsid w:val="00B367F4"/>
    <w:rsid w:val="00B37781"/>
    <w:rsid w:val="00B403E8"/>
    <w:rsid w:val="00B41258"/>
    <w:rsid w:val="00B415FA"/>
    <w:rsid w:val="00B41736"/>
    <w:rsid w:val="00B431FD"/>
    <w:rsid w:val="00B43E96"/>
    <w:rsid w:val="00B44B76"/>
    <w:rsid w:val="00B4544B"/>
    <w:rsid w:val="00B46312"/>
    <w:rsid w:val="00B478DF"/>
    <w:rsid w:val="00B47999"/>
    <w:rsid w:val="00B50FF1"/>
    <w:rsid w:val="00B50FFB"/>
    <w:rsid w:val="00B510A1"/>
    <w:rsid w:val="00B51127"/>
    <w:rsid w:val="00B5122E"/>
    <w:rsid w:val="00B51412"/>
    <w:rsid w:val="00B5153D"/>
    <w:rsid w:val="00B51C21"/>
    <w:rsid w:val="00B52281"/>
    <w:rsid w:val="00B52B8B"/>
    <w:rsid w:val="00B53090"/>
    <w:rsid w:val="00B54288"/>
    <w:rsid w:val="00B54714"/>
    <w:rsid w:val="00B55067"/>
    <w:rsid w:val="00B5545D"/>
    <w:rsid w:val="00B55EBA"/>
    <w:rsid w:val="00B56FB2"/>
    <w:rsid w:val="00B57648"/>
    <w:rsid w:val="00B57D3E"/>
    <w:rsid w:val="00B60A8D"/>
    <w:rsid w:val="00B60DAE"/>
    <w:rsid w:val="00B613F2"/>
    <w:rsid w:val="00B614CB"/>
    <w:rsid w:val="00B61C71"/>
    <w:rsid w:val="00B61F3E"/>
    <w:rsid w:val="00B621FF"/>
    <w:rsid w:val="00B62A6C"/>
    <w:rsid w:val="00B63D30"/>
    <w:rsid w:val="00B64E80"/>
    <w:rsid w:val="00B66AE0"/>
    <w:rsid w:val="00B672ED"/>
    <w:rsid w:val="00B67E4F"/>
    <w:rsid w:val="00B701EC"/>
    <w:rsid w:val="00B70476"/>
    <w:rsid w:val="00B7051C"/>
    <w:rsid w:val="00B70F3A"/>
    <w:rsid w:val="00B715C7"/>
    <w:rsid w:val="00B71AF8"/>
    <w:rsid w:val="00B72637"/>
    <w:rsid w:val="00B72AA4"/>
    <w:rsid w:val="00B72AD3"/>
    <w:rsid w:val="00B72D0D"/>
    <w:rsid w:val="00B7487F"/>
    <w:rsid w:val="00B75F71"/>
    <w:rsid w:val="00B7612F"/>
    <w:rsid w:val="00B81DAA"/>
    <w:rsid w:val="00B828A2"/>
    <w:rsid w:val="00B82D5D"/>
    <w:rsid w:val="00B83B5D"/>
    <w:rsid w:val="00B84594"/>
    <w:rsid w:val="00B8499A"/>
    <w:rsid w:val="00B85B78"/>
    <w:rsid w:val="00B86238"/>
    <w:rsid w:val="00B86599"/>
    <w:rsid w:val="00B929FE"/>
    <w:rsid w:val="00B92A6D"/>
    <w:rsid w:val="00B92D3A"/>
    <w:rsid w:val="00B93C30"/>
    <w:rsid w:val="00B978A9"/>
    <w:rsid w:val="00B97FCA"/>
    <w:rsid w:val="00BA0196"/>
    <w:rsid w:val="00BA093C"/>
    <w:rsid w:val="00BA21B4"/>
    <w:rsid w:val="00BA2A58"/>
    <w:rsid w:val="00BA4A08"/>
    <w:rsid w:val="00BA543C"/>
    <w:rsid w:val="00BA582E"/>
    <w:rsid w:val="00BA5E28"/>
    <w:rsid w:val="00BA6AB9"/>
    <w:rsid w:val="00BA6EB0"/>
    <w:rsid w:val="00BA7E12"/>
    <w:rsid w:val="00BB008C"/>
    <w:rsid w:val="00BB0429"/>
    <w:rsid w:val="00BB0E0A"/>
    <w:rsid w:val="00BB111D"/>
    <w:rsid w:val="00BB15F5"/>
    <w:rsid w:val="00BB406E"/>
    <w:rsid w:val="00BB4118"/>
    <w:rsid w:val="00BB41B1"/>
    <w:rsid w:val="00BB5234"/>
    <w:rsid w:val="00BB5373"/>
    <w:rsid w:val="00BB5592"/>
    <w:rsid w:val="00BB5C4C"/>
    <w:rsid w:val="00BB5D68"/>
    <w:rsid w:val="00BB5D75"/>
    <w:rsid w:val="00BB6462"/>
    <w:rsid w:val="00BB6B4F"/>
    <w:rsid w:val="00BB74C3"/>
    <w:rsid w:val="00BB782E"/>
    <w:rsid w:val="00BC146D"/>
    <w:rsid w:val="00BC1ACC"/>
    <w:rsid w:val="00BC1AF9"/>
    <w:rsid w:val="00BC1E49"/>
    <w:rsid w:val="00BC25AA"/>
    <w:rsid w:val="00BC2747"/>
    <w:rsid w:val="00BC2DE8"/>
    <w:rsid w:val="00BC384F"/>
    <w:rsid w:val="00BC3CC6"/>
    <w:rsid w:val="00BC4EB4"/>
    <w:rsid w:val="00BC5CFF"/>
    <w:rsid w:val="00BC6EFC"/>
    <w:rsid w:val="00BD04D1"/>
    <w:rsid w:val="00BD096B"/>
    <w:rsid w:val="00BD0A02"/>
    <w:rsid w:val="00BD3AFF"/>
    <w:rsid w:val="00BD3D60"/>
    <w:rsid w:val="00BD5527"/>
    <w:rsid w:val="00BD6721"/>
    <w:rsid w:val="00BD67AE"/>
    <w:rsid w:val="00BD6D8E"/>
    <w:rsid w:val="00BD6DB6"/>
    <w:rsid w:val="00BD70D9"/>
    <w:rsid w:val="00BD7359"/>
    <w:rsid w:val="00BD75ED"/>
    <w:rsid w:val="00BD7A29"/>
    <w:rsid w:val="00BD7AC3"/>
    <w:rsid w:val="00BD7D82"/>
    <w:rsid w:val="00BE02ED"/>
    <w:rsid w:val="00BE049D"/>
    <w:rsid w:val="00BE1A9D"/>
    <w:rsid w:val="00BE1DD8"/>
    <w:rsid w:val="00BE2177"/>
    <w:rsid w:val="00BE250C"/>
    <w:rsid w:val="00BE29B5"/>
    <w:rsid w:val="00BE2AB2"/>
    <w:rsid w:val="00BE2AB4"/>
    <w:rsid w:val="00BE2ABD"/>
    <w:rsid w:val="00BE2F4F"/>
    <w:rsid w:val="00BE3046"/>
    <w:rsid w:val="00BE4122"/>
    <w:rsid w:val="00BE4604"/>
    <w:rsid w:val="00BE493C"/>
    <w:rsid w:val="00BE4C8B"/>
    <w:rsid w:val="00BE510C"/>
    <w:rsid w:val="00BE5B7F"/>
    <w:rsid w:val="00BE6A74"/>
    <w:rsid w:val="00BE7020"/>
    <w:rsid w:val="00BE71BD"/>
    <w:rsid w:val="00BE7D24"/>
    <w:rsid w:val="00BE7EAA"/>
    <w:rsid w:val="00BF4C78"/>
    <w:rsid w:val="00BF4F5C"/>
    <w:rsid w:val="00BF4FF7"/>
    <w:rsid w:val="00BF5BA6"/>
    <w:rsid w:val="00BF5DF4"/>
    <w:rsid w:val="00BF63DD"/>
    <w:rsid w:val="00BF6E9A"/>
    <w:rsid w:val="00BF6F8A"/>
    <w:rsid w:val="00BF6FAB"/>
    <w:rsid w:val="00BF7808"/>
    <w:rsid w:val="00BF7B41"/>
    <w:rsid w:val="00C01199"/>
    <w:rsid w:val="00C04661"/>
    <w:rsid w:val="00C0468D"/>
    <w:rsid w:val="00C047DC"/>
    <w:rsid w:val="00C04B9B"/>
    <w:rsid w:val="00C0527D"/>
    <w:rsid w:val="00C072E2"/>
    <w:rsid w:val="00C10B1D"/>
    <w:rsid w:val="00C10E68"/>
    <w:rsid w:val="00C11A93"/>
    <w:rsid w:val="00C12041"/>
    <w:rsid w:val="00C122C8"/>
    <w:rsid w:val="00C134D1"/>
    <w:rsid w:val="00C138DD"/>
    <w:rsid w:val="00C13DC8"/>
    <w:rsid w:val="00C142DB"/>
    <w:rsid w:val="00C14BFE"/>
    <w:rsid w:val="00C150EC"/>
    <w:rsid w:val="00C15526"/>
    <w:rsid w:val="00C164AF"/>
    <w:rsid w:val="00C16950"/>
    <w:rsid w:val="00C2063D"/>
    <w:rsid w:val="00C20EBD"/>
    <w:rsid w:val="00C210CB"/>
    <w:rsid w:val="00C21D94"/>
    <w:rsid w:val="00C22077"/>
    <w:rsid w:val="00C221DA"/>
    <w:rsid w:val="00C2277C"/>
    <w:rsid w:val="00C22D05"/>
    <w:rsid w:val="00C239EA"/>
    <w:rsid w:val="00C243C9"/>
    <w:rsid w:val="00C245D8"/>
    <w:rsid w:val="00C24955"/>
    <w:rsid w:val="00C24C60"/>
    <w:rsid w:val="00C24CD5"/>
    <w:rsid w:val="00C252B5"/>
    <w:rsid w:val="00C254C6"/>
    <w:rsid w:val="00C25673"/>
    <w:rsid w:val="00C26092"/>
    <w:rsid w:val="00C26840"/>
    <w:rsid w:val="00C26B5E"/>
    <w:rsid w:val="00C30852"/>
    <w:rsid w:val="00C311CB"/>
    <w:rsid w:val="00C313F8"/>
    <w:rsid w:val="00C31C08"/>
    <w:rsid w:val="00C3266F"/>
    <w:rsid w:val="00C32F02"/>
    <w:rsid w:val="00C33072"/>
    <w:rsid w:val="00C3514A"/>
    <w:rsid w:val="00C351C3"/>
    <w:rsid w:val="00C35697"/>
    <w:rsid w:val="00C35EAF"/>
    <w:rsid w:val="00C360C9"/>
    <w:rsid w:val="00C37B14"/>
    <w:rsid w:val="00C420D6"/>
    <w:rsid w:val="00C421D3"/>
    <w:rsid w:val="00C42330"/>
    <w:rsid w:val="00C429AC"/>
    <w:rsid w:val="00C429B2"/>
    <w:rsid w:val="00C4344C"/>
    <w:rsid w:val="00C43A1E"/>
    <w:rsid w:val="00C44093"/>
    <w:rsid w:val="00C44927"/>
    <w:rsid w:val="00C44D74"/>
    <w:rsid w:val="00C46098"/>
    <w:rsid w:val="00C46E5D"/>
    <w:rsid w:val="00C479D1"/>
    <w:rsid w:val="00C50E4D"/>
    <w:rsid w:val="00C512B3"/>
    <w:rsid w:val="00C5177A"/>
    <w:rsid w:val="00C5225A"/>
    <w:rsid w:val="00C52742"/>
    <w:rsid w:val="00C53505"/>
    <w:rsid w:val="00C5378F"/>
    <w:rsid w:val="00C54017"/>
    <w:rsid w:val="00C545BC"/>
    <w:rsid w:val="00C54D2D"/>
    <w:rsid w:val="00C55B23"/>
    <w:rsid w:val="00C60382"/>
    <w:rsid w:val="00C60F65"/>
    <w:rsid w:val="00C612EA"/>
    <w:rsid w:val="00C61A98"/>
    <w:rsid w:val="00C61E08"/>
    <w:rsid w:val="00C6436C"/>
    <w:rsid w:val="00C643DC"/>
    <w:rsid w:val="00C64E7D"/>
    <w:rsid w:val="00C64F02"/>
    <w:rsid w:val="00C65E0F"/>
    <w:rsid w:val="00C6692F"/>
    <w:rsid w:val="00C67098"/>
    <w:rsid w:val="00C678C7"/>
    <w:rsid w:val="00C70286"/>
    <w:rsid w:val="00C704B0"/>
    <w:rsid w:val="00C70EAE"/>
    <w:rsid w:val="00C727F4"/>
    <w:rsid w:val="00C72B36"/>
    <w:rsid w:val="00C72D4A"/>
    <w:rsid w:val="00C734E7"/>
    <w:rsid w:val="00C73ACB"/>
    <w:rsid w:val="00C73C94"/>
    <w:rsid w:val="00C7417D"/>
    <w:rsid w:val="00C7436C"/>
    <w:rsid w:val="00C75642"/>
    <w:rsid w:val="00C75665"/>
    <w:rsid w:val="00C75E42"/>
    <w:rsid w:val="00C75E6F"/>
    <w:rsid w:val="00C75F69"/>
    <w:rsid w:val="00C76164"/>
    <w:rsid w:val="00C7644E"/>
    <w:rsid w:val="00C76C79"/>
    <w:rsid w:val="00C77AD8"/>
    <w:rsid w:val="00C829FD"/>
    <w:rsid w:val="00C82C40"/>
    <w:rsid w:val="00C82CE2"/>
    <w:rsid w:val="00C83BC3"/>
    <w:rsid w:val="00C84F4C"/>
    <w:rsid w:val="00C85529"/>
    <w:rsid w:val="00C857AC"/>
    <w:rsid w:val="00C85974"/>
    <w:rsid w:val="00C859D8"/>
    <w:rsid w:val="00C85DCB"/>
    <w:rsid w:val="00C8600C"/>
    <w:rsid w:val="00C86972"/>
    <w:rsid w:val="00C86B1D"/>
    <w:rsid w:val="00C87D58"/>
    <w:rsid w:val="00C90630"/>
    <w:rsid w:val="00C94671"/>
    <w:rsid w:val="00C96C9F"/>
    <w:rsid w:val="00C9764C"/>
    <w:rsid w:val="00C978B0"/>
    <w:rsid w:val="00CA0370"/>
    <w:rsid w:val="00CA07CB"/>
    <w:rsid w:val="00CA0DFA"/>
    <w:rsid w:val="00CA18A0"/>
    <w:rsid w:val="00CA233C"/>
    <w:rsid w:val="00CA2F0A"/>
    <w:rsid w:val="00CA372E"/>
    <w:rsid w:val="00CA46F2"/>
    <w:rsid w:val="00CA510C"/>
    <w:rsid w:val="00CA56E8"/>
    <w:rsid w:val="00CA5856"/>
    <w:rsid w:val="00CA5B5C"/>
    <w:rsid w:val="00CA5C8F"/>
    <w:rsid w:val="00CA6239"/>
    <w:rsid w:val="00CA6BC4"/>
    <w:rsid w:val="00CA6EB2"/>
    <w:rsid w:val="00CA7658"/>
    <w:rsid w:val="00CB003D"/>
    <w:rsid w:val="00CB06F4"/>
    <w:rsid w:val="00CB086E"/>
    <w:rsid w:val="00CB160B"/>
    <w:rsid w:val="00CB3C4C"/>
    <w:rsid w:val="00CB4CC6"/>
    <w:rsid w:val="00CB52FC"/>
    <w:rsid w:val="00CB5BD3"/>
    <w:rsid w:val="00CB5CCA"/>
    <w:rsid w:val="00CB5D0D"/>
    <w:rsid w:val="00CB66A5"/>
    <w:rsid w:val="00CB70C9"/>
    <w:rsid w:val="00CB75A5"/>
    <w:rsid w:val="00CC23CB"/>
    <w:rsid w:val="00CC2AB3"/>
    <w:rsid w:val="00CC2F71"/>
    <w:rsid w:val="00CC4416"/>
    <w:rsid w:val="00CC5C4F"/>
    <w:rsid w:val="00CC6573"/>
    <w:rsid w:val="00CC6687"/>
    <w:rsid w:val="00CC688A"/>
    <w:rsid w:val="00CC6BF4"/>
    <w:rsid w:val="00CD069B"/>
    <w:rsid w:val="00CD08A9"/>
    <w:rsid w:val="00CD1AEC"/>
    <w:rsid w:val="00CD1D6C"/>
    <w:rsid w:val="00CD1F4F"/>
    <w:rsid w:val="00CD314B"/>
    <w:rsid w:val="00CD3C08"/>
    <w:rsid w:val="00CD4C02"/>
    <w:rsid w:val="00CD4EFE"/>
    <w:rsid w:val="00CD50C9"/>
    <w:rsid w:val="00CD59D0"/>
    <w:rsid w:val="00CD7653"/>
    <w:rsid w:val="00CD76B2"/>
    <w:rsid w:val="00CE0887"/>
    <w:rsid w:val="00CE0C94"/>
    <w:rsid w:val="00CE10CC"/>
    <w:rsid w:val="00CE11E3"/>
    <w:rsid w:val="00CE14C7"/>
    <w:rsid w:val="00CE1B5C"/>
    <w:rsid w:val="00CE2E21"/>
    <w:rsid w:val="00CE3057"/>
    <w:rsid w:val="00CE462E"/>
    <w:rsid w:val="00CE499E"/>
    <w:rsid w:val="00CE50B7"/>
    <w:rsid w:val="00CE5E07"/>
    <w:rsid w:val="00CE69B5"/>
    <w:rsid w:val="00CE6FF1"/>
    <w:rsid w:val="00CE7487"/>
    <w:rsid w:val="00CE7C9C"/>
    <w:rsid w:val="00CF0C01"/>
    <w:rsid w:val="00CF13B4"/>
    <w:rsid w:val="00CF217E"/>
    <w:rsid w:val="00CF2417"/>
    <w:rsid w:val="00CF2513"/>
    <w:rsid w:val="00CF3769"/>
    <w:rsid w:val="00CF38A8"/>
    <w:rsid w:val="00CF3FF9"/>
    <w:rsid w:val="00CF45E9"/>
    <w:rsid w:val="00CF50E3"/>
    <w:rsid w:val="00CF6089"/>
    <w:rsid w:val="00CF67EA"/>
    <w:rsid w:val="00CF694A"/>
    <w:rsid w:val="00CF6FB2"/>
    <w:rsid w:val="00D005BE"/>
    <w:rsid w:val="00D00968"/>
    <w:rsid w:val="00D01FC6"/>
    <w:rsid w:val="00D02194"/>
    <w:rsid w:val="00D02240"/>
    <w:rsid w:val="00D032E0"/>
    <w:rsid w:val="00D0369F"/>
    <w:rsid w:val="00D03886"/>
    <w:rsid w:val="00D047B5"/>
    <w:rsid w:val="00D052B0"/>
    <w:rsid w:val="00D057D8"/>
    <w:rsid w:val="00D060CA"/>
    <w:rsid w:val="00D06E9E"/>
    <w:rsid w:val="00D07067"/>
    <w:rsid w:val="00D118C5"/>
    <w:rsid w:val="00D11FC9"/>
    <w:rsid w:val="00D13615"/>
    <w:rsid w:val="00D1378A"/>
    <w:rsid w:val="00D13928"/>
    <w:rsid w:val="00D13EB8"/>
    <w:rsid w:val="00D149CD"/>
    <w:rsid w:val="00D15187"/>
    <w:rsid w:val="00D153EC"/>
    <w:rsid w:val="00D205E4"/>
    <w:rsid w:val="00D20C4F"/>
    <w:rsid w:val="00D214CE"/>
    <w:rsid w:val="00D23981"/>
    <w:rsid w:val="00D2459F"/>
    <w:rsid w:val="00D24DBA"/>
    <w:rsid w:val="00D25BA1"/>
    <w:rsid w:val="00D266AC"/>
    <w:rsid w:val="00D272ED"/>
    <w:rsid w:val="00D276C6"/>
    <w:rsid w:val="00D3056C"/>
    <w:rsid w:val="00D30732"/>
    <w:rsid w:val="00D309EE"/>
    <w:rsid w:val="00D30EA3"/>
    <w:rsid w:val="00D3127C"/>
    <w:rsid w:val="00D31948"/>
    <w:rsid w:val="00D31D56"/>
    <w:rsid w:val="00D31ED4"/>
    <w:rsid w:val="00D320BA"/>
    <w:rsid w:val="00D33E86"/>
    <w:rsid w:val="00D34681"/>
    <w:rsid w:val="00D357E8"/>
    <w:rsid w:val="00D37A5B"/>
    <w:rsid w:val="00D40265"/>
    <w:rsid w:val="00D40C89"/>
    <w:rsid w:val="00D427BA"/>
    <w:rsid w:val="00D4308D"/>
    <w:rsid w:val="00D43988"/>
    <w:rsid w:val="00D44167"/>
    <w:rsid w:val="00D44D26"/>
    <w:rsid w:val="00D45343"/>
    <w:rsid w:val="00D4611D"/>
    <w:rsid w:val="00D46707"/>
    <w:rsid w:val="00D46E04"/>
    <w:rsid w:val="00D4799F"/>
    <w:rsid w:val="00D5063A"/>
    <w:rsid w:val="00D5193E"/>
    <w:rsid w:val="00D519B1"/>
    <w:rsid w:val="00D52612"/>
    <w:rsid w:val="00D52DA1"/>
    <w:rsid w:val="00D52EDE"/>
    <w:rsid w:val="00D53307"/>
    <w:rsid w:val="00D5384C"/>
    <w:rsid w:val="00D54F5C"/>
    <w:rsid w:val="00D54F84"/>
    <w:rsid w:val="00D57642"/>
    <w:rsid w:val="00D603A4"/>
    <w:rsid w:val="00D60877"/>
    <w:rsid w:val="00D61FAB"/>
    <w:rsid w:val="00D624C2"/>
    <w:rsid w:val="00D627A4"/>
    <w:rsid w:val="00D62C71"/>
    <w:rsid w:val="00D631B7"/>
    <w:rsid w:val="00D635B6"/>
    <w:rsid w:val="00D65EF4"/>
    <w:rsid w:val="00D67B4F"/>
    <w:rsid w:val="00D67C29"/>
    <w:rsid w:val="00D67C3A"/>
    <w:rsid w:val="00D67D13"/>
    <w:rsid w:val="00D70617"/>
    <w:rsid w:val="00D70A5D"/>
    <w:rsid w:val="00D70F24"/>
    <w:rsid w:val="00D721D0"/>
    <w:rsid w:val="00D725E1"/>
    <w:rsid w:val="00D728C3"/>
    <w:rsid w:val="00D72E0A"/>
    <w:rsid w:val="00D73667"/>
    <w:rsid w:val="00D75489"/>
    <w:rsid w:val="00D758E8"/>
    <w:rsid w:val="00D75FF1"/>
    <w:rsid w:val="00D76592"/>
    <w:rsid w:val="00D768CD"/>
    <w:rsid w:val="00D77255"/>
    <w:rsid w:val="00D80121"/>
    <w:rsid w:val="00D809D1"/>
    <w:rsid w:val="00D809F8"/>
    <w:rsid w:val="00D80E5B"/>
    <w:rsid w:val="00D813E9"/>
    <w:rsid w:val="00D81A77"/>
    <w:rsid w:val="00D82A7B"/>
    <w:rsid w:val="00D82BEF"/>
    <w:rsid w:val="00D85BA3"/>
    <w:rsid w:val="00D86C9A"/>
    <w:rsid w:val="00D871B0"/>
    <w:rsid w:val="00D879E6"/>
    <w:rsid w:val="00D87D83"/>
    <w:rsid w:val="00D87DBA"/>
    <w:rsid w:val="00D87EA9"/>
    <w:rsid w:val="00D9024C"/>
    <w:rsid w:val="00D902B5"/>
    <w:rsid w:val="00D90C1B"/>
    <w:rsid w:val="00D92111"/>
    <w:rsid w:val="00D93983"/>
    <w:rsid w:val="00D9398F"/>
    <w:rsid w:val="00D949D5"/>
    <w:rsid w:val="00D95239"/>
    <w:rsid w:val="00D96731"/>
    <w:rsid w:val="00D96A45"/>
    <w:rsid w:val="00D979E7"/>
    <w:rsid w:val="00D97C79"/>
    <w:rsid w:val="00DA055F"/>
    <w:rsid w:val="00DA0C79"/>
    <w:rsid w:val="00DA1774"/>
    <w:rsid w:val="00DA3CC0"/>
    <w:rsid w:val="00DA41B6"/>
    <w:rsid w:val="00DA5022"/>
    <w:rsid w:val="00DA54CB"/>
    <w:rsid w:val="00DA6EE3"/>
    <w:rsid w:val="00DA7C32"/>
    <w:rsid w:val="00DA7EB7"/>
    <w:rsid w:val="00DB00A4"/>
    <w:rsid w:val="00DB0AE3"/>
    <w:rsid w:val="00DB0C12"/>
    <w:rsid w:val="00DB12D8"/>
    <w:rsid w:val="00DB20C1"/>
    <w:rsid w:val="00DB2759"/>
    <w:rsid w:val="00DB2F1A"/>
    <w:rsid w:val="00DB381E"/>
    <w:rsid w:val="00DB39B6"/>
    <w:rsid w:val="00DB43A9"/>
    <w:rsid w:val="00DB49DF"/>
    <w:rsid w:val="00DB62EE"/>
    <w:rsid w:val="00DB66D4"/>
    <w:rsid w:val="00DC0317"/>
    <w:rsid w:val="00DC0732"/>
    <w:rsid w:val="00DC1B79"/>
    <w:rsid w:val="00DC20C8"/>
    <w:rsid w:val="00DC270F"/>
    <w:rsid w:val="00DC3BE6"/>
    <w:rsid w:val="00DC4715"/>
    <w:rsid w:val="00DC4B8A"/>
    <w:rsid w:val="00DC5445"/>
    <w:rsid w:val="00DC5D1E"/>
    <w:rsid w:val="00DC7029"/>
    <w:rsid w:val="00DD1197"/>
    <w:rsid w:val="00DD122F"/>
    <w:rsid w:val="00DD2112"/>
    <w:rsid w:val="00DD2350"/>
    <w:rsid w:val="00DD2BB7"/>
    <w:rsid w:val="00DD446F"/>
    <w:rsid w:val="00DD4AAB"/>
    <w:rsid w:val="00DD527D"/>
    <w:rsid w:val="00DD52CB"/>
    <w:rsid w:val="00DD5C2E"/>
    <w:rsid w:val="00DD5E3B"/>
    <w:rsid w:val="00DD608B"/>
    <w:rsid w:val="00DD7074"/>
    <w:rsid w:val="00DD722A"/>
    <w:rsid w:val="00DD7552"/>
    <w:rsid w:val="00DE06DD"/>
    <w:rsid w:val="00DE07C0"/>
    <w:rsid w:val="00DE142D"/>
    <w:rsid w:val="00DE1CC2"/>
    <w:rsid w:val="00DE260F"/>
    <w:rsid w:val="00DE2A83"/>
    <w:rsid w:val="00DE300B"/>
    <w:rsid w:val="00DE3F85"/>
    <w:rsid w:val="00DE52D9"/>
    <w:rsid w:val="00DE7A8D"/>
    <w:rsid w:val="00DE7CFB"/>
    <w:rsid w:val="00DF0729"/>
    <w:rsid w:val="00DF1864"/>
    <w:rsid w:val="00DF1CDD"/>
    <w:rsid w:val="00DF24DE"/>
    <w:rsid w:val="00DF286E"/>
    <w:rsid w:val="00DF29FB"/>
    <w:rsid w:val="00DF2A13"/>
    <w:rsid w:val="00DF2BCE"/>
    <w:rsid w:val="00DF42EB"/>
    <w:rsid w:val="00DF5A7E"/>
    <w:rsid w:val="00DF5AD8"/>
    <w:rsid w:val="00DF5D6C"/>
    <w:rsid w:val="00DF5D76"/>
    <w:rsid w:val="00DF6644"/>
    <w:rsid w:val="00DF6BC9"/>
    <w:rsid w:val="00DF7044"/>
    <w:rsid w:val="00DF7260"/>
    <w:rsid w:val="00DF7652"/>
    <w:rsid w:val="00DF7A1D"/>
    <w:rsid w:val="00DF7F0F"/>
    <w:rsid w:val="00DF7F14"/>
    <w:rsid w:val="00E0075D"/>
    <w:rsid w:val="00E02EA2"/>
    <w:rsid w:val="00E041AA"/>
    <w:rsid w:val="00E05DC2"/>
    <w:rsid w:val="00E06557"/>
    <w:rsid w:val="00E0715C"/>
    <w:rsid w:val="00E07891"/>
    <w:rsid w:val="00E1045E"/>
    <w:rsid w:val="00E10FF6"/>
    <w:rsid w:val="00E1104E"/>
    <w:rsid w:val="00E1261B"/>
    <w:rsid w:val="00E128D5"/>
    <w:rsid w:val="00E13023"/>
    <w:rsid w:val="00E13AE9"/>
    <w:rsid w:val="00E13BAD"/>
    <w:rsid w:val="00E13D51"/>
    <w:rsid w:val="00E13EB2"/>
    <w:rsid w:val="00E1406E"/>
    <w:rsid w:val="00E1426F"/>
    <w:rsid w:val="00E142D3"/>
    <w:rsid w:val="00E14C23"/>
    <w:rsid w:val="00E1520C"/>
    <w:rsid w:val="00E155CB"/>
    <w:rsid w:val="00E15866"/>
    <w:rsid w:val="00E16CA5"/>
    <w:rsid w:val="00E17405"/>
    <w:rsid w:val="00E1773A"/>
    <w:rsid w:val="00E17781"/>
    <w:rsid w:val="00E17A0A"/>
    <w:rsid w:val="00E200A9"/>
    <w:rsid w:val="00E20DF1"/>
    <w:rsid w:val="00E215B1"/>
    <w:rsid w:val="00E21C8C"/>
    <w:rsid w:val="00E22019"/>
    <w:rsid w:val="00E226DF"/>
    <w:rsid w:val="00E22766"/>
    <w:rsid w:val="00E22D55"/>
    <w:rsid w:val="00E2318F"/>
    <w:rsid w:val="00E233C5"/>
    <w:rsid w:val="00E2397C"/>
    <w:rsid w:val="00E239C8"/>
    <w:rsid w:val="00E23A75"/>
    <w:rsid w:val="00E23D0E"/>
    <w:rsid w:val="00E25718"/>
    <w:rsid w:val="00E26210"/>
    <w:rsid w:val="00E2649C"/>
    <w:rsid w:val="00E26D35"/>
    <w:rsid w:val="00E27DD3"/>
    <w:rsid w:val="00E30430"/>
    <w:rsid w:val="00E3056E"/>
    <w:rsid w:val="00E3059E"/>
    <w:rsid w:val="00E311DF"/>
    <w:rsid w:val="00E3180A"/>
    <w:rsid w:val="00E31B83"/>
    <w:rsid w:val="00E32624"/>
    <w:rsid w:val="00E328FF"/>
    <w:rsid w:val="00E32B88"/>
    <w:rsid w:val="00E3362C"/>
    <w:rsid w:val="00E33729"/>
    <w:rsid w:val="00E34338"/>
    <w:rsid w:val="00E34E1E"/>
    <w:rsid w:val="00E353C7"/>
    <w:rsid w:val="00E35BC5"/>
    <w:rsid w:val="00E361AC"/>
    <w:rsid w:val="00E361AF"/>
    <w:rsid w:val="00E373DF"/>
    <w:rsid w:val="00E37F07"/>
    <w:rsid w:val="00E37F27"/>
    <w:rsid w:val="00E37F3B"/>
    <w:rsid w:val="00E40469"/>
    <w:rsid w:val="00E40E85"/>
    <w:rsid w:val="00E410C8"/>
    <w:rsid w:val="00E41999"/>
    <w:rsid w:val="00E41AB8"/>
    <w:rsid w:val="00E41B41"/>
    <w:rsid w:val="00E42604"/>
    <w:rsid w:val="00E42729"/>
    <w:rsid w:val="00E42D7D"/>
    <w:rsid w:val="00E431B7"/>
    <w:rsid w:val="00E4406E"/>
    <w:rsid w:val="00E453DC"/>
    <w:rsid w:val="00E46F2E"/>
    <w:rsid w:val="00E46FB4"/>
    <w:rsid w:val="00E47247"/>
    <w:rsid w:val="00E476E2"/>
    <w:rsid w:val="00E47E47"/>
    <w:rsid w:val="00E47F27"/>
    <w:rsid w:val="00E501EB"/>
    <w:rsid w:val="00E505C2"/>
    <w:rsid w:val="00E50F21"/>
    <w:rsid w:val="00E51236"/>
    <w:rsid w:val="00E5133C"/>
    <w:rsid w:val="00E5136B"/>
    <w:rsid w:val="00E51871"/>
    <w:rsid w:val="00E519B3"/>
    <w:rsid w:val="00E519CB"/>
    <w:rsid w:val="00E52494"/>
    <w:rsid w:val="00E5357B"/>
    <w:rsid w:val="00E536EC"/>
    <w:rsid w:val="00E53E9C"/>
    <w:rsid w:val="00E546FC"/>
    <w:rsid w:val="00E54E0E"/>
    <w:rsid w:val="00E55357"/>
    <w:rsid w:val="00E5557A"/>
    <w:rsid w:val="00E5674E"/>
    <w:rsid w:val="00E56AD6"/>
    <w:rsid w:val="00E56EA1"/>
    <w:rsid w:val="00E6031E"/>
    <w:rsid w:val="00E60427"/>
    <w:rsid w:val="00E60BB9"/>
    <w:rsid w:val="00E61269"/>
    <w:rsid w:val="00E61836"/>
    <w:rsid w:val="00E62787"/>
    <w:rsid w:val="00E6321A"/>
    <w:rsid w:val="00E6443C"/>
    <w:rsid w:val="00E65161"/>
    <w:rsid w:val="00E65CBF"/>
    <w:rsid w:val="00E66136"/>
    <w:rsid w:val="00E66317"/>
    <w:rsid w:val="00E66E9D"/>
    <w:rsid w:val="00E673CE"/>
    <w:rsid w:val="00E67EDD"/>
    <w:rsid w:val="00E7269E"/>
    <w:rsid w:val="00E729E4"/>
    <w:rsid w:val="00E72A27"/>
    <w:rsid w:val="00E73447"/>
    <w:rsid w:val="00E738A8"/>
    <w:rsid w:val="00E73F3E"/>
    <w:rsid w:val="00E746A3"/>
    <w:rsid w:val="00E74C83"/>
    <w:rsid w:val="00E74D42"/>
    <w:rsid w:val="00E752A6"/>
    <w:rsid w:val="00E75392"/>
    <w:rsid w:val="00E75F92"/>
    <w:rsid w:val="00E76908"/>
    <w:rsid w:val="00E76969"/>
    <w:rsid w:val="00E771FD"/>
    <w:rsid w:val="00E80E35"/>
    <w:rsid w:val="00E82119"/>
    <w:rsid w:val="00E83124"/>
    <w:rsid w:val="00E83E4B"/>
    <w:rsid w:val="00E84EFC"/>
    <w:rsid w:val="00E85BD2"/>
    <w:rsid w:val="00E8666E"/>
    <w:rsid w:val="00E869EC"/>
    <w:rsid w:val="00E9017F"/>
    <w:rsid w:val="00E903E6"/>
    <w:rsid w:val="00E91A4C"/>
    <w:rsid w:val="00E91B53"/>
    <w:rsid w:val="00E92E38"/>
    <w:rsid w:val="00E93AF9"/>
    <w:rsid w:val="00E944DD"/>
    <w:rsid w:val="00E950AF"/>
    <w:rsid w:val="00E96607"/>
    <w:rsid w:val="00E969A1"/>
    <w:rsid w:val="00E96B38"/>
    <w:rsid w:val="00E97C30"/>
    <w:rsid w:val="00EA0067"/>
    <w:rsid w:val="00EA0AED"/>
    <w:rsid w:val="00EA27D7"/>
    <w:rsid w:val="00EA28E0"/>
    <w:rsid w:val="00EA2A56"/>
    <w:rsid w:val="00EA2C10"/>
    <w:rsid w:val="00EA2D39"/>
    <w:rsid w:val="00EA2FBD"/>
    <w:rsid w:val="00EA3388"/>
    <w:rsid w:val="00EA35FF"/>
    <w:rsid w:val="00EA47F1"/>
    <w:rsid w:val="00EA5963"/>
    <w:rsid w:val="00EA5A64"/>
    <w:rsid w:val="00EA5CDB"/>
    <w:rsid w:val="00EA6B26"/>
    <w:rsid w:val="00EA6BF3"/>
    <w:rsid w:val="00EA6E9C"/>
    <w:rsid w:val="00EB0AD1"/>
    <w:rsid w:val="00EB0F02"/>
    <w:rsid w:val="00EB16AE"/>
    <w:rsid w:val="00EB1A28"/>
    <w:rsid w:val="00EB30D6"/>
    <w:rsid w:val="00EB3CC7"/>
    <w:rsid w:val="00EB3FD7"/>
    <w:rsid w:val="00EB4B19"/>
    <w:rsid w:val="00EB4DB0"/>
    <w:rsid w:val="00EB5058"/>
    <w:rsid w:val="00EB5481"/>
    <w:rsid w:val="00EB62E8"/>
    <w:rsid w:val="00EB63CD"/>
    <w:rsid w:val="00EB6F83"/>
    <w:rsid w:val="00EB7AB2"/>
    <w:rsid w:val="00EC0816"/>
    <w:rsid w:val="00EC090E"/>
    <w:rsid w:val="00EC0ED5"/>
    <w:rsid w:val="00EC1F01"/>
    <w:rsid w:val="00EC29AF"/>
    <w:rsid w:val="00EC2E70"/>
    <w:rsid w:val="00EC30DA"/>
    <w:rsid w:val="00EC3253"/>
    <w:rsid w:val="00EC34F2"/>
    <w:rsid w:val="00EC5926"/>
    <w:rsid w:val="00EC5A78"/>
    <w:rsid w:val="00EC5BF4"/>
    <w:rsid w:val="00EC5C43"/>
    <w:rsid w:val="00EC66D5"/>
    <w:rsid w:val="00EC7B2F"/>
    <w:rsid w:val="00ED0448"/>
    <w:rsid w:val="00ED0CF5"/>
    <w:rsid w:val="00ED1D69"/>
    <w:rsid w:val="00ED1F07"/>
    <w:rsid w:val="00ED2D20"/>
    <w:rsid w:val="00ED2D50"/>
    <w:rsid w:val="00ED2E93"/>
    <w:rsid w:val="00ED3001"/>
    <w:rsid w:val="00ED45F3"/>
    <w:rsid w:val="00ED5183"/>
    <w:rsid w:val="00ED53D2"/>
    <w:rsid w:val="00ED56B3"/>
    <w:rsid w:val="00ED6966"/>
    <w:rsid w:val="00ED79C5"/>
    <w:rsid w:val="00ED7C9B"/>
    <w:rsid w:val="00ED7D54"/>
    <w:rsid w:val="00EE0963"/>
    <w:rsid w:val="00EE1C40"/>
    <w:rsid w:val="00EE21E4"/>
    <w:rsid w:val="00EE2695"/>
    <w:rsid w:val="00EE3085"/>
    <w:rsid w:val="00EE3434"/>
    <w:rsid w:val="00EE34CD"/>
    <w:rsid w:val="00EE371F"/>
    <w:rsid w:val="00EE3B2A"/>
    <w:rsid w:val="00EE3E70"/>
    <w:rsid w:val="00EE42E5"/>
    <w:rsid w:val="00EE51FC"/>
    <w:rsid w:val="00EE68F9"/>
    <w:rsid w:val="00EE745D"/>
    <w:rsid w:val="00EE7847"/>
    <w:rsid w:val="00EF0785"/>
    <w:rsid w:val="00EF10BA"/>
    <w:rsid w:val="00EF166B"/>
    <w:rsid w:val="00EF1B88"/>
    <w:rsid w:val="00EF1B8F"/>
    <w:rsid w:val="00EF2148"/>
    <w:rsid w:val="00EF2A97"/>
    <w:rsid w:val="00EF2FEA"/>
    <w:rsid w:val="00EF321D"/>
    <w:rsid w:val="00EF4036"/>
    <w:rsid w:val="00EF50F0"/>
    <w:rsid w:val="00EF50FF"/>
    <w:rsid w:val="00EF5828"/>
    <w:rsid w:val="00EF5E9E"/>
    <w:rsid w:val="00EF635F"/>
    <w:rsid w:val="00EF6371"/>
    <w:rsid w:val="00EF7E59"/>
    <w:rsid w:val="00F005A0"/>
    <w:rsid w:val="00F00772"/>
    <w:rsid w:val="00F010C9"/>
    <w:rsid w:val="00F02F1D"/>
    <w:rsid w:val="00F03885"/>
    <w:rsid w:val="00F03BC4"/>
    <w:rsid w:val="00F03C96"/>
    <w:rsid w:val="00F057AB"/>
    <w:rsid w:val="00F0656C"/>
    <w:rsid w:val="00F06708"/>
    <w:rsid w:val="00F070A8"/>
    <w:rsid w:val="00F107A2"/>
    <w:rsid w:val="00F10E99"/>
    <w:rsid w:val="00F12CC8"/>
    <w:rsid w:val="00F13FA6"/>
    <w:rsid w:val="00F1423D"/>
    <w:rsid w:val="00F14381"/>
    <w:rsid w:val="00F165EE"/>
    <w:rsid w:val="00F166F0"/>
    <w:rsid w:val="00F17792"/>
    <w:rsid w:val="00F17F40"/>
    <w:rsid w:val="00F2068A"/>
    <w:rsid w:val="00F20B85"/>
    <w:rsid w:val="00F21D19"/>
    <w:rsid w:val="00F220F2"/>
    <w:rsid w:val="00F224B7"/>
    <w:rsid w:val="00F23767"/>
    <w:rsid w:val="00F2392C"/>
    <w:rsid w:val="00F23F3D"/>
    <w:rsid w:val="00F25019"/>
    <w:rsid w:val="00F25742"/>
    <w:rsid w:val="00F2584C"/>
    <w:rsid w:val="00F25D0E"/>
    <w:rsid w:val="00F26AA3"/>
    <w:rsid w:val="00F27F6D"/>
    <w:rsid w:val="00F3009B"/>
    <w:rsid w:val="00F30377"/>
    <w:rsid w:val="00F32B61"/>
    <w:rsid w:val="00F32E44"/>
    <w:rsid w:val="00F33B7C"/>
    <w:rsid w:val="00F347B3"/>
    <w:rsid w:val="00F35963"/>
    <w:rsid w:val="00F37720"/>
    <w:rsid w:val="00F37CD5"/>
    <w:rsid w:val="00F407DA"/>
    <w:rsid w:val="00F40D31"/>
    <w:rsid w:val="00F42866"/>
    <w:rsid w:val="00F42B5C"/>
    <w:rsid w:val="00F43464"/>
    <w:rsid w:val="00F45825"/>
    <w:rsid w:val="00F45B8C"/>
    <w:rsid w:val="00F461B1"/>
    <w:rsid w:val="00F46BD4"/>
    <w:rsid w:val="00F470D5"/>
    <w:rsid w:val="00F47697"/>
    <w:rsid w:val="00F47B6B"/>
    <w:rsid w:val="00F47F91"/>
    <w:rsid w:val="00F503E6"/>
    <w:rsid w:val="00F5045C"/>
    <w:rsid w:val="00F5136B"/>
    <w:rsid w:val="00F5206E"/>
    <w:rsid w:val="00F522A0"/>
    <w:rsid w:val="00F5344E"/>
    <w:rsid w:val="00F5357B"/>
    <w:rsid w:val="00F53B6D"/>
    <w:rsid w:val="00F53C53"/>
    <w:rsid w:val="00F53E92"/>
    <w:rsid w:val="00F5403C"/>
    <w:rsid w:val="00F54EFB"/>
    <w:rsid w:val="00F551AF"/>
    <w:rsid w:val="00F556A8"/>
    <w:rsid w:val="00F559B6"/>
    <w:rsid w:val="00F55B81"/>
    <w:rsid w:val="00F56229"/>
    <w:rsid w:val="00F56EE8"/>
    <w:rsid w:val="00F5746C"/>
    <w:rsid w:val="00F602A5"/>
    <w:rsid w:val="00F61466"/>
    <w:rsid w:val="00F6164F"/>
    <w:rsid w:val="00F6224A"/>
    <w:rsid w:val="00F623F9"/>
    <w:rsid w:val="00F6283E"/>
    <w:rsid w:val="00F63574"/>
    <w:rsid w:val="00F637DD"/>
    <w:rsid w:val="00F64579"/>
    <w:rsid w:val="00F648FE"/>
    <w:rsid w:val="00F64F52"/>
    <w:rsid w:val="00F64F78"/>
    <w:rsid w:val="00F6520B"/>
    <w:rsid w:val="00F66A9E"/>
    <w:rsid w:val="00F67D84"/>
    <w:rsid w:val="00F7005F"/>
    <w:rsid w:val="00F703FE"/>
    <w:rsid w:val="00F70624"/>
    <w:rsid w:val="00F71512"/>
    <w:rsid w:val="00F71D37"/>
    <w:rsid w:val="00F721D6"/>
    <w:rsid w:val="00F73D39"/>
    <w:rsid w:val="00F73F89"/>
    <w:rsid w:val="00F743D3"/>
    <w:rsid w:val="00F74558"/>
    <w:rsid w:val="00F756B0"/>
    <w:rsid w:val="00F76B47"/>
    <w:rsid w:val="00F77358"/>
    <w:rsid w:val="00F77817"/>
    <w:rsid w:val="00F77ADA"/>
    <w:rsid w:val="00F80317"/>
    <w:rsid w:val="00F811DD"/>
    <w:rsid w:val="00F81D16"/>
    <w:rsid w:val="00F8214A"/>
    <w:rsid w:val="00F828F9"/>
    <w:rsid w:val="00F8542C"/>
    <w:rsid w:val="00F85723"/>
    <w:rsid w:val="00F862D2"/>
    <w:rsid w:val="00F8697C"/>
    <w:rsid w:val="00F90521"/>
    <w:rsid w:val="00F90539"/>
    <w:rsid w:val="00F91890"/>
    <w:rsid w:val="00F91DBC"/>
    <w:rsid w:val="00F91DF4"/>
    <w:rsid w:val="00F92170"/>
    <w:rsid w:val="00F92DD1"/>
    <w:rsid w:val="00F93827"/>
    <w:rsid w:val="00F93C48"/>
    <w:rsid w:val="00F96485"/>
    <w:rsid w:val="00F96F5B"/>
    <w:rsid w:val="00F97516"/>
    <w:rsid w:val="00FA0A0A"/>
    <w:rsid w:val="00FA22B5"/>
    <w:rsid w:val="00FA27CA"/>
    <w:rsid w:val="00FA31F7"/>
    <w:rsid w:val="00FA3236"/>
    <w:rsid w:val="00FA343B"/>
    <w:rsid w:val="00FA36AA"/>
    <w:rsid w:val="00FA46D3"/>
    <w:rsid w:val="00FA5721"/>
    <w:rsid w:val="00FB1366"/>
    <w:rsid w:val="00FB2606"/>
    <w:rsid w:val="00FB2811"/>
    <w:rsid w:val="00FB2AC5"/>
    <w:rsid w:val="00FB2E1E"/>
    <w:rsid w:val="00FB348D"/>
    <w:rsid w:val="00FB437D"/>
    <w:rsid w:val="00FB483B"/>
    <w:rsid w:val="00FB48E5"/>
    <w:rsid w:val="00FB4E5C"/>
    <w:rsid w:val="00FB54E9"/>
    <w:rsid w:val="00FB5E7F"/>
    <w:rsid w:val="00FB6E13"/>
    <w:rsid w:val="00FB748E"/>
    <w:rsid w:val="00FC06E0"/>
    <w:rsid w:val="00FC09E3"/>
    <w:rsid w:val="00FC0DCF"/>
    <w:rsid w:val="00FC1202"/>
    <w:rsid w:val="00FC17ED"/>
    <w:rsid w:val="00FC28B1"/>
    <w:rsid w:val="00FC294A"/>
    <w:rsid w:val="00FC2C22"/>
    <w:rsid w:val="00FC2D3F"/>
    <w:rsid w:val="00FC34EE"/>
    <w:rsid w:val="00FC49D5"/>
    <w:rsid w:val="00FC4A5F"/>
    <w:rsid w:val="00FC4BA5"/>
    <w:rsid w:val="00FC4DEE"/>
    <w:rsid w:val="00FC5545"/>
    <w:rsid w:val="00FC5682"/>
    <w:rsid w:val="00FC5D01"/>
    <w:rsid w:val="00FC609C"/>
    <w:rsid w:val="00FC61CC"/>
    <w:rsid w:val="00FC6526"/>
    <w:rsid w:val="00FC6C65"/>
    <w:rsid w:val="00FC78FB"/>
    <w:rsid w:val="00FC7E99"/>
    <w:rsid w:val="00FD0C36"/>
    <w:rsid w:val="00FD18E0"/>
    <w:rsid w:val="00FD2DBF"/>
    <w:rsid w:val="00FD474A"/>
    <w:rsid w:val="00FD623D"/>
    <w:rsid w:val="00FD6C4C"/>
    <w:rsid w:val="00FE0541"/>
    <w:rsid w:val="00FE0B82"/>
    <w:rsid w:val="00FE1108"/>
    <w:rsid w:val="00FE1210"/>
    <w:rsid w:val="00FE18D5"/>
    <w:rsid w:val="00FE273E"/>
    <w:rsid w:val="00FE2B4E"/>
    <w:rsid w:val="00FE2BA6"/>
    <w:rsid w:val="00FE2FD5"/>
    <w:rsid w:val="00FE44EE"/>
    <w:rsid w:val="00FE54F9"/>
    <w:rsid w:val="00FE60B5"/>
    <w:rsid w:val="00FE660A"/>
    <w:rsid w:val="00FE66E3"/>
    <w:rsid w:val="00FF02EB"/>
    <w:rsid w:val="00FF049C"/>
    <w:rsid w:val="00FF0737"/>
    <w:rsid w:val="00FF0872"/>
    <w:rsid w:val="00FF0902"/>
    <w:rsid w:val="00FF1930"/>
    <w:rsid w:val="00FF195E"/>
    <w:rsid w:val="00FF1CE7"/>
    <w:rsid w:val="00FF236C"/>
    <w:rsid w:val="00FF2B25"/>
    <w:rsid w:val="00FF369F"/>
    <w:rsid w:val="00FF3D0C"/>
    <w:rsid w:val="00FF4549"/>
    <w:rsid w:val="00FF547E"/>
    <w:rsid w:val="00FF55D7"/>
    <w:rsid w:val="00FF5DFA"/>
    <w:rsid w:val="00FF5F56"/>
    <w:rsid w:val="00FF618B"/>
    <w:rsid w:val="00FF6D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AACC"/>
  <w15:chartTrackingRefBased/>
  <w15:docId w15:val="{5186B10C-8EFB-C34A-ABC7-FD814FE3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77"/>
    <w:pPr>
      <w:spacing w:before="120" w:after="120" w:line="276" w:lineRule="auto"/>
    </w:pPr>
    <w:rPr>
      <w:rFonts w:ascii="Public Sans" w:hAnsi="Public Sans" w:cstheme="majorBidi"/>
      <w:color w:val="0A2471" w:themeColor="accent1"/>
      <w:kern w:val="0"/>
      <w:sz w:val="20"/>
      <w:szCs w:val="20"/>
      <w14:ligatures w14:val="none"/>
    </w:rPr>
  </w:style>
  <w:style w:type="paragraph" w:styleId="Heading1">
    <w:name w:val="heading 1"/>
    <w:basedOn w:val="Normal"/>
    <w:next w:val="Normal"/>
    <w:link w:val="Heading1Char"/>
    <w:autoRedefine/>
    <w:uiPriority w:val="9"/>
    <w:qFormat/>
    <w:rsid w:val="002E01A8"/>
    <w:pPr>
      <w:pBdr>
        <w:top w:val="single" w:sz="24" w:space="0" w:color="0A2471" w:themeColor="accent1"/>
        <w:left w:val="single" w:sz="24" w:space="0" w:color="0A2471" w:themeColor="accent1"/>
        <w:bottom w:val="single" w:sz="24" w:space="0" w:color="0A2471" w:themeColor="accent1"/>
        <w:right w:val="single" w:sz="24" w:space="0" w:color="0A2471" w:themeColor="accent1"/>
      </w:pBdr>
      <w:shd w:val="clear" w:color="auto" w:fill="0A2471" w:themeFill="accent1"/>
      <w:spacing w:before="200"/>
      <w:outlineLvl w:val="0"/>
    </w:pPr>
    <w:rPr>
      <w:rFonts w:cstheme="minorBidi"/>
      <w:b/>
      <w:caps/>
      <w:color w:val="FCFCFC" w:themeColor="background1"/>
      <w:spacing w:val="15"/>
      <w:kern w:val="2"/>
      <w:sz w:val="32"/>
      <w:szCs w:val="24"/>
      <w:lang w:val="en-GB"/>
      <w14:ligatures w14:val="standardContextual"/>
    </w:rPr>
  </w:style>
  <w:style w:type="paragraph" w:styleId="Heading2">
    <w:name w:val="heading 2"/>
    <w:basedOn w:val="Normal"/>
    <w:next w:val="Normal"/>
    <w:link w:val="Heading2Char"/>
    <w:uiPriority w:val="9"/>
    <w:unhideWhenUsed/>
    <w:qFormat/>
    <w:rsid w:val="009C467B"/>
    <w:pPr>
      <w:keepNext/>
      <w:keepLines/>
      <w:spacing w:before="280" w:after="200"/>
      <w:outlineLvl w:val="1"/>
    </w:pPr>
    <w:rPr>
      <w:rFonts w:eastAsiaTheme="majorEastAsia"/>
      <w:b/>
      <w:bCs/>
      <w:color w:val="001C55" w:themeColor="text2"/>
      <w:sz w:val="32"/>
      <w:szCs w:val="32"/>
      <w:lang w:val="en-GB"/>
    </w:rPr>
  </w:style>
  <w:style w:type="paragraph" w:styleId="Heading3">
    <w:name w:val="heading 3"/>
    <w:basedOn w:val="Normal"/>
    <w:next w:val="Normal"/>
    <w:link w:val="Heading3Char"/>
    <w:autoRedefine/>
    <w:uiPriority w:val="9"/>
    <w:unhideWhenUsed/>
    <w:qFormat/>
    <w:rsid w:val="00ED79C5"/>
    <w:pPr>
      <w:pBdr>
        <w:top w:val="single" w:sz="6" w:space="2" w:color="0A2471" w:themeColor="accent1"/>
        <w:left w:val="single" w:sz="6" w:space="2" w:color="0A2471" w:themeColor="accent1"/>
      </w:pBdr>
      <w:spacing w:before="300"/>
      <w:outlineLvl w:val="2"/>
    </w:pPr>
    <w:rPr>
      <w:rFonts w:cstheme="minorBidi"/>
      <w:caps/>
      <w:color w:val="001C55" w:themeColor="text2"/>
      <w:spacing w:val="15"/>
      <w:kern w:val="2"/>
      <w:sz w:val="24"/>
      <w:szCs w:val="24"/>
      <w14:ligatures w14:val="standardContextual"/>
    </w:rPr>
  </w:style>
  <w:style w:type="paragraph" w:styleId="Heading4">
    <w:name w:val="heading 4"/>
    <w:basedOn w:val="Normal"/>
    <w:next w:val="Normal"/>
    <w:link w:val="Heading4Char"/>
    <w:autoRedefine/>
    <w:uiPriority w:val="9"/>
    <w:unhideWhenUsed/>
    <w:qFormat/>
    <w:rsid w:val="00ED79C5"/>
    <w:pPr>
      <w:pBdr>
        <w:top w:val="dotted" w:sz="6" w:space="2" w:color="0A2471" w:themeColor="accent1"/>
        <w:left w:val="dotted" w:sz="6" w:space="2" w:color="0A2471" w:themeColor="accent1"/>
      </w:pBdr>
      <w:spacing w:before="300"/>
      <w:outlineLvl w:val="3"/>
    </w:pPr>
    <w:rPr>
      <w:rFonts w:cstheme="minorBidi"/>
      <w:caps/>
      <w:color w:val="001C55" w:themeColor="text2"/>
      <w:spacing w:val="10"/>
      <w:kern w:val="2"/>
      <w:sz w:val="24"/>
      <w:szCs w:val="24"/>
      <w14:ligatures w14:val="standardContextual"/>
    </w:rPr>
  </w:style>
  <w:style w:type="paragraph" w:styleId="Heading5">
    <w:name w:val="heading 5"/>
    <w:basedOn w:val="Normal"/>
    <w:next w:val="Normal"/>
    <w:link w:val="Heading5Char"/>
    <w:autoRedefine/>
    <w:uiPriority w:val="9"/>
    <w:unhideWhenUsed/>
    <w:qFormat/>
    <w:rsid w:val="00ED79C5"/>
    <w:pPr>
      <w:pBdr>
        <w:bottom w:val="single" w:sz="6" w:space="1" w:color="0A2471" w:themeColor="accent1"/>
      </w:pBdr>
      <w:spacing w:before="300"/>
      <w:outlineLvl w:val="4"/>
    </w:pPr>
    <w:rPr>
      <w:rFonts w:cstheme="minorBidi"/>
      <w:caps/>
      <w:color w:val="001C55" w:themeColor="text2"/>
      <w:spacing w:val="10"/>
      <w:kern w:val="2"/>
      <w:sz w:val="24"/>
      <w:szCs w:val="24"/>
      <w14:ligatures w14:val="standardContextual"/>
    </w:rPr>
  </w:style>
  <w:style w:type="paragraph" w:styleId="Heading6">
    <w:name w:val="heading 6"/>
    <w:basedOn w:val="Normal"/>
    <w:next w:val="Normal"/>
    <w:link w:val="Heading6Char"/>
    <w:autoRedefine/>
    <w:uiPriority w:val="9"/>
    <w:unhideWhenUsed/>
    <w:qFormat/>
    <w:rsid w:val="00ED79C5"/>
    <w:pPr>
      <w:pBdr>
        <w:bottom w:val="dotted" w:sz="6" w:space="1" w:color="0A2471" w:themeColor="accent1"/>
      </w:pBdr>
      <w:spacing w:before="300"/>
      <w:outlineLvl w:val="5"/>
    </w:pPr>
    <w:rPr>
      <w:rFonts w:cstheme="minorBidi"/>
      <w:caps/>
      <w:color w:val="001C55" w:themeColor="text2"/>
      <w:spacing w:val="10"/>
      <w:kern w:val="2"/>
      <w:sz w:val="24"/>
      <w:szCs w:val="24"/>
      <w14:ligatures w14:val="standardContextual"/>
    </w:rPr>
  </w:style>
  <w:style w:type="paragraph" w:styleId="Heading7">
    <w:name w:val="heading 7"/>
    <w:basedOn w:val="Normal"/>
    <w:next w:val="Normal"/>
    <w:link w:val="Heading7Char"/>
    <w:autoRedefine/>
    <w:uiPriority w:val="9"/>
    <w:unhideWhenUsed/>
    <w:qFormat/>
    <w:rsid w:val="00ED79C5"/>
    <w:pPr>
      <w:spacing w:before="300"/>
      <w:outlineLvl w:val="6"/>
    </w:pPr>
    <w:rPr>
      <w:rFonts w:cstheme="minorBidi"/>
      <w:caps/>
      <w:color w:val="001C55" w:themeColor="text2"/>
      <w:spacing w:val="10"/>
      <w:kern w:val="2"/>
      <w:sz w:val="24"/>
      <w:szCs w:val="24"/>
      <w14:ligatures w14:val="standardContextual"/>
    </w:rPr>
  </w:style>
  <w:style w:type="paragraph" w:styleId="Heading8">
    <w:name w:val="heading 8"/>
    <w:basedOn w:val="Normal"/>
    <w:next w:val="Normal"/>
    <w:link w:val="Heading8Char"/>
    <w:uiPriority w:val="9"/>
    <w:semiHidden/>
    <w:unhideWhenUsed/>
    <w:qFormat/>
    <w:rsid w:val="00130F28"/>
    <w:pPr>
      <w:keepNext/>
      <w:keepLines/>
      <w:outlineLvl w:val="7"/>
    </w:pPr>
    <w:rPr>
      <w:rFonts w:asciiTheme="minorHAnsi" w:eastAsiaTheme="majorEastAsia" w:hAnsiTheme="minorHAnsi"/>
      <w:i/>
      <w:iCs/>
      <w:color w:val="3B3B3B" w:themeColor="text1" w:themeTint="D8"/>
    </w:rPr>
  </w:style>
  <w:style w:type="paragraph" w:styleId="Heading9">
    <w:name w:val="heading 9"/>
    <w:basedOn w:val="Normal"/>
    <w:next w:val="Normal"/>
    <w:link w:val="Heading9Char"/>
    <w:uiPriority w:val="9"/>
    <w:semiHidden/>
    <w:unhideWhenUsed/>
    <w:qFormat/>
    <w:rsid w:val="00130F28"/>
    <w:pPr>
      <w:keepNext/>
      <w:keepLines/>
      <w:outlineLvl w:val="8"/>
    </w:pPr>
    <w:rPr>
      <w:rFonts w:asciiTheme="minorHAnsi" w:eastAsiaTheme="majorEastAsia" w:hAnsiTheme="minorHAnsi"/>
      <w:color w:val="3B3B3B"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1A8"/>
    <w:rPr>
      <w:rFonts w:ascii="Public Sans" w:hAnsi="Public Sans"/>
      <w:b/>
      <w:caps/>
      <w:color w:val="FCFCFC" w:themeColor="background1"/>
      <w:spacing w:val="15"/>
      <w:sz w:val="32"/>
      <w:shd w:val="clear" w:color="auto" w:fill="0A2471" w:themeFill="accent1"/>
      <w:lang w:val="en-GB"/>
    </w:rPr>
  </w:style>
  <w:style w:type="character" w:customStyle="1" w:styleId="Heading6Char">
    <w:name w:val="Heading 6 Char"/>
    <w:basedOn w:val="DefaultParagraphFont"/>
    <w:link w:val="Heading6"/>
    <w:uiPriority w:val="9"/>
    <w:rsid w:val="00ED79C5"/>
    <w:rPr>
      <w:rFonts w:ascii="Public Sans" w:hAnsi="Public Sans"/>
      <w:caps/>
      <w:color w:val="001C55" w:themeColor="text2"/>
      <w:spacing w:val="10"/>
    </w:rPr>
  </w:style>
  <w:style w:type="character" w:customStyle="1" w:styleId="Heading7Char">
    <w:name w:val="Heading 7 Char"/>
    <w:basedOn w:val="DefaultParagraphFont"/>
    <w:link w:val="Heading7"/>
    <w:uiPriority w:val="9"/>
    <w:rsid w:val="00ED79C5"/>
    <w:rPr>
      <w:rFonts w:ascii="Public Sans" w:hAnsi="Public Sans"/>
      <w:caps/>
      <w:color w:val="001C55" w:themeColor="text2"/>
      <w:spacing w:val="10"/>
    </w:rPr>
  </w:style>
  <w:style w:type="character" w:customStyle="1" w:styleId="Heading5Char">
    <w:name w:val="Heading 5 Char"/>
    <w:basedOn w:val="DefaultParagraphFont"/>
    <w:link w:val="Heading5"/>
    <w:uiPriority w:val="9"/>
    <w:rsid w:val="00ED79C5"/>
    <w:rPr>
      <w:rFonts w:ascii="Public Sans" w:hAnsi="Public Sans"/>
      <w:caps/>
      <w:color w:val="001C55" w:themeColor="text2"/>
      <w:spacing w:val="10"/>
    </w:rPr>
  </w:style>
  <w:style w:type="character" w:customStyle="1" w:styleId="Heading4Char">
    <w:name w:val="Heading 4 Char"/>
    <w:basedOn w:val="DefaultParagraphFont"/>
    <w:link w:val="Heading4"/>
    <w:uiPriority w:val="9"/>
    <w:rsid w:val="00ED79C5"/>
    <w:rPr>
      <w:rFonts w:ascii="Public Sans" w:hAnsi="Public Sans"/>
      <w:caps/>
      <w:color w:val="001C55" w:themeColor="text2"/>
      <w:spacing w:val="10"/>
    </w:rPr>
  </w:style>
  <w:style w:type="character" w:customStyle="1" w:styleId="Heading3Char">
    <w:name w:val="Heading 3 Char"/>
    <w:basedOn w:val="DefaultParagraphFont"/>
    <w:link w:val="Heading3"/>
    <w:uiPriority w:val="9"/>
    <w:rsid w:val="00ED79C5"/>
    <w:rPr>
      <w:rFonts w:ascii="Public Sans" w:hAnsi="Public Sans"/>
      <w:caps/>
      <w:color w:val="001C55" w:themeColor="text2"/>
      <w:spacing w:val="15"/>
    </w:rPr>
  </w:style>
  <w:style w:type="paragraph" w:styleId="Title">
    <w:name w:val="Title"/>
    <w:basedOn w:val="Normal"/>
    <w:next w:val="Normal"/>
    <w:link w:val="TitleChar"/>
    <w:autoRedefine/>
    <w:uiPriority w:val="10"/>
    <w:qFormat/>
    <w:rsid w:val="00ED79C5"/>
    <w:pPr>
      <w:spacing w:before="720" w:after="200"/>
    </w:pPr>
    <w:rPr>
      <w:rFonts w:asciiTheme="minorHAnsi" w:hAnsiTheme="minorHAnsi" w:cstheme="minorBidi"/>
      <w:caps/>
      <w:spacing w:val="10"/>
      <w:kern w:val="28"/>
      <w:sz w:val="52"/>
      <w:szCs w:val="52"/>
      <w14:ligatures w14:val="standardContextual"/>
    </w:rPr>
  </w:style>
  <w:style w:type="character" w:customStyle="1" w:styleId="TitleChar">
    <w:name w:val="Title Char"/>
    <w:basedOn w:val="DefaultParagraphFont"/>
    <w:link w:val="Title"/>
    <w:uiPriority w:val="10"/>
    <w:rsid w:val="00ED79C5"/>
    <w:rPr>
      <w:caps/>
      <w:color w:val="0A2471" w:themeColor="accent1"/>
      <w:spacing w:val="10"/>
      <w:kern w:val="28"/>
      <w:sz w:val="52"/>
      <w:szCs w:val="52"/>
    </w:rPr>
  </w:style>
  <w:style w:type="paragraph" w:styleId="Subtitle">
    <w:name w:val="Subtitle"/>
    <w:basedOn w:val="Normal"/>
    <w:next w:val="Normal"/>
    <w:link w:val="SubtitleChar"/>
    <w:autoRedefine/>
    <w:uiPriority w:val="11"/>
    <w:qFormat/>
    <w:rsid w:val="00ED79C5"/>
    <w:pPr>
      <w:spacing w:before="200" w:after="1000"/>
    </w:pPr>
    <w:rPr>
      <w:rFonts w:cstheme="minorBidi"/>
      <w:caps/>
      <w:color w:val="515151" w:themeColor="text1" w:themeTint="BF"/>
      <w:spacing w:val="10"/>
      <w:kern w:val="2"/>
      <w:sz w:val="24"/>
      <w:szCs w:val="24"/>
      <w14:ligatures w14:val="standardContextual"/>
    </w:rPr>
  </w:style>
  <w:style w:type="character" w:customStyle="1" w:styleId="SubtitleChar">
    <w:name w:val="Subtitle Char"/>
    <w:basedOn w:val="DefaultParagraphFont"/>
    <w:link w:val="Subtitle"/>
    <w:uiPriority w:val="11"/>
    <w:rsid w:val="00ED79C5"/>
    <w:rPr>
      <w:rFonts w:ascii="Public Sans" w:hAnsi="Public Sans"/>
      <w:caps/>
      <w:color w:val="515151" w:themeColor="text1" w:themeTint="BF"/>
      <w:spacing w:val="10"/>
    </w:rPr>
  </w:style>
  <w:style w:type="character" w:styleId="SubtleEmphasis">
    <w:name w:val="Subtle Emphasis"/>
    <w:uiPriority w:val="19"/>
    <w:qFormat/>
    <w:rsid w:val="00ED79C5"/>
    <w:rPr>
      <w:i/>
      <w:iCs/>
      <w:color w:val="051138" w:themeColor="accent1" w:themeShade="7F"/>
    </w:rPr>
  </w:style>
  <w:style w:type="character" w:styleId="Emphasis">
    <w:name w:val="Emphasis"/>
    <w:uiPriority w:val="20"/>
    <w:qFormat/>
    <w:rsid w:val="00ED79C5"/>
    <w:rPr>
      <w:caps/>
      <w:color w:val="051138" w:themeColor="accent1" w:themeShade="7F"/>
      <w:spacing w:val="5"/>
    </w:rPr>
  </w:style>
  <w:style w:type="character" w:styleId="IntenseEmphasis">
    <w:name w:val="Intense Emphasis"/>
    <w:uiPriority w:val="21"/>
    <w:qFormat/>
    <w:rsid w:val="00ED79C5"/>
    <w:rPr>
      <w:b/>
      <w:bCs/>
      <w:caps/>
      <w:color w:val="051138" w:themeColor="accent1" w:themeShade="7F"/>
      <w:spacing w:val="10"/>
    </w:rPr>
  </w:style>
  <w:style w:type="character" w:styleId="Strong">
    <w:name w:val="Strong"/>
    <w:uiPriority w:val="22"/>
    <w:qFormat/>
    <w:rsid w:val="00ED79C5"/>
    <w:rPr>
      <w:b/>
      <w:bCs/>
    </w:rPr>
  </w:style>
  <w:style w:type="paragraph" w:styleId="Quote">
    <w:name w:val="Quote"/>
    <w:basedOn w:val="Normal"/>
    <w:next w:val="Normal"/>
    <w:link w:val="QuoteChar"/>
    <w:autoRedefine/>
    <w:uiPriority w:val="29"/>
    <w:qFormat/>
    <w:rsid w:val="00ED79C5"/>
    <w:pPr>
      <w:spacing w:before="200" w:after="200"/>
    </w:pPr>
    <w:rPr>
      <w:rFonts w:asciiTheme="minorHAnsi" w:hAnsiTheme="minorHAnsi" w:cstheme="minorBidi"/>
      <w:i/>
      <w:iCs/>
      <w:kern w:val="2"/>
      <w14:ligatures w14:val="standardContextual"/>
    </w:rPr>
  </w:style>
  <w:style w:type="character" w:customStyle="1" w:styleId="QuoteChar">
    <w:name w:val="Quote Char"/>
    <w:basedOn w:val="DefaultParagraphFont"/>
    <w:link w:val="Quote"/>
    <w:uiPriority w:val="29"/>
    <w:rsid w:val="00ED79C5"/>
    <w:rPr>
      <w:i/>
      <w:iCs/>
      <w:sz w:val="20"/>
      <w:szCs w:val="20"/>
    </w:rPr>
  </w:style>
  <w:style w:type="character" w:styleId="SubtleReference">
    <w:name w:val="Subtle Reference"/>
    <w:uiPriority w:val="31"/>
    <w:qFormat/>
    <w:rsid w:val="00ED79C5"/>
    <w:rPr>
      <w:b/>
      <w:bCs/>
      <w:color w:val="0A2471" w:themeColor="accent1"/>
    </w:rPr>
  </w:style>
  <w:style w:type="character" w:styleId="IntenseReference">
    <w:name w:val="Intense Reference"/>
    <w:uiPriority w:val="32"/>
    <w:qFormat/>
    <w:rsid w:val="00ED79C5"/>
    <w:rPr>
      <w:b/>
      <w:bCs/>
      <w:i/>
      <w:iCs/>
      <w:caps/>
      <w:color w:val="0A2471" w:themeColor="accent1"/>
    </w:rPr>
  </w:style>
  <w:style w:type="character" w:styleId="BookTitle">
    <w:name w:val="Book Title"/>
    <w:uiPriority w:val="33"/>
    <w:qFormat/>
    <w:rsid w:val="00ED79C5"/>
    <w:rPr>
      <w:b/>
      <w:bCs/>
      <w:i/>
      <w:iCs/>
      <w:spacing w:val="9"/>
    </w:rPr>
  </w:style>
  <w:style w:type="character" w:customStyle="1" w:styleId="Heading2Char">
    <w:name w:val="Heading 2 Char"/>
    <w:basedOn w:val="DefaultParagraphFont"/>
    <w:link w:val="Heading2"/>
    <w:uiPriority w:val="9"/>
    <w:rsid w:val="009C467B"/>
    <w:rPr>
      <w:rFonts w:ascii="Public Sans" w:eastAsiaTheme="majorEastAsia" w:hAnsi="Public Sans" w:cstheme="majorBidi"/>
      <w:b/>
      <w:bCs/>
      <w:color w:val="001C55" w:themeColor="text2"/>
      <w:kern w:val="0"/>
      <w:sz w:val="32"/>
      <w:szCs w:val="32"/>
      <w:lang w:val="en-GB"/>
      <w14:ligatures w14:val="none"/>
    </w:rPr>
  </w:style>
  <w:style w:type="character" w:customStyle="1" w:styleId="Heading8Char">
    <w:name w:val="Heading 8 Char"/>
    <w:basedOn w:val="DefaultParagraphFont"/>
    <w:link w:val="Heading8"/>
    <w:uiPriority w:val="9"/>
    <w:semiHidden/>
    <w:rsid w:val="00130F28"/>
    <w:rPr>
      <w:rFonts w:eastAsiaTheme="majorEastAsia" w:cstheme="majorBidi"/>
      <w:i/>
      <w:iCs/>
      <w:color w:val="3B3B3B" w:themeColor="text1" w:themeTint="D8"/>
      <w:kern w:val="0"/>
      <w:sz w:val="22"/>
      <w:szCs w:val="20"/>
      <w14:ligatures w14:val="none"/>
    </w:rPr>
  </w:style>
  <w:style w:type="character" w:customStyle="1" w:styleId="Heading9Char">
    <w:name w:val="Heading 9 Char"/>
    <w:basedOn w:val="DefaultParagraphFont"/>
    <w:link w:val="Heading9"/>
    <w:uiPriority w:val="9"/>
    <w:semiHidden/>
    <w:rsid w:val="00130F28"/>
    <w:rPr>
      <w:rFonts w:eastAsiaTheme="majorEastAsia" w:cstheme="majorBidi"/>
      <w:color w:val="3B3B3B" w:themeColor="text1" w:themeTint="D8"/>
      <w:kern w:val="0"/>
      <w:sz w:val="22"/>
      <w:szCs w:val="20"/>
      <w14:ligatures w14:val="none"/>
    </w:rPr>
  </w:style>
  <w:style w:type="paragraph" w:styleId="ListParagraph">
    <w:name w:val="List Paragraph"/>
    <w:basedOn w:val="Normal"/>
    <w:uiPriority w:val="34"/>
    <w:qFormat/>
    <w:rsid w:val="00130F28"/>
    <w:pPr>
      <w:spacing w:before="200" w:after="200"/>
      <w:ind w:left="720"/>
      <w:contextualSpacing/>
    </w:pPr>
    <w:rPr>
      <w:rFonts w:eastAsiaTheme="minorEastAsia" w:cstheme="minorBidi"/>
    </w:rPr>
  </w:style>
  <w:style w:type="paragraph" w:styleId="IntenseQuote">
    <w:name w:val="Intense Quote"/>
    <w:basedOn w:val="Normal"/>
    <w:next w:val="Normal"/>
    <w:link w:val="IntenseQuoteChar"/>
    <w:uiPriority w:val="30"/>
    <w:qFormat/>
    <w:rsid w:val="00130F28"/>
    <w:pPr>
      <w:pBdr>
        <w:top w:val="single" w:sz="4" w:space="10" w:color="071A54" w:themeColor="accent1" w:themeShade="BF"/>
        <w:bottom w:val="single" w:sz="4" w:space="10" w:color="071A54" w:themeColor="accent1" w:themeShade="BF"/>
      </w:pBdr>
      <w:spacing w:before="360" w:after="360"/>
      <w:ind w:left="864" w:right="864"/>
      <w:jc w:val="center"/>
    </w:pPr>
    <w:rPr>
      <w:rFonts w:eastAsiaTheme="minorEastAsia" w:cstheme="minorBidi"/>
      <w:i/>
      <w:iCs/>
      <w:color w:val="071A54" w:themeColor="accent1" w:themeShade="BF"/>
    </w:rPr>
  </w:style>
  <w:style w:type="character" w:customStyle="1" w:styleId="IntenseQuoteChar">
    <w:name w:val="Intense Quote Char"/>
    <w:basedOn w:val="DefaultParagraphFont"/>
    <w:link w:val="IntenseQuote"/>
    <w:uiPriority w:val="30"/>
    <w:rsid w:val="00130F28"/>
    <w:rPr>
      <w:rFonts w:ascii="Public Sans" w:eastAsiaTheme="minorEastAsia" w:hAnsi="Public Sans"/>
      <w:i/>
      <w:iCs/>
      <w:color w:val="071A54" w:themeColor="accent1" w:themeShade="BF"/>
      <w:kern w:val="0"/>
      <w:sz w:val="22"/>
      <w:szCs w:val="20"/>
      <w14:ligatures w14:val="none"/>
    </w:rPr>
  </w:style>
  <w:style w:type="paragraph" w:styleId="BodyText">
    <w:name w:val="Body Text"/>
    <w:basedOn w:val="Normal"/>
    <w:link w:val="BodyTextChar"/>
    <w:uiPriority w:val="1"/>
    <w:qFormat/>
    <w:rsid w:val="005C5132"/>
    <w:pPr>
      <w:spacing w:before="188" w:line="288" w:lineRule="auto"/>
      <w:ind w:right="46"/>
    </w:pPr>
    <w:rPr>
      <w:color w:val="001C55" w:themeColor="text2"/>
    </w:rPr>
  </w:style>
  <w:style w:type="character" w:customStyle="1" w:styleId="BodyTextChar">
    <w:name w:val="Body Text Char"/>
    <w:basedOn w:val="DefaultParagraphFont"/>
    <w:link w:val="BodyText"/>
    <w:uiPriority w:val="1"/>
    <w:rsid w:val="005C5132"/>
    <w:rPr>
      <w:rFonts w:ascii="Public Sans" w:hAnsi="Public Sans" w:cstheme="majorBidi"/>
      <w:color w:val="001C55" w:themeColor="text2"/>
      <w:kern w:val="0"/>
      <w:sz w:val="20"/>
      <w:szCs w:val="20"/>
      <w14:ligatures w14:val="none"/>
    </w:rPr>
  </w:style>
  <w:style w:type="paragraph" w:styleId="Header">
    <w:name w:val="header"/>
    <w:basedOn w:val="Normal"/>
    <w:link w:val="HeaderChar"/>
    <w:uiPriority w:val="99"/>
    <w:unhideWhenUsed/>
    <w:rsid w:val="00267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128"/>
    <w:rPr>
      <w:rFonts w:ascii="Public Sans" w:hAnsi="Public Sans" w:cstheme="majorBidi"/>
      <w:color w:val="0A2471" w:themeColor="accent1"/>
      <w:kern w:val="0"/>
      <w:sz w:val="20"/>
      <w:szCs w:val="20"/>
      <w14:ligatures w14:val="none"/>
    </w:rPr>
  </w:style>
  <w:style w:type="paragraph" w:styleId="Footer">
    <w:name w:val="footer"/>
    <w:basedOn w:val="Normal"/>
    <w:link w:val="FooterChar"/>
    <w:uiPriority w:val="99"/>
    <w:unhideWhenUsed/>
    <w:rsid w:val="00267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128"/>
    <w:rPr>
      <w:rFonts w:ascii="Public Sans" w:hAnsi="Public Sans" w:cstheme="majorBidi"/>
      <w:color w:val="0A2471" w:themeColor="accent1"/>
      <w:kern w:val="0"/>
      <w:sz w:val="20"/>
      <w:szCs w:val="20"/>
      <w14:ligatures w14:val="none"/>
    </w:rPr>
  </w:style>
  <w:style w:type="character" w:styleId="Hyperlink">
    <w:name w:val="Hyperlink"/>
    <w:basedOn w:val="DefaultParagraphFont"/>
    <w:uiPriority w:val="99"/>
    <w:unhideWhenUsed/>
    <w:rsid w:val="001B0725"/>
    <w:rPr>
      <w:color w:val="001C55" w:themeColor="text2"/>
      <w:u w:val="single"/>
    </w:rPr>
  </w:style>
  <w:style w:type="paragraph" w:styleId="FootnoteText">
    <w:name w:val="footnote text"/>
    <w:basedOn w:val="Normal"/>
    <w:link w:val="FootnoteTextChar"/>
    <w:uiPriority w:val="99"/>
    <w:unhideWhenUsed/>
    <w:rsid w:val="00132E8D"/>
    <w:pPr>
      <w:spacing w:before="0" w:after="0" w:line="240" w:lineRule="auto"/>
    </w:pPr>
    <w:rPr>
      <w:color w:val="001C55" w:themeColor="text2"/>
      <w:sz w:val="16"/>
      <w:szCs w:val="16"/>
    </w:rPr>
  </w:style>
  <w:style w:type="character" w:customStyle="1" w:styleId="FootnoteTextChar">
    <w:name w:val="Footnote Text Char"/>
    <w:basedOn w:val="DefaultParagraphFont"/>
    <w:link w:val="FootnoteText"/>
    <w:uiPriority w:val="99"/>
    <w:rsid w:val="00132E8D"/>
    <w:rPr>
      <w:rFonts w:ascii="Public Sans" w:hAnsi="Public Sans" w:cstheme="majorBidi"/>
      <w:color w:val="001C55" w:themeColor="text2"/>
      <w:kern w:val="0"/>
      <w:sz w:val="16"/>
      <w:szCs w:val="16"/>
      <w14:ligatures w14:val="none"/>
    </w:rPr>
  </w:style>
  <w:style w:type="character" w:styleId="FootnoteReference">
    <w:name w:val="footnote reference"/>
    <w:basedOn w:val="DefaultParagraphFont"/>
    <w:uiPriority w:val="99"/>
    <w:semiHidden/>
    <w:unhideWhenUsed/>
    <w:rsid w:val="00267128"/>
    <w:rPr>
      <w:vertAlign w:val="superscript"/>
    </w:rPr>
  </w:style>
  <w:style w:type="character" w:styleId="PageNumber">
    <w:name w:val="page number"/>
    <w:basedOn w:val="DefaultParagraphFont"/>
    <w:uiPriority w:val="99"/>
    <w:semiHidden/>
    <w:unhideWhenUsed/>
    <w:rsid w:val="00267128"/>
  </w:style>
  <w:style w:type="paragraph" w:styleId="TOC1">
    <w:name w:val="toc 1"/>
    <w:basedOn w:val="Heading2"/>
    <w:next w:val="Normal"/>
    <w:autoRedefine/>
    <w:uiPriority w:val="39"/>
    <w:unhideWhenUsed/>
    <w:rsid w:val="00267128"/>
    <w:pPr>
      <w:keepNext w:val="0"/>
      <w:keepLines w:val="0"/>
      <w:spacing w:before="360" w:after="0"/>
      <w:outlineLvl w:val="9"/>
    </w:pPr>
    <w:rPr>
      <w:rFonts w:eastAsiaTheme="minorHAnsi"/>
      <w:b w:val="0"/>
      <w:bCs w:val="0"/>
      <w:caps/>
      <w:color w:val="0A2471" w:themeColor="accent1"/>
      <w:sz w:val="24"/>
      <w:szCs w:val="24"/>
    </w:rPr>
  </w:style>
  <w:style w:type="paragraph" w:styleId="TOC2">
    <w:name w:val="toc 2"/>
    <w:basedOn w:val="Normal"/>
    <w:next w:val="Normal"/>
    <w:autoRedefine/>
    <w:uiPriority w:val="39"/>
    <w:unhideWhenUsed/>
    <w:rsid w:val="00267128"/>
    <w:pPr>
      <w:tabs>
        <w:tab w:val="right" w:pos="9742"/>
      </w:tabs>
      <w:spacing w:before="240" w:after="0"/>
      <w:ind w:left="720"/>
    </w:pPr>
    <w:rPr>
      <w:rFonts w:asciiTheme="minorHAnsi" w:hAnsiTheme="minorHAnsi"/>
      <w:b/>
      <w:bCs/>
    </w:rPr>
  </w:style>
  <w:style w:type="paragraph" w:customStyle="1" w:styleId="Documenttitle">
    <w:name w:val="Document title"/>
    <w:basedOn w:val="Normal"/>
    <w:autoRedefine/>
    <w:qFormat/>
    <w:rsid w:val="00006E73"/>
    <w:pPr>
      <w:spacing w:line="240" w:lineRule="auto"/>
    </w:pPr>
    <w:rPr>
      <w:b/>
      <w:bCs/>
      <w:color w:val="FCFCFC" w:themeColor="background1"/>
      <w:sz w:val="72"/>
      <w:szCs w:val="72"/>
    </w:rPr>
  </w:style>
  <w:style w:type="paragraph" w:customStyle="1" w:styleId="Clientname">
    <w:name w:val="Client name"/>
    <w:basedOn w:val="Normal"/>
    <w:autoRedefine/>
    <w:qFormat/>
    <w:rsid w:val="00267128"/>
    <w:rPr>
      <w:i/>
      <w:iCs/>
      <w:color w:val="FCFCFC" w:themeColor="background1"/>
      <w:sz w:val="32"/>
      <w:szCs w:val="32"/>
    </w:rPr>
  </w:style>
  <w:style w:type="paragraph" w:styleId="NormalWeb">
    <w:name w:val="Normal (Web)"/>
    <w:basedOn w:val="Normal"/>
    <w:uiPriority w:val="99"/>
    <w:semiHidden/>
    <w:unhideWhenUsed/>
    <w:rsid w:val="00235126"/>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235126"/>
    <w:rPr>
      <w:color w:val="605E5C"/>
      <w:shd w:val="clear" w:color="auto" w:fill="E1DFDD"/>
    </w:rPr>
  </w:style>
  <w:style w:type="paragraph" w:styleId="Caption">
    <w:name w:val="caption"/>
    <w:basedOn w:val="Normal"/>
    <w:next w:val="Normal"/>
    <w:uiPriority w:val="35"/>
    <w:unhideWhenUsed/>
    <w:qFormat/>
    <w:rsid w:val="009C467B"/>
    <w:pPr>
      <w:spacing w:line="240" w:lineRule="auto"/>
    </w:pPr>
    <w:rPr>
      <w:b/>
      <w:iCs/>
      <w:color w:val="001C55" w:themeColor="text2"/>
      <w:sz w:val="22"/>
      <w:szCs w:val="18"/>
    </w:rPr>
  </w:style>
  <w:style w:type="table" w:styleId="TableGrid">
    <w:name w:val="Table Grid"/>
    <w:basedOn w:val="TableNormal"/>
    <w:uiPriority w:val="39"/>
    <w:rsid w:val="002C1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7648"/>
    <w:rPr>
      <w:sz w:val="16"/>
      <w:szCs w:val="16"/>
    </w:rPr>
  </w:style>
  <w:style w:type="paragraph" w:styleId="CommentText">
    <w:name w:val="annotation text"/>
    <w:basedOn w:val="Normal"/>
    <w:link w:val="CommentTextChar"/>
    <w:uiPriority w:val="99"/>
    <w:unhideWhenUsed/>
    <w:rsid w:val="00B57648"/>
    <w:pPr>
      <w:spacing w:line="240" w:lineRule="auto"/>
    </w:pPr>
  </w:style>
  <w:style w:type="character" w:customStyle="1" w:styleId="CommentTextChar">
    <w:name w:val="Comment Text Char"/>
    <w:basedOn w:val="DefaultParagraphFont"/>
    <w:link w:val="CommentText"/>
    <w:uiPriority w:val="99"/>
    <w:rsid w:val="00B57648"/>
    <w:rPr>
      <w:rFonts w:ascii="Public Sans" w:hAnsi="Public Sans" w:cstheme="majorBidi"/>
      <w:color w:val="0A2471" w:themeColor="accen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57648"/>
    <w:rPr>
      <w:b/>
      <w:bCs/>
    </w:rPr>
  </w:style>
  <w:style w:type="character" w:customStyle="1" w:styleId="CommentSubjectChar">
    <w:name w:val="Comment Subject Char"/>
    <w:basedOn w:val="CommentTextChar"/>
    <w:link w:val="CommentSubject"/>
    <w:uiPriority w:val="99"/>
    <w:semiHidden/>
    <w:rsid w:val="00B57648"/>
    <w:rPr>
      <w:rFonts w:ascii="Public Sans" w:hAnsi="Public Sans" w:cstheme="majorBidi"/>
      <w:b/>
      <w:bCs/>
      <w:color w:val="0A2471" w:themeColor="accent1"/>
      <w:kern w:val="0"/>
      <w:sz w:val="20"/>
      <w:szCs w:val="20"/>
      <w14:ligatures w14:val="none"/>
    </w:rPr>
  </w:style>
  <w:style w:type="paragraph" w:styleId="Revision">
    <w:name w:val="Revision"/>
    <w:hidden/>
    <w:uiPriority w:val="99"/>
    <w:semiHidden/>
    <w:rsid w:val="009535E2"/>
    <w:rPr>
      <w:rFonts w:ascii="Public Sans" w:hAnsi="Public Sans" w:cstheme="majorBidi"/>
      <w:color w:val="0A2471" w:themeColor="accent1"/>
      <w:kern w:val="0"/>
      <w:sz w:val="20"/>
      <w:szCs w:val="20"/>
      <w14:ligatures w14:val="none"/>
    </w:rPr>
  </w:style>
  <w:style w:type="paragraph" w:styleId="TOC7">
    <w:name w:val="toc 7"/>
    <w:basedOn w:val="Normal"/>
    <w:next w:val="Normal"/>
    <w:autoRedefine/>
    <w:uiPriority w:val="39"/>
    <w:unhideWhenUsed/>
    <w:rsid w:val="00F8542C"/>
    <w:pPr>
      <w:spacing w:after="100"/>
      <w:ind w:left="1200"/>
    </w:pPr>
  </w:style>
  <w:style w:type="paragraph" w:styleId="TOC3">
    <w:name w:val="toc 3"/>
    <w:basedOn w:val="Normal"/>
    <w:next w:val="Normal"/>
    <w:autoRedefine/>
    <w:uiPriority w:val="39"/>
    <w:unhideWhenUsed/>
    <w:rsid w:val="00DF5D76"/>
    <w:pPr>
      <w:spacing w:before="0" w:after="100" w:line="278" w:lineRule="auto"/>
      <w:ind w:left="480"/>
    </w:pPr>
    <w:rPr>
      <w:rFonts w:asciiTheme="minorHAnsi" w:eastAsiaTheme="minorEastAsia" w:hAnsiTheme="minorHAnsi" w:cstheme="minorBidi"/>
      <w:color w:val="auto"/>
      <w:kern w:val="2"/>
      <w:sz w:val="24"/>
      <w:szCs w:val="24"/>
      <w:lang w:eastAsia="en-AU"/>
      <w14:ligatures w14:val="standardContextual"/>
    </w:rPr>
  </w:style>
  <w:style w:type="paragraph" w:styleId="TOC4">
    <w:name w:val="toc 4"/>
    <w:basedOn w:val="Normal"/>
    <w:next w:val="Normal"/>
    <w:autoRedefine/>
    <w:uiPriority w:val="39"/>
    <w:unhideWhenUsed/>
    <w:rsid w:val="00DF5D76"/>
    <w:pPr>
      <w:spacing w:before="0" w:after="100" w:line="278" w:lineRule="auto"/>
      <w:ind w:left="720"/>
    </w:pPr>
    <w:rPr>
      <w:rFonts w:asciiTheme="minorHAnsi" w:eastAsiaTheme="minorEastAsia" w:hAnsiTheme="minorHAnsi" w:cstheme="minorBidi"/>
      <w:color w:val="auto"/>
      <w:kern w:val="2"/>
      <w:sz w:val="24"/>
      <w:szCs w:val="24"/>
      <w:lang w:eastAsia="en-AU"/>
      <w14:ligatures w14:val="standardContextual"/>
    </w:rPr>
  </w:style>
  <w:style w:type="paragraph" w:styleId="TOC5">
    <w:name w:val="toc 5"/>
    <w:basedOn w:val="Normal"/>
    <w:next w:val="Normal"/>
    <w:autoRedefine/>
    <w:uiPriority w:val="39"/>
    <w:unhideWhenUsed/>
    <w:rsid w:val="00DF5D76"/>
    <w:pPr>
      <w:spacing w:before="0" w:after="100" w:line="278" w:lineRule="auto"/>
      <w:ind w:left="960"/>
    </w:pPr>
    <w:rPr>
      <w:rFonts w:asciiTheme="minorHAnsi" w:eastAsiaTheme="minorEastAsia" w:hAnsiTheme="minorHAnsi" w:cstheme="minorBidi"/>
      <w:color w:val="auto"/>
      <w:kern w:val="2"/>
      <w:sz w:val="24"/>
      <w:szCs w:val="24"/>
      <w:lang w:eastAsia="en-AU"/>
      <w14:ligatures w14:val="standardContextual"/>
    </w:rPr>
  </w:style>
  <w:style w:type="paragraph" w:styleId="TOC6">
    <w:name w:val="toc 6"/>
    <w:basedOn w:val="Normal"/>
    <w:next w:val="Normal"/>
    <w:autoRedefine/>
    <w:uiPriority w:val="39"/>
    <w:unhideWhenUsed/>
    <w:rsid w:val="00DF5D76"/>
    <w:pPr>
      <w:spacing w:before="0" w:after="100" w:line="278" w:lineRule="auto"/>
      <w:ind w:left="1200"/>
    </w:pPr>
    <w:rPr>
      <w:rFonts w:asciiTheme="minorHAnsi" w:eastAsiaTheme="minorEastAsia" w:hAnsiTheme="minorHAnsi" w:cstheme="minorBidi"/>
      <w:color w:val="auto"/>
      <w:kern w:val="2"/>
      <w:sz w:val="24"/>
      <w:szCs w:val="24"/>
      <w:lang w:eastAsia="en-AU"/>
      <w14:ligatures w14:val="standardContextual"/>
    </w:rPr>
  </w:style>
  <w:style w:type="paragraph" w:styleId="TOC8">
    <w:name w:val="toc 8"/>
    <w:basedOn w:val="Normal"/>
    <w:next w:val="Normal"/>
    <w:autoRedefine/>
    <w:uiPriority w:val="39"/>
    <w:unhideWhenUsed/>
    <w:rsid w:val="00DF5D76"/>
    <w:pPr>
      <w:spacing w:before="0" w:after="100" w:line="278" w:lineRule="auto"/>
      <w:ind w:left="1680"/>
    </w:pPr>
    <w:rPr>
      <w:rFonts w:asciiTheme="minorHAnsi" w:eastAsiaTheme="minorEastAsia" w:hAnsiTheme="minorHAnsi" w:cstheme="minorBidi"/>
      <w:color w:val="auto"/>
      <w:kern w:val="2"/>
      <w:sz w:val="24"/>
      <w:szCs w:val="24"/>
      <w:lang w:eastAsia="en-AU"/>
      <w14:ligatures w14:val="standardContextual"/>
    </w:rPr>
  </w:style>
  <w:style w:type="paragraph" w:styleId="TOC9">
    <w:name w:val="toc 9"/>
    <w:basedOn w:val="Normal"/>
    <w:next w:val="Normal"/>
    <w:autoRedefine/>
    <w:uiPriority w:val="39"/>
    <w:unhideWhenUsed/>
    <w:rsid w:val="00DF5D76"/>
    <w:pPr>
      <w:spacing w:before="0" w:after="100" w:line="278" w:lineRule="auto"/>
      <w:ind w:left="1920"/>
    </w:pPr>
    <w:rPr>
      <w:rFonts w:asciiTheme="minorHAnsi" w:eastAsiaTheme="minorEastAsia" w:hAnsiTheme="minorHAnsi" w:cstheme="minorBidi"/>
      <w:color w:val="auto"/>
      <w:kern w:val="2"/>
      <w:sz w:val="24"/>
      <w:szCs w:val="24"/>
      <w:lang w:eastAsia="en-AU"/>
      <w14:ligatures w14:val="standardContextual"/>
    </w:rPr>
  </w:style>
  <w:style w:type="character" w:styleId="FollowedHyperlink">
    <w:name w:val="FollowedHyperlink"/>
    <w:basedOn w:val="DefaultParagraphFont"/>
    <w:uiPriority w:val="99"/>
    <w:semiHidden/>
    <w:unhideWhenUsed/>
    <w:rsid w:val="00DF5D76"/>
    <w:rPr>
      <w:color w:val="0A2471" w:themeColor="followedHyperlink"/>
      <w:u w:val="single"/>
    </w:rPr>
  </w:style>
  <w:style w:type="character" w:styleId="Mention">
    <w:name w:val="Mention"/>
    <w:basedOn w:val="DefaultParagraphFont"/>
    <w:uiPriority w:val="99"/>
    <w:unhideWhenUsed/>
    <w:rsid w:val="000924BC"/>
    <w:rPr>
      <w:color w:val="2B579A"/>
      <w:shd w:val="clear" w:color="auto" w:fill="E1DFDD"/>
    </w:rPr>
  </w:style>
  <w:style w:type="paragraph" w:styleId="NoSpacing">
    <w:name w:val="No Spacing"/>
    <w:uiPriority w:val="1"/>
    <w:qFormat/>
    <w:rsid w:val="00F63574"/>
    <w:rPr>
      <w:rFonts w:ascii="Public Sans" w:hAnsi="Public Sans" w:cstheme="majorBidi"/>
      <w:color w:val="0A2471" w:themeColor="accent1"/>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15669">
      <w:bodyDiv w:val="1"/>
      <w:marLeft w:val="0"/>
      <w:marRight w:val="0"/>
      <w:marTop w:val="0"/>
      <w:marBottom w:val="0"/>
      <w:divBdr>
        <w:top w:val="none" w:sz="0" w:space="0" w:color="auto"/>
        <w:left w:val="none" w:sz="0" w:space="0" w:color="auto"/>
        <w:bottom w:val="none" w:sz="0" w:space="0" w:color="auto"/>
        <w:right w:val="none" w:sz="0" w:space="0" w:color="auto"/>
      </w:divBdr>
    </w:div>
    <w:div w:id="34086421">
      <w:bodyDiv w:val="1"/>
      <w:marLeft w:val="0"/>
      <w:marRight w:val="0"/>
      <w:marTop w:val="0"/>
      <w:marBottom w:val="0"/>
      <w:divBdr>
        <w:top w:val="none" w:sz="0" w:space="0" w:color="auto"/>
        <w:left w:val="none" w:sz="0" w:space="0" w:color="auto"/>
        <w:bottom w:val="none" w:sz="0" w:space="0" w:color="auto"/>
        <w:right w:val="none" w:sz="0" w:space="0" w:color="auto"/>
      </w:divBdr>
    </w:div>
    <w:div w:id="41949970">
      <w:bodyDiv w:val="1"/>
      <w:marLeft w:val="0"/>
      <w:marRight w:val="0"/>
      <w:marTop w:val="0"/>
      <w:marBottom w:val="0"/>
      <w:divBdr>
        <w:top w:val="none" w:sz="0" w:space="0" w:color="auto"/>
        <w:left w:val="none" w:sz="0" w:space="0" w:color="auto"/>
        <w:bottom w:val="none" w:sz="0" w:space="0" w:color="auto"/>
        <w:right w:val="none" w:sz="0" w:space="0" w:color="auto"/>
      </w:divBdr>
    </w:div>
    <w:div w:id="44182854">
      <w:bodyDiv w:val="1"/>
      <w:marLeft w:val="0"/>
      <w:marRight w:val="0"/>
      <w:marTop w:val="0"/>
      <w:marBottom w:val="0"/>
      <w:divBdr>
        <w:top w:val="none" w:sz="0" w:space="0" w:color="auto"/>
        <w:left w:val="none" w:sz="0" w:space="0" w:color="auto"/>
        <w:bottom w:val="none" w:sz="0" w:space="0" w:color="auto"/>
        <w:right w:val="none" w:sz="0" w:space="0" w:color="auto"/>
      </w:divBdr>
    </w:div>
    <w:div w:id="50733468">
      <w:bodyDiv w:val="1"/>
      <w:marLeft w:val="0"/>
      <w:marRight w:val="0"/>
      <w:marTop w:val="0"/>
      <w:marBottom w:val="0"/>
      <w:divBdr>
        <w:top w:val="none" w:sz="0" w:space="0" w:color="auto"/>
        <w:left w:val="none" w:sz="0" w:space="0" w:color="auto"/>
        <w:bottom w:val="none" w:sz="0" w:space="0" w:color="auto"/>
        <w:right w:val="none" w:sz="0" w:space="0" w:color="auto"/>
      </w:divBdr>
    </w:div>
    <w:div w:id="98336405">
      <w:bodyDiv w:val="1"/>
      <w:marLeft w:val="0"/>
      <w:marRight w:val="0"/>
      <w:marTop w:val="0"/>
      <w:marBottom w:val="0"/>
      <w:divBdr>
        <w:top w:val="none" w:sz="0" w:space="0" w:color="auto"/>
        <w:left w:val="none" w:sz="0" w:space="0" w:color="auto"/>
        <w:bottom w:val="none" w:sz="0" w:space="0" w:color="auto"/>
        <w:right w:val="none" w:sz="0" w:space="0" w:color="auto"/>
      </w:divBdr>
    </w:div>
    <w:div w:id="111901084">
      <w:bodyDiv w:val="1"/>
      <w:marLeft w:val="0"/>
      <w:marRight w:val="0"/>
      <w:marTop w:val="0"/>
      <w:marBottom w:val="0"/>
      <w:divBdr>
        <w:top w:val="none" w:sz="0" w:space="0" w:color="auto"/>
        <w:left w:val="none" w:sz="0" w:space="0" w:color="auto"/>
        <w:bottom w:val="none" w:sz="0" w:space="0" w:color="auto"/>
        <w:right w:val="none" w:sz="0" w:space="0" w:color="auto"/>
      </w:divBdr>
    </w:div>
    <w:div w:id="117920298">
      <w:bodyDiv w:val="1"/>
      <w:marLeft w:val="0"/>
      <w:marRight w:val="0"/>
      <w:marTop w:val="0"/>
      <w:marBottom w:val="0"/>
      <w:divBdr>
        <w:top w:val="none" w:sz="0" w:space="0" w:color="auto"/>
        <w:left w:val="none" w:sz="0" w:space="0" w:color="auto"/>
        <w:bottom w:val="none" w:sz="0" w:space="0" w:color="auto"/>
        <w:right w:val="none" w:sz="0" w:space="0" w:color="auto"/>
      </w:divBdr>
    </w:div>
    <w:div w:id="143552085">
      <w:bodyDiv w:val="1"/>
      <w:marLeft w:val="0"/>
      <w:marRight w:val="0"/>
      <w:marTop w:val="0"/>
      <w:marBottom w:val="0"/>
      <w:divBdr>
        <w:top w:val="none" w:sz="0" w:space="0" w:color="auto"/>
        <w:left w:val="none" w:sz="0" w:space="0" w:color="auto"/>
        <w:bottom w:val="none" w:sz="0" w:space="0" w:color="auto"/>
        <w:right w:val="none" w:sz="0" w:space="0" w:color="auto"/>
      </w:divBdr>
    </w:div>
    <w:div w:id="148864835">
      <w:bodyDiv w:val="1"/>
      <w:marLeft w:val="0"/>
      <w:marRight w:val="0"/>
      <w:marTop w:val="0"/>
      <w:marBottom w:val="0"/>
      <w:divBdr>
        <w:top w:val="none" w:sz="0" w:space="0" w:color="auto"/>
        <w:left w:val="none" w:sz="0" w:space="0" w:color="auto"/>
        <w:bottom w:val="none" w:sz="0" w:space="0" w:color="auto"/>
        <w:right w:val="none" w:sz="0" w:space="0" w:color="auto"/>
      </w:divBdr>
    </w:div>
    <w:div w:id="150143393">
      <w:bodyDiv w:val="1"/>
      <w:marLeft w:val="0"/>
      <w:marRight w:val="0"/>
      <w:marTop w:val="0"/>
      <w:marBottom w:val="0"/>
      <w:divBdr>
        <w:top w:val="none" w:sz="0" w:space="0" w:color="auto"/>
        <w:left w:val="none" w:sz="0" w:space="0" w:color="auto"/>
        <w:bottom w:val="none" w:sz="0" w:space="0" w:color="auto"/>
        <w:right w:val="none" w:sz="0" w:space="0" w:color="auto"/>
      </w:divBdr>
    </w:div>
    <w:div w:id="161284297">
      <w:bodyDiv w:val="1"/>
      <w:marLeft w:val="0"/>
      <w:marRight w:val="0"/>
      <w:marTop w:val="0"/>
      <w:marBottom w:val="0"/>
      <w:divBdr>
        <w:top w:val="none" w:sz="0" w:space="0" w:color="auto"/>
        <w:left w:val="none" w:sz="0" w:space="0" w:color="auto"/>
        <w:bottom w:val="none" w:sz="0" w:space="0" w:color="auto"/>
        <w:right w:val="none" w:sz="0" w:space="0" w:color="auto"/>
      </w:divBdr>
    </w:div>
    <w:div w:id="182743561">
      <w:bodyDiv w:val="1"/>
      <w:marLeft w:val="0"/>
      <w:marRight w:val="0"/>
      <w:marTop w:val="0"/>
      <w:marBottom w:val="0"/>
      <w:divBdr>
        <w:top w:val="none" w:sz="0" w:space="0" w:color="auto"/>
        <w:left w:val="none" w:sz="0" w:space="0" w:color="auto"/>
        <w:bottom w:val="none" w:sz="0" w:space="0" w:color="auto"/>
        <w:right w:val="none" w:sz="0" w:space="0" w:color="auto"/>
      </w:divBdr>
    </w:div>
    <w:div w:id="195966684">
      <w:bodyDiv w:val="1"/>
      <w:marLeft w:val="0"/>
      <w:marRight w:val="0"/>
      <w:marTop w:val="0"/>
      <w:marBottom w:val="0"/>
      <w:divBdr>
        <w:top w:val="none" w:sz="0" w:space="0" w:color="auto"/>
        <w:left w:val="none" w:sz="0" w:space="0" w:color="auto"/>
        <w:bottom w:val="none" w:sz="0" w:space="0" w:color="auto"/>
        <w:right w:val="none" w:sz="0" w:space="0" w:color="auto"/>
      </w:divBdr>
    </w:div>
    <w:div w:id="196701930">
      <w:bodyDiv w:val="1"/>
      <w:marLeft w:val="0"/>
      <w:marRight w:val="0"/>
      <w:marTop w:val="0"/>
      <w:marBottom w:val="0"/>
      <w:divBdr>
        <w:top w:val="none" w:sz="0" w:space="0" w:color="auto"/>
        <w:left w:val="none" w:sz="0" w:space="0" w:color="auto"/>
        <w:bottom w:val="none" w:sz="0" w:space="0" w:color="auto"/>
        <w:right w:val="none" w:sz="0" w:space="0" w:color="auto"/>
      </w:divBdr>
    </w:div>
    <w:div w:id="208150638">
      <w:bodyDiv w:val="1"/>
      <w:marLeft w:val="0"/>
      <w:marRight w:val="0"/>
      <w:marTop w:val="0"/>
      <w:marBottom w:val="0"/>
      <w:divBdr>
        <w:top w:val="none" w:sz="0" w:space="0" w:color="auto"/>
        <w:left w:val="none" w:sz="0" w:space="0" w:color="auto"/>
        <w:bottom w:val="none" w:sz="0" w:space="0" w:color="auto"/>
        <w:right w:val="none" w:sz="0" w:space="0" w:color="auto"/>
      </w:divBdr>
    </w:div>
    <w:div w:id="229731554">
      <w:bodyDiv w:val="1"/>
      <w:marLeft w:val="0"/>
      <w:marRight w:val="0"/>
      <w:marTop w:val="0"/>
      <w:marBottom w:val="0"/>
      <w:divBdr>
        <w:top w:val="none" w:sz="0" w:space="0" w:color="auto"/>
        <w:left w:val="none" w:sz="0" w:space="0" w:color="auto"/>
        <w:bottom w:val="none" w:sz="0" w:space="0" w:color="auto"/>
        <w:right w:val="none" w:sz="0" w:space="0" w:color="auto"/>
      </w:divBdr>
    </w:div>
    <w:div w:id="229846784">
      <w:bodyDiv w:val="1"/>
      <w:marLeft w:val="0"/>
      <w:marRight w:val="0"/>
      <w:marTop w:val="0"/>
      <w:marBottom w:val="0"/>
      <w:divBdr>
        <w:top w:val="none" w:sz="0" w:space="0" w:color="auto"/>
        <w:left w:val="none" w:sz="0" w:space="0" w:color="auto"/>
        <w:bottom w:val="none" w:sz="0" w:space="0" w:color="auto"/>
        <w:right w:val="none" w:sz="0" w:space="0" w:color="auto"/>
      </w:divBdr>
    </w:div>
    <w:div w:id="243418643">
      <w:bodyDiv w:val="1"/>
      <w:marLeft w:val="0"/>
      <w:marRight w:val="0"/>
      <w:marTop w:val="0"/>
      <w:marBottom w:val="0"/>
      <w:divBdr>
        <w:top w:val="none" w:sz="0" w:space="0" w:color="auto"/>
        <w:left w:val="none" w:sz="0" w:space="0" w:color="auto"/>
        <w:bottom w:val="none" w:sz="0" w:space="0" w:color="auto"/>
        <w:right w:val="none" w:sz="0" w:space="0" w:color="auto"/>
      </w:divBdr>
    </w:div>
    <w:div w:id="246499834">
      <w:bodyDiv w:val="1"/>
      <w:marLeft w:val="0"/>
      <w:marRight w:val="0"/>
      <w:marTop w:val="0"/>
      <w:marBottom w:val="0"/>
      <w:divBdr>
        <w:top w:val="none" w:sz="0" w:space="0" w:color="auto"/>
        <w:left w:val="none" w:sz="0" w:space="0" w:color="auto"/>
        <w:bottom w:val="none" w:sz="0" w:space="0" w:color="auto"/>
        <w:right w:val="none" w:sz="0" w:space="0" w:color="auto"/>
      </w:divBdr>
    </w:div>
    <w:div w:id="270016143">
      <w:bodyDiv w:val="1"/>
      <w:marLeft w:val="0"/>
      <w:marRight w:val="0"/>
      <w:marTop w:val="0"/>
      <w:marBottom w:val="0"/>
      <w:divBdr>
        <w:top w:val="none" w:sz="0" w:space="0" w:color="auto"/>
        <w:left w:val="none" w:sz="0" w:space="0" w:color="auto"/>
        <w:bottom w:val="none" w:sz="0" w:space="0" w:color="auto"/>
        <w:right w:val="none" w:sz="0" w:space="0" w:color="auto"/>
      </w:divBdr>
    </w:div>
    <w:div w:id="277033930">
      <w:bodyDiv w:val="1"/>
      <w:marLeft w:val="0"/>
      <w:marRight w:val="0"/>
      <w:marTop w:val="0"/>
      <w:marBottom w:val="0"/>
      <w:divBdr>
        <w:top w:val="none" w:sz="0" w:space="0" w:color="auto"/>
        <w:left w:val="none" w:sz="0" w:space="0" w:color="auto"/>
        <w:bottom w:val="none" w:sz="0" w:space="0" w:color="auto"/>
        <w:right w:val="none" w:sz="0" w:space="0" w:color="auto"/>
      </w:divBdr>
    </w:div>
    <w:div w:id="295600027">
      <w:bodyDiv w:val="1"/>
      <w:marLeft w:val="0"/>
      <w:marRight w:val="0"/>
      <w:marTop w:val="0"/>
      <w:marBottom w:val="0"/>
      <w:divBdr>
        <w:top w:val="none" w:sz="0" w:space="0" w:color="auto"/>
        <w:left w:val="none" w:sz="0" w:space="0" w:color="auto"/>
        <w:bottom w:val="none" w:sz="0" w:space="0" w:color="auto"/>
        <w:right w:val="none" w:sz="0" w:space="0" w:color="auto"/>
      </w:divBdr>
    </w:div>
    <w:div w:id="306520305">
      <w:bodyDiv w:val="1"/>
      <w:marLeft w:val="0"/>
      <w:marRight w:val="0"/>
      <w:marTop w:val="0"/>
      <w:marBottom w:val="0"/>
      <w:divBdr>
        <w:top w:val="none" w:sz="0" w:space="0" w:color="auto"/>
        <w:left w:val="none" w:sz="0" w:space="0" w:color="auto"/>
        <w:bottom w:val="none" w:sz="0" w:space="0" w:color="auto"/>
        <w:right w:val="none" w:sz="0" w:space="0" w:color="auto"/>
      </w:divBdr>
    </w:div>
    <w:div w:id="315844738">
      <w:bodyDiv w:val="1"/>
      <w:marLeft w:val="0"/>
      <w:marRight w:val="0"/>
      <w:marTop w:val="0"/>
      <w:marBottom w:val="0"/>
      <w:divBdr>
        <w:top w:val="none" w:sz="0" w:space="0" w:color="auto"/>
        <w:left w:val="none" w:sz="0" w:space="0" w:color="auto"/>
        <w:bottom w:val="none" w:sz="0" w:space="0" w:color="auto"/>
        <w:right w:val="none" w:sz="0" w:space="0" w:color="auto"/>
      </w:divBdr>
    </w:div>
    <w:div w:id="316694761">
      <w:bodyDiv w:val="1"/>
      <w:marLeft w:val="0"/>
      <w:marRight w:val="0"/>
      <w:marTop w:val="0"/>
      <w:marBottom w:val="0"/>
      <w:divBdr>
        <w:top w:val="none" w:sz="0" w:space="0" w:color="auto"/>
        <w:left w:val="none" w:sz="0" w:space="0" w:color="auto"/>
        <w:bottom w:val="none" w:sz="0" w:space="0" w:color="auto"/>
        <w:right w:val="none" w:sz="0" w:space="0" w:color="auto"/>
      </w:divBdr>
    </w:div>
    <w:div w:id="316767305">
      <w:bodyDiv w:val="1"/>
      <w:marLeft w:val="0"/>
      <w:marRight w:val="0"/>
      <w:marTop w:val="0"/>
      <w:marBottom w:val="0"/>
      <w:divBdr>
        <w:top w:val="none" w:sz="0" w:space="0" w:color="auto"/>
        <w:left w:val="none" w:sz="0" w:space="0" w:color="auto"/>
        <w:bottom w:val="none" w:sz="0" w:space="0" w:color="auto"/>
        <w:right w:val="none" w:sz="0" w:space="0" w:color="auto"/>
      </w:divBdr>
    </w:div>
    <w:div w:id="376587999">
      <w:bodyDiv w:val="1"/>
      <w:marLeft w:val="0"/>
      <w:marRight w:val="0"/>
      <w:marTop w:val="0"/>
      <w:marBottom w:val="0"/>
      <w:divBdr>
        <w:top w:val="none" w:sz="0" w:space="0" w:color="auto"/>
        <w:left w:val="none" w:sz="0" w:space="0" w:color="auto"/>
        <w:bottom w:val="none" w:sz="0" w:space="0" w:color="auto"/>
        <w:right w:val="none" w:sz="0" w:space="0" w:color="auto"/>
      </w:divBdr>
    </w:div>
    <w:div w:id="380716003">
      <w:bodyDiv w:val="1"/>
      <w:marLeft w:val="0"/>
      <w:marRight w:val="0"/>
      <w:marTop w:val="0"/>
      <w:marBottom w:val="0"/>
      <w:divBdr>
        <w:top w:val="none" w:sz="0" w:space="0" w:color="auto"/>
        <w:left w:val="none" w:sz="0" w:space="0" w:color="auto"/>
        <w:bottom w:val="none" w:sz="0" w:space="0" w:color="auto"/>
        <w:right w:val="none" w:sz="0" w:space="0" w:color="auto"/>
      </w:divBdr>
    </w:div>
    <w:div w:id="385373003">
      <w:bodyDiv w:val="1"/>
      <w:marLeft w:val="0"/>
      <w:marRight w:val="0"/>
      <w:marTop w:val="0"/>
      <w:marBottom w:val="0"/>
      <w:divBdr>
        <w:top w:val="none" w:sz="0" w:space="0" w:color="auto"/>
        <w:left w:val="none" w:sz="0" w:space="0" w:color="auto"/>
        <w:bottom w:val="none" w:sz="0" w:space="0" w:color="auto"/>
        <w:right w:val="none" w:sz="0" w:space="0" w:color="auto"/>
      </w:divBdr>
    </w:div>
    <w:div w:id="387460585">
      <w:bodyDiv w:val="1"/>
      <w:marLeft w:val="0"/>
      <w:marRight w:val="0"/>
      <w:marTop w:val="0"/>
      <w:marBottom w:val="0"/>
      <w:divBdr>
        <w:top w:val="none" w:sz="0" w:space="0" w:color="auto"/>
        <w:left w:val="none" w:sz="0" w:space="0" w:color="auto"/>
        <w:bottom w:val="none" w:sz="0" w:space="0" w:color="auto"/>
        <w:right w:val="none" w:sz="0" w:space="0" w:color="auto"/>
      </w:divBdr>
    </w:div>
    <w:div w:id="388842894">
      <w:bodyDiv w:val="1"/>
      <w:marLeft w:val="0"/>
      <w:marRight w:val="0"/>
      <w:marTop w:val="0"/>
      <w:marBottom w:val="0"/>
      <w:divBdr>
        <w:top w:val="none" w:sz="0" w:space="0" w:color="auto"/>
        <w:left w:val="none" w:sz="0" w:space="0" w:color="auto"/>
        <w:bottom w:val="none" w:sz="0" w:space="0" w:color="auto"/>
        <w:right w:val="none" w:sz="0" w:space="0" w:color="auto"/>
      </w:divBdr>
    </w:div>
    <w:div w:id="392000225">
      <w:bodyDiv w:val="1"/>
      <w:marLeft w:val="0"/>
      <w:marRight w:val="0"/>
      <w:marTop w:val="0"/>
      <w:marBottom w:val="0"/>
      <w:divBdr>
        <w:top w:val="none" w:sz="0" w:space="0" w:color="auto"/>
        <w:left w:val="none" w:sz="0" w:space="0" w:color="auto"/>
        <w:bottom w:val="none" w:sz="0" w:space="0" w:color="auto"/>
        <w:right w:val="none" w:sz="0" w:space="0" w:color="auto"/>
      </w:divBdr>
    </w:div>
    <w:div w:id="420495053">
      <w:bodyDiv w:val="1"/>
      <w:marLeft w:val="0"/>
      <w:marRight w:val="0"/>
      <w:marTop w:val="0"/>
      <w:marBottom w:val="0"/>
      <w:divBdr>
        <w:top w:val="none" w:sz="0" w:space="0" w:color="auto"/>
        <w:left w:val="none" w:sz="0" w:space="0" w:color="auto"/>
        <w:bottom w:val="none" w:sz="0" w:space="0" w:color="auto"/>
        <w:right w:val="none" w:sz="0" w:space="0" w:color="auto"/>
      </w:divBdr>
    </w:div>
    <w:div w:id="452133930">
      <w:bodyDiv w:val="1"/>
      <w:marLeft w:val="0"/>
      <w:marRight w:val="0"/>
      <w:marTop w:val="0"/>
      <w:marBottom w:val="0"/>
      <w:divBdr>
        <w:top w:val="none" w:sz="0" w:space="0" w:color="auto"/>
        <w:left w:val="none" w:sz="0" w:space="0" w:color="auto"/>
        <w:bottom w:val="none" w:sz="0" w:space="0" w:color="auto"/>
        <w:right w:val="none" w:sz="0" w:space="0" w:color="auto"/>
      </w:divBdr>
    </w:div>
    <w:div w:id="460028979">
      <w:bodyDiv w:val="1"/>
      <w:marLeft w:val="0"/>
      <w:marRight w:val="0"/>
      <w:marTop w:val="0"/>
      <w:marBottom w:val="0"/>
      <w:divBdr>
        <w:top w:val="none" w:sz="0" w:space="0" w:color="auto"/>
        <w:left w:val="none" w:sz="0" w:space="0" w:color="auto"/>
        <w:bottom w:val="none" w:sz="0" w:space="0" w:color="auto"/>
        <w:right w:val="none" w:sz="0" w:space="0" w:color="auto"/>
      </w:divBdr>
    </w:div>
    <w:div w:id="477496933">
      <w:bodyDiv w:val="1"/>
      <w:marLeft w:val="0"/>
      <w:marRight w:val="0"/>
      <w:marTop w:val="0"/>
      <w:marBottom w:val="0"/>
      <w:divBdr>
        <w:top w:val="none" w:sz="0" w:space="0" w:color="auto"/>
        <w:left w:val="none" w:sz="0" w:space="0" w:color="auto"/>
        <w:bottom w:val="none" w:sz="0" w:space="0" w:color="auto"/>
        <w:right w:val="none" w:sz="0" w:space="0" w:color="auto"/>
      </w:divBdr>
    </w:div>
    <w:div w:id="492568764">
      <w:bodyDiv w:val="1"/>
      <w:marLeft w:val="0"/>
      <w:marRight w:val="0"/>
      <w:marTop w:val="0"/>
      <w:marBottom w:val="0"/>
      <w:divBdr>
        <w:top w:val="none" w:sz="0" w:space="0" w:color="auto"/>
        <w:left w:val="none" w:sz="0" w:space="0" w:color="auto"/>
        <w:bottom w:val="none" w:sz="0" w:space="0" w:color="auto"/>
        <w:right w:val="none" w:sz="0" w:space="0" w:color="auto"/>
      </w:divBdr>
    </w:div>
    <w:div w:id="495728454">
      <w:bodyDiv w:val="1"/>
      <w:marLeft w:val="0"/>
      <w:marRight w:val="0"/>
      <w:marTop w:val="0"/>
      <w:marBottom w:val="0"/>
      <w:divBdr>
        <w:top w:val="none" w:sz="0" w:space="0" w:color="auto"/>
        <w:left w:val="none" w:sz="0" w:space="0" w:color="auto"/>
        <w:bottom w:val="none" w:sz="0" w:space="0" w:color="auto"/>
        <w:right w:val="none" w:sz="0" w:space="0" w:color="auto"/>
      </w:divBdr>
    </w:div>
    <w:div w:id="503588502">
      <w:bodyDiv w:val="1"/>
      <w:marLeft w:val="0"/>
      <w:marRight w:val="0"/>
      <w:marTop w:val="0"/>
      <w:marBottom w:val="0"/>
      <w:divBdr>
        <w:top w:val="none" w:sz="0" w:space="0" w:color="auto"/>
        <w:left w:val="none" w:sz="0" w:space="0" w:color="auto"/>
        <w:bottom w:val="none" w:sz="0" w:space="0" w:color="auto"/>
        <w:right w:val="none" w:sz="0" w:space="0" w:color="auto"/>
      </w:divBdr>
    </w:div>
    <w:div w:id="536702065">
      <w:bodyDiv w:val="1"/>
      <w:marLeft w:val="0"/>
      <w:marRight w:val="0"/>
      <w:marTop w:val="0"/>
      <w:marBottom w:val="0"/>
      <w:divBdr>
        <w:top w:val="none" w:sz="0" w:space="0" w:color="auto"/>
        <w:left w:val="none" w:sz="0" w:space="0" w:color="auto"/>
        <w:bottom w:val="none" w:sz="0" w:space="0" w:color="auto"/>
        <w:right w:val="none" w:sz="0" w:space="0" w:color="auto"/>
      </w:divBdr>
    </w:div>
    <w:div w:id="558201354">
      <w:bodyDiv w:val="1"/>
      <w:marLeft w:val="0"/>
      <w:marRight w:val="0"/>
      <w:marTop w:val="0"/>
      <w:marBottom w:val="0"/>
      <w:divBdr>
        <w:top w:val="none" w:sz="0" w:space="0" w:color="auto"/>
        <w:left w:val="none" w:sz="0" w:space="0" w:color="auto"/>
        <w:bottom w:val="none" w:sz="0" w:space="0" w:color="auto"/>
        <w:right w:val="none" w:sz="0" w:space="0" w:color="auto"/>
      </w:divBdr>
    </w:div>
    <w:div w:id="559945370">
      <w:bodyDiv w:val="1"/>
      <w:marLeft w:val="0"/>
      <w:marRight w:val="0"/>
      <w:marTop w:val="0"/>
      <w:marBottom w:val="0"/>
      <w:divBdr>
        <w:top w:val="none" w:sz="0" w:space="0" w:color="auto"/>
        <w:left w:val="none" w:sz="0" w:space="0" w:color="auto"/>
        <w:bottom w:val="none" w:sz="0" w:space="0" w:color="auto"/>
        <w:right w:val="none" w:sz="0" w:space="0" w:color="auto"/>
      </w:divBdr>
    </w:div>
    <w:div w:id="566301460">
      <w:bodyDiv w:val="1"/>
      <w:marLeft w:val="0"/>
      <w:marRight w:val="0"/>
      <w:marTop w:val="0"/>
      <w:marBottom w:val="0"/>
      <w:divBdr>
        <w:top w:val="none" w:sz="0" w:space="0" w:color="auto"/>
        <w:left w:val="none" w:sz="0" w:space="0" w:color="auto"/>
        <w:bottom w:val="none" w:sz="0" w:space="0" w:color="auto"/>
        <w:right w:val="none" w:sz="0" w:space="0" w:color="auto"/>
      </w:divBdr>
      <w:divsChild>
        <w:div w:id="36973581">
          <w:marLeft w:val="360"/>
          <w:marRight w:val="0"/>
          <w:marTop w:val="60"/>
          <w:marBottom w:val="0"/>
          <w:divBdr>
            <w:top w:val="none" w:sz="0" w:space="0" w:color="auto"/>
            <w:left w:val="none" w:sz="0" w:space="0" w:color="auto"/>
            <w:bottom w:val="none" w:sz="0" w:space="0" w:color="auto"/>
            <w:right w:val="none" w:sz="0" w:space="0" w:color="auto"/>
          </w:divBdr>
        </w:div>
        <w:div w:id="150173513">
          <w:marLeft w:val="360"/>
          <w:marRight w:val="0"/>
          <w:marTop w:val="60"/>
          <w:marBottom w:val="0"/>
          <w:divBdr>
            <w:top w:val="none" w:sz="0" w:space="0" w:color="auto"/>
            <w:left w:val="none" w:sz="0" w:space="0" w:color="auto"/>
            <w:bottom w:val="none" w:sz="0" w:space="0" w:color="auto"/>
            <w:right w:val="none" w:sz="0" w:space="0" w:color="auto"/>
          </w:divBdr>
        </w:div>
        <w:div w:id="205409063">
          <w:marLeft w:val="734"/>
          <w:marRight w:val="0"/>
          <w:marTop w:val="60"/>
          <w:marBottom w:val="0"/>
          <w:divBdr>
            <w:top w:val="none" w:sz="0" w:space="0" w:color="auto"/>
            <w:left w:val="none" w:sz="0" w:space="0" w:color="auto"/>
            <w:bottom w:val="none" w:sz="0" w:space="0" w:color="auto"/>
            <w:right w:val="none" w:sz="0" w:space="0" w:color="auto"/>
          </w:divBdr>
        </w:div>
        <w:div w:id="951790764">
          <w:marLeft w:val="734"/>
          <w:marRight w:val="0"/>
          <w:marTop w:val="60"/>
          <w:marBottom w:val="0"/>
          <w:divBdr>
            <w:top w:val="none" w:sz="0" w:space="0" w:color="auto"/>
            <w:left w:val="none" w:sz="0" w:space="0" w:color="auto"/>
            <w:bottom w:val="none" w:sz="0" w:space="0" w:color="auto"/>
            <w:right w:val="none" w:sz="0" w:space="0" w:color="auto"/>
          </w:divBdr>
        </w:div>
        <w:div w:id="1470397062">
          <w:marLeft w:val="734"/>
          <w:marRight w:val="0"/>
          <w:marTop w:val="60"/>
          <w:marBottom w:val="0"/>
          <w:divBdr>
            <w:top w:val="none" w:sz="0" w:space="0" w:color="auto"/>
            <w:left w:val="none" w:sz="0" w:space="0" w:color="auto"/>
            <w:bottom w:val="none" w:sz="0" w:space="0" w:color="auto"/>
            <w:right w:val="none" w:sz="0" w:space="0" w:color="auto"/>
          </w:divBdr>
        </w:div>
      </w:divsChild>
    </w:div>
    <w:div w:id="566494549">
      <w:bodyDiv w:val="1"/>
      <w:marLeft w:val="0"/>
      <w:marRight w:val="0"/>
      <w:marTop w:val="0"/>
      <w:marBottom w:val="0"/>
      <w:divBdr>
        <w:top w:val="none" w:sz="0" w:space="0" w:color="auto"/>
        <w:left w:val="none" w:sz="0" w:space="0" w:color="auto"/>
        <w:bottom w:val="none" w:sz="0" w:space="0" w:color="auto"/>
        <w:right w:val="none" w:sz="0" w:space="0" w:color="auto"/>
      </w:divBdr>
    </w:div>
    <w:div w:id="568420090">
      <w:bodyDiv w:val="1"/>
      <w:marLeft w:val="0"/>
      <w:marRight w:val="0"/>
      <w:marTop w:val="0"/>
      <w:marBottom w:val="0"/>
      <w:divBdr>
        <w:top w:val="none" w:sz="0" w:space="0" w:color="auto"/>
        <w:left w:val="none" w:sz="0" w:space="0" w:color="auto"/>
        <w:bottom w:val="none" w:sz="0" w:space="0" w:color="auto"/>
        <w:right w:val="none" w:sz="0" w:space="0" w:color="auto"/>
      </w:divBdr>
      <w:divsChild>
        <w:div w:id="547911622">
          <w:marLeft w:val="360"/>
          <w:marRight w:val="0"/>
          <w:marTop w:val="0"/>
          <w:marBottom w:val="120"/>
          <w:divBdr>
            <w:top w:val="none" w:sz="0" w:space="0" w:color="auto"/>
            <w:left w:val="none" w:sz="0" w:space="0" w:color="auto"/>
            <w:bottom w:val="none" w:sz="0" w:space="0" w:color="auto"/>
            <w:right w:val="none" w:sz="0" w:space="0" w:color="auto"/>
          </w:divBdr>
        </w:div>
        <w:div w:id="656736964">
          <w:marLeft w:val="360"/>
          <w:marRight w:val="0"/>
          <w:marTop w:val="0"/>
          <w:marBottom w:val="120"/>
          <w:divBdr>
            <w:top w:val="none" w:sz="0" w:space="0" w:color="auto"/>
            <w:left w:val="none" w:sz="0" w:space="0" w:color="auto"/>
            <w:bottom w:val="none" w:sz="0" w:space="0" w:color="auto"/>
            <w:right w:val="none" w:sz="0" w:space="0" w:color="auto"/>
          </w:divBdr>
        </w:div>
        <w:div w:id="1115904594">
          <w:marLeft w:val="360"/>
          <w:marRight w:val="0"/>
          <w:marTop w:val="0"/>
          <w:marBottom w:val="120"/>
          <w:divBdr>
            <w:top w:val="none" w:sz="0" w:space="0" w:color="auto"/>
            <w:left w:val="none" w:sz="0" w:space="0" w:color="auto"/>
            <w:bottom w:val="none" w:sz="0" w:space="0" w:color="auto"/>
            <w:right w:val="none" w:sz="0" w:space="0" w:color="auto"/>
          </w:divBdr>
        </w:div>
        <w:div w:id="2039161096">
          <w:marLeft w:val="360"/>
          <w:marRight w:val="0"/>
          <w:marTop w:val="0"/>
          <w:marBottom w:val="120"/>
          <w:divBdr>
            <w:top w:val="none" w:sz="0" w:space="0" w:color="auto"/>
            <w:left w:val="none" w:sz="0" w:space="0" w:color="auto"/>
            <w:bottom w:val="none" w:sz="0" w:space="0" w:color="auto"/>
            <w:right w:val="none" w:sz="0" w:space="0" w:color="auto"/>
          </w:divBdr>
        </w:div>
      </w:divsChild>
    </w:div>
    <w:div w:id="584412289">
      <w:bodyDiv w:val="1"/>
      <w:marLeft w:val="0"/>
      <w:marRight w:val="0"/>
      <w:marTop w:val="0"/>
      <w:marBottom w:val="0"/>
      <w:divBdr>
        <w:top w:val="none" w:sz="0" w:space="0" w:color="auto"/>
        <w:left w:val="none" w:sz="0" w:space="0" w:color="auto"/>
        <w:bottom w:val="none" w:sz="0" w:space="0" w:color="auto"/>
        <w:right w:val="none" w:sz="0" w:space="0" w:color="auto"/>
      </w:divBdr>
    </w:div>
    <w:div w:id="586427672">
      <w:bodyDiv w:val="1"/>
      <w:marLeft w:val="0"/>
      <w:marRight w:val="0"/>
      <w:marTop w:val="0"/>
      <w:marBottom w:val="0"/>
      <w:divBdr>
        <w:top w:val="none" w:sz="0" w:space="0" w:color="auto"/>
        <w:left w:val="none" w:sz="0" w:space="0" w:color="auto"/>
        <w:bottom w:val="none" w:sz="0" w:space="0" w:color="auto"/>
        <w:right w:val="none" w:sz="0" w:space="0" w:color="auto"/>
      </w:divBdr>
    </w:div>
    <w:div w:id="588386952">
      <w:bodyDiv w:val="1"/>
      <w:marLeft w:val="0"/>
      <w:marRight w:val="0"/>
      <w:marTop w:val="0"/>
      <w:marBottom w:val="0"/>
      <w:divBdr>
        <w:top w:val="none" w:sz="0" w:space="0" w:color="auto"/>
        <w:left w:val="none" w:sz="0" w:space="0" w:color="auto"/>
        <w:bottom w:val="none" w:sz="0" w:space="0" w:color="auto"/>
        <w:right w:val="none" w:sz="0" w:space="0" w:color="auto"/>
      </w:divBdr>
    </w:div>
    <w:div w:id="603919581">
      <w:bodyDiv w:val="1"/>
      <w:marLeft w:val="0"/>
      <w:marRight w:val="0"/>
      <w:marTop w:val="0"/>
      <w:marBottom w:val="0"/>
      <w:divBdr>
        <w:top w:val="none" w:sz="0" w:space="0" w:color="auto"/>
        <w:left w:val="none" w:sz="0" w:space="0" w:color="auto"/>
        <w:bottom w:val="none" w:sz="0" w:space="0" w:color="auto"/>
        <w:right w:val="none" w:sz="0" w:space="0" w:color="auto"/>
      </w:divBdr>
      <w:divsChild>
        <w:div w:id="237248694">
          <w:marLeft w:val="360"/>
          <w:marRight w:val="0"/>
          <w:marTop w:val="60"/>
          <w:marBottom w:val="0"/>
          <w:divBdr>
            <w:top w:val="none" w:sz="0" w:space="0" w:color="auto"/>
            <w:left w:val="none" w:sz="0" w:space="0" w:color="auto"/>
            <w:bottom w:val="none" w:sz="0" w:space="0" w:color="auto"/>
            <w:right w:val="none" w:sz="0" w:space="0" w:color="auto"/>
          </w:divBdr>
        </w:div>
        <w:div w:id="360013725">
          <w:marLeft w:val="734"/>
          <w:marRight w:val="0"/>
          <w:marTop w:val="60"/>
          <w:marBottom w:val="0"/>
          <w:divBdr>
            <w:top w:val="none" w:sz="0" w:space="0" w:color="auto"/>
            <w:left w:val="none" w:sz="0" w:space="0" w:color="auto"/>
            <w:bottom w:val="none" w:sz="0" w:space="0" w:color="auto"/>
            <w:right w:val="none" w:sz="0" w:space="0" w:color="auto"/>
          </w:divBdr>
        </w:div>
        <w:div w:id="1318801595">
          <w:marLeft w:val="734"/>
          <w:marRight w:val="0"/>
          <w:marTop w:val="60"/>
          <w:marBottom w:val="0"/>
          <w:divBdr>
            <w:top w:val="none" w:sz="0" w:space="0" w:color="auto"/>
            <w:left w:val="none" w:sz="0" w:space="0" w:color="auto"/>
            <w:bottom w:val="none" w:sz="0" w:space="0" w:color="auto"/>
            <w:right w:val="none" w:sz="0" w:space="0" w:color="auto"/>
          </w:divBdr>
        </w:div>
        <w:div w:id="1698312380">
          <w:marLeft w:val="360"/>
          <w:marRight w:val="0"/>
          <w:marTop w:val="60"/>
          <w:marBottom w:val="0"/>
          <w:divBdr>
            <w:top w:val="none" w:sz="0" w:space="0" w:color="auto"/>
            <w:left w:val="none" w:sz="0" w:space="0" w:color="auto"/>
            <w:bottom w:val="none" w:sz="0" w:space="0" w:color="auto"/>
            <w:right w:val="none" w:sz="0" w:space="0" w:color="auto"/>
          </w:divBdr>
        </w:div>
        <w:div w:id="1831822609">
          <w:marLeft w:val="734"/>
          <w:marRight w:val="0"/>
          <w:marTop w:val="60"/>
          <w:marBottom w:val="0"/>
          <w:divBdr>
            <w:top w:val="none" w:sz="0" w:space="0" w:color="auto"/>
            <w:left w:val="none" w:sz="0" w:space="0" w:color="auto"/>
            <w:bottom w:val="none" w:sz="0" w:space="0" w:color="auto"/>
            <w:right w:val="none" w:sz="0" w:space="0" w:color="auto"/>
          </w:divBdr>
        </w:div>
      </w:divsChild>
    </w:div>
    <w:div w:id="624430223">
      <w:bodyDiv w:val="1"/>
      <w:marLeft w:val="0"/>
      <w:marRight w:val="0"/>
      <w:marTop w:val="0"/>
      <w:marBottom w:val="0"/>
      <w:divBdr>
        <w:top w:val="none" w:sz="0" w:space="0" w:color="auto"/>
        <w:left w:val="none" w:sz="0" w:space="0" w:color="auto"/>
        <w:bottom w:val="none" w:sz="0" w:space="0" w:color="auto"/>
        <w:right w:val="none" w:sz="0" w:space="0" w:color="auto"/>
      </w:divBdr>
    </w:div>
    <w:div w:id="648559571">
      <w:bodyDiv w:val="1"/>
      <w:marLeft w:val="0"/>
      <w:marRight w:val="0"/>
      <w:marTop w:val="0"/>
      <w:marBottom w:val="0"/>
      <w:divBdr>
        <w:top w:val="none" w:sz="0" w:space="0" w:color="auto"/>
        <w:left w:val="none" w:sz="0" w:space="0" w:color="auto"/>
        <w:bottom w:val="none" w:sz="0" w:space="0" w:color="auto"/>
        <w:right w:val="none" w:sz="0" w:space="0" w:color="auto"/>
      </w:divBdr>
    </w:div>
    <w:div w:id="656768481">
      <w:bodyDiv w:val="1"/>
      <w:marLeft w:val="0"/>
      <w:marRight w:val="0"/>
      <w:marTop w:val="0"/>
      <w:marBottom w:val="0"/>
      <w:divBdr>
        <w:top w:val="none" w:sz="0" w:space="0" w:color="auto"/>
        <w:left w:val="none" w:sz="0" w:space="0" w:color="auto"/>
        <w:bottom w:val="none" w:sz="0" w:space="0" w:color="auto"/>
        <w:right w:val="none" w:sz="0" w:space="0" w:color="auto"/>
      </w:divBdr>
    </w:div>
    <w:div w:id="666400260">
      <w:bodyDiv w:val="1"/>
      <w:marLeft w:val="0"/>
      <w:marRight w:val="0"/>
      <w:marTop w:val="0"/>
      <w:marBottom w:val="0"/>
      <w:divBdr>
        <w:top w:val="none" w:sz="0" w:space="0" w:color="auto"/>
        <w:left w:val="none" w:sz="0" w:space="0" w:color="auto"/>
        <w:bottom w:val="none" w:sz="0" w:space="0" w:color="auto"/>
        <w:right w:val="none" w:sz="0" w:space="0" w:color="auto"/>
      </w:divBdr>
    </w:div>
    <w:div w:id="679308206">
      <w:bodyDiv w:val="1"/>
      <w:marLeft w:val="0"/>
      <w:marRight w:val="0"/>
      <w:marTop w:val="0"/>
      <w:marBottom w:val="0"/>
      <w:divBdr>
        <w:top w:val="none" w:sz="0" w:space="0" w:color="auto"/>
        <w:left w:val="none" w:sz="0" w:space="0" w:color="auto"/>
        <w:bottom w:val="none" w:sz="0" w:space="0" w:color="auto"/>
        <w:right w:val="none" w:sz="0" w:space="0" w:color="auto"/>
      </w:divBdr>
    </w:div>
    <w:div w:id="690648256">
      <w:bodyDiv w:val="1"/>
      <w:marLeft w:val="0"/>
      <w:marRight w:val="0"/>
      <w:marTop w:val="0"/>
      <w:marBottom w:val="0"/>
      <w:divBdr>
        <w:top w:val="none" w:sz="0" w:space="0" w:color="auto"/>
        <w:left w:val="none" w:sz="0" w:space="0" w:color="auto"/>
        <w:bottom w:val="none" w:sz="0" w:space="0" w:color="auto"/>
        <w:right w:val="none" w:sz="0" w:space="0" w:color="auto"/>
      </w:divBdr>
    </w:div>
    <w:div w:id="691298597">
      <w:bodyDiv w:val="1"/>
      <w:marLeft w:val="0"/>
      <w:marRight w:val="0"/>
      <w:marTop w:val="0"/>
      <w:marBottom w:val="0"/>
      <w:divBdr>
        <w:top w:val="none" w:sz="0" w:space="0" w:color="auto"/>
        <w:left w:val="none" w:sz="0" w:space="0" w:color="auto"/>
        <w:bottom w:val="none" w:sz="0" w:space="0" w:color="auto"/>
        <w:right w:val="none" w:sz="0" w:space="0" w:color="auto"/>
      </w:divBdr>
    </w:div>
    <w:div w:id="702167222">
      <w:bodyDiv w:val="1"/>
      <w:marLeft w:val="0"/>
      <w:marRight w:val="0"/>
      <w:marTop w:val="0"/>
      <w:marBottom w:val="0"/>
      <w:divBdr>
        <w:top w:val="none" w:sz="0" w:space="0" w:color="auto"/>
        <w:left w:val="none" w:sz="0" w:space="0" w:color="auto"/>
        <w:bottom w:val="none" w:sz="0" w:space="0" w:color="auto"/>
        <w:right w:val="none" w:sz="0" w:space="0" w:color="auto"/>
      </w:divBdr>
    </w:div>
    <w:div w:id="749811720">
      <w:bodyDiv w:val="1"/>
      <w:marLeft w:val="0"/>
      <w:marRight w:val="0"/>
      <w:marTop w:val="0"/>
      <w:marBottom w:val="0"/>
      <w:divBdr>
        <w:top w:val="none" w:sz="0" w:space="0" w:color="auto"/>
        <w:left w:val="none" w:sz="0" w:space="0" w:color="auto"/>
        <w:bottom w:val="none" w:sz="0" w:space="0" w:color="auto"/>
        <w:right w:val="none" w:sz="0" w:space="0" w:color="auto"/>
      </w:divBdr>
    </w:div>
    <w:div w:id="755442844">
      <w:bodyDiv w:val="1"/>
      <w:marLeft w:val="0"/>
      <w:marRight w:val="0"/>
      <w:marTop w:val="0"/>
      <w:marBottom w:val="0"/>
      <w:divBdr>
        <w:top w:val="none" w:sz="0" w:space="0" w:color="auto"/>
        <w:left w:val="none" w:sz="0" w:space="0" w:color="auto"/>
        <w:bottom w:val="none" w:sz="0" w:space="0" w:color="auto"/>
        <w:right w:val="none" w:sz="0" w:space="0" w:color="auto"/>
      </w:divBdr>
    </w:div>
    <w:div w:id="759331456">
      <w:bodyDiv w:val="1"/>
      <w:marLeft w:val="0"/>
      <w:marRight w:val="0"/>
      <w:marTop w:val="0"/>
      <w:marBottom w:val="0"/>
      <w:divBdr>
        <w:top w:val="none" w:sz="0" w:space="0" w:color="auto"/>
        <w:left w:val="none" w:sz="0" w:space="0" w:color="auto"/>
        <w:bottom w:val="none" w:sz="0" w:space="0" w:color="auto"/>
        <w:right w:val="none" w:sz="0" w:space="0" w:color="auto"/>
      </w:divBdr>
    </w:div>
    <w:div w:id="787547608">
      <w:bodyDiv w:val="1"/>
      <w:marLeft w:val="0"/>
      <w:marRight w:val="0"/>
      <w:marTop w:val="0"/>
      <w:marBottom w:val="0"/>
      <w:divBdr>
        <w:top w:val="none" w:sz="0" w:space="0" w:color="auto"/>
        <w:left w:val="none" w:sz="0" w:space="0" w:color="auto"/>
        <w:bottom w:val="none" w:sz="0" w:space="0" w:color="auto"/>
        <w:right w:val="none" w:sz="0" w:space="0" w:color="auto"/>
      </w:divBdr>
    </w:div>
    <w:div w:id="792553708">
      <w:bodyDiv w:val="1"/>
      <w:marLeft w:val="0"/>
      <w:marRight w:val="0"/>
      <w:marTop w:val="0"/>
      <w:marBottom w:val="0"/>
      <w:divBdr>
        <w:top w:val="none" w:sz="0" w:space="0" w:color="auto"/>
        <w:left w:val="none" w:sz="0" w:space="0" w:color="auto"/>
        <w:bottom w:val="none" w:sz="0" w:space="0" w:color="auto"/>
        <w:right w:val="none" w:sz="0" w:space="0" w:color="auto"/>
      </w:divBdr>
    </w:div>
    <w:div w:id="809635064">
      <w:bodyDiv w:val="1"/>
      <w:marLeft w:val="0"/>
      <w:marRight w:val="0"/>
      <w:marTop w:val="0"/>
      <w:marBottom w:val="0"/>
      <w:divBdr>
        <w:top w:val="none" w:sz="0" w:space="0" w:color="auto"/>
        <w:left w:val="none" w:sz="0" w:space="0" w:color="auto"/>
        <w:bottom w:val="none" w:sz="0" w:space="0" w:color="auto"/>
        <w:right w:val="none" w:sz="0" w:space="0" w:color="auto"/>
      </w:divBdr>
    </w:div>
    <w:div w:id="811823746">
      <w:bodyDiv w:val="1"/>
      <w:marLeft w:val="0"/>
      <w:marRight w:val="0"/>
      <w:marTop w:val="0"/>
      <w:marBottom w:val="0"/>
      <w:divBdr>
        <w:top w:val="none" w:sz="0" w:space="0" w:color="auto"/>
        <w:left w:val="none" w:sz="0" w:space="0" w:color="auto"/>
        <w:bottom w:val="none" w:sz="0" w:space="0" w:color="auto"/>
        <w:right w:val="none" w:sz="0" w:space="0" w:color="auto"/>
      </w:divBdr>
    </w:div>
    <w:div w:id="833691586">
      <w:bodyDiv w:val="1"/>
      <w:marLeft w:val="0"/>
      <w:marRight w:val="0"/>
      <w:marTop w:val="0"/>
      <w:marBottom w:val="0"/>
      <w:divBdr>
        <w:top w:val="none" w:sz="0" w:space="0" w:color="auto"/>
        <w:left w:val="none" w:sz="0" w:space="0" w:color="auto"/>
        <w:bottom w:val="none" w:sz="0" w:space="0" w:color="auto"/>
        <w:right w:val="none" w:sz="0" w:space="0" w:color="auto"/>
      </w:divBdr>
    </w:div>
    <w:div w:id="845905806">
      <w:bodyDiv w:val="1"/>
      <w:marLeft w:val="0"/>
      <w:marRight w:val="0"/>
      <w:marTop w:val="0"/>
      <w:marBottom w:val="0"/>
      <w:divBdr>
        <w:top w:val="none" w:sz="0" w:space="0" w:color="auto"/>
        <w:left w:val="none" w:sz="0" w:space="0" w:color="auto"/>
        <w:bottom w:val="none" w:sz="0" w:space="0" w:color="auto"/>
        <w:right w:val="none" w:sz="0" w:space="0" w:color="auto"/>
      </w:divBdr>
    </w:div>
    <w:div w:id="858273902">
      <w:bodyDiv w:val="1"/>
      <w:marLeft w:val="0"/>
      <w:marRight w:val="0"/>
      <w:marTop w:val="0"/>
      <w:marBottom w:val="0"/>
      <w:divBdr>
        <w:top w:val="none" w:sz="0" w:space="0" w:color="auto"/>
        <w:left w:val="none" w:sz="0" w:space="0" w:color="auto"/>
        <w:bottom w:val="none" w:sz="0" w:space="0" w:color="auto"/>
        <w:right w:val="none" w:sz="0" w:space="0" w:color="auto"/>
      </w:divBdr>
    </w:div>
    <w:div w:id="882138164">
      <w:bodyDiv w:val="1"/>
      <w:marLeft w:val="0"/>
      <w:marRight w:val="0"/>
      <w:marTop w:val="0"/>
      <w:marBottom w:val="0"/>
      <w:divBdr>
        <w:top w:val="none" w:sz="0" w:space="0" w:color="auto"/>
        <w:left w:val="none" w:sz="0" w:space="0" w:color="auto"/>
        <w:bottom w:val="none" w:sz="0" w:space="0" w:color="auto"/>
        <w:right w:val="none" w:sz="0" w:space="0" w:color="auto"/>
      </w:divBdr>
    </w:div>
    <w:div w:id="908805972">
      <w:bodyDiv w:val="1"/>
      <w:marLeft w:val="0"/>
      <w:marRight w:val="0"/>
      <w:marTop w:val="0"/>
      <w:marBottom w:val="0"/>
      <w:divBdr>
        <w:top w:val="none" w:sz="0" w:space="0" w:color="auto"/>
        <w:left w:val="none" w:sz="0" w:space="0" w:color="auto"/>
        <w:bottom w:val="none" w:sz="0" w:space="0" w:color="auto"/>
        <w:right w:val="none" w:sz="0" w:space="0" w:color="auto"/>
      </w:divBdr>
    </w:div>
    <w:div w:id="925116412">
      <w:bodyDiv w:val="1"/>
      <w:marLeft w:val="0"/>
      <w:marRight w:val="0"/>
      <w:marTop w:val="0"/>
      <w:marBottom w:val="0"/>
      <w:divBdr>
        <w:top w:val="none" w:sz="0" w:space="0" w:color="auto"/>
        <w:left w:val="none" w:sz="0" w:space="0" w:color="auto"/>
        <w:bottom w:val="none" w:sz="0" w:space="0" w:color="auto"/>
        <w:right w:val="none" w:sz="0" w:space="0" w:color="auto"/>
      </w:divBdr>
    </w:div>
    <w:div w:id="936014152">
      <w:bodyDiv w:val="1"/>
      <w:marLeft w:val="0"/>
      <w:marRight w:val="0"/>
      <w:marTop w:val="0"/>
      <w:marBottom w:val="0"/>
      <w:divBdr>
        <w:top w:val="none" w:sz="0" w:space="0" w:color="auto"/>
        <w:left w:val="none" w:sz="0" w:space="0" w:color="auto"/>
        <w:bottom w:val="none" w:sz="0" w:space="0" w:color="auto"/>
        <w:right w:val="none" w:sz="0" w:space="0" w:color="auto"/>
      </w:divBdr>
    </w:div>
    <w:div w:id="937181351">
      <w:bodyDiv w:val="1"/>
      <w:marLeft w:val="0"/>
      <w:marRight w:val="0"/>
      <w:marTop w:val="0"/>
      <w:marBottom w:val="0"/>
      <w:divBdr>
        <w:top w:val="none" w:sz="0" w:space="0" w:color="auto"/>
        <w:left w:val="none" w:sz="0" w:space="0" w:color="auto"/>
        <w:bottom w:val="none" w:sz="0" w:space="0" w:color="auto"/>
        <w:right w:val="none" w:sz="0" w:space="0" w:color="auto"/>
      </w:divBdr>
    </w:div>
    <w:div w:id="950279677">
      <w:bodyDiv w:val="1"/>
      <w:marLeft w:val="0"/>
      <w:marRight w:val="0"/>
      <w:marTop w:val="0"/>
      <w:marBottom w:val="0"/>
      <w:divBdr>
        <w:top w:val="none" w:sz="0" w:space="0" w:color="auto"/>
        <w:left w:val="none" w:sz="0" w:space="0" w:color="auto"/>
        <w:bottom w:val="none" w:sz="0" w:space="0" w:color="auto"/>
        <w:right w:val="none" w:sz="0" w:space="0" w:color="auto"/>
      </w:divBdr>
    </w:div>
    <w:div w:id="961419579">
      <w:bodyDiv w:val="1"/>
      <w:marLeft w:val="0"/>
      <w:marRight w:val="0"/>
      <w:marTop w:val="0"/>
      <w:marBottom w:val="0"/>
      <w:divBdr>
        <w:top w:val="none" w:sz="0" w:space="0" w:color="auto"/>
        <w:left w:val="none" w:sz="0" w:space="0" w:color="auto"/>
        <w:bottom w:val="none" w:sz="0" w:space="0" w:color="auto"/>
        <w:right w:val="none" w:sz="0" w:space="0" w:color="auto"/>
      </w:divBdr>
    </w:div>
    <w:div w:id="967902493">
      <w:bodyDiv w:val="1"/>
      <w:marLeft w:val="0"/>
      <w:marRight w:val="0"/>
      <w:marTop w:val="0"/>
      <w:marBottom w:val="0"/>
      <w:divBdr>
        <w:top w:val="none" w:sz="0" w:space="0" w:color="auto"/>
        <w:left w:val="none" w:sz="0" w:space="0" w:color="auto"/>
        <w:bottom w:val="none" w:sz="0" w:space="0" w:color="auto"/>
        <w:right w:val="none" w:sz="0" w:space="0" w:color="auto"/>
      </w:divBdr>
    </w:div>
    <w:div w:id="984090143">
      <w:bodyDiv w:val="1"/>
      <w:marLeft w:val="0"/>
      <w:marRight w:val="0"/>
      <w:marTop w:val="0"/>
      <w:marBottom w:val="0"/>
      <w:divBdr>
        <w:top w:val="none" w:sz="0" w:space="0" w:color="auto"/>
        <w:left w:val="none" w:sz="0" w:space="0" w:color="auto"/>
        <w:bottom w:val="none" w:sz="0" w:space="0" w:color="auto"/>
        <w:right w:val="none" w:sz="0" w:space="0" w:color="auto"/>
      </w:divBdr>
    </w:div>
    <w:div w:id="994263574">
      <w:bodyDiv w:val="1"/>
      <w:marLeft w:val="0"/>
      <w:marRight w:val="0"/>
      <w:marTop w:val="0"/>
      <w:marBottom w:val="0"/>
      <w:divBdr>
        <w:top w:val="none" w:sz="0" w:space="0" w:color="auto"/>
        <w:left w:val="none" w:sz="0" w:space="0" w:color="auto"/>
        <w:bottom w:val="none" w:sz="0" w:space="0" w:color="auto"/>
        <w:right w:val="none" w:sz="0" w:space="0" w:color="auto"/>
      </w:divBdr>
    </w:div>
    <w:div w:id="1008407589">
      <w:bodyDiv w:val="1"/>
      <w:marLeft w:val="0"/>
      <w:marRight w:val="0"/>
      <w:marTop w:val="0"/>
      <w:marBottom w:val="0"/>
      <w:divBdr>
        <w:top w:val="none" w:sz="0" w:space="0" w:color="auto"/>
        <w:left w:val="none" w:sz="0" w:space="0" w:color="auto"/>
        <w:bottom w:val="none" w:sz="0" w:space="0" w:color="auto"/>
        <w:right w:val="none" w:sz="0" w:space="0" w:color="auto"/>
      </w:divBdr>
    </w:div>
    <w:div w:id="1018701712">
      <w:bodyDiv w:val="1"/>
      <w:marLeft w:val="0"/>
      <w:marRight w:val="0"/>
      <w:marTop w:val="0"/>
      <w:marBottom w:val="0"/>
      <w:divBdr>
        <w:top w:val="none" w:sz="0" w:space="0" w:color="auto"/>
        <w:left w:val="none" w:sz="0" w:space="0" w:color="auto"/>
        <w:bottom w:val="none" w:sz="0" w:space="0" w:color="auto"/>
        <w:right w:val="none" w:sz="0" w:space="0" w:color="auto"/>
      </w:divBdr>
    </w:div>
    <w:div w:id="1031569051">
      <w:bodyDiv w:val="1"/>
      <w:marLeft w:val="0"/>
      <w:marRight w:val="0"/>
      <w:marTop w:val="0"/>
      <w:marBottom w:val="0"/>
      <w:divBdr>
        <w:top w:val="none" w:sz="0" w:space="0" w:color="auto"/>
        <w:left w:val="none" w:sz="0" w:space="0" w:color="auto"/>
        <w:bottom w:val="none" w:sz="0" w:space="0" w:color="auto"/>
        <w:right w:val="none" w:sz="0" w:space="0" w:color="auto"/>
      </w:divBdr>
    </w:div>
    <w:div w:id="1037894686">
      <w:bodyDiv w:val="1"/>
      <w:marLeft w:val="0"/>
      <w:marRight w:val="0"/>
      <w:marTop w:val="0"/>
      <w:marBottom w:val="0"/>
      <w:divBdr>
        <w:top w:val="none" w:sz="0" w:space="0" w:color="auto"/>
        <w:left w:val="none" w:sz="0" w:space="0" w:color="auto"/>
        <w:bottom w:val="none" w:sz="0" w:space="0" w:color="auto"/>
        <w:right w:val="none" w:sz="0" w:space="0" w:color="auto"/>
      </w:divBdr>
    </w:div>
    <w:div w:id="1038973561">
      <w:bodyDiv w:val="1"/>
      <w:marLeft w:val="0"/>
      <w:marRight w:val="0"/>
      <w:marTop w:val="0"/>
      <w:marBottom w:val="0"/>
      <w:divBdr>
        <w:top w:val="none" w:sz="0" w:space="0" w:color="auto"/>
        <w:left w:val="none" w:sz="0" w:space="0" w:color="auto"/>
        <w:bottom w:val="none" w:sz="0" w:space="0" w:color="auto"/>
        <w:right w:val="none" w:sz="0" w:space="0" w:color="auto"/>
      </w:divBdr>
    </w:div>
    <w:div w:id="1054694960">
      <w:bodyDiv w:val="1"/>
      <w:marLeft w:val="0"/>
      <w:marRight w:val="0"/>
      <w:marTop w:val="0"/>
      <w:marBottom w:val="0"/>
      <w:divBdr>
        <w:top w:val="none" w:sz="0" w:space="0" w:color="auto"/>
        <w:left w:val="none" w:sz="0" w:space="0" w:color="auto"/>
        <w:bottom w:val="none" w:sz="0" w:space="0" w:color="auto"/>
        <w:right w:val="none" w:sz="0" w:space="0" w:color="auto"/>
      </w:divBdr>
    </w:div>
    <w:div w:id="1079861923">
      <w:bodyDiv w:val="1"/>
      <w:marLeft w:val="0"/>
      <w:marRight w:val="0"/>
      <w:marTop w:val="0"/>
      <w:marBottom w:val="0"/>
      <w:divBdr>
        <w:top w:val="none" w:sz="0" w:space="0" w:color="auto"/>
        <w:left w:val="none" w:sz="0" w:space="0" w:color="auto"/>
        <w:bottom w:val="none" w:sz="0" w:space="0" w:color="auto"/>
        <w:right w:val="none" w:sz="0" w:space="0" w:color="auto"/>
      </w:divBdr>
    </w:div>
    <w:div w:id="1091437874">
      <w:bodyDiv w:val="1"/>
      <w:marLeft w:val="0"/>
      <w:marRight w:val="0"/>
      <w:marTop w:val="0"/>
      <w:marBottom w:val="0"/>
      <w:divBdr>
        <w:top w:val="none" w:sz="0" w:space="0" w:color="auto"/>
        <w:left w:val="none" w:sz="0" w:space="0" w:color="auto"/>
        <w:bottom w:val="none" w:sz="0" w:space="0" w:color="auto"/>
        <w:right w:val="none" w:sz="0" w:space="0" w:color="auto"/>
      </w:divBdr>
    </w:div>
    <w:div w:id="1094324935">
      <w:bodyDiv w:val="1"/>
      <w:marLeft w:val="0"/>
      <w:marRight w:val="0"/>
      <w:marTop w:val="0"/>
      <w:marBottom w:val="0"/>
      <w:divBdr>
        <w:top w:val="none" w:sz="0" w:space="0" w:color="auto"/>
        <w:left w:val="none" w:sz="0" w:space="0" w:color="auto"/>
        <w:bottom w:val="none" w:sz="0" w:space="0" w:color="auto"/>
        <w:right w:val="none" w:sz="0" w:space="0" w:color="auto"/>
      </w:divBdr>
    </w:div>
    <w:div w:id="1112897005">
      <w:bodyDiv w:val="1"/>
      <w:marLeft w:val="0"/>
      <w:marRight w:val="0"/>
      <w:marTop w:val="0"/>
      <w:marBottom w:val="0"/>
      <w:divBdr>
        <w:top w:val="none" w:sz="0" w:space="0" w:color="auto"/>
        <w:left w:val="none" w:sz="0" w:space="0" w:color="auto"/>
        <w:bottom w:val="none" w:sz="0" w:space="0" w:color="auto"/>
        <w:right w:val="none" w:sz="0" w:space="0" w:color="auto"/>
      </w:divBdr>
    </w:div>
    <w:div w:id="1137724579">
      <w:bodyDiv w:val="1"/>
      <w:marLeft w:val="0"/>
      <w:marRight w:val="0"/>
      <w:marTop w:val="0"/>
      <w:marBottom w:val="0"/>
      <w:divBdr>
        <w:top w:val="none" w:sz="0" w:space="0" w:color="auto"/>
        <w:left w:val="none" w:sz="0" w:space="0" w:color="auto"/>
        <w:bottom w:val="none" w:sz="0" w:space="0" w:color="auto"/>
        <w:right w:val="none" w:sz="0" w:space="0" w:color="auto"/>
      </w:divBdr>
    </w:div>
    <w:div w:id="1139614369">
      <w:bodyDiv w:val="1"/>
      <w:marLeft w:val="0"/>
      <w:marRight w:val="0"/>
      <w:marTop w:val="0"/>
      <w:marBottom w:val="0"/>
      <w:divBdr>
        <w:top w:val="none" w:sz="0" w:space="0" w:color="auto"/>
        <w:left w:val="none" w:sz="0" w:space="0" w:color="auto"/>
        <w:bottom w:val="none" w:sz="0" w:space="0" w:color="auto"/>
        <w:right w:val="none" w:sz="0" w:space="0" w:color="auto"/>
      </w:divBdr>
    </w:div>
    <w:div w:id="1160466831">
      <w:bodyDiv w:val="1"/>
      <w:marLeft w:val="0"/>
      <w:marRight w:val="0"/>
      <w:marTop w:val="0"/>
      <w:marBottom w:val="0"/>
      <w:divBdr>
        <w:top w:val="none" w:sz="0" w:space="0" w:color="auto"/>
        <w:left w:val="none" w:sz="0" w:space="0" w:color="auto"/>
        <w:bottom w:val="none" w:sz="0" w:space="0" w:color="auto"/>
        <w:right w:val="none" w:sz="0" w:space="0" w:color="auto"/>
      </w:divBdr>
    </w:div>
    <w:div w:id="1166743167">
      <w:bodyDiv w:val="1"/>
      <w:marLeft w:val="0"/>
      <w:marRight w:val="0"/>
      <w:marTop w:val="0"/>
      <w:marBottom w:val="0"/>
      <w:divBdr>
        <w:top w:val="none" w:sz="0" w:space="0" w:color="auto"/>
        <w:left w:val="none" w:sz="0" w:space="0" w:color="auto"/>
        <w:bottom w:val="none" w:sz="0" w:space="0" w:color="auto"/>
        <w:right w:val="none" w:sz="0" w:space="0" w:color="auto"/>
      </w:divBdr>
    </w:div>
    <w:div w:id="1183398787">
      <w:bodyDiv w:val="1"/>
      <w:marLeft w:val="0"/>
      <w:marRight w:val="0"/>
      <w:marTop w:val="0"/>
      <w:marBottom w:val="0"/>
      <w:divBdr>
        <w:top w:val="none" w:sz="0" w:space="0" w:color="auto"/>
        <w:left w:val="none" w:sz="0" w:space="0" w:color="auto"/>
        <w:bottom w:val="none" w:sz="0" w:space="0" w:color="auto"/>
        <w:right w:val="none" w:sz="0" w:space="0" w:color="auto"/>
      </w:divBdr>
    </w:div>
    <w:div w:id="1204712806">
      <w:bodyDiv w:val="1"/>
      <w:marLeft w:val="0"/>
      <w:marRight w:val="0"/>
      <w:marTop w:val="0"/>
      <w:marBottom w:val="0"/>
      <w:divBdr>
        <w:top w:val="none" w:sz="0" w:space="0" w:color="auto"/>
        <w:left w:val="none" w:sz="0" w:space="0" w:color="auto"/>
        <w:bottom w:val="none" w:sz="0" w:space="0" w:color="auto"/>
        <w:right w:val="none" w:sz="0" w:space="0" w:color="auto"/>
      </w:divBdr>
    </w:div>
    <w:div w:id="1206136265">
      <w:bodyDiv w:val="1"/>
      <w:marLeft w:val="0"/>
      <w:marRight w:val="0"/>
      <w:marTop w:val="0"/>
      <w:marBottom w:val="0"/>
      <w:divBdr>
        <w:top w:val="none" w:sz="0" w:space="0" w:color="auto"/>
        <w:left w:val="none" w:sz="0" w:space="0" w:color="auto"/>
        <w:bottom w:val="none" w:sz="0" w:space="0" w:color="auto"/>
        <w:right w:val="none" w:sz="0" w:space="0" w:color="auto"/>
      </w:divBdr>
    </w:div>
    <w:div w:id="1215461017">
      <w:bodyDiv w:val="1"/>
      <w:marLeft w:val="0"/>
      <w:marRight w:val="0"/>
      <w:marTop w:val="0"/>
      <w:marBottom w:val="0"/>
      <w:divBdr>
        <w:top w:val="none" w:sz="0" w:space="0" w:color="auto"/>
        <w:left w:val="none" w:sz="0" w:space="0" w:color="auto"/>
        <w:bottom w:val="none" w:sz="0" w:space="0" w:color="auto"/>
        <w:right w:val="none" w:sz="0" w:space="0" w:color="auto"/>
      </w:divBdr>
    </w:div>
    <w:div w:id="1216353135">
      <w:bodyDiv w:val="1"/>
      <w:marLeft w:val="0"/>
      <w:marRight w:val="0"/>
      <w:marTop w:val="0"/>
      <w:marBottom w:val="0"/>
      <w:divBdr>
        <w:top w:val="none" w:sz="0" w:space="0" w:color="auto"/>
        <w:left w:val="none" w:sz="0" w:space="0" w:color="auto"/>
        <w:bottom w:val="none" w:sz="0" w:space="0" w:color="auto"/>
        <w:right w:val="none" w:sz="0" w:space="0" w:color="auto"/>
      </w:divBdr>
      <w:divsChild>
        <w:div w:id="29500890">
          <w:marLeft w:val="734"/>
          <w:marRight w:val="0"/>
          <w:marTop w:val="60"/>
          <w:marBottom w:val="0"/>
          <w:divBdr>
            <w:top w:val="none" w:sz="0" w:space="0" w:color="auto"/>
            <w:left w:val="none" w:sz="0" w:space="0" w:color="auto"/>
            <w:bottom w:val="none" w:sz="0" w:space="0" w:color="auto"/>
            <w:right w:val="none" w:sz="0" w:space="0" w:color="auto"/>
          </w:divBdr>
        </w:div>
        <w:div w:id="547883954">
          <w:marLeft w:val="734"/>
          <w:marRight w:val="0"/>
          <w:marTop w:val="60"/>
          <w:marBottom w:val="0"/>
          <w:divBdr>
            <w:top w:val="none" w:sz="0" w:space="0" w:color="auto"/>
            <w:left w:val="none" w:sz="0" w:space="0" w:color="auto"/>
            <w:bottom w:val="none" w:sz="0" w:space="0" w:color="auto"/>
            <w:right w:val="none" w:sz="0" w:space="0" w:color="auto"/>
          </w:divBdr>
        </w:div>
        <w:div w:id="1371954518">
          <w:marLeft w:val="360"/>
          <w:marRight w:val="0"/>
          <w:marTop w:val="60"/>
          <w:marBottom w:val="0"/>
          <w:divBdr>
            <w:top w:val="none" w:sz="0" w:space="0" w:color="auto"/>
            <w:left w:val="none" w:sz="0" w:space="0" w:color="auto"/>
            <w:bottom w:val="none" w:sz="0" w:space="0" w:color="auto"/>
            <w:right w:val="none" w:sz="0" w:space="0" w:color="auto"/>
          </w:divBdr>
        </w:div>
        <w:div w:id="1891771292">
          <w:marLeft w:val="734"/>
          <w:marRight w:val="0"/>
          <w:marTop w:val="60"/>
          <w:marBottom w:val="0"/>
          <w:divBdr>
            <w:top w:val="none" w:sz="0" w:space="0" w:color="auto"/>
            <w:left w:val="none" w:sz="0" w:space="0" w:color="auto"/>
            <w:bottom w:val="none" w:sz="0" w:space="0" w:color="auto"/>
            <w:right w:val="none" w:sz="0" w:space="0" w:color="auto"/>
          </w:divBdr>
        </w:div>
      </w:divsChild>
    </w:div>
    <w:div w:id="1219244491">
      <w:bodyDiv w:val="1"/>
      <w:marLeft w:val="0"/>
      <w:marRight w:val="0"/>
      <w:marTop w:val="0"/>
      <w:marBottom w:val="0"/>
      <w:divBdr>
        <w:top w:val="none" w:sz="0" w:space="0" w:color="auto"/>
        <w:left w:val="none" w:sz="0" w:space="0" w:color="auto"/>
        <w:bottom w:val="none" w:sz="0" w:space="0" w:color="auto"/>
        <w:right w:val="none" w:sz="0" w:space="0" w:color="auto"/>
      </w:divBdr>
    </w:div>
    <w:div w:id="1249388489">
      <w:bodyDiv w:val="1"/>
      <w:marLeft w:val="0"/>
      <w:marRight w:val="0"/>
      <w:marTop w:val="0"/>
      <w:marBottom w:val="0"/>
      <w:divBdr>
        <w:top w:val="none" w:sz="0" w:space="0" w:color="auto"/>
        <w:left w:val="none" w:sz="0" w:space="0" w:color="auto"/>
        <w:bottom w:val="none" w:sz="0" w:space="0" w:color="auto"/>
        <w:right w:val="none" w:sz="0" w:space="0" w:color="auto"/>
      </w:divBdr>
    </w:div>
    <w:div w:id="1264605128">
      <w:bodyDiv w:val="1"/>
      <w:marLeft w:val="0"/>
      <w:marRight w:val="0"/>
      <w:marTop w:val="0"/>
      <w:marBottom w:val="0"/>
      <w:divBdr>
        <w:top w:val="none" w:sz="0" w:space="0" w:color="auto"/>
        <w:left w:val="none" w:sz="0" w:space="0" w:color="auto"/>
        <w:bottom w:val="none" w:sz="0" w:space="0" w:color="auto"/>
        <w:right w:val="none" w:sz="0" w:space="0" w:color="auto"/>
      </w:divBdr>
    </w:div>
    <w:div w:id="1268272824">
      <w:bodyDiv w:val="1"/>
      <w:marLeft w:val="0"/>
      <w:marRight w:val="0"/>
      <w:marTop w:val="0"/>
      <w:marBottom w:val="0"/>
      <w:divBdr>
        <w:top w:val="none" w:sz="0" w:space="0" w:color="auto"/>
        <w:left w:val="none" w:sz="0" w:space="0" w:color="auto"/>
        <w:bottom w:val="none" w:sz="0" w:space="0" w:color="auto"/>
        <w:right w:val="none" w:sz="0" w:space="0" w:color="auto"/>
      </w:divBdr>
    </w:div>
    <w:div w:id="1274047138">
      <w:bodyDiv w:val="1"/>
      <w:marLeft w:val="0"/>
      <w:marRight w:val="0"/>
      <w:marTop w:val="0"/>
      <w:marBottom w:val="0"/>
      <w:divBdr>
        <w:top w:val="none" w:sz="0" w:space="0" w:color="auto"/>
        <w:left w:val="none" w:sz="0" w:space="0" w:color="auto"/>
        <w:bottom w:val="none" w:sz="0" w:space="0" w:color="auto"/>
        <w:right w:val="none" w:sz="0" w:space="0" w:color="auto"/>
      </w:divBdr>
    </w:div>
    <w:div w:id="1292402208">
      <w:bodyDiv w:val="1"/>
      <w:marLeft w:val="0"/>
      <w:marRight w:val="0"/>
      <w:marTop w:val="0"/>
      <w:marBottom w:val="0"/>
      <w:divBdr>
        <w:top w:val="none" w:sz="0" w:space="0" w:color="auto"/>
        <w:left w:val="none" w:sz="0" w:space="0" w:color="auto"/>
        <w:bottom w:val="none" w:sz="0" w:space="0" w:color="auto"/>
        <w:right w:val="none" w:sz="0" w:space="0" w:color="auto"/>
      </w:divBdr>
    </w:div>
    <w:div w:id="1294680723">
      <w:bodyDiv w:val="1"/>
      <w:marLeft w:val="0"/>
      <w:marRight w:val="0"/>
      <w:marTop w:val="0"/>
      <w:marBottom w:val="0"/>
      <w:divBdr>
        <w:top w:val="none" w:sz="0" w:space="0" w:color="auto"/>
        <w:left w:val="none" w:sz="0" w:space="0" w:color="auto"/>
        <w:bottom w:val="none" w:sz="0" w:space="0" w:color="auto"/>
        <w:right w:val="none" w:sz="0" w:space="0" w:color="auto"/>
      </w:divBdr>
    </w:div>
    <w:div w:id="1319504956">
      <w:bodyDiv w:val="1"/>
      <w:marLeft w:val="0"/>
      <w:marRight w:val="0"/>
      <w:marTop w:val="0"/>
      <w:marBottom w:val="0"/>
      <w:divBdr>
        <w:top w:val="none" w:sz="0" w:space="0" w:color="auto"/>
        <w:left w:val="none" w:sz="0" w:space="0" w:color="auto"/>
        <w:bottom w:val="none" w:sz="0" w:space="0" w:color="auto"/>
        <w:right w:val="none" w:sz="0" w:space="0" w:color="auto"/>
      </w:divBdr>
    </w:div>
    <w:div w:id="1325357034">
      <w:bodyDiv w:val="1"/>
      <w:marLeft w:val="0"/>
      <w:marRight w:val="0"/>
      <w:marTop w:val="0"/>
      <w:marBottom w:val="0"/>
      <w:divBdr>
        <w:top w:val="none" w:sz="0" w:space="0" w:color="auto"/>
        <w:left w:val="none" w:sz="0" w:space="0" w:color="auto"/>
        <w:bottom w:val="none" w:sz="0" w:space="0" w:color="auto"/>
        <w:right w:val="none" w:sz="0" w:space="0" w:color="auto"/>
      </w:divBdr>
    </w:div>
    <w:div w:id="1335113181">
      <w:bodyDiv w:val="1"/>
      <w:marLeft w:val="0"/>
      <w:marRight w:val="0"/>
      <w:marTop w:val="0"/>
      <w:marBottom w:val="0"/>
      <w:divBdr>
        <w:top w:val="none" w:sz="0" w:space="0" w:color="auto"/>
        <w:left w:val="none" w:sz="0" w:space="0" w:color="auto"/>
        <w:bottom w:val="none" w:sz="0" w:space="0" w:color="auto"/>
        <w:right w:val="none" w:sz="0" w:space="0" w:color="auto"/>
      </w:divBdr>
    </w:div>
    <w:div w:id="1337537837">
      <w:bodyDiv w:val="1"/>
      <w:marLeft w:val="0"/>
      <w:marRight w:val="0"/>
      <w:marTop w:val="0"/>
      <w:marBottom w:val="0"/>
      <w:divBdr>
        <w:top w:val="none" w:sz="0" w:space="0" w:color="auto"/>
        <w:left w:val="none" w:sz="0" w:space="0" w:color="auto"/>
        <w:bottom w:val="none" w:sz="0" w:space="0" w:color="auto"/>
        <w:right w:val="none" w:sz="0" w:space="0" w:color="auto"/>
      </w:divBdr>
    </w:div>
    <w:div w:id="1340624964">
      <w:bodyDiv w:val="1"/>
      <w:marLeft w:val="0"/>
      <w:marRight w:val="0"/>
      <w:marTop w:val="0"/>
      <w:marBottom w:val="0"/>
      <w:divBdr>
        <w:top w:val="none" w:sz="0" w:space="0" w:color="auto"/>
        <w:left w:val="none" w:sz="0" w:space="0" w:color="auto"/>
        <w:bottom w:val="none" w:sz="0" w:space="0" w:color="auto"/>
        <w:right w:val="none" w:sz="0" w:space="0" w:color="auto"/>
      </w:divBdr>
      <w:divsChild>
        <w:div w:id="201223">
          <w:marLeft w:val="0"/>
          <w:marRight w:val="0"/>
          <w:marTop w:val="0"/>
          <w:marBottom w:val="0"/>
          <w:divBdr>
            <w:top w:val="none" w:sz="0" w:space="0" w:color="auto"/>
            <w:left w:val="none" w:sz="0" w:space="0" w:color="auto"/>
            <w:bottom w:val="none" w:sz="0" w:space="0" w:color="auto"/>
            <w:right w:val="none" w:sz="0" w:space="0" w:color="auto"/>
          </w:divBdr>
        </w:div>
        <w:div w:id="15424013">
          <w:marLeft w:val="0"/>
          <w:marRight w:val="0"/>
          <w:marTop w:val="0"/>
          <w:marBottom w:val="0"/>
          <w:divBdr>
            <w:top w:val="none" w:sz="0" w:space="0" w:color="auto"/>
            <w:left w:val="none" w:sz="0" w:space="0" w:color="auto"/>
            <w:bottom w:val="none" w:sz="0" w:space="0" w:color="auto"/>
            <w:right w:val="none" w:sz="0" w:space="0" w:color="auto"/>
          </w:divBdr>
        </w:div>
        <w:div w:id="18088486">
          <w:marLeft w:val="0"/>
          <w:marRight w:val="0"/>
          <w:marTop w:val="0"/>
          <w:marBottom w:val="0"/>
          <w:divBdr>
            <w:top w:val="none" w:sz="0" w:space="0" w:color="auto"/>
            <w:left w:val="none" w:sz="0" w:space="0" w:color="auto"/>
            <w:bottom w:val="none" w:sz="0" w:space="0" w:color="auto"/>
            <w:right w:val="none" w:sz="0" w:space="0" w:color="auto"/>
          </w:divBdr>
        </w:div>
        <w:div w:id="58985824">
          <w:marLeft w:val="0"/>
          <w:marRight w:val="0"/>
          <w:marTop w:val="0"/>
          <w:marBottom w:val="0"/>
          <w:divBdr>
            <w:top w:val="none" w:sz="0" w:space="0" w:color="auto"/>
            <w:left w:val="none" w:sz="0" w:space="0" w:color="auto"/>
            <w:bottom w:val="none" w:sz="0" w:space="0" w:color="auto"/>
            <w:right w:val="none" w:sz="0" w:space="0" w:color="auto"/>
          </w:divBdr>
        </w:div>
        <w:div w:id="73017479">
          <w:marLeft w:val="0"/>
          <w:marRight w:val="0"/>
          <w:marTop w:val="0"/>
          <w:marBottom w:val="0"/>
          <w:divBdr>
            <w:top w:val="none" w:sz="0" w:space="0" w:color="auto"/>
            <w:left w:val="none" w:sz="0" w:space="0" w:color="auto"/>
            <w:bottom w:val="none" w:sz="0" w:space="0" w:color="auto"/>
            <w:right w:val="none" w:sz="0" w:space="0" w:color="auto"/>
          </w:divBdr>
        </w:div>
        <w:div w:id="128976982">
          <w:marLeft w:val="0"/>
          <w:marRight w:val="0"/>
          <w:marTop w:val="0"/>
          <w:marBottom w:val="0"/>
          <w:divBdr>
            <w:top w:val="none" w:sz="0" w:space="0" w:color="auto"/>
            <w:left w:val="none" w:sz="0" w:space="0" w:color="auto"/>
            <w:bottom w:val="none" w:sz="0" w:space="0" w:color="auto"/>
            <w:right w:val="none" w:sz="0" w:space="0" w:color="auto"/>
          </w:divBdr>
        </w:div>
        <w:div w:id="144974105">
          <w:marLeft w:val="0"/>
          <w:marRight w:val="0"/>
          <w:marTop w:val="0"/>
          <w:marBottom w:val="0"/>
          <w:divBdr>
            <w:top w:val="none" w:sz="0" w:space="0" w:color="auto"/>
            <w:left w:val="none" w:sz="0" w:space="0" w:color="auto"/>
            <w:bottom w:val="none" w:sz="0" w:space="0" w:color="auto"/>
            <w:right w:val="none" w:sz="0" w:space="0" w:color="auto"/>
          </w:divBdr>
        </w:div>
        <w:div w:id="367266046">
          <w:marLeft w:val="0"/>
          <w:marRight w:val="0"/>
          <w:marTop w:val="0"/>
          <w:marBottom w:val="0"/>
          <w:divBdr>
            <w:top w:val="none" w:sz="0" w:space="0" w:color="auto"/>
            <w:left w:val="none" w:sz="0" w:space="0" w:color="auto"/>
            <w:bottom w:val="none" w:sz="0" w:space="0" w:color="auto"/>
            <w:right w:val="none" w:sz="0" w:space="0" w:color="auto"/>
          </w:divBdr>
        </w:div>
        <w:div w:id="378089286">
          <w:marLeft w:val="0"/>
          <w:marRight w:val="0"/>
          <w:marTop w:val="0"/>
          <w:marBottom w:val="0"/>
          <w:divBdr>
            <w:top w:val="none" w:sz="0" w:space="0" w:color="auto"/>
            <w:left w:val="none" w:sz="0" w:space="0" w:color="auto"/>
            <w:bottom w:val="none" w:sz="0" w:space="0" w:color="auto"/>
            <w:right w:val="none" w:sz="0" w:space="0" w:color="auto"/>
          </w:divBdr>
        </w:div>
        <w:div w:id="481849871">
          <w:marLeft w:val="0"/>
          <w:marRight w:val="0"/>
          <w:marTop w:val="0"/>
          <w:marBottom w:val="0"/>
          <w:divBdr>
            <w:top w:val="none" w:sz="0" w:space="0" w:color="auto"/>
            <w:left w:val="none" w:sz="0" w:space="0" w:color="auto"/>
            <w:bottom w:val="none" w:sz="0" w:space="0" w:color="auto"/>
            <w:right w:val="none" w:sz="0" w:space="0" w:color="auto"/>
          </w:divBdr>
        </w:div>
        <w:div w:id="501357020">
          <w:marLeft w:val="0"/>
          <w:marRight w:val="0"/>
          <w:marTop w:val="0"/>
          <w:marBottom w:val="0"/>
          <w:divBdr>
            <w:top w:val="none" w:sz="0" w:space="0" w:color="auto"/>
            <w:left w:val="none" w:sz="0" w:space="0" w:color="auto"/>
            <w:bottom w:val="none" w:sz="0" w:space="0" w:color="auto"/>
            <w:right w:val="none" w:sz="0" w:space="0" w:color="auto"/>
          </w:divBdr>
        </w:div>
        <w:div w:id="564220633">
          <w:marLeft w:val="0"/>
          <w:marRight w:val="0"/>
          <w:marTop w:val="0"/>
          <w:marBottom w:val="0"/>
          <w:divBdr>
            <w:top w:val="none" w:sz="0" w:space="0" w:color="auto"/>
            <w:left w:val="none" w:sz="0" w:space="0" w:color="auto"/>
            <w:bottom w:val="none" w:sz="0" w:space="0" w:color="auto"/>
            <w:right w:val="none" w:sz="0" w:space="0" w:color="auto"/>
          </w:divBdr>
        </w:div>
        <w:div w:id="645474014">
          <w:marLeft w:val="0"/>
          <w:marRight w:val="0"/>
          <w:marTop w:val="0"/>
          <w:marBottom w:val="0"/>
          <w:divBdr>
            <w:top w:val="none" w:sz="0" w:space="0" w:color="auto"/>
            <w:left w:val="none" w:sz="0" w:space="0" w:color="auto"/>
            <w:bottom w:val="none" w:sz="0" w:space="0" w:color="auto"/>
            <w:right w:val="none" w:sz="0" w:space="0" w:color="auto"/>
          </w:divBdr>
        </w:div>
        <w:div w:id="809253835">
          <w:marLeft w:val="0"/>
          <w:marRight w:val="0"/>
          <w:marTop w:val="0"/>
          <w:marBottom w:val="0"/>
          <w:divBdr>
            <w:top w:val="none" w:sz="0" w:space="0" w:color="auto"/>
            <w:left w:val="none" w:sz="0" w:space="0" w:color="auto"/>
            <w:bottom w:val="none" w:sz="0" w:space="0" w:color="auto"/>
            <w:right w:val="none" w:sz="0" w:space="0" w:color="auto"/>
          </w:divBdr>
        </w:div>
        <w:div w:id="832571653">
          <w:marLeft w:val="0"/>
          <w:marRight w:val="0"/>
          <w:marTop w:val="0"/>
          <w:marBottom w:val="0"/>
          <w:divBdr>
            <w:top w:val="none" w:sz="0" w:space="0" w:color="auto"/>
            <w:left w:val="none" w:sz="0" w:space="0" w:color="auto"/>
            <w:bottom w:val="none" w:sz="0" w:space="0" w:color="auto"/>
            <w:right w:val="none" w:sz="0" w:space="0" w:color="auto"/>
          </w:divBdr>
        </w:div>
        <w:div w:id="859007760">
          <w:marLeft w:val="0"/>
          <w:marRight w:val="0"/>
          <w:marTop w:val="0"/>
          <w:marBottom w:val="0"/>
          <w:divBdr>
            <w:top w:val="none" w:sz="0" w:space="0" w:color="auto"/>
            <w:left w:val="none" w:sz="0" w:space="0" w:color="auto"/>
            <w:bottom w:val="none" w:sz="0" w:space="0" w:color="auto"/>
            <w:right w:val="none" w:sz="0" w:space="0" w:color="auto"/>
          </w:divBdr>
        </w:div>
        <w:div w:id="873427735">
          <w:marLeft w:val="0"/>
          <w:marRight w:val="0"/>
          <w:marTop w:val="0"/>
          <w:marBottom w:val="0"/>
          <w:divBdr>
            <w:top w:val="none" w:sz="0" w:space="0" w:color="auto"/>
            <w:left w:val="none" w:sz="0" w:space="0" w:color="auto"/>
            <w:bottom w:val="none" w:sz="0" w:space="0" w:color="auto"/>
            <w:right w:val="none" w:sz="0" w:space="0" w:color="auto"/>
          </w:divBdr>
        </w:div>
        <w:div w:id="877165934">
          <w:marLeft w:val="0"/>
          <w:marRight w:val="0"/>
          <w:marTop w:val="0"/>
          <w:marBottom w:val="0"/>
          <w:divBdr>
            <w:top w:val="none" w:sz="0" w:space="0" w:color="auto"/>
            <w:left w:val="none" w:sz="0" w:space="0" w:color="auto"/>
            <w:bottom w:val="none" w:sz="0" w:space="0" w:color="auto"/>
            <w:right w:val="none" w:sz="0" w:space="0" w:color="auto"/>
          </w:divBdr>
        </w:div>
        <w:div w:id="904027599">
          <w:marLeft w:val="0"/>
          <w:marRight w:val="0"/>
          <w:marTop w:val="0"/>
          <w:marBottom w:val="0"/>
          <w:divBdr>
            <w:top w:val="none" w:sz="0" w:space="0" w:color="auto"/>
            <w:left w:val="none" w:sz="0" w:space="0" w:color="auto"/>
            <w:bottom w:val="none" w:sz="0" w:space="0" w:color="auto"/>
            <w:right w:val="none" w:sz="0" w:space="0" w:color="auto"/>
          </w:divBdr>
        </w:div>
        <w:div w:id="938102364">
          <w:marLeft w:val="0"/>
          <w:marRight w:val="0"/>
          <w:marTop w:val="0"/>
          <w:marBottom w:val="0"/>
          <w:divBdr>
            <w:top w:val="none" w:sz="0" w:space="0" w:color="auto"/>
            <w:left w:val="none" w:sz="0" w:space="0" w:color="auto"/>
            <w:bottom w:val="none" w:sz="0" w:space="0" w:color="auto"/>
            <w:right w:val="none" w:sz="0" w:space="0" w:color="auto"/>
          </w:divBdr>
        </w:div>
        <w:div w:id="1037924524">
          <w:marLeft w:val="0"/>
          <w:marRight w:val="0"/>
          <w:marTop w:val="0"/>
          <w:marBottom w:val="0"/>
          <w:divBdr>
            <w:top w:val="none" w:sz="0" w:space="0" w:color="auto"/>
            <w:left w:val="none" w:sz="0" w:space="0" w:color="auto"/>
            <w:bottom w:val="none" w:sz="0" w:space="0" w:color="auto"/>
            <w:right w:val="none" w:sz="0" w:space="0" w:color="auto"/>
          </w:divBdr>
        </w:div>
        <w:div w:id="1095050673">
          <w:marLeft w:val="0"/>
          <w:marRight w:val="0"/>
          <w:marTop w:val="0"/>
          <w:marBottom w:val="0"/>
          <w:divBdr>
            <w:top w:val="none" w:sz="0" w:space="0" w:color="auto"/>
            <w:left w:val="none" w:sz="0" w:space="0" w:color="auto"/>
            <w:bottom w:val="none" w:sz="0" w:space="0" w:color="auto"/>
            <w:right w:val="none" w:sz="0" w:space="0" w:color="auto"/>
          </w:divBdr>
        </w:div>
        <w:div w:id="1161044155">
          <w:marLeft w:val="0"/>
          <w:marRight w:val="0"/>
          <w:marTop w:val="0"/>
          <w:marBottom w:val="0"/>
          <w:divBdr>
            <w:top w:val="none" w:sz="0" w:space="0" w:color="auto"/>
            <w:left w:val="none" w:sz="0" w:space="0" w:color="auto"/>
            <w:bottom w:val="none" w:sz="0" w:space="0" w:color="auto"/>
            <w:right w:val="none" w:sz="0" w:space="0" w:color="auto"/>
          </w:divBdr>
        </w:div>
        <w:div w:id="1172570326">
          <w:marLeft w:val="0"/>
          <w:marRight w:val="0"/>
          <w:marTop w:val="0"/>
          <w:marBottom w:val="0"/>
          <w:divBdr>
            <w:top w:val="none" w:sz="0" w:space="0" w:color="auto"/>
            <w:left w:val="none" w:sz="0" w:space="0" w:color="auto"/>
            <w:bottom w:val="none" w:sz="0" w:space="0" w:color="auto"/>
            <w:right w:val="none" w:sz="0" w:space="0" w:color="auto"/>
          </w:divBdr>
        </w:div>
        <w:div w:id="1221207288">
          <w:marLeft w:val="0"/>
          <w:marRight w:val="0"/>
          <w:marTop w:val="0"/>
          <w:marBottom w:val="0"/>
          <w:divBdr>
            <w:top w:val="none" w:sz="0" w:space="0" w:color="auto"/>
            <w:left w:val="none" w:sz="0" w:space="0" w:color="auto"/>
            <w:bottom w:val="none" w:sz="0" w:space="0" w:color="auto"/>
            <w:right w:val="none" w:sz="0" w:space="0" w:color="auto"/>
          </w:divBdr>
        </w:div>
        <w:div w:id="1242984103">
          <w:marLeft w:val="0"/>
          <w:marRight w:val="0"/>
          <w:marTop w:val="0"/>
          <w:marBottom w:val="0"/>
          <w:divBdr>
            <w:top w:val="none" w:sz="0" w:space="0" w:color="auto"/>
            <w:left w:val="none" w:sz="0" w:space="0" w:color="auto"/>
            <w:bottom w:val="none" w:sz="0" w:space="0" w:color="auto"/>
            <w:right w:val="none" w:sz="0" w:space="0" w:color="auto"/>
          </w:divBdr>
        </w:div>
        <w:div w:id="1247543942">
          <w:marLeft w:val="0"/>
          <w:marRight w:val="0"/>
          <w:marTop w:val="0"/>
          <w:marBottom w:val="0"/>
          <w:divBdr>
            <w:top w:val="none" w:sz="0" w:space="0" w:color="auto"/>
            <w:left w:val="none" w:sz="0" w:space="0" w:color="auto"/>
            <w:bottom w:val="none" w:sz="0" w:space="0" w:color="auto"/>
            <w:right w:val="none" w:sz="0" w:space="0" w:color="auto"/>
          </w:divBdr>
        </w:div>
        <w:div w:id="1352025511">
          <w:marLeft w:val="0"/>
          <w:marRight w:val="0"/>
          <w:marTop w:val="0"/>
          <w:marBottom w:val="0"/>
          <w:divBdr>
            <w:top w:val="none" w:sz="0" w:space="0" w:color="auto"/>
            <w:left w:val="none" w:sz="0" w:space="0" w:color="auto"/>
            <w:bottom w:val="none" w:sz="0" w:space="0" w:color="auto"/>
            <w:right w:val="none" w:sz="0" w:space="0" w:color="auto"/>
          </w:divBdr>
        </w:div>
        <w:div w:id="1362632109">
          <w:marLeft w:val="0"/>
          <w:marRight w:val="0"/>
          <w:marTop w:val="0"/>
          <w:marBottom w:val="0"/>
          <w:divBdr>
            <w:top w:val="none" w:sz="0" w:space="0" w:color="auto"/>
            <w:left w:val="none" w:sz="0" w:space="0" w:color="auto"/>
            <w:bottom w:val="none" w:sz="0" w:space="0" w:color="auto"/>
            <w:right w:val="none" w:sz="0" w:space="0" w:color="auto"/>
          </w:divBdr>
        </w:div>
        <w:div w:id="1472214258">
          <w:marLeft w:val="0"/>
          <w:marRight w:val="0"/>
          <w:marTop w:val="0"/>
          <w:marBottom w:val="0"/>
          <w:divBdr>
            <w:top w:val="none" w:sz="0" w:space="0" w:color="auto"/>
            <w:left w:val="none" w:sz="0" w:space="0" w:color="auto"/>
            <w:bottom w:val="none" w:sz="0" w:space="0" w:color="auto"/>
            <w:right w:val="none" w:sz="0" w:space="0" w:color="auto"/>
          </w:divBdr>
        </w:div>
        <w:div w:id="1508132092">
          <w:marLeft w:val="0"/>
          <w:marRight w:val="0"/>
          <w:marTop w:val="0"/>
          <w:marBottom w:val="0"/>
          <w:divBdr>
            <w:top w:val="none" w:sz="0" w:space="0" w:color="auto"/>
            <w:left w:val="none" w:sz="0" w:space="0" w:color="auto"/>
            <w:bottom w:val="none" w:sz="0" w:space="0" w:color="auto"/>
            <w:right w:val="none" w:sz="0" w:space="0" w:color="auto"/>
          </w:divBdr>
        </w:div>
        <w:div w:id="1538666984">
          <w:marLeft w:val="0"/>
          <w:marRight w:val="0"/>
          <w:marTop w:val="0"/>
          <w:marBottom w:val="0"/>
          <w:divBdr>
            <w:top w:val="none" w:sz="0" w:space="0" w:color="auto"/>
            <w:left w:val="none" w:sz="0" w:space="0" w:color="auto"/>
            <w:bottom w:val="none" w:sz="0" w:space="0" w:color="auto"/>
            <w:right w:val="none" w:sz="0" w:space="0" w:color="auto"/>
          </w:divBdr>
        </w:div>
        <w:div w:id="1590503088">
          <w:marLeft w:val="0"/>
          <w:marRight w:val="0"/>
          <w:marTop w:val="0"/>
          <w:marBottom w:val="0"/>
          <w:divBdr>
            <w:top w:val="none" w:sz="0" w:space="0" w:color="auto"/>
            <w:left w:val="none" w:sz="0" w:space="0" w:color="auto"/>
            <w:bottom w:val="none" w:sz="0" w:space="0" w:color="auto"/>
            <w:right w:val="none" w:sz="0" w:space="0" w:color="auto"/>
          </w:divBdr>
        </w:div>
        <w:div w:id="1685590027">
          <w:marLeft w:val="0"/>
          <w:marRight w:val="0"/>
          <w:marTop w:val="0"/>
          <w:marBottom w:val="0"/>
          <w:divBdr>
            <w:top w:val="none" w:sz="0" w:space="0" w:color="auto"/>
            <w:left w:val="none" w:sz="0" w:space="0" w:color="auto"/>
            <w:bottom w:val="none" w:sz="0" w:space="0" w:color="auto"/>
            <w:right w:val="none" w:sz="0" w:space="0" w:color="auto"/>
          </w:divBdr>
        </w:div>
        <w:div w:id="1714185385">
          <w:marLeft w:val="0"/>
          <w:marRight w:val="0"/>
          <w:marTop w:val="0"/>
          <w:marBottom w:val="0"/>
          <w:divBdr>
            <w:top w:val="none" w:sz="0" w:space="0" w:color="auto"/>
            <w:left w:val="none" w:sz="0" w:space="0" w:color="auto"/>
            <w:bottom w:val="none" w:sz="0" w:space="0" w:color="auto"/>
            <w:right w:val="none" w:sz="0" w:space="0" w:color="auto"/>
          </w:divBdr>
        </w:div>
        <w:div w:id="1783720359">
          <w:marLeft w:val="0"/>
          <w:marRight w:val="0"/>
          <w:marTop w:val="0"/>
          <w:marBottom w:val="0"/>
          <w:divBdr>
            <w:top w:val="none" w:sz="0" w:space="0" w:color="auto"/>
            <w:left w:val="none" w:sz="0" w:space="0" w:color="auto"/>
            <w:bottom w:val="none" w:sz="0" w:space="0" w:color="auto"/>
            <w:right w:val="none" w:sz="0" w:space="0" w:color="auto"/>
          </w:divBdr>
        </w:div>
        <w:div w:id="1960795938">
          <w:marLeft w:val="0"/>
          <w:marRight w:val="0"/>
          <w:marTop w:val="0"/>
          <w:marBottom w:val="0"/>
          <w:divBdr>
            <w:top w:val="none" w:sz="0" w:space="0" w:color="auto"/>
            <w:left w:val="none" w:sz="0" w:space="0" w:color="auto"/>
            <w:bottom w:val="none" w:sz="0" w:space="0" w:color="auto"/>
            <w:right w:val="none" w:sz="0" w:space="0" w:color="auto"/>
          </w:divBdr>
        </w:div>
        <w:div w:id="2011712861">
          <w:marLeft w:val="0"/>
          <w:marRight w:val="0"/>
          <w:marTop w:val="0"/>
          <w:marBottom w:val="0"/>
          <w:divBdr>
            <w:top w:val="none" w:sz="0" w:space="0" w:color="auto"/>
            <w:left w:val="none" w:sz="0" w:space="0" w:color="auto"/>
            <w:bottom w:val="none" w:sz="0" w:space="0" w:color="auto"/>
            <w:right w:val="none" w:sz="0" w:space="0" w:color="auto"/>
          </w:divBdr>
        </w:div>
        <w:div w:id="2026325603">
          <w:marLeft w:val="0"/>
          <w:marRight w:val="0"/>
          <w:marTop w:val="0"/>
          <w:marBottom w:val="0"/>
          <w:divBdr>
            <w:top w:val="none" w:sz="0" w:space="0" w:color="auto"/>
            <w:left w:val="none" w:sz="0" w:space="0" w:color="auto"/>
            <w:bottom w:val="none" w:sz="0" w:space="0" w:color="auto"/>
            <w:right w:val="none" w:sz="0" w:space="0" w:color="auto"/>
          </w:divBdr>
        </w:div>
        <w:div w:id="2135443875">
          <w:marLeft w:val="0"/>
          <w:marRight w:val="0"/>
          <w:marTop w:val="0"/>
          <w:marBottom w:val="0"/>
          <w:divBdr>
            <w:top w:val="none" w:sz="0" w:space="0" w:color="auto"/>
            <w:left w:val="none" w:sz="0" w:space="0" w:color="auto"/>
            <w:bottom w:val="none" w:sz="0" w:space="0" w:color="auto"/>
            <w:right w:val="none" w:sz="0" w:space="0" w:color="auto"/>
          </w:divBdr>
        </w:div>
      </w:divsChild>
    </w:div>
    <w:div w:id="1361853124">
      <w:bodyDiv w:val="1"/>
      <w:marLeft w:val="0"/>
      <w:marRight w:val="0"/>
      <w:marTop w:val="0"/>
      <w:marBottom w:val="0"/>
      <w:divBdr>
        <w:top w:val="none" w:sz="0" w:space="0" w:color="auto"/>
        <w:left w:val="none" w:sz="0" w:space="0" w:color="auto"/>
        <w:bottom w:val="none" w:sz="0" w:space="0" w:color="auto"/>
        <w:right w:val="none" w:sz="0" w:space="0" w:color="auto"/>
      </w:divBdr>
    </w:div>
    <w:div w:id="1381510996">
      <w:bodyDiv w:val="1"/>
      <w:marLeft w:val="0"/>
      <w:marRight w:val="0"/>
      <w:marTop w:val="0"/>
      <w:marBottom w:val="0"/>
      <w:divBdr>
        <w:top w:val="none" w:sz="0" w:space="0" w:color="auto"/>
        <w:left w:val="none" w:sz="0" w:space="0" w:color="auto"/>
        <w:bottom w:val="none" w:sz="0" w:space="0" w:color="auto"/>
        <w:right w:val="none" w:sz="0" w:space="0" w:color="auto"/>
      </w:divBdr>
    </w:div>
    <w:div w:id="1388532122">
      <w:bodyDiv w:val="1"/>
      <w:marLeft w:val="0"/>
      <w:marRight w:val="0"/>
      <w:marTop w:val="0"/>
      <w:marBottom w:val="0"/>
      <w:divBdr>
        <w:top w:val="none" w:sz="0" w:space="0" w:color="auto"/>
        <w:left w:val="none" w:sz="0" w:space="0" w:color="auto"/>
        <w:bottom w:val="none" w:sz="0" w:space="0" w:color="auto"/>
        <w:right w:val="none" w:sz="0" w:space="0" w:color="auto"/>
      </w:divBdr>
    </w:div>
    <w:div w:id="1422525481">
      <w:bodyDiv w:val="1"/>
      <w:marLeft w:val="0"/>
      <w:marRight w:val="0"/>
      <w:marTop w:val="0"/>
      <w:marBottom w:val="0"/>
      <w:divBdr>
        <w:top w:val="none" w:sz="0" w:space="0" w:color="auto"/>
        <w:left w:val="none" w:sz="0" w:space="0" w:color="auto"/>
        <w:bottom w:val="none" w:sz="0" w:space="0" w:color="auto"/>
        <w:right w:val="none" w:sz="0" w:space="0" w:color="auto"/>
      </w:divBdr>
    </w:div>
    <w:div w:id="1448352791">
      <w:bodyDiv w:val="1"/>
      <w:marLeft w:val="0"/>
      <w:marRight w:val="0"/>
      <w:marTop w:val="0"/>
      <w:marBottom w:val="0"/>
      <w:divBdr>
        <w:top w:val="none" w:sz="0" w:space="0" w:color="auto"/>
        <w:left w:val="none" w:sz="0" w:space="0" w:color="auto"/>
        <w:bottom w:val="none" w:sz="0" w:space="0" w:color="auto"/>
        <w:right w:val="none" w:sz="0" w:space="0" w:color="auto"/>
      </w:divBdr>
    </w:div>
    <w:div w:id="1453480988">
      <w:bodyDiv w:val="1"/>
      <w:marLeft w:val="0"/>
      <w:marRight w:val="0"/>
      <w:marTop w:val="0"/>
      <w:marBottom w:val="0"/>
      <w:divBdr>
        <w:top w:val="none" w:sz="0" w:space="0" w:color="auto"/>
        <w:left w:val="none" w:sz="0" w:space="0" w:color="auto"/>
        <w:bottom w:val="none" w:sz="0" w:space="0" w:color="auto"/>
        <w:right w:val="none" w:sz="0" w:space="0" w:color="auto"/>
      </w:divBdr>
    </w:div>
    <w:div w:id="1479683272">
      <w:bodyDiv w:val="1"/>
      <w:marLeft w:val="0"/>
      <w:marRight w:val="0"/>
      <w:marTop w:val="0"/>
      <w:marBottom w:val="0"/>
      <w:divBdr>
        <w:top w:val="none" w:sz="0" w:space="0" w:color="auto"/>
        <w:left w:val="none" w:sz="0" w:space="0" w:color="auto"/>
        <w:bottom w:val="none" w:sz="0" w:space="0" w:color="auto"/>
        <w:right w:val="none" w:sz="0" w:space="0" w:color="auto"/>
      </w:divBdr>
    </w:div>
    <w:div w:id="1488206803">
      <w:bodyDiv w:val="1"/>
      <w:marLeft w:val="0"/>
      <w:marRight w:val="0"/>
      <w:marTop w:val="0"/>
      <w:marBottom w:val="0"/>
      <w:divBdr>
        <w:top w:val="none" w:sz="0" w:space="0" w:color="auto"/>
        <w:left w:val="none" w:sz="0" w:space="0" w:color="auto"/>
        <w:bottom w:val="none" w:sz="0" w:space="0" w:color="auto"/>
        <w:right w:val="none" w:sz="0" w:space="0" w:color="auto"/>
      </w:divBdr>
    </w:div>
    <w:div w:id="1493523182">
      <w:bodyDiv w:val="1"/>
      <w:marLeft w:val="0"/>
      <w:marRight w:val="0"/>
      <w:marTop w:val="0"/>
      <w:marBottom w:val="0"/>
      <w:divBdr>
        <w:top w:val="none" w:sz="0" w:space="0" w:color="auto"/>
        <w:left w:val="none" w:sz="0" w:space="0" w:color="auto"/>
        <w:bottom w:val="none" w:sz="0" w:space="0" w:color="auto"/>
        <w:right w:val="none" w:sz="0" w:space="0" w:color="auto"/>
      </w:divBdr>
    </w:div>
    <w:div w:id="1523666196">
      <w:bodyDiv w:val="1"/>
      <w:marLeft w:val="0"/>
      <w:marRight w:val="0"/>
      <w:marTop w:val="0"/>
      <w:marBottom w:val="0"/>
      <w:divBdr>
        <w:top w:val="none" w:sz="0" w:space="0" w:color="auto"/>
        <w:left w:val="none" w:sz="0" w:space="0" w:color="auto"/>
        <w:bottom w:val="none" w:sz="0" w:space="0" w:color="auto"/>
        <w:right w:val="none" w:sz="0" w:space="0" w:color="auto"/>
      </w:divBdr>
    </w:div>
    <w:div w:id="1553881723">
      <w:bodyDiv w:val="1"/>
      <w:marLeft w:val="0"/>
      <w:marRight w:val="0"/>
      <w:marTop w:val="0"/>
      <w:marBottom w:val="0"/>
      <w:divBdr>
        <w:top w:val="none" w:sz="0" w:space="0" w:color="auto"/>
        <w:left w:val="none" w:sz="0" w:space="0" w:color="auto"/>
        <w:bottom w:val="none" w:sz="0" w:space="0" w:color="auto"/>
        <w:right w:val="none" w:sz="0" w:space="0" w:color="auto"/>
      </w:divBdr>
    </w:div>
    <w:div w:id="1556354775">
      <w:bodyDiv w:val="1"/>
      <w:marLeft w:val="0"/>
      <w:marRight w:val="0"/>
      <w:marTop w:val="0"/>
      <w:marBottom w:val="0"/>
      <w:divBdr>
        <w:top w:val="none" w:sz="0" w:space="0" w:color="auto"/>
        <w:left w:val="none" w:sz="0" w:space="0" w:color="auto"/>
        <w:bottom w:val="none" w:sz="0" w:space="0" w:color="auto"/>
        <w:right w:val="none" w:sz="0" w:space="0" w:color="auto"/>
      </w:divBdr>
      <w:divsChild>
        <w:div w:id="484975880">
          <w:marLeft w:val="360"/>
          <w:marRight w:val="0"/>
          <w:marTop w:val="0"/>
          <w:marBottom w:val="0"/>
          <w:divBdr>
            <w:top w:val="none" w:sz="0" w:space="0" w:color="auto"/>
            <w:left w:val="none" w:sz="0" w:space="0" w:color="auto"/>
            <w:bottom w:val="none" w:sz="0" w:space="0" w:color="auto"/>
            <w:right w:val="none" w:sz="0" w:space="0" w:color="auto"/>
          </w:divBdr>
        </w:div>
        <w:div w:id="1003515365">
          <w:marLeft w:val="360"/>
          <w:marRight w:val="0"/>
          <w:marTop w:val="0"/>
          <w:marBottom w:val="0"/>
          <w:divBdr>
            <w:top w:val="none" w:sz="0" w:space="0" w:color="auto"/>
            <w:left w:val="none" w:sz="0" w:space="0" w:color="auto"/>
            <w:bottom w:val="none" w:sz="0" w:space="0" w:color="auto"/>
            <w:right w:val="none" w:sz="0" w:space="0" w:color="auto"/>
          </w:divBdr>
        </w:div>
        <w:div w:id="1023743577">
          <w:marLeft w:val="360"/>
          <w:marRight w:val="0"/>
          <w:marTop w:val="0"/>
          <w:marBottom w:val="0"/>
          <w:divBdr>
            <w:top w:val="none" w:sz="0" w:space="0" w:color="auto"/>
            <w:left w:val="none" w:sz="0" w:space="0" w:color="auto"/>
            <w:bottom w:val="none" w:sz="0" w:space="0" w:color="auto"/>
            <w:right w:val="none" w:sz="0" w:space="0" w:color="auto"/>
          </w:divBdr>
        </w:div>
        <w:div w:id="1130326218">
          <w:marLeft w:val="360"/>
          <w:marRight w:val="0"/>
          <w:marTop w:val="0"/>
          <w:marBottom w:val="0"/>
          <w:divBdr>
            <w:top w:val="none" w:sz="0" w:space="0" w:color="auto"/>
            <w:left w:val="none" w:sz="0" w:space="0" w:color="auto"/>
            <w:bottom w:val="none" w:sz="0" w:space="0" w:color="auto"/>
            <w:right w:val="none" w:sz="0" w:space="0" w:color="auto"/>
          </w:divBdr>
        </w:div>
        <w:div w:id="2140225230">
          <w:marLeft w:val="360"/>
          <w:marRight w:val="0"/>
          <w:marTop w:val="0"/>
          <w:marBottom w:val="0"/>
          <w:divBdr>
            <w:top w:val="none" w:sz="0" w:space="0" w:color="auto"/>
            <w:left w:val="none" w:sz="0" w:space="0" w:color="auto"/>
            <w:bottom w:val="none" w:sz="0" w:space="0" w:color="auto"/>
            <w:right w:val="none" w:sz="0" w:space="0" w:color="auto"/>
          </w:divBdr>
        </w:div>
      </w:divsChild>
    </w:div>
    <w:div w:id="1559825347">
      <w:bodyDiv w:val="1"/>
      <w:marLeft w:val="0"/>
      <w:marRight w:val="0"/>
      <w:marTop w:val="0"/>
      <w:marBottom w:val="0"/>
      <w:divBdr>
        <w:top w:val="none" w:sz="0" w:space="0" w:color="auto"/>
        <w:left w:val="none" w:sz="0" w:space="0" w:color="auto"/>
        <w:bottom w:val="none" w:sz="0" w:space="0" w:color="auto"/>
        <w:right w:val="none" w:sz="0" w:space="0" w:color="auto"/>
      </w:divBdr>
    </w:div>
    <w:div w:id="1623076971">
      <w:bodyDiv w:val="1"/>
      <w:marLeft w:val="0"/>
      <w:marRight w:val="0"/>
      <w:marTop w:val="0"/>
      <w:marBottom w:val="0"/>
      <w:divBdr>
        <w:top w:val="none" w:sz="0" w:space="0" w:color="auto"/>
        <w:left w:val="none" w:sz="0" w:space="0" w:color="auto"/>
        <w:bottom w:val="none" w:sz="0" w:space="0" w:color="auto"/>
        <w:right w:val="none" w:sz="0" w:space="0" w:color="auto"/>
      </w:divBdr>
    </w:div>
    <w:div w:id="1644388448">
      <w:bodyDiv w:val="1"/>
      <w:marLeft w:val="0"/>
      <w:marRight w:val="0"/>
      <w:marTop w:val="0"/>
      <w:marBottom w:val="0"/>
      <w:divBdr>
        <w:top w:val="none" w:sz="0" w:space="0" w:color="auto"/>
        <w:left w:val="none" w:sz="0" w:space="0" w:color="auto"/>
        <w:bottom w:val="none" w:sz="0" w:space="0" w:color="auto"/>
        <w:right w:val="none" w:sz="0" w:space="0" w:color="auto"/>
      </w:divBdr>
    </w:div>
    <w:div w:id="1649823134">
      <w:bodyDiv w:val="1"/>
      <w:marLeft w:val="0"/>
      <w:marRight w:val="0"/>
      <w:marTop w:val="0"/>
      <w:marBottom w:val="0"/>
      <w:divBdr>
        <w:top w:val="none" w:sz="0" w:space="0" w:color="auto"/>
        <w:left w:val="none" w:sz="0" w:space="0" w:color="auto"/>
        <w:bottom w:val="none" w:sz="0" w:space="0" w:color="auto"/>
        <w:right w:val="none" w:sz="0" w:space="0" w:color="auto"/>
      </w:divBdr>
    </w:div>
    <w:div w:id="1653369105">
      <w:bodyDiv w:val="1"/>
      <w:marLeft w:val="0"/>
      <w:marRight w:val="0"/>
      <w:marTop w:val="0"/>
      <w:marBottom w:val="0"/>
      <w:divBdr>
        <w:top w:val="none" w:sz="0" w:space="0" w:color="auto"/>
        <w:left w:val="none" w:sz="0" w:space="0" w:color="auto"/>
        <w:bottom w:val="none" w:sz="0" w:space="0" w:color="auto"/>
        <w:right w:val="none" w:sz="0" w:space="0" w:color="auto"/>
      </w:divBdr>
    </w:div>
    <w:div w:id="1655914140">
      <w:bodyDiv w:val="1"/>
      <w:marLeft w:val="0"/>
      <w:marRight w:val="0"/>
      <w:marTop w:val="0"/>
      <w:marBottom w:val="0"/>
      <w:divBdr>
        <w:top w:val="none" w:sz="0" w:space="0" w:color="auto"/>
        <w:left w:val="none" w:sz="0" w:space="0" w:color="auto"/>
        <w:bottom w:val="none" w:sz="0" w:space="0" w:color="auto"/>
        <w:right w:val="none" w:sz="0" w:space="0" w:color="auto"/>
      </w:divBdr>
    </w:div>
    <w:div w:id="1664697863">
      <w:bodyDiv w:val="1"/>
      <w:marLeft w:val="0"/>
      <w:marRight w:val="0"/>
      <w:marTop w:val="0"/>
      <w:marBottom w:val="0"/>
      <w:divBdr>
        <w:top w:val="none" w:sz="0" w:space="0" w:color="auto"/>
        <w:left w:val="none" w:sz="0" w:space="0" w:color="auto"/>
        <w:bottom w:val="none" w:sz="0" w:space="0" w:color="auto"/>
        <w:right w:val="none" w:sz="0" w:space="0" w:color="auto"/>
      </w:divBdr>
    </w:div>
    <w:div w:id="1664699634">
      <w:bodyDiv w:val="1"/>
      <w:marLeft w:val="0"/>
      <w:marRight w:val="0"/>
      <w:marTop w:val="0"/>
      <w:marBottom w:val="0"/>
      <w:divBdr>
        <w:top w:val="none" w:sz="0" w:space="0" w:color="auto"/>
        <w:left w:val="none" w:sz="0" w:space="0" w:color="auto"/>
        <w:bottom w:val="none" w:sz="0" w:space="0" w:color="auto"/>
        <w:right w:val="none" w:sz="0" w:space="0" w:color="auto"/>
      </w:divBdr>
    </w:div>
    <w:div w:id="1708791882">
      <w:bodyDiv w:val="1"/>
      <w:marLeft w:val="0"/>
      <w:marRight w:val="0"/>
      <w:marTop w:val="0"/>
      <w:marBottom w:val="0"/>
      <w:divBdr>
        <w:top w:val="none" w:sz="0" w:space="0" w:color="auto"/>
        <w:left w:val="none" w:sz="0" w:space="0" w:color="auto"/>
        <w:bottom w:val="none" w:sz="0" w:space="0" w:color="auto"/>
        <w:right w:val="none" w:sz="0" w:space="0" w:color="auto"/>
      </w:divBdr>
    </w:div>
    <w:div w:id="1709986730">
      <w:bodyDiv w:val="1"/>
      <w:marLeft w:val="0"/>
      <w:marRight w:val="0"/>
      <w:marTop w:val="0"/>
      <w:marBottom w:val="0"/>
      <w:divBdr>
        <w:top w:val="none" w:sz="0" w:space="0" w:color="auto"/>
        <w:left w:val="none" w:sz="0" w:space="0" w:color="auto"/>
        <w:bottom w:val="none" w:sz="0" w:space="0" w:color="auto"/>
        <w:right w:val="none" w:sz="0" w:space="0" w:color="auto"/>
      </w:divBdr>
    </w:div>
    <w:div w:id="1725181132">
      <w:bodyDiv w:val="1"/>
      <w:marLeft w:val="0"/>
      <w:marRight w:val="0"/>
      <w:marTop w:val="0"/>
      <w:marBottom w:val="0"/>
      <w:divBdr>
        <w:top w:val="none" w:sz="0" w:space="0" w:color="auto"/>
        <w:left w:val="none" w:sz="0" w:space="0" w:color="auto"/>
        <w:bottom w:val="none" w:sz="0" w:space="0" w:color="auto"/>
        <w:right w:val="none" w:sz="0" w:space="0" w:color="auto"/>
      </w:divBdr>
    </w:div>
    <w:div w:id="1741563456">
      <w:bodyDiv w:val="1"/>
      <w:marLeft w:val="0"/>
      <w:marRight w:val="0"/>
      <w:marTop w:val="0"/>
      <w:marBottom w:val="0"/>
      <w:divBdr>
        <w:top w:val="none" w:sz="0" w:space="0" w:color="auto"/>
        <w:left w:val="none" w:sz="0" w:space="0" w:color="auto"/>
        <w:bottom w:val="none" w:sz="0" w:space="0" w:color="auto"/>
        <w:right w:val="none" w:sz="0" w:space="0" w:color="auto"/>
      </w:divBdr>
    </w:div>
    <w:div w:id="1758789815">
      <w:bodyDiv w:val="1"/>
      <w:marLeft w:val="0"/>
      <w:marRight w:val="0"/>
      <w:marTop w:val="0"/>
      <w:marBottom w:val="0"/>
      <w:divBdr>
        <w:top w:val="none" w:sz="0" w:space="0" w:color="auto"/>
        <w:left w:val="none" w:sz="0" w:space="0" w:color="auto"/>
        <w:bottom w:val="none" w:sz="0" w:space="0" w:color="auto"/>
        <w:right w:val="none" w:sz="0" w:space="0" w:color="auto"/>
      </w:divBdr>
    </w:div>
    <w:div w:id="1772630376">
      <w:bodyDiv w:val="1"/>
      <w:marLeft w:val="0"/>
      <w:marRight w:val="0"/>
      <w:marTop w:val="0"/>
      <w:marBottom w:val="0"/>
      <w:divBdr>
        <w:top w:val="none" w:sz="0" w:space="0" w:color="auto"/>
        <w:left w:val="none" w:sz="0" w:space="0" w:color="auto"/>
        <w:bottom w:val="none" w:sz="0" w:space="0" w:color="auto"/>
        <w:right w:val="none" w:sz="0" w:space="0" w:color="auto"/>
      </w:divBdr>
    </w:div>
    <w:div w:id="1778332847">
      <w:bodyDiv w:val="1"/>
      <w:marLeft w:val="0"/>
      <w:marRight w:val="0"/>
      <w:marTop w:val="0"/>
      <w:marBottom w:val="0"/>
      <w:divBdr>
        <w:top w:val="none" w:sz="0" w:space="0" w:color="auto"/>
        <w:left w:val="none" w:sz="0" w:space="0" w:color="auto"/>
        <w:bottom w:val="none" w:sz="0" w:space="0" w:color="auto"/>
        <w:right w:val="none" w:sz="0" w:space="0" w:color="auto"/>
      </w:divBdr>
    </w:div>
    <w:div w:id="1801193386">
      <w:bodyDiv w:val="1"/>
      <w:marLeft w:val="0"/>
      <w:marRight w:val="0"/>
      <w:marTop w:val="0"/>
      <w:marBottom w:val="0"/>
      <w:divBdr>
        <w:top w:val="none" w:sz="0" w:space="0" w:color="auto"/>
        <w:left w:val="none" w:sz="0" w:space="0" w:color="auto"/>
        <w:bottom w:val="none" w:sz="0" w:space="0" w:color="auto"/>
        <w:right w:val="none" w:sz="0" w:space="0" w:color="auto"/>
      </w:divBdr>
    </w:div>
    <w:div w:id="1847279769">
      <w:bodyDiv w:val="1"/>
      <w:marLeft w:val="0"/>
      <w:marRight w:val="0"/>
      <w:marTop w:val="0"/>
      <w:marBottom w:val="0"/>
      <w:divBdr>
        <w:top w:val="none" w:sz="0" w:space="0" w:color="auto"/>
        <w:left w:val="none" w:sz="0" w:space="0" w:color="auto"/>
        <w:bottom w:val="none" w:sz="0" w:space="0" w:color="auto"/>
        <w:right w:val="none" w:sz="0" w:space="0" w:color="auto"/>
      </w:divBdr>
    </w:div>
    <w:div w:id="1849102165">
      <w:bodyDiv w:val="1"/>
      <w:marLeft w:val="0"/>
      <w:marRight w:val="0"/>
      <w:marTop w:val="0"/>
      <w:marBottom w:val="0"/>
      <w:divBdr>
        <w:top w:val="none" w:sz="0" w:space="0" w:color="auto"/>
        <w:left w:val="none" w:sz="0" w:space="0" w:color="auto"/>
        <w:bottom w:val="none" w:sz="0" w:space="0" w:color="auto"/>
        <w:right w:val="none" w:sz="0" w:space="0" w:color="auto"/>
      </w:divBdr>
      <w:divsChild>
        <w:div w:id="95489586">
          <w:marLeft w:val="547"/>
          <w:marRight w:val="0"/>
          <w:marTop w:val="0"/>
          <w:marBottom w:val="120"/>
          <w:divBdr>
            <w:top w:val="none" w:sz="0" w:space="0" w:color="auto"/>
            <w:left w:val="none" w:sz="0" w:space="0" w:color="auto"/>
            <w:bottom w:val="none" w:sz="0" w:space="0" w:color="auto"/>
            <w:right w:val="none" w:sz="0" w:space="0" w:color="auto"/>
          </w:divBdr>
        </w:div>
        <w:div w:id="569580815">
          <w:marLeft w:val="547"/>
          <w:marRight w:val="0"/>
          <w:marTop w:val="0"/>
          <w:marBottom w:val="120"/>
          <w:divBdr>
            <w:top w:val="none" w:sz="0" w:space="0" w:color="auto"/>
            <w:left w:val="none" w:sz="0" w:space="0" w:color="auto"/>
            <w:bottom w:val="none" w:sz="0" w:space="0" w:color="auto"/>
            <w:right w:val="none" w:sz="0" w:space="0" w:color="auto"/>
          </w:divBdr>
        </w:div>
        <w:div w:id="1326858034">
          <w:marLeft w:val="547"/>
          <w:marRight w:val="0"/>
          <w:marTop w:val="0"/>
          <w:marBottom w:val="120"/>
          <w:divBdr>
            <w:top w:val="none" w:sz="0" w:space="0" w:color="auto"/>
            <w:left w:val="none" w:sz="0" w:space="0" w:color="auto"/>
            <w:bottom w:val="none" w:sz="0" w:space="0" w:color="auto"/>
            <w:right w:val="none" w:sz="0" w:space="0" w:color="auto"/>
          </w:divBdr>
        </w:div>
        <w:div w:id="1458914742">
          <w:marLeft w:val="547"/>
          <w:marRight w:val="0"/>
          <w:marTop w:val="0"/>
          <w:marBottom w:val="120"/>
          <w:divBdr>
            <w:top w:val="none" w:sz="0" w:space="0" w:color="auto"/>
            <w:left w:val="none" w:sz="0" w:space="0" w:color="auto"/>
            <w:bottom w:val="none" w:sz="0" w:space="0" w:color="auto"/>
            <w:right w:val="none" w:sz="0" w:space="0" w:color="auto"/>
          </w:divBdr>
        </w:div>
      </w:divsChild>
    </w:div>
    <w:div w:id="1867213821">
      <w:bodyDiv w:val="1"/>
      <w:marLeft w:val="0"/>
      <w:marRight w:val="0"/>
      <w:marTop w:val="0"/>
      <w:marBottom w:val="0"/>
      <w:divBdr>
        <w:top w:val="none" w:sz="0" w:space="0" w:color="auto"/>
        <w:left w:val="none" w:sz="0" w:space="0" w:color="auto"/>
        <w:bottom w:val="none" w:sz="0" w:space="0" w:color="auto"/>
        <w:right w:val="none" w:sz="0" w:space="0" w:color="auto"/>
      </w:divBdr>
    </w:div>
    <w:div w:id="1879197071">
      <w:bodyDiv w:val="1"/>
      <w:marLeft w:val="0"/>
      <w:marRight w:val="0"/>
      <w:marTop w:val="0"/>
      <w:marBottom w:val="0"/>
      <w:divBdr>
        <w:top w:val="none" w:sz="0" w:space="0" w:color="auto"/>
        <w:left w:val="none" w:sz="0" w:space="0" w:color="auto"/>
        <w:bottom w:val="none" w:sz="0" w:space="0" w:color="auto"/>
        <w:right w:val="none" w:sz="0" w:space="0" w:color="auto"/>
      </w:divBdr>
    </w:div>
    <w:div w:id="1883664388">
      <w:bodyDiv w:val="1"/>
      <w:marLeft w:val="0"/>
      <w:marRight w:val="0"/>
      <w:marTop w:val="0"/>
      <w:marBottom w:val="0"/>
      <w:divBdr>
        <w:top w:val="none" w:sz="0" w:space="0" w:color="auto"/>
        <w:left w:val="none" w:sz="0" w:space="0" w:color="auto"/>
        <w:bottom w:val="none" w:sz="0" w:space="0" w:color="auto"/>
        <w:right w:val="none" w:sz="0" w:space="0" w:color="auto"/>
      </w:divBdr>
    </w:div>
    <w:div w:id="1905942080">
      <w:bodyDiv w:val="1"/>
      <w:marLeft w:val="0"/>
      <w:marRight w:val="0"/>
      <w:marTop w:val="0"/>
      <w:marBottom w:val="0"/>
      <w:divBdr>
        <w:top w:val="none" w:sz="0" w:space="0" w:color="auto"/>
        <w:left w:val="none" w:sz="0" w:space="0" w:color="auto"/>
        <w:bottom w:val="none" w:sz="0" w:space="0" w:color="auto"/>
        <w:right w:val="none" w:sz="0" w:space="0" w:color="auto"/>
      </w:divBdr>
    </w:div>
    <w:div w:id="1928152141">
      <w:bodyDiv w:val="1"/>
      <w:marLeft w:val="0"/>
      <w:marRight w:val="0"/>
      <w:marTop w:val="0"/>
      <w:marBottom w:val="0"/>
      <w:divBdr>
        <w:top w:val="none" w:sz="0" w:space="0" w:color="auto"/>
        <w:left w:val="none" w:sz="0" w:space="0" w:color="auto"/>
        <w:bottom w:val="none" w:sz="0" w:space="0" w:color="auto"/>
        <w:right w:val="none" w:sz="0" w:space="0" w:color="auto"/>
      </w:divBdr>
    </w:div>
    <w:div w:id="1941522436">
      <w:bodyDiv w:val="1"/>
      <w:marLeft w:val="0"/>
      <w:marRight w:val="0"/>
      <w:marTop w:val="0"/>
      <w:marBottom w:val="0"/>
      <w:divBdr>
        <w:top w:val="none" w:sz="0" w:space="0" w:color="auto"/>
        <w:left w:val="none" w:sz="0" w:space="0" w:color="auto"/>
        <w:bottom w:val="none" w:sz="0" w:space="0" w:color="auto"/>
        <w:right w:val="none" w:sz="0" w:space="0" w:color="auto"/>
      </w:divBdr>
    </w:div>
    <w:div w:id="1958174924">
      <w:bodyDiv w:val="1"/>
      <w:marLeft w:val="0"/>
      <w:marRight w:val="0"/>
      <w:marTop w:val="0"/>
      <w:marBottom w:val="0"/>
      <w:divBdr>
        <w:top w:val="none" w:sz="0" w:space="0" w:color="auto"/>
        <w:left w:val="none" w:sz="0" w:space="0" w:color="auto"/>
        <w:bottom w:val="none" w:sz="0" w:space="0" w:color="auto"/>
        <w:right w:val="none" w:sz="0" w:space="0" w:color="auto"/>
      </w:divBdr>
    </w:div>
    <w:div w:id="1969240808">
      <w:bodyDiv w:val="1"/>
      <w:marLeft w:val="0"/>
      <w:marRight w:val="0"/>
      <w:marTop w:val="0"/>
      <w:marBottom w:val="0"/>
      <w:divBdr>
        <w:top w:val="none" w:sz="0" w:space="0" w:color="auto"/>
        <w:left w:val="none" w:sz="0" w:space="0" w:color="auto"/>
        <w:bottom w:val="none" w:sz="0" w:space="0" w:color="auto"/>
        <w:right w:val="none" w:sz="0" w:space="0" w:color="auto"/>
      </w:divBdr>
    </w:div>
    <w:div w:id="1971789616">
      <w:bodyDiv w:val="1"/>
      <w:marLeft w:val="0"/>
      <w:marRight w:val="0"/>
      <w:marTop w:val="0"/>
      <w:marBottom w:val="0"/>
      <w:divBdr>
        <w:top w:val="none" w:sz="0" w:space="0" w:color="auto"/>
        <w:left w:val="none" w:sz="0" w:space="0" w:color="auto"/>
        <w:bottom w:val="none" w:sz="0" w:space="0" w:color="auto"/>
        <w:right w:val="none" w:sz="0" w:space="0" w:color="auto"/>
      </w:divBdr>
    </w:div>
    <w:div w:id="1981764540">
      <w:bodyDiv w:val="1"/>
      <w:marLeft w:val="0"/>
      <w:marRight w:val="0"/>
      <w:marTop w:val="0"/>
      <w:marBottom w:val="0"/>
      <w:divBdr>
        <w:top w:val="none" w:sz="0" w:space="0" w:color="auto"/>
        <w:left w:val="none" w:sz="0" w:space="0" w:color="auto"/>
        <w:bottom w:val="none" w:sz="0" w:space="0" w:color="auto"/>
        <w:right w:val="none" w:sz="0" w:space="0" w:color="auto"/>
      </w:divBdr>
    </w:div>
    <w:div w:id="1983346585">
      <w:bodyDiv w:val="1"/>
      <w:marLeft w:val="0"/>
      <w:marRight w:val="0"/>
      <w:marTop w:val="0"/>
      <w:marBottom w:val="0"/>
      <w:divBdr>
        <w:top w:val="none" w:sz="0" w:space="0" w:color="auto"/>
        <w:left w:val="none" w:sz="0" w:space="0" w:color="auto"/>
        <w:bottom w:val="none" w:sz="0" w:space="0" w:color="auto"/>
        <w:right w:val="none" w:sz="0" w:space="0" w:color="auto"/>
      </w:divBdr>
    </w:div>
    <w:div w:id="2000881614">
      <w:bodyDiv w:val="1"/>
      <w:marLeft w:val="0"/>
      <w:marRight w:val="0"/>
      <w:marTop w:val="0"/>
      <w:marBottom w:val="0"/>
      <w:divBdr>
        <w:top w:val="none" w:sz="0" w:space="0" w:color="auto"/>
        <w:left w:val="none" w:sz="0" w:space="0" w:color="auto"/>
        <w:bottom w:val="none" w:sz="0" w:space="0" w:color="auto"/>
        <w:right w:val="none" w:sz="0" w:space="0" w:color="auto"/>
      </w:divBdr>
    </w:div>
    <w:div w:id="2005014977">
      <w:bodyDiv w:val="1"/>
      <w:marLeft w:val="0"/>
      <w:marRight w:val="0"/>
      <w:marTop w:val="0"/>
      <w:marBottom w:val="0"/>
      <w:divBdr>
        <w:top w:val="none" w:sz="0" w:space="0" w:color="auto"/>
        <w:left w:val="none" w:sz="0" w:space="0" w:color="auto"/>
        <w:bottom w:val="none" w:sz="0" w:space="0" w:color="auto"/>
        <w:right w:val="none" w:sz="0" w:space="0" w:color="auto"/>
      </w:divBdr>
    </w:div>
    <w:div w:id="2007246195">
      <w:bodyDiv w:val="1"/>
      <w:marLeft w:val="0"/>
      <w:marRight w:val="0"/>
      <w:marTop w:val="0"/>
      <w:marBottom w:val="0"/>
      <w:divBdr>
        <w:top w:val="none" w:sz="0" w:space="0" w:color="auto"/>
        <w:left w:val="none" w:sz="0" w:space="0" w:color="auto"/>
        <w:bottom w:val="none" w:sz="0" w:space="0" w:color="auto"/>
        <w:right w:val="none" w:sz="0" w:space="0" w:color="auto"/>
      </w:divBdr>
      <w:divsChild>
        <w:div w:id="567425758">
          <w:marLeft w:val="274"/>
          <w:marRight w:val="0"/>
          <w:marTop w:val="120"/>
          <w:marBottom w:val="0"/>
          <w:divBdr>
            <w:top w:val="none" w:sz="0" w:space="0" w:color="auto"/>
            <w:left w:val="none" w:sz="0" w:space="0" w:color="auto"/>
            <w:bottom w:val="none" w:sz="0" w:space="0" w:color="auto"/>
            <w:right w:val="none" w:sz="0" w:space="0" w:color="auto"/>
          </w:divBdr>
        </w:div>
      </w:divsChild>
    </w:div>
    <w:div w:id="2012296040">
      <w:bodyDiv w:val="1"/>
      <w:marLeft w:val="0"/>
      <w:marRight w:val="0"/>
      <w:marTop w:val="0"/>
      <w:marBottom w:val="0"/>
      <w:divBdr>
        <w:top w:val="none" w:sz="0" w:space="0" w:color="auto"/>
        <w:left w:val="none" w:sz="0" w:space="0" w:color="auto"/>
        <w:bottom w:val="none" w:sz="0" w:space="0" w:color="auto"/>
        <w:right w:val="none" w:sz="0" w:space="0" w:color="auto"/>
      </w:divBdr>
    </w:div>
    <w:div w:id="2033414655">
      <w:bodyDiv w:val="1"/>
      <w:marLeft w:val="0"/>
      <w:marRight w:val="0"/>
      <w:marTop w:val="0"/>
      <w:marBottom w:val="0"/>
      <w:divBdr>
        <w:top w:val="none" w:sz="0" w:space="0" w:color="auto"/>
        <w:left w:val="none" w:sz="0" w:space="0" w:color="auto"/>
        <w:bottom w:val="none" w:sz="0" w:space="0" w:color="auto"/>
        <w:right w:val="none" w:sz="0" w:space="0" w:color="auto"/>
      </w:divBdr>
    </w:div>
    <w:div w:id="2038267584">
      <w:bodyDiv w:val="1"/>
      <w:marLeft w:val="0"/>
      <w:marRight w:val="0"/>
      <w:marTop w:val="0"/>
      <w:marBottom w:val="0"/>
      <w:divBdr>
        <w:top w:val="none" w:sz="0" w:space="0" w:color="auto"/>
        <w:left w:val="none" w:sz="0" w:space="0" w:color="auto"/>
        <w:bottom w:val="none" w:sz="0" w:space="0" w:color="auto"/>
        <w:right w:val="none" w:sz="0" w:space="0" w:color="auto"/>
      </w:divBdr>
    </w:div>
    <w:div w:id="2052729751">
      <w:bodyDiv w:val="1"/>
      <w:marLeft w:val="0"/>
      <w:marRight w:val="0"/>
      <w:marTop w:val="0"/>
      <w:marBottom w:val="0"/>
      <w:divBdr>
        <w:top w:val="none" w:sz="0" w:space="0" w:color="auto"/>
        <w:left w:val="none" w:sz="0" w:space="0" w:color="auto"/>
        <w:bottom w:val="none" w:sz="0" w:space="0" w:color="auto"/>
        <w:right w:val="none" w:sz="0" w:space="0" w:color="auto"/>
      </w:divBdr>
    </w:div>
    <w:div w:id="2058970981">
      <w:bodyDiv w:val="1"/>
      <w:marLeft w:val="0"/>
      <w:marRight w:val="0"/>
      <w:marTop w:val="0"/>
      <w:marBottom w:val="0"/>
      <w:divBdr>
        <w:top w:val="none" w:sz="0" w:space="0" w:color="auto"/>
        <w:left w:val="none" w:sz="0" w:space="0" w:color="auto"/>
        <w:bottom w:val="none" w:sz="0" w:space="0" w:color="auto"/>
        <w:right w:val="none" w:sz="0" w:space="0" w:color="auto"/>
      </w:divBdr>
    </w:div>
    <w:div w:id="2072657531">
      <w:bodyDiv w:val="1"/>
      <w:marLeft w:val="0"/>
      <w:marRight w:val="0"/>
      <w:marTop w:val="0"/>
      <w:marBottom w:val="0"/>
      <w:divBdr>
        <w:top w:val="none" w:sz="0" w:space="0" w:color="auto"/>
        <w:left w:val="none" w:sz="0" w:space="0" w:color="auto"/>
        <w:bottom w:val="none" w:sz="0" w:space="0" w:color="auto"/>
        <w:right w:val="none" w:sz="0" w:space="0" w:color="auto"/>
      </w:divBdr>
    </w:div>
    <w:div w:id="2101558518">
      <w:bodyDiv w:val="1"/>
      <w:marLeft w:val="0"/>
      <w:marRight w:val="0"/>
      <w:marTop w:val="0"/>
      <w:marBottom w:val="0"/>
      <w:divBdr>
        <w:top w:val="none" w:sz="0" w:space="0" w:color="auto"/>
        <w:left w:val="none" w:sz="0" w:space="0" w:color="auto"/>
        <w:bottom w:val="none" w:sz="0" w:space="0" w:color="auto"/>
        <w:right w:val="none" w:sz="0" w:space="0" w:color="auto"/>
      </w:divBdr>
    </w:div>
    <w:div w:id="2130662645">
      <w:bodyDiv w:val="1"/>
      <w:marLeft w:val="0"/>
      <w:marRight w:val="0"/>
      <w:marTop w:val="0"/>
      <w:marBottom w:val="0"/>
      <w:divBdr>
        <w:top w:val="none" w:sz="0" w:space="0" w:color="auto"/>
        <w:left w:val="none" w:sz="0" w:space="0" w:color="auto"/>
        <w:bottom w:val="none" w:sz="0" w:space="0" w:color="auto"/>
        <w:right w:val="none" w:sz="0" w:space="0" w:color="auto"/>
      </w:divBdr>
    </w:div>
    <w:div w:id="2139562937">
      <w:bodyDiv w:val="1"/>
      <w:marLeft w:val="0"/>
      <w:marRight w:val="0"/>
      <w:marTop w:val="0"/>
      <w:marBottom w:val="0"/>
      <w:divBdr>
        <w:top w:val="none" w:sz="0" w:space="0" w:color="auto"/>
        <w:left w:val="none" w:sz="0" w:space="0" w:color="auto"/>
        <w:bottom w:val="none" w:sz="0" w:space="0" w:color="auto"/>
        <w:right w:val="none" w:sz="0" w:space="0" w:color="auto"/>
      </w:divBdr>
    </w:div>
    <w:div w:id="214715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asmr.org.au/wp-content/uploads/library/workforce09.pdf" TargetMode="External"/><Relationship Id="rId13" Type="http://schemas.openxmlformats.org/officeDocument/2006/relationships/hyperlink" Target="https://www.nature.com/articles/s41599-024-03557-6" TargetMode="External"/><Relationship Id="rId18" Type="http://schemas.openxmlformats.org/officeDocument/2006/relationships/hyperlink" Target="https://www.wgea.gov.au/data-statistics/data-explorer" TargetMode="External"/><Relationship Id="rId26" Type="http://schemas.openxmlformats.org/officeDocument/2006/relationships/hyperlink" Target="https://www.abs.gov.au/statistics/classifications/australian-and-new-zealand-standard-research-classification-anzsrc/latest-release" TargetMode="External"/><Relationship Id="rId39" Type="http://schemas.openxmlformats.org/officeDocument/2006/relationships/hyperlink" Target="https://www.nature.com/articles/s41599-024-03557-6" TargetMode="External"/><Relationship Id="rId3" Type="http://schemas.openxmlformats.org/officeDocument/2006/relationships/hyperlink" Target="https://www.nhmrc.gov.au/about-us/publications/investigating-clinician-researcher-career-pathways" TargetMode="External"/><Relationship Id="rId21" Type="http://schemas.openxmlformats.org/officeDocument/2006/relationships/hyperlink" Target="https://www.science.org.au/files/userfiles/support/reports-and-plans/2019/gender-diversity-stem/women-in-STEM-decadal-plan-final.pdf" TargetMode="External"/><Relationship Id="rId34" Type="http://schemas.openxmlformats.org/officeDocument/2006/relationships/hyperlink" Target="https://asmr.org.au/wp-content/uploads/library/Workforce16.pdf" TargetMode="External"/><Relationship Id="rId7" Type="http://schemas.openxmlformats.org/officeDocument/2006/relationships/hyperlink" Target="https://aamri.org.au/wp-content/uploads/2018/10/Economic-Impact-of-Medical-Research-exec-summary.pdf" TargetMode="External"/><Relationship Id="rId12" Type="http://schemas.openxmlformats.org/officeDocument/2006/relationships/hyperlink" Target="https://link.springer.com/article/10.1007/s11142-024-09831-x" TargetMode="External"/><Relationship Id="rId17" Type="http://schemas.openxmlformats.org/officeDocument/2006/relationships/hyperlink" Target="https://www.abs.gov.au/statistics/people/population/regional-population/latest-release" TargetMode="External"/><Relationship Id="rId25" Type="http://schemas.openxmlformats.org/officeDocument/2006/relationships/hyperlink" Target="https://www.abs.gov.au/statistics/people/population/australias-population-country-birth/latest-release" TargetMode="External"/><Relationship Id="rId33" Type="http://schemas.openxmlformats.org/officeDocument/2006/relationships/hyperlink" Target="https://www.health.gov.au/resources/publications/medical-research-future-fund-mrff-grant-recipients?language=en" TargetMode="External"/><Relationship Id="rId38" Type="http://schemas.openxmlformats.org/officeDocument/2006/relationships/hyperlink" Target="https://link.springer.com/article/10.1007/s11142-024-09831-x" TargetMode="External"/><Relationship Id="rId2" Type="http://schemas.openxmlformats.org/officeDocument/2006/relationships/hyperlink" Target="https://aamri.org.au/wp-content/uploads/2023/01/AAMRI_Member_Report_Public_2022_FINAL.pdf" TargetMode="External"/><Relationship Id="rId16" Type="http://schemas.openxmlformats.org/officeDocument/2006/relationships/hyperlink" Target="https://www.nhmrc.gov.au/file/20104/download?token=Jvyl3SE8" TargetMode="External"/><Relationship Id="rId20" Type="http://schemas.openxmlformats.org/officeDocument/2006/relationships/hyperlink" Target="https://www.nhmrc.gov.au/about-us/news-centre/gender-disparities-nhmrcs-investigator-grant-scheme" TargetMode="External"/><Relationship Id="rId29" Type="http://schemas.openxmlformats.org/officeDocument/2006/relationships/hyperlink" Target="https://www.abs.gov.au/statistics/labour/jobs/job-mobility/latest-release" TargetMode="External"/><Relationship Id="rId41" Type="http://schemas.openxmlformats.org/officeDocument/2006/relationships/hyperlink" Target="https://files.eric.ed.gov/fulltext/ED501717.pdf" TargetMode="External"/><Relationship Id="rId1" Type="http://schemas.openxmlformats.org/officeDocument/2006/relationships/hyperlink" Target="https://aamri.org.au/wp-content/uploads/2021/11/Australias-Missing-Link-A-National-Health-and-Medical-Research-Strategy.pdf" TargetMode="External"/><Relationship Id="rId6" Type="http://schemas.openxmlformats.org/officeDocument/2006/relationships/hyperlink" Target="https://asmr.org.au/wp-content/uploads/library/DAEWorkforce%20report%20final%2019%20Oct2016.pdf" TargetMode="External"/><Relationship Id="rId11" Type="http://schemas.openxmlformats.org/officeDocument/2006/relationships/hyperlink" Target="https://www.nber.org/papers/w31898" TargetMode="External"/><Relationship Id="rId24" Type="http://schemas.openxmlformats.org/officeDocument/2006/relationships/hyperlink" Target="https://www.aihw.gov.au/reports/australias-health/profile-of-australias-population" TargetMode="External"/><Relationship Id="rId32" Type="http://schemas.openxmlformats.org/officeDocument/2006/relationships/hyperlink" Target="https://www.abs.gov.au/statistics/labour/earnings-and-working-conditions/working-arrangements/latest-release" TargetMode="External"/><Relationship Id="rId37" Type="http://schemas.openxmlformats.org/officeDocument/2006/relationships/hyperlink" Target="https://www.nber.org/papers/w31898" TargetMode="External"/><Relationship Id="rId40" Type="http://schemas.openxmlformats.org/officeDocument/2006/relationships/hyperlink" Target="https://www.tandfonline.com/doi/full/10.1080/07377363.2023.2279808" TargetMode="External"/><Relationship Id="rId5" Type="http://schemas.openxmlformats.org/officeDocument/2006/relationships/hyperlink" Target="https://dataportal.arc.gov.au/ERA/NationalReport/2018/" TargetMode="External"/><Relationship Id="rId15" Type="http://schemas.openxmlformats.org/officeDocument/2006/relationships/hyperlink" Target="https://www.abs.gov.au/statistics/people/population/regional-population/latest-release" TargetMode="External"/><Relationship Id="rId23" Type="http://schemas.openxmlformats.org/officeDocument/2006/relationships/hyperlink" Target="https://www.abs.gov.au/statistics/people/population/australias-population-country-birth/latest-release" TargetMode="External"/><Relationship Id="rId28" Type="http://schemas.openxmlformats.org/officeDocument/2006/relationships/hyperlink" Target="https://treasury.gov.au/sites/default/files/2019-11/p2019-37418-productivity_0.pdf" TargetMode="External"/><Relationship Id="rId36" Type="http://schemas.openxmlformats.org/officeDocument/2006/relationships/hyperlink" Target="https://onlinelibrary.wiley.com/doi/full/10.5694/j.1326-5377.2008.tb01766.x" TargetMode="External"/><Relationship Id="rId10" Type="http://schemas.openxmlformats.org/officeDocument/2006/relationships/hyperlink" Target="https://www.arc.gov.au/evaluating-research/excellence-research-australia" TargetMode="External"/><Relationship Id="rId19" Type="http://schemas.openxmlformats.org/officeDocument/2006/relationships/hyperlink" Target="https://staging.aamri.org.au/wp-content/uploads/2021/11/Australias-Missing-Link-A-National-Health-and-Medical-Research-Strategy.pdf" TargetMode="External"/><Relationship Id="rId31" Type="http://schemas.openxmlformats.org/officeDocument/2006/relationships/hyperlink" Target="https://researchaustralia.org/covid-19/" TargetMode="External"/><Relationship Id="rId4" Type="http://schemas.openxmlformats.org/officeDocument/2006/relationships/hyperlink" Target="https://www.mtpconnect.org.au/images/MTPC_Workplace_Skills_Report.pdf" TargetMode="External"/><Relationship Id="rId9" Type="http://schemas.openxmlformats.org/officeDocument/2006/relationships/hyperlink" Target="https://dataportal.arc.gov.au/ERA/NationalReport/2018/" TargetMode="External"/><Relationship Id="rId14" Type="http://schemas.openxmlformats.org/officeDocument/2006/relationships/hyperlink" Target="https://www.tandfonline.com/doi/full/10.1080/07377363.2023.2279808" TargetMode="External"/><Relationship Id="rId22" Type="http://schemas.openxmlformats.org/officeDocument/2006/relationships/hyperlink" Target="https://www.wgea.gov.au/sites/default/files/documents/2022-23%20WGEA%20Gender%20Equality%20Scorecard.pdf" TargetMode="External"/><Relationship Id="rId27" Type="http://schemas.openxmlformats.org/officeDocument/2006/relationships/hyperlink" Target="https://www.mtpconnect.org.au/images/MTPC_Workplace_Skills_Report.pdf" TargetMode="External"/><Relationship Id="rId30" Type="http://schemas.openxmlformats.org/officeDocument/2006/relationships/hyperlink" Target="https://www.abs.gov.au/statistics/labour/jobs/job-mobility/latest-release" TargetMode="External"/><Relationship Id="rId35" Type="http://schemas.openxmlformats.org/officeDocument/2006/relationships/hyperlink" Target="https://onlinelibrary.wiley.com/doi/full/10.5694/j.1326-5377.2008.tb01766.x" TargetMode="External"/></Relationships>
</file>

<file path=word/theme/theme1.xml><?xml version="1.0" encoding="utf-8"?>
<a:theme xmlns:a="http://schemas.openxmlformats.org/drawingml/2006/main" name="Office Theme">
  <a:themeElements>
    <a:clrScheme name="Custom 3">
      <a:dk1>
        <a:srgbClr val="181818"/>
      </a:dk1>
      <a:lt1>
        <a:srgbClr val="FCFCFC"/>
      </a:lt1>
      <a:dk2>
        <a:srgbClr val="001C55"/>
      </a:dk2>
      <a:lt2>
        <a:srgbClr val="D6D7D9"/>
      </a:lt2>
      <a:accent1>
        <a:srgbClr val="0A2471"/>
      </a:accent1>
      <a:accent2>
        <a:srgbClr val="C29145"/>
      </a:accent2>
      <a:accent3>
        <a:srgbClr val="90A6BD"/>
      </a:accent3>
      <a:accent4>
        <a:srgbClr val="C2E3FA"/>
      </a:accent4>
      <a:accent5>
        <a:srgbClr val="8AD5BC"/>
      </a:accent5>
      <a:accent6>
        <a:srgbClr val="1F5264"/>
      </a:accent6>
      <a:hlink>
        <a:srgbClr val="0A2472"/>
      </a:hlink>
      <a:folHlink>
        <a:srgbClr val="0A247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349C470D6E50409DEC629713DD1066" ma:contentTypeVersion="6" ma:contentTypeDescription="Create a new document." ma:contentTypeScope="" ma:versionID="56be761c2f72e43d86dc8adafbb879a3">
  <xsd:schema xmlns:xsd="http://www.w3.org/2001/XMLSchema" xmlns:xs="http://www.w3.org/2001/XMLSchema" xmlns:p="http://schemas.microsoft.com/office/2006/metadata/properties" xmlns:ns2="6bb54ce1-d2ee-4ad9-ab06-10458c3c3398" xmlns:ns3="3df3ac4f-e292-43a9-b999-12891be38ea4" targetNamespace="http://schemas.microsoft.com/office/2006/metadata/properties" ma:root="true" ma:fieldsID="9f3ac06e9ed94efc770246f465ab03fe" ns2:_="" ns3:_="">
    <xsd:import namespace="6bb54ce1-d2ee-4ad9-ab06-10458c3c3398"/>
    <xsd:import namespace="3df3ac4f-e292-43a9-b999-12891be38e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54ce1-d2ee-4ad9-ab06-10458c3c3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3ac4f-e292-43a9-b999-12891be38e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DD3768-4B3C-4AC7-A9BA-960EA9213EB7}">
  <ds:schemaRefs>
    <ds:schemaRef ds:uri="http://schemas.microsoft.com/sharepoint/v3/contenttype/forms"/>
  </ds:schemaRefs>
</ds:datastoreItem>
</file>

<file path=customXml/itemProps2.xml><?xml version="1.0" encoding="utf-8"?>
<ds:datastoreItem xmlns:ds="http://schemas.openxmlformats.org/officeDocument/2006/customXml" ds:itemID="{C531A719-5695-4DEA-A8E3-FF7C618E3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54ce1-d2ee-4ad9-ab06-10458c3c3398"/>
    <ds:schemaRef ds:uri="3df3ac4f-e292-43a9-b999-12891be38e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63F23-33EE-6A4A-B87D-5B15C8D1C528}">
  <ds:schemaRefs>
    <ds:schemaRef ds:uri="http://schemas.openxmlformats.org/officeDocument/2006/bibliography"/>
  </ds:schemaRefs>
</ds:datastoreItem>
</file>

<file path=customXml/itemProps4.xml><?xml version="1.0" encoding="utf-8"?>
<ds:datastoreItem xmlns:ds="http://schemas.openxmlformats.org/officeDocument/2006/customXml" ds:itemID="{4599D7D3-452E-4EDD-BCFD-88596BFE71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16156</Words>
  <Characters>92093</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The Australian Health and Medical Research Workforce Audit - October 2024</vt:lpstr>
    </vt:vector>
  </TitlesOfParts>
  <Manager/>
  <Company/>
  <LinksUpToDate>false</LinksUpToDate>
  <CharactersWithSpaces>108033</CharactersWithSpaces>
  <SharedDoc>false</SharedDoc>
  <HyperlinkBase/>
  <HLinks>
    <vt:vector size="516" baseType="variant">
      <vt:variant>
        <vt:i4>1638456</vt:i4>
      </vt:variant>
      <vt:variant>
        <vt:i4>266</vt:i4>
      </vt:variant>
      <vt:variant>
        <vt:i4>0</vt:i4>
      </vt:variant>
      <vt:variant>
        <vt:i4>5</vt:i4>
      </vt:variant>
      <vt:variant>
        <vt:lpwstr/>
      </vt:variant>
      <vt:variant>
        <vt:lpwstr>_Toc178009102</vt:lpwstr>
      </vt:variant>
      <vt:variant>
        <vt:i4>1638456</vt:i4>
      </vt:variant>
      <vt:variant>
        <vt:i4>260</vt:i4>
      </vt:variant>
      <vt:variant>
        <vt:i4>0</vt:i4>
      </vt:variant>
      <vt:variant>
        <vt:i4>5</vt:i4>
      </vt:variant>
      <vt:variant>
        <vt:lpwstr/>
      </vt:variant>
      <vt:variant>
        <vt:lpwstr>_Toc178009101</vt:lpwstr>
      </vt:variant>
      <vt:variant>
        <vt:i4>1638456</vt:i4>
      </vt:variant>
      <vt:variant>
        <vt:i4>254</vt:i4>
      </vt:variant>
      <vt:variant>
        <vt:i4>0</vt:i4>
      </vt:variant>
      <vt:variant>
        <vt:i4>5</vt:i4>
      </vt:variant>
      <vt:variant>
        <vt:lpwstr/>
      </vt:variant>
      <vt:variant>
        <vt:lpwstr>_Toc178009100</vt:lpwstr>
      </vt:variant>
      <vt:variant>
        <vt:i4>1048633</vt:i4>
      </vt:variant>
      <vt:variant>
        <vt:i4>248</vt:i4>
      </vt:variant>
      <vt:variant>
        <vt:i4>0</vt:i4>
      </vt:variant>
      <vt:variant>
        <vt:i4>5</vt:i4>
      </vt:variant>
      <vt:variant>
        <vt:lpwstr/>
      </vt:variant>
      <vt:variant>
        <vt:lpwstr>_Toc178009099</vt:lpwstr>
      </vt:variant>
      <vt:variant>
        <vt:i4>1048633</vt:i4>
      </vt:variant>
      <vt:variant>
        <vt:i4>242</vt:i4>
      </vt:variant>
      <vt:variant>
        <vt:i4>0</vt:i4>
      </vt:variant>
      <vt:variant>
        <vt:i4>5</vt:i4>
      </vt:variant>
      <vt:variant>
        <vt:lpwstr/>
      </vt:variant>
      <vt:variant>
        <vt:lpwstr>_Toc178009098</vt:lpwstr>
      </vt:variant>
      <vt:variant>
        <vt:i4>1048633</vt:i4>
      </vt:variant>
      <vt:variant>
        <vt:i4>236</vt:i4>
      </vt:variant>
      <vt:variant>
        <vt:i4>0</vt:i4>
      </vt:variant>
      <vt:variant>
        <vt:i4>5</vt:i4>
      </vt:variant>
      <vt:variant>
        <vt:lpwstr/>
      </vt:variant>
      <vt:variant>
        <vt:lpwstr>_Toc178009097</vt:lpwstr>
      </vt:variant>
      <vt:variant>
        <vt:i4>1048633</vt:i4>
      </vt:variant>
      <vt:variant>
        <vt:i4>230</vt:i4>
      </vt:variant>
      <vt:variant>
        <vt:i4>0</vt:i4>
      </vt:variant>
      <vt:variant>
        <vt:i4>5</vt:i4>
      </vt:variant>
      <vt:variant>
        <vt:lpwstr/>
      </vt:variant>
      <vt:variant>
        <vt:lpwstr>_Toc178009096</vt:lpwstr>
      </vt:variant>
      <vt:variant>
        <vt:i4>1048633</vt:i4>
      </vt:variant>
      <vt:variant>
        <vt:i4>224</vt:i4>
      </vt:variant>
      <vt:variant>
        <vt:i4>0</vt:i4>
      </vt:variant>
      <vt:variant>
        <vt:i4>5</vt:i4>
      </vt:variant>
      <vt:variant>
        <vt:lpwstr/>
      </vt:variant>
      <vt:variant>
        <vt:lpwstr>_Toc178009095</vt:lpwstr>
      </vt:variant>
      <vt:variant>
        <vt:i4>1048633</vt:i4>
      </vt:variant>
      <vt:variant>
        <vt:i4>218</vt:i4>
      </vt:variant>
      <vt:variant>
        <vt:i4>0</vt:i4>
      </vt:variant>
      <vt:variant>
        <vt:i4>5</vt:i4>
      </vt:variant>
      <vt:variant>
        <vt:lpwstr/>
      </vt:variant>
      <vt:variant>
        <vt:lpwstr>_Toc178009094</vt:lpwstr>
      </vt:variant>
      <vt:variant>
        <vt:i4>1048633</vt:i4>
      </vt:variant>
      <vt:variant>
        <vt:i4>212</vt:i4>
      </vt:variant>
      <vt:variant>
        <vt:i4>0</vt:i4>
      </vt:variant>
      <vt:variant>
        <vt:i4>5</vt:i4>
      </vt:variant>
      <vt:variant>
        <vt:lpwstr/>
      </vt:variant>
      <vt:variant>
        <vt:lpwstr>_Toc178009093</vt:lpwstr>
      </vt:variant>
      <vt:variant>
        <vt:i4>1048633</vt:i4>
      </vt:variant>
      <vt:variant>
        <vt:i4>206</vt:i4>
      </vt:variant>
      <vt:variant>
        <vt:i4>0</vt:i4>
      </vt:variant>
      <vt:variant>
        <vt:i4>5</vt:i4>
      </vt:variant>
      <vt:variant>
        <vt:lpwstr/>
      </vt:variant>
      <vt:variant>
        <vt:lpwstr>_Toc178009092</vt:lpwstr>
      </vt:variant>
      <vt:variant>
        <vt:i4>1048633</vt:i4>
      </vt:variant>
      <vt:variant>
        <vt:i4>200</vt:i4>
      </vt:variant>
      <vt:variant>
        <vt:i4>0</vt:i4>
      </vt:variant>
      <vt:variant>
        <vt:i4>5</vt:i4>
      </vt:variant>
      <vt:variant>
        <vt:lpwstr/>
      </vt:variant>
      <vt:variant>
        <vt:lpwstr>_Toc178009091</vt:lpwstr>
      </vt:variant>
      <vt:variant>
        <vt:i4>1048633</vt:i4>
      </vt:variant>
      <vt:variant>
        <vt:i4>194</vt:i4>
      </vt:variant>
      <vt:variant>
        <vt:i4>0</vt:i4>
      </vt:variant>
      <vt:variant>
        <vt:i4>5</vt:i4>
      </vt:variant>
      <vt:variant>
        <vt:lpwstr/>
      </vt:variant>
      <vt:variant>
        <vt:lpwstr>_Toc178009090</vt:lpwstr>
      </vt:variant>
      <vt:variant>
        <vt:i4>1114169</vt:i4>
      </vt:variant>
      <vt:variant>
        <vt:i4>188</vt:i4>
      </vt:variant>
      <vt:variant>
        <vt:i4>0</vt:i4>
      </vt:variant>
      <vt:variant>
        <vt:i4>5</vt:i4>
      </vt:variant>
      <vt:variant>
        <vt:lpwstr/>
      </vt:variant>
      <vt:variant>
        <vt:lpwstr>_Toc178009089</vt:lpwstr>
      </vt:variant>
      <vt:variant>
        <vt:i4>1114169</vt:i4>
      </vt:variant>
      <vt:variant>
        <vt:i4>182</vt:i4>
      </vt:variant>
      <vt:variant>
        <vt:i4>0</vt:i4>
      </vt:variant>
      <vt:variant>
        <vt:i4>5</vt:i4>
      </vt:variant>
      <vt:variant>
        <vt:lpwstr/>
      </vt:variant>
      <vt:variant>
        <vt:lpwstr>_Toc178009088</vt:lpwstr>
      </vt:variant>
      <vt:variant>
        <vt:i4>1114169</vt:i4>
      </vt:variant>
      <vt:variant>
        <vt:i4>176</vt:i4>
      </vt:variant>
      <vt:variant>
        <vt:i4>0</vt:i4>
      </vt:variant>
      <vt:variant>
        <vt:i4>5</vt:i4>
      </vt:variant>
      <vt:variant>
        <vt:lpwstr/>
      </vt:variant>
      <vt:variant>
        <vt:lpwstr>_Toc178009087</vt:lpwstr>
      </vt:variant>
      <vt:variant>
        <vt:i4>1114169</vt:i4>
      </vt:variant>
      <vt:variant>
        <vt:i4>170</vt:i4>
      </vt:variant>
      <vt:variant>
        <vt:i4>0</vt:i4>
      </vt:variant>
      <vt:variant>
        <vt:i4>5</vt:i4>
      </vt:variant>
      <vt:variant>
        <vt:lpwstr/>
      </vt:variant>
      <vt:variant>
        <vt:lpwstr>_Toc178009086</vt:lpwstr>
      </vt:variant>
      <vt:variant>
        <vt:i4>1114169</vt:i4>
      </vt:variant>
      <vt:variant>
        <vt:i4>164</vt:i4>
      </vt:variant>
      <vt:variant>
        <vt:i4>0</vt:i4>
      </vt:variant>
      <vt:variant>
        <vt:i4>5</vt:i4>
      </vt:variant>
      <vt:variant>
        <vt:lpwstr/>
      </vt:variant>
      <vt:variant>
        <vt:lpwstr>_Toc178009085</vt:lpwstr>
      </vt:variant>
      <vt:variant>
        <vt:i4>1114169</vt:i4>
      </vt:variant>
      <vt:variant>
        <vt:i4>158</vt:i4>
      </vt:variant>
      <vt:variant>
        <vt:i4>0</vt:i4>
      </vt:variant>
      <vt:variant>
        <vt:i4>5</vt:i4>
      </vt:variant>
      <vt:variant>
        <vt:lpwstr/>
      </vt:variant>
      <vt:variant>
        <vt:lpwstr>_Toc178009084</vt:lpwstr>
      </vt:variant>
      <vt:variant>
        <vt:i4>1114169</vt:i4>
      </vt:variant>
      <vt:variant>
        <vt:i4>152</vt:i4>
      </vt:variant>
      <vt:variant>
        <vt:i4>0</vt:i4>
      </vt:variant>
      <vt:variant>
        <vt:i4>5</vt:i4>
      </vt:variant>
      <vt:variant>
        <vt:lpwstr/>
      </vt:variant>
      <vt:variant>
        <vt:lpwstr>_Toc178009083</vt:lpwstr>
      </vt:variant>
      <vt:variant>
        <vt:i4>1114169</vt:i4>
      </vt:variant>
      <vt:variant>
        <vt:i4>146</vt:i4>
      </vt:variant>
      <vt:variant>
        <vt:i4>0</vt:i4>
      </vt:variant>
      <vt:variant>
        <vt:i4>5</vt:i4>
      </vt:variant>
      <vt:variant>
        <vt:lpwstr/>
      </vt:variant>
      <vt:variant>
        <vt:lpwstr>_Toc178009082</vt:lpwstr>
      </vt:variant>
      <vt:variant>
        <vt:i4>1114169</vt:i4>
      </vt:variant>
      <vt:variant>
        <vt:i4>140</vt:i4>
      </vt:variant>
      <vt:variant>
        <vt:i4>0</vt:i4>
      </vt:variant>
      <vt:variant>
        <vt:i4>5</vt:i4>
      </vt:variant>
      <vt:variant>
        <vt:lpwstr/>
      </vt:variant>
      <vt:variant>
        <vt:lpwstr>_Toc178009081</vt:lpwstr>
      </vt:variant>
      <vt:variant>
        <vt:i4>1114169</vt:i4>
      </vt:variant>
      <vt:variant>
        <vt:i4>134</vt:i4>
      </vt:variant>
      <vt:variant>
        <vt:i4>0</vt:i4>
      </vt:variant>
      <vt:variant>
        <vt:i4>5</vt:i4>
      </vt:variant>
      <vt:variant>
        <vt:lpwstr/>
      </vt:variant>
      <vt:variant>
        <vt:lpwstr>_Toc178009080</vt:lpwstr>
      </vt:variant>
      <vt:variant>
        <vt:i4>1966137</vt:i4>
      </vt:variant>
      <vt:variant>
        <vt:i4>128</vt:i4>
      </vt:variant>
      <vt:variant>
        <vt:i4>0</vt:i4>
      </vt:variant>
      <vt:variant>
        <vt:i4>5</vt:i4>
      </vt:variant>
      <vt:variant>
        <vt:lpwstr/>
      </vt:variant>
      <vt:variant>
        <vt:lpwstr>_Toc178009079</vt:lpwstr>
      </vt:variant>
      <vt:variant>
        <vt:i4>1966137</vt:i4>
      </vt:variant>
      <vt:variant>
        <vt:i4>122</vt:i4>
      </vt:variant>
      <vt:variant>
        <vt:i4>0</vt:i4>
      </vt:variant>
      <vt:variant>
        <vt:i4>5</vt:i4>
      </vt:variant>
      <vt:variant>
        <vt:lpwstr/>
      </vt:variant>
      <vt:variant>
        <vt:lpwstr>_Toc178009078</vt:lpwstr>
      </vt:variant>
      <vt:variant>
        <vt:i4>1966137</vt:i4>
      </vt:variant>
      <vt:variant>
        <vt:i4>116</vt:i4>
      </vt:variant>
      <vt:variant>
        <vt:i4>0</vt:i4>
      </vt:variant>
      <vt:variant>
        <vt:i4>5</vt:i4>
      </vt:variant>
      <vt:variant>
        <vt:lpwstr/>
      </vt:variant>
      <vt:variant>
        <vt:lpwstr>_Toc178009077</vt:lpwstr>
      </vt:variant>
      <vt:variant>
        <vt:i4>1966137</vt:i4>
      </vt:variant>
      <vt:variant>
        <vt:i4>110</vt:i4>
      </vt:variant>
      <vt:variant>
        <vt:i4>0</vt:i4>
      </vt:variant>
      <vt:variant>
        <vt:i4>5</vt:i4>
      </vt:variant>
      <vt:variant>
        <vt:lpwstr/>
      </vt:variant>
      <vt:variant>
        <vt:lpwstr>_Toc178009076</vt:lpwstr>
      </vt:variant>
      <vt:variant>
        <vt:i4>1966137</vt:i4>
      </vt:variant>
      <vt:variant>
        <vt:i4>104</vt:i4>
      </vt:variant>
      <vt:variant>
        <vt:i4>0</vt:i4>
      </vt:variant>
      <vt:variant>
        <vt:i4>5</vt:i4>
      </vt:variant>
      <vt:variant>
        <vt:lpwstr/>
      </vt:variant>
      <vt:variant>
        <vt:lpwstr>_Toc178009075</vt:lpwstr>
      </vt:variant>
      <vt:variant>
        <vt:i4>1966137</vt:i4>
      </vt:variant>
      <vt:variant>
        <vt:i4>98</vt:i4>
      </vt:variant>
      <vt:variant>
        <vt:i4>0</vt:i4>
      </vt:variant>
      <vt:variant>
        <vt:i4>5</vt:i4>
      </vt:variant>
      <vt:variant>
        <vt:lpwstr/>
      </vt:variant>
      <vt:variant>
        <vt:lpwstr>_Toc178009074</vt:lpwstr>
      </vt:variant>
      <vt:variant>
        <vt:i4>1966137</vt:i4>
      </vt:variant>
      <vt:variant>
        <vt:i4>92</vt:i4>
      </vt:variant>
      <vt:variant>
        <vt:i4>0</vt:i4>
      </vt:variant>
      <vt:variant>
        <vt:i4>5</vt:i4>
      </vt:variant>
      <vt:variant>
        <vt:lpwstr/>
      </vt:variant>
      <vt:variant>
        <vt:lpwstr>_Toc178009073</vt:lpwstr>
      </vt:variant>
      <vt:variant>
        <vt:i4>1966137</vt:i4>
      </vt:variant>
      <vt:variant>
        <vt:i4>86</vt:i4>
      </vt:variant>
      <vt:variant>
        <vt:i4>0</vt:i4>
      </vt:variant>
      <vt:variant>
        <vt:i4>5</vt:i4>
      </vt:variant>
      <vt:variant>
        <vt:lpwstr/>
      </vt:variant>
      <vt:variant>
        <vt:lpwstr>_Toc178009072</vt:lpwstr>
      </vt:variant>
      <vt:variant>
        <vt:i4>1966137</vt:i4>
      </vt:variant>
      <vt:variant>
        <vt:i4>80</vt:i4>
      </vt:variant>
      <vt:variant>
        <vt:i4>0</vt:i4>
      </vt:variant>
      <vt:variant>
        <vt:i4>5</vt:i4>
      </vt:variant>
      <vt:variant>
        <vt:lpwstr/>
      </vt:variant>
      <vt:variant>
        <vt:lpwstr>_Toc178009071</vt:lpwstr>
      </vt:variant>
      <vt:variant>
        <vt:i4>1966137</vt:i4>
      </vt:variant>
      <vt:variant>
        <vt:i4>74</vt:i4>
      </vt:variant>
      <vt:variant>
        <vt:i4>0</vt:i4>
      </vt:variant>
      <vt:variant>
        <vt:i4>5</vt:i4>
      </vt:variant>
      <vt:variant>
        <vt:lpwstr/>
      </vt:variant>
      <vt:variant>
        <vt:lpwstr>_Toc178009070</vt:lpwstr>
      </vt:variant>
      <vt:variant>
        <vt:i4>2031673</vt:i4>
      </vt:variant>
      <vt:variant>
        <vt:i4>68</vt:i4>
      </vt:variant>
      <vt:variant>
        <vt:i4>0</vt:i4>
      </vt:variant>
      <vt:variant>
        <vt:i4>5</vt:i4>
      </vt:variant>
      <vt:variant>
        <vt:lpwstr/>
      </vt:variant>
      <vt:variant>
        <vt:lpwstr>_Toc178009069</vt:lpwstr>
      </vt:variant>
      <vt:variant>
        <vt:i4>2031673</vt:i4>
      </vt:variant>
      <vt:variant>
        <vt:i4>62</vt:i4>
      </vt:variant>
      <vt:variant>
        <vt:i4>0</vt:i4>
      </vt:variant>
      <vt:variant>
        <vt:i4>5</vt:i4>
      </vt:variant>
      <vt:variant>
        <vt:lpwstr/>
      </vt:variant>
      <vt:variant>
        <vt:lpwstr>_Toc178009068</vt:lpwstr>
      </vt:variant>
      <vt:variant>
        <vt:i4>2031673</vt:i4>
      </vt:variant>
      <vt:variant>
        <vt:i4>56</vt:i4>
      </vt:variant>
      <vt:variant>
        <vt:i4>0</vt:i4>
      </vt:variant>
      <vt:variant>
        <vt:i4>5</vt:i4>
      </vt:variant>
      <vt:variant>
        <vt:lpwstr/>
      </vt:variant>
      <vt:variant>
        <vt:lpwstr>_Toc178009067</vt:lpwstr>
      </vt:variant>
      <vt:variant>
        <vt:i4>2031673</vt:i4>
      </vt:variant>
      <vt:variant>
        <vt:i4>50</vt:i4>
      </vt:variant>
      <vt:variant>
        <vt:i4>0</vt:i4>
      </vt:variant>
      <vt:variant>
        <vt:i4>5</vt:i4>
      </vt:variant>
      <vt:variant>
        <vt:lpwstr/>
      </vt:variant>
      <vt:variant>
        <vt:lpwstr>_Toc178009066</vt:lpwstr>
      </vt:variant>
      <vt:variant>
        <vt:i4>2031673</vt:i4>
      </vt:variant>
      <vt:variant>
        <vt:i4>44</vt:i4>
      </vt:variant>
      <vt:variant>
        <vt:i4>0</vt:i4>
      </vt:variant>
      <vt:variant>
        <vt:i4>5</vt:i4>
      </vt:variant>
      <vt:variant>
        <vt:lpwstr/>
      </vt:variant>
      <vt:variant>
        <vt:lpwstr>_Toc178009065</vt:lpwstr>
      </vt:variant>
      <vt:variant>
        <vt:i4>2031673</vt:i4>
      </vt:variant>
      <vt:variant>
        <vt:i4>38</vt:i4>
      </vt:variant>
      <vt:variant>
        <vt:i4>0</vt:i4>
      </vt:variant>
      <vt:variant>
        <vt:i4>5</vt:i4>
      </vt:variant>
      <vt:variant>
        <vt:lpwstr/>
      </vt:variant>
      <vt:variant>
        <vt:lpwstr>_Toc178009064</vt:lpwstr>
      </vt:variant>
      <vt:variant>
        <vt:i4>2031673</vt:i4>
      </vt:variant>
      <vt:variant>
        <vt:i4>32</vt:i4>
      </vt:variant>
      <vt:variant>
        <vt:i4>0</vt:i4>
      </vt:variant>
      <vt:variant>
        <vt:i4>5</vt:i4>
      </vt:variant>
      <vt:variant>
        <vt:lpwstr/>
      </vt:variant>
      <vt:variant>
        <vt:lpwstr>_Toc178009063</vt:lpwstr>
      </vt:variant>
      <vt:variant>
        <vt:i4>2031673</vt:i4>
      </vt:variant>
      <vt:variant>
        <vt:i4>26</vt:i4>
      </vt:variant>
      <vt:variant>
        <vt:i4>0</vt:i4>
      </vt:variant>
      <vt:variant>
        <vt:i4>5</vt:i4>
      </vt:variant>
      <vt:variant>
        <vt:lpwstr/>
      </vt:variant>
      <vt:variant>
        <vt:lpwstr>_Toc178009062</vt:lpwstr>
      </vt:variant>
      <vt:variant>
        <vt:i4>2031673</vt:i4>
      </vt:variant>
      <vt:variant>
        <vt:i4>20</vt:i4>
      </vt:variant>
      <vt:variant>
        <vt:i4>0</vt:i4>
      </vt:variant>
      <vt:variant>
        <vt:i4>5</vt:i4>
      </vt:variant>
      <vt:variant>
        <vt:lpwstr/>
      </vt:variant>
      <vt:variant>
        <vt:lpwstr>_Toc178009061</vt:lpwstr>
      </vt:variant>
      <vt:variant>
        <vt:i4>2031673</vt:i4>
      </vt:variant>
      <vt:variant>
        <vt:i4>14</vt:i4>
      </vt:variant>
      <vt:variant>
        <vt:i4>0</vt:i4>
      </vt:variant>
      <vt:variant>
        <vt:i4>5</vt:i4>
      </vt:variant>
      <vt:variant>
        <vt:lpwstr/>
      </vt:variant>
      <vt:variant>
        <vt:lpwstr>_Toc178009060</vt:lpwstr>
      </vt:variant>
      <vt:variant>
        <vt:i4>1835065</vt:i4>
      </vt:variant>
      <vt:variant>
        <vt:i4>8</vt:i4>
      </vt:variant>
      <vt:variant>
        <vt:i4>0</vt:i4>
      </vt:variant>
      <vt:variant>
        <vt:i4>5</vt:i4>
      </vt:variant>
      <vt:variant>
        <vt:lpwstr/>
      </vt:variant>
      <vt:variant>
        <vt:lpwstr>_Toc178009059</vt:lpwstr>
      </vt:variant>
      <vt:variant>
        <vt:i4>1835065</vt:i4>
      </vt:variant>
      <vt:variant>
        <vt:i4>2</vt:i4>
      </vt:variant>
      <vt:variant>
        <vt:i4>0</vt:i4>
      </vt:variant>
      <vt:variant>
        <vt:i4>5</vt:i4>
      </vt:variant>
      <vt:variant>
        <vt:lpwstr/>
      </vt:variant>
      <vt:variant>
        <vt:lpwstr>_Toc178009058</vt:lpwstr>
      </vt:variant>
      <vt:variant>
        <vt:i4>3866723</vt:i4>
      </vt:variant>
      <vt:variant>
        <vt:i4>120</vt:i4>
      </vt:variant>
      <vt:variant>
        <vt:i4>0</vt:i4>
      </vt:variant>
      <vt:variant>
        <vt:i4>5</vt:i4>
      </vt:variant>
      <vt:variant>
        <vt:lpwstr>https://files.eric.ed.gov/fulltext/ED501717.pdf</vt:lpwstr>
      </vt:variant>
      <vt:variant>
        <vt:lpwstr/>
      </vt:variant>
      <vt:variant>
        <vt:i4>2228347</vt:i4>
      </vt:variant>
      <vt:variant>
        <vt:i4>117</vt:i4>
      </vt:variant>
      <vt:variant>
        <vt:i4>0</vt:i4>
      </vt:variant>
      <vt:variant>
        <vt:i4>5</vt:i4>
      </vt:variant>
      <vt:variant>
        <vt:lpwstr>https://www.tandfonline.com/doi/full/10.1080/07377363.2023.2279808</vt:lpwstr>
      </vt:variant>
      <vt:variant>
        <vt:lpwstr/>
      </vt:variant>
      <vt:variant>
        <vt:i4>3342368</vt:i4>
      </vt:variant>
      <vt:variant>
        <vt:i4>114</vt:i4>
      </vt:variant>
      <vt:variant>
        <vt:i4>0</vt:i4>
      </vt:variant>
      <vt:variant>
        <vt:i4>5</vt:i4>
      </vt:variant>
      <vt:variant>
        <vt:lpwstr>https://www.nature.com/articles/s41599-024-03557-6</vt:lpwstr>
      </vt:variant>
      <vt:variant>
        <vt:lpwstr/>
      </vt:variant>
      <vt:variant>
        <vt:i4>4587526</vt:i4>
      </vt:variant>
      <vt:variant>
        <vt:i4>111</vt:i4>
      </vt:variant>
      <vt:variant>
        <vt:i4>0</vt:i4>
      </vt:variant>
      <vt:variant>
        <vt:i4>5</vt:i4>
      </vt:variant>
      <vt:variant>
        <vt:lpwstr>https://link.springer.com/article/10.1007/s11142-024-09831-x</vt:lpwstr>
      </vt:variant>
      <vt:variant>
        <vt:lpwstr/>
      </vt:variant>
      <vt:variant>
        <vt:i4>4063280</vt:i4>
      </vt:variant>
      <vt:variant>
        <vt:i4>108</vt:i4>
      </vt:variant>
      <vt:variant>
        <vt:i4>0</vt:i4>
      </vt:variant>
      <vt:variant>
        <vt:i4>5</vt:i4>
      </vt:variant>
      <vt:variant>
        <vt:lpwstr>https://www.nber.org/papers/w31898</vt:lpwstr>
      </vt:variant>
      <vt:variant>
        <vt:lpwstr/>
      </vt:variant>
      <vt:variant>
        <vt:i4>3473446</vt:i4>
      </vt:variant>
      <vt:variant>
        <vt:i4>105</vt:i4>
      </vt:variant>
      <vt:variant>
        <vt:i4>0</vt:i4>
      </vt:variant>
      <vt:variant>
        <vt:i4>5</vt:i4>
      </vt:variant>
      <vt:variant>
        <vt:lpwstr>https://onlinelibrary.wiley.com/doi/full/10.5694/j.1326-5377.2008.tb01766.x</vt:lpwstr>
      </vt:variant>
      <vt:variant>
        <vt:lpwstr/>
      </vt:variant>
      <vt:variant>
        <vt:i4>3473446</vt:i4>
      </vt:variant>
      <vt:variant>
        <vt:i4>102</vt:i4>
      </vt:variant>
      <vt:variant>
        <vt:i4>0</vt:i4>
      </vt:variant>
      <vt:variant>
        <vt:i4>5</vt:i4>
      </vt:variant>
      <vt:variant>
        <vt:lpwstr>https://onlinelibrary.wiley.com/doi/full/10.5694/j.1326-5377.2008.tb01766.x</vt:lpwstr>
      </vt:variant>
      <vt:variant>
        <vt:lpwstr/>
      </vt:variant>
      <vt:variant>
        <vt:i4>7536682</vt:i4>
      </vt:variant>
      <vt:variant>
        <vt:i4>99</vt:i4>
      </vt:variant>
      <vt:variant>
        <vt:i4>0</vt:i4>
      </vt:variant>
      <vt:variant>
        <vt:i4>5</vt:i4>
      </vt:variant>
      <vt:variant>
        <vt:lpwstr>https://asmr.org.au/wp-content/uploads/library/Workforce16.pdf</vt:lpwstr>
      </vt:variant>
      <vt:variant>
        <vt:lpwstr/>
      </vt:variant>
      <vt:variant>
        <vt:i4>7340085</vt:i4>
      </vt:variant>
      <vt:variant>
        <vt:i4>96</vt:i4>
      </vt:variant>
      <vt:variant>
        <vt:i4>0</vt:i4>
      </vt:variant>
      <vt:variant>
        <vt:i4>5</vt:i4>
      </vt:variant>
      <vt:variant>
        <vt:lpwstr>https://www.health.gov.au/resources/publications/medical-research-future-fund-mrff-grant-recipients?language=en</vt:lpwstr>
      </vt:variant>
      <vt:variant>
        <vt:lpwstr/>
      </vt:variant>
      <vt:variant>
        <vt:i4>7733281</vt:i4>
      </vt:variant>
      <vt:variant>
        <vt:i4>93</vt:i4>
      </vt:variant>
      <vt:variant>
        <vt:i4>0</vt:i4>
      </vt:variant>
      <vt:variant>
        <vt:i4>5</vt:i4>
      </vt:variant>
      <vt:variant>
        <vt:lpwstr>https://www.abs.gov.au/statistics/labour/earnings-and-working-conditions/working-arrangements/latest-release</vt:lpwstr>
      </vt:variant>
      <vt:variant>
        <vt:lpwstr>data-downloads</vt:lpwstr>
      </vt:variant>
      <vt:variant>
        <vt:i4>6488166</vt:i4>
      </vt:variant>
      <vt:variant>
        <vt:i4>90</vt:i4>
      </vt:variant>
      <vt:variant>
        <vt:i4>0</vt:i4>
      </vt:variant>
      <vt:variant>
        <vt:i4>5</vt:i4>
      </vt:variant>
      <vt:variant>
        <vt:lpwstr>https://researchaustralia.org/covid-19/</vt:lpwstr>
      </vt:variant>
      <vt:variant>
        <vt:lpwstr/>
      </vt:variant>
      <vt:variant>
        <vt:i4>4784147</vt:i4>
      </vt:variant>
      <vt:variant>
        <vt:i4>87</vt:i4>
      </vt:variant>
      <vt:variant>
        <vt:i4>0</vt:i4>
      </vt:variant>
      <vt:variant>
        <vt:i4>5</vt:i4>
      </vt:variant>
      <vt:variant>
        <vt:lpwstr>https://www.abs.gov.au/statistics/labour/jobs/job-mobility/latest-release</vt:lpwstr>
      </vt:variant>
      <vt:variant>
        <vt:lpwstr/>
      </vt:variant>
      <vt:variant>
        <vt:i4>4784147</vt:i4>
      </vt:variant>
      <vt:variant>
        <vt:i4>84</vt:i4>
      </vt:variant>
      <vt:variant>
        <vt:i4>0</vt:i4>
      </vt:variant>
      <vt:variant>
        <vt:i4>5</vt:i4>
      </vt:variant>
      <vt:variant>
        <vt:lpwstr>https://www.abs.gov.au/statistics/labour/jobs/job-mobility/latest-release</vt:lpwstr>
      </vt:variant>
      <vt:variant>
        <vt:lpwstr/>
      </vt:variant>
      <vt:variant>
        <vt:i4>3014676</vt:i4>
      </vt:variant>
      <vt:variant>
        <vt:i4>81</vt:i4>
      </vt:variant>
      <vt:variant>
        <vt:i4>0</vt:i4>
      </vt:variant>
      <vt:variant>
        <vt:i4>5</vt:i4>
      </vt:variant>
      <vt:variant>
        <vt:lpwstr>https://treasury.gov.au/sites/default/files/2019-11/p2019-37418-productivity_0.pdf</vt:lpwstr>
      </vt:variant>
      <vt:variant>
        <vt:lpwstr/>
      </vt:variant>
      <vt:variant>
        <vt:i4>4653115</vt:i4>
      </vt:variant>
      <vt:variant>
        <vt:i4>78</vt:i4>
      </vt:variant>
      <vt:variant>
        <vt:i4>0</vt:i4>
      </vt:variant>
      <vt:variant>
        <vt:i4>5</vt:i4>
      </vt:variant>
      <vt:variant>
        <vt:lpwstr>https://www.mtpconnect.org.au/images/MTPC_Workplace_Skills_Report.pdf</vt:lpwstr>
      </vt:variant>
      <vt:variant>
        <vt:lpwstr/>
      </vt:variant>
      <vt:variant>
        <vt:i4>7995512</vt:i4>
      </vt:variant>
      <vt:variant>
        <vt:i4>75</vt:i4>
      </vt:variant>
      <vt:variant>
        <vt:i4>0</vt:i4>
      </vt:variant>
      <vt:variant>
        <vt:i4>5</vt:i4>
      </vt:variant>
      <vt:variant>
        <vt:lpwstr>https://www.abs.gov.au/statistics/classifications/australian-and-new-zealand-standard-research-classification-anzsrc/latest-release</vt:lpwstr>
      </vt:variant>
      <vt:variant>
        <vt:lpwstr/>
      </vt:variant>
      <vt:variant>
        <vt:i4>8192046</vt:i4>
      </vt:variant>
      <vt:variant>
        <vt:i4>72</vt:i4>
      </vt:variant>
      <vt:variant>
        <vt:i4>0</vt:i4>
      </vt:variant>
      <vt:variant>
        <vt:i4>5</vt:i4>
      </vt:variant>
      <vt:variant>
        <vt:lpwstr>https://www.abs.gov.au/statistics/people/population/australias-population-country-birth/latest-release</vt:lpwstr>
      </vt:variant>
      <vt:variant>
        <vt:lpwstr/>
      </vt:variant>
      <vt:variant>
        <vt:i4>8323117</vt:i4>
      </vt:variant>
      <vt:variant>
        <vt:i4>69</vt:i4>
      </vt:variant>
      <vt:variant>
        <vt:i4>0</vt:i4>
      </vt:variant>
      <vt:variant>
        <vt:i4>5</vt:i4>
      </vt:variant>
      <vt:variant>
        <vt:lpwstr>https://www.aihw.gov.au/reports/australias-health/profile-of-australias-population</vt:lpwstr>
      </vt:variant>
      <vt:variant>
        <vt:lpwstr/>
      </vt:variant>
      <vt:variant>
        <vt:i4>8192046</vt:i4>
      </vt:variant>
      <vt:variant>
        <vt:i4>66</vt:i4>
      </vt:variant>
      <vt:variant>
        <vt:i4>0</vt:i4>
      </vt:variant>
      <vt:variant>
        <vt:i4>5</vt:i4>
      </vt:variant>
      <vt:variant>
        <vt:lpwstr>https://www.abs.gov.au/statistics/people/population/australias-population-country-birth/latest-release</vt:lpwstr>
      </vt:variant>
      <vt:variant>
        <vt:lpwstr/>
      </vt:variant>
      <vt:variant>
        <vt:i4>4325388</vt:i4>
      </vt:variant>
      <vt:variant>
        <vt:i4>63</vt:i4>
      </vt:variant>
      <vt:variant>
        <vt:i4>0</vt:i4>
      </vt:variant>
      <vt:variant>
        <vt:i4>5</vt:i4>
      </vt:variant>
      <vt:variant>
        <vt:lpwstr>https://www.wgea.gov.au/sites/default/files/documents/2022-23 WGEA Gender Equality Scorecard.pdf</vt:lpwstr>
      </vt:variant>
      <vt:variant>
        <vt:lpwstr/>
      </vt:variant>
      <vt:variant>
        <vt:i4>1704028</vt:i4>
      </vt:variant>
      <vt:variant>
        <vt:i4>60</vt:i4>
      </vt:variant>
      <vt:variant>
        <vt:i4>0</vt:i4>
      </vt:variant>
      <vt:variant>
        <vt:i4>5</vt:i4>
      </vt:variant>
      <vt:variant>
        <vt:lpwstr>https://www.science.org.au/files/userfiles/support/reports-and-plans/2019/gender-diversity-stem/women-in-STEM-decadal-plan-final.pdf</vt:lpwstr>
      </vt:variant>
      <vt:variant>
        <vt:lpwstr/>
      </vt:variant>
      <vt:variant>
        <vt:i4>983064</vt:i4>
      </vt:variant>
      <vt:variant>
        <vt:i4>57</vt:i4>
      </vt:variant>
      <vt:variant>
        <vt:i4>0</vt:i4>
      </vt:variant>
      <vt:variant>
        <vt:i4>5</vt:i4>
      </vt:variant>
      <vt:variant>
        <vt:lpwstr>https://www.nhmrc.gov.au/about-us/news-centre/gender-disparities-nhmrcs-investigator-grant-scheme</vt:lpwstr>
      </vt:variant>
      <vt:variant>
        <vt:lpwstr/>
      </vt:variant>
      <vt:variant>
        <vt:i4>7209072</vt:i4>
      </vt:variant>
      <vt:variant>
        <vt:i4>54</vt:i4>
      </vt:variant>
      <vt:variant>
        <vt:i4>0</vt:i4>
      </vt:variant>
      <vt:variant>
        <vt:i4>5</vt:i4>
      </vt:variant>
      <vt:variant>
        <vt:lpwstr>https://staging.aamri.org.au/wp-content/uploads/2021/11/Australias-Missing-Link-A-National-Health-and-Medical-Research-Strategy.pdf</vt:lpwstr>
      </vt:variant>
      <vt:variant>
        <vt:lpwstr/>
      </vt:variant>
      <vt:variant>
        <vt:i4>5046343</vt:i4>
      </vt:variant>
      <vt:variant>
        <vt:i4>51</vt:i4>
      </vt:variant>
      <vt:variant>
        <vt:i4>0</vt:i4>
      </vt:variant>
      <vt:variant>
        <vt:i4>5</vt:i4>
      </vt:variant>
      <vt:variant>
        <vt:lpwstr>https://www.wgea.gov.au/data-statistics/data-explorer</vt:lpwstr>
      </vt:variant>
      <vt:variant>
        <vt:lpwstr/>
      </vt:variant>
      <vt:variant>
        <vt:i4>6750267</vt:i4>
      </vt:variant>
      <vt:variant>
        <vt:i4>48</vt:i4>
      </vt:variant>
      <vt:variant>
        <vt:i4>0</vt:i4>
      </vt:variant>
      <vt:variant>
        <vt:i4>5</vt:i4>
      </vt:variant>
      <vt:variant>
        <vt:lpwstr>https://www.abs.gov.au/statistics/people/population/regional-population/latest-release</vt:lpwstr>
      </vt:variant>
      <vt:variant>
        <vt:lpwstr/>
      </vt:variant>
      <vt:variant>
        <vt:i4>8126523</vt:i4>
      </vt:variant>
      <vt:variant>
        <vt:i4>45</vt:i4>
      </vt:variant>
      <vt:variant>
        <vt:i4>0</vt:i4>
      </vt:variant>
      <vt:variant>
        <vt:i4>5</vt:i4>
      </vt:variant>
      <vt:variant>
        <vt:lpwstr>https://www.nhmrc.gov.au/file/20104/download?token=Jvyl3SE8</vt:lpwstr>
      </vt:variant>
      <vt:variant>
        <vt:lpwstr/>
      </vt:variant>
      <vt:variant>
        <vt:i4>6750267</vt:i4>
      </vt:variant>
      <vt:variant>
        <vt:i4>42</vt:i4>
      </vt:variant>
      <vt:variant>
        <vt:i4>0</vt:i4>
      </vt:variant>
      <vt:variant>
        <vt:i4>5</vt:i4>
      </vt:variant>
      <vt:variant>
        <vt:lpwstr>https://www.abs.gov.au/statistics/people/population/regional-population/latest-release</vt:lpwstr>
      </vt:variant>
      <vt:variant>
        <vt:lpwstr/>
      </vt:variant>
      <vt:variant>
        <vt:i4>2228347</vt:i4>
      </vt:variant>
      <vt:variant>
        <vt:i4>39</vt:i4>
      </vt:variant>
      <vt:variant>
        <vt:i4>0</vt:i4>
      </vt:variant>
      <vt:variant>
        <vt:i4>5</vt:i4>
      </vt:variant>
      <vt:variant>
        <vt:lpwstr>https://www.tandfonline.com/doi/full/10.1080/07377363.2023.2279808</vt:lpwstr>
      </vt:variant>
      <vt:variant>
        <vt:lpwstr/>
      </vt:variant>
      <vt:variant>
        <vt:i4>3342368</vt:i4>
      </vt:variant>
      <vt:variant>
        <vt:i4>36</vt:i4>
      </vt:variant>
      <vt:variant>
        <vt:i4>0</vt:i4>
      </vt:variant>
      <vt:variant>
        <vt:i4>5</vt:i4>
      </vt:variant>
      <vt:variant>
        <vt:lpwstr>https://www.nature.com/articles/s41599-024-03557-6</vt:lpwstr>
      </vt:variant>
      <vt:variant>
        <vt:lpwstr/>
      </vt:variant>
      <vt:variant>
        <vt:i4>4587526</vt:i4>
      </vt:variant>
      <vt:variant>
        <vt:i4>33</vt:i4>
      </vt:variant>
      <vt:variant>
        <vt:i4>0</vt:i4>
      </vt:variant>
      <vt:variant>
        <vt:i4>5</vt:i4>
      </vt:variant>
      <vt:variant>
        <vt:lpwstr>https://link.springer.com/article/10.1007/s11142-024-09831-x</vt:lpwstr>
      </vt:variant>
      <vt:variant>
        <vt:lpwstr/>
      </vt:variant>
      <vt:variant>
        <vt:i4>4063280</vt:i4>
      </vt:variant>
      <vt:variant>
        <vt:i4>30</vt:i4>
      </vt:variant>
      <vt:variant>
        <vt:i4>0</vt:i4>
      </vt:variant>
      <vt:variant>
        <vt:i4>5</vt:i4>
      </vt:variant>
      <vt:variant>
        <vt:lpwstr>https://www.nber.org/papers/w31898</vt:lpwstr>
      </vt:variant>
      <vt:variant>
        <vt:lpwstr/>
      </vt:variant>
      <vt:variant>
        <vt:i4>4849689</vt:i4>
      </vt:variant>
      <vt:variant>
        <vt:i4>27</vt:i4>
      </vt:variant>
      <vt:variant>
        <vt:i4>0</vt:i4>
      </vt:variant>
      <vt:variant>
        <vt:i4>5</vt:i4>
      </vt:variant>
      <vt:variant>
        <vt:lpwstr>https://www.arc.gov.au/evaluating-research/excellence-research-australia</vt:lpwstr>
      </vt:variant>
      <vt:variant>
        <vt:lpwstr/>
      </vt:variant>
      <vt:variant>
        <vt:i4>4063282</vt:i4>
      </vt:variant>
      <vt:variant>
        <vt:i4>24</vt:i4>
      </vt:variant>
      <vt:variant>
        <vt:i4>0</vt:i4>
      </vt:variant>
      <vt:variant>
        <vt:i4>5</vt:i4>
      </vt:variant>
      <vt:variant>
        <vt:lpwstr>https://dataportal.arc.gov.au/ERA/NationalReport/2018/</vt:lpwstr>
      </vt:variant>
      <vt:variant>
        <vt:lpwstr/>
      </vt:variant>
      <vt:variant>
        <vt:i4>8126507</vt:i4>
      </vt:variant>
      <vt:variant>
        <vt:i4>21</vt:i4>
      </vt:variant>
      <vt:variant>
        <vt:i4>0</vt:i4>
      </vt:variant>
      <vt:variant>
        <vt:i4>5</vt:i4>
      </vt:variant>
      <vt:variant>
        <vt:lpwstr>https://asmr.org.au/wp-content/uploads/library/workforce09.pdf</vt:lpwstr>
      </vt:variant>
      <vt:variant>
        <vt:lpwstr/>
      </vt:variant>
      <vt:variant>
        <vt:i4>5636180</vt:i4>
      </vt:variant>
      <vt:variant>
        <vt:i4>18</vt:i4>
      </vt:variant>
      <vt:variant>
        <vt:i4>0</vt:i4>
      </vt:variant>
      <vt:variant>
        <vt:i4>5</vt:i4>
      </vt:variant>
      <vt:variant>
        <vt:lpwstr>https://aamri.org.au/wp-content/uploads/2018/10/Economic-Impact-of-Medical-Research-exec-summary.pdf</vt:lpwstr>
      </vt:variant>
      <vt:variant>
        <vt:lpwstr/>
      </vt:variant>
      <vt:variant>
        <vt:i4>3080288</vt:i4>
      </vt:variant>
      <vt:variant>
        <vt:i4>15</vt:i4>
      </vt:variant>
      <vt:variant>
        <vt:i4>0</vt:i4>
      </vt:variant>
      <vt:variant>
        <vt:i4>5</vt:i4>
      </vt:variant>
      <vt:variant>
        <vt:lpwstr>https://asmr.org.au/wp-content/uploads/library/DAEWorkforce report final 19 Oct2016.pdf</vt:lpwstr>
      </vt:variant>
      <vt:variant>
        <vt:lpwstr/>
      </vt:variant>
      <vt:variant>
        <vt:i4>4063282</vt:i4>
      </vt:variant>
      <vt:variant>
        <vt:i4>12</vt:i4>
      </vt:variant>
      <vt:variant>
        <vt:i4>0</vt:i4>
      </vt:variant>
      <vt:variant>
        <vt:i4>5</vt:i4>
      </vt:variant>
      <vt:variant>
        <vt:lpwstr>https://dataportal.arc.gov.au/ERA/NationalReport/2018/</vt:lpwstr>
      </vt:variant>
      <vt:variant>
        <vt:lpwstr/>
      </vt:variant>
      <vt:variant>
        <vt:i4>4653115</vt:i4>
      </vt:variant>
      <vt:variant>
        <vt:i4>9</vt:i4>
      </vt:variant>
      <vt:variant>
        <vt:i4>0</vt:i4>
      </vt:variant>
      <vt:variant>
        <vt:i4>5</vt:i4>
      </vt:variant>
      <vt:variant>
        <vt:lpwstr>https://www.mtpconnect.org.au/images/MTPC_Workplace_Skills_Report.pdf</vt:lpwstr>
      </vt:variant>
      <vt:variant>
        <vt:lpwstr/>
      </vt:variant>
      <vt:variant>
        <vt:i4>3211299</vt:i4>
      </vt:variant>
      <vt:variant>
        <vt:i4>6</vt:i4>
      </vt:variant>
      <vt:variant>
        <vt:i4>0</vt:i4>
      </vt:variant>
      <vt:variant>
        <vt:i4>5</vt:i4>
      </vt:variant>
      <vt:variant>
        <vt:lpwstr>https://www.nhmrc.gov.au/about-us/publications/investigating-clinician-researcher-career-pathways</vt:lpwstr>
      </vt:variant>
      <vt:variant>
        <vt:lpwstr>block-views-block-file-attachments-content-block-1</vt:lpwstr>
      </vt:variant>
      <vt:variant>
        <vt:i4>3932169</vt:i4>
      </vt:variant>
      <vt:variant>
        <vt:i4>3</vt:i4>
      </vt:variant>
      <vt:variant>
        <vt:i4>0</vt:i4>
      </vt:variant>
      <vt:variant>
        <vt:i4>5</vt:i4>
      </vt:variant>
      <vt:variant>
        <vt:lpwstr>https://aamri.org.au/wp-content/uploads/2023/01/AAMRI_Member_Report_Public_2022_FINAL.pdf</vt:lpwstr>
      </vt:variant>
      <vt:variant>
        <vt:lpwstr/>
      </vt:variant>
      <vt:variant>
        <vt:i4>3997804</vt:i4>
      </vt:variant>
      <vt:variant>
        <vt:i4>0</vt:i4>
      </vt:variant>
      <vt:variant>
        <vt:i4>0</vt:i4>
      </vt:variant>
      <vt:variant>
        <vt:i4>5</vt:i4>
      </vt:variant>
      <vt:variant>
        <vt:lpwstr>https://aamri.org.au/wp-content/uploads/2021/11/Australias-Missing-Link-A-National-Health-and-Medical-Research-Strategy.pdf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Health and Medical Research Workforce Audit – October 2024</dc:title>
  <dc:subject>Health and Medical Research</dc:subject>
  <dc:creator>Mandala</dc:creator>
  <cp:keywords>Health and Medical Research</cp:keywords>
  <dc:description/>
  <cp:lastModifiedBy>MASCHKE, Elvia</cp:lastModifiedBy>
  <cp:revision>2</cp:revision>
  <cp:lastPrinted>2024-10-08T06:48:00Z</cp:lastPrinted>
  <dcterms:created xsi:type="dcterms:W3CDTF">2024-11-02T02:52:00Z</dcterms:created>
  <dcterms:modified xsi:type="dcterms:W3CDTF">2024-11-02T02:52:00Z</dcterms:modified>
  <cp:category/>
</cp:coreProperties>
</file>