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19E7B" w14:textId="02F2AFDF" w:rsidR="00801AB3" w:rsidRPr="00C62F6E" w:rsidRDefault="00DB7E70" w:rsidP="00625619">
      <w:r w:rsidRPr="00C62F6E">
        <w:rPr>
          <w:noProof/>
        </w:rPr>
        <w:drawing>
          <wp:inline distT="0" distB="0" distL="0" distR="0" wp14:anchorId="0EBB0923" wp14:editId="6F9B96AE">
            <wp:extent cx="2295525" cy="693072"/>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5969" cy="699245"/>
                    </a:xfrm>
                    <a:prstGeom prst="rect">
                      <a:avLst/>
                    </a:prstGeom>
                    <a:noFill/>
                    <a:ln>
                      <a:noFill/>
                    </a:ln>
                  </pic:spPr>
                </pic:pic>
              </a:graphicData>
            </a:graphic>
          </wp:inline>
        </w:drawing>
      </w:r>
      <w:r w:rsidR="0060569B" w:rsidRPr="00C62F6E">
        <w:rPr>
          <w:noProof/>
        </w:rPr>
        <w:drawing>
          <wp:anchor distT="0" distB="0" distL="114300" distR="114300" simplePos="0" relativeHeight="487532032" behindDoc="1" locked="0" layoutInCell="1" allowOverlap="1" wp14:anchorId="1670E536" wp14:editId="41900140">
            <wp:simplePos x="0" y="0"/>
            <wp:positionH relativeFrom="margin">
              <wp:posOffset>3423</wp:posOffset>
            </wp:positionH>
            <wp:positionV relativeFrom="paragraph">
              <wp:posOffset>5522</wp:posOffset>
            </wp:positionV>
            <wp:extent cx="1940119" cy="491275"/>
            <wp:effectExtent l="0" t="0" r="3175" b="444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9332" cy="4986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EEF308" w14:textId="77777777" w:rsidR="00801AB3" w:rsidRDefault="00802F76" w:rsidP="00625619">
      <w:pPr>
        <w:pStyle w:val="Title"/>
      </w:pPr>
      <w:bookmarkStart w:id="0" w:name="_Hlk125373836"/>
      <w:r>
        <w:t>Terms</w:t>
      </w:r>
      <w:r>
        <w:rPr>
          <w:spacing w:val="-21"/>
        </w:rPr>
        <w:t xml:space="preserve"> </w:t>
      </w:r>
      <w:r>
        <w:t>of</w:t>
      </w:r>
      <w:r>
        <w:rPr>
          <w:spacing w:val="-19"/>
        </w:rPr>
        <w:t xml:space="preserve"> </w:t>
      </w:r>
      <w:r w:rsidRPr="00C62F6E">
        <w:t>reference</w:t>
      </w:r>
    </w:p>
    <w:p w14:paraId="1BEE65E1" w14:textId="77777777" w:rsidR="00801AB3" w:rsidRDefault="00802F76" w:rsidP="00C62F6E">
      <w:pPr>
        <w:pStyle w:val="Subtitle"/>
      </w:pPr>
      <w:r>
        <w:t>Aged</w:t>
      </w:r>
      <w:r>
        <w:rPr>
          <w:spacing w:val="29"/>
        </w:rPr>
        <w:t xml:space="preserve"> </w:t>
      </w:r>
      <w:r>
        <w:t>Care</w:t>
      </w:r>
      <w:r>
        <w:rPr>
          <w:spacing w:val="29"/>
        </w:rPr>
        <w:t xml:space="preserve"> </w:t>
      </w:r>
      <w:r>
        <w:rPr>
          <w:spacing w:val="12"/>
        </w:rPr>
        <w:t>Advisory</w:t>
      </w:r>
      <w:r>
        <w:rPr>
          <w:spacing w:val="31"/>
        </w:rPr>
        <w:t xml:space="preserve"> </w:t>
      </w:r>
      <w:r>
        <w:t>G</w:t>
      </w:r>
      <w:r w:rsidRPr="00C62F6E">
        <w:rPr>
          <w:rStyle w:val="SubtitleChar"/>
        </w:rPr>
        <w:t>r</w:t>
      </w:r>
      <w:r>
        <w:t>oup</w:t>
      </w:r>
    </w:p>
    <w:p w14:paraId="2CD96A61" w14:textId="65AD33E1" w:rsidR="00801AB3" w:rsidRPr="00C62F6E" w:rsidRDefault="00C62F6E" w:rsidP="00C62F6E">
      <w:pPr>
        <w:pStyle w:val="Date"/>
      </w:pPr>
      <w:r w:rsidRPr="00C62F6E">
        <w:rPr>
          <w:noProof/>
        </w:rPr>
        <w:drawing>
          <wp:anchor distT="0" distB="0" distL="0" distR="0" simplePos="0" relativeHeight="487529984" behindDoc="0" locked="0" layoutInCell="1" allowOverlap="1" wp14:anchorId="62321743" wp14:editId="5F591F22">
            <wp:simplePos x="0" y="0"/>
            <wp:positionH relativeFrom="page">
              <wp:posOffset>339090</wp:posOffset>
            </wp:positionH>
            <wp:positionV relativeFrom="paragraph">
              <wp:posOffset>387985</wp:posOffset>
            </wp:positionV>
            <wp:extent cx="7003415" cy="6786880"/>
            <wp:effectExtent l="0" t="0" r="6985" b="0"/>
            <wp:wrapTopAndBottom/>
            <wp:docPr id="3"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7003415" cy="6786880"/>
                    </a:xfrm>
                    <a:prstGeom prst="rect">
                      <a:avLst/>
                    </a:prstGeom>
                  </pic:spPr>
                </pic:pic>
              </a:graphicData>
            </a:graphic>
            <wp14:sizeRelH relativeFrom="margin">
              <wp14:pctWidth>0</wp14:pctWidth>
            </wp14:sizeRelH>
            <wp14:sizeRelV relativeFrom="margin">
              <wp14:pctHeight>0</wp14:pctHeight>
            </wp14:sizeRelV>
          </wp:anchor>
        </w:drawing>
      </w:r>
      <w:r w:rsidR="00802F76" w:rsidRPr="00C62F6E">
        <w:t>Rev</w:t>
      </w:r>
      <w:r w:rsidR="005F3F8D" w:rsidRPr="00C62F6E">
        <w:t xml:space="preserve">iewed </w:t>
      </w:r>
      <w:r w:rsidR="00834693" w:rsidRPr="00C62F6E">
        <w:t>November</w:t>
      </w:r>
      <w:r w:rsidR="00A30B37" w:rsidRPr="00C62F6E">
        <w:t xml:space="preserve"> </w:t>
      </w:r>
      <w:r w:rsidR="00047E42" w:rsidRPr="00C62F6E">
        <w:t>2024</w:t>
      </w:r>
    </w:p>
    <w:p w14:paraId="2BD2E767" w14:textId="77777777" w:rsidR="00801AB3" w:rsidRDefault="00801AB3">
      <w:pPr>
        <w:rPr>
          <w:rFonts w:ascii="Arial"/>
          <w:sz w:val="20"/>
        </w:rPr>
        <w:sectPr w:rsidR="00801AB3" w:rsidSect="00C62F6E">
          <w:type w:val="continuous"/>
          <w:pgSz w:w="11910" w:h="16840"/>
          <w:pgMar w:top="1440" w:right="1440" w:bottom="1440" w:left="1440" w:header="720" w:footer="720" w:gutter="0"/>
          <w:cols w:space="720"/>
          <w:docGrid w:linePitch="299"/>
        </w:sectPr>
      </w:pPr>
    </w:p>
    <w:p w14:paraId="55041DED" w14:textId="77777777" w:rsidR="00801AB3" w:rsidRPr="00C62F6E" w:rsidRDefault="00802F76" w:rsidP="00C62F6E">
      <w:pPr>
        <w:pStyle w:val="Heading1"/>
      </w:pPr>
      <w:r w:rsidRPr="00C62F6E">
        <w:lastRenderedPageBreak/>
        <w:t>Purpose</w:t>
      </w:r>
    </w:p>
    <w:p w14:paraId="19FD0031" w14:textId="3A186818" w:rsidR="00801AB3" w:rsidRDefault="00802F76" w:rsidP="00C62F6E">
      <w:r>
        <w:rPr>
          <w:color w:val="303030"/>
        </w:rPr>
        <w:t>The Aged Care Advisory Group (Advisory Group) is a permanent advisory group under the auspices of the Australian Health Protection Committee (AHPC)</w:t>
      </w:r>
      <w:r>
        <w:rPr>
          <w:color w:val="303030"/>
          <w:spacing w:val="-1"/>
        </w:rPr>
        <w:t xml:space="preserve"> </w:t>
      </w:r>
      <w:r>
        <w:rPr>
          <w:color w:val="303030"/>
        </w:rPr>
        <w:t>to provide advice on matters relevant to health protection in the aged care sector</w:t>
      </w:r>
      <w:r w:rsidR="006C6F60">
        <w:rPr>
          <w:color w:val="303030"/>
        </w:rPr>
        <w:t xml:space="preserve">. This may </w:t>
      </w:r>
      <w:r>
        <w:rPr>
          <w:color w:val="303030"/>
        </w:rPr>
        <w:t>includ</w:t>
      </w:r>
      <w:r w:rsidR="006C6F60">
        <w:rPr>
          <w:color w:val="303030"/>
        </w:rPr>
        <w:t>e</w:t>
      </w:r>
      <w:r>
        <w:rPr>
          <w:color w:val="303030"/>
        </w:rPr>
        <w:t xml:space="preserve"> preparation and planning for prevention, management and recovery from emergency events including infectious</w:t>
      </w:r>
      <w:r>
        <w:rPr>
          <w:color w:val="303030"/>
          <w:spacing w:val="-5"/>
        </w:rPr>
        <w:t xml:space="preserve"> </w:t>
      </w:r>
      <w:r w:rsidRPr="00C62F6E">
        <w:t>disease</w:t>
      </w:r>
      <w:r>
        <w:rPr>
          <w:color w:val="303030"/>
          <w:spacing w:val="-4"/>
        </w:rPr>
        <w:t xml:space="preserve"> </w:t>
      </w:r>
      <w:r>
        <w:rPr>
          <w:color w:val="303030"/>
        </w:rPr>
        <w:t>outbreaks</w:t>
      </w:r>
      <w:r>
        <w:rPr>
          <w:color w:val="303030"/>
          <w:spacing w:val="-2"/>
        </w:rPr>
        <w:t xml:space="preserve"> </w:t>
      </w:r>
      <w:r>
        <w:rPr>
          <w:color w:val="303030"/>
        </w:rPr>
        <w:t>and</w:t>
      </w:r>
      <w:r>
        <w:rPr>
          <w:color w:val="303030"/>
          <w:spacing w:val="-4"/>
        </w:rPr>
        <w:t xml:space="preserve"> </w:t>
      </w:r>
      <w:r>
        <w:rPr>
          <w:color w:val="303030"/>
        </w:rPr>
        <w:t>natural</w:t>
      </w:r>
      <w:r>
        <w:rPr>
          <w:color w:val="303030"/>
          <w:spacing w:val="-4"/>
        </w:rPr>
        <w:t xml:space="preserve"> </w:t>
      </w:r>
      <w:r>
        <w:rPr>
          <w:color w:val="303030"/>
        </w:rPr>
        <w:t>disasters</w:t>
      </w:r>
      <w:r>
        <w:rPr>
          <w:color w:val="303030"/>
          <w:spacing w:val="-5"/>
        </w:rPr>
        <w:t xml:space="preserve"> </w:t>
      </w:r>
      <w:r>
        <w:rPr>
          <w:color w:val="303030"/>
        </w:rPr>
        <w:t>in</w:t>
      </w:r>
      <w:r>
        <w:rPr>
          <w:color w:val="303030"/>
          <w:spacing w:val="-2"/>
        </w:rPr>
        <w:t xml:space="preserve"> </w:t>
      </w:r>
      <w:r>
        <w:rPr>
          <w:color w:val="303030"/>
        </w:rPr>
        <w:t>services</w:t>
      </w:r>
      <w:r>
        <w:rPr>
          <w:color w:val="303030"/>
          <w:spacing w:val="-2"/>
        </w:rPr>
        <w:t xml:space="preserve"> </w:t>
      </w:r>
      <w:r>
        <w:rPr>
          <w:color w:val="303030"/>
        </w:rPr>
        <w:t>delivering</w:t>
      </w:r>
      <w:r>
        <w:rPr>
          <w:color w:val="303030"/>
          <w:spacing w:val="-3"/>
        </w:rPr>
        <w:t xml:space="preserve"> </w:t>
      </w:r>
      <w:r>
        <w:rPr>
          <w:color w:val="303030"/>
        </w:rPr>
        <w:t>Commonwealth</w:t>
      </w:r>
      <w:r>
        <w:rPr>
          <w:color w:val="303030"/>
          <w:spacing w:val="-4"/>
        </w:rPr>
        <w:t xml:space="preserve"> </w:t>
      </w:r>
      <w:r>
        <w:rPr>
          <w:color w:val="303030"/>
        </w:rPr>
        <w:t>funded aged care</w:t>
      </w:r>
      <w:bookmarkStart w:id="1" w:name="Note"/>
      <w:r>
        <w:rPr>
          <w:color w:val="303030"/>
        </w:rPr>
        <w:t>*</w:t>
      </w:r>
      <w:bookmarkEnd w:id="1"/>
      <w:r>
        <w:rPr>
          <w:color w:val="303030"/>
        </w:rPr>
        <w:t>.</w:t>
      </w:r>
    </w:p>
    <w:p w14:paraId="19FD0B47" w14:textId="44B71E6B" w:rsidR="00801AB3" w:rsidRDefault="00C62F6E" w:rsidP="00C62F6E">
      <w:pPr>
        <w:pStyle w:val="FootnoteText"/>
      </w:pPr>
      <w:r>
        <w:fldChar w:fldCharType="begin"/>
      </w:r>
      <w:r>
        <w:instrText xml:space="preserve"> REF Note \r \h </w:instrText>
      </w:r>
      <w:r>
        <w:fldChar w:fldCharType="separate"/>
      </w:r>
      <w:r>
        <w:rPr>
          <w:cs/>
        </w:rPr>
        <w:t>‎</w:t>
      </w:r>
      <w:r>
        <w:fldChar w:fldCharType="end"/>
      </w:r>
      <w:r w:rsidR="00625619">
        <w:t>*</w:t>
      </w:r>
      <w:r w:rsidR="00802F76">
        <w:t>This</w:t>
      </w:r>
      <w:r w:rsidR="00802F76">
        <w:rPr>
          <w:spacing w:val="-3"/>
        </w:rPr>
        <w:t xml:space="preserve"> </w:t>
      </w:r>
      <w:r w:rsidR="00802F76">
        <w:t>includes</w:t>
      </w:r>
      <w:r w:rsidR="00802F76">
        <w:rPr>
          <w:spacing w:val="-3"/>
        </w:rPr>
        <w:t xml:space="preserve"> </w:t>
      </w:r>
      <w:r w:rsidR="00802F76">
        <w:t>but</w:t>
      </w:r>
      <w:r w:rsidR="00802F76">
        <w:rPr>
          <w:spacing w:val="-2"/>
        </w:rPr>
        <w:t xml:space="preserve"> </w:t>
      </w:r>
      <w:r w:rsidR="00802F76">
        <w:t>is</w:t>
      </w:r>
      <w:r w:rsidR="00802F76">
        <w:rPr>
          <w:spacing w:val="-3"/>
        </w:rPr>
        <w:t xml:space="preserve"> </w:t>
      </w:r>
      <w:r w:rsidR="00802F76">
        <w:t>not</w:t>
      </w:r>
      <w:r w:rsidR="00802F76">
        <w:rPr>
          <w:spacing w:val="-2"/>
        </w:rPr>
        <w:t xml:space="preserve"> </w:t>
      </w:r>
      <w:r w:rsidR="00802F76">
        <w:t>limited</w:t>
      </w:r>
      <w:r w:rsidR="00802F76">
        <w:rPr>
          <w:spacing w:val="-2"/>
        </w:rPr>
        <w:t xml:space="preserve"> </w:t>
      </w:r>
      <w:r w:rsidR="005F12AE">
        <w:t>to</w:t>
      </w:r>
      <w:r w:rsidR="00802F76">
        <w:t xml:space="preserve"> residential</w:t>
      </w:r>
      <w:r w:rsidR="00802F76">
        <w:rPr>
          <w:spacing w:val="-2"/>
        </w:rPr>
        <w:t xml:space="preserve"> </w:t>
      </w:r>
      <w:r w:rsidR="00802F76">
        <w:t>aged care facilities,</w:t>
      </w:r>
      <w:r w:rsidR="00802F76">
        <w:rPr>
          <w:spacing w:val="-3"/>
        </w:rPr>
        <w:t xml:space="preserve"> </w:t>
      </w:r>
      <w:r w:rsidR="00802F76">
        <w:t>home</w:t>
      </w:r>
      <w:r w:rsidR="00802F76">
        <w:rPr>
          <w:spacing w:val="-3"/>
        </w:rPr>
        <w:t xml:space="preserve"> </w:t>
      </w:r>
      <w:r w:rsidR="00802F76">
        <w:t>care providers,</w:t>
      </w:r>
      <w:r w:rsidR="00802F76">
        <w:rPr>
          <w:spacing w:val="-3"/>
        </w:rPr>
        <w:t xml:space="preserve"> </w:t>
      </w:r>
      <w:r w:rsidR="00802F76">
        <w:t>providers of</w:t>
      </w:r>
      <w:r w:rsidR="00802F76">
        <w:rPr>
          <w:spacing w:val="-2"/>
        </w:rPr>
        <w:t xml:space="preserve"> </w:t>
      </w:r>
      <w:r w:rsidR="006C6F60">
        <w:t>C</w:t>
      </w:r>
      <w:r w:rsidR="00802F76">
        <w:t>ommonwealth</w:t>
      </w:r>
      <w:r w:rsidR="00802F76">
        <w:rPr>
          <w:spacing w:val="-2"/>
        </w:rPr>
        <w:t xml:space="preserve"> </w:t>
      </w:r>
      <w:r w:rsidR="006C6F60">
        <w:t>H</w:t>
      </w:r>
      <w:r w:rsidR="00802F76">
        <w:t xml:space="preserve">ome </w:t>
      </w:r>
      <w:r w:rsidR="006C6F60">
        <w:t>S</w:t>
      </w:r>
      <w:r w:rsidR="00802F76">
        <w:t>upport</w:t>
      </w:r>
      <w:r w:rsidR="00802F76">
        <w:rPr>
          <w:spacing w:val="-2"/>
        </w:rPr>
        <w:t xml:space="preserve"> </w:t>
      </w:r>
      <w:r w:rsidR="006C6F60">
        <w:t>P</w:t>
      </w:r>
      <w:r w:rsidR="00802F76">
        <w:t>rogram</w:t>
      </w:r>
      <w:r w:rsidR="00802F76">
        <w:rPr>
          <w:spacing w:val="40"/>
        </w:rPr>
        <w:t xml:space="preserve"> </w:t>
      </w:r>
      <w:r w:rsidR="00802F76">
        <w:t>services,</w:t>
      </w:r>
      <w:r w:rsidR="00802F76">
        <w:rPr>
          <w:spacing w:val="-1"/>
        </w:rPr>
        <w:t xml:space="preserve"> </w:t>
      </w:r>
      <w:r w:rsidR="00802F76">
        <w:t>and</w:t>
      </w:r>
      <w:r w:rsidR="00802F76">
        <w:rPr>
          <w:spacing w:val="-1"/>
        </w:rPr>
        <w:t xml:space="preserve"> </w:t>
      </w:r>
      <w:r w:rsidR="00802F76">
        <w:t>flexible</w:t>
      </w:r>
      <w:r w:rsidR="00802F76">
        <w:rPr>
          <w:spacing w:val="-3"/>
        </w:rPr>
        <w:t xml:space="preserve"> </w:t>
      </w:r>
      <w:r w:rsidR="00802F76">
        <w:t>aged</w:t>
      </w:r>
      <w:r w:rsidR="00802F76">
        <w:rPr>
          <w:spacing w:val="-2"/>
        </w:rPr>
        <w:t xml:space="preserve"> </w:t>
      </w:r>
      <w:r w:rsidR="00802F76">
        <w:t>care</w:t>
      </w:r>
      <w:r w:rsidR="00802F76">
        <w:rPr>
          <w:spacing w:val="-3"/>
        </w:rPr>
        <w:t xml:space="preserve"> </w:t>
      </w:r>
      <w:r w:rsidR="00802F76">
        <w:t>services</w:t>
      </w:r>
      <w:r w:rsidR="00802F76">
        <w:rPr>
          <w:spacing w:val="-2"/>
        </w:rPr>
        <w:t xml:space="preserve"> </w:t>
      </w:r>
      <w:r w:rsidR="00802F76">
        <w:t>including</w:t>
      </w:r>
      <w:r w:rsidR="00802F76">
        <w:rPr>
          <w:spacing w:val="-2"/>
        </w:rPr>
        <w:t xml:space="preserve"> </w:t>
      </w:r>
      <w:r w:rsidR="00802F76">
        <w:t>transition,</w:t>
      </w:r>
      <w:r w:rsidR="00802F76">
        <w:rPr>
          <w:spacing w:val="-1"/>
        </w:rPr>
        <w:t xml:space="preserve"> </w:t>
      </w:r>
      <w:r w:rsidR="00802F76">
        <w:t>restorative,</w:t>
      </w:r>
      <w:r w:rsidR="00802F76">
        <w:rPr>
          <w:spacing w:val="-1"/>
        </w:rPr>
        <w:t xml:space="preserve"> </w:t>
      </w:r>
      <w:r w:rsidR="00802F76">
        <w:t>respite,</w:t>
      </w:r>
      <w:r w:rsidR="00802F76">
        <w:rPr>
          <w:spacing w:val="-2"/>
        </w:rPr>
        <w:t xml:space="preserve"> </w:t>
      </w:r>
      <w:r w:rsidR="00802F76">
        <w:t>and</w:t>
      </w:r>
      <w:r w:rsidR="00802F76">
        <w:rPr>
          <w:spacing w:val="-2"/>
        </w:rPr>
        <w:t xml:space="preserve"> </w:t>
      </w:r>
      <w:r w:rsidR="00802F76">
        <w:t>Aboriginal</w:t>
      </w:r>
      <w:r w:rsidR="00802F76">
        <w:rPr>
          <w:spacing w:val="-2"/>
        </w:rPr>
        <w:t xml:space="preserve"> </w:t>
      </w:r>
      <w:r w:rsidR="00802F76">
        <w:t>and</w:t>
      </w:r>
      <w:r w:rsidR="00802F76">
        <w:rPr>
          <w:spacing w:val="-2"/>
        </w:rPr>
        <w:t xml:space="preserve"> </w:t>
      </w:r>
      <w:r w:rsidR="00802F76">
        <w:t>Torres</w:t>
      </w:r>
      <w:r w:rsidR="00802F76">
        <w:rPr>
          <w:spacing w:val="-3"/>
        </w:rPr>
        <w:t xml:space="preserve"> </w:t>
      </w:r>
      <w:r w:rsidR="00802F76">
        <w:t>Strait</w:t>
      </w:r>
      <w:r w:rsidR="00802F76">
        <w:rPr>
          <w:spacing w:val="-4"/>
        </w:rPr>
        <w:t xml:space="preserve"> </w:t>
      </w:r>
      <w:r w:rsidR="00802F76">
        <w:t>Islander</w:t>
      </w:r>
      <w:r w:rsidR="00802F76">
        <w:rPr>
          <w:spacing w:val="-4"/>
        </w:rPr>
        <w:t xml:space="preserve"> </w:t>
      </w:r>
      <w:r w:rsidR="00802F76">
        <w:t>flexible</w:t>
      </w:r>
      <w:r w:rsidR="00802F76">
        <w:rPr>
          <w:spacing w:val="-3"/>
        </w:rPr>
        <w:t xml:space="preserve"> </w:t>
      </w:r>
      <w:r w:rsidR="00802F76">
        <w:t>aged</w:t>
      </w:r>
      <w:r w:rsidR="00802F76">
        <w:rPr>
          <w:spacing w:val="-2"/>
        </w:rPr>
        <w:t xml:space="preserve"> </w:t>
      </w:r>
      <w:r w:rsidR="00802F76">
        <w:t>care</w:t>
      </w:r>
      <w:r w:rsidR="00802F76">
        <w:rPr>
          <w:spacing w:val="40"/>
        </w:rPr>
        <w:t xml:space="preserve"> </w:t>
      </w:r>
      <w:r w:rsidR="00802F76">
        <w:rPr>
          <w:spacing w:val="-2"/>
        </w:rPr>
        <w:t>services.</w:t>
      </w:r>
    </w:p>
    <w:p w14:paraId="1BA67478" w14:textId="77777777" w:rsidR="00801AB3" w:rsidRPr="00625619" w:rsidRDefault="00802F76" w:rsidP="00625619">
      <w:pPr>
        <w:pStyle w:val="Heading1"/>
      </w:pPr>
      <w:r w:rsidRPr="00C62F6E">
        <w:t>Objectives</w:t>
      </w:r>
    </w:p>
    <w:p w14:paraId="5BCED29E" w14:textId="4F4429ED" w:rsidR="00801AB3" w:rsidRPr="00C62F6E" w:rsidRDefault="00802F76" w:rsidP="00C62F6E">
      <w:pPr>
        <w:pStyle w:val="ListNumber"/>
      </w:pPr>
      <w:r w:rsidRPr="00C62F6E">
        <w:t>Provide advice on aged care health protection matters, including emerging health threats related to infectious diseases and the environment, including natural and human made disasters.</w:t>
      </w:r>
    </w:p>
    <w:p w14:paraId="2872EBFD" w14:textId="05095B84" w:rsidR="00801AB3" w:rsidRPr="00C62F6E" w:rsidRDefault="00802F76" w:rsidP="00625619">
      <w:pPr>
        <w:pStyle w:val="ListNumber"/>
      </w:pPr>
      <w:r w:rsidRPr="00C62F6E">
        <w:t>Provide advice on the role of governments in prevention and response approaches to emergency, natural disaster or infections disease outbreak</w:t>
      </w:r>
      <w:r w:rsidR="00FD0C61" w:rsidRPr="00C62F6E">
        <w:t>s</w:t>
      </w:r>
      <w:r w:rsidRPr="00C62F6E">
        <w:t xml:space="preserve"> in aged care</w:t>
      </w:r>
      <w:r w:rsidR="00FD0C61" w:rsidRPr="00C62F6E">
        <w:t xml:space="preserve">. </w:t>
      </w:r>
    </w:p>
    <w:p w14:paraId="5BD414A9" w14:textId="4AE675AA" w:rsidR="00801AB3" w:rsidRPr="00C62F6E" w:rsidRDefault="00802F76" w:rsidP="00C62F6E">
      <w:pPr>
        <w:pStyle w:val="ListNumber"/>
      </w:pPr>
      <w:r w:rsidRPr="00C62F6E">
        <w:t>Review evidence on health protection matters, which are predicted to or are impacting, services delivering aged care, provide advice on gaps in planned prevention or response, and strategies to strengthen prevention and responses approaches.</w:t>
      </w:r>
    </w:p>
    <w:p w14:paraId="722989BB" w14:textId="063CE682" w:rsidR="00801AB3" w:rsidRPr="00C62F6E" w:rsidRDefault="00802F76" w:rsidP="00C62F6E">
      <w:pPr>
        <w:pStyle w:val="ListNumber"/>
      </w:pPr>
      <w:r w:rsidRPr="00C62F6E">
        <w:t>Provide advice on maintaining the rights, quality of life and dignity of people in aged care settings and their families in the implementation o</w:t>
      </w:r>
      <w:r w:rsidR="0085681C" w:rsidRPr="00C62F6E">
        <w:t>f</w:t>
      </w:r>
      <w:r w:rsidRPr="00C62F6E">
        <w:t xml:space="preserve"> prevention and responses approaches.</w:t>
      </w:r>
    </w:p>
    <w:p w14:paraId="3E95D22E" w14:textId="337049DF" w:rsidR="00801AB3" w:rsidRPr="00C62F6E" w:rsidRDefault="00802F76" w:rsidP="00C62F6E">
      <w:pPr>
        <w:pStyle w:val="ListNumber"/>
      </w:pPr>
      <w:r w:rsidRPr="00C62F6E">
        <w:t xml:space="preserve">Provide advice on resident and family communication activities that aged care services should </w:t>
      </w:r>
      <w:r w:rsidR="0085681C" w:rsidRPr="00C62F6E">
        <w:t>consider</w:t>
      </w:r>
      <w:r w:rsidRPr="00C62F6E">
        <w:t xml:space="preserve"> as part of the preparation, prevention, response and recovery phases of emergency and outbreak </w:t>
      </w:r>
      <w:r w:rsidR="0085681C" w:rsidRPr="00C62F6E">
        <w:t xml:space="preserve">planning and </w:t>
      </w:r>
      <w:r w:rsidRPr="00C62F6E">
        <w:t>management.</w:t>
      </w:r>
    </w:p>
    <w:p w14:paraId="14AD034F" w14:textId="5B3EC0C3" w:rsidR="00801AB3" w:rsidRPr="00C62F6E" w:rsidRDefault="00802F76" w:rsidP="00C62F6E">
      <w:pPr>
        <w:pStyle w:val="ListNumber"/>
      </w:pPr>
      <w:r w:rsidRPr="00C62F6E">
        <w:t>Provide advice on research or studies to further understand and mitigate infectious diseases among older Australians in aged care.</w:t>
      </w:r>
    </w:p>
    <w:p w14:paraId="4C64A3F2" w14:textId="119B5EA4" w:rsidR="00801AB3" w:rsidRPr="00C62F6E" w:rsidRDefault="00802F76" w:rsidP="00C62F6E">
      <w:pPr>
        <w:pStyle w:val="ListNumber"/>
      </w:pPr>
      <w:r w:rsidRPr="00C62F6E">
        <w:t xml:space="preserve">Provide advice to improve access by </w:t>
      </w:r>
      <w:r w:rsidR="005F12AE" w:rsidRPr="00C62F6E">
        <w:t xml:space="preserve">aged care </w:t>
      </w:r>
      <w:r w:rsidRPr="00C62F6E">
        <w:t xml:space="preserve">consumers to the wider health system as part of prevention or response to </w:t>
      </w:r>
      <w:r w:rsidR="0085681C" w:rsidRPr="00C62F6E">
        <w:t xml:space="preserve">infectious disease outbreaks and </w:t>
      </w:r>
      <w:r w:rsidRPr="00C62F6E">
        <w:t>emergencies, including primary care, palliative care, and other specialist</w:t>
      </w:r>
      <w:r w:rsidR="0085681C" w:rsidRPr="00C62F6E">
        <w:t xml:space="preserve"> services such as</w:t>
      </w:r>
      <w:r w:rsidRPr="00C62F6E">
        <w:t xml:space="preserve"> acute care, mental health, allied health and oral health services.</w:t>
      </w:r>
    </w:p>
    <w:p w14:paraId="4BF2683C" w14:textId="108A7F31" w:rsidR="00801AB3" w:rsidRPr="00C62F6E" w:rsidRDefault="00802F76" w:rsidP="00C62F6E">
      <w:pPr>
        <w:pStyle w:val="Heading1"/>
      </w:pPr>
      <w:r w:rsidRPr="00C62F6E">
        <w:t>Chair</w:t>
      </w:r>
    </w:p>
    <w:p w14:paraId="2D95A029" w14:textId="2C3E2476" w:rsidR="00801AB3" w:rsidRDefault="00802F76" w:rsidP="00C62F6E">
      <w:r>
        <w:t xml:space="preserve">The Chair of the Advisory Group </w:t>
      </w:r>
      <w:r w:rsidR="0085681C">
        <w:t>is</w:t>
      </w:r>
      <w:r>
        <w:t xml:space="preserve"> the Australian Government Chief Nursing and </w:t>
      </w:r>
      <w:r w:rsidRPr="00C62F6E">
        <w:t>Midwifery</w:t>
      </w:r>
      <w:r>
        <w:t xml:space="preserve"> Officer.</w:t>
      </w:r>
    </w:p>
    <w:p w14:paraId="602E20FB" w14:textId="77777777" w:rsidR="00801AB3" w:rsidRPr="00C62F6E" w:rsidRDefault="00802F76" w:rsidP="00C62F6E">
      <w:pPr>
        <w:pStyle w:val="Heading1"/>
      </w:pPr>
      <w:r w:rsidRPr="00C62F6E">
        <w:t>Membership</w:t>
      </w:r>
    </w:p>
    <w:p w14:paraId="64B42016" w14:textId="76C21DF1" w:rsidR="00801AB3" w:rsidRDefault="00802F76" w:rsidP="00C62F6E">
      <w:r w:rsidRPr="00C62F6E">
        <w:t>Members</w:t>
      </w:r>
      <w:r>
        <w:rPr>
          <w:spacing w:val="-2"/>
        </w:rPr>
        <w:t xml:space="preserve"> </w:t>
      </w:r>
      <w:r>
        <w:t>are</w:t>
      </w:r>
      <w:r>
        <w:rPr>
          <w:spacing w:val="-3"/>
        </w:rPr>
        <w:t xml:space="preserve"> </w:t>
      </w:r>
      <w:r>
        <w:t>approved</w:t>
      </w:r>
      <w:r>
        <w:rPr>
          <w:spacing w:val="-3"/>
        </w:rPr>
        <w:t xml:space="preserve"> </w:t>
      </w:r>
      <w:r>
        <w:t>by</w:t>
      </w:r>
      <w:r>
        <w:rPr>
          <w:spacing w:val="-1"/>
        </w:rPr>
        <w:t xml:space="preserve"> </w:t>
      </w:r>
      <w:r>
        <w:t>the</w:t>
      </w:r>
      <w:r>
        <w:rPr>
          <w:spacing w:val="-1"/>
        </w:rPr>
        <w:t xml:space="preserve"> </w:t>
      </w:r>
      <w:r w:rsidR="00B72E86">
        <w:rPr>
          <w:spacing w:val="-1"/>
        </w:rPr>
        <w:t>Australian Chief Medical Officer as the</w:t>
      </w:r>
      <w:r w:rsidR="00F93C95">
        <w:rPr>
          <w:spacing w:val="-1"/>
        </w:rPr>
        <w:t xml:space="preserve"> </w:t>
      </w:r>
      <w:r>
        <w:t>AHPC</w:t>
      </w:r>
      <w:r>
        <w:rPr>
          <w:spacing w:val="-2"/>
        </w:rPr>
        <w:t xml:space="preserve"> </w:t>
      </w:r>
      <w:r>
        <w:t>Chair,</w:t>
      </w:r>
      <w:r>
        <w:rPr>
          <w:spacing w:val="-3"/>
        </w:rPr>
        <w:t xml:space="preserve"> </w:t>
      </w:r>
      <w:r>
        <w:t>the</w:t>
      </w:r>
      <w:r>
        <w:rPr>
          <w:spacing w:val="-3"/>
        </w:rPr>
        <w:t xml:space="preserve"> </w:t>
      </w:r>
      <w:r w:rsidR="008B3025">
        <w:rPr>
          <w:spacing w:val="-3"/>
        </w:rPr>
        <w:t xml:space="preserve">overarching </w:t>
      </w:r>
      <w:r>
        <w:t>committee</w:t>
      </w:r>
      <w:r w:rsidR="00B72E86">
        <w:t xml:space="preserve"> to the Advisory Group</w:t>
      </w:r>
      <w:r>
        <w:t>.</w:t>
      </w:r>
      <w:r>
        <w:rPr>
          <w:spacing w:val="-5"/>
        </w:rPr>
        <w:t xml:space="preserve"> </w:t>
      </w:r>
      <w:r>
        <w:t>Members</w:t>
      </w:r>
      <w:r>
        <w:rPr>
          <w:spacing w:val="-2"/>
        </w:rPr>
        <w:t xml:space="preserve"> </w:t>
      </w:r>
      <w:r>
        <w:t>are</w:t>
      </w:r>
      <w:r>
        <w:rPr>
          <w:spacing w:val="-3"/>
        </w:rPr>
        <w:t xml:space="preserve"> </w:t>
      </w:r>
      <w:r>
        <w:t>selected for their following areas of expertise:</w:t>
      </w:r>
    </w:p>
    <w:p w14:paraId="1E0A2A92" w14:textId="77777777" w:rsidR="00B72E86" w:rsidRPr="00C62F6E" w:rsidRDefault="00802F76" w:rsidP="00C62F6E">
      <w:pPr>
        <w:pStyle w:val="ListBullet"/>
      </w:pPr>
      <w:r w:rsidRPr="00C62F6E">
        <w:t>Infection control and infectious disease prevention</w:t>
      </w:r>
    </w:p>
    <w:p w14:paraId="50B24767" w14:textId="1812A329" w:rsidR="00801AB3" w:rsidRPr="00C62F6E" w:rsidRDefault="00802F76" w:rsidP="00C62F6E">
      <w:pPr>
        <w:pStyle w:val="ListBullet"/>
      </w:pPr>
      <w:r w:rsidRPr="00C62F6E">
        <w:lastRenderedPageBreak/>
        <w:t>Allied health</w:t>
      </w:r>
    </w:p>
    <w:p w14:paraId="626A0FFC" w14:textId="77777777" w:rsidR="00801AB3" w:rsidRPr="00C62F6E" w:rsidRDefault="00802F76" w:rsidP="00625619">
      <w:pPr>
        <w:pStyle w:val="ListBullet"/>
      </w:pPr>
      <w:r w:rsidRPr="00C62F6E">
        <w:t>Primary Health Care</w:t>
      </w:r>
    </w:p>
    <w:p w14:paraId="19F42106" w14:textId="77777777" w:rsidR="00801AB3" w:rsidRPr="00C62F6E" w:rsidRDefault="00802F76" w:rsidP="00C62F6E">
      <w:pPr>
        <w:pStyle w:val="ListBullet"/>
      </w:pPr>
      <w:r w:rsidRPr="00C62F6E">
        <w:t>Gerontology</w:t>
      </w:r>
    </w:p>
    <w:p w14:paraId="45A39AED" w14:textId="77777777" w:rsidR="00801AB3" w:rsidRPr="00C62F6E" w:rsidRDefault="00802F76" w:rsidP="00C62F6E">
      <w:pPr>
        <w:pStyle w:val="ListBullet"/>
      </w:pPr>
      <w:r w:rsidRPr="00C62F6E">
        <w:t>Consumer advocacy</w:t>
      </w:r>
    </w:p>
    <w:p w14:paraId="307B5555" w14:textId="77777777" w:rsidR="00801AB3" w:rsidRPr="00C62F6E" w:rsidRDefault="00802F76" w:rsidP="00C62F6E">
      <w:pPr>
        <w:pStyle w:val="ListBullet"/>
      </w:pPr>
      <w:r w:rsidRPr="00C62F6E">
        <w:t>Aged Care Rehabilitation</w:t>
      </w:r>
    </w:p>
    <w:p w14:paraId="0685728D" w14:textId="77777777" w:rsidR="00801AB3" w:rsidRPr="00C62F6E" w:rsidRDefault="00802F76" w:rsidP="00C62F6E">
      <w:pPr>
        <w:pStyle w:val="ListBullet"/>
      </w:pPr>
      <w:r w:rsidRPr="00C62F6E">
        <w:t>Residential aged care</w:t>
      </w:r>
    </w:p>
    <w:p w14:paraId="48884870" w14:textId="77777777" w:rsidR="00801AB3" w:rsidRPr="00C62F6E" w:rsidRDefault="00802F76" w:rsidP="00C62F6E">
      <w:pPr>
        <w:pStyle w:val="ListBullet"/>
      </w:pPr>
      <w:r w:rsidRPr="00C62F6E">
        <w:t>Public Health research</w:t>
      </w:r>
    </w:p>
    <w:p w14:paraId="2F4FD9E3" w14:textId="77777777" w:rsidR="00801AB3" w:rsidRPr="00C62F6E" w:rsidRDefault="00802F76" w:rsidP="00C62F6E">
      <w:pPr>
        <w:pStyle w:val="ListBullet"/>
      </w:pPr>
      <w:r w:rsidRPr="00C62F6E">
        <w:t>State government officials with responsibility for emergency response processes</w:t>
      </w:r>
    </w:p>
    <w:p w14:paraId="2566B434" w14:textId="77777777" w:rsidR="00801AB3" w:rsidRPr="00C62F6E" w:rsidRDefault="00802F76" w:rsidP="00C62F6E">
      <w:pPr>
        <w:pStyle w:val="ListBullet"/>
      </w:pPr>
      <w:r w:rsidRPr="00C62F6E">
        <w:t>Quality and Safety</w:t>
      </w:r>
    </w:p>
    <w:p w14:paraId="701C0774" w14:textId="6A1C0968" w:rsidR="00801AB3" w:rsidRPr="00C62F6E" w:rsidRDefault="00802F76" w:rsidP="00C62F6E">
      <w:pPr>
        <w:pStyle w:val="ListBullet"/>
      </w:pPr>
      <w:r w:rsidRPr="00C62F6E">
        <w:t xml:space="preserve">The Aged Care Quality and Safety Commission Clinical Advisory </w:t>
      </w:r>
      <w:r w:rsidR="00C8202D" w:rsidRPr="00C62F6E">
        <w:t>T</w:t>
      </w:r>
      <w:r w:rsidRPr="00C62F6E">
        <w:t>eam</w:t>
      </w:r>
    </w:p>
    <w:p w14:paraId="66216EA1" w14:textId="77777777" w:rsidR="00801AB3" w:rsidRPr="00C62F6E" w:rsidRDefault="00802F76" w:rsidP="00C62F6E">
      <w:pPr>
        <w:pStyle w:val="ListBullet"/>
      </w:pPr>
      <w:r w:rsidRPr="00C62F6E">
        <w:t>Representatives from other Commonwealth Departments from time to time and as relevant to matters at hand</w:t>
      </w:r>
    </w:p>
    <w:p w14:paraId="2B9E0BC1" w14:textId="4818B595" w:rsidR="00801AB3" w:rsidRPr="00C62F6E" w:rsidRDefault="00802F76" w:rsidP="00C62F6E">
      <w:r w:rsidRPr="00C62F6E">
        <w:t xml:space="preserve">Membership can be amended at the discretion of the </w:t>
      </w:r>
      <w:r w:rsidR="00B72E86" w:rsidRPr="00C62F6E">
        <w:t>AHPC Chair</w:t>
      </w:r>
      <w:r w:rsidRPr="00C62F6E">
        <w:t>.</w:t>
      </w:r>
    </w:p>
    <w:p w14:paraId="6935A8DA" w14:textId="117611B8" w:rsidR="00801AB3" w:rsidRPr="00C62F6E" w:rsidRDefault="00802F76" w:rsidP="00C62F6E">
      <w:r w:rsidRPr="00C62F6E">
        <w:rPr>
          <w:rStyle w:val="Strong"/>
        </w:rPr>
        <w:t xml:space="preserve">The </w:t>
      </w:r>
      <w:r w:rsidR="00B72E86" w:rsidRPr="00C62F6E">
        <w:rPr>
          <w:rStyle w:val="Strong"/>
        </w:rPr>
        <w:t>A</w:t>
      </w:r>
      <w:r w:rsidRPr="00C62F6E">
        <w:rPr>
          <w:rStyle w:val="Strong"/>
        </w:rPr>
        <w:t xml:space="preserve">dvisory </w:t>
      </w:r>
      <w:r w:rsidR="00B72E86" w:rsidRPr="00C62F6E">
        <w:rPr>
          <w:rStyle w:val="Strong"/>
        </w:rPr>
        <w:t>G</w:t>
      </w:r>
      <w:r w:rsidRPr="00C62F6E">
        <w:rPr>
          <w:rStyle w:val="Strong"/>
        </w:rPr>
        <w:t xml:space="preserve">roup has </w:t>
      </w:r>
      <w:r w:rsidR="00383CDD" w:rsidRPr="00C62F6E">
        <w:rPr>
          <w:rStyle w:val="Strong"/>
        </w:rPr>
        <w:t xml:space="preserve">one </w:t>
      </w:r>
      <w:r w:rsidRPr="00C62F6E">
        <w:rPr>
          <w:rStyle w:val="Strong"/>
        </w:rPr>
        <w:t>standing observer</w:t>
      </w:r>
      <w:r w:rsidRPr="00C62F6E">
        <w:t>:</w:t>
      </w:r>
    </w:p>
    <w:p w14:paraId="4A9BA6CF" w14:textId="77777777" w:rsidR="00801AB3" w:rsidRDefault="00802F76" w:rsidP="00C62F6E">
      <w:pPr>
        <w:pStyle w:val="ListBullet2"/>
      </w:pPr>
      <w:r>
        <w:t>The</w:t>
      </w:r>
      <w:r>
        <w:rPr>
          <w:spacing w:val="-4"/>
        </w:rPr>
        <w:t xml:space="preserve"> </w:t>
      </w:r>
      <w:r>
        <w:t xml:space="preserve">Aged Care Quality and Safety </w:t>
      </w:r>
      <w:r w:rsidRPr="00C62F6E">
        <w:t>Commissioner</w:t>
      </w:r>
    </w:p>
    <w:p w14:paraId="566B3854" w14:textId="77777777" w:rsidR="00801AB3" w:rsidRPr="00C62F6E" w:rsidRDefault="00802F76" w:rsidP="00C62F6E">
      <w:pPr>
        <w:pStyle w:val="Heading1"/>
      </w:pPr>
      <w:r w:rsidRPr="00C62F6E">
        <w:t>Meetings</w:t>
      </w:r>
    </w:p>
    <w:p w14:paraId="6A5CCA86" w14:textId="2150472A" w:rsidR="00801AB3" w:rsidRPr="00C62F6E" w:rsidRDefault="00802F76" w:rsidP="00C62F6E">
      <w:bookmarkStart w:id="2" w:name="_Hlk175132964"/>
      <w:r w:rsidRPr="00C62F6E">
        <w:t xml:space="preserve">Meetings are held </w:t>
      </w:r>
      <w:r w:rsidR="00A07FE2" w:rsidRPr="00C62F6E">
        <w:t>regularly</w:t>
      </w:r>
      <w:r w:rsidR="00B72E86" w:rsidRPr="00C62F6E">
        <w:t xml:space="preserve"> </w:t>
      </w:r>
      <w:r w:rsidRPr="00C62F6E">
        <w:t>at the discretion of the Chair; and provide advice out-of-session as required. Members will be provided with agenda papers prior to each meeting.</w:t>
      </w:r>
    </w:p>
    <w:bookmarkEnd w:id="2"/>
    <w:p w14:paraId="04D278FC" w14:textId="77777777" w:rsidR="00801AB3" w:rsidRPr="00C62F6E" w:rsidRDefault="00802F76" w:rsidP="00C62F6E">
      <w:r w:rsidRPr="00C62F6E">
        <w:t>Members are asked to respect the confidentiality of meetings and to declare any perceived or actual conflicts of interest.</w:t>
      </w:r>
    </w:p>
    <w:p w14:paraId="19780A28" w14:textId="77777777" w:rsidR="00801AB3" w:rsidRPr="00C62F6E" w:rsidRDefault="00802F76" w:rsidP="00C62F6E">
      <w:pPr>
        <w:pStyle w:val="Heading1"/>
      </w:pPr>
      <w:r w:rsidRPr="00C62F6E">
        <w:t>Proxies</w:t>
      </w:r>
    </w:p>
    <w:p w14:paraId="2D2A5342" w14:textId="77777777" w:rsidR="00801AB3" w:rsidRPr="00C62F6E" w:rsidRDefault="00802F76" w:rsidP="00C62F6E">
      <w:r w:rsidRPr="00C62F6E">
        <w:t>A Member may nominate a proxy to attend a meeting in their absence. This is at the discretion of the Chair.</w:t>
      </w:r>
    </w:p>
    <w:p w14:paraId="4BC8E3B1" w14:textId="77777777" w:rsidR="00801AB3" w:rsidRPr="00C62F6E" w:rsidRDefault="00802F76" w:rsidP="00C62F6E">
      <w:pPr>
        <w:pStyle w:val="Heading1"/>
      </w:pPr>
      <w:r w:rsidRPr="00C62F6E">
        <w:t>Reporting arrangements</w:t>
      </w:r>
    </w:p>
    <w:p w14:paraId="74D3D989" w14:textId="3CB3C79E" w:rsidR="00801AB3" w:rsidRPr="00C62F6E" w:rsidRDefault="00802F76" w:rsidP="00C62F6E">
      <w:r w:rsidRPr="00C62F6E">
        <w:t xml:space="preserve">Following each meeting, a report on the meeting outcomes is provided to </w:t>
      </w:r>
      <w:r w:rsidR="00B72E86" w:rsidRPr="00C62F6E">
        <w:t xml:space="preserve">the </w:t>
      </w:r>
      <w:r w:rsidRPr="00C62F6E">
        <w:t>AHPC.</w:t>
      </w:r>
    </w:p>
    <w:p w14:paraId="7E4D4D9C" w14:textId="4A983A33" w:rsidR="00801AB3" w:rsidRPr="00C62F6E" w:rsidRDefault="00802F76" w:rsidP="00C62F6E">
      <w:r w:rsidRPr="00C62F6E">
        <w:t xml:space="preserve">A progress report against tasks outlined in the forward work plan will be provided to </w:t>
      </w:r>
      <w:r w:rsidR="00B72E86" w:rsidRPr="00C62F6E">
        <w:t xml:space="preserve">the </w:t>
      </w:r>
      <w:r w:rsidRPr="00C62F6E">
        <w:t>AHPC once a year.</w:t>
      </w:r>
    </w:p>
    <w:p w14:paraId="76A748CA" w14:textId="112D5C6E" w:rsidR="00801AB3" w:rsidRPr="00C62F6E" w:rsidRDefault="00802F76" w:rsidP="00C62F6E">
      <w:r w:rsidRPr="00C62F6E">
        <w:t>Reports or position statements seeking further action will be submitted to</w:t>
      </w:r>
      <w:r w:rsidR="00B72E86" w:rsidRPr="00C62F6E">
        <w:t xml:space="preserve"> the</w:t>
      </w:r>
      <w:r w:rsidRPr="00C62F6E">
        <w:t xml:space="preserve"> AHPC for action.</w:t>
      </w:r>
    </w:p>
    <w:p w14:paraId="0AA0559D" w14:textId="558E118D" w:rsidR="00801AB3" w:rsidRPr="00C62F6E" w:rsidRDefault="00802F76" w:rsidP="00C62F6E">
      <w:pPr>
        <w:pStyle w:val="Heading1"/>
      </w:pPr>
      <w:r w:rsidRPr="00C62F6E">
        <w:t xml:space="preserve">Forward </w:t>
      </w:r>
      <w:r w:rsidR="00B72E86" w:rsidRPr="00C62F6E">
        <w:t>m</w:t>
      </w:r>
      <w:r w:rsidRPr="00C62F6E">
        <w:t xml:space="preserve">eeting </w:t>
      </w:r>
      <w:r w:rsidR="00B72E86" w:rsidRPr="00C62F6E">
        <w:t>s</w:t>
      </w:r>
      <w:r w:rsidRPr="00C62F6E">
        <w:t>chedule</w:t>
      </w:r>
    </w:p>
    <w:p w14:paraId="44010EA0" w14:textId="77777777" w:rsidR="00801AB3" w:rsidRPr="00C62F6E" w:rsidRDefault="00802F76" w:rsidP="00C62F6E">
      <w:r w:rsidRPr="00C62F6E">
        <w:t>A forward meeting schedule will be maintained by the Secretariat in collaboration with the Chair and submitted to members for approval. Members can nominate topics for inclusion on the forward meeting schedule.</w:t>
      </w:r>
    </w:p>
    <w:p w14:paraId="779AD881" w14:textId="77777777" w:rsidR="00801AB3" w:rsidRPr="00C62F6E" w:rsidRDefault="00802F76" w:rsidP="00C62F6E">
      <w:pPr>
        <w:pStyle w:val="Heading1"/>
      </w:pPr>
      <w:r w:rsidRPr="00C62F6E">
        <w:t>Review</w:t>
      </w:r>
    </w:p>
    <w:p w14:paraId="0A70B88A" w14:textId="77777777" w:rsidR="00801AB3" w:rsidRPr="00C62F6E" w:rsidRDefault="00802F76" w:rsidP="00C62F6E">
      <w:r w:rsidRPr="00C62F6E">
        <w:t>A review of the Advisory Group’s activities and strategic direction will be undertaken by the Department. An optimal time for a review of the Advisory Group will be agreed in consultation with the Chair.</w:t>
      </w:r>
      <w:bookmarkEnd w:id="0"/>
    </w:p>
    <w:sectPr w:rsidR="00801AB3" w:rsidRPr="00C62F6E" w:rsidSect="00C62F6E">
      <w:footerReference w:type="default" r:id="rId11"/>
      <w:pgSz w:w="11910" w:h="16840"/>
      <w:pgMar w:top="1135" w:right="1440" w:bottom="851" w:left="1440" w:header="0" w:footer="86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3E5D2" w14:textId="77777777" w:rsidR="00272E5F" w:rsidRDefault="00272E5F">
      <w:r>
        <w:separator/>
      </w:r>
    </w:p>
  </w:endnote>
  <w:endnote w:type="continuationSeparator" w:id="0">
    <w:p w14:paraId="47A16B28" w14:textId="77777777" w:rsidR="00272E5F" w:rsidRDefault="0027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1F39A" w14:textId="4F1F2736" w:rsidR="007D45FE" w:rsidRPr="00C62F6E" w:rsidRDefault="007D45FE" w:rsidP="00C62F6E">
    <w:pPr>
      <w:pStyle w:val="Footer"/>
      <w:jc w:val="center"/>
      <w:rPr>
        <w:b/>
        <w:bCs/>
        <w:sz w:val="18"/>
        <w:szCs w:val="18"/>
      </w:rPr>
    </w:pPr>
    <w:r>
      <w:rPr>
        <w:b/>
        <w:bCs/>
        <w:sz w:val="18"/>
        <w:szCs w:val="18"/>
      </w:rPr>
      <w:t>____________________________________________________________________________________________________</w:t>
    </w:r>
  </w:p>
  <w:p w14:paraId="7379D69B" w14:textId="1220E527" w:rsidR="00801AB3" w:rsidRPr="007D45FE" w:rsidRDefault="007D45FE" w:rsidP="007D45FE">
    <w:pPr>
      <w:pStyle w:val="Footer"/>
      <w:jc w:val="center"/>
      <w:rPr>
        <w:sz w:val="20"/>
        <w:szCs w:val="20"/>
      </w:rPr>
    </w:pPr>
    <w:r w:rsidRPr="007D45FE">
      <w:rPr>
        <w:b/>
        <w:bCs/>
        <w:sz w:val="20"/>
        <w:szCs w:val="20"/>
      </w:rPr>
      <w:t xml:space="preserve">AHPC Aged Care Advisory Group Terms of Reference </w:t>
    </w:r>
    <w:r w:rsidRPr="007D45FE">
      <w:rPr>
        <w:b/>
        <w:bCs/>
        <w:sz w:val="20"/>
        <w:szCs w:val="20"/>
      </w:rPr>
      <w:tab/>
    </w:r>
    <w:r w:rsidRPr="007D45FE">
      <w:rPr>
        <w:b/>
        <w:bCs/>
        <w:sz w:val="20"/>
        <w:szCs w:val="20"/>
      </w:rPr>
      <w:tab/>
      <w:t xml:space="preserve">Reviewed </w:t>
    </w:r>
    <w:r w:rsidR="00B61743">
      <w:rPr>
        <w:b/>
        <w:bCs/>
        <w:sz w:val="20"/>
        <w:szCs w:val="20"/>
      </w:rPr>
      <w:t>November</w:t>
    </w:r>
    <w:r w:rsidRPr="007D45FE">
      <w:rPr>
        <w:b/>
        <w:bCs/>
        <w:sz w:val="20"/>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980CE" w14:textId="77777777" w:rsidR="00272E5F" w:rsidRDefault="00272E5F">
      <w:r>
        <w:separator/>
      </w:r>
    </w:p>
  </w:footnote>
  <w:footnote w:type="continuationSeparator" w:id="0">
    <w:p w14:paraId="08C690C7" w14:textId="77777777" w:rsidR="00272E5F" w:rsidRDefault="00272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AEE5AD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BF8A9E1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7146EBE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25957A12"/>
    <w:multiLevelType w:val="hybridMultilevel"/>
    <w:tmpl w:val="A7D04ECC"/>
    <w:lvl w:ilvl="0" w:tplc="6A92004E">
      <w:start w:val="1"/>
      <w:numFmt w:val="decimal"/>
      <w:lvlText w:val="%1."/>
      <w:lvlJc w:val="left"/>
      <w:pPr>
        <w:ind w:left="1765" w:hanging="567"/>
        <w:jc w:val="left"/>
      </w:pPr>
      <w:rPr>
        <w:rFonts w:hint="default"/>
        <w:w w:val="100"/>
        <w:lang w:val="en-AU" w:eastAsia="en-US" w:bidi="ar-SA"/>
      </w:rPr>
    </w:lvl>
    <w:lvl w:ilvl="1" w:tplc="E96A32CE">
      <w:numFmt w:val="bullet"/>
      <w:lvlText w:val="•"/>
      <w:lvlJc w:val="left"/>
      <w:pPr>
        <w:ind w:left="2734" w:hanging="567"/>
      </w:pPr>
      <w:rPr>
        <w:rFonts w:hint="default"/>
        <w:lang w:val="en-AU" w:eastAsia="en-US" w:bidi="ar-SA"/>
      </w:rPr>
    </w:lvl>
    <w:lvl w:ilvl="2" w:tplc="78420FFC">
      <w:numFmt w:val="bullet"/>
      <w:lvlText w:val="•"/>
      <w:lvlJc w:val="left"/>
      <w:pPr>
        <w:ind w:left="3709" w:hanging="567"/>
      </w:pPr>
      <w:rPr>
        <w:rFonts w:hint="default"/>
        <w:lang w:val="en-AU" w:eastAsia="en-US" w:bidi="ar-SA"/>
      </w:rPr>
    </w:lvl>
    <w:lvl w:ilvl="3" w:tplc="AF98F19A">
      <w:numFmt w:val="bullet"/>
      <w:lvlText w:val="•"/>
      <w:lvlJc w:val="left"/>
      <w:pPr>
        <w:ind w:left="4683" w:hanging="567"/>
      </w:pPr>
      <w:rPr>
        <w:rFonts w:hint="default"/>
        <w:lang w:val="en-AU" w:eastAsia="en-US" w:bidi="ar-SA"/>
      </w:rPr>
    </w:lvl>
    <w:lvl w:ilvl="4" w:tplc="2D022582">
      <w:numFmt w:val="bullet"/>
      <w:lvlText w:val="•"/>
      <w:lvlJc w:val="left"/>
      <w:pPr>
        <w:ind w:left="5658" w:hanging="567"/>
      </w:pPr>
      <w:rPr>
        <w:rFonts w:hint="default"/>
        <w:lang w:val="en-AU" w:eastAsia="en-US" w:bidi="ar-SA"/>
      </w:rPr>
    </w:lvl>
    <w:lvl w:ilvl="5" w:tplc="3B942D9E">
      <w:numFmt w:val="bullet"/>
      <w:lvlText w:val="•"/>
      <w:lvlJc w:val="left"/>
      <w:pPr>
        <w:ind w:left="6633" w:hanging="567"/>
      </w:pPr>
      <w:rPr>
        <w:rFonts w:hint="default"/>
        <w:lang w:val="en-AU" w:eastAsia="en-US" w:bidi="ar-SA"/>
      </w:rPr>
    </w:lvl>
    <w:lvl w:ilvl="6" w:tplc="784C7362">
      <w:numFmt w:val="bullet"/>
      <w:lvlText w:val="•"/>
      <w:lvlJc w:val="left"/>
      <w:pPr>
        <w:ind w:left="7607" w:hanging="567"/>
      </w:pPr>
      <w:rPr>
        <w:rFonts w:hint="default"/>
        <w:lang w:val="en-AU" w:eastAsia="en-US" w:bidi="ar-SA"/>
      </w:rPr>
    </w:lvl>
    <w:lvl w:ilvl="7" w:tplc="E5A69CF4">
      <w:numFmt w:val="bullet"/>
      <w:lvlText w:val="•"/>
      <w:lvlJc w:val="left"/>
      <w:pPr>
        <w:ind w:left="8582" w:hanging="567"/>
      </w:pPr>
      <w:rPr>
        <w:rFonts w:hint="default"/>
        <w:lang w:val="en-AU" w:eastAsia="en-US" w:bidi="ar-SA"/>
      </w:rPr>
    </w:lvl>
    <w:lvl w:ilvl="8" w:tplc="C206040E">
      <w:numFmt w:val="bullet"/>
      <w:lvlText w:val="•"/>
      <w:lvlJc w:val="left"/>
      <w:pPr>
        <w:ind w:left="9557" w:hanging="567"/>
      </w:pPr>
      <w:rPr>
        <w:rFonts w:hint="default"/>
        <w:lang w:val="en-AU" w:eastAsia="en-US" w:bidi="ar-SA"/>
      </w:rPr>
    </w:lvl>
  </w:abstractNum>
  <w:abstractNum w:abstractNumId="4" w15:restartNumberingAfterBreak="0">
    <w:nsid w:val="74162E49"/>
    <w:multiLevelType w:val="hybridMultilevel"/>
    <w:tmpl w:val="B21EC89A"/>
    <w:lvl w:ilvl="0" w:tplc="44B4FE50">
      <w:numFmt w:val="bullet"/>
      <w:lvlText w:val=""/>
      <w:lvlJc w:val="left"/>
      <w:pPr>
        <w:ind w:left="1765" w:hanging="567"/>
      </w:pPr>
      <w:rPr>
        <w:rFonts w:ascii="Symbol" w:eastAsia="Symbol" w:hAnsi="Symbol" w:cs="Symbol" w:hint="default"/>
        <w:b w:val="0"/>
        <w:bCs w:val="0"/>
        <w:i w:val="0"/>
        <w:iCs w:val="0"/>
        <w:w w:val="100"/>
        <w:sz w:val="24"/>
        <w:szCs w:val="24"/>
        <w:lang w:val="en-AU" w:eastAsia="en-US" w:bidi="ar-SA"/>
      </w:rPr>
    </w:lvl>
    <w:lvl w:ilvl="1" w:tplc="10FCEE84">
      <w:numFmt w:val="bullet"/>
      <w:lvlText w:val="•"/>
      <w:lvlJc w:val="left"/>
      <w:pPr>
        <w:ind w:left="2734" w:hanging="567"/>
      </w:pPr>
      <w:rPr>
        <w:rFonts w:hint="default"/>
        <w:lang w:val="en-AU" w:eastAsia="en-US" w:bidi="ar-SA"/>
      </w:rPr>
    </w:lvl>
    <w:lvl w:ilvl="2" w:tplc="D53ACAF6">
      <w:numFmt w:val="bullet"/>
      <w:lvlText w:val="•"/>
      <w:lvlJc w:val="left"/>
      <w:pPr>
        <w:ind w:left="3709" w:hanging="567"/>
      </w:pPr>
      <w:rPr>
        <w:rFonts w:hint="default"/>
        <w:lang w:val="en-AU" w:eastAsia="en-US" w:bidi="ar-SA"/>
      </w:rPr>
    </w:lvl>
    <w:lvl w:ilvl="3" w:tplc="F16C86EA">
      <w:numFmt w:val="bullet"/>
      <w:lvlText w:val="•"/>
      <w:lvlJc w:val="left"/>
      <w:pPr>
        <w:ind w:left="4683" w:hanging="567"/>
      </w:pPr>
      <w:rPr>
        <w:rFonts w:hint="default"/>
        <w:lang w:val="en-AU" w:eastAsia="en-US" w:bidi="ar-SA"/>
      </w:rPr>
    </w:lvl>
    <w:lvl w:ilvl="4" w:tplc="554A8B9E">
      <w:numFmt w:val="bullet"/>
      <w:lvlText w:val="•"/>
      <w:lvlJc w:val="left"/>
      <w:pPr>
        <w:ind w:left="5658" w:hanging="567"/>
      </w:pPr>
      <w:rPr>
        <w:rFonts w:hint="default"/>
        <w:lang w:val="en-AU" w:eastAsia="en-US" w:bidi="ar-SA"/>
      </w:rPr>
    </w:lvl>
    <w:lvl w:ilvl="5" w:tplc="B15E1894">
      <w:numFmt w:val="bullet"/>
      <w:lvlText w:val="•"/>
      <w:lvlJc w:val="left"/>
      <w:pPr>
        <w:ind w:left="6633" w:hanging="567"/>
      </w:pPr>
      <w:rPr>
        <w:rFonts w:hint="default"/>
        <w:lang w:val="en-AU" w:eastAsia="en-US" w:bidi="ar-SA"/>
      </w:rPr>
    </w:lvl>
    <w:lvl w:ilvl="6" w:tplc="5B38D2F2">
      <w:numFmt w:val="bullet"/>
      <w:lvlText w:val="•"/>
      <w:lvlJc w:val="left"/>
      <w:pPr>
        <w:ind w:left="7607" w:hanging="567"/>
      </w:pPr>
      <w:rPr>
        <w:rFonts w:hint="default"/>
        <w:lang w:val="en-AU" w:eastAsia="en-US" w:bidi="ar-SA"/>
      </w:rPr>
    </w:lvl>
    <w:lvl w:ilvl="7" w:tplc="2A4CEB0A">
      <w:numFmt w:val="bullet"/>
      <w:lvlText w:val="•"/>
      <w:lvlJc w:val="left"/>
      <w:pPr>
        <w:ind w:left="8582" w:hanging="567"/>
      </w:pPr>
      <w:rPr>
        <w:rFonts w:hint="default"/>
        <w:lang w:val="en-AU" w:eastAsia="en-US" w:bidi="ar-SA"/>
      </w:rPr>
    </w:lvl>
    <w:lvl w:ilvl="8" w:tplc="6450B0F6">
      <w:numFmt w:val="bullet"/>
      <w:lvlText w:val="•"/>
      <w:lvlJc w:val="left"/>
      <w:pPr>
        <w:ind w:left="9557" w:hanging="567"/>
      </w:pPr>
      <w:rPr>
        <w:rFonts w:hint="default"/>
        <w:lang w:val="en-AU" w:eastAsia="en-US" w:bidi="ar-SA"/>
      </w:rPr>
    </w:lvl>
  </w:abstractNum>
  <w:abstractNum w:abstractNumId="5" w15:restartNumberingAfterBreak="0">
    <w:nsid w:val="7B750D7F"/>
    <w:multiLevelType w:val="hybridMultilevel"/>
    <w:tmpl w:val="9E5235BC"/>
    <w:lvl w:ilvl="0" w:tplc="E4BED72E">
      <w:numFmt w:val="bullet"/>
      <w:pStyle w:val="ListBullet2"/>
      <w:lvlText w:val="-"/>
      <w:lvlJc w:val="left"/>
      <w:pPr>
        <w:ind w:left="1765" w:hanging="567"/>
      </w:pPr>
      <w:rPr>
        <w:rFonts w:ascii="Calibri" w:eastAsia="Calibri" w:hAnsi="Calibri" w:cs="Calibri" w:hint="default"/>
        <w:b w:val="0"/>
        <w:bCs w:val="0"/>
        <w:i w:val="0"/>
        <w:iCs w:val="0"/>
        <w:w w:val="100"/>
        <w:sz w:val="24"/>
        <w:szCs w:val="24"/>
        <w:lang w:val="en-AU" w:eastAsia="en-US" w:bidi="ar-SA"/>
      </w:rPr>
    </w:lvl>
    <w:lvl w:ilvl="1" w:tplc="AC0CF598">
      <w:numFmt w:val="bullet"/>
      <w:lvlText w:val="•"/>
      <w:lvlJc w:val="left"/>
      <w:pPr>
        <w:ind w:left="2734" w:hanging="567"/>
      </w:pPr>
      <w:rPr>
        <w:rFonts w:hint="default"/>
        <w:lang w:val="en-AU" w:eastAsia="en-US" w:bidi="ar-SA"/>
      </w:rPr>
    </w:lvl>
    <w:lvl w:ilvl="2" w:tplc="577EDB7A">
      <w:numFmt w:val="bullet"/>
      <w:lvlText w:val="•"/>
      <w:lvlJc w:val="left"/>
      <w:pPr>
        <w:ind w:left="3709" w:hanging="567"/>
      </w:pPr>
      <w:rPr>
        <w:rFonts w:hint="default"/>
        <w:lang w:val="en-AU" w:eastAsia="en-US" w:bidi="ar-SA"/>
      </w:rPr>
    </w:lvl>
    <w:lvl w:ilvl="3" w:tplc="55787228">
      <w:numFmt w:val="bullet"/>
      <w:lvlText w:val="•"/>
      <w:lvlJc w:val="left"/>
      <w:pPr>
        <w:ind w:left="4683" w:hanging="567"/>
      </w:pPr>
      <w:rPr>
        <w:rFonts w:hint="default"/>
        <w:lang w:val="en-AU" w:eastAsia="en-US" w:bidi="ar-SA"/>
      </w:rPr>
    </w:lvl>
    <w:lvl w:ilvl="4" w:tplc="FB92BFC2">
      <w:numFmt w:val="bullet"/>
      <w:lvlText w:val="•"/>
      <w:lvlJc w:val="left"/>
      <w:pPr>
        <w:ind w:left="5658" w:hanging="567"/>
      </w:pPr>
      <w:rPr>
        <w:rFonts w:hint="default"/>
        <w:lang w:val="en-AU" w:eastAsia="en-US" w:bidi="ar-SA"/>
      </w:rPr>
    </w:lvl>
    <w:lvl w:ilvl="5" w:tplc="FD044F12">
      <w:numFmt w:val="bullet"/>
      <w:lvlText w:val="•"/>
      <w:lvlJc w:val="left"/>
      <w:pPr>
        <w:ind w:left="6633" w:hanging="567"/>
      </w:pPr>
      <w:rPr>
        <w:rFonts w:hint="default"/>
        <w:lang w:val="en-AU" w:eastAsia="en-US" w:bidi="ar-SA"/>
      </w:rPr>
    </w:lvl>
    <w:lvl w:ilvl="6" w:tplc="D1787EAC">
      <w:numFmt w:val="bullet"/>
      <w:lvlText w:val="•"/>
      <w:lvlJc w:val="left"/>
      <w:pPr>
        <w:ind w:left="7607" w:hanging="567"/>
      </w:pPr>
      <w:rPr>
        <w:rFonts w:hint="default"/>
        <w:lang w:val="en-AU" w:eastAsia="en-US" w:bidi="ar-SA"/>
      </w:rPr>
    </w:lvl>
    <w:lvl w:ilvl="7" w:tplc="29D8CB14">
      <w:numFmt w:val="bullet"/>
      <w:lvlText w:val="•"/>
      <w:lvlJc w:val="left"/>
      <w:pPr>
        <w:ind w:left="8582" w:hanging="567"/>
      </w:pPr>
      <w:rPr>
        <w:rFonts w:hint="default"/>
        <w:lang w:val="en-AU" w:eastAsia="en-US" w:bidi="ar-SA"/>
      </w:rPr>
    </w:lvl>
    <w:lvl w:ilvl="8" w:tplc="44DAD7E4">
      <w:numFmt w:val="bullet"/>
      <w:lvlText w:val="•"/>
      <w:lvlJc w:val="left"/>
      <w:pPr>
        <w:ind w:left="9557" w:hanging="567"/>
      </w:pPr>
      <w:rPr>
        <w:rFonts w:hint="default"/>
        <w:lang w:val="en-AU" w:eastAsia="en-US" w:bidi="ar-SA"/>
      </w:rPr>
    </w:lvl>
  </w:abstractNum>
  <w:num w:numId="1" w16cid:durableId="1003431017">
    <w:abstractNumId w:val="5"/>
  </w:num>
  <w:num w:numId="2" w16cid:durableId="1276981299">
    <w:abstractNumId w:val="4"/>
  </w:num>
  <w:num w:numId="3" w16cid:durableId="1806048226">
    <w:abstractNumId w:val="3"/>
  </w:num>
  <w:num w:numId="4" w16cid:durableId="1555853555">
    <w:abstractNumId w:val="1"/>
  </w:num>
  <w:num w:numId="5" w16cid:durableId="794177233">
    <w:abstractNumId w:val="2"/>
  </w:num>
  <w:num w:numId="6" w16cid:durableId="722752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B3"/>
    <w:rsid w:val="000064E4"/>
    <w:rsid w:val="00047E42"/>
    <w:rsid w:val="00070D35"/>
    <w:rsid w:val="0012079B"/>
    <w:rsid w:val="00161D4B"/>
    <w:rsid w:val="001962A4"/>
    <w:rsid w:val="001E68A5"/>
    <w:rsid w:val="002069DC"/>
    <w:rsid w:val="00210AC2"/>
    <w:rsid w:val="00272E5F"/>
    <w:rsid w:val="00275448"/>
    <w:rsid w:val="002D20DC"/>
    <w:rsid w:val="002E7970"/>
    <w:rsid w:val="00324C8C"/>
    <w:rsid w:val="00343D3B"/>
    <w:rsid w:val="00383CDD"/>
    <w:rsid w:val="003B749C"/>
    <w:rsid w:val="003C1B98"/>
    <w:rsid w:val="003C2D0C"/>
    <w:rsid w:val="003D057E"/>
    <w:rsid w:val="00410A18"/>
    <w:rsid w:val="004344FB"/>
    <w:rsid w:val="004D7475"/>
    <w:rsid w:val="004F6ABF"/>
    <w:rsid w:val="00512667"/>
    <w:rsid w:val="00593684"/>
    <w:rsid w:val="005F06A2"/>
    <w:rsid w:val="005F12AE"/>
    <w:rsid w:val="005F3F8D"/>
    <w:rsid w:val="0060569B"/>
    <w:rsid w:val="00625619"/>
    <w:rsid w:val="00676CD0"/>
    <w:rsid w:val="0069791A"/>
    <w:rsid w:val="006C6F60"/>
    <w:rsid w:val="00723AB4"/>
    <w:rsid w:val="0079427E"/>
    <w:rsid w:val="007D45FE"/>
    <w:rsid w:val="00801AB3"/>
    <w:rsid w:val="00802F76"/>
    <w:rsid w:val="00834693"/>
    <w:rsid w:val="0085681C"/>
    <w:rsid w:val="00886E06"/>
    <w:rsid w:val="008B3025"/>
    <w:rsid w:val="008C4A71"/>
    <w:rsid w:val="00960EA7"/>
    <w:rsid w:val="00997FCA"/>
    <w:rsid w:val="009C57A6"/>
    <w:rsid w:val="009E7056"/>
    <w:rsid w:val="00A07FE2"/>
    <w:rsid w:val="00A30B37"/>
    <w:rsid w:val="00AA3B67"/>
    <w:rsid w:val="00AD37FC"/>
    <w:rsid w:val="00B072D2"/>
    <w:rsid w:val="00B61743"/>
    <w:rsid w:val="00B72E86"/>
    <w:rsid w:val="00BA1BC0"/>
    <w:rsid w:val="00C500AA"/>
    <w:rsid w:val="00C54276"/>
    <w:rsid w:val="00C62F6E"/>
    <w:rsid w:val="00C6322C"/>
    <w:rsid w:val="00C67A3F"/>
    <w:rsid w:val="00C768D4"/>
    <w:rsid w:val="00C8202D"/>
    <w:rsid w:val="00CA33CD"/>
    <w:rsid w:val="00D02728"/>
    <w:rsid w:val="00DA54A6"/>
    <w:rsid w:val="00DB7E70"/>
    <w:rsid w:val="00DE3D41"/>
    <w:rsid w:val="00DE6727"/>
    <w:rsid w:val="00DF12EB"/>
    <w:rsid w:val="00EC6C12"/>
    <w:rsid w:val="00ED0C24"/>
    <w:rsid w:val="00ED28AB"/>
    <w:rsid w:val="00EE6F2E"/>
    <w:rsid w:val="00F3124B"/>
    <w:rsid w:val="00F93C95"/>
    <w:rsid w:val="00FB46E1"/>
    <w:rsid w:val="00FD0C61"/>
    <w:rsid w:val="00FD56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C70F9"/>
  <w15:docId w15:val="{E2279969-AE3E-40F3-A2EA-3C303C17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6E1"/>
    <w:pPr>
      <w:spacing w:before="120" w:after="120" w:line="259" w:lineRule="auto"/>
    </w:pPr>
    <w:rPr>
      <w:rFonts w:ascii="Calibri" w:eastAsia="Calibri" w:hAnsi="Calibri" w:cs="Calibri"/>
      <w:sz w:val="24"/>
      <w:lang w:val="en-AU"/>
    </w:rPr>
  </w:style>
  <w:style w:type="paragraph" w:styleId="Heading1">
    <w:name w:val="heading 1"/>
    <w:basedOn w:val="Normal"/>
    <w:uiPriority w:val="9"/>
    <w:qFormat/>
    <w:rsid w:val="00C62F6E"/>
    <w:pPr>
      <w:outlineLvl w:val="0"/>
    </w:pPr>
    <w:rPr>
      <w:b/>
      <w:bCs/>
      <w:iCs/>
      <w:color w:val="4F81BD"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65"/>
    </w:pPr>
    <w:rPr>
      <w:szCs w:val="24"/>
    </w:rPr>
  </w:style>
  <w:style w:type="paragraph" w:styleId="Title">
    <w:name w:val="Title"/>
    <w:basedOn w:val="Normal"/>
    <w:uiPriority w:val="10"/>
    <w:qFormat/>
    <w:rsid w:val="00C62F6E"/>
    <w:rPr>
      <w:rFonts w:ascii="Arial" w:eastAsia="Arial" w:hAnsi="Arial" w:cs="Arial"/>
      <w:b/>
      <w:bCs/>
      <w:color w:val="3E4975"/>
      <w:sz w:val="48"/>
      <w:szCs w:val="48"/>
    </w:rPr>
  </w:style>
  <w:style w:type="paragraph" w:styleId="ListParagraph">
    <w:name w:val="List Paragraph"/>
    <w:basedOn w:val="Normal"/>
    <w:uiPriority w:val="1"/>
    <w:qFormat/>
    <w:pPr>
      <w:spacing w:before="40"/>
      <w:ind w:left="1765" w:hanging="56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569B"/>
    <w:pPr>
      <w:tabs>
        <w:tab w:val="center" w:pos="4513"/>
        <w:tab w:val="right" w:pos="9026"/>
      </w:tabs>
    </w:pPr>
  </w:style>
  <w:style w:type="character" w:customStyle="1" w:styleId="HeaderChar">
    <w:name w:val="Header Char"/>
    <w:basedOn w:val="DefaultParagraphFont"/>
    <w:link w:val="Header"/>
    <w:uiPriority w:val="99"/>
    <w:rsid w:val="0060569B"/>
    <w:rPr>
      <w:rFonts w:ascii="Calibri" w:eastAsia="Calibri" w:hAnsi="Calibri" w:cs="Calibri"/>
      <w:lang w:val="en-AU"/>
    </w:rPr>
  </w:style>
  <w:style w:type="paragraph" w:styleId="Footer">
    <w:name w:val="footer"/>
    <w:basedOn w:val="Normal"/>
    <w:link w:val="FooterChar"/>
    <w:uiPriority w:val="99"/>
    <w:unhideWhenUsed/>
    <w:rsid w:val="0060569B"/>
    <w:pPr>
      <w:tabs>
        <w:tab w:val="center" w:pos="4513"/>
        <w:tab w:val="right" w:pos="9026"/>
      </w:tabs>
    </w:pPr>
  </w:style>
  <w:style w:type="character" w:customStyle="1" w:styleId="FooterChar">
    <w:name w:val="Footer Char"/>
    <w:basedOn w:val="DefaultParagraphFont"/>
    <w:link w:val="Footer"/>
    <w:uiPriority w:val="99"/>
    <w:rsid w:val="0060569B"/>
    <w:rPr>
      <w:rFonts w:ascii="Calibri" w:eastAsia="Calibri" w:hAnsi="Calibri" w:cs="Calibri"/>
      <w:lang w:val="en-AU"/>
    </w:rPr>
  </w:style>
  <w:style w:type="paragraph" w:styleId="Revision">
    <w:name w:val="Revision"/>
    <w:hidden/>
    <w:uiPriority w:val="99"/>
    <w:semiHidden/>
    <w:rsid w:val="00047E42"/>
    <w:pPr>
      <w:widowControl/>
      <w:autoSpaceDE/>
      <w:autoSpaceDN/>
    </w:pPr>
    <w:rPr>
      <w:rFonts w:ascii="Calibri" w:eastAsia="Calibri" w:hAnsi="Calibri" w:cs="Calibri"/>
      <w:lang w:val="en-AU"/>
    </w:rPr>
  </w:style>
  <w:style w:type="character" w:styleId="CommentReference">
    <w:name w:val="annotation reference"/>
    <w:basedOn w:val="DefaultParagraphFont"/>
    <w:uiPriority w:val="99"/>
    <w:semiHidden/>
    <w:unhideWhenUsed/>
    <w:rsid w:val="00B72E86"/>
    <w:rPr>
      <w:sz w:val="16"/>
      <w:szCs w:val="16"/>
    </w:rPr>
  </w:style>
  <w:style w:type="paragraph" w:styleId="CommentText">
    <w:name w:val="annotation text"/>
    <w:basedOn w:val="Normal"/>
    <w:link w:val="CommentTextChar"/>
    <w:uiPriority w:val="99"/>
    <w:unhideWhenUsed/>
    <w:rsid w:val="00B72E86"/>
    <w:rPr>
      <w:sz w:val="20"/>
      <w:szCs w:val="20"/>
    </w:rPr>
  </w:style>
  <w:style w:type="character" w:customStyle="1" w:styleId="CommentTextChar">
    <w:name w:val="Comment Text Char"/>
    <w:basedOn w:val="DefaultParagraphFont"/>
    <w:link w:val="CommentText"/>
    <w:uiPriority w:val="99"/>
    <w:rsid w:val="00B72E86"/>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B72E86"/>
    <w:rPr>
      <w:b/>
      <w:bCs/>
    </w:rPr>
  </w:style>
  <w:style w:type="character" w:customStyle="1" w:styleId="CommentSubjectChar">
    <w:name w:val="Comment Subject Char"/>
    <w:basedOn w:val="CommentTextChar"/>
    <w:link w:val="CommentSubject"/>
    <w:uiPriority w:val="99"/>
    <w:semiHidden/>
    <w:rsid w:val="00B72E86"/>
    <w:rPr>
      <w:rFonts w:ascii="Calibri" w:eastAsia="Calibri" w:hAnsi="Calibri" w:cs="Calibri"/>
      <w:b/>
      <w:bCs/>
      <w:sz w:val="20"/>
      <w:szCs w:val="20"/>
      <w:lang w:val="en-AU"/>
    </w:rPr>
  </w:style>
  <w:style w:type="paragraph" w:styleId="Subtitle">
    <w:name w:val="Subtitle"/>
    <w:basedOn w:val="Normal"/>
    <w:next w:val="Normal"/>
    <w:link w:val="SubtitleChar"/>
    <w:uiPriority w:val="11"/>
    <w:qFormat/>
    <w:rsid w:val="00C62F6E"/>
    <w:rPr>
      <w:rFonts w:ascii="Arial"/>
      <w:color w:val="3E4975"/>
      <w:spacing w:val="8"/>
      <w:sz w:val="40"/>
    </w:rPr>
  </w:style>
  <w:style w:type="character" w:customStyle="1" w:styleId="SubtitleChar">
    <w:name w:val="Subtitle Char"/>
    <w:basedOn w:val="DefaultParagraphFont"/>
    <w:link w:val="Subtitle"/>
    <w:uiPriority w:val="11"/>
    <w:rsid w:val="00C62F6E"/>
    <w:rPr>
      <w:rFonts w:ascii="Arial" w:eastAsia="Calibri" w:hAnsi="Calibri" w:cs="Calibri"/>
      <w:color w:val="3E4975"/>
      <w:spacing w:val="8"/>
      <w:sz w:val="40"/>
      <w:lang w:val="en-AU"/>
    </w:rPr>
  </w:style>
  <w:style w:type="paragraph" w:styleId="Date">
    <w:name w:val="Date"/>
    <w:basedOn w:val="Normal"/>
    <w:next w:val="Normal"/>
    <w:link w:val="DateChar"/>
    <w:uiPriority w:val="99"/>
    <w:unhideWhenUsed/>
    <w:rsid w:val="0012079B"/>
    <w:pPr>
      <w:spacing w:before="60"/>
    </w:pPr>
    <w:rPr>
      <w:rFonts w:ascii="Arial" w:hAnsi="Arial"/>
      <w:b/>
    </w:rPr>
  </w:style>
  <w:style w:type="character" w:customStyle="1" w:styleId="DateChar">
    <w:name w:val="Date Char"/>
    <w:basedOn w:val="DefaultParagraphFont"/>
    <w:link w:val="Date"/>
    <w:uiPriority w:val="99"/>
    <w:rsid w:val="0012079B"/>
    <w:rPr>
      <w:rFonts w:ascii="Arial" w:eastAsia="Calibri" w:hAnsi="Arial" w:cs="Calibri"/>
      <w:b/>
      <w:sz w:val="24"/>
      <w:lang w:val="en-AU"/>
    </w:rPr>
  </w:style>
  <w:style w:type="paragraph" w:styleId="ListNumber">
    <w:name w:val="List Number"/>
    <w:basedOn w:val="Normal"/>
    <w:uiPriority w:val="99"/>
    <w:unhideWhenUsed/>
    <w:rsid w:val="00625619"/>
    <w:pPr>
      <w:numPr>
        <w:numId w:val="4"/>
      </w:numPr>
      <w:ind w:left="357" w:hanging="357"/>
    </w:pPr>
  </w:style>
  <w:style w:type="paragraph" w:styleId="ListBullet">
    <w:name w:val="List Bullet"/>
    <w:basedOn w:val="Normal"/>
    <w:uiPriority w:val="99"/>
    <w:unhideWhenUsed/>
    <w:rsid w:val="00FB46E1"/>
    <w:pPr>
      <w:numPr>
        <w:numId w:val="5"/>
      </w:numPr>
      <w:contextualSpacing/>
    </w:pPr>
  </w:style>
  <w:style w:type="paragraph" w:styleId="ListBullet2">
    <w:name w:val="List Bullet 2"/>
    <w:basedOn w:val="ListParagraph"/>
    <w:uiPriority w:val="99"/>
    <w:unhideWhenUsed/>
    <w:rsid w:val="00C62F6E"/>
    <w:pPr>
      <w:numPr>
        <w:numId w:val="1"/>
      </w:numPr>
      <w:tabs>
        <w:tab w:val="left" w:pos="1765"/>
        <w:tab w:val="left" w:pos="1766"/>
      </w:tabs>
      <w:spacing w:before="120"/>
      <w:ind w:left="907"/>
    </w:pPr>
    <w:rPr>
      <w:spacing w:val="-2"/>
    </w:rPr>
  </w:style>
  <w:style w:type="character" w:styleId="Strong">
    <w:name w:val="Strong"/>
    <w:basedOn w:val="DefaultParagraphFont"/>
    <w:uiPriority w:val="22"/>
    <w:qFormat/>
    <w:rsid w:val="0012079B"/>
    <w:rPr>
      <w:b/>
      <w:bCs/>
      <w:color w:val="4F81BD" w:themeColor="accent1"/>
    </w:rPr>
  </w:style>
  <w:style w:type="paragraph" w:styleId="FootnoteText">
    <w:name w:val="footnote text"/>
    <w:basedOn w:val="Normal"/>
    <w:link w:val="FootnoteTextChar"/>
    <w:uiPriority w:val="99"/>
    <w:unhideWhenUsed/>
    <w:rsid w:val="00C62F6E"/>
    <w:pPr>
      <w:spacing w:before="0" w:after="0"/>
    </w:pPr>
    <w:rPr>
      <w:sz w:val="16"/>
      <w:szCs w:val="20"/>
    </w:rPr>
  </w:style>
  <w:style w:type="character" w:customStyle="1" w:styleId="FootnoteTextChar">
    <w:name w:val="Footnote Text Char"/>
    <w:basedOn w:val="DefaultParagraphFont"/>
    <w:link w:val="FootnoteText"/>
    <w:uiPriority w:val="99"/>
    <w:rsid w:val="00C62F6E"/>
    <w:rPr>
      <w:rFonts w:ascii="Calibri" w:eastAsia="Calibri" w:hAnsi="Calibri" w:cs="Calibri"/>
      <w:sz w:val="16"/>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373BF-C99C-4120-AF84-9D5169053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AHPPC Aged Care Advisory Group terms of reference</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AHPPC Aged Care Advisory Group terms of reference</dc:title>
  <dc:subject>Aged Care</dc:subject>
  <dc:creator>Australian Government Department of Health and Aged Care</dc:creator>
  <cp:keywords>Aged care;Terms of reference</cp:keywords>
  <cp:lastModifiedBy>MASCHKE, Elvia</cp:lastModifiedBy>
  <cp:revision>2</cp:revision>
  <dcterms:created xsi:type="dcterms:W3CDTF">2024-11-27T02:01:00Z</dcterms:created>
  <dcterms:modified xsi:type="dcterms:W3CDTF">2024-11-27T02:01:00Z</dcterms:modified>
</cp:coreProperties>
</file>