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05A7" w14:textId="6270D972" w:rsidR="00751A23" w:rsidRDefault="0085122E" w:rsidP="00751A23">
      <w:pPr>
        <w:pStyle w:val="Title"/>
      </w:pPr>
      <w:bookmarkStart w:id="0" w:name="_Hlk176529522"/>
      <w:r>
        <w:t xml:space="preserve">Private Hospital </w:t>
      </w:r>
      <w:r w:rsidR="00D166E8">
        <w:t xml:space="preserve">Sector </w:t>
      </w:r>
      <w:r>
        <w:t>Financial Health Check –</w:t>
      </w:r>
      <w:r w:rsidR="00FD49E0">
        <w:t xml:space="preserve"> </w:t>
      </w:r>
      <w:r w:rsidR="003415BE">
        <w:t>Summary</w:t>
      </w:r>
    </w:p>
    <w:bookmarkEnd w:id="0"/>
    <w:p w14:paraId="0C0898A2" w14:textId="6DEB0A22" w:rsidR="00751A23" w:rsidRDefault="008462B0" w:rsidP="0085122E">
      <w:pPr>
        <w:pStyle w:val="Subtitle"/>
        <w:sectPr w:rsidR="00751A23" w:rsidSect="00D45D94">
          <w:footerReference w:type="default" r:id="rId11"/>
          <w:headerReference w:type="first" r:id="rId12"/>
          <w:footerReference w:type="first" r:id="rId13"/>
          <w:type w:val="continuous"/>
          <w:pgSz w:w="11906" w:h="16838"/>
          <w:pgMar w:top="1701" w:right="1418" w:bottom="1418" w:left="1418" w:header="850" w:footer="709" w:gutter="0"/>
          <w:cols w:space="708"/>
          <w:titlePg/>
          <w:docGrid w:linePitch="360"/>
        </w:sectPr>
      </w:pPr>
      <w:r>
        <w:t>Octo</w:t>
      </w:r>
      <w:r w:rsidR="0085122E">
        <w:t>ber 202</w:t>
      </w:r>
      <w:r w:rsidR="00F44ADE">
        <w:t>4</w:t>
      </w:r>
    </w:p>
    <w:p w14:paraId="40D444D6" w14:textId="168AB5E5" w:rsidR="00CA4BE3" w:rsidRPr="00CA4BE3" w:rsidRDefault="0085122E" w:rsidP="00CA4BE3">
      <w:pPr>
        <w:pStyle w:val="Heading1"/>
      </w:pPr>
      <w:r w:rsidRPr="0085122E">
        <w:lastRenderedPageBreak/>
        <w:t xml:space="preserve">Private Hospital </w:t>
      </w:r>
      <w:r w:rsidR="008137EB">
        <w:t xml:space="preserve">Sector </w:t>
      </w:r>
      <w:r w:rsidRPr="0085122E">
        <w:t xml:space="preserve">Financial Health Check </w:t>
      </w:r>
      <w:r>
        <w:t>(Health Check)</w:t>
      </w:r>
    </w:p>
    <w:p w14:paraId="7C343FD1" w14:textId="730B8C43" w:rsidR="00CA4BE3" w:rsidRPr="00CA4BE3" w:rsidRDefault="0085122E" w:rsidP="00CA4BE3">
      <w:pPr>
        <w:pStyle w:val="Heading2"/>
      </w:pPr>
      <w:r>
        <w:t xml:space="preserve">Why was the Health Check </w:t>
      </w:r>
      <w:r w:rsidR="00A51B6B">
        <w:t>u</w:t>
      </w:r>
      <w:r>
        <w:t>ndertaken?</w:t>
      </w:r>
    </w:p>
    <w:p w14:paraId="799DDA93" w14:textId="4DEDF2F7" w:rsidR="002E1177" w:rsidRDefault="0085122E" w:rsidP="0085122E">
      <w:r w:rsidRPr="0085122E">
        <w:t>The private hospital sector is an important part of Australia’s health care system.</w:t>
      </w:r>
      <w:r>
        <w:t xml:space="preserve"> </w:t>
      </w:r>
      <w:r w:rsidR="00C6232A">
        <w:t>High-</w:t>
      </w:r>
      <w:r>
        <w:t xml:space="preserve">level evidence and stakeholder feedback provided to the Australian Government </w:t>
      </w:r>
      <w:r w:rsidR="006562A2">
        <w:t xml:space="preserve">prior to the commencement of the Health Check </w:t>
      </w:r>
      <w:r>
        <w:t>raised financial viability concerns that potentially impact the health system and patient outcomes.</w:t>
      </w:r>
    </w:p>
    <w:p w14:paraId="2780FD7F" w14:textId="1F9BF3CC" w:rsidR="00D43DA1" w:rsidRDefault="00297F3B" w:rsidP="00D43DA1">
      <w:r>
        <w:t>T</w:t>
      </w:r>
      <w:r w:rsidR="0085122E" w:rsidRPr="003B20D1">
        <w:t>he Minister for Health and Aged Care, the Hon Mark Butler MP</w:t>
      </w:r>
      <w:r w:rsidR="0085122E">
        <w:t xml:space="preserve">, </w:t>
      </w:r>
      <w:r w:rsidR="00D43DA1" w:rsidRPr="00D43DA1">
        <w:t xml:space="preserve">asked the department to conduct a Health Check on the private hospital sector to </w:t>
      </w:r>
      <w:r>
        <w:t>further develop the</w:t>
      </w:r>
      <w:r w:rsidR="00D43DA1" w:rsidRPr="00D43DA1">
        <w:t xml:space="preserve"> evidence base and identify drivers contributing to financial </w:t>
      </w:r>
      <w:r w:rsidR="00D55F49">
        <w:t>outcomes</w:t>
      </w:r>
      <w:r w:rsidR="00D43DA1" w:rsidRPr="00D43DA1">
        <w:t>.</w:t>
      </w:r>
    </w:p>
    <w:p w14:paraId="1999A247" w14:textId="4A37611D" w:rsidR="008A0BCF" w:rsidRDefault="008C4C56" w:rsidP="003B20D1">
      <w:pPr>
        <w:pStyle w:val="Heading2"/>
      </w:pPr>
      <w:r>
        <w:t>Overview of private hospitals in Australia</w:t>
      </w:r>
    </w:p>
    <w:p w14:paraId="31D38779" w14:textId="50F951C7" w:rsidR="00EC5943" w:rsidRDefault="006562A2" w:rsidP="21ED4573">
      <w:pPr>
        <w:rPr>
          <w:rFonts w:eastAsia="Arial" w:cs="Arial"/>
          <w:szCs w:val="22"/>
        </w:rPr>
      </w:pPr>
      <w:r>
        <w:rPr>
          <w:rFonts w:eastAsia="Arial" w:cs="Arial"/>
          <w:szCs w:val="22"/>
        </w:rPr>
        <w:t>In July 2024</w:t>
      </w:r>
      <w:r w:rsidR="003C703B">
        <w:rPr>
          <w:rFonts w:eastAsia="Arial" w:cs="Arial"/>
          <w:szCs w:val="22"/>
        </w:rPr>
        <w:t>,</w:t>
      </w:r>
      <w:r>
        <w:rPr>
          <w:rFonts w:eastAsia="Arial" w:cs="Arial"/>
          <w:szCs w:val="22"/>
        </w:rPr>
        <w:t xml:space="preserve"> t</w:t>
      </w:r>
      <w:r w:rsidR="6C69A9B3" w:rsidRPr="21ED4573">
        <w:rPr>
          <w:rFonts w:eastAsia="Arial" w:cs="Arial"/>
          <w:szCs w:val="22"/>
        </w:rPr>
        <w:t xml:space="preserve">here </w:t>
      </w:r>
      <w:r w:rsidR="008201FA">
        <w:rPr>
          <w:rFonts w:eastAsia="Arial" w:cs="Arial"/>
          <w:szCs w:val="22"/>
        </w:rPr>
        <w:t>we</w:t>
      </w:r>
      <w:r w:rsidR="6C69A9B3" w:rsidRPr="21ED4573">
        <w:rPr>
          <w:rFonts w:eastAsia="Arial" w:cs="Arial"/>
          <w:szCs w:val="22"/>
        </w:rPr>
        <w:t xml:space="preserve">re </w:t>
      </w:r>
      <w:r w:rsidR="006E0223">
        <w:rPr>
          <w:rFonts w:eastAsia="Arial" w:cs="Arial"/>
          <w:szCs w:val="22"/>
        </w:rPr>
        <w:t>647</w:t>
      </w:r>
      <w:r w:rsidR="6C69A9B3" w:rsidRPr="21ED4573">
        <w:rPr>
          <w:rFonts w:eastAsia="Arial" w:cs="Arial"/>
          <w:szCs w:val="22"/>
        </w:rPr>
        <w:t xml:space="preserve"> </w:t>
      </w:r>
      <w:r>
        <w:rPr>
          <w:rFonts w:eastAsia="Arial" w:cs="Arial"/>
          <w:szCs w:val="22"/>
        </w:rPr>
        <w:t>p</w:t>
      </w:r>
      <w:r w:rsidR="6C69A9B3" w:rsidRPr="21ED4573">
        <w:rPr>
          <w:rFonts w:eastAsia="Arial" w:cs="Arial"/>
          <w:szCs w:val="22"/>
        </w:rPr>
        <w:t xml:space="preserve">rivate </w:t>
      </w:r>
      <w:r>
        <w:rPr>
          <w:rFonts w:eastAsia="Arial" w:cs="Arial"/>
          <w:szCs w:val="22"/>
        </w:rPr>
        <w:t>h</w:t>
      </w:r>
      <w:r w:rsidR="6C69A9B3" w:rsidRPr="21ED4573">
        <w:rPr>
          <w:rFonts w:eastAsia="Arial" w:cs="Arial"/>
          <w:szCs w:val="22"/>
        </w:rPr>
        <w:t>ospitals</w:t>
      </w:r>
      <w:r w:rsidR="00565A54">
        <w:rPr>
          <w:rFonts w:eastAsia="Arial" w:cs="Arial"/>
          <w:szCs w:val="22"/>
        </w:rPr>
        <w:t xml:space="preserve"> </w:t>
      </w:r>
      <w:r w:rsidR="6C69A9B3" w:rsidRPr="21ED4573">
        <w:rPr>
          <w:rFonts w:eastAsia="Arial" w:cs="Arial"/>
          <w:szCs w:val="22"/>
        </w:rPr>
        <w:t>providing more than</w:t>
      </w:r>
      <w:r w:rsidR="00EE3514">
        <w:rPr>
          <w:rFonts w:eastAsia="Arial" w:cs="Arial"/>
          <w:szCs w:val="22"/>
        </w:rPr>
        <w:t xml:space="preserve"> </w:t>
      </w:r>
      <w:r w:rsidR="00A32161">
        <w:rPr>
          <w:rFonts w:eastAsia="Arial" w:cs="Arial"/>
          <w:szCs w:val="22"/>
        </w:rPr>
        <w:t>36,0</w:t>
      </w:r>
      <w:r w:rsidR="00492F4A">
        <w:rPr>
          <w:rFonts w:eastAsia="Arial" w:cs="Arial"/>
          <w:szCs w:val="22"/>
        </w:rPr>
        <w:t>0</w:t>
      </w:r>
      <w:r w:rsidR="00A32161" w:rsidDel="00672605">
        <w:rPr>
          <w:rFonts w:eastAsia="Arial" w:cs="Arial"/>
          <w:szCs w:val="22"/>
        </w:rPr>
        <w:t>0</w:t>
      </w:r>
      <w:r w:rsidR="6C69A9B3" w:rsidRPr="21ED4573">
        <w:rPr>
          <w:rFonts w:eastAsia="Arial" w:cs="Arial"/>
          <w:szCs w:val="22"/>
        </w:rPr>
        <w:t xml:space="preserve"> beds</w:t>
      </w:r>
      <w:r w:rsidR="002320FB">
        <w:rPr>
          <w:rFonts w:eastAsia="Arial" w:cs="Arial"/>
          <w:szCs w:val="22"/>
        </w:rPr>
        <w:t>.</w:t>
      </w:r>
      <w:r w:rsidR="000B7142">
        <w:rPr>
          <w:rStyle w:val="FootnoteReference"/>
          <w:rFonts w:eastAsia="Arial" w:cs="Arial"/>
          <w:szCs w:val="22"/>
        </w:rPr>
        <w:footnoteReference w:id="2"/>
      </w:r>
      <w:r w:rsidR="6C69A9B3" w:rsidRPr="21ED4573">
        <w:rPr>
          <w:rFonts w:eastAsia="Arial" w:cs="Arial"/>
          <w:szCs w:val="22"/>
        </w:rPr>
        <w:t xml:space="preserve"> </w:t>
      </w:r>
      <w:r w:rsidR="00B43FB9">
        <w:rPr>
          <w:rFonts w:eastAsia="Arial" w:cs="Arial"/>
          <w:szCs w:val="22"/>
        </w:rPr>
        <w:t xml:space="preserve">Around 83% of </w:t>
      </w:r>
      <w:r>
        <w:rPr>
          <w:rFonts w:eastAsia="Arial" w:cs="Arial"/>
          <w:szCs w:val="22"/>
        </w:rPr>
        <w:t>p</w:t>
      </w:r>
      <w:r w:rsidR="6C69A9B3" w:rsidRPr="21ED4573">
        <w:rPr>
          <w:rFonts w:eastAsia="Arial" w:cs="Arial"/>
          <w:szCs w:val="22"/>
        </w:rPr>
        <w:t xml:space="preserve">rivate hospitals </w:t>
      </w:r>
      <w:r w:rsidRPr="21ED4573">
        <w:rPr>
          <w:rFonts w:eastAsia="Arial" w:cs="Arial"/>
          <w:szCs w:val="22"/>
        </w:rPr>
        <w:t>are in</w:t>
      </w:r>
      <w:r w:rsidR="6C69A9B3" w:rsidRPr="21ED4573">
        <w:rPr>
          <w:rFonts w:eastAsia="Arial" w:cs="Arial"/>
          <w:szCs w:val="22"/>
        </w:rPr>
        <w:t xml:space="preserve"> metro</w:t>
      </w:r>
      <w:r>
        <w:rPr>
          <w:rFonts w:eastAsia="Arial" w:cs="Arial"/>
          <w:szCs w:val="22"/>
        </w:rPr>
        <w:t>politan</w:t>
      </w:r>
      <w:r w:rsidR="6C69A9B3" w:rsidRPr="21ED4573">
        <w:rPr>
          <w:rFonts w:eastAsia="Arial" w:cs="Arial"/>
          <w:szCs w:val="22"/>
        </w:rPr>
        <w:t xml:space="preserve"> locations</w:t>
      </w:r>
      <w:r>
        <w:rPr>
          <w:rFonts w:eastAsia="Arial" w:cs="Arial"/>
          <w:szCs w:val="22"/>
        </w:rPr>
        <w:t>, 9% in regional centres</w:t>
      </w:r>
      <w:r w:rsidR="6C69A9B3" w:rsidRPr="21ED4573">
        <w:rPr>
          <w:rFonts w:eastAsia="Arial" w:cs="Arial"/>
          <w:szCs w:val="22"/>
        </w:rPr>
        <w:t xml:space="preserve"> and </w:t>
      </w:r>
      <w:r w:rsidR="00B43FB9">
        <w:rPr>
          <w:rFonts w:eastAsia="Arial" w:cs="Arial"/>
          <w:szCs w:val="22"/>
        </w:rPr>
        <w:t>8% in</w:t>
      </w:r>
      <w:r w:rsidR="6C69A9B3" w:rsidRPr="21ED4573">
        <w:rPr>
          <w:rFonts w:eastAsia="Arial" w:cs="Arial"/>
          <w:szCs w:val="22"/>
        </w:rPr>
        <w:t xml:space="preserve"> rural towns. </w:t>
      </w:r>
      <w:r w:rsidR="00EC5943" w:rsidRPr="00EC5943">
        <w:rPr>
          <w:rFonts w:eastAsia="Arial" w:cs="Arial"/>
          <w:szCs w:val="22"/>
        </w:rPr>
        <w:t xml:space="preserve">The sector is diverse, with variations in size, location, types of </w:t>
      </w:r>
      <w:r>
        <w:rPr>
          <w:rFonts w:eastAsia="Arial" w:cs="Arial"/>
          <w:szCs w:val="22"/>
        </w:rPr>
        <w:t>treatments</w:t>
      </w:r>
      <w:r w:rsidR="00EC5943" w:rsidRPr="00EC5943">
        <w:rPr>
          <w:rFonts w:eastAsia="Arial" w:cs="Arial"/>
          <w:szCs w:val="22"/>
        </w:rPr>
        <w:t xml:space="preserve"> delivered, business models and agreements with private health insurers and other funders.</w:t>
      </w:r>
    </w:p>
    <w:p w14:paraId="7877822D" w14:textId="3387FC01" w:rsidR="00C86554" w:rsidRDefault="00C86554" w:rsidP="21ED4573">
      <w:pPr>
        <w:rPr>
          <w:rFonts w:eastAsia="Arial" w:cs="Arial"/>
          <w:szCs w:val="22"/>
        </w:rPr>
      </w:pPr>
      <w:r w:rsidRPr="00C86554">
        <w:rPr>
          <w:rFonts w:eastAsia="Arial" w:cs="Arial"/>
          <w:szCs w:val="22"/>
        </w:rPr>
        <w:t>Australia’s private hospitals cover more than 40</w:t>
      </w:r>
      <w:r w:rsidR="57E7FF1B" w:rsidRPr="5A434BC8">
        <w:rPr>
          <w:rFonts w:eastAsia="Arial" w:cs="Arial"/>
        </w:rPr>
        <w:t>%</w:t>
      </w:r>
      <w:r w:rsidRPr="00C86554">
        <w:rPr>
          <w:rFonts w:eastAsia="Arial" w:cs="Arial"/>
          <w:szCs w:val="22"/>
        </w:rPr>
        <w:t xml:space="preserve"> of all hospital admissions and deliver </w:t>
      </w:r>
      <w:r w:rsidR="00E55824">
        <w:rPr>
          <w:rFonts w:eastAsia="Arial" w:cs="Arial"/>
          <w:szCs w:val="22"/>
        </w:rPr>
        <w:t>approximately</w:t>
      </w:r>
      <w:r w:rsidRPr="00C86554">
        <w:rPr>
          <w:rFonts w:eastAsia="Arial" w:cs="Arial"/>
          <w:szCs w:val="22"/>
        </w:rPr>
        <w:t xml:space="preserve"> 70</w:t>
      </w:r>
      <w:r w:rsidR="002320FB">
        <w:rPr>
          <w:rFonts w:eastAsia="Arial" w:cs="Arial"/>
          <w:szCs w:val="22"/>
        </w:rPr>
        <w:t xml:space="preserve">% </w:t>
      </w:r>
      <w:r w:rsidRPr="00C86554">
        <w:rPr>
          <w:rFonts w:eastAsia="Arial" w:cs="Arial"/>
          <w:szCs w:val="22"/>
        </w:rPr>
        <w:t>of elective surgeries</w:t>
      </w:r>
      <w:r w:rsidR="002320FB">
        <w:rPr>
          <w:rFonts w:eastAsia="Arial" w:cs="Arial"/>
          <w:szCs w:val="22"/>
        </w:rPr>
        <w:t>.</w:t>
      </w:r>
      <w:r w:rsidR="00364302">
        <w:rPr>
          <w:rStyle w:val="FootnoteReference"/>
          <w:rFonts w:eastAsia="Arial" w:cs="Arial"/>
          <w:szCs w:val="22"/>
        </w:rPr>
        <w:footnoteReference w:id="3"/>
      </w:r>
      <w:r w:rsidRPr="00C86554">
        <w:rPr>
          <w:rFonts w:eastAsia="Arial" w:cs="Arial"/>
          <w:szCs w:val="22"/>
        </w:rPr>
        <w:t xml:space="preserve"> </w:t>
      </w:r>
    </w:p>
    <w:p w14:paraId="4BA927F2" w14:textId="7AFEA70E" w:rsidR="6C69A9B3" w:rsidRDefault="6C69A9B3">
      <w:pPr>
        <w:rPr>
          <w:rFonts w:eastAsia="Arial" w:cs="Arial"/>
        </w:rPr>
      </w:pPr>
      <w:r w:rsidRPr="0015455B">
        <w:rPr>
          <w:rFonts w:eastAsia="Arial" w:cs="Arial"/>
          <w:szCs w:val="22"/>
        </w:rPr>
        <w:t>In 2022</w:t>
      </w:r>
      <w:r w:rsidR="005C7E66">
        <w:rPr>
          <w:rFonts w:eastAsia="Arial" w:cs="Arial"/>
          <w:szCs w:val="22"/>
        </w:rPr>
        <w:t>–</w:t>
      </w:r>
      <w:r w:rsidRPr="0015455B">
        <w:rPr>
          <w:rFonts w:eastAsia="Arial" w:cs="Arial"/>
          <w:szCs w:val="22"/>
        </w:rPr>
        <w:t>23, 41.2</w:t>
      </w:r>
      <w:r w:rsidR="00665A85" w:rsidRPr="0015455B">
        <w:rPr>
          <w:rFonts w:eastAsia="Arial" w:cs="Arial"/>
          <w:szCs w:val="22"/>
        </w:rPr>
        <w:t xml:space="preserve">% </w:t>
      </w:r>
      <w:r w:rsidRPr="0015455B">
        <w:rPr>
          <w:rFonts w:eastAsia="Arial" w:cs="Arial"/>
          <w:szCs w:val="22"/>
        </w:rPr>
        <w:t>(5 million) of hospitalisations occurred in private hospitals, an increase</w:t>
      </w:r>
      <w:r w:rsidR="00AD4A24" w:rsidRPr="0015455B">
        <w:rPr>
          <w:rFonts w:eastAsia="Arial" w:cs="Arial"/>
          <w:szCs w:val="22"/>
        </w:rPr>
        <w:t xml:space="preserve"> from</w:t>
      </w:r>
      <w:r w:rsidRPr="0015455B">
        <w:rPr>
          <w:rFonts w:eastAsia="Arial" w:cs="Arial"/>
          <w:szCs w:val="22"/>
        </w:rPr>
        <w:t xml:space="preserve"> 40.3</w:t>
      </w:r>
      <w:r w:rsidR="00665A85" w:rsidRPr="0015455B">
        <w:rPr>
          <w:rFonts w:eastAsia="Arial" w:cs="Arial"/>
          <w:szCs w:val="22"/>
        </w:rPr>
        <w:t xml:space="preserve">% </w:t>
      </w:r>
      <w:r w:rsidRPr="0015455B">
        <w:rPr>
          <w:rFonts w:eastAsia="Arial" w:cs="Arial"/>
          <w:szCs w:val="22"/>
        </w:rPr>
        <w:t>(4.6 million) from 2018-19.</w:t>
      </w:r>
      <w:r w:rsidR="00146820" w:rsidRPr="0015455B">
        <w:rPr>
          <w:rFonts w:eastAsia="Arial" w:cs="Arial"/>
          <w:szCs w:val="22"/>
        </w:rPr>
        <w:t xml:space="preserve"> Over 74% of patients </w:t>
      </w:r>
      <w:r w:rsidR="00D368B0">
        <w:rPr>
          <w:rFonts w:eastAsia="Arial" w:cs="Arial"/>
          <w:szCs w:val="22"/>
        </w:rPr>
        <w:t xml:space="preserve">in private hospitals </w:t>
      </w:r>
      <w:r w:rsidR="00146820" w:rsidRPr="0015455B">
        <w:rPr>
          <w:rFonts w:eastAsia="Arial" w:cs="Arial"/>
          <w:szCs w:val="22"/>
        </w:rPr>
        <w:t>had stays less than 24 hours</w:t>
      </w:r>
      <w:r w:rsidR="002320FB">
        <w:rPr>
          <w:rFonts w:eastAsia="Arial" w:cs="Arial"/>
          <w:szCs w:val="22"/>
        </w:rPr>
        <w:t>.</w:t>
      </w:r>
      <w:r w:rsidR="0015455B">
        <w:rPr>
          <w:rStyle w:val="FootnoteReference"/>
          <w:rFonts w:eastAsia="Arial" w:cs="Arial"/>
        </w:rPr>
        <w:footnoteReference w:id="4"/>
      </w:r>
    </w:p>
    <w:p w14:paraId="797E1060" w14:textId="41AFD993" w:rsidR="004F5D02" w:rsidRPr="009A79D8" w:rsidRDefault="006562A2" w:rsidP="009A79D8">
      <w:pPr>
        <w:spacing w:before="0" w:after="0"/>
      </w:pPr>
      <w:r>
        <w:rPr>
          <w:rFonts w:eastAsia="Arial" w:cs="Arial"/>
          <w:szCs w:val="22"/>
        </w:rPr>
        <w:t>In 2023</w:t>
      </w:r>
      <w:r w:rsidR="005C7E66">
        <w:rPr>
          <w:rFonts w:eastAsia="Arial" w:cs="Arial"/>
          <w:szCs w:val="22"/>
        </w:rPr>
        <w:t>–</w:t>
      </w:r>
      <w:r>
        <w:rPr>
          <w:rFonts w:eastAsia="Arial" w:cs="Arial"/>
          <w:szCs w:val="22"/>
        </w:rPr>
        <w:t xml:space="preserve">24, private health insurers paid benefits of approximately $18 billion that </w:t>
      </w:r>
      <w:r>
        <w:t xml:space="preserve">funded approximately 5 million hospital treatments. Over the 12 months to 30 June 2024, total benefits paid by insurers increased by approximately 7.9% and the number of treatments funded increased by 5.1%. As at </w:t>
      </w:r>
      <w:r w:rsidR="00904AC5">
        <w:t>30 June 2024</w:t>
      </w:r>
      <w:r w:rsidR="00873C40">
        <w:t>,</w:t>
      </w:r>
      <w:r w:rsidR="00904AC5">
        <w:t xml:space="preserve"> approximately 12.2</w:t>
      </w:r>
      <w:r w:rsidR="000E5459">
        <w:t xml:space="preserve"> </w:t>
      </w:r>
      <w:r w:rsidR="00904AC5">
        <w:t>m</w:t>
      </w:r>
      <w:r w:rsidR="000E5459">
        <w:t>illion</w:t>
      </w:r>
      <w:r w:rsidR="00904AC5">
        <w:t xml:space="preserve"> people were insured for hospital treatment.</w:t>
      </w:r>
      <w:r w:rsidR="00904AC5">
        <w:rPr>
          <w:rStyle w:val="FootnoteReference"/>
        </w:rPr>
        <w:footnoteReference w:id="5"/>
      </w:r>
      <w:r w:rsidR="004F5D02">
        <w:rPr>
          <w:b/>
          <w:bCs/>
        </w:rPr>
        <w:br w:type="page"/>
      </w:r>
    </w:p>
    <w:p w14:paraId="2B682463" w14:textId="070BAC70" w:rsidR="00E756C6" w:rsidRDefault="00063B1B" w:rsidP="00D43DA1">
      <w:r>
        <w:rPr>
          <w:b/>
          <w:bCs/>
        </w:rPr>
        <w:lastRenderedPageBreak/>
        <w:t>Figure</w:t>
      </w:r>
      <w:r w:rsidR="00E756C6" w:rsidRPr="008269D8">
        <w:rPr>
          <w:b/>
          <w:bCs/>
        </w:rPr>
        <w:t xml:space="preserve"> 1:</w:t>
      </w:r>
      <w:r w:rsidR="00E756C6">
        <w:t xml:space="preserve"> Numbers of private </w:t>
      </w:r>
      <w:r w:rsidR="000A3A16">
        <w:t>hospitals</w:t>
      </w:r>
      <w:r w:rsidR="001A7F18">
        <w:t xml:space="preserve"> in Australia.</w:t>
      </w:r>
    </w:p>
    <w:p w14:paraId="55A350E9" w14:textId="67E6276E" w:rsidR="00036E31" w:rsidRDefault="00680F17" w:rsidP="0064290F">
      <w:pPr>
        <w:spacing w:before="100" w:beforeAutospacing="1" w:after="100" w:afterAutospacing="1" w:line="240" w:lineRule="auto"/>
      </w:pPr>
      <w:r w:rsidRPr="00680F17">
        <w:rPr>
          <w:rFonts w:ascii="Times New Roman" w:hAnsi="Times New Roman"/>
          <w:noProof/>
          <w:color w:val="auto"/>
          <w:sz w:val="24"/>
          <w:lang w:eastAsia="en-AU"/>
        </w:rPr>
        <w:drawing>
          <wp:inline distT="0" distB="0" distL="0" distR="0" wp14:anchorId="2DAF4C33" wp14:editId="7F17C706">
            <wp:extent cx="5562600" cy="3933684"/>
            <wp:effectExtent l="0" t="0" r="0" b="0"/>
            <wp:docPr id="424131242" name="Picture 1" descr="A map of Australia showing the locations of private hospitals (same day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31242" name="Picture 1" descr="A map of Australia showing the locations of private hospitals (same day and oth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0576" cy="3939325"/>
                    </a:xfrm>
                    <a:prstGeom prst="rect">
                      <a:avLst/>
                    </a:prstGeom>
                    <a:noFill/>
                    <a:ln>
                      <a:noFill/>
                    </a:ln>
                  </pic:spPr>
                </pic:pic>
              </a:graphicData>
            </a:graphic>
          </wp:inline>
        </w:drawing>
      </w:r>
    </w:p>
    <w:p w14:paraId="0320728B" w14:textId="77777777" w:rsidR="00E15849" w:rsidRDefault="00E15849" w:rsidP="00E15849">
      <w:pPr>
        <w:pStyle w:val="Heading2"/>
      </w:pPr>
      <w:r>
        <w:t>How was the Health Check conducted?</w:t>
      </w:r>
    </w:p>
    <w:p w14:paraId="68759968" w14:textId="77777777" w:rsidR="00E15849" w:rsidRDefault="00E15849" w:rsidP="00E15849">
      <w:pPr>
        <w:pStyle w:val="Heading3"/>
      </w:pPr>
      <w:r>
        <w:t>Approach</w:t>
      </w:r>
    </w:p>
    <w:p w14:paraId="75316C09" w14:textId="3F6E750D" w:rsidR="00223BFD" w:rsidRDefault="00E15849" w:rsidP="00E34F66">
      <w:r>
        <w:t xml:space="preserve">The Health Check </w:t>
      </w:r>
      <w:r w:rsidR="00E34F66">
        <w:t>asse</w:t>
      </w:r>
      <w:r w:rsidR="004A0AA0">
        <w:t xml:space="preserve">ssed private hospital </w:t>
      </w:r>
      <w:r w:rsidRPr="004729B8">
        <w:t xml:space="preserve">financial data </w:t>
      </w:r>
      <w:r w:rsidR="00E50BBF" w:rsidRPr="004729B8">
        <w:t>for the period 2017</w:t>
      </w:r>
      <w:r w:rsidR="003E770E" w:rsidRPr="00C65FE8">
        <w:t>–</w:t>
      </w:r>
      <w:r w:rsidR="00E50BBF" w:rsidRPr="004729B8">
        <w:t xml:space="preserve">18 </w:t>
      </w:r>
      <w:r w:rsidR="004729B8" w:rsidRPr="004729B8">
        <w:t>to 202</w:t>
      </w:r>
      <w:r w:rsidR="00B509E1">
        <w:t>3</w:t>
      </w:r>
      <w:r w:rsidR="003E770E" w:rsidRPr="00C65FE8">
        <w:t>–</w:t>
      </w:r>
      <w:r w:rsidR="00B509E1">
        <w:t>24</w:t>
      </w:r>
      <w:r w:rsidRPr="004729B8">
        <w:t>.</w:t>
      </w:r>
      <w:r>
        <w:t xml:space="preserve"> </w:t>
      </w:r>
      <w:r w:rsidR="002012BE">
        <w:t>F</w:t>
      </w:r>
      <w:r w:rsidR="002012BE" w:rsidRPr="002012BE">
        <w:t xml:space="preserve">inancial data </w:t>
      </w:r>
      <w:r w:rsidR="002012BE">
        <w:t xml:space="preserve">was </w:t>
      </w:r>
      <w:r w:rsidR="004A0AA0">
        <w:t xml:space="preserve">voluntarily </w:t>
      </w:r>
      <w:r w:rsidR="002012BE">
        <w:t xml:space="preserve">provided </w:t>
      </w:r>
      <w:r w:rsidR="00E50BBF">
        <w:t>by</w:t>
      </w:r>
      <w:r w:rsidR="002012BE" w:rsidRPr="002012BE">
        <w:t xml:space="preserve"> 243 out of 647 hospitals</w:t>
      </w:r>
      <w:r w:rsidR="00335FF7">
        <w:t xml:space="preserve">, </w:t>
      </w:r>
      <w:r w:rsidR="002012BE" w:rsidRPr="002012BE">
        <w:t>representing 58% of private hospital separations and 63% of hospital revenue in 2022</w:t>
      </w:r>
      <w:r w:rsidR="00264996" w:rsidRPr="00C65FE8">
        <w:t>–</w:t>
      </w:r>
      <w:r w:rsidR="002012BE" w:rsidRPr="002012BE">
        <w:t>23</w:t>
      </w:r>
      <w:r w:rsidR="00765E1C">
        <w:t>.</w:t>
      </w:r>
    </w:p>
    <w:p w14:paraId="2FFFB717" w14:textId="4619ABFF" w:rsidR="00E15849" w:rsidRDefault="008414C9" w:rsidP="00E15849">
      <w:r>
        <w:t>In addition</w:t>
      </w:r>
      <w:r w:rsidR="00B17796">
        <w:t xml:space="preserve"> to</w:t>
      </w:r>
      <w:r>
        <w:t xml:space="preserve"> </w:t>
      </w:r>
      <w:r w:rsidR="00664D40">
        <w:t>voluntarily submitted financial data</w:t>
      </w:r>
      <w:r w:rsidR="00B17796">
        <w:t>,</w:t>
      </w:r>
      <w:r w:rsidR="00664D40">
        <w:t xml:space="preserve"> </w:t>
      </w:r>
      <w:r>
        <w:t>s</w:t>
      </w:r>
      <w:r w:rsidR="00E15849">
        <w:t xml:space="preserve">everal </w:t>
      </w:r>
      <w:r w:rsidR="00B53E7C">
        <w:t>administrative</w:t>
      </w:r>
      <w:r>
        <w:t xml:space="preserve"> </w:t>
      </w:r>
      <w:r w:rsidR="00E20896">
        <w:t>collections</w:t>
      </w:r>
      <w:r w:rsidR="00E15849">
        <w:t xml:space="preserve"> </w:t>
      </w:r>
      <w:r w:rsidR="00335FF7">
        <w:t xml:space="preserve">were </w:t>
      </w:r>
      <w:r w:rsidR="00765B0D">
        <w:t xml:space="preserve">used in the Health Check, </w:t>
      </w:r>
      <w:r w:rsidR="004B2D35">
        <w:t>th</w:t>
      </w:r>
      <w:r w:rsidR="00765B0D">
        <w:t xml:space="preserve">ese </w:t>
      </w:r>
      <w:r w:rsidR="004B2D35">
        <w:t>included</w:t>
      </w:r>
      <w:r w:rsidR="00E15849">
        <w:t>:</w:t>
      </w:r>
    </w:p>
    <w:p w14:paraId="001FC2A1" w14:textId="1C90E021" w:rsidR="00E15849" w:rsidRPr="00C65FE8" w:rsidRDefault="00E15849" w:rsidP="00E008FB">
      <w:pPr>
        <w:pStyle w:val="ListParagraph"/>
        <w:numPr>
          <w:ilvl w:val="0"/>
          <w:numId w:val="8"/>
        </w:numPr>
      </w:pPr>
      <w:r w:rsidRPr="00C65FE8">
        <w:t xml:space="preserve">Hospital Casemix Protocol (HCP) data </w:t>
      </w:r>
      <w:r w:rsidR="003249FF">
        <w:t>(</w:t>
      </w:r>
      <w:r w:rsidRPr="00C65FE8">
        <w:t xml:space="preserve">2014–15 </w:t>
      </w:r>
      <w:r w:rsidR="003249FF">
        <w:t>to</w:t>
      </w:r>
      <w:r w:rsidRPr="00C65FE8">
        <w:t xml:space="preserve"> 2022–23</w:t>
      </w:r>
      <w:r w:rsidR="003249FF">
        <w:t>)</w:t>
      </w:r>
    </w:p>
    <w:p w14:paraId="5D7A59BA" w14:textId="00A35C69" w:rsidR="00E15849" w:rsidRPr="00C65FE8" w:rsidRDefault="00905560" w:rsidP="00E008FB">
      <w:pPr>
        <w:pStyle w:val="ListParagraph"/>
        <w:numPr>
          <w:ilvl w:val="0"/>
          <w:numId w:val="8"/>
        </w:numPr>
        <w:rPr>
          <w:color w:val="auto"/>
        </w:rPr>
      </w:pPr>
      <w:r w:rsidRPr="00473808">
        <w:t xml:space="preserve">Private Hospital Data Bureau </w:t>
      </w:r>
      <w:r>
        <w:t>(</w:t>
      </w:r>
      <w:r w:rsidR="00E15849" w:rsidRPr="00C65FE8">
        <w:rPr>
          <w:color w:val="auto"/>
        </w:rPr>
        <w:t>PHDB</w:t>
      </w:r>
      <w:r>
        <w:rPr>
          <w:color w:val="auto"/>
        </w:rPr>
        <w:t>)</w:t>
      </w:r>
      <w:r w:rsidR="00E15849" w:rsidRPr="00C65FE8">
        <w:rPr>
          <w:color w:val="auto"/>
        </w:rPr>
        <w:t xml:space="preserve"> data </w:t>
      </w:r>
      <w:r w:rsidR="003249FF">
        <w:rPr>
          <w:color w:val="auto"/>
        </w:rPr>
        <w:t>(</w:t>
      </w:r>
      <w:r w:rsidR="00E15849" w:rsidRPr="00C65FE8">
        <w:rPr>
          <w:color w:val="auto"/>
        </w:rPr>
        <w:t>2014</w:t>
      </w:r>
      <w:r w:rsidR="00E15849" w:rsidRPr="00C65FE8">
        <w:t xml:space="preserve">–15 </w:t>
      </w:r>
      <w:r w:rsidR="003249FF">
        <w:t>to</w:t>
      </w:r>
      <w:r w:rsidR="00E15849" w:rsidRPr="00C65FE8">
        <w:t xml:space="preserve"> 2022–23</w:t>
      </w:r>
      <w:r w:rsidR="003249FF">
        <w:t>)</w:t>
      </w:r>
    </w:p>
    <w:p w14:paraId="39D11A1A" w14:textId="7BF1B09B" w:rsidR="00E15849" w:rsidRPr="00C65FE8" w:rsidRDefault="00905560" w:rsidP="00E008FB">
      <w:pPr>
        <w:pStyle w:val="ListParagraph"/>
        <w:numPr>
          <w:ilvl w:val="0"/>
          <w:numId w:val="8"/>
        </w:numPr>
      </w:pPr>
      <w:r>
        <w:t>National Hospital Cost Data Collection (</w:t>
      </w:r>
      <w:r w:rsidR="00E15849" w:rsidRPr="00C65FE8">
        <w:t>NHCDC</w:t>
      </w:r>
      <w:r>
        <w:t>)</w:t>
      </w:r>
      <w:r w:rsidR="00E15849" w:rsidRPr="00C65FE8">
        <w:t xml:space="preserve"> data </w:t>
      </w:r>
      <w:r w:rsidR="003249FF">
        <w:t>(</w:t>
      </w:r>
      <w:r w:rsidR="00E15849" w:rsidRPr="00C65FE8">
        <w:t xml:space="preserve">2015–16 </w:t>
      </w:r>
      <w:r w:rsidR="003249FF">
        <w:t>to</w:t>
      </w:r>
      <w:r w:rsidR="00E15849" w:rsidRPr="00C65FE8">
        <w:t xml:space="preserve"> 2021–22</w:t>
      </w:r>
      <w:r w:rsidR="00E76C45">
        <w:t>)</w:t>
      </w:r>
    </w:p>
    <w:p w14:paraId="25E31E08" w14:textId="30456AD1" w:rsidR="00E15849" w:rsidRPr="00C65FE8" w:rsidRDefault="00E15849" w:rsidP="00E008FB">
      <w:pPr>
        <w:pStyle w:val="ListParagraph"/>
        <w:numPr>
          <w:ilvl w:val="0"/>
          <w:numId w:val="8"/>
        </w:numPr>
      </w:pPr>
      <w:r w:rsidRPr="00C65FE8">
        <w:t>Australian Institute of Health and Welfare (AIHW) data</w:t>
      </w:r>
    </w:p>
    <w:p w14:paraId="1503D06E" w14:textId="29BF19E7" w:rsidR="00E15849" w:rsidRDefault="00E15849" w:rsidP="00E008FB">
      <w:pPr>
        <w:pStyle w:val="ListParagraph"/>
        <w:numPr>
          <w:ilvl w:val="0"/>
          <w:numId w:val="8"/>
        </w:numPr>
      </w:pPr>
      <w:r w:rsidRPr="00C65FE8">
        <w:t>Medicare Benefits Schedule (MBS) data</w:t>
      </w:r>
    </w:p>
    <w:p w14:paraId="4E5FD64A" w14:textId="271739F0" w:rsidR="00E15849" w:rsidRPr="00C65FE8" w:rsidRDefault="00085D24" w:rsidP="00E008FB">
      <w:pPr>
        <w:pStyle w:val="ListParagraph"/>
        <w:numPr>
          <w:ilvl w:val="0"/>
          <w:numId w:val="8"/>
        </w:numPr>
      </w:pPr>
      <w:r>
        <w:t>t</w:t>
      </w:r>
      <w:r w:rsidR="00B32853">
        <w:t>he Commonwealth List of D</w:t>
      </w:r>
      <w:r w:rsidR="00E15849">
        <w:t xml:space="preserve">eclared </w:t>
      </w:r>
      <w:r w:rsidR="00B32853">
        <w:t>H</w:t>
      </w:r>
      <w:r w:rsidR="00E15849">
        <w:t>ospitals.</w:t>
      </w:r>
    </w:p>
    <w:p w14:paraId="4DACB5EA" w14:textId="47D06BA9" w:rsidR="00E15849" w:rsidRPr="00DB465C" w:rsidRDefault="007626F0" w:rsidP="00480AC7">
      <w:r>
        <w:t xml:space="preserve">The department’s </w:t>
      </w:r>
      <w:r w:rsidR="00E15849">
        <w:t xml:space="preserve">quantitative analysis </w:t>
      </w:r>
      <w:r>
        <w:t>was</w:t>
      </w:r>
      <w:r w:rsidR="00E15849">
        <w:t xml:space="preserve"> supplemented by </w:t>
      </w:r>
      <w:r w:rsidR="004C2DB8">
        <w:t xml:space="preserve">discussions </w:t>
      </w:r>
      <w:r w:rsidR="00912FB0">
        <w:t xml:space="preserve">with a range of </w:t>
      </w:r>
      <w:r w:rsidR="00E15849">
        <w:t>stakeholders</w:t>
      </w:r>
      <w:r w:rsidR="00B86E3E">
        <w:t xml:space="preserve"> and groups</w:t>
      </w:r>
      <w:r w:rsidR="002279CB">
        <w:t>, including</w:t>
      </w:r>
      <w:r w:rsidR="003775EC">
        <w:rPr>
          <w:rStyle w:val="ui-provider"/>
        </w:rPr>
        <w:t xml:space="preserve"> </w:t>
      </w:r>
      <w:r w:rsidR="00480AC7">
        <w:t>a C</w:t>
      </w:r>
      <w:r w:rsidR="007A0839">
        <w:t>EO</w:t>
      </w:r>
      <w:r w:rsidR="00480AC7">
        <w:t xml:space="preserve"> Forum, </w:t>
      </w:r>
      <w:r w:rsidR="00DF3E31">
        <w:t>which</w:t>
      </w:r>
      <w:r w:rsidR="00480AC7">
        <w:t xml:space="preserve"> met on three occasions</w:t>
      </w:r>
      <w:r w:rsidR="003775EC">
        <w:t>,</w:t>
      </w:r>
      <w:r w:rsidR="00480AC7">
        <w:t xml:space="preserve"> and a Reference Group that provided technical guidance</w:t>
      </w:r>
      <w:r w:rsidR="009E0E5C">
        <w:t xml:space="preserve"> which</w:t>
      </w:r>
      <w:r w:rsidR="00480AC7">
        <w:t xml:space="preserve"> met on six occasions</w:t>
      </w:r>
      <w:r w:rsidR="00AE3703">
        <w:rPr>
          <w:rStyle w:val="ui-provider"/>
        </w:rPr>
        <w:t>.</w:t>
      </w:r>
    </w:p>
    <w:p w14:paraId="75CBB476" w14:textId="77777777" w:rsidR="00E15849" w:rsidRPr="007F4B3E" w:rsidRDefault="00E15849" w:rsidP="00E15849">
      <w:pPr>
        <w:pStyle w:val="Heading3"/>
      </w:pPr>
      <w:r>
        <w:t>Confidentiality provisions of the Health Check</w:t>
      </w:r>
    </w:p>
    <w:p w14:paraId="0C8F0608" w14:textId="09D32B3C" w:rsidR="00E15849" w:rsidRDefault="0016284E" w:rsidP="00E15849">
      <w:r>
        <w:t>Financial d</w:t>
      </w:r>
      <w:r w:rsidR="00E15849">
        <w:t xml:space="preserve">ata </w:t>
      </w:r>
      <w:r>
        <w:t xml:space="preserve">voluntarily </w:t>
      </w:r>
      <w:r w:rsidR="00E15849">
        <w:t xml:space="preserve">submitted by hospital operators to the Health Check </w:t>
      </w:r>
      <w:r>
        <w:t xml:space="preserve">is commercially sensitive and </w:t>
      </w:r>
      <w:r w:rsidR="003A79D8">
        <w:t xml:space="preserve">was provided on the basis it would remain confidential and not be </w:t>
      </w:r>
      <w:r w:rsidR="007214AC">
        <w:t>published</w:t>
      </w:r>
      <w:r w:rsidR="00E15849">
        <w:t>.</w:t>
      </w:r>
      <w:r w:rsidR="005F1495">
        <w:t xml:space="preserve"> </w:t>
      </w:r>
      <w:r>
        <w:t>T</w:t>
      </w:r>
      <w:r w:rsidR="0039152D">
        <w:t xml:space="preserve">he </w:t>
      </w:r>
      <w:r w:rsidR="0039152D">
        <w:lastRenderedPageBreak/>
        <w:t>release of</w:t>
      </w:r>
      <w:r>
        <w:t xml:space="preserve"> this information</w:t>
      </w:r>
      <w:r w:rsidR="0039152D">
        <w:t xml:space="preserve"> would </w:t>
      </w:r>
      <w:r>
        <w:t xml:space="preserve">be </w:t>
      </w:r>
      <w:r w:rsidR="0039152D">
        <w:t xml:space="preserve">commercially prejudicial </w:t>
      </w:r>
      <w:r>
        <w:t>and harm the interests of the pr</w:t>
      </w:r>
      <w:r w:rsidR="0000267D">
        <w:t>ivate hospitals</w:t>
      </w:r>
      <w:r>
        <w:t>.</w:t>
      </w:r>
    </w:p>
    <w:p w14:paraId="6DF58109" w14:textId="765A0663" w:rsidR="0039286D" w:rsidRDefault="00E15849" w:rsidP="00421C67">
      <w:pPr>
        <w:rPr>
          <w:rFonts w:cs="Arial"/>
          <w:b/>
          <w:bCs/>
          <w:color w:val="358189"/>
          <w:sz w:val="32"/>
          <w:szCs w:val="26"/>
        </w:rPr>
      </w:pPr>
      <w:r>
        <w:t xml:space="preserve">Data from </w:t>
      </w:r>
      <w:r w:rsidR="00E20896">
        <w:t>administrative</w:t>
      </w:r>
      <w:r w:rsidR="00A0362E">
        <w:t xml:space="preserve"> </w:t>
      </w:r>
      <w:r>
        <w:t>collections used in the Health Check is also subject to use conditions that restrict publication.</w:t>
      </w:r>
    </w:p>
    <w:p w14:paraId="6CD7C757" w14:textId="26DC56AA" w:rsidR="00E15849" w:rsidRDefault="00E15849" w:rsidP="00E15849">
      <w:pPr>
        <w:pStyle w:val="Heading3"/>
      </w:pPr>
      <w:r>
        <w:t>Important caveats</w:t>
      </w:r>
    </w:p>
    <w:p w14:paraId="2D074992" w14:textId="0CDFC050" w:rsidR="00E15849" w:rsidRPr="000519B6" w:rsidRDefault="00C9410D" w:rsidP="00E15849">
      <w:r>
        <w:t xml:space="preserve">Aspects of the </w:t>
      </w:r>
      <w:r w:rsidR="00ED5739">
        <w:t xml:space="preserve">quantitative analysis </w:t>
      </w:r>
      <w:r w:rsidR="00CD7993">
        <w:t xml:space="preserve">undertaken </w:t>
      </w:r>
      <w:r w:rsidR="00ED5739">
        <w:t>was limit</w:t>
      </w:r>
      <w:r w:rsidR="00CD7993">
        <w:t>ed due to:</w:t>
      </w:r>
    </w:p>
    <w:p w14:paraId="0B9E2E59" w14:textId="052E64F5" w:rsidR="00E15849" w:rsidRPr="000519B6" w:rsidRDefault="00E15849" w:rsidP="00E008FB">
      <w:pPr>
        <w:pStyle w:val="ListParagraph"/>
        <w:numPr>
          <w:ilvl w:val="0"/>
          <w:numId w:val="7"/>
        </w:numPr>
      </w:pPr>
      <w:r w:rsidRPr="000519B6">
        <w:t>data sources</w:t>
      </w:r>
      <w:r w:rsidR="000F1520">
        <w:t>, including the financial data submitted by private hospitals,</w:t>
      </w:r>
      <w:r w:rsidRPr="000519B6">
        <w:t xml:space="preserve"> that cover</w:t>
      </w:r>
      <w:r w:rsidR="00AC19F5">
        <w:t>ed</w:t>
      </w:r>
      <w:r w:rsidRPr="000519B6">
        <w:t xml:space="preserve"> diffe</w:t>
      </w:r>
      <w:r w:rsidR="0047679A">
        <w:t xml:space="preserve">rent </w:t>
      </w:r>
      <w:r w:rsidR="007B1A2C">
        <w:t xml:space="preserve">time </w:t>
      </w:r>
      <w:r w:rsidR="00AC19F5">
        <w:t>periods</w:t>
      </w:r>
      <w:r w:rsidRPr="000519B6">
        <w:t xml:space="preserve"> and </w:t>
      </w:r>
      <w:r w:rsidR="000F1520">
        <w:t>different private hospitals</w:t>
      </w:r>
    </w:p>
    <w:p w14:paraId="282B0288" w14:textId="4BBB1EFD" w:rsidR="007B1A2C" w:rsidRDefault="001B7236" w:rsidP="00E008FB">
      <w:pPr>
        <w:pStyle w:val="ListParagraph"/>
        <w:numPr>
          <w:ilvl w:val="0"/>
          <w:numId w:val="7"/>
        </w:numPr>
      </w:pPr>
      <w:r>
        <w:t>p</w:t>
      </w:r>
      <w:r w:rsidRPr="001B7236">
        <w:t>otential selection bias exists due to the incomplete submission of financial data across the private hospital sector</w:t>
      </w:r>
    </w:p>
    <w:p w14:paraId="0BC0071F" w14:textId="6BA2F478" w:rsidR="00E15849" w:rsidRDefault="008B7A02" w:rsidP="00E008FB">
      <w:pPr>
        <w:pStyle w:val="ListParagraph"/>
        <w:numPr>
          <w:ilvl w:val="0"/>
          <w:numId w:val="7"/>
        </w:numPr>
      </w:pPr>
      <w:r>
        <w:t>no</w:t>
      </w:r>
      <w:r w:rsidR="007E36C6">
        <w:t xml:space="preserve"> episode level</w:t>
      </w:r>
      <w:r>
        <w:t xml:space="preserve"> cost data available for day hospitals</w:t>
      </w:r>
      <w:r w:rsidR="002320FB">
        <w:t>.</w:t>
      </w:r>
    </w:p>
    <w:p w14:paraId="1A89AA9C" w14:textId="7EFE680A" w:rsidR="00CA4BE3" w:rsidRPr="00CA4BE3" w:rsidRDefault="00D43DA1" w:rsidP="00CA4BE3">
      <w:pPr>
        <w:pStyle w:val="Heading2"/>
      </w:pPr>
      <w:r>
        <w:t>What did we find?</w:t>
      </w:r>
    </w:p>
    <w:p w14:paraId="67DDBD3A" w14:textId="77777777" w:rsidR="00E15849" w:rsidRDefault="00E15849" w:rsidP="00E15849">
      <w:pPr>
        <w:pStyle w:val="Heading3"/>
      </w:pPr>
      <w:bookmarkStart w:id="1" w:name="_Hlk85795649"/>
      <w:r>
        <w:t>Activity</w:t>
      </w:r>
    </w:p>
    <w:p w14:paraId="3A09C09F" w14:textId="78F76E76" w:rsidR="005D3CA2" w:rsidRDefault="00E15849" w:rsidP="00255FF8">
      <w:r w:rsidRPr="004524A3">
        <w:t xml:space="preserve">There </w:t>
      </w:r>
      <w:r w:rsidR="009E0E5C">
        <w:t>has been</w:t>
      </w:r>
      <w:r w:rsidRPr="004524A3">
        <w:t xml:space="preserve"> a shift away from overnight separations towards same-day separations</w:t>
      </w:r>
      <w:r>
        <w:t xml:space="preserve">. Between 2018–19 and 2022–23, </w:t>
      </w:r>
      <w:r w:rsidR="00153C29">
        <w:t xml:space="preserve">the </w:t>
      </w:r>
      <w:r w:rsidR="007D1A57" w:rsidRPr="23818217">
        <w:rPr>
          <w:rStyle w:val="normaltextrun"/>
          <w:rFonts w:cs="Arial"/>
          <w:color w:val="000000"/>
          <w:shd w:val="clear" w:color="auto" w:fill="FFFFFF"/>
        </w:rPr>
        <w:t>Compound Annual Growth Rate (</w:t>
      </w:r>
      <w:r>
        <w:t>CAGR</w:t>
      </w:r>
      <w:r w:rsidR="007D1A57">
        <w:t>)</w:t>
      </w:r>
      <w:r>
        <w:t xml:space="preserve"> for overnight separations was 0.22% compared to 2.66% for same-day separations.</w:t>
      </w:r>
      <w:r w:rsidR="003D13FD">
        <w:t xml:space="preserve"> </w:t>
      </w:r>
    </w:p>
    <w:p w14:paraId="15312F64" w14:textId="232F6B81" w:rsidR="003D13FD" w:rsidRDefault="003D13FD" w:rsidP="005D3CA2">
      <w:r w:rsidRPr="00822646">
        <w:t>The increased share of same-day separations has largely been taken up by overnight hospitals rather than a shift to day hospitals</w:t>
      </w:r>
      <w:r>
        <w:t xml:space="preserve">. </w:t>
      </w:r>
    </w:p>
    <w:p w14:paraId="6D48D377" w14:textId="6C8E1CBB" w:rsidR="00E15849" w:rsidRDefault="006D0D84" w:rsidP="00E15849">
      <w:r>
        <w:rPr>
          <w:b/>
          <w:bCs/>
        </w:rPr>
        <w:t>Figure</w:t>
      </w:r>
      <w:r w:rsidR="00E15849" w:rsidRPr="00D55F49">
        <w:rPr>
          <w:b/>
          <w:bCs/>
        </w:rPr>
        <w:t xml:space="preserve"> </w:t>
      </w:r>
      <w:r w:rsidR="00C60DB7">
        <w:rPr>
          <w:b/>
          <w:bCs/>
        </w:rPr>
        <w:t>2</w:t>
      </w:r>
      <w:r w:rsidR="00E15849" w:rsidRPr="00D55F49">
        <w:rPr>
          <w:b/>
          <w:bCs/>
        </w:rPr>
        <w:t>:</w:t>
      </w:r>
      <w:r w:rsidR="00E15849">
        <w:t xml:space="preserve"> Number of overnight and same-day separations in private hospitals between </w:t>
      </w:r>
      <w:r>
        <w:br/>
      </w:r>
      <w:r w:rsidR="00E15849">
        <w:t>2014–15 and 2022–23.</w:t>
      </w:r>
    </w:p>
    <w:p w14:paraId="1DE55F5D" w14:textId="77777777" w:rsidR="00E15849" w:rsidRDefault="00E15849" w:rsidP="00E15849">
      <w:pPr>
        <w:spacing w:after="0"/>
        <w:rPr>
          <w:i/>
          <w:iCs/>
        </w:rPr>
      </w:pPr>
      <w:r>
        <w:rPr>
          <w:noProof/>
          <w:lang w:eastAsia="en-AU"/>
        </w:rPr>
        <w:drawing>
          <wp:inline distT="0" distB="0" distL="0" distR="0" wp14:anchorId="1AFC9552" wp14:editId="66F93CFC">
            <wp:extent cx="5759450" cy="2506345"/>
            <wp:effectExtent l="0" t="0" r="0" b="8255"/>
            <wp:docPr id="762621642" name="Picture 1" descr="This chart shows the compound annual growth rate (CAGR) for overnight separations was 0.22% compared to 2.66% for same-day separations between 2018–19 and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56901" name="Picture 1" descr="This chart shows the compound annual growth rate (CAGR) for overnight separations was 0.22% compared to 2.66% for same-day separations between 2018–19 and 2022–23."/>
                    <pic:cNvPicPr/>
                  </pic:nvPicPr>
                  <pic:blipFill>
                    <a:blip r:embed="rId15"/>
                    <a:stretch>
                      <a:fillRect/>
                    </a:stretch>
                  </pic:blipFill>
                  <pic:spPr>
                    <a:xfrm>
                      <a:off x="0" y="0"/>
                      <a:ext cx="5759450" cy="2506345"/>
                    </a:xfrm>
                    <a:prstGeom prst="rect">
                      <a:avLst/>
                    </a:prstGeom>
                  </pic:spPr>
                </pic:pic>
              </a:graphicData>
            </a:graphic>
          </wp:inline>
        </w:drawing>
      </w:r>
    </w:p>
    <w:p w14:paraId="03883241" w14:textId="3949E4E3" w:rsidR="00E15849" w:rsidRPr="00D62B2D" w:rsidRDefault="00E15849" w:rsidP="00E15849">
      <w:pPr>
        <w:spacing w:before="0" w:after="0"/>
        <w:rPr>
          <w:rFonts w:cs="Arial"/>
          <w:b/>
          <w:bCs/>
          <w:i/>
          <w:iCs/>
          <w:color w:val="358189"/>
          <w:sz w:val="32"/>
          <w:szCs w:val="26"/>
        </w:rPr>
      </w:pPr>
      <w:r w:rsidRPr="003F68B8">
        <w:rPr>
          <w:i/>
          <w:iCs/>
          <w:sz w:val="20"/>
          <w:szCs w:val="22"/>
        </w:rPr>
        <w:t xml:space="preserve">Source: </w:t>
      </w:r>
      <w:r w:rsidRPr="00D62B2D">
        <w:rPr>
          <w:i/>
          <w:iCs/>
          <w:sz w:val="20"/>
          <w:szCs w:val="22"/>
        </w:rPr>
        <w:t>Australian Institute of Health and Welfare</w:t>
      </w:r>
      <w:r w:rsidRPr="003F68B8">
        <w:rPr>
          <w:i/>
          <w:iCs/>
          <w:sz w:val="20"/>
          <w:szCs w:val="22"/>
        </w:rPr>
        <w:t xml:space="preserve">, </w:t>
      </w:r>
      <w:hyperlink r:id="rId16" w:history="1">
        <w:r w:rsidRPr="003F68B8">
          <w:rPr>
            <w:rStyle w:val="Hyperlink"/>
            <w:i/>
            <w:iCs/>
            <w:sz w:val="20"/>
            <w:szCs w:val="22"/>
          </w:rPr>
          <w:t xml:space="preserve">Admitted Patient Care 2022–23 2 </w:t>
        </w:r>
        <w:r w:rsidR="0009770A">
          <w:rPr>
            <w:rStyle w:val="Hyperlink"/>
            <w:i/>
            <w:iCs/>
            <w:sz w:val="20"/>
            <w:szCs w:val="22"/>
          </w:rPr>
          <w:t>–</w:t>
        </w:r>
        <w:r w:rsidRPr="003F68B8">
          <w:rPr>
            <w:rStyle w:val="Hyperlink"/>
            <w:i/>
            <w:iCs/>
            <w:sz w:val="20"/>
            <w:szCs w:val="22"/>
          </w:rPr>
          <w:t xml:space="preserve"> How much activity was there?</w:t>
        </w:r>
      </w:hyperlink>
      <w:r w:rsidRPr="00D62B2D">
        <w:rPr>
          <w:i/>
          <w:iCs/>
          <w:sz w:val="20"/>
          <w:szCs w:val="22"/>
        </w:rPr>
        <w:t>, My Hospitals.</w:t>
      </w:r>
      <w:r w:rsidRPr="003F68B8">
        <w:rPr>
          <w:i/>
          <w:iCs/>
          <w:sz w:val="20"/>
          <w:szCs w:val="22"/>
        </w:rPr>
        <w:t xml:space="preserve"> </w:t>
      </w:r>
    </w:p>
    <w:p w14:paraId="6B9F3CF5" w14:textId="07D5A460" w:rsidR="00D55F49" w:rsidRDefault="00D55F49" w:rsidP="00851619">
      <w:pPr>
        <w:pStyle w:val="Heading3"/>
      </w:pPr>
      <w:r>
        <w:t>Earnings</w:t>
      </w:r>
    </w:p>
    <w:p w14:paraId="30AFB391" w14:textId="18157560" w:rsidR="006C3593" w:rsidRDefault="006C3593" w:rsidP="006C3593">
      <w:bookmarkStart w:id="2" w:name="_Hlk176956681"/>
      <w:r w:rsidRPr="00FB3112">
        <w:t>There has been significant variability in the sector’s operating environment</w:t>
      </w:r>
      <w:r w:rsidR="00C0601F">
        <w:t xml:space="preserve"> </w:t>
      </w:r>
      <w:r w:rsidR="00EB6B68">
        <w:t>over the period the Health Check assessed operators’ financial data</w:t>
      </w:r>
      <w:r w:rsidR="00C707E1">
        <w:t>. F</w:t>
      </w:r>
      <w:r w:rsidR="0055309C">
        <w:t xml:space="preserve">actors </w:t>
      </w:r>
      <w:r w:rsidR="00C707E1">
        <w:t xml:space="preserve">contributing to the variability </w:t>
      </w:r>
      <w:r w:rsidR="0055309C">
        <w:t>include:</w:t>
      </w:r>
    </w:p>
    <w:p w14:paraId="5F889EA9" w14:textId="0DA2BDEB" w:rsidR="006C3593" w:rsidRDefault="006C3593" w:rsidP="006C3593">
      <w:pPr>
        <w:pStyle w:val="ListParagraph"/>
        <w:numPr>
          <w:ilvl w:val="0"/>
          <w:numId w:val="14"/>
        </w:numPr>
      </w:pPr>
      <w:r w:rsidRPr="00FB3112">
        <w:t>workforce shortages</w:t>
      </w:r>
      <w:r>
        <w:t>, notably for mental health</w:t>
      </w:r>
    </w:p>
    <w:p w14:paraId="173BA332" w14:textId="4632B8D4" w:rsidR="006C3593" w:rsidRDefault="006C3593" w:rsidP="006C3593">
      <w:pPr>
        <w:pStyle w:val="ListParagraph"/>
        <w:numPr>
          <w:ilvl w:val="0"/>
          <w:numId w:val="14"/>
        </w:numPr>
      </w:pPr>
      <w:r w:rsidRPr="00FB3112">
        <w:lastRenderedPageBreak/>
        <w:t>increases in the cost of key inputs</w:t>
      </w:r>
      <w:r w:rsidR="00293B15">
        <w:t xml:space="preserve"> not being matched by increases in revenues</w:t>
      </w:r>
    </w:p>
    <w:p w14:paraId="65F07AEC" w14:textId="24E488C5" w:rsidR="006C3593" w:rsidRDefault="00F03664" w:rsidP="006C3593">
      <w:pPr>
        <w:pStyle w:val="ListParagraph"/>
        <w:numPr>
          <w:ilvl w:val="0"/>
          <w:numId w:val="14"/>
        </w:numPr>
      </w:pPr>
      <w:r>
        <w:t>changes in</w:t>
      </w:r>
      <w:r w:rsidR="006C3593">
        <w:t xml:space="preserve"> demand for </w:t>
      </w:r>
      <w:r w:rsidR="0065348C">
        <w:t xml:space="preserve">certain types of services and reductions in </w:t>
      </w:r>
      <w:r w:rsidR="00B72777">
        <w:t>lengths of stay</w:t>
      </w:r>
    </w:p>
    <w:p w14:paraId="55A88DB2" w14:textId="6E80504B" w:rsidR="006C3593" w:rsidRDefault="00B45850" w:rsidP="006C3593">
      <w:pPr>
        <w:pStyle w:val="ListParagraph"/>
        <w:numPr>
          <w:ilvl w:val="0"/>
          <w:numId w:val="14"/>
        </w:numPr>
      </w:pPr>
      <w:r w:rsidRPr="00B45850">
        <w:t>the COVID-19 pandemic</w:t>
      </w:r>
      <w:r>
        <w:t xml:space="preserve"> and associated</w:t>
      </w:r>
      <w:r w:rsidRPr="00B45850">
        <w:t xml:space="preserve"> </w:t>
      </w:r>
      <w:r w:rsidR="006C3593" w:rsidRPr="00724CCA">
        <w:t>restrictions on elective surgery introduced in early 2020</w:t>
      </w:r>
      <w:r w:rsidR="006C3593">
        <w:t>.</w:t>
      </w:r>
      <w:r w:rsidR="006C3593">
        <w:rPr>
          <w:rStyle w:val="FootnoteReference"/>
        </w:rPr>
        <w:footnoteReference w:id="6"/>
      </w:r>
      <w:r w:rsidR="006C3593" w:rsidRPr="00724CCA">
        <w:t xml:space="preserve"> </w:t>
      </w:r>
    </w:p>
    <w:bookmarkEnd w:id="2"/>
    <w:p w14:paraId="3543DBAC" w14:textId="77777777" w:rsidR="009043B0" w:rsidRDefault="009043B0" w:rsidP="009043B0">
      <w:pPr>
        <w:spacing w:before="0"/>
      </w:pPr>
      <w:r>
        <w:t>While the financial information submitted by private hospitals to the Health Check was sufficiently detailed to enable financial analysis to account for differences in size, type and locations of private hospitals, disaggregated financial detail has been withheld to ensure:</w:t>
      </w:r>
    </w:p>
    <w:p w14:paraId="074F29A2" w14:textId="77777777" w:rsidR="009043B0" w:rsidRDefault="009043B0" w:rsidP="009043B0">
      <w:pPr>
        <w:pStyle w:val="ListParagraph"/>
        <w:numPr>
          <w:ilvl w:val="0"/>
          <w:numId w:val="14"/>
        </w:numPr>
      </w:pPr>
      <w:r>
        <w:t xml:space="preserve">commercially sensitive information is not released; and </w:t>
      </w:r>
    </w:p>
    <w:p w14:paraId="2F1784AD" w14:textId="02FCDEA8" w:rsidR="00C40393" w:rsidRDefault="009043B0" w:rsidP="009043B0">
      <w:pPr>
        <w:pStyle w:val="ListParagraph"/>
        <w:numPr>
          <w:ilvl w:val="0"/>
          <w:numId w:val="14"/>
        </w:numPr>
      </w:pPr>
      <w:r>
        <w:t>the presentation of incomplete data is not misinterpreted.</w:t>
      </w:r>
    </w:p>
    <w:p w14:paraId="1B3BDEAA" w14:textId="66FE52C2" w:rsidR="0049708D" w:rsidRDefault="00C40393" w:rsidP="000F1520">
      <w:pPr>
        <w:spacing w:before="0"/>
      </w:pPr>
      <w:r>
        <w:t xml:space="preserve">In assessing </w:t>
      </w:r>
      <w:r w:rsidR="00AB5720">
        <w:t xml:space="preserve">the NHCDC </w:t>
      </w:r>
      <w:r w:rsidR="0095547F">
        <w:t xml:space="preserve">and </w:t>
      </w:r>
      <w:r w:rsidR="00A6618D">
        <w:t>PHDB</w:t>
      </w:r>
      <w:r>
        <w:t xml:space="preserve"> </w:t>
      </w:r>
      <w:r w:rsidR="00FC3787">
        <w:t xml:space="preserve">for </w:t>
      </w:r>
      <w:r>
        <w:t xml:space="preserve">private hospital cost, activity and price data, and </w:t>
      </w:r>
      <w:r w:rsidRPr="00C40393">
        <w:t>taking into account patient activity and changes in casemix,</w:t>
      </w:r>
      <w:r w:rsidRPr="000D4E20">
        <w:rPr>
          <w:rStyle w:val="FootnoteReference"/>
          <w:rFonts w:cs="Arial"/>
          <w:color w:val="000000"/>
          <w:shd w:val="clear" w:color="auto" w:fill="FFFFFF"/>
        </w:rPr>
        <w:footnoteReference w:id="7"/>
      </w:r>
      <w:r w:rsidRPr="00C40393">
        <w:t xml:space="preserve"> expenditures were found to increase at a CAGR of 4.1% </w:t>
      </w:r>
      <w:r w:rsidRPr="000D4E20">
        <w:t xml:space="preserve">and revenues were found to have increased at a CAGR of </w:t>
      </w:r>
      <w:r w:rsidRPr="00C40393">
        <w:t>2.9% between 2018-19 to 2021-22.</w:t>
      </w:r>
      <w:r w:rsidR="002E7115">
        <w:t xml:space="preserve"> </w:t>
      </w:r>
      <w:r w:rsidR="00970F0E">
        <w:t>Th</w:t>
      </w:r>
      <w:r w:rsidR="00F25D51">
        <w:t>ese results</w:t>
      </w:r>
      <w:r w:rsidR="00970F0E">
        <w:t xml:space="preserve"> </w:t>
      </w:r>
      <w:r w:rsidR="00F25D51">
        <w:t>are</w:t>
      </w:r>
      <w:r w:rsidR="00970F0E">
        <w:t xml:space="preserve"> for </w:t>
      </w:r>
      <w:r w:rsidR="00EE51B5">
        <w:t>89 overnight</w:t>
      </w:r>
      <w:r w:rsidR="00031C6A">
        <w:t xml:space="preserve"> hospitals, </w:t>
      </w:r>
      <w:r w:rsidR="002E7115" w:rsidRPr="002012BE">
        <w:t xml:space="preserve">representing </w:t>
      </w:r>
      <w:r w:rsidR="00B74855">
        <w:t>38</w:t>
      </w:r>
      <w:r w:rsidR="002E7115" w:rsidRPr="002012BE">
        <w:t xml:space="preserve">% of private hospital separations and </w:t>
      </w:r>
      <w:r w:rsidR="00B74855">
        <w:t>50</w:t>
      </w:r>
      <w:r w:rsidR="002E7115" w:rsidRPr="002012BE">
        <w:t xml:space="preserve">% of </w:t>
      </w:r>
      <w:r w:rsidR="00382DAB">
        <w:t xml:space="preserve">private </w:t>
      </w:r>
      <w:r w:rsidR="002E7115" w:rsidRPr="002012BE">
        <w:t>hospital revenue in 2022</w:t>
      </w:r>
      <w:r w:rsidR="002E7115" w:rsidRPr="00C65FE8">
        <w:t>–</w:t>
      </w:r>
      <w:r w:rsidR="002E7115" w:rsidRPr="002012BE">
        <w:t>23</w:t>
      </w:r>
      <w:r w:rsidR="0029517B">
        <w:t>.</w:t>
      </w:r>
      <w:r w:rsidR="0049708D">
        <w:t xml:space="preserve"> </w:t>
      </w:r>
    </w:p>
    <w:p w14:paraId="17963AB3" w14:textId="32A9129D" w:rsidR="0050409A" w:rsidRDefault="0050409A" w:rsidP="000F1520">
      <w:pPr>
        <w:spacing w:before="0"/>
      </w:pPr>
      <w:r>
        <w:rPr>
          <w:rStyle w:val="null"/>
        </w:rPr>
        <w:t>For private hospitals that submitted financial data to the Health Check, there was a decline in the weighted average Earnings Before Interest, Tax and Depreciation (EBITDA) margins</w:t>
      </w:r>
      <w:r w:rsidR="009F602E">
        <w:rPr>
          <w:rStyle w:val="FootnoteReference"/>
          <w:rFonts w:cs="Arial"/>
          <w:color w:val="000000"/>
          <w:shd w:val="clear" w:color="auto" w:fill="FFFFFF"/>
        </w:rPr>
        <w:footnoteReference w:id="8"/>
      </w:r>
      <w:r>
        <w:rPr>
          <w:rStyle w:val="null"/>
        </w:rPr>
        <w:t xml:space="preserve"> from </w:t>
      </w:r>
      <w:r w:rsidR="00FF2B0E">
        <w:rPr>
          <w:rStyle w:val="null"/>
        </w:rPr>
        <w:t>8.7</w:t>
      </w:r>
      <w:r>
        <w:rPr>
          <w:rStyle w:val="null"/>
        </w:rPr>
        <w:t xml:space="preserve">% in 2018-19 to </w:t>
      </w:r>
      <w:r w:rsidR="00F22DA4">
        <w:rPr>
          <w:rStyle w:val="null"/>
        </w:rPr>
        <w:t>4.4</w:t>
      </w:r>
      <w:r>
        <w:rPr>
          <w:rStyle w:val="null"/>
        </w:rPr>
        <w:t>% in 2022-23. As noted above</w:t>
      </w:r>
      <w:r w:rsidR="00F22DA4">
        <w:rPr>
          <w:rStyle w:val="null"/>
        </w:rPr>
        <w:t>,</w:t>
      </w:r>
      <w:r>
        <w:rPr>
          <w:rStyle w:val="null"/>
        </w:rPr>
        <w:t xml:space="preserve"> the financial data provided to the Health Check covered 58% </w:t>
      </w:r>
      <w:r w:rsidR="00F22DA4">
        <w:rPr>
          <w:rStyle w:val="null"/>
        </w:rPr>
        <w:t>of</w:t>
      </w:r>
      <w:r>
        <w:rPr>
          <w:rStyle w:val="null"/>
        </w:rPr>
        <w:t xml:space="preserve"> private hospital separations and 63% of </w:t>
      </w:r>
      <w:r w:rsidR="00F22DA4">
        <w:rPr>
          <w:rStyle w:val="null"/>
        </w:rPr>
        <w:t xml:space="preserve">private </w:t>
      </w:r>
      <w:r>
        <w:rPr>
          <w:rStyle w:val="null"/>
        </w:rPr>
        <w:t>hospital revenue in 2022-23. Taking into account other publicly available financial data, the department estimates that the sector’s weighted average EBITDA margin is likely to have been between</w:t>
      </w:r>
      <w:r w:rsidR="006B3D9F">
        <w:rPr>
          <w:rStyle w:val="null"/>
        </w:rPr>
        <w:t xml:space="preserve"> </w:t>
      </w:r>
      <w:r>
        <w:rPr>
          <w:rStyle w:val="null"/>
        </w:rPr>
        <w:t>7% and 8% in 2022-23.</w:t>
      </w:r>
    </w:p>
    <w:p w14:paraId="0612B598" w14:textId="1EAC099D" w:rsidR="00DD0860" w:rsidRPr="006C3593" w:rsidRDefault="00775FA0" w:rsidP="00112EF0">
      <w:pPr>
        <w:spacing w:after="240"/>
        <w:rPr>
          <w:color w:val="auto"/>
        </w:rPr>
      </w:pPr>
      <w:r>
        <w:rPr>
          <w:b/>
          <w:bCs/>
        </w:rPr>
        <w:t xml:space="preserve">Figure </w:t>
      </w:r>
      <w:r w:rsidR="00C60DB7">
        <w:rPr>
          <w:b/>
          <w:bCs/>
        </w:rPr>
        <w:t>3</w:t>
      </w:r>
      <w:r w:rsidR="00DD0860" w:rsidRPr="00673D5D">
        <w:rPr>
          <w:b/>
          <w:bCs/>
        </w:rPr>
        <w:t>:</w:t>
      </w:r>
      <w:r w:rsidR="00DD0860" w:rsidRPr="00673D5D">
        <w:t xml:space="preserve"> EB</w:t>
      </w:r>
      <w:r w:rsidR="00F20510">
        <w:t>ITDA</w:t>
      </w:r>
      <w:r w:rsidR="00DD0860" w:rsidRPr="00673D5D">
        <w:t xml:space="preserve"> margins of private hospital sample between 2017</w:t>
      </w:r>
      <w:r w:rsidR="00DE5B9E" w:rsidRPr="00673D5D">
        <w:t>–</w:t>
      </w:r>
      <w:r w:rsidR="00DD0860" w:rsidRPr="00673D5D">
        <w:t>18 and 2023</w:t>
      </w:r>
      <w:r w:rsidR="00DE5B9E" w:rsidRPr="00673D5D">
        <w:t>–</w:t>
      </w:r>
      <w:r w:rsidR="00DD0860" w:rsidRPr="006C3593">
        <w:rPr>
          <w:color w:val="auto"/>
        </w:rPr>
        <w:t xml:space="preserve">24Q2. </w:t>
      </w:r>
    </w:p>
    <w:p w14:paraId="11E91845" w14:textId="62251929" w:rsidR="00112EF0" w:rsidRPr="00112EF0" w:rsidRDefault="00112EF0" w:rsidP="00112EF0">
      <w:pPr>
        <w:spacing w:before="0" w:after="0" w:line="240" w:lineRule="auto"/>
        <w:rPr>
          <w:rFonts w:ascii="Times New Roman" w:hAnsi="Times New Roman"/>
          <w:color w:val="auto"/>
          <w:sz w:val="24"/>
          <w:lang w:eastAsia="en-AU"/>
        </w:rPr>
      </w:pPr>
      <w:r w:rsidRPr="00112EF0">
        <w:rPr>
          <w:rFonts w:ascii="Times New Roman" w:hAnsi="Times New Roman"/>
          <w:noProof/>
          <w:color w:val="auto"/>
          <w:sz w:val="24"/>
          <w:lang w:eastAsia="en-AU"/>
        </w:rPr>
        <w:drawing>
          <wp:inline distT="0" distB="0" distL="0" distR="0" wp14:anchorId="3654BE92" wp14:editId="4224F8E4">
            <wp:extent cx="5835650" cy="2311400"/>
            <wp:effectExtent l="0" t="0" r="0" b="0"/>
            <wp:docPr id="7" name="Picture 3" descr="This chart shows the cumulative percentage of private hospitals (y axis) against the EBITDA (x axis) for years from 2017-18 to the December quart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This chart shows the cumulative percentage of private hospitals (y axis) against the EBITDA (x axis) for years from 2017-18 to the December quarter 20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5650" cy="2311400"/>
                    </a:xfrm>
                    <a:prstGeom prst="rect">
                      <a:avLst/>
                    </a:prstGeom>
                    <a:noFill/>
                    <a:ln>
                      <a:noFill/>
                    </a:ln>
                  </pic:spPr>
                </pic:pic>
              </a:graphicData>
            </a:graphic>
          </wp:inline>
        </w:drawing>
      </w:r>
    </w:p>
    <w:p w14:paraId="430D8EE5" w14:textId="498835A4" w:rsidR="00F626AB" w:rsidRDefault="00DD0860" w:rsidP="00DD0860">
      <w:pPr>
        <w:spacing w:before="0"/>
        <w:rPr>
          <w:i/>
          <w:iCs/>
          <w:sz w:val="20"/>
          <w:szCs w:val="22"/>
        </w:rPr>
      </w:pPr>
      <w:r w:rsidRPr="00673D5D">
        <w:rPr>
          <w:i/>
          <w:iCs/>
          <w:sz w:val="20"/>
          <w:szCs w:val="22"/>
        </w:rPr>
        <w:t xml:space="preserve">Source: Private </w:t>
      </w:r>
      <w:r w:rsidR="00673D5D">
        <w:rPr>
          <w:i/>
          <w:iCs/>
          <w:sz w:val="20"/>
          <w:szCs w:val="22"/>
        </w:rPr>
        <w:t>H</w:t>
      </w:r>
      <w:r w:rsidR="00673D5D" w:rsidRPr="00673D5D">
        <w:rPr>
          <w:i/>
          <w:iCs/>
          <w:sz w:val="20"/>
          <w:szCs w:val="22"/>
        </w:rPr>
        <w:t xml:space="preserve">ospital </w:t>
      </w:r>
      <w:r w:rsidR="00673D5D">
        <w:rPr>
          <w:i/>
          <w:iCs/>
          <w:sz w:val="20"/>
          <w:szCs w:val="22"/>
        </w:rPr>
        <w:t xml:space="preserve">Sample </w:t>
      </w:r>
      <w:r w:rsidRPr="00673D5D">
        <w:rPr>
          <w:i/>
          <w:iCs/>
          <w:sz w:val="20"/>
          <w:szCs w:val="22"/>
        </w:rPr>
        <w:t>submissions to the department</w:t>
      </w:r>
    </w:p>
    <w:p w14:paraId="16CD4E81" w14:textId="097EA8A7" w:rsidR="00DD0860" w:rsidRDefault="00F626AB" w:rsidP="00DD0860">
      <w:pPr>
        <w:spacing w:before="0"/>
        <w:rPr>
          <w:i/>
          <w:iCs/>
          <w:sz w:val="20"/>
          <w:szCs w:val="22"/>
        </w:rPr>
      </w:pPr>
      <w:r>
        <w:rPr>
          <w:i/>
          <w:iCs/>
          <w:sz w:val="20"/>
          <w:szCs w:val="22"/>
        </w:rPr>
        <w:t xml:space="preserve">Notes: </w:t>
      </w:r>
      <w:r w:rsidRPr="00F626AB">
        <w:rPr>
          <w:i/>
          <w:iCs/>
          <w:sz w:val="20"/>
          <w:szCs w:val="22"/>
        </w:rPr>
        <w:t>Hospital sites: 115 in 2017-18 (26% of separations) growing to 209 (48% of separations) in 2023-24Q2</w:t>
      </w:r>
    </w:p>
    <w:p w14:paraId="23A7473E" w14:textId="776251FF" w:rsidR="006213AB" w:rsidRDefault="00896E4B" w:rsidP="00EB6DA7">
      <w:pPr>
        <w:spacing w:before="0" w:after="0"/>
      </w:pPr>
      <w:r>
        <w:lastRenderedPageBreak/>
        <w:t>D</w:t>
      </w:r>
      <w:r w:rsidR="006213AB">
        <w:t xml:space="preserve">ata from the Australian Bureau of Statistics (ABS), </w:t>
      </w:r>
      <w:r>
        <w:t>also</w:t>
      </w:r>
      <w:r w:rsidR="006213AB">
        <w:t xml:space="preserve"> shows private hospitals have experienced a decline in both profit margins and capital replacement rates</w:t>
      </w:r>
      <w:r w:rsidR="00EB6DA7">
        <w:t xml:space="preserve">, </w:t>
      </w:r>
      <w:r w:rsidR="006213AB">
        <w:t xml:space="preserve">indicating reduced investment and suggesting potential longer-term risks of asset deterioration. </w:t>
      </w:r>
    </w:p>
    <w:p w14:paraId="6364E3BF" w14:textId="19E18FD3" w:rsidR="006213AB" w:rsidRDefault="006213AB" w:rsidP="006213AB">
      <w:r>
        <w:rPr>
          <w:b/>
          <w:bCs/>
        </w:rPr>
        <w:t>Figure 4</w:t>
      </w:r>
      <w:r w:rsidRPr="00D55F49">
        <w:rPr>
          <w:b/>
          <w:bCs/>
        </w:rPr>
        <w:t xml:space="preserve">: </w:t>
      </w:r>
      <w:r w:rsidRPr="00D62B2D">
        <w:t>Capital replacement and profit margins for Australian private sector industries (ex.mining and real-estate)</w:t>
      </w:r>
      <w:r>
        <w:t xml:space="preserve"> in 2020–21 and 2022–23.</w:t>
      </w:r>
    </w:p>
    <w:p w14:paraId="30820881" w14:textId="45E25FC1" w:rsidR="006213AB" w:rsidRPr="00D62B2D" w:rsidRDefault="0003133B" w:rsidP="006213AB">
      <w:pPr>
        <w:rPr>
          <w:i/>
          <w:iCs/>
          <w:sz w:val="20"/>
          <w:szCs w:val="22"/>
        </w:rPr>
      </w:pPr>
      <w:r w:rsidRPr="00530D16">
        <w:rPr>
          <w:noProof/>
          <w:lang w:eastAsia="en-AU"/>
        </w:rPr>
        <w:drawing>
          <wp:inline distT="0" distB="0" distL="0" distR="0" wp14:anchorId="18805744" wp14:editId="28EAB961">
            <wp:extent cx="5850890" cy="1997075"/>
            <wp:effectExtent l="0" t="0" r="0" b="3175"/>
            <wp:docPr id="10" name="Picture 9" descr="There are two charts showing the change in the capital replacement rate and profit margins for Australian industries for the years 2020-21 and 2022-23.">
              <a:extLst xmlns:a="http://schemas.openxmlformats.org/drawingml/2006/main">
                <a:ext uri="{FF2B5EF4-FFF2-40B4-BE49-F238E27FC236}">
                  <a16:creationId xmlns:a16="http://schemas.microsoft.com/office/drawing/2014/main" id="{92E1B5C8-8DAF-24D0-3DBB-236DE03744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here are two charts showing the change in the capital replacement rate and profit margins for Australian industries for the years 2020-21 and 2022-23.">
                      <a:extLst>
                        <a:ext uri="{FF2B5EF4-FFF2-40B4-BE49-F238E27FC236}">
                          <a16:creationId xmlns:a16="http://schemas.microsoft.com/office/drawing/2014/main" id="{92E1B5C8-8DAF-24D0-3DBB-236DE0374487}"/>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850890" cy="1997075"/>
                    </a:xfrm>
                    <a:prstGeom prst="rect">
                      <a:avLst/>
                    </a:prstGeom>
                  </pic:spPr>
                </pic:pic>
              </a:graphicData>
            </a:graphic>
          </wp:inline>
        </w:drawing>
      </w:r>
      <w:r w:rsidR="006213AB" w:rsidRPr="00ED3696">
        <w:rPr>
          <w:i/>
          <w:iCs/>
          <w:sz w:val="20"/>
          <w:szCs w:val="22"/>
        </w:rPr>
        <w:t>Source</w:t>
      </w:r>
      <w:r w:rsidR="006213AB" w:rsidRPr="003F68B8">
        <w:rPr>
          <w:i/>
          <w:iCs/>
          <w:sz w:val="20"/>
          <w:szCs w:val="22"/>
        </w:rPr>
        <w:t>:</w:t>
      </w:r>
      <w:r w:rsidR="006213AB" w:rsidRPr="003F68B8">
        <w:rPr>
          <w:i/>
          <w:iCs/>
          <w:sz w:val="20"/>
          <w:szCs w:val="22"/>
          <w:lang w:val="en-US"/>
        </w:rPr>
        <w:t xml:space="preserve"> </w:t>
      </w:r>
      <w:r w:rsidR="006213AB" w:rsidRPr="00D62B2D">
        <w:rPr>
          <w:i/>
          <w:iCs/>
          <w:sz w:val="20"/>
          <w:szCs w:val="22"/>
        </w:rPr>
        <w:t>Australian Bureau of Statistics</w:t>
      </w:r>
      <w:r w:rsidR="006213AB" w:rsidRPr="003F68B8">
        <w:rPr>
          <w:i/>
          <w:iCs/>
          <w:sz w:val="20"/>
          <w:szCs w:val="22"/>
        </w:rPr>
        <w:t xml:space="preserve">, </w:t>
      </w:r>
      <w:hyperlink r:id="rId19" w:anchor="data-downloads" w:history="1">
        <w:r w:rsidR="006213AB" w:rsidRPr="003F68B8">
          <w:rPr>
            <w:rStyle w:val="Hyperlink"/>
            <w:i/>
            <w:iCs/>
            <w:sz w:val="20"/>
            <w:szCs w:val="22"/>
          </w:rPr>
          <w:t>Australian Industry</w:t>
        </w:r>
      </w:hyperlink>
      <w:r w:rsidR="006213AB" w:rsidRPr="00D62B2D">
        <w:rPr>
          <w:i/>
          <w:iCs/>
          <w:sz w:val="20"/>
          <w:szCs w:val="22"/>
        </w:rPr>
        <w:t>, catalogue 8155.0.</w:t>
      </w:r>
    </w:p>
    <w:p w14:paraId="078D08D8" w14:textId="77777777" w:rsidR="006213AB" w:rsidRDefault="006213AB" w:rsidP="006213AB">
      <w:pPr>
        <w:spacing w:before="0"/>
        <w:rPr>
          <w:i/>
          <w:iCs/>
          <w:sz w:val="20"/>
          <w:szCs w:val="22"/>
        </w:rPr>
      </w:pPr>
      <w:r w:rsidRPr="00ED3696">
        <w:rPr>
          <w:i/>
          <w:iCs/>
          <w:sz w:val="20"/>
          <w:szCs w:val="22"/>
        </w:rPr>
        <w:t>Notes: Capital replacement measures the adequacy of replacing capital assets to cover depreciation.</w:t>
      </w:r>
      <w:r w:rsidRPr="00851619">
        <w:rPr>
          <w:i/>
          <w:iCs/>
          <w:sz w:val="20"/>
          <w:szCs w:val="22"/>
        </w:rPr>
        <w:t xml:space="preserve"> </w:t>
      </w:r>
      <w:r w:rsidRPr="00ED3696">
        <w:rPr>
          <w:i/>
          <w:iCs/>
          <w:sz w:val="20"/>
          <w:szCs w:val="22"/>
        </w:rPr>
        <w:t>The average includes mining and real-estate services, although they are not shown in the scatterplot datapoints.</w:t>
      </w:r>
      <w:r w:rsidRPr="00851619">
        <w:rPr>
          <w:i/>
          <w:iCs/>
          <w:sz w:val="20"/>
          <w:szCs w:val="22"/>
        </w:rPr>
        <w:t xml:space="preserve"> </w:t>
      </w:r>
    </w:p>
    <w:p w14:paraId="2A9668C9" w14:textId="129A95C0" w:rsidR="00450715" w:rsidRPr="005B5788" w:rsidRDefault="00450715" w:rsidP="00DE5B9E">
      <w:pPr>
        <w:rPr>
          <w:b/>
          <w:bCs/>
          <w:color w:val="358189"/>
          <w:sz w:val="32"/>
          <w:szCs w:val="26"/>
        </w:rPr>
      </w:pPr>
      <w:r w:rsidRPr="005B5788">
        <w:rPr>
          <w:b/>
          <w:bCs/>
          <w:color w:val="358189"/>
          <w:sz w:val="32"/>
          <w:szCs w:val="26"/>
        </w:rPr>
        <w:t>Services under particular pressure</w:t>
      </w:r>
    </w:p>
    <w:p w14:paraId="2442D54B" w14:textId="6A6410A5" w:rsidR="00450715" w:rsidRPr="005B5788" w:rsidRDefault="00450715" w:rsidP="00450715">
      <w:r w:rsidRPr="005B5788">
        <w:t xml:space="preserve">In undertaking the Health Check, </w:t>
      </w:r>
      <w:r w:rsidR="00010E60" w:rsidRPr="005B5788">
        <w:t>healthcare providers</w:t>
      </w:r>
      <w:r w:rsidR="00D63907" w:rsidRPr="005B5788">
        <w:t xml:space="preserve"> </w:t>
      </w:r>
      <w:r w:rsidR="00010E60" w:rsidRPr="005B5788">
        <w:t>identified</w:t>
      </w:r>
      <w:r w:rsidR="00D63907" w:rsidRPr="005B5788">
        <w:t xml:space="preserve"> </w:t>
      </w:r>
      <w:r w:rsidR="00565326" w:rsidRPr="005B5788">
        <w:t xml:space="preserve">a number of </w:t>
      </w:r>
      <w:r w:rsidR="00684EF5" w:rsidRPr="005B5788">
        <w:t xml:space="preserve">services that were </w:t>
      </w:r>
      <w:r w:rsidR="000177D1" w:rsidRPr="005B5788">
        <w:t xml:space="preserve">increasingly </w:t>
      </w:r>
      <w:r w:rsidR="00492E3E" w:rsidRPr="005B5788">
        <w:t>difficult to offer</w:t>
      </w:r>
      <w:r w:rsidR="007D525F">
        <w:t>.</w:t>
      </w:r>
      <w:r w:rsidR="00492E3E" w:rsidRPr="005B5788">
        <w:t xml:space="preserve"> </w:t>
      </w:r>
      <w:r w:rsidR="007D525F">
        <w:t>T</w:t>
      </w:r>
      <w:r w:rsidRPr="005B5788">
        <w:t>wo particular services of concern</w:t>
      </w:r>
      <w:r w:rsidR="00492E3E" w:rsidRPr="005B5788">
        <w:t xml:space="preserve"> </w:t>
      </w:r>
      <w:r w:rsidR="00D67AB5" w:rsidRPr="005B5788">
        <w:t>are</w:t>
      </w:r>
      <w:r w:rsidR="000A264A" w:rsidRPr="005B5788">
        <w:t xml:space="preserve"> </w:t>
      </w:r>
      <w:r w:rsidR="00740588">
        <w:t>o</w:t>
      </w:r>
      <w:r w:rsidR="00740588" w:rsidRPr="005B5788">
        <w:t xml:space="preserve">bstetrics </w:t>
      </w:r>
      <w:r w:rsidRPr="005B5788">
        <w:t xml:space="preserve">and </w:t>
      </w:r>
      <w:r w:rsidR="00740588">
        <w:t>m</w:t>
      </w:r>
      <w:r w:rsidR="00740588" w:rsidRPr="005B5788">
        <w:t xml:space="preserve">ental </w:t>
      </w:r>
      <w:r w:rsidR="00740588">
        <w:t>h</w:t>
      </w:r>
      <w:r w:rsidR="00740588" w:rsidRPr="005B5788">
        <w:t>ealth</w:t>
      </w:r>
      <w:r w:rsidRPr="005B5788">
        <w:t>.</w:t>
      </w:r>
    </w:p>
    <w:p w14:paraId="05EE0656" w14:textId="5730ACE4" w:rsidR="0035720E" w:rsidRPr="00FC709B" w:rsidRDefault="00450715" w:rsidP="00255FF8">
      <w:pPr>
        <w:pStyle w:val="Heading4"/>
        <w:rPr>
          <w:i w:val="0"/>
          <w:iCs/>
        </w:rPr>
      </w:pPr>
      <w:r w:rsidRPr="00FC709B">
        <w:rPr>
          <w:i w:val="0"/>
          <w:iCs/>
        </w:rPr>
        <w:t>Obstetrics</w:t>
      </w:r>
    </w:p>
    <w:p w14:paraId="0CA5EC72" w14:textId="5B18BA80" w:rsidR="00F96F8C" w:rsidRPr="005B5788" w:rsidRDefault="00450715" w:rsidP="00740DF9">
      <w:r w:rsidRPr="005B5788">
        <w:t>The number of childbirth separations has declined in both public and private hospitals. There was a decline of 5.9% in public hospitals compared to 4.7% in private hospitals from 2018–19 to 2022–23.</w:t>
      </w:r>
      <w:r w:rsidR="009E11BC">
        <w:rPr>
          <w:rStyle w:val="FootnoteReference"/>
        </w:rPr>
        <w:footnoteReference w:id="9"/>
      </w:r>
      <w:r w:rsidRPr="005B5788">
        <w:t xml:space="preserve"> </w:t>
      </w:r>
      <w:r w:rsidR="00D81A5A">
        <w:t xml:space="preserve">Out of </w:t>
      </w:r>
      <w:r w:rsidR="00D81A5A" w:rsidRPr="006C20B1">
        <w:t>pocket charges</w:t>
      </w:r>
      <w:r w:rsidR="005630F1" w:rsidRPr="006C20B1">
        <w:t xml:space="preserve"> </w:t>
      </w:r>
      <w:r w:rsidR="00B05E03" w:rsidRPr="006C20B1">
        <w:t xml:space="preserve">for </w:t>
      </w:r>
      <w:r w:rsidR="00FB31DB" w:rsidRPr="006C20B1">
        <w:t xml:space="preserve">consultation with a specialist for the </w:t>
      </w:r>
      <w:r w:rsidR="009520E5" w:rsidRPr="006C20B1">
        <w:t>pl</w:t>
      </w:r>
      <w:r w:rsidR="00B05E03" w:rsidRPr="006C20B1">
        <w:t>anning and management</w:t>
      </w:r>
      <w:r w:rsidR="009520E5" w:rsidRPr="006C20B1">
        <w:t xml:space="preserve"> of a pregnancy</w:t>
      </w:r>
      <w:r w:rsidR="003D4184" w:rsidRPr="006C20B1">
        <w:t xml:space="preserve"> </w:t>
      </w:r>
      <w:r w:rsidR="00B66B52" w:rsidRPr="006C20B1">
        <w:rPr>
          <w:rStyle w:val="ui-provider"/>
          <w:rFonts w:cs="Arial"/>
          <w:szCs w:val="22"/>
        </w:rPr>
        <w:t>have</w:t>
      </w:r>
      <w:r w:rsidR="00B66B52" w:rsidRPr="003130CC">
        <w:rPr>
          <w:rStyle w:val="ui-provider"/>
          <w:rFonts w:cs="Arial"/>
          <w:szCs w:val="22"/>
        </w:rPr>
        <w:t xml:space="preserve"> increased </w:t>
      </w:r>
      <w:r w:rsidR="0045791A">
        <w:rPr>
          <w:rStyle w:val="ui-provider"/>
          <w:rFonts w:cs="Arial"/>
          <w:szCs w:val="22"/>
        </w:rPr>
        <w:t xml:space="preserve">by </w:t>
      </w:r>
      <w:r w:rsidR="00B66B52" w:rsidRPr="003130CC">
        <w:rPr>
          <w:rStyle w:val="ui-provider"/>
          <w:rFonts w:cs="Arial"/>
          <w:szCs w:val="22"/>
        </w:rPr>
        <w:t>almost 8% between 2018</w:t>
      </w:r>
      <w:r w:rsidR="008B7FE5" w:rsidRPr="005B5788">
        <w:t>–</w:t>
      </w:r>
      <w:r w:rsidR="00B66B52" w:rsidRPr="003130CC">
        <w:rPr>
          <w:rStyle w:val="ui-provider"/>
          <w:rFonts w:cs="Arial"/>
          <w:szCs w:val="22"/>
        </w:rPr>
        <w:t>19 and 2022</w:t>
      </w:r>
      <w:r w:rsidR="008B7FE5" w:rsidRPr="005B5788">
        <w:t>–</w:t>
      </w:r>
      <w:r w:rsidR="00B66B52" w:rsidRPr="003130CC">
        <w:rPr>
          <w:rStyle w:val="ui-provider"/>
          <w:rFonts w:cs="Arial"/>
          <w:szCs w:val="22"/>
        </w:rPr>
        <w:t>23 to a median of $2</w:t>
      </w:r>
      <w:r w:rsidR="001742EF">
        <w:rPr>
          <w:rStyle w:val="ui-provider"/>
          <w:rFonts w:cs="Arial"/>
          <w:szCs w:val="22"/>
        </w:rPr>
        <w:t>,</w:t>
      </w:r>
      <w:r w:rsidR="00B66B52" w:rsidRPr="003130CC">
        <w:rPr>
          <w:rStyle w:val="ui-provider"/>
          <w:rFonts w:cs="Arial"/>
          <w:szCs w:val="22"/>
        </w:rPr>
        <w:t xml:space="preserve">615. </w:t>
      </w:r>
      <w:r w:rsidR="002E13C2" w:rsidRPr="005B5788">
        <w:t>Between 2015</w:t>
      </w:r>
      <w:r w:rsidR="003E0806">
        <w:t>–</w:t>
      </w:r>
      <w:r w:rsidR="002E13C2" w:rsidRPr="005B5788">
        <w:t>16 and 2022</w:t>
      </w:r>
      <w:r w:rsidR="003E0806">
        <w:t>–</w:t>
      </w:r>
      <w:r w:rsidR="002E13C2" w:rsidRPr="005B5788">
        <w:t>23,</w:t>
      </w:r>
      <w:r w:rsidR="007A2002">
        <w:t xml:space="preserve"> </w:t>
      </w:r>
      <w:r w:rsidR="002E13C2" w:rsidRPr="005B5788">
        <w:t xml:space="preserve">9 private hospitals closed their maternity wards, </w:t>
      </w:r>
      <w:r w:rsidR="005A2B16">
        <w:t>and</w:t>
      </w:r>
      <w:r w:rsidR="002E13C2" w:rsidRPr="005B5788">
        <w:t xml:space="preserve"> 2 hospitals with maternity services ceased operating.</w:t>
      </w:r>
      <w:r w:rsidR="00357249" w:rsidRPr="005B5788">
        <w:t xml:space="preserve"> T</w:t>
      </w:r>
      <w:r w:rsidR="006A403B" w:rsidRPr="005B5788">
        <w:t xml:space="preserve">he </w:t>
      </w:r>
      <w:r w:rsidRPr="005B5788">
        <w:t xml:space="preserve">profit margins for maternity services for private hospitals are </w:t>
      </w:r>
      <w:r w:rsidR="00E008FB" w:rsidRPr="005B5788">
        <w:t xml:space="preserve">now </w:t>
      </w:r>
      <w:r w:rsidRPr="005B5788">
        <w:t>lower than a decade ago</w:t>
      </w:r>
      <w:r w:rsidR="004B05CC">
        <w:t xml:space="preserve">. </w:t>
      </w:r>
      <w:bookmarkStart w:id="3" w:name="_Hlk177393683"/>
      <w:r w:rsidR="004B05CC">
        <w:t xml:space="preserve">The sector </w:t>
      </w:r>
      <w:r w:rsidR="002E0B30">
        <w:t>expre</w:t>
      </w:r>
      <w:r w:rsidR="0011120C">
        <w:t>ssed concerns</w:t>
      </w:r>
      <w:r w:rsidR="004B05CC">
        <w:t xml:space="preserve"> </w:t>
      </w:r>
      <w:r w:rsidR="005715F4" w:rsidRPr="005B5788">
        <w:t xml:space="preserve">about the further closure of </w:t>
      </w:r>
      <w:r w:rsidR="00E32B08" w:rsidRPr="005B5788">
        <w:t>p</w:t>
      </w:r>
      <w:r w:rsidR="005715F4" w:rsidRPr="005B5788">
        <w:t>rivate hospital maternity wards</w:t>
      </w:r>
      <w:r w:rsidR="00571598">
        <w:t xml:space="preserve"> due to the financial viability of the service and </w:t>
      </w:r>
      <w:r w:rsidR="004B05CC">
        <w:t xml:space="preserve">the </w:t>
      </w:r>
      <w:r w:rsidR="00571598">
        <w:t xml:space="preserve">challenges </w:t>
      </w:r>
      <w:r w:rsidR="004B05CC">
        <w:t xml:space="preserve">operators face in </w:t>
      </w:r>
      <w:r w:rsidR="00571598">
        <w:t xml:space="preserve">attracting and retaining the </w:t>
      </w:r>
      <w:r w:rsidR="004B05CC">
        <w:t xml:space="preserve">required specialised </w:t>
      </w:r>
      <w:r w:rsidR="00571598">
        <w:t>workforce</w:t>
      </w:r>
      <w:r w:rsidR="00CC2B47">
        <w:t xml:space="preserve">, including </w:t>
      </w:r>
      <w:r w:rsidR="008E6D78">
        <w:t xml:space="preserve">specialist nurses, </w:t>
      </w:r>
      <w:r w:rsidR="0011120C">
        <w:t>mid-</w:t>
      </w:r>
      <w:r w:rsidR="00B71505">
        <w:t xml:space="preserve">wives, </w:t>
      </w:r>
      <w:r w:rsidR="004D22B5">
        <w:t>paediatricians,</w:t>
      </w:r>
      <w:r w:rsidR="00B71505">
        <w:t xml:space="preserve"> and </w:t>
      </w:r>
      <w:r w:rsidR="008A0382">
        <w:t>anaesthetists</w:t>
      </w:r>
      <w:r w:rsidR="005715F4" w:rsidRPr="005B5788">
        <w:t xml:space="preserve">. </w:t>
      </w:r>
      <w:bookmarkEnd w:id="3"/>
    </w:p>
    <w:p w14:paraId="547A495E" w14:textId="6D669694" w:rsidR="008A43F0" w:rsidRPr="00FC709B" w:rsidRDefault="00450715" w:rsidP="00255FF8">
      <w:pPr>
        <w:pStyle w:val="Heading4"/>
        <w:rPr>
          <w:i w:val="0"/>
          <w:iCs/>
        </w:rPr>
      </w:pPr>
      <w:r w:rsidRPr="00FC709B">
        <w:rPr>
          <w:i w:val="0"/>
          <w:iCs/>
        </w:rPr>
        <w:lastRenderedPageBreak/>
        <w:t>Mental Healt</w:t>
      </w:r>
      <w:r w:rsidR="008A43F0" w:rsidRPr="00FC709B">
        <w:rPr>
          <w:i w:val="0"/>
          <w:iCs/>
        </w:rPr>
        <w:t>h</w:t>
      </w:r>
    </w:p>
    <w:p w14:paraId="1AB672BD" w14:textId="05C0ED14" w:rsidR="00450715" w:rsidRPr="00AA4EC8" w:rsidRDefault="00450715" w:rsidP="00DE5B9E">
      <w:pPr>
        <w:rPr>
          <w:rStyle w:val="normaltextrun"/>
        </w:rPr>
      </w:pPr>
      <w:r w:rsidRPr="005B5788">
        <w:t>The number of Medicare-subsidised psychiatric services delivered has increased 18.9% from 2018–19 to 2021–22</w:t>
      </w:r>
      <w:r w:rsidR="00183A87" w:rsidRPr="005B5788">
        <w:t xml:space="preserve">, </w:t>
      </w:r>
      <w:r w:rsidR="00897B6A" w:rsidRPr="005B5788">
        <w:t xml:space="preserve">supported by an increase in the </w:t>
      </w:r>
      <w:r w:rsidR="00C25A69" w:rsidRPr="005B5788">
        <w:t xml:space="preserve">total number of psychiatrists employed </w:t>
      </w:r>
      <w:r w:rsidR="00897B6A" w:rsidRPr="005B5788">
        <w:t xml:space="preserve">since 2018-19 by </w:t>
      </w:r>
      <w:r w:rsidR="006F5283" w:rsidRPr="005B5788">
        <w:t>approximately 1</w:t>
      </w:r>
      <w:r w:rsidR="00C25A69" w:rsidRPr="005B5788">
        <w:t>5%.</w:t>
      </w:r>
      <w:r w:rsidR="006F5283" w:rsidRPr="005B5788">
        <w:t xml:space="preserve"> </w:t>
      </w:r>
      <w:r w:rsidRPr="005B5788">
        <w:t xml:space="preserve">However, the number of services delivered in a </w:t>
      </w:r>
      <w:r w:rsidR="004568BB" w:rsidRPr="005B5788">
        <w:t xml:space="preserve">private </w:t>
      </w:r>
      <w:r w:rsidRPr="005B5788">
        <w:t xml:space="preserve">hospital setting has declined by about 15% over the same period. There has </w:t>
      </w:r>
      <w:r w:rsidR="00D21050">
        <w:t xml:space="preserve">also </w:t>
      </w:r>
      <w:r w:rsidRPr="005B5788">
        <w:t>been an increase in the weighted average out-of-pocket gap that psychiatrists charge for telehealth and rooms</w:t>
      </w:r>
      <w:r w:rsidR="00995036">
        <w:noBreakHyphen/>
      </w:r>
      <w:r w:rsidRPr="005B5788">
        <w:t>based services</w:t>
      </w:r>
      <w:r w:rsidR="00F1278D" w:rsidRPr="005B5788">
        <w:t>.</w:t>
      </w:r>
      <w:r w:rsidR="004B05CC">
        <w:t xml:space="preserve"> The sector </w:t>
      </w:r>
      <w:r w:rsidR="00AC738C">
        <w:t>expressed</w:t>
      </w:r>
      <w:r w:rsidR="004B05CC">
        <w:t xml:space="preserve"> concerned </w:t>
      </w:r>
      <w:r w:rsidR="004B05CC" w:rsidRPr="005B5788">
        <w:t xml:space="preserve">about </w:t>
      </w:r>
      <w:r w:rsidR="004B05CC">
        <w:t>access to</w:t>
      </w:r>
      <w:r w:rsidR="004B05CC" w:rsidRPr="005B5788">
        <w:t xml:space="preserve"> private hospital </w:t>
      </w:r>
      <w:r w:rsidR="004B05CC">
        <w:t xml:space="preserve">psychiatric services noting the difficulty in </w:t>
      </w:r>
      <w:r w:rsidR="004B05CC" w:rsidRPr="004B05CC">
        <w:t>attracting and retaining</w:t>
      </w:r>
      <w:r w:rsidR="004B05CC">
        <w:t xml:space="preserve"> </w:t>
      </w:r>
      <w:r w:rsidR="004B05CC" w:rsidRPr="004B05CC">
        <w:t xml:space="preserve">psychiatrists </w:t>
      </w:r>
      <w:r w:rsidR="00EC40D6">
        <w:t>prepared to</w:t>
      </w:r>
      <w:r w:rsidR="004B05CC">
        <w:t xml:space="preserve"> </w:t>
      </w:r>
      <w:r w:rsidR="004B05CC" w:rsidRPr="004B05CC">
        <w:t>work in a hospital setting</w:t>
      </w:r>
      <w:r w:rsidR="004B05CC">
        <w:t>.</w:t>
      </w:r>
    </w:p>
    <w:p w14:paraId="49D82FDD" w14:textId="4257DA7B" w:rsidR="004654F2" w:rsidRDefault="00F77E3F" w:rsidP="004654F2">
      <w:pPr>
        <w:pStyle w:val="Heading3"/>
      </w:pPr>
      <w:r>
        <w:t xml:space="preserve">Concluding </w:t>
      </w:r>
      <w:r w:rsidR="00641F41">
        <w:t>o</w:t>
      </w:r>
      <w:r w:rsidR="004654F2">
        <w:t>bservations</w:t>
      </w:r>
    </w:p>
    <w:p w14:paraId="632B3984" w14:textId="0E89CE23" w:rsidR="00F92610" w:rsidRDefault="00841A28" w:rsidP="004654F2">
      <w:r w:rsidRPr="00841A28">
        <w:t>The private hospital sector is an important part of the Australian health system</w:t>
      </w:r>
      <w:r w:rsidR="001133D3">
        <w:t>, offering patient</w:t>
      </w:r>
      <w:r w:rsidR="00104E36">
        <w:t>’s</w:t>
      </w:r>
      <w:r w:rsidRPr="00841A28">
        <w:t xml:space="preserve"> choice,</w:t>
      </w:r>
      <w:r w:rsidR="00795EA7">
        <w:t xml:space="preserve"> providing the hospital sector</w:t>
      </w:r>
      <w:r w:rsidRPr="00841A28">
        <w:t xml:space="preserve"> </w:t>
      </w:r>
      <w:r w:rsidR="00783971">
        <w:t xml:space="preserve">additional </w:t>
      </w:r>
      <w:r w:rsidRPr="00841A28">
        <w:t xml:space="preserve">capacity and </w:t>
      </w:r>
      <w:r w:rsidR="00DF07EC">
        <w:t xml:space="preserve">a </w:t>
      </w:r>
      <w:r w:rsidRPr="00841A28">
        <w:t>complementary workforce for public hospitals</w:t>
      </w:r>
      <w:r w:rsidR="00DF07EC">
        <w:t>.</w:t>
      </w:r>
    </w:p>
    <w:p w14:paraId="0C7961A5" w14:textId="32B9D078" w:rsidR="00FF23AD" w:rsidRDefault="00CE33F6" w:rsidP="004654F2">
      <w:r>
        <w:t>This public summary of the Health Check</w:t>
      </w:r>
      <w:r w:rsidR="002216AC">
        <w:t xml:space="preserve"> provides </w:t>
      </w:r>
      <w:r w:rsidR="00592E05">
        <w:t>only highly aggregated data</w:t>
      </w:r>
      <w:r w:rsidR="00BA66B1">
        <w:t xml:space="preserve"> to ensure commercially sensitive information </w:t>
      </w:r>
      <w:r w:rsidR="007211F2">
        <w:t xml:space="preserve">is not disclosed and the data provided is not </w:t>
      </w:r>
      <w:r w:rsidR="002216AC">
        <w:t>misin</w:t>
      </w:r>
      <w:r>
        <w:t>terpreted.</w:t>
      </w:r>
    </w:p>
    <w:p w14:paraId="1FE5E1B2" w14:textId="5681C25A" w:rsidR="008417E4" w:rsidRDefault="00772BBB" w:rsidP="003442E1">
      <w:r>
        <w:t>The dat</w:t>
      </w:r>
      <w:r w:rsidR="008417E4" w:rsidRPr="008417E4">
        <w:t xml:space="preserve">a </w:t>
      </w:r>
      <w:r>
        <w:t>assessed</w:t>
      </w:r>
      <w:r w:rsidRPr="008417E4">
        <w:t xml:space="preserve"> </w:t>
      </w:r>
      <w:r>
        <w:t>by</w:t>
      </w:r>
      <w:r w:rsidR="008417E4" w:rsidRPr="008417E4">
        <w:t xml:space="preserve"> the Health Check shows the private hospital sector has faced a number of shocks including the COVID-19 pandemic and it continues to experience a degree of volatility, due to inflationary pressures and workforce challenges which are working through the system. </w:t>
      </w:r>
      <w:r w:rsidR="00F7439F">
        <w:t>T</w:t>
      </w:r>
      <w:r w:rsidR="001D6A7A" w:rsidRPr="001D6A7A">
        <w:t xml:space="preserve">here are some positive signs of growth in admissions, </w:t>
      </w:r>
      <w:r>
        <w:t>and more recently indications that a number of private health insurers have offered addition</w:t>
      </w:r>
      <w:r w:rsidR="00752387">
        <w:t>al</w:t>
      </w:r>
      <w:r>
        <w:t xml:space="preserve"> funding to some private hospitals</w:t>
      </w:r>
      <w:r w:rsidR="00267DBC">
        <w:t xml:space="preserve">. </w:t>
      </w:r>
      <w:r w:rsidR="00632F99">
        <w:t xml:space="preserve">Data </w:t>
      </w:r>
      <w:r w:rsidR="00F25D51">
        <w:t>is not yet</w:t>
      </w:r>
      <w:r w:rsidR="001419B2">
        <w:t xml:space="preserve"> available to the department to </w:t>
      </w:r>
      <w:r w:rsidR="00632F99">
        <w:t xml:space="preserve">determine </w:t>
      </w:r>
      <w:r w:rsidR="001419B2">
        <w:t>w</w:t>
      </w:r>
      <w:r w:rsidR="00F42F91">
        <w:t xml:space="preserve">hether this </w:t>
      </w:r>
      <w:r w:rsidR="006E2175">
        <w:t>will</w:t>
      </w:r>
      <w:r w:rsidR="001D6A7A" w:rsidRPr="001D6A7A">
        <w:t xml:space="preserve"> significantly improve profitability</w:t>
      </w:r>
      <w:r w:rsidR="008417E4" w:rsidRPr="008417E4">
        <w:t>. Looking forward there will be both robust funding negotiations between hospitals and private health insurers and market corrections, requiring the continued close monitoring of the sector</w:t>
      </w:r>
      <w:r w:rsidR="008417E4">
        <w:t>.</w:t>
      </w:r>
    </w:p>
    <w:p w14:paraId="3F66E639" w14:textId="511027DB" w:rsidR="00F23437" w:rsidRDefault="00E110C3" w:rsidP="003442E1">
      <w:r>
        <w:t>Critically</w:t>
      </w:r>
      <w:r w:rsidR="009C2C95">
        <w:t>,</w:t>
      </w:r>
      <w:r>
        <w:t xml:space="preserve"> </w:t>
      </w:r>
      <w:r w:rsidR="001B5AC3">
        <w:t>all</w:t>
      </w:r>
      <w:r w:rsidR="00190421">
        <w:t xml:space="preserve"> </w:t>
      </w:r>
      <w:r w:rsidR="008359E1" w:rsidRPr="003442E1">
        <w:t xml:space="preserve">market participants who have a </w:t>
      </w:r>
      <w:r w:rsidR="00852DB2" w:rsidRPr="003442E1">
        <w:t>long-term</w:t>
      </w:r>
      <w:r w:rsidR="008359E1" w:rsidRPr="003442E1">
        <w:t xml:space="preserve"> financial interest in </w:t>
      </w:r>
      <w:r w:rsidR="006D7EC3">
        <w:t xml:space="preserve">the sustainability of the sector </w:t>
      </w:r>
      <w:r w:rsidR="00080CFB">
        <w:t>must work</w:t>
      </w:r>
      <w:r w:rsidR="00505287">
        <w:t xml:space="preserve"> together</w:t>
      </w:r>
      <w:r w:rsidR="00080CFB">
        <w:t xml:space="preserve"> to </w:t>
      </w:r>
      <w:r w:rsidR="008B151E">
        <w:t xml:space="preserve">ensure </w:t>
      </w:r>
      <w:r w:rsidR="00190421">
        <w:t xml:space="preserve">the private hospital </w:t>
      </w:r>
      <w:r w:rsidR="00852DB2">
        <w:t xml:space="preserve">sector </w:t>
      </w:r>
      <w:r w:rsidR="00BE6F7D">
        <w:t xml:space="preserve">remains </w:t>
      </w:r>
      <w:r w:rsidR="00080CFB">
        <w:t xml:space="preserve">financially viable in the short term but </w:t>
      </w:r>
      <w:r w:rsidR="00BE6F7D">
        <w:t xml:space="preserve">also </w:t>
      </w:r>
      <w:r w:rsidR="0065772E">
        <w:t xml:space="preserve">continues to </w:t>
      </w:r>
      <w:r w:rsidR="00BE6F7D">
        <w:t>adapt</w:t>
      </w:r>
      <w:r w:rsidR="0065772E">
        <w:t xml:space="preserve"> and innovate </w:t>
      </w:r>
      <w:r w:rsidR="00BE6F7D">
        <w:t xml:space="preserve">to deliver </w:t>
      </w:r>
      <w:r w:rsidR="008B151E">
        <w:t>efficient and contemporary acute care</w:t>
      </w:r>
      <w:r w:rsidR="00080CFB">
        <w:t xml:space="preserve"> </w:t>
      </w:r>
      <w:r w:rsidR="0065772E">
        <w:t xml:space="preserve">into the </w:t>
      </w:r>
      <w:r w:rsidR="00F77E3F">
        <w:t>future.</w:t>
      </w:r>
    </w:p>
    <w:p w14:paraId="73111E91" w14:textId="2E0352A8" w:rsidR="00607E12" w:rsidRPr="003442E1" w:rsidRDefault="0084370A" w:rsidP="003442E1">
      <w:r>
        <w:t>The sector engaged constructively with the department t</w:t>
      </w:r>
      <w:r w:rsidR="00F23437">
        <w:t xml:space="preserve">hrough the </w:t>
      </w:r>
      <w:r>
        <w:t xml:space="preserve">course of the </w:t>
      </w:r>
      <w:r w:rsidR="00F23437">
        <w:t>Health Check</w:t>
      </w:r>
      <w:r>
        <w:t xml:space="preserve">. Strengthening the </w:t>
      </w:r>
      <w:r w:rsidR="00F23437">
        <w:t>collection</w:t>
      </w:r>
      <w:r>
        <w:t xml:space="preserve"> and </w:t>
      </w:r>
      <w:r w:rsidR="00F23437">
        <w:t>analysis of</w:t>
      </w:r>
      <w:r w:rsidR="00466C22">
        <w:t xml:space="preserve"> </w:t>
      </w:r>
      <w:r>
        <w:t>key operational and performance data will</w:t>
      </w:r>
      <w:r w:rsidR="00E079FA">
        <w:t xml:space="preserve"> enable the department to work closely with the sector for the benefit of the </w:t>
      </w:r>
      <w:r w:rsidR="00E079FA" w:rsidRPr="00841A28">
        <w:t>Australian health system</w:t>
      </w:r>
      <w:r w:rsidR="00E079FA">
        <w:t>.</w:t>
      </w:r>
    </w:p>
    <w:p w14:paraId="058344CE" w14:textId="65A90941" w:rsidR="00FE4B55" w:rsidRDefault="003F4C46" w:rsidP="00FE4B55">
      <w:pPr>
        <w:pStyle w:val="Heading3"/>
      </w:pPr>
      <w:r>
        <w:t>Further information</w:t>
      </w:r>
    </w:p>
    <w:p w14:paraId="09C662AC" w14:textId="629A9FE9" w:rsidR="003F4C46" w:rsidRDefault="003F4C46" w:rsidP="0088469C">
      <w:r>
        <w:t>A copy of the data request that was sent to private hospitals is included and can be found</w:t>
      </w:r>
      <w:r w:rsidR="00DB1B46">
        <w:t xml:space="preserve"> at </w:t>
      </w:r>
      <w:hyperlink r:id="rId20" w:history="1">
        <w:r w:rsidR="00DB1B46" w:rsidRPr="00362B08">
          <w:rPr>
            <w:rStyle w:val="Hyperlink"/>
          </w:rPr>
          <w:t>https://www.health.gov.au/resources/publications/data-request-for-the-private-hospital-sector-financial-health-check</w:t>
        </w:r>
      </w:hyperlink>
      <w:r w:rsidR="00DB1B46">
        <w:t xml:space="preserve"> </w:t>
      </w:r>
      <w:r w:rsidR="00122291">
        <w:t xml:space="preserve"> </w:t>
      </w:r>
    </w:p>
    <w:bookmarkEnd w:id="1"/>
    <w:p w14:paraId="2BE1E852" w14:textId="590C496E" w:rsidR="0051242B" w:rsidRDefault="00D62B2D" w:rsidP="00D62B2D">
      <w:pPr>
        <w:pStyle w:val="Heading3"/>
      </w:pPr>
      <w:r>
        <w:t>Appendices</w:t>
      </w:r>
    </w:p>
    <w:p w14:paraId="2AFD00EA" w14:textId="45D1221D" w:rsidR="00D62B2D" w:rsidRDefault="00BA34D6" w:rsidP="00E008FB">
      <w:pPr>
        <w:pStyle w:val="ListParagraph"/>
        <w:numPr>
          <w:ilvl w:val="0"/>
          <w:numId w:val="13"/>
        </w:numPr>
      </w:pPr>
      <w:r w:rsidRPr="00BA34D6">
        <w:t xml:space="preserve">Health Check </w:t>
      </w:r>
      <w:r>
        <w:t>–</w:t>
      </w:r>
      <w:r w:rsidRPr="00BA34D6">
        <w:t xml:space="preserve"> Overview</w:t>
      </w:r>
      <w:r>
        <w:t>.</w:t>
      </w:r>
    </w:p>
    <w:p w14:paraId="667A2A08" w14:textId="09203AB7" w:rsidR="00BA34D6" w:rsidRDefault="00BB0A3E">
      <w:pPr>
        <w:pStyle w:val="ListParagraph"/>
        <w:numPr>
          <w:ilvl w:val="0"/>
          <w:numId w:val="13"/>
        </w:numPr>
        <w:spacing w:before="0" w:after="0" w:line="240" w:lineRule="auto"/>
      </w:pPr>
      <w:r>
        <w:t>CEO Forum and Reference Group Membership</w:t>
      </w:r>
      <w:r w:rsidR="00BA34D6">
        <w:br w:type="page"/>
      </w:r>
    </w:p>
    <w:p w14:paraId="31A54667" w14:textId="4C4A609B" w:rsidR="0068794F" w:rsidRDefault="00BA34D6" w:rsidP="0068794F">
      <w:pPr>
        <w:pStyle w:val="Heading1"/>
      </w:pPr>
      <w:r>
        <w:lastRenderedPageBreak/>
        <w:t>Appendix 1</w:t>
      </w:r>
      <w:r w:rsidR="0068794F">
        <w:t xml:space="preserve">: </w:t>
      </w:r>
      <w:r w:rsidR="0068794F" w:rsidRPr="00BA34D6">
        <w:t xml:space="preserve">Health Check </w:t>
      </w:r>
      <w:r w:rsidR="0068794F">
        <w:t>–</w:t>
      </w:r>
      <w:r w:rsidR="0068794F" w:rsidRPr="00BA34D6">
        <w:t xml:space="preserve"> Overview</w:t>
      </w:r>
    </w:p>
    <w:p w14:paraId="263BD94D" w14:textId="77777777" w:rsidR="0068794F" w:rsidRPr="0068794F" w:rsidRDefault="0068794F" w:rsidP="0068794F">
      <w:pPr>
        <w:pStyle w:val="Heading2"/>
      </w:pPr>
      <w:r w:rsidRPr="0068794F">
        <w:t>Objectives</w:t>
      </w:r>
    </w:p>
    <w:p w14:paraId="610C3823" w14:textId="77777777" w:rsidR="0068794F" w:rsidRPr="0068794F" w:rsidRDefault="0068794F" w:rsidP="0068794F">
      <w:r w:rsidRPr="0068794F">
        <w:t>Understand the current state of the private hospital market and viability of the sector by: </w:t>
      </w:r>
    </w:p>
    <w:p w14:paraId="2CD27666" w14:textId="35C6098C" w:rsidR="0068794F" w:rsidRPr="0068794F" w:rsidRDefault="0068794F" w:rsidP="00E008FB">
      <w:pPr>
        <w:pStyle w:val="ListParagraph"/>
        <w:numPr>
          <w:ilvl w:val="0"/>
          <w:numId w:val="10"/>
        </w:numPr>
      </w:pPr>
      <w:r w:rsidRPr="0068794F">
        <w:t>Establishing a robust evidence base regarding financial performance, financial pressures and profitability accounting for heterogeneity</w:t>
      </w:r>
      <w:r w:rsidR="00C75CAF">
        <w:t>.</w:t>
      </w:r>
    </w:p>
    <w:p w14:paraId="2114FF2C" w14:textId="77777777" w:rsidR="0068794F" w:rsidRPr="0068794F" w:rsidRDefault="0068794F" w:rsidP="00E008FB">
      <w:pPr>
        <w:pStyle w:val="ListParagraph"/>
        <w:numPr>
          <w:ilvl w:val="0"/>
          <w:numId w:val="10"/>
        </w:numPr>
      </w:pPr>
      <w:r w:rsidRPr="0068794F">
        <w:t>Identifying preliminary drivers contributing to financial challenges, including whether private hospitals should be expected to take responsibility for these matters.</w:t>
      </w:r>
    </w:p>
    <w:p w14:paraId="3D8E05D7" w14:textId="77777777" w:rsidR="0068794F" w:rsidRPr="0068794F" w:rsidRDefault="0068794F" w:rsidP="0068794F">
      <w:pPr>
        <w:pStyle w:val="Heading2"/>
      </w:pPr>
      <w:r w:rsidRPr="0068794F">
        <w:t>Scope</w:t>
      </w:r>
    </w:p>
    <w:p w14:paraId="0C82CE31" w14:textId="77777777" w:rsidR="0068794F" w:rsidRPr="0068794F" w:rsidRDefault="0068794F" w:rsidP="0068794F">
      <w:r w:rsidRPr="0068794F">
        <w:t>Analysing existing data and collecting new data to assess:</w:t>
      </w:r>
    </w:p>
    <w:p w14:paraId="112CF36A" w14:textId="7A38FB88" w:rsidR="0068794F" w:rsidRPr="0068794F" w:rsidRDefault="0091155B" w:rsidP="00E008FB">
      <w:pPr>
        <w:pStyle w:val="ListParagraph"/>
        <w:numPr>
          <w:ilvl w:val="0"/>
          <w:numId w:val="9"/>
        </w:numPr>
      </w:pPr>
      <w:r>
        <w:t>c</w:t>
      </w:r>
      <w:r w:rsidR="0068794F" w:rsidRPr="0068794F">
        <w:t>omponents and operating models of the private hospital market</w:t>
      </w:r>
    </w:p>
    <w:p w14:paraId="0482D32C" w14:textId="377D0502" w:rsidR="0068794F" w:rsidRPr="0068794F" w:rsidRDefault="0091155B" w:rsidP="00E008FB">
      <w:pPr>
        <w:pStyle w:val="ListParagraph"/>
        <w:numPr>
          <w:ilvl w:val="0"/>
          <w:numId w:val="9"/>
        </w:numPr>
      </w:pPr>
      <w:r>
        <w:t>f</w:t>
      </w:r>
      <w:r w:rsidR="0068794F" w:rsidRPr="0068794F">
        <w:t>inancing requirements and funding streams and arrangements</w:t>
      </w:r>
    </w:p>
    <w:p w14:paraId="29EBF229" w14:textId="777EF45A" w:rsidR="0068794F" w:rsidRPr="0068794F" w:rsidRDefault="0091155B" w:rsidP="00E008FB">
      <w:pPr>
        <w:pStyle w:val="ListParagraph"/>
        <w:numPr>
          <w:ilvl w:val="0"/>
          <w:numId w:val="9"/>
        </w:numPr>
      </w:pPr>
      <w:r>
        <w:t>c</w:t>
      </w:r>
      <w:r w:rsidR="0068794F" w:rsidRPr="0068794F">
        <w:t>osts and revenue, noting the range of services and treatments provided by the sector</w:t>
      </w:r>
    </w:p>
    <w:p w14:paraId="5BB5EB0E" w14:textId="776A52F1" w:rsidR="0068794F" w:rsidRPr="0068794F" w:rsidRDefault="0091155B" w:rsidP="00E008FB">
      <w:pPr>
        <w:pStyle w:val="ListParagraph"/>
        <w:numPr>
          <w:ilvl w:val="0"/>
          <w:numId w:val="9"/>
        </w:numPr>
      </w:pPr>
      <w:r>
        <w:t>p</w:t>
      </w:r>
      <w:r w:rsidR="0068794F" w:rsidRPr="0068794F">
        <w:t>rofitability of the sector including assessment of viability and investability</w:t>
      </w:r>
    </w:p>
    <w:p w14:paraId="6D0761F5" w14:textId="33F218B1" w:rsidR="0068794F" w:rsidRPr="0068794F" w:rsidRDefault="0091155B" w:rsidP="00E008FB">
      <w:pPr>
        <w:pStyle w:val="ListParagraph"/>
        <w:numPr>
          <w:ilvl w:val="0"/>
          <w:numId w:val="9"/>
        </w:numPr>
      </w:pPr>
      <w:r>
        <w:t>k</w:t>
      </w:r>
      <w:r w:rsidR="0068794F" w:rsidRPr="0068794F">
        <w:t>ey market challenges, the adequacy of arrangements for monitoring viability (including data availability and coverage) and broad directions for further consideration.</w:t>
      </w:r>
    </w:p>
    <w:p w14:paraId="4F45E718" w14:textId="77777777" w:rsidR="0068794F" w:rsidRPr="0068794F" w:rsidRDefault="0068794F" w:rsidP="0068794F">
      <w:pPr>
        <w:pStyle w:val="Heading2"/>
      </w:pPr>
      <w:r w:rsidRPr="0068794F">
        <w:t>Approach</w:t>
      </w:r>
    </w:p>
    <w:p w14:paraId="47BF5D8F" w14:textId="57747364" w:rsidR="0068794F" w:rsidRPr="0068794F" w:rsidRDefault="0091155B" w:rsidP="00E008FB">
      <w:pPr>
        <w:pStyle w:val="ListParagraph"/>
        <w:numPr>
          <w:ilvl w:val="0"/>
          <w:numId w:val="12"/>
        </w:numPr>
      </w:pPr>
      <w:r>
        <w:t>f</w:t>
      </w:r>
      <w:r w:rsidR="0068794F" w:rsidRPr="0068794F">
        <w:t>ocus on quantitative data analysis</w:t>
      </w:r>
    </w:p>
    <w:p w14:paraId="137508A0" w14:textId="297BA689" w:rsidR="0068794F" w:rsidRPr="0068794F" w:rsidRDefault="0091155B" w:rsidP="00E008FB">
      <w:pPr>
        <w:pStyle w:val="ListParagraph"/>
        <w:numPr>
          <w:ilvl w:val="0"/>
          <w:numId w:val="11"/>
        </w:numPr>
      </w:pPr>
      <w:r>
        <w:t>s</w:t>
      </w:r>
      <w:r w:rsidR="0068794F" w:rsidRPr="0068794F">
        <w:t>upported by qualitative inputs</w:t>
      </w:r>
    </w:p>
    <w:p w14:paraId="0BD89528" w14:textId="07B09C22" w:rsidR="0068794F" w:rsidRPr="0068794F" w:rsidRDefault="0091155B" w:rsidP="00E008FB">
      <w:pPr>
        <w:pStyle w:val="ListParagraph"/>
        <w:numPr>
          <w:ilvl w:val="0"/>
          <w:numId w:val="11"/>
        </w:numPr>
      </w:pPr>
      <w:r>
        <w:t>c</w:t>
      </w:r>
      <w:r w:rsidR="0068794F" w:rsidRPr="0068794F">
        <w:t>apturing heterogeneity</w:t>
      </w:r>
    </w:p>
    <w:p w14:paraId="41068C01" w14:textId="0EF7E763" w:rsidR="0068794F" w:rsidRPr="0068794F" w:rsidRDefault="0091155B" w:rsidP="00E008FB">
      <w:pPr>
        <w:pStyle w:val="ListParagraph"/>
        <w:numPr>
          <w:ilvl w:val="0"/>
          <w:numId w:val="11"/>
        </w:numPr>
      </w:pPr>
      <w:r>
        <w:t>u</w:t>
      </w:r>
      <w:r w:rsidR="0068794F" w:rsidRPr="0068794F">
        <w:t>ndertaking sensitivity and scenario analysis to the current state.</w:t>
      </w:r>
    </w:p>
    <w:p w14:paraId="05D59A93" w14:textId="391F4D2D" w:rsidR="00E44A1C" w:rsidRDefault="00E44A1C">
      <w:pPr>
        <w:spacing w:before="0" w:after="0" w:line="240" w:lineRule="auto"/>
        <w:rPr>
          <w:rFonts w:cs="Arial"/>
          <w:b/>
          <w:bCs/>
          <w:color w:val="3F4A75"/>
          <w:kern w:val="28"/>
          <w:sz w:val="44"/>
          <w:szCs w:val="36"/>
        </w:rPr>
      </w:pPr>
      <w:r>
        <w:rPr>
          <w:rFonts w:cs="Arial"/>
          <w:b/>
          <w:bCs/>
          <w:color w:val="3F4A75"/>
          <w:kern w:val="28"/>
          <w:sz w:val="44"/>
          <w:szCs w:val="36"/>
        </w:rPr>
        <w:br w:type="page"/>
      </w:r>
    </w:p>
    <w:p w14:paraId="3CBDACD4" w14:textId="666CC680" w:rsidR="00E44A1C" w:rsidRDefault="00E44A1C" w:rsidP="00E44A1C">
      <w:pPr>
        <w:spacing w:before="0" w:after="0" w:line="240" w:lineRule="auto"/>
        <w:textAlignment w:val="baseline"/>
        <w:rPr>
          <w:rFonts w:cs="Arial"/>
          <w:b/>
          <w:bCs/>
          <w:color w:val="3F4A75"/>
          <w:sz w:val="44"/>
          <w:szCs w:val="44"/>
          <w:lang w:eastAsia="en-AU"/>
        </w:rPr>
      </w:pPr>
      <w:r w:rsidRPr="00E44A1C">
        <w:rPr>
          <w:rFonts w:cs="Arial"/>
          <w:b/>
          <w:bCs/>
          <w:color w:val="3F4A75"/>
          <w:sz w:val="44"/>
          <w:szCs w:val="44"/>
          <w:lang w:eastAsia="en-AU"/>
        </w:rPr>
        <w:lastRenderedPageBreak/>
        <w:t xml:space="preserve">Appendix 2: CEO Forum and Reference Group </w:t>
      </w:r>
      <w:r w:rsidR="005022D0">
        <w:rPr>
          <w:rFonts w:cs="Arial"/>
          <w:b/>
          <w:bCs/>
          <w:color w:val="3F4A75"/>
          <w:sz w:val="44"/>
          <w:szCs w:val="44"/>
          <w:lang w:eastAsia="en-AU"/>
        </w:rPr>
        <w:t>M</w:t>
      </w:r>
      <w:r w:rsidRPr="00E44A1C">
        <w:rPr>
          <w:rFonts w:cs="Arial"/>
          <w:b/>
          <w:bCs/>
          <w:color w:val="3F4A75"/>
          <w:sz w:val="44"/>
          <w:szCs w:val="44"/>
          <w:lang w:eastAsia="en-AU"/>
        </w:rPr>
        <w:t>embership</w:t>
      </w:r>
    </w:p>
    <w:p w14:paraId="539C0DF7" w14:textId="43A3E90A" w:rsidR="00E44A1C" w:rsidRPr="00E44A1C" w:rsidRDefault="00886D5F" w:rsidP="00E44A1C">
      <w:pPr>
        <w:spacing w:before="0" w:after="0" w:line="240" w:lineRule="auto"/>
        <w:textAlignment w:val="baseline"/>
        <w:rPr>
          <w:rFonts w:ascii="Segoe UI" w:hAnsi="Segoe UI" w:cs="Segoe UI"/>
          <w:color w:val="358189"/>
          <w:sz w:val="18"/>
          <w:szCs w:val="18"/>
          <w:lang w:eastAsia="en-AU"/>
        </w:rPr>
      </w:pPr>
      <w:r>
        <w:rPr>
          <w:b/>
          <w:bCs/>
        </w:rPr>
        <w:t>Table 1</w:t>
      </w:r>
      <w:r w:rsidRPr="00D55F49">
        <w:rPr>
          <w:b/>
          <w:bCs/>
        </w:rPr>
        <w:t>:</w:t>
      </w:r>
      <w:r>
        <w:rPr>
          <w:b/>
          <w:bCs/>
        </w:rPr>
        <w:t xml:space="preserve"> </w:t>
      </w:r>
      <w:r w:rsidRPr="00886D5F">
        <w:t>Membership of CEO Forum</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4644"/>
      </w:tblGrid>
      <w:tr w:rsidR="00E44A1C" w:rsidRPr="00E44A1C" w14:paraId="1C6FF701" w14:textId="77777777" w:rsidTr="00312FC3">
        <w:trPr>
          <w:trHeight w:val="450"/>
        </w:trPr>
        <w:tc>
          <w:tcPr>
            <w:tcW w:w="4536" w:type="dxa"/>
            <w:tcBorders>
              <w:top w:val="single" w:sz="6" w:space="0" w:color="auto"/>
              <w:left w:val="nil"/>
              <w:bottom w:val="single" w:sz="6" w:space="0" w:color="auto"/>
              <w:right w:val="nil"/>
            </w:tcBorders>
            <w:shd w:val="clear" w:color="auto" w:fill="3F4A75" w:themeFill="accent1"/>
            <w:hideMark/>
          </w:tcPr>
          <w:p w14:paraId="24D0AB7A" w14:textId="77777777" w:rsidR="00E44A1C" w:rsidRPr="00E44A1C" w:rsidRDefault="00E44A1C" w:rsidP="00E44A1C">
            <w:pPr>
              <w:spacing w:before="0" w:after="0" w:line="240" w:lineRule="auto"/>
              <w:textAlignment w:val="baseline"/>
              <w:rPr>
                <w:rFonts w:ascii="Times New Roman" w:hAnsi="Times New Roman"/>
                <w:b/>
                <w:bCs/>
                <w:color w:val="FFFFFF"/>
                <w:sz w:val="24"/>
                <w:lang w:eastAsia="en-AU"/>
              </w:rPr>
            </w:pPr>
            <w:r w:rsidRPr="00E44A1C">
              <w:rPr>
                <w:rFonts w:cs="Arial"/>
                <w:b/>
                <w:bCs/>
                <w:color w:val="FFFFFF"/>
                <w:szCs w:val="22"/>
                <w:lang w:val="en-US" w:eastAsia="en-AU"/>
              </w:rPr>
              <w:t>Member </w:t>
            </w:r>
            <w:r w:rsidRPr="00E44A1C">
              <w:rPr>
                <w:rFonts w:cs="Arial"/>
                <w:b/>
                <w:bCs/>
                <w:color w:val="FFFFFF"/>
                <w:szCs w:val="22"/>
                <w:lang w:eastAsia="en-AU"/>
              </w:rPr>
              <w:t> </w:t>
            </w:r>
          </w:p>
        </w:tc>
        <w:tc>
          <w:tcPr>
            <w:tcW w:w="4644" w:type="dxa"/>
            <w:tcBorders>
              <w:top w:val="single" w:sz="6" w:space="0" w:color="auto"/>
              <w:left w:val="nil"/>
              <w:bottom w:val="single" w:sz="6" w:space="0" w:color="auto"/>
              <w:right w:val="nil"/>
            </w:tcBorders>
            <w:shd w:val="clear" w:color="auto" w:fill="3F4A75" w:themeFill="accent1"/>
            <w:hideMark/>
          </w:tcPr>
          <w:p w14:paraId="744F2CA0" w14:textId="77777777" w:rsidR="00E44A1C" w:rsidRPr="00E44A1C" w:rsidRDefault="00E44A1C" w:rsidP="00E44A1C">
            <w:pPr>
              <w:spacing w:before="0" w:after="0" w:line="240" w:lineRule="auto"/>
              <w:textAlignment w:val="baseline"/>
              <w:rPr>
                <w:rFonts w:ascii="Times New Roman" w:hAnsi="Times New Roman"/>
                <w:b/>
                <w:bCs/>
                <w:color w:val="FFFFFF"/>
                <w:sz w:val="24"/>
                <w:lang w:eastAsia="en-AU"/>
              </w:rPr>
            </w:pPr>
            <w:r w:rsidRPr="00E44A1C">
              <w:rPr>
                <w:rFonts w:cs="Arial"/>
                <w:b/>
                <w:bCs/>
                <w:color w:val="FFFFFF"/>
                <w:szCs w:val="22"/>
                <w:lang w:val="en-US" w:eastAsia="en-AU"/>
              </w:rPr>
              <w:t>Organisation</w:t>
            </w:r>
            <w:r w:rsidRPr="00E44A1C">
              <w:rPr>
                <w:rFonts w:cs="Arial"/>
                <w:b/>
                <w:bCs/>
                <w:color w:val="FFFFFF"/>
                <w:szCs w:val="22"/>
                <w:lang w:eastAsia="en-AU"/>
              </w:rPr>
              <w:t> </w:t>
            </w:r>
          </w:p>
        </w:tc>
      </w:tr>
      <w:tr w:rsidR="003E770E" w:rsidRPr="000D5CD6" w14:paraId="2AB24B1D" w14:textId="77777777" w:rsidTr="00312FC3">
        <w:trPr>
          <w:trHeight w:val="450"/>
        </w:trPr>
        <w:tc>
          <w:tcPr>
            <w:tcW w:w="4536" w:type="dxa"/>
            <w:tcBorders>
              <w:top w:val="single" w:sz="6" w:space="0" w:color="auto"/>
              <w:left w:val="nil"/>
              <w:bottom w:val="single" w:sz="6" w:space="0" w:color="auto"/>
              <w:right w:val="nil"/>
            </w:tcBorders>
            <w:shd w:val="clear" w:color="auto" w:fill="auto"/>
            <w:hideMark/>
          </w:tcPr>
          <w:p w14:paraId="1EBCBE9A" w14:textId="26659C93" w:rsidR="209E1BE1" w:rsidRPr="000D5CD6" w:rsidRDefault="68DB37C6" w:rsidP="000D5CD6">
            <w:pPr>
              <w:spacing w:before="0" w:after="0" w:line="240" w:lineRule="auto"/>
              <w:textAlignment w:val="baseline"/>
              <w:rPr>
                <w:rFonts w:cs="Arial"/>
                <w:color w:val="000000"/>
                <w:sz w:val="21"/>
                <w:szCs w:val="21"/>
                <w:lang w:eastAsia="en-AU"/>
              </w:rPr>
            </w:pPr>
            <w:r w:rsidRPr="000D5CD6">
              <w:rPr>
                <w:rFonts w:cs="Arial"/>
                <w:color w:val="000000"/>
                <w:sz w:val="21"/>
                <w:szCs w:val="21"/>
                <w:lang w:eastAsia="en-AU"/>
              </w:rPr>
              <w:t>Mr Blair Comley</w:t>
            </w:r>
            <w:r w:rsidR="00F73227">
              <w:rPr>
                <w:rFonts w:cs="Arial"/>
                <w:color w:val="000000"/>
                <w:sz w:val="21"/>
                <w:szCs w:val="21"/>
                <w:lang w:eastAsia="en-AU"/>
              </w:rPr>
              <w:t xml:space="preserve"> PSM</w:t>
            </w:r>
          </w:p>
        </w:tc>
        <w:tc>
          <w:tcPr>
            <w:tcW w:w="4644" w:type="dxa"/>
            <w:tcBorders>
              <w:top w:val="single" w:sz="6" w:space="0" w:color="auto"/>
              <w:left w:val="nil"/>
              <w:bottom w:val="single" w:sz="6" w:space="0" w:color="auto"/>
              <w:right w:val="nil"/>
            </w:tcBorders>
            <w:shd w:val="clear" w:color="auto" w:fill="auto"/>
            <w:hideMark/>
          </w:tcPr>
          <w:p w14:paraId="7841A94E" w14:textId="03DC6958" w:rsidR="209E1BE1" w:rsidRPr="000D5CD6" w:rsidRDefault="68DB37C6" w:rsidP="000D5CD6">
            <w:pPr>
              <w:spacing w:before="0" w:after="0" w:line="240" w:lineRule="auto"/>
              <w:textAlignment w:val="baseline"/>
              <w:rPr>
                <w:rFonts w:cs="Arial"/>
                <w:color w:val="000000"/>
                <w:sz w:val="21"/>
                <w:szCs w:val="21"/>
                <w:lang w:eastAsia="en-AU"/>
              </w:rPr>
            </w:pPr>
            <w:r w:rsidRPr="000D5CD6">
              <w:rPr>
                <w:rFonts w:cs="Arial"/>
                <w:color w:val="000000"/>
                <w:sz w:val="21"/>
                <w:szCs w:val="21"/>
                <w:lang w:eastAsia="en-AU"/>
              </w:rPr>
              <w:t>Department of Health and Aged Care (Chair)</w:t>
            </w:r>
          </w:p>
        </w:tc>
      </w:tr>
      <w:tr w:rsidR="003E770E" w:rsidRPr="000D5CD6" w14:paraId="2F4C0453" w14:textId="77777777" w:rsidTr="00312FC3">
        <w:trPr>
          <w:trHeight w:val="450"/>
        </w:trPr>
        <w:tc>
          <w:tcPr>
            <w:tcW w:w="4536" w:type="dxa"/>
            <w:tcBorders>
              <w:top w:val="single" w:sz="6" w:space="0" w:color="auto"/>
              <w:left w:val="nil"/>
              <w:bottom w:val="single" w:sz="6" w:space="0" w:color="auto"/>
              <w:right w:val="nil"/>
            </w:tcBorders>
            <w:shd w:val="clear" w:color="auto" w:fill="auto"/>
            <w:hideMark/>
          </w:tcPr>
          <w:p w14:paraId="7ABC46CC" w14:textId="05C10C29" w:rsidR="18402DB4" w:rsidRPr="000D5CD6" w:rsidRDefault="68DB37C6" w:rsidP="000D5CD6">
            <w:pPr>
              <w:spacing w:before="0" w:after="0" w:line="240" w:lineRule="auto"/>
              <w:textAlignment w:val="baseline"/>
              <w:rPr>
                <w:rFonts w:cs="Arial"/>
                <w:color w:val="000000"/>
                <w:sz w:val="21"/>
                <w:szCs w:val="21"/>
                <w:lang w:eastAsia="en-AU"/>
              </w:rPr>
            </w:pPr>
            <w:r w:rsidRPr="000D5CD6">
              <w:rPr>
                <w:rFonts w:cs="Arial"/>
                <w:color w:val="000000"/>
                <w:sz w:val="21"/>
                <w:szCs w:val="21"/>
                <w:lang w:eastAsia="en-AU"/>
              </w:rPr>
              <w:t>Mr James Downie</w:t>
            </w:r>
          </w:p>
        </w:tc>
        <w:tc>
          <w:tcPr>
            <w:tcW w:w="4644" w:type="dxa"/>
            <w:tcBorders>
              <w:top w:val="single" w:sz="6" w:space="0" w:color="auto"/>
              <w:left w:val="nil"/>
              <w:bottom w:val="single" w:sz="6" w:space="0" w:color="auto"/>
              <w:right w:val="nil"/>
            </w:tcBorders>
            <w:shd w:val="clear" w:color="auto" w:fill="auto"/>
            <w:hideMark/>
          </w:tcPr>
          <w:p w14:paraId="7F934E5E" w14:textId="4721C9B9" w:rsidR="18402DB4" w:rsidRPr="000D5CD6" w:rsidRDefault="68DB37C6" w:rsidP="000D5CD6">
            <w:pPr>
              <w:spacing w:before="0" w:after="0" w:line="240" w:lineRule="auto"/>
              <w:textAlignment w:val="baseline"/>
              <w:rPr>
                <w:rFonts w:cs="Arial"/>
                <w:color w:val="000000"/>
                <w:sz w:val="21"/>
                <w:szCs w:val="21"/>
                <w:lang w:eastAsia="en-AU"/>
              </w:rPr>
            </w:pPr>
            <w:r w:rsidRPr="000D5CD6">
              <w:rPr>
                <w:rFonts w:cs="Arial"/>
                <w:color w:val="000000"/>
                <w:sz w:val="21"/>
                <w:szCs w:val="21"/>
                <w:lang w:eastAsia="en-AU"/>
              </w:rPr>
              <w:t>Department of Health and Aged Care (Lead Advisor)</w:t>
            </w:r>
          </w:p>
        </w:tc>
      </w:tr>
      <w:tr w:rsidR="003E770E" w:rsidRPr="00E44A1C" w14:paraId="71B97D10" w14:textId="77777777" w:rsidTr="00312FC3">
        <w:trPr>
          <w:trHeight w:val="450"/>
        </w:trPr>
        <w:tc>
          <w:tcPr>
            <w:tcW w:w="4536" w:type="dxa"/>
            <w:tcBorders>
              <w:top w:val="single" w:sz="6" w:space="0" w:color="auto"/>
              <w:left w:val="nil"/>
              <w:bottom w:val="single" w:sz="6" w:space="0" w:color="auto"/>
              <w:right w:val="nil"/>
            </w:tcBorders>
            <w:shd w:val="clear" w:color="auto" w:fill="auto"/>
            <w:hideMark/>
          </w:tcPr>
          <w:p w14:paraId="0E63A507"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Mr Greg Horan </w:t>
            </w:r>
          </w:p>
        </w:tc>
        <w:tc>
          <w:tcPr>
            <w:tcW w:w="4644" w:type="dxa"/>
            <w:tcBorders>
              <w:top w:val="single" w:sz="6" w:space="0" w:color="auto"/>
              <w:left w:val="nil"/>
              <w:bottom w:val="single" w:sz="6" w:space="0" w:color="auto"/>
              <w:right w:val="nil"/>
            </w:tcBorders>
            <w:shd w:val="clear" w:color="auto" w:fill="auto"/>
            <w:hideMark/>
          </w:tcPr>
          <w:p w14:paraId="1FBEB1D8"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Healthscope​ </w:t>
            </w:r>
          </w:p>
        </w:tc>
      </w:tr>
      <w:tr w:rsidR="00E44A1C" w:rsidRPr="00E44A1C" w14:paraId="284517EA"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73FFC798"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Ms Carmel Monaghan​​ </w:t>
            </w:r>
          </w:p>
        </w:tc>
        <w:tc>
          <w:tcPr>
            <w:tcW w:w="4644" w:type="dxa"/>
            <w:tcBorders>
              <w:top w:val="single" w:sz="6" w:space="0" w:color="auto"/>
              <w:left w:val="nil"/>
              <w:bottom w:val="single" w:sz="6" w:space="0" w:color="auto"/>
              <w:right w:val="nil"/>
            </w:tcBorders>
            <w:shd w:val="clear" w:color="auto" w:fill="FFFFFF" w:themeFill="background1"/>
            <w:hideMark/>
          </w:tcPr>
          <w:p w14:paraId="36990AEE" w14:textId="3D0D3C39"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Ramsay​ </w:t>
            </w:r>
            <w:r w:rsidR="009077F8">
              <w:rPr>
                <w:rFonts w:cs="Arial"/>
                <w:color w:val="000000"/>
                <w:sz w:val="21"/>
                <w:szCs w:val="21"/>
                <w:lang w:eastAsia="en-AU"/>
              </w:rPr>
              <w:t>Health Care</w:t>
            </w:r>
          </w:p>
        </w:tc>
      </w:tr>
      <w:tr w:rsidR="00E44A1C" w:rsidRPr="00E44A1C" w14:paraId="59ADFC3F"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7DB34279"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Ms Sue Williams​​ </w:t>
            </w:r>
          </w:p>
        </w:tc>
        <w:tc>
          <w:tcPr>
            <w:tcW w:w="4644" w:type="dxa"/>
            <w:tcBorders>
              <w:top w:val="single" w:sz="6" w:space="0" w:color="auto"/>
              <w:left w:val="nil"/>
              <w:bottom w:val="single" w:sz="6" w:space="0" w:color="auto"/>
              <w:right w:val="nil"/>
            </w:tcBorders>
            <w:shd w:val="clear" w:color="auto" w:fill="FFFFFF" w:themeFill="background1"/>
            <w:hideMark/>
          </w:tcPr>
          <w:p w14:paraId="610A0D52" w14:textId="3EE7082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Cabrini​ </w:t>
            </w:r>
            <w:r w:rsidR="003A4FCD">
              <w:rPr>
                <w:rFonts w:cs="Arial"/>
                <w:color w:val="000000"/>
                <w:sz w:val="21"/>
                <w:szCs w:val="21"/>
                <w:lang w:eastAsia="en-AU"/>
              </w:rPr>
              <w:t>Health</w:t>
            </w:r>
          </w:p>
        </w:tc>
      </w:tr>
      <w:tr w:rsidR="00E44A1C" w:rsidRPr="00E44A1C" w14:paraId="3F6F8851"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02B2E797"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Mr Martin Bowles​ AO PSM​ </w:t>
            </w:r>
          </w:p>
        </w:tc>
        <w:tc>
          <w:tcPr>
            <w:tcW w:w="4644" w:type="dxa"/>
            <w:tcBorders>
              <w:top w:val="single" w:sz="6" w:space="0" w:color="auto"/>
              <w:left w:val="nil"/>
              <w:bottom w:val="single" w:sz="6" w:space="0" w:color="auto"/>
              <w:right w:val="nil"/>
            </w:tcBorders>
            <w:shd w:val="clear" w:color="auto" w:fill="FFFFFF" w:themeFill="background1"/>
            <w:hideMark/>
          </w:tcPr>
          <w:p w14:paraId="246B3225" w14:textId="610A154E"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 xml:space="preserve">Calvary </w:t>
            </w:r>
            <w:r w:rsidR="008013AD">
              <w:rPr>
                <w:rFonts w:cs="Arial"/>
                <w:color w:val="000000"/>
                <w:sz w:val="21"/>
                <w:szCs w:val="21"/>
                <w:lang w:eastAsia="en-AU"/>
              </w:rPr>
              <w:t xml:space="preserve">Health </w:t>
            </w:r>
            <w:r w:rsidRPr="00E44A1C">
              <w:rPr>
                <w:rFonts w:cs="Arial"/>
                <w:color w:val="000000"/>
                <w:sz w:val="21"/>
                <w:szCs w:val="21"/>
                <w:lang w:eastAsia="en-AU"/>
              </w:rPr>
              <w:t>Care​ </w:t>
            </w:r>
          </w:p>
        </w:tc>
      </w:tr>
      <w:tr w:rsidR="00E44A1C" w:rsidRPr="00E44A1C" w14:paraId="3F5B2195"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34CD51DC"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Mr Matt Kelly </w:t>
            </w:r>
          </w:p>
        </w:tc>
        <w:tc>
          <w:tcPr>
            <w:tcW w:w="4644" w:type="dxa"/>
            <w:tcBorders>
              <w:top w:val="single" w:sz="6" w:space="0" w:color="auto"/>
              <w:left w:val="nil"/>
              <w:bottom w:val="single" w:sz="6" w:space="0" w:color="auto"/>
              <w:right w:val="nil"/>
            </w:tcBorders>
            <w:shd w:val="clear" w:color="auto" w:fill="FFFFFF" w:themeFill="background1"/>
            <w:hideMark/>
          </w:tcPr>
          <w:p w14:paraId="43CA34DF" w14:textId="544D9991"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PresMed​ </w:t>
            </w:r>
            <w:r w:rsidR="00C4221E">
              <w:rPr>
                <w:rFonts w:cs="Arial"/>
                <w:color w:val="000000"/>
                <w:sz w:val="21"/>
                <w:szCs w:val="21"/>
                <w:lang w:eastAsia="en-AU"/>
              </w:rPr>
              <w:t>Australia</w:t>
            </w:r>
          </w:p>
        </w:tc>
      </w:tr>
      <w:tr w:rsidR="00E44A1C" w:rsidRPr="00E44A1C" w14:paraId="6EA2F430"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2624316A"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Mr David Koczkar​ </w:t>
            </w:r>
          </w:p>
        </w:tc>
        <w:tc>
          <w:tcPr>
            <w:tcW w:w="4644" w:type="dxa"/>
            <w:tcBorders>
              <w:top w:val="single" w:sz="6" w:space="0" w:color="auto"/>
              <w:left w:val="nil"/>
              <w:bottom w:val="single" w:sz="6" w:space="0" w:color="auto"/>
              <w:right w:val="nil"/>
            </w:tcBorders>
            <w:shd w:val="clear" w:color="auto" w:fill="FFFFFF" w:themeFill="background1"/>
            <w:hideMark/>
          </w:tcPr>
          <w:p w14:paraId="558872A4" w14:textId="168FFAEE"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Medibank​</w:t>
            </w:r>
            <w:r w:rsidR="002749E8">
              <w:rPr>
                <w:rFonts w:cs="Arial"/>
                <w:color w:val="000000"/>
                <w:sz w:val="21"/>
                <w:szCs w:val="21"/>
                <w:lang w:eastAsia="en-AU"/>
              </w:rPr>
              <w:t xml:space="preserve"> Private Limited</w:t>
            </w:r>
          </w:p>
        </w:tc>
      </w:tr>
      <w:tr w:rsidR="00E44A1C" w:rsidRPr="00E44A1C" w14:paraId="3B56165F"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7C7EC3E1"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Ms Sheena Jack </w:t>
            </w:r>
          </w:p>
        </w:tc>
        <w:tc>
          <w:tcPr>
            <w:tcW w:w="4644" w:type="dxa"/>
            <w:tcBorders>
              <w:top w:val="single" w:sz="6" w:space="0" w:color="auto"/>
              <w:left w:val="nil"/>
              <w:bottom w:val="single" w:sz="6" w:space="0" w:color="auto"/>
              <w:right w:val="nil"/>
            </w:tcBorders>
            <w:shd w:val="clear" w:color="auto" w:fill="FFFFFF" w:themeFill="background1"/>
            <w:hideMark/>
          </w:tcPr>
          <w:p w14:paraId="262D850D" w14:textId="7940CB17" w:rsidR="00E44A1C" w:rsidRPr="00E44A1C" w:rsidRDefault="0037151C" w:rsidP="00E44A1C">
            <w:pPr>
              <w:spacing w:before="0" w:after="0" w:line="240" w:lineRule="auto"/>
              <w:textAlignment w:val="baseline"/>
              <w:rPr>
                <w:rFonts w:ascii="Times New Roman" w:hAnsi="Times New Roman"/>
                <w:color w:val="000000"/>
                <w:sz w:val="24"/>
                <w:lang w:eastAsia="en-AU"/>
              </w:rPr>
            </w:pPr>
            <w:r>
              <w:rPr>
                <w:rFonts w:cs="Arial"/>
                <w:color w:val="000000"/>
                <w:sz w:val="21"/>
                <w:szCs w:val="21"/>
                <w:lang w:eastAsia="en-AU"/>
              </w:rPr>
              <w:t>Hospitals Contribution Fund of Australia (</w:t>
            </w:r>
            <w:r w:rsidR="00E44A1C" w:rsidRPr="00E44A1C">
              <w:rPr>
                <w:rFonts w:cs="Arial"/>
                <w:color w:val="000000"/>
                <w:sz w:val="21"/>
                <w:szCs w:val="21"/>
                <w:lang w:eastAsia="en-AU"/>
              </w:rPr>
              <w:t>HCF</w:t>
            </w:r>
            <w:r>
              <w:rPr>
                <w:rFonts w:cs="Arial"/>
                <w:color w:val="000000"/>
                <w:sz w:val="21"/>
                <w:szCs w:val="21"/>
                <w:lang w:eastAsia="en-AU"/>
              </w:rPr>
              <w:t>)</w:t>
            </w:r>
            <w:r w:rsidR="00E44A1C" w:rsidRPr="00E44A1C">
              <w:rPr>
                <w:rFonts w:cs="Arial"/>
                <w:color w:val="000000"/>
                <w:sz w:val="21"/>
                <w:szCs w:val="21"/>
                <w:lang w:eastAsia="en-AU"/>
              </w:rPr>
              <w:t> </w:t>
            </w:r>
          </w:p>
        </w:tc>
      </w:tr>
      <w:tr w:rsidR="00E44A1C" w:rsidRPr="00E44A1C" w14:paraId="27063C06"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70A4FB66"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Dr Lachlan Henderson </w:t>
            </w:r>
          </w:p>
        </w:tc>
        <w:tc>
          <w:tcPr>
            <w:tcW w:w="4644" w:type="dxa"/>
            <w:tcBorders>
              <w:top w:val="single" w:sz="6" w:space="0" w:color="auto"/>
              <w:left w:val="nil"/>
              <w:bottom w:val="single" w:sz="6" w:space="0" w:color="auto"/>
              <w:right w:val="nil"/>
            </w:tcBorders>
            <w:shd w:val="clear" w:color="auto" w:fill="FFFFFF" w:themeFill="background1"/>
            <w:hideMark/>
          </w:tcPr>
          <w:p w14:paraId="044D5D70" w14:textId="7FB9D83B"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HBF</w:t>
            </w:r>
            <w:r w:rsidR="0035630E">
              <w:rPr>
                <w:rFonts w:cs="Arial"/>
                <w:color w:val="000000"/>
                <w:sz w:val="21"/>
                <w:szCs w:val="21"/>
                <w:lang w:eastAsia="en-AU"/>
              </w:rPr>
              <w:t xml:space="preserve"> Health Limited</w:t>
            </w:r>
          </w:p>
        </w:tc>
      </w:tr>
      <w:tr w:rsidR="00E44A1C" w:rsidRPr="00E44A1C" w14:paraId="66952CAE"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35397DB5" w14:textId="3994A85D" w:rsidR="00E44A1C" w:rsidRPr="00E44A1C" w:rsidRDefault="00E44A1C" w:rsidP="00E44A1C">
            <w:pPr>
              <w:spacing w:before="0" w:after="0" w:line="240" w:lineRule="auto"/>
              <w:textAlignment w:val="baseline"/>
              <w:rPr>
                <w:rFonts w:ascii="Times New Roman" w:hAnsi="Times New Roman"/>
                <w:color w:val="000000"/>
                <w:sz w:val="24"/>
                <w:lang w:eastAsia="en-AU"/>
              </w:rPr>
            </w:pPr>
            <w:r w:rsidRPr="261F86D3">
              <w:rPr>
                <w:rFonts w:cs="Arial"/>
                <w:sz w:val="21"/>
                <w:szCs w:val="21"/>
                <w:lang w:eastAsia="en-AU"/>
              </w:rPr>
              <w:t>Prof</w:t>
            </w:r>
            <w:r w:rsidR="38F6891F" w:rsidRPr="261F86D3">
              <w:rPr>
                <w:rFonts w:cs="Arial"/>
                <w:sz w:val="21"/>
                <w:szCs w:val="21"/>
                <w:lang w:eastAsia="en-AU"/>
              </w:rPr>
              <w:t>essor</w:t>
            </w:r>
            <w:r w:rsidRPr="5B08D3BD">
              <w:rPr>
                <w:rFonts w:cs="Arial"/>
                <w:sz w:val="21"/>
                <w:szCs w:val="21"/>
                <w:lang w:eastAsia="en-AU"/>
              </w:rPr>
              <w:t xml:space="preserve"> Steven Robson​ </w:t>
            </w:r>
          </w:p>
        </w:tc>
        <w:tc>
          <w:tcPr>
            <w:tcW w:w="4644" w:type="dxa"/>
            <w:tcBorders>
              <w:top w:val="single" w:sz="6" w:space="0" w:color="auto"/>
              <w:left w:val="nil"/>
              <w:bottom w:val="single" w:sz="6" w:space="0" w:color="auto"/>
              <w:right w:val="nil"/>
            </w:tcBorders>
            <w:shd w:val="clear" w:color="auto" w:fill="FFFFFF" w:themeFill="background1"/>
            <w:hideMark/>
          </w:tcPr>
          <w:p w14:paraId="79986630" w14:textId="0AE63132" w:rsidR="00E44A1C" w:rsidRPr="00E44A1C" w:rsidRDefault="00EA3EB9" w:rsidP="00E44A1C">
            <w:pPr>
              <w:spacing w:before="0" w:after="0" w:line="240" w:lineRule="auto"/>
              <w:textAlignment w:val="baseline"/>
              <w:rPr>
                <w:rFonts w:ascii="Times New Roman" w:hAnsi="Times New Roman"/>
                <w:color w:val="000000"/>
                <w:sz w:val="24"/>
                <w:lang w:eastAsia="en-AU"/>
              </w:rPr>
            </w:pPr>
            <w:r>
              <w:rPr>
                <w:rFonts w:cs="Arial"/>
                <w:color w:val="000000"/>
                <w:sz w:val="21"/>
                <w:szCs w:val="21"/>
                <w:lang w:eastAsia="en-AU"/>
              </w:rPr>
              <w:t>Australian Medical Association (</w:t>
            </w:r>
            <w:r w:rsidR="00E44A1C" w:rsidRPr="00E44A1C">
              <w:rPr>
                <w:rFonts w:cs="Arial"/>
                <w:color w:val="000000"/>
                <w:sz w:val="21"/>
                <w:szCs w:val="21"/>
                <w:lang w:eastAsia="en-AU"/>
              </w:rPr>
              <w:t>AMA</w:t>
            </w:r>
            <w:r>
              <w:rPr>
                <w:rFonts w:cs="Arial"/>
                <w:color w:val="000000"/>
                <w:sz w:val="21"/>
                <w:szCs w:val="21"/>
                <w:lang w:eastAsia="en-AU"/>
              </w:rPr>
              <w:t>)</w:t>
            </w:r>
            <w:r w:rsidR="00E44A1C" w:rsidRPr="00E44A1C">
              <w:rPr>
                <w:rFonts w:cs="Arial"/>
                <w:color w:val="000000"/>
                <w:sz w:val="21"/>
                <w:szCs w:val="21"/>
                <w:lang w:eastAsia="en-AU"/>
              </w:rPr>
              <w:t> </w:t>
            </w:r>
          </w:p>
        </w:tc>
      </w:tr>
      <w:tr w:rsidR="00E44A1C" w:rsidRPr="00E44A1C" w14:paraId="2F1D2A49"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03E00920"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Ms Sam Reinhardt​ </w:t>
            </w:r>
          </w:p>
        </w:tc>
        <w:tc>
          <w:tcPr>
            <w:tcW w:w="4644" w:type="dxa"/>
            <w:tcBorders>
              <w:top w:val="single" w:sz="6" w:space="0" w:color="auto"/>
              <w:left w:val="nil"/>
              <w:bottom w:val="single" w:sz="6" w:space="0" w:color="auto"/>
              <w:right w:val="nil"/>
            </w:tcBorders>
            <w:shd w:val="clear" w:color="auto" w:fill="FFFFFF" w:themeFill="background1"/>
            <w:hideMark/>
          </w:tcPr>
          <w:p w14:paraId="44CAB20B"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Treasury​ </w:t>
            </w:r>
          </w:p>
        </w:tc>
      </w:tr>
      <w:tr w:rsidR="00E44A1C" w:rsidRPr="00E44A1C" w14:paraId="219A1E00"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0CEC07A4"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Ms Naomi Bromley </w:t>
            </w:r>
          </w:p>
        </w:tc>
        <w:tc>
          <w:tcPr>
            <w:tcW w:w="4644" w:type="dxa"/>
            <w:tcBorders>
              <w:top w:val="single" w:sz="6" w:space="0" w:color="auto"/>
              <w:left w:val="nil"/>
              <w:bottom w:val="single" w:sz="6" w:space="0" w:color="auto"/>
              <w:right w:val="nil"/>
            </w:tcBorders>
            <w:shd w:val="clear" w:color="auto" w:fill="FFFFFF" w:themeFill="background1"/>
            <w:hideMark/>
          </w:tcPr>
          <w:p w14:paraId="55EDDF3D"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Department of Health, Victoria </w:t>
            </w:r>
          </w:p>
        </w:tc>
      </w:tr>
    </w:tbl>
    <w:p w14:paraId="3238EE1B" w14:textId="7AF27D69" w:rsidR="00886D5F" w:rsidRPr="00E44A1C" w:rsidRDefault="00886D5F" w:rsidP="003D4940">
      <w:pPr>
        <w:spacing w:after="0" w:line="240" w:lineRule="auto"/>
        <w:textAlignment w:val="baseline"/>
        <w:rPr>
          <w:rFonts w:ascii="Segoe UI" w:hAnsi="Segoe UI" w:cs="Segoe UI"/>
          <w:color w:val="358189"/>
          <w:sz w:val="18"/>
          <w:szCs w:val="18"/>
          <w:lang w:eastAsia="en-AU"/>
        </w:rPr>
      </w:pPr>
      <w:r>
        <w:rPr>
          <w:b/>
          <w:bCs/>
        </w:rPr>
        <w:t>Table 2</w:t>
      </w:r>
      <w:r w:rsidRPr="00D55F49">
        <w:rPr>
          <w:b/>
          <w:bCs/>
        </w:rPr>
        <w:t>:</w:t>
      </w:r>
      <w:r>
        <w:rPr>
          <w:b/>
          <w:bCs/>
        </w:rPr>
        <w:t xml:space="preserve"> </w:t>
      </w:r>
      <w:r w:rsidRPr="00886D5F">
        <w:t xml:space="preserve">Membership of </w:t>
      </w:r>
      <w:r>
        <w:t>Reference Group</w:t>
      </w: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4704"/>
      </w:tblGrid>
      <w:tr w:rsidR="00E44A1C" w:rsidRPr="00E44A1C" w14:paraId="2A9BB380" w14:textId="77777777" w:rsidTr="00312FC3">
        <w:trPr>
          <w:trHeight w:val="450"/>
        </w:trPr>
        <w:tc>
          <w:tcPr>
            <w:tcW w:w="4536" w:type="dxa"/>
            <w:tcBorders>
              <w:top w:val="single" w:sz="6" w:space="0" w:color="auto"/>
              <w:left w:val="nil"/>
              <w:bottom w:val="single" w:sz="6" w:space="0" w:color="auto"/>
              <w:right w:val="nil"/>
            </w:tcBorders>
            <w:shd w:val="clear" w:color="auto" w:fill="3F4A75" w:themeFill="accent1"/>
            <w:hideMark/>
          </w:tcPr>
          <w:p w14:paraId="5DEE698F" w14:textId="77777777" w:rsidR="00E44A1C" w:rsidRPr="00E44A1C" w:rsidRDefault="00E44A1C" w:rsidP="00E44A1C">
            <w:pPr>
              <w:spacing w:before="0" w:after="0" w:line="240" w:lineRule="auto"/>
              <w:textAlignment w:val="baseline"/>
              <w:rPr>
                <w:rFonts w:ascii="Times New Roman" w:hAnsi="Times New Roman"/>
                <w:b/>
                <w:bCs/>
                <w:color w:val="FFFFFF"/>
                <w:sz w:val="24"/>
                <w:lang w:eastAsia="en-AU"/>
              </w:rPr>
            </w:pPr>
            <w:r w:rsidRPr="00E44A1C">
              <w:rPr>
                <w:rFonts w:cs="Arial"/>
                <w:b/>
                <w:bCs/>
                <w:color w:val="FFFFFF"/>
                <w:szCs w:val="22"/>
                <w:lang w:val="en-US" w:eastAsia="en-AU"/>
              </w:rPr>
              <w:t>Member </w:t>
            </w:r>
            <w:r w:rsidRPr="00E44A1C">
              <w:rPr>
                <w:rFonts w:cs="Arial"/>
                <w:b/>
                <w:bCs/>
                <w:color w:val="FFFFFF"/>
                <w:szCs w:val="22"/>
                <w:lang w:eastAsia="en-AU"/>
              </w:rPr>
              <w:t> </w:t>
            </w:r>
          </w:p>
        </w:tc>
        <w:tc>
          <w:tcPr>
            <w:tcW w:w="4704" w:type="dxa"/>
            <w:tcBorders>
              <w:top w:val="single" w:sz="6" w:space="0" w:color="auto"/>
              <w:left w:val="nil"/>
              <w:bottom w:val="single" w:sz="6" w:space="0" w:color="auto"/>
              <w:right w:val="nil"/>
            </w:tcBorders>
            <w:shd w:val="clear" w:color="auto" w:fill="3F4A75" w:themeFill="accent1"/>
            <w:hideMark/>
          </w:tcPr>
          <w:p w14:paraId="1E547F13" w14:textId="77777777" w:rsidR="00E44A1C" w:rsidRPr="00E44A1C" w:rsidRDefault="00E44A1C" w:rsidP="00E44A1C">
            <w:pPr>
              <w:spacing w:before="0" w:after="0" w:line="240" w:lineRule="auto"/>
              <w:textAlignment w:val="baseline"/>
              <w:rPr>
                <w:rFonts w:ascii="Times New Roman" w:hAnsi="Times New Roman"/>
                <w:b/>
                <w:bCs/>
                <w:color w:val="FFFFFF"/>
                <w:sz w:val="24"/>
                <w:lang w:eastAsia="en-AU"/>
              </w:rPr>
            </w:pPr>
            <w:r w:rsidRPr="00E44A1C">
              <w:rPr>
                <w:rFonts w:cs="Arial"/>
                <w:b/>
                <w:bCs/>
                <w:color w:val="FFFFFF"/>
                <w:szCs w:val="22"/>
                <w:lang w:val="en-US" w:eastAsia="en-AU"/>
              </w:rPr>
              <w:t>Attendance Type</w:t>
            </w:r>
            <w:r w:rsidRPr="00E44A1C">
              <w:rPr>
                <w:rFonts w:cs="Arial"/>
                <w:b/>
                <w:bCs/>
                <w:color w:val="FFFFFF"/>
                <w:szCs w:val="22"/>
                <w:lang w:eastAsia="en-AU"/>
              </w:rPr>
              <w:t> </w:t>
            </w:r>
          </w:p>
        </w:tc>
      </w:tr>
      <w:tr w:rsidR="00E44A1C" w:rsidRPr="00E44A1C" w14:paraId="1A93ABA6"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08FCE818" w14:textId="77777777" w:rsidR="00312FC3" w:rsidRDefault="00E44A1C" w:rsidP="00E44A1C">
            <w:pPr>
              <w:spacing w:before="0" w:after="0" w:line="240" w:lineRule="auto"/>
              <w:textAlignment w:val="baseline"/>
              <w:rPr>
                <w:rFonts w:cs="Arial"/>
                <w:color w:val="000000"/>
                <w:sz w:val="21"/>
                <w:szCs w:val="21"/>
                <w:lang w:eastAsia="en-AU"/>
              </w:rPr>
            </w:pPr>
            <w:r w:rsidRPr="00E44A1C">
              <w:rPr>
                <w:rFonts w:cs="Arial"/>
                <w:color w:val="000000"/>
                <w:sz w:val="21"/>
                <w:szCs w:val="21"/>
                <w:lang w:eastAsia="en-AU"/>
              </w:rPr>
              <w:t>Professor Emily Lancsar​ </w:t>
            </w:r>
          </w:p>
          <w:p w14:paraId="324206CC" w14:textId="7B18FF09" w:rsidR="00E44A1C" w:rsidRPr="00E44A1C" w:rsidRDefault="00561ECD" w:rsidP="00E44A1C">
            <w:pPr>
              <w:spacing w:before="0" w:after="0" w:line="240" w:lineRule="auto"/>
              <w:textAlignment w:val="baseline"/>
              <w:rPr>
                <w:rFonts w:ascii="Times New Roman" w:hAnsi="Times New Roman"/>
                <w:color w:val="000000"/>
                <w:sz w:val="24"/>
                <w:lang w:eastAsia="en-AU"/>
              </w:rPr>
            </w:pPr>
            <w:r>
              <w:rPr>
                <w:rFonts w:cs="Arial"/>
                <w:color w:val="000000"/>
                <w:sz w:val="21"/>
                <w:szCs w:val="21"/>
                <w:lang w:eastAsia="en-AU"/>
              </w:rPr>
              <w:t>(</w:t>
            </w:r>
            <w:r w:rsidR="003A05F0" w:rsidRPr="003A05F0">
              <w:rPr>
                <w:rFonts w:cs="Arial"/>
                <w:color w:val="000000"/>
                <w:sz w:val="21"/>
                <w:szCs w:val="21"/>
                <w:lang w:eastAsia="en-AU"/>
              </w:rPr>
              <w:t>Department of Health and Aged Care</w:t>
            </w:r>
            <w:r>
              <w:rPr>
                <w:rFonts w:cs="Arial"/>
                <w:color w:val="000000"/>
                <w:sz w:val="21"/>
                <w:szCs w:val="21"/>
                <w:lang w:eastAsia="en-AU"/>
              </w:rPr>
              <w:t>)</w:t>
            </w:r>
          </w:p>
        </w:tc>
        <w:tc>
          <w:tcPr>
            <w:tcW w:w="4704" w:type="dxa"/>
            <w:tcBorders>
              <w:top w:val="single" w:sz="6" w:space="0" w:color="auto"/>
              <w:left w:val="nil"/>
              <w:bottom w:val="single" w:sz="6" w:space="0" w:color="auto"/>
              <w:right w:val="nil"/>
            </w:tcBorders>
            <w:shd w:val="clear" w:color="auto" w:fill="FFFFFF" w:themeFill="background1"/>
            <w:hideMark/>
          </w:tcPr>
          <w:p w14:paraId="2A0B9D06"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Chair​ </w:t>
            </w:r>
          </w:p>
        </w:tc>
      </w:tr>
      <w:tr w:rsidR="00E44A1C" w:rsidRPr="00E44A1C" w14:paraId="2E604137"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592A6DE3" w14:textId="77777777" w:rsidR="00312FC3" w:rsidRDefault="00E44A1C" w:rsidP="00E44A1C">
            <w:pPr>
              <w:spacing w:before="0" w:after="0" w:line="240" w:lineRule="auto"/>
              <w:textAlignment w:val="baseline"/>
              <w:rPr>
                <w:rFonts w:cs="Arial"/>
                <w:color w:val="000000"/>
                <w:sz w:val="21"/>
                <w:szCs w:val="21"/>
                <w:lang w:eastAsia="en-AU"/>
              </w:rPr>
            </w:pPr>
            <w:r w:rsidRPr="00E44A1C">
              <w:rPr>
                <w:rFonts w:cs="Arial"/>
                <w:color w:val="000000"/>
                <w:sz w:val="21"/>
                <w:szCs w:val="21"/>
                <w:lang w:eastAsia="en-AU"/>
              </w:rPr>
              <w:t>Mr James Downie​ </w:t>
            </w:r>
          </w:p>
          <w:p w14:paraId="2E2CC92F" w14:textId="2371A096" w:rsidR="00E44A1C" w:rsidRPr="00E44A1C" w:rsidRDefault="003A05F0" w:rsidP="00E44A1C">
            <w:pPr>
              <w:spacing w:before="0" w:after="0" w:line="240" w:lineRule="auto"/>
              <w:textAlignment w:val="baseline"/>
              <w:rPr>
                <w:rFonts w:ascii="Times New Roman" w:hAnsi="Times New Roman"/>
                <w:color w:val="000000"/>
                <w:sz w:val="24"/>
                <w:lang w:eastAsia="en-AU"/>
              </w:rPr>
            </w:pPr>
            <w:r>
              <w:rPr>
                <w:rFonts w:cs="Arial"/>
                <w:color w:val="000000"/>
                <w:sz w:val="21"/>
                <w:szCs w:val="21"/>
                <w:lang w:eastAsia="en-AU"/>
              </w:rPr>
              <w:t>(</w:t>
            </w:r>
            <w:r w:rsidRPr="003A05F0">
              <w:rPr>
                <w:rFonts w:cs="Arial"/>
                <w:color w:val="000000"/>
                <w:sz w:val="21"/>
                <w:szCs w:val="21"/>
                <w:lang w:eastAsia="en-AU"/>
              </w:rPr>
              <w:t>Department of Health and Aged Care</w:t>
            </w:r>
            <w:r>
              <w:rPr>
                <w:rFonts w:cs="Arial"/>
                <w:color w:val="000000"/>
                <w:sz w:val="21"/>
                <w:szCs w:val="21"/>
                <w:lang w:eastAsia="en-AU"/>
              </w:rPr>
              <w:t>)</w:t>
            </w:r>
          </w:p>
        </w:tc>
        <w:tc>
          <w:tcPr>
            <w:tcW w:w="4704" w:type="dxa"/>
            <w:tcBorders>
              <w:top w:val="single" w:sz="6" w:space="0" w:color="auto"/>
              <w:left w:val="nil"/>
              <w:bottom w:val="single" w:sz="6" w:space="0" w:color="auto"/>
              <w:right w:val="nil"/>
            </w:tcBorders>
            <w:shd w:val="clear" w:color="auto" w:fill="FFFFFF" w:themeFill="background1"/>
            <w:hideMark/>
          </w:tcPr>
          <w:p w14:paraId="072EEDAA"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Lead Advisor​ </w:t>
            </w:r>
          </w:p>
        </w:tc>
      </w:tr>
      <w:tr w:rsidR="00E44A1C" w:rsidRPr="00E44A1C" w14:paraId="4B687D30"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3DB2A622"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Mr Scott Bell​ </w:t>
            </w:r>
          </w:p>
        </w:tc>
        <w:tc>
          <w:tcPr>
            <w:tcW w:w="4704" w:type="dxa"/>
            <w:tcBorders>
              <w:top w:val="single" w:sz="6" w:space="0" w:color="auto"/>
              <w:left w:val="nil"/>
              <w:bottom w:val="single" w:sz="6" w:space="0" w:color="auto"/>
              <w:right w:val="nil"/>
            </w:tcBorders>
            <w:shd w:val="clear" w:color="auto" w:fill="FFFFFF" w:themeFill="background1"/>
            <w:hideMark/>
          </w:tcPr>
          <w:p w14:paraId="099C4750"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Member​ </w:t>
            </w:r>
          </w:p>
        </w:tc>
      </w:tr>
      <w:tr w:rsidR="00E44A1C" w:rsidRPr="00E44A1C" w14:paraId="030859C3"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02976BF7"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Ms Caitlin O’Dea​ </w:t>
            </w:r>
          </w:p>
        </w:tc>
        <w:tc>
          <w:tcPr>
            <w:tcW w:w="4704" w:type="dxa"/>
            <w:tcBorders>
              <w:top w:val="single" w:sz="6" w:space="0" w:color="auto"/>
              <w:left w:val="nil"/>
              <w:bottom w:val="single" w:sz="6" w:space="0" w:color="auto"/>
              <w:right w:val="nil"/>
            </w:tcBorders>
            <w:shd w:val="clear" w:color="auto" w:fill="FFFFFF" w:themeFill="background1"/>
            <w:hideMark/>
          </w:tcPr>
          <w:p w14:paraId="061587D3"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Member​ </w:t>
            </w:r>
          </w:p>
        </w:tc>
      </w:tr>
      <w:tr w:rsidR="00E44A1C" w:rsidRPr="00E44A1C" w14:paraId="588A0267"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72684978"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Ms Andrea Selleck​ </w:t>
            </w:r>
          </w:p>
        </w:tc>
        <w:tc>
          <w:tcPr>
            <w:tcW w:w="4704" w:type="dxa"/>
            <w:tcBorders>
              <w:top w:val="single" w:sz="6" w:space="0" w:color="auto"/>
              <w:left w:val="nil"/>
              <w:bottom w:val="single" w:sz="6" w:space="0" w:color="auto"/>
              <w:right w:val="nil"/>
            </w:tcBorders>
            <w:shd w:val="clear" w:color="auto" w:fill="FFFFFF" w:themeFill="background1"/>
            <w:hideMark/>
          </w:tcPr>
          <w:p w14:paraId="25D78806"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Member​ </w:t>
            </w:r>
          </w:p>
        </w:tc>
      </w:tr>
      <w:tr w:rsidR="00E44A1C" w:rsidRPr="00E44A1C" w14:paraId="409DA5E9"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418B1A69"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Professor Brian Owler​ </w:t>
            </w:r>
          </w:p>
        </w:tc>
        <w:tc>
          <w:tcPr>
            <w:tcW w:w="4704" w:type="dxa"/>
            <w:tcBorders>
              <w:top w:val="single" w:sz="6" w:space="0" w:color="auto"/>
              <w:left w:val="nil"/>
              <w:bottom w:val="single" w:sz="6" w:space="0" w:color="auto"/>
              <w:right w:val="nil"/>
            </w:tcBorders>
            <w:shd w:val="clear" w:color="auto" w:fill="FFFFFF" w:themeFill="background1"/>
            <w:hideMark/>
          </w:tcPr>
          <w:p w14:paraId="108104B1"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Member​ </w:t>
            </w:r>
          </w:p>
        </w:tc>
      </w:tr>
      <w:tr w:rsidR="00E44A1C" w:rsidRPr="00E44A1C" w14:paraId="7DBD3331"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7AF2AA8A"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Dr Elizabeth Deveny​ </w:t>
            </w:r>
          </w:p>
        </w:tc>
        <w:tc>
          <w:tcPr>
            <w:tcW w:w="4704" w:type="dxa"/>
            <w:tcBorders>
              <w:top w:val="single" w:sz="6" w:space="0" w:color="auto"/>
              <w:left w:val="nil"/>
              <w:bottom w:val="single" w:sz="6" w:space="0" w:color="auto"/>
              <w:right w:val="nil"/>
            </w:tcBorders>
            <w:shd w:val="clear" w:color="auto" w:fill="FFFFFF" w:themeFill="background1"/>
            <w:hideMark/>
          </w:tcPr>
          <w:p w14:paraId="4A857A9A" w14:textId="77777777"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Member​ </w:t>
            </w:r>
          </w:p>
        </w:tc>
      </w:tr>
      <w:tr w:rsidR="00E44A1C" w:rsidRPr="00E44A1C" w14:paraId="7950A033"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5E61E96B" w14:textId="59D8740F" w:rsidR="00E44A1C" w:rsidRPr="00E44A1C" w:rsidRDefault="00DC38DD" w:rsidP="00E44A1C">
            <w:pPr>
              <w:spacing w:before="0" w:after="0" w:line="240" w:lineRule="auto"/>
              <w:textAlignment w:val="baseline"/>
              <w:rPr>
                <w:rFonts w:ascii="Times New Roman" w:hAnsi="Times New Roman"/>
                <w:color w:val="000000"/>
                <w:sz w:val="24"/>
                <w:lang w:eastAsia="en-AU"/>
              </w:rPr>
            </w:pPr>
            <w:r>
              <w:rPr>
                <w:rFonts w:cs="Arial"/>
                <w:color w:val="000000"/>
                <w:sz w:val="21"/>
                <w:szCs w:val="21"/>
                <w:lang w:eastAsia="en-AU"/>
              </w:rPr>
              <w:t xml:space="preserve">Independent </w:t>
            </w:r>
            <w:r w:rsidR="000D596E">
              <w:rPr>
                <w:rFonts w:cs="Arial"/>
                <w:color w:val="000000"/>
                <w:sz w:val="21"/>
                <w:szCs w:val="21"/>
                <w:lang w:eastAsia="en-AU"/>
              </w:rPr>
              <w:t>Health and Aged Care</w:t>
            </w:r>
            <w:r>
              <w:rPr>
                <w:rFonts w:cs="Arial"/>
                <w:color w:val="000000"/>
                <w:sz w:val="21"/>
                <w:szCs w:val="21"/>
                <w:lang w:eastAsia="en-AU"/>
              </w:rPr>
              <w:t xml:space="preserve"> </w:t>
            </w:r>
            <w:r w:rsidR="00CF0BF8">
              <w:rPr>
                <w:rFonts w:cs="Arial"/>
                <w:color w:val="000000"/>
                <w:sz w:val="21"/>
                <w:szCs w:val="21"/>
                <w:lang w:eastAsia="en-AU"/>
              </w:rPr>
              <w:t>Pricing</w:t>
            </w:r>
            <w:r>
              <w:rPr>
                <w:rFonts w:cs="Arial"/>
                <w:color w:val="000000"/>
                <w:sz w:val="21"/>
                <w:szCs w:val="21"/>
                <w:lang w:eastAsia="en-AU"/>
              </w:rPr>
              <w:t xml:space="preserve"> Authority</w:t>
            </w:r>
            <w:r w:rsidR="00E44A1C" w:rsidRPr="00E44A1C">
              <w:rPr>
                <w:rFonts w:cs="Arial"/>
                <w:color w:val="000000"/>
                <w:sz w:val="21"/>
                <w:szCs w:val="21"/>
                <w:lang w:eastAsia="en-AU"/>
              </w:rPr>
              <w:t xml:space="preserve"> </w:t>
            </w:r>
            <w:r w:rsidR="00DA5C20">
              <w:rPr>
                <w:rFonts w:cs="Arial"/>
                <w:color w:val="000000"/>
                <w:sz w:val="21"/>
                <w:szCs w:val="21"/>
                <w:lang w:eastAsia="en-AU"/>
              </w:rPr>
              <w:t>(IHA</w:t>
            </w:r>
            <w:r w:rsidR="00261893">
              <w:rPr>
                <w:rFonts w:cs="Arial"/>
                <w:color w:val="000000"/>
                <w:sz w:val="21"/>
                <w:szCs w:val="21"/>
                <w:lang w:eastAsia="en-AU"/>
              </w:rPr>
              <w:t>CPA)</w:t>
            </w:r>
          </w:p>
        </w:tc>
        <w:tc>
          <w:tcPr>
            <w:tcW w:w="4704" w:type="dxa"/>
            <w:tcBorders>
              <w:top w:val="single" w:sz="6" w:space="0" w:color="auto"/>
              <w:left w:val="nil"/>
              <w:bottom w:val="single" w:sz="6" w:space="0" w:color="auto"/>
              <w:right w:val="nil"/>
            </w:tcBorders>
            <w:shd w:val="clear" w:color="auto" w:fill="FFFFFF" w:themeFill="background1"/>
            <w:hideMark/>
          </w:tcPr>
          <w:p w14:paraId="6D448935" w14:textId="15002D9B"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Participant</w:t>
            </w:r>
            <w:r w:rsidR="00DD4DC0">
              <w:rPr>
                <w:rFonts w:cs="Arial"/>
                <w:color w:val="000000"/>
                <w:sz w:val="21"/>
                <w:szCs w:val="21"/>
                <w:lang w:eastAsia="en-AU"/>
              </w:rPr>
              <w:t>s</w:t>
            </w:r>
          </w:p>
        </w:tc>
      </w:tr>
      <w:tr w:rsidR="00E44A1C" w:rsidRPr="00E44A1C" w14:paraId="2AC1DB51" w14:textId="77777777" w:rsidTr="00312FC3">
        <w:trPr>
          <w:trHeight w:val="450"/>
        </w:trPr>
        <w:tc>
          <w:tcPr>
            <w:tcW w:w="4536" w:type="dxa"/>
            <w:tcBorders>
              <w:top w:val="single" w:sz="6" w:space="0" w:color="auto"/>
              <w:left w:val="nil"/>
              <w:bottom w:val="single" w:sz="6" w:space="0" w:color="auto"/>
              <w:right w:val="nil"/>
            </w:tcBorders>
            <w:shd w:val="clear" w:color="auto" w:fill="FFFFFF" w:themeFill="background1"/>
            <w:hideMark/>
          </w:tcPr>
          <w:p w14:paraId="251EBEBD" w14:textId="22483CFE" w:rsidR="00E44A1C" w:rsidRPr="00E44A1C" w:rsidRDefault="00261893" w:rsidP="00E44A1C">
            <w:pPr>
              <w:spacing w:before="0" w:after="0" w:line="240" w:lineRule="auto"/>
              <w:textAlignment w:val="baseline"/>
              <w:rPr>
                <w:rFonts w:ascii="Times New Roman" w:hAnsi="Times New Roman"/>
                <w:color w:val="000000"/>
                <w:sz w:val="24"/>
                <w:lang w:eastAsia="en-AU"/>
              </w:rPr>
            </w:pPr>
            <w:r>
              <w:rPr>
                <w:rFonts w:cs="Arial"/>
                <w:color w:val="000000"/>
                <w:sz w:val="21"/>
                <w:szCs w:val="21"/>
                <w:lang w:eastAsia="en-AU"/>
              </w:rPr>
              <w:t xml:space="preserve">Australian </w:t>
            </w:r>
            <w:r w:rsidR="00722184">
              <w:rPr>
                <w:rFonts w:cs="Arial"/>
                <w:color w:val="000000"/>
                <w:sz w:val="21"/>
                <w:szCs w:val="21"/>
                <w:lang w:eastAsia="en-AU"/>
              </w:rPr>
              <w:t>Institute of Health and Welfare (</w:t>
            </w:r>
            <w:r w:rsidR="00DD4DC0">
              <w:rPr>
                <w:rFonts w:cs="Arial"/>
                <w:color w:val="000000"/>
                <w:sz w:val="21"/>
                <w:szCs w:val="21"/>
                <w:lang w:eastAsia="en-AU"/>
              </w:rPr>
              <w:t>AIHW</w:t>
            </w:r>
            <w:r w:rsidR="00722184">
              <w:rPr>
                <w:rFonts w:cs="Arial"/>
                <w:color w:val="000000"/>
                <w:sz w:val="21"/>
                <w:szCs w:val="21"/>
                <w:lang w:eastAsia="en-AU"/>
              </w:rPr>
              <w:t>)</w:t>
            </w:r>
          </w:p>
        </w:tc>
        <w:tc>
          <w:tcPr>
            <w:tcW w:w="4704" w:type="dxa"/>
            <w:tcBorders>
              <w:top w:val="single" w:sz="6" w:space="0" w:color="auto"/>
              <w:left w:val="nil"/>
              <w:bottom w:val="single" w:sz="6" w:space="0" w:color="auto"/>
              <w:right w:val="nil"/>
            </w:tcBorders>
            <w:shd w:val="clear" w:color="auto" w:fill="FFFFFF" w:themeFill="background1"/>
            <w:hideMark/>
          </w:tcPr>
          <w:p w14:paraId="27881607" w14:textId="0DD631AB" w:rsidR="00E44A1C" w:rsidRPr="00E44A1C" w:rsidRDefault="00E44A1C" w:rsidP="00E44A1C">
            <w:pPr>
              <w:spacing w:before="0" w:after="0" w:line="240" w:lineRule="auto"/>
              <w:textAlignment w:val="baseline"/>
              <w:rPr>
                <w:rFonts w:ascii="Times New Roman" w:hAnsi="Times New Roman"/>
                <w:color w:val="auto"/>
                <w:sz w:val="24"/>
                <w:lang w:eastAsia="en-AU"/>
              </w:rPr>
            </w:pPr>
            <w:r w:rsidRPr="00E44A1C">
              <w:rPr>
                <w:rFonts w:cs="Arial"/>
                <w:color w:val="000000"/>
                <w:sz w:val="21"/>
                <w:szCs w:val="21"/>
                <w:lang w:eastAsia="en-AU"/>
              </w:rPr>
              <w:t>Participant</w:t>
            </w:r>
            <w:r w:rsidR="00DD4DC0">
              <w:rPr>
                <w:rFonts w:cs="Arial"/>
                <w:color w:val="000000"/>
                <w:sz w:val="21"/>
                <w:szCs w:val="21"/>
                <w:lang w:eastAsia="en-AU"/>
              </w:rPr>
              <w:t>s</w:t>
            </w:r>
          </w:p>
        </w:tc>
      </w:tr>
      <w:tr w:rsidR="009C2C95" w:rsidRPr="00E44A1C" w14:paraId="347BF1B0" w14:textId="77777777" w:rsidTr="003D4940">
        <w:trPr>
          <w:trHeight w:val="472"/>
        </w:trPr>
        <w:tc>
          <w:tcPr>
            <w:tcW w:w="4536" w:type="dxa"/>
            <w:tcBorders>
              <w:top w:val="single" w:sz="6" w:space="0" w:color="auto"/>
              <w:left w:val="nil"/>
              <w:bottom w:val="single" w:sz="6" w:space="0" w:color="auto"/>
              <w:right w:val="nil"/>
            </w:tcBorders>
            <w:shd w:val="clear" w:color="auto" w:fill="FFFFFF" w:themeFill="background1"/>
            <w:hideMark/>
          </w:tcPr>
          <w:p w14:paraId="76763F87" w14:textId="1C1FBE0A" w:rsidR="00E44A1C" w:rsidRPr="00E44A1C" w:rsidRDefault="00DD4DC0" w:rsidP="00E44A1C">
            <w:pPr>
              <w:spacing w:before="0" w:after="0" w:line="240" w:lineRule="auto"/>
              <w:textAlignment w:val="baseline"/>
              <w:rPr>
                <w:rFonts w:ascii="Times New Roman" w:hAnsi="Times New Roman"/>
                <w:color w:val="000000"/>
                <w:sz w:val="24"/>
                <w:lang w:eastAsia="en-AU"/>
              </w:rPr>
            </w:pPr>
            <w:r>
              <w:rPr>
                <w:rFonts w:cs="Arial"/>
                <w:color w:val="000000"/>
                <w:sz w:val="21"/>
                <w:szCs w:val="21"/>
                <w:lang w:eastAsia="en-AU"/>
              </w:rPr>
              <w:t>Treasury</w:t>
            </w:r>
            <w:r w:rsidR="00E44A1C" w:rsidRPr="00E44A1C">
              <w:rPr>
                <w:rFonts w:cs="Arial"/>
                <w:color w:val="000000"/>
                <w:sz w:val="21"/>
                <w:szCs w:val="21"/>
                <w:lang w:eastAsia="en-AU"/>
              </w:rPr>
              <w:t> </w:t>
            </w:r>
          </w:p>
        </w:tc>
        <w:tc>
          <w:tcPr>
            <w:tcW w:w="4704" w:type="dxa"/>
            <w:tcBorders>
              <w:top w:val="single" w:sz="6" w:space="0" w:color="auto"/>
              <w:left w:val="nil"/>
              <w:bottom w:val="single" w:sz="6" w:space="0" w:color="auto"/>
              <w:right w:val="nil"/>
            </w:tcBorders>
            <w:shd w:val="clear" w:color="auto" w:fill="FFFFFF" w:themeFill="background1"/>
            <w:hideMark/>
          </w:tcPr>
          <w:p w14:paraId="31701900" w14:textId="50570058" w:rsidR="00E44A1C" w:rsidRPr="00E44A1C" w:rsidRDefault="00E44A1C" w:rsidP="00E44A1C">
            <w:pPr>
              <w:spacing w:before="0" w:after="0" w:line="240" w:lineRule="auto"/>
              <w:textAlignment w:val="baseline"/>
              <w:rPr>
                <w:rFonts w:ascii="Times New Roman" w:hAnsi="Times New Roman"/>
                <w:color w:val="000000"/>
                <w:sz w:val="24"/>
                <w:lang w:eastAsia="en-AU"/>
              </w:rPr>
            </w:pPr>
            <w:r w:rsidRPr="00E44A1C">
              <w:rPr>
                <w:rFonts w:cs="Arial"/>
                <w:color w:val="000000"/>
                <w:sz w:val="21"/>
                <w:szCs w:val="21"/>
                <w:lang w:eastAsia="en-AU"/>
              </w:rPr>
              <w:t>Participant</w:t>
            </w:r>
            <w:r w:rsidR="00DD4DC0">
              <w:rPr>
                <w:rFonts w:cs="Arial"/>
                <w:color w:val="000000"/>
                <w:sz w:val="21"/>
                <w:szCs w:val="21"/>
                <w:lang w:eastAsia="en-AU"/>
              </w:rPr>
              <w:t>s</w:t>
            </w:r>
          </w:p>
        </w:tc>
      </w:tr>
    </w:tbl>
    <w:p w14:paraId="00E091DD" w14:textId="0BF2605E" w:rsidR="0068794F" w:rsidRDefault="00E44A1C" w:rsidP="000D5CD6">
      <w:pPr>
        <w:spacing w:before="0" w:after="0" w:line="240" w:lineRule="auto"/>
        <w:textAlignment w:val="baseline"/>
        <w:rPr>
          <w:rFonts w:cs="Arial"/>
          <w:b/>
          <w:bCs/>
          <w:color w:val="3F4A75"/>
          <w:kern w:val="28"/>
          <w:sz w:val="44"/>
          <w:szCs w:val="36"/>
        </w:rPr>
      </w:pPr>
      <w:r w:rsidRPr="00E44A1C">
        <w:rPr>
          <w:rFonts w:cs="Arial"/>
          <w:color w:val="000000"/>
          <w:szCs w:val="22"/>
          <w:lang w:eastAsia="en-AU"/>
        </w:rPr>
        <w:t> </w:t>
      </w:r>
    </w:p>
    <w:sectPr w:rsidR="0068794F" w:rsidSect="0074106E">
      <w:pgSz w:w="11906" w:h="16838"/>
      <w:pgMar w:top="1701" w:right="127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15BAF" w14:textId="77777777" w:rsidR="00A07DA6" w:rsidRDefault="00A07DA6" w:rsidP="00934368">
      <w:r>
        <w:separator/>
      </w:r>
    </w:p>
    <w:p w14:paraId="02573081" w14:textId="77777777" w:rsidR="00A07DA6" w:rsidRDefault="00A07DA6" w:rsidP="00934368"/>
  </w:endnote>
  <w:endnote w:type="continuationSeparator" w:id="0">
    <w:p w14:paraId="3B75776B" w14:textId="77777777" w:rsidR="00A07DA6" w:rsidRDefault="00A07DA6" w:rsidP="00934368">
      <w:r>
        <w:continuationSeparator/>
      </w:r>
    </w:p>
    <w:p w14:paraId="24731EB0" w14:textId="77777777" w:rsidR="00A07DA6" w:rsidRDefault="00A07DA6" w:rsidP="00934368"/>
  </w:endnote>
  <w:endnote w:type="continuationNotice" w:id="1">
    <w:p w14:paraId="43839F5A" w14:textId="77777777" w:rsidR="00A07DA6" w:rsidRDefault="00A07DA6"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594"/>
      <w:docPartObj>
        <w:docPartGallery w:val="Page Numbers (Bottom of Page)"/>
        <w:docPartUnique/>
      </w:docPartObj>
    </w:sdtPr>
    <w:sdtEndPr>
      <w:rPr>
        <w:noProof/>
      </w:rPr>
    </w:sdtEndPr>
    <w:sdtContent>
      <w:p w14:paraId="39ECAA52" w14:textId="2848C4F8" w:rsidR="005A07F3" w:rsidRDefault="005A07F3">
        <w:pPr>
          <w:pStyle w:val="Footer"/>
        </w:pPr>
        <w:r>
          <w:fldChar w:fldCharType="begin"/>
        </w:r>
        <w:r>
          <w:instrText xml:space="preserve"> PAGE   \* MERGEFORMAT </w:instrText>
        </w:r>
        <w:r>
          <w:fldChar w:fldCharType="separate"/>
        </w:r>
        <w:r w:rsidR="00382DAB">
          <w:rPr>
            <w:noProof/>
          </w:rPr>
          <w:t>5</w:t>
        </w:r>
        <w:r>
          <w:rPr>
            <w:noProof/>
          </w:rPr>
          <w:fldChar w:fldCharType="end"/>
        </w:r>
      </w:p>
    </w:sdtContent>
  </w:sdt>
  <w:p w14:paraId="73FDD4C0" w14:textId="77777777" w:rsidR="005A07F3" w:rsidRDefault="005A0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F497" w14:textId="25711D5F" w:rsidR="005A07F3" w:rsidRDefault="005A07F3">
    <w:pPr>
      <w:pStyle w:val="Footer"/>
      <w:rPr>
        <w:rFonts w:asciiTheme="majorHAnsi" w:eastAsiaTheme="majorEastAsia" w:hAnsiTheme="majorHAnsi" w:cstheme="majorBidi"/>
        <w:sz w:val="28"/>
        <w:szCs w:val="28"/>
      </w:rPr>
    </w:pPr>
  </w:p>
  <w:p w14:paraId="50B62406" w14:textId="77777777" w:rsidR="005A07F3" w:rsidRDefault="005A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2191" w14:textId="77777777" w:rsidR="00A07DA6" w:rsidRDefault="00A07DA6" w:rsidP="00934368">
      <w:r>
        <w:separator/>
      </w:r>
    </w:p>
    <w:p w14:paraId="265973D8" w14:textId="77777777" w:rsidR="00A07DA6" w:rsidRDefault="00A07DA6" w:rsidP="00934368"/>
  </w:footnote>
  <w:footnote w:type="continuationSeparator" w:id="0">
    <w:p w14:paraId="232674D0" w14:textId="77777777" w:rsidR="00A07DA6" w:rsidRDefault="00A07DA6" w:rsidP="00934368">
      <w:r>
        <w:continuationSeparator/>
      </w:r>
    </w:p>
    <w:p w14:paraId="155C22E3" w14:textId="77777777" w:rsidR="00A07DA6" w:rsidRDefault="00A07DA6" w:rsidP="00934368"/>
  </w:footnote>
  <w:footnote w:type="continuationNotice" w:id="1">
    <w:p w14:paraId="12AD1D43" w14:textId="77777777" w:rsidR="00A07DA6" w:rsidRDefault="00A07DA6" w:rsidP="00934368"/>
  </w:footnote>
  <w:footnote w:id="2">
    <w:p w14:paraId="6774536D" w14:textId="46271C14" w:rsidR="000B7142" w:rsidRDefault="000B7142">
      <w:pPr>
        <w:pStyle w:val="FootnoteText"/>
      </w:pPr>
      <w:r>
        <w:rPr>
          <w:rStyle w:val="FootnoteReference"/>
        </w:rPr>
        <w:footnoteRef/>
      </w:r>
      <w:r>
        <w:t xml:space="preserve"> </w:t>
      </w:r>
      <w:r w:rsidR="00AF6E8A" w:rsidRPr="0064290F">
        <w:rPr>
          <w:sz w:val="18"/>
          <w:szCs w:val="18"/>
        </w:rPr>
        <w:t>Beds include chairs and trolleys and is estimated from the number of licenced beds</w:t>
      </w:r>
      <w:r w:rsidR="00D5468F" w:rsidRPr="0064290F">
        <w:rPr>
          <w:sz w:val="18"/>
          <w:szCs w:val="18"/>
        </w:rPr>
        <w:t xml:space="preserve"> as at </w:t>
      </w:r>
      <w:r w:rsidR="00652281">
        <w:rPr>
          <w:sz w:val="18"/>
          <w:szCs w:val="18"/>
        </w:rPr>
        <w:t>July</w:t>
      </w:r>
      <w:r w:rsidR="00652281" w:rsidRPr="0064290F">
        <w:rPr>
          <w:sz w:val="18"/>
          <w:szCs w:val="18"/>
        </w:rPr>
        <w:t xml:space="preserve"> </w:t>
      </w:r>
      <w:r w:rsidR="00492F4A" w:rsidRPr="0064290F">
        <w:rPr>
          <w:sz w:val="18"/>
          <w:szCs w:val="18"/>
        </w:rPr>
        <w:t>2024</w:t>
      </w:r>
      <w:r w:rsidR="00AF6E8A" w:rsidRPr="0064290F">
        <w:rPr>
          <w:sz w:val="18"/>
          <w:szCs w:val="18"/>
        </w:rPr>
        <w:t>.</w:t>
      </w:r>
    </w:p>
  </w:footnote>
  <w:footnote w:id="3">
    <w:p w14:paraId="1042DCE0" w14:textId="0239C9AF" w:rsidR="00364302" w:rsidRDefault="00364302">
      <w:pPr>
        <w:pStyle w:val="FootnoteText"/>
      </w:pPr>
      <w:r>
        <w:rPr>
          <w:rStyle w:val="FootnoteReference"/>
        </w:rPr>
        <w:footnoteRef/>
      </w:r>
      <w:r>
        <w:t xml:space="preserve"> </w:t>
      </w:r>
      <w:r w:rsidRPr="00622759">
        <w:rPr>
          <w:sz w:val="18"/>
          <w:szCs w:val="18"/>
        </w:rPr>
        <w:t xml:space="preserve">Australia's hospitals at a glance, Hospital activity, available at: </w:t>
      </w:r>
      <w:r w:rsidRPr="00622759">
        <w:rPr>
          <w:sz w:val="18"/>
          <w:szCs w:val="18"/>
          <w:u w:val="single"/>
        </w:rPr>
        <w:t>www.aihw.gov.au/reports/hospitals/australias-hospitals-at-a-glance/contents/hospital-activity</w:t>
      </w:r>
    </w:p>
  </w:footnote>
  <w:footnote w:id="4">
    <w:p w14:paraId="30C0B03C" w14:textId="77777777" w:rsidR="0015455B" w:rsidRDefault="0015455B" w:rsidP="0015455B">
      <w:pPr>
        <w:pStyle w:val="FootnoteText"/>
      </w:pPr>
      <w:r>
        <w:rPr>
          <w:rStyle w:val="FootnoteReference"/>
        </w:rPr>
        <w:footnoteRef/>
      </w:r>
      <w:r>
        <w:t xml:space="preserve"> </w:t>
      </w:r>
      <w:r w:rsidRPr="00622759">
        <w:rPr>
          <w:sz w:val="18"/>
          <w:szCs w:val="18"/>
        </w:rPr>
        <w:t xml:space="preserve">Australia's hospitals at a glance, Hospital activity, available at: </w:t>
      </w:r>
      <w:r w:rsidRPr="00622759">
        <w:rPr>
          <w:sz w:val="18"/>
          <w:szCs w:val="18"/>
          <w:u w:val="single"/>
        </w:rPr>
        <w:t>www.aihw.gov.au/reports/hospitals/australias-hospitals-at-a-glance/contents/hospital-activity</w:t>
      </w:r>
    </w:p>
  </w:footnote>
  <w:footnote w:id="5">
    <w:p w14:paraId="633804F3" w14:textId="74481995" w:rsidR="00904AC5" w:rsidRPr="00904AC5" w:rsidRDefault="00904AC5">
      <w:pPr>
        <w:pStyle w:val="FootnoteText"/>
        <w:rPr>
          <w:sz w:val="18"/>
          <w:szCs w:val="18"/>
        </w:rPr>
      </w:pPr>
      <w:r>
        <w:rPr>
          <w:rStyle w:val="FootnoteReference"/>
        </w:rPr>
        <w:footnoteRef/>
      </w:r>
      <w:r>
        <w:t xml:space="preserve"> </w:t>
      </w:r>
      <w:r w:rsidRPr="00904AC5">
        <w:rPr>
          <w:sz w:val="18"/>
          <w:szCs w:val="18"/>
        </w:rPr>
        <w:t xml:space="preserve">Quarterly private health insurance statistics, available at </w:t>
      </w:r>
      <w:r w:rsidRPr="00904AC5">
        <w:rPr>
          <w:sz w:val="18"/>
          <w:szCs w:val="18"/>
          <w:u w:val="single"/>
        </w:rPr>
        <w:t>www.apra.gov.au/quarterly-private-health-insurance-statistics</w:t>
      </w:r>
    </w:p>
  </w:footnote>
  <w:footnote w:id="6">
    <w:p w14:paraId="3E50B6F6" w14:textId="77777777" w:rsidR="006C3593" w:rsidRDefault="006C3593" w:rsidP="006C3593">
      <w:pPr>
        <w:pStyle w:val="FootnoteText"/>
      </w:pPr>
      <w:r>
        <w:rPr>
          <w:rStyle w:val="FootnoteReference"/>
        </w:rPr>
        <w:footnoteRef/>
      </w:r>
      <w:r>
        <w:t xml:space="preserve"> E</w:t>
      </w:r>
      <w:r w:rsidRPr="00BB7997">
        <w:t xml:space="preserve">lective admissions involving surgery in private hospitals </w:t>
      </w:r>
      <w:r>
        <w:t xml:space="preserve">decreased by </w:t>
      </w:r>
      <w:r w:rsidRPr="00BB7997">
        <w:t>5.7% between 2018–19 and 2019–20.</w:t>
      </w:r>
    </w:p>
  </w:footnote>
  <w:footnote w:id="7">
    <w:p w14:paraId="0127818A" w14:textId="77777777" w:rsidR="00C40393" w:rsidRDefault="00C40393" w:rsidP="00C40393">
      <w:pPr>
        <w:pStyle w:val="FootnoteText"/>
      </w:pPr>
      <w:r>
        <w:rPr>
          <w:rStyle w:val="FootnoteReference"/>
        </w:rPr>
        <w:footnoteRef/>
      </w:r>
      <w:r>
        <w:t xml:space="preserve"> Casemix refers to the diversity and complexity of patient cases that a hospital treats.</w:t>
      </w:r>
    </w:p>
  </w:footnote>
  <w:footnote w:id="8">
    <w:p w14:paraId="5A8E1B76" w14:textId="77777777" w:rsidR="009F602E" w:rsidRDefault="009F602E" w:rsidP="009F602E">
      <w:pPr>
        <w:pStyle w:val="FootnoteText"/>
      </w:pPr>
      <w:r>
        <w:rPr>
          <w:rStyle w:val="FootnoteReference"/>
        </w:rPr>
        <w:footnoteRef/>
      </w:r>
      <w:r>
        <w:t xml:space="preserve"> Average EBITDA margins are weighted by total operating revenue.</w:t>
      </w:r>
    </w:p>
  </w:footnote>
  <w:footnote w:id="9">
    <w:p w14:paraId="58AF6D90" w14:textId="7DE19729" w:rsidR="009E11BC" w:rsidRDefault="009E11BC">
      <w:pPr>
        <w:pStyle w:val="FootnoteText"/>
      </w:pPr>
      <w:r>
        <w:rPr>
          <w:rStyle w:val="FootnoteReference"/>
        </w:rPr>
        <w:footnoteRef/>
      </w:r>
      <w:r>
        <w:t xml:space="preserve"> </w:t>
      </w:r>
      <w:r w:rsidRPr="009E11BC">
        <w:t>Australian Institute of Health and Welfare</w:t>
      </w:r>
      <w:r w:rsidR="00510613">
        <w:t>,</w:t>
      </w:r>
      <w:r w:rsidRPr="009E11BC">
        <w:t xml:space="preserve"> published admitted patient care data: Multiple tables and years from </w:t>
      </w:r>
      <w:r w:rsidRPr="00510613">
        <w:rPr>
          <w:i/>
          <w:iCs/>
        </w:rPr>
        <w:t xml:space="preserve">5 </w:t>
      </w:r>
      <w:r w:rsidR="00510613">
        <w:rPr>
          <w:i/>
          <w:iCs/>
        </w:rPr>
        <w:t>–</w:t>
      </w:r>
      <w:r w:rsidRPr="009E11BC">
        <w:t xml:space="preserve"> </w:t>
      </w:r>
      <w:r w:rsidRPr="00510613">
        <w:rPr>
          <w:i/>
          <w:iCs/>
        </w:rPr>
        <w:t>What services were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8DA9"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60C6A989" wp14:editId="4062E58E">
          <wp:simplePos x="0" y="0"/>
          <wp:positionH relativeFrom="page">
            <wp:align>center</wp:align>
          </wp:positionH>
          <wp:positionV relativeFrom="page">
            <wp:align>center</wp:align>
          </wp:positionV>
          <wp:extent cx="7559245" cy="10692675"/>
          <wp:effectExtent l="0" t="0" r="0" b="1270"/>
          <wp:wrapNone/>
          <wp:docPr id="143620912" name="Picture 143620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03B"/>
    <w:multiLevelType w:val="hybridMultilevel"/>
    <w:tmpl w:val="393A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B6C08"/>
    <w:multiLevelType w:val="hybridMultilevel"/>
    <w:tmpl w:val="8E3E7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31D25"/>
    <w:multiLevelType w:val="hybridMultilevel"/>
    <w:tmpl w:val="9294C4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1A76DD0"/>
    <w:multiLevelType w:val="hybridMultilevel"/>
    <w:tmpl w:val="319E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C506AF"/>
    <w:multiLevelType w:val="hybridMultilevel"/>
    <w:tmpl w:val="38EC17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653882"/>
    <w:multiLevelType w:val="hybridMultilevel"/>
    <w:tmpl w:val="1B948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384FC5"/>
    <w:multiLevelType w:val="hybridMultilevel"/>
    <w:tmpl w:val="FE34A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DE3A8E"/>
    <w:multiLevelType w:val="hybridMultilevel"/>
    <w:tmpl w:val="9990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02171B"/>
    <w:multiLevelType w:val="hybridMultilevel"/>
    <w:tmpl w:val="1F30D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05791973">
    <w:abstractNumId w:val="3"/>
  </w:num>
  <w:num w:numId="2" w16cid:durableId="468860418">
    <w:abstractNumId w:val="5"/>
  </w:num>
  <w:num w:numId="3" w16cid:durableId="957493303">
    <w:abstractNumId w:val="14"/>
  </w:num>
  <w:num w:numId="4" w16cid:durableId="572010858">
    <w:abstractNumId w:val="7"/>
  </w:num>
  <w:num w:numId="5" w16cid:durableId="169490899">
    <w:abstractNumId w:val="13"/>
  </w:num>
  <w:num w:numId="6" w16cid:durableId="1319261740">
    <w:abstractNumId w:val="1"/>
  </w:num>
  <w:num w:numId="7" w16cid:durableId="967053780">
    <w:abstractNumId w:val="11"/>
  </w:num>
  <w:num w:numId="8" w16cid:durableId="812916945">
    <w:abstractNumId w:val="2"/>
  </w:num>
  <w:num w:numId="9" w16cid:durableId="1784113541">
    <w:abstractNumId w:val="0"/>
  </w:num>
  <w:num w:numId="10" w16cid:durableId="268053736">
    <w:abstractNumId w:val="9"/>
  </w:num>
  <w:num w:numId="11" w16cid:durableId="172381882">
    <w:abstractNumId w:val="6"/>
  </w:num>
  <w:num w:numId="12" w16cid:durableId="1042947879">
    <w:abstractNumId w:val="10"/>
  </w:num>
  <w:num w:numId="13" w16cid:durableId="1871608160">
    <w:abstractNumId w:val="8"/>
  </w:num>
  <w:num w:numId="14" w16cid:durableId="1916159732">
    <w:abstractNumId w:val="4"/>
  </w:num>
  <w:num w:numId="15" w16cid:durableId="9325175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C6"/>
    <w:rsid w:val="00001C8D"/>
    <w:rsid w:val="00001F41"/>
    <w:rsid w:val="00002503"/>
    <w:rsid w:val="0000267D"/>
    <w:rsid w:val="00003743"/>
    <w:rsid w:val="0000382C"/>
    <w:rsid w:val="000047B4"/>
    <w:rsid w:val="00005712"/>
    <w:rsid w:val="000063A2"/>
    <w:rsid w:val="00007C66"/>
    <w:rsid w:val="00007E10"/>
    <w:rsid w:val="00007FD8"/>
    <w:rsid w:val="00010E60"/>
    <w:rsid w:val="00010F17"/>
    <w:rsid w:val="000117F8"/>
    <w:rsid w:val="00012313"/>
    <w:rsid w:val="000144B5"/>
    <w:rsid w:val="00014A43"/>
    <w:rsid w:val="00014F5B"/>
    <w:rsid w:val="000177D1"/>
    <w:rsid w:val="0002001C"/>
    <w:rsid w:val="00021A91"/>
    <w:rsid w:val="00021F4A"/>
    <w:rsid w:val="000239E2"/>
    <w:rsid w:val="00024B5E"/>
    <w:rsid w:val="00026139"/>
    <w:rsid w:val="00026559"/>
    <w:rsid w:val="00027071"/>
    <w:rsid w:val="00027182"/>
    <w:rsid w:val="00027601"/>
    <w:rsid w:val="0003133B"/>
    <w:rsid w:val="00031752"/>
    <w:rsid w:val="00031C10"/>
    <w:rsid w:val="00031C6A"/>
    <w:rsid w:val="000328C0"/>
    <w:rsid w:val="00032A3F"/>
    <w:rsid w:val="00033321"/>
    <w:rsid w:val="000338E5"/>
    <w:rsid w:val="00033ECC"/>
    <w:rsid w:val="0003422F"/>
    <w:rsid w:val="00034531"/>
    <w:rsid w:val="00034B84"/>
    <w:rsid w:val="000363DA"/>
    <w:rsid w:val="0003669F"/>
    <w:rsid w:val="00036E31"/>
    <w:rsid w:val="00037D7A"/>
    <w:rsid w:val="00040F21"/>
    <w:rsid w:val="00041870"/>
    <w:rsid w:val="0004225B"/>
    <w:rsid w:val="00042BEC"/>
    <w:rsid w:val="000441D3"/>
    <w:rsid w:val="00044464"/>
    <w:rsid w:val="0004646C"/>
    <w:rsid w:val="00046FF0"/>
    <w:rsid w:val="00050176"/>
    <w:rsid w:val="00050DF7"/>
    <w:rsid w:val="000519B6"/>
    <w:rsid w:val="00052B22"/>
    <w:rsid w:val="000543D5"/>
    <w:rsid w:val="00055605"/>
    <w:rsid w:val="000559D0"/>
    <w:rsid w:val="000577FE"/>
    <w:rsid w:val="000607A0"/>
    <w:rsid w:val="000609D8"/>
    <w:rsid w:val="0006211D"/>
    <w:rsid w:val="00062B65"/>
    <w:rsid w:val="000636D3"/>
    <w:rsid w:val="00063A58"/>
    <w:rsid w:val="00063B01"/>
    <w:rsid w:val="00063B1B"/>
    <w:rsid w:val="00066216"/>
    <w:rsid w:val="00066E6B"/>
    <w:rsid w:val="00067456"/>
    <w:rsid w:val="00067F8D"/>
    <w:rsid w:val="00071484"/>
    <w:rsid w:val="00071506"/>
    <w:rsid w:val="0007154F"/>
    <w:rsid w:val="00072BD2"/>
    <w:rsid w:val="000732B4"/>
    <w:rsid w:val="00077A6A"/>
    <w:rsid w:val="00080CFB"/>
    <w:rsid w:val="00081AB1"/>
    <w:rsid w:val="00081C6F"/>
    <w:rsid w:val="000838E2"/>
    <w:rsid w:val="00085D24"/>
    <w:rsid w:val="00090316"/>
    <w:rsid w:val="000903B4"/>
    <w:rsid w:val="0009386B"/>
    <w:rsid w:val="00093981"/>
    <w:rsid w:val="00093CD9"/>
    <w:rsid w:val="000940B9"/>
    <w:rsid w:val="00094DE1"/>
    <w:rsid w:val="000953FA"/>
    <w:rsid w:val="00095DE8"/>
    <w:rsid w:val="0009770A"/>
    <w:rsid w:val="00097C68"/>
    <w:rsid w:val="000A026D"/>
    <w:rsid w:val="000A264A"/>
    <w:rsid w:val="000A3A16"/>
    <w:rsid w:val="000A4B4B"/>
    <w:rsid w:val="000A5B90"/>
    <w:rsid w:val="000A5E25"/>
    <w:rsid w:val="000A6217"/>
    <w:rsid w:val="000A735A"/>
    <w:rsid w:val="000B067A"/>
    <w:rsid w:val="000B1540"/>
    <w:rsid w:val="000B18B6"/>
    <w:rsid w:val="000B22EC"/>
    <w:rsid w:val="000B33FD"/>
    <w:rsid w:val="000B4ABA"/>
    <w:rsid w:val="000B69B8"/>
    <w:rsid w:val="000B6CE5"/>
    <w:rsid w:val="000B7142"/>
    <w:rsid w:val="000C1D73"/>
    <w:rsid w:val="000C336A"/>
    <w:rsid w:val="000C3404"/>
    <w:rsid w:val="000C3A20"/>
    <w:rsid w:val="000C4B16"/>
    <w:rsid w:val="000C4C4F"/>
    <w:rsid w:val="000C50C3"/>
    <w:rsid w:val="000C59E5"/>
    <w:rsid w:val="000D2151"/>
    <w:rsid w:val="000D21F6"/>
    <w:rsid w:val="000D37CE"/>
    <w:rsid w:val="000D42C3"/>
    <w:rsid w:val="000D4500"/>
    <w:rsid w:val="000D4542"/>
    <w:rsid w:val="000D46F3"/>
    <w:rsid w:val="000D491C"/>
    <w:rsid w:val="000D4E20"/>
    <w:rsid w:val="000D596E"/>
    <w:rsid w:val="000D5CD6"/>
    <w:rsid w:val="000D6437"/>
    <w:rsid w:val="000D6C52"/>
    <w:rsid w:val="000D770D"/>
    <w:rsid w:val="000D7AEA"/>
    <w:rsid w:val="000E01A9"/>
    <w:rsid w:val="000E1C24"/>
    <w:rsid w:val="000E2C66"/>
    <w:rsid w:val="000E3328"/>
    <w:rsid w:val="000E4D3A"/>
    <w:rsid w:val="000E5459"/>
    <w:rsid w:val="000E6E7D"/>
    <w:rsid w:val="000F09C7"/>
    <w:rsid w:val="000F123C"/>
    <w:rsid w:val="000F1520"/>
    <w:rsid w:val="000F1F16"/>
    <w:rsid w:val="000F2BCF"/>
    <w:rsid w:val="000F2FED"/>
    <w:rsid w:val="000F3900"/>
    <w:rsid w:val="000F5119"/>
    <w:rsid w:val="000F5E98"/>
    <w:rsid w:val="000F78F5"/>
    <w:rsid w:val="000F7FA9"/>
    <w:rsid w:val="00104E36"/>
    <w:rsid w:val="0010616D"/>
    <w:rsid w:val="00110478"/>
    <w:rsid w:val="0011120C"/>
    <w:rsid w:val="0011263D"/>
    <w:rsid w:val="00112EF0"/>
    <w:rsid w:val="001133D3"/>
    <w:rsid w:val="00113CDA"/>
    <w:rsid w:val="00114711"/>
    <w:rsid w:val="0011711B"/>
    <w:rsid w:val="00117F8A"/>
    <w:rsid w:val="00121B9B"/>
    <w:rsid w:val="0012204E"/>
    <w:rsid w:val="00122291"/>
    <w:rsid w:val="00122ADC"/>
    <w:rsid w:val="001244CE"/>
    <w:rsid w:val="00124BE8"/>
    <w:rsid w:val="001254E2"/>
    <w:rsid w:val="00125845"/>
    <w:rsid w:val="00125CA2"/>
    <w:rsid w:val="00127460"/>
    <w:rsid w:val="00127C7E"/>
    <w:rsid w:val="00130F59"/>
    <w:rsid w:val="00131906"/>
    <w:rsid w:val="00133EC0"/>
    <w:rsid w:val="00135BB9"/>
    <w:rsid w:val="00135E66"/>
    <w:rsid w:val="001419B2"/>
    <w:rsid w:val="00141A2E"/>
    <w:rsid w:val="00141CE5"/>
    <w:rsid w:val="00144908"/>
    <w:rsid w:val="00146380"/>
    <w:rsid w:val="00146820"/>
    <w:rsid w:val="00147BBE"/>
    <w:rsid w:val="00152367"/>
    <w:rsid w:val="00153C29"/>
    <w:rsid w:val="0015455B"/>
    <w:rsid w:val="0015638B"/>
    <w:rsid w:val="001571C7"/>
    <w:rsid w:val="00160357"/>
    <w:rsid w:val="00161094"/>
    <w:rsid w:val="00162389"/>
    <w:rsid w:val="0016284E"/>
    <w:rsid w:val="001628E4"/>
    <w:rsid w:val="00165A8B"/>
    <w:rsid w:val="00167944"/>
    <w:rsid w:val="001727D9"/>
    <w:rsid w:val="001728FE"/>
    <w:rsid w:val="00172A55"/>
    <w:rsid w:val="00173F3F"/>
    <w:rsid w:val="001742EF"/>
    <w:rsid w:val="001746CD"/>
    <w:rsid w:val="001758CD"/>
    <w:rsid w:val="0017665C"/>
    <w:rsid w:val="001776AD"/>
    <w:rsid w:val="00177AD2"/>
    <w:rsid w:val="00177E6D"/>
    <w:rsid w:val="001800A6"/>
    <w:rsid w:val="001809DC"/>
    <w:rsid w:val="00180C56"/>
    <w:rsid w:val="00180F2E"/>
    <w:rsid w:val="001815A8"/>
    <w:rsid w:val="00181D56"/>
    <w:rsid w:val="00183A87"/>
    <w:rsid w:val="001840FA"/>
    <w:rsid w:val="00184ABA"/>
    <w:rsid w:val="00185689"/>
    <w:rsid w:val="00190079"/>
    <w:rsid w:val="00190421"/>
    <w:rsid w:val="00190850"/>
    <w:rsid w:val="00190A10"/>
    <w:rsid w:val="00192758"/>
    <w:rsid w:val="00193DE3"/>
    <w:rsid w:val="001944DD"/>
    <w:rsid w:val="0019596B"/>
    <w:rsid w:val="0019622E"/>
    <w:rsid w:val="001966A7"/>
    <w:rsid w:val="00197918"/>
    <w:rsid w:val="001A0F46"/>
    <w:rsid w:val="001A1CC3"/>
    <w:rsid w:val="001A2FEA"/>
    <w:rsid w:val="001A4627"/>
    <w:rsid w:val="001A4979"/>
    <w:rsid w:val="001A543C"/>
    <w:rsid w:val="001A7F18"/>
    <w:rsid w:val="001B00BA"/>
    <w:rsid w:val="001B07B6"/>
    <w:rsid w:val="001B15D3"/>
    <w:rsid w:val="001B1CA2"/>
    <w:rsid w:val="001B3443"/>
    <w:rsid w:val="001B3DA9"/>
    <w:rsid w:val="001B4066"/>
    <w:rsid w:val="001B55AC"/>
    <w:rsid w:val="001B5AC3"/>
    <w:rsid w:val="001B7236"/>
    <w:rsid w:val="001C0326"/>
    <w:rsid w:val="001C0DDE"/>
    <w:rsid w:val="001C192F"/>
    <w:rsid w:val="001C29B1"/>
    <w:rsid w:val="001C3C42"/>
    <w:rsid w:val="001C4384"/>
    <w:rsid w:val="001C6743"/>
    <w:rsid w:val="001D09F2"/>
    <w:rsid w:val="001D652F"/>
    <w:rsid w:val="001D6A7A"/>
    <w:rsid w:val="001D7869"/>
    <w:rsid w:val="001E2EDA"/>
    <w:rsid w:val="001E3759"/>
    <w:rsid w:val="001E577F"/>
    <w:rsid w:val="001E631A"/>
    <w:rsid w:val="001E7AAB"/>
    <w:rsid w:val="001F08CC"/>
    <w:rsid w:val="001F2F78"/>
    <w:rsid w:val="001F4853"/>
    <w:rsid w:val="001F53C7"/>
    <w:rsid w:val="001F66BA"/>
    <w:rsid w:val="001F67CC"/>
    <w:rsid w:val="001F6C7B"/>
    <w:rsid w:val="001F77FE"/>
    <w:rsid w:val="001F7DC6"/>
    <w:rsid w:val="002012BE"/>
    <w:rsid w:val="002026CD"/>
    <w:rsid w:val="002033FC"/>
    <w:rsid w:val="002044BB"/>
    <w:rsid w:val="00207D02"/>
    <w:rsid w:val="00210B09"/>
    <w:rsid w:val="00210C9E"/>
    <w:rsid w:val="00211840"/>
    <w:rsid w:val="002139B7"/>
    <w:rsid w:val="002153B3"/>
    <w:rsid w:val="00220355"/>
    <w:rsid w:val="00220E5F"/>
    <w:rsid w:val="0022101C"/>
    <w:rsid w:val="002212B5"/>
    <w:rsid w:val="002216AC"/>
    <w:rsid w:val="0022195A"/>
    <w:rsid w:val="0022212B"/>
    <w:rsid w:val="00223BFD"/>
    <w:rsid w:val="002255BF"/>
    <w:rsid w:val="00225812"/>
    <w:rsid w:val="00226668"/>
    <w:rsid w:val="002279CB"/>
    <w:rsid w:val="00231E72"/>
    <w:rsid w:val="002320FB"/>
    <w:rsid w:val="002322F2"/>
    <w:rsid w:val="00233007"/>
    <w:rsid w:val="00233809"/>
    <w:rsid w:val="00234467"/>
    <w:rsid w:val="002351E6"/>
    <w:rsid w:val="002362BF"/>
    <w:rsid w:val="00240046"/>
    <w:rsid w:val="00242446"/>
    <w:rsid w:val="0024502E"/>
    <w:rsid w:val="0024512A"/>
    <w:rsid w:val="00246442"/>
    <w:rsid w:val="0024797F"/>
    <w:rsid w:val="00247E37"/>
    <w:rsid w:val="00247FB6"/>
    <w:rsid w:val="00250128"/>
    <w:rsid w:val="0025119E"/>
    <w:rsid w:val="00251269"/>
    <w:rsid w:val="002535C0"/>
    <w:rsid w:val="00253B5D"/>
    <w:rsid w:val="0025441C"/>
    <w:rsid w:val="00255842"/>
    <w:rsid w:val="00255FF8"/>
    <w:rsid w:val="002579FE"/>
    <w:rsid w:val="00260416"/>
    <w:rsid w:val="002608FD"/>
    <w:rsid w:val="00261873"/>
    <w:rsid w:val="00261893"/>
    <w:rsid w:val="00261944"/>
    <w:rsid w:val="002622C5"/>
    <w:rsid w:val="0026311C"/>
    <w:rsid w:val="0026344B"/>
    <w:rsid w:val="002635F0"/>
    <w:rsid w:val="002636FE"/>
    <w:rsid w:val="00264996"/>
    <w:rsid w:val="00264A6A"/>
    <w:rsid w:val="00264BDC"/>
    <w:rsid w:val="0026668C"/>
    <w:rsid w:val="00266AC1"/>
    <w:rsid w:val="00266D28"/>
    <w:rsid w:val="00267DBC"/>
    <w:rsid w:val="0027178C"/>
    <w:rsid w:val="002719FA"/>
    <w:rsid w:val="00272668"/>
    <w:rsid w:val="0027330B"/>
    <w:rsid w:val="0027479D"/>
    <w:rsid w:val="002749E8"/>
    <w:rsid w:val="00277B46"/>
    <w:rsid w:val="00277DA3"/>
    <w:rsid w:val="002803AD"/>
    <w:rsid w:val="00282052"/>
    <w:rsid w:val="00283018"/>
    <w:rsid w:val="00284498"/>
    <w:rsid w:val="0028519E"/>
    <w:rsid w:val="002856A5"/>
    <w:rsid w:val="00285ADA"/>
    <w:rsid w:val="0028625A"/>
    <w:rsid w:val="002872ED"/>
    <w:rsid w:val="002905C2"/>
    <w:rsid w:val="00290964"/>
    <w:rsid w:val="00290E74"/>
    <w:rsid w:val="00293B15"/>
    <w:rsid w:val="0029517B"/>
    <w:rsid w:val="00295AF2"/>
    <w:rsid w:val="00295C91"/>
    <w:rsid w:val="00297151"/>
    <w:rsid w:val="002979E1"/>
    <w:rsid w:val="00297F3B"/>
    <w:rsid w:val="002A02AF"/>
    <w:rsid w:val="002A0910"/>
    <w:rsid w:val="002A20F6"/>
    <w:rsid w:val="002A25A3"/>
    <w:rsid w:val="002A3B4E"/>
    <w:rsid w:val="002A4169"/>
    <w:rsid w:val="002A5D5B"/>
    <w:rsid w:val="002B20E6"/>
    <w:rsid w:val="002B32AF"/>
    <w:rsid w:val="002B33A6"/>
    <w:rsid w:val="002B42A3"/>
    <w:rsid w:val="002B5C5C"/>
    <w:rsid w:val="002B6D9E"/>
    <w:rsid w:val="002C0795"/>
    <w:rsid w:val="002C0833"/>
    <w:rsid w:val="002C0CDD"/>
    <w:rsid w:val="002C2E39"/>
    <w:rsid w:val="002C51AA"/>
    <w:rsid w:val="002C672E"/>
    <w:rsid w:val="002C7F67"/>
    <w:rsid w:val="002D094A"/>
    <w:rsid w:val="002D104E"/>
    <w:rsid w:val="002D351D"/>
    <w:rsid w:val="002D3611"/>
    <w:rsid w:val="002D5060"/>
    <w:rsid w:val="002D6812"/>
    <w:rsid w:val="002D6CCC"/>
    <w:rsid w:val="002D71CF"/>
    <w:rsid w:val="002E0B30"/>
    <w:rsid w:val="002E0D35"/>
    <w:rsid w:val="002E1177"/>
    <w:rsid w:val="002E13C2"/>
    <w:rsid w:val="002E1A1D"/>
    <w:rsid w:val="002E22CB"/>
    <w:rsid w:val="002E28BF"/>
    <w:rsid w:val="002E379D"/>
    <w:rsid w:val="002E3DAE"/>
    <w:rsid w:val="002E4081"/>
    <w:rsid w:val="002E44AD"/>
    <w:rsid w:val="002E4D7D"/>
    <w:rsid w:val="002E5B78"/>
    <w:rsid w:val="002E7115"/>
    <w:rsid w:val="002E739A"/>
    <w:rsid w:val="002E7F2B"/>
    <w:rsid w:val="002F05E3"/>
    <w:rsid w:val="002F3AE3"/>
    <w:rsid w:val="002F4061"/>
    <w:rsid w:val="002F5F8B"/>
    <w:rsid w:val="0030031D"/>
    <w:rsid w:val="00300903"/>
    <w:rsid w:val="00300C85"/>
    <w:rsid w:val="00302453"/>
    <w:rsid w:val="0030464B"/>
    <w:rsid w:val="00304CC1"/>
    <w:rsid w:val="003050E4"/>
    <w:rsid w:val="003069E9"/>
    <w:rsid w:val="0030786C"/>
    <w:rsid w:val="00307C86"/>
    <w:rsid w:val="00307EA1"/>
    <w:rsid w:val="00310A66"/>
    <w:rsid w:val="00312FC3"/>
    <w:rsid w:val="003130CC"/>
    <w:rsid w:val="00314500"/>
    <w:rsid w:val="003155A3"/>
    <w:rsid w:val="003156FD"/>
    <w:rsid w:val="00317131"/>
    <w:rsid w:val="00320047"/>
    <w:rsid w:val="00321252"/>
    <w:rsid w:val="0032255B"/>
    <w:rsid w:val="003233DE"/>
    <w:rsid w:val="0032466B"/>
    <w:rsid w:val="003249FF"/>
    <w:rsid w:val="00325E7A"/>
    <w:rsid w:val="00327886"/>
    <w:rsid w:val="00327B44"/>
    <w:rsid w:val="003327A1"/>
    <w:rsid w:val="003330EB"/>
    <w:rsid w:val="0033333B"/>
    <w:rsid w:val="003339CE"/>
    <w:rsid w:val="003347F0"/>
    <w:rsid w:val="003356E6"/>
    <w:rsid w:val="00335FF7"/>
    <w:rsid w:val="00336605"/>
    <w:rsid w:val="00340BC0"/>
    <w:rsid w:val="003415BE"/>
    <w:rsid w:val="003415FD"/>
    <w:rsid w:val="003425C7"/>
    <w:rsid w:val="003429F0"/>
    <w:rsid w:val="003440FF"/>
    <w:rsid w:val="003442E1"/>
    <w:rsid w:val="00347042"/>
    <w:rsid w:val="00347A73"/>
    <w:rsid w:val="0035097A"/>
    <w:rsid w:val="0035210E"/>
    <w:rsid w:val="003533E3"/>
    <w:rsid w:val="003540A4"/>
    <w:rsid w:val="0035630E"/>
    <w:rsid w:val="00356607"/>
    <w:rsid w:val="00356B2E"/>
    <w:rsid w:val="0035720E"/>
    <w:rsid w:val="00357249"/>
    <w:rsid w:val="00360E4E"/>
    <w:rsid w:val="00362E84"/>
    <w:rsid w:val="00362FDD"/>
    <w:rsid w:val="00363332"/>
    <w:rsid w:val="0036363C"/>
    <w:rsid w:val="00364302"/>
    <w:rsid w:val="00364C40"/>
    <w:rsid w:val="00365832"/>
    <w:rsid w:val="00366AE6"/>
    <w:rsid w:val="00367253"/>
    <w:rsid w:val="003702BF"/>
    <w:rsid w:val="00370AAA"/>
    <w:rsid w:val="003712F5"/>
    <w:rsid w:val="0037151C"/>
    <w:rsid w:val="00371F0B"/>
    <w:rsid w:val="00375F77"/>
    <w:rsid w:val="00376A9C"/>
    <w:rsid w:val="00377511"/>
    <w:rsid w:val="003775EC"/>
    <w:rsid w:val="00377A78"/>
    <w:rsid w:val="0038092C"/>
    <w:rsid w:val="003811E6"/>
    <w:rsid w:val="00381744"/>
    <w:rsid w:val="00381BBE"/>
    <w:rsid w:val="00381DBB"/>
    <w:rsid w:val="003824E0"/>
    <w:rsid w:val="00382903"/>
    <w:rsid w:val="00382DAB"/>
    <w:rsid w:val="003846FF"/>
    <w:rsid w:val="0038572C"/>
    <w:rsid w:val="00385AD4"/>
    <w:rsid w:val="0038641F"/>
    <w:rsid w:val="00386C2D"/>
    <w:rsid w:val="00386D2B"/>
    <w:rsid w:val="00387924"/>
    <w:rsid w:val="00390745"/>
    <w:rsid w:val="0039152D"/>
    <w:rsid w:val="0039286D"/>
    <w:rsid w:val="0039384D"/>
    <w:rsid w:val="00394CE6"/>
    <w:rsid w:val="0039511C"/>
    <w:rsid w:val="00395C23"/>
    <w:rsid w:val="003A05F0"/>
    <w:rsid w:val="003A1919"/>
    <w:rsid w:val="003A2505"/>
    <w:rsid w:val="003A2E4F"/>
    <w:rsid w:val="003A4438"/>
    <w:rsid w:val="003A4A20"/>
    <w:rsid w:val="003A4FCD"/>
    <w:rsid w:val="003A5013"/>
    <w:rsid w:val="003A5078"/>
    <w:rsid w:val="003A5C84"/>
    <w:rsid w:val="003A62DD"/>
    <w:rsid w:val="003A775A"/>
    <w:rsid w:val="003A79D8"/>
    <w:rsid w:val="003B0DAB"/>
    <w:rsid w:val="003B20D1"/>
    <w:rsid w:val="003B213A"/>
    <w:rsid w:val="003B2A92"/>
    <w:rsid w:val="003B40DC"/>
    <w:rsid w:val="003B43AD"/>
    <w:rsid w:val="003B73F3"/>
    <w:rsid w:val="003C09CC"/>
    <w:rsid w:val="003C0FEC"/>
    <w:rsid w:val="003C15B8"/>
    <w:rsid w:val="003C2AC8"/>
    <w:rsid w:val="003C2BD2"/>
    <w:rsid w:val="003C3798"/>
    <w:rsid w:val="003C46A6"/>
    <w:rsid w:val="003C6208"/>
    <w:rsid w:val="003C66AD"/>
    <w:rsid w:val="003C703B"/>
    <w:rsid w:val="003D023B"/>
    <w:rsid w:val="003D0AA2"/>
    <w:rsid w:val="003D0EB6"/>
    <w:rsid w:val="003D13FD"/>
    <w:rsid w:val="003D17F9"/>
    <w:rsid w:val="003D2D88"/>
    <w:rsid w:val="003D358F"/>
    <w:rsid w:val="003D4184"/>
    <w:rsid w:val="003D41EA"/>
    <w:rsid w:val="003D4850"/>
    <w:rsid w:val="003D4940"/>
    <w:rsid w:val="003D535A"/>
    <w:rsid w:val="003D66AC"/>
    <w:rsid w:val="003D7CCF"/>
    <w:rsid w:val="003E07F2"/>
    <w:rsid w:val="003E0806"/>
    <w:rsid w:val="003E5265"/>
    <w:rsid w:val="003E56F9"/>
    <w:rsid w:val="003E770E"/>
    <w:rsid w:val="003F0955"/>
    <w:rsid w:val="003F292D"/>
    <w:rsid w:val="003F2ED6"/>
    <w:rsid w:val="003F3F43"/>
    <w:rsid w:val="003F4221"/>
    <w:rsid w:val="003F4C46"/>
    <w:rsid w:val="003F4FC5"/>
    <w:rsid w:val="003F666C"/>
    <w:rsid w:val="003F68B8"/>
    <w:rsid w:val="003F6C02"/>
    <w:rsid w:val="003F6FC7"/>
    <w:rsid w:val="003F6FE1"/>
    <w:rsid w:val="00400BF6"/>
    <w:rsid w:val="00400F00"/>
    <w:rsid w:val="00403CF6"/>
    <w:rsid w:val="00404F8B"/>
    <w:rsid w:val="00405256"/>
    <w:rsid w:val="00405BF0"/>
    <w:rsid w:val="00410031"/>
    <w:rsid w:val="004106AB"/>
    <w:rsid w:val="004115A2"/>
    <w:rsid w:val="00412BEB"/>
    <w:rsid w:val="0041557B"/>
    <w:rsid w:val="00415C81"/>
    <w:rsid w:val="00416731"/>
    <w:rsid w:val="0041680D"/>
    <w:rsid w:val="004205B2"/>
    <w:rsid w:val="00420F67"/>
    <w:rsid w:val="00421C67"/>
    <w:rsid w:val="00423869"/>
    <w:rsid w:val="00423B24"/>
    <w:rsid w:val="00425E17"/>
    <w:rsid w:val="00425FA6"/>
    <w:rsid w:val="0043024B"/>
    <w:rsid w:val="0043045E"/>
    <w:rsid w:val="00432378"/>
    <w:rsid w:val="00436A85"/>
    <w:rsid w:val="00440D65"/>
    <w:rsid w:val="004428C1"/>
    <w:rsid w:val="004435E6"/>
    <w:rsid w:val="00444CDE"/>
    <w:rsid w:val="00447E31"/>
    <w:rsid w:val="00450715"/>
    <w:rsid w:val="00450B58"/>
    <w:rsid w:val="00451530"/>
    <w:rsid w:val="004522A7"/>
    <w:rsid w:val="00453923"/>
    <w:rsid w:val="00454B9B"/>
    <w:rsid w:val="00454D18"/>
    <w:rsid w:val="00455E7E"/>
    <w:rsid w:val="00455F3C"/>
    <w:rsid w:val="00455FB9"/>
    <w:rsid w:val="004568BB"/>
    <w:rsid w:val="00457858"/>
    <w:rsid w:val="0045791A"/>
    <w:rsid w:val="00460B0B"/>
    <w:rsid w:val="00461023"/>
    <w:rsid w:val="00461A79"/>
    <w:rsid w:val="00461B45"/>
    <w:rsid w:val="00462FAC"/>
    <w:rsid w:val="0046367E"/>
    <w:rsid w:val="00464631"/>
    <w:rsid w:val="00464B79"/>
    <w:rsid w:val="004654F2"/>
    <w:rsid w:val="00466C22"/>
    <w:rsid w:val="00467210"/>
    <w:rsid w:val="0046780C"/>
    <w:rsid w:val="00467BBF"/>
    <w:rsid w:val="004704BF"/>
    <w:rsid w:val="00471884"/>
    <w:rsid w:val="004729B8"/>
    <w:rsid w:val="00474713"/>
    <w:rsid w:val="004750D6"/>
    <w:rsid w:val="0047566C"/>
    <w:rsid w:val="0047591F"/>
    <w:rsid w:val="0047679A"/>
    <w:rsid w:val="00476D3D"/>
    <w:rsid w:val="00480AC7"/>
    <w:rsid w:val="004836A7"/>
    <w:rsid w:val="00483D6A"/>
    <w:rsid w:val="004854D4"/>
    <w:rsid w:val="004867E2"/>
    <w:rsid w:val="00486EFB"/>
    <w:rsid w:val="004872BB"/>
    <w:rsid w:val="004874DB"/>
    <w:rsid w:val="00491D5B"/>
    <w:rsid w:val="004929A9"/>
    <w:rsid w:val="00492E3E"/>
    <w:rsid w:val="00492F4A"/>
    <w:rsid w:val="0049608E"/>
    <w:rsid w:val="00496B47"/>
    <w:rsid w:val="00496E18"/>
    <w:rsid w:val="0049708D"/>
    <w:rsid w:val="00497D21"/>
    <w:rsid w:val="004A036B"/>
    <w:rsid w:val="004A0AA0"/>
    <w:rsid w:val="004A0AAD"/>
    <w:rsid w:val="004A71CA"/>
    <w:rsid w:val="004B05CC"/>
    <w:rsid w:val="004B2D35"/>
    <w:rsid w:val="004C020A"/>
    <w:rsid w:val="004C033A"/>
    <w:rsid w:val="004C0B59"/>
    <w:rsid w:val="004C2DB8"/>
    <w:rsid w:val="004C2FEC"/>
    <w:rsid w:val="004C31FD"/>
    <w:rsid w:val="004C6BCF"/>
    <w:rsid w:val="004D19D4"/>
    <w:rsid w:val="004D22B5"/>
    <w:rsid w:val="004D58BF"/>
    <w:rsid w:val="004E34E6"/>
    <w:rsid w:val="004E3CA6"/>
    <w:rsid w:val="004E4335"/>
    <w:rsid w:val="004E5ACF"/>
    <w:rsid w:val="004E72D6"/>
    <w:rsid w:val="004E7767"/>
    <w:rsid w:val="004F13EE"/>
    <w:rsid w:val="004F2022"/>
    <w:rsid w:val="004F2457"/>
    <w:rsid w:val="004F2D12"/>
    <w:rsid w:val="004F388C"/>
    <w:rsid w:val="004F5CD8"/>
    <w:rsid w:val="004F5D02"/>
    <w:rsid w:val="004F64B4"/>
    <w:rsid w:val="004F737F"/>
    <w:rsid w:val="004F7C05"/>
    <w:rsid w:val="00501C94"/>
    <w:rsid w:val="005022D0"/>
    <w:rsid w:val="0050409A"/>
    <w:rsid w:val="00505287"/>
    <w:rsid w:val="00505E96"/>
    <w:rsid w:val="00506432"/>
    <w:rsid w:val="00507113"/>
    <w:rsid w:val="0050783C"/>
    <w:rsid w:val="00510613"/>
    <w:rsid w:val="0051242B"/>
    <w:rsid w:val="00513867"/>
    <w:rsid w:val="00515697"/>
    <w:rsid w:val="0051783A"/>
    <w:rsid w:val="0052051D"/>
    <w:rsid w:val="00523EEC"/>
    <w:rsid w:val="00524743"/>
    <w:rsid w:val="00524897"/>
    <w:rsid w:val="00525A07"/>
    <w:rsid w:val="00530D16"/>
    <w:rsid w:val="00533A2D"/>
    <w:rsid w:val="00534DD8"/>
    <w:rsid w:val="00540BD6"/>
    <w:rsid w:val="00543C07"/>
    <w:rsid w:val="00543F8E"/>
    <w:rsid w:val="00545EE6"/>
    <w:rsid w:val="0055309C"/>
    <w:rsid w:val="00554DAA"/>
    <w:rsid w:val="00554DBA"/>
    <w:rsid w:val="005550E7"/>
    <w:rsid w:val="005564FB"/>
    <w:rsid w:val="005572C7"/>
    <w:rsid w:val="00557EBE"/>
    <w:rsid w:val="00561AE2"/>
    <w:rsid w:val="00561ECD"/>
    <w:rsid w:val="005621BF"/>
    <w:rsid w:val="005630F1"/>
    <w:rsid w:val="005650ED"/>
    <w:rsid w:val="00565326"/>
    <w:rsid w:val="00565A54"/>
    <w:rsid w:val="00566FBD"/>
    <w:rsid w:val="00570CB8"/>
    <w:rsid w:val="00571598"/>
    <w:rsid w:val="005715F4"/>
    <w:rsid w:val="00572284"/>
    <w:rsid w:val="00575754"/>
    <w:rsid w:val="00577456"/>
    <w:rsid w:val="00577812"/>
    <w:rsid w:val="00577C9D"/>
    <w:rsid w:val="00582E85"/>
    <w:rsid w:val="00584FC3"/>
    <w:rsid w:val="0058588F"/>
    <w:rsid w:val="00585CBB"/>
    <w:rsid w:val="00586DFF"/>
    <w:rsid w:val="0059104F"/>
    <w:rsid w:val="00591E20"/>
    <w:rsid w:val="00592845"/>
    <w:rsid w:val="00592E05"/>
    <w:rsid w:val="00595408"/>
    <w:rsid w:val="00595E84"/>
    <w:rsid w:val="00596544"/>
    <w:rsid w:val="00597D79"/>
    <w:rsid w:val="005A07F3"/>
    <w:rsid w:val="005A0C59"/>
    <w:rsid w:val="005A1770"/>
    <w:rsid w:val="005A28F5"/>
    <w:rsid w:val="005A2B16"/>
    <w:rsid w:val="005A2DE6"/>
    <w:rsid w:val="005A2E11"/>
    <w:rsid w:val="005A3A26"/>
    <w:rsid w:val="005A43E4"/>
    <w:rsid w:val="005A48EB"/>
    <w:rsid w:val="005A6CFB"/>
    <w:rsid w:val="005A7E70"/>
    <w:rsid w:val="005B0D96"/>
    <w:rsid w:val="005B1020"/>
    <w:rsid w:val="005B1E3E"/>
    <w:rsid w:val="005B376B"/>
    <w:rsid w:val="005B5788"/>
    <w:rsid w:val="005B6124"/>
    <w:rsid w:val="005B75F0"/>
    <w:rsid w:val="005C095A"/>
    <w:rsid w:val="005C33A6"/>
    <w:rsid w:val="005C5AEB"/>
    <w:rsid w:val="005C5F87"/>
    <w:rsid w:val="005C7E66"/>
    <w:rsid w:val="005D0CC0"/>
    <w:rsid w:val="005D1018"/>
    <w:rsid w:val="005D3B80"/>
    <w:rsid w:val="005D3CA2"/>
    <w:rsid w:val="005D4340"/>
    <w:rsid w:val="005D4DC4"/>
    <w:rsid w:val="005D4F60"/>
    <w:rsid w:val="005D5FE1"/>
    <w:rsid w:val="005D76CB"/>
    <w:rsid w:val="005D787A"/>
    <w:rsid w:val="005D799F"/>
    <w:rsid w:val="005E0A3F"/>
    <w:rsid w:val="005E1CE0"/>
    <w:rsid w:val="005E30E4"/>
    <w:rsid w:val="005E38D5"/>
    <w:rsid w:val="005E3A19"/>
    <w:rsid w:val="005E4CFD"/>
    <w:rsid w:val="005E6883"/>
    <w:rsid w:val="005E7031"/>
    <w:rsid w:val="005E772F"/>
    <w:rsid w:val="005F065C"/>
    <w:rsid w:val="005F1495"/>
    <w:rsid w:val="005F15FC"/>
    <w:rsid w:val="005F32F8"/>
    <w:rsid w:val="005F4ECA"/>
    <w:rsid w:val="005F5AB6"/>
    <w:rsid w:val="005F63DB"/>
    <w:rsid w:val="005F6D4A"/>
    <w:rsid w:val="0060149E"/>
    <w:rsid w:val="00604165"/>
    <w:rsid w:val="006041BE"/>
    <w:rsid w:val="006043C7"/>
    <w:rsid w:val="006069DD"/>
    <w:rsid w:val="00606F39"/>
    <w:rsid w:val="00607E12"/>
    <w:rsid w:val="00610ABF"/>
    <w:rsid w:val="00614153"/>
    <w:rsid w:val="00614BC6"/>
    <w:rsid w:val="006168BD"/>
    <w:rsid w:val="006213AB"/>
    <w:rsid w:val="00623962"/>
    <w:rsid w:val="0062467B"/>
    <w:rsid w:val="00624B52"/>
    <w:rsid w:val="006251B0"/>
    <w:rsid w:val="00627201"/>
    <w:rsid w:val="00627EE2"/>
    <w:rsid w:val="006309D7"/>
    <w:rsid w:val="00631DF4"/>
    <w:rsid w:val="00632F99"/>
    <w:rsid w:val="00634175"/>
    <w:rsid w:val="006376F5"/>
    <w:rsid w:val="006408AC"/>
    <w:rsid w:val="00640D2D"/>
    <w:rsid w:val="00640FF3"/>
    <w:rsid w:val="00641F41"/>
    <w:rsid w:val="0064290F"/>
    <w:rsid w:val="006459AE"/>
    <w:rsid w:val="0065011F"/>
    <w:rsid w:val="006511B6"/>
    <w:rsid w:val="00652281"/>
    <w:rsid w:val="00652742"/>
    <w:rsid w:val="006528B8"/>
    <w:rsid w:val="00652B33"/>
    <w:rsid w:val="0065348C"/>
    <w:rsid w:val="006544F9"/>
    <w:rsid w:val="00655966"/>
    <w:rsid w:val="006562A2"/>
    <w:rsid w:val="00656C30"/>
    <w:rsid w:val="0065772E"/>
    <w:rsid w:val="00657FF8"/>
    <w:rsid w:val="006634E0"/>
    <w:rsid w:val="00664612"/>
    <w:rsid w:val="00664D40"/>
    <w:rsid w:val="00665A85"/>
    <w:rsid w:val="00666101"/>
    <w:rsid w:val="00667A63"/>
    <w:rsid w:val="00667C35"/>
    <w:rsid w:val="00670D99"/>
    <w:rsid w:val="00670E2B"/>
    <w:rsid w:val="00672605"/>
    <w:rsid w:val="00672743"/>
    <w:rsid w:val="006734BB"/>
    <w:rsid w:val="00673D5D"/>
    <w:rsid w:val="006768CA"/>
    <w:rsid w:val="00677697"/>
    <w:rsid w:val="00677AD8"/>
    <w:rsid w:val="00680F17"/>
    <w:rsid w:val="00681A34"/>
    <w:rsid w:val="00681C14"/>
    <w:rsid w:val="00681D16"/>
    <w:rsid w:val="006821EB"/>
    <w:rsid w:val="00682BB6"/>
    <w:rsid w:val="00684EF5"/>
    <w:rsid w:val="0068794F"/>
    <w:rsid w:val="00691182"/>
    <w:rsid w:val="0069129A"/>
    <w:rsid w:val="0069171B"/>
    <w:rsid w:val="0069174B"/>
    <w:rsid w:val="00691BAF"/>
    <w:rsid w:val="00691BEE"/>
    <w:rsid w:val="00692D50"/>
    <w:rsid w:val="00692ED9"/>
    <w:rsid w:val="00696791"/>
    <w:rsid w:val="006970C5"/>
    <w:rsid w:val="006974F7"/>
    <w:rsid w:val="006A1FC3"/>
    <w:rsid w:val="006A1FD7"/>
    <w:rsid w:val="006A200E"/>
    <w:rsid w:val="006A403B"/>
    <w:rsid w:val="006A6F41"/>
    <w:rsid w:val="006B2286"/>
    <w:rsid w:val="006B2BDA"/>
    <w:rsid w:val="006B3D9F"/>
    <w:rsid w:val="006B56BB"/>
    <w:rsid w:val="006B6297"/>
    <w:rsid w:val="006B7A44"/>
    <w:rsid w:val="006B7B6F"/>
    <w:rsid w:val="006C10ED"/>
    <w:rsid w:val="006C1326"/>
    <w:rsid w:val="006C20B1"/>
    <w:rsid w:val="006C3593"/>
    <w:rsid w:val="006C5EF5"/>
    <w:rsid w:val="006C6A94"/>
    <w:rsid w:val="006C77A8"/>
    <w:rsid w:val="006D04B6"/>
    <w:rsid w:val="006D0D84"/>
    <w:rsid w:val="006D4098"/>
    <w:rsid w:val="006D4321"/>
    <w:rsid w:val="006D5190"/>
    <w:rsid w:val="006D665E"/>
    <w:rsid w:val="006D7681"/>
    <w:rsid w:val="006D7B2E"/>
    <w:rsid w:val="006D7D66"/>
    <w:rsid w:val="006D7EC3"/>
    <w:rsid w:val="006E0223"/>
    <w:rsid w:val="006E02EA"/>
    <w:rsid w:val="006E0968"/>
    <w:rsid w:val="006E2175"/>
    <w:rsid w:val="006E2AF6"/>
    <w:rsid w:val="006E4373"/>
    <w:rsid w:val="006F05C3"/>
    <w:rsid w:val="006F5283"/>
    <w:rsid w:val="006F56C6"/>
    <w:rsid w:val="006F6F4D"/>
    <w:rsid w:val="00701275"/>
    <w:rsid w:val="00701907"/>
    <w:rsid w:val="00707F56"/>
    <w:rsid w:val="00712F1B"/>
    <w:rsid w:val="00713441"/>
    <w:rsid w:val="00713558"/>
    <w:rsid w:val="007153D5"/>
    <w:rsid w:val="00715913"/>
    <w:rsid w:val="00716CE3"/>
    <w:rsid w:val="00720D08"/>
    <w:rsid w:val="007211F2"/>
    <w:rsid w:val="007214AC"/>
    <w:rsid w:val="00722184"/>
    <w:rsid w:val="007235DD"/>
    <w:rsid w:val="007242A2"/>
    <w:rsid w:val="00724CCA"/>
    <w:rsid w:val="007256BB"/>
    <w:rsid w:val="007263B9"/>
    <w:rsid w:val="00727E7F"/>
    <w:rsid w:val="00730565"/>
    <w:rsid w:val="007334F8"/>
    <w:rsid w:val="007339CD"/>
    <w:rsid w:val="00734548"/>
    <w:rsid w:val="007359D8"/>
    <w:rsid w:val="00735B91"/>
    <w:rsid w:val="007362D4"/>
    <w:rsid w:val="00736971"/>
    <w:rsid w:val="0073757D"/>
    <w:rsid w:val="007379D9"/>
    <w:rsid w:val="00740588"/>
    <w:rsid w:val="00740C7D"/>
    <w:rsid w:val="00740DF9"/>
    <w:rsid w:val="0074106E"/>
    <w:rsid w:val="00741617"/>
    <w:rsid w:val="007450E5"/>
    <w:rsid w:val="0074587C"/>
    <w:rsid w:val="007466F7"/>
    <w:rsid w:val="00747917"/>
    <w:rsid w:val="0075059D"/>
    <w:rsid w:val="0075068D"/>
    <w:rsid w:val="00751943"/>
    <w:rsid w:val="00751A23"/>
    <w:rsid w:val="00752387"/>
    <w:rsid w:val="007523D0"/>
    <w:rsid w:val="00752A36"/>
    <w:rsid w:val="007535A9"/>
    <w:rsid w:val="00754954"/>
    <w:rsid w:val="00755CA1"/>
    <w:rsid w:val="00756866"/>
    <w:rsid w:val="00756986"/>
    <w:rsid w:val="00761426"/>
    <w:rsid w:val="00761B52"/>
    <w:rsid w:val="00761F59"/>
    <w:rsid w:val="007626F0"/>
    <w:rsid w:val="00763CF1"/>
    <w:rsid w:val="0076486C"/>
    <w:rsid w:val="00765B0D"/>
    <w:rsid w:val="00765E1C"/>
    <w:rsid w:val="0076672A"/>
    <w:rsid w:val="007704FD"/>
    <w:rsid w:val="0077074D"/>
    <w:rsid w:val="00772BBB"/>
    <w:rsid w:val="007733A5"/>
    <w:rsid w:val="00775DF7"/>
    <w:rsid w:val="00775E45"/>
    <w:rsid w:val="00775FA0"/>
    <w:rsid w:val="00776E74"/>
    <w:rsid w:val="00781C2D"/>
    <w:rsid w:val="00783481"/>
    <w:rsid w:val="00783971"/>
    <w:rsid w:val="00785169"/>
    <w:rsid w:val="00785E66"/>
    <w:rsid w:val="0078704E"/>
    <w:rsid w:val="00793769"/>
    <w:rsid w:val="00794B70"/>
    <w:rsid w:val="007954AB"/>
    <w:rsid w:val="00795EA7"/>
    <w:rsid w:val="007A0839"/>
    <w:rsid w:val="007A0EEF"/>
    <w:rsid w:val="007A11BC"/>
    <w:rsid w:val="007A12B3"/>
    <w:rsid w:val="007A14C5"/>
    <w:rsid w:val="007A2002"/>
    <w:rsid w:val="007A2619"/>
    <w:rsid w:val="007A3E38"/>
    <w:rsid w:val="007A4A10"/>
    <w:rsid w:val="007A5062"/>
    <w:rsid w:val="007A7248"/>
    <w:rsid w:val="007B1760"/>
    <w:rsid w:val="007B1A2C"/>
    <w:rsid w:val="007B2B3F"/>
    <w:rsid w:val="007B3D03"/>
    <w:rsid w:val="007B5BE4"/>
    <w:rsid w:val="007B5C33"/>
    <w:rsid w:val="007B5E95"/>
    <w:rsid w:val="007C008F"/>
    <w:rsid w:val="007C62B1"/>
    <w:rsid w:val="007C6D9C"/>
    <w:rsid w:val="007C7DDB"/>
    <w:rsid w:val="007D0101"/>
    <w:rsid w:val="007D1A57"/>
    <w:rsid w:val="007D1D70"/>
    <w:rsid w:val="007D2CC7"/>
    <w:rsid w:val="007D2EB3"/>
    <w:rsid w:val="007D3350"/>
    <w:rsid w:val="007D3879"/>
    <w:rsid w:val="007D3AC5"/>
    <w:rsid w:val="007D525F"/>
    <w:rsid w:val="007D64DE"/>
    <w:rsid w:val="007D673D"/>
    <w:rsid w:val="007E35F8"/>
    <w:rsid w:val="007E36C6"/>
    <w:rsid w:val="007E630E"/>
    <w:rsid w:val="007F15D6"/>
    <w:rsid w:val="007F1E33"/>
    <w:rsid w:val="007F2220"/>
    <w:rsid w:val="007F4B3E"/>
    <w:rsid w:val="007F4C6D"/>
    <w:rsid w:val="007F4FDB"/>
    <w:rsid w:val="007F588A"/>
    <w:rsid w:val="007F5EFC"/>
    <w:rsid w:val="007F68E3"/>
    <w:rsid w:val="007F7606"/>
    <w:rsid w:val="007F78B2"/>
    <w:rsid w:val="008013AD"/>
    <w:rsid w:val="00801DB9"/>
    <w:rsid w:val="00804981"/>
    <w:rsid w:val="008066E9"/>
    <w:rsid w:val="00806D82"/>
    <w:rsid w:val="008078CD"/>
    <w:rsid w:val="00807E67"/>
    <w:rsid w:val="00807ED6"/>
    <w:rsid w:val="008127AF"/>
    <w:rsid w:val="00812B46"/>
    <w:rsid w:val="008137EB"/>
    <w:rsid w:val="00815700"/>
    <w:rsid w:val="00815D96"/>
    <w:rsid w:val="00816B7F"/>
    <w:rsid w:val="00816F40"/>
    <w:rsid w:val="00817B70"/>
    <w:rsid w:val="008201FA"/>
    <w:rsid w:val="00820584"/>
    <w:rsid w:val="00821E21"/>
    <w:rsid w:val="00822646"/>
    <w:rsid w:val="00822D29"/>
    <w:rsid w:val="00822DF5"/>
    <w:rsid w:val="00823055"/>
    <w:rsid w:val="0082476B"/>
    <w:rsid w:val="008248F3"/>
    <w:rsid w:val="008264EB"/>
    <w:rsid w:val="008269D8"/>
    <w:rsid w:val="00826B8F"/>
    <w:rsid w:val="00827473"/>
    <w:rsid w:val="00830D3C"/>
    <w:rsid w:val="00831E8A"/>
    <w:rsid w:val="00833A3E"/>
    <w:rsid w:val="008342DE"/>
    <w:rsid w:val="008347E4"/>
    <w:rsid w:val="008348CB"/>
    <w:rsid w:val="00834A7A"/>
    <w:rsid w:val="008359E1"/>
    <w:rsid w:val="00835C76"/>
    <w:rsid w:val="008376F6"/>
    <w:rsid w:val="008414C9"/>
    <w:rsid w:val="008417E4"/>
    <w:rsid w:val="00841A28"/>
    <w:rsid w:val="00843049"/>
    <w:rsid w:val="0084370A"/>
    <w:rsid w:val="00843773"/>
    <w:rsid w:val="00844DA1"/>
    <w:rsid w:val="008462A0"/>
    <w:rsid w:val="008462B0"/>
    <w:rsid w:val="0085122E"/>
    <w:rsid w:val="00851619"/>
    <w:rsid w:val="0085175B"/>
    <w:rsid w:val="0085209B"/>
    <w:rsid w:val="00852DB2"/>
    <w:rsid w:val="00854B80"/>
    <w:rsid w:val="00856B66"/>
    <w:rsid w:val="0086097A"/>
    <w:rsid w:val="00860B7C"/>
    <w:rsid w:val="00860C24"/>
    <w:rsid w:val="00861A5F"/>
    <w:rsid w:val="00861D74"/>
    <w:rsid w:val="0086239E"/>
    <w:rsid w:val="008644AD"/>
    <w:rsid w:val="00864999"/>
    <w:rsid w:val="008656B9"/>
    <w:rsid w:val="00865735"/>
    <w:rsid w:val="00865DDB"/>
    <w:rsid w:val="0086677E"/>
    <w:rsid w:val="00867447"/>
    <w:rsid w:val="00867538"/>
    <w:rsid w:val="00873C40"/>
    <w:rsid w:val="00873D90"/>
    <w:rsid w:val="00873FC8"/>
    <w:rsid w:val="00875845"/>
    <w:rsid w:val="0087669C"/>
    <w:rsid w:val="00877DB9"/>
    <w:rsid w:val="008804B9"/>
    <w:rsid w:val="00881C84"/>
    <w:rsid w:val="00883447"/>
    <w:rsid w:val="0088469C"/>
    <w:rsid w:val="00884C63"/>
    <w:rsid w:val="008856E8"/>
    <w:rsid w:val="00885904"/>
    <w:rsid w:val="00885908"/>
    <w:rsid w:val="0088623F"/>
    <w:rsid w:val="008864B7"/>
    <w:rsid w:val="00886996"/>
    <w:rsid w:val="00886D5F"/>
    <w:rsid w:val="00887843"/>
    <w:rsid w:val="00892137"/>
    <w:rsid w:val="0089677E"/>
    <w:rsid w:val="00896E4B"/>
    <w:rsid w:val="00896E8C"/>
    <w:rsid w:val="00897B6A"/>
    <w:rsid w:val="00897DA0"/>
    <w:rsid w:val="008A0382"/>
    <w:rsid w:val="008A0BCF"/>
    <w:rsid w:val="008A2EA5"/>
    <w:rsid w:val="008A43F0"/>
    <w:rsid w:val="008A445B"/>
    <w:rsid w:val="008A4466"/>
    <w:rsid w:val="008A4918"/>
    <w:rsid w:val="008A58AC"/>
    <w:rsid w:val="008A6256"/>
    <w:rsid w:val="008A7438"/>
    <w:rsid w:val="008A7B73"/>
    <w:rsid w:val="008B1334"/>
    <w:rsid w:val="008B151E"/>
    <w:rsid w:val="008B23E2"/>
    <w:rsid w:val="008B4136"/>
    <w:rsid w:val="008B48A4"/>
    <w:rsid w:val="008B7A02"/>
    <w:rsid w:val="008B7FE5"/>
    <w:rsid w:val="008C0278"/>
    <w:rsid w:val="008C0328"/>
    <w:rsid w:val="008C0F40"/>
    <w:rsid w:val="008C24E9"/>
    <w:rsid w:val="008C4C56"/>
    <w:rsid w:val="008D0533"/>
    <w:rsid w:val="008D3171"/>
    <w:rsid w:val="008D3B75"/>
    <w:rsid w:val="008D42CB"/>
    <w:rsid w:val="008D48C9"/>
    <w:rsid w:val="008D4A98"/>
    <w:rsid w:val="008D5B79"/>
    <w:rsid w:val="008D6381"/>
    <w:rsid w:val="008D6D88"/>
    <w:rsid w:val="008D7943"/>
    <w:rsid w:val="008E02A6"/>
    <w:rsid w:val="008E0C77"/>
    <w:rsid w:val="008E1423"/>
    <w:rsid w:val="008E4910"/>
    <w:rsid w:val="008E625F"/>
    <w:rsid w:val="008E6D78"/>
    <w:rsid w:val="008F015E"/>
    <w:rsid w:val="008F03BA"/>
    <w:rsid w:val="008F0E19"/>
    <w:rsid w:val="008F264D"/>
    <w:rsid w:val="008F509C"/>
    <w:rsid w:val="008F76BA"/>
    <w:rsid w:val="00901604"/>
    <w:rsid w:val="00901E71"/>
    <w:rsid w:val="009043B0"/>
    <w:rsid w:val="00904AC5"/>
    <w:rsid w:val="00904B36"/>
    <w:rsid w:val="00905560"/>
    <w:rsid w:val="009061C6"/>
    <w:rsid w:val="009074E1"/>
    <w:rsid w:val="009077F8"/>
    <w:rsid w:val="00910882"/>
    <w:rsid w:val="009112F7"/>
    <w:rsid w:val="0091155B"/>
    <w:rsid w:val="009122AF"/>
    <w:rsid w:val="009127BC"/>
    <w:rsid w:val="00912D54"/>
    <w:rsid w:val="00912FB0"/>
    <w:rsid w:val="009131E2"/>
    <w:rsid w:val="0091389F"/>
    <w:rsid w:val="00914B4E"/>
    <w:rsid w:val="00915498"/>
    <w:rsid w:val="009208F7"/>
    <w:rsid w:val="00922517"/>
    <w:rsid w:val="00922722"/>
    <w:rsid w:val="00924AFE"/>
    <w:rsid w:val="009261E6"/>
    <w:rsid w:val="009268E1"/>
    <w:rsid w:val="009269E6"/>
    <w:rsid w:val="00932819"/>
    <w:rsid w:val="00932BAF"/>
    <w:rsid w:val="00934368"/>
    <w:rsid w:val="00934CB1"/>
    <w:rsid w:val="009406B6"/>
    <w:rsid w:val="00945E7F"/>
    <w:rsid w:val="0094791B"/>
    <w:rsid w:val="00950944"/>
    <w:rsid w:val="009514ED"/>
    <w:rsid w:val="00951978"/>
    <w:rsid w:val="009520E5"/>
    <w:rsid w:val="0095220B"/>
    <w:rsid w:val="009547D5"/>
    <w:rsid w:val="0095547F"/>
    <w:rsid w:val="009557C1"/>
    <w:rsid w:val="00960D6E"/>
    <w:rsid w:val="00970F0E"/>
    <w:rsid w:val="00971994"/>
    <w:rsid w:val="00972AF2"/>
    <w:rsid w:val="00972BC1"/>
    <w:rsid w:val="00972E7E"/>
    <w:rsid w:val="009736FF"/>
    <w:rsid w:val="00974B59"/>
    <w:rsid w:val="009772BF"/>
    <w:rsid w:val="009811CF"/>
    <w:rsid w:val="00981B47"/>
    <w:rsid w:val="009822AC"/>
    <w:rsid w:val="00982DA3"/>
    <w:rsid w:val="0098340B"/>
    <w:rsid w:val="00986830"/>
    <w:rsid w:val="009902FC"/>
    <w:rsid w:val="009905FF"/>
    <w:rsid w:val="009924C3"/>
    <w:rsid w:val="00993102"/>
    <w:rsid w:val="00993CB6"/>
    <w:rsid w:val="00993F6D"/>
    <w:rsid w:val="00995036"/>
    <w:rsid w:val="00995352"/>
    <w:rsid w:val="00995F3C"/>
    <w:rsid w:val="009A79D8"/>
    <w:rsid w:val="009B1997"/>
    <w:rsid w:val="009B74B6"/>
    <w:rsid w:val="009B7646"/>
    <w:rsid w:val="009C1CF7"/>
    <w:rsid w:val="009C27E9"/>
    <w:rsid w:val="009C2BA2"/>
    <w:rsid w:val="009C2C95"/>
    <w:rsid w:val="009C4327"/>
    <w:rsid w:val="009C4A39"/>
    <w:rsid w:val="009C5BEE"/>
    <w:rsid w:val="009C5D33"/>
    <w:rsid w:val="009C6762"/>
    <w:rsid w:val="009C68AE"/>
    <w:rsid w:val="009C6F10"/>
    <w:rsid w:val="009C6FD8"/>
    <w:rsid w:val="009D148F"/>
    <w:rsid w:val="009D1E3E"/>
    <w:rsid w:val="009D2450"/>
    <w:rsid w:val="009D37B6"/>
    <w:rsid w:val="009D3D70"/>
    <w:rsid w:val="009D770A"/>
    <w:rsid w:val="009E067F"/>
    <w:rsid w:val="009E0E5C"/>
    <w:rsid w:val="009E11BC"/>
    <w:rsid w:val="009E1500"/>
    <w:rsid w:val="009E1ABE"/>
    <w:rsid w:val="009E34F7"/>
    <w:rsid w:val="009E380B"/>
    <w:rsid w:val="009E4A1B"/>
    <w:rsid w:val="009E6ADD"/>
    <w:rsid w:val="009E6F7E"/>
    <w:rsid w:val="009E7775"/>
    <w:rsid w:val="009E7A57"/>
    <w:rsid w:val="009F01F6"/>
    <w:rsid w:val="009F0D5C"/>
    <w:rsid w:val="009F3523"/>
    <w:rsid w:val="009F48A7"/>
    <w:rsid w:val="009F4F6A"/>
    <w:rsid w:val="009F5A6D"/>
    <w:rsid w:val="009F602E"/>
    <w:rsid w:val="00A02E0D"/>
    <w:rsid w:val="00A0362E"/>
    <w:rsid w:val="00A04084"/>
    <w:rsid w:val="00A067DF"/>
    <w:rsid w:val="00A07DA6"/>
    <w:rsid w:val="00A07FCF"/>
    <w:rsid w:val="00A11273"/>
    <w:rsid w:val="00A12871"/>
    <w:rsid w:val="00A16207"/>
    <w:rsid w:val="00A16E36"/>
    <w:rsid w:val="00A20A80"/>
    <w:rsid w:val="00A23AC4"/>
    <w:rsid w:val="00A23CDE"/>
    <w:rsid w:val="00A2495E"/>
    <w:rsid w:val="00A24961"/>
    <w:rsid w:val="00A24A42"/>
    <w:rsid w:val="00A24B10"/>
    <w:rsid w:val="00A24B44"/>
    <w:rsid w:val="00A258A9"/>
    <w:rsid w:val="00A25ABF"/>
    <w:rsid w:val="00A30282"/>
    <w:rsid w:val="00A30E9B"/>
    <w:rsid w:val="00A3109B"/>
    <w:rsid w:val="00A32161"/>
    <w:rsid w:val="00A3737E"/>
    <w:rsid w:val="00A40C7C"/>
    <w:rsid w:val="00A4512D"/>
    <w:rsid w:val="00A45BE9"/>
    <w:rsid w:val="00A50244"/>
    <w:rsid w:val="00A51B6B"/>
    <w:rsid w:val="00A5268D"/>
    <w:rsid w:val="00A52A8B"/>
    <w:rsid w:val="00A55206"/>
    <w:rsid w:val="00A5660B"/>
    <w:rsid w:val="00A56CF2"/>
    <w:rsid w:val="00A56F17"/>
    <w:rsid w:val="00A60A90"/>
    <w:rsid w:val="00A627D7"/>
    <w:rsid w:val="00A64BA1"/>
    <w:rsid w:val="00A656C7"/>
    <w:rsid w:val="00A6618D"/>
    <w:rsid w:val="00A679D9"/>
    <w:rsid w:val="00A705AF"/>
    <w:rsid w:val="00A70894"/>
    <w:rsid w:val="00A72454"/>
    <w:rsid w:val="00A724B6"/>
    <w:rsid w:val="00A74345"/>
    <w:rsid w:val="00A74417"/>
    <w:rsid w:val="00A74841"/>
    <w:rsid w:val="00A75603"/>
    <w:rsid w:val="00A77696"/>
    <w:rsid w:val="00A80557"/>
    <w:rsid w:val="00A80A46"/>
    <w:rsid w:val="00A80FEE"/>
    <w:rsid w:val="00A8181C"/>
    <w:rsid w:val="00A81D33"/>
    <w:rsid w:val="00A81F58"/>
    <w:rsid w:val="00A82658"/>
    <w:rsid w:val="00A843B6"/>
    <w:rsid w:val="00A84656"/>
    <w:rsid w:val="00A85C64"/>
    <w:rsid w:val="00A867AD"/>
    <w:rsid w:val="00A870B8"/>
    <w:rsid w:val="00A87764"/>
    <w:rsid w:val="00A87FAD"/>
    <w:rsid w:val="00A90C1A"/>
    <w:rsid w:val="00A90C35"/>
    <w:rsid w:val="00A90FA3"/>
    <w:rsid w:val="00A930AE"/>
    <w:rsid w:val="00A97ABC"/>
    <w:rsid w:val="00AA027F"/>
    <w:rsid w:val="00AA0703"/>
    <w:rsid w:val="00AA1A95"/>
    <w:rsid w:val="00AA260F"/>
    <w:rsid w:val="00AA3889"/>
    <w:rsid w:val="00AA4113"/>
    <w:rsid w:val="00AA4EC8"/>
    <w:rsid w:val="00AB1EE7"/>
    <w:rsid w:val="00AB2BBC"/>
    <w:rsid w:val="00AB4B37"/>
    <w:rsid w:val="00AB4E4F"/>
    <w:rsid w:val="00AB5720"/>
    <w:rsid w:val="00AB5762"/>
    <w:rsid w:val="00AB70B2"/>
    <w:rsid w:val="00AC03D7"/>
    <w:rsid w:val="00AC0604"/>
    <w:rsid w:val="00AC0FB1"/>
    <w:rsid w:val="00AC19F5"/>
    <w:rsid w:val="00AC1D84"/>
    <w:rsid w:val="00AC2679"/>
    <w:rsid w:val="00AC3498"/>
    <w:rsid w:val="00AC4BE4"/>
    <w:rsid w:val="00AC6BF9"/>
    <w:rsid w:val="00AC738C"/>
    <w:rsid w:val="00AD05E6"/>
    <w:rsid w:val="00AD0BBE"/>
    <w:rsid w:val="00AD0D3F"/>
    <w:rsid w:val="00AD1C5A"/>
    <w:rsid w:val="00AD234D"/>
    <w:rsid w:val="00AD2C0C"/>
    <w:rsid w:val="00AD4A24"/>
    <w:rsid w:val="00AD5C8A"/>
    <w:rsid w:val="00AD7D22"/>
    <w:rsid w:val="00AE194A"/>
    <w:rsid w:val="00AE1CB1"/>
    <w:rsid w:val="00AE1D7D"/>
    <w:rsid w:val="00AE256E"/>
    <w:rsid w:val="00AE2692"/>
    <w:rsid w:val="00AE2A8B"/>
    <w:rsid w:val="00AE320D"/>
    <w:rsid w:val="00AE3703"/>
    <w:rsid w:val="00AE3BBD"/>
    <w:rsid w:val="00AE3F64"/>
    <w:rsid w:val="00AF1747"/>
    <w:rsid w:val="00AF36C0"/>
    <w:rsid w:val="00AF546B"/>
    <w:rsid w:val="00AF6E8A"/>
    <w:rsid w:val="00AF7386"/>
    <w:rsid w:val="00AF7934"/>
    <w:rsid w:val="00B00B81"/>
    <w:rsid w:val="00B0312D"/>
    <w:rsid w:val="00B04580"/>
    <w:rsid w:val="00B04B09"/>
    <w:rsid w:val="00B05E03"/>
    <w:rsid w:val="00B07180"/>
    <w:rsid w:val="00B145EE"/>
    <w:rsid w:val="00B14C55"/>
    <w:rsid w:val="00B15AEF"/>
    <w:rsid w:val="00B15F8C"/>
    <w:rsid w:val="00B16A51"/>
    <w:rsid w:val="00B16FF6"/>
    <w:rsid w:val="00B1762E"/>
    <w:rsid w:val="00B17796"/>
    <w:rsid w:val="00B20A24"/>
    <w:rsid w:val="00B25440"/>
    <w:rsid w:val="00B2619D"/>
    <w:rsid w:val="00B313E9"/>
    <w:rsid w:val="00B32222"/>
    <w:rsid w:val="00B32853"/>
    <w:rsid w:val="00B338C6"/>
    <w:rsid w:val="00B34827"/>
    <w:rsid w:val="00B3618D"/>
    <w:rsid w:val="00B36233"/>
    <w:rsid w:val="00B36437"/>
    <w:rsid w:val="00B37854"/>
    <w:rsid w:val="00B37FCA"/>
    <w:rsid w:val="00B42851"/>
    <w:rsid w:val="00B43FB9"/>
    <w:rsid w:val="00B44BA4"/>
    <w:rsid w:val="00B44E92"/>
    <w:rsid w:val="00B45850"/>
    <w:rsid w:val="00B45AC7"/>
    <w:rsid w:val="00B45DAE"/>
    <w:rsid w:val="00B47C42"/>
    <w:rsid w:val="00B509E1"/>
    <w:rsid w:val="00B510BC"/>
    <w:rsid w:val="00B5372F"/>
    <w:rsid w:val="00B53E7C"/>
    <w:rsid w:val="00B54C27"/>
    <w:rsid w:val="00B56062"/>
    <w:rsid w:val="00B5717A"/>
    <w:rsid w:val="00B604BD"/>
    <w:rsid w:val="00B60C59"/>
    <w:rsid w:val="00B61129"/>
    <w:rsid w:val="00B65025"/>
    <w:rsid w:val="00B66B52"/>
    <w:rsid w:val="00B67385"/>
    <w:rsid w:val="00B67396"/>
    <w:rsid w:val="00B67727"/>
    <w:rsid w:val="00B67E28"/>
    <w:rsid w:val="00B67E7F"/>
    <w:rsid w:val="00B71505"/>
    <w:rsid w:val="00B7256F"/>
    <w:rsid w:val="00B72777"/>
    <w:rsid w:val="00B74855"/>
    <w:rsid w:val="00B751AD"/>
    <w:rsid w:val="00B75632"/>
    <w:rsid w:val="00B75A04"/>
    <w:rsid w:val="00B80E56"/>
    <w:rsid w:val="00B839B2"/>
    <w:rsid w:val="00B8618A"/>
    <w:rsid w:val="00B8625A"/>
    <w:rsid w:val="00B86E3E"/>
    <w:rsid w:val="00B872C0"/>
    <w:rsid w:val="00B87903"/>
    <w:rsid w:val="00B94252"/>
    <w:rsid w:val="00B95E0F"/>
    <w:rsid w:val="00B9715A"/>
    <w:rsid w:val="00BA08C8"/>
    <w:rsid w:val="00BA14BE"/>
    <w:rsid w:val="00BA23FC"/>
    <w:rsid w:val="00BA2732"/>
    <w:rsid w:val="00BA293D"/>
    <w:rsid w:val="00BA2995"/>
    <w:rsid w:val="00BA2A12"/>
    <w:rsid w:val="00BA2C0F"/>
    <w:rsid w:val="00BA2C89"/>
    <w:rsid w:val="00BA34D6"/>
    <w:rsid w:val="00BA3790"/>
    <w:rsid w:val="00BA389F"/>
    <w:rsid w:val="00BA39B7"/>
    <w:rsid w:val="00BA49BC"/>
    <w:rsid w:val="00BA4AF8"/>
    <w:rsid w:val="00BA56B7"/>
    <w:rsid w:val="00BA66B1"/>
    <w:rsid w:val="00BA78C5"/>
    <w:rsid w:val="00BA7A1E"/>
    <w:rsid w:val="00BA7CA9"/>
    <w:rsid w:val="00BB0A3E"/>
    <w:rsid w:val="00BB2F69"/>
    <w:rsid w:val="00BB2F6C"/>
    <w:rsid w:val="00BB3829"/>
    <w:rsid w:val="00BB3875"/>
    <w:rsid w:val="00BB5860"/>
    <w:rsid w:val="00BB6050"/>
    <w:rsid w:val="00BB6AAD"/>
    <w:rsid w:val="00BB7997"/>
    <w:rsid w:val="00BB7A50"/>
    <w:rsid w:val="00BC16CB"/>
    <w:rsid w:val="00BC4A19"/>
    <w:rsid w:val="00BC4E6D"/>
    <w:rsid w:val="00BD0617"/>
    <w:rsid w:val="00BD085F"/>
    <w:rsid w:val="00BD17D8"/>
    <w:rsid w:val="00BD2E9B"/>
    <w:rsid w:val="00BD4116"/>
    <w:rsid w:val="00BD4B9F"/>
    <w:rsid w:val="00BD4DF3"/>
    <w:rsid w:val="00BE04FC"/>
    <w:rsid w:val="00BE08F8"/>
    <w:rsid w:val="00BE0A1B"/>
    <w:rsid w:val="00BE0C34"/>
    <w:rsid w:val="00BE32E5"/>
    <w:rsid w:val="00BE3E69"/>
    <w:rsid w:val="00BE6F7D"/>
    <w:rsid w:val="00BE735D"/>
    <w:rsid w:val="00BE7429"/>
    <w:rsid w:val="00BE780F"/>
    <w:rsid w:val="00BF0D80"/>
    <w:rsid w:val="00BF0FBA"/>
    <w:rsid w:val="00BF260A"/>
    <w:rsid w:val="00BF4CC4"/>
    <w:rsid w:val="00BF5827"/>
    <w:rsid w:val="00BF66D8"/>
    <w:rsid w:val="00BF6812"/>
    <w:rsid w:val="00BF6890"/>
    <w:rsid w:val="00BF69FD"/>
    <w:rsid w:val="00BF7AD7"/>
    <w:rsid w:val="00C00099"/>
    <w:rsid w:val="00C002A5"/>
    <w:rsid w:val="00C00930"/>
    <w:rsid w:val="00C01899"/>
    <w:rsid w:val="00C02076"/>
    <w:rsid w:val="00C02129"/>
    <w:rsid w:val="00C02428"/>
    <w:rsid w:val="00C03742"/>
    <w:rsid w:val="00C05FB5"/>
    <w:rsid w:val="00C0601F"/>
    <w:rsid w:val="00C060AD"/>
    <w:rsid w:val="00C0670D"/>
    <w:rsid w:val="00C0742F"/>
    <w:rsid w:val="00C10C82"/>
    <w:rsid w:val="00C113BF"/>
    <w:rsid w:val="00C14605"/>
    <w:rsid w:val="00C17324"/>
    <w:rsid w:val="00C17BEF"/>
    <w:rsid w:val="00C2135B"/>
    <w:rsid w:val="00C2176E"/>
    <w:rsid w:val="00C224B4"/>
    <w:rsid w:val="00C23430"/>
    <w:rsid w:val="00C23BA7"/>
    <w:rsid w:val="00C24532"/>
    <w:rsid w:val="00C24888"/>
    <w:rsid w:val="00C24986"/>
    <w:rsid w:val="00C25A69"/>
    <w:rsid w:val="00C25FC9"/>
    <w:rsid w:val="00C26134"/>
    <w:rsid w:val="00C26568"/>
    <w:rsid w:val="00C27D67"/>
    <w:rsid w:val="00C30EB4"/>
    <w:rsid w:val="00C34C23"/>
    <w:rsid w:val="00C40393"/>
    <w:rsid w:val="00C40E1B"/>
    <w:rsid w:val="00C4221E"/>
    <w:rsid w:val="00C4631F"/>
    <w:rsid w:val="00C46E60"/>
    <w:rsid w:val="00C47DEA"/>
    <w:rsid w:val="00C50E16"/>
    <w:rsid w:val="00C52288"/>
    <w:rsid w:val="00C53A51"/>
    <w:rsid w:val="00C551AE"/>
    <w:rsid w:val="00C55258"/>
    <w:rsid w:val="00C566F8"/>
    <w:rsid w:val="00C60865"/>
    <w:rsid w:val="00C60DB7"/>
    <w:rsid w:val="00C61FAA"/>
    <w:rsid w:val="00C6232A"/>
    <w:rsid w:val="00C623BC"/>
    <w:rsid w:val="00C63957"/>
    <w:rsid w:val="00C65FE8"/>
    <w:rsid w:val="00C702CB"/>
    <w:rsid w:val="00C707E1"/>
    <w:rsid w:val="00C716C1"/>
    <w:rsid w:val="00C7262F"/>
    <w:rsid w:val="00C74D01"/>
    <w:rsid w:val="00C75748"/>
    <w:rsid w:val="00C75CAF"/>
    <w:rsid w:val="00C80F41"/>
    <w:rsid w:val="00C8122C"/>
    <w:rsid w:val="00C82EEB"/>
    <w:rsid w:val="00C86554"/>
    <w:rsid w:val="00C86E0D"/>
    <w:rsid w:val="00C9410D"/>
    <w:rsid w:val="00C94303"/>
    <w:rsid w:val="00C94E3F"/>
    <w:rsid w:val="00C96C2B"/>
    <w:rsid w:val="00C971DC"/>
    <w:rsid w:val="00C9786F"/>
    <w:rsid w:val="00C97FA9"/>
    <w:rsid w:val="00CA16B7"/>
    <w:rsid w:val="00CA24FB"/>
    <w:rsid w:val="00CA2CDA"/>
    <w:rsid w:val="00CA36C9"/>
    <w:rsid w:val="00CA4BE3"/>
    <w:rsid w:val="00CA55AD"/>
    <w:rsid w:val="00CA5756"/>
    <w:rsid w:val="00CA62AE"/>
    <w:rsid w:val="00CA7398"/>
    <w:rsid w:val="00CA7747"/>
    <w:rsid w:val="00CB2062"/>
    <w:rsid w:val="00CB4FE5"/>
    <w:rsid w:val="00CB5B1A"/>
    <w:rsid w:val="00CB656B"/>
    <w:rsid w:val="00CB6B15"/>
    <w:rsid w:val="00CC16B7"/>
    <w:rsid w:val="00CC1725"/>
    <w:rsid w:val="00CC1C10"/>
    <w:rsid w:val="00CC220B"/>
    <w:rsid w:val="00CC2B47"/>
    <w:rsid w:val="00CC36E3"/>
    <w:rsid w:val="00CC52E0"/>
    <w:rsid w:val="00CC5C43"/>
    <w:rsid w:val="00CC6187"/>
    <w:rsid w:val="00CC67AD"/>
    <w:rsid w:val="00CC7A33"/>
    <w:rsid w:val="00CD02AE"/>
    <w:rsid w:val="00CD19FE"/>
    <w:rsid w:val="00CD2A4F"/>
    <w:rsid w:val="00CD42C3"/>
    <w:rsid w:val="00CD53A5"/>
    <w:rsid w:val="00CD542F"/>
    <w:rsid w:val="00CD7993"/>
    <w:rsid w:val="00CE03CA"/>
    <w:rsid w:val="00CE1A91"/>
    <w:rsid w:val="00CE22B9"/>
    <w:rsid w:val="00CE22F1"/>
    <w:rsid w:val="00CE33F6"/>
    <w:rsid w:val="00CE4A31"/>
    <w:rsid w:val="00CE50F2"/>
    <w:rsid w:val="00CE6022"/>
    <w:rsid w:val="00CE619E"/>
    <w:rsid w:val="00CE6502"/>
    <w:rsid w:val="00CF0BF8"/>
    <w:rsid w:val="00CF3197"/>
    <w:rsid w:val="00CF3E2E"/>
    <w:rsid w:val="00CF42A1"/>
    <w:rsid w:val="00CF4542"/>
    <w:rsid w:val="00CF7D3C"/>
    <w:rsid w:val="00D0035D"/>
    <w:rsid w:val="00D02060"/>
    <w:rsid w:val="00D02C63"/>
    <w:rsid w:val="00D03933"/>
    <w:rsid w:val="00D03C44"/>
    <w:rsid w:val="00D05C13"/>
    <w:rsid w:val="00D11CA9"/>
    <w:rsid w:val="00D1309A"/>
    <w:rsid w:val="00D147EB"/>
    <w:rsid w:val="00D15C76"/>
    <w:rsid w:val="00D166E8"/>
    <w:rsid w:val="00D21050"/>
    <w:rsid w:val="00D23B9C"/>
    <w:rsid w:val="00D2655E"/>
    <w:rsid w:val="00D26A03"/>
    <w:rsid w:val="00D3105E"/>
    <w:rsid w:val="00D32DEE"/>
    <w:rsid w:val="00D33498"/>
    <w:rsid w:val="00D34667"/>
    <w:rsid w:val="00D351E4"/>
    <w:rsid w:val="00D362A7"/>
    <w:rsid w:val="00D368B0"/>
    <w:rsid w:val="00D374F0"/>
    <w:rsid w:val="00D401E1"/>
    <w:rsid w:val="00D408B4"/>
    <w:rsid w:val="00D41278"/>
    <w:rsid w:val="00D423B1"/>
    <w:rsid w:val="00D42CD4"/>
    <w:rsid w:val="00D43211"/>
    <w:rsid w:val="00D43DA1"/>
    <w:rsid w:val="00D45D94"/>
    <w:rsid w:val="00D46114"/>
    <w:rsid w:val="00D47964"/>
    <w:rsid w:val="00D50036"/>
    <w:rsid w:val="00D5066C"/>
    <w:rsid w:val="00D50DDE"/>
    <w:rsid w:val="00D524C8"/>
    <w:rsid w:val="00D530E8"/>
    <w:rsid w:val="00D5468F"/>
    <w:rsid w:val="00D55F49"/>
    <w:rsid w:val="00D57938"/>
    <w:rsid w:val="00D60E25"/>
    <w:rsid w:val="00D6118E"/>
    <w:rsid w:val="00D6226A"/>
    <w:rsid w:val="00D62B2D"/>
    <w:rsid w:val="00D63907"/>
    <w:rsid w:val="00D67AB5"/>
    <w:rsid w:val="00D70E24"/>
    <w:rsid w:val="00D72B61"/>
    <w:rsid w:val="00D7321C"/>
    <w:rsid w:val="00D750C1"/>
    <w:rsid w:val="00D75832"/>
    <w:rsid w:val="00D7703F"/>
    <w:rsid w:val="00D7743C"/>
    <w:rsid w:val="00D77736"/>
    <w:rsid w:val="00D77C00"/>
    <w:rsid w:val="00D8135B"/>
    <w:rsid w:val="00D81A5A"/>
    <w:rsid w:val="00D81D6A"/>
    <w:rsid w:val="00D826CC"/>
    <w:rsid w:val="00D84883"/>
    <w:rsid w:val="00D90637"/>
    <w:rsid w:val="00D9175D"/>
    <w:rsid w:val="00D94B01"/>
    <w:rsid w:val="00D95E0B"/>
    <w:rsid w:val="00D970B9"/>
    <w:rsid w:val="00D97101"/>
    <w:rsid w:val="00D97322"/>
    <w:rsid w:val="00D97BCC"/>
    <w:rsid w:val="00DA3D1D"/>
    <w:rsid w:val="00DA5C0A"/>
    <w:rsid w:val="00DA5C20"/>
    <w:rsid w:val="00DA6738"/>
    <w:rsid w:val="00DA7741"/>
    <w:rsid w:val="00DA78BD"/>
    <w:rsid w:val="00DA7F34"/>
    <w:rsid w:val="00DB0138"/>
    <w:rsid w:val="00DB0B4A"/>
    <w:rsid w:val="00DB1B46"/>
    <w:rsid w:val="00DB2A37"/>
    <w:rsid w:val="00DB3231"/>
    <w:rsid w:val="00DB36BD"/>
    <w:rsid w:val="00DB465C"/>
    <w:rsid w:val="00DB6286"/>
    <w:rsid w:val="00DB645F"/>
    <w:rsid w:val="00DB68FE"/>
    <w:rsid w:val="00DB6C00"/>
    <w:rsid w:val="00DB6FD6"/>
    <w:rsid w:val="00DB76E9"/>
    <w:rsid w:val="00DB7711"/>
    <w:rsid w:val="00DC0A67"/>
    <w:rsid w:val="00DC1D5E"/>
    <w:rsid w:val="00DC1FE4"/>
    <w:rsid w:val="00DC2313"/>
    <w:rsid w:val="00DC2642"/>
    <w:rsid w:val="00DC35EF"/>
    <w:rsid w:val="00DC38DD"/>
    <w:rsid w:val="00DC3D37"/>
    <w:rsid w:val="00DC5220"/>
    <w:rsid w:val="00DC5EAE"/>
    <w:rsid w:val="00DC6A52"/>
    <w:rsid w:val="00DC7910"/>
    <w:rsid w:val="00DD0860"/>
    <w:rsid w:val="00DD2061"/>
    <w:rsid w:val="00DD2DD3"/>
    <w:rsid w:val="00DD2DE3"/>
    <w:rsid w:val="00DD4DC0"/>
    <w:rsid w:val="00DD6E13"/>
    <w:rsid w:val="00DD74FE"/>
    <w:rsid w:val="00DD7DAB"/>
    <w:rsid w:val="00DE2E40"/>
    <w:rsid w:val="00DE3355"/>
    <w:rsid w:val="00DE3D76"/>
    <w:rsid w:val="00DE465E"/>
    <w:rsid w:val="00DE504C"/>
    <w:rsid w:val="00DE57C1"/>
    <w:rsid w:val="00DE5AD9"/>
    <w:rsid w:val="00DE5B9E"/>
    <w:rsid w:val="00DE75AC"/>
    <w:rsid w:val="00DE767D"/>
    <w:rsid w:val="00DE7C4A"/>
    <w:rsid w:val="00DF07EC"/>
    <w:rsid w:val="00DF1C51"/>
    <w:rsid w:val="00DF3E31"/>
    <w:rsid w:val="00DF486F"/>
    <w:rsid w:val="00DF5B5B"/>
    <w:rsid w:val="00DF5BF2"/>
    <w:rsid w:val="00DF62FE"/>
    <w:rsid w:val="00DF7619"/>
    <w:rsid w:val="00E008FB"/>
    <w:rsid w:val="00E008FC"/>
    <w:rsid w:val="00E013D8"/>
    <w:rsid w:val="00E042D8"/>
    <w:rsid w:val="00E04343"/>
    <w:rsid w:val="00E079FA"/>
    <w:rsid w:val="00E07AA0"/>
    <w:rsid w:val="00E07EE7"/>
    <w:rsid w:val="00E105D0"/>
    <w:rsid w:val="00E1103B"/>
    <w:rsid w:val="00E110C3"/>
    <w:rsid w:val="00E117D4"/>
    <w:rsid w:val="00E11AFC"/>
    <w:rsid w:val="00E11D80"/>
    <w:rsid w:val="00E14CE7"/>
    <w:rsid w:val="00E15849"/>
    <w:rsid w:val="00E16600"/>
    <w:rsid w:val="00E176AE"/>
    <w:rsid w:val="00E17B44"/>
    <w:rsid w:val="00E20896"/>
    <w:rsid w:val="00E27FEA"/>
    <w:rsid w:val="00E32B08"/>
    <w:rsid w:val="00E335FD"/>
    <w:rsid w:val="00E34F66"/>
    <w:rsid w:val="00E37D2D"/>
    <w:rsid w:val="00E40084"/>
    <w:rsid w:val="00E4086F"/>
    <w:rsid w:val="00E409C1"/>
    <w:rsid w:val="00E410A6"/>
    <w:rsid w:val="00E415D4"/>
    <w:rsid w:val="00E41A25"/>
    <w:rsid w:val="00E41C5E"/>
    <w:rsid w:val="00E43B3C"/>
    <w:rsid w:val="00E44A1C"/>
    <w:rsid w:val="00E465D1"/>
    <w:rsid w:val="00E50188"/>
    <w:rsid w:val="00E50BBF"/>
    <w:rsid w:val="00E515CB"/>
    <w:rsid w:val="00E52260"/>
    <w:rsid w:val="00E52B18"/>
    <w:rsid w:val="00E5414C"/>
    <w:rsid w:val="00E55824"/>
    <w:rsid w:val="00E55FD5"/>
    <w:rsid w:val="00E570BB"/>
    <w:rsid w:val="00E633D7"/>
    <w:rsid w:val="00E639B6"/>
    <w:rsid w:val="00E6434B"/>
    <w:rsid w:val="00E6463D"/>
    <w:rsid w:val="00E66E7E"/>
    <w:rsid w:val="00E67185"/>
    <w:rsid w:val="00E70188"/>
    <w:rsid w:val="00E70814"/>
    <w:rsid w:val="00E70F63"/>
    <w:rsid w:val="00E717EE"/>
    <w:rsid w:val="00E72A8D"/>
    <w:rsid w:val="00E72E9B"/>
    <w:rsid w:val="00E74AE4"/>
    <w:rsid w:val="00E756C6"/>
    <w:rsid w:val="00E76C45"/>
    <w:rsid w:val="00E76D18"/>
    <w:rsid w:val="00E8044A"/>
    <w:rsid w:val="00E806D8"/>
    <w:rsid w:val="00E81032"/>
    <w:rsid w:val="00E8247E"/>
    <w:rsid w:val="00E828E3"/>
    <w:rsid w:val="00E836D2"/>
    <w:rsid w:val="00E83830"/>
    <w:rsid w:val="00E849DA"/>
    <w:rsid w:val="00E8798F"/>
    <w:rsid w:val="00E91BB3"/>
    <w:rsid w:val="00E9462E"/>
    <w:rsid w:val="00E97F25"/>
    <w:rsid w:val="00EA03D7"/>
    <w:rsid w:val="00EA0BF9"/>
    <w:rsid w:val="00EA1AF5"/>
    <w:rsid w:val="00EA1DA0"/>
    <w:rsid w:val="00EA2446"/>
    <w:rsid w:val="00EA3EB9"/>
    <w:rsid w:val="00EA4200"/>
    <w:rsid w:val="00EA470E"/>
    <w:rsid w:val="00EA47A7"/>
    <w:rsid w:val="00EA5448"/>
    <w:rsid w:val="00EA57EB"/>
    <w:rsid w:val="00EA6CEA"/>
    <w:rsid w:val="00EA78CC"/>
    <w:rsid w:val="00EB0350"/>
    <w:rsid w:val="00EB30CD"/>
    <w:rsid w:val="00EB3226"/>
    <w:rsid w:val="00EB4642"/>
    <w:rsid w:val="00EB48C6"/>
    <w:rsid w:val="00EB5C46"/>
    <w:rsid w:val="00EB6B68"/>
    <w:rsid w:val="00EB6DA7"/>
    <w:rsid w:val="00EC213A"/>
    <w:rsid w:val="00EC40D6"/>
    <w:rsid w:val="00EC48B0"/>
    <w:rsid w:val="00EC5943"/>
    <w:rsid w:val="00EC605A"/>
    <w:rsid w:val="00EC62F1"/>
    <w:rsid w:val="00EC6603"/>
    <w:rsid w:val="00EC7744"/>
    <w:rsid w:val="00ED0DAD"/>
    <w:rsid w:val="00ED0F46"/>
    <w:rsid w:val="00ED1D82"/>
    <w:rsid w:val="00ED1F60"/>
    <w:rsid w:val="00ED2373"/>
    <w:rsid w:val="00ED2405"/>
    <w:rsid w:val="00ED3696"/>
    <w:rsid w:val="00ED4C17"/>
    <w:rsid w:val="00ED5466"/>
    <w:rsid w:val="00ED5739"/>
    <w:rsid w:val="00ED5B74"/>
    <w:rsid w:val="00ED6394"/>
    <w:rsid w:val="00EE21F6"/>
    <w:rsid w:val="00EE3499"/>
    <w:rsid w:val="00EE3514"/>
    <w:rsid w:val="00EE358B"/>
    <w:rsid w:val="00EE3E8A"/>
    <w:rsid w:val="00EE51B5"/>
    <w:rsid w:val="00EE58B0"/>
    <w:rsid w:val="00EE59B9"/>
    <w:rsid w:val="00EE5ADE"/>
    <w:rsid w:val="00EE60DE"/>
    <w:rsid w:val="00EE7583"/>
    <w:rsid w:val="00EF6CDA"/>
    <w:rsid w:val="00EF6ECA"/>
    <w:rsid w:val="00F0057A"/>
    <w:rsid w:val="00F005C9"/>
    <w:rsid w:val="00F024E1"/>
    <w:rsid w:val="00F03664"/>
    <w:rsid w:val="00F04245"/>
    <w:rsid w:val="00F049F6"/>
    <w:rsid w:val="00F04E20"/>
    <w:rsid w:val="00F055F1"/>
    <w:rsid w:val="00F06083"/>
    <w:rsid w:val="00F0668B"/>
    <w:rsid w:val="00F06C10"/>
    <w:rsid w:val="00F072B9"/>
    <w:rsid w:val="00F1096F"/>
    <w:rsid w:val="00F10A0E"/>
    <w:rsid w:val="00F12589"/>
    <w:rsid w:val="00F12595"/>
    <w:rsid w:val="00F1278D"/>
    <w:rsid w:val="00F12944"/>
    <w:rsid w:val="00F134D9"/>
    <w:rsid w:val="00F1403D"/>
    <w:rsid w:val="00F14388"/>
    <w:rsid w:val="00F1463F"/>
    <w:rsid w:val="00F16206"/>
    <w:rsid w:val="00F16BFC"/>
    <w:rsid w:val="00F20510"/>
    <w:rsid w:val="00F2107C"/>
    <w:rsid w:val="00F211B7"/>
    <w:rsid w:val="00F21302"/>
    <w:rsid w:val="00F2262E"/>
    <w:rsid w:val="00F22A77"/>
    <w:rsid w:val="00F22DA4"/>
    <w:rsid w:val="00F23437"/>
    <w:rsid w:val="00F2429E"/>
    <w:rsid w:val="00F247D8"/>
    <w:rsid w:val="00F25D51"/>
    <w:rsid w:val="00F26FC8"/>
    <w:rsid w:val="00F271BD"/>
    <w:rsid w:val="00F321DE"/>
    <w:rsid w:val="00F32733"/>
    <w:rsid w:val="00F33777"/>
    <w:rsid w:val="00F337D0"/>
    <w:rsid w:val="00F34745"/>
    <w:rsid w:val="00F349C4"/>
    <w:rsid w:val="00F3536C"/>
    <w:rsid w:val="00F3671A"/>
    <w:rsid w:val="00F40648"/>
    <w:rsid w:val="00F40EBE"/>
    <w:rsid w:val="00F42328"/>
    <w:rsid w:val="00F42F91"/>
    <w:rsid w:val="00F447FD"/>
    <w:rsid w:val="00F44ADE"/>
    <w:rsid w:val="00F46A2D"/>
    <w:rsid w:val="00F47DA2"/>
    <w:rsid w:val="00F501B1"/>
    <w:rsid w:val="00F509B8"/>
    <w:rsid w:val="00F50B6A"/>
    <w:rsid w:val="00F51237"/>
    <w:rsid w:val="00F515FE"/>
    <w:rsid w:val="00F519FC"/>
    <w:rsid w:val="00F52396"/>
    <w:rsid w:val="00F54387"/>
    <w:rsid w:val="00F55021"/>
    <w:rsid w:val="00F55278"/>
    <w:rsid w:val="00F60FA0"/>
    <w:rsid w:val="00F6239D"/>
    <w:rsid w:val="00F626AB"/>
    <w:rsid w:val="00F64831"/>
    <w:rsid w:val="00F65112"/>
    <w:rsid w:val="00F651FE"/>
    <w:rsid w:val="00F6553D"/>
    <w:rsid w:val="00F66C5E"/>
    <w:rsid w:val="00F715D2"/>
    <w:rsid w:val="00F72056"/>
    <w:rsid w:val="00F7274F"/>
    <w:rsid w:val="00F73227"/>
    <w:rsid w:val="00F7439F"/>
    <w:rsid w:val="00F74DFF"/>
    <w:rsid w:val="00F760E3"/>
    <w:rsid w:val="00F76FA8"/>
    <w:rsid w:val="00F77098"/>
    <w:rsid w:val="00F77E3F"/>
    <w:rsid w:val="00F84283"/>
    <w:rsid w:val="00F86FB3"/>
    <w:rsid w:val="00F878AA"/>
    <w:rsid w:val="00F910D0"/>
    <w:rsid w:val="00F912A1"/>
    <w:rsid w:val="00F91565"/>
    <w:rsid w:val="00F915E5"/>
    <w:rsid w:val="00F92610"/>
    <w:rsid w:val="00F939E0"/>
    <w:rsid w:val="00F93E38"/>
    <w:rsid w:val="00F93F08"/>
    <w:rsid w:val="00F941BC"/>
    <w:rsid w:val="00F945A5"/>
    <w:rsid w:val="00F94B7C"/>
    <w:rsid w:val="00F94B8C"/>
    <w:rsid w:val="00F94CED"/>
    <w:rsid w:val="00F95460"/>
    <w:rsid w:val="00F96347"/>
    <w:rsid w:val="00F96F8C"/>
    <w:rsid w:val="00FA0A92"/>
    <w:rsid w:val="00FA1230"/>
    <w:rsid w:val="00FA2CEE"/>
    <w:rsid w:val="00FA318C"/>
    <w:rsid w:val="00FA3685"/>
    <w:rsid w:val="00FA64A0"/>
    <w:rsid w:val="00FA6CF1"/>
    <w:rsid w:val="00FB17D3"/>
    <w:rsid w:val="00FB3112"/>
    <w:rsid w:val="00FB31DB"/>
    <w:rsid w:val="00FB504C"/>
    <w:rsid w:val="00FB638F"/>
    <w:rsid w:val="00FB6CC4"/>
    <w:rsid w:val="00FB6F92"/>
    <w:rsid w:val="00FC026E"/>
    <w:rsid w:val="00FC0543"/>
    <w:rsid w:val="00FC075B"/>
    <w:rsid w:val="00FC251E"/>
    <w:rsid w:val="00FC316D"/>
    <w:rsid w:val="00FC327F"/>
    <w:rsid w:val="00FC3787"/>
    <w:rsid w:val="00FC5124"/>
    <w:rsid w:val="00FC709B"/>
    <w:rsid w:val="00FD322A"/>
    <w:rsid w:val="00FD4731"/>
    <w:rsid w:val="00FD49E0"/>
    <w:rsid w:val="00FD4A57"/>
    <w:rsid w:val="00FD5049"/>
    <w:rsid w:val="00FD5796"/>
    <w:rsid w:val="00FD6BCF"/>
    <w:rsid w:val="00FE11E4"/>
    <w:rsid w:val="00FE16DB"/>
    <w:rsid w:val="00FE1A3C"/>
    <w:rsid w:val="00FE302D"/>
    <w:rsid w:val="00FE3D5B"/>
    <w:rsid w:val="00FE4B55"/>
    <w:rsid w:val="00FE66DE"/>
    <w:rsid w:val="00FE6931"/>
    <w:rsid w:val="00FE7387"/>
    <w:rsid w:val="00FF033D"/>
    <w:rsid w:val="00FF0AB0"/>
    <w:rsid w:val="00FF1058"/>
    <w:rsid w:val="00FF23AD"/>
    <w:rsid w:val="00FF28AC"/>
    <w:rsid w:val="00FF29CE"/>
    <w:rsid w:val="00FF2B0E"/>
    <w:rsid w:val="00FF53CC"/>
    <w:rsid w:val="00FF7F62"/>
    <w:rsid w:val="0115DAC2"/>
    <w:rsid w:val="0160EFE0"/>
    <w:rsid w:val="04C2E188"/>
    <w:rsid w:val="050B9E00"/>
    <w:rsid w:val="06414D08"/>
    <w:rsid w:val="065ADAC3"/>
    <w:rsid w:val="07CF897E"/>
    <w:rsid w:val="092C81B2"/>
    <w:rsid w:val="09DEB1E8"/>
    <w:rsid w:val="0AE63453"/>
    <w:rsid w:val="0C084FF6"/>
    <w:rsid w:val="0C9ED77D"/>
    <w:rsid w:val="0E40D4C0"/>
    <w:rsid w:val="11AABC3C"/>
    <w:rsid w:val="1288ECF7"/>
    <w:rsid w:val="1359E71D"/>
    <w:rsid w:val="149C3D8E"/>
    <w:rsid w:val="16784C6F"/>
    <w:rsid w:val="18402DB4"/>
    <w:rsid w:val="1A3477BF"/>
    <w:rsid w:val="20201411"/>
    <w:rsid w:val="209E1BE1"/>
    <w:rsid w:val="21CA2A89"/>
    <w:rsid w:val="21ED4573"/>
    <w:rsid w:val="23818217"/>
    <w:rsid w:val="23E567A8"/>
    <w:rsid w:val="261F86D3"/>
    <w:rsid w:val="26D493E9"/>
    <w:rsid w:val="28C10517"/>
    <w:rsid w:val="28FD58F7"/>
    <w:rsid w:val="2A4C9EA4"/>
    <w:rsid w:val="2AAAFEE4"/>
    <w:rsid w:val="2ABACAEF"/>
    <w:rsid w:val="2C49B9C1"/>
    <w:rsid w:val="2DB54D5A"/>
    <w:rsid w:val="30B8EFE3"/>
    <w:rsid w:val="362CEEF8"/>
    <w:rsid w:val="36FF4763"/>
    <w:rsid w:val="37A7474B"/>
    <w:rsid w:val="37EACA81"/>
    <w:rsid w:val="38F6891F"/>
    <w:rsid w:val="3AAF6B2D"/>
    <w:rsid w:val="3C9BC8FE"/>
    <w:rsid w:val="3D2DD6A3"/>
    <w:rsid w:val="3DEA54AD"/>
    <w:rsid w:val="4024E008"/>
    <w:rsid w:val="4483E0FE"/>
    <w:rsid w:val="459982F1"/>
    <w:rsid w:val="4730FC91"/>
    <w:rsid w:val="47D9E6CA"/>
    <w:rsid w:val="493D4BB6"/>
    <w:rsid w:val="49E28334"/>
    <w:rsid w:val="4B4F9E9F"/>
    <w:rsid w:val="4BC37818"/>
    <w:rsid w:val="4E7BD39E"/>
    <w:rsid w:val="4EBE0D94"/>
    <w:rsid w:val="4F6B2A8A"/>
    <w:rsid w:val="501BED0F"/>
    <w:rsid w:val="53554C10"/>
    <w:rsid w:val="5391B3D6"/>
    <w:rsid w:val="559F83A9"/>
    <w:rsid w:val="55AE9EB5"/>
    <w:rsid w:val="57E7FF1B"/>
    <w:rsid w:val="5A434BC8"/>
    <w:rsid w:val="5B08D3BD"/>
    <w:rsid w:val="5DC55E8B"/>
    <w:rsid w:val="5F7CEE14"/>
    <w:rsid w:val="5F88E7C3"/>
    <w:rsid w:val="60DC6D86"/>
    <w:rsid w:val="630E07A8"/>
    <w:rsid w:val="651E495C"/>
    <w:rsid w:val="66722D67"/>
    <w:rsid w:val="68DB37C6"/>
    <w:rsid w:val="68FAA725"/>
    <w:rsid w:val="6C37F1EE"/>
    <w:rsid w:val="6C69A9B3"/>
    <w:rsid w:val="6D2D1861"/>
    <w:rsid w:val="6E41602E"/>
    <w:rsid w:val="6EA91088"/>
    <w:rsid w:val="71B5920E"/>
    <w:rsid w:val="72E16886"/>
    <w:rsid w:val="74CA64CF"/>
    <w:rsid w:val="76248F31"/>
    <w:rsid w:val="7865E8EA"/>
    <w:rsid w:val="787AD4CF"/>
    <w:rsid w:val="793104DB"/>
    <w:rsid w:val="7B29E5A7"/>
    <w:rsid w:val="7E29ED88"/>
    <w:rsid w:val="7FCD88D5"/>
    <w:rsid w:val="7FD8279D"/>
    <w:rsid w:val="7FE77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3972A"/>
  <w15:docId w15:val="{B1DA9948-9822-4923-8D91-343EB2A9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normaltextrun">
    <w:name w:val="normaltextrun"/>
    <w:basedOn w:val="DefaultParagraphFont"/>
    <w:rsid w:val="005A3A26"/>
  </w:style>
  <w:style w:type="character" w:customStyle="1" w:styleId="eop">
    <w:name w:val="eop"/>
    <w:basedOn w:val="DefaultParagraphFont"/>
    <w:rsid w:val="005A3A26"/>
  </w:style>
  <w:style w:type="character" w:styleId="FootnoteReference">
    <w:name w:val="footnote reference"/>
    <w:basedOn w:val="DefaultParagraphFont"/>
    <w:semiHidden/>
    <w:unhideWhenUsed/>
    <w:rsid w:val="00146380"/>
    <w:rPr>
      <w:vertAlign w:val="superscript"/>
    </w:rPr>
  </w:style>
  <w:style w:type="character" w:styleId="CommentReference">
    <w:name w:val="annotation reference"/>
    <w:basedOn w:val="DefaultParagraphFont"/>
    <w:semiHidden/>
    <w:unhideWhenUsed/>
    <w:rsid w:val="00C702CB"/>
    <w:rPr>
      <w:sz w:val="16"/>
      <w:szCs w:val="16"/>
    </w:rPr>
  </w:style>
  <w:style w:type="paragraph" w:styleId="CommentText">
    <w:name w:val="annotation text"/>
    <w:basedOn w:val="Normal"/>
    <w:link w:val="CommentTextChar"/>
    <w:unhideWhenUsed/>
    <w:rsid w:val="00C702CB"/>
    <w:pPr>
      <w:spacing w:line="240" w:lineRule="auto"/>
    </w:pPr>
    <w:rPr>
      <w:sz w:val="20"/>
      <w:szCs w:val="20"/>
    </w:rPr>
  </w:style>
  <w:style w:type="character" w:customStyle="1" w:styleId="CommentTextChar">
    <w:name w:val="Comment Text Char"/>
    <w:basedOn w:val="DefaultParagraphFont"/>
    <w:link w:val="CommentText"/>
    <w:rsid w:val="00C702C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702CB"/>
    <w:rPr>
      <w:b/>
      <w:bCs/>
    </w:rPr>
  </w:style>
  <w:style w:type="character" w:customStyle="1" w:styleId="CommentSubjectChar">
    <w:name w:val="Comment Subject Char"/>
    <w:basedOn w:val="CommentTextChar"/>
    <w:link w:val="CommentSubject"/>
    <w:semiHidden/>
    <w:rsid w:val="00C702CB"/>
    <w:rPr>
      <w:rFonts w:ascii="Arial" w:hAnsi="Arial"/>
      <w:b/>
      <w:bCs/>
      <w:color w:val="000000" w:themeColor="text1"/>
      <w:lang w:eastAsia="en-US"/>
    </w:rPr>
  </w:style>
  <w:style w:type="paragraph" w:styleId="Revision">
    <w:name w:val="Revision"/>
    <w:hidden/>
    <w:uiPriority w:val="99"/>
    <w:semiHidden/>
    <w:rsid w:val="00DA6738"/>
    <w:rPr>
      <w:rFonts w:ascii="Arial" w:hAnsi="Arial"/>
      <w:color w:val="000000" w:themeColor="text1"/>
      <w:sz w:val="22"/>
      <w:szCs w:val="24"/>
      <w:lang w:eastAsia="en-US"/>
    </w:rPr>
  </w:style>
  <w:style w:type="character" w:customStyle="1" w:styleId="UnresolvedMention1">
    <w:name w:val="Unresolved Mention1"/>
    <w:basedOn w:val="DefaultParagraphFont"/>
    <w:uiPriority w:val="99"/>
    <w:semiHidden/>
    <w:unhideWhenUsed/>
    <w:rsid w:val="00ED3696"/>
    <w:rPr>
      <w:color w:val="605E5C"/>
      <w:shd w:val="clear" w:color="auto" w:fill="E1DFDD"/>
    </w:rPr>
  </w:style>
  <w:style w:type="character" w:styleId="FollowedHyperlink">
    <w:name w:val="FollowedHyperlink"/>
    <w:basedOn w:val="DefaultParagraphFont"/>
    <w:semiHidden/>
    <w:unhideWhenUsed/>
    <w:rsid w:val="00B2619D"/>
    <w:rPr>
      <w:color w:val="800080" w:themeColor="followedHyperlink"/>
      <w:u w:val="single"/>
    </w:rPr>
  </w:style>
  <w:style w:type="character" w:customStyle="1" w:styleId="ui-provider">
    <w:name w:val="ui-provider"/>
    <w:basedOn w:val="DefaultParagraphFont"/>
    <w:rsid w:val="00AE3703"/>
  </w:style>
  <w:style w:type="character" w:customStyle="1" w:styleId="Mention1">
    <w:name w:val="Mention1"/>
    <w:basedOn w:val="DefaultParagraphFont"/>
    <w:uiPriority w:val="99"/>
    <w:unhideWhenUsed/>
    <w:rsid w:val="006E0223"/>
    <w:rPr>
      <w:color w:val="2B579A"/>
      <w:shd w:val="clear" w:color="auto" w:fill="E1DFDD"/>
    </w:rPr>
  </w:style>
  <w:style w:type="paragraph" w:customStyle="1" w:styleId="paragraph">
    <w:name w:val="paragraph"/>
    <w:basedOn w:val="Normal"/>
    <w:rsid w:val="00734548"/>
    <w:pPr>
      <w:spacing w:before="100" w:beforeAutospacing="1" w:after="100" w:afterAutospacing="1" w:line="240" w:lineRule="auto"/>
    </w:pPr>
    <w:rPr>
      <w:rFonts w:ascii="Times New Roman" w:hAnsi="Times New Roman"/>
      <w:color w:val="auto"/>
      <w:sz w:val="24"/>
      <w:lang w:eastAsia="en-AU"/>
    </w:rPr>
  </w:style>
  <w:style w:type="paragraph" w:customStyle="1" w:styleId="pf0">
    <w:name w:val="pf0"/>
    <w:basedOn w:val="Normal"/>
    <w:rsid w:val="00451530"/>
    <w:pPr>
      <w:spacing w:before="100" w:beforeAutospacing="1" w:after="100" w:afterAutospacing="1" w:line="240" w:lineRule="auto"/>
    </w:pPr>
    <w:rPr>
      <w:rFonts w:ascii="Times New Roman" w:hAnsi="Times New Roman"/>
      <w:color w:val="auto"/>
      <w:sz w:val="24"/>
      <w:lang w:eastAsia="en-AU"/>
    </w:rPr>
  </w:style>
  <w:style w:type="character" w:customStyle="1" w:styleId="cf01">
    <w:name w:val="cf01"/>
    <w:basedOn w:val="DefaultParagraphFont"/>
    <w:rsid w:val="00451530"/>
    <w:rPr>
      <w:rFonts w:ascii="Segoe UI" w:hAnsi="Segoe UI" w:cs="Segoe UI" w:hint="default"/>
      <w:color w:val="45494B"/>
      <w:sz w:val="18"/>
      <w:szCs w:val="18"/>
    </w:rPr>
  </w:style>
  <w:style w:type="character" w:customStyle="1" w:styleId="cf11">
    <w:name w:val="cf11"/>
    <w:basedOn w:val="DefaultParagraphFont"/>
    <w:rsid w:val="00451530"/>
    <w:rPr>
      <w:rFonts w:ascii="Segoe UI" w:hAnsi="Segoe UI" w:cs="Segoe UI" w:hint="default"/>
      <w:sz w:val="18"/>
      <w:szCs w:val="18"/>
    </w:rPr>
  </w:style>
  <w:style w:type="character" w:customStyle="1" w:styleId="null">
    <w:name w:val="null"/>
    <w:basedOn w:val="DefaultParagraphFont"/>
    <w:rsid w:val="0050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3797">
      <w:bodyDiv w:val="1"/>
      <w:marLeft w:val="0"/>
      <w:marRight w:val="0"/>
      <w:marTop w:val="0"/>
      <w:marBottom w:val="0"/>
      <w:divBdr>
        <w:top w:val="none" w:sz="0" w:space="0" w:color="auto"/>
        <w:left w:val="none" w:sz="0" w:space="0" w:color="auto"/>
        <w:bottom w:val="none" w:sz="0" w:space="0" w:color="auto"/>
        <w:right w:val="none" w:sz="0" w:space="0" w:color="auto"/>
      </w:divBdr>
    </w:div>
    <w:div w:id="277763598">
      <w:bodyDiv w:val="1"/>
      <w:marLeft w:val="0"/>
      <w:marRight w:val="0"/>
      <w:marTop w:val="0"/>
      <w:marBottom w:val="0"/>
      <w:divBdr>
        <w:top w:val="none" w:sz="0" w:space="0" w:color="auto"/>
        <w:left w:val="none" w:sz="0" w:space="0" w:color="auto"/>
        <w:bottom w:val="none" w:sz="0" w:space="0" w:color="auto"/>
        <w:right w:val="none" w:sz="0" w:space="0" w:color="auto"/>
      </w:divBdr>
      <w:divsChild>
        <w:div w:id="15816657">
          <w:marLeft w:val="547"/>
          <w:marRight w:val="0"/>
          <w:marTop w:val="0"/>
          <w:marBottom w:val="120"/>
          <w:divBdr>
            <w:top w:val="none" w:sz="0" w:space="0" w:color="auto"/>
            <w:left w:val="none" w:sz="0" w:space="0" w:color="auto"/>
            <w:bottom w:val="none" w:sz="0" w:space="0" w:color="auto"/>
            <w:right w:val="none" w:sz="0" w:space="0" w:color="auto"/>
          </w:divBdr>
        </w:div>
        <w:div w:id="1783300551">
          <w:marLeft w:val="547"/>
          <w:marRight w:val="0"/>
          <w:marTop w:val="0"/>
          <w:marBottom w:val="120"/>
          <w:divBdr>
            <w:top w:val="none" w:sz="0" w:space="0" w:color="auto"/>
            <w:left w:val="none" w:sz="0" w:space="0" w:color="auto"/>
            <w:bottom w:val="none" w:sz="0" w:space="0" w:color="auto"/>
            <w:right w:val="none" w:sz="0" w:space="0" w:color="auto"/>
          </w:divBdr>
        </w:div>
      </w:divsChild>
    </w:div>
    <w:div w:id="32115783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4755220">
      <w:bodyDiv w:val="1"/>
      <w:marLeft w:val="0"/>
      <w:marRight w:val="0"/>
      <w:marTop w:val="0"/>
      <w:marBottom w:val="0"/>
      <w:divBdr>
        <w:top w:val="none" w:sz="0" w:space="0" w:color="auto"/>
        <w:left w:val="none" w:sz="0" w:space="0" w:color="auto"/>
        <w:bottom w:val="none" w:sz="0" w:space="0" w:color="auto"/>
        <w:right w:val="none" w:sz="0" w:space="0" w:color="auto"/>
      </w:divBdr>
    </w:div>
    <w:div w:id="50066125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74433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3300098">
      <w:bodyDiv w:val="1"/>
      <w:marLeft w:val="0"/>
      <w:marRight w:val="0"/>
      <w:marTop w:val="0"/>
      <w:marBottom w:val="0"/>
      <w:divBdr>
        <w:top w:val="none" w:sz="0" w:space="0" w:color="auto"/>
        <w:left w:val="none" w:sz="0" w:space="0" w:color="auto"/>
        <w:bottom w:val="none" w:sz="0" w:space="0" w:color="auto"/>
        <w:right w:val="none" w:sz="0" w:space="0" w:color="auto"/>
      </w:divBdr>
    </w:div>
    <w:div w:id="1396049952">
      <w:bodyDiv w:val="1"/>
      <w:marLeft w:val="0"/>
      <w:marRight w:val="0"/>
      <w:marTop w:val="0"/>
      <w:marBottom w:val="0"/>
      <w:divBdr>
        <w:top w:val="none" w:sz="0" w:space="0" w:color="auto"/>
        <w:left w:val="none" w:sz="0" w:space="0" w:color="auto"/>
        <w:bottom w:val="none" w:sz="0" w:space="0" w:color="auto"/>
        <w:right w:val="none" w:sz="0" w:space="0" w:color="auto"/>
      </w:divBdr>
    </w:div>
    <w:div w:id="1494447134">
      <w:bodyDiv w:val="1"/>
      <w:marLeft w:val="0"/>
      <w:marRight w:val="0"/>
      <w:marTop w:val="0"/>
      <w:marBottom w:val="0"/>
      <w:divBdr>
        <w:top w:val="none" w:sz="0" w:space="0" w:color="auto"/>
        <w:left w:val="none" w:sz="0" w:space="0" w:color="auto"/>
        <w:bottom w:val="none" w:sz="0" w:space="0" w:color="auto"/>
        <w:right w:val="none" w:sz="0" w:space="0" w:color="auto"/>
      </w:divBdr>
    </w:div>
    <w:div w:id="1555651753">
      <w:bodyDiv w:val="1"/>
      <w:marLeft w:val="0"/>
      <w:marRight w:val="0"/>
      <w:marTop w:val="0"/>
      <w:marBottom w:val="0"/>
      <w:divBdr>
        <w:top w:val="none" w:sz="0" w:space="0" w:color="auto"/>
        <w:left w:val="none" w:sz="0" w:space="0" w:color="auto"/>
        <w:bottom w:val="none" w:sz="0" w:space="0" w:color="auto"/>
        <w:right w:val="none" w:sz="0" w:space="0" w:color="auto"/>
      </w:divBdr>
    </w:div>
    <w:div w:id="1669867616">
      <w:bodyDiv w:val="1"/>
      <w:marLeft w:val="0"/>
      <w:marRight w:val="0"/>
      <w:marTop w:val="0"/>
      <w:marBottom w:val="0"/>
      <w:divBdr>
        <w:top w:val="none" w:sz="0" w:space="0" w:color="auto"/>
        <w:left w:val="none" w:sz="0" w:space="0" w:color="auto"/>
        <w:bottom w:val="none" w:sz="0" w:space="0" w:color="auto"/>
        <w:right w:val="none" w:sz="0" w:space="0" w:color="auto"/>
      </w:divBdr>
    </w:div>
    <w:div w:id="1899053315">
      <w:bodyDiv w:val="1"/>
      <w:marLeft w:val="0"/>
      <w:marRight w:val="0"/>
      <w:marTop w:val="0"/>
      <w:marBottom w:val="0"/>
      <w:divBdr>
        <w:top w:val="none" w:sz="0" w:space="0" w:color="auto"/>
        <w:left w:val="none" w:sz="0" w:space="0" w:color="auto"/>
        <w:bottom w:val="none" w:sz="0" w:space="0" w:color="auto"/>
        <w:right w:val="none" w:sz="0" w:space="0" w:color="auto"/>
      </w:divBdr>
      <w:divsChild>
        <w:div w:id="52848969">
          <w:marLeft w:val="0"/>
          <w:marRight w:val="0"/>
          <w:marTop w:val="0"/>
          <w:marBottom w:val="0"/>
          <w:divBdr>
            <w:top w:val="none" w:sz="0" w:space="0" w:color="auto"/>
            <w:left w:val="none" w:sz="0" w:space="0" w:color="auto"/>
            <w:bottom w:val="none" w:sz="0" w:space="0" w:color="auto"/>
            <w:right w:val="none" w:sz="0" w:space="0" w:color="auto"/>
          </w:divBdr>
        </w:div>
        <w:div w:id="561016090">
          <w:marLeft w:val="0"/>
          <w:marRight w:val="0"/>
          <w:marTop w:val="0"/>
          <w:marBottom w:val="0"/>
          <w:divBdr>
            <w:top w:val="none" w:sz="0" w:space="0" w:color="auto"/>
            <w:left w:val="none" w:sz="0" w:space="0" w:color="auto"/>
            <w:bottom w:val="none" w:sz="0" w:space="0" w:color="auto"/>
            <w:right w:val="none" w:sz="0" w:space="0" w:color="auto"/>
          </w:divBdr>
        </w:div>
        <w:div w:id="712659880">
          <w:marLeft w:val="0"/>
          <w:marRight w:val="0"/>
          <w:marTop w:val="0"/>
          <w:marBottom w:val="0"/>
          <w:divBdr>
            <w:top w:val="none" w:sz="0" w:space="0" w:color="auto"/>
            <w:left w:val="none" w:sz="0" w:space="0" w:color="auto"/>
            <w:bottom w:val="none" w:sz="0" w:space="0" w:color="auto"/>
            <w:right w:val="none" w:sz="0" w:space="0" w:color="auto"/>
          </w:divBdr>
          <w:divsChild>
            <w:div w:id="97334674">
              <w:marLeft w:val="-75"/>
              <w:marRight w:val="0"/>
              <w:marTop w:val="30"/>
              <w:marBottom w:val="30"/>
              <w:divBdr>
                <w:top w:val="none" w:sz="0" w:space="0" w:color="auto"/>
                <w:left w:val="none" w:sz="0" w:space="0" w:color="auto"/>
                <w:bottom w:val="none" w:sz="0" w:space="0" w:color="auto"/>
                <w:right w:val="none" w:sz="0" w:space="0" w:color="auto"/>
              </w:divBdr>
              <w:divsChild>
                <w:div w:id="17506293">
                  <w:marLeft w:val="0"/>
                  <w:marRight w:val="0"/>
                  <w:marTop w:val="0"/>
                  <w:marBottom w:val="0"/>
                  <w:divBdr>
                    <w:top w:val="none" w:sz="0" w:space="0" w:color="auto"/>
                    <w:left w:val="none" w:sz="0" w:space="0" w:color="auto"/>
                    <w:bottom w:val="none" w:sz="0" w:space="0" w:color="auto"/>
                    <w:right w:val="none" w:sz="0" w:space="0" w:color="auto"/>
                  </w:divBdr>
                  <w:divsChild>
                    <w:div w:id="1019046472">
                      <w:marLeft w:val="0"/>
                      <w:marRight w:val="0"/>
                      <w:marTop w:val="0"/>
                      <w:marBottom w:val="0"/>
                      <w:divBdr>
                        <w:top w:val="none" w:sz="0" w:space="0" w:color="auto"/>
                        <w:left w:val="none" w:sz="0" w:space="0" w:color="auto"/>
                        <w:bottom w:val="none" w:sz="0" w:space="0" w:color="auto"/>
                        <w:right w:val="none" w:sz="0" w:space="0" w:color="auto"/>
                      </w:divBdr>
                    </w:div>
                  </w:divsChild>
                </w:div>
                <w:div w:id="161631699">
                  <w:marLeft w:val="0"/>
                  <w:marRight w:val="0"/>
                  <w:marTop w:val="0"/>
                  <w:marBottom w:val="0"/>
                  <w:divBdr>
                    <w:top w:val="none" w:sz="0" w:space="0" w:color="auto"/>
                    <w:left w:val="none" w:sz="0" w:space="0" w:color="auto"/>
                    <w:bottom w:val="none" w:sz="0" w:space="0" w:color="auto"/>
                    <w:right w:val="none" w:sz="0" w:space="0" w:color="auto"/>
                  </w:divBdr>
                  <w:divsChild>
                    <w:div w:id="1825781520">
                      <w:marLeft w:val="0"/>
                      <w:marRight w:val="0"/>
                      <w:marTop w:val="0"/>
                      <w:marBottom w:val="0"/>
                      <w:divBdr>
                        <w:top w:val="none" w:sz="0" w:space="0" w:color="auto"/>
                        <w:left w:val="none" w:sz="0" w:space="0" w:color="auto"/>
                        <w:bottom w:val="none" w:sz="0" w:space="0" w:color="auto"/>
                        <w:right w:val="none" w:sz="0" w:space="0" w:color="auto"/>
                      </w:divBdr>
                    </w:div>
                  </w:divsChild>
                </w:div>
                <w:div w:id="266934546">
                  <w:marLeft w:val="0"/>
                  <w:marRight w:val="0"/>
                  <w:marTop w:val="0"/>
                  <w:marBottom w:val="0"/>
                  <w:divBdr>
                    <w:top w:val="none" w:sz="0" w:space="0" w:color="auto"/>
                    <w:left w:val="none" w:sz="0" w:space="0" w:color="auto"/>
                    <w:bottom w:val="none" w:sz="0" w:space="0" w:color="auto"/>
                    <w:right w:val="none" w:sz="0" w:space="0" w:color="auto"/>
                  </w:divBdr>
                  <w:divsChild>
                    <w:div w:id="2131123894">
                      <w:marLeft w:val="0"/>
                      <w:marRight w:val="0"/>
                      <w:marTop w:val="0"/>
                      <w:marBottom w:val="0"/>
                      <w:divBdr>
                        <w:top w:val="none" w:sz="0" w:space="0" w:color="auto"/>
                        <w:left w:val="none" w:sz="0" w:space="0" w:color="auto"/>
                        <w:bottom w:val="none" w:sz="0" w:space="0" w:color="auto"/>
                        <w:right w:val="none" w:sz="0" w:space="0" w:color="auto"/>
                      </w:divBdr>
                    </w:div>
                  </w:divsChild>
                </w:div>
                <w:div w:id="272440077">
                  <w:marLeft w:val="0"/>
                  <w:marRight w:val="0"/>
                  <w:marTop w:val="0"/>
                  <w:marBottom w:val="0"/>
                  <w:divBdr>
                    <w:top w:val="none" w:sz="0" w:space="0" w:color="auto"/>
                    <w:left w:val="none" w:sz="0" w:space="0" w:color="auto"/>
                    <w:bottom w:val="none" w:sz="0" w:space="0" w:color="auto"/>
                    <w:right w:val="none" w:sz="0" w:space="0" w:color="auto"/>
                  </w:divBdr>
                  <w:divsChild>
                    <w:div w:id="942493955">
                      <w:marLeft w:val="0"/>
                      <w:marRight w:val="0"/>
                      <w:marTop w:val="0"/>
                      <w:marBottom w:val="0"/>
                      <w:divBdr>
                        <w:top w:val="none" w:sz="0" w:space="0" w:color="auto"/>
                        <w:left w:val="none" w:sz="0" w:space="0" w:color="auto"/>
                        <w:bottom w:val="none" w:sz="0" w:space="0" w:color="auto"/>
                        <w:right w:val="none" w:sz="0" w:space="0" w:color="auto"/>
                      </w:divBdr>
                    </w:div>
                  </w:divsChild>
                </w:div>
                <w:div w:id="816382958">
                  <w:marLeft w:val="0"/>
                  <w:marRight w:val="0"/>
                  <w:marTop w:val="0"/>
                  <w:marBottom w:val="0"/>
                  <w:divBdr>
                    <w:top w:val="none" w:sz="0" w:space="0" w:color="auto"/>
                    <w:left w:val="none" w:sz="0" w:space="0" w:color="auto"/>
                    <w:bottom w:val="none" w:sz="0" w:space="0" w:color="auto"/>
                    <w:right w:val="none" w:sz="0" w:space="0" w:color="auto"/>
                  </w:divBdr>
                  <w:divsChild>
                    <w:div w:id="1556350537">
                      <w:marLeft w:val="0"/>
                      <w:marRight w:val="0"/>
                      <w:marTop w:val="0"/>
                      <w:marBottom w:val="0"/>
                      <w:divBdr>
                        <w:top w:val="none" w:sz="0" w:space="0" w:color="auto"/>
                        <w:left w:val="none" w:sz="0" w:space="0" w:color="auto"/>
                        <w:bottom w:val="none" w:sz="0" w:space="0" w:color="auto"/>
                        <w:right w:val="none" w:sz="0" w:space="0" w:color="auto"/>
                      </w:divBdr>
                    </w:div>
                  </w:divsChild>
                </w:div>
                <w:div w:id="830944670">
                  <w:marLeft w:val="0"/>
                  <w:marRight w:val="0"/>
                  <w:marTop w:val="0"/>
                  <w:marBottom w:val="0"/>
                  <w:divBdr>
                    <w:top w:val="none" w:sz="0" w:space="0" w:color="auto"/>
                    <w:left w:val="none" w:sz="0" w:space="0" w:color="auto"/>
                    <w:bottom w:val="none" w:sz="0" w:space="0" w:color="auto"/>
                    <w:right w:val="none" w:sz="0" w:space="0" w:color="auto"/>
                  </w:divBdr>
                  <w:divsChild>
                    <w:div w:id="1281693072">
                      <w:marLeft w:val="0"/>
                      <w:marRight w:val="0"/>
                      <w:marTop w:val="0"/>
                      <w:marBottom w:val="0"/>
                      <w:divBdr>
                        <w:top w:val="none" w:sz="0" w:space="0" w:color="auto"/>
                        <w:left w:val="none" w:sz="0" w:space="0" w:color="auto"/>
                        <w:bottom w:val="none" w:sz="0" w:space="0" w:color="auto"/>
                        <w:right w:val="none" w:sz="0" w:space="0" w:color="auto"/>
                      </w:divBdr>
                    </w:div>
                  </w:divsChild>
                </w:div>
                <w:div w:id="881482492">
                  <w:marLeft w:val="0"/>
                  <w:marRight w:val="0"/>
                  <w:marTop w:val="0"/>
                  <w:marBottom w:val="0"/>
                  <w:divBdr>
                    <w:top w:val="none" w:sz="0" w:space="0" w:color="auto"/>
                    <w:left w:val="none" w:sz="0" w:space="0" w:color="auto"/>
                    <w:bottom w:val="none" w:sz="0" w:space="0" w:color="auto"/>
                    <w:right w:val="none" w:sz="0" w:space="0" w:color="auto"/>
                  </w:divBdr>
                  <w:divsChild>
                    <w:div w:id="1971209539">
                      <w:marLeft w:val="0"/>
                      <w:marRight w:val="0"/>
                      <w:marTop w:val="0"/>
                      <w:marBottom w:val="0"/>
                      <w:divBdr>
                        <w:top w:val="none" w:sz="0" w:space="0" w:color="auto"/>
                        <w:left w:val="none" w:sz="0" w:space="0" w:color="auto"/>
                        <w:bottom w:val="none" w:sz="0" w:space="0" w:color="auto"/>
                        <w:right w:val="none" w:sz="0" w:space="0" w:color="auto"/>
                      </w:divBdr>
                    </w:div>
                  </w:divsChild>
                </w:div>
                <w:div w:id="960304805">
                  <w:marLeft w:val="0"/>
                  <w:marRight w:val="0"/>
                  <w:marTop w:val="0"/>
                  <w:marBottom w:val="0"/>
                  <w:divBdr>
                    <w:top w:val="none" w:sz="0" w:space="0" w:color="auto"/>
                    <w:left w:val="none" w:sz="0" w:space="0" w:color="auto"/>
                    <w:bottom w:val="none" w:sz="0" w:space="0" w:color="auto"/>
                    <w:right w:val="none" w:sz="0" w:space="0" w:color="auto"/>
                  </w:divBdr>
                  <w:divsChild>
                    <w:div w:id="1060597476">
                      <w:marLeft w:val="0"/>
                      <w:marRight w:val="0"/>
                      <w:marTop w:val="0"/>
                      <w:marBottom w:val="0"/>
                      <w:divBdr>
                        <w:top w:val="none" w:sz="0" w:space="0" w:color="auto"/>
                        <w:left w:val="none" w:sz="0" w:space="0" w:color="auto"/>
                        <w:bottom w:val="none" w:sz="0" w:space="0" w:color="auto"/>
                        <w:right w:val="none" w:sz="0" w:space="0" w:color="auto"/>
                      </w:divBdr>
                    </w:div>
                  </w:divsChild>
                </w:div>
                <w:div w:id="985933580">
                  <w:marLeft w:val="0"/>
                  <w:marRight w:val="0"/>
                  <w:marTop w:val="0"/>
                  <w:marBottom w:val="0"/>
                  <w:divBdr>
                    <w:top w:val="none" w:sz="0" w:space="0" w:color="auto"/>
                    <w:left w:val="none" w:sz="0" w:space="0" w:color="auto"/>
                    <w:bottom w:val="none" w:sz="0" w:space="0" w:color="auto"/>
                    <w:right w:val="none" w:sz="0" w:space="0" w:color="auto"/>
                  </w:divBdr>
                  <w:divsChild>
                    <w:div w:id="687560628">
                      <w:marLeft w:val="0"/>
                      <w:marRight w:val="0"/>
                      <w:marTop w:val="0"/>
                      <w:marBottom w:val="0"/>
                      <w:divBdr>
                        <w:top w:val="none" w:sz="0" w:space="0" w:color="auto"/>
                        <w:left w:val="none" w:sz="0" w:space="0" w:color="auto"/>
                        <w:bottom w:val="none" w:sz="0" w:space="0" w:color="auto"/>
                        <w:right w:val="none" w:sz="0" w:space="0" w:color="auto"/>
                      </w:divBdr>
                    </w:div>
                  </w:divsChild>
                </w:div>
                <w:div w:id="997534137">
                  <w:marLeft w:val="0"/>
                  <w:marRight w:val="0"/>
                  <w:marTop w:val="0"/>
                  <w:marBottom w:val="0"/>
                  <w:divBdr>
                    <w:top w:val="none" w:sz="0" w:space="0" w:color="auto"/>
                    <w:left w:val="none" w:sz="0" w:space="0" w:color="auto"/>
                    <w:bottom w:val="none" w:sz="0" w:space="0" w:color="auto"/>
                    <w:right w:val="none" w:sz="0" w:space="0" w:color="auto"/>
                  </w:divBdr>
                  <w:divsChild>
                    <w:div w:id="1254244324">
                      <w:marLeft w:val="0"/>
                      <w:marRight w:val="0"/>
                      <w:marTop w:val="0"/>
                      <w:marBottom w:val="0"/>
                      <w:divBdr>
                        <w:top w:val="none" w:sz="0" w:space="0" w:color="auto"/>
                        <w:left w:val="none" w:sz="0" w:space="0" w:color="auto"/>
                        <w:bottom w:val="none" w:sz="0" w:space="0" w:color="auto"/>
                        <w:right w:val="none" w:sz="0" w:space="0" w:color="auto"/>
                      </w:divBdr>
                    </w:div>
                  </w:divsChild>
                </w:div>
                <w:div w:id="1047992734">
                  <w:marLeft w:val="0"/>
                  <w:marRight w:val="0"/>
                  <w:marTop w:val="0"/>
                  <w:marBottom w:val="0"/>
                  <w:divBdr>
                    <w:top w:val="none" w:sz="0" w:space="0" w:color="auto"/>
                    <w:left w:val="none" w:sz="0" w:space="0" w:color="auto"/>
                    <w:bottom w:val="none" w:sz="0" w:space="0" w:color="auto"/>
                    <w:right w:val="none" w:sz="0" w:space="0" w:color="auto"/>
                  </w:divBdr>
                  <w:divsChild>
                    <w:div w:id="636885606">
                      <w:marLeft w:val="0"/>
                      <w:marRight w:val="0"/>
                      <w:marTop w:val="0"/>
                      <w:marBottom w:val="0"/>
                      <w:divBdr>
                        <w:top w:val="none" w:sz="0" w:space="0" w:color="auto"/>
                        <w:left w:val="none" w:sz="0" w:space="0" w:color="auto"/>
                        <w:bottom w:val="none" w:sz="0" w:space="0" w:color="auto"/>
                        <w:right w:val="none" w:sz="0" w:space="0" w:color="auto"/>
                      </w:divBdr>
                    </w:div>
                  </w:divsChild>
                </w:div>
                <w:div w:id="1059936457">
                  <w:marLeft w:val="0"/>
                  <w:marRight w:val="0"/>
                  <w:marTop w:val="0"/>
                  <w:marBottom w:val="0"/>
                  <w:divBdr>
                    <w:top w:val="none" w:sz="0" w:space="0" w:color="auto"/>
                    <w:left w:val="none" w:sz="0" w:space="0" w:color="auto"/>
                    <w:bottom w:val="none" w:sz="0" w:space="0" w:color="auto"/>
                    <w:right w:val="none" w:sz="0" w:space="0" w:color="auto"/>
                  </w:divBdr>
                  <w:divsChild>
                    <w:div w:id="1126464179">
                      <w:marLeft w:val="0"/>
                      <w:marRight w:val="0"/>
                      <w:marTop w:val="0"/>
                      <w:marBottom w:val="0"/>
                      <w:divBdr>
                        <w:top w:val="none" w:sz="0" w:space="0" w:color="auto"/>
                        <w:left w:val="none" w:sz="0" w:space="0" w:color="auto"/>
                        <w:bottom w:val="none" w:sz="0" w:space="0" w:color="auto"/>
                        <w:right w:val="none" w:sz="0" w:space="0" w:color="auto"/>
                      </w:divBdr>
                    </w:div>
                  </w:divsChild>
                </w:div>
                <w:div w:id="1063144217">
                  <w:marLeft w:val="0"/>
                  <w:marRight w:val="0"/>
                  <w:marTop w:val="0"/>
                  <w:marBottom w:val="0"/>
                  <w:divBdr>
                    <w:top w:val="none" w:sz="0" w:space="0" w:color="auto"/>
                    <w:left w:val="none" w:sz="0" w:space="0" w:color="auto"/>
                    <w:bottom w:val="none" w:sz="0" w:space="0" w:color="auto"/>
                    <w:right w:val="none" w:sz="0" w:space="0" w:color="auto"/>
                  </w:divBdr>
                  <w:divsChild>
                    <w:div w:id="1268734497">
                      <w:marLeft w:val="0"/>
                      <w:marRight w:val="0"/>
                      <w:marTop w:val="0"/>
                      <w:marBottom w:val="0"/>
                      <w:divBdr>
                        <w:top w:val="none" w:sz="0" w:space="0" w:color="auto"/>
                        <w:left w:val="none" w:sz="0" w:space="0" w:color="auto"/>
                        <w:bottom w:val="none" w:sz="0" w:space="0" w:color="auto"/>
                        <w:right w:val="none" w:sz="0" w:space="0" w:color="auto"/>
                      </w:divBdr>
                    </w:div>
                  </w:divsChild>
                </w:div>
                <w:div w:id="1100293202">
                  <w:marLeft w:val="0"/>
                  <w:marRight w:val="0"/>
                  <w:marTop w:val="0"/>
                  <w:marBottom w:val="0"/>
                  <w:divBdr>
                    <w:top w:val="none" w:sz="0" w:space="0" w:color="auto"/>
                    <w:left w:val="none" w:sz="0" w:space="0" w:color="auto"/>
                    <w:bottom w:val="none" w:sz="0" w:space="0" w:color="auto"/>
                    <w:right w:val="none" w:sz="0" w:space="0" w:color="auto"/>
                  </w:divBdr>
                  <w:divsChild>
                    <w:div w:id="1485269535">
                      <w:marLeft w:val="0"/>
                      <w:marRight w:val="0"/>
                      <w:marTop w:val="0"/>
                      <w:marBottom w:val="0"/>
                      <w:divBdr>
                        <w:top w:val="none" w:sz="0" w:space="0" w:color="auto"/>
                        <w:left w:val="none" w:sz="0" w:space="0" w:color="auto"/>
                        <w:bottom w:val="none" w:sz="0" w:space="0" w:color="auto"/>
                        <w:right w:val="none" w:sz="0" w:space="0" w:color="auto"/>
                      </w:divBdr>
                    </w:div>
                  </w:divsChild>
                </w:div>
                <w:div w:id="1441679016">
                  <w:marLeft w:val="0"/>
                  <w:marRight w:val="0"/>
                  <w:marTop w:val="0"/>
                  <w:marBottom w:val="0"/>
                  <w:divBdr>
                    <w:top w:val="none" w:sz="0" w:space="0" w:color="auto"/>
                    <w:left w:val="none" w:sz="0" w:space="0" w:color="auto"/>
                    <w:bottom w:val="none" w:sz="0" w:space="0" w:color="auto"/>
                    <w:right w:val="none" w:sz="0" w:space="0" w:color="auto"/>
                  </w:divBdr>
                  <w:divsChild>
                    <w:div w:id="342900159">
                      <w:marLeft w:val="0"/>
                      <w:marRight w:val="0"/>
                      <w:marTop w:val="0"/>
                      <w:marBottom w:val="0"/>
                      <w:divBdr>
                        <w:top w:val="none" w:sz="0" w:space="0" w:color="auto"/>
                        <w:left w:val="none" w:sz="0" w:space="0" w:color="auto"/>
                        <w:bottom w:val="none" w:sz="0" w:space="0" w:color="auto"/>
                        <w:right w:val="none" w:sz="0" w:space="0" w:color="auto"/>
                      </w:divBdr>
                    </w:div>
                  </w:divsChild>
                </w:div>
                <w:div w:id="1486240962">
                  <w:marLeft w:val="0"/>
                  <w:marRight w:val="0"/>
                  <w:marTop w:val="0"/>
                  <w:marBottom w:val="0"/>
                  <w:divBdr>
                    <w:top w:val="none" w:sz="0" w:space="0" w:color="auto"/>
                    <w:left w:val="none" w:sz="0" w:space="0" w:color="auto"/>
                    <w:bottom w:val="none" w:sz="0" w:space="0" w:color="auto"/>
                    <w:right w:val="none" w:sz="0" w:space="0" w:color="auto"/>
                  </w:divBdr>
                  <w:divsChild>
                    <w:div w:id="1111364595">
                      <w:marLeft w:val="0"/>
                      <w:marRight w:val="0"/>
                      <w:marTop w:val="0"/>
                      <w:marBottom w:val="0"/>
                      <w:divBdr>
                        <w:top w:val="none" w:sz="0" w:space="0" w:color="auto"/>
                        <w:left w:val="none" w:sz="0" w:space="0" w:color="auto"/>
                        <w:bottom w:val="none" w:sz="0" w:space="0" w:color="auto"/>
                        <w:right w:val="none" w:sz="0" w:space="0" w:color="auto"/>
                      </w:divBdr>
                    </w:div>
                  </w:divsChild>
                </w:div>
                <w:div w:id="1712074601">
                  <w:marLeft w:val="0"/>
                  <w:marRight w:val="0"/>
                  <w:marTop w:val="0"/>
                  <w:marBottom w:val="0"/>
                  <w:divBdr>
                    <w:top w:val="none" w:sz="0" w:space="0" w:color="auto"/>
                    <w:left w:val="none" w:sz="0" w:space="0" w:color="auto"/>
                    <w:bottom w:val="none" w:sz="0" w:space="0" w:color="auto"/>
                    <w:right w:val="none" w:sz="0" w:space="0" w:color="auto"/>
                  </w:divBdr>
                  <w:divsChild>
                    <w:div w:id="486366564">
                      <w:marLeft w:val="0"/>
                      <w:marRight w:val="0"/>
                      <w:marTop w:val="0"/>
                      <w:marBottom w:val="0"/>
                      <w:divBdr>
                        <w:top w:val="none" w:sz="0" w:space="0" w:color="auto"/>
                        <w:left w:val="none" w:sz="0" w:space="0" w:color="auto"/>
                        <w:bottom w:val="none" w:sz="0" w:space="0" w:color="auto"/>
                        <w:right w:val="none" w:sz="0" w:space="0" w:color="auto"/>
                      </w:divBdr>
                    </w:div>
                  </w:divsChild>
                </w:div>
                <w:div w:id="1777677170">
                  <w:marLeft w:val="0"/>
                  <w:marRight w:val="0"/>
                  <w:marTop w:val="0"/>
                  <w:marBottom w:val="0"/>
                  <w:divBdr>
                    <w:top w:val="none" w:sz="0" w:space="0" w:color="auto"/>
                    <w:left w:val="none" w:sz="0" w:space="0" w:color="auto"/>
                    <w:bottom w:val="none" w:sz="0" w:space="0" w:color="auto"/>
                    <w:right w:val="none" w:sz="0" w:space="0" w:color="auto"/>
                  </w:divBdr>
                  <w:divsChild>
                    <w:div w:id="1809668091">
                      <w:marLeft w:val="0"/>
                      <w:marRight w:val="0"/>
                      <w:marTop w:val="0"/>
                      <w:marBottom w:val="0"/>
                      <w:divBdr>
                        <w:top w:val="none" w:sz="0" w:space="0" w:color="auto"/>
                        <w:left w:val="none" w:sz="0" w:space="0" w:color="auto"/>
                        <w:bottom w:val="none" w:sz="0" w:space="0" w:color="auto"/>
                        <w:right w:val="none" w:sz="0" w:space="0" w:color="auto"/>
                      </w:divBdr>
                    </w:div>
                  </w:divsChild>
                </w:div>
                <w:div w:id="1788894303">
                  <w:marLeft w:val="0"/>
                  <w:marRight w:val="0"/>
                  <w:marTop w:val="0"/>
                  <w:marBottom w:val="0"/>
                  <w:divBdr>
                    <w:top w:val="none" w:sz="0" w:space="0" w:color="auto"/>
                    <w:left w:val="none" w:sz="0" w:space="0" w:color="auto"/>
                    <w:bottom w:val="none" w:sz="0" w:space="0" w:color="auto"/>
                    <w:right w:val="none" w:sz="0" w:space="0" w:color="auto"/>
                  </w:divBdr>
                  <w:divsChild>
                    <w:div w:id="1112944629">
                      <w:marLeft w:val="0"/>
                      <w:marRight w:val="0"/>
                      <w:marTop w:val="0"/>
                      <w:marBottom w:val="0"/>
                      <w:divBdr>
                        <w:top w:val="none" w:sz="0" w:space="0" w:color="auto"/>
                        <w:left w:val="none" w:sz="0" w:space="0" w:color="auto"/>
                        <w:bottom w:val="none" w:sz="0" w:space="0" w:color="auto"/>
                        <w:right w:val="none" w:sz="0" w:space="0" w:color="auto"/>
                      </w:divBdr>
                    </w:div>
                  </w:divsChild>
                </w:div>
                <w:div w:id="1826972526">
                  <w:marLeft w:val="0"/>
                  <w:marRight w:val="0"/>
                  <w:marTop w:val="0"/>
                  <w:marBottom w:val="0"/>
                  <w:divBdr>
                    <w:top w:val="none" w:sz="0" w:space="0" w:color="auto"/>
                    <w:left w:val="none" w:sz="0" w:space="0" w:color="auto"/>
                    <w:bottom w:val="none" w:sz="0" w:space="0" w:color="auto"/>
                    <w:right w:val="none" w:sz="0" w:space="0" w:color="auto"/>
                  </w:divBdr>
                  <w:divsChild>
                    <w:div w:id="443766980">
                      <w:marLeft w:val="0"/>
                      <w:marRight w:val="0"/>
                      <w:marTop w:val="0"/>
                      <w:marBottom w:val="0"/>
                      <w:divBdr>
                        <w:top w:val="none" w:sz="0" w:space="0" w:color="auto"/>
                        <w:left w:val="none" w:sz="0" w:space="0" w:color="auto"/>
                        <w:bottom w:val="none" w:sz="0" w:space="0" w:color="auto"/>
                        <w:right w:val="none" w:sz="0" w:space="0" w:color="auto"/>
                      </w:divBdr>
                    </w:div>
                  </w:divsChild>
                </w:div>
                <w:div w:id="1945066882">
                  <w:marLeft w:val="0"/>
                  <w:marRight w:val="0"/>
                  <w:marTop w:val="0"/>
                  <w:marBottom w:val="0"/>
                  <w:divBdr>
                    <w:top w:val="none" w:sz="0" w:space="0" w:color="auto"/>
                    <w:left w:val="none" w:sz="0" w:space="0" w:color="auto"/>
                    <w:bottom w:val="none" w:sz="0" w:space="0" w:color="auto"/>
                    <w:right w:val="none" w:sz="0" w:space="0" w:color="auto"/>
                  </w:divBdr>
                  <w:divsChild>
                    <w:div w:id="712193724">
                      <w:marLeft w:val="0"/>
                      <w:marRight w:val="0"/>
                      <w:marTop w:val="0"/>
                      <w:marBottom w:val="0"/>
                      <w:divBdr>
                        <w:top w:val="none" w:sz="0" w:space="0" w:color="auto"/>
                        <w:left w:val="none" w:sz="0" w:space="0" w:color="auto"/>
                        <w:bottom w:val="none" w:sz="0" w:space="0" w:color="auto"/>
                        <w:right w:val="none" w:sz="0" w:space="0" w:color="auto"/>
                      </w:divBdr>
                    </w:div>
                  </w:divsChild>
                </w:div>
                <w:div w:id="2071345137">
                  <w:marLeft w:val="0"/>
                  <w:marRight w:val="0"/>
                  <w:marTop w:val="0"/>
                  <w:marBottom w:val="0"/>
                  <w:divBdr>
                    <w:top w:val="none" w:sz="0" w:space="0" w:color="auto"/>
                    <w:left w:val="none" w:sz="0" w:space="0" w:color="auto"/>
                    <w:bottom w:val="none" w:sz="0" w:space="0" w:color="auto"/>
                    <w:right w:val="none" w:sz="0" w:space="0" w:color="auto"/>
                  </w:divBdr>
                  <w:divsChild>
                    <w:div w:id="997533378">
                      <w:marLeft w:val="0"/>
                      <w:marRight w:val="0"/>
                      <w:marTop w:val="0"/>
                      <w:marBottom w:val="0"/>
                      <w:divBdr>
                        <w:top w:val="none" w:sz="0" w:space="0" w:color="auto"/>
                        <w:left w:val="none" w:sz="0" w:space="0" w:color="auto"/>
                        <w:bottom w:val="none" w:sz="0" w:space="0" w:color="auto"/>
                        <w:right w:val="none" w:sz="0" w:space="0" w:color="auto"/>
                      </w:divBdr>
                    </w:div>
                  </w:divsChild>
                </w:div>
                <w:div w:id="2111274586">
                  <w:marLeft w:val="0"/>
                  <w:marRight w:val="0"/>
                  <w:marTop w:val="0"/>
                  <w:marBottom w:val="0"/>
                  <w:divBdr>
                    <w:top w:val="none" w:sz="0" w:space="0" w:color="auto"/>
                    <w:left w:val="none" w:sz="0" w:space="0" w:color="auto"/>
                    <w:bottom w:val="none" w:sz="0" w:space="0" w:color="auto"/>
                    <w:right w:val="none" w:sz="0" w:space="0" w:color="auto"/>
                  </w:divBdr>
                  <w:divsChild>
                    <w:div w:id="59718984">
                      <w:marLeft w:val="0"/>
                      <w:marRight w:val="0"/>
                      <w:marTop w:val="0"/>
                      <w:marBottom w:val="0"/>
                      <w:divBdr>
                        <w:top w:val="none" w:sz="0" w:space="0" w:color="auto"/>
                        <w:left w:val="none" w:sz="0" w:space="0" w:color="auto"/>
                        <w:bottom w:val="none" w:sz="0" w:space="0" w:color="auto"/>
                        <w:right w:val="none" w:sz="0" w:space="0" w:color="auto"/>
                      </w:divBdr>
                    </w:div>
                  </w:divsChild>
                </w:div>
                <w:div w:id="2146770678">
                  <w:marLeft w:val="0"/>
                  <w:marRight w:val="0"/>
                  <w:marTop w:val="0"/>
                  <w:marBottom w:val="0"/>
                  <w:divBdr>
                    <w:top w:val="none" w:sz="0" w:space="0" w:color="auto"/>
                    <w:left w:val="none" w:sz="0" w:space="0" w:color="auto"/>
                    <w:bottom w:val="none" w:sz="0" w:space="0" w:color="auto"/>
                    <w:right w:val="none" w:sz="0" w:space="0" w:color="auto"/>
                  </w:divBdr>
                  <w:divsChild>
                    <w:div w:id="19966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492">
          <w:marLeft w:val="0"/>
          <w:marRight w:val="0"/>
          <w:marTop w:val="0"/>
          <w:marBottom w:val="0"/>
          <w:divBdr>
            <w:top w:val="none" w:sz="0" w:space="0" w:color="auto"/>
            <w:left w:val="none" w:sz="0" w:space="0" w:color="auto"/>
            <w:bottom w:val="none" w:sz="0" w:space="0" w:color="auto"/>
            <w:right w:val="none" w:sz="0" w:space="0" w:color="auto"/>
          </w:divBdr>
        </w:div>
        <w:div w:id="1849979235">
          <w:marLeft w:val="0"/>
          <w:marRight w:val="0"/>
          <w:marTop w:val="0"/>
          <w:marBottom w:val="0"/>
          <w:divBdr>
            <w:top w:val="none" w:sz="0" w:space="0" w:color="auto"/>
            <w:left w:val="none" w:sz="0" w:space="0" w:color="auto"/>
            <w:bottom w:val="none" w:sz="0" w:space="0" w:color="auto"/>
            <w:right w:val="none" w:sz="0" w:space="0" w:color="auto"/>
          </w:divBdr>
          <w:divsChild>
            <w:div w:id="1139148313">
              <w:marLeft w:val="-75"/>
              <w:marRight w:val="0"/>
              <w:marTop w:val="30"/>
              <w:marBottom w:val="30"/>
              <w:divBdr>
                <w:top w:val="none" w:sz="0" w:space="0" w:color="auto"/>
                <w:left w:val="none" w:sz="0" w:space="0" w:color="auto"/>
                <w:bottom w:val="none" w:sz="0" w:space="0" w:color="auto"/>
                <w:right w:val="none" w:sz="0" w:space="0" w:color="auto"/>
              </w:divBdr>
              <w:divsChild>
                <w:div w:id="97919799">
                  <w:marLeft w:val="0"/>
                  <w:marRight w:val="0"/>
                  <w:marTop w:val="0"/>
                  <w:marBottom w:val="0"/>
                  <w:divBdr>
                    <w:top w:val="none" w:sz="0" w:space="0" w:color="auto"/>
                    <w:left w:val="none" w:sz="0" w:space="0" w:color="auto"/>
                    <w:bottom w:val="none" w:sz="0" w:space="0" w:color="auto"/>
                    <w:right w:val="none" w:sz="0" w:space="0" w:color="auto"/>
                  </w:divBdr>
                  <w:divsChild>
                    <w:div w:id="270822044">
                      <w:marLeft w:val="0"/>
                      <w:marRight w:val="0"/>
                      <w:marTop w:val="0"/>
                      <w:marBottom w:val="0"/>
                      <w:divBdr>
                        <w:top w:val="none" w:sz="0" w:space="0" w:color="auto"/>
                        <w:left w:val="none" w:sz="0" w:space="0" w:color="auto"/>
                        <w:bottom w:val="none" w:sz="0" w:space="0" w:color="auto"/>
                        <w:right w:val="none" w:sz="0" w:space="0" w:color="auto"/>
                      </w:divBdr>
                    </w:div>
                  </w:divsChild>
                </w:div>
                <w:div w:id="232667292">
                  <w:marLeft w:val="0"/>
                  <w:marRight w:val="0"/>
                  <w:marTop w:val="0"/>
                  <w:marBottom w:val="0"/>
                  <w:divBdr>
                    <w:top w:val="none" w:sz="0" w:space="0" w:color="auto"/>
                    <w:left w:val="none" w:sz="0" w:space="0" w:color="auto"/>
                    <w:bottom w:val="none" w:sz="0" w:space="0" w:color="auto"/>
                    <w:right w:val="none" w:sz="0" w:space="0" w:color="auto"/>
                  </w:divBdr>
                  <w:divsChild>
                    <w:div w:id="371075542">
                      <w:marLeft w:val="0"/>
                      <w:marRight w:val="0"/>
                      <w:marTop w:val="0"/>
                      <w:marBottom w:val="0"/>
                      <w:divBdr>
                        <w:top w:val="none" w:sz="0" w:space="0" w:color="auto"/>
                        <w:left w:val="none" w:sz="0" w:space="0" w:color="auto"/>
                        <w:bottom w:val="none" w:sz="0" w:space="0" w:color="auto"/>
                        <w:right w:val="none" w:sz="0" w:space="0" w:color="auto"/>
                      </w:divBdr>
                    </w:div>
                  </w:divsChild>
                </w:div>
                <w:div w:id="265502739">
                  <w:marLeft w:val="0"/>
                  <w:marRight w:val="0"/>
                  <w:marTop w:val="0"/>
                  <w:marBottom w:val="0"/>
                  <w:divBdr>
                    <w:top w:val="none" w:sz="0" w:space="0" w:color="auto"/>
                    <w:left w:val="none" w:sz="0" w:space="0" w:color="auto"/>
                    <w:bottom w:val="none" w:sz="0" w:space="0" w:color="auto"/>
                    <w:right w:val="none" w:sz="0" w:space="0" w:color="auto"/>
                  </w:divBdr>
                  <w:divsChild>
                    <w:div w:id="440300699">
                      <w:marLeft w:val="0"/>
                      <w:marRight w:val="0"/>
                      <w:marTop w:val="0"/>
                      <w:marBottom w:val="0"/>
                      <w:divBdr>
                        <w:top w:val="none" w:sz="0" w:space="0" w:color="auto"/>
                        <w:left w:val="none" w:sz="0" w:space="0" w:color="auto"/>
                        <w:bottom w:val="none" w:sz="0" w:space="0" w:color="auto"/>
                        <w:right w:val="none" w:sz="0" w:space="0" w:color="auto"/>
                      </w:divBdr>
                    </w:div>
                  </w:divsChild>
                </w:div>
                <w:div w:id="377435503">
                  <w:marLeft w:val="0"/>
                  <w:marRight w:val="0"/>
                  <w:marTop w:val="0"/>
                  <w:marBottom w:val="0"/>
                  <w:divBdr>
                    <w:top w:val="none" w:sz="0" w:space="0" w:color="auto"/>
                    <w:left w:val="none" w:sz="0" w:space="0" w:color="auto"/>
                    <w:bottom w:val="none" w:sz="0" w:space="0" w:color="auto"/>
                    <w:right w:val="none" w:sz="0" w:space="0" w:color="auto"/>
                  </w:divBdr>
                  <w:divsChild>
                    <w:div w:id="1557424433">
                      <w:marLeft w:val="0"/>
                      <w:marRight w:val="0"/>
                      <w:marTop w:val="0"/>
                      <w:marBottom w:val="0"/>
                      <w:divBdr>
                        <w:top w:val="none" w:sz="0" w:space="0" w:color="auto"/>
                        <w:left w:val="none" w:sz="0" w:space="0" w:color="auto"/>
                        <w:bottom w:val="none" w:sz="0" w:space="0" w:color="auto"/>
                        <w:right w:val="none" w:sz="0" w:space="0" w:color="auto"/>
                      </w:divBdr>
                    </w:div>
                  </w:divsChild>
                </w:div>
                <w:div w:id="425274323">
                  <w:marLeft w:val="0"/>
                  <w:marRight w:val="0"/>
                  <w:marTop w:val="0"/>
                  <w:marBottom w:val="0"/>
                  <w:divBdr>
                    <w:top w:val="none" w:sz="0" w:space="0" w:color="auto"/>
                    <w:left w:val="none" w:sz="0" w:space="0" w:color="auto"/>
                    <w:bottom w:val="none" w:sz="0" w:space="0" w:color="auto"/>
                    <w:right w:val="none" w:sz="0" w:space="0" w:color="auto"/>
                  </w:divBdr>
                  <w:divsChild>
                    <w:div w:id="283585700">
                      <w:marLeft w:val="0"/>
                      <w:marRight w:val="0"/>
                      <w:marTop w:val="0"/>
                      <w:marBottom w:val="0"/>
                      <w:divBdr>
                        <w:top w:val="none" w:sz="0" w:space="0" w:color="auto"/>
                        <w:left w:val="none" w:sz="0" w:space="0" w:color="auto"/>
                        <w:bottom w:val="none" w:sz="0" w:space="0" w:color="auto"/>
                        <w:right w:val="none" w:sz="0" w:space="0" w:color="auto"/>
                      </w:divBdr>
                    </w:div>
                  </w:divsChild>
                </w:div>
                <w:div w:id="445976260">
                  <w:marLeft w:val="0"/>
                  <w:marRight w:val="0"/>
                  <w:marTop w:val="0"/>
                  <w:marBottom w:val="0"/>
                  <w:divBdr>
                    <w:top w:val="none" w:sz="0" w:space="0" w:color="auto"/>
                    <w:left w:val="none" w:sz="0" w:space="0" w:color="auto"/>
                    <w:bottom w:val="none" w:sz="0" w:space="0" w:color="auto"/>
                    <w:right w:val="none" w:sz="0" w:space="0" w:color="auto"/>
                  </w:divBdr>
                  <w:divsChild>
                    <w:div w:id="125126224">
                      <w:marLeft w:val="0"/>
                      <w:marRight w:val="0"/>
                      <w:marTop w:val="0"/>
                      <w:marBottom w:val="0"/>
                      <w:divBdr>
                        <w:top w:val="none" w:sz="0" w:space="0" w:color="auto"/>
                        <w:left w:val="none" w:sz="0" w:space="0" w:color="auto"/>
                        <w:bottom w:val="none" w:sz="0" w:space="0" w:color="auto"/>
                        <w:right w:val="none" w:sz="0" w:space="0" w:color="auto"/>
                      </w:divBdr>
                    </w:div>
                  </w:divsChild>
                </w:div>
                <w:div w:id="578250850">
                  <w:marLeft w:val="0"/>
                  <w:marRight w:val="0"/>
                  <w:marTop w:val="0"/>
                  <w:marBottom w:val="0"/>
                  <w:divBdr>
                    <w:top w:val="none" w:sz="0" w:space="0" w:color="auto"/>
                    <w:left w:val="none" w:sz="0" w:space="0" w:color="auto"/>
                    <w:bottom w:val="none" w:sz="0" w:space="0" w:color="auto"/>
                    <w:right w:val="none" w:sz="0" w:space="0" w:color="auto"/>
                  </w:divBdr>
                  <w:divsChild>
                    <w:div w:id="24671675">
                      <w:marLeft w:val="0"/>
                      <w:marRight w:val="0"/>
                      <w:marTop w:val="0"/>
                      <w:marBottom w:val="0"/>
                      <w:divBdr>
                        <w:top w:val="none" w:sz="0" w:space="0" w:color="auto"/>
                        <w:left w:val="none" w:sz="0" w:space="0" w:color="auto"/>
                        <w:bottom w:val="none" w:sz="0" w:space="0" w:color="auto"/>
                        <w:right w:val="none" w:sz="0" w:space="0" w:color="auto"/>
                      </w:divBdr>
                    </w:div>
                  </w:divsChild>
                </w:div>
                <w:div w:id="631137826">
                  <w:marLeft w:val="0"/>
                  <w:marRight w:val="0"/>
                  <w:marTop w:val="0"/>
                  <w:marBottom w:val="0"/>
                  <w:divBdr>
                    <w:top w:val="none" w:sz="0" w:space="0" w:color="auto"/>
                    <w:left w:val="none" w:sz="0" w:space="0" w:color="auto"/>
                    <w:bottom w:val="none" w:sz="0" w:space="0" w:color="auto"/>
                    <w:right w:val="none" w:sz="0" w:space="0" w:color="auto"/>
                  </w:divBdr>
                  <w:divsChild>
                    <w:div w:id="1883903712">
                      <w:marLeft w:val="0"/>
                      <w:marRight w:val="0"/>
                      <w:marTop w:val="0"/>
                      <w:marBottom w:val="0"/>
                      <w:divBdr>
                        <w:top w:val="none" w:sz="0" w:space="0" w:color="auto"/>
                        <w:left w:val="none" w:sz="0" w:space="0" w:color="auto"/>
                        <w:bottom w:val="none" w:sz="0" w:space="0" w:color="auto"/>
                        <w:right w:val="none" w:sz="0" w:space="0" w:color="auto"/>
                      </w:divBdr>
                    </w:div>
                  </w:divsChild>
                </w:div>
                <w:div w:id="758672202">
                  <w:marLeft w:val="0"/>
                  <w:marRight w:val="0"/>
                  <w:marTop w:val="0"/>
                  <w:marBottom w:val="0"/>
                  <w:divBdr>
                    <w:top w:val="none" w:sz="0" w:space="0" w:color="auto"/>
                    <w:left w:val="none" w:sz="0" w:space="0" w:color="auto"/>
                    <w:bottom w:val="none" w:sz="0" w:space="0" w:color="auto"/>
                    <w:right w:val="none" w:sz="0" w:space="0" w:color="auto"/>
                  </w:divBdr>
                  <w:divsChild>
                    <w:div w:id="127016419">
                      <w:marLeft w:val="0"/>
                      <w:marRight w:val="0"/>
                      <w:marTop w:val="0"/>
                      <w:marBottom w:val="0"/>
                      <w:divBdr>
                        <w:top w:val="none" w:sz="0" w:space="0" w:color="auto"/>
                        <w:left w:val="none" w:sz="0" w:space="0" w:color="auto"/>
                        <w:bottom w:val="none" w:sz="0" w:space="0" w:color="auto"/>
                        <w:right w:val="none" w:sz="0" w:space="0" w:color="auto"/>
                      </w:divBdr>
                    </w:div>
                  </w:divsChild>
                </w:div>
                <w:div w:id="801655503">
                  <w:marLeft w:val="0"/>
                  <w:marRight w:val="0"/>
                  <w:marTop w:val="0"/>
                  <w:marBottom w:val="0"/>
                  <w:divBdr>
                    <w:top w:val="none" w:sz="0" w:space="0" w:color="auto"/>
                    <w:left w:val="none" w:sz="0" w:space="0" w:color="auto"/>
                    <w:bottom w:val="none" w:sz="0" w:space="0" w:color="auto"/>
                    <w:right w:val="none" w:sz="0" w:space="0" w:color="auto"/>
                  </w:divBdr>
                  <w:divsChild>
                    <w:div w:id="1011496354">
                      <w:marLeft w:val="0"/>
                      <w:marRight w:val="0"/>
                      <w:marTop w:val="0"/>
                      <w:marBottom w:val="0"/>
                      <w:divBdr>
                        <w:top w:val="none" w:sz="0" w:space="0" w:color="auto"/>
                        <w:left w:val="none" w:sz="0" w:space="0" w:color="auto"/>
                        <w:bottom w:val="none" w:sz="0" w:space="0" w:color="auto"/>
                        <w:right w:val="none" w:sz="0" w:space="0" w:color="auto"/>
                      </w:divBdr>
                    </w:div>
                  </w:divsChild>
                </w:div>
                <w:div w:id="825586750">
                  <w:marLeft w:val="0"/>
                  <w:marRight w:val="0"/>
                  <w:marTop w:val="0"/>
                  <w:marBottom w:val="0"/>
                  <w:divBdr>
                    <w:top w:val="none" w:sz="0" w:space="0" w:color="auto"/>
                    <w:left w:val="none" w:sz="0" w:space="0" w:color="auto"/>
                    <w:bottom w:val="none" w:sz="0" w:space="0" w:color="auto"/>
                    <w:right w:val="none" w:sz="0" w:space="0" w:color="auto"/>
                  </w:divBdr>
                  <w:divsChild>
                    <w:div w:id="1452936835">
                      <w:marLeft w:val="0"/>
                      <w:marRight w:val="0"/>
                      <w:marTop w:val="0"/>
                      <w:marBottom w:val="0"/>
                      <w:divBdr>
                        <w:top w:val="none" w:sz="0" w:space="0" w:color="auto"/>
                        <w:left w:val="none" w:sz="0" w:space="0" w:color="auto"/>
                        <w:bottom w:val="none" w:sz="0" w:space="0" w:color="auto"/>
                        <w:right w:val="none" w:sz="0" w:space="0" w:color="auto"/>
                      </w:divBdr>
                    </w:div>
                  </w:divsChild>
                </w:div>
                <w:div w:id="867910345">
                  <w:marLeft w:val="0"/>
                  <w:marRight w:val="0"/>
                  <w:marTop w:val="0"/>
                  <w:marBottom w:val="0"/>
                  <w:divBdr>
                    <w:top w:val="none" w:sz="0" w:space="0" w:color="auto"/>
                    <w:left w:val="none" w:sz="0" w:space="0" w:color="auto"/>
                    <w:bottom w:val="none" w:sz="0" w:space="0" w:color="auto"/>
                    <w:right w:val="none" w:sz="0" w:space="0" w:color="auto"/>
                  </w:divBdr>
                  <w:divsChild>
                    <w:div w:id="1877154566">
                      <w:marLeft w:val="0"/>
                      <w:marRight w:val="0"/>
                      <w:marTop w:val="0"/>
                      <w:marBottom w:val="0"/>
                      <w:divBdr>
                        <w:top w:val="none" w:sz="0" w:space="0" w:color="auto"/>
                        <w:left w:val="none" w:sz="0" w:space="0" w:color="auto"/>
                        <w:bottom w:val="none" w:sz="0" w:space="0" w:color="auto"/>
                        <w:right w:val="none" w:sz="0" w:space="0" w:color="auto"/>
                      </w:divBdr>
                    </w:div>
                  </w:divsChild>
                </w:div>
                <w:div w:id="973368101">
                  <w:marLeft w:val="0"/>
                  <w:marRight w:val="0"/>
                  <w:marTop w:val="0"/>
                  <w:marBottom w:val="0"/>
                  <w:divBdr>
                    <w:top w:val="none" w:sz="0" w:space="0" w:color="auto"/>
                    <w:left w:val="none" w:sz="0" w:space="0" w:color="auto"/>
                    <w:bottom w:val="none" w:sz="0" w:space="0" w:color="auto"/>
                    <w:right w:val="none" w:sz="0" w:space="0" w:color="auto"/>
                  </w:divBdr>
                  <w:divsChild>
                    <w:div w:id="1422943911">
                      <w:marLeft w:val="0"/>
                      <w:marRight w:val="0"/>
                      <w:marTop w:val="0"/>
                      <w:marBottom w:val="0"/>
                      <w:divBdr>
                        <w:top w:val="none" w:sz="0" w:space="0" w:color="auto"/>
                        <w:left w:val="none" w:sz="0" w:space="0" w:color="auto"/>
                        <w:bottom w:val="none" w:sz="0" w:space="0" w:color="auto"/>
                        <w:right w:val="none" w:sz="0" w:space="0" w:color="auto"/>
                      </w:divBdr>
                    </w:div>
                  </w:divsChild>
                </w:div>
                <w:div w:id="1051882760">
                  <w:marLeft w:val="0"/>
                  <w:marRight w:val="0"/>
                  <w:marTop w:val="0"/>
                  <w:marBottom w:val="0"/>
                  <w:divBdr>
                    <w:top w:val="none" w:sz="0" w:space="0" w:color="auto"/>
                    <w:left w:val="none" w:sz="0" w:space="0" w:color="auto"/>
                    <w:bottom w:val="none" w:sz="0" w:space="0" w:color="auto"/>
                    <w:right w:val="none" w:sz="0" w:space="0" w:color="auto"/>
                  </w:divBdr>
                  <w:divsChild>
                    <w:div w:id="1637182556">
                      <w:marLeft w:val="0"/>
                      <w:marRight w:val="0"/>
                      <w:marTop w:val="0"/>
                      <w:marBottom w:val="0"/>
                      <w:divBdr>
                        <w:top w:val="none" w:sz="0" w:space="0" w:color="auto"/>
                        <w:left w:val="none" w:sz="0" w:space="0" w:color="auto"/>
                        <w:bottom w:val="none" w:sz="0" w:space="0" w:color="auto"/>
                        <w:right w:val="none" w:sz="0" w:space="0" w:color="auto"/>
                      </w:divBdr>
                    </w:div>
                  </w:divsChild>
                </w:div>
                <w:div w:id="1071392216">
                  <w:marLeft w:val="0"/>
                  <w:marRight w:val="0"/>
                  <w:marTop w:val="0"/>
                  <w:marBottom w:val="0"/>
                  <w:divBdr>
                    <w:top w:val="none" w:sz="0" w:space="0" w:color="auto"/>
                    <w:left w:val="none" w:sz="0" w:space="0" w:color="auto"/>
                    <w:bottom w:val="none" w:sz="0" w:space="0" w:color="auto"/>
                    <w:right w:val="none" w:sz="0" w:space="0" w:color="auto"/>
                  </w:divBdr>
                  <w:divsChild>
                    <w:div w:id="724840059">
                      <w:marLeft w:val="0"/>
                      <w:marRight w:val="0"/>
                      <w:marTop w:val="0"/>
                      <w:marBottom w:val="0"/>
                      <w:divBdr>
                        <w:top w:val="none" w:sz="0" w:space="0" w:color="auto"/>
                        <w:left w:val="none" w:sz="0" w:space="0" w:color="auto"/>
                        <w:bottom w:val="none" w:sz="0" w:space="0" w:color="auto"/>
                        <w:right w:val="none" w:sz="0" w:space="0" w:color="auto"/>
                      </w:divBdr>
                    </w:div>
                  </w:divsChild>
                </w:div>
                <w:div w:id="1080911123">
                  <w:marLeft w:val="0"/>
                  <w:marRight w:val="0"/>
                  <w:marTop w:val="0"/>
                  <w:marBottom w:val="0"/>
                  <w:divBdr>
                    <w:top w:val="none" w:sz="0" w:space="0" w:color="auto"/>
                    <w:left w:val="none" w:sz="0" w:space="0" w:color="auto"/>
                    <w:bottom w:val="none" w:sz="0" w:space="0" w:color="auto"/>
                    <w:right w:val="none" w:sz="0" w:space="0" w:color="auto"/>
                  </w:divBdr>
                  <w:divsChild>
                    <w:div w:id="470362347">
                      <w:marLeft w:val="0"/>
                      <w:marRight w:val="0"/>
                      <w:marTop w:val="0"/>
                      <w:marBottom w:val="0"/>
                      <w:divBdr>
                        <w:top w:val="none" w:sz="0" w:space="0" w:color="auto"/>
                        <w:left w:val="none" w:sz="0" w:space="0" w:color="auto"/>
                        <w:bottom w:val="none" w:sz="0" w:space="0" w:color="auto"/>
                        <w:right w:val="none" w:sz="0" w:space="0" w:color="auto"/>
                      </w:divBdr>
                    </w:div>
                  </w:divsChild>
                </w:div>
                <w:div w:id="1200706219">
                  <w:marLeft w:val="0"/>
                  <w:marRight w:val="0"/>
                  <w:marTop w:val="0"/>
                  <w:marBottom w:val="0"/>
                  <w:divBdr>
                    <w:top w:val="none" w:sz="0" w:space="0" w:color="auto"/>
                    <w:left w:val="none" w:sz="0" w:space="0" w:color="auto"/>
                    <w:bottom w:val="none" w:sz="0" w:space="0" w:color="auto"/>
                    <w:right w:val="none" w:sz="0" w:space="0" w:color="auto"/>
                  </w:divBdr>
                  <w:divsChild>
                    <w:div w:id="1885948481">
                      <w:marLeft w:val="0"/>
                      <w:marRight w:val="0"/>
                      <w:marTop w:val="0"/>
                      <w:marBottom w:val="0"/>
                      <w:divBdr>
                        <w:top w:val="none" w:sz="0" w:space="0" w:color="auto"/>
                        <w:left w:val="none" w:sz="0" w:space="0" w:color="auto"/>
                        <w:bottom w:val="none" w:sz="0" w:space="0" w:color="auto"/>
                        <w:right w:val="none" w:sz="0" w:space="0" w:color="auto"/>
                      </w:divBdr>
                    </w:div>
                  </w:divsChild>
                </w:div>
                <w:div w:id="1228951992">
                  <w:marLeft w:val="0"/>
                  <w:marRight w:val="0"/>
                  <w:marTop w:val="0"/>
                  <w:marBottom w:val="0"/>
                  <w:divBdr>
                    <w:top w:val="none" w:sz="0" w:space="0" w:color="auto"/>
                    <w:left w:val="none" w:sz="0" w:space="0" w:color="auto"/>
                    <w:bottom w:val="none" w:sz="0" w:space="0" w:color="auto"/>
                    <w:right w:val="none" w:sz="0" w:space="0" w:color="auto"/>
                  </w:divBdr>
                  <w:divsChild>
                    <w:div w:id="265160756">
                      <w:marLeft w:val="0"/>
                      <w:marRight w:val="0"/>
                      <w:marTop w:val="0"/>
                      <w:marBottom w:val="0"/>
                      <w:divBdr>
                        <w:top w:val="none" w:sz="0" w:space="0" w:color="auto"/>
                        <w:left w:val="none" w:sz="0" w:space="0" w:color="auto"/>
                        <w:bottom w:val="none" w:sz="0" w:space="0" w:color="auto"/>
                        <w:right w:val="none" w:sz="0" w:space="0" w:color="auto"/>
                      </w:divBdr>
                    </w:div>
                  </w:divsChild>
                </w:div>
                <w:div w:id="1282765387">
                  <w:marLeft w:val="0"/>
                  <w:marRight w:val="0"/>
                  <w:marTop w:val="0"/>
                  <w:marBottom w:val="0"/>
                  <w:divBdr>
                    <w:top w:val="none" w:sz="0" w:space="0" w:color="auto"/>
                    <w:left w:val="none" w:sz="0" w:space="0" w:color="auto"/>
                    <w:bottom w:val="none" w:sz="0" w:space="0" w:color="auto"/>
                    <w:right w:val="none" w:sz="0" w:space="0" w:color="auto"/>
                  </w:divBdr>
                  <w:divsChild>
                    <w:div w:id="1599218609">
                      <w:marLeft w:val="0"/>
                      <w:marRight w:val="0"/>
                      <w:marTop w:val="0"/>
                      <w:marBottom w:val="0"/>
                      <w:divBdr>
                        <w:top w:val="none" w:sz="0" w:space="0" w:color="auto"/>
                        <w:left w:val="none" w:sz="0" w:space="0" w:color="auto"/>
                        <w:bottom w:val="none" w:sz="0" w:space="0" w:color="auto"/>
                        <w:right w:val="none" w:sz="0" w:space="0" w:color="auto"/>
                      </w:divBdr>
                    </w:div>
                  </w:divsChild>
                </w:div>
                <w:div w:id="1310940708">
                  <w:marLeft w:val="0"/>
                  <w:marRight w:val="0"/>
                  <w:marTop w:val="0"/>
                  <w:marBottom w:val="0"/>
                  <w:divBdr>
                    <w:top w:val="none" w:sz="0" w:space="0" w:color="auto"/>
                    <w:left w:val="none" w:sz="0" w:space="0" w:color="auto"/>
                    <w:bottom w:val="none" w:sz="0" w:space="0" w:color="auto"/>
                    <w:right w:val="none" w:sz="0" w:space="0" w:color="auto"/>
                  </w:divBdr>
                  <w:divsChild>
                    <w:div w:id="657851157">
                      <w:marLeft w:val="0"/>
                      <w:marRight w:val="0"/>
                      <w:marTop w:val="0"/>
                      <w:marBottom w:val="0"/>
                      <w:divBdr>
                        <w:top w:val="none" w:sz="0" w:space="0" w:color="auto"/>
                        <w:left w:val="none" w:sz="0" w:space="0" w:color="auto"/>
                        <w:bottom w:val="none" w:sz="0" w:space="0" w:color="auto"/>
                        <w:right w:val="none" w:sz="0" w:space="0" w:color="auto"/>
                      </w:divBdr>
                    </w:div>
                  </w:divsChild>
                </w:div>
                <w:div w:id="1315377390">
                  <w:marLeft w:val="0"/>
                  <w:marRight w:val="0"/>
                  <w:marTop w:val="0"/>
                  <w:marBottom w:val="0"/>
                  <w:divBdr>
                    <w:top w:val="none" w:sz="0" w:space="0" w:color="auto"/>
                    <w:left w:val="none" w:sz="0" w:space="0" w:color="auto"/>
                    <w:bottom w:val="none" w:sz="0" w:space="0" w:color="auto"/>
                    <w:right w:val="none" w:sz="0" w:space="0" w:color="auto"/>
                  </w:divBdr>
                  <w:divsChild>
                    <w:div w:id="966550263">
                      <w:marLeft w:val="0"/>
                      <w:marRight w:val="0"/>
                      <w:marTop w:val="0"/>
                      <w:marBottom w:val="0"/>
                      <w:divBdr>
                        <w:top w:val="none" w:sz="0" w:space="0" w:color="auto"/>
                        <w:left w:val="none" w:sz="0" w:space="0" w:color="auto"/>
                        <w:bottom w:val="none" w:sz="0" w:space="0" w:color="auto"/>
                        <w:right w:val="none" w:sz="0" w:space="0" w:color="auto"/>
                      </w:divBdr>
                    </w:div>
                  </w:divsChild>
                </w:div>
                <w:div w:id="1490444454">
                  <w:marLeft w:val="0"/>
                  <w:marRight w:val="0"/>
                  <w:marTop w:val="0"/>
                  <w:marBottom w:val="0"/>
                  <w:divBdr>
                    <w:top w:val="none" w:sz="0" w:space="0" w:color="auto"/>
                    <w:left w:val="none" w:sz="0" w:space="0" w:color="auto"/>
                    <w:bottom w:val="none" w:sz="0" w:space="0" w:color="auto"/>
                    <w:right w:val="none" w:sz="0" w:space="0" w:color="auto"/>
                  </w:divBdr>
                  <w:divsChild>
                    <w:div w:id="254293181">
                      <w:marLeft w:val="0"/>
                      <w:marRight w:val="0"/>
                      <w:marTop w:val="0"/>
                      <w:marBottom w:val="0"/>
                      <w:divBdr>
                        <w:top w:val="none" w:sz="0" w:space="0" w:color="auto"/>
                        <w:left w:val="none" w:sz="0" w:space="0" w:color="auto"/>
                        <w:bottom w:val="none" w:sz="0" w:space="0" w:color="auto"/>
                        <w:right w:val="none" w:sz="0" w:space="0" w:color="auto"/>
                      </w:divBdr>
                    </w:div>
                  </w:divsChild>
                </w:div>
                <w:div w:id="1498302226">
                  <w:marLeft w:val="0"/>
                  <w:marRight w:val="0"/>
                  <w:marTop w:val="0"/>
                  <w:marBottom w:val="0"/>
                  <w:divBdr>
                    <w:top w:val="none" w:sz="0" w:space="0" w:color="auto"/>
                    <w:left w:val="none" w:sz="0" w:space="0" w:color="auto"/>
                    <w:bottom w:val="none" w:sz="0" w:space="0" w:color="auto"/>
                    <w:right w:val="none" w:sz="0" w:space="0" w:color="auto"/>
                  </w:divBdr>
                  <w:divsChild>
                    <w:div w:id="541477705">
                      <w:marLeft w:val="0"/>
                      <w:marRight w:val="0"/>
                      <w:marTop w:val="0"/>
                      <w:marBottom w:val="0"/>
                      <w:divBdr>
                        <w:top w:val="none" w:sz="0" w:space="0" w:color="auto"/>
                        <w:left w:val="none" w:sz="0" w:space="0" w:color="auto"/>
                        <w:bottom w:val="none" w:sz="0" w:space="0" w:color="auto"/>
                        <w:right w:val="none" w:sz="0" w:space="0" w:color="auto"/>
                      </w:divBdr>
                    </w:div>
                  </w:divsChild>
                </w:div>
                <w:div w:id="1512112167">
                  <w:marLeft w:val="0"/>
                  <w:marRight w:val="0"/>
                  <w:marTop w:val="0"/>
                  <w:marBottom w:val="0"/>
                  <w:divBdr>
                    <w:top w:val="none" w:sz="0" w:space="0" w:color="auto"/>
                    <w:left w:val="none" w:sz="0" w:space="0" w:color="auto"/>
                    <w:bottom w:val="none" w:sz="0" w:space="0" w:color="auto"/>
                    <w:right w:val="none" w:sz="0" w:space="0" w:color="auto"/>
                  </w:divBdr>
                  <w:divsChild>
                    <w:div w:id="70321735">
                      <w:marLeft w:val="0"/>
                      <w:marRight w:val="0"/>
                      <w:marTop w:val="0"/>
                      <w:marBottom w:val="0"/>
                      <w:divBdr>
                        <w:top w:val="none" w:sz="0" w:space="0" w:color="auto"/>
                        <w:left w:val="none" w:sz="0" w:space="0" w:color="auto"/>
                        <w:bottom w:val="none" w:sz="0" w:space="0" w:color="auto"/>
                        <w:right w:val="none" w:sz="0" w:space="0" w:color="auto"/>
                      </w:divBdr>
                    </w:div>
                  </w:divsChild>
                </w:div>
                <w:div w:id="1705863548">
                  <w:marLeft w:val="0"/>
                  <w:marRight w:val="0"/>
                  <w:marTop w:val="0"/>
                  <w:marBottom w:val="0"/>
                  <w:divBdr>
                    <w:top w:val="none" w:sz="0" w:space="0" w:color="auto"/>
                    <w:left w:val="none" w:sz="0" w:space="0" w:color="auto"/>
                    <w:bottom w:val="none" w:sz="0" w:space="0" w:color="auto"/>
                    <w:right w:val="none" w:sz="0" w:space="0" w:color="auto"/>
                  </w:divBdr>
                  <w:divsChild>
                    <w:div w:id="317149105">
                      <w:marLeft w:val="0"/>
                      <w:marRight w:val="0"/>
                      <w:marTop w:val="0"/>
                      <w:marBottom w:val="0"/>
                      <w:divBdr>
                        <w:top w:val="none" w:sz="0" w:space="0" w:color="auto"/>
                        <w:left w:val="none" w:sz="0" w:space="0" w:color="auto"/>
                        <w:bottom w:val="none" w:sz="0" w:space="0" w:color="auto"/>
                        <w:right w:val="none" w:sz="0" w:space="0" w:color="auto"/>
                      </w:divBdr>
                    </w:div>
                  </w:divsChild>
                </w:div>
                <w:div w:id="1705985326">
                  <w:marLeft w:val="0"/>
                  <w:marRight w:val="0"/>
                  <w:marTop w:val="0"/>
                  <w:marBottom w:val="0"/>
                  <w:divBdr>
                    <w:top w:val="none" w:sz="0" w:space="0" w:color="auto"/>
                    <w:left w:val="none" w:sz="0" w:space="0" w:color="auto"/>
                    <w:bottom w:val="none" w:sz="0" w:space="0" w:color="auto"/>
                    <w:right w:val="none" w:sz="0" w:space="0" w:color="auto"/>
                  </w:divBdr>
                  <w:divsChild>
                    <w:div w:id="1933278593">
                      <w:marLeft w:val="0"/>
                      <w:marRight w:val="0"/>
                      <w:marTop w:val="0"/>
                      <w:marBottom w:val="0"/>
                      <w:divBdr>
                        <w:top w:val="none" w:sz="0" w:space="0" w:color="auto"/>
                        <w:left w:val="none" w:sz="0" w:space="0" w:color="auto"/>
                        <w:bottom w:val="none" w:sz="0" w:space="0" w:color="auto"/>
                        <w:right w:val="none" w:sz="0" w:space="0" w:color="auto"/>
                      </w:divBdr>
                    </w:div>
                  </w:divsChild>
                </w:div>
                <w:div w:id="1734232486">
                  <w:marLeft w:val="0"/>
                  <w:marRight w:val="0"/>
                  <w:marTop w:val="0"/>
                  <w:marBottom w:val="0"/>
                  <w:divBdr>
                    <w:top w:val="none" w:sz="0" w:space="0" w:color="auto"/>
                    <w:left w:val="none" w:sz="0" w:space="0" w:color="auto"/>
                    <w:bottom w:val="none" w:sz="0" w:space="0" w:color="auto"/>
                    <w:right w:val="none" w:sz="0" w:space="0" w:color="auto"/>
                  </w:divBdr>
                  <w:divsChild>
                    <w:div w:id="1103114246">
                      <w:marLeft w:val="0"/>
                      <w:marRight w:val="0"/>
                      <w:marTop w:val="0"/>
                      <w:marBottom w:val="0"/>
                      <w:divBdr>
                        <w:top w:val="none" w:sz="0" w:space="0" w:color="auto"/>
                        <w:left w:val="none" w:sz="0" w:space="0" w:color="auto"/>
                        <w:bottom w:val="none" w:sz="0" w:space="0" w:color="auto"/>
                        <w:right w:val="none" w:sz="0" w:space="0" w:color="auto"/>
                      </w:divBdr>
                    </w:div>
                  </w:divsChild>
                </w:div>
                <w:div w:id="1754156053">
                  <w:marLeft w:val="0"/>
                  <w:marRight w:val="0"/>
                  <w:marTop w:val="0"/>
                  <w:marBottom w:val="0"/>
                  <w:divBdr>
                    <w:top w:val="none" w:sz="0" w:space="0" w:color="auto"/>
                    <w:left w:val="none" w:sz="0" w:space="0" w:color="auto"/>
                    <w:bottom w:val="none" w:sz="0" w:space="0" w:color="auto"/>
                    <w:right w:val="none" w:sz="0" w:space="0" w:color="auto"/>
                  </w:divBdr>
                  <w:divsChild>
                    <w:div w:id="1851335458">
                      <w:marLeft w:val="0"/>
                      <w:marRight w:val="0"/>
                      <w:marTop w:val="0"/>
                      <w:marBottom w:val="0"/>
                      <w:divBdr>
                        <w:top w:val="none" w:sz="0" w:space="0" w:color="auto"/>
                        <w:left w:val="none" w:sz="0" w:space="0" w:color="auto"/>
                        <w:bottom w:val="none" w:sz="0" w:space="0" w:color="auto"/>
                        <w:right w:val="none" w:sz="0" w:space="0" w:color="auto"/>
                      </w:divBdr>
                    </w:div>
                  </w:divsChild>
                </w:div>
                <w:div w:id="1959599016">
                  <w:marLeft w:val="0"/>
                  <w:marRight w:val="0"/>
                  <w:marTop w:val="0"/>
                  <w:marBottom w:val="0"/>
                  <w:divBdr>
                    <w:top w:val="none" w:sz="0" w:space="0" w:color="auto"/>
                    <w:left w:val="none" w:sz="0" w:space="0" w:color="auto"/>
                    <w:bottom w:val="none" w:sz="0" w:space="0" w:color="auto"/>
                    <w:right w:val="none" w:sz="0" w:space="0" w:color="auto"/>
                  </w:divBdr>
                  <w:divsChild>
                    <w:div w:id="212277686">
                      <w:marLeft w:val="0"/>
                      <w:marRight w:val="0"/>
                      <w:marTop w:val="0"/>
                      <w:marBottom w:val="0"/>
                      <w:divBdr>
                        <w:top w:val="none" w:sz="0" w:space="0" w:color="auto"/>
                        <w:left w:val="none" w:sz="0" w:space="0" w:color="auto"/>
                        <w:bottom w:val="none" w:sz="0" w:space="0" w:color="auto"/>
                        <w:right w:val="none" w:sz="0" w:space="0" w:color="auto"/>
                      </w:divBdr>
                    </w:div>
                  </w:divsChild>
                </w:div>
                <w:div w:id="2017030619">
                  <w:marLeft w:val="0"/>
                  <w:marRight w:val="0"/>
                  <w:marTop w:val="0"/>
                  <w:marBottom w:val="0"/>
                  <w:divBdr>
                    <w:top w:val="none" w:sz="0" w:space="0" w:color="auto"/>
                    <w:left w:val="none" w:sz="0" w:space="0" w:color="auto"/>
                    <w:bottom w:val="none" w:sz="0" w:space="0" w:color="auto"/>
                    <w:right w:val="none" w:sz="0" w:space="0" w:color="auto"/>
                  </w:divBdr>
                  <w:divsChild>
                    <w:div w:id="40134633">
                      <w:marLeft w:val="0"/>
                      <w:marRight w:val="0"/>
                      <w:marTop w:val="0"/>
                      <w:marBottom w:val="0"/>
                      <w:divBdr>
                        <w:top w:val="none" w:sz="0" w:space="0" w:color="auto"/>
                        <w:left w:val="none" w:sz="0" w:space="0" w:color="auto"/>
                        <w:bottom w:val="none" w:sz="0" w:space="0" w:color="auto"/>
                        <w:right w:val="none" w:sz="0" w:space="0" w:color="auto"/>
                      </w:divBdr>
                    </w:div>
                  </w:divsChild>
                </w:div>
                <w:div w:id="2023780427">
                  <w:marLeft w:val="0"/>
                  <w:marRight w:val="0"/>
                  <w:marTop w:val="0"/>
                  <w:marBottom w:val="0"/>
                  <w:divBdr>
                    <w:top w:val="none" w:sz="0" w:space="0" w:color="auto"/>
                    <w:left w:val="none" w:sz="0" w:space="0" w:color="auto"/>
                    <w:bottom w:val="none" w:sz="0" w:space="0" w:color="auto"/>
                    <w:right w:val="none" w:sz="0" w:space="0" w:color="auto"/>
                  </w:divBdr>
                  <w:divsChild>
                    <w:div w:id="2114745085">
                      <w:marLeft w:val="0"/>
                      <w:marRight w:val="0"/>
                      <w:marTop w:val="0"/>
                      <w:marBottom w:val="0"/>
                      <w:divBdr>
                        <w:top w:val="none" w:sz="0" w:space="0" w:color="auto"/>
                        <w:left w:val="none" w:sz="0" w:space="0" w:color="auto"/>
                        <w:bottom w:val="none" w:sz="0" w:space="0" w:color="auto"/>
                        <w:right w:val="none" w:sz="0" w:space="0" w:color="auto"/>
                      </w:divBdr>
                    </w:div>
                  </w:divsChild>
                </w:div>
                <w:div w:id="2081711652">
                  <w:marLeft w:val="0"/>
                  <w:marRight w:val="0"/>
                  <w:marTop w:val="0"/>
                  <w:marBottom w:val="0"/>
                  <w:divBdr>
                    <w:top w:val="none" w:sz="0" w:space="0" w:color="auto"/>
                    <w:left w:val="none" w:sz="0" w:space="0" w:color="auto"/>
                    <w:bottom w:val="none" w:sz="0" w:space="0" w:color="auto"/>
                    <w:right w:val="none" w:sz="0" w:space="0" w:color="auto"/>
                  </w:divBdr>
                  <w:divsChild>
                    <w:div w:id="15967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0702">
          <w:marLeft w:val="0"/>
          <w:marRight w:val="0"/>
          <w:marTop w:val="0"/>
          <w:marBottom w:val="0"/>
          <w:divBdr>
            <w:top w:val="none" w:sz="0" w:space="0" w:color="auto"/>
            <w:left w:val="none" w:sz="0" w:space="0" w:color="auto"/>
            <w:bottom w:val="none" w:sz="0" w:space="0" w:color="auto"/>
            <w:right w:val="none" w:sz="0" w:space="0" w:color="auto"/>
          </w:divBdr>
        </w:div>
      </w:divsChild>
    </w:div>
    <w:div w:id="1911965348">
      <w:bodyDiv w:val="1"/>
      <w:marLeft w:val="0"/>
      <w:marRight w:val="0"/>
      <w:marTop w:val="0"/>
      <w:marBottom w:val="0"/>
      <w:divBdr>
        <w:top w:val="none" w:sz="0" w:space="0" w:color="auto"/>
        <w:left w:val="none" w:sz="0" w:space="0" w:color="auto"/>
        <w:bottom w:val="none" w:sz="0" w:space="0" w:color="auto"/>
        <w:right w:val="none" w:sz="0" w:space="0" w:color="auto"/>
      </w:divBdr>
    </w:div>
    <w:div w:id="1914777770">
      <w:bodyDiv w:val="1"/>
      <w:marLeft w:val="0"/>
      <w:marRight w:val="0"/>
      <w:marTop w:val="0"/>
      <w:marBottom w:val="0"/>
      <w:divBdr>
        <w:top w:val="none" w:sz="0" w:space="0" w:color="auto"/>
        <w:left w:val="none" w:sz="0" w:space="0" w:color="auto"/>
        <w:bottom w:val="none" w:sz="0" w:space="0" w:color="auto"/>
        <w:right w:val="none" w:sz="0" w:space="0" w:color="auto"/>
      </w:divBdr>
    </w:div>
    <w:div w:id="20377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aihw.gov.au/reports-data/myhospitals/sectors/admitted-patients" TargetMode="External"/><Relationship Id="rId20" Type="http://schemas.openxmlformats.org/officeDocument/2006/relationships/hyperlink" Target="https://www.health.gov.au/resources/publications/data-request-for-the-private-hospital-sector-financial-health-che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abs.gov.au/statistics/industry/industry-overview/australian-industry/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E4DD089086E54081DA8A0B05B09261" ma:contentTypeVersion="15" ma:contentTypeDescription="Create a new document." ma:contentTypeScope="" ma:versionID="10bd705ad6388bce652de35671cc08df">
  <xsd:schema xmlns:xsd="http://www.w3.org/2001/XMLSchema" xmlns:xs="http://www.w3.org/2001/XMLSchema" xmlns:p="http://schemas.microsoft.com/office/2006/metadata/properties" xmlns:ns2="3797bb95-ae5a-418a-8ddb-48b15dfc5543" xmlns:ns3="3fa5e915-27ce-4ef5-a7b5-cb49c3aef0d2" targetNamespace="http://schemas.microsoft.com/office/2006/metadata/properties" ma:root="true" ma:fieldsID="a1e10d1d481d5facb271368bdf912116" ns2:_="" ns3:_="">
    <xsd:import namespace="3797bb95-ae5a-418a-8ddb-48b15dfc5543"/>
    <xsd:import namespace="3fa5e915-27ce-4ef5-a7b5-cb49c3aef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2:Commen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b95-ae5a-418a-8ddb-48b15dfc5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description="Where is the status of the file" ma:format="Dropdown" ma:internalName="Status">
      <xsd:simpleType>
        <xsd:union memberTypes="dms:Text">
          <xsd:simpleType>
            <xsd:restriction base="dms:Choice">
              <xsd:enumeration value="Finalised"/>
              <xsd:enumeration value="In Progress"/>
              <xsd:enumeration value="Temp"/>
              <xsd:enumeration value="Deprecated/Superseded"/>
              <xsd:enumeration value="Archive"/>
            </xsd:restriction>
          </xsd:simpleType>
        </xsd:union>
      </xsd:simpleType>
    </xsd:element>
    <xsd:element name="Comment" ma:index="13" nillable="true" ma:displayName="Comment" ma:format="Dropdown" ma:internalName="Comment">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description="Notes to the team staff on the docume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5e915-27ce-4ef5-a7b5-cb49c3aef0d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d15cfe-245f-4bbe-8a2b-044be18b3913}" ma:internalName="TaxCatchAll" ma:showField="CatchAllData" ma:web="3fa5e915-27ce-4ef5-a7b5-cb49c3aef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a5e915-27ce-4ef5-a7b5-cb49c3aef0d2" xsi:nil="true"/>
    <lcf76f155ced4ddcb4097134ff3c332f xmlns="3797bb95-ae5a-418a-8ddb-48b15dfc5543">
      <Terms xmlns="http://schemas.microsoft.com/office/infopath/2007/PartnerControls"/>
    </lcf76f155ced4ddcb4097134ff3c332f>
    <Comment xmlns="3797bb95-ae5a-418a-8ddb-48b15dfc5543" xsi:nil="true"/>
    <Notes xmlns="3797bb95-ae5a-418a-8ddb-48b15dfc5543" xsi:nil="true"/>
    <Status xmlns="3797bb95-ae5a-418a-8ddb-48b15dfc5543" xsi:nil="true"/>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8D845BA-4738-4CAF-980B-C75B5A8FD748}">
  <ds:schemaRefs>
    <ds:schemaRef ds:uri="http://schemas.openxmlformats.org/officeDocument/2006/bibliography"/>
  </ds:schemaRefs>
</ds:datastoreItem>
</file>

<file path=customXml/itemProps3.xml><?xml version="1.0" encoding="utf-8"?>
<ds:datastoreItem xmlns:ds="http://schemas.openxmlformats.org/officeDocument/2006/customXml" ds:itemID="{4475B784-9B0B-427B-9229-2123D1A9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b95-ae5a-418a-8ddb-48b15dfc5543"/>
    <ds:schemaRef ds:uri="3fa5e915-27ce-4ef5-a7b5-cb49c3ae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3797bb95-ae5a-418a-8ddb-48b15dfc5543"/>
    <ds:schemaRef ds:uri="http://purl.org/dc/terms/"/>
    <ds:schemaRef ds:uri="3fa5e915-27ce-4ef5-a7b5-cb49c3aef0d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1983</Words>
  <Characters>11573</Characters>
  <Application>Microsoft Office Word</Application>
  <DocSecurity>4</DocSecurity>
  <Lines>249</Lines>
  <Paragraphs>144</Paragraphs>
  <ScaleCrop>false</ScaleCrop>
  <HeadingPairs>
    <vt:vector size="2" baseType="variant">
      <vt:variant>
        <vt:lpstr>Title</vt:lpstr>
      </vt:variant>
      <vt:variant>
        <vt:i4>1</vt:i4>
      </vt:variant>
    </vt:vector>
  </HeadingPairs>
  <TitlesOfParts>
    <vt:vector size="1" baseType="lpstr">
      <vt:lpstr>Private Hospital Sector Financial Health Check – Summary</vt:lpstr>
    </vt:vector>
  </TitlesOfParts>
  <Company/>
  <LinksUpToDate>false</LinksUpToDate>
  <CharactersWithSpaces>13466</CharactersWithSpaces>
  <SharedDoc>false</SharedDoc>
  <HLinks>
    <vt:vector size="12" baseType="variant">
      <vt:variant>
        <vt:i4>5242907</vt:i4>
      </vt:variant>
      <vt:variant>
        <vt:i4>3</vt:i4>
      </vt:variant>
      <vt:variant>
        <vt:i4>0</vt:i4>
      </vt:variant>
      <vt:variant>
        <vt:i4>5</vt:i4>
      </vt:variant>
      <vt:variant>
        <vt:lpwstr>https://www.abs.gov.au/statistics/industry/industry-overview/australian-industry/latest-release</vt:lpwstr>
      </vt:variant>
      <vt:variant>
        <vt:lpwstr>data-downloads</vt:lpwstr>
      </vt:variant>
      <vt:variant>
        <vt:i4>8257658</vt:i4>
      </vt:variant>
      <vt:variant>
        <vt:i4>0</vt:i4>
      </vt:variant>
      <vt:variant>
        <vt:i4>0</vt:i4>
      </vt:variant>
      <vt:variant>
        <vt:i4>5</vt:i4>
      </vt:variant>
      <vt:variant>
        <vt:lpwstr>https://www.aihw.gov.au/reports-data/myhospitals/sectors/admitted-patients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Hospital Sector Financial Health Check – Summary</dc:title>
  <dc:subject>Hospital care</dc:subject>
  <dc:creator>Australian Government Department of Health and Aged Care</dc:creator>
  <cp:keywords>Hospital care</cp:keywords>
  <cp:lastPrinted>2024-10-17T22:38:00Z</cp:lastPrinted>
  <dcterms:created xsi:type="dcterms:W3CDTF">2024-11-01T00:34:00Z</dcterms:created>
  <dcterms:modified xsi:type="dcterms:W3CDTF">2024-11-01T00:34:00Z</dcterms:modified>
</cp:coreProperties>
</file>