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96DEB" w14:textId="77777777" w:rsidR="00BA2732" w:rsidRPr="007C4707" w:rsidRDefault="00CA7FB2" w:rsidP="003D033A">
      <w:pPr>
        <w:pStyle w:val="Title"/>
        <w:rPr>
          <w:rFonts w:asciiTheme="minorHAnsi" w:hAnsiTheme="minorHAnsi" w:cstheme="minorHAnsi"/>
        </w:rPr>
      </w:pPr>
      <w:r w:rsidRPr="007C4707">
        <w:rPr>
          <w:rFonts w:asciiTheme="minorHAnsi" w:hAnsiTheme="minorHAnsi" w:cstheme="minorHAnsi"/>
        </w:rPr>
        <w:t>Private Health Insur</w:t>
      </w:r>
      <w:r w:rsidR="00F14EE5" w:rsidRPr="007C4707">
        <w:rPr>
          <w:rFonts w:asciiTheme="minorHAnsi" w:hAnsiTheme="minorHAnsi" w:cstheme="minorHAnsi"/>
        </w:rPr>
        <w:t>er</w:t>
      </w:r>
      <w:r w:rsidRPr="007C4707">
        <w:rPr>
          <w:rFonts w:asciiTheme="minorHAnsi" w:hAnsiTheme="minorHAnsi" w:cstheme="minorHAnsi"/>
        </w:rPr>
        <w:t xml:space="preserve"> Pandemic Commitment Monitoring</w:t>
      </w:r>
    </w:p>
    <w:p w14:paraId="0CDA7803" w14:textId="4F82E1A2" w:rsidR="00B53987" w:rsidRPr="007C4707" w:rsidRDefault="00CF27E4" w:rsidP="00B53987">
      <w:pPr>
        <w:rPr>
          <w:rFonts w:asciiTheme="minorHAnsi" w:hAnsiTheme="minorHAnsi" w:cstheme="minorHAnsi"/>
        </w:rPr>
      </w:pPr>
      <w:r>
        <w:rPr>
          <w:rFonts w:asciiTheme="minorHAnsi" w:hAnsiTheme="minorHAnsi" w:cstheme="minorHAnsi"/>
        </w:rPr>
        <w:t>November</w:t>
      </w:r>
      <w:r w:rsidR="00CA7FB2" w:rsidRPr="007C4707">
        <w:rPr>
          <w:rFonts w:asciiTheme="minorHAnsi" w:hAnsiTheme="minorHAnsi" w:cstheme="minorHAnsi"/>
        </w:rPr>
        <w:t xml:space="preserve"> </w:t>
      </w:r>
      <w:r w:rsidR="00FB7809" w:rsidRPr="007C4707">
        <w:rPr>
          <w:rFonts w:asciiTheme="minorHAnsi" w:hAnsiTheme="minorHAnsi" w:cstheme="minorHAnsi"/>
        </w:rPr>
        <w:t>202</w:t>
      </w:r>
      <w:r w:rsidR="001E24D5" w:rsidRPr="007C4707">
        <w:rPr>
          <w:rFonts w:asciiTheme="minorHAnsi" w:hAnsiTheme="minorHAnsi" w:cstheme="minorHAnsi"/>
        </w:rPr>
        <w:t>4</w:t>
      </w:r>
    </w:p>
    <w:p w14:paraId="343AC1F0" w14:textId="77777777" w:rsidR="00FA02BB" w:rsidRPr="007C4707" w:rsidRDefault="00CA7FB2" w:rsidP="007C4707">
      <w:pPr>
        <w:pStyle w:val="Heading2"/>
        <w:spacing w:after="0"/>
        <w:rPr>
          <w:rFonts w:asciiTheme="minorHAnsi" w:hAnsiTheme="minorHAnsi" w:cstheme="minorHAnsi"/>
        </w:rPr>
      </w:pPr>
      <w:r w:rsidRPr="007C4707">
        <w:rPr>
          <w:rFonts w:asciiTheme="minorHAnsi" w:hAnsiTheme="minorHAnsi" w:cstheme="minorHAnsi"/>
        </w:rPr>
        <w:t>Background</w:t>
      </w:r>
    </w:p>
    <w:p w14:paraId="4E72603F" w14:textId="1BB28DEE" w:rsidR="00473AC8" w:rsidRPr="007C4707" w:rsidRDefault="001B0B11" w:rsidP="007C4707">
      <w:pPr>
        <w:pStyle w:val="Heading2"/>
        <w:spacing w:before="0"/>
        <w:rPr>
          <w:rFonts w:asciiTheme="minorHAnsi" w:hAnsiTheme="minorHAnsi" w:cstheme="minorHAnsi"/>
          <w:b w:val="0"/>
          <w:color w:val="000000" w:themeColor="text1"/>
          <w:sz w:val="22"/>
          <w:szCs w:val="24"/>
        </w:rPr>
      </w:pPr>
      <w:r w:rsidRPr="007C4707">
        <w:rPr>
          <w:rFonts w:asciiTheme="minorHAnsi" w:hAnsiTheme="minorHAnsi" w:cstheme="minorHAnsi"/>
          <w:b w:val="0"/>
          <w:color w:val="000000" w:themeColor="text1"/>
          <w:sz w:val="22"/>
          <w:szCs w:val="24"/>
        </w:rPr>
        <w:t>P</w:t>
      </w:r>
      <w:r w:rsidR="00CA7FB2" w:rsidRPr="007C4707">
        <w:rPr>
          <w:rFonts w:asciiTheme="minorHAnsi" w:hAnsiTheme="minorHAnsi" w:cstheme="minorHAnsi"/>
          <w:b w:val="0"/>
          <w:color w:val="000000" w:themeColor="text1"/>
          <w:sz w:val="22"/>
          <w:szCs w:val="24"/>
        </w:rPr>
        <w:t>rivate patient</w:t>
      </w:r>
      <w:r w:rsidRPr="007C4707">
        <w:rPr>
          <w:rFonts w:asciiTheme="minorHAnsi" w:hAnsiTheme="minorHAnsi" w:cstheme="minorHAnsi"/>
          <w:b w:val="0"/>
          <w:color w:val="000000" w:themeColor="text1"/>
          <w:sz w:val="22"/>
          <w:szCs w:val="24"/>
        </w:rPr>
        <w:t xml:space="preserve"> access to health treatment during the COVID-19 pandemic was</w:t>
      </w:r>
      <w:r w:rsidR="00CA7FB2" w:rsidRPr="007C4707">
        <w:rPr>
          <w:rFonts w:asciiTheme="minorHAnsi" w:hAnsiTheme="minorHAnsi" w:cstheme="minorHAnsi"/>
          <w:b w:val="0"/>
          <w:color w:val="000000" w:themeColor="text1"/>
          <w:sz w:val="22"/>
          <w:szCs w:val="24"/>
        </w:rPr>
        <w:t xml:space="preserve"> limited</w:t>
      </w:r>
      <w:r w:rsidR="00E3388E" w:rsidRPr="007C4707">
        <w:rPr>
          <w:rFonts w:asciiTheme="minorHAnsi" w:hAnsiTheme="minorHAnsi" w:cstheme="minorHAnsi"/>
          <w:b w:val="0"/>
          <w:color w:val="000000" w:themeColor="text1"/>
          <w:sz w:val="22"/>
          <w:szCs w:val="24"/>
        </w:rPr>
        <w:t xml:space="preserve"> </w:t>
      </w:r>
      <w:r w:rsidRPr="007C4707">
        <w:rPr>
          <w:rFonts w:asciiTheme="minorHAnsi" w:hAnsiTheme="minorHAnsi" w:cstheme="minorHAnsi"/>
          <w:b w:val="0"/>
          <w:color w:val="000000" w:themeColor="text1"/>
          <w:sz w:val="22"/>
          <w:szCs w:val="24"/>
        </w:rPr>
        <w:t>due to hospital and broader social restrictions put in place to limit the spread of the virus</w:t>
      </w:r>
      <w:r w:rsidR="00CA7FB2" w:rsidRPr="007C4707">
        <w:rPr>
          <w:rFonts w:asciiTheme="minorHAnsi" w:hAnsiTheme="minorHAnsi" w:cstheme="minorHAnsi"/>
          <w:b w:val="0"/>
          <w:color w:val="000000" w:themeColor="text1"/>
          <w:sz w:val="22"/>
          <w:szCs w:val="24"/>
        </w:rPr>
        <w:t>.</w:t>
      </w:r>
    </w:p>
    <w:p w14:paraId="747632F2" w14:textId="4F267F9E" w:rsidR="000E6519" w:rsidRPr="007C4707" w:rsidRDefault="005D2FD3" w:rsidP="007C4707">
      <w:pPr>
        <w:pStyle w:val="Heading2"/>
        <w:spacing w:before="120"/>
        <w:rPr>
          <w:rFonts w:asciiTheme="minorHAnsi" w:hAnsiTheme="minorHAnsi" w:cstheme="minorHAnsi"/>
          <w:b w:val="0"/>
          <w:color w:val="000000" w:themeColor="text1"/>
          <w:sz w:val="22"/>
          <w:szCs w:val="24"/>
        </w:rPr>
      </w:pPr>
      <w:r w:rsidRPr="007C4707">
        <w:rPr>
          <w:rFonts w:asciiTheme="minorHAnsi" w:hAnsiTheme="minorHAnsi" w:cstheme="minorHAnsi"/>
          <w:b w:val="0"/>
          <w:color w:val="000000" w:themeColor="text1"/>
          <w:sz w:val="22"/>
          <w:szCs w:val="24"/>
        </w:rPr>
        <w:t>Th</w:t>
      </w:r>
      <w:r w:rsidR="001B0B11" w:rsidRPr="007C4707">
        <w:rPr>
          <w:rFonts w:asciiTheme="minorHAnsi" w:hAnsiTheme="minorHAnsi" w:cstheme="minorHAnsi"/>
          <w:b w:val="0"/>
          <w:color w:val="000000" w:themeColor="text1"/>
          <w:sz w:val="22"/>
          <w:szCs w:val="24"/>
        </w:rPr>
        <w:t xml:space="preserve">ese restrictions led to fewer </w:t>
      </w:r>
      <w:r w:rsidRPr="007C4707">
        <w:rPr>
          <w:rFonts w:asciiTheme="minorHAnsi" w:hAnsiTheme="minorHAnsi" w:cstheme="minorHAnsi"/>
          <w:b w:val="0"/>
          <w:color w:val="000000" w:themeColor="text1"/>
          <w:sz w:val="22"/>
          <w:szCs w:val="24"/>
        </w:rPr>
        <w:t xml:space="preserve">claims </w:t>
      </w:r>
      <w:r w:rsidR="001B0B11" w:rsidRPr="007C4707">
        <w:rPr>
          <w:rFonts w:asciiTheme="minorHAnsi" w:hAnsiTheme="minorHAnsi" w:cstheme="minorHAnsi"/>
          <w:b w:val="0"/>
          <w:color w:val="000000" w:themeColor="text1"/>
          <w:sz w:val="22"/>
          <w:szCs w:val="24"/>
        </w:rPr>
        <w:t xml:space="preserve">for benefits </w:t>
      </w:r>
      <w:r w:rsidRPr="007C4707">
        <w:rPr>
          <w:rFonts w:asciiTheme="minorHAnsi" w:hAnsiTheme="minorHAnsi" w:cstheme="minorHAnsi"/>
          <w:b w:val="0"/>
          <w:color w:val="000000" w:themeColor="text1"/>
          <w:sz w:val="22"/>
          <w:szCs w:val="24"/>
        </w:rPr>
        <w:t xml:space="preserve">by people </w:t>
      </w:r>
      <w:r w:rsidR="000E6519" w:rsidRPr="007C4707">
        <w:rPr>
          <w:rFonts w:asciiTheme="minorHAnsi" w:hAnsiTheme="minorHAnsi" w:cstheme="minorHAnsi"/>
          <w:b w:val="0"/>
          <w:color w:val="000000" w:themeColor="text1"/>
          <w:sz w:val="22"/>
          <w:szCs w:val="24"/>
        </w:rPr>
        <w:t xml:space="preserve">who continued to maintain their private health cover. </w:t>
      </w:r>
      <w:r w:rsidR="00CA7FB2" w:rsidRPr="007C4707">
        <w:rPr>
          <w:rFonts w:asciiTheme="minorHAnsi" w:hAnsiTheme="minorHAnsi" w:cstheme="minorHAnsi"/>
          <w:b w:val="0"/>
          <w:color w:val="000000" w:themeColor="text1"/>
          <w:sz w:val="22"/>
          <w:szCs w:val="24"/>
        </w:rPr>
        <w:t>Some of the</w:t>
      </w:r>
      <w:r w:rsidR="000E6519" w:rsidRPr="007C4707">
        <w:rPr>
          <w:rFonts w:asciiTheme="minorHAnsi" w:hAnsiTheme="minorHAnsi" w:cstheme="minorHAnsi"/>
          <w:b w:val="0"/>
          <w:color w:val="000000" w:themeColor="text1"/>
          <w:sz w:val="22"/>
          <w:szCs w:val="24"/>
        </w:rPr>
        <w:t>se</w:t>
      </w:r>
      <w:r w:rsidR="00CA7FB2" w:rsidRPr="007C4707">
        <w:rPr>
          <w:rFonts w:asciiTheme="minorHAnsi" w:hAnsiTheme="minorHAnsi" w:cstheme="minorHAnsi"/>
          <w:b w:val="0"/>
          <w:color w:val="000000" w:themeColor="text1"/>
          <w:sz w:val="22"/>
          <w:szCs w:val="24"/>
        </w:rPr>
        <w:t xml:space="preserve"> claims </w:t>
      </w:r>
      <w:r w:rsidR="001B0B11" w:rsidRPr="007C4707">
        <w:rPr>
          <w:rFonts w:asciiTheme="minorHAnsi" w:hAnsiTheme="minorHAnsi" w:cstheme="minorHAnsi"/>
          <w:b w:val="0"/>
          <w:color w:val="000000" w:themeColor="text1"/>
          <w:sz w:val="22"/>
          <w:szCs w:val="24"/>
        </w:rPr>
        <w:t xml:space="preserve">were expected to </w:t>
      </w:r>
      <w:r w:rsidR="000E6519" w:rsidRPr="007C4707">
        <w:rPr>
          <w:rFonts w:asciiTheme="minorHAnsi" w:hAnsiTheme="minorHAnsi" w:cstheme="minorHAnsi"/>
          <w:b w:val="0"/>
          <w:color w:val="000000" w:themeColor="text1"/>
          <w:sz w:val="22"/>
          <w:szCs w:val="24"/>
        </w:rPr>
        <w:t>materialise following the pandemic. In instances where these deferred claims for private health insurance benefits are not expected to be made at all, this constitutes a permanent saving for insurers.</w:t>
      </w:r>
    </w:p>
    <w:p w14:paraId="43DC15AE" w14:textId="46B813E4" w:rsidR="00CA7FB2" w:rsidRPr="007C4707" w:rsidRDefault="00CA7FB2" w:rsidP="007C4707">
      <w:pPr>
        <w:pStyle w:val="Heading2"/>
        <w:spacing w:before="120"/>
        <w:rPr>
          <w:rFonts w:asciiTheme="minorHAnsi" w:hAnsiTheme="minorHAnsi" w:cstheme="minorHAnsi"/>
          <w:b w:val="0"/>
          <w:color w:val="000000" w:themeColor="text1"/>
          <w:sz w:val="22"/>
          <w:szCs w:val="24"/>
        </w:rPr>
      </w:pPr>
      <w:r w:rsidRPr="007C4707">
        <w:rPr>
          <w:rFonts w:asciiTheme="minorHAnsi" w:hAnsiTheme="minorHAnsi" w:cstheme="minorHAnsi"/>
          <w:b w:val="0"/>
          <w:color w:val="000000" w:themeColor="text1"/>
          <w:sz w:val="22"/>
          <w:szCs w:val="24"/>
        </w:rPr>
        <w:t xml:space="preserve">In response, many private health insurers voluntarily committed not to benefit from the pandemic and to return </w:t>
      </w:r>
      <w:r w:rsidR="00756F4A" w:rsidRPr="007C4707">
        <w:rPr>
          <w:rFonts w:asciiTheme="minorHAnsi" w:hAnsiTheme="minorHAnsi" w:cstheme="minorHAnsi"/>
          <w:b w:val="0"/>
          <w:color w:val="000000" w:themeColor="text1"/>
          <w:sz w:val="22"/>
          <w:szCs w:val="24"/>
        </w:rPr>
        <w:t xml:space="preserve">permanent </w:t>
      </w:r>
      <w:r w:rsidRPr="007C4707">
        <w:rPr>
          <w:rFonts w:asciiTheme="minorHAnsi" w:hAnsiTheme="minorHAnsi" w:cstheme="minorHAnsi"/>
          <w:b w:val="0"/>
          <w:color w:val="000000" w:themeColor="text1"/>
          <w:sz w:val="22"/>
          <w:szCs w:val="24"/>
        </w:rPr>
        <w:t>savings to their policyholders.</w:t>
      </w:r>
    </w:p>
    <w:p w14:paraId="3E303B7B" w14:textId="11E74AFC" w:rsidR="00C93756" w:rsidRDefault="00CA7FB2" w:rsidP="007C4707">
      <w:pPr>
        <w:pStyle w:val="Heading2"/>
        <w:spacing w:before="120"/>
        <w:rPr>
          <w:rFonts w:asciiTheme="minorHAnsi" w:hAnsiTheme="minorHAnsi" w:cstheme="minorHAnsi"/>
          <w:b w:val="0"/>
          <w:color w:val="000000" w:themeColor="text1"/>
          <w:sz w:val="22"/>
          <w:szCs w:val="24"/>
        </w:rPr>
      </w:pPr>
      <w:r w:rsidRPr="007C4707">
        <w:rPr>
          <w:rFonts w:asciiTheme="minorHAnsi" w:hAnsiTheme="minorHAnsi" w:cstheme="minorHAnsi"/>
          <w:b w:val="0"/>
          <w:color w:val="000000" w:themeColor="text1"/>
          <w:sz w:val="22"/>
          <w:szCs w:val="24"/>
        </w:rPr>
        <w:t xml:space="preserve">The Department of Health and Aged Care </w:t>
      </w:r>
      <w:r w:rsidR="009F0408" w:rsidRPr="007C4707">
        <w:rPr>
          <w:rFonts w:asciiTheme="minorHAnsi" w:hAnsiTheme="minorHAnsi" w:cstheme="minorHAnsi"/>
          <w:b w:val="0"/>
          <w:color w:val="000000" w:themeColor="text1"/>
          <w:sz w:val="22"/>
          <w:szCs w:val="24"/>
        </w:rPr>
        <w:t>(</w:t>
      </w:r>
      <w:r w:rsidR="00BE1761">
        <w:rPr>
          <w:rFonts w:asciiTheme="minorHAnsi" w:hAnsiTheme="minorHAnsi" w:cstheme="minorHAnsi"/>
          <w:b w:val="0"/>
          <w:color w:val="000000" w:themeColor="text1"/>
          <w:sz w:val="22"/>
          <w:szCs w:val="24"/>
        </w:rPr>
        <w:t xml:space="preserve">the </w:t>
      </w:r>
      <w:r w:rsidR="009F0408" w:rsidRPr="007C4707">
        <w:rPr>
          <w:rFonts w:asciiTheme="minorHAnsi" w:hAnsiTheme="minorHAnsi" w:cstheme="minorHAnsi"/>
          <w:b w:val="0"/>
          <w:color w:val="000000" w:themeColor="text1"/>
          <w:sz w:val="22"/>
          <w:szCs w:val="24"/>
        </w:rPr>
        <w:t>department</w:t>
      </w:r>
      <w:r w:rsidR="00C93756">
        <w:rPr>
          <w:rFonts w:asciiTheme="minorHAnsi" w:hAnsiTheme="minorHAnsi" w:cstheme="minorHAnsi"/>
          <w:b w:val="0"/>
          <w:color w:val="000000" w:themeColor="text1"/>
          <w:sz w:val="22"/>
          <w:szCs w:val="24"/>
        </w:rPr>
        <w:t xml:space="preserve">) </w:t>
      </w:r>
      <w:r w:rsidRPr="007C4707">
        <w:rPr>
          <w:rFonts w:asciiTheme="minorHAnsi" w:hAnsiTheme="minorHAnsi" w:cstheme="minorHAnsi"/>
          <w:b w:val="0"/>
          <w:color w:val="000000" w:themeColor="text1"/>
          <w:sz w:val="22"/>
          <w:szCs w:val="24"/>
        </w:rPr>
        <w:t xml:space="preserve">is monitoring private health insurers </w:t>
      </w:r>
      <w:r w:rsidR="00CC685D" w:rsidRPr="007C4707">
        <w:rPr>
          <w:rFonts w:asciiTheme="minorHAnsi" w:hAnsiTheme="minorHAnsi" w:cstheme="minorHAnsi"/>
          <w:b w:val="0"/>
          <w:color w:val="000000" w:themeColor="text1"/>
          <w:sz w:val="22"/>
          <w:szCs w:val="24"/>
        </w:rPr>
        <w:t>against this commitment</w:t>
      </w:r>
      <w:r w:rsidRPr="007C4707">
        <w:rPr>
          <w:rFonts w:asciiTheme="minorHAnsi" w:hAnsiTheme="minorHAnsi" w:cstheme="minorHAnsi"/>
          <w:b w:val="0"/>
          <w:color w:val="000000" w:themeColor="text1"/>
          <w:sz w:val="22"/>
          <w:szCs w:val="24"/>
        </w:rPr>
        <w:t xml:space="preserve"> and the support provided to policyholders.</w:t>
      </w:r>
      <w:r w:rsidR="00C100EF" w:rsidRPr="007C4707">
        <w:rPr>
          <w:rFonts w:asciiTheme="minorHAnsi" w:hAnsiTheme="minorHAnsi" w:cstheme="minorHAnsi"/>
          <w:b w:val="0"/>
          <w:color w:val="000000" w:themeColor="text1"/>
          <w:sz w:val="22"/>
          <w:szCs w:val="24"/>
        </w:rPr>
        <w:t xml:space="preserve"> </w:t>
      </w:r>
    </w:p>
    <w:p w14:paraId="1D320B0C" w14:textId="5A545F25" w:rsidR="00B23618" w:rsidRPr="007C4707" w:rsidRDefault="00984A04" w:rsidP="00A42069">
      <w:pPr>
        <w:pStyle w:val="Heading2"/>
        <w:rPr>
          <w:rFonts w:asciiTheme="minorHAnsi" w:hAnsiTheme="minorHAnsi" w:cstheme="minorHAnsi"/>
        </w:rPr>
      </w:pPr>
      <w:r>
        <w:rPr>
          <w:rFonts w:asciiTheme="minorHAnsi" w:hAnsiTheme="minorHAnsi" w:cstheme="minorHAnsi"/>
        </w:rPr>
        <w:t>In</w:t>
      </w:r>
      <w:r w:rsidR="00B23618" w:rsidRPr="007C4707">
        <w:rPr>
          <w:rFonts w:asciiTheme="minorHAnsi" w:hAnsiTheme="minorHAnsi" w:cstheme="minorHAnsi"/>
        </w:rPr>
        <w:t>dustry permanent savings and givebacks</w:t>
      </w:r>
    </w:p>
    <w:p w14:paraId="1616EF5F" w14:textId="48A5C2C2" w:rsidR="00C93756" w:rsidRDefault="00CA7FB2" w:rsidP="007C4707">
      <w:pPr>
        <w:pStyle w:val="Heading2"/>
        <w:spacing w:before="0"/>
        <w:rPr>
          <w:rFonts w:asciiTheme="minorHAnsi" w:hAnsiTheme="minorHAnsi" w:cstheme="minorHAnsi"/>
          <w:b w:val="0"/>
          <w:color w:val="000000" w:themeColor="text1"/>
          <w:sz w:val="22"/>
          <w:szCs w:val="24"/>
        </w:rPr>
      </w:pPr>
      <w:r w:rsidRPr="007C4707">
        <w:rPr>
          <w:rFonts w:asciiTheme="minorHAnsi" w:hAnsiTheme="minorHAnsi" w:cstheme="minorHAnsi"/>
          <w:b w:val="0"/>
          <w:color w:val="000000" w:themeColor="text1"/>
          <w:sz w:val="22"/>
          <w:szCs w:val="24"/>
        </w:rPr>
        <w:t xml:space="preserve">Table 1 </w:t>
      </w:r>
      <w:r w:rsidR="00512193" w:rsidRPr="007C4707">
        <w:rPr>
          <w:rFonts w:asciiTheme="minorHAnsi" w:hAnsiTheme="minorHAnsi" w:cstheme="minorHAnsi"/>
          <w:b w:val="0"/>
          <w:color w:val="000000" w:themeColor="text1"/>
          <w:sz w:val="22"/>
          <w:szCs w:val="24"/>
        </w:rPr>
        <w:t xml:space="preserve">shows </w:t>
      </w:r>
      <w:r w:rsidR="00C93756">
        <w:rPr>
          <w:rFonts w:asciiTheme="minorHAnsi" w:hAnsiTheme="minorHAnsi" w:cstheme="minorHAnsi"/>
          <w:b w:val="0"/>
          <w:bCs w:val="0"/>
          <w:iCs w:val="0"/>
          <w:color w:val="000000" w:themeColor="text1"/>
          <w:sz w:val="22"/>
          <w:szCs w:val="24"/>
        </w:rPr>
        <w:t xml:space="preserve">total </w:t>
      </w:r>
      <w:r w:rsidRPr="007C4707">
        <w:rPr>
          <w:rFonts w:asciiTheme="minorHAnsi" w:hAnsiTheme="minorHAnsi" w:cstheme="minorHAnsi"/>
          <w:b w:val="0"/>
          <w:color w:val="000000" w:themeColor="text1"/>
          <w:sz w:val="22"/>
          <w:szCs w:val="24"/>
        </w:rPr>
        <w:t>permanent claim</w:t>
      </w:r>
      <w:r w:rsidR="008A557B" w:rsidRPr="007C4707">
        <w:rPr>
          <w:rFonts w:asciiTheme="minorHAnsi" w:hAnsiTheme="minorHAnsi" w:cstheme="minorHAnsi"/>
          <w:b w:val="0"/>
          <w:color w:val="000000" w:themeColor="text1"/>
          <w:sz w:val="22"/>
          <w:szCs w:val="24"/>
        </w:rPr>
        <w:t>s</w:t>
      </w:r>
      <w:r w:rsidRPr="007C4707">
        <w:rPr>
          <w:rFonts w:asciiTheme="minorHAnsi" w:hAnsiTheme="minorHAnsi" w:cstheme="minorHAnsi"/>
          <w:b w:val="0"/>
          <w:color w:val="000000" w:themeColor="text1"/>
          <w:sz w:val="22"/>
          <w:szCs w:val="24"/>
        </w:rPr>
        <w:t xml:space="preserve"> savings </w:t>
      </w:r>
      <w:r w:rsidRPr="007C4707">
        <w:rPr>
          <w:rFonts w:asciiTheme="minorHAnsi" w:hAnsiTheme="minorHAnsi" w:cstheme="minorHAnsi"/>
          <w:b w:val="0"/>
          <w:bCs w:val="0"/>
          <w:iCs w:val="0"/>
          <w:color w:val="000000" w:themeColor="text1"/>
          <w:sz w:val="22"/>
          <w:szCs w:val="24"/>
        </w:rPr>
        <w:t>and</w:t>
      </w:r>
      <w:r w:rsidRPr="007C4707" w:rsidDel="003E3116">
        <w:rPr>
          <w:rFonts w:asciiTheme="minorHAnsi" w:hAnsiTheme="minorHAnsi" w:cstheme="minorHAnsi"/>
          <w:b w:val="0"/>
          <w:color w:val="000000" w:themeColor="text1"/>
          <w:sz w:val="22"/>
          <w:szCs w:val="24"/>
        </w:rPr>
        <w:t xml:space="preserve"> </w:t>
      </w:r>
      <w:r w:rsidRPr="007C4707">
        <w:rPr>
          <w:rFonts w:asciiTheme="minorHAnsi" w:hAnsiTheme="minorHAnsi" w:cstheme="minorHAnsi"/>
          <w:b w:val="0"/>
          <w:color w:val="000000" w:themeColor="text1"/>
          <w:sz w:val="22"/>
          <w:szCs w:val="24"/>
        </w:rPr>
        <w:t>total givebacks provided to policyholders</w:t>
      </w:r>
      <w:r w:rsidR="003E3116" w:rsidRPr="007C4707">
        <w:rPr>
          <w:rFonts w:asciiTheme="minorHAnsi" w:hAnsiTheme="minorHAnsi" w:cstheme="minorHAnsi"/>
          <w:b w:val="0"/>
          <w:color w:val="000000" w:themeColor="text1"/>
          <w:sz w:val="22"/>
          <w:szCs w:val="24"/>
        </w:rPr>
        <w:t xml:space="preserve"> from the start of the pandemic to 30 June 2024</w:t>
      </w:r>
      <w:r w:rsidRPr="007C4707">
        <w:rPr>
          <w:rFonts w:asciiTheme="minorHAnsi" w:hAnsiTheme="minorHAnsi" w:cstheme="minorHAnsi"/>
          <w:b w:val="0"/>
          <w:bCs w:val="0"/>
          <w:iCs w:val="0"/>
          <w:color w:val="000000" w:themeColor="text1"/>
          <w:sz w:val="22"/>
          <w:szCs w:val="24"/>
        </w:rPr>
        <w:t>.</w:t>
      </w:r>
      <w:r w:rsidRPr="007C4707">
        <w:rPr>
          <w:rFonts w:asciiTheme="minorHAnsi" w:hAnsiTheme="minorHAnsi" w:cstheme="minorHAnsi"/>
          <w:b w:val="0"/>
          <w:color w:val="000000" w:themeColor="text1"/>
          <w:sz w:val="22"/>
          <w:szCs w:val="24"/>
        </w:rPr>
        <w:t xml:space="preserve"> Definitions are provided below</w:t>
      </w:r>
      <w:r w:rsidRPr="007C4707">
        <w:rPr>
          <w:rFonts w:asciiTheme="minorHAnsi" w:hAnsiTheme="minorHAnsi" w:cstheme="minorHAnsi"/>
          <w:b w:val="0"/>
          <w:bCs w:val="0"/>
          <w:iCs w:val="0"/>
          <w:color w:val="000000" w:themeColor="text1"/>
          <w:sz w:val="22"/>
          <w:szCs w:val="24"/>
        </w:rPr>
        <w:t>.</w:t>
      </w:r>
      <w:r w:rsidR="004566BF" w:rsidRPr="007C4707">
        <w:rPr>
          <w:rFonts w:asciiTheme="minorHAnsi" w:hAnsiTheme="minorHAnsi" w:cstheme="minorHAnsi"/>
          <w:b w:val="0"/>
          <w:color w:val="000000" w:themeColor="text1"/>
          <w:sz w:val="22"/>
          <w:szCs w:val="24"/>
        </w:rPr>
        <w:t xml:space="preserve"> </w:t>
      </w:r>
      <w:bookmarkStart w:id="0" w:name="_Hlk182005236"/>
    </w:p>
    <w:p w14:paraId="21467517" w14:textId="6BE1CEA0" w:rsidR="00B40110" w:rsidRPr="0092052B" w:rsidRDefault="00DD4C1C" w:rsidP="007C4707">
      <w:pPr>
        <w:pStyle w:val="Heading2"/>
        <w:spacing w:before="0"/>
        <w:rPr>
          <w:rFonts w:asciiTheme="minorHAnsi" w:hAnsiTheme="minorHAnsi" w:cstheme="minorHAnsi"/>
          <w:b w:val="0"/>
          <w:color w:val="000000" w:themeColor="text1"/>
          <w:sz w:val="22"/>
          <w:szCs w:val="24"/>
        </w:rPr>
      </w:pPr>
      <w:r w:rsidRPr="00DD4C1C">
        <w:rPr>
          <w:rFonts w:asciiTheme="minorHAnsi" w:hAnsiTheme="minorHAnsi" w:cstheme="minorHAnsi"/>
          <w:b w:val="0"/>
          <w:color w:val="000000" w:themeColor="text1"/>
          <w:sz w:val="22"/>
          <w:szCs w:val="24"/>
        </w:rPr>
        <w:t>There is a difference between when permanent claims are estimated and when givebacks are provided to policyholders. In Table 1, the givebacks are calculated as less than the estimated permanent claims savings. Givebacks by insurers continue to be announced and made after the reported date of 30 June 202</w:t>
      </w:r>
      <w:r>
        <w:rPr>
          <w:rFonts w:asciiTheme="minorHAnsi" w:hAnsiTheme="minorHAnsi" w:cstheme="minorHAnsi"/>
          <w:b w:val="0"/>
          <w:color w:val="000000" w:themeColor="text1"/>
          <w:sz w:val="22"/>
          <w:szCs w:val="24"/>
        </w:rPr>
        <w:t>4</w:t>
      </w:r>
      <w:r w:rsidRPr="00DD4C1C">
        <w:rPr>
          <w:rFonts w:asciiTheme="minorHAnsi" w:hAnsiTheme="minorHAnsi" w:cstheme="minorHAnsi"/>
          <w:b w:val="0"/>
          <w:color w:val="000000" w:themeColor="text1"/>
          <w:sz w:val="22"/>
          <w:szCs w:val="24"/>
        </w:rPr>
        <w:t xml:space="preserve">. </w:t>
      </w:r>
      <w:bookmarkEnd w:id="0"/>
      <w:r w:rsidR="00C93756">
        <w:rPr>
          <w:rFonts w:asciiTheme="minorHAnsi" w:hAnsiTheme="minorHAnsi" w:cstheme="minorHAnsi"/>
          <w:b w:val="0"/>
          <w:bCs w:val="0"/>
          <w:iCs w:val="0"/>
          <w:color w:val="000000" w:themeColor="text1"/>
          <w:sz w:val="22"/>
          <w:szCs w:val="24"/>
        </w:rPr>
        <w:t xml:space="preserve"> </w:t>
      </w:r>
    </w:p>
    <w:p w14:paraId="60D8B010" w14:textId="79DCDC07" w:rsidR="00D6131A" w:rsidRPr="0092052B" w:rsidRDefault="00D6131A" w:rsidP="00A42069">
      <w:pPr>
        <w:pStyle w:val="Tabletitle0"/>
        <w:spacing w:before="240" w:after="60"/>
        <w:rPr>
          <w:rFonts w:asciiTheme="minorHAnsi" w:hAnsiTheme="minorHAnsi" w:cstheme="minorHAnsi"/>
          <w:lang w:val="en-US"/>
        </w:rPr>
      </w:pPr>
      <w:r w:rsidRPr="0092052B">
        <w:rPr>
          <w:rFonts w:asciiTheme="minorHAnsi" w:hAnsiTheme="minorHAnsi" w:cstheme="minorHAnsi"/>
          <w:lang w:val="en-US"/>
        </w:rPr>
        <w:t>Table 1: Summary of private health insurers’ permanent claims savings and givebacks to policyholders</w:t>
      </w:r>
      <w:r w:rsidR="00984A04">
        <w:rPr>
          <w:rFonts w:asciiTheme="minorHAnsi" w:hAnsiTheme="minorHAnsi" w:cstheme="minorHAnsi"/>
          <w:lang w:val="en-US"/>
        </w:rPr>
        <w:t>, March 2020</w:t>
      </w:r>
      <w:r w:rsidRPr="0092052B">
        <w:rPr>
          <w:rFonts w:asciiTheme="minorHAnsi" w:hAnsiTheme="minorHAnsi" w:cstheme="minorHAnsi"/>
          <w:lang w:val="en-US"/>
        </w:rPr>
        <w:t xml:space="preserve"> to 30 June 2024</w:t>
      </w:r>
    </w:p>
    <w:tbl>
      <w:tblPr>
        <w:tblStyle w:val="DepartmentofHealthtable"/>
        <w:tblW w:w="8364" w:type="dxa"/>
        <w:tblLook w:val="04A0" w:firstRow="1" w:lastRow="0" w:firstColumn="1" w:lastColumn="0" w:noHBand="0" w:noVBand="1"/>
        <w:tblDescription w:val="Add Alt Text describing the content of the table"/>
      </w:tblPr>
      <w:tblGrid>
        <w:gridCol w:w="6379"/>
        <w:gridCol w:w="1985"/>
      </w:tblGrid>
      <w:tr w:rsidR="00D6131A" w:rsidRPr="005A5D4C" w14:paraId="2AFF80BB" w14:textId="77777777" w:rsidTr="00920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9" w:type="dxa"/>
          </w:tcPr>
          <w:p w14:paraId="73E74EAB" w14:textId="77777777" w:rsidR="00D6131A" w:rsidRPr="0092052B" w:rsidRDefault="00D6131A" w:rsidP="00812FB3">
            <w:pPr>
              <w:pStyle w:val="Tableheader0"/>
              <w:rPr>
                <w:rFonts w:asciiTheme="minorHAnsi" w:eastAsia="Cambria" w:hAnsiTheme="minorHAnsi" w:cstheme="minorHAnsi"/>
                <w:lang w:val="en-US"/>
              </w:rPr>
            </w:pPr>
            <w:r w:rsidRPr="0092052B">
              <w:rPr>
                <w:rFonts w:asciiTheme="minorHAnsi" w:eastAsia="Cambria" w:hAnsiTheme="minorHAnsi" w:cstheme="minorHAnsi"/>
                <w:lang w:val="en-US"/>
              </w:rPr>
              <w:t>Description</w:t>
            </w:r>
          </w:p>
        </w:tc>
        <w:tc>
          <w:tcPr>
            <w:tcW w:w="1985" w:type="dxa"/>
          </w:tcPr>
          <w:p w14:paraId="0BC1F5CD" w14:textId="77777777" w:rsidR="00D6131A" w:rsidRPr="0092052B" w:rsidRDefault="00D6131A" w:rsidP="00812FB3">
            <w:pPr>
              <w:pStyle w:val="Tableheader0"/>
              <w:jc w:val="right"/>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lang w:val="en-US"/>
              </w:rPr>
            </w:pPr>
            <w:r w:rsidRPr="0092052B">
              <w:rPr>
                <w:rFonts w:asciiTheme="minorHAnsi" w:eastAsia="Cambria" w:hAnsiTheme="minorHAnsi" w:cstheme="minorHAnsi"/>
                <w:lang w:val="en-US"/>
              </w:rPr>
              <w:t>Amount</w:t>
            </w:r>
          </w:p>
        </w:tc>
      </w:tr>
      <w:tr w:rsidR="00D6131A" w:rsidRPr="005A5D4C" w14:paraId="5143E9E0" w14:textId="77777777" w:rsidTr="0092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26FA55CF" w14:textId="6C3276D4" w:rsidR="00D6131A" w:rsidRPr="0092052B" w:rsidRDefault="00D6131A" w:rsidP="00812FB3">
            <w:pPr>
              <w:pStyle w:val="Tabletextleft"/>
              <w:rPr>
                <w:rFonts w:asciiTheme="minorHAnsi" w:hAnsiTheme="minorHAnsi" w:cstheme="minorHAnsi"/>
                <w:sz w:val="20"/>
              </w:rPr>
            </w:pPr>
            <w:r w:rsidRPr="0092052B">
              <w:rPr>
                <w:rFonts w:asciiTheme="minorHAnsi" w:hAnsiTheme="minorHAnsi" w:cstheme="minorHAnsi"/>
                <w:sz w:val="20"/>
              </w:rPr>
              <w:t>Cumulative estimated permanent claim</w:t>
            </w:r>
            <w:r w:rsidR="008A557B" w:rsidRPr="0092052B">
              <w:rPr>
                <w:rFonts w:asciiTheme="minorHAnsi" w:hAnsiTheme="minorHAnsi" w:cstheme="minorHAnsi"/>
                <w:sz w:val="20"/>
              </w:rPr>
              <w:t>s</w:t>
            </w:r>
            <w:r w:rsidRPr="0092052B">
              <w:rPr>
                <w:rFonts w:asciiTheme="minorHAnsi" w:hAnsiTheme="minorHAnsi" w:cstheme="minorHAnsi"/>
                <w:sz w:val="20"/>
              </w:rPr>
              <w:t xml:space="preserve"> savings to 30 June 2024</w:t>
            </w:r>
          </w:p>
        </w:tc>
        <w:tc>
          <w:tcPr>
            <w:tcW w:w="1985" w:type="dxa"/>
          </w:tcPr>
          <w:p w14:paraId="6CBAB1CD" w14:textId="40F81AD4" w:rsidR="00D6131A" w:rsidRPr="0092052B" w:rsidRDefault="00D6131A" w:rsidP="00812FB3">
            <w:pPr>
              <w:pStyle w:val="Tabletext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052B">
              <w:rPr>
                <w:rFonts w:asciiTheme="minorHAnsi" w:hAnsiTheme="minorHAnsi" w:cstheme="minorHAnsi"/>
                <w:sz w:val="20"/>
              </w:rPr>
              <w:t>$4,</w:t>
            </w:r>
            <w:r w:rsidR="007C4707">
              <w:rPr>
                <w:rFonts w:asciiTheme="minorHAnsi" w:hAnsiTheme="minorHAnsi" w:cstheme="minorHAnsi"/>
                <w:sz w:val="20"/>
              </w:rPr>
              <w:t>554</w:t>
            </w:r>
            <w:r w:rsidRPr="0092052B">
              <w:rPr>
                <w:rFonts w:asciiTheme="minorHAnsi" w:hAnsiTheme="minorHAnsi" w:cstheme="minorHAnsi"/>
                <w:sz w:val="20"/>
              </w:rPr>
              <w:t xml:space="preserve"> million</w:t>
            </w:r>
          </w:p>
        </w:tc>
      </w:tr>
      <w:tr w:rsidR="00D6131A" w:rsidRPr="005A5D4C" w14:paraId="12EF44C1" w14:textId="77777777" w:rsidTr="00920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35701F80" w14:textId="7D0BFF61" w:rsidR="00D6131A" w:rsidRPr="0092052B" w:rsidRDefault="00D6131A" w:rsidP="00812FB3">
            <w:pPr>
              <w:pStyle w:val="Tabletextleft"/>
              <w:rPr>
                <w:rFonts w:asciiTheme="minorHAnsi" w:hAnsiTheme="minorHAnsi" w:cstheme="minorHAnsi"/>
                <w:sz w:val="20"/>
              </w:rPr>
            </w:pPr>
            <w:r w:rsidRPr="0092052B">
              <w:rPr>
                <w:rFonts w:asciiTheme="minorHAnsi" w:hAnsiTheme="minorHAnsi" w:cstheme="minorHAnsi"/>
                <w:sz w:val="20"/>
              </w:rPr>
              <w:t>Cumulative givebacks paid to 30 June 2024*</w:t>
            </w:r>
          </w:p>
        </w:tc>
        <w:tc>
          <w:tcPr>
            <w:tcW w:w="1985" w:type="dxa"/>
          </w:tcPr>
          <w:p w14:paraId="29754546" w14:textId="60D87CF9" w:rsidR="00D6131A" w:rsidRPr="0092052B" w:rsidRDefault="00D6131A" w:rsidP="00812FB3">
            <w:pPr>
              <w:pStyle w:val="Tabletextrigh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92052B">
              <w:rPr>
                <w:rFonts w:asciiTheme="minorHAnsi" w:hAnsiTheme="minorHAnsi" w:cstheme="minorHAnsi"/>
                <w:sz w:val="20"/>
              </w:rPr>
              <w:t>$4,5</w:t>
            </w:r>
            <w:r w:rsidR="00493D2B" w:rsidRPr="0092052B">
              <w:rPr>
                <w:rFonts w:asciiTheme="minorHAnsi" w:hAnsiTheme="minorHAnsi" w:cstheme="minorHAnsi"/>
                <w:sz w:val="20"/>
              </w:rPr>
              <w:t>0</w:t>
            </w:r>
            <w:r w:rsidR="007C4707">
              <w:rPr>
                <w:rFonts w:asciiTheme="minorHAnsi" w:hAnsiTheme="minorHAnsi" w:cstheme="minorHAnsi"/>
                <w:sz w:val="20"/>
              </w:rPr>
              <w:t>5</w:t>
            </w:r>
            <w:r w:rsidRPr="0092052B">
              <w:rPr>
                <w:rFonts w:asciiTheme="minorHAnsi" w:hAnsiTheme="minorHAnsi" w:cstheme="minorHAnsi"/>
                <w:sz w:val="20"/>
              </w:rPr>
              <w:t xml:space="preserve"> million</w:t>
            </w:r>
          </w:p>
        </w:tc>
      </w:tr>
      <w:tr w:rsidR="00D6131A" w:rsidRPr="005A5D4C" w14:paraId="4FE2ACD6" w14:textId="77777777" w:rsidTr="0092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02D6E0B" w14:textId="2C7D25DA" w:rsidR="00D6131A" w:rsidRPr="007C4707" w:rsidRDefault="00493D2B" w:rsidP="00812FB3">
            <w:pPr>
              <w:pStyle w:val="Tabletextleft"/>
              <w:rPr>
                <w:rFonts w:asciiTheme="minorHAnsi" w:hAnsiTheme="minorHAnsi" w:cstheme="minorHAnsi"/>
                <w:sz w:val="20"/>
              </w:rPr>
            </w:pPr>
            <w:r w:rsidRPr="007C4707">
              <w:rPr>
                <w:rFonts w:asciiTheme="minorHAnsi" w:hAnsiTheme="minorHAnsi" w:cstheme="minorHAnsi"/>
                <w:sz w:val="20"/>
              </w:rPr>
              <w:t>G</w:t>
            </w:r>
            <w:r w:rsidR="00D6131A" w:rsidRPr="007C4707">
              <w:rPr>
                <w:rFonts w:asciiTheme="minorHAnsi" w:hAnsiTheme="minorHAnsi" w:cstheme="minorHAnsi"/>
                <w:sz w:val="20"/>
              </w:rPr>
              <w:t>ivebacks</w:t>
            </w:r>
            <w:r w:rsidR="00D6131A" w:rsidRPr="007C4707" w:rsidDel="00493D2B">
              <w:rPr>
                <w:rFonts w:asciiTheme="minorHAnsi" w:hAnsiTheme="minorHAnsi" w:cstheme="minorHAnsi"/>
                <w:sz w:val="20"/>
              </w:rPr>
              <w:t xml:space="preserve"> </w:t>
            </w:r>
            <w:r w:rsidRPr="007C4707">
              <w:rPr>
                <w:rFonts w:asciiTheme="minorHAnsi" w:hAnsiTheme="minorHAnsi" w:cstheme="minorHAnsi"/>
                <w:sz w:val="20"/>
              </w:rPr>
              <w:t xml:space="preserve">as a per cent of </w:t>
            </w:r>
            <w:r w:rsidR="00D6131A" w:rsidRPr="007C4707">
              <w:rPr>
                <w:rFonts w:asciiTheme="minorHAnsi" w:hAnsiTheme="minorHAnsi" w:cstheme="minorHAnsi"/>
                <w:sz w:val="20"/>
              </w:rPr>
              <w:t>estimated permanent claims savings</w:t>
            </w:r>
          </w:p>
        </w:tc>
        <w:tc>
          <w:tcPr>
            <w:tcW w:w="1985" w:type="dxa"/>
          </w:tcPr>
          <w:p w14:paraId="69E34BDF" w14:textId="53962BD3" w:rsidR="00D6131A" w:rsidRPr="007C4707" w:rsidRDefault="0092052B" w:rsidP="00812FB3">
            <w:pPr>
              <w:pStyle w:val="Tabletext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98.9</w:t>
            </w:r>
            <w:r w:rsidR="00D6131A" w:rsidRPr="007C4707">
              <w:rPr>
                <w:rFonts w:asciiTheme="minorHAnsi" w:hAnsiTheme="minorHAnsi" w:cstheme="minorHAnsi"/>
                <w:sz w:val="20"/>
              </w:rPr>
              <w:t xml:space="preserve"> per cent</w:t>
            </w:r>
          </w:p>
        </w:tc>
      </w:tr>
    </w:tbl>
    <w:p w14:paraId="460D7B83" w14:textId="06BB5E5C" w:rsidR="00D6131A" w:rsidRPr="0092052B" w:rsidRDefault="00D6131A" w:rsidP="00D6131A">
      <w:pPr>
        <w:pStyle w:val="Tabletextleft"/>
        <w:rPr>
          <w:rFonts w:asciiTheme="minorHAnsi" w:hAnsiTheme="minorHAnsi" w:cstheme="minorHAnsi"/>
        </w:rPr>
      </w:pPr>
      <w:r w:rsidRPr="0092052B">
        <w:rPr>
          <w:rFonts w:asciiTheme="minorHAnsi" w:hAnsiTheme="minorHAnsi" w:cstheme="minorHAnsi"/>
        </w:rPr>
        <w:t>*</w:t>
      </w:r>
      <w:r w:rsidR="008A557B" w:rsidRPr="0092052B">
        <w:rPr>
          <w:rFonts w:asciiTheme="minorHAnsi" w:hAnsiTheme="minorHAnsi" w:cstheme="minorHAnsi"/>
        </w:rPr>
        <w:t xml:space="preserve"> </w:t>
      </w:r>
      <w:r w:rsidRPr="0092052B">
        <w:rPr>
          <w:rFonts w:asciiTheme="minorHAnsi" w:hAnsiTheme="minorHAnsi" w:cstheme="minorHAnsi"/>
        </w:rPr>
        <w:t xml:space="preserve">Does not include givebacks </w:t>
      </w:r>
      <w:r w:rsidR="00E23656">
        <w:rPr>
          <w:rFonts w:asciiTheme="minorHAnsi" w:hAnsiTheme="minorHAnsi" w:cstheme="minorHAnsi"/>
        </w:rPr>
        <w:t xml:space="preserve">reported </w:t>
      </w:r>
      <w:r w:rsidRPr="0092052B">
        <w:rPr>
          <w:rFonts w:asciiTheme="minorHAnsi" w:hAnsiTheme="minorHAnsi" w:cstheme="minorHAnsi"/>
        </w:rPr>
        <w:t xml:space="preserve">by insurers planned or </w:t>
      </w:r>
      <w:r w:rsidR="008A557B" w:rsidRPr="0092052B">
        <w:rPr>
          <w:rFonts w:asciiTheme="minorHAnsi" w:hAnsiTheme="minorHAnsi" w:cstheme="minorHAnsi"/>
        </w:rPr>
        <w:t xml:space="preserve">still </w:t>
      </w:r>
      <w:r w:rsidRPr="0092052B">
        <w:rPr>
          <w:rFonts w:asciiTheme="minorHAnsi" w:hAnsiTheme="minorHAnsi" w:cstheme="minorHAnsi"/>
        </w:rPr>
        <w:t xml:space="preserve">to be paid </w:t>
      </w:r>
      <w:r w:rsidR="004566BF" w:rsidRPr="0092052B">
        <w:rPr>
          <w:rFonts w:asciiTheme="minorHAnsi" w:hAnsiTheme="minorHAnsi" w:cstheme="minorHAnsi"/>
        </w:rPr>
        <w:t>after</w:t>
      </w:r>
      <w:r w:rsidRPr="0092052B">
        <w:rPr>
          <w:rFonts w:asciiTheme="minorHAnsi" w:hAnsiTheme="minorHAnsi" w:cstheme="minorHAnsi"/>
        </w:rPr>
        <w:t xml:space="preserve"> 30 June 2024.</w:t>
      </w:r>
    </w:p>
    <w:p w14:paraId="3FC9FEFA" w14:textId="4FECDD16" w:rsidR="00F14EE5" w:rsidRPr="007E5E93" w:rsidRDefault="00CA7FB2" w:rsidP="00DD4C1C">
      <w:pPr>
        <w:pStyle w:val="Heading2"/>
        <w:spacing w:before="0"/>
        <w:rPr>
          <w:rFonts w:asciiTheme="minorHAnsi" w:hAnsiTheme="minorHAnsi" w:cstheme="minorHAnsi"/>
          <w:b w:val="0"/>
          <w:szCs w:val="24"/>
        </w:rPr>
      </w:pPr>
      <w:r w:rsidRPr="0092052B">
        <w:rPr>
          <w:rFonts w:asciiTheme="minorHAnsi" w:hAnsiTheme="minorHAnsi" w:cstheme="minorHAnsi"/>
          <w:b w:val="0"/>
          <w:color w:val="000000" w:themeColor="text1"/>
          <w:sz w:val="22"/>
          <w:szCs w:val="24"/>
        </w:rPr>
        <w:lastRenderedPageBreak/>
        <w:t xml:space="preserve">Table 2 summarises the different </w:t>
      </w:r>
      <w:r w:rsidR="00512193" w:rsidRPr="0092052B">
        <w:rPr>
          <w:rFonts w:asciiTheme="minorHAnsi" w:hAnsiTheme="minorHAnsi" w:cstheme="minorHAnsi"/>
          <w:b w:val="0"/>
          <w:color w:val="000000" w:themeColor="text1"/>
          <w:sz w:val="22"/>
          <w:szCs w:val="24"/>
        </w:rPr>
        <w:t xml:space="preserve">ways </w:t>
      </w:r>
      <w:r w:rsidRPr="0092052B">
        <w:rPr>
          <w:rFonts w:asciiTheme="minorHAnsi" w:hAnsiTheme="minorHAnsi" w:cstheme="minorHAnsi"/>
          <w:b w:val="0"/>
          <w:color w:val="000000" w:themeColor="text1"/>
          <w:sz w:val="22"/>
          <w:szCs w:val="24"/>
        </w:rPr>
        <w:t>private health insurers have returned savings to policyholders. Definitions are provided below.</w:t>
      </w:r>
    </w:p>
    <w:p w14:paraId="437A67FE" w14:textId="62BE074D" w:rsidR="00CA7FB2" w:rsidRPr="007E5E93" w:rsidRDefault="00CA7FB2" w:rsidP="00DD4C1C">
      <w:pPr>
        <w:pStyle w:val="Tabletitle0"/>
        <w:keepNext/>
        <w:rPr>
          <w:rFonts w:asciiTheme="minorHAnsi" w:hAnsiTheme="minorHAnsi" w:cstheme="minorHAnsi"/>
          <w:lang w:val="en-US"/>
        </w:rPr>
      </w:pPr>
      <w:r w:rsidRPr="007E5E93">
        <w:rPr>
          <w:rFonts w:asciiTheme="minorHAnsi" w:hAnsiTheme="minorHAnsi" w:cstheme="minorHAnsi"/>
          <w:lang w:val="en-US"/>
        </w:rPr>
        <w:t xml:space="preserve">Table 2: </w:t>
      </w:r>
      <w:r w:rsidR="00457102" w:rsidRPr="007E5E93">
        <w:rPr>
          <w:rFonts w:asciiTheme="minorHAnsi" w:hAnsiTheme="minorHAnsi" w:cstheme="minorHAnsi"/>
          <w:lang w:val="en-US"/>
        </w:rPr>
        <w:t>S</w:t>
      </w:r>
      <w:r w:rsidRPr="007E5E93">
        <w:rPr>
          <w:rFonts w:asciiTheme="minorHAnsi" w:hAnsiTheme="minorHAnsi" w:cstheme="minorHAnsi"/>
          <w:lang w:val="en-US"/>
        </w:rPr>
        <w:t xml:space="preserve">ummary of givebacks by private health insurers </w:t>
      </w:r>
      <w:r w:rsidR="008A557B" w:rsidRPr="007E5E93">
        <w:rPr>
          <w:rFonts w:asciiTheme="minorHAnsi" w:hAnsiTheme="minorHAnsi" w:cstheme="minorHAnsi"/>
          <w:lang w:val="en-US"/>
        </w:rPr>
        <w:t xml:space="preserve">paid </w:t>
      </w:r>
      <w:r w:rsidR="00457102" w:rsidRPr="007E5E93">
        <w:rPr>
          <w:rFonts w:asciiTheme="minorHAnsi" w:hAnsiTheme="minorHAnsi" w:cstheme="minorHAnsi"/>
          <w:lang w:val="en-US"/>
        </w:rPr>
        <w:t>to 3</w:t>
      </w:r>
      <w:r w:rsidR="004566BF" w:rsidRPr="007E5E93">
        <w:rPr>
          <w:rFonts w:asciiTheme="minorHAnsi" w:hAnsiTheme="minorHAnsi" w:cstheme="minorHAnsi"/>
          <w:lang w:val="en-US"/>
        </w:rPr>
        <w:t>0</w:t>
      </w:r>
      <w:r w:rsidR="00457102" w:rsidRPr="007E5E93">
        <w:rPr>
          <w:rFonts w:asciiTheme="minorHAnsi" w:hAnsiTheme="minorHAnsi" w:cstheme="minorHAnsi"/>
          <w:lang w:val="en-US"/>
        </w:rPr>
        <w:t xml:space="preserve"> </w:t>
      </w:r>
      <w:r w:rsidR="004566BF" w:rsidRPr="007E5E93">
        <w:rPr>
          <w:rFonts w:asciiTheme="minorHAnsi" w:hAnsiTheme="minorHAnsi" w:cstheme="minorHAnsi"/>
          <w:lang w:val="en-US"/>
        </w:rPr>
        <w:t>June</w:t>
      </w:r>
      <w:r w:rsidR="00457102" w:rsidRPr="007E5E93">
        <w:rPr>
          <w:rFonts w:asciiTheme="minorHAnsi" w:hAnsiTheme="minorHAnsi" w:cstheme="minorHAnsi"/>
          <w:lang w:val="en-US"/>
        </w:rPr>
        <w:t xml:space="preserve"> 2024</w:t>
      </w:r>
    </w:p>
    <w:tbl>
      <w:tblPr>
        <w:tblStyle w:val="DepartmentofHealthtable"/>
        <w:tblW w:w="8221" w:type="dxa"/>
        <w:tblLook w:val="04A0" w:firstRow="1" w:lastRow="0" w:firstColumn="1" w:lastColumn="0" w:noHBand="0" w:noVBand="1"/>
        <w:tblDescription w:val="Add Alt Text describing the content of the table"/>
      </w:tblPr>
      <w:tblGrid>
        <w:gridCol w:w="6237"/>
        <w:gridCol w:w="1984"/>
      </w:tblGrid>
      <w:tr w:rsidR="00CA7FB2" w:rsidRPr="009040E9" w14:paraId="433A12EA" w14:textId="77777777" w:rsidTr="00861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7" w:type="dxa"/>
          </w:tcPr>
          <w:p w14:paraId="49F46094" w14:textId="77777777" w:rsidR="00CA7FB2" w:rsidRPr="007E5E93" w:rsidRDefault="00CA7FB2" w:rsidP="00DD4C1C">
            <w:pPr>
              <w:pStyle w:val="Tableheader0"/>
              <w:keepNext/>
              <w:rPr>
                <w:rFonts w:asciiTheme="minorHAnsi" w:eastAsia="Cambria" w:hAnsiTheme="minorHAnsi" w:cstheme="minorHAnsi"/>
                <w:lang w:val="en-US"/>
              </w:rPr>
            </w:pPr>
            <w:r w:rsidRPr="007E5E93">
              <w:rPr>
                <w:rFonts w:asciiTheme="minorHAnsi" w:eastAsia="Cambria" w:hAnsiTheme="minorHAnsi" w:cstheme="minorHAnsi"/>
                <w:lang w:val="en-US"/>
              </w:rPr>
              <w:t>Description</w:t>
            </w:r>
          </w:p>
        </w:tc>
        <w:tc>
          <w:tcPr>
            <w:tcW w:w="1984" w:type="dxa"/>
          </w:tcPr>
          <w:p w14:paraId="3F29D76C" w14:textId="5C3BDCF4" w:rsidR="00CA7FB2" w:rsidRPr="007E5E93" w:rsidRDefault="00861754" w:rsidP="00DD4C1C">
            <w:pPr>
              <w:pStyle w:val="Tableheader0"/>
              <w:keepNext/>
              <w:jc w:val="right"/>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lang w:val="en-US"/>
              </w:rPr>
            </w:pPr>
            <w:r w:rsidRPr="007E5E93">
              <w:rPr>
                <w:rFonts w:asciiTheme="minorHAnsi" w:eastAsia="Cambria" w:hAnsiTheme="minorHAnsi" w:cstheme="minorHAnsi"/>
                <w:lang w:val="en-US"/>
              </w:rPr>
              <w:t>Amount</w:t>
            </w:r>
          </w:p>
        </w:tc>
      </w:tr>
      <w:tr w:rsidR="00E21664" w:rsidRPr="009040E9" w14:paraId="35118D82" w14:textId="77777777" w:rsidTr="005E6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F5F4FA6" w14:textId="77777777" w:rsidR="00E21664" w:rsidRPr="007E5E93" w:rsidRDefault="00E21664" w:rsidP="00DD4C1C">
            <w:pPr>
              <w:pStyle w:val="Tabletextleft"/>
              <w:keepNext/>
              <w:rPr>
                <w:rFonts w:asciiTheme="minorHAnsi" w:hAnsiTheme="minorHAnsi" w:cstheme="minorHAnsi"/>
                <w:sz w:val="20"/>
              </w:rPr>
            </w:pPr>
            <w:r w:rsidRPr="007E5E93">
              <w:rPr>
                <w:rFonts w:asciiTheme="minorHAnsi" w:hAnsiTheme="minorHAnsi" w:cstheme="minorHAnsi"/>
                <w:sz w:val="20"/>
              </w:rPr>
              <w:t>Cashback to policyholders</w:t>
            </w:r>
          </w:p>
        </w:tc>
        <w:tc>
          <w:tcPr>
            <w:tcW w:w="1984" w:type="dxa"/>
          </w:tcPr>
          <w:p w14:paraId="167F84AD" w14:textId="270FC832" w:rsidR="00E21664" w:rsidRPr="007E5E93" w:rsidRDefault="00E21664" w:rsidP="00DD4C1C">
            <w:pPr>
              <w:pStyle w:val="Tabletextright0"/>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E5E93">
              <w:rPr>
                <w:rFonts w:asciiTheme="minorHAnsi" w:hAnsiTheme="minorHAnsi" w:cstheme="minorHAnsi"/>
                <w:sz w:val="20"/>
              </w:rPr>
              <w:t>$2,56</w:t>
            </w:r>
            <w:r>
              <w:rPr>
                <w:rFonts w:asciiTheme="minorHAnsi" w:hAnsiTheme="minorHAnsi" w:cstheme="minorHAnsi"/>
                <w:sz w:val="20"/>
              </w:rPr>
              <w:t>9</w:t>
            </w:r>
            <w:r w:rsidRPr="007E5E93">
              <w:rPr>
                <w:rFonts w:asciiTheme="minorHAnsi" w:hAnsiTheme="minorHAnsi" w:cstheme="minorHAnsi"/>
                <w:sz w:val="20"/>
              </w:rPr>
              <w:t xml:space="preserve"> million</w:t>
            </w:r>
          </w:p>
        </w:tc>
      </w:tr>
      <w:tr w:rsidR="00CA7FB2" w:rsidRPr="009040E9" w14:paraId="3EE4098A" w14:textId="77777777" w:rsidTr="00861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25F47C31" w14:textId="77777777" w:rsidR="00CA7FB2" w:rsidRPr="007E5E93" w:rsidRDefault="00CA7FB2" w:rsidP="00DD4C1C">
            <w:pPr>
              <w:pStyle w:val="Tabletextleft"/>
              <w:keepNext/>
              <w:rPr>
                <w:rFonts w:asciiTheme="minorHAnsi" w:hAnsiTheme="minorHAnsi" w:cstheme="minorHAnsi"/>
                <w:sz w:val="20"/>
              </w:rPr>
            </w:pPr>
            <w:r w:rsidRPr="007E5E93">
              <w:rPr>
                <w:rFonts w:asciiTheme="minorHAnsi" w:hAnsiTheme="minorHAnsi" w:cstheme="minorHAnsi"/>
                <w:sz w:val="20"/>
              </w:rPr>
              <w:t>Reduced premiums</w:t>
            </w:r>
          </w:p>
        </w:tc>
        <w:tc>
          <w:tcPr>
            <w:tcW w:w="1984" w:type="dxa"/>
          </w:tcPr>
          <w:p w14:paraId="2F4D2DD5" w14:textId="4E2682C1" w:rsidR="00CA7FB2" w:rsidRPr="007E5E93" w:rsidRDefault="00861754" w:rsidP="00DD4C1C">
            <w:pPr>
              <w:pStyle w:val="Tabletextright0"/>
              <w:keepN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7E5E93">
              <w:rPr>
                <w:rFonts w:asciiTheme="minorHAnsi" w:hAnsiTheme="minorHAnsi" w:cstheme="minorHAnsi"/>
                <w:sz w:val="20"/>
              </w:rPr>
              <w:t>$</w:t>
            </w:r>
            <w:r w:rsidR="000F5C8D" w:rsidRPr="007E5E93">
              <w:rPr>
                <w:rFonts w:asciiTheme="minorHAnsi" w:hAnsiTheme="minorHAnsi" w:cstheme="minorHAnsi"/>
                <w:sz w:val="20"/>
              </w:rPr>
              <w:t>1,</w:t>
            </w:r>
            <w:r w:rsidR="006E7534" w:rsidRPr="007E5E93">
              <w:rPr>
                <w:rFonts w:asciiTheme="minorHAnsi" w:hAnsiTheme="minorHAnsi" w:cstheme="minorHAnsi"/>
                <w:sz w:val="20"/>
              </w:rPr>
              <w:t>79</w:t>
            </w:r>
            <w:r w:rsidR="006E7534">
              <w:rPr>
                <w:rFonts w:asciiTheme="minorHAnsi" w:hAnsiTheme="minorHAnsi" w:cstheme="minorHAnsi"/>
                <w:sz w:val="20"/>
              </w:rPr>
              <w:t>4</w:t>
            </w:r>
            <w:r w:rsidR="006E7534" w:rsidRPr="007E5E93">
              <w:rPr>
                <w:rFonts w:asciiTheme="minorHAnsi" w:hAnsiTheme="minorHAnsi" w:cstheme="minorHAnsi"/>
                <w:sz w:val="20"/>
              </w:rPr>
              <w:t xml:space="preserve"> </w:t>
            </w:r>
            <w:r w:rsidRPr="007E5E93">
              <w:rPr>
                <w:rFonts w:asciiTheme="minorHAnsi" w:hAnsiTheme="minorHAnsi" w:cstheme="minorHAnsi"/>
                <w:sz w:val="20"/>
              </w:rPr>
              <w:t>million</w:t>
            </w:r>
          </w:p>
        </w:tc>
      </w:tr>
      <w:tr w:rsidR="00CA7FB2" w:rsidRPr="009040E9" w14:paraId="49605115" w14:textId="77777777" w:rsidTr="00861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E515093" w14:textId="77777777" w:rsidR="00CA7FB2" w:rsidRPr="007E5E93" w:rsidRDefault="00CA7FB2" w:rsidP="009F15C7">
            <w:pPr>
              <w:pStyle w:val="Tabletextleft"/>
              <w:rPr>
                <w:rFonts w:asciiTheme="minorHAnsi" w:hAnsiTheme="minorHAnsi" w:cstheme="minorHAnsi"/>
                <w:sz w:val="20"/>
              </w:rPr>
            </w:pPr>
            <w:r w:rsidRPr="007E5E93">
              <w:rPr>
                <w:rFonts w:asciiTheme="minorHAnsi" w:hAnsiTheme="minorHAnsi" w:cstheme="minorHAnsi"/>
                <w:sz w:val="20"/>
              </w:rPr>
              <w:t>Expanded benefits at no additional cost</w:t>
            </w:r>
          </w:p>
        </w:tc>
        <w:tc>
          <w:tcPr>
            <w:tcW w:w="1984" w:type="dxa"/>
          </w:tcPr>
          <w:p w14:paraId="508CECAC" w14:textId="3DA6D5BE" w:rsidR="00CA7FB2" w:rsidRPr="007E5E93" w:rsidRDefault="00861754" w:rsidP="009F15C7">
            <w:pPr>
              <w:pStyle w:val="Tabletext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E5E93">
              <w:rPr>
                <w:rFonts w:asciiTheme="minorHAnsi" w:hAnsiTheme="minorHAnsi" w:cstheme="minorHAnsi"/>
                <w:sz w:val="20"/>
              </w:rPr>
              <w:t>$</w:t>
            </w:r>
            <w:r w:rsidR="00947227" w:rsidRPr="007E5E93">
              <w:rPr>
                <w:rFonts w:asciiTheme="minorHAnsi" w:hAnsiTheme="minorHAnsi" w:cstheme="minorHAnsi"/>
                <w:sz w:val="20"/>
              </w:rPr>
              <w:t>12</w:t>
            </w:r>
            <w:r w:rsidR="00CF53EC" w:rsidRPr="007E5E93">
              <w:rPr>
                <w:rFonts w:asciiTheme="minorHAnsi" w:hAnsiTheme="minorHAnsi" w:cstheme="minorHAnsi"/>
                <w:sz w:val="20"/>
              </w:rPr>
              <w:t>6</w:t>
            </w:r>
            <w:r w:rsidRPr="007E5E93">
              <w:rPr>
                <w:rFonts w:asciiTheme="minorHAnsi" w:hAnsiTheme="minorHAnsi" w:cstheme="minorHAnsi"/>
                <w:sz w:val="20"/>
              </w:rPr>
              <w:t xml:space="preserve"> million</w:t>
            </w:r>
          </w:p>
        </w:tc>
      </w:tr>
      <w:tr w:rsidR="00CA7FB2" w:rsidRPr="009040E9" w14:paraId="1AE1E2CF" w14:textId="77777777" w:rsidTr="00861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F13813A" w14:textId="41D1F8C6" w:rsidR="00CA7FB2" w:rsidRPr="007E5E93" w:rsidRDefault="00CA7FB2" w:rsidP="009F15C7">
            <w:pPr>
              <w:pStyle w:val="Tabletextleft"/>
              <w:rPr>
                <w:rFonts w:asciiTheme="minorHAnsi" w:hAnsiTheme="minorHAnsi" w:cstheme="minorHAnsi"/>
                <w:sz w:val="20"/>
              </w:rPr>
            </w:pPr>
            <w:r w:rsidRPr="007E5E93">
              <w:rPr>
                <w:rFonts w:asciiTheme="minorHAnsi" w:hAnsiTheme="minorHAnsi" w:cstheme="minorHAnsi"/>
                <w:sz w:val="20"/>
              </w:rPr>
              <w:t>Other</w:t>
            </w:r>
          </w:p>
        </w:tc>
        <w:tc>
          <w:tcPr>
            <w:tcW w:w="1984" w:type="dxa"/>
          </w:tcPr>
          <w:p w14:paraId="7A514570" w14:textId="3FDD54D1" w:rsidR="00CA7FB2" w:rsidRPr="007E5E93" w:rsidRDefault="00861754" w:rsidP="009F15C7">
            <w:pPr>
              <w:pStyle w:val="Tabletextrigh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7E5E93">
              <w:rPr>
                <w:rFonts w:asciiTheme="minorHAnsi" w:hAnsiTheme="minorHAnsi" w:cstheme="minorHAnsi"/>
                <w:sz w:val="20"/>
              </w:rPr>
              <w:t>$</w:t>
            </w:r>
            <w:r w:rsidR="00AA684C" w:rsidRPr="007E5E93">
              <w:rPr>
                <w:rFonts w:asciiTheme="minorHAnsi" w:hAnsiTheme="minorHAnsi" w:cstheme="minorHAnsi"/>
                <w:sz w:val="20"/>
              </w:rPr>
              <w:t>1</w:t>
            </w:r>
            <w:r w:rsidR="00AA684C">
              <w:rPr>
                <w:rFonts w:asciiTheme="minorHAnsi" w:hAnsiTheme="minorHAnsi" w:cstheme="minorHAnsi"/>
                <w:sz w:val="20"/>
              </w:rPr>
              <w:t>5</w:t>
            </w:r>
            <w:r w:rsidR="00AA684C" w:rsidRPr="007E5E93">
              <w:rPr>
                <w:rFonts w:asciiTheme="minorHAnsi" w:hAnsiTheme="minorHAnsi" w:cstheme="minorHAnsi"/>
                <w:sz w:val="20"/>
              </w:rPr>
              <w:t xml:space="preserve"> </w:t>
            </w:r>
            <w:r w:rsidRPr="007E5E93">
              <w:rPr>
                <w:rFonts w:asciiTheme="minorHAnsi" w:hAnsiTheme="minorHAnsi" w:cstheme="minorHAnsi"/>
                <w:sz w:val="20"/>
              </w:rPr>
              <w:t>million</w:t>
            </w:r>
          </w:p>
        </w:tc>
      </w:tr>
      <w:tr w:rsidR="00CA7FB2" w:rsidRPr="009040E9" w14:paraId="7AC2B8F6" w14:textId="77777777" w:rsidTr="00861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66C6E242" w14:textId="77777777" w:rsidR="00CA7FB2" w:rsidRPr="007E5E93" w:rsidRDefault="00CA7FB2" w:rsidP="009F15C7">
            <w:pPr>
              <w:pStyle w:val="Tabletextleft"/>
              <w:rPr>
                <w:rFonts w:asciiTheme="minorHAnsi" w:hAnsiTheme="minorHAnsi" w:cstheme="minorHAnsi"/>
                <w:b/>
                <w:sz w:val="20"/>
              </w:rPr>
            </w:pPr>
            <w:r w:rsidRPr="007E5E93">
              <w:rPr>
                <w:rFonts w:asciiTheme="minorHAnsi" w:hAnsiTheme="minorHAnsi" w:cstheme="minorHAnsi"/>
                <w:b/>
                <w:sz w:val="20"/>
              </w:rPr>
              <w:t>Total</w:t>
            </w:r>
          </w:p>
        </w:tc>
        <w:tc>
          <w:tcPr>
            <w:tcW w:w="1984" w:type="dxa"/>
          </w:tcPr>
          <w:p w14:paraId="76E2ED9E" w14:textId="1B5E42A8" w:rsidR="00CA7FB2" w:rsidRPr="007E5E93" w:rsidRDefault="00861754" w:rsidP="009F15C7">
            <w:pPr>
              <w:pStyle w:val="Tabletext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7E5E93">
              <w:rPr>
                <w:rFonts w:asciiTheme="minorHAnsi" w:hAnsiTheme="minorHAnsi" w:cstheme="minorHAnsi"/>
                <w:b/>
                <w:sz w:val="20"/>
              </w:rPr>
              <w:t>$</w:t>
            </w:r>
            <w:r w:rsidR="003A4746" w:rsidRPr="007E5E93">
              <w:rPr>
                <w:rFonts w:asciiTheme="minorHAnsi" w:hAnsiTheme="minorHAnsi" w:cstheme="minorHAnsi"/>
                <w:b/>
                <w:sz w:val="20"/>
              </w:rPr>
              <w:t>4,5</w:t>
            </w:r>
            <w:r w:rsidR="004566BF" w:rsidRPr="007E5E93">
              <w:rPr>
                <w:rFonts w:asciiTheme="minorHAnsi" w:hAnsiTheme="minorHAnsi" w:cstheme="minorHAnsi"/>
                <w:b/>
                <w:sz w:val="20"/>
              </w:rPr>
              <w:t>0</w:t>
            </w:r>
            <w:r w:rsidR="00CC6DF2" w:rsidRPr="00CC6DF2">
              <w:rPr>
                <w:rFonts w:asciiTheme="minorHAnsi" w:hAnsiTheme="minorHAnsi" w:cstheme="minorHAnsi"/>
                <w:b/>
                <w:bCs/>
                <w:sz w:val="20"/>
              </w:rPr>
              <w:t>5</w:t>
            </w:r>
            <w:r w:rsidRPr="007E5E93">
              <w:rPr>
                <w:rFonts w:asciiTheme="minorHAnsi" w:hAnsiTheme="minorHAnsi" w:cstheme="minorHAnsi"/>
                <w:sz w:val="20"/>
              </w:rPr>
              <w:t xml:space="preserve"> million</w:t>
            </w:r>
          </w:p>
        </w:tc>
      </w:tr>
    </w:tbl>
    <w:p w14:paraId="6619B177" w14:textId="00F6112C" w:rsidR="00895B03" w:rsidRPr="009B64A1" w:rsidRDefault="00895B03" w:rsidP="00895B03">
      <w:pPr>
        <w:pStyle w:val="Heading2"/>
        <w:rPr>
          <w:rFonts w:asciiTheme="minorHAnsi" w:hAnsiTheme="minorHAnsi" w:cstheme="minorHAnsi"/>
        </w:rPr>
      </w:pPr>
      <w:r w:rsidRPr="009B64A1">
        <w:rPr>
          <w:rFonts w:asciiTheme="minorHAnsi" w:hAnsiTheme="minorHAnsi" w:cstheme="minorHAnsi"/>
        </w:rPr>
        <w:t>Definitions</w:t>
      </w:r>
    </w:p>
    <w:p w14:paraId="02BA055D" w14:textId="740A4C52" w:rsidR="00895B03" w:rsidRPr="009B64A1" w:rsidRDefault="00895B03" w:rsidP="00983FB8">
      <w:pPr>
        <w:pStyle w:val="Heading4"/>
        <w:rPr>
          <w:rFonts w:asciiTheme="minorHAnsi" w:hAnsiTheme="minorHAnsi" w:cstheme="minorHAnsi"/>
        </w:rPr>
      </w:pPr>
      <w:r w:rsidRPr="009B64A1">
        <w:rPr>
          <w:rFonts w:asciiTheme="minorHAnsi" w:hAnsiTheme="minorHAnsi" w:cstheme="minorHAnsi"/>
        </w:rPr>
        <w:t>Permanent Claim</w:t>
      </w:r>
      <w:r w:rsidR="00B635F4" w:rsidRPr="009B64A1">
        <w:rPr>
          <w:rFonts w:asciiTheme="minorHAnsi" w:hAnsiTheme="minorHAnsi" w:cstheme="minorHAnsi"/>
        </w:rPr>
        <w:t>s</w:t>
      </w:r>
      <w:r w:rsidRPr="009B64A1">
        <w:rPr>
          <w:rFonts w:asciiTheme="minorHAnsi" w:hAnsiTheme="minorHAnsi" w:cstheme="minorHAnsi"/>
        </w:rPr>
        <w:t xml:space="preserve"> Savings</w:t>
      </w:r>
    </w:p>
    <w:p w14:paraId="356C802D" w14:textId="7070E33B" w:rsidR="00895B03" w:rsidRPr="00983FB8" w:rsidRDefault="00895B03" w:rsidP="00983FB8">
      <w:pPr>
        <w:pStyle w:val="Heading2"/>
        <w:spacing w:before="0"/>
        <w:rPr>
          <w:rFonts w:asciiTheme="minorHAnsi" w:hAnsiTheme="minorHAnsi" w:cstheme="minorHAnsi"/>
        </w:rPr>
      </w:pPr>
      <w:r w:rsidRPr="00983FB8">
        <w:rPr>
          <w:rFonts w:asciiTheme="minorHAnsi" w:hAnsiTheme="minorHAnsi" w:cstheme="minorHAnsi"/>
          <w:b w:val="0"/>
          <w:color w:val="000000" w:themeColor="text1"/>
          <w:sz w:val="22"/>
          <w:szCs w:val="24"/>
        </w:rPr>
        <w:t>Whil</w:t>
      </w:r>
      <w:r w:rsidR="00C0589A" w:rsidRPr="00983FB8">
        <w:rPr>
          <w:rFonts w:asciiTheme="minorHAnsi" w:hAnsiTheme="minorHAnsi" w:cstheme="minorHAnsi"/>
          <w:b w:val="0"/>
          <w:color w:val="000000" w:themeColor="text1"/>
          <w:sz w:val="22"/>
          <w:szCs w:val="24"/>
        </w:rPr>
        <w:t>e</w:t>
      </w:r>
      <w:r w:rsidRPr="00983FB8">
        <w:rPr>
          <w:rFonts w:asciiTheme="minorHAnsi" w:hAnsiTheme="minorHAnsi" w:cstheme="minorHAnsi"/>
          <w:b w:val="0"/>
          <w:color w:val="000000" w:themeColor="text1"/>
          <w:sz w:val="22"/>
          <w:szCs w:val="24"/>
        </w:rPr>
        <w:t xml:space="preserve"> all insurers were able to develop their own definition of permanent claims savings, typical definition</w:t>
      </w:r>
      <w:r w:rsidR="000131C9" w:rsidRPr="00983FB8">
        <w:rPr>
          <w:rFonts w:asciiTheme="minorHAnsi" w:hAnsiTheme="minorHAnsi" w:cstheme="minorHAnsi"/>
          <w:b w:val="0"/>
          <w:color w:val="000000" w:themeColor="text1"/>
          <w:sz w:val="22"/>
          <w:szCs w:val="24"/>
        </w:rPr>
        <w:t>s are</w:t>
      </w:r>
      <w:r w:rsidRPr="00983FB8">
        <w:rPr>
          <w:rFonts w:asciiTheme="minorHAnsi" w:hAnsiTheme="minorHAnsi" w:cstheme="minorHAnsi"/>
          <w:b w:val="0"/>
          <w:color w:val="000000" w:themeColor="text1"/>
          <w:sz w:val="22"/>
          <w:szCs w:val="24"/>
        </w:rPr>
        <w:t xml:space="preserve"> the </w:t>
      </w:r>
      <w:r w:rsidR="00B82B88" w:rsidRPr="00983FB8">
        <w:rPr>
          <w:rFonts w:asciiTheme="minorHAnsi" w:hAnsiTheme="minorHAnsi" w:cstheme="minorHAnsi"/>
          <w:b w:val="0"/>
          <w:color w:val="000000" w:themeColor="text1"/>
          <w:sz w:val="22"/>
          <w:szCs w:val="24"/>
        </w:rPr>
        <w:t xml:space="preserve">estimated </w:t>
      </w:r>
      <w:r w:rsidRPr="00983FB8">
        <w:rPr>
          <w:rFonts w:asciiTheme="minorHAnsi" w:hAnsiTheme="minorHAnsi" w:cstheme="minorHAnsi"/>
          <w:b w:val="0"/>
          <w:color w:val="000000" w:themeColor="text1"/>
          <w:sz w:val="22"/>
          <w:szCs w:val="24"/>
        </w:rPr>
        <w:t>amount of net missing claims that are unlikely to return, or total missing claims less a deferred claims liability.</w:t>
      </w:r>
    </w:p>
    <w:p w14:paraId="1E7E0B74" w14:textId="52947CD7" w:rsidR="00895B03" w:rsidRPr="00983FB8" w:rsidRDefault="00895B03" w:rsidP="00983FB8">
      <w:pPr>
        <w:pStyle w:val="Heading2"/>
        <w:spacing w:before="0"/>
        <w:rPr>
          <w:rFonts w:asciiTheme="minorHAnsi" w:hAnsiTheme="minorHAnsi" w:cstheme="minorHAnsi"/>
        </w:rPr>
      </w:pPr>
      <w:r w:rsidRPr="00983FB8">
        <w:rPr>
          <w:rFonts w:asciiTheme="minorHAnsi" w:hAnsiTheme="minorHAnsi" w:cstheme="minorHAnsi"/>
          <w:b w:val="0"/>
          <w:color w:val="000000" w:themeColor="text1"/>
          <w:sz w:val="22"/>
          <w:szCs w:val="24"/>
        </w:rPr>
        <w:t xml:space="preserve">Cumulative </w:t>
      </w:r>
      <w:r w:rsidR="00B82B88" w:rsidRPr="00983FB8">
        <w:rPr>
          <w:rFonts w:asciiTheme="minorHAnsi" w:hAnsiTheme="minorHAnsi" w:cstheme="minorHAnsi"/>
          <w:b w:val="0"/>
          <w:color w:val="000000" w:themeColor="text1"/>
          <w:sz w:val="22"/>
          <w:szCs w:val="24"/>
        </w:rPr>
        <w:t>estimated p</w:t>
      </w:r>
      <w:r w:rsidRPr="00983FB8">
        <w:rPr>
          <w:rFonts w:asciiTheme="minorHAnsi" w:hAnsiTheme="minorHAnsi" w:cstheme="minorHAnsi"/>
          <w:b w:val="0"/>
          <w:color w:val="000000" w:themeColor="text1"/>
          <w:sz w:val="22"/>
          <w:szCs w:val="24"/>
        </w:rPr>
        <w:t xml:space="preserve">ermanent </w:t>
      </w:r>
      <w:r w:rsidR="00B82B88" w:rsidRPr="00983FB8">
        <w:rPr>
          <w:rFonts w:asciiTheme="minorHAnsi" w:hAnsiTheme="minorHAnsi" w:cstheme="minorHAnsi"/>
          <w:b w:val="0"/>
          <w:color w:val="000000" w:themeColor="text1"/>
          <w:sz w:val="22"/>
          <w:szCs w:val="24"/>
        </w:rPr>
        <w:t>c</w:t>
      </w:r>
      <w:r w:rsidRPr="00983FB8">
        <w:rPr>
          <w:rFonts w:asciiTheme="minorHAnsi" w:hAnsiTheme="minorHAnsi" w:cstheme="minorHAnsi"/>
          <w:b w:val="0"/>
          <w:color w:val="000000" w:themeColor="text1"/>
          <w:sz w:val="22"/>
          <w:szCs w:val="24"/>
        </w:rPr>
        <w:t xml:space="preserve">laims </w:t>
      </w:r>
      <w:r w:rsidR="00B82B88" w:rsidRPr="00983FB8">
        <w:rPr>
          <w:rFonts w:asciiTheme="minorHAnsi" w:hAnsiTheme="minorHAnsi" w:cstheme="minorHAnsi"/>
          <w:b w:val="0"/>
          <w:color w:val="000000" w:themeColor="text1"/>
          <w:sz w:val="22"/>
          <w:szCs w:val="24"/>
        </w:rPr>
        <w:t>s</w:t>
      </w:r>
      <w:r w:rsidRPr="00983FB8">
        <w:rPr>
          <w:rFonts w:asciiTheme="minorHAnsi" w:hAnsiTheme="minorHAnsi" w:cstheme="minorHAnsi"/>
          <w:b w:val="0"/>
          <w:color w:val="000000" w:themeColor="text1"/>
          <w:sz w:val="22"/>
          <w:szCs w:val="24"/>
        </w:rPr>
        <w:t xml:space="preserve">avings to 30 June </w:t>
      </w:r>
      <w:r w:rsidR="000F5C8D" w:rsidRPr="00983FB8">
        <w:rPr>
          <w:rFonts w:asciiTheme="minorHAnsi" w:hAnsiTheme="minorHAnsi" w:cstheme="minorHAnsi"/>
          <w:b w:val="0"/>
          <w:color w:val="000000" w:themeColor="text1"/>
          <w:sz w:val="22"/>
          <w:szCs w:val="24"/>
        </w:rPr>
        <w:t>202</w:t>
      </w:r>
      <w:r w:rsidR="008C4EAB" w:rsidRPr="00983FB8">
        <w:rPr>
          <w:rFonts w:asciiTheme="minorHAnsi" w:hAnsiTheme="minorHAnsi" w:cstheme="minorHAnsi"/>
          <w:b w:val="0"/>
          <w:color w:val="000000" w:themeColor="text1"/>
          <w:sz w:val="22"/>
          <w:szCs w:val="24"/>
        </w:rPr>
        <w:t>4</w:t>
      </w:r>
      <w:r w:rsidRPr="00983FB8">
        <w:rPr>
          <w:rFonts w:asciiTheme="minorHAnsi" w:hAnsiTheme="minorHAnsi" w:cstheme="minorHAnsi"/>
          <w:b w:val="0"/>
          <w:color w:val="000000" w:themeColor="text1"/>
          <w:sz w:val="22"/>
          <w:szCs w:val="24"/>
        </w:rPr>
        <w:t xml:space="preserve"> is the sum of </w:t>
      </w:r>
      <w:r w:rsidR="00B82B88" w:rsidRPr="00983FB8">
        <w:rPr>
          <w:rFonts w:asciiTheme="minorHAnsi" w:hAnsiTheme="minorHAnsi" w:cstheme="minorHAnsi"/>
          <w:b w:val="0"/>
          <w:color w:val="000000" w:themeColor="text1"/>
          <w:sz w:val="22"/>
          <w:szCs w:val="24"/>
        </w:rPr>
        <w:t xml:space="preserve">the estimated </w:t>
      </w:r>
      <w:r w:rsidRPr="00983FB8">
        <w:rPr>
          <w:rFonts w:asciiTheme="minorHAnsi" w:hAnsiTheme="minorHAnsi" w:cstheme="minorHAnsi"/>
          <w:b w:val="0"/>
          <w:color w:val="000000" w:themeColor="text1"/>
          <w:sz w:val="22"/>
          <w:szCs w:val="24"/>
        </w:rPr>
        <w:t>permanent claim</w:t>
      </w:r>
      <w:r w:rsidR="008A557B" w:rsidRPr="00983FB8">
        <w:rPr>
          <w:rFonts w:asciiTheme="minorHAnsi" w:hAnsiTheme="minorHAnsi" w:cstheme="minorHAnsi"/>
          <w:b w:val="0"/>
          <w:color w:val="000000" w:themeColor="text1"/>
          <w:sz w:val="22"/>
          <w:szCs w:val="24"/>
        </w:rPr>
        <w:t>s</w:t>
      </w:r>
      <w:r w:rsidRPr="00983FB8">
        <w:rPr>
          <w:rFonts w:asciiTheme="minorHAnsi" w:hAnsiTheme="minorHAnsi" w:cstheme="minorHAnsi"/>
          <w:b w:val="0"/>
          <w:color w:val="000000" w:themeColor="text1"/>
          <w:sz w:val="22"/>
          <w:szCs w:val="24"/>
        </w:rPr>
        <w:t xml:space="preserve"> savings</w:t>
      </w:r>
      <w:r w:rsidR="005B5E5C" w:rsidRPr="00983FB8">
        <w:rPr>
          <w:rFonts w:asciiTheme="minorHAnsi" w:hAnsiTheme="minorHAnsi" w:cstheme="minorHAnsi"/>
          <w:b w:val="0"/>
          <w:color w:val="000000" w:themeColor="text1"/>
          <w:sz w:val="22"/>
          <w:szCs w:val="24"/>
        </w:rPr>
        <w:t xml:space="preserve"> identified </w:t>
      </w:r>
      <w:r w:rsidRPr="00983FB8">
        <w:rPr>
          <w:rFonts w:asciiTheme="minorHAnsi" w:hAnsiTheme="minorHAnsi" w:cstheme="minorHAnsi"/>
          <w:b w:val="0"/>
          <w:color w:val="000000" w:themeColor="text1"/>
          <w:sz w:val="22"/>
          <w:szCs w:val="24"/>
        </w:rPr>
        <w:t xml:space="preserve">from the start of the pandemic to 30 June </w:t>
      </w:r>
      <w:r w:rsidR="000F5C8D" w:rsidRPr="00983FB8">
        <w:rPr>
          <w:rFonts w:asciiTheme="minorHAnsi" w:hAnsiTheme="minorHAnsi" w:cstheme="minorHAnsi"/>
          <w:b w:val="0"/>
          <w:color w:val="000000" w:themeColor="text1"/>
          <w:sz w:val="22"/>
          <w:szCs w:val="24"/>
        </w:rPr>
        <w:t>202</w:t>
      </w:r>
      <w:r w:rsidR="008C4EAB" w:rsidRPr="00983FB8">
        <w:rPr>
          <w:rFonts w:asciiTheme="minorHAnsi" w:hAnsiTheme="minorHAnsi" w:cstheme="minorHAnsi"/>
          <w:b w:val="0"/>
          <w:color w:val="000000" w:themeColor="text1"/>
          <w:sz w:val="22"/>
          <w:szCs w:val="24"/>
        </w:rPr>
        <w:t>4</w:t>
      </w:r>
      <w:r w:rsidRPr="00983FB8">
        <w:rPr>
          <w:rFonts w:asciiTheme="minorHAnsi" w:hAnsiTheme="minorHAnsi" w:cstheme="minorHAnsi"/>
          <w:b w:val="0"/>
          <w:color w:val="000000" w:themeColor="text1"/>
          <w:sz w:val="22"/>
          <w:szCs w:val="24"/>
        </w:rPr>
        <w:t>.</w:t>
      </w:r>
    </w:p>
    <w:p w14:paraId="648A2819" w14:textId="77777777" w:rsidR="00895B03" w:rsidRPr="00983FB8" w:rsidRDefault="00895B03" w:rsidP="00983FB8">
      <w:pPr>
        <w:pStyle w:val="Heading4"/>
        <w:rPr>
          <w:rFonts w:asciiTheme="minorHAnsi" w:hAnsiTheme="minorHAnsi" w:cstheme="minorHAnsi"/>
        </w:rPr>
      </w:pPr>
      <w:r w:rsidRPr="00983FB8">
        <w:rPr>
          <w:rFonts w:asciiTheme="minorHAnsi" w:hAnsiTheme="minorHAnsi" w:cstheme="minorHAnsi"/>
        </w:rPr>
        <w:t>Givebacks</w:t>
      </w:r>
    </w:p>
    <w:p w14:paraId="23312173" w14:textId="35DECD9F" w:rsidR="00895B03" w:rsidRPr="00983FB8" w:rsidRDefault="00895B03" w:rsidP="00983FB8">
      <w:pPr>
        <w:pStyle w:val="Heading2"/>
        <w:spacing w:before="0"/>
        <w:rPr>
          <w:rFonts w:asciiTheme="minorHAnsi" w:hAnsiTheme="minorHAnsi" w:cstheme="minorHAnsi"/>
        </w:rPr>
      </w:pPr>
      <w:r w:rsidRPr="00983FB8">
        <w:rPr>
          <w:rFonts w:asciiTheme="minorHAnsi" w:hAnsiTheme="minorHAnsi" w:cstheme="minorHAnsi"/>
          <w:b w:val="0"/>
          <w:color w:val="000000" w:themeColor="text1"/>
          <w:sz w:val="22"/>
          <w:szCs w:val="24"/>
        </w:rPr>
        <w:t>Givebacks are actions which are intended to return the permanent claim</w:t>
      </w:r>
      <w:r w:rsidR="008A557B" w:rsidRPr="00983FB8">
        <w:rPr>
          <w:rFonts w:asciiTheme="minorHAnsi" w:hAnsiTheme="minorHAnsi" w:cstheme="minorHAnsi"/>
          <w:b w:val="0"/>
          <w:color w:val="000000" w:themeColor="text1"/>
          <w:sz w:val="22"/>
          <w:szCs w:val="24"/>
        </w:rPr>
        <w:t>s</w:t>
      </w:r>
      <w:r w:rsidRPr="00983FB8">
        <w:rPr>
          <w:rFonts w:asciiTheme="minorHAnsi" w:hAnsiTheme="minorHAnsi" w:cstheme="minorHAnsi"/>
          <w:b w:val="0"/>
          <w:color w:val="000000" w:themeColor="text1"/>
          <w:sz w:val="22"/>
          <w:szCs w:val="24"/>
        </w:rPr>
        <w:t xml:space="preserve"> savings </w:t>
      </w:r>
      <w:r w:rsidR="00C0589A" w:rsidRPr="00983FB8">
        <w:rPr>
          <w:rFonts w:asciiTheme="minorHAnsi" w:hAnsiTheme="minorHAnsi" w:cstheme="minorHAnsi"/>
          <w:b w:val="0"/>
          <w:color w:val="000000" w:themeColor="text1"/>
          <w:sz w:val="22"/>
          <w:szCs w:val="24"/>
        </w:rPr>
        <w:t xml:space="preserve">to </w:t>
      </w:r>
      <w:r w:rsidRPr="00983FB8">
        <w:rPr>
          <w:rFonts w:asciiTheme="minorHAnsi" w:hAnsiTheme="minorHAnsi" w:cstheme="minorHAnsi"/>
          <w:b w:val="0"/>
          <w:color w:val="000000" w:themeColor="text1"/>
          <w:sz w:val="22"/>
          <w:szCs w:val="24"/>
        </w:rPr>
        <w:t>directly benefit members, for example (not exhaustive):</w:t>
      </w:r>
    </w:p>
    <w:p w14:paraId="2EDCEE81" w14:textId="63391527" w:rsidR="00895B03" w:rsidRPr="00983FB8" w:rsidRDefault="00C0589A" w:rsidP="00983FB8">
      <w:pPr>
        <w:pStyle w:val="ListParagraph"/>
        <w:numPr>
          <w:ilvl w:val="0"/>
          <w:numId w:val="27"/>
        </w:numPr>
        <w:spacing w:before="0"/>
        <w:rPr>
          <w:rFonts w:asciiTheme="minorHAnsi" w:hAnsiTheme="minorHAnsi" w:cstheme="minorHAnsi"/>
        </w:rPr>
      </w:pPr>
      <w:r w:rsidRPr="00983FB8">
        <w:rPr>
          <w:rFonts w:asciiTheme="minorHAnsi" w:hAnsiTheme="minorHAnsi" w:cstheme="minorHAnsi"/>
        </w:rPr>
        <w:t>c</w:t>
      </w:r>
      <w:r w:rsidR="00895B03" w:rsidRPr="00983FB8">
        <w:rPr>
          <w:rFonts w:asciiTheme="minorHAnsi" w:hAnsiTheme="minorHAnsi" w:cstheme="minorHAnsi"/>
        </w:rPr>
        <w:t>ashbacks</w:t>
      </w:r>
    </w:p>
    <w:p w14:paraId="21346C8A" w14:textId="42873252" w:rsidR="002E5A8B" w:rsidRDefault="002E5A8B" w:rsidP="00983FB8">
      <w:pPr>
        <w:pStyle w:val="ListParagraph"/>
        <w:numPr>
          <w:ilvl w:val="0"/>
          <w:numId w:val="27"/>
        </w:numPr>
        <w:spacing w:before="0"/>
        <w:rPr>
          <w:rFonts w:asciiTheme="minorHAnsi" w:hAnsiTheme="minorHAnsi" w:cstheme="minorHAnsi"/>
        </w:rPr>
      </w:pPr>
      <w:r>
        <w:rPr>
          <w:rFonts w:asciiTheme="minorHAnsi" w:hAnsiTheme="minorHAnsi" w:cstheme="minorHAnsi"/>
        </w:rPr>
        <w:t>reduced premiums</w:t>
      </w:r>
    </w:p>
    <w:p w14:paraId="7FED98BD" w14:textId="6BE4B18F" w:rsidR="00A530FF" w:rsidRPr="00852919" w:rsidRDefault="002E5A8B" w:rsidP="00852919">
      <w:pPr>
        <w:pStyle w:val="ListParagraph"/>
        <w:numPr>
          <w:ilvl w:val="0"/>
          <w:numId w:val="27"/>
        </w:numPr>
        <w:spacing w:before="0"/>
        <w:rPr>
          <w:rFonts w:asciiTheme="minorHAnsi" w:hAnsiTheme="minorHAnsi" w:cstheme="minorHAnsi"/>
        </w:rPr>
      </w:pPr>
      <w:r>
        <w:rPr>
          <w:rFonts w:asciiTheme="minorHAnsi" w:hAnsiTheme="minorHAnsi" w:cstheme="minorHAnsi"/>
        </w:rPr>
        <w:t>expanded benefits at no extra cost</w:t>
      </w:r>
      <w:r w:rsidRPr="00852919">
        <w:rPr>
          <w:rFonts w:asciiTheme="minorHAnsi" w:hAnsiTheme="minorHAnsi" w:cstheme="minorHAnsi"/>
        </w:rPr>
        <w:t>.</w:t>
      </w:r>
    </w:p>
    <w:p w14:paraId="01950708" w14:textId="2E8F1FA4" w:rsidR="00895B03" w:rsidRPr="00983FB8" w:rsidRDefault="00895B03" w:rsidP="00983FB8">
      <w:pPr>
        <w:pStyle w:val="Heading2"/>
        <w:spacing w:before="0"/>
        <w:rPr>
          <w:rFonts w:asciiTheme="minorHAnsi" w:hAnsiTheme="minorHAnsi" w:cstheme="minorHAnsi"/>
        </w:rPr>
      </w:pPr>
      <w:r w:rsidRPr="00983FB8">
        <w:rPr>
          <w:rFonts w:asciiTheme="minorHAnsi" w:hAnsiTheme="minorHAnsi" w:cstheme="minorHAnsi"/>
          <w:b w:val="0"/>
          <w:color w:val="000000" w:themeColor="text1"/>
          <w:sz w:val="22"/>
          <w:szCs w:val="24"/>
        </w:rPr>
        <w:t xml:space="preserve">Cumulative givebacks to 30 June </w:t>
      </w:r>
      <w:r w:rsidR="000F5C8D" w:rsidRPr="00983FB8">
        <w:rPr>
          <w:rFonts w:asciiTheme="minorHAnsi" w:hAnsiTheme="minorHAnsi" w:cstheme="minorHAnsi"/>
          <w:b w:val="0"/>
          <w:color w:val="000000" w:themeColor="text1"/>
          <w:sz w:val="22"/>
          <w:szCs w:val="24"/>
        </w:rPr>
        <w:t>202</w:t>
      </w:r>
      <w:r w:rsidR="00943742" w:rsidRPr="00983FB8">
        <w:rPr>
          <w:rFonts w:asciiTheme="minorHAnsi" w:hAnsiTheme="minorHAnsi" w:cstheme="minorHAnsi"/>
          <w:b w:val="0"/>
          <w:color w:val="000000" w:themeColor="text1"/>
          <w:sz w:val="22"/>
          <w:szCs w:val="24"/>
        </w:rPr>
        <w:t>4</w:t>
      </w:r>
      <w:r w:rsidRPr="00983FB8">
        <w:rPr>
          <w:rFonts w:asciiTheme="minorHAnsi" w:hAnsiTheme="minorHAnsi" w:cstheme="minorHAnsi"/>
          <w:b w:val="0"/>
          <w:color w:val="000000" w:themeColor="text1"/>
          <w:sz w:val="22"/>
          <w:szCs w:val="24"/>
        </w:rPr>
        <w:t xml:space="preserve"> are the sum of givebacks from the start of the pandemic to 30</w:t>
      </w:r>
      <w:r w:rsidR="00852919">
        <w:rPr>
          <w:rFonts w:asciiTheme="minorHAnsi" w:hAnsiTheme="minorHAnsi" w:cstheme="minorHAnsi"/>
          <w:b w:val="0"/>
          <w:color w:val="000000" w:themeColor="text1"/>
          <w:sz w:val="22"/>
          <w:szCs w:val="24"/>
        </w:rPr>
        <w:t> </w:t>
      </w:r>
      <w:r w:rsidRPr="00983FB8">
        <w:rPr>
          <w:rFonts w:asciiTheme="minorHAnsi" w:hAnsiTheme="minorHAnsi" w:cstheme="minorHAnsi"/>
          <w:b w:val="0"/>
          <w:color w:val="000000" w:themeColor="text1"/>
          <w:sz w:val="22"/>
          <w:szCs w:val="24"/>
        </w:rPr>
        <w:t xml:space="preserve">June </w:t>
      </w:r>
      <w:r w:rsidR="000F5C8D" w:rsidRPr="00983FB8">
        <w:rPr>
          <w:rFonts w:asciiTheme="minorHAnsi" w:hAnsiTheme="minorHAnsi" w:cstheme="minorHAnsi"/>
          <w:b w:val="0"/>
          <w:color w:val="000000" w:themeColor="text1"/>
          <w:sz w:val="22"/>
          <w:szCs w:val="24"/>
        </w:rPr>
        <w:t>202</w:t>
      </w:r>
      <w:r w:rsidR="00943742" w:rsidRPr="00983FB8">
        <w:rPr>
          <w:rFonts w:asciiTheme="minorHAnsi" w:hAnsiTheme="minorHAnsi" w:cstheme="minorHAnsi"/>
          <w:b w:val="0"/>
          <w:color w:val="000000" w:themeColor="text1"/>
          <w:sz w:val="22"/>
          <w:szCs w:val="24"/>
        </w:rPr>
        <w:t>4</w:t>
      </w:r>
      <w:r w:rsidR="007864E0" w:rsidRPr="00983FB8">
        <w:rPr>
          <w:rFonts w:asciiTheme="minorHAnsi" w:hAnsiTheme="minorHAnsi" w:cstheme="minorHAnsi"/>
          <w:b w:val="0"/>
          <w:color w:val="000000" w:themeColor="text1"/>
          <w:sz w:val="22"/>
          <w:szCs w:val="24"/>
        </w:rPr>
        <w:t>.</w:t>
      </w:r>
    </w:p>
    <w:p w14:paraId="4D3B73B4" w14:textId="237FEBA0" w:rsidR="00895B03" w:rsidRPr="00983FB8" w:rsidRDefault="00895B03" w:rsidP="00983FB8">
      <w:pPr>
        <w:pStyle w:val="Heading4"/>
        <w:rPr>
          <w:rFonts w:asciiTheme="minorHAnsi" w:hAnsiTheme="minorHAnsi" w:cstheme="minorHAnsi"/>
        </w:rPr>
      </w:pPr>
      <w:r w:rsidRPr="00983FB8">
        <w:rPr>
          <w:rFonts w:asciiTheme="minorHAnsi" w:hAnsiTheme="minorHAnsi" w:cstheme="minorHAnsi"/>
        </w:rPr>
        <w:t>Reduced premiums</w:t>
      </w:r>
    </w:p>
    <w:p w14:paraId="7CD2AA43" w14:textId="45F55B86" w:rsidR="00895B03" w:rsidRPr="00983FB8" w:rsidRDefault="00895B03" w:rsidP="00983FB8">
      <w:pPr>
        <w:pStyle w:val="Heading2"/>
        <w:spacing w:before="0"/>
        <w:rPr>
          <w:rFonts w:asciiTheme="minorHAnsi" w:hAnsiTheme="minorHAnsi" w:cstheme="minorHAnsi"/>
        </w:rPr>
      </w:pPr>
      <w:r w:rsidRPr="00983FB8">
        <w:rPr>
          <w:rFonts w:asciiTheme="minorHAnsi" w:hAnsiTheme="minorHAnsi" w:cstheme="minorHAnsi"/>
          <w:b w:val="0"/>
          <w:color w:val="000000" w:themeColor="text1"/>
          <w:sz w:val="22"/>
          <w:szCs w:val="24"/>
        </w:rPr>
        <w:t>Reduced premium</w:t>
      </w:r>
      <w:r w:rsidR="00020952" w:rsidRPr="00983FB8">
        <w:rPr>
          <w:rFonts w:asciiTheme="minorHAnsi" w:hAnsiTheme="minorHAnsi" w:cstheme="minorHAnsi"/>
          <w:b w:val="0"/>
          <w:color w:val="000000" w:themeColor="text1"/>
          <w:sz w:val="22"/>
          <w:szCs w:val="24"/>
        </w:rPr>
        <w:t>s</w:t>
      </w:r>
      <w:r w:rsidRPr="00983FB8">
        <w:rPr>
          <w:rFonts w:asciiTheme="minorHAnsi" w:hAnsiTheme="minorHAnsi" w:cstheme="minorHAnsi"/>
          <w:b w:val="0"/>
          <w:color w:val="000000" w:themeColor="text1"/>
          <w:sz w:val="22"/>
          <w:szCs w:val="24"/>
        </w:rPr>
        <w:t xml:space="preserve"> include:</w:t>
      </w:r>
    </w:p>
    <w:p w14:paraId="38DACAE5" w14:textId="62A27BDA" w:rsidR="00895B03" w:rsidRPr="00983FB8" w:rsidRDefault="00895B03" w:rsidP="00983FB8">
      <w:pPr>
        <w:pStyle w:val="ListParagraph"/>
        <w:numPr>
          <w:ilvl w:val="0"/>
          <w:numId w:val="28"/>
        </w:numPr>
        <w:spacing w:before="0"/>
        <w:rPr>
          <w:rFonts w:asciiTheme="minorHAnsi" w:hAnsiTheme="minorHAnsi" w:cstheme="minorHAnsi"/>
        </w:rPr>
      </w:pPr>
      <w:r w:rsidRPr="00983FB8">
        <w:rPr>
          <w:rFonts w:asciiTheme="minorHAnsi" w:hAnsiTheme="minorHAnsi" w:cstheme="minorHAnsi"/>
        </w:rPr>
        <w:t xml:space="preserve">deferring the approved increase in premiums so the policyholder continues to pay the </w:t>
      </w:r>
      <w:r w:rsidR="00597CB4" w:rsidRPr="00983FB8">
        <w:rPr>
          <w:rFonts w:asciiTheme="minorHAnsi" w:hAnsiTheme="minorHAnsi" w:cstheme="minorHAnsi"/>
        </w:rPr>
        <w:t xml:space="preserve">existing </w:t>
      </w:r>
      <w:r w:rsidRPr="00983FB8">
        <w:rPr>
          <w:rFonts w:asciiTheme="minorHAnsi" w:hAnsiTheme="minorHAnsi" w:cstheme="minorHAnsi"/>
        </w:rPr>
        <w:t xml:space="preserve">premium </w:t>
      </w:r>
      <w:r w:rsidR="00597CB4" w:rsidRPr="00983FB8">
        <w:rPr>
          <w:rFonts w:asciiTheme="minorHAnsi" w:hAnsiTheme="minorHAnsi" w:cstheme="minorHAnsi"/>
        </w:rPr>
        <w:t>rate</w:t>
      </w:r>
      <w:r w:rsidRPr="00983FB8">
        <w:rPr>
          <w:rFonts w:asciiTheme="minorHAnsi" w:hAnsiTheme="minorHAnsi" w:cstheme="minorHAnsi"/>
        </w:rPr>
        <w:t xml:space="preserve"> for longer</w:t>
      </w:r>
      <w:r w:rsidR="00983FB8">
        <w:rPr>
          <w:rFonts w:asciiTheme="minorHAnsi" w:hAnsiTheme="minorHAnsi" w:cstheme="minorHAnsi"/>
        </w:rPr>
        <w:t xml:space="preserve">. </w:t>
      </w:r>
      <w:r w:rsidR="00B91498">
        <w:rPr>
          <w:rFonts w:asciiTheme="minorHAnsi" w:hAnsiTheme="minorHAnsi" w:cstheme="minorHAnsi"/>
        </w:rPr>
        <w:t>The d</w:t>
      </w:r>
      <w:r w:rsidR="00983FB8">
        <w:rPr>
          <w:rFonts w:asciiTheme="minorHAnsi" w:hAnsiTheme="minorHAnsi" w:cstheme="minorHAnsi"/>
        </w:rPr>
        <w:t>epartment directed insurers to cease deferring premium increases from 1 April 2024.</w:t>
      </w:r>
    </w:p>
    <w:p w14:paraId="3CA68517" w14:textId="1B37FA0F" w:rsidR="00895B03" w:rsidRPr="00CC6DF2" w:rsidRDefault="00895B03" w:rsidP="00895B03">
      <w:pPr>
        <w:pStyle w:val="ListParagraph"/>
        <w:numPr>
          <w:ilvl w:val="0"/>
          <w:numId w:val="28"/>
        </w:numPr>
        <w:rPr>
          <w:rFonts w:asciiTheme="minorHAnsi" w:hAnsiTheme="minorHAnsi" w:cstheme="minorHAnsi"/>
        </w:rPr>
      </w:pPr>
      <w:r w:rsidRPr="00983FB8">
        <w:rPr>
          <w:rFonts w:asciiTheme="minorHAnsi" w:hAnsiTheme="minorHAnsi" w:cstheme="minorHAnsi"/>
        </w:rPr>
        <w:t>cancell</w:t>
      </w:r>
      <w:r w:rsidR="00E977D4">
        <w:rPr>
          <w:rFonts w:asciiTheme="minorHAnsi" w:hAnsiTheme="minorHAnsi" w:cstheme="minorHAnsi"/>
        </w:rPr>
        <w:t>ed</w:t>
      </w:r>
      <w:r w:rsidRPr="00CC6DF2">
        <w:rPr>
          <w:rFonts w:asciiTheme="minorHAnsi" w:hAnsiTheme="minorHAnsi" w:cstheme="minorHAnsi"/>
        </w:rPr>
        <w:t xml:space="preserve"> premium increases so the policyholder continues to pay a lower premium</w:t>
      </w:r>
    </w:p>
    <w:p w14:paraId="5AB75BEE" w14:textId="1556732F" w:rsidR="003B36F6" w:rsidRPr="00CC6DF2" w:rsidRDefault="00C0589A">
      <w:pPr>
        <w:pStyle w:val="ListParagraph"/>
        <w:numPr>
          <w:ilvl w:val="0"/>
          <w:numId w:val="28"/>
        </w:numPr>
        <w:rPr>
          <w:rFonts w:asciiTheme="minorHAnsi" w:hAnsiTheme="minorHAnsi" w:cstheme="minorHAnsi"/>
        </w:rPr>
      </w:pPr>
      <w:bookmarkStart w:id="1" w:name="_Hlk182012715"/>
      <w:r w:rsidRPr="00CC6DF2">
        <w:rPr>
          <w:rFonts w:asciiTheme="minorHAnsi" w:hAnsiTheme="minorHAnsi" w:cstheme="minorHAnsi"/>
        </w:rPr>
        <w:t xml:space="preserve">suspending or waiving premiums for </w:t>
      </w:r>
      <w:r w:rsidR="00020952" w:rsidRPr="00CC6DF2">
        <w:rPr>
          <w:rFonts w:asciiTheme="minorHAnsi" w:hAnsiTheme="minorHAnsi" w:cstheme="minorHAnsi"/>
        </w:rPr>
        <w:t>a period</w:t>
      </w:r>
      <w:r w:rsidRPr="00CC6DF2">
        <w:rPr>
          <w:rFonts w:asciiTheme="minorHAnsi" w:hAnsiTheme="minorHAnsi" w:cstheme="minorHAnsi"/>
        </w:rPr>
        <w:t xml:space="preserve"> </w:t>
      </w:r>
      <w:r w:rsidR="00895B03" w:rsidRPr="00CC6DF2">
        <w:rPr>
          <w:rFonts w:asciiTheme="minorHAnsi" w:hAnsiTheme="minorHAnsi" w:cstheme="minorHAnsi"/>
        </w:rPr>
        <w:t>in cases of financial hardship</w:t>
      </w:r>
    </w:p>
    <w:bookmarkEnd w:id="1"/>
    <w:p w14:paraId="228857BF" w14:textId="04BDD296" w:rsidR="00895B03" w:rsidRPr="00CC6DF2" w:rsidRDefault="00895B03">
      <w:pPr>
        <w:pStyle w:val="ListParagraph"/>
        <w:numPr>
          <w:ilvl w:val="0"/>
          <w:numId w:val="28"/>
        </w:numPr>
        <w:rPr>
          <w:rFonts w:asciiTheme="minorHAnsi" w:hAnsiTheme="minorHAnsi" w:cstheme="minorHAnsi"/>
        </w:rPr>
      </w:pPr>
      <w:r w:rsidRPr="00CC6DF2">
        <w:rPr>
          <w:rFonts w:asciiTheme="minorHAnsi" w:hAnsiTheme="minorHAnsi" w:cstheme="minorHAnsi"/>
        </w:rPr>
        <w:t>discounts on premiums</w:t>
      </w:r>
    </w:p>
    <w:p w14:paraId="639B0743" w14:textId="46B1E415" w:rsidR="00895B03" w:rsidRPr="00CC6DF2" w:rsidRDefault="00895B03" w:rsidP="00895B03">
      <w:pPr>
        <w:pStyle w:val="ListParagraph"/>
        <w:numPr>
          <w:ilvl w:val="0"/>
          <w:numId w:val="28"/>
        </w:numPr>
        <w:rPr>
          <w:rFonts w:asciiTheme="minorHAnsi" w:hAnsiTheme="minorHAnsi" w:cstheme="minorHAnsi"/>
        </w:rPr>
      </w:pPr>
      <w:r w:rsidRPr="00CC6DF2">
        <w:rPr>
          <w:rFonts w:asciiTheme="minorHAnsi" w:hAnsiTheme="minorHAnsi" w:cstheme="minorHAnsi"/>
        </w:rPr>
        <w:t>seeking a lower annual premium increase than budgeted for</w:t>
      </w:r>
      <w:r w:rsidR="00020952" w:rsidRPr="00CC6DF2">
        <w:rPr>
          <w:rFonts w:asciiTheme="minorHAnsi" w:hAnsiTheme="minorHAnsi" w:cstheme="minorHAnsi"/>
        </w:rPr>
        <w:t>,</w:t>
      </w:r>
      <w:r w:rsidRPr="00CC6DF2">
        <w:rPr>
          <w:rFonts w:asciiTheme="minorHAnsi" w:hAnsiTheme="minorHAnsi" w:cstheme="minorHAnsi"/>
        </w:rPr>
        <w:t xml:space="preserve"> where the lower premium sought is attributed directly to supporting policyholders.</w:t>
      </w:r>
    </w:p>
    <w:p w14:paraId="3C36B154" w14:textId="7D7F1B35" w:rsidR="00895B03" w:rsidRPr="00CC6DF2" w:rsidRDefault="00895B03" w:rsidP="00CC6DF2">
      <w:pPr>
        <w:pStyle w:val="Heading4"/>
        <w:rPr>
          <w:rFonts w:asciiTheme="minorHAnsi" w:hAnsiTheme="minorHAnsi" w:cstheme="minorHAnsi"/>
        </w:rPr>
      </w:pPr>
      <w:r w:rsidRPr="00CC6DF2">
        <w:rPr>
          <w:rFonts w:asciiTheme="minorHAnsi" w:hAnsiTheme="minorHAnsi" w:cstheme="minorHAnsi"/>
        </w:rPr>
        <w:lastRenderedPageBreak/>
        <w:t>Expanded benefits at no additional cost</w:t>
      </w:r>
    </w:p>
    <w:p w14:paraId="193DBDA8" w14:textId="2437C788" w:rsidR="00895B03" w:rsidRPr="00CC6DF2" w:rsidRDefault="00895B03" w:rsidP="00CC6DF2">
      <w:pPr>
        <w:pStyle w:val="Heading2"/>
        <w:spacing w:before="0"/>
        <w:rPr>
          <w:rFonts w:asciiTheme="minorHAnsi" w:hAnsiTheme="minorHAnsi" w:cstheme="minorHAnsi"/>
        </w:rPr>
      </w:pPr>
      <w:r w:rsidRPr="00CC6DF2">
        <w:rPr>
          <w:rFonts w:asciiTheme="minorHAnsi" w:hAnsiTheme="minorHAnsi" w:cstheme="minorHAnsi"/>
          <w:b w:val="0"/>
          <w:color w:val="000000" w:themeColor="text1"/>
          <w:sz w:val="22"/>
          <w:szCs w:val="24"/>
        </w:rPr>
        <w:t>In response to the pandemic, many insurers have</w:t>
      </w:r>
      <w:r w:rsidR="00597CB4" w:rsidRPr="00CC6DF2">
        <w:rPr>
          <w:rFonts w:asciiTheme="minorHAnsi" w:hAnsiTheme="minorHAnsi" w:cstheme="minorHAnsi"/>
          <w:b w:val="0"/>
          <w:color w:val="000000" w:themeColor="text1"/>
          <w:sz w:val="22"/>
          <w:szCs w:val="24"/>
        </w:rPr>
        <w:t xml:space="preserve"> added additional benefits</w:t>
      </w:r>
      <w:r w:rsidR="00E977D4">
        <w:rPr>
          <w:rFonts w:asciiTheme="minorHAnsi" w:hAnsiTheme="minorHAnsi" w:cstheme="minorHAnsi"/>
          <w:b w:val="0"/>
          <w:bCs w:val="0"/>
          <w:iCs w:val="0"/>
          <w:color w:val="000000" w:themeColor="text1"/>
          <w:sz w:val="22"/>
          <w:szCs w:val="24"/>
        </w:rPr>
        <w:t xml:space="preserve"> without pricing them into premiums</w:t>
      </w:r>
      <w:r w:rsidRPr="00CC6DF2">
        <w:rPr>
          <w:rFonts w:asciiTheme="minorHAnsi" w:hAnsiTheme="minorHAnsi" w:cstheme="minorHAnsi"/>
          <w:b w:val="0"/>
          <w:color w:val="000000" w:themeColor="text1"/>
          <w:sz w:val="22"/>
          <w:szCs w:val="24"/>
        </w:rPr>
        <w:t>, for example:</w:t>
      </w:r>
    </w:p>
    <w:p w14:paraId="70A19D36" w14:textId="04C412D1" w:rsidR="00895B03" w:rsidRPr="00CC6DF2" w:rsidRDefault="00895B03" w:rsidP="00CC6DF2">
      <w:pPr>
        <w:pStyle w:val="ListParagraph"/>
        <w:numPr>
          <w:ilvl w:val="0"/>
          <w:numId w:val="29"/>
        </w:numPr>
        <w:spacing w:before="0"/>
        <w:rPr>
          <w:rFonts w:asciiTheme="minorHAnsi" w:hAnsiTheme="minorHAnsi" w:cstheme="minorHAnsi"/>
        </w:rPr>
      </w:pPr>
      <w:r w:rsidRPr="00CC6DF2">
        <w:rPr>
          <w:rFonts w:asciiTheme="minorHAnsi" w:hAnsiTheme="minorHAnsi" w:cstheme="minorHAnsi"/>
        </w:rPr>
        <w:t xml:space="preserve">provided private cover for </w:t>
      </w:r>
      <w:r w:rsidR="00020952" w:rsidRPr="00CC6DF2">
        <w:rPr>
          <w:rFonts w:asciiTheme="minorHAnsi" w:hAnsiTheme="minorHAnsi" w:cstheme="minorHAnsi"/>
        </w:rPr>
        <w:t>the</w:t>
      </w:r>
      <w:r w:rsidRPr="00CC6DF2">
        <w:rPr>
          <w:rFonts w:asciiTheme="minorHAnsi" w:hAnsiTheme="minorHAnsi" w:cstheme="minorHAnsi"/>
        </w:rPr>
        <w:t xml:space="preserve"> </w:t>
      </w:r>
      <w:r w:rsidR="00020952" w:rsidRPr="00CC6DF2">
        <w:rPr>
          <w:rFonts w:asciiTheme="minorHAnsi" w:hAnsiTheme="minorHAnsi" w:cstheme="minorHAnsi"/>
        </w:rPr>
        <w:t>‘l</w:t>
      </w:r>
      <w:r w:rsidRPr="00CC6DF2">
        <w:rPr>
          <w:rFonts w:asciiTheme="minorHAnsi" w:hAnsiTheme="minorHAnsi" w:cstheme="minorHAnsi"/>
        </w:rPr>
        <w:t xml:space="preserve">ung and </w:t>
      </w:r>
      <w:r w:rsidR="00020952" w:rsidRPr="00CC6DF2">
        <w:rPr>
          <w:rFonts w:asciiTheme="minorHAnsi" w:hAnsiTheme="minorHAnsi" w:cstheme="minorHAnsi"/>
        </w:rPr>
        <w:t>c</w:t>
      </w:r>
      <w:r w:rsidRPr="00CC6DF2">
        <w:rPr>
          <w:rFonts w:asciiTheme="minorHAnsi" w:hAnsiTheme="minorHAnsi" w:cstheme="minorHAnsi"/>
        </w:rPr>
        <w:t>hest</w:t>
      </w:r>
      <w:r w:rsidR="00020952" w:rsidRPr="00CC6DF2">
        <w:rPr>
          <w:rFonts w:asciiTheme="minorHAnsi" w:hAnsiTheme="minorHAnsi" w:cstheme="minorHAnsi"/>
        </w:rPr>
        <w:t>’ clinical category</w:t>
      </w:r>
      <w:r w:rsidRPr="00CC6DF2">
        <w:rPr>
          <w:rFonts w:asciiTheme="minorHAnsi" w:hAnsiTheme="minorHAnsi" w:cstheme="minorHAnsi"/>
        </w:rPr>
        <w:t xml:space="preserve"> even if not required within the product tier</w:t>
      </w:r>
    </w:p>
    <w:p w14:paraId="03190FE4" w14:textId="77777777" w:rsidR="00895B03" w:rsidRPr="00CC6DF2" w:rsidRDefault="00895B03" w:rsidP="00FC635C">
      <w:pPr>
        <w:pStyle w:val="ListParagraph"/>
        <w:numPr>
          <w:ilvl w:val="0"/>
          <w:numId w:val="29"/>
        </w:numPr>
        <w:rPr>
          <w:rFonts w:asciiTheme="minorHAnsi" w:hAnsiTheme="minorHAnsi" w:cstheme="minorHAnsi"/>
        </w:rPr>
      </w:pPr>
      <w:r w:rsidRPr="00CC6DF2">
        <w:rPr>
          <w:rFonts w:asciiTheme="minorHAnsi" w:hAnsiTheme="minorHAnsi" w:cstheme="minorHAnsi"/>
        </w:rPr>
        <w:t>provided telehealth or other services to policyholders</w:t>
      </w:r>
    </w:p>
    <w:p w14:paraId="73834743" w14:textId="31DCB5E8" w:rsidR="00895B03" w:rsidRPr="00CC6DF2" w:rsidRDefault="00895B03" w:rsidP="00FC635C">
      <w:pPr>
        <w:pStyle w:val="ListParagraph"/>
        <w:numPr>
          <w:ilvl w:val="0"/>
          <w:numId w:val="29"/>
        </w:numPr>
        <w:rPr>
          <w:rFonts w:asciiTheme="minorHAnsi" w:hAnsiTheme="minorHAnsi" w:cstheme="minorHAnsi"/>
        </w:rPr>
      </w:pPr>
      <w:r w:rsidRPr="00CC6DF2">
        <w:rPr>
          <w:rFonts w:asciiTheme="minorHAnsi" w:hAnsiTheme="minorHAnsi" w:cstheme="minorHAnsi"/>
        </w:rPr>
        <w:t xml:space="preserve">rolled over </w:t>
      </w:r>
      <w:r w:rsidR="00597CB4" w:rsidRPr="00CC6DF2">
        <w:rPr>
          <w:rFonts w:asciiTheme="minorHAnsi" w:hAnsiTheme="minorHAnsi" w:cstheme="minorHAnsi"/>
        </w:rPr>
        <w:t xml:space="preserve">unused </w:t>
      </w:r>
      <w:r w:rsidRPr="00CC6DF2">
        <w:rPr>
          <w:rFonts w:asciiTheme="minorHAnsi" w:hAnsiTheme="minorHAnsi" w:cstheme="minorHAnsi"/>
        </w:rPr>
        <w:t xml:space="preserve">general benefit </w:t>
      </w:r>
      <w:r w:rsidR="00597CB4" w:rsidRPr="00CC6DF2">
        <w:rPr>
          <w:rFonts w:asciiTheme="minorHAnsi" w:hAnsiTheme="minorHAnsi" w:cstheme="minorHAnsi"/>
        </w:rPr>
        <w:t xml:space="preserve">annual </w:t>
      </w:r>
      <w:r w:rsidRPr="00CC6DF2">
        <w:rPr>
          <w:rFonts w:asciiTheme="minorHAnsi" w:hAnsiTheme="minorHAnsi" w:cstheme="minorHAnsi"/>
        </w:rPr>
        <w:t>limits.</w:t>
      </w:r>
    </w:p>
    <w:p w14:paraId="0E51C058" w14:textId="579C1443" w:rsidR="00895B03" w:rsidRPr="00CC6DF2" w:rsidRDefault="00895B03" w:rsidP="00FC635C">
      <w:pPr>
        <w:pStyle w:val="Heading3"/>
        <w:rPr>
          <w:rFonts w:asciiTheme="minorHAnsi" w:hAnsiTheme="minorHAnsi" w:cstheme="minorHAnsi"/>
        </w:rPr>
      </w:pPr>
      <w:r w:rsidRPr="00CC6DF2">
        <w:rPr>
          <w:rFonts w:asciiTheme="minorHAnsi" w:hAnsiTheme="minorHAnsi" w:cstheme="minorHAnsi"/>
        </w:rPr>
        <w:t>Further information</w:t>
      </w:r>
      <w:r w:rsidR="00B635F4" w:rsidRPr="00CC6DF2">
        <w:rPr>
          <w:rFonts w:asciiTheme="minorHAnsi" w:hAnsiTheme="minorHAnsi" w:cstheme="minorHAnsi"/>
        </w:rPr>
        <w:t xml:space="preserve"> and</w:t>
      </w:r>
      <w:r w:rsidRPr="00CC6DF2">
        <w:rPr>
          <w:rFonts w:asciiTheme="minorHAnsi" w:hAnsiTheme="minorHAnsi" w:cstheme="minorHAnsi"/>
        </w:rPr>
        <w:t xml:space="preserve"> the reporting framework</w:t>
      </w:r>
    </w:p>
    <w:p w14:paraId="3C898277" w14:textId="49842076" w:rsidR="004D07BD" w:rsidRPr="00CC6DF2" w:rsidRDefault="00895B03" w:rsidP="00CC6DF2">
      <w:pPr>
        <w:pStyle w:val="Heading2"/>
        <w:spacing w:before="0"/>
        <w:rPr>
          <w:rFonts w:asciiTheme="minorHAnsi" w:hAnsiTheme="minorHAnsi" w:cstheme="minorHAnsi"/>
        </w:rPr>
      </w:pPr>
      <w:r w:rsidRPr="00CC6DF2">
        <w:rPr>
          <w:rFonts w:asciiTheme="minorHAnsi" w:hAnsiTheme="minorHAnsi" w:cstheme="minorHAnsi"/>
          <w:b w:val="0"/>
          <w:color w:val="000000" w:themeColor="text1"/>
          <w:sz w:val="22"/>
          <w:szCs w:val="24"/>
        </w:rPr>
        <w:t xml:space="preserve">To </w:t>
      </w:r>
      <w:r w:rsidR="00C0589A" w:rsidRPr="00CC6DF2">
        <w:rPr>
          <w:rFonts w:asciiTheme="minorHAnsi" w:hAnsiTheme="minorHAnsi" w:cstheme="minorHAnsi"/>
          <w:b w:val="0"/>
          <w:color w:val="000000" w:themeColor="text1"/>
          <w:sz w:val="22"/>
          <w:szCs w:val="24"/>
        </w:rPr>
        <w:t xml:space="preserve">ensure </w:t>
      </w:r>
      <w:r w:rsidRPr="00CC6DF2">
        <w:rPr>
          <w:rFonts w:asciiTheme="minorHAnsi" w:hAnsiTheme="minorHAnsi" w:cstheme="minorHAnsi"/>
          <w:b w:val="0"/>
          <w:color w:val="000000" w:themeColor="text1"/>
          <w:sz w:val="22"/>
          <w:szCs w:val="24"/>
        </w:rPr>
        <w:t>consistent reporting from health insurers, a framework for reporting pandemic commitments was developed in collaboration with the health insurance sector and other regulatory agencies</w:t>
      </w:r>
      <w:r w:rsidR="005B5E5C" w:rsidRPr="00CC6DF2">
        <w:rPr>
          <w:rFonts w:asciiTheme="minorHAnsi" w:hAnsiTheme="minorHAnsi" w:cstheme="minorHAnsi"/>
          <w:b w:val="0"/>
          <w:color w:val="000000" w:themeColor="text1"/>
          <w:sz w:val="22"/>
          <w:szCs w:val="24"/>
        </w:rPr>
        <w:t xml:space="preserve"> (specifically, the Australian Competition and Consumer Commission and the Australian Prudential Regulation Authority)</w:t>
      </w:r>
      <w:r w:rsidRPr="00CC6DF2">
        <w:rPr>
          <w:rFonts w:asciiTheme="minorHAnsi" w:hAnsiTheme="minorHAnsi" w:cstheme="minorHAnsi"/>
          <w:b w:val="0"/>
          <w:color w:val="000000" w:themeColor="text1"/>
          <w:sz w:val="22"/>
          <w:szCs w:val="24"/>
        </w:rPr>
        <w:t>.</w:t>
      </w:r>
      <w:r w:rsidR="008F5838" w:rsidRPr="00CC6DF2">
        <w:rPr>
          <w:rFonts w:asciiTheme="minorHAnsi" w:hAnsiTheme="minorHAnsi" w:cstheme="minorHAnsi"/>
          <w:b w:val="0"/>
          <w:color w:val="000000" w:themeColor="text1"/>
          <w:sz w:val="22"/>
          <w:szCs w:val="24"/>
        </w:rPr>
        <w:t xml:space="preserve"> </w:t>
      </w:r>
    </w:p>
    <w:p w14:paraId="1986BC69" w14:textId="4F62C473" w:rsidR="00FC635C" w:rsidRPr="00CC6DF2" w:rsidRDefault="002A24AF" w:rsidP="002A24AF">
      <w:pPr>
        <w:rPr>
          <w:rFonts w:asciiTheme="minorHAnsi" w:hAnsiTheme="minorHAnsi" w:cstheme="minorHAnsi"/>
        </w:rPr>
      </w:pPr>
      <w:hyperlink r:id="rId11" w:history="1">
        <w:r w:rsidRPr="00CC6DF2">
          <w:rPr>
            <w:rStyle w:val="Hyperlink"/>
            <w:rFonts w:asciiTheme="minorHAnsi" w:hAnsiTheme="minorHAnsi" w:cstheme="minorHAnsi"/>
          </w:rPr>
          <w:t>Monitoring Framework for Private Health Insurers</w:t>
        </w:r>
      </w:hyperlink>
    </w:p>
    <w:sectPr w:rsidR="00FC635C" w:rsidRPr="00CC6DF2" w:rsidSect="004F6536">
      <w:headerReference w:type="default" r:id="rId12"/>
      <w:footerReference w:type="default" r:id="rId13"/>
      <w:headerReference w:type="first" r:id="rId14"/>
      <w:footerReference w:type="first" r:id="rId15"/>
      <w:type w:val="continuous"/>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97346" w14:textId="77777777" w:rsidR="00166B5F" w:rsidRDefault="00166B5F" w:rsidP="006B56BB">
      <w:r>
        <w:separator/>
      </w:r>
    </w:p>
    <w:p w14:paraId="23784755" w14:textId="77777777" w:rsidR="00166B5F" w:rsidRDefault="00166B5F"/>
  </w:endnote>
  <w:endnote w:type="continuationSeparator" w:id="0">
    <w:p w14:paraId="5AB5CE01" w14:textId="77777777" w:rsidR="00166B5F" w:rsidRDefault="00166B5F" w:rsidP="006B56BB">
      <w:r>
        <w:continuationSeparator/>
      </w:r>
    </w:p>
    <w:p w14:paraId="0BACD3F5" w14:textId="77777777" w:rsidR="00166B5F" w:rsidRDefault="00166B5F"/>
  </w:endnote>
  <w:endnote w:type="continuationNotice" w:id="1">
    <w:p w14:paraId="0338B6FC" w14:textId="77777777" w:rsidR="00166B5F" w:rsidRDefault="0016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8C0C" w14:textId="580F39CF" w:rsidR="00B53987" w:rsidRDefault="00AA262B" w:rsidP="00B53987">
    <w:pPr>
      <w:pStyle w:val="Footer"/>
    </w:pPr>
    <w:r>
      <w:t xml:space="preserve">Department of Health and Aged Care </w:t>
    </w:r>
    <w:r w:rsidR="00B53987">
      <w:t>–</w:t>
    </w:r>
    <w:r w:rsidR="00D808E7">
      <w:t xml:space="preserve"> </w:t>
    </w:r>
    <w:r w:rsidR="00D808E7" w:rsidRPr="00D808E7">
      <w:t>Private Health Insurer Pandemic Commitment Monitoring</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A393" w14:textId="431A1383" w:rsidR="00B53987" w:rsidRDefault="00AA262B" w:rsidP="00B53987">
    <w:pPr>
      <w:pStyle w:val="Footer"/>
    </w:pPr>
    <w:r>
      <w:t xml:space="preserve">Department of Health and Aged Care </w:t>
    </w:r>
    <w:r w:rsidR="00B53987">
      <w:t>–</w:t>
    </w:r>
    <w:r w:rsidR="00A23DB4">
      <w:t xml:space="preserve"> </w:t>
    </w:r>
    <w:r w:rsidR="00A23DB4" w:rsidRPr="00A23DB4">
      <w:t>Private Health Insurer Pandemic Commitment Monitoring</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4EC7" w14:textId="77777777" w:rsidR="00166B5F" w:rsidRDefault="00166B5F" w:rsidP="006B56BB">
      <w:r>
        <w:separator/>
      </w:r>
    </w:p>
    <w:p w14:paraId="0CF8129F" w14:textId="77777777" w:rsidR="00166B5F" w:rsidRDefault="00166B5F"/>
  </w:footnote>
  <w:footnote w:type="continuationSeparator" w:id="0">
    <w:p w14:paraId="24025384" w14:textId="77777777" w:rsidR="00166B5F" w:rsidRDefault="00166B5F" w:rsidP="006B56BB">
      <w:r>
        <w:continuationSeparator/>
      </w:r>
    </w:p>
    <w:p w14:paraId="084AC2E0" w14:textId="77777777" w:rsidR="00166B5F" w:rsidRDefault="00166B5F"/>
  </w:footnote>
  <w:footnote w:type="continuationNotice" w:id="1">
    <w:p w14:paraId="4D8465E6" w14:textId="77777777" w:rsidR="00166B5F" w:rsidRDefault="00166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0264"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2FCC" w14:textId="5FB7B9BD" w:rsidR="00B53987" w:rsidRDefault="00B53987">
    <w:pPr>
      <w:pStyle w:val="Header"/>
    </w:pPr>
    <w:r>
      <w:rPr>
        <w:noProof/>
        <w:lang w:eastAsia="en-AU"/>
      </w:rPr>
      <w:drawing>
        <wp:inline distT="0" distB="0" distL="0" distR="0" wp14:anchorId="4F35FC25" wp14:editId="6516FC4B">
          <wp:extent cx="5759450" cy="941705"/>
          <wp:effectExtent l="0" t="0" r="6350" b="0"/>
          <wp:docPr id="1756184977" name="Picture 175618497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8362"/>
        </w:tabs>
        <w:ind w:left="836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9D2C95"/>
    <w:multiLevelType w:val="hybridMultilevel"/>
    <w:tmpl w:val="FD5EB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FA5E15"/>
    <w:multiLevelType w:val="hybridMultilevel"/>
    <w:tmpl w:val="0F8CB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4C07F7"/>
    <w:multiLevelType w:val="hybridMultilevel"/>
    <w:tmpl w:val="6F42B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F314C8"/>
    <w:multiLevelType w:val="hybridMultilevel"/>
    <w:tmpl w:val="BEEC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48001715">
    <w:abstractNumId w:val="7"/>
  </w:num>
  <w:num w:numId="2" w16cid:durableId="1799453545">
    <w:abstractNumId w:val="18"/>
  </w:num>
  <w:num w:numId="3" w16cid:durableId="667438001">
    <w:abstractNumId w:val="21"/>
  </w:num>
  <w:num w:numId="4" w16cid:durableId="1548563717">
    <w:abstractNumId w:val="8"/>
  </w:num>
  <w:num w:numId="5" w16cid:durableId="1070424676">
    <w:abstractNumId w:val="8"/>
    <w:lvlOverride w:ilvl="0">
      <w:startOverride w:val="1"/>
    </w:lvlOverride>
  </w:num>
  <w:num w:numId="6" w16cid:durableId="625307359">
    <w:abstractNumId w:val="9"/>
  </w:num>
  <w:num w:numId="7" w16cid:durableId="1682463963">
    <w:abstractNumId w:val="16"/>
  </w:num>
  <w:num w:numId="8" w16cid:durableId="331681609">
    <w:abstractNumId w:val="20"/>
  </w:num>
  <w:num w:numId="9" w16cid:durableId="584651851">
    <w:abstractNumId w:val="5"/>
  </w:num>
  <w:num w:numId="10" w16cid:durableId="293483160">
    <w:abstractNumId w:val="4"/>
  </w:num>
  <w:num w:numId="11" w16cid:durableId="931278221">
    <w:abstractNumId w:val="3"/>
  </w:num>
  <w:num w:numId="12" w16cid:durableId="122694281">
    <w:abstractNumId w:val="2"/>
  </w:num>
  <w:num w:numId="13" w16cid:durableId="1405185073">
    <w:abstractNumId w:val="6"/>
  </w:num>
  <w:num w:numId="14" w16cid:durableId="1253468970">
    <w:abstractNumId w:val="1"/>
  </w:num>
  <w:num w:numId="15" w16cid:durableId="118302275">
    <w:abstractNumId w:val="0"/>
  </w:num>
  <w:num w:numId="16" w16cid:durableId="171840102">
    <w:abstractNumId w:val="22"/>
  </w:num>
  <w:num w:numId="17" w16cid:durableId="142234341">
    <w:abstractNumId w:val="11"/>
  </w:num>
  <w:num w:numId="18" w16cid:durableId="1525438259">
    <w:abstractNumId w:val="13"/>
  </w:num>
  <w:num w:numId="19" w16cid:durableId="996809524">
    <w:abstractNumId w:val="15"/>
  </w:num>
  <w:num w:numId="20" w16cid:durableId="2002612537">
    <w:abstractNumId w:val="11"/>
  </w:num>
  <w:num w:numId="21" w16cid:durableId="1178541451">
    <w:abstractNumId w:val="15"/>
  </w:num>
  <w:num w:numId="22" w16cid:durableId="2144149961">
    <w:abstractNumId w:val="22"/>
  </w:num>
  <w:num w:numId="23" w16cid:durableId="110903343">
    <w:abstractNumId w:val="18"/>
  </w:num>
  <w:num w:numId="24" w16cid:durableId="1570340717">
    <w:abstractNumId w:val="21"/>
  </w:num>
  <w:num w:numId="25" w16cid:durableId="2043363718">
    <w:abstractNumId w:val="8"/>
  </w:num>
  <w:num w:numId="26" w16cid:durableId="1771467776">
    <w:abstractNumId w:val="17"/>
  </w:num>
  <w:num w:numId="27" w16cid:durableId="197090183">
    <w:abstractNumId w:val="19"/>
  </w:num>
  <w:num w:numId="28" w16cid:durableId="565649532">
    <w:abstractNumId w:val="14"/>
  </w:num>
  <w:num w:numId="29" w16cid:durableId="1832596494">
    <w:abstractNumId w:val="10"/>
  </w:num>
  <w:num w:numId="30" w16cid:durableId="34163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1F"/>
    <w:rsid w:val="00003743"/>
    <w:rsid w:val="000047B4"/>
    <w:rsid w:val="00005712"/>
    <w:rsid w:val="00007FD8"/>
    <w:rsid w:val="000117F8"/>
    <w:rsid w:val="000131C9"/>
    <w:rsid w:val="0001460F"/>
    <w:rsid w:val="00016BE1"/>
    <w:rsid w:val="0001797B"/>
    <w:rsid w:val="00020952"/>
    <w:rsid w:val="00022629"/>
    <w:rsid w:val="00023B17"/>
    <w:rsid w:val="00026139"/>
    <w:rsid w:val="00027601"/>
    <w:rsid w:val="00032E7C"/>
    <w:rsid w:val="00033321"/>
    <w:rsid w:val="000338E5"/>
    <w:rsid w:val="00033ECC"/>
    <w:rsid w:val="0003422F"/>
    <w:rsid w:val="00040CF3"/>
    <w:rsid w:val="00043DC0"/>
    <w:rsid w:val="00046FF0"/>
    <w:rsid w:val="00050176"/>
    <w:rsid w:val="00050342"/>
    <w:rsid w:val="00067456"/>
    <w:rsid w:val="00071506"/>
    <w:rsid w:val="0007154F"/>
    <w:rsid w:val="0007497A"/>
    <w:rsid w:val="000801FF"/>
    <w:rsid w:val="000817AE"/>
    <w:rsid w:val="00081AB1"/>
    <w:rsid w:val="00090316"/>
    <w:rsid w:val="00090895"/>
    <w:rsid w:val="00093981"/>
    <w:rsid w:val="00096231"/>
    <w:rsid w:val="000B067A"/>
    <w:rsid w:val="000B1540"/>
    <w:rsid w:val="000B1E53"/>
    <w:rsid w:val="000B2454"/>
    <w:rsid w:val="000B33FD"/>
    <w:rsid w:val="000B4ABA"/>
    <w:rsid w:val="000C4B16"/>
    <w:rsid w:val="000C50C3"/>
    <w:rsid w:val="000C5E14"/>
    <w:rsid w:val="000D21F6"/>
    <w:rsid w:val="000D4500"/>
    <w:rsid w:val="000D7AEA"/>
    <w:rsid w:val="000E2C66"/>
    <w:rsid w:val="000E6519"/>
    <w:rsid w:val="000F123C"/>
    <w:rsid w:val="000F2FED"/>
    <w:rsid w:val="000F53F0"/>
    <w:rsid w:val="000F5C8D"/>
    <w:rsid w:val="0010343D"/>
    <w:rsid w:val="0010616D"/>
    <w:rsid w:val="00110478"/>
    <w:rsid w:val="00115451"/>
    <w:rsid w:val="0011711B"/>
    <w:rsid w:val="00117F8A"/>
    <w:rsid w:val="00121B9B"/>
    <w:rsid w:val="00122ADC"/>
    <w:rsid w:val="00122BDA"/>
    <w:rsid w:val="001301D6"/>
    <w:rsid w:val="00130F59"/>
    <w:rsid w:val="00133850"/>
    <w:rsid w:val="00133EC0"/>
    <w:rsid w:val="0013485B"/>
    <w:rsid w:val="00141CE5"/>
    <w:rsid w:val="00144908"/>
    <w:rsid w:val="0015544F"/>
    <w:rsid w:val="00156D96"/>
    <w:rsid w:val="001571C7"/>
    <w:rsid w:val="00161094"/>
    <w:rsid w:val="00162116"/>
    <w:rsid w:val="00166B5F"/>
    <w:rsid w:val="0017665C"/>
    <w:rsid w:val="00177AD2"/>
    <w:rsid w:val="001815A8"/>
    <w:rsid w:val="001840FA"/>
    <w:rsid w:val="0018446B"/>
    <w:rsid w:val="00186C8D"/>
    <w:rsid w:val="00190079"/>
    <w:rsid w:val="00194621"/>
    <w:rsid w:val="0019622E"/>
    <w:rsid w:val="001966A7"/>
    <w:rsid w:val="001A4627"/>
    <w:rsid w:val="001A4979"/>
    <w:rsid w:val="001B0B11"/>
    <w:rsid w:val="001B15D3"/>
    <w:rsid w:val="001B3443"/>
    <w:rsid w:val="001C0326"/>
    <w:rsid w:val="001C192F"/>
    <w:rsid w:val="001C3C42"/>
    <w:rsid w:val="001D473A"/>
    <w:rsid w:val="001D7869"/>
    <w:rsid w:val="001E24D5"/>
    <w:rsid w:val="002026CD"/>
    <w:rsid w:val="00202F22"/>
    <w:rsid w:val="002033FC"/>
    <w:rsid w:val="002044BB"/>
    <w:rsid w:val="00205A5E"/>
    <w:rsid w:val="002067E2"/>
    <w:rsid w:val="002100D7"/>
    <w:rsid w:val="00210B09"/>
    <w:rsid w:val="00210C9E"/>
    <w:rsid w:val="00211840"/>
    <w:rsid w:val="00220E5F"/>
    <w:rsid w:val="002212B5"/>
    <w:rsid w:val="0022628D"/>
    <w:rsid w:val="00226668"/>
    <w:rsid w:val="00232A3A"/>
    <w:rsid w:val="00233809"/>
    <w:rsid w:val="00240046"/>
    <w:rsid w:val="002419E9"/>
    <w:rsid w:val="0024797F"/>
    <w:rsid w:val="0025059B"/>
    <w:rsid w:val="002508CD"/>
    <w:rsid w:val="0025119E"/>
    <w:rsid w:val="00251269"/>
    <w:rsid w:val="002535C0"/>
    <w:rsid w:val="002579FE"/>
    <w:rsid w:val="00261275"/>
    <w:rsid w:val="0026311C"/>
    <w:rsid w:val="0026668C"/>
    <w:rsid w:val="00266AC1"/>
    <w:rsid w:val="0027178C"/>
    <w:rsid w:val="002719FA"/>
    <w:rsid w:val="00272668"/>
    <w:rsid w:val="002731BE"/>
    <w:rsid w:val="0027330B"/>
    <w:rsid w:val="00275D59"/>
    <w:rsid w:val="002803AD"/>
    <w:rsid w:val="00282052"/>
    <w:rsid w:val="002831A3"/>
    <w:rsid w:val="0028519E"/>
    <w:rsid w:val="002856A5"/>
    <w:rsid w:val="00286CA5"/>
    <w:rsid w:val="002872ED"/>
    <w:rsid w:val="002905C2"/>
    <w:rsid w:val="00295AF2"/>
    <w:rsid w:val="00295C91"/>
    <w:rsid w:val="0029642D"/>
    <w:rsid w:val="00297151"/>
    <w:rsid w:val="002A24AF"/>
    <w:rsid w:val="002B20E6"/>
    <w:rsid w:val="002B3DDB"/>
    <w:rsid w:val="002B42A3"/>
    <w:rsid w:val="002C0994"/>
    <w:rsid w:val="002C0CDD"/>
    <w:rsid w:val="002C38C4"/>
    <w:rsid w:val="002C6726"/>
    <w:rsid w:val="002D0916"/>
    <w:rsid w:val="002D266A"/>
    <w:rsid w:val="002E13EB"/>
    <w:rsid w:val="002E1A1D"/>
    <w:rsid w:val="002E4081"/>
    <w:rsid w:val="002E592D"/>
    <w:rsid w:val="002E5A8B"/>
    <w:rsid w:val="002E5B78"/>
    <w:rsid w:val="002F3AE3"/>
    <w:rsid w:val="0030464B"/>
    <w:rsid w:val="0030786C"/>
    <w:rsid w:val="0031297A"/>
    <w:rsid w:val="00316589"/>
    <w:rsid w:val="003233DE"/>
    <w:rsid w:val="0032466B"/>
    <w:rsid w:val="003330EB"/>
    <w:rsid w:val="00334266"/>
    <w:rsid w:val="00337735"/>
    <w:rsid w:val="003415FD"/>
    <w:rsid w:val="003429F0"/>
    <w:rsid w:val="00345A82"/>
    <w:rsid w:val="00347B97"/>
    <w:rsid w:val="0035037D"/>
    <w:rsid w:val="0035097A"/>
    <w:rsid w:val="003540A4"/>
    <w:rsid w:val="00357BCC"/>
    <w:rsid w:val="00360E4E"/>
    <w:rsid w:val="00370AAA"/>
    <w:rsid w:val="00374A6F"/>
    <w:rsid w:val="00375F77"/>
    <w:rsid w:val="00376D00"/>
    <w:rsid w:val="00381BBE"/>
    <w:rsid w:val="00382903"/>
    <w:rsid w:val="003846FF"/>
    <w:rsid w:val="003857D4"/>
    <w:rsid w:val="00385AD4"/>
    <w:rsid w:val="003864F1"/>
    <w:rsid w:val="00387924"/>
    <w:rsid w:val="0039384D"/>
    <w:rsid w:val="00395C23"/>
    <w:rsid w:val="003A2E4F"/>
    <w:rsid w:val="003A4438"/>
    <w:rsid w:val="003A4746"/>
    <w:rsid w:val="003A5013"/>
    <w:rsid w:val="003A5078"/>
    <w:rsid w:val="003A62DD"/>
    <w:rsid w:val="003A775A"/>
    <w:rsid w:val="003B18CD"/>
    <w:rsid w:val="003B213A"/>
    <w:rsid w:val="003B2D1F"/>
    <w:rsid w:val="003B36F6"/>
    <w:rsid w:val="003B43AD"/>
    <w:rsid w:val="003C0FEC"/>
    <w:rsid w:val="003C2AC8"/>
    <w:rsid w:val="003D033A"/>
    <w:rsid w:val="003D1412"/>
    <w:rsid w:val="003D17F9"/>
    <w:rsid w:val="003D2D88"/>
    <w:rsid w:val="003D36A4"/>
    <w:rsid w:val="003D41EA"/>
    <w:rsid w:val="003D4850"/>
    <w:rsid w:val="003D535A"/>
    <w:rsid w:val="003E3116"/>
    <w:rsid w:val="003E4060"/>
    <w:rsid w:val="003E5265"/>
    <w:rsid w:val="003F0955"/>
    <w:rsid w:val="003F5F4D"/>
    <w:rsid w:val="003F646F"/>
    <w:rsid w:val="00400094"/>
    <w:rsid w:val="00400F00"/>
    <w:rsid w:val="00404F8B"/>
    <w:rsid w:val="00405256"/>
    <w:rsid w:val="00410031"/>
    <w:rsid w:val="00415A2D"/>
    <w:rsid w:val="00415C81"/>
    <w:rsid w:val="00432378"/>
    <w:rsid w:val="00440D65"/>
    <w:rsid w:val="004435E6"/>
    <w:rsid w:val="00447E31"/>
    <w:rsid w:val="00453923"/>
    <w:rsid w:val="00454B9B"/>
    <w:rsid w:val="004566BF"/>
    <w:rsid w:val="00457102"/>
    <w:rsid w:val="00457858"/>
    <w:rsid w:val="00460B0B"/>
    <w:rsid w:val="00461023"/>
    <w:rsid w:val="00462FAC"/>
    <w:rsid w:val="00464631"/>
    <w:rsid w:val="00464B79"/>
    <w:rsid w:val="00467BBF"/>
    <w:rsid w:val="00473AC8"/>
    <w:rsid w:val="0048593C"/>
    <w:rsid w:val="004867E2"/>
    <w:rsid w:val="00491839"/>
    <w:rsid w:val="004929A9"/>
    <w:rsid w:val="00493D2B"/>
    <w:rsid w:val="004A78D9"/>
    <w:rsid w:val="004B3D77"/>
    <w:rsid w:val="004C6BCF"/>
    <w:rsid w:val="004D07BD"/>
    <w:rsid w:val="004D17FE"/>
    <w:rsid w:val="004D58BF"/>
    <w:rsid w:val="004D770D"/>
    <w:rsid w:val="004E2D3A"/>
    <w:rsid w:val="004E4335"/>
    <w:rsid w:val="004E6D09"/>
    <w:rsid w:val="004F13EE"/>
    <w:rsid w:val="004F2022"/>
    <w:rsid w:val="004F2D1E"/>
    <w:rsid w:val="004F6536"/>
    <w:rsid w:val="004F66E9"/>
    <w:rsid w:val="004F7C05"/>
    <w:rsid w:val="00501C94"/>
    <w:rsid w:val="00504960"/>
    <w:rsid w:val="00506432"/>
    <w:rsid w:val="00506E82"/>
    <w:rsid w:val="00512193"/>
    <w:rsid w:val="0052051D"/>
    <w:rsid w:val="0052151A"/>
    <w:rsid w:val="00522A21"/>
    <w:rsid w:val="00523E44"/>
    <w:rsid w:val="00533E1A"/>
    <w:rsid w:val="00545EE6"/>
    <w:rsid w:val="005550E7"/>
    <w:rsid w:val="005564FB"/>
    <w:rsid w:val="005572C7"/>
    <w:rsid w:val="005650ED"/>
    <w:rsid w:val="00571DDF"/>
    <w:rsid w:val="00575754"/>
    <w:rsid w:val="005779B8"/>
    <w:rsid w:val="00581EBC"/>
    <w:rsid w:val="00581FBA"/>
    <w:rsid w:val="00590457"/>
    <w:rsid w:val="00591E20"/>
    <w:rsid w:val="00595408"/>
    <w:rsid w:val="00595E84"/>
    <w:rsid w:val="00597CB4"/>
    <w:rsid w:val="005A0C59"/>
    <w:rsid w:val="005A48EB"/>
    <w:rsid w:val="005A526B"/>
    <w:rsid w:val="005A5D4C"/>
    <w:rsid w:val="005A6CFB"/>
    <w:rsid w:val="005B4C76"/>
    <w:rsid w:val="005B5E5C"/>
    <w:rsid w:val="005B7A82"/>
    <w:rsid w:val="005C5AEB"/>
    <w:rsid w:val="005D1658"/>
    <w:rsid w:val="005D1B25"/>
    <w:rsid w:val="005D2FD3"/>
    <w:rsid w:val="005E0A3F"/>
    <w:rsid w:val="005E6883"/>
    <w:rsid w:val="005E72B9"/>
    <w:rsid w:val="005E772F"/>
    <w:rsid w:val="005F4ECA"/>
    <w:rsid w:val="005F56CF"/>
    <w:rsid w:val="0060322F"/>
    <w:rsid w:val="006041BE"/>
    <w:rsid w:val="006043C7"/>
    <w:rsid w:val="00604B96"/>
    <w:rsid w:val="006073FB"/>
    <w:rsid w:val="00624B52"/>
    <w:rsid w:val="00627B1B"/>
    <w:rsid w:val="00630794"/>
    <w:rsid w:val="00631DF4"/>
    <w:rsid w:val="00634175"/>
    <w:rsid w:val="006408AC"/>
    <w:rsid w:val="00647564"/>
    <w:rsid w:val="00647B66"/>
    <w:rsid w:val="00650957"/>
    <w:rsid w:val="006511B6"/>
    <w:rsid w:val="00657FF8"/>
    <w:rsid w:val="006652EE"/>
    <w:rsid w:val="00670D99"/>
    <w:rsid w:val="00670E2B"/>
    <w:rsid w:val="006734BB"/>
    <w:rsid w:val="0067697A"/>
    <w:rsid w:val="006821EB"/>
    <w:rsid w:val="006A79FA"/>
    <w:rsid w:val="006B2286"/>
    <w:rsid w:val="006B56BB"/>
    <w:rsid w:val="006B7054"/>
    <w:rsid w:val="006C1FCE"/>
    <w:rsid w:val="006C2FE2"/>
    <w:rsid w:val="006C77A8"/>
    <w:rsid w:val="006D38D5"/>
    <w:rsid w:val="006D4098"/>
    <w:rsid w:val="006D7681"/>
    <w:rsid w:val="006D7B2E"/>
    <w:rsid w:val="006E02EA"/>
    <w:rsid w:val="006E0968"/>
    <w:rsid w:val="006E16D9"/>
    <w:rsid w:val="006E2AF6"/>
    <w:rsid w:val="006E7534"/>
    <w:rsid w:val="006F1F2F"/>
    <w:rsid w:val="006F2C65"/>
    <w:rsid w:val="00700840"/>
    <w:rsid w:val="00701275"/>
    <w:rsid w:val="00707198"/>
    <w:rsid w:val="00707F56"/>
    <w:rsid w:val="00713558"/>
    <w:rsid w:val="007139D3"/>
    <w:rsid w:val="00720D08"/>
    <w:rsid w:val="007263B9"/>
    <w:rsid w:val="00726909"/>
    <w:rsid w:val="007334F8"/>
    <w:rsid w:val="007339CD"/>
    <w:rsid w:val="007359D8"/>
    <w:rsid w:val="007362D4"/>
    <w:rsid w:val="0074063C"/>
    <w:rsid w:val="0074274D"/>
    <w:rsid w:val="00746058"/>
    <w:rsid w:val="00756F4A"/>
    <w:rsid w:val="00757834"/>
    <w:rsid w:val="007650FC"/>
    <w:rsid w:val="0076672A"/>
    <w:rsid w:val="00775E45"/>
    <w:rsid w:val="00776E74"/>
    <w:rsid w:val="00785169"/>
    <w:rsid w:val="007864E0"/>
    <w:rsid w:val="007954AB"/>
    <w:rsid w:val="007A14C5"/>
    <w:rsid w:val="007A4A10"/>
    <w:rsid w:val="007A4F76"/>
    <w:rsid w:val="007A766B"/>
    <w:rsid w:val="007B095C"/>
    <w:rsid w:val="007B1760"/>
    <w:rsid w:val="007C0830"/>
    <w:rsid w:val="007C1FDC"/>
    <w:rsid w:val="007C4707"/>
    <w:rsid w:val="007C6D9C"/>
    <w:rsid w:val="007C7DDB"/>
    <w:rsid w:val="007D2CC7"/>
    <w:rsid w:val="007D3C89"/>
    <w:rsid w:val="007D673D"/>
    <w:rsid w:val="007E02D5"/>
    <w:rsid w:val="007E0FB8"/>
    <w:rsid w:val="007E4D09"/>
    <w:rsid w:val="007E5E93"/>
    <w:rsid w:val="007F2220"/>
    <w:rsid w:val="007F4B3E"/>
    <w:rsid w:val="007F5500"/>
    <w:rsid w:val="008127AF"/>
    <w:rsid w:val="00812B46"/>
    <w:rsid w:val="00815700"/>
    <w:rsid w:val="008264EB"/>
    <w:rsid w:val="00826B8F"/>
    <w:rsid w:val="00831E8A"/>
    <w:rsid w:val="00835C76"/>
    <w:rsid w:val="008376E2"/>
    <w:rsid w:val="00843049"/>
    <w:rsid w:val="0085209B"/>
    <w:rsid w:val="00852919"/>
    <w:rsid w:val="00856B66"/>
    <w:rsid w:val="008601AC"/>
    <w:rsid w:val="00861754"/>
    <w:rsid w:val="00861A5F"/>
    <w:rsid w:val="008644AD"/>
    <w:rsid w:val="00865735"/>
    <w:rsid w:val="00865DDB"/>
    <w:rsid w:val="00867538"/>
    <w:rsid w:val="00873D90"/>
    <w:rsid w:val="00873FC8"/>
    <w:rsid w:val="0087432F"/>
    <w:rsid w:val="00874A7C"/>
    <w:rsid w:val="00881CD7"/>
    <w:rsid w:val="00884C63"/>
    <w:rsid w:val="00885908"/>
    <w:rsid w:val="008864B7"/>
    <w:rsid w:val="00895B03"/>
    <w:rsid w:val="0089677E"/>
    <w:rsid w:val="008A0CB6"/>
    <w:rsid w:val="008A557B"/>
    <w:rsid w:val="008A7438"/>
    <w:rsid w:val="008B1334"/>
    <w:rsid w:val="008B25C7"/>
    <w:rsid w:val="008B5404"/>
    <w:rsid w:val="008C0278"/>
    <w:rsid w:val="008C24E9"/>
    <w:rsid w:val="008C4EAB"/>
    <w:rsid w:val="008D0533"/>
    <w:rsid w:val="008D411E"/>
    <w:rsid w:val="008D42CB"/>
    <w:rsid w:val="008D48C9"/>
    <w:rsid w:val="008D5EF9"/>
    <w:rsid w:val="008D6381"/>
    <w:rsid w:val="008E0C77"/>
    <w:rsid w:val="008E625F"/>
    <w:rsid w:val="008E7B18"/>
    <w:rsid w:val="008F264D"/>
    <w:rsid w:val="008F3C32"/>
    <w:rsid w:val="008F5838"/>
    <w:rsid w:val="008F7445"/>
    <w:rsid w:val="009040E9"/>
    <w:rsid w:val="009074E1"/>
    <w:rsid w:val="009112F7"/>
    <w:rsid w:val="009122AF"/>
    <w:rsid w:val="00912D54"/>
    <w:rsid w:val="0091389F"/>
    <w:rsid w:val="00913EDB"/>
    <w:rsid w:val="0092052B"/>
    <w:rsid w:val="009208F7"/>
    <w:rsid w:val="00921649"/>
    <w:rsid w:val="00922517"/>
    <w:rsid w:val="00922722"/>
    <w:rsid w:val="009261E6"/>
    <w:rsid w:val="009268E1"/>
    <w:rsid w:val="009271EE"/>
    <w:rsid w:val="00932913"/>
    <w:rsid w:val="009344AE"/>
    <w:rsid w:val="009344DE"/>
    <w:rsid w:val="00943742"/>
    <w:rsid w:val="0094478F"/>
    <w:rsid w:val="009453DF"/>
    <w:rsid w:val="00945E7F"/>
    <w:rsid w:val="00947227"/>
    <w:rsid w:val="009557C1"/>
    <w:rsid w:val="00960D6E"/>
    <w:rsid w:val="00974B59"/>
    <w:rsid w:val="009767A9"/>
    <w:rsid w:val="0098340B"/>
    <w:rsid w:val="00983FB8"/>
    <w:rsid w:val="00984A04"/>
    <w:rsid w:val="00986830"/>
    <w:rsid w:val="00987454"/>
    <w:rsid w:val="009924C3"/>
    <w:rsid w:val="00993102"/>
    <w:rsid w:val="009A634D"/>
    <w:rsid w:val="009B1570"/>
    <w:rsid w:val="009B1775"/>
    <w:rsid w:val="009B64A1"/>
    <w:rsid w:val="009C6F10"/>
    <w:rsid w:val="009C7880"/>
    <w:rsid w:val="009D148F"/>
    <w:rsid w:val="009D1DD2"/>
    <w:rsid w:val="009D3D70"/>
    <w:rsid w:val="009D6E31"/>
    <w:rsid w:val="009E6F7E"/>
    <w:rsid w:val="009E74FA"/>
    <w:rsid w:val="009E7A57"/>
    <w:rsid w:val="009F0408"/>
    <w:rsid w:val="009F15C7"/>
    <w:rsid w:val="009F4803"/>
    <w:rsid w:val="009F4F6A"/>
    <w:rsid w:val="00A13EB5"/>
    <w:rsid w:val="00A16E36"/>
    <w:rsid w:val="00A1705E"/>
    <w:rsid w:val="00A23194"/>
    <w:rsid w:val="00A23DB4"/>
    <w:rsid w:val="00A24961"/>
    <w:rsid w:val="00A24B10"/>
    <w:rsid w:val="00A277EF"/>
    <w:rsid w:val="00A30E9B"/>
    <w:rsid w:val="00A33E04"/>
    <w:rsid w:val="00A3512A"/>
    <w:rsid w:val="00A3593E"/>
    <w:rsid w:val="00A370FC"/>
    <w:rsid w:val="00A42069"/>
    <w:rsid w:val="00A4512D"/>
    <w:rsid w:val="00A47813"/>
    <w:rsid w:val="00A50244"/>
    <w:rsid w:val="00A530FF"/>
    <w:rsid w:val="00A60C36"/>
    <w:rsid w:val="00A627D7"/>
    <w:rsid w:val="00A653A2"/>
    <w:rsid w:val="00A656C7"/>
    <w:rsid w:val="00A705AF"/>
    <w:rsid w:val="00A719F6"/>
    <w:rsid w:val="00A72454"/>
    <w:rsid w:val="00A7484B"/>
    <w:rsid w:val="00A77696"/>
    <w:rsid w:val="00A80557"/>
    <w:rsid w:val="00A81D33"/>
    <w:rsid w:val="00A8341C"/>
    <w:rsid w:val="00A85DA7"/>
    <w:rsid w:val="00A92948"/>
    <w:rsid w:val="00A930AE"/>
    <w:rsid w:val="00A9494B"/>
    <w:rsid w:val="00AA1A95"/>
    <w:rsid w:val="00AA260F"/>
    <w:rsid w:val="00AA262B"/>
    <w:rsid w:val="00AA684C"/>
    <w:rsid w:val="00AB1EE7"/>
    <w:rsid w:val="00AB4B37"/>
    <w:rsid w:val="00AB5762"/>
    <w:rsid w:val="00AC2679"/>
    <w:rsid w:val="00AC4BE4"/>
    <w:rsid w:val="00AD05E6"/>
    <w:rsid w:val="00AD0D3F"/>
    <w:rsid w:val="00AD5C86"/>
    <w:rsid w:val="00AE0380"/>
    <w:rsid w:val="00AE1D7D"/>
    <w:rsid w:val="00AE2562"/>
    <w:rsid w:val="00AE2A8B"/>
    <w:rsid w:val="00AE30BA"/>
    <w:rsid w:val="00AE3F64"/>
    <w:rsid w:val="00AF7386"/>
    <w:rsid w:val="00AF7934"/>
    <w:rsid w:val="00AF7DD2"/>
    <w:rsid w:val="00B00B81"/>
    <w:rsid w:val="00B04580"/>
    <w:rsid w:val="00B04B09"/>
    <w:rsid w:val="00B15911"/>
    <w:rsid w:val="00B16A51"/>
    <w:rsid w:val="00B170AD"/>
    <w:rsid w:val="00B23618"/>
    <w:rsid w:val="00B32222"/>
    <w:rsid w:val="00B3618D"/>
    <w:rsid w:val="00B36233"/>
    <w:rsid w:val="00B40110"/>
    <w:rsid w:val="00B42851"/>
    <w:rsid w:val="00B449FF"/>
    <w:rsid w:val="00B45AC7"/>
    <w:rsid w:val="00B5372F"/>
    <w:rsid w:val="00B53987"/>
    <w:rsid w:val="00B53F32"/>
    <w:rsid w:val="00B61129"/>
    <w:rsid w:val="00B635F4"/>
    <w:rsid w:val="00B67E7F"/>
    <w:rsid w:val="00B74612"/>
    <w:rsid w:val="00B82B88"/>
    <w:rsid w:val="00B839B2"/>
    <w:rsid w:val="00B91498"/>
    <w:rsid w:val="00B94252"/>
    <w:rsid w:val="00B9715A"/>
    <w:rsid w:val="00BA0D22"/>
    <w:rsid w:val="00BA14BE"/>
    <w:rsid w:val="00BA2732"/>
    <w:rsid w:val="00BA293D"/>
    <w:rsid w:val="00BA49BC"/>
    <w:rsid w:val="00BA56B7"/>
    <w:rsid w:val="00BA6080"/>
    <w:rsid w:val="00BA7A1E"/>
    <w:rsid w:val="00BB2F6C"/>
    <w:rsid w:val="00BB3875"/>
    <w:rsid w:val="00BB4849"/>
    <w:rsid w:val="00BB5860"/>
    <w:rsid w:val="00BB6AAD"/>
    <w:rsid w:val="00BC0E2A"/>
    <w:rsid w:val="00BC3C06"/>
    <w:rsid w:val="00BC4A19"/>
    <w:rsid w:val="00BC4E6D"/>
    <w:rsid w:val="00BD0617"/>
    <w:rsid w:val="00BD2E9B"/>
    <w:rsid w:val="00BD7FB2"/>
    <w:rsid w:val="00BE1761"/>
    <w:rsid w:val="00BE6A4A"/>
    <w:rsid w:val="00BF661B"/>
    <w:rsid w:val="00C00930"/>
    <w:rsid w:val="00C03391"/>
    <w:rsid w:val="00C0589A"/>
    <w:rsid w:val="00C060AD"/>
    <w:rsid w:val="00C100EF"/>
    <w:rsid w:val="00C113BF"/>
    <w:rsid w:val="00C2176E"/>
    <w:rsid w:val="00C21780"/>
    <w:rsid w:val="00C22D8F"/>
    <w:rsid w:val="00C23430"/>
    <w:rsid w:val="00C27D67"/>
    <w:rsid w:val="00C4631F"/>
    <w:rsid w:val="00C47CDE"/>
    <w:rsid w:val="00C50E16"/>
    <w:rsid w:val="00C55258"/>
    <w:rsid w:val="00C567C6"/>
    <w:rsid w:val="00C7193F"/>
    <w:rsid w:val="00C82EEB"/>
    <w:rsid w:val="00C93756"/>
    <w:rsid w:val="00C971DC"/>
    <w:rsid w:val="00C97BF6"/>
    <w:rsid w:val="00CA16B7"/>
    <w:rsid w:val="00CA62AE"/>
    <w:rsid w:val="00CA7FB2"/>
    <w:rsid w:val="00CB5B1A"/>
    <w:rsid w:val="00CC220B"/>
    <w:rsid w:val="00CC5C43"/>
    <w:rsid w:val="00CC685D"/>
    <w:rsid w:val="00CC6DF2"/>
    <w:rsid w:val="00CD02AE"/>
    <w:rsid w:val="00CD2A4F"/>
    <w:rsid w:val="00CE03CA"/>
    <w:rsid w:val="00CE22F1"/>
    <w:rsid w:val="00CE50F2"/>
    <w:rsid w:val="00CE6502"/>
    <w:rsid w:val="00CF27E4"/>
    <w:rsid w:val="00CF53EC"/>
    <w:rsid w:val="00CF7D3C"/>
    <w:rsid w:val="00D0069A"/>
    <w:rsid w:val="00D01B05"/>
    <w:rsid w:val="00D01F09"/>
    <w:rsid w:val="00D04075"/>
    <w:rsid w:val="00D05B13"/>
    <w:rsid w:val="00D05DC9"/>
    <w:rsid w:val="00D076DF"/>
    <w:rsid w:val="00D12FA7"/>
    <w:rsid w:val="00D136EF"/>
    <w:rsid w:val="00D147EB"/>
    <w:rsid w:val="00D34667"/>
    <w:rsid w:val="00D401E1"/>
    <w:rsid w:val="00D408B4"/>
    <w:rsid w:val="00D524C8"/>
    <w:rsid w:val="00D6131A"/>
    <w:rsid w:val="00D61B5C"/>
    <w:rsid w:val="00D65099"/>
    <w:rsid w:val="00D70E24"/>
    <w:rsid w:val="00D71129"/>
    <w:rsid w:val="00D72B61"/>
    <w:rsid w:val="00D808E7"/>
    <w:rsid w:val="00D87760"/>
    <w:rsid w:val="00D94B3F"/>
    <w:rsid w:val="00DA3D1D"/>
    <w:rsid w:val="00DB0F79"/>
    <w:rsid w:val="00DB6286"/>
    <w:rsid w:val="00DB645F"/>
    <w:rsid w:val="00DB75E3"/>
    <w:rsid w:val="00DB76E9"/>
    <w:rsid w:val="00DC0A67"/>
    <w:rsid w:val="00DC1D5E"/>
    <w:rsid w:val="00DC5220"/>
    <w:rsid w:val="00DD2061"/>
    <w:rsid w:val="00DD4C1C"/>
    <w:rsid w:val="00DD7DAB"/>
    <w:rsid w:val="00DE0301"/>
    <w:rsid w:val="00DE3355"/>
    <w:rsid w:val="00DF0894"/>
    <w:rsid w:val="00DF0C60"/>
    <w:rsid w:val="00DF0E22"/>
    <w:rsid w:val="00DF0F8D"/>
    <w:rsid w:val="00DF486F"/>
    <w:rsid w:val="00DF5B5B"/>
    <w:rsid w:val="00DF7619"/>
    <w:rsid w:val="00E042D8"/>
    <w:rsid w:val="00E07EE7"/>
    <w:rsid w:val="00E1103B"/>
    <w:rsid w:val="00E15698"/>
    <w:rsid w:val="00E17B44"/>
    <w:rsid w:val="00E20F27"/>
    <w:rsid w:val="00E21664"/>
    <w:rsid w:val="00E21B7F"/>
    <w:rsid w:val="00E22443"/>
    <w:rsid w:val="00E23656"/>
    <w:rsid w:val="00E25B1F"/>
    <w:rsid w:val="00E2793A"/>
    <w:rsid w:val="00E27FEA"/>
    <w:rsid w:val="00E30CAA"/>
    <w:rsid w:val="00E3388E"/>
    <w:rsid w:val="00E4086F"/>
    <w:rsid w:val="00E42876"/>
    <w:rsid w:val="00E42BCE"/>
    <w:rsid w:val="00E43B3C"/>
    <w:rsid w:val="00E47EC4"/>
    <w:rsid w:val="00E50188"/>
    <w:rsid w:val="00E50BB3"/>
    <w:rsid w:val="00E515CB"/>
    <w:rsid w:val="00E52260"/>
    <w:rsid w:val="00E55491"/>
    <w:rsid w:val="00E55CAC"/>
    <w:rsid w:val="00E639B6"/>
    <w:rsid w:val="00E6434B"/>
    <w:rsid w:val="00E6463D"/>
    <w:rsid w:val="00E71295"/>
    <w:rsid w:val="00E72E9B"/>
    <w:rsid w:val="00E74950"/>
    <w:rsid w:val="00E7660A"/>
    <w:rsid w:val="00E850C3"/>
    <w:rsid w:val="00E87DF2"/>
    <w:rsid w:val="00E9462E"/>
    <w:rsid w:val="00E977D4"/>
    <w:rsid w:val="00EA470E"/>
    <w:rsid w:val="00EA47A7"/>
    <w:rsid w:val="00EA57EB"/>
    <w:rsid w:val="00EB3226"/>
    <w:rsid w:val="00EB6A96"/>
    <w:rsid w:val="00EC213A"/>
    <w:rsid w:val="00EC2AE4"/>
    <w:rsid w:val="00EC7744"/>
    <w:rsid w:val="00ED0DAD"/>
    <w:rsid w:val="00ED0F46"/>
    <w:rsid w:val="00ED2373"/>
    <w:rsid w:val="00EE0DAA"/>
    <w:rsid w:val="00EE3E8A"/>
    <w:rsid w:val="00EF4996"/>
    <w:rsid w:val="00EF58B8"/>
    <w:rsid w:val="00EF6018"/>
    <w:rsid w:val="00EF6ECA"/>
    <w:rsid w:val="00F024E1"/>
    <w:rsid w:val="00F06C10"/>
    <w:rsid w:val="00F1096F"/>
    <w:rsid w:val="00F12589"/>
    <w:rsid w:val="00F12595"/>
    <w:rsid w:val="00F134D9"/>
    <w:rsid w:val="00F1403D"/>
    <w:rsid w:val="00F1463F"/>
    <w:rsid w:val="00F14EE5"/>
    <w:rsid w:val="00F1764B"/>
    <w:rsid w:val="00F2107D"/>
    <w:rsid w:val="00F21302"/>
    <w:rsid w:val="00F2430D"/>
    <w:rsid w:val="00F321DE"/>
    <w:rsid w:val="00F33777"/>
    <w:rsid w:val="00F33FA5"/>
    <w:rsid w:val="00F40648"/>
    <w:rsid w:val="00F47DA2"/>
    <w:rsid w:val="00F519FC"/>
    <w:rsid w:val="00F57DFB"/>
    <w:rsid w:val="00F6239D"/>
    <w:rsid w:val="00F715D2"/>
    <w:rsid w:val="00F7274F"/>
    <w:rsid w:val="00F74E84"/>
    <w:rsid w:val="00F76FA8"/>
    <w:rsid w:val="00F87264"/>
    <w:rsid w:val="00F93F08"/>
    <w:rsid w:val="00F94CED"/>
    <w:rsid w:val="00F96CCE"/>
    <w:rsid w:val="00FA02BB"/>
    <w:rsid w:val="00FA2CEE"/>
    <w:rsid w:val="00FA318C"/>
    <w:rsid w:val="00FB39D0"/>
    <w:rsid w:val="00FB6F92"/>
    <w:rsid w:val="00FB7809"/>
    <w:rsid w:val="00FC026E"/>
    <w:rsid w:val="00FC1117"/>
    <w:rsid w:val="00FC5124"/>
    <w:rsid w:val="00FC635C"/>
    <w:rsid w:val="00FD4461"/>
    <w:rsid w:val="00FD4731"/>
    <w:rsid w:val="00FD594F"/>
    <w:rsid w:val="00FD6768"/>
    <w:rsid w:val="00FF0AB0"/>
    <w:rsid w:val="00FF28AC"/>
    <w:rsid w:val="00FF4299"/>
    <w:rsid w:val="00FF777D"/>
    <w:rsid w:val="00FF7F62"/>
    <w:rsid w:val="31B6F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0F455"/>
  <w15:docId w15:val="{B1E7A540-5E8F-48B7-A60D-E1BFB9C1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F15C7"/>
    <w:pPr>
      <w:spacing w:before="60" w:after="60"/>
    </w:pPr>
    <w:rPr>
      <w:rFonts w:ascii="Arial" w:hAnsi="Arial"/>
      <w:color w:val="000000" w:themeColor="text1"/>
      <w:sz w:val="1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275D59"/>
    <w:rPr>
      <w:color w:val="605E5C"/>
      <w:shd w:val="clear" w:color="auto" w:fill="E1DFDD"/>
    </w:rPr>
  </w:style>
  <w:style w:type="paragraph" w:styleId="Revision">
    <w:name w:val="Revision"/>
    <w:hidden/>
    <w:uiPriority w:val="99"/>
    <w:semiHidden/>
    <w:rsid w:val="001B0B11"/>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15544F"/>
    <w:rPr>
      <w:sz w:val="16"/>
      <w:szCs w:val="16"/>
    </w:rPr>
  </w:style>
  <w:style w:type="paragraph" w:styleId="CommentText">
    <w:name w:val="annotation text"/>
    <w:basedOn w:val="Normal"/>
    <w:link w:val="CommentTextChar"/>
    <w:unhideWhenUsed/>
    <w:rsid w:val="0015544F"/>
    <w:pPr>
      <w:spacing w:line="240" w:lineRule="auto"/>
    </w:pPr>
    <w:rPr>
      <w:sz w:val="20"/>
      <w:szCs w:val="20"/>
    </w:rPr>
  </w:style>
  <w:style w:type="character" w:customStyle="1" w:styleId="CommentTextChar">
    <w:name w:val="Comment Text Char"/>
    <w:basedOn w:val="DefaultParagraphFont"/>
    <w:link w:val="CommentText"/>
    <w:rsid w:val="0015544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5544F"/>
    <w:rPr>
      <w:b/>
      <w:bCs/>
    </w:rPr>
  </w:style>
  <w:style w:type="character" w:customStyle="1" w:styleId="CommentSubjectChar">
    <w:name w:val="Comment Subject Char"/>
    <w:basedOn w:val="CommentTextChar"/>
    <w:link w:val="CommentSubject"/>
    <w:semiHidden/>
    <w:rsid w:val="0015544F"/>
    <w:rPr>
      <w:rFonts w:ascii="Arial" w:hAnsi="Arial"/>
      <w:b/>
      <w:bCs/>
      <w:color w:val="000000" w:themeColor="text1"/>
      <w:lang w:eastAsia="en-US"/>
    </w:rPr>
  </w:style>
  <w:style w:type="character" w:styleId="FollowedHyperlink">
    <w:name w:val="FollowedHyperlink"/>
    <w:basedOn w:val="DefaultParagraphFont"/>
    <w:semiHidden/>
    <w:unhideWhenUsed/>
    <w:rsid w:val="005B5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8811830">
      <w:bodyDiv w:val="1"/>
      <w:marLeft w:val="0"/>
      <w:marRight w:val="0"/>
      <w:marTop w:val="0"/>
      <w:marBottom w:val="0"/>
      <w:divBdr>
        <w:top w:val="none" w:sz="0" w:space="0" w:color="auto"/>
        <w:left w:val="none" w:sz="0" w:space="0" w:color="auto"/>
        <w:bottom w:val="none" w:sz="0" w:space="0" w:color="auto"/>
        <w:right w:val="none" w:sz="0" w:space="0" w:color="auto"/>
      </w:divBdr>
    </w:div>
    <w:div w:id="1472673610">
      <w:bodyDiv w:val="1"/>
      <w:marLeft w:val="0"/>
      <w:marRight w:val="0"/>
      <w:marTop w:val="0"/>
      <w:marBottom w:val="0"/>
      <w:divBdr>
        <w:top w:val="none" w:sz="0" w:space="0" w:color="auto"/>
        <w:left w:val="none" w:sz="0" w:space="0" w:color="auto"/>
        <w:bottom w:val="none" w:sz="0" w:space="0" w:color="auto"/>
        <w:right w:val="none" w:sz="0" w:space="0" w:color="auto"/>
      </w:divBdr>
    </w:div>
    <w:div w:id="1565331935">
      <w:bodyDiv w:val="1"/>
      <w:marLeft w:val="0"/>
      <w:marRight w:val="0"/>
      <w:marTop w:val="0"/>
      <w:marBottom w:val="0"/>
      <w:divBdr>
        <w:top w:val="none" w:sz="0" w:space="0" w:color="auto"/>
        <w:left w:val="none" w:sz="0" w:space="0" w:color="auto"/>
        <w:bottom w:val="none" w:sz="0" w:space="0" w:color="auto"/>
        <w:right w:val="none" w:sz="0" w:space="0" w:color="auto"/>
      </w:divBdr>
    </w:div>
    <w:div w:id="21234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monitoring-framework-for-private-health-insur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D279832-F8EC-4128-99F7-2502C2E024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C3C29D9D907E4C9D7667DAE68A37A8" ma:contentTypeVersion="" ma:contentTypeDescription="PDMS Document Site Content Type" ma:contentTypeScope="" ma:versionID="4c877028c69f03287605ec76a8a7e979">
  <xsd:schema xmlns:xsd="http://www.w3.org/2001/XMLSchema" xmlns:xs="http://www.w3.org/2001/XMLSchema" xmlns:p="http://schemas.microsoft.com/office/2006/metadata/properties" xmlns:ns2="AD279832-F8EC-4128-99F7-2502C2E024AE" targetNamespace="http://schemas.microsoft.com/office/2006/metadata/properties" ma:root="true" ma:fieldsID="b4341e7949bcb197680f846acb4739a7" ns2:_="">
    <xsd:import namespace="AD279832-F8EC-4128-99F7-2502C2E024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79832-F8EC-4128-99F7-2502C2E024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02F28-63C0-4998-AA3B-F9A310096784}">
  <ds:schemaRefs>
    <ds:schemaRef ds:uri="http://schemas.openxmlformats.org/officeDocument/2006/bibliography"/>
  </ds:schemaRefs>
</ds:datastoreItem>
</file>

<file path=customXml/itemProps2.xml><?xml version="1.0" encoding="utf-8"?>
<ds:datastoreItem xmlns:ds="http://schemas.openxmlformats.org/officeDocument/2006/customXml" ds:itemID="{FB6CACEE-4F6C-41DA-BE15-58AC32D8894F}">
  <ds:schemaRefs>
    <ds:schemaRef ds:uri="http://schemas.microsoft.com/sharepoint/v3/contenttype/forms"/>
  </ds:schemaRefs>
</ds:datastoreItem>
</file>

<file path=customXml/itemProps3.xml><?xml version="1.0" encoding="utf-8"?>
<ds:datastoreItem xmlns:ds="http://schemas.openxmlformats.org/officeDocument/2006/customXml" ds:itemID="{F808DA0D-9B40-4777-B175-B2D10A0B0D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D279832-F8EC-4128-99F7-2502C2E024A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D2C0897-5242-41C1-AE55-E4F7D0E1B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79832-F8EC-4128-99F7-2502C2E0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661</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Private Health Insurer Pandemic Commitment Monitoring – November 2024</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Insurer Pandemic Commitment Monitoring – November 2024</dc:title>
  <dc:subject>Pandemic Commitments Reporting</dc:subject>
  <dc:creator>Australian Government Department of Health and Aged Care</dc:creator>
  <cp:keywords>Pandemic Commitments Reporting</cp:keywords>
  <cp:revision>6</cp:revision>
  <dcterms:created xsi:type="dcterms:W3CDTF">2024-11-27T00:07:00Z</dcterms:created>
  <dcterms:modified xsi:type="dcterms:W3CDTF">2024-11-28T00:06:00Z</dcterms:modified>
</cp:coreProperties>
</file>