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C587D10"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7D145B">
        <w:rPr>
          <w:rFonts w:asciiTheme="minorHAnsi" w:hAnsiTheme="minorHAnsi" w:cstheme="minorHAnsi"/>
          <w:b/>
          <w:bCs/>
          <w:noProof/>
          <w:u w:val="single"/>
        </w:rPr>
        <w:t>2</w:t>
      </w:r>
      <w:r w:rsidR="00376595">
        <w:rPr>
          <w:rFonts w:asciiTheme="minorHAnsi" w:hAnsiTheme="minorHAnsi" w:cstheme="minorHAnsi"/>
          <w:b/>
          <w:bCs/>
          <w:noProof/>
          <w:u w:val="single"/>
        </w:rPr>
        <w:t>2</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66EE24CC" w:rsidR="00AC0D80" w:rsidRDefault="00376595"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14</w:t>
      </w:r>
      <w:r w:rsidR="00380798">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October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 xml:space="preserve">27 </w:t>
      </w:r>
      <w:r w:rsidR="004538B1">
        <w:rPr>
          <w:rFonts w:asciiTheme="minorHAnsi" w:hAnsiTheme="minorHAnsi" w:cstheme="minorHAnsi"/>
          <w:sz w:val="24"/>
          <w:szCs w:val="24"/>
          <w:u w:val="single"/>
        </w:rPr>
        <w:t xml:space="preserve">October </w:t>
      </w:r>
      <w:r w:rsidR="00924FC7">
        <w:rPr>
          <w:rFonts w:asciiTheme="minorHAnsi" w:hAnsiTheme="minorHAnsi" w:cstheme="minorHAnsi"/>
          <w:sz w:val="24"/>
          <w:szCs w:val="24"/>
          <w:u w:val="single"/>
        </w:rPr>
        <w:t>202</w:t>
      </w:r>
      <w:r w:rsidR="006A65C0">
        <w:rPr>
          <w:rFonts w:asciiTheme="minorHAnsi" w:hAnsiTheme="minorHAnsi" w:cstheme="minorHAnsi"/>
          <w:sz w:val="24"/>
          <w:szCs w:val="24"/>
          <w:u w:val="single"/>
        </w:rPr>
        <w:t>4</w:t>
      </w:r>
      <w:bookmarkEnd w:id="0"/>
      <w:bookmarkEnd w:id="1"/>
      <w:bookmarkEnd w:id="2"/>
    </w:p>
    <w:p w14:paraId="4E61FB8B" w14:textId="77777777" w:rsidR="00584DD9" w:rsidRDefault="00584DD9" w:rsidP="001D6E22"/>
    <w:p w14:paraId="3D9CAAEB" w14:textId="77777777" w:rsidR="00F93EAB" w:rsidRPr="001D6E22" w:rsidRDefault="00F93EAB"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77777777"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Pr="004B521C" w:rsidRDefault="00CD7413" w:rsidP="00CD7413">
      <w:pPr>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7209BE33" w14:textId="77777777" w:rsidR="0069286B" w:rsidRDefault="0069286B" w:rsidP="00064B2A">
      <w:pPr>
        <w:autoSpaceDE w:val="0"/>
        <w:autoSpaceDN w:val="0"/>
        <w:rPr>
          <w:rFonts w:asciiTheme="minorHAnsi" w:hAnsiTheme="minorHAnsi" w:cstheme="minorHAnsi"/>
          <w:color w:val="0563C2"/>
          <w:sz w:val="23"/>
          <w:szCs w:val="23"/>
        </w:rPr>
      </w:pPr>
    </w:p>
    <w:p w14:paraId="5F1B4D39" w14:textId="77777777" w:rsidR="0040122B" w:rsidRDefault="0040122B"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301D6B4"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472946">
        <w:rPr>
          <w:rFonts w:asciiTheme="minorHAnsi" w:hAnsiTheme="minorHAnsi" w:cstheme="minorHAnsi"/>
          <w:i/>
          <w:sz w:val="16"/>
          <w:szCs w:val="16"/>
        </w:rPr>
        <w:t>30</w:t>
      </w:r>
      <w:r w:rsidR="00AF43C7" w:rsidRPr="002B3157">
        <w:rPr>
          <w:rFonts w:asciiTheme="minorHAnsi" w:hAnsiTheme="minorHAnsi" w:cstheme="minorHAnsi"/>
          <w:i/>
          <w:sz w:val="16"/>
          <w:szCs w:val="16"/>
        </w:rPr>
        <w:t>/0</w:t>
      </w:r>
      <w:r w:rsidR="007D145B">
        <w:rPr>
          <w:rFonts w:asciiTheme="minorHAnsi" w:hAnsiTheme="minorHAnsi" w:cstheme="minorHAnsi"/>
          <w:i/>
          <w:sz w:val="16"/>
          <w:szCs w:val="16"/>
        </w:rPr>
        <w:t>7</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472946">
        <w:rPr>
          <w:rFonts w:asciiTheme="minorHAnsi" w:hAnsiTheme="minorHAnsi" w:cstheme="minorHAnsi"/>
          <w:i/>
          <w:sz w:val="16"/>
          <w:szCs w:val="16"/>
        </w:rPr>
        <w:t>27</w:t>
      </w:r>
      <w:r w:rsidR="00AF43C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00DF4D85"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472946">
        <w:rPr>
          <w:rFonts w:asciiTheme="minorHAnsi" w:hAnsiTheme="minorHAnsi" w:cstheme="minorHAnsi"/>
          <w:i/>
          <w:sz w:val="16"/>
          <w:szCs w:val="16"/>
        </w:rPr>
        <w:t>27</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746C53DF"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472946">
        <w:rPr>
          <w:rFonts w:asciiTheme="minorHAnsi" w:hAnsiTheme="minorHAnsi" w:cstheme="minorHAnsi"/>
          <w:i/>
          <w:sz w:val="16"/>
          <w:szCs w:val="16"/>
        </w:rPr>
        <w:t>28</w:t>
      </w:r>
      <w:r w:rsidR="00AF43C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472946">
        <w:rPr>
          <w:rFonts w:asciiTheme="minorHAnsi" w:hAnsiTheme="minorHAnsi" w:cstheme="minorHAnsi"/>
          <w:i/>
          <w:sz w:val="16"/>
          <w:szCs w:val="16"/>
        </w:rPr>
        <w:t>27</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413B7282"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472946">
        <w:rPr>
          <w:rFonts w:asciiTheme="minorHAnsi" w:hAnsiTheme="minorHAnsi" w:cstheme="minorHAnsi"/>
          <w:i/>
          <w:sz w:val="16"/>
          <w:szCs w:val="16"/>
        </w:rPr>
        <w:t>27</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38B1"/>
    <w:rsid w:val="00454B72"/>
    <w:rsid w:val="00455EF7"/>
    <w:rsid w:val="00457383"/>
    <w:rsid w:val="00460D1F"/>
    <w:rsid w:val="00461289"/>
    <w:rsid w:val="0046214E"/>
    <w:rsid w:val="00463B62"/>
    <w:rsid w:val="0046422A"/>
    <w:rsid w:val="00465A87"/>
    <w:rsid w:val="004663FC"/>
    <w:rsid w:val="00466443"/>
    <w:rsid w:val="00470B49"/>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08BA"/>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09E4"/>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4E4"/>
    <w:rsid w:val="00AB282A"/>
    <w:rsid w:val="00AB41B7"/>
    <w:rsid w:val="00AB7948"/>
    <w:rsid w:val="00AC0D80"/>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6600"/>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5076</TotalTime>
  <Pages>1</Pages>
  <Words>402</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14 October to 27 October 2024</vt:lpstr>
    </vt:vector>
  </TitlesOfParts>
  <Company/>
  <LinksUpToDate>false</LinksUpToDate>
  <CharactersWithSpaces>2915</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14 October to 27 October 2024</dc:title>
  <dc:subject>National Notifiable Diseases Surveillance System (NNDSS)</dc:subject>
  <dc:creator>Australian Government Department of Health and Aged Care</dc:creator>
  <cp:keywords>Communicable Diseases; National Notifiable Diseases Surveillance System (NNDSS)</cp:keywords>
  <cp:revision>77</cp:revision>
  <cp:lastPrinted>2024-10-22T03:12:00Z</cp:lastPrinted>
  <dcterms:created xsi:type="dcterms:W3CDTF">2024-02-14T02:36:00Z</dcterms:created>
  <dcterms:modified xsi:type="dcterms:W3CDTF">2024-11-22T04:28:00Z</dcterms:modified>
</cp:coreProperties>
</file>