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1A690" w14:textId="31D5C687" w:rsidR="0036336A" w:rsidRPr="00FD241D" w:rsidRDefault="00FD241D" w:rsidP="00FD241D">
      <w:pPr>
        <w:pBdr>
          <w:top w:val="single" w:sz="12" w:space="1" w:color="31849B" w:themeColor="accent5" w:themeShade="BF"/>
          <w:bottom w:val="single" w:sz="12" w:space="1" w:color="31849B" w:themeColor="accent5" w:themeShade="BF"/>
        </w:pBdr>
      </w:pPr>
      <w:bookmarkStart w:id="0" w:name="_Hlk181087788"/>
      <w:bookmarkEnd w:id="0"/>
      <w:r w:rsidRPr="00FD241D">
        <w:rPr>
          <w:noProof/>
        </w:rPr>
        <w:drawing>
          <wp:inline distT="0" distB="0" distL="0" distR="0" wp14:anchorId="352BA99A" wp14:editId="3DAEF52E">
            <wp:extent cx="6591300" cy="1352550"/>
            <wp:effectExtent l="0" t="0" r="0" b="0"/>
            <wp:docPr id="36784421" name="Picture 1" descr="National Immunisation Program logo Shingles vaccination from September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84421" name="Picture 1" descr="National Immunisation Program logo Shingles vaccination from September 20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16065" w14:textId="608C438A" w:rsidR="0036336A" w:rsidRPr="00FD241D" w:rsidRDefault="00A12BD2" w:rsidP="00AD7AC3">
      <w:pPr>
        <w:pStyle w:val="Heading1"/>
      </w:pPr>
      <w:bookmarkStart w:id="1" w:name="_Hlk175562499"/>
      <w:r w:rsidRPr="00585860">
        <w:rPr>
          <w:w w:val="90"/>
        </w:rPr>
        <w:t>Program</w:t>
      </w:r>
      <w:r w:rsidR="004A2614" w:rsidRPr="00585860">
        <w:rPr>
          <w:w w:val="90"/>
        </w:rPr>
        <w:t xml:space="preserve"> advice for </w:t>
      </w:r>
      <w:r w:rsidR="00270023">
        <w:rPr>
          <w:w w:val="90"/>
        </w:rPr>
        <w:t>health professionals</w:t>
      </w:r>
    </w:p>
    <w:p w14:paraId="44FBE479" w14:textId="4182377E" w:rsidR="0036336A" w:rsidRPr="0058001D" w:rsidRDefault="00A12BD2" w:rsidP="0058001D">
      <w:r w:rsidRPr="0021358D">
        <w:rPr>
          <w:rFonts w:cstheme="minorHAnsi"/>
        </w:rPr>
        <w:t xml:space="preserve">From </w:t>
      </w:r>
      <w:r w:rsidR="00A7684D">
        <w:rPr>
          <w:rFonts w:cstheme="minorHAnsi"/>
        </w:rPr>
        <w:t>September 2024</w:t>
      </w:r>
      <w:r w:rsidRPr="0021358D">
        <w:rPr>
          <w:rFonts w:cstheme="minorHAnsi"/>
        </w:rPr>
        <w:t xml:space="preserve">, there </w:t>
      </w:r>
      <w:r w:rsidR="00197C2A">
        <w:rPr>
          <w:rFonts w:cstheme="minorHAnsi"/>
        </w:rPr>
        <w:t>a</w:t>
      </w:r>
      <w:r w:rsidR="000D39EF">
        <w:rPr>
          <w:rFonts w:cstheme="minorHAnsi"/>
        </w:rPr>
        <w:t xml:space="preserve">re </w:t>
      </w:r>
      <w:r w:rsidRPr="0021358D">
        <w:rPr>
          <w:rFonts w:cstheme="minorHAnsi"/>
        </w:rPr>
        <w:t xml:space="preserve">changes to the shingles vaccination </w:t>
      </w:r>
      <w:r w:rsidR="00765D9E">
        <w:rPr>
          <w:rFonts w:cstheme="minorHAnsi"/>
        </w:rPr>
        <w:t>eligibility</w:t>
      </w:r>
      <w:r w:rsidR="00765D9E" w:rsidRPr="0021358D">
        <w:rPr>
          <w:rFonts w:cstheme="minorHAnsi"/>
        </w:rPr>
        <w:t xml:space="preserve"> </w:t>
      </w:r>
      <w:r w:rsidRPr="0021358D">
        <w:rPr>
          <w:rFonts w:cstheme="minorHAnsi"/>
        </w:rPr>
        <w:t>under the National Immunisation Program (NIP).</w:t>
      </w:r>
    </w:p>
    <w:p w14:paraId="258BF6AE" w14:textId="77777777" w:rsidR="00A12BD2" w:rsidRPr="00AD7AC3" w:rsidRDefault="00A12BD2" w:rsidP="00AD7AC3">
      <w:pPr>
        <w:pStyle w:val="Heading2"/>
      </w:pPr>
      <w:r w:rsidRPr="0021358D">
        <w:t>Key points</w:t>
      </w:r>
    </w:p>
    <w:p w14:paraId="058325E4" w14:textId="2130932C" w:rsidR="00A12BD2" w:rsidRPr="0058001D" w:rsidRDefault="001F1251" w:rsidP="00AD7AC3">
      <w:pPr>
        <w:pStyle w:val="ListBullet"/>
      </w:pPr>
      <w:r w:rsidRPr="0058001D">
        <w:t xml:space="preserve">Free shingles </w:t>
      </w:r>
      <w:r w:rsidRPr="00AD7AC3">
        <w:t>vaccination</w:t>
      </w:r>
      <w:r w:rsidRPr="0058001D">
        <w:t xml:space="preserve"> under the NIP</w:t>
      </w:r>
      <w:r w:rsidR="00712C3F" w:rsidRPr="0058001D">
        <w:t xml:space="preserve"> has been expanded to include</w:t>
      </w:r>
      <w:r w:rsidRPr="0058001D">
        <w:t xml:space="preserve"> people at moderate to high</w:t>
      </w:r>
      <w:r w:rsidR="007F7544" w:rsidRPr="0058001D">
        <w:t>-</w:t>
      </w:r>
      <w:r w:rsidRPr="0058001D">
        <w:t>risk of severe infection and complications from shingles</w:t>
      </w:r>
      <w:r w:rsidR="00A12BD2" w:rsidRPr="0058001D">
        <w:t>.</w:t>
      </w:r>
    </w:p>
    <w:p w14:paraId="1FB88D6E" w14:textId="3E2ADB40" w:rsidR="003D7FC9" w:rsidRPr="0058001D" w:rsidRDefault="003D70CD" w:rsidP="00AD7AC3">
      <w:pPr>
        <w:pStyle w:val="ListBullet"/>
      </w:pPr>
      <w:r w:rsidRPr="0058001D">
        <w:t xml:space="preserve">A 2-dose </w:t>
      </w:r>
      <w:r w:rsidR="00641B16" w:rsidRPr="0058001D">
        <w:t>schedule</w:t>
      </w:r>
      <w:r w:rsidRPr="0058001D">
        <w:t xml:space="preserve"> of Shingrix</w:t>
      </w:r>
      <w:r w:rsidR="00077DD3" w:rsidRPr="0058001D">
        <w:t>®</w:t>
      </w:r>
      <w:r w:rsidRPr="0058001D">
        <w:t xml:space="preserve"> is available for free</w:t>
      </w:r>
      <w:r w:rsidR="003D7FC9" w:rsidRPr="0058001D">
        <w:t xml:space="preserve"> to eligible cohorts:</w:t>
      </w:r>
    </w:p>
    <w:p w14:paraId="175E86B5" w14:textId="7941ABFA" w:rsidR="003D7FC9" w:rsidRPr="0058001D" w:rsidRDefault="003D70CD" w:rsidP="0058001D">
      <w:pPr>
        <w:pStyle w:val="ListBullet2"/>
      </w:pPr>
      <w:r w:rsidRPr="0058001D">
        <w:t>65 years and over</w:t>
      </w:r>
    </w:p>
    <w:p w14:paraId="1B8D2C61" w14:textId="0D29FE12" w:rsidR="003D7FC9" w:rsidRPr="0058001D" w:rsidRDefault="003D70CD" w:rsidP="0058001D">
      <w:pPr>
        <w:pStyle w:val="ListBullet2"/>
      </w:pPr>
      <w:r w:rsidRPr="0058001D">
        <w:t>Aboriginal and Torres Strait Islander people 50 years and over</w:t>
      </w:r>
    </w:p>
    <w:p w14:paraId="7FB37013" w14:textId="79DD1252" w:rsidR="003D70CD" w:rsidRPr="0058001D" w:rsidRDefault="00712C3F" w:rsidP="0058001D">
      <w:pPr>
        <w:pStyle w:val="ListBullet2"/>
      </w:pPr>
      <w:r w:rsidRPr="0058001D">
        <w:t>eligible</w:t>
      </w:r>
      <w:r w:rsidR="003D70CD" w:rsidRPr="0058001D">
        <w:t xml:space="preserve"> </w:t>
      </w:r>
      <w:r w:rsidR="00902D54" w:rsidRPr="0058001D">
        <w:t xml:space="preserve">people 18 years </w:t>
      </w:r>
      <w:r w:rsidR="00ED4018" w:rsidRPr="0058001D">
        <w:t>and over</w:t>
      </w:r>
      <w:r w:rsidR="00902D54" w:rsidRPr="0058001D">
        <w:t xml:space="preserve"> considered at increased risk of herpes zoster due to an underlying condition and/or immunomodulatory/immunosuppressive treatments</w:t>
      </w:r>
      <w:r w:rsidR="002453E7" w:rsidRPr="0058001D">
        <w:t>*</w:t>
      </w:r>
    </w:p>
    <w:p w14:paraId="10019CCC" w14:textId="3659FFE3" w:rsidR="00E3731C" w:rsidRPr="0058001D" w:rsidRDefault="00E3731C" w:rsidP="00AD7AC3">
      <w:pPr>
        <w:pStyle w:val="ListBullet"/>
      </w:pPr>
      <w:r w:rsidRPr="0058001D">
        <w:t xml:space="preserve">Health professionals can order supplies of Shingrix® through the usual NIP vaccine </w:t>
      </w:r>
      <w:r w:rsidRPr="00AD7AC3">
        <w:t>ordering</w:t>
      </w:r>
      <w:r w:rsidRPr="0058001D">
        <w:t xml:space="preserve"> channels.</w:t>
      </w:r>
    </w:p>
    <w:p w14:paraId="075B2FB2" w14:textId="2CDDADA4" w:rsidR="00631BED" w:rsidRPr="0066291A" w:rsidRDefault="00E3731C" w:rsidP="00AD7AC3">
      <w:pPr>
        <w:rPr>
          <w:rFonts w:cstheme="minorHAnsi"/>
          <w:sz w:val="20"/>
          <w:szCs w:val="20"/>
        </w:rPr>
      </w:pPr>
      <w:r w:rsidRPr="0066291A">
        <w:rPr>
          <w:rFonts w:cstheme="minorHAnsi"/>
          <w:sz w:val="20"/>
          <w:szCs w:val="20"/>
        </w:rPr>
        <w:t>*</w:t>
      </w:r>
      <w:r w:rsidR="00631BED" w:rsidRPr="0066291A">
        <w:rPr>
          <w:rFonts w:cstheme="minorHAnsi"/>
          <w:sz w:val="20"/>
          <w:szCs w:val="20"/>
        </w:rPr>
        <w:t>P</w:t>
      </w:r>
      <w:r w:rsidR="00712C3F" w:rsidRPr="0066291A">
        <w:rPr>
          <w:rFonts w:cstheme="minorHAnsi"/>
          <w:sz w:val="20"/>
          <w:szCs w:val="20"/>
        </w:rPr>
        <w:t xml:space="preserve">lease </w:t>
      </w:r>
      <w:r w:rsidR="00712C3F" w:rsidRPr="0066291A">
        <w:rPr>
          <w:sz w:val="20"/>
          <w:szCs w:val="20"/>
        </w:rPr>
        <w:t>refer</w:t>
      </w:r>
      <w:r w:rsidR="00712C3F" w:rsidRPr="0066291A">
        <w:rPr>
          <w:rFonts w:cstheme="minorHAnsi"/>
          <w:sz w:val="20"/>
          <w:szCs w:val="20"/>
        </w:rPr>
        <w:t xml:space="preserve"> to </w:t>
      </w:r>
      <w:hyperlink r:id="rId9" w:history="1">
        <w:r w:rsidR="00E82954" w:rsidRPr="0066291A">
          <w:rPr>
            <w:rStyle w:val="Hyperlink"/>
            <w:rFonts w:cstheme="minorHAnsi"/>
            <w:sz w:val="20"/>
            <w:szCs w:val="20"/>
          </w:rPr>
          <w:t>The Australian Immunisation Handbook (AIH</w:t>
        </w:r>
        <w:r w:rsidR="00237CB7" w:rsidRPr="0066291A">
          <w:rPr>
            <w:rStyle w:val="Hyperlink"/>
            <w:rFonts w:cstheme="minorHAnsi"/>
            <w:sz w:val="20"/>
            <w:szCs w:val="20"/>
          </w:rPr>
          <w:t>)</w:t>
        </w:r>
      </w:hyperlink>
      <w:r w:rsidR="00003D5B" w:rsidRPr="0066291A">
        <w:rPr>
          <w:rFonts w:cstheme="minorHAnsi"/>
          <w:sz w:val="20"/>
          <w:szCs w:val="20"/>
        </w:rPr>
        <w:t xml:space="preserve"> for the full list</w:t>
      </w:r>
      <w:r w:rsidR="00E82954" w:rsidRPr="0066291A">
        <w:rPr>
          <w:rFonts w:cstheme="minorHAnsi"/>
          <w:sz w:val="20"/>
          <w:szCs w:val="20"/>
        </w:rPr>
        <w:t>.</w:t>
      </w:r>
    </w:p>
    <w:tbl>
      <w:tblPr>
        <w:tblStyle w:val="GridTable1Light-Accent5"/>
        <w:tblW w:w="5000" w:type="pct"/>
        <w:tblLook w:val="0620" w:firstRow="1" w:lastRow="0" w:firstColumn="0" w:lastColumn="0" w:noHBand="1" w:noVBand="1"/>
      </w:tblPr>
      <w:tblGrid>
        <w:gridCol w:w="5621"/>
        <w:gridCol w:w="4839"/>
      </w:tblGrid>
      <w:tr w:rsidR="00A12BD2" w:rsidRPr="00324DF2" w14:paraId="7513FFBF" w14:textId="0C90ADA7" w:rsidTr="00AD7A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  <w:tblHeader/>
        </w:trPr>
        <w:tc>
          <w:tcPr>
            <w:tcW w:w="5000" w:type="pct"/>
            <w:gridSpan w:val="2"/>
            <w:vAlign w:val="center"/>
          </w:tcPr>
          <w:bookmarkEnd w:id="1"/>
          <w:p w14:paraId="2562A5F4" w14:textId="494FC127" w:rsidR="00A12BD2" w:rsidRPr="00324DF2" w:rsidRDefault="00A12BD2" w:rsidP="008B1520">
            <w:pPr>
              <w:pStyle w:val="TableParagraph"/>
              <w:spacing w:before="112"/>
              <w:ind w:left="155"/>
              <w:rPr>
                <w:rFonts w:cstheme="minorHAnsi"/>
                <w:b/>
                <w:bCs/>
                <w:color w:val="FFFFFF"/>
                <w:szCs w:val="16"/>
              </w:rPr>
            </w:pPr>
            <w:r w:rsidRPr="00324DF2">
              <w:rPr>
                <w:rFonts w:cstheme="minorHAnsi"/>
                <w:b/>
                <w:bCs/>
                <w:color w:val="FFFFFF"/>
                <w:szCs w:val="16"/>
              </w:rPr>
              <w:t>NIP-funded shingles vaccination</w:t>
            </w:r>
            <w:r w:rsidR="00B0168B" w:rsidRPr="00324DF2">
              <w:rPr>
                <w:rFonts w:cstheme="minorHAnsi"/>
                <w:b/>
                <w:bCs/>
                <w:color w:val="FFFFFF"/>
                <w:szCs w:val="16"/>
              </w:rPr>
              <w:t xml:space="preserve">: </w:t>
            </w:r>
            <w:r w:rsidRPr="00324DF2">
              <w:rPr>
                <w:rFonts w:cstheme="minorHAnsi"/>
                <w:b/>
                <w:bCs/>
                <w:color w:val="FFFFFF"/>
                <w:szCs w:val="16"/>
              </w:rPr>
              <w:t>2-dose schedule with Shingrix</w:t>
            </w:r>
            <w:r w:rsidRPr="00324DF2">
              <w:rPr>
                <w:rFonts w:cstheme="minorHAnsi"/>
                <w:b/>
                <w:bCs/>
                <w:color w:val="FFFFFF"/>
                <w:szCs w:val="16"/>
                <w:vertAlign w:val="superscript"/>
              </w:rPr>
              <w:t>®</w:t>
            </w:r>
            <w:r w:rsidRPr="00324DF2">
              <w:rPr>
                <w:rFonts w:cstheme="minorHAnsi"/>
                <w:b/>
                <w:bCs/>
                <w:color w:val="FFFFFF"/>
                <w:szCs w:val="16"/>
              </w:rPr>
              <w:t xml:space="preserve"> 0.5ml vial (GSK) given intramuscularly.</w:t>
            </w:r>
          </w:p>
        </w:tc>
      </w:tr>
      <w:tr w:rsidR="00A12BD2" w:rsidRPr="00324DF2" w14:paraId="4A6B404D" w14:textId="548543A7" w:rsidTr="00EB7B36">
        <w:trPr>
          <w:trHeight w:val="482"/>
        </w:trPr>
        <w:tc>
          <w:tcPr>
            <w:tcW w:w="2687" w:type="pct"/>
            <w:shd w:val="clear" w:color="auto" w:fill="DAEEF3" w:themeFill="accent5" w:themeFillTint="33"/>
          </w:tcPr>
          <w:p w14:paraId="74DC81C4" w14:textId="007847E8" w:rsidR="00A12BD2" w:rsidRPr="00EB7B36" w:rsidRDefault="00A12BD2" w:rsidP="00EB7B36">
            <w:pPr>
              <w:pStyle w:val="TableofAuthorities"/>
            </w:pPr>
            <w:r w:rsidRPr="00EB7B36">
              <w:t>Eligible groups</w:t>
            </w:r>
          </w:p>
        </w:tc>
        <w:tc>
          <w:tcPr>
            <w:tcW w:w="2313" w:type="pct"/>
            <w:shd w:val="clear" w:color="auto" w:fill="DAEEF3" w:themeFill="accent5" w:themeFillTint="33"/>
          </w:tcPr>
          <w:p w14:paraId="1781387C" w14:textId="216B42C2" w:rsidR="00A12BD2" w:rsidRPr="00EB7B36" w:rsidRDefault="00A12BD2" w:rsidP="00EB7B36">
            <w:pPr>
              <w:pStyle w:val="TableofAuthorities"/>
            </w:pPr>
            <w:r w:rsidRPr="00EB7B36">
              <w:t>Dosing schedule / Dose intervals</w:t>
            </w:r>
          </w:p>
        </w:tc>
      </w:tr>
      <w:tr w:rsidR="00A12BD2" w:rsidRPr="00324DF2" w14:paraId="6F8824B6" w14:textId="5360A637" w:rsidTr="00EB7B36">
        <w:trPr>
          <w:trHeight w:val="542"/>
        </w:trPr>
        <w:tc>
          <w:tcPr>
            <w:tcW w:w="2687" w:type="pct"/>
            <w:shd w:val="clear" w:color="auto" w:fill="DAEEF3" w:themeFill="accent5" w:themeFillTint="33"/>
          </w:tcPr>
          <w:p w14:paraId="0F8EACCE" w14:textId="2A1F81FA" w:rsidR="00A12BD2" w:rsidRPr="00EB7B36" w:rsidRDefault="00B675F9" w:rsidP="00EB7B36">
            <w:r w:rsidRPr="00EB7B36">
              <w:t>People</w:t>
            </w:r>
            <w:r w:rsidR="00A12BD2" w:rsidRPr="00EB7B36">
              <w:t xml:space="preserve"> 65 years and over (non-Indigenous)</w:t>
            </w:r>
          </w:p>
        </w:tc>
        <w:tc>
          <w:tcPr>
            <w:tcW w:w="2313" w:type="pct"/>
            <w:shd w:val="clear" w:color="auto" w:fill="DAEEF3" w:themeFill="accent5" w:themeFillTint="33"/>
          </w:tcPr>
          <w:p w14:paraId="3DD57C86" w14:textId="609B52E6" w:rsidR="00A12BD2" w:rsidRPr="00EB7B36" w:rsidRDefault="00A12BD2" w:rsidP="00EB7B36">
            <w:r w:rsidRPr="00EB7B36">
              <w:t>2-6 months apart in immunocompetent</w:t>
            </w:r>
            <w:r w:rsidR="001E7F1C" w:rsidRPr="00EB7B36">
              <w:t xml:space="preserve"> </w:t>
            </w:r>
            <w:r w:rsidRPr="00EB7B36">
              <w:t>people</w:t>
            </w:r>
          </w:p>
        </w:tc>
      </w:tr>
      <w:tr w:rsidR="00A12BD2" w:rsidRPr="00324DF2" w14:paraId="64268711" w14:textId="4216F3C6" w:rsidTr="00EB7B36">
        <w:trPr>
          <w:trHeight w:val="833"/>
        </w:trPr>
        <w:tc>
          <w:tcPr>
            <w:tcW w:w="2687" w:type="pct"/>
            <w:shd w:val="clear" w:color="auto" w:fill="DAEEF3" w:themeFill="accent5" w:themeFillTint="33"/>
          </w:tcPr>
          <w:p w14:paraId="54F55E11" w14:textId="23CDD453" w:rsidR="00A12BD2" w:rsidRPr="00EB7B36" w:rsidRDefault="00A12BD2" w:rsidP="00EB7B36">
            <w:r w:rsidRPr="00EB7B36">
              <w:t xml:space="preserve">Aboriginal and Torres Strait Islander </w:t>
            </w:r>
            <w:r w:rsidR="00D905DF" w:rsidRPr="00EB7B36">
              <w:t>people</w:t>
            </w:r>
            <w:r w:rsidRPr="00EB7B36">
              <w:t xml:space="preserve"> 50 years and over</w:t>
            </w:r>
          </w:p>
        </w:tc>
        <w:tc>
          <w:tcPr>
            <w:tcW w:w="2313" w:type="pct"/>
            <w:shd w:val="clear" w:color="auto" w:fill="DAEEF3" w:themeFill="accent5" w:themeFillTint="33"/>
          </w:tcPr>
          <w:p w14:paraId="0592DDA2" w14:textId="1B27535C" w:rsidR="00A12BD2" w:rsidRPr="00EB7B36" w:rsidRDefault="00A12BD2" w:rsidP="00EB7B36">
            <w:r w:rsidRPr="00EB7B36">
              <w:t>2-6 months apart in immunocompetent people</w:t>
            </w:r>
          </w:p>
        </w:tc>
      </w:tr>
      <w:tr w:rsidR="00A12BD2" w:rsidRPr="00324DF2" w14:paraId="25F06A4C" w14:textId="6E4D3623" w:rsidTr="00EB7B36">
        <w:trPr>
          <w:trHeight w:val="997"/>
        </w:trPr>
        <w:tc>
          <w:tcPr>
            <w:tcW w:w="2687" w:type="pct"/>
            <w:shd w:val="clear" w:color="auto" w:fill="DAEEF3" w:themeFill="accent5" w:themeFillTint="33"/>
          </w:tcPr>
          <w:p w14:paraId="0A4C233C" w14:textId="117FA2D9" w:rsidR="00A12BD2" w:rsidRPr="00EB7B36" w:rsidRDefault="00D677F9" w:rsidP="00EB7B36">
            <w:r w:rsidRPr="00EB7B36">
              <w:t xml:space="preserve">Eligible people </w:t>
            </w:r>
            <w:r w:rsidR="00A12BD2" w:rsidRPr="00EB7B36">
              <w:t>18 years and</w:t>
            </w:r>
            <w:r w:rsidR="009F0D95" w:rsidRPr="00EB7B36">
              <w:t xml:space="preserve"> </w:t>
            </w:r>
            <w:r w:rsidR="00A12BD2" w:rsidRPr="00EB7B36">
              <w:t xml:space="preserve">over with </w:t>
            </w:r>
            <w:r w:rsidR="00BE20EA" w:rsidRPr="00EB7B36">
              <w:t xml:space="preserve">increased risk due to </w:t>
            </w:r>
            <w:r w:rsidR="009F0D95" w:rsidRPr="00EB7B36">
              <w:t xml:space="preserve">underlying conditions </w:t>
            </w:r>
            <w:r w:rsidR="00E6116F" w:rsidRPr="00EB7B36">
              <w:t>and/or immunomodulatory</w:t>
            </w:r>
            <w:r w:rsidR="00F15AB4" w:rsidRPr="00EB7B36">
              <w:t xml:space="preserve"> </w:t>
            </w:r>
            <w:r w:rsidR="00E6116F" w:rsidRPr="00EB7B36">
              <w:t>/immunosuppressive treatments</w:t>
            </w:r>
            <w:r w:rsidR="002453E7" w:rsidRPr="00EB7B36">
              <w:t>*</w:t>
            </w:r>
          </w:p>
        </w:tc>
        <w:tc>
          <w:tcPr>
            <w:tcW w:w="2313" w:type="pct"/>
            <w:shd w:val="clear" w:color="auto" w:fill="DAEEF3" w:themeFill="accent5" w:themeFillTint="33"/>
          </w:tcPr>
          <w:p w14:paraId="2322D5F3" w14:textId="55C4AC9C" w:rsidR="00A12BD2" w:rsidRPr="00EB7B36" w:rsidRDefault="00A12BD2" w:rsidP="00EB7B36">
            <w:r w:rsidRPr="00EB7B36">
              <w:t xml:space="preserve">1-2 months apart in </w:t>
            </w:r>
            <w:r w:rsidR="001E7F1C" w:rsidRPr="00EB7B36">
              <w:t xml:space="preserve">immunocompromised </w:t>
            </w:r>
            <w:r w:rsidRPr="00EB7B36">
              <w:t xml:space="preserve">people </w:t>
            </w:r>
          </w:p>
        </w:tc>
      </w:tr>
      <w:tr w:rsidR="00A12BD2" w:rsidRPr="00324DF2" w14:paraId="436436CD" w14:textId="77777777" w:rsidTr="00EB7B36">
        <w:trPr>
          <w:trHeight w:val="396"/>
        </w:trPr>
        <w:tc>
          <w:tcPr>
            <w:tcW w:w="5000" w:type="pct"/>
            <w:gridSpan w:val="2"/>
            <w:shd w:val="clear" w:color="auto" w:fill="DAEEF3" w:themeFill="accent5" w:themeFillTint="33"/>
          </w:tcPr>
          <w:p w14:paraId="28A4552C" w14:textId="0AC73C32" w:rsidR="00A12BD2" w:rsidRPr="008E2907" w:rsidRDefault="00A12BD2" w:rsidP="00EB7B36">
            <w:r w:rsidRPr="008E2907">
              <w:rPr>
                <w:b/>
                <w:bCs/>
              </w:rPr>
              <w:t>REPORT</w:t>
            </w:r>
            <w:r w:rsidRPr="008E2907">
              <w:t xml:space="preserve"> all </w:t>
            </w:r>
            <w:r w:rsidR="004E3BF9" w:rsidRPr="008E2907">
              <w:t xml:space="preserve">NIP and privately purchased </w:t>
            </w:r>
            <w:r w:rsidRPr="008E2907">
              <w:t>vaccinations to the Australian Immunisation Register (AIR).</w:t>
            </w:r>
          </w:p>
        </w:tc>
      </w:tr>
    </w:tbl>
    <w:p w14:paraId="4DD8EAD1" w14:textId="289192F3" w:rsidR="00A12BD2" w:rsidRPr="0058001D" w:rsidRDefault="00BC1D2E" w:rsidP="00AD7AC3">
      <w:pPr>
        <w:pStyle w:val="FootnoteText"/>
        <w:pBdr>
          <w:bottom w:val="single" w:sz="18" w:space="1" w:color="31849B" w:themeColor="accent5" w:themeShade="BF"/>
        </w:pBdr>
      </w:pPr>
      <w:r w:rsidRPr="00EB7B36">
        <w:t>Note</w:t>
      </w:r>
      <w:r w:rsidRPr="0058001D">
        <w:t xml:space="preserve">: </w:t>
      </w:r>
      <w:r w:rsidR="00A12BD2" w:rsidRPr="0058001D">
        <w:t>There is currently no recommendation for booster doses of Shingrix® vaccine.</w:t>
      </w:r>
    </w:p>
    <w:p w14:paraId="6CC6E093" w14:textId="436FE337" w:rsidR="00534E6B" w:rsidRPr="0058001D" w:rsidRDefault="00534E6B" w:rsidP="0058001D"/>
    <w:p w14:paraId="419EE25C" w14:textId="10139017" w:rsidR="00534E6B" w:rsidRPr="0058001D" w:rsidRDefault="00534E6B" w:rsidP="0058001D">
      <w:pPr>
        <w:sectPr w:rsidR="00534E6B" w:rsidRPr="0058001D" w:rsidSect="0058001D">
          <w:type w:val="continuous"/>
          <w:pgSz w:w="11910" w:h="16840"/>
          <w:pgMar w:top="720" w:right="720" w:bottom="720" w:left="720" w:header="720" w:footer="288" w:gutter="0"/>
          <w:cols w:space="720"/>
          <w:docGrid w:linePitch="299"/>
        </w:sectPr>
      </w:pPr>
    </w:p>
    <w:p w14:paraId="02B80335" w14:textId="719BEBA9" w:rsidR="00A12BD2" w:rsidRPr="0058001D" w:rsidRDefault="009075C5" w:rsidP="0058001D">
      <w:pPr>
        <w:pStyle w:val="Heading3"/>
      </w:pPr>
      <w:r w:rsidRPr="0058001D">
        <w:t>People</w:t>
      </w:r>
      <w:r w:rsidR="00F46D5C" w:rsidRPr="0058001D">
        <w:t xml:space="preserve"> aged 65 years and over</w:t>
      </w:r>
    </w:p>
    <w:p w14:paraId="5BF5ED7F" w14:textId="26C93EC8" w:rsidR="0036336A" w:rsidRPr="0058001D" w:rsidRDefault="00BC0E28" w:rsidP="0058001D">
      <w:r w:rsidRPr="0058001D">
        <w:t>Shingles can occur at any age after primary infection, but the risk increases with age.</w:t>
      </w:r>
      <w:r w:rsidR="00A12BD2" w:rsidRPr="0058001D">
        <w:t xml:space="preserve"> </w:t>
      </w:r>
      <w:r w:rsidR="000B331D" w:rsidRPr="0058001D">
        <w:t>The likelihood and severity of complications also increases with age.</w:t>
      </w:r>
      <w:r w:rsidR="002646BA" w:rsidRPr="0058001D">
        <w:t xml:space="preserve"> A 2-dose </w:t>
      </w:r>
      <w:r w:rsidR="00A40530" w:rsidRPr="0058001D">
        <w:t xml:space="preserve">vaccination </w:t>
      </w:r>
      <w:r w:rsidR="002646BA" w:rsidRPr="0058001D">
        <w:t>schedule administered 2-6 months apart is recommended.</w:t>
      </w:r>
    </w:p>
    <w:p w14:paraId="5FA69CCC" w14:textId="3321970E" w:rsidR="00534E6B" w:rsidRPr="0058001D" w:rsidRDefault="00634CE1" w:rsidP="0058001D">
      <w:r w:rsidRPr="0058001D">
        <w:t xml:space="preserve">Further information and resources, including </w:t>
      </w:r>
      <w:r w:rsidR="00F15596" w:rsidRPr="0058001D">
        <w:t xml:space="preserve">posters and frequently asked questions, are available on the Department of Health and Aged Care website </w:t>
      </w:r>
      <w:hyperlink r:id="rId10" w:history="1">
        <w:r w:rsidR="00F15596" w:rsidRPr="0058001D">
          <w:rPr>
            <w:rStyle w:val="Hyperlink"/>
          </w:rPr>
          <w:t>health.gov.au/immunisation</w:t>
        </w:r>
      </w:hyperlink>
      <w:r w:rsidR="00F15596" w:rsidRPr="0058001D">
        <w:t>.</w:t>
      </w:r>
    </w:p>
    <w:p w14:paraId="138C0B27" w14:textId="4A72611B" w:rsidR="00A12BD2" w:rsidRPr="0058001D" w:rsidRDefault="00A12BD2" w:rsidP="0058001D">
      <w:pPr>
        <w:pStyle w:val="Heading3"/>
      </w:pPr>
      <w:r w:rsidRPr="0058001D">
        <w:t>Aboriginal and Torres Strait Islander people</w:t>
      </w:r>
      <w:r w:rsidR="003370CD" w:rsidRPr="0058001D">
        <w:t xml:space="preserve"> aged 50 years and over</w:t>
      </w:r>
    </w:p>
    <w:p w14:paraId="3F273C6E" w14:textId="03F28783" w:rsidR="00511EEC" w:rsidRPr="0058001D" w:rsidRDefault="00A12BD2" w:rsidP="0058001D">
      <w:r w:rsidRPr="0058001D">
        <w:t>Aboriginal and Torres Strait Islander people aged 50</w:t>
      </w:r>
      <w:r w:rsidR="00D86E33" w:rsidRPr="0058001D">
        <w:t> </w:t>
      </w:r>
      <w:r w:rsidR="00A7523F" w:rsidRPr="0058001D">
        <w:t>years</w:t>
      </w:r>
      <w:r w:rsidRPr="0058001D">
        <w:t xml:space="preserve"> and older are more likely to experience complications and higher rates of hospitalisation from shingles.</w:t>
      </w:r>
      <w:r w:rsidR="00821DC1" w:rsidRPr="0058001D">
        <w:t xml:space="preserve"> A 2-dose </w:t>
      </w:r>
      <w:r w:rsidR="001348DB" w:rsidRPr="0058001D">
        <w:t xml:space="preserve">vaccination </w:t>
      </w:r>
      <w:r w:rsidR="00821DC1" w:rsidRPr="0058001D">
        <w:t xml:space="preserve">schedule </w:t>
      </w:r>
      <w:r w:rsidR="006B607A" w:rsidRPr="0058001D">
        <w:t>administered</w:t>
      </w:r>
      <w:r w:rsidR="001348DB" w:rsidRPr="0058001D">
        <w:t xml:space="preserve"> </w:t>
      </w:r>
      <w:r w:rsidR="006B607A" w:rsidRPr="0058001D">
        <w:t>2-6 months apart is recommended.</w:t>
      </w:r>
    </w:p>
    <w:p w14:paraId="0979E5F4" w14:textId="6D81C620" w:rsidR="00EB7B36" w:rsidRDefault="00A12BD2" w:rsidP="008B1520">
      <w:r w:rsidRPr="0058001D">
        <w:t xml:space="preserve">Resources to support conversations with Aboriginal and Torres Strait Islander people </w:t>
      </w:r>
      <w:r w:rsidR="005C467E" w:rsidRPr="0058001D">
        <w:t xml:space="preserve">about vaccination </w:t>
      </w:r>
      <w:r w:rsidR="009776DF" w:rsidRPr="0058001D">
        <w:t>is available</w:t>
      </w:r>
      <w:r w:rsidRPr="0058001D">
        <w:t xml:space="preserve"> at </w:t>
      </w:r>
      <w:hyperlink r:id="rId11" w:history="1">
        <w:r w:rsidRPr="0058001D">
          <w:rPr>
            <w:rStyle w:val="Hyperlink"/>
          </w:rPr>
          <w:t>health.gov.au/immunisation</w:t>
        </w:r>
      </w:hyperlink>
      <w:r w:rsidRPr="0058001D">
        <w:t>.</w:t>
      </w:r>
      <w:r w:rsidR="00EB7B36">
        <w:br w:type="page"/>
      </w:r>
    </w:p>
    <w:p w14:paraId="3D3388CC" w14:textId="42B29924" w:rsidR="003370CD" w:rsidRPr="0058001D" w:rsidRDefault="00CE6C0E" w:rsidP="00EB7B36">
      <w:pPr>
        <w:pStyle w:val="Heading3"/>
      </w:pPr>
      <w:r w:rsidRPr="0058001D">
        <w:lastRenderedPageBreak/>
        <w:t>Immunocompromised p</w:t>
      </w:r>
      <w:r w:rsidR="003370CD" w:rsidRPr="0058001D">
        <w:t>eople aged 18 years and over</w:t>
      </w:r>
    </w:p>
    <w:p w14:paraId="201ED120" w14:textId="42F3E8B2" w:rsidR="008B52C5" w:rsidRPr="0058001D" w:rsidRDefault="005C21A7" w:rsidP="00AD7AC3">
      <w:r w:rsidRPr="0058001D">
        <w:t xml:space="preserve">Compared with immunocompetent people, people who are immunocompromised have higher rates of </w:t>
      </w:r>
      <w:r w:rsidR="0064413D" w:rsidRPr="0058001D">
        <w:t>shingles</w:t>
      </w:r>
      <w:r w:rsidRPr="0058001D">
        <w:t xml:space="preserve"> and complications. </w:t>
      </w:r>
      <w:r w:rsidR="0064413D" w:rsidRPr="0058001D">
        <w:t>Shingles</w:t>
      </w:r>
      <w:r w:rsidRPr="0058001D">
        <w:t xml:space="preserve"> can occur at a younger age in people who are immunocompromised, and there is also a higher risk of recurrence.</w:t>
      </w:r>
      <w:r w:rsidR="006B607A" w:rsidRPr="0058001D">
        <w:t xml:space="preserve"> A 2-dose </w:t>
      </w:r>
      <w:r w:rsidR="00DB57D6" w:rsidRPr="0058001D">
        <w:t xml:space="preserve">vaccination </w:t>
      </w:r>
      <w:r w:rsidR="006B607A" w:rsidRPr="0058001D">
        <w:t>schedule administered 1-2 months apart is recommended.</w:t>
      </w:r>
    </w:p>
    <w:p w14:paraId="07FDBA09" w14:textId="38333D96" w:rsidR="00A12BD2" w:rsidRPr="0058001D" w:rsidRDefault="00A12BD2" w:rsidP="0058001D">
      <w:pPr>
        <w:pStyle w:val="Heading3"/>
      </w:pPr>
      <w:r w:rsidRPr="0058001D">
        <w:t>Co-administration with other vaccines</w:t>
      </w:r>
    </w:p>
    <w:p w14:paraId="5F90FE4C" w14:textId="1E086413" w:rsidR="008B52C5" w:rsidRPr="0058001D" w:rsidRDefault="00A12BD2" w:rsidP="00AD7AC3">
      <w:r w:rsidRPr="0058001D">
        <w:t xml:space="preserve">People can receive Shingrix® at the same time as other inactivated vaccines, pneumococcal vaccines, influenza vaccines and COVID-19 vaccines. However, it is preferable </w:t>
      </w:r>
      <w:r w:rsidR="00B36D71" w:rsidRPr="0058001D">
        <w:t xml:space="preserve">to administer </w:t>
      </w:r>
      <w:r w:rsidRPr="0058001D">
        <w:t>Shingrix® by itself where possible.</w:t>
      </w:r>
    </w:p>
    <w:p w14:paraId="0FC14842" w14:textId="2CADD76C" w:rsidR="00A12BD2" w:rsidRPr="0058001D" w:rsidRDefault="00A12BD2" w:rsidP="0058001D">
      <w:pPr>
        <w:pStyle w:val="Heading3"/>
      </w:pPr>
      <w:r w:rsidRPr="0058001D">
        <w:t>Vaccine safety</w:t>
      </w:r>
    </w:p>
    <w:p w14:paraId="3A9BF3EA" w14:textId="79FE36C8" w:rsidR="00372C0D" w:rsidRPr="0058001D" w:rsidRDefault="00A12BD2" w:rsidP="0058001D">
      <w:r w:rsidRPr="0058001D">
        <w:t xml:space="preserve">Shingrix® recipients may experience </w:t>
      </w:r>
      <w:r w:rsidR="00372C0D" w:rsidRPr="0058001D">
        <w:t>minor side effects after vaccin</w:t>
      </w:r>
      <w:r w:rsidR="00DB57D6" w:rsidRPr="0058001D">
        <w:t>ation</w:t>
      </w:r>
      <w:r w:rsidR="00113549" w:rsidRPr="0058001D">
        <w:t xml:space="preserve"> </w:t>
      </w:r>
      <w:r w:rsidR="001A4D78" w:rsidRPr="0058001D">
        <w:t>such as</w:t>
      </w:r>
      <w:r w:rsidR="00372C0D" w:rsidRPr="0058001D">
        <w:t>:</w:t>
      </w:r>
    </w:p>
    <w:p w14:paraId="2B5DCE6A" w14:textId="59D6631A" w:rsidR="00372C0D" w:rsidRPr="0058001D" w:rsidRDefault="00E2484A" w:rsidP="00EB7B36">
      <w:pPr>
        <w:pStyle w:val="ListBullet"/>
      </w:pPr>
      <w:r w:rsidRPr="0058001D">
        <w:t>pain, redness and swelling at the injection site</w:t>
      </w:r>
    </w:p>
    <w:p w14:paraId="26B3F78E" w14:textId="68D9F81A" w:rsidR="00E2484A" w:rsidRPr="0058001D" w:rsidRDefault="00E2484A" w:rsidP="00EB7B36">
      <w:pPr>
        <w:pStyle w:val="ListBullet"/>
      </w:pPr>
      <w:r w:rsidRPr="0058001D">
        <w:t>tiredness, muscle aches, headaches and fever</w:t>
      </w:r>
    </w:p>
    <w:p w14:paraId="51AC4767" w14:textId="07C0393D" w:rsidR="00E2484A" w:rsidRPr="0058001D" w:rsidRDefault="00E2484A" w:rsidP="00EB7B36">
      <w:pPr>
        <w:pStyle w:val="ListBullet"/>
      </w:pPr>
      <w:r w:rsidRPr="0058001D">
        <w:t>gastrointestinal symptoms.</w:t>
      </w:r>
    </w:p>
    <w:p w14:paraId="69D05043" w14:textId="77777777" w:rsidR="001A4D78" w:rsidRPr="0058001D" w:rsidRDefault="001A4D78" w:rsidP="0058001D">
      <w:r w:rsidRPr="0058001D">
        <w:t>Generally, these only last a few days and can be treated symptomatically.</w:t>
      </w:r>
    </w:p>
    <w:p w14:paraId="24420F9D" w14:textId="57F646D6" w:rsidR="00C56697" w:rsidRPr="0058001D" w:rsidRDefault="000E5C80" w:rsidP="00AD7AC3">
      <w:r w:rsidRPr="0058001D">
        <w:t>Health professionals</w:t>
      </w:r>
      <w:r w:rsidR="00A12BD2" w:rsidRPr="0058001D">
        <w:t xml:space="preserve"> should advise their patients of expected reactions before vaccination and the importance of completing the 2-dose schedule. Two doses of Shingrix</w:t>
      </w:r>
      <w:r w:rsidR="004366B0" w:rsidRPr="0058001D">
        <w:t>®</w:t>
      </w:r>
      <w:r w:rsidR="00A12BD2" w:rsidRPr="0058001D">
        <w:t xml:space="preserve"> are required for </w:t>
      </w:r>
      <w:r w:rsidR="00661246" w:rsidRPr="0058001D">
        <w:t xml:space="preserve">optimal </w:t>
      </w:r>
      <w:r w:rsidR="00A12BD2" w:rsidRPr="0058001D">
        <w:t xml:space="preserve">protection. </w:t>
      </w:r>
    </w:p>
    <w:p w14:paraId="1F530FD6" w14:textId="77777777" w:rsidR="00F46D5C" w:rsidRPr="0058001D" w:rsidRDefault="00A12BD2" w:rsidP="00EB7B36">
      <w:pPr>
        <w:pStyle w:val="Heading4"/>
      </w:pPr>
      <w:r w:rsidRPr="0058001D">
        <w:t>Adverse events following vaccination</w:t>
      </w:r>
    </w:p>
    <w:p w14:paraId="11ECF302" w14:textId="2A81ECDD" w:rsidR="00A12BD2" w:rsidRPr="0058001D" w:rsidRDefault="00A12BD2" w:rsidP="0058001D">
      <w:r w:rsidRPr="0058001D">
        <w:t xml:space="preserve">Report all adverse events following immunisation to the Therapeutic Goods Administration (TGA) through the usual </w:t>
      </w:r>
      <w:r w:rsidR="00753800" w:rsidRPr="0058001D">
        <w:t xml:space="preserve">state or territory </w:t>
      </w:r>
      <w:r w:rsidRPr="0058001D">
        <w:t xml:space="preserve">reporting mechanisms, or directly to the </w:t>
      </w:r>
      <w:hyperlink r:id="rId12" w:history="1">
        <w:r w:rsidRPr="0058001D">
          <w:rPr>
            <w:rStyle w:val="Hyperlink"/>
          </w:rPr>
          <w:t>TGA</w:t>
        </w:r>
      </w:hyperlink>
      <w:r w:rsidRPr="0058001D">
        <w:t xml:space="preserve">, depending on specific regulatory requirements. See the Department of Health and Aged Care’s </w:t>
      </w:r>
      <w:hyperlink r:id="rId13" w:history="1">
        <w:r w:rsidRPr="0058001D">
          <w:rPr>
            <w:rStyle w:val="Hyperlink"/>
          </w:rPr>
          <w:t>Reporting and managing adverse vaccination events</w:t>
        </w:r>
      </w:hyperlink>
      <w:r w:rsidRPr="0058001D">
        <w:t>.</w:t>
      </w:r>
    </w:p>
    <w:p w14:paraId="506D431D" w14:textId="6EECB99E" w:rsidR="00A12BD2" w:rsidRPr="0058001D" w:rsidRDefault="00BE0EF5" w:rsidP="00EB7B36">
      <w:pPr>
        <w:pStyle w:val="Heading3"/>
      </w:pPr>
      <w:r w:rsidRPr="0058001D">
        <w:br w:type="column"/>
      </w:r>
      <w:r w:rsidR="00A12BD2" w:rsidRPr="0058001D">
        <w:t xml:space="preserve">Contraindications/precautions </w:t>
      </w:r>
    </w:p>
    <w:p w14:paraId="0AB4A0AE" w14:textId="31E78D19" w:rsidR="00A12BD2" w:rsidRPr="0058001D" w:rsidRDefault="00A12BD2" w:rsidP="0058001D">
      <w:r w:rsidRPr="0058001D">
        <w:t>Shingrix® is contraindicated in people who have had</w:t>
      </w:r>
      <w:r w:rsidR="00C733DA" w:rsidRPr="0058001D">
        <w:t xml:space="preserve"> anaphylaxis after</w:t>
      </w:r>
      <w:r w:rsidRPr="0058001D">
        <w:t>:</w:t>
      </w:r>
    </w:p>
    <w:p w14:paraId="4E84F153" w14:textId="00A7ACD6" w:rsidR="00A12BD2" w:rsidRPr="0058001D" w:rsidRDefault="00A12BD2" w:rsidP="00EB7B36">
      <w:pPr>
        <w:pStyle w:val="ListBullet"/>
      </w:pPr>
      <w:r w:rsidRPr="0058001D">
        <w:t>a previous dose of Shingrix®</w:t>
      </w:r>
    </w:p>
    <w:p w14:paraId="23E172BC" w14:textId="5F7B7ED3" w:rsidR="008B52C5" w:rsidRPr="00AD7AC3" w:rsidRDefault="00A12BD2" w:rsidP="00AD7AC3">
      <w:pPr>
        <w:pStyle w:val="ListBullet"/>
      </w:pPr>
      <w:r w:rsidRPr="0058001D">
        <w:t>any component of Shingrix®</w:t>
      </w:r>
    </w:p>
    <w:p w14:paraId="0D2B64B7" w14:textId="58788DB6" w:rsidR="00A12BD2" w:rsidRPr="0058001D" w:rsidRDefault="00A12BD2" w:rsidP="0058001D">
      <w:pPr>
        <w:pStyle w:val="Heading3"/>
      </w:pPr>
      <w:r w:rsidRPr="0058001D">
        <w:t xml:space="preserve">Vaccination after Zostavax® or an episode of shingles </w:t>
      </w:r>
    </w:p>
    <w:p w14:paraId="54C376E1" w14:textId="58881AEC" w:rsidR="00A12BD2" w:rsidRPr="0058001D" w:rsidRDefault="00A12BD2" w:rsidP="0058001D">
      <w:r w:rsidRPr="0058001D">
        <w:t xml:space="preserve">Patients who have previously received Zostavax® free under the NIP cannot receive Shingrix® </w:t>
      </w:r>
      <w:r w:rsidR="005D42B7" w:rsidRPr="0058001D">
        <w:t xml:space="preserve">for free under the NIP </w:t>
      </w:r>
      <w:r w:rsidRPr="0058001D">
        <w:t>until at least 5 years after the Zostavax® dose. The patient will still need to complete the 2-dose schedule of Shingrix®.</w:t>
      </w:r>
    </w:p>
    <w:p w14:paraId="496B9AF9" w14:textId="634FF9A3" w:rsidR="00A12BD2" w:rsidRPr="0058001D" w:rsidRDefault="00A12BD2" w:rsidP="0058001D">
      <w:r w:rsidRPr="0058001D">
        <w:t xml:space="preserve">Patients who have previously </w:t>
      </w:r>
      <w:r w:rsidR="009E3F1B" w:rsidRPr="0058001D">
        <w:t>purchased</w:t>
      </w:r>
      <w:r w:rsidRPr="0058001D">
        <w:t xml:space="preserve"> Zostavax® privately are eligible to receive Shingrix® free under the NIP. An interval of at least 12 months is recommended between receiving Zostavax® and a subsequent dose of Shingrix®. The patient will still need to complete the 2-dose schedule of Shingrix®.</w:t>
      </w:r>
    </w:p>
    <w:p w14:paraId="36D990A0" w14:textId="7B67CB7C" w:rsidR="008B52C5" w:rsidRPr="008B52C5" w:rsidRDefault="00A12BD2" w:rsidP="00AD7AC3">
      <w:r w:rsidRPr="0058001D">
        <w:t>People who have had shingles</w:t>
      </w:r>
      <w:r w:rsidR="0033283F" w:rsidRPr="0058001D">
        <w:t xml:space="preserve"> </w:t>
      </w:r>
      <w:r w:rsidRPr="0058001D">
        <w:t xml:space="preserve">are still at risk of future episodes. Immunocompetent people should delay Shingrix® for at least 12 months after an episode of </w:t>
      </w:r>
      <w:r w:rsidR="00107157" w:rsidRPr="0058001D">
        <w:t>shingles</w:t>
      </w:r>
      <w:r w:rsidRPr="0058001D">
        <w:t xml:space="preserve">. Immunocompromised people can receive Shingrix® from 3 months after the acute illness, following an </w:t>
      </w:r>
      <w:proofErr w:type="spellStart"/>
      <w:r w:rsidRPr="0058001D">
        <w:t>individualised</w:t>
      </w:r>
      <w:proofErr w:type="spellEnd"/>
      <w:r w:rsidRPr="0058001D">
        <w:t xml:space="preserve"> risk-benefit discussion.</w:t>
      </w:r>
    </w:p>
    <w:p w14:paraId="7B92B144" w14:textId="1AFB5431" w:rsidR="00A12BD2" w:rsidRPr="0058001D" w:rsidRDefault="00A12BD2" w:rsidP="0058001D">
      <w:pPr>
        <w:pStyle w:val="Heading3"/>
      </w:pPr>
      <w:r w:rsidRPr="0058001D">
        <w:t>Vaccine supply</w:t>
      </w:r>
    </w:p>
    <w:p w14:paraId="45A78373" w14:textId="7066B7A4" w:rsidR="00A12BD2" w:rsidRPr="0058001D" w:rsidRDefault="000E5C80" w:rsidP="0058001D">
      <w:r w:rsidRPr="0058001D">
        <w:t>Health professionals</w:t>
      </w:r>
      <w:r w:rsidR="00A12BD2" w:rsidRPr="0058001D">
        <w:t xml:space="preserve"> </w:t>
      </w:r>
      <w:r w:rsidR="00E912C1" w:rsidRPr="0058001D">
        <w:t xml:space="preserve">can </w:t>
      </w:r>
      <w:r w:rsidR="00A12BD2" w:rsidRPr="0058001D">
        <w:t>order supplies of Shingrix® through the usual NIP vaccine ordering channels.</w:t>
      </w:r>
    </w:p>
    <w:p w14:paraId="1B3917B0" w14:textId="5113B085" w:rsidR="008B52C5" w:rsidRPr="008B52C5" w:rsidRDefault="00A12BD2" w:rsidP="00AD7AC3">
      <w:r w:rsidRPr="0058001D">
        <w:t>Vaccines past their expiry date should be disposed of in accordance with state or territory clinical waste disposal</w:t>
      </w:r>
      <w:r w:rsidR="00753800" w:rsidRPr="0058001D">
        <w:t xml:space="preserve"> requirements</w:t>
      </w:r>
      <w:r w:rsidRPr="0058001D">
        <w:t>.</w:t>
      </w:r>
    </w:p>
    <w:p w14:paraId="4085029D" w14:textId="2A806896" w:rsidR="00A12BD2" w:rsidRPr="0058001D" w:rsidRDefault="00A12BD2" w:rsidP="0058001D">
      <w:pPr>
        <w:pStyle w:val="Heading3"/>
      </w:pPr>
      <w:r w:rsidRPr="0058001D">
        <w:t>Further information</w:t>
      </w:r>
    </w:p>
    <w:p w14:paraId="49C2133B" w14:textId="7D2EBA4E" w:rsidR="00A12BD2" w:rsidRPr="0058001D" w:rsidRDefault="00A12BD2" w:rsidP="0058001D">
      <w:r w:rsidRPr="0058001D">
        <w:t>Read th</w:t>
      </w:r>
      <w:r w:rsidR="00A16ACC" w:rsidRPr="0058001D">
        <w:t>is</w:t>
      </w:r>
      <w:r w:rsidRPr="0058001D">
        <w:t xml:space="preserve"> program advice in conjunction with updated clinical guidance for herpes zoster in the </w:t>
      </w:r>
      <w:hyperlink r:id="rId14" w:history="1">
        <w:r w:rsidRPr="0058001D">
          <w:rPr>
            <w:rStyle w:val="Hyperlink"/>
          </w:rPr>
          <w:t>Australian</w:t>
        </w:r>
        <w:r w:rsidR="002A1284" w:rsidRPr="0058001D">
          <w:rPr>
            <w:rStyle w:val="Hyperlink"/>
          </w:rPr>
          <w:t> </w:t>
        </w:r>
        <w:r w:rsidRPr="0058001D">
          <w:rPr>
            <w:rStyle w:val="Hyperlink"/>
          </w:rPr>
          <w:t>Immunisation Handbook</w:t>
        </w:r>
      </w:hyperlink>
      <w:r w:rsidRPr="0058001D">
        <w:t xml:space="preserve"> online. </w:t>
      </w:r>
    </w:p>
    <w:p w14:paraId="075EC941" w14:textId="651A50B4" w:rsidR="00D21408" w:rsidRPr="00237CB7" w:rsidRDefault="00A12BD2" w:rsidP="00237CB7">
      <w:pPr>
        <w:sectPr w:rsidR="00D21408" w:rsidRPr="00237CB7" w:rsidSect="00A85E53">
          <w:type w:val="continuous"/>
          <w:pgSz w:w="11910" w:h="16840"/>
          <w:pgMar w:top="970" w:right="720" w:bottom="993" w:left="700" w:header="720" w:footer="0" w:gutter="0"/>
          <w:cols w:num="2" w:space="550"/>
          <w:docGrid w:linePitch="299"/>
        </w:sectPr>
      </w:pPr>
      <w:r w:rsidRPr="0058001D">
        <w:t xml:space="preserve">Information </w:t>
      </w:r>
      <w:r w:rsidR="00654A8B" w:rsidRPr="0058001D">
        <w:t xml:space="preserve">and </w:t>
      </w:r>
      <w:r w:rsidRPr="0058001D">
        <w:t xml:space="preserve">resources for </w:t>
      </w:r>
      <w:r w:rsidR="00654A8B" w:rsidRPr="0058001D">
        <w:t>health professionals</w:t>
      </w:r>
      <w:r w:rsidRPr="0058001D">
        <w:t xml:space="preserve"> </w:t>
      </w:r>
      <w:r w:rsidR="00E912C1" w:rsidRPr="0058001D">
        <w:t>is available</w:t>
      </w:r>
      <w:r w:rsidRPr="0058001D">
        <w:t xml:space="preserve"> at </w:t>
      </w:r>
      <w:hyperlink r:id="rId15" w:history="1">
        <w:r w:rsidRPr="0058001D">
          <w:rPr>
            <w:rStyle w:val="Hyperlink"/>
          </w:rPr>
          <w:t>health.gov.au/immunisation</w:t>
        </w:r>
      </w:hyperlink>
    </w:p>
    <w:p w14:paraId="19167BA9" w14:textId="77777777" w:rsidR="00A85E53" w:rsidRPr="00A85E53" w:rsidRDefault="00A85E53" w:rsidP="00A85E53">
      <w:pPr>
        <w:widowControl/>
        <w:autoSpaceDE/>
        <w:autoSpaceDN/>
        <w:spacing w:before="0" w:after="0" w:line="276" w:lineRule="auto"/>
        <w:contextualSpacing/>
        <w:rPr>
          <w:rFonts w:ascii="Arial" w:eastAsiaTheme="minorHAnsi" w:hAnsi="Arial"/>
          <w:lang w:val="en-AU" w:bidi="ar-SA"/>
        </w:rPr>
        <w:sectPr w:rsidR="00A85E53" w:rsidRPr="00A85E53" w:rsidSect="00A85E53">
          <w:type w:val="continuous"/>
          <w:pgSz w:w="11910" w:h="16840"/>
          <w:pgMar w:top="840" w:right="720" w:bottom="280" w:left="700" w:header="720" w:footer="720" w:gutter="0"/>
          <w:cols w:num="2" w:space="720" w:equalWidth="0">
            <w:col w:w="5002" w:space="384"/>
            <w:col w:w="5104"/>
          </w:cols>
        </w:sectPr>
      </w:pPr>
      <w:bookmarkStart w:id="2" w:name="_Appendix_A_-"/>
      <w:bookmarkEnd w:id="2"/>
    </w:p>
    <w:p w14:paraId="535319B8" w14:textId="77777777" w:rsidR="00E77E97" w:rsidRDefault="00A85E53" w:rsidP="008B52C5">
      <w:pPr>
        <w:spacing w:before="97" w:after="0"/>
        <w:rPr>
          <w:rFonts w:ascii="Arial" w:hAnsi="Arial"/>
          <w:sz w:val="18"/>
          <w:szCs w:val="18"/>
        </w:rPr>
      </w:pPr>
      <w:r w:rsidRPr="00A85E53">
        <w:rPr>
          <w:rFonts w:ascii="Arial" w:hAnsi="Arial"/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0224E260" wp14:editId="7D36CA41">
                <wp:simplePos x="0" y="0"/>
                <wp:positionH relativeFrom="margin">
                  <wp:posOffset>-5080</wp:posOffset>
                </wp:positionH>
                <wp:positionV relativeFrom="paragraph">
                  <wp:posOffset>199555</wp:posOffset>
                </wp:positionV>
                <wp:extent cx="6530975" cy="0"/>
                <wp:effectExtent l="0" t="0" r="0" b="0"/>
                <wp:wrapTopAndBottom/>
                <wp:docPr id="64" name="Lin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0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0098F" id="Line 11" o:spid="_x0000_s1026" alt="&quot;&quot;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" from="-.4pt,15.7pt" to="513.8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">
                <w10:wrap type="topAndBottom" anchorx="margin"/>
              </v:line>
            </w:pict>
          </mc:Fallback>
        </mc:AlternateContent>
      </w:r>
    </w:p>
    <w:tbl>
      <w:tblPr>
        <w:tblStyle w:val="TableGridLight"/>
        <w:tblpPr w:leftFromText="180" w:rightFromText="180" w:vertAnchor="text" w:horzAnchor="margin" w:tblpY="127"/>
        <w:tblW w:w="0" w:type="auto"/>
        <w:tblLook w:val="04A0" w:firstRow="1" w:lastRow="0" w:firstColumn="1" w:lastColumn="0" w:noHBand="0" w:noVBand="1"/>
      </w:tblPr>
      <w:tblGrid>
        <w:gridCol w:w="1843"/>
        <w:gridCol w:w="3402"/>
      </w:tblGrid>
      <w:tr w:rsidR="00E77E97" w:rsidRPr="00A85E53" w14:paraId="2FF12488" w14:textId="77777777" w:rsidTr="00AD7AC3">
        <w:trPr>
          <w:trHeight w:val="250"/>
        </w:trPr>
        <w:tc>
          <w:tcPr>
            <w:tcW w:w="5245" w:type="dxa"/>
            <w:gridSpan w:val="2"/>
          </w:tcPr>
          <w:p w14:paraId="5AB6C003" w14:textId="77777777" w:rsidR="00E77E97" w:rsidRPr="00A85E53" w:rsidRDefault="00E77E97" w:rsidP="00020F7D">
            <w:pPr>
              <w:spacing w:before="0" w:after="0"/>
              <w:rPr>
                <w:rFonts w:ascii="Arial" w:eastAsiaTheme="minorHAnsi" w:hAnsi="Arial"/>
                <w:b/>
                <w:bCs/>
                <w:sz w:val="16"/>
                <w:szCs w:val="16"/>
                <w:lang w:val="en-AU" w:bidi="ar-SA"/>
              </w:rPr>
            </w:pPr>
            <w:r w:rsidRPr="00A85E53">
              <w:rPr>
                <w:rFonts w:ascii="Arial" w:eastAsiaTheme="minorHAnsi" w:hAnsi="Arial"/>
                <w:b/>
                <w:bCs/>
                <w:sz w:val="16"/>
                <w:szCs w:val="16"/>
                <w:lang w:val="en-AU" w:bidi="ar-SA"/>
              </w:rPr>
              <w:t>State and territory health department contact numbers:</w:t>
            </w:r>
          </w:p>
        </w:tc>
      </w:tr>
      <w:tr w:rsidR="00E77E97" w:rsidRPr="00A85E53" w14:paraId="770D1C1E" w14:textId="77777777" w:rsidTr="00AD7AC3">
        <w:trPr>
          <w:trHeight w:val="256"/>
        </w:trPr>
        <w:tc>
          <w:tcPr>
            <w:tcW w:w="1843" w:type="dxa"/>
          </w:tcPr>
          <w:p w14:paraId="51134F65" w14:textId="77777777" w:rsidR="00E77E97" w:rsidRPr="00A85E53" w:rsidRDefault="00E77E97" w:rsidP="00020F7D">
            <w:pPr>
              <w:spacing w:before="0" w:after="0"/>
              <w:rPr>
                <w:rFonts w:ascii="Arial" w:eastAsiaTheme="minorHAnsi" w:hAnsi="Arial"/>
                <w:sz w:val="16"/>
                <w:szCs w:val="16"/>
                <w:lang w:val="en-AU" w:bidi="ar-SA"/>
              </w:rPr>
            </w:pPr>
            <w:r w:rsidRPr="00A85E53">
              <w:rPr>
                <w:rFonts w:ascii="Arial" w:eastAsiaTheme="minorHAnsi" w:hAnsi="Arial"/>
                <w:b/>
                <w:bCs/>
                <w:sz w:val="16"/>
                <w:szCs w:val="16"/>
                <w:lang w:val="en-AU" w:bidi="ar-SA"/>
              </w:rPr>
              <w:t>ACT</w:t>
            </w:r>
            <w:r w:rsidRPr="00A85E53">
              <w:rPr>
                <w:rFonts w:ascii="Arial" w:eastAsiaTheme="minorHAnsi" w:hAnsi="Arial"/>
                <w:sz w:val="16"/>
                <w:szCs w:val="16"/>
                <w:lang w:val="en-AU" w:bidi="ar-SA"/>
              </w:rPr>
              <w:t xml:space="preserve">    02 5124 9800</w:t>
            </w:r>
          </w:p>
        </w:tc>
        <w:tc>
          <w:tcPr>
            <w:tcW w:w="3402" w:type="dxa"/>
          </w:tcPr>
          <w:p w14:paraId="6CD9B54C" w14:textId="77777777" w:rsidR="00E77E97" w:rsidRPr="00A85E53" w:rsidRDefault="00E77E97" w:rsidP="00020F7D">
            <w:pPr>
              <w:spacing w:before="0" w:after="0"/>
              <w:rPr>
                <w:rFonts w:ascii="Arial" w:eastAsiaTheme="minorHAnsi" w:hAnsi="Arial"/>
                <w:sz w:val="16"/>
                <w:szCs w:val="16"/>
                <w:lang w:val="en-AU" w:bidi="ar-SA"/>
              </w:rPr>
            </w:pPr>
            <w:r w:rsidRPr="00A85E53">
              <w:rPr>
                <w:rFonts w:ascii="Arial" w:eastAsiaTheme="minorHAnsi" w:hAnsi="Arial"/>
                <w:b/>
                <w:bCs/>
                <w:sz w:val="16"/>
                <w:szCs w:val="16"/>
                <w:lang w:val="en-AU" w:bidi="ar-SA"/>
              </w:rPr>
              <w:t xml:space="preserve">SA </w:t>
            </w:r>
            <w:r w:rsidRPr="00A85E53">
              <w:rPr>
                <w:rFonts w:ascii="Arial" w:eastAsiaTheme="minorHAnsi" w:hAnsi="Arial"/>
                <w:sz w:val="16"/>
                <w:szCs w:val="16"/>
                <w:lang w:val="en-AU" w:bidi="ar-SA"/>
              </w:rPr>
              <w:t xml:space="preserve">     1300 232 272</w:t>
            </w:r>
          </w:p>
        </w:tc>
      </w:tr>
      <w:tr w:rsidR="00E77E97" w:rsidRPr="00A85E53" w14:paraId="755665E6" w14:textId="77777777" w:rsidTr="00AD7AC3">
        <w:trPr>
          <w:trHeight w:val="250"/>
        </w:trPr>
        <w:tc>
          <w:tcPr>
            <w:tcW w:w="1843" w:type="dxa"/>
          </w:tcPr>
          <w:p w14:paraId="4CFCA050" w14:textId="77777777" w:rsidR="00E77E97" w:rsidRPr="00A85E53" w:rsidRDefault="00E77E97" w:rsidP="00020F7D">
            <w:pPr>
              <w:spacing w:before="0" w:after="0"/>
              <w:rPr>
                <w:rFonts w:ascii="Arial" w:eastAsiaTheme="minorHAnsi" w:hAnsi="Arial"/>
                <w:sz w:val="16"/>
                <w:szCs w:val="16"/>
                <w:lang w:val="en-AU" w:bidi="ar-SA"/>
              </w:rPr>
            </w:pPr>
            <w:r w:rsidRPr="00A85E53">
              <w:rPr>
                <w:rFonts w:ascii="Arial" w:eastAsiaTheme="minorHAnsi" w:hAnsi="Arial"/>
                <w:b/>
                <w:bCs/>
                <w:sz w:val="16"/>
                <w:szCs w:val="16"/>
                <w:lang w:val="en-AU" w:bidi="ar-SA"/>
              </w:rPr>
              <w:t>NSW</w:t>
            </w:r>
            <w:r w:rsidRPr="00A85E53">
              <w:rPr>
                <w:rFonts w:ascii="Arial" w:eastAsiaTheme="minorHAnsi" w:hAnsi="Arial"/>
                <w:sz w:val="16"/>
                <w:szCs w:val="16"/>
                <w:lang w:val="en-AU" w:bidi="ar-SA"/>
              </w:rPr>
              <w:t xml:space="preserve">   1300 066 055</w:t>
            </w:r>
          </w:p>
        </w:tc>
        <w:tc>
          <w:tcPr>
            <w:tcW w:w="3402" w:type="dxa"/>
          </w:tcPr>
          <w:p w14:paraId="129EE8D1" w14:textId="77777777" w:rsidR="00E77E97" w:rsidRPr="00A85E53" w:rsidRDefault="00E77E97" w:rsidP="00020F7D">
            <w:pPr>
              <w:spacing w:before="0" w:after="0"/>
              <w:rPr>
                <w:rFonts w:ascii="Arial" w:eastAsiaTheme="minorHAnsi" w:hAnsi="Arial"/>
                <w:sz w:val="16"/>
                <w:szCs w:val="16"/>
                <w:lang w:val="en-AU" w:bidi="ar-SA"/>
              </w:rPr>
            </w:pPr>
            <w:r w:rsidRPr="00A85E53">
              <w:rPr>
                <w:rFonts w:ascii="Arial" w:eastAsiaTheme="minorHAnsi" w:hAnsi="Arial"/>
                <w:b/>
                <w:bCs/>
                <w:sz w:val="16"/>
                <w:szCs w:val="16"/>
                <w:lang w:val="en-AU" w:bidi="ar-SA"/>
              </w:rPr>
              <w:t>TAS</w:t>
            </w:r>
            <w:r w:rsidRPr="00A85E53">
              <w:rPr>
                <w:rFonts w:ascii="Arial" w:eastAsiaTheme="minorHAnsi" w:hAnsi="Arial"/>
                <w:sz w:val="16"/>
                <w:szCs w:val="16"/>
                <w:lang w:val="en-AU" w:bidi="ar-SA"/>
              </w:rPr>
              <w:t xml:space="preserve">    1800 671 738</w:t>
            </w:r>
          </w:p>
        </w:tc>
      </w:tr>
      <w:tr w:rsidR="00E77E97" w:rsidRPr="00A85E53" w14:paraId="63B788C9" w14:textId="77777777" w:rsidTr="00AD7AC3">
        <w:trPr>
          <w:trHeight w:val="247"/>
        </w:trPr>
        <w:tc>
          <w:tcPr>
            <w:tcW w:w="1843" w:type="dxa"/>
          </w:tcPr>
          <w:p w14:paraId="0E902FCE" w14:textId="77777777" w:rsidR="00E77E97" w:rsidRPr="00A85E53" w:rsidRDefault="00E77E97" w:rsidP="00020F7D">
            <w:pPr>
              <w:spacing w:before="0" w:after="0"/>
              <w:rPr>
                <w:rFonts w:ascii="Arial" w:eastAsiaTheme="minorHAnsi" w:hAnsi="Arial"/>
                <w:sz w:val="16"/>
                <w:szCs w:val="16"/>
                <w:lang w:val="en-AU" w:bidi="ar-SA"/>
              </w:rPr>
            </w:pPr>
            <w:r w:rsidRPr="00A85E53">
              <w:rPr>
                <w:rFonts w:ascii="Arial" w:eastAsiaTheme="minorHAnsi" w:hAnsi="Arial"/>
                <w:b/>
                <w:bCs/>
                <w:sz w:val="16"/>
                <w:szCs w:val="16"/>
                <w:lang w:val="en-AU" w:bidi="ar-SA"/>
              </w:rPr>
              <w:t xml:space="preserve">NT  </w:t>
            </w:r>
            <w:r w:rsidRPr="00A85E53">
              <w:rPr>
                <w:rFonts w:ascii="Arial" w:eastAsiaTheme="minorHAnsi" w:hAnsi="Arial"/>
                <w:sz w:val="16"/>
                <w:szCs w:val="16"/>
                <w:lang w:val="en-AU" w:bidi="ar-SA"/>
              </w:rPr>
              <w:t xml:space="preserve">     08 8922 8044</w:t>
            </w:r>
          </w:p>
        </w:tc>
        <w:tc>
          <w:tcPr>
            <w:tcW w:w="3402" w:type="dxa"/>
          </w:tcPr>
          <w:p w14:paraId="4C86A011" w14:textId="77777777" w:rsidR="00E77E97" w:rsidRPr="00A85E53" w:rsidRDefault="00E77E97" w:rsidP="00020F7D">
            <w:pPr>
              <w:spacing w:before="0" w:after="0"/>
              <w:rPr>
                <w:rFonts w:ascii="Arial" w:eastAsiaTheme="minorHAnsi" w:hAnsi="Arial"/>
                <w:sz w:val="16"/>
                <w:szCs w:val="16"/>
                <w:lang w:val="en-AU" w:bidi="ar-SA"/>
              </w:rPr>
            </w:pPr>
            <w:r w:rsidRPr="00A85E53">
              <w:rPr>
                <w:rFonts w:ascii="Arial" w:eastAsiaTheme="minorHAnsi" w:hAnsi="Arial"/>
                <w:b/>
                <w:bCs/>
                <w:sz w:val="16"/>
                <w:szCs w:val="16"/>
                <w:lang w:val="en-AU" w:bidi="ar-SA"/>
              </w:rPr>
              <w:t xml:space="preserve">VIC </w:t>
            </w:r>
            <w:r w:rsidRPr="00A85E53">
              <w:rPr>
                <w:rFonts w:ascii="Arial" w:eastAsiaTheme="minorHAnsi" w:hAnsi="Arial"/>
                <w:sz w:val="16"/>
                <w:szCs w:val="16"/>
                <w:lang w:val="en-AU" w:bidi="ar-SA"/>
              </w:rPr>
              <w:t xml:space="preserve">    immunisation@health.vic.gov.au</w:t>
            </w:r>
          </w:p>
        </w:tc>
      </w:tr>
      <w:tr w:rsidR="00E77E97" w:rsidRPr="00A85E53" w14:paraId="48C9912E" w14:textId="77777777" w:rsidTr="00AD7AC3">
        <w:trPr>
          <w:trHeight w:val="256"/>
        </w:trPr>
        <w:tc>
          <w:tcPr>
            <w:tcW w:w="1843" w:type="dxa"/>
          </w:tcPr>
          <w:p w14:paraId="13077458" w14:textId="77777777" w:rsidR="00E77E97" w:rsidRPr="00A85E53" w:rsidRDefault="00E77E97" w:rsidP="00020F7D">
            <w:pPr>
              <w:spacing w:before="0" w:after="0"/>
              <w:rPr>
                <w:rFonts w:ascii="Arial" w:eastAsiaTheme="minorHAnsi" w:hAnsi="Arial"/>
                <w:sz w:val="16"/>
                <w:szCs w:val="16"/>
                <w:lang w:val="en-AU" w:bidi="ar-SA"/>
              </w:rPr>
            </w:pPr>
            <w:r w:rsidRPr="00A85E53">
              <w:rPr>
                <w:rFonts w:ascii="Arial" w:eastAsiaTheme="minorHAnsi" w:hAnsi="Arial"/>
                <w:b/>
                <w:bCs/>
                <w:sz w:val="16"/>
                <w:szCs w:val="16"/>
                <w:lang w:val="en-AU" w:bidi="ar-SA"/>
              </w:rPr>
              <w:t xml:space="preserve">WA </w:t>
            </w:r>
            <w:r w:rsidRPr="00A85E53">
              <w:rPr>
                <w:rFonts w:ascii="Arial" w:eastAsiaTheme="minorHAnsi" w:hAnsi="Arial"/>
                <w:sz w:val="16"/>
                <w:szCs w:val="16"/>
                <w:lang w:val="en-AU" w:bidi="ar-SA"/>
              </w:rPr>
              <w:t xml:space="preserve">     08 9321 1312</w:t>
            </w:r>
          </w:p>
        </w:tc>
        <w:tc>
          <w:tcPr>
            <w:tcW w:w="3402" w:type="dxa"/>
          </w:tcPr>
          <w:p w14:paraId="200707F9" w14:textId="77777777" w:rsidR="00E77E97" w:rsidRPr="00A85E53" w:rsidRDefault="00E77E97" w:rsidP="00020F7D">
            <w:pPr>
              <w:spacing w:before="0" w:after="0"/>
              <w:rPr>
                <w:rFonts w:ascii="Arial" w:eastAsiaTheme="minorHAnsi" w:hAnsi="Arial"/>
                <w:sz w:val="16"/>
                <w:szCs w:val="16"/>
                <w:lang w:val="en-AU" w:bidi="ar-SA"/>
              </w:rPr>
            </w:pPr>
            <w:r w:rsidRPr="00A85E53">
              <w:rPr>
                <w:rFonts w:ascii="Arial" w:eastAsiaTheme="minorHAnsi" w:hAnsi="Arial"/>
                <w:b/>
                <w:bCs/>
                <w:sz w:val="16"/>
                <w:szCs w:val="16"/>
                <w:lang w:val="en-AU" w:bidi="ar-SA"/>
              </w:rPr>
              <w:t xml:space="preserve">QLD </w:t>
            </w:r>
            <w:r w:rsidRPr="00A85E53">
              <w:rPr>
                <w:rFonts w:ascii="Arial" w:eastAsiaTheme="minorHAnsi" w:hAnsi="Arial"/>
                <w:sz w:val="16"/>
                <w:szCs w:val="16"/>
                <w:lang w:val="en-AU" w:bidi="ar-SA"/>
              </w:rPr>
              <w:t xml:space="preserve">   Contact your local Public Health Unit</w:t>
            </w:r>
          </w:p>
        </w:tc>
      </w:tr>
    </w:tbl>
    <w:p w14:paraId="3E82BDBE" w14:textId="36F6F084" w:rsidR="008B52C5" w:rsidRPr="00AD7AC3" w:rsidRDefault="00003D5B" w:rsidP="00AD7AC3">
      <w:pPr>
        <w:spacing w:before="97" w:after="0"/>
        <w:rPr>
          <w:rFonts w:ascii="Arial" w:hAnsi="Arial"/>
          <w:sz w:val="18"/>
          <w:szCs w:val="18"/>
        </w:rPr>
      </w:pPr>
      <w:r w:rsidRPr="00A85E53">
        <w:rPr>
          <w:rFonts w:ascii="Arial" w:hAnsi="Arial"/>
          <w:noProof/>
        </w:rPr>
        <w:drawing>
          <wp:inline distT="0" distB="0" distL="0" distR="0" wp14:anchorId="6155AC41" wp14:editId="3B2F5012">
            <wp:extent cx="2961020" cy="759308"/>
            <wp:effectExtent l="0" t="0" r="0" b="3175"/>
            <wp:docPr id="62" name="Picture 62" descr="National Immunisation Program logo and the Australian Government Department of Health and Aged care cre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 descr="National Immunisation Program logo and the Australian Government Department of Health and Aged care crest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61020" cy="759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5DE525" w14:textId="0F800EB0" w:rsidR="0036336A" w:rsidRPr="00003D5B" w:rsidRDefault="00A85E53" w:rsidP="00AD7AC3">
      <w:pPr>
        <w:pStyle w:val="FootnoteText"/>
      </w:pPr>
      <w:r w:rsidRPr="00A85E53">
        <w:t xml:space="preserve">All information in this fact sheet is correct as of </w:t>
      </w:r>
      <w:r w:rsidR="00AD7AC3">
        <w:t>November</w:t>
      </w:r>
      <w:r w:rsidRPr="00A85E53">
        <w:t xml:space="preserve"> 2024.</w:t>
      </w:r>
    </w:p>
    <w:sectPr w:rsidR="0036336A" w:rsidRPr="00003D5B" w:rsidSect="002D3277">
      <w:type w:val="continuous"/>
      <w:pgSz w:w="11910" w:h="16840"/>
      <w:pgMar w:top="970" w:right="720" w:bottom="568" w:left="700" w:header="72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9A405" w14:textId="77777777" w:rsidR="007509B3" w:rsidRDefault="007509B3" w:rsidP="00585860">
      <w:r>
        <w:separator/>
      </w:r>
    </w:p>
  </w:endnote>
  <w:endnote w:type="continuationSeparator" w:id="0">
    <w:p w14:paraId="14881D99" w14:textId="77777777" w:rsidR="007509B3" w:rsidRDefault="007509B3" w:rsidP="00585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39392" w14:textId="77777777" w:rsidR="007509B3" w:rsidRDefault="007509B3" w:rsidP="00585860">
      <w:r>
        <w:separator/>
      </w:r>
    </w:p>
  </w:footnote>
  <w:footnote w:type="continuationSeparator" w:id="0">
    <w:p w14:paraId="4FE5CAC0" w14:textId="77777777" w:rsidR="007509B3" w:rsidRDefault="007509B3" w:rsidP="00585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A91C2054"/>
    <w:lvl w:ilvl="0">
      <w:start w:val="1"/>
      <w:numFmt w:val="upperLetter"/>
      <w:pStyle w:val="ListNumber3"/>
      <w:lvlText w:val="%1."/>
      <w:lvlJc w:val="left"/>
      <w:pPr>
        <w:ind w:left="926" w:hanging="360"/>
      </w:pPr>
    </w:lvl>
  </w:abstractNum>
  <w:abstractNum w:abstractNumId="1" w15:restartNumberingAfterBreak="0">
    <w:nsid w:val="FFFFFF7F"/>
    <w:multiLevelType w:val="singleLevel"/>
    <w:tmpl w:val="D7A69D88"/>
    <w:lvl w:ilvl="0">
      <w:start w:val="1"/>
      <w:numFmt w:val="lowerLetter"/>
      <w:pStyle w:val="ListNumber2"/>
      <w:lvlText w:val="%1)"/>
      <w:lvlJc w:val="left"/>
      <w:pPr>
        <w:ind w:left="643" w:hanging="360"/>
      </w:pPr>
    </w:lvl>
  </w:abstractNum>
  <w:abstractNum w:abstractNumId="2" w15:restartNumberingAfterBreak="0">
    <w:nsid w:val="FFFFFF83"/>
    <w:multiLevelType w:val="singleLevel"/>
    <w:tmpl w:val="AD284A50"/>
    <w:lvl w:ilvl="0">
      <w:start w:val="1"/>
      <w:numFmt w:val="bullet"/>
      <w:pStyle w:val="ListBullet2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</w:abstractNum>
  <w:abstractNum w:abstractNumId="3" w15:restartNumberingAfterBreak="0">
    <w:nsid w:val="FFFFFF88"/>
    <w:multiLevelType w:val="singleLevel"/>
    <w:tmpl w:val="C5B083C2"/>
    <w:lvl w:ilvl="0">
      <w:start w:val="1"/>
      <w:numFmt w:val="lowerRoman"/>
      <w:pStyle w:val="ListNumber"/>
      <w:lvlText w:val="%1."/>
      <w:lvlJc w:val="right"/>
      <w:pPr>
        <w:ind w:left="360" w:hanging="360"/>
      </w:pPr>
    </w:lvl>
  </w:abstractNum>
  <w:abstractNum w:abstractNumId="4" w15:restartNumberingAfterBreak="0">
    <w:nsid w:val="FFFFFF89"/>
    <w:multiLevelType w:val="singleLevel"/>
    <w:tmpl w:val="DA907A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172221C"/>
    <w:multiLevelType w:val="hybridMultilevel"/>
    <w:tmpl w:val="ABCEB0C8"/>
    <w:lvl w:ilvl="0" w:tplc="5E74FE7C">
      <w:numFmt w:val="bullet"/>
      <w:lvlText w:val="•"/>
      <w:lvlJc w:val="left"/>
      <w:pPr>
        <w:ind w:left="340" w:hanging="170"/>
      </w:pPr>
      <w:rPr>
        <w:rFonts w:ascii="Arial" w:eastAsia="Arial" w:hAnsi="Arial" w:cs="Arial" w:hint="default"/>
        <w:w w:val="102"/>
        <w:sz w:val="17"/>
        <w:szCs w:val="17"/>
        <w:lang w:val="en-US" w:eastAsia="en-US" w:bidi="en-US"/>
      </w:rPr>
    </w:lvl>
    <w:lvl w:ilvl="1" w:tplc="5E14A9D2">
      <w:numFmt w:val="bullet"/>
      <w:lvlText w:val="•"/>
      <w:lvlJc w:val="left"/>
      <w:pPr>
        <w:ind w:left="1324" w:hanging="170"/>
      </w:pPr>
      <w:rPr>
        <w:rFonts w:hint="default"/>
        <w:lang w:val="en-US" w:eastAsia="en-US" w:bidi="en-US"/>
      </w:rPr>
    </w:lvl>
    <w:lvl w:ilvl="2" w:tplc="8DF4459C">
      <w:numFmt w:val="bullet"/>
      <w:lvlText w:val="•"/>
      <w:lvlJc w:val="left"/>
      <w:pPr>
        <w:ind w:left="2309" w:hanging="170"/>
      </w:pPr>
      <w:rPr>
        <w:rFonts w:hint="default"/>
        <w:lang w:val="en-US" w:eastAsia="en-US" w:bidi="en-US"/>
      </w:rPr>
    </w:lvl>
    <w:lvl w:ilvl="3" w:tplc="E16EBAFC">
      <w:numFmt w:val="bullet"/>
      <w:lvlText w:val="•"/>
      <w:lvlJc w:val="left"/>
      <w:pPr>
        <w:ind w:left="3293" w:hanging="170"/>
      </w:pPr>
      <w:rPr>
        <w:rFonts w:hint="default"/>
        <w:lang w:val="en-US" w:eastAsia="en-US" w:bidi="en-US"/>
      </w:rPr>
    </w:lvl>
    <w:lvl w:ilvl="4" w:tplc="D354FC06">
      <w:numFmt w:val="bullet"/>
      <w:lvlText w:val="•"/>
      <w:lvlJc w:val="left"/>
      <w:pPr>
        <w:ind w:left="4278" w:hanging="170"/>
      </w:pPr>
      <w:rPr>
        <w:rFonts w:hint="default"/>
        <w:lang w:val="en-US" w:eastAsia="en-US" w:bidi="en-US"/>
      </w:rPr>
    </w:lvl>
    <w:lvl w:ilvl="5" w:tplc="F7DAEE58">
      <w:numFmt w:val="bullet"/>
      <w:lvlText w:val="•"/>
      <w:lvlJc w:val="left"/>
      <w:pPr>
        <w:ind w:left="5262" w:hanging="170"/>
      </w:pPr>
      <w:rPr>
        <w:rFonts w:hint="default"/>
        <w:lang w:val="en-US" w:eastAsia="en-US" w:bidi="en-US"/>
      </w:rPr>
    </w:lvl>
    <w:lvl w:ilvl="6" w:tplc="62B65DAE">
      <w:numFmt w:val="bullet"/>
      <w:lvlText w:val="•"/>
      <w:lvlJc w:val="left"/>
      <w:pPr>
        <w:ind w:left="6247" w:hanging="170"/>
      </w:pPr>
      <w:rPr>
        <w:rFonts w:hint="default"/>
        <w:lang w:val="en-US" w:eastAsia="en-US" w:bidi="en-US"/>
      </w:rPr>
    </w:lvl>
    <w:lvl w:ilvl="7" w:tplc="3502091E">
      <w:numFmt w:val="bullet"/>
      <w:lvlText w:val="•"/>
      <w:lvlJc w:val="left"/>
      <w:pPr>
        <w:ind w:left="7231" w:hanging="170"/>
      </w:pPr>
      <w:rPr>
        <w:rFonts w:hint="default"/>
        <w:lang w:val="en-US" w:eastAsia="en-US" w:bidi="en-US"/>
      </w:rPr>
    </w:lvl>
    <w:lvl w:ilvl="8" w:tplc="0FC8DCDA">
      <w:numFmt w:val="bullet"/>
      <w:lvlText w:val="•"/>
      <w:lvlJc w:val="left"/>
      <w:pPr>
        <w:ind w:left="8216" w:hanging="170"/>
      </w:pPr>
      <w:rPr>
        <w:rFonts w:hint="default"/>
        <w:lang w:val="en-US" w:eastAsia="en-US" w:bidi="en-US"/>
      </w:rPr>
    </w:lvl>
  </w:abstractNum>
  <w:abstractNum w:abstractNumId="6" w15:restartNumberingAfterBreak="0">
    <w:nsid w:val="074930D8"/>
    <w:multiLevelType w:val="hybridMultilevel"/>
    <w:tmpl w:val="F5CE9EF6"/>
    <w:lvl w:ilvl="0" w:tplc="EAB6F7B6">
      <w:numFmt w:val="bullet"/>
      <w:lvlText w:val="•"/>
      <w:lvlJc w:val="left"/>
      <w:pPr>
        <w:ind w:left="325" w:hanging="170"/>
      </w:pPr>
      <w:rPr>
        <w:rFonts w:ascii="Arial" w:eastAsia="Arial" w:hAnsi="Arial" w:cs="Arial" w:hint="default"/>
        <w:w w:val="102"/>
        <w:sz w:val="17"/>
        <w:szCs w:val="17"/>
        <w:lang w:val="en-US" w:eastAsia="en-US" w:bidi="en-US"/>
      </w:rPr>
    </w:lvl>
    <w:lvl w:ilvl="1" w:tplc="C36CA640">
      <w:numFmt w:val="bullet"/>
      <w:lvlText w:val="–"/>
      <w:lvlJc w:val="left"/>
      <w:pPr>
        <w:ind w:left="609" w:hanging="227"/>
      </w:pPr>
      <w:rPr>
        <w:rFonts w:ascii="Arial" w:eastAsia="Arial" w:hAnsi="Arial" w:cs="Arial" w:hint="default"/>
        <w:w w:val="106"/>
        <w:sz w:val="17"/>
        <w:szCs w:val="17"/>
        <w:lang w:val="en-US" w:eastAsia="en-US" w:bidi="en-US"/>
      </w:rPr>
    </w:lvl>
    <w:lvl w:ilvl="2" w:tplc="8FD8E19C">
      <w:numFmt w:val="bullet"/>
      <w:lvlText w:val="•"/>
      <w:lvlJc w:val="left"/>
      <w:pPr>
        <w:ind w:left="1665" w:hanging="227"/>
      </w:pPr>
      <w:rPr>
        <w:rFonts w:hint="default"/>
        <w:lang w:val="en-US" w:eastAsia="en-US" w:bidi="en-US"/>
      </w:rPr>
    </w:lvl>
    <w:lvl w:ilvl="3" w:tplc="BEE0359E">
      <w:numFmt w:val="bullet"/>
      <w:lvlText w:val="•"/>
      <w:lvlJc w:val="left"/>
      <w:pPr>
        <w:ind w:left="2730" w:hanging="227"/>
      </w:pPr>
      <w:rPr>
        <w:rFonts w:hint="default"/>
        <w:lang w:val="en-US" w:eastAsia="en-US" w:bidi="en-US"/>
      </w:rPr>
    </w:lvl>
    <w:lvl w:ilvl="4" w:tplc="48F69D48">
      <w:numFmt w:val="bullet"/>
      <w:lvlText w:val="•"/>
      <w:lvlJc w:val="left"/>
      <w:pPr>
        <w:ind w:left="3795" w:hanging="227"/>
      </w:pPr>
      <w:rPr>
        <w:rFonts w:hint="default"/>
        <w:lang w:val="en-US" w:eastAsia="en-US" w:bidi="en-US"/>
      </w:rPr>
    </w:lvl>
    <w:lvl w:ilvl="5" w:tplc="47F60422">
      <w:numFmt w:val="bullet"/>
      <w:lvlText w:val="•"/>
      <w:lvlJc w:val="left"/>
      <w:pPr>
        <w:ind w:left="4860" w:hanging="227"/>
      </w:pPr>
      <w:rPr>
        <w:rFonts w:hint="default"/>
        <w:lang w:val="en-US" w:eastAsia="en-US" w:bidi="en-US"/>
      </w:rPr>
    </w:lvl>
    <w:lvl w:ilvl="6" w:tplc="D9A07D86">
      <w:numFmt w:val="bullet"/>
      <w:lvlText w:val="•"/>
      <w:lvlJc w:val="left"/>
      <w:pPr>
        <w:ind w:left="5925" w:hanging="227"/>
      </w:pPr>
      <w:rPr>
        <w:rFonts w:hint="default"/>
        <w:lang w:val="en-US" w:eastAsia="en-US" w:bidi="en-US"/>
      </w:rPr>
    </w:lvl>
    <w:lvl w:ilvl="7" w:tplc="EBBE9996">
      <w:numFmt w:val="bullet"/>
      <w:lvlText w:val="•"/>
      <w:lvlJc w:val="left"/>
      <w:pPr>
        <w:ind w:left="6990" w:hanging="227"/>
      </w:pPr>
      <w:rPr>
        <w:rFonts w:hint="default"/>
        <w:lang w:val="en-US" w:eastAsia="en-US" w:bidi="en-US"/>
      </w:rPr>
    </w:lvl>
    <w:lvl w:ilvl="8" w:tplc="79146AA4">
      <w:numFmt w:val="bullet"/>
      <w:lvlText w:val="•"/>
      <w:lvlJc w:val="left"/>
      <w:pPr>
        <w:ind w:left="8055" w:hanging="227"/>
      </w:pPr>
      <w:rPr>
        <w:rFonts w:hint="default"/>
        <w:lang w:val="en-US" w:eastAsia="en-US" w:bidi="en-US"/>
      </w:rPr>
    </w:lvl>
  </w:abstractNum>
  <w:abstractNum w:abstractNumId="7" w15:restartNumberingAfterBreak="0">
    <w:nsid w:val="0B5452B0"/>
    <w:multiLevelType w:val="hybridMultilevel"/>
    <w:tmpl w:val="F5928B16"/>
    <w:lvl w:ilvl="0" w:tplc="30A0CE42">
      <w:numFmt w:val="bullet"/>
      <w:lvlText w:val="•"/>
      <w:lvlJc w:val="left"/>
      <w:pPr>
        <w:ind w:left="320" w:hanging="170"/>
      </w:pPr>
      <w:rPr>
        <w:rFonts w:ascii="Arial" w:eastAsia="Arial" w:hAnsi="Arial" w:cs="Arial" w:hint="default"/>
        <w:w w:val="102"/>
        <w:sz w:val="17"/>
        <w:szCs w:val="17"/>
        <w:lang w:val="en-US" w:eastAsia="en-US" w:bidi="en-US"/>
      </w:rPr>
    </w:lvl>
    <w:lvl w:ilvl="1" w:tplc="46221B64">
      <w:numFmt w:val="bullet"/>
      <w:lvlText w:val="•"/>
      <w:lvlJc w:val="left"/>
      <w:pPr>
        <w:ind w:left="797" w:hanging="170"/>
      </w:pPr>
      <w:rPr>
        <w:rFonts w:hint="default"/>
        <w:lang w:val="en-US" w:eastAsia="en-US" w:bidi="en-US"/>
      </w:rPr>
    </w:lvl>
    <w:lvl w:ilvl="2" w:tplc="459CDA52">
      <w:numFmt w:val="bullet"/>
      <w:lvlText w:val="•"/>
      <w:lvlJc w:val="left"/>
      <w:pPr>
        <w:ind w:left="1275" w:hanging="170"/>
      </w:pPr>
      <w:rPr>
        <w:rFonts w:hint="default"/>
        <w:lang w:val="en-US" w:eastAsia="en-US" w:bidi="en-US"/>
      </w:rPr>
    </w:lvl>
    <w:lvl w:ilvl="3" w:tplc="356CF9E4">
      <w:numFmt w:val="bullet"/>
      <w:lvlText w:val="•"/>
      <w:lvlJc w:val="left"/>
      <w:pPr>
        <w:ind w:left="1753" w:hanging="170"/>
      </w:pPr>
      <w:rPr>
        <w:rFonts w:hint="default"/>
        <w:lang w:val="en-US" w:eastAsia="en-US" w:bidi="en-US"/>
      </w:rPr>
    </w:lvl>
    <w:lvl w:ilvl="4" w:tplc="52B2D5E6">
      <w:numFmt w:val="bullet"/>
      <w:lvlText w:val="•"/>
      <w:lvlJc w:val="left"/>
      <w:pPr>
        <w:ind w:left="2231" w:hanging="170"/>
      </w:pPr>
      <w:rPr>
        <w:rFonts w:hint="default"/>
        <w:lang w:val="en-US" w:eastAsia="en-US" w:bidi="en-US"/>
      </w:rPr>
    </w:lvl>
    <w:lvl w:ilvl="5" w:tplc="7B62D232">
      <w:numFmt w:val="bullet"/>
      <w:lvlText w:val="•"/>
      <w:lvlJc w:val="left"/>
      <w:pPr>
        <w:ind w:left="2709" w:hanging="170"/>
      </w:pPr>
      <w:rPr>
        <w:rFonts w:hint="default"/>
        <w:lang w:val="en-US" w:eastAsia="en-US" w:bidi="en-US"/>
      </w:rPr>
    </w:lvl>
    <w:lvl w:ilvl="6" w:tplc="58A8963A">
      <w:numFmt w:val="bullet"/>
      <w:lvlText w:val="•"/>
      <w:lvlJc w:val="left"/>
      <w:pPr>
        <w:ind w:left="3187" w:hanging="170"/>
      </w:pPr>
      <w:rPr>
        <w:rFonts w:hint="default"/>
        <w:lang w:val="en-US" w:eastAsia="en-US" w:bidi="en-US"/>
      </w:rPr>
    </w:lvl>
    <w:lvl w:ilvl="7" w:tplc="9678155E">
      <w:numFmt w:val="bullet"/>
      <w:lvlText w:val="•"/>
      <w:lvlJc w:val="left"/>
      <w:pPr>
        <w:ind w:left="3665" w:hanging="170"/>
      </w:pPr>
      <w:rPr>
        <w:rFonts w:hint="default"/>
        <w:lang w:val="en-US" w:eastAsia="en-US" w:bidi="en-US"/>
      </w:rPr>
    </w:lvl>
    <w:lvl w:ilvl="8" w:tplc="FA4E15BA">
      <w:numFmt w:val="bullet"/>
      <w:lvlText w:val="•"/>
      <w:lvlJc w:val="left"/>
      <w:pPr>
        <w:ind w:left="4143" w:hanging="170"/>
      </w:pPr>
      <w:rPr>
        <w:rFonts w:hint="default"/>
        <w:lang w:val="en-US" w:eastAsia="en-US" w:bidi="en-US"/>
      </w:rPr>
    </w:lvl>
  </w:abstractNum>
  <w:abstractNum w:abstractNumId="8" w15:restartNumberingAfterBreak="0">
    <w:nsid w:val="0B9A33CD"/>
    <w:multiLevelType w:val="hybridMultilevel"/>
    <w:tmpl w:val="D9ECD864"/>
    <w:lvl w:ilvl="0" w:tplc="1FD6C338">
      <w:numFmt w:val="bullet"/>
      <w:lvlText w:val="•"/>
      <w:lvlJc w:val="left"/>
      <w:pPr>
        <w:ind w:left="325" w:hanging="170"/>
      </w:pPr>
      <w:rPr>
        <w:rFonts w:ascii="Arial" w:eastAsia="Arial" w:hAnsi="Arial" w:cs="Arial" w:hint="default"/>
        <w:w w:val="102"/>
        <w:sz w:val="17"/>
        <w:szCs w:val="17"/>
        <w:lang w:val="en-US" w:eastAsia="en-US" w:bidi="en-US"/>
      </w:rPr>
    </w:lvl>
    <w:lvl w:ilvl="1" w:tplc="B1ACC712">
      <w:numFmt w:val="bullet"/>
      <w:lvlText w:val="•"/>
      <w:lvlJc w:val="left"/>
      <w:pPr>
        <w:ind w:left="1306" w:hanging="170"/>
      </w:pPr>
      <w:rPr>
        <w:rFonts w:hint="default"/>
        <w:lang w:val="en-US" w:eastAsia="en-US" w:bidi="en-US"/>
      </w:rPr>
    </w:lvl>
    <w:lvl w:ilvl="2" w:tplc="941A5316">
      <w:numFmt w:val="bullet"/>
      <w:lvlText w:val="•"/>
      <w:lvlJc w:val="left"/>
      <w:pPr>
        <w:ind w:left="2293" w:hanging="170"/>
      </w:pPr>
      <w:rPr>
        <w:rFonts w:hint="default"/>
        <w:lang w:val="en-US" w:eastAsia="en-US" w:bidi="en-US"/>
      </w:rPr>
    </w:lvl>
    <w:lvl w:ilvl="3" w:tplc="E482E7A2">
      <w:numFmt w:val="bullet"/>
      <w:lvlText w:val="•"/>
      <w:lvlJc w:val="left"/>
      <w:pPr>
        <w:ind w:left="3279" w:hanging="170"/>
      </w:pPr>
      <w:rPr>
        <w:rFonts w:hint="default"/>
        <w:lang w:val="en-US" w:eastAsia="en-US" w:bidi="en-US"/>
      </w:rPr>
    </w:lvl>
    <w:lvl w:ilvl="4" w:tplc="E1504AFE">
      <w:numFmt w:val="bullet"/>
      <w:lvlText w:val="•"/>
      <w:lvlJc w:val="left"/>
      <w:pPr>
        <w:ind w:left="4266" w:hanging="170"/>
      </w:pPr>
      <w:rPr>
        <w:rFonts w:hint="default"/>
        <w:lang w:val="en-US" w:eastAsia="en-US" w:bidi="en-US"/>
      </w:rPr>
    </w:lvl>
    <w:lvl w:ilvl="5" w:tplc="71EAA3AE">
      <w:numFmt w:val="bullet"/>
      <w:lvlText w:val="•"/>
      <w:lvlJc w:val="left"/>
      <w:pPr>
        <w:ind w:left="5252" w:hanging="170"/>
      </w:pPr>
      <w:rPr>
        <w:rFonts w:hint="default"/>
        <w:lang w:val="en-US" w:eastAsia="en-US" w:bidi="en-US"/>
      </w:rPr>
    </w:lvl>
    <w:lvl w:ilvl="6" w:tplc="CF3E0FAE">
      <w:numFmt w:val="bullet"/>
      <w:lvlText w:val="•"/>
      <w:lvlJc w:val="left"/>
      <w:pPr>
        <w:ind w:left="6239" w:hanging="170"/>
      </w:pPr>
      <w:rPr>
        <w:rFonts w:hint="default"/>
        <w:lang w:val="en-US" w:eastAsia="en-US" w:bidi="en-US"/>
      </w:rPr>
    </w:lvl>
    <w:lvl w:ilvl="7" w:tplc="E75EB340">
      <w:numFmt w:val="bullet"/>
      <w:lvlText w:val="•"/>
      <w:lvlJc w:val="left"/>
      <w:pPr>
        <w:ind w:left="7225" w:hanging="170"/>
      </w:pPr>
      <w:rPr>
        <w:rFonts w:hint="default"/>
        <w:lang w:val="en-US" w:eastAsia="en-US" w:bidi="en-US"/>
      </w:rPr>
    </w:lvl>
    <w:lvl w:ilvl="8" w:tplc="3CEECA56">
      <w:numFmt w:val="bullet"/>
      <w:lvlText w:val="•"/>
      <w:lvlJc w:val="left"/>
      <w:pPr>
        <w:ind w:left="8212" w:hanging="170"/>
      </w:pPr>
      <w:rPr>
        <w:rFonts w:hint="default"/>
        <w:lang w:val="en-US" w:eastAsia="en-US" w:bidi="en-US"/>
      </w:rPr>
    </w:lvl>
  </w:abstractNum>
  <w:abstractNum w:abstractNumId="9" w15:restartNumberingAfterBreak="0">
    <w:nsid w:val="1136651A"/>
    <w:multiLevelType w:val="multilevel"/>
    <w:tmpl w:val="C1B839F4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upperLetter"/>
      <w:lvlText w:val="(%3)"/>
      <w:lvlJc w:val="right"/>
      <w:pPr>
        <w:ind w:left="1080" w:hanging="360"/>
      </w:pPr>
      <w:rPr>
        <w:rFonts w:hint="default"/>
      </w:rPr>
    </w:lvl>
    <w:lvl w:ilvl="3">
      <w:start w:val="1"/>
      <w:numFmt w:val="upperLetter"/>
      <w:lvlText w:val="(%4)"/>
      <w:lvlJc w:val="righ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3C35C61"/>
    <w:multiLevelType w:val="multilevel"/>
    <w:tmpl w:val="92F8C368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upperLetter"/>
      <w:lvlText w:val="(%3)"/>
      <w:lvlJc w:val="right"/>
      <w:pPr>
        <w:ind w:left="159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53B29EF"/>
    <w:multiLevelType w:val="hybridMultilevel"/>
    <w:tmpl w:val="C3145E4C"/>
    <w:lvl w:ilvl="0" w:tplc="FCFAD02E">
      <w:numFmt w:val="bullet"/>
      <w:lvlText w:val="•"/>
      <w:lvlJc w:val="left"/>
      <w:pPr>
        <w:ind w:left="325" w:hanging="170"/>
      </w:pPr>
      <w:rPr>
        <w:rFonts w:ascii="Arial" w:eastAsia="Arial" w:hAnsi="Arial" w:cs="Arial" w:hint="default"/>
        <w:w w:val="102"/>
        <w:sz w:val="17"/>
        <w:szCs w:val="17"/>
        <w:lang w:val="en-US" w:eastAsia="en-US" w:bidi="en-US"/>
      </w:rPr>
    </w:lvl>
    <w:lvl w:ilvl="1" w:tplc="EA7ADB60">
      <w:numFmt w:val="bullet"/>
      <w:lvlText w:val="•"/>
      <w:lvlJc w:val="left"/>
      <w:pPr>
        <w:ind w:left="1306" w:hanging="170"/>
      </w:pPr>
      <w:rPr>
        <w:rFonts w:hint="default"/>
        <w:lang w:val="en-US" w:eastAsia="en-US" w:bidi="en-US"/>
      </w:rPr>
    </w:lvl>
    <w:lvl w:ilvl="2" w:tplc="6F64D962">
      <w:numFmt w:val="bullet"/>
      <w:lvlText w:val="•"/>
      <w:lvlJc w:val="left"/>
      <w:pPr>
        <w:ind w:left="2293" w:hanging="170"/>
      </w:pPr>
      <w:rPr>
        <w:rFonts w:hint="default"/>
        <w:lang w:val="en-US" w:eastAsia="en-US" w:bidi="en-US"/>
      </w:rPr>
    </w:lvl>
    <w:lvl w:ilvl="3" w:tplc="26342720">
      <w:numFmt w:val="bullet"/>
      <w:lvlText w:val="•"/>
      <w:lvlJc w:val="left"/>
      <w:pPr>
        <w:ind w:left="3279" w:hanging="170"/>
      </w:pPr>
      <w:rPr>
        <w:rFonts w:hint="default"/>
        <w:lang w:val="en-US" w:eastAsia="en-US" w:bidi="en-US"/>
      </w:rPr>
    </w:lvl>
    <w:lvl w:ilvl="4" w:tplc="7E10A194">
      <w:numFmt w:val="bullet"/>
      <w:lvlText w:val="•"/>
      <w:lvlJc w:val="left"/>
      <w:pPr>
        <w:ind w:left="4266" w:hanging="170"/>
      </w:pPr>
      <w:rPr>
        <w:rFonts w:hint="default"/>
        <w:lang w:val="en-US" w:eastAsia="en-US" w:bidi="en-US"/>
      </w:rPr>
    </w:lvl>
    <w:lvl w:ilvl="5" w:tplc="5184A036">
      <w:numFmt w:val="bullet"/>
      <w:lvlText w:val="•"/>
      <w:lvlJc w:val="left"/>
      <w:pPr>
        <w:ind w:left="5252" w:hanging="170"/>
      </w:pPr>
      <w:rPr>
        <w:rFonts w:hint="default"/>
        <w:lang w:val="en-US" w:eastAsia="en-US" w:bidi="en-US"/>
      </w:rPr>
    </w:lvl>
    <w:lvl w:ilvl="6" w:tplc="A0C66528">
      <w:numFmt w:val="bullet"/>
      <w:lvlText w:val="•"/>
      <w:lvlJc w:val="left"/>
      <w:pPr>
        <w:ind w:left="6239" w:hanging="170"/>
      </w:pPr>
      <w:rPr>
        <w:rFonts w:hint="default"/>
        <w:lang w:val="en-US" w:eastAsia="en-US" w:bidi="en-US"/>
      </w:rPr>
    </w:lvl>
    <w:lvl w:ilvl="7" w:tplc="3C363F0C">
      <w:numFmt w:val="bullet"/>
      <w:lvlText w:val="•"/>
      <w:lvlJc w:val="left"/>
      <w:pPr>
        <w:ind w:left="7225" w:hanging="170"/>
      </w:pPr>
      <w:rPr>
        <w:rFonts w:hint="default"/>
        <w:lang w:val="en-US" w:eastAsia="en-US" w:bidi="en-US"/>
      </w:rPr>
    </w:lvl>
    <w:lvl w:ilvl="8" w:tplc="3F10BBA2">
      <w:numFmt w:val="bullet"/>
      <w:lvlText w:val="•"/>
      <w:lvlJc w:val="left"/>
      <w:pPr>
        <w:ind w:left="8212" w:hanging="170"/>
      </w:pPr>
      <w:rPr>
        <w:rFonts w:hint="default"/>
        <w:lang w:val="en-US" w:eastAsia="en-US" w:bidi="en-US"/>
      </w:rPr>
    </w:lvl>
  </w:abstractNum>
  <w:abstractNum w:abstractNumId="12" w15:restartNumberingAfterBreak="0">
    <w:nsid w:val="21C36516"/>
    <w:multiLevelType w:val="hybridMultilevel"/>
    <w:tmpl w:val="8AF08C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13C8D"/>
    <w:multiLevelType w:val="multilevel"/>
    <w:tmpl w:val="D7B622C4"/>
    <w:lvl w:ilvl="0">
      <w:start w:val="1"/>
      <w:numFmt w:val="lowerLetter"/>
      <w:lvlText w:val="(%1)"/>
      <w:lvlJc w:val="left"/>
      <w:pPr>
        <w:ind w:left="-36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0" w:hanging="360"/>
      </w:pPr>
    </w:lvl>
    <w:lvl w:ilvl="2">
      <w:start w:val="1"/>
      <w:numFmt w:val="lowerRoman"/>
      <w:lvlText w:val="%3)"/>
      <w:lvlJc w:val="left"/>
      <w:pPr>
        <w:ind w:left="360" w:hanging="360"/>
      </w:pPr>
    </w:lvl>
    <w:lvl w:ilvl="3">
      <w:start w:val="1"/>
      <w:numFmt w:val="decimal"/>
      <w:lvlText w:val="(%4)"/>
      <w:lvlJc w:val="left"/>
      <w:pPr>
        <w:ind w:left="720" w:hanging="360"/>
      </w:pPr>
    </w:lvl>
    <w:lvl w:ilvl="4">
      <w:start w:val="1"/>
      <w:numFmt w:val="lowerLetter"/>
      <w:lvlText w:val="(%5)"/>
      <w:lvlJc w:val="left"/>
      <w:pPr>
        <w:ind w:left="1080" w:hanging="360"/>
      </w:pPr>
    </w:lvl>
    <w:lvl w:ilvl="5">
      <w:start w:val="1"/>
      <w:numFmt w:val="lowerRoman"/>
      <w:lvlText w:val="(%6)"/>
      <w:lvlJc w:val="left"/>
      <w:pPr>
        <w:ind w:left="1440" w:hanging="360"/>
      </w:pPr>
    </w:lvl>
    <w:lvl w:ilvl="6">
      <w:start w:val="1"/>
      <w:numFmt w:val="decimal"/>
      <w:lvlText w:val="%7."/>
      <w:lvlJc w:val="left"/>
      <w:pPr>
        <w:ind w:left="1800" w:hanging="360"/>
      </w:pPr>
    </w:lvl>
    <w:lvl w:ilvl="7">
      <w:start w:val="1"/>
      <w:numFmt w:val="lowerLetter"/>
      <w:lvlText w:val="%8."/>
      <w:lvlJc w:val="left"/>
      <w:pPr>
        <w:ind w:left="2160" w:hanging="360"/>
      </w:pPr>
    </w:lvl>
    <w:lvl w:ilvl="8">
      <w:start w:val="1"/>
      <w:numFmt w:val="lowerRoman"/>
      <w:lvlText w:val="%9."/>
      <w:lvlJc w:val="left"/>
      <w:pPr>
        <w:ind w:left="2520" w:hanging="360"/>
      </w:pPr>
    </w:lvl>
  </w:abstractNum>
  <w:abstractNum w:abstractNumId="14" w15:restartNumberingAfterBreak="0">
    <w:nsid w:val="2715013B"/>
    <w:multiLevelType w:val="hybridMultilevel"/>
    <w:tmpl w:val="FB4ACCA6"/>
    <w:lvl w:ilvl="0" w:tplc="0C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15" w15:restartNumberingAfterBreak="0">
    <w:nsid w:val="2ACA34C5"/>
    <w:multiLevelType w:val="hybridMultilevel"/>
    <w:tmpl w:val="51E409E0"/>
    <w:lvl w:ilvl="0" w:tplc="20420552">
      <w:numFmt w:val="bullet"/>
      <w:lvlText w:val="•"/>
      <w:lvlJc w:val="left"/>
      <w:pPr>
        <w:ind w:left="325" w:hanging="170"/>
      </w:pPr>
      <w:rPr>
        <w:rFonts w:ascii="Arial" w:eastAsia="Arial" w:hAnsi="Arial" w:cs="Arial" w:hint="default"/>
        <w:w w:val="102"/>
        <w:sz w:val="17"/>
        <w:szCs w:val="17"/>
        <w:lang w:val="en-US" w:eastAsia="en-US" w:bidi="en-US"/>
      </w:rPr>
    </w:lvl>
    <w:lvl w:ilvl="1" w:tplc="603C7A10">
      <w:numFmt w:val="bullet"/>
      <w:lvlText w:val="•"/>
      <w:lvlJc w:val="left"/>
      <w:pPr>
        <w:ind w:left="1306" w:hanging="170"/>
      </w:pPr>
      <w:rPr>
        <w:rFonts w:hint="default"/>
        <w:lang w:val="en-US" w:eastAsia="en-US" w:bidi="en-US"/>
      </w:rPr>
    </w:lvl>
    <w:lvl w:ilvl="2" w:tplc="245E8786">
      <w:numFmt w:val="bullet"/>
      <w:lvlText w:val="•"/>
      <w:lvlJc w:val="left"/>
      <w:pPr>
        <w:ind w:left="2293" w:hanging="170"/>
      </w:pPr>
      <w:rPr>
        <w:rFonts w:hint="default"/>
        <w:lang w:val="en-US" w:eastAsia="en-US" w:bidi="en-US"/>
      </w:rPr>
    </w:lvl>
    <w:lvl w:ilvl="3" w:tplc="AF4EB48A">
      <w:numFmt w:val="bullet"/>
      <w:lvlText w:val="•"/>
      <w:lvlJc w:val="left"/>
      <w:pPr>
        <w:ind w:left="3279" w:hanging="170"/>
      </w:pPr>
      <w:rPr>
        <w:rFonts w:hint="default"/>
        <w:lang w:val="en-US" w:eastAsia="en-US" w:bidi="en-US"/>
      </w:rPr>
    </w:lvl>
    <w:lvl w:ilvl="4" w:tplc="B99C37C6">
      <w:numFmt w:val="bullet"/>
      <w:lvlText w:val="•"/>
      <w:lvlJc w:val="left"/>
      <w:pPr>
        <w:ind w:left="4266" w:hanging="170"/>
      </w:pPr>
      <w:rPr>
        <w:rFonts w:hint="default"/>
        <w:lang w:val="en-US" w:eastAsia="en-US" w:bidi="en-US"/>
      </w:rPr>
    </w:lvl>
    <w:lvl w:ilvl="5" w:tplc="0FFEE41C">
      <w:numFmt w:val="bullet"/>
      <w:lvlText w:val="•"/>
      <w:lvlJc w:val="left"/>
      <w:pPr>
        <w:ind w:left="5252" w:hanging="170"/>
      </w:pPr>
      <w:rPr>
        <w:rFonts w:hint="default"/>
        <w:lang w:val="en-US" w:eastAsia="en-US" w:bidi="en-US"/>
      </w:rPr>
    </w:lvl>
    <w:lvl w:ilvl="6" w:tplc="CAE2D30E">
      <w:numFmt w:val="bullet"/>
      <w:lvlText w:val="•"/>
      <w:lvlJc w:val="left"/>
      <w:pPr>
        <w:ind w:left="6239" w:hanging="170"/>
      </w:pPr>
      <w:rPr>
        <w:rFonts w:hint="default"/>
        <w:lang w:val="en-US" w:eastAsia="en-US" w:bidi="en-US"/>
      </w:rPr>
    </w:lvl>
    <w:lvl w:ilvl="7" w:tplc="35F418EE">
      <w:numFmt w:val="bullet"/>
      <w:lvlText w:val="•"/>
      <w:lvlJc w:val="left"/>
      <w:pPr>
        <w:ind w:left="7225" w:hanging="170"/>
      </w:pPr>
      <w:rPr>
        <w:rFonts w:hint="default"/>
        <w:lang w:val="en-US" w:eastAsia="en-US" w:bidi="en-US"/>
      </w:rPr>
    </w:lvl>
    <w:lvl w:ilvl="8" w:tplc="D4321E6C">
      <w:numFmt w:val="bullet"/>
      <w:lvlText w:val="•"/>
      <w:lvlJc w:val="left"/>
      <w:pPr>
        <w:ind w:left="8212" w:hanging="170"/>
      </w:pPr>
      <w:rPr>
        <w:rFonts w:hint="default"/>
        <w:lang w:val="en-US" w:eastAsia="en-US" w:bidi="en-US"/>
      </w:rPr>
    </w:lvl>
  </w:abstractNum>
  <w:abstractNum w:abstractNumId="16" w15:restartNumberingAfterBreak="0">
    <w:nsid w:val="315951EC"/>
    <w:multiLevelType w:val="multilevel"/>
    <w:tmpl w:val="92F8C368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080" w:hanging="360"/>
      </w:pPr>
    </w:lvl>
    <w:lvl w:ilvl="2">
      <w:start w:val="1"/>
      <w:numFmt w:val="upperLetter"/>
      <w:lvlText w:val="(%3)"/>
      <w:lvlJc w:val="right"/>
      <w:pPr>
        <w:ind w:left="19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388345A9"/>
    <w:multiLevelType w:val="multilevel"/>
    <w:tmpl w:val="92F8C368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upperLetter"/>
      <w:lvlText w:val="(%3)"/>
      <w:lvlJc w:val="right"/>
      <w:pPr>
        <w:ind w:left="15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56B4C43"/>
    <w:multiLevelType w:val="hybridMultilevel"/>
    <w:tmpl w:val="E3885A68"/>
    <w:lvl w:ilvl="0" w:tplc="B20054D2">
      <w:numFmt w:val="bullet"/>
      <w:lvlText w:val="•"/>
      <w:lvlJc w:val="left"/>
      <w:pPr>
        <w:ind w:left="340" w:hanging="170"/>
      </w:pPr>
      <w:rPr>
        <w:rFonts w:ascii="Arial" w:eastAsia="Arial" w:hAnsi="Arial" w:cs="Arial" w:hint="default"/>
        <w:w w:val="102"/>
        <w:sz w:val="17"/>
        <w:szCs w:val="17"/>
        <w:lang w:val="en-US" w:eastAsia="en-US" w:bidi="en-US"/>
      </w:rPr>
    </w:lvl>
    <w:lvl w:ilvl="1" w:tplc="75501CAE">
      <w:numFmt w:val="bullet"/>
      <w:lvlText w:val="•"/>
      <w:lvlJc w:val="left"/>
      <w:pPr>
        <w:ind w:left="1324" w:hanging="170"/>
      </w:pPr>
      <w:rPr>
        <w:rFonts w:hint="default"/>
        <w:lang w:val="en-US" w:eastAsia="en-US" w:bidi="en-US"/>
      </w:rPr>
    </w:lvl>
    <w:lvl w:ilvl="2" w:tplc="7FBAA32A">
      <w:numFmt w:val="bullet"/>
      <w:lvlText w:val="•"/>
      <w:lvlJc w:val="left"/>
      <w:pPr>
        <w:ind w:left="2309" w:hanging="170"/>
      </w:pPr>
      <w:rPr>
        <w:rFonts w:hint="default"/>
        <w:lang w:val="en-US" w:eastAsia="en-US" w:bidi="en-US"/>
      </w:rPr>
    </w:lvl>
    <w:lvl w:ilvl="3" w:tplc="026E6E52">
      <w:numFmt w:val="bullet"/>
      <w:lvlText w:val="•"/>
      <w:lvlJc w:val="left"/>
      <w:pPr>
        <w:ind w:left="3293" w:hanging="170"/>
      </w:pPr>
      <w:rPr>
        <w:rFonts w:hint="default"/>
        <w:lang w:val="en-US" w:eastAsia="en-US" w:bidi="en-US"/>
      </w:rPr>
    </w:lvl>
    <w:lvl w:ilvl="4" w:tplc="A7C850E2">
      <w:numFmt w:val="bullet"/>
      <w:lvlText w:val="•"/>
      <w:lvlJc w:val="left"/>
      <w:pPr>
        <w:ind w:left="4278" w:hanging="170"/>
      </w:pPr>
      <w:rPr>
        <w:rFonts w:hint="default"/>
        <w:lang w:val="en-US" w:eastAsia="en-US" w:bidi="en-US"/>
      </w:rPr>
    </w:lvl>
    <w:lvl w:ilvl="5" w:tplc="5F688C98">
      <w:numFmt w:val="bullet"/>
      <w:lvlText w:val="•"/>
      <w:lvlJc w:val="left"/>
      <w:pPr>
        <w:ind w:left="5262" w:hanging="170"/>
      </w:pPr>
      <w:rPr>
        <w:rFonts w:hint="default"/>
        <w:lang w:val="en-US" w:eastAsia="en-US" w:bidi="en-US"/>
      </w:rPr>
    </w:lvl>
    <w:lvl w:ilvl="6" w:tplc="1366ACAE">
      <w:numFmt w:val="bullet"/>
      <w:lvlText w:val="•"/>
      <w:lvlJc w:val="left"/>
      <w:pPr>
        <w:ind w:left="6247" w:hanging="170"/>
      </w:pPr>
      <w:rPr>
        <w:rFonts w:hint="default"/>
        <w:lang w:val="en-US" w:eastAsia="en-US" w:bidi="en-US"/>
      </w:rPr>
    </w:lvl>
    <w:lvl w:ilvl="7" w:tplc="06B0F0B8">
      <w:numFmt w:val="bullet"/>
      <w:lvlText w:val="•"/>
      <w:lvlJc w:val="left"/>
      <w:pPr>
        <w:ind w:left="7231" w:hanging="170"/>
      </w:pPr>
      <w:rPr>
        <w:rFonts w:hint="default"/>
        <w:lang w:val="en-US" w:eastAsia="en-US" w:bidi="en-US"/>
      </w:rPr>
    </w:lvl>
    <w:lvl w:ilvl="8" w:tplc="4DA29B94">
      <w:numFmt w:val="bullet"/>
      <w:lvlText w:val="•"/>
      <w:lvlJc w:val="left"/>
      <w:pPr>
        <w:ind w:left="8216" w:hanging="170"/>
      </w:pPr>
      <w:rPr>
        <w:rFonts w:hint="default"/>
        <w:lang w:val="en-US" w:eastAsia="en-US" w:bidi="en-US"/>
      </w:rPr>
    </w:lvl>
  </w:abstractNum>
  <w:abstractNum w:abstractNumId="19" w15:restartNumberingAfterBreak="0">
    <w:nsid w:val="56582F28"/>
    <w:multiLevelType w:val="multilevel"/>
    <w:tmpl w:val="92F8C368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upperLetter"/>
      <w:lvlText w:val="(%3)"/>
      <w:lvlJc w:val="right"/>
      <w:pPr>
        <w:ind w:left="15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819106B"/>
    <w:multiLevelType w:val="hybridMultilevel"/>
    <w:tmpl w:val="3C5E625C"/>
    <w:lvl w:ilvl="0" w:tplc="FB825C60">
      <w:numFmt w:val="bullet"/>
      <w:lvlText w:val="•"/>
      <w:lvlJc w:val="left"/>
      <w:pPr>
        <w:ind w:left="340" w:hanging="170"/>
      </w:pPr>
      <w:rPr>
        <w:rFonts w:ascii="Arial" w:eastAsia="Arial" w:hAnsi="Arial" w:cs="Arial" w:hint="default"/>
        <w:w w:val="102"/>
        <w:sz w:val="17"/>
        <w:szCs w:val="17"/>
        <w:lang w:val="en-US" w:eastAsia="en-US" w:bidi="en-US"/>
      </w:rPr>
    </w:lvl>
    <w:lvl w:ilvl="1" w:tplc="52C4BFEE">
      <w:numFmt w:val="bullet"/>
      <w:lvlText w:val="•"/>
      <w:lvlJc w:val="left"/>
      <w:pPr>
        <w:ind w:left="1324" w:hanging="170"/>
      </w:pPr>
      <w:rPr>
        <w:rFonts w:hint="default"/>
        <w:lang w:val="en-US" w:eastAsia="en-US" w:bidi="en-US"/>
      </w:rPr>
    </w:lvl>
    <w:lvl w:ilvl="2" w:tplc="8CBC7688">
      <w:numFmt w:val="bullet"/>
      <w:lvlText w:val="•"/>
      <w:lvlJc w:val="left"/>
      <w:pPr>
        <w:ind w:left="2309" w:hanging="170"/>
      </w:pPr>
      <w:rPr>
        <w:rFonts w:hint="default"/>
        <w:lang w:val="en-US" w:eastAsia="en-US" w:bidi="en-US"/>
      </w:rPr>
    </w:lvl>
    <w:lvl w:ilvl="3" w:tplc="A9849FC6">
      <w:numFmt w:val="bullet"/>
      <w:lvlText w:val="•"/>
      <w:lvlJc w:val="left"/>
      <w:pPr>
        <w:ind w:left="3293" w:hanging="170"/>
      </w:pPr>
      <w:rPr>
        <w:rFonts w:hint="default"/>
        <w:lang w:val="en-US" w:eastAsia="en-US" w:bidi="en-US"/>
      </w:rPr>
    </w:lvl>
    <w:lvl w:ilvl="4" w:tplc="F5463A90">
      <w:numFmt w:val="bullet"/>
      <w:lvlText w:val="•"/>
      <w:lvlJc w:val="left"/>
      <w:pPr>
        <w:ind w:left="4278" w:hanging="170"/>
      </w:pPr>
      <w:rPr>
        <w:rFonts w:hint="default"/>
        <w:lang w:val="en-US" w:eastAsia="en-US" w:bidi="en-US"/>
      </w:rPr>
    </w:lvl>
    <w:lvl w:ilvl="5" w:tplc="FB14F40A">
      <w:numFmt w:val="bullet"/>
      <w:lvlText w:val="•"/>
      <w:lvlJc w:val="left"/>
      <w:pPr>
        <w:ind w:left="5262" w:hanging="170"/>
      </w:pPr>
      <w:rPr>
        <w:rFonts w:hint="default"/>
        <w:lang w:val="en-US" w:eastAsia="en-US" w:bidi="en-US"/>
      </w:rPr>
    </w:lvl>
    <w:lvl w:ilvl="6" w:tplc="E7983486">
      <w:numFmt w:val="bullet"/>
      <w:lvlText w:val="•"/>
      <w:lvlJc w:val="left"/>
      <w:pPr>
        <w:ind w:left="6247" w:hanging="170"/>
      </w:pPr>
      <w:rPr>
        <w:rFonts w:hint="default"/>
        <w:lang w:val="en-US" w:eastAsia="en-US" w:bidi="en-US"/>
      </w:rPr>
    </w:lvl>
    <w:lvl w:ilvl="7" w:tplc="6A4EAEB0">
      <w:numFmt w:val="bullet"/>
      <w:lvlText w:val="•"/>
      <w:lvlJc w:val="left"/>
      <w:pPr>
        <w:ind w:left="7231" w:hanging="170"/>
      </w:pPr>
      <w:rPr>
        <w:rFonts w:hint="default"/>
        <w:lang w:val="en-US" w:eastAsia="en-US" w:bidi="en-US"/>
      </w:rPr>
    </w:lvl>
    <w:lvl w:ilvl="8" w:tplc="261EAE14">
      <w:numFmt w:val="bullet"/>
      <w:lvlText w:val="•"/>
      <w:lvlJc w:val="left"/>
      <w:pPr>
        <w:ind w:left="8216" w:hanging="170"/>
      </w:pPr>
      <w:rPr>
        <w:rFonts w:hint="default"/>
        <w:lang w:val="en-US" w:eastAsia="en-US" w:bidi="en-US"/>
      </w:rPr>
    </w:lvl>
  </w:abstractNum>
  <w:abstractNum w:abstractNumId="21" w15:restartNumberingAfterBreak="0">
    <w:nsid w:val="5C5453E1"/>
    <w:multiLevelType w:val="hybridMultilevel"/>
    <w:tmpl w:val="57E67800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63655A9E"/>
    <w:multiLevelType w:val="hybridMultilevel"/>
    <w:tmpl w:val="470E5E64"/>
    <w:lvl w:ilvl="0" w:tplc="A60CA136">
      <w:numFmt w:val="bullet"/>
      <w:lvlText w:val="•"/>
      <w:lvlJc w:val="left"/>
      <w:pPr>
        <w:ind w:left="340" w:hanging="170"/>
      </w:pPr>
      <w:rPr>
        <w:rFonts w:ascii="Arial" w:eastAsia="Arial" w:hAnsi="Arial" w:cs="Arial" w:hint="default"/>
        <w:w w:val="102"/>
        <w:sz w:val="17"/>
        <w:szCs w:val="17"/>
        <w:lang w:val="en-US" w:eastAsia="en-US" w:bidi="en-US"/>
      </w:rPr>
    </w:lvl>
    <w:lvl w:ilvl="1" w:tplc="2D22C516">
      <w:numFmt w:val="bullet"/>
      <w:lvlText w:val="•"/>
      <w:lvlJc w:val="left"/>
      <w:pPr>
        <w:ind w:left="1324" w:hanging="170"/>
      </w:pPr>
      <w:rPr>
        <w:rFonts w:hint="default"/>
        <w:lang w:val="en-US" w:eastAsia="en-US" w:bidi="en-US"/>
      </w:rPr>
    </w:lvl>
    <w:lvl w:ilvl="2" w:tplc="8C8C4AC0">
      <w:numFmt w:val="bullet"/>
      <w:lvlText w:val="•"/>
      <w:lvlJc w:val="left"/>
      <w:pPr>
        <w:ind w:left="2309" w:hanging="170"/>
      </w:pPr>
      <w:rPr>
        <w:rFonts w:hint="default"/>
        <w:lang w:val="en-US" w:eastAsia="en-US" w:bidi="en-US"/>
      </w:rPr>
    </w:lvl>
    <w:lvl w:ilvl="3" w:tplc="0FB0536E">
      <w:numFmt w:val="bullet"/>
      <w:lvlText w:val="•"/>
      <w:lvlJc w:val="left"/>
      <w:pPr>
        <w:ind w:left="3293" w:hanging="170"/>
      </w:pPr>
      <w:rPr>
        <w:rFonts w:hint="default"/>
        <w:lang w:val="en-US" w:eastAsia="en-US" w:bidi="en-US"/>
      </w:rPr>
    </w:lvl>
    <w:lvl w:ilvl="4" w:tplc="3DF665F2">
      <w:numFmt w:val="bullet"/>
      <w:lvlText w:val="•"/>
      <w:lvlJc w:val="left"/>
      <w:pPr>
        <w:ind w:left="4278" w:hanging="170"/>
      </w:pPr>
      <w:rPr>
        <w:rFonts w:hint="default"/>
        <w:lang w:val="en-US" w:eastAsia="en-US" w:bidi="en-US"/>
      </w:rPr>
    </w:lvl>
    <w:lvl w:ilvl="5" w:tplc="60BC8CD4">
      <w:numFmt w:val="bullet"/>
      <w:lvlText w:val="•"/>
      <w:lvlJc w:val="left"/>
      <w:pPr>
        <w:ind w:left="5262" w:hanging="170"/>
      </w:pPr>
      <w:rPr>
        <w:rFonts w:hint="default"/>
        <w:lang w:val="en-US" w:eastAsia="en-US" w:bidi="en-US"/>
      </w:rPr>
    </w:lvl>
    <w:lvl w:ilvl="6" w:tplc="236C6648">
      <w:numFmt w:val="bullet"/>
      <w:lvlText w:val="•"/>
      <w:lvlJc w:val="left"/>
      <w:pPr>
        <w:ind w:left="6247" w:hanging="170"/>
      </w:pPr>
      <w:rPr>
        <w:rFonts w:hint="default"/>
        <w:lang w:val="en-US" w:eastAsia="en-US" w:bidi="en-US"/>
      </w:rPr>
    </w:lvl>
    <w:lvl w:ilvl="7" w:tplc="538A4F06">
      <w:numFmt w:val="bullet"/>
      <w:lvlText w:val="•"/>
      <w:lvlJc w:val="left"/>
      <w:pPr>
        <w:ind w:left="7231" w:hanging="170"/>
      </w:pPr>
      <w:rPr>
        <w:rFonts w:hint="default"/>
        <w:lang w:val="en-US" w:eastAsia="en-US" w:bidi="en-US"/>
      </w:rPr>
    </w:lvl>
    <w:lvl w:ilvl="8" w:tplc="F2AC5826">
      <w:numFmt w:val="bullet"/>
      <w:lvlText w:val="•"/>
      <w:lvlJc w:val="left"/>
      <w:pPr>
        <w:ind w:left="8216" w:hanging="170"/>
      </w:pPr>
      <w:rPr>
        <w:rFonts w:hint="default"/>
        <w:lang w:val="en-US" w:eastAsia="en-US" w:bidi="en-US"/>
      </w:rPr>
    </w:lvl>
  </w:abstractNum>
  <w:abstractNum w:abstractNumId="23" w15:restartNumberingAfterBreak="0">
    <w:nsid w:val="652C1CA8"/>
    <w:multiLevelType w:val="hybridMultilevel"/>
    <w:tmpl w:val="313ADDC2"/>
    <w:lvl w:ilvl="0" w:tplc="0C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4" w15:restartNumberingAfterBreak="0">
    <w:nsid w:val="716508E1"/>
    <w:multiLevelType w:val="multilevel"/>
    <w:tmpl w:val="92F8C368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upperLetter"/>
      <w:lvlText w:val="(%3)"/>
      <w:lvlJc w:val="right"/>
      <w:pPr>
        <w:ind w:left="15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24F1E9E"/>
    <w:multiLevelType w:val="hybridMultilevel"/>
    <w:tmpl w:val="F6E07A62"/>
    <w:lvl w:ilvl="0" w:tplc="0C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6" w15:restartNumberingAfterBreak="0">
    <w:nsid w:val="783E2AA9"/>
    <w:multiLevelType w:val="hybridMultilevel"/>
    <w:tmpl w:val="949CBB90"/>
    <w:lvl w:ilvl="0" w:tplc="0C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num w:numId="1" w16cid:durableId="75980409">
    <w:abstractNumId w:val="7"/>
  </w:num>
  <w:num w:numId="2" w16cid:durableId="262962025">
    <w:abstractNumId w:val="20"/>
  </w:num>
  <w:num w:numId="3" w16cid:durableId="1053697131">
    <w:abstractNumId w:val="22"/>
  </w:num>
  <w:num w:numId="4" w16cid:durableId="1354645705">
    <w:abstractNumId w:val="18"/>
  </w:num>
  <w:num w:numId="5" w16cid:durableId="1451361328">
    <w:abstractNumId w:val="5"/>
  </w:num>
  <w:num w:numId="6" w16cid:durableId="1140460758">
    <w:abstractNumId w:val="11"/>
  </w:num>
  <w:num w:numId="7" w16cid:durableId="458762173">
    <w:abstractNumId w:val="15"/>
  </w:num>
  <w:num w:numId="8" w16cid:durableId="936137538">
    <w:abstractNumId w:val="8"/>
  </w:num>
  <w:num w:numId="9" w16cid:durableId="950818772">
    <w:abstractNumId w:val="6"/>
  </w:num>
  <w:num w:numId="10" w16cid:durableId="1946691078">
    <w:abstractNumId w:val="25"/>
  </w:num>
  <w:num w:numId="11" w16cid:durableId="507674251">
    <w:abstractNumId w:val="12"/>
  </w:num>
  <w:num w:numId="12" w16cid:durableId="1070234023">
    <w:abstractNumId w:val="21"/>
  </w:num>
  <w:num w:numId="13" w16cid:durableId="1279603537">
    <w:abstractNumId w:val="26"/>
  </w:num>
  <w:num w:numId="14" w16cid:durableId="924149011">
    <w:abstractNumId w:val="23"/>
  </w:num>
  <w:num w:numId="15" w16cid:durableId="1526286797">
    <w:abstractNumId w:val="14"/>
  </w:num>
  <w:num w:numId="16" w16cid:durableId="995449274">
    <w:abstractNumId w:val="9"/>
  </w:num>
  <w:num w:numId="17" w16cid:durableId="28999271">
    <w:abstractNumId w:val="13"/>
  </w:num>
  <w:num w:numId="18" w16cid:durableId="1097170425">
    <w:abstractNumId w:val="19"/>
  </w:num>
  <w:num w:numId="19" w16cid:durableId="2132966664">
    <w:abstractNumId w:val="16"/>
  </w:num>
  <w:num w:numId="20" w16cid:durableId="1506633478">
    <w:abstractNumId w:val="10"/>
  </w:num>
  <w:num w:numId="21" w16cid:durableId="511603634">
    <w:abstractNumId w:val="24"/>
  </w:num>
  <w:num w:numId="22" w16cid:durableId="1662081133">
    <w:abstractNumId w:val="17"/>
  </w:num>
  <w:num w:numId="23" w16cid:durableId="1174762853">
    <w:abstractNumId w:val="4"/>
  </w:num>
  <w:num w:numId="24" w16cid:durableId="1903252815">
    <w:abstractNumId w:val="2"/>
  </w:num>
  <w:num w:numId="25" w16cid:durableId="293218934">
    <w:abstractNumId w:val="1"/>
  </w:num>
  <w:num w:numId="26" w16cid:durableId="745031812">
    <w:abstractNumId w:val="1"/>
  </w:num>
  <w:num w:numId="27" w16cid:durableId="53479375">
    <w:abstractNumId w:val="1"/>
    <w:lvlOverride w:ilvl="0">
      <w:startOverride w:val="1"/>
    </w:lvlOverride>
  </w:num>
  <w:num w:numId="28" w16cid:durableId="970281128">
    <w:abstractNumId w:val="1"/>
  </w:num>
  <w:num w:numId="29" w16cid:durableId="1910724539">
    <w:abstractNumId w:val="0"/>
  </w:num>
  <w:num w:numId="30" w16cid:durableId="123693899">
    <w:abstractNumId w:val="0"/>
    <w:lvlOverride w:ilvl="0">
      <w:startOverride w:val="1"/>
    </w:lvlOverride>
  </w:num>
  <w:num w:numId="31" w16cid:durableId="1757246720">
    <w:abstractNumId w:val="0"/>
    <w:lvlOverride w:ilvl="0">
      <w:startOverride w:val="1"/>
    </w:lvlOverride>
  </w:num>
  <w:num w:numId="32" w16cid:durableId="1512068833">
    <w:abstractNumId w:val="0"/>
    <w:lvlOverride w:ilvl="0">
      <w:startOverride w:val="1"/>
    </w:lvlOverride>
  </w:num>
  <w:num w:numId="33" w16cid:durableId="998966339">
    <w:abstractNumId w:val="0"/>
    <w:lvlOverride w:ilvl="0">
      <w:startOverride w:val="1"/>
    </w:lvlOverride>
  </w:num>
  <w:num w:numId="34" w16cid:durableId="2129860399">
    <w:abstractNumId w:val="3"/>
  </w:num>
  <w:num w:numId="35" w16cid:durableId="769931761">
    <w:abstractNumId w:val="3"/>
    <w:lvlOverride w:ilvl="0">
      <w:startOverride w:val="1"/>
    </w:lvlOverride>
  </w:num>
  <w:num w:numId="36" w16cid:durableId="55446588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36A"/>
    <w:rsid w:val="00003D5B"/>
    <w:rsid w:val="00006BDB"/>
    <w:rsid w:val="00011B6A"/>
    <w:rsid w:val="000124C7"/>
    <w:rsid w:val="00020F7D"/>
    <w:rsid w:val="00056E91"/>
    <w:rsid w:val="00066AE9"/>
    <w:rsid w:val="00071A20"/>
    <w:rsid w:val="00072F80"/>
    <w:rsid w:val="00077DD3"/>
    <w:rsid w:val="000814BB"/>
    <w:rsid w:val="000827C4"/>
    <w:rsid w:val="0009432D"/>
    <w:rsid w:val="000A3BD8"/>
    <w:rsid w:val="000B331D"/>
    <w:rsid w:val="000B6ADD"/>
    <w:rsid w:val="000C6D39"/>
    <w:rsid w:val="000C7107"/>
    <w:rsid w:val="000C7870"/>
    <w:rsid w:val="000D39EF"/>
    <w:rsid w:val="000E1474"/>
    <w:rsid w:val="000E47C6"/>
    <w:rsid w:val="000E5C80"/>
    <w:rsid w:val="00105F74"/>
    <w:rsid w:val="00107157"/>
    <w:rsid w:val="00113549"/>
    <w:rsid w:val="001156CC"/>
    <w:rsid w:val="00121807"/>
    <w:rsid w:val="00125121"/>
    <w:rsid w:val="001274A6"/>
    <w:rsid w:val="001348DB"/>
    <w:rsid w:val="0014246A"/>
    <w:rsid w:val="00147078"/>
    <w:rsid w:val="001651A2"/>
    <w:rsid w:val="001666D3"/>
    <w:rsid w:val="00177BCA"/>
    <w:rsid w:val="00187BC7"/>
    <w:rsid w:val="00197C2A"/>
    <w:rsid w:val="001A4D78"/>
    <w:rsid w:val="001A5A25"/>
    <w:rsid w:val="001D3133"/>
    <w:rsid w:val="001E6AEE"/>
    <w:rsid w:val="001E7F1C"/>
    <w:rsid w:val="001F1251"/>
    <w:rsid w:val="001F1D22"/>
    <w:rsid w:val="001F2494"/>
    <w:rsid w:val="001F64E2"/>
    <w:rsid w:val="0021358D"/>
    <w:rsid w:val="0022376B"/>
    <w:rsid w:val="00232726"/>
    <w:rsid w:val="00237CB7"/>
    <w:rsid w:val="002453E7"/>
    <w:rsid w:val="002646BA"/>
    <w:rsid w:val="00267952"/>
    <w:rsid w:val="00270023"/>
    <w:rsid w:val="002A1284"/>
    <w:rsid w:val="002A47ED"/>
    <w:rsid w:val="002A6DC1"/>
    <w:rsid w:val="002B1CE9"/>
    <w:rsid w:val="002D0F11"/>
    <w:rsid w:val="002D3277"/>
    <w:rsid w:val="002E0B7B"/>
    <w:rsid w:val="002F4DA2"/>
    <w:rsid w:val="0032050C"/>
    <w:rsid w:val="00324DF2"/>
    <w:rsid w:val="0033283F"/>
    <w:rsid w:val="00334ACB"/>
    <w:rsid w:val="0033665E"/>
    <w:rsid w:val="003370CD"/>
    <w:rsid w:val="00344665"/>
    <w:rsid w:val="00362AAF"/>
    <w:rsid w:val="0036336A"/>
    <w:rsid w:val="00372C0D"/>
    <w:rsid w:val="003B1253"/>
    <w:rsid w:val="003B3FDF"/>
    <w:rsid w:val="003D4AC1"/>
    <w:rsid w:val="003D70CD"/>
    <w:rsid w:val="003D7FC9"/>
    <w:rsid w:val="003E2584"/>
    <w:rsid w:val="0040442E"/>
    <w:rsid w:val="004067D5"/>
    <w:rsid w:val="00411235"/>
    <w:rsid w:val="00412181"/>
    <w:rsid w:val="004366B0"/>
    <w:rsid w:val="004616F8"/>
    <w:rsid w:val="00474088"/>
    <w:rsid w:val="0047416F"/>
    <w:rsid w:val="004A19F4"/>
    <w:rsid w:val="004A2614"/>
    <w:rsid w:val="004D1980"/>
    <w:rsid w:val="004D71B3"/>
    <w:rsid w:val="004E3BF9"/>
    <w:rsid w:val="004F2DD7"/>
    <w:rsid w:val="0050274C"/>
    <w:rsid w:val="005061D0"/>
    <w:rsid w:val="00511EEC"/>
    <w:rsid w:val="00516A19"/>
    <w:rsid w:val="005231B6"/>
    <w:rsid w:val="00525E1B"/>
    <w:rsid w:val="00534E6B"/>
    <w:rsid w:val="00542D28"/>
    <w:rsid w:val="00546E6A"/>
    <w:rsid w:val="005515FB"/>
    <w:rsid w:val="00561482"/>
    <w:rsid w:val="0058001D"/>
    <w:rsid w:val="00585860"/>
    <w:rsid w:val="005A280E"/>
    <w:rsid w:val="005C21A7"/>
    <w:rsid w:val="005C467E"/>
    <w:rsid w:val="005C6887"/>
    <w:rsid w:val="005D42B7"/>
    <w:rsid w:val="005D5F7F"/>
    <w:rsid w:val="005E170B"/>
    <w:rsid w:val="005E2790"/>
    <w:rsid w:val="005F4DEF"/>
    <w:rsid w:val="005F5BBD"/>
    <w:rsid w:val="005F7BF0"/>
    <w:rsid w:val="00613114"/>
    <w:rsid w:val="00631BED"/>
    <w:rsid w:val="00634CE1"/>
    <w:rsid w:val="00641B16"/>
    <w:rsid w:val="0064413D"/>
    <w:rsid w:val="00645212"/>
    <w:rsid w:val="00654A8B"/>
    <w:rsid w:val="00661246"/>
    <w:rsid w:val="0066291A"/>
    <w:rsid w:val="006629E2"/>
    <w:rsid w:val="0066343C"/>
    <w:rsid w:val="00665FB7"/>
    <w:rsid w:val="006702A6"/>
    <w:rsid w:val="00681F3B"/>
    <w:rsid w:val="00682AD2"/>
    <w:rsid w:val="006936BA"/>
    <w:rsid w:val="0069653A"/>
    <w:rsid w:val="006B58A8"/>
    <w:rsid w:val="006B607A"/>
    <w:rsid w:val="006C0545"/>
    <w:rsid w:val="006C6D60"/>
    <w:rsid w:val="006D2C21"/>
    <w:rsid w:val="006E6B3E"/>
    <w:rsid w:val="007053D7"/>
    <w:rsid w:val="00710289"/>
    <w:rsid w:val="00711DDC"/>
    <w:rsid w:val="00712C3F"/>
    <w:rsid w:val="007150F6"/>
    <w:rsid w:val="007509B3"/>
    <w:rsid w:val="00751835"/>
    <w:rsid w:val="00753800"/>
    <w:rsid w:val="00765D9E"/>
    <w:rsid w:val="00782454"/>
    <w:rsid w:val="007B1B59"/>
    <w:rsid w:val="007C7730"/>
    <w:rsid w:val="007D2AE7"/>
    <w:rsid w:val="007F7544"/>
    <w:rsid w:val="00813B72"/>
    <w:rsid w:val="00816BE5"/>
    <w:rsid w:val="00821DC1"/>
    <w:rsid w:val="00824FAC"/>
    <w:rsid w:val="008259D0"/>
    <w:rsid w:val="00833D84"/>
    <w:rsid w:val="00840DDD"/>
    <w:rsid w:val="008528BD"/>
    <w:rsid w:val="008B1520"/>
    <w:rsid w:val="008B21D3"/>
    <w:rsid w:val="008B52C5"/>
    <w:rsid w:val="008B5B99"/>
    <w:rsid w:val="008B6FB2"/>
    <w:rsid w:val="008D3ECA"/>
    <w:rsid w:val="008E201D"/>
    <w:rsid w:val="008E2907"/>
    <w:rsid w:val="00900282"/>
    <w:rsid w:val="00901AA8"/>
    <w:rsid w:val="00902D54"/>
    <w:rsid w:val="009041D6"/>
    <w:rsid w:val="009075C5"/>
    <w:rsid w:val="00955636"/>
    <w:rsid w:val="00971C92"/>
    <w:rsid w:val="00971CD0"/>
    <w:rsid w:val="00973BA0"/>
    <w:rsid w:val="009776DF"/>
    <w:rsid w:val="009962E8"/>
    <w:rsid w:val="009B2A75"/>
    <w:rsid w:val="009D2A23"/>
    <w:rsid w:val="009E3F1B"/>
    <w:rsid w:val="009F0D95"/>
    <w:rsid w:val="00A06EEC"/>
    <w:rsid w:val="00A11357"/>
    <w:rsid w:val="00A12BD2"/>
    <w:rsid w:val="00A16ACC"/>
    <w:rsid w:val="00A236A6"/>
    <w:rsid w:val="00A252C9"/>
    <w:rsid w:val="00A32DBE"/>
    <w:rsid w:val="00A36EEB"/>
    <w:rsid w:val="00A40530"/>
    <w:rsid w:val="00A45E9A"/>
    <w:rsid w:val="00A55722"/>
    <w:rsid w:val="00A7523F"/>
    <w:rsid w:val="00A7684D"/>
    <w:rsid w:val="00A7733D"/>
    <w:rsid w:val="00A85E53"/>
    <w:rsid w:val="00AB34CA"/>
    <w:rsid w:val="00AC3124"/>
    <w:rsid w:val="00AD7AC3"/>
    <w:rsid w:val="00AE0416"/>
    <w:rsid w:val="00AE088C"/>
    <w:rsid w:val="00AE305A"/>
    <w:rsid w:val="00AE3AA3"/>
    <w:rsid w:val="00B0168B"/>
    <w:rsid w:val="00B25842"/>
    <w:rsid w:val="00B304EC"/>
    <w:rsid w:val="00B36D71"/>
    <w:rsid w:val="00B675F9"/>
    <w:rsid w:val="00B81194"/>
    <w:rsid w:val="00B9782B"/>
    <w:rsid w:val="00BC0E28"/>
    <w:rsid w:val="00BC1D2E"/>
    <w:rsid w:val="00BE0EF5"/>
    <w:rsid w:val="00BE1B94"/>
    <w:rsid w:val="00BE20EA"/>
    <w:rsid w:val="00BF5416"/>
    <w:rsid w:val="00BF6142"/>
    <w:rsid w:val="00C56697"/>
    <w:rsid w:val="00C733DA"/>
    <w:rsid w:val="00C860AE"/>
    <w:rsid w:val="00C86267"/>
    <w:rsid w:val="00C90D86"/>
    <w:rsid w:val="00CB0EC8"/>
    <w:rsid w:val="00CB1357"/>
    <w:rsid w:val="00CC4BF6"/>
    <w:rsid w:val="00CC4C86"/>
    <w:rsid w:val="00CC6885"/>
    <w:rsid w:val="00CE6C0E"/>
    <w:rsid w:val="00CF2E56"/>
    <w:rsid w:val="00D15FC3"/>
    <w:rsid w:val="00D21408"/>
    <w:rsid w:val="00D22655"/>
    <w:rsid w:val="00D3513F"/>
    <w:rsid w:val="00D508B4"/>
    <w:rsid w:val="00D62B5D"/>
    <w:rsid w:val="00D677F9"/>
    <w:rsid w:val="00D85D05"/>
    <w:rsid w:val="00D86E33"/>
    <w:rsid w:val="00D905DF"/>
    <w:rsid w:val="00DB57D6"/>
    <w:rsid w:val="00DB6AA3"/>
    <w:rsid w:val="00DC203E"/>
    <w:rsid w:val="00DE3261"/>
    <w:rsid w:val="00DE5572"/>
    <w:rsid w:val="00E07230"/>
    <w:rsid w:val="00E10A3F"/>
    <w:rsid w:val="00E2484A"/>
    <w:rsid w:val="00E3731C"/>
    <w:rsid w:val="00E6116F"/>
    <w:rsid w:val="00E77E97"/>
    <w:rsid w:val="00E807C0"/>
    <w:rsid w:val="00E82954"/>
    <w:rsid w:val="00E912C1"/>
    <w:rsid w:val="00EB7B36"/>
    <w:rsid w:val="00EC35CB"/>
    <w:rsid w:val="00ED4018"/>
    <w:rsid w:val="00EE2E01"/>
    <w:rsid w:val="00EE5728"/>
    <w:rsid w:val="00F04BFF"/>
    <w:rsid w:val="00F146C9"/>
    <w:rsid w:val="00F15596"/>
    <w:rsid w:val="00F15755"/>
    <w:rsid w:val="00F15AB4"/>
    <w:rsid w:val="00F221DF"/>
    <w:rsid w:val="00F46D5C"/>
    <w:rsid w:val="00F46E91"/>
    <w:rsid w:val="00F50050"/>
    <w:rsid w:val="00F53010"/>
    <w:rsid w:val="00F55CEE"/>
    <w:rsid w:val="00F57220"/>
    <w:rsid w:val="00F61836"/>
    <w:rsid w:val="00F65803"/>
    <w:rsid w:val="00F6760A"/>
    <w:rsid w:val="00F67C48"/>
    <w:rsid w:val="00F718D9"/>
    <w:rsid w:val="00F763B4"/>
    <w:rsid w:val="00FA05AA"/>
    <w:rsid w:val="00FC595B"/>
    <w:rsid w:val="00FD241D"/>
    <w:rsid w:val="00FD28A9"/>
    <w:rsid w:val="00FE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18D68B"/>
  <w15:docId w15:val="{5211AD2D-825F-4315-9BAB-059F3DF96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AC3"/>
    <w:pPr>
      <w:spacing w:before="120" w:after="120"/>
    </w:pPr>
    <w:rPr>
      <w:rFonts w:eastAsia="Arial" w:cs="Arial"/>
      <w:lang w:bidi="en-US"/>
    </w:rPr>
  </w:style>
  <w:style w:type="paragraph" w:styleId="Heading1">
    <w:name w:val="heading 1"/>
    <w:basedOn w:val="Normal"/>
    <w:uiPriority w:val="9"/>
    <w:qFormat/>
    <w:rsid w:val="008B1520"/>
    <w:pPr>
      <w:spacing w:before="240"/>
      <w:outlineLvl w:val="0"/>
    </w:pPr>
    <w:rPr>
      <w:rFonts w:ascii="Arial" w:hAnsi="Arial"/>
      <w:b/>
      <w:color w:val="215868" w:themeColor="accent5" w:themeShade="80"/>
      <w:sz w:val="32"/>
      <w:szCs w:val="27"/>
    </w:rPr>
  </w:style>
  <w:style w:type="paragraph" w:styleId="Heading2">
    <w:name w:val="heading 2"/>
    <w:basedOn w:val="Heading1"/>
    <w:uiPriority w:val="9"/>
    <w:unhideWhenUsed/>
    <w:qFormat/>
    <w:rsid w:val="008B1520"/>
    <w:pPr>
      <w:spacing w:before="120"/>
      <w:outlineLvl w:val="1"/>
    </w:pPr>
    <w:rPr>
      <w:rFonts w:eastAsia="Arial Black" w:cs="Arial Black"/>
      <w:bCs/>
      <w:sz w:val="24"/>
      <w:szCs w:val="17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B7B36"/>
    <w:pPr>
      <w:keepNext/>
      <w:keepLines/>
      <w:spacing w:before="40" w:after="0"/>
      <w:outlineLvl w:val="2"/>
    </w:pPr>
    <w:rPr>
      <w:rFonts w:asciiTheme="minorHAnsi" w:eastAsiaTheme="majorEastAsia" w:hAnsiTheme="minorHAnsi" w:cstheme="majorBidi"/>
      <w:b w:val="0"/>
      <w:sz w:val="28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EB7B36"/>
    <w:pPr>
      <w:outlineLvl w:val="3"/>
    </w:pPr>
    <w:rPr>
      <w:b/>
      <w:iCs/>
      <w:color w:val="auto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B7B36"/>
    <w:rPr>
      <w:rFonts w:eastAsiaTheme="majorEastAsia" w:cstheme="majorBidi"/>
      <w:bCs/>
      <w:color w:val="31849B" w:themeColor="accent5" w:themeShade="BF"/>
      <w:sz w:val="28"/>
      <w:szCs w:val="24"/>
      <w:lang w:bidi="en-US"/>
    </w:rPr>
  </w:style>
  <w:style w:type="paragraph" w:styleId="ListParagraph">
    <w:name w:val="List Paragraph"/>
    <w:aliases w:val="BulletPoints,Numbered para,Body Text Bullet Points,List Paragraph1,Bullet point,List Paragraph11,Recommendation,Section heading,Footnote,Bullet List,PBAC ES Paragraph,ES Paragraph,PBAC normal points,Bullet 1,Bullet1,Summary Bullets,lp1"/>
    <w:basedOn w:val="Normal"/>
    <w:link w:val="ListParagraphChar"/>
    <w:uiPriority w:val="34"/>
    <w:qFormat/>
    <w:pPr>
      <w:spacing w:before="87"/>
      <w:ind w:left="320" w:right="1527" w:hanging="170"/>
    </w:pPr>
  </w:style>
  <w:style w:type="paragraph" w:customStyle="1" w:styleId="TableParagraph">
    <w:name w:val="Table Paragraph"/>
    <w:uiPriority w:val="1"/>
    <w:qFormat/>
    <w:rsid w:val="006B58A8"/>
    <w:pPr>
      <w:spacing w:before="100" w:beforeAutospacing="1" w:after="100" w:afterAutospacing="1"/>
      <w:contextualSpacing/>
    </w:pPr>
    <w:rPr>
      <w:rFonts w:eastAsia="Arial" w:cs="Arial"/>
      <w:sz w:val="19"/>
      <w:lang w:bidi="en-US"/>
    </w:rPr>
  </w:style>
  <w:style w:type="character" w:styleId="Hyperlink">
    <w:name w:val="Hyperlink"/>
    <w:basedOn w:val="DefaultParagraphFont"/>
    <w:uiPriority w:val="99"/>
    <w:unhideWhenUsed/>
    <w:rsid w:val="00A12BD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2BD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858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5860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858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5860"/>
    <w:rPr>
      <w:rFonts w:ascii="Arial" w:eastAsia="Arial" w:hAnsi="Arial" w:cs="Arial"/>
      <w:lang w:bidi="en-US"/>
    </w:rPr>
  </w:style>
  <w:style w:type="paragraph" w:styleId="Revision">
    <w:name w:val="Revision"/>
    <w:hidden/>
    <w:uiPriority w:val="99"/>
    <w:semiHidden/>
    <w:rsid w:val="000E5C80"/>
    <w:pPr>
      <w:widowControl/>
      <w:autoSpaceDE/>
      <w:autoSpaceDN/>
    </w:pPr>
    <w:rPr>
      <w:rFonts w:ascii="Arial" w:eastAsia="Arial" w:hAnsi="Arial" w:cs="Arial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557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57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5722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7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722"/>
    <w:rPr>
      <w:rFonts w:ascii="Arial" w:eastAsia="Arial" w:hAnsi="Arial" w:cs="Arial"/>
      <w:b/>
      <w:bCs/>
      <w:sz w:val="20"/>
      <w:szCs w:val="20"/>
      <w:lang w:bidi="en-US"/>
    </w:rPr>
  </w:style>
  <w:style w:type="character" w:customStyle="1" w:styleId="ListParagraphChar">
    <w:name w:val="List Paragraph Char"/>
    <w:aliases w:val="BulletPoints Char,Numbered para Char,Body Text Bullet Points Char,List Paragraph1 Char,Bullet point Char,List Paragraph11 Char,Recommendation Char,Section heading Char,Footnote Char,Bullet List Char,PBAC ES Paragraph Char,lp1 Char"/>
    <w:basedOn w:val="DefaultParagraphFont"/>
    <w:link w:val="ListParagraph"/>
    <w:uiPriority w:val="34"/>
    <w:qFormat/>
    <w:locked/>
    <w:rsid w:val="0047416F"/>
    <w:rPr>
      <w:rFonts w:ascii="Arial" w:eastAsia="Arial" w:hAnsi="Arial" w:cs="Arial"/>
      <w:lang w:bidi="en-US"/>
    </w:rPr>
  </w:style>
  <w:style w:type="paragraph" w:customStyle="1" w:styleId="Tabletext">
    <w:name w:val="Table text"/>
    <w:basedOn w:val="Normal"/>
    <w:link w:val="TabletextChar"/>
    <w:uiPriority w:val="2"/>
    <w:qFormat/>
    <w:rsid w:val="0047416F"/>
    <w:pPr>
      <w:widowControl/>
      <w:autoSpaceDE/>
      <w:autoSpaceDN/>
    </w:pPr>
    <w:rPr>
      <w:rFonts w:ascii="Arial Narrow" w:eastAsia="Times New Roman" w:hAnsi="Arial Narrow" w:cs="Times New Roman"/>
      <w:snapToGrid w:val="0"/>
      <w:sz w:val="20"/>
      <w:szCs w:val="24"/>
      <w:lang w:val="en-AU" w:eastAsia="en-AU" w:bidi="ar-SA"/>
    </w:rPr>
  </w:style>
  <w:style w:type="character" w:customStyle="1" w:styleId="TabletextChar">
    <w:name w:val="Table text Char"/>
    <w:link w:val="Tabletext"/>
    <w:uiPriority w:val="2"/>
    <w:rsid w:val="0047416F"/>
    <w:rPr>
      <w:rFonts w:ascii="Arial Narrow" w:eastAsia="Times New Roman" w:hAnsi="Arial Narrow" w:cs="Times New Roman"/>
      <w:snapToGrid w:val="0"/>
      <w:sz w:val="20"/>
      <w:szCs w:val="24"/>
      <w:lang w:val="en-AU" w:eastAsia="en-AU"/>
    </w:rPr>
  </w:style>
  <w:style w:type="paragraph" w:styleId="FootnoteText">
    <w:name w:val="footnote text"/>
    <w:basedOn w:val="Normal"/>
    <w:link w:val="FootnoteTextChar"/>
    <w:uiPriority w:val="99"/>
    <w:unhideWhenUsed/>
    <w:rsid w:val="00AD7AC3"/>
    <w:pPr>
      <w:spacing w:after="0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D7AC3"/>
    <w:rPr>
      <w:rFonts w:eastAsia="Arial" w:cs="Arial"/>
      <w:sz w:val="18"/>
      <w:szCs w:val="20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51835"/>
    <w:rPr>
      <w:color w:val="800080" w:themeColor="followedHyperlink"/>
      <w:u w:val="single"/>
    </w:rPr>
  </w:style>
  <w:style w:type="paragraph" w:styleId="ListBullet">
    <w:name w:val="List Bullet"/>
    <w:basedOn w:val="Normal"/>
    <w:uiPriority w:val="99"/>
    <w:unhideWhenUsed/>
    <w:rsid w:val="0058001D"/>
    <w:pPr>
      <w:numPr>
        <w:numId w:val="23"/>
      </w:numPr>
      <w:tabs>
        <w:tab w:val="clear" w:pos="360"/>
      </w:tabs>
      <w:spacing w:before="0" w:after="0"/>
      <w:ind w:left="527" w:hanging="357"/>
      <w:contextualSpacing/>
    </w:pPr>
  </w:style>
  <w:style w:type="paragraph" w:styleId="ListBullet2">
    <w:name w:val="List Bullet 2"/>
    <w:basedOn w:val="ListBullet"/>
    <w:uiPriority w:val="99"/>
    <w:unhideWhenUsed/>
    <w:rsid w:val="0058001D"/>
    <w:pPr>
      <w:numPr>
        <w:numId w:val="24"/>
      </w:numPr>
      <w:spacing w:before="60" w:after="60"/>
      <w:ind w:left="1134" w:hanging="357"/>
    </w:pPr>
  </w:style>
  <w:style w:type="paragraph" w:styleId="TableofAuthorities">
    <w:name w:val="table of authorities"/>
    <w:basedOn w:val="TableParagraph"/>
    <w:next w:val="Normal"/>
    <w:uiPriority w:val="99"/>
    <w:unhideWhenUsed/>
    <w:rsid w:val="00EB7B36"/>
    <w:pPr>
      <w:spacing w:after="0"/>
      <w:ind w:left="240" w:hanging="240"/>
    </w:pPr>
    <w:rPr>
      <w:b/>
    </w:rPr>
  </w:style>
  <w:style w:type="table" w:styleId="GridTable1Light-Accent5">
    <w:name w:val="Grid Table 1 Light Accent 5"/>
    <w:basedOn w:val="TableNormal"/>
    <w:uiPriority w:val="46"/>
    <w:rsid w:val="00EB7B3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009AA2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Grid">
    <w:name w:val="Table Grid"/>
    <w:basedOn w:val="TableNormal"/>
    <w:rsid w:val="00EB7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B7B36"/>
    <w:rPr>
      <w:rFonts w:ascii="Arial Black" w:hAnsi="Arial Black" w:cstheme="minorHAnsi"/>
      <w:b/>
      <w:color w:val="692874"/>
      <w:spacing w:val="-7"/>
      <w:sz w:val="36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EB7B36"/>
    <w:rPr>
      <w:rFonts w:ascii="Arial Black" w:eastAsia="Arial" w:hAnsi="Arial Black" w:cstheme="minorHAnsi"/>
      <w:b/>
      <w:color w:val="692874"/>
      <w:spacing w:val="-7"/>
      <w:sz w:val="36"/>
      <w:szCs w:val="20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7B36"/>
    <w:pPr>
      <w:spacing w:before="70" w:line="228" w:lineRule="auto"/>
      <w:ind w:left="27" w:right="50"/>
    </w:pPr>
    <w:rPr>
      <w:rFonts w:ascii="Arial Black" w:hAnsi="Arial Black" w:cstheme="minorHAnsi"/>
      <w:b/>
      <w:color w:val="009AA2"/>
      <w:spacing w:val="-7"/>
      <w:w w:val="95"/>
      <w:sz w:val="32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EB7B36"/>
    <w:rPr>
      <w:rFonts w:ascii="Arial Black" w:eastAsia="Arial" w:hAnsi="Arial Black" w:cstheme="minorHAnsi"/>
      <w:b/>
      <w:color w:val="009AA2"/>
      <w:spacing w:val="-7"/>
      <w:w w:val="95"/>
      <w:sz w:val="32"/>
      <w:szCs w:val="20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EB7B36"/>
    <w:rPr>
      <w:rFonts w:eastAsiaTheme="majorEastAsia" w:cstheme="majorBidi"/>
      <w:b/>
      <w:bCs/>
      <w:iCs/>
      <w:sz w:val="23"/>
      <w:szCs w:val="24"/>
      <w:lang w:bidi="en-US"/>
    </w:rPr>
  </w:style>
  <w:style w:type="paragraph" w:styleId="ListNumber2">
    <w:name w:val="List Number 2"/>
    <w:basedOn w:val="Normal"/>
    <w:uiPriority w:val="99"/>
    <w:unhideWhenUsed/>
    <w:rsid w:val="00EE2E01"/>
    <w:pPr>
      <w:numPr>
        <w:numId w:val="25"/>
      </w:numPr>
      <w:spacing w:before="0" w:after="0"/>
      <w:ind w:left="641" w:hanging="357"/>
      <w:contextualSpacing/>
    </w:pPr>
  </w:style>
  <w:style w:type="paragraph" w:styleId="ListNumber3">
    <w:name w:val="List Number 3"/>
    <w:basedOn w:val="Normal"/>
    <w:uiPriority w:val="99"/>
    <w:unhideWhenUsed/>
    <w:rsid w:val="00EE2E01"/>
    <w:pPr>
      <w:numPr>
        <w:numId w:val="29"/>
      </w:numPr>
      <w:spacing w:before="0" w:after="0"/>
      <w:ind w:left="1661" w:hanging="357"/>
      <w:contextualSpacing/>
    </w:pPr>
  </w:style>
  <w:style w:type="paragraph" w:styleId="ListNumber">
    <w:name w:val="List Number"/>
    <w:basedOn w:val="Normal"/>
    <w:uiPriority w:val="99"/>
    <w:unhideWhenUsed/>
    <w:rsid w:val="00EE2E01"/>
    <w:pPr>
      <w:numPr>
        <w:numId w:val="34"/>
      </w:numPr>
      <w:spacing w:before="0" w:after="0"/>
      <w:ind w:left="1321" w:hanging="357"/>
      <w:contextualSpacing/>
    </w:pPr>
  </w:style>
  <w:style w:type="character" w:styleId="Emphasis">
    <w:name w:val="Emphasis"/>
    <w:basedOn w:val="DefaultParagraphFont"/>
    <w:uiPriority w:val="20"/>
    <w:qFormat/>
    <w:rsid w:val="00EE2E0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FD241D"/>
    <w:rPr>
      <w:b/>
      <w:i/>
      <w:iCs/>
    </w:rPr>
  </w:style>
  <w:style w:type="table" w:styleId="TableGridLight">
    <w:name w:val="Grid Table Light"/>
    <w:basedOn w:val="TableNormal"/>
    <w:uiPriority w:val="40"/>
    <w:rsid w:val="00EE2E0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6B58A8"/>
    <w:rPr>
      <w:b/>
      <w:bCs/>
    </w:rPr>
  </w:style>
  <w:style w:type="paragraph" w:customStyle="1" w:styleId="Normalunderline">
    <w:name w:val="Normal (underline)"/>
    <w:basedOn w:val="Normal"/>
    <w:link w:val="NormalunderlineChar"/>
    <w:qFormat/>
    <w:rsid w:val="008B1520"/>
    <w:pPr>
      <w:pBdr>
        <w:bottom w:val="single" w:sz="4" w:space="1" w:color="31849B" w:themeColor="accent5" w:themeShade="BF"/>
      </w:pBdr>
    </w:pPr>
    <w:rPr>
      <w:color w:val="215868" w:themeColor="accent5" w:themeShade="80"/>
    </w:rPr>
  </w:style>
  <w:style w:type="character" w:customStyle="1" w:styleId="NormalunderlineChar">
    <w:name w:val="Normal (underline) Char"/>
    <w:basedOn w:val="DefaultParagraphFont"/>
    <w:link w:val="Normalunderline"/>
    <w:rsid w:val="008B1520"/>
    <w:rPr>
      <w:rFonts w:eastAsia="Arial" w:cs="Arial"/>
      <w:color w:val="215868" w:themeColor="accent5" w:themeShade="8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health.gov.au/topics/immunisation/immunisation-information-for-health-professionals/reporting-and-managing-adverse-vaccination-event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ems.tga.gov.a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ealth.gov.au/shield-yourself-from-shingl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health.gov.au/topics/immunisation/immunisation-information-for-health-professionals" TargetMode="External"/><Relationship Id="rId10" Type="http://schemas.openxmlformats.org/officeDocument/2006/relationships/hyperlink" Target="https://www.health.gov.au/resources/collections/shield-yourself-from-shingles-resources-collection?language=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mmunisationhandbook.health.gov.au/contents/vaccine-preventable-diseases/zoster-herpes-zoster" TargetMode="External"/><Relationship Id="rId14" Type="http://schemas.openxmlformats.org/officeDocument/2006/relationships/hyperlink" Target="https://immunisationhandbook.health.gov.au/contents/vaccine-preventable-diseases/zoster-herpes-zos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54678-2319-4BB5-A1E1-9A252C49D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934</Words>
  <Characters>5629</Characters>
  <Application>Microsoft Office Word</Application>
  <DocSecurity>0</DocSecurity>
  <Lines>165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Immunisation Program – Shingles program advice for vaccination providers</vt:lpstr>
    </vt:vector>
  </TitlesOfParts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Immunisation Program – Shingles program advice for vaccination providers</dc:title>
  <dc:subject>Immunisation</dc:subject>
  <dc:creator>Australian Government Department of Health and Aged Care</dc:creator>
  <cp:keywords>Shingles; Vaccination; National Immunisation Program</cp:keywords>
  <cp:lastModifiedBy>MASCHKE, Elvia</cp:lastModifiedBy>
  <cp:revision>4</cp:revision>
  <cp:lastPrinted>2023-10-05T04:40:00Z</cp:lastPrinted>
  <dcterms:created xsi:type="dcterms:W3CDTF">2024-11-11T21:27:00Z</dcterms:created>
  <dcterms:modified xsi:type="dcterms:W3CDTF">2024-11-11T21:31:00Z</dcterms:modified>
</cp:coreProperties>
</file>