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63A84" w14:textId="7DC7173D" w:rsidR="0039143F" w:rsidRPr="00567629" w:rsidRDefault="0039143F" w:rsidP="008D32F9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77021818" w14:textId="372F1A80" w:rsidR="0094711F" w:rsidRPr="00567629" w:rsidRDefault="00E47EAB" w:rsidP="00E47EAB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567629">
        <w:rPr>
          <w:rFonts w:ascii="Calibri" w:hAnsi="Calibri" w:cs="Calibri"/>
        </w:rPr>
        <w:br/>
      </w:r>
    </w:p>
    <w:p w14:paraId="7E0A1F7E" w14:textId="47B1C71C" w:rsidR="007357AF" w:rsidRPr="00567629" w:rsidRDefault="00E47EAB" w:rsidP="00E47EAB">
      <w:pPr>
        <w:spacing w:after="0" w:line="240" w:lineRule="auto"/>
        <w:jc w:val="center"/>
        <w:rPr>
          <w:rFonts w:ascii="Calibri" w:eastAsia="Calibri" w:hAnsi="Calibri" w:cs="Calibri"/>
          <w:sz w:val="22"/>
          <w:szCs w:val="22"/>
        </w:rPr>
      </w:pPr>
      <w:r w:rsidRPr="00567629">
        <w:rPr>
          <w:rFonts w:ascii="Calibri" w:eastAsia="Calibri" w:hAnsi="Calibri" w:cs="Calibri"/>
          <w:b/>
        </w:rPr>
        <w:t xml:space="preserve">COVID-19 </w:t>
      </w:r>
      <w:r w:rsidR="0094711F" w:rsidRPr="00567629">
        <w:rPr>
          <w:rFonts w:ascii="Calibri" w:eastAsia="Calibri" w:hAnsi="Calibri" w:cs="Calibri"/>
          <w:b/>
          <w:bCs/>
        </w:rPr>
        <w:t>v</w:t>
      </w:r>
      <w:r w:rsidRPr="00567629">
        <w:rPr>
          <w:rFonts w:ascii="Calibri" w:eastAsia="Calibri" w:hAnsi="Calibri" w:cs="Calibri"/>
          <w:b/>
          <w:bCs/>
        </w:rPr>
        <w:t>accinations</w:t>
      </w:r>
      <w:r w:rsidRPr="00567629">
        <w:rPr>
          <w:rFonts w:ascii="Calibri" w:eastAsia="Calibri" w:hAnsi="Calibri" w:cs="Calibri"/>
          <w:b/>
        </w:rPr>
        <w:t xml:space="preserve"> ahead of the festive season</w:t>
      </w:r>
      <w:r w:rsidR="0039143F" w:rsidRPr="00567629">
        <w:rPr>
          <w:rFonts w:ascii="Calibri" w:eastAsia="Calibri" w:hAnsi="Calibri" w:cs="Calibri"/>
          <w:sz w:val="22"/>
          <w:szCs w:val="22"/>
        </w:rPr>
        <w:br/>
      </w:r>
    </w:p>
    <w:p w14:paraId="00CA0B52" w14:textId="2D960D17" w:rsidR="00EF1F34" w:rsidRPr="00567629" w:rsidRDefault="0094711F" w:rsidP="00EF1F34">
      <w:pPr>
        <w:spacing w:line="259" w:lineRule="auto"/>
        <w:rPr>
          <w:rFonts w:ascii="Calibri" w:hAnsi="Calibri" w:cs="Calibri"/>
        </w:rPr>
      </w:pPr>
      <w:r w:rsidRPr="00567629">
        <w:rPr>
          <w:rFonts w:ascii="Calibri" w:hAnsi="Calibri" w:cs="Calibri"/>
          <w:b/>
          <w:bCs/>
        </w:rPr>
        <w:br/>
      </w:r>
      <w:r w:rsidR="00EF1F34" w:rsidRPr="00567629">
        <w:rPr>
          <w:rFonts w:ascii="Calibri" w:hAnsi="Calibri" w:cs="Calibri"/>
        </w:rPr>
        <w:t>Dear Aged Care Providers</w:t>
      </w:r>
      <w:r w:rsidRPr="00567629">
        <w:rPr>
          <w:rFonts w:ascii="Calibri" w:hAnsi="Calibri" w:cs="Calibri"/>
        </w:rPr>
        <w:t>,</w:t>
      </w:r>
    </w:p>
    <w:p w14:paraId="62210ACD" w14:textId="77777777" w:rsidR="00EF1F34" w:rsidRPr="00567629" w:rsidRDefault="00EF1F34" w:rsidP="00EF1F34">
      <w:pPr>
        <w:rPr>
          <w:rFonts w:ascii="Calibri" w:hAnsi="Calibri" w:cs="Calibri"/>
        </w:rPr>
      </w:pPr>
      <w:r w:rsidRPr="00567629">
        <w:rPr>
          <w:rFonts w:ascii="Calibri" w:hAnsi="Calibri" w:cs="Calibri"/>
        </w:rPr>
        <w:t xml:space="preserve">Thank you for your continued support and commitment to delivering safe, quality care to older Australians. </w:t>
      </w:r>
    </w:p>
    <w:p w14:paraId="22797E9F" w14:textId="5B60BE7B" w:rsidR="00755574" w:rsidRPr="00567629" w:rsidRDefault="00317736" w:rsidP="00F42B6F">
      <w:pPr>
        <w:ind w:right="-57"/>
        <w:rPr>
          <w:rFonts w:ascii="Calibri" w:hAnsi="Calibri" w:cs="Calibri"/>
        </w:rPr>
      </w:pPr>
      <w:r w:rsidRPr="00567629">
        <w:rPr>
          <w:rFonts w:ascii="Calibri" w:hAnsi="Calibri" w:cs="Calibri"/>
        </w:rPr>
        <w:t xml:space="preserve">Older age is still the biggest risk factor for severe COVID-19. Over the festive season there will be an increase in travel and visits from family and friends to your homes. This often leads to a rise in COVID-19 cases amongst staff and residents. </w:t>
      </w:r>
      <w:r w:rsidR="00431E77" w:rsidRPr="00567629">
        <w:rPr>
          <w:rFonts w:ascii="Calibri" w:hAnsi="Calibri" w:cs="Calibri"/>
        </w:rPr>
        <w:t>I</w:t>
      </w:r>
      <w:r w:rsidR="00D15BB4" w:rsidRPr="00567629">
        <w:rPr>
          <w:rFonts w:ascii="Calibri" w:hAnsi="Calibri" w:cs="Calibri"/>
        </w:rPr>
        <w:t xml:space="preserve">t </w:t>
      </w:r>
      <w:r w:rsidR="477F686A" w:rsidRPr="00567629">
        <w:rPr>
          <w:rFonts w:ascii="Calibri" w:hAnsi="Calibri" w:cs="Calibri"/>
        </w:rPr>
        <w:t>is</w:t>
      </w:r>
      <w:r w:rsidR="00EF1F34" w:rsidRPr="00567629">
        <w:rPr>
          <w:rFonts w:ascii="Calibri" w:hAnsi="Calibri" w:cs="Calibri"/>
        </w:rPr>
        <w:t xml:space="preserve"> important to </w:t>
      </w:r>
      <w:r w:rsidR="5524AE30" w:rsidRPr="00567629">
        <w:rPr>
          <w:rFonts w:ascii="Calibri" w:hAnsi="Calibri" w:cs="Calibri"/>
        </w:rPr>
        <w:t xml:space="preserve">take steps to </w:t>
      </w:r>
      <w:r w:rsidR="00EF1F34" w:rsidRPr="00567629">
        <w:rPr>
          <w:rFonts w:ascii="Calibri" w:hAnsi="Calibri" w:cs="Calibri"/>
        </w:rPr>
        <w:t xml:space="preserve">protect those in your care. </w:t>
      </w:r>
      <w:r w:rsidR="1D93D60D" w:rsidRPr="00567629">
        <w:rPr>
          <w:rFonts w:ascii="Calibri" w:hAnsi="Calibri" w:cs="Calibri"/>
        </w:rPr>
        <w:t xml:space="preserve">Regular </w:t>
      </w:r>
      <w:r w:rsidR="00EF1F34" w:rsidRPr="00567629">
        <w:rPr>
          <w:rFonts w:ascii="Calibri" w:hAnsi="Calibri" w:cs="Calibri"/>
        </w:rPr>
        <w:t xml:space="preserve">COVID-19 vaccinations help </w:t>
      </w:r>
      <w:r w:rsidR="4504C827" w:rsidRPr="00567629">
        <w:rPr>
          <w:rFonts w:ascii="Calibri" w:hAnsi="Calibri" w:cs="Calibri"/>
        </w:rPr>
        <w:t xml:space="preserve">to </w:t>
      </w:r>
      <w:r w:rsidR="00EF1F34" w:rsidRPr="00567629">
        <w:rPr>
          <w:rFonts w:ascii="Calibri" w:hAnsi="Calibri" w:cs="Calibri"/>
        </w:rPr>
        <w:t xml:space="preserve">prevent serious illness and </w:t>
      </w:r>
      <w:r w:rsidR="2FA3D584" w:rsidRPr="00567629">
        <w:rPr>
          <w:rFonts w:ascii="Calibri" w:hAnsi="Calibri" w:cs="Calibri"/>
        </w:rPr>
        <w:t xml:space="preserve">unnecessary </w:t>
      </w:r>
      <w:r w:rsidR="00F334BC" w:rsidRPr="00567629">
        <w:rPr>
          <w:rFonts w:ascii="Calibri" w:hAnsi="Calibri" w:cs="Calibri"/>
        </w:rPr>
        <w:t>hospitalisations</w:t>
      </w:r>
      <w:r w:rsidR="2FA3D584" w:rsidRPr="00567629">
        <w:rPr>
          <w:rFonts w:ascii="Calibri" w:hAnsi="Calibri" w:cs="Calibri"/>
        </w:rPr>
        <w:t xml:space="preserve"> </w:t>
      </w:r>
      <w:r w:rsidR="00EF1F34" w:rsidRPr="00567629">
        <w:rPr>
          <w:rFonts w:ascii="Calibri" w:hAnsi="Calibri" w:cs="Calibri"/>
        </w:rPr>
        <w:t xml:space="preserve">among aged care residents. </w:t>
      </w:r>
    </w:p>
    <w:p w14:paraId="28A8354A" w14:textId="7B8028CC" w:rsidR="00EF1F34" w:rsidRPr="00567629" w:rsidRDefault="003526AD" w:rsidP="00EF1F34">
      <w:pPr>
        <w:rPr>
          <w:rFonts w:ascii="Calibri" w:hAnsi="Calibri" w:cs="Calibri"/>
        </w:rPr>
      </w:pPr>
      <w:r>
        <w:rPr>
          <w:rFonts w:ascii="Calibri" w:hAnsi="Calibri" w:cs="Calibri"/>
        </w:rPr>
        <w:t>Vaccination</w:t>
      </w:r>
      <w:r w:rsidR="00EF1F34" w:rsidRPr="00567629">
        <w:rPr>
          <w:rFonts w:ascii="Calibri" w:hAnsi="Calibri" w:cs="Calibri"/>
        </w:rPr>
        <w:t xml:space="preserve"> rates are </w:t>
      </w:r>
      <w:r>
        <w:rPr>
          <w:rFonts w:ascii="Calibri" w:hAnsi="Calibri" w:cs="Calibri"/>
        </w:rPr>
        <w:t xml:space="preserve">low </w:t>
      </w:r>
      <w:r w:rsidR="00EF1F34" w:rsidRPr="00567629">
        <w:rPr>
          <w:rFonts w:ascii="Calibri" w:hAnsi="Calibri" w:cs="Calibri"/>
        </w:rPr>
        <w:t>so we need to act now.</w:t>
      </w:r>
    </w:p>
    <w:p w14:paraId="58111C84" w14:textId="457601AE" w:rsidR="00EF1F34" w:rsidRPr="00567629" w:rsidRDefault="00EF1F34" w:rsidP="00EF1F34">
      <w:pPr>
        <w:spacing w:line="259" w:lineRule="auto"/>
        <w:ind w:right="-397"/>
        <w:rPr>
          <w:rFonts w:ascii="Calibri" w:hAnsi="Calibri" w:cs="Calibri"/>
        </w:rPr>
      </w:pPr>
      <w:r w:rsidRPr="00567629">
        <w:rPr>
          <w:rFonts w:ascii="Calibri" w:hAnsi="Calibri" w:cs="Calibri"/>
        </w:rPr>
        <w:t xml:space="preserve">Residential aged care homes are responsible for facilitating timely access to vaccinations for </w:t>
      </w:r>
      <w:r w:rsidR="1B348001" w:rsidRPr="00567629">
        <w:rPr>
          <w:rFonts w:ascii="Calibri" w:hAnsi="Calibri" w:cs="Calibri"/>
        </w:rPr>
        <w:t xml:space="preserve">their </w:t>
      </w:r>
      <w:r w:rsidRPr="00567629">
        <w:rPr>
          <w:rFonts w:ascii="Calibri" w:hAnsi="Calibri" w:cs="Calibri"/>
        </w:rPr>
        <w:t>residents. You should be having discussions with residents, their families and loved ones promoting the benefits of</w:t>
      </w:r>
      <w:r w:rsidR="2BE997C8" w:rsidRPr="00567629">
        <w:rPr>
          <w:rFonts w:ascii="Calibri" w:hAnsi="Calibri" w:cs="Calibri"/>
        </w:rPr>
        <w:t xml:space="preserve"> receiving regular</w:t>
      </w:r>
      <w:r w:rsidRPr="00567629">
        <w:rPr>
          <w:rFonts w:ascii="Calibri" w:hAnsi="Calibri" w:cs="Calibri"/>
        </w:rPr>
        <w:t xml:space="preserve"> COVID-19 vaccinations.  </w:t>
      </w:r>
    </w:p>
    <w:p w14:paraId="7B3A1D11" w14:textId="0FCAD181" w:rsidR="00EF1F34" w:rsidRPr="00567629" w:rsidRDefault="00EF1F34" w:rsidP="00EF1F34">
      <w:pPr>
        <w:spacing w:line="259" w:lineRule="auto"/>
        <w:ind w:right="-624"/>
        <w:rPr>
          <w:rFonts w:ascii="Calibri" w:hAnsi="Calibri" w:cs="Calibri"/>
        </w:rPr>
      </w:pPr>
      <w:r w:rsidRPr="00B802E1">
        <w:rPr>
          <w:rFonts w:ascii="Calibri" w:hAnsi="Calibri" w:cs="Calibri"/>
        </w:rPr>
        <w:t>G</w:t>
      </w:r>
      <w:r w:rsidR="00DE3D54" w:rsidRPr="00B802E1">
        <w:rPr>
          <w:rFonts w:ascii="Calibri" w:hAnsi="Calibri" w:cs="Calibri"/>
        </w:rPr>
        <w:t xml:space="preserve">eneral </w:t>
      </w:r>
      <w:r w:rsidR="00E71F35" w:rsidRPr="00B802E1">
        <w:rPr>
          <w:rFonts w:ascii="Calibri" w:hAnsi="Calibri" w:cs="Calibri"/>
        </w:rPr>
        <w:t>Practitioners</w:t>
      </w:r>
      <w:r w:rsidRPr="00567629">
        <w:rPr>
          <w:rFonts w:ascii="Calibri" w:hAnsi="Calibri" w:cs="Calibri"/>
        </w:rPr>
        <w:t xml:space="preserve"> and pharmacists primarily administer COVID-19 vaccines in residential aged care homes, with funding available for these services. If you don’t have an existing relationship with a GP or pharmacist, we encourage you to engage with your Primary Health Network (PHN) for assistance. </w:t>
      </w:r>
    </w:p>
    <w:p w14:paraId="7F7A12D4" w14:textId="455EF1AB" w:rsidR="00EF1F34" w:rsidRPr="00567629" w:rsidRDefault="00EF1F34" w:rsidP="00EF1F34">
      <w:pPr>
        <w:spacing w:line="259" w:lineRule="auto"/>
        <w:ind w:right="-794"/>
        <w:rPr>
          <w:rFonts w:ascii="Calibri" w:hAnsi="Calibri" w:cs="Calibri"/>
        </w:rPr>
      </w:pPr>
      <w:r w:rsidRPr="00567629">
        <w:rPr>
          <w:rFonts w:ascii="Calibri" w:hAnsi="Calibri" w:cs="Calibri"/>
        </w:rPr>
        <w:t xml:space="preserve">If you need further information or help with booking a clinic, email </w:t>
      </w:r>
      <w:hyperlink r:id="rId11">
        <w:r w:rsidR="003473DE" w:rsidRPr="00567629">
          <w:rPr>
            <w:rStyle w:val="Hyperlink"/>
            <w:rFonts w:ascii="Calibri" w:hAnsi="Calibri" w:cs="Calibri"/>
          </w:rPr>
          <w:t>RACFVaccineClinics@health.gov.au</w:t>
        </w:r>
      </w:hyperlink>
      <w:r w:rsidRPr="00567629">
        <w:rPr>
          <w:rFonts w:ascii="Calibri" w:hAnsi="Calibri" w:cs="Calibri"/>
        </w:rPr>
        <w:t>.</w:t>
      </w:r>
    </w:p>
    <w:p w14:paraId="57FE57FA" w14:textId="0A86AC96" w:rsidR="007B3C90" w:rsidRPr="00567629" w:rsidRDefault="618F5AF8" w:rsidP="7D9CF852">
      <w:pPr>
        <w:ind w:right="-340"/>
        <w:rPr>
          <w:rFonts w:ascii="Calibri" w:hAnsi="Calibri" w:cs="Calibri"/>
        </w:rPr>
      </w:pPr>
      <w:r w:rsidRPr="00567629">
        <w:rPr>
          <w:rFonts w:ascii="Calibri" w:hAnsi="Calibri" w:cs="Calibri"/>
        </w:rPr>
        <w:t xml:space="preserve">COVID-19 vaccinations are free and recommended every 12 months for people aged 65 and over, and every 6 months for those aged 75 and over or adults with severe immunocompromise. </w:t>
      </w:r>
      <w:r w:rsidR="211D6ADC" w:rsidRPr="00567629">
        <w:rPr>
          <w:rFonts w:ascii="Calibri" w:hAnsi="Calibri" w:cs="Calibri"/>
        </w:rPr>
        <w:t xml:space="preserve">There is </w:t>
      </w:r>
      <w:r w:rsidR="0C23DB24" w:rsidRPr="00567629">
        <w:rPr>
          <w:rFonts w:ascii="Calibri" w:hAnsi="Calibri" w:cs="Calibri"/>
        </w:rPr>
        <w:t>no</w:t>
      </w:r>
      <w:r w:rsidRPr="00567629">
        <w:rPr>
          <w:rFonts w:ascii="Calibri" w:hAnsi="Calibri" w:cs="Calibri"/>
        </w:rPr>
        <w:t xml:space="preserve"> need to wait 6 months after a previous</w:t>
      </w:r>
      <w:r w:rsidR="23572972" w:rsidRPr="00567629">
        <w:rPr>
          <w:rFonts w:ascii="Calibri" w:hAnsi="Calibri" w:cs="Calibri"/>
        </w:rPr>
        <w:t xml:space="preserve"> COVID-19</w:t>
      </w:r>
      <w:r w:rsidRPr="00567629">
        <w:rPr>
          <w:rFonts w:ascii="Calibri" w:hAnsi="Calibri" w:cs="Calibri"/>
        </w:rPr>
        <w:t xml:space="preserve"> infection to </w:t>
      </w:r>
      <w:r w:rsidR="4A4C25F8" w:rsidRPr="00567629">
        <w:rPr>
          <w:rFonts w:ascii="Calibri" w:hAnsi="Calibri" w:cs="Calibri"/>
        </w:rPr>
        <w:t>receive a vaccine</w:t>
      </w:r>
      <w:r w:rsidRPr="00567629">
        <w:rPr>
          <w:rFonts w:ascii="Calibri" w:hAnsi="Calibri" w:cs="Calibri"/>
        </w:rPr>
        <w:t xml:space="preserve">. In addition, it is important to remember that verbal or written </w:t>
      </w:r>
      <w:hyperlink r:id="rId12" w:anchor="valid-consent">
        <w:r w:rsidRPr="00567629">
          <w:rPr>
            <w:rStyle w:val="Hyperlink"/>
            <w:rFonts w:ascii="Calibri" w:hAnsi="Calibri" w:cs="Calibri"/>
          </w:rPr>
          <w:t>consent</w:t>
        </w:r>
      </w:hyperlink>
      <w:r w:rsidRPr="00567629">
        <w:rPr>
          <w:rStyle w:val="Hyperlink"/>
          <w:rFonts w:ascii="Calibri" w:hAnsi="Calibri" w:cs="Calibri"/>
        </w:rPr>
        <w:t xml:space="preserve"> </w:t>
      </w:r>
      <w:r w:rsidRPr="00567629">
        <w:rPr>
          <w:rFonts w:ascii="Calibri" w:hAnsi="Calibri" w:cs="Calibri"/>
        </w:rPr>
        <w:t xml:space="preserve">for vaccinations is considered acceptable and should be documented by the </w:t>
      </w:r>
      <w:r w:rsidR="301A7E58" w:rsidRPr="00567629">
        <w:rPr>
          <w:rFonts w:ascii="Calibri" w:hAnsi="Calibri" w:cs="Calibri"/>
        </w:rPr>
        <w:t>vaccination</w:t>
      </w:r>
      <w:r w:rsidRPr="00567629">
        <w:rPr>
          <w:rFonts w:ascii="Calibri" w:hAnsi="Calibri" w:cs="Calibri"/>
        </w:rPr>
        <w:t xml:space="preserve"> provider as per standard practice. </w:t>
      </w:r>
    </w:p>
    <w:p w14:paraId="41B068AE" w14:textId="4752E056" w:rsidR="618F5AF8" w:rsidRPr="00567629" w:rsidRDefault="618F5AF8" w:rsidP="0061317D">
      <w:pPr>
        <w:ind w:right="-340"/>
        <w:rPr>
          <w:rFonts w:ascii="Calibri" w:hAnsi="Calibri" w:cs="Calibri"/>
        </w:rPr>
      </w:pPr>
      <w:r w:rsidRPr="00567629">
        <w:rPr>
          <w:rFonts w:ascii="Calibri" w:hAnsi="Calibri" w:cs="Calibri"/>
        </w:rPr>
        <w:t xml:space="preserve">The Department of Health and Aged Care is working with homes to improve vaccination rates and </w:t>
      </w:r>
      <w:hyperlink r:id="rId13" w:history="1">
        <w:r w:rsidRPr="00357A7F">
          <w:rPr>
            <w:rStyle w:val="Hyperlink"/>
            <w:rFonts w:ascii="Calibri" w:hAnsi="Calibri" w:cs="Calibri"/>
          </w:rPr>
          <w:t>publishes monthly updates</w:t>
        </w:r>
        <w:r w:rsidR="4E26543D" w:rsidRPr="00357A7F">
          <w:rPr>
            <w:rStyle w:val="Hyperlink"/>
            <w:rFonts w:ascii="Calibri" w:hAnsi="Calibri" w:cs="Calibri"/>
          </w:rPr>
          <w:t xml:space="preserve"> on its website</w:t>
        </w:r>
      </w:hyperlink>
      <w:r w:rsidRPr="00567629">
        <w:rPr>
          <w:rFonts w:ascii="Calibri" w:hAnsi="Calibri" w:cs="Calibri"/>
        </w:rPr>
        <w:t>.</w:t>
      </w:r>
    </w:p>
    <w:p w14:paraId="5BB56BA6" w14:textId="606B27C2" w:rsidR="524F7297" w:rsidRPr="00567629" w:rsidRDefault="524F7297" w:rsidP="524F7297">
      <w:pPr>
        <w:spacing w:line="259" w:lineRule="auto"/>
        <w:ind w:right="-397"/>
        <w:rPr>
          <w:rFonts w:ascii="Calibri" w:hAnsi="Calibri" w:cs="Calibri"/>
        </w:rPr>
      </w:pPr>
    </w:p>
    <w:p w14:paraId="342254AE" w14:textId="0D726C06" w:rsidR="524F7297" w:rsidRPr="00567629" w:rsidRDefault="524F7297" w:rsidP="524F7297">
      <w:pPr>
        <w:spacing w:line="259" w:lineRule="auto"/>
        <w:ind w:right="-397"/>
        <w:rPr>
          <w:rFonts w:ascii="Calibri" w:hAnsi="Calibri" w:cs="Calibri"/>
        </w:rPr>
      </w:pPr>
    </w:p>
    <w:p w14:paraId="677210C9" w14:textId="77777777" w:rsidR="00095AB5" w:rsidRPr="00567629" w:rsidRDefault="00095AB5" w:rsidP="7D9CF852">
      <w:pPr>
        <w:spacing w:line="259" w:lineRule="auto"/>
        <w:ind w:right="-397"/>
        <w:rPr>
          <w:rFonts w:ascii="Calibri" w:hAnsi="Calibri" w:cs="Calibri"/>
        </w:rPr>
      </w:pPr>
    </w:p>
    <w:p w14:paraId="6F692D0F" w14:textId="77777777" w:rsidR="00567629" w:rsidRDefault="00567629" w:rsidP="7D9CF852">
      <w:pPr>
        <w:spacing w:line="259" w:lineRule="auto"/>
        <w:ind w:right="-397"/>
        <w:rPr>
          <w:rFonts w:ascii="Calibri" w:hAnsi="Calibri" w:cs="Calibri"/>
        </w:rPr>
      </w:pPr>
    </w:p>
    <w:p w14:paraId="6F1DB107" w14:textId="72D405BF" w:rsidR="00072BD2" w:rsidRPr="00567629" w:rsidRDefault="00EF1F34" w:rsidP="7D9CF852">
      <w:pPr>
        <w:spacing w:line="259" w:lineRule="auto"/>
        <w:ind w:right="-397"/>
        <w:rPr>
          <w:rFonts w:ascii="Calibri" w:hAnsi="Calibri" w:cs="Calibri"/>
        </w:rPr>
      </w:pPr>
      <w:r w:rsidRPr="00567629">
        <w:rPr>
          <w:rFonts w:ascii="Calibri" w:hAnsi="Calibri" w:cs="Calibri"/>
        </w:rPr>
        <w:t xml:space="preserve">Effective medications are available for those at greatest risk of severe illness. Early access to </w:t>
      </w:r>
      <w:hyperlink r:id="rId14" w:history="1">
        <w:r w:rsidRPr="007E6EB4">
          <w:rPr>
            <w:rStyle w:val="Hyperlink"/>
            <w:rFonts w:ascii="Calibri" w:hAnsi="Calibri" w:cs="Calibri"/>
          </w:rPr>
          <w:t>oral antivirals</w:t>
        </w:r>
      </w:hyperlink>
      <w:r w:rsidRPr="00567629">
        <w:rPr>
          <w:rFonts w:ascii="Calibri" w:hAnsi="Calibri" w:cs="Calibri"/>
        </w:rPr>
        <w:t xml:space="preserve"> can save lives, so it is important to plan ahead. Discuss</w:t>
      </w:r>
      <w:r w:rsidR="700456E6" w:rsidRPr="00567629">
        <w:rPr>
          <w:rFonts w:ascii="Calibri" w:hAnsi="Calibri" w:cs="Calibri"/>
        </w:rPr>
        <w:t>ions about</w:t>
      </w:r>
      <w:r w:rsidRPr="00567629">
        <w:rPr>
          <w:rFonts w:ascii="Calibri" w:hAnsi="Calibri" w:cs="Calibri"/>
        </w:rPr>
        <w:t xml:space="preserve"> advanced </w:t>
      </w:r>
      <w:r w:rsidR="003473DE" w:rsidRPr="00567629">
        <w:rPr>
          <w:rFonts w:ascii="Calibri" w:hAnsi="Calibri" w:cs="Calibri"/>
        </w:rPr>
        <w:t>c</w:t>
      </w:r>
      <w:r w:rsidRPr="00567629">
        <w:rPr>
          <w:rFonts w:ascii="Calibri" w:hAnsi="Calibri" w:cs="Calibri"/>
        </w:rPr>
        <w:t>onsent</w:t>
      </w:r>
      <w:r w:rsidR="003473DE" w:rsidRPr="00567629">
        <w:rPr>
          <w:rFonts w:ascii="Calibri" w:hAnsi="Calibri" w:cs="Calibri"/>
        </w:rPr>
        <w:t xml:space="preserve"> </w:t>
      </w:r>
      <w:r w:rsidRPr="00567629">
        <w:rPr>
          <w:rFonts w:ascii="Calibri" w:hAnsi="Calibri" w:cs="Calibri"/>
        </w:rPr>
        <w:t xml:space="preserve">and assessment with residents, families and primary care teams </w:t>
      </w:r>
      <w:r w:rsidR="59206D6A" w:rsidRPr="00567629">
        <w:rPr>
          <w:rFonts w:ascii="Calibri" w:hAnsi="Calibri" w:cs="Calibri"/>
        </w:rPr>
        <w:t>will improve</w:t>
      </w:r>
      <w:r w:rsidRPr="00567629">
        <w:rPr>
          <w:rFonts w:ascii="Calibri" w:hAnsi="Calibri" w:cs="Calibri"/>
        </w:rPr>
        <w:t xml:space="preserve"> rapid access to medication if</w:t>
      </w:r>
      <w:r w:rsidR="09BBD259" w:rsidRPr="00567629">
        <w:rPr>
          <w:rFonts w:ascii="Calibri" w:hAnsi="Calibri" w:cs="Calibri"/>
        </w:rPr>
        <w:t xml:space="preserve"> and when</w:t>
      </w:r>
      <w:r w:rsidRPr="00567629">
        <w:rPr>
          <w:rFonts w:ascii="Calibri" w:hAnsi="Calibri" w:cs="Calibri"/>
        </w:rPr>
        <w:t xml:space="preserve"> required.</w:t>
      </w:r>
    </w:p>
    <w:p w14:paraId="2B2377D1" w14:textId="77777777" w:rsidR="00F61BCE" w:rsidRPr="00567629" w:rsidRDefault="58C2F1CE" w:rsidP="0D6C509B">
      <w:pPr>
        <w:ind w:right="-340"/>
        <w:rPr>
          <w:rFonts w:ascii="Calibri" w:hAnsi="Calibri" w:cs="Calibri"/>
        </w:rPr>
      </w:pPr>
      <w:r w:rsidRPr="00567629">
        <w:rPr>
          <w:rFonts w:ascii="Calibri" w:hAnsi="Calibri" w:cs="Calibri"/>
        </w:rPr>
        <w:t xml:space="preserve">In addition to vaccinations and antivirals, maintaining robust </w:t>
      </w:r>
      <w:hyperlink r:id="rId15">
        <w:r w:rsidRPr="00567629">
          <w:rPr>
            <w:rFonts w:ascii="Calibri" w:hAnsi="Calibri" w:cs="Calibri"/>
          </w:rPr>
          <w:t>infection prevention and control</w:t>
        </w:r>
      </w:hyperlink>
      <w:r w:rsidRPr="00567629">
        <w:rPr>
          <w:rFonts w:ascii="Calibri" w:hAnsi="Calibri" w:cs="Calibri"/>
        </w:rPr>
        <w:t xml:space="preserve"> </w:t>
      </w:r>
      <w:r w:rsidR="4522D58E" w:rsidRPr="00567629">
        <w:rPr>
          <w:rFonts w:ascii="Calibri" w:hAnsi="Calibri" w:cs="Calibri"/>
        </w:rPr>
        <w:t xml:space="preserve">(IPC) </w:t>
      </w:r>
      <w:r w:rsidRPr="00567629">
        <w:rPr>
          <w:rFonts w:ascii="Calibri" w:hAnsi="Calibri" w:cs="Calibri"/>
        </w:rPr>
        <w:t xml:space="preserve">measures is essential. This includes regular hand hygiene, use of personal protective equipment and ensuring proper cleaning and disinfection protocols are followed. These measures help minimise the risk of COVID-19 transmission within aged care homes. </w:t>
      </w:r>
    </w:p>
    <w:p w14:paraId="0F0A257C" w14:textId="5B41FD81" w:rsidR="00784594" w:rsidRPr="00567629" w:rsidRDefault="56079EF9" w:rsidP="0D6C509B">
      <w:pPr>
        <w:ind w:right="-340"/>
        <w:rPr>
          <w:rFonts w:ascii="Calibri" w:hAnsi="Calibri" w:cs="Calibri"/>
        </w:rPr>
      </w:pPr>
      <w:r w:rsidRPr="00567629">
        <w:rPr>
          <w:rFonts w:ascii="Calibri" w:hAnsi="Calibri" w:cs="Calibri"/>
        </w:rPr>
        <w:t xml:space="preserve">The </w:t>
      </w:r>
      <w:hyperlink r:id="rId16" w:history="1">
        <w:r w:rsidRPr="00357A7F">
          <w:rPr>
            <w:rStyle w:val="Hyperlink"/>
            <w:rFonts w:ascii="Calibri" w:hAnsi="Calibri" w:cs="Calibri"/>
          </w:rPr>
          <w:t>Aged Care IPC Guide</w:t>
        </w:r>
      </w:hyperlink>
      <w:r w:rsidR="00FB9EDB" w:rsidRPr="00357A7F">
        <w:rPr>
          <w:rFonts w:ascii="Calibri" w:hAnsi="Calibri" w:cs="Calibri"/>
        </w:rPr>
        <w:t>, released</w:t>
      </w:r>
      <w:r w:rsidR="00FB9EDB" w:rsidRPr="00567629">
        <w:rPr>
          <w:rFonts w:ascii="Calibri" w:hAnsi="Calibri" w:cs="Calibri"/>
        </w:rPr>
        <w:t xml:space="preserve"> in August 2024, </w:t>
      </w:r>
      <w:r w:rsidR="6E7C5C57" w:rsidRPr="00567629">
        <w:rPr>
          <w:rFonts w:ascii="Calibri" w:hAnsi="Calibri" w:cs="Calibri"/>
        </w:rPr>
        <w:t>provides guidance on how to</w:t>
      </w:r>
      <w:r w:rsidR="00FB9EDB" w:rsidRPr="00567629">
        <w:rPr>
          <w:rFonts w:ascii="Calibri" w:hAnsi="Calibri" w:cs="Calibri"/>
        </w:rPr>
        <w:t xml:space="preserve"> </w:t>
      </w:r>
      <w:r w:rsidR="42C9016C" w:rsidRPr="00567629">
        <w:rPr>
          <w:rFonts w:ascii="Calibri" w:hAnsi="Calibri" w:cs="Calibri"/>
        </w:rPr>
        <w:t>implement</w:t>
      </w:r>
      <w:r w:rsidR="00FB9EDB" w:rsidRPr="00567629">
        <w:rPr>
          <w:rFonts w:ascii="Calibri" w:hAnsi="Calibri" w:cs="Calibri"/>
        </w:rPr>
        <w:t xml:space="preserve"> effective IPC strategies and </w:t>
      </w:r>
      <w:r w:rsidR="7BE86CC7" w:rsidRPr="00567629">
        <w:rPr>
          <w:rFonts w:ascii="Calibri" w:hAnsi="Calibri" w:cs="Calibri"/>
        </w:rPr>
        <w:t>protect older people and staff from infections</w:t>
      </w:r>
      <w:r w:rsidRPr="00567629">
        <w:rPr>
          <w:rFonts w:ascii="Calibri" w:hAnsi="Calibri" w:cs="Calibri"/>
        </w:rPr>
        <w:t xml:space="preserve">. </w:t>
      </w:r>
    </w:p>
    <w:p w14:paraId="70422765" w14:textId="77777777" w:rsidR="00F225A4" w:rsidRPr="00567629" w:rsidRDefault="00EF1F34" w:rsidP="0D6C509B">
      <w:pPr>
        <w:ind w:right="-340"/>
        <w:rPr>
          <w:rFonts w:ascii="Calibri" w:hAnsi="Calibri" w:cs="Calibri"/>
        </w:rPr>
      </w:pPr>
      <w:r w:rsidRPr="00567629">
        <w:rPr>
          <w:rFonts w:ascii="Calibri" w:hAnsi="Calibri" w:cs="Calibri"/>
        </w:rPr>
        <w:t xml:space="preserve">Following the festive season, </w:t>
      </w:r>
      <w:r w:rsidR="295792FF" w:rsidRPr="00567629">
        <w:rPr>
          <w:rFonts w:ascii="Calibri" w:hAnsi="Calibri" w:cs="Calibri"/>
        </w:rPr>
        <w:t xml:space="preserve">it is </w:t>
      </w:r>
      <w:r w:rsidR="1F90256E" w:rsidRPr="00567629">
        <w:rPr>
          <w:rFonts w:ascii="Calibri" w:hAnsi="Calibri" w:cs="Calibri"/>
        </w:rPr>
        <w:t xml:space="preserve">strongly recommended </w:t>
      </w:r>
      <w:r w:rsidR="295792FF" w:rsidRPr="00567629">
        <w:rPr>
          <w:rFonts w:ascii="Calibri" w:hAnsi="Calibri" w:cs="Calibri"/>
        </w:rPr>
        <w:t xml:space="preserve">that </w:t>
      </w:r>
      <w:r w:rsidR="57EE94D1" w:rsidRPr="00567629">
        <w:rPr>
          <w:rFonts w:ascii="Calibri" w:hAnsi="Calibri" w:cs="Calibri"/>
        </w:rPr>
        <w:t xml:space="preserve">you start </w:t>
      </w:r>
      <w:r w:rsidRPr="00567629">
        <w:rPr>
          <w:rFonts w:ascii="Calibri" w:hAnsi="Calibri" w:cs="Calibri"/>
        </w:rPr>
        <w:t>plan</w:t>
      </w:r>
      <w:r w:rsidR="333C7BB6" w:rsidRPr="00567629">
        <w:rPr>
          <w:rFonts w:ascii="Calibri" w:hAnsi="Calibri" w:cs="Calibri"/>
        </w:rPr>
        <w:t>ning</w:t>
      </w:r>
      <w:r w:rsidRPr="00567629">
        <w:rPr>
          <w:rFonts w:ascii="Calibri" w:hAnsi="Calibri" w:cs="Calibri"/>
        </w:rPr>
        <w:t xml:space="preserve"> for </w:t>
      </w:r>
      <w:r w:rsidR="00673E18" w:rsidRPr="00567629">
        <w:rPr>
          <w:rFonts w:ascii="Calibri" w:hAnsi="Calibri" w:cs="Calibri"/>
        </w:rPr>
        <w:t xml:space="preserve">2025 vaccination clinics, </w:t>
      </w:r>
      <w:r w:rsidR="003170D9" w:rsidRPr="00567629">
        <w:rPr>
          <w:rFonts w:ascii="Calibri" w:hAnsi="Calibri" w:cs="Calibri"/>
        </w:rPr>
        <w:t>ahead of winter</w:t>
      </w:r>
      <w:r w:rsidRPr="00567629">
        <w:rPr>
          <w:rFonts w:ascii="Calibri" w:hAnsi="Calibri" w:cs="Calibri"/>
        </w:rPr>
        <w:t>.</w:t>
      </w:r>
      <w:r w:rsidR="005B4344" w:rsidRPr="00567629">
        <w:rPr>
          <w:rFonts w:ascii="Calibri" w:hAnsi="Calibri" w:cs="Calibri"/>
        </w:rPr>
        <w:t xml:space="preserve"> It is important that </w:t>
      </w:r>
      <w:r w:rsidR="00F9515A" w:rsidRPr="00567629">
        <w:rPr>
          <w:rFonts w:ascii="Calibri" w:hAnsi="Calibri" w:cs="Calibri"/>
        </w:rPr>
        <w:t xml:space="preserve">essential vaccinations are delivered ahead of winter to ensure </w:t>
      </w:r>
      <w:r w:rsidR="00145910" w:rsidRPr="00567629">
        <w:rPr>
          <w:rFonts w:ascii="Calibri" w:hAnsi="Calibri" w:cs="Calibri"/>
        </w:rPr>
        <w:t>residents have the best protection</w:t>
      </w:r>
      <w:r w:rsidR="00D34BFC" w:rsidRPr="00567629">
        <w:rPr>
          <w:rFonts w:ascii="Calibri" w:hAnsi="Calibri" w:cs="Calibri"/>
        </w:rPr>
        <w:t xml:space="preserve"> during the winter months</w:t>
      </w:r>
      <w:r w:rsidR="00B95E75" w:rsidRPr="00567629">
        <w:rPr>
          <w:rFonts w:ascii="Calibri" w:hAnsi="Calibri" w:cs="Calibri"/>
        </w:rPr>
        <w:t>.</w:t>
      </w:r>
      <w:r w:rsidRPr="00567629">
        <w:rPr>
          <w:rFonts w:ascii="Calibri" w:hAnsi="Calibri" w:cs="Calibri"/>
        </w:rPr>
        <w:t xml:space="preserve"> </w:t>
      </w:r>
    </w:p>
    <w:p w14:paraId="18682A6A" w14:textId="4BE6CC8D" w:rsidR="00784594" w:rsidRPr="00567629" w:rsidRDefault="00EF1F34" w:rsidP="0D6C509B">
      <w:pPr>
        <w:ind w:right="-340"/>
        <w:rPr>
          <w:rFonts w:ascii="Calibri" w:hAnsi="Calibri" w:cs="Calibri"/>
        </w:rPr>
      </w:pPr>
      <w:r w:rsidRPr="00567629">
        <w:rPr>
          <w:rFonts w:ascii="Calibri" w:hAnsi="Calibri" w:cs="Calibri"/>
        </w:rPr>
        <w:t>It is recommended</w:t>
      </w:r>
      <w:r w:rsidR="10E58D7C" w:rsidRPr="00567629">
        <w:rPr>
          <w:rFonts w:ascii="Calibri" w:hAnsi="Calibri" w:cs="Calibri"/>
        </w:rPr>
        <w:t xml:space="preserve"> that all aged care homes</w:t>
      </w:r>
      <w:r w:rsidRPr="00567629">
        <w:rPr>
          <w:rFonts w:ascii="Calibri" w:hAnsi="Calibri" w:cs="Calibri"/>
        </w:rPr>
        <w:t xml:space="preserve"> </w:t>
      </w:r>
      <w:r w:rsidR="3DE53604" w:rsidRPr="00567629">
        <w:rPr>
          <w:rFonts w:ascii="Calibri" w:hAnsi="Calibri" w:cs="Calibri"/>
        </w:rPr>
        <w:t>hold a vaccination</w:t>
      </w:r>
      <w:r w:rsidRPr="00567629">
        <w:rPr>
          <w:rFonts w:ascii="Calibri" w:hAnsi="Calibri" w:cs="Calibri"/>
        </w:rPr>
        <w:t xml:space="preserve"> clinic </w:t>
      </w:r>
      <w:r w:rsidR="4D2A7190" w:rsidRPr="00567629">
        <w:rPr>
          <w:rFonts w:ascii="Calibri" w:hAnsi="Calibri" w:cs="Calibri"/>
        </w:rPr>
        <w:t xml:space="preserve">at least </w:t>
      </w:r>
      <w:r w:rsidRPr="00567629">
        <w:rPr>
          <w:rFonts w:ascii="Calibri" w:hAnsi="Calibri" w:cs="Calibri"/>
        </w:rPr>
        <w:t>every 6 months to ensure residents receive timely COVID-19 vaccinations and annually for influenza vaccinations.</w:t>
      </w:r>
      <w:r w:rsidR="0022202F" w:rsidRPr="00567629">
        <w:rPr>
          <w:rFonts w:ascii="Calibri" w:hAnsi="Calibri" w:cs="Calibri"/>
        </w:rPr>
        <w:t xml:space="preserve"> Administering COVID-19 and flu vaccines at the same time is safe</w:t>
      </w:r>
      <w:r w:rsidR="4C88F97C" w:rsidRPr="00567629">
        <w:rPr>
          <w:rFonts w:ascii="Calibri" w:hAnsi="Calibri" w:cs="Calibri"/>
        </w:rPr>
        <w:t>,</w:t>
      </w:r>
      <w:r w:rsidR="0022202F" w:rsidRPr="00567629">
        <w:rPr>
          <w:rFonts w:ascii="Calibri" w:hAnsi="Calibri" w:cs="Calibri"/>
        </w:rPr>
        <w:t xml:space="preserve"> i</w:t>
      </w:r>
      <w:r w:rsidR="551FA7F6" w:rsidRPr="00567629">
        <w:rPr>
          <w:rFonts w:ascii="Calibri" w:hAnsi="Calibri" w:cs="Calibri"/>
        </w:rPr>
        <w:t>mproves</w:t>
      </w:r>
      <w:r w:rsidR="0022202F" w:rsidRPr="00567629">
        <w:rPr>
          <w:rFonts w:ascii="Calibri" w:hAnsi="Calibri" w:cs="Calibri"/>
        </w:rPr>
        <w:t xml:space="preserve"> uptake of each vaccine and increases protection against both diseases.</w:t>
      </w:r>
    </w:p>
    <w:p w14:paraId="566FE970" w14:textId="515DD95A" w:rsidR="00EF1F34" w:rsidRPr="00567629" w:rsidRDefault="00EF1F34" w:rsidP="0D6C509B">
      <w:pPr>
        <w:spacing w:line="259" w:lineRule="auto"/>
        <w:rPr>
          <w:rFonts w:ascii="Calibri" w:hAnsi="Calibri" w:cs="Calibri"/>
        </w:rPr>
      </w:pPr>
      <w:r w:rsidRPr="00567629">
        <w:rPr>
          <w:rFonts w:ascii="Calibri" w:hAnsi="Calibri" w:cs="Calibri"/>
        </w:rPr>
        <w:t>Thank you once again for your commitment to the health and well-being of our aged care residents.</w:t>
      </w:r>
    </w:p>
    <w:p w14:paraId="1E5B4090" w14:textId="77777777" w:rsidR="00EF1F34" w:rsidRPr="00567629" w:rsidRDefault="00EF1F34" w:rsidP="0D6C509B">
      <w:pPr>
        <w:spacing w:line="259" w:lineRule="auto"/>
        <w:rPr>
          <w:rFonts w:ascii="Calibri" w:hAnsi="Calibri" w:cs="Calibri"/>
        </w:rPr>
      </w:pPr>
      <w:r w:rsidRPr="00567629">
        <w:rPr>
          <w:rFonts w:ascii="Calibri" w:hAnsi="Calibri" w:cs="Calibri"/>
        </w:rPr>
        <w:t>Yours sincerely</w:t>
      </w:r>
    </w:p>
    <w:p w14:paraId="2DC883BE" w14:textId="77777777" w:rsidR="00EF1F34" w:rsidRDefault="00EF1F34" w:rsidP="00EF1F34">
      <w:pPr>
        <w:spacing w:line="259" w:lineRule="auto"/>
        <w:rPr>
          <w:rFonts w:ascii="Calibri" w:hAnsi="Calibri" w:cs="Calibri"/>
        </w:rPr>
      </w:pPr>
    </w:p>
    <w:p w14:paraId="0072E90B" w14:textId="7B6B1F1D" w:rsidR="00EF1F34" w:rsidRPr="00567629" w:rsidRDefault="003A4ADF" w:rsidP="00EF1F34">
      <w:pPr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5795869B" wp14:editId="3431FAD4">
            <wp:extent cx="977007" cy="655200"/>
            <wp:effectExtent l="0" t="0" r="0" b="0"/>
            <wp:docPr id="540462916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62916" name="Picture 1" descr="A close-up of a signature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007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1428">
        <w:rPr>
          <w:rFonts w:ascii="Calibri" w:hAnsi="Calibri" w:cs="Calibri"/>
        </w:rPr>
        <w:tab/>
      </w:r>
      <w:r w:rsidR="00661428">
        <w:rPr>
          <w:rFonts w:ascii="Calibri" w:hAnsi="Calibri" w:cs="Calibri"/>
        </w:rPr>
        <w:tab/>
      </w:r>
      <w:r w:rsidR="00661428">
        <w:rPr>
          <w:rFonts w:ascii="Calibri" w:hAnsi="Calibri" w:cs="Calibri"/>
        </w:rPr>
        <w:tab/>
      </w:r>
      <w:r w:rsidR="00661428">
        <w:rPr>
          <w:rFonts w:ascii="Calibri" w:hAnsi="Calibri" w:cs="Calibri"/>
        </w:rPr>
        <w:tab/>
      </w:r>
      <w:r w:rsidR="00661428">
        <w:rPr>
          <w:rFonts w:ascii="Calibri" w:hAnsi="Calibri" w:cs="Calibri"/>
        </w:rPr>
        <w:tab/>
      </w:r>
      <w:r w:rsidR="00661428">
        <w:rPr>
          <w:rFonts w:ascii="Calibri" w:hAnsi="Calibri" w:cs="Calibri"/>
        </w:rPr>
        <w:tab/>
      </w:r>
      <w:r w:rsidR="00661428">
        <w:rPr>
          <w:rFonts w:ascii="Calibri" w:hAnsi="Calibri" w:cs="Calibri"/>
        </w:rPr>
        <w:tab/>
      </w:r>
      <w:r w:rsidR="00661428">
        <w:rPr>
          <w:rFonts w:ascii="Calibri" w:hAnsi="Calibri" w:cs="Calibri"/>
          <w:noProof/>
        </w:rPr>
        <w:drawing>
          <wp:inline distT="0" distB="0" distL="0" distR="0" wp14:anchorId="65ED86DD" wp14:editId="490C2F5B">
            <wp:extent cx="1636776" cy="655320"/>
            <wp:effectExtent l="0" t="0" r="1905" b="0"/>
            <wp:docPr id="862317307" name="Picture 1" descr="A close-up of a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317307" name="Picture 1" descr="A close-up of a black tex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77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2F661" w14:textId="77777777" w:rsidR="00EF1F34" w:rsidRPr="00567629" w:rsidRDefault="00EF1F34" w:rsidP="00EF1F34">
      <w:pPr>
        <w:spacing w:after="0"/>
        <w:rPr>
          <w:rFonts w:ascii="Calibri" w:hAnsi="Calibri" w:cs="Calibri"/>
        </w:rPr>
      </w:pPr>
      <w:r w:rsidRPr="00567629">
        <w:rPr>
          <w:rFonts w:ascii="Calibri" w:hAnsi="Calibri" w:cs="Calibri"/>
        </w:rPr>
        <w:t>Michael Lye</w:t>
      </w:r>
      <w:r w:rsidRPr="00567629">
        <w:rPr>
          <w:rFonts w:ascii="Calibri" w:hAnsi="Calibri" w:cs="Calibri"/>
        </w:rPr>
        <w:tab/>
      </w:r>
      <w:r w:rsidRPr="00567629">
        <w:rPr>
          <w:rFonts w:ascii="Calibri" w:hAnsi="Calibri" w:cs="Calibri"/>
        </w:rPr>
        <w:tab/>
      </w:r>
      <w:r w:rsidRPr="00567629">
        <w:rPr>
          <w:rFonts w:ascii="Calibri" w:hAnsi="Calibri" w:cs="Calibri"/>
        </w:rPr>
        <w:tab/>
      </w:r>
      <w:r w:rsidRPr="00567629">
        <w:rPr>
          <w:rFonts w:ascii="Calibri" w:hAnsi="Calibri" w:cs="Calibri"/>
        </w:rPr>
        <w:tab/>
      </w:r>
      <w:r w:rsidRPr="00567629">
        <w:rPr>
          <w:rFonts w:ascii="Calibri" w:hAnsi="Calibri" w:cs="Calibri"/>
        </w:rPr>
        <w:tab/>
      </w:r>
      <w:r w:rsidRPr="00567629">
        <w:rPr>
          <w:rFonts w:ascii="Calibri" w:hAnsi="Calibri" w:cs="Calibri"/>
        </w:rPr>
        <w:tab/>
        <w:t>Professor Alison J McMillan PSM</w:t>
      </w:r>
      <w:r w:rsidRPr="00567629">
        <w:rPr>
          <w:rFonts w:ascii="Calibri" w:hAnsi="Calibri" w:cs="Calibri"/>
        </w:rPr>
        <w:tab/>
      </w:r>
    </w:p>
    <w:p w14:paraId="1692C79A" w14:textId="77777777" w:rsidR="00EF1F34" w:rsidRPr="00567629" w:rsidRDefault="00EF1F34" w:rsidP="00EF1F34">
      <w:pPr>
        <w:spacing w:after="0"/>
        <w:rPr>
          <w:rFonts w:ascii="Calibri" w:hAnsi="Calibri" w:cs="Calibri"/>
        </w:rPr>
      </w:pPr>
      <w:r w:rsidRPr="00567629">
        <w:rPr>
          <w:rFonts w:ascii="Calibri" w:hAnsi="Calibri" w:cs="Calibri"/>
        </w:rPr>
        <w:t>Deputy Secretary</w:t>
      </w:r>
      <w:r w:rsidRPr="00567629">
        <w:rPr>
          <w:rFonts w:ascii="Calibri" w:hAnsi="Calibri" w:cs="Calibri"/>
        </w:rPr>
        <w:tab/>
      </w:r>
      <w:r w:rsidRPr="00567629">
        <w:rPr>
          <w:rFonts w:ascii="Calibri" w:hAnsi="Calibri" w:cs="Calibri"/>
        </w:rPr>
        <w:tab/>
      </w:r>
      <w:r w:rsidRPr="00567629">
        <w:rPr>
          <w:rFonts w:ascii="Calibri" w:hAnsi="Calibri" w:cs="Calibri"/>
        </w:rPr>
        <w:tab/>
      </w:r>
      <w:r w:rsidRPr="00567629">
        <w:rPr>
          <w:rFonts w:ascii="Calibri" w:hAnsi="Calibri" w:cs="Calibri"/>
        </w:rPr>
        <w:tab/>
      </w:r>
      <w:r w:rsidRPr="00567629">
        <w:rPr>
          <w:rFonts w:ascii="Calibri" w:hAnsi="Calibri" w:cs="Calibri"/>
        </w:rPr>
        <w:tab/>
        <w:t>Chief Nursing and Midwifery Officer</w:t>
      </w:r>
    </w:p>
    <w:p w14:paraId="18000E27" w14:textId="77777777" w:rsidR="00EF1F34" w:rsidRPr="00567629" w:rsidRDefault="00EF1F34" w:rsidP="00EF1F34">
      <w:pPr>
        <w:spacing w:after="0"/>
        <w:rPr>
          <w:rFonts w:ascii="Calibri" w:hAnsi="Calibri" w:cs="Calibri"/>
        </w:rPr>
      </w:pPr>
      <w:r w:rsidRPr="00567629">
        <w:rPr>
          <w:rFonts w:ascii="Calibri" w:hAnsi="Calibri" w:cs="Calibri"/>
        </w:rPr>
        <w:t xml:space="preserve">Ageing and Aged Care Group  </w:t>
      </w:r>
    </w:p>
    <w:p w14:paraId="552BB247" w14:textId="77777777" w:rsidR="00EF1F34" w:rsidRPr="00567629" w:rsidRDefault="00EF1F34" w:rsidP="00EF1F34">
      <w:pPr>
        <w:spacing w:after="0"/>
        <w:rPr>
          <w:rFonts w:ascii="Calibri" w:hAnsi="Calibri" w:cs="Calibri"/>
        </w:rPr>
      </w:pPr>
    </w:p>
    <w:p w14:paraId="08632BE8" w14:textId="77E55670" w:rsidR="00EF1F34" w:rsidRPr="00567629" w:rsidRDefault="003A4ADF" w:rsidP="00EF1F3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EF1F34" w:rsidRPr="00567629">
        <w:rPr>
          <w:rFonts w:ascii="Calibri" w:hAnsi="Calibri" w:cs="Calibri"/>
        </w:rPr>
        <w:t xml:space="preserve"> November 2024</w:t>
      </w:r>
      <w:r w:rsidR="00EF1F34" w:rsidRPr="00567629">
        <w:rPr>
          <w:rFonts w:ascii="Calibri" w:hAnsi="Calibri" w:cs="Calibri"/>
        </w:rPr>
        <w:tab/>
      </w:r>
      <w:r w:rsidR="00EF1F34" w:rsidRPr="00567629">
        <w:rPr>
          <w:rFonts w:ascii="Calibri" w:hAnsi="Calibri" w:cs="Calibri"/>
        </w:rPr>
        <w:tab/>
      </w:r>
      <w:r w:rsidR="00EF1F34" w:rsidRPr="00567629">
        <w:rPr>
          <w:rFonts w:ascii="Calibri" w:hAnsi="Calibri" w:cs="Calibri"/>
        </w:rPr>
        <w:tab/>
      </w:r>
      <w:r w:rsidR="00EF1F34" w:rsidRPr="00567629">
        <w:rPr>
          <w:rFonts w:ascii="Calibri" w:hAnsi="Calibri" w:cs="Calibri"/>
        </w:rPr>
        <w:tab/>
      </w:r>
      <w:r w:rsidR="00EF1F34" w:rsidRPr="00567629">
        <w:rPr>
          <w:rFonts w:ascii="Calibri" w:hAnsi="Calibri" w:cs="Calibri"/>
        </w:rPr>
        <w:tab/>
      </w:r>
      <w:r w:rsidR="0024377C">
        <w:rPr>
          <w:rFonts w:ascii="Calibri" w:hAnsi="Calibri" w:cs="Calibri"/>
        </w:rPr>
        <w:t>6</w:t>
      </w:r>
      <w:r w:rsidR="00EF1F34" w:rsidRPr="00567629">
        <w:rPr>
          <w:rFonts w:ascii="Calibri" w:hAnsi="Calibri" w:cs="Calibri"/>
        </w:rPr>
        <w:t xml:space="preserve"> November 2024</w:t>
      </w:r>
    </w:p>
    <w:p w14:paraId="15661D7A" w14:textId="31CA9B8D" w:rsidR="00B00533" w:rsidRPr="00567629" w:rsidRDefault="00B00533" w:rsidP="008D32F9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sectPr w:rsidR="00B00533" w:rsidRPr="00567629" w:rsidSect="002F615B">
      <w:headerReference w:type="default" r:id="rId19"/>
      <w:footerReference w:type="default" r:id="rId20"/>
      <w:pgSz w:w="12240" w:h="15840"/>
      <w:pgMar w:top="1440" w:right="1440" w:bottom="1440" w:left="1440" w:header="51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ED0B1" w14:textId="77777777" w:rsidR="001E41F0" w:rsidRDefault="001E41F0" w:rsidP="00B00533">
      <w:pPr>
        <w:spacing w:after="0" w:line="240" w:lineRule="auto"/>
      </w:pPr>
      <w:r>
        <w:separator/>
      </w:r>
    </w:p>
  </w:endnote>
  <w:endnote w:type="continuationSeparator" w:id="0">
    <w:p w14:paraId="692C8AF6" w14:textId="77777777" w:rsidR="001E41F0" w:rsidRDefault="001E41F0" w:rsidP="00B00533">
      <w:pPr>
        <w:spacing w:after="0" w:line="240" w:lineRule="auto"/>
      </w:pPr>
      <w:r>
        <w:continuationSeparator/>
      </w:r>
    </w:p>
  </w:endnote>
  <w:endnote w:type="continuationNotice" w:id="1">
    <w:p w14:paraId="49901345" w14:textId="77777777" w:rsidR="001E41F0" w:rsidRDefault="001E41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4201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D689C8" w14:textId="5B981A02" w:rsidR="00B00533" w:rsidRDefault="00B005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31C58B" w14:textId="77777777" w:rsidR="00B00533" w:rsidRDefault="00B00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8E70B" w14:textId="77777777" w:rsidR="001E41F0" w:rsidRDefault="001E41F0" w:rsidP="00B00533">
      <w:pPr>
        <w:spacing w:after="0" w:line="240" w:lineRule="auto"/>
      </w:pPr>
      <w:r>
        <w:separator/>
      </w:r>
    </w:p>
  </w:footnote>
  <w:footnote w:type="continuationSeparator" w:id="0">
    <w:p w14:paraId="1A9E220E" w14:textId="77777777" w:rsidR="001E41F0" w:rsidRDefault="001E41F0" w:rsidP="00B00533">
      <w:pPr>
        <w:spacing w:after="0" w:line="240" w:lineRule="auto"/>
      </w:pPr>
      <w:r>
        <w:continuationSeparator/>
      </w:r>
    </w:p>
  </w:footnote>
  <w:footnote w:type="continuationNotice" w:id="1">
    <w:p w14:paraId="262CA70E" w14:textId="77777777" w:rsidR="001E41F0" w:rsidRDefault="001E41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3B67B" w14:textId="2F6472A6" w:rsidR="0039143F" w:rsidRDefault="0039143F" w:rsidP="0039143F">
    <w:pPr>
      <w:pStyle w:val="Header"/>
      <w:jc w:val="center"/>
    </w:pPr>
    <w:r>
      <w:rPr>
        <w:noProof/>
        <w:sz w:val="28"/>
        <w:szCs w:val="28"/>
      </w:rPr>
      <w:drawing>
        <wp:inline distT="0" distB="0" distL="0" distR="0" wp14:anchorId="3B8F099F" wp14:editId="298FA943">
          <wp:extent cx="2247900" cy="1019397"/>
          <wp:effectExtent l="0" t="0" r="0" b="9525"/>
          <wp:docPr id="3" name="Picture 3" descr="Department of Health and Aged Car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Health and Aged Care Cres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807" cy="102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449A8"/>
    <w:multiLevelType w:val="hybridMultilevel"/>
    <w:tmpl w:val="48D484FA"/>
    <w:lvl w:ilvl="0" w:tplc="EFCCF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E3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47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EC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47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609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68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E1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64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E589E"/>
    <w:multiLevelType w:val="hybridMultilevel"/>
    <w:tmpl w:val="DB944ACA"/>
    <w:lvl w:ilvl="0" w:tplc="91B6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2AAC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20F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1E6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5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00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4A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E2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A49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F794D"/>
    <w:multiLevelType w:val="hybridMultilevel"/>
    <w:tmpl w:val="0F14F59C"/>
    <w:lvl w:ilvl="0" w:tplc="F8B6F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45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25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7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48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0C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8B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00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960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277084">
    <w:abstractNumId w:val="1"/>
  </w:num>
  <w:num w:numId="2" w16cid:durableId="1095056915">
    <w:abstractNumId w:val="0"/>
  </w:num>
  <w:num w:numId="3" w16cid:durableId="1242594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FDB768"/>
    <w:rsid w:val="00023F0E"/>
    <w:rsid w:val="00050898"/>
    <w:rsid w:val="000677C9"/>
    <w:rsid w:val="00072BD2"/>
    <w:rsid w:val="00095AB5"/>
    <w:rsid w:val="000C6990"/>
    <w:rsid w:val="001026CB"/>
    <w:rsid w:val="00107439"/>
    <w:rsid w:val="00111D27"/>
    <w:rsid w:val="0012188B"/>
    <w:rsid w:val="001319F6"/>
    <w:rsid w:val="00133A5E"/>
    <w:rsid w:val="00145910"/>
    <w:rsid w:val="00146845"/>
    <w:rsid w:val="001760E8"/>
    <w:rsid w:val="00177FEA"/>
    <w:rsid w:val="00180824"/>
    <w:rsid w:val="0018421A"/>
    <w:rsid w:val="0018443E"/>
    <w:rsid w:val="001B4062"/>
    <w:rsid w:val="001B6609"/>
    <w:rsid w:val="001B6B81"/>
    <w:rsid w:val="001D77B3"/>
    <w:rsid w:val="001E41F0"/>
    <w:rsid w:val="00204BFA"/>
    <w:rsid w:val="00216BB8"/>
    <w:rsid w:val="0022202F"/>
    <w:rsid w:val="00241942"/>
    <w:rsid w:val="0024377C"/>
    <w:rsid w:val="00246011"/>
    <w:rsid w:val="0026541F"/>
    <w:rsid w:val="00271409"/>
    <w:rsid w:val="00286677"/>
    <w:rsid w:val="00293E9E"/>
    <w:rsid w:val="002A387B"/>
    <w:rsid w:val="002B5A42"/>
    <w:rsid w:val="002D4B80"/>
    <w:rsid w:val="002D722C"/>
    <w:rsid w:val="002F1F6D"/>
    <w:rsid w:val="002F3679"/>
    <w:rsid w:val="002F615B"/>
    <w:rsid w:val="00310B0F"/>
    <w:rsid w:val="00315358"/>
    <w:rsid w:val="003170D9"/>
    <w:rsid w:val="00317736"/>
    <w:rsid w:val="00325D14"/>
    <w:rsid w:val="003473DE"/>
    <w:rsid w:val="003526AD"/>
    <w:rsid w:val="00357A7F"/>
    <w:rsid w:val="0039143F"/>
    <w:rsid w:val="003A1171"/>
    <w:rsid w:val="003A4ADF"/>
    <w:rsid w:val="00404D2E"/>
    <w:rsid w:val="004054C3"/>
    <w:rsid w:val="00431E77"/>
    <w:rsid w:val="0043212D"/>
    <w:rsid w:val="00445FAA"/>
    <w:rsid w:val="004A1810"/>
    <w:rsid w:val="004A33ED"/>
    <w:rsid w:val="004B26EB"/>
    <w:rsid w:val="004B4AF6"/>
    <w:rsid w:val="004C0E43"/>
    <w:rsid w:val="004C1B4E"/>
    <w:rsid w:val="004C5414"/>
    <w:rsid w:val="004D2BDB"/>
    <w:rsid w:val="004E0396"/>
    <w:rsid w:val="004E6277"/>
    <w:rsid w:val="004F5AB9"/>
    <w:rsid w:val="00514431"/>
    <w:rsid w:val="005233A0"/>
    <w:rsid w:val="00531EAB"/>
    <w:rsid w:val="00535D0A"/>
    <w:rsid w:val="0053685B"/>
    <w:rsid w:val="00555D95"/>
    <w:rsid w:val="00567629"/>
    <w:rsid w:val="00575A58"/>
    <w:rsid w:val="00577AC9"/>
    <w:rsid w:val="00591213"/>
    <w:rsid w:val="005B4344"/>
    <w:rsid w:val="005B7D16"/>
    <w:rsid w:val="0061317D"/>
    <w:rsid w:val="00622EE6"/>
    <w:rsid w:val="00641C1B"/>
    <w:rsid w:val="00645CF7"/>
    <w:rsid w:val="00646138"/>
    <w:rsid w:val="00657BD3"/>
    <w:rsid w:val="00661428"/>
    <w:rsid w:val="00663665"/>
    <w:rsid w:val="00666D53"/>
    <w:rsid w:val="00673E18"/>
    <w:rsid w:val="00693732"/>
    <w:rsid w:val="006F61DD"/>
    <w:rsid w:val="0072282A"/>
    <w:rsid w:val="007246BC"/>
    <w:rsid w:val="00734BDD"/>
    <w:rsid w:val="007357AF"/>
    <w:rsid w:val="00742A85"/>
    <w:rsid w:val="00755574"/>
    <w:rsid w:val="00784594"/>
    <w:rsid w:val="007B0FD0"/>
    <w:rsid w:val="007B3C90"/>
    <w:rsid w:val="007E6EB4"/>
    <w:rsid w:val="00817ACB"/>
    <w:rsid w:val="00832AF2"/>
    <w:rsid w:val="00835DBC"/>
    <w:rsid w:val="008664DF"/>
    <w:rsid w:val="00873466"/>
    <w:rsid w:val="00876BE7"/>
    <w:rsid w:val="00880514"/>
    <w:rsid w:val="00891839"/>
    <w:rsid w:val="00891EAD"/>
    <w:rsid w:val="008977D9"/>
    <w:rsid w:val="00897C3A"/>
    <w:rsid w:val="008A1A1D"/>
    <w:rsid w:val="008B01FD"/>
    <w:rsid w:val="008B3D47"/>
    <w:rsid w:val="008C1C2C"/>
    <w:rsid w:val="008D32F9"/>
    <w:rsid w:val="008D5840"/>
    <w:rsid w:val="008E0484"/>
    <w:rsid w:val="008E0EF1"/>
    <w:rsid w:val="0092519A"/>
    <w:rsid w:val="00943447"/>
    <w:rsid w:val="0094711F"/>
    <w:rsid w:val="009503E8"/>
    <w:rsid w:val="009B0EB5"/>
    <w:rsid w:val="009C4A22"/>
    <w:rsid w:val="009D7E2A"/>
    <w:rsid w:val="009F285C"/>
    <w:rsid w:val="009F414E"/>
    <w:rsid w:val="009F531B"/>
    <w:rsid w:val="00A11862"/>
    <w:rsid w:val="00A247D3"/>
    <w:rsid w:val="00A252F2"/>
    <w:rsid w:val="00A25A07"/>
    <w:rsid w:val="00A34176"/>
    <w:rsid w:val="00A35999"/>
    <w:rsid w:val="00A41A70"/>
    <w:rsid w:val="00A421B6"/>
    <w:rsid w:val="00A63822"/>
    <w:rsid w:val="00A90FDE"/>
    <w:rsid w:val="00A94158"/>
    <w:rsid w:val="00AA55E3"/>
    <w:rsid w:val="00AB2977"/>
    <w:rsid w:val="00AD3800"/>
    <w:rsid w:val="00AE30A7"/>
    <w:rsid w:val="00AF7241"/>
    <w:rsid w:val="00B00533"/>
    <w:rsid w:val="00B0515F"/>
    <w:rsid w:val="00B22C24"/>
    <w:rsid w:val="00B40D4C"/>
    <w:rsid w:val="00B52D8B"/>
    <w:rsid w:val="00B5320D"/>
    <w:rsid w:val="00B64DBE"/>
    <w:rsid w:val="00B747E2"/>
    <w:rsid w:val="00B802E1"/>
    <w:rsid w:val="00B93C85"/>
    <w:rsid w:val="00B95E75"/>
    <w:rsid w:val="00B9628F"/>
    <w:rsid w:val="00BA7B2B"/>
    <w:rsid w:val="00BC2C0E"/>
    <w:rsid w:val="00BD137D"/>
    <w:rsid w:val="00BE098C"/>
    <w:rsid w:val="00BE3DFF"/>
    <w:rsid w:val="00C01488"/>
    <w:rsid w:val="00C07256"/>
    <w:rsid w:val="00C11B3B"/>
    <w:rsid w:val="00CA13CC"/>
    <w:rsid w:val="00CA6E93"/>
    <w:rsid w:val="00CB67D7"/>
    <w:rsid w:val="00CE3A4A"/>
    <w:rsid w:val="00CF7062"/>
    <w:rsid w:val="00D04683"/>
    <w:rsid w:val="00D143B4"/>
    <w:rsid w:val="00D15BB4"/>
    <w:rsid w:val="00D25404"/>
    <w:rsid w:val="00D34BFC"/>
    <w:rsid w:val="00D42FF7"/>
    <w:rsid w:val="00D551B3"/>
    <w:rsid w:val="00D81F7A"/>
    <w:rsid w:val="00D875FE"/>
    <w:rsid w:val="00D93511"/>
    <w:rsid w:val="00DB35BD"/>
    <w:rsid w:val="00DB3F15"/>
    <w:rsid w:val="00DD59F5"/>
    <w:rsid w:val="00DE3D54"/>
    <w:rsid w:val="00DE3EDA"/>
    <w:rsid w:val="00DF2AF2"/>
    <w:rsid w:val="00DF6992"/>
    <w:rsid w:val="00E00599"/>
    <w:rsid w:val="00E27975"/>
    <w:rsid w:val="00E47EAB"/>
    <w:rsid w:val="00E71F35"/>
    <w:rsid w:val="00E750E0"/>
    <w:rsid w:val="00EB221C"/>
    <w:rsid w:val="00EC028F"/>
    <w:rsid w:val="00EC1E9D"/>
    <w:rsid w:val="00EE665B"/>
    <w:rsid w:val="00EF1F34"/>
    <w:rsid w:val="00F225A4"/>
    <w:rsid w:val="00F334BC"/>
    <w:rsid w:val="00F40FF3"/>
    <w:rsid w:val="00F42510"/>
    <w:rsid w:val="00F42B6F"/>
    <w:rsid w:val="00F50EAC"/>
    <w:rsid w:val="00F52C43"/>
    <w:rsid w:val="00F540EB"/>
    <w:rsid w:val="00F54683"/>
    <w:rsid w:val="00F61BCE"/>
    <w:rsid w:val="00F64880"/>
    <w:rsid w:val="00F66477"/>
    <w:rsid w:val="00F70E45"/>
    <w:rsid w:val="00F9515A"/>
    <w:rsid w:val="00FB46C2"/>
    <w:rsid w:val="00FB9EDB"/>
    <w:rsid w:val="00FC4DF7"/>
    <w:rsid w:val="00FC79E4"/>
    <w:rsid w:val="021F13B9"/>
    <w:rsid w:val="06C666CB"/>
    <w:rsid w:val="09947E29"/>
    <w:rsid w:val="09BBD259"/>
    <w:rsid w:val="0A8184ED"/>
    <w:rsid w:val="0C23DB24"/>
    <w:rsid w:val="0CBA8F95"/>
    <w:rsid w:val="0D6C509B"/>
    <w:rsid w:val="0D93960F"/>
    <w:rsid w:val="0E6910A7"/>
    <w:rsid w:val="10292A34"/>
    <w:rsid w:val="10E58D7C"/>
    <w:rsid w:val="121964D9"/>
    <w:rsid w:val="14F734B1"/>
    <w:rsid w:val="154C3CD0"/>
    <w:rsid w:val="17FDB768"/>
    <w:rsid w:val="195A12D6"/>
    <w:rsid w:val="1B348001"/>
    <w:rsid w:val="1D93D60D"/>
    <w:rsid w:val="1E0F2F17"/>
    <w:rsid w:val="1F90256E"/>
    <w:rsid w:val="211D6ADC"/>
    <w:rsid w:val="23572972"/>
    <w:rsid w:val="25FE9048"/>
    <w:rsid w:val="277B626E"/>
    <w:rsid w:val="295792FF"/>
    <w:rsid w:val="29A84E64"/>
    <w:rsid w:val="2A0A6B02"/>
    <w:rsid w:val="2B184DE8"/>
    <w:rsid w:val="2BE997C8"/>
    <w:rsid w:val="2CC8B912"/>
    <w:rsid w:val="2D4F7B3C"/>
    <w:rsid w:val="2F237A81"/>
    <w:rsid w:val="2FA3D584"/>
    <w:rsid w:val="301A7E58"/>
    <w:rsid w:val="32596404"/>
    <w:rsid w:val="333C7BB6"/>
    <w:rsid w:val="34FD1C6E"/>
    <w:rsid w:val="353BA4ED"/>
    <w:rsid w:val="35EB9397"/>
    <w:rsid w:val="374527D8"/>
    <w:rsid w:val="3826074C"/>
    <w:rsid w:val="3C2C16C9"/>
    <w:rsid w:val="3D204BA6"/>
    <w:rsid w:val="3DE53604"/>
    <w:rsid w:val="41CACA6E"/>
    <w:rsid w:val="42C9016C"/>
    <w:rsid w:val="4504C827"/>
    <w:rsid w:val="4522D58E"/>
    <w:rsid w:val="477F686A"/>
    <w:rsid w:val="49201B00"/>
    <w:rsid w:val="4A4C25F8"/>
    <w:rsid w:val="4AE412F7"/>
    <w:rsid w:val="4C88F97C"/>
    <w:rsid w:val="4D2A7190"/>
    <w:rsid w:val="4E26543D"/>
    <w:rsid w:val="4ED5ADC5"/>
    <w:rsid w:val="5213BEC7"/>
    <w:rsid w:val="524F7297"/>
    <w:rsid w:val="52667707"/>
    <w:rsid w:val="5322E3B9"/>
    <w:rsid w:val="551FA7F6"/>
    <w:rsid w:val="5524AE30"/>
    <w:rsid w:val="56079EF9"/>
    <w:rsid w:val="57EE94D1"/>
    <w:rsid w:val="58C2F1CE"/>
    <w:rsid w:val="59206D6A"/>
    <w:rsid w:val="5A60CDD1"/>
    <w:rsid w:val="618F5AF8"/>
    <w:rsid w:val="678799E9"/>
    <w:rsid w:val="6790E807"/>
    <w:rsid w:val="6E7C5C57"/>
    <w:rsid w:val="6EDAD15F"/>
    <w:rsid w:val="6FD0EDD9"/>
    <w:rsid w:val="6FEF24A5"/>
    <w:rsid w:val="700456E6"/>
    <w:rsid w:val="7833F882"/>
    <w:rsid w:val="7A555435"/>
    <w:rsid w:val="7A6E1FCF"/>
    <w:rsid w:val="7BA413B5"/>
    <w:rsid w:val="7BE45B78"/>
    <w:rsid w:val="7BE86CC7"/>
    <w:rsid w:val="7D9CF852"/>
    <w:rsid w:val="7E67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DB768"/>
  <w15:chartTrackingRefBased/>
  <w15:docId w15:val="{FAAC2C2A-F8BF-4624-BB0B-C78EF98A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0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533"/>
  </w:style>
  <w:style w:type="paragraph" w:styleId="Footer">
    <w:name w:val="footer"/>
    <w:basedOn w:val="Normal"/>
    <w:link w:val="FooterChar"/>
    <w:uiPriority w:val="99"/>
    <w:unhideWhenUsed/>
    <w:rsid w:val="00B00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533"/>
  </w:style>
  <w:style w:type="character" w:styleId="FollowedHyperlink">
    <w:name w:val="FollowedHyperlink"/>
    <w:basedOn w:val="DefaultParagraphFont"/>
    <w:uiPriority w:val="99"/>
    <w:semiHidden/>
    <w:unhideWhenUsed/>
    <w:rsid w:val="00CA13CC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6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A1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1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8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285C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F70E4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collections/residential-aged-care-residents-covid-19-vaccination-rates-data" TargetMode="Externa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immunisationhandbook.health.gov.au/contents/vaccination-procedures/preparing-for-vaccination" TargetMode="Externa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safetyandquality.gov.au/publications-and-resources/resource-library/aged-care-infection-prevention-and-control-gui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CFVaccineClinics@health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afetyandquality.gov.au/our-work/infection-prevention-and-control/infection-prevention-and-control-aged-care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topics/covid-19/oral-treatment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b5d65-6a7b-4d29-8058-532dd865f997">
      <Terms xmlns="http://schemas.microsoft.com/office/infopath/2007/PartnerControls"/>
    </lcf76f155ced4ddcb4097134ff3c332f>
    <TaxCatchAll xmlns="1ce55e6e-06dd-4e73-9374-e006fe8d85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98DC2E225DB4FA7B52A411BC4AA76" ma:contentTypeVersion="11" ma:contentTypeDescription="Create a new document." ma:contentTypeScope="" ma:versionID="8b83218598e2d556a961d8465624d987">
  <xsd:schema xmlns:xsd="http://www.w3.org/2001/XMLSchema" xmlns:xs="http://www.w3.org/2001/XMLSchema" xmlns:p="http://schemas.microsoft.com/office/2006/metadata/properties" xmlns:ns2="8d7b5d65-6a7b-4d29-8058-532dd865f997" xmlns:ns3="1ce55e6e-06dd-4e73-9374-e006fe8d8563" targetNamespace="http://schemas.microsoft.com/office/2006/metadata/properties" ma:root="true" ma:fieldsID="47164b785d6e4eed1aec88d6128989e0" ns2:_="" ns3:_="">
    <xsd:import namespace="8d7b5d65-6a7b-4d29-8058-532dd865f997"/>
    <xsd:import namespace="1ce55e6e-06dd-4e73-9374-e006fe8d8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b5d65-6a7b-4d29-8058-532dd865f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55e6e-06dd-4e73-9374-e006fe8d85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8a8c565-641c-498c-ab48-acb82e98b389}" ma:internalName="TaxCatchAll" ma:showField="CatchAllData" ma:web="1ce55e6e-06dd-4e73-9374-e006fe8d8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26021-34DF-48CC-8F29-92EC4872C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B408B-CEC2-4547-83A7-F9E198C954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0FC89E-7CE6-4815-A032-58401F960C4A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8d7b5d65-6a7b-4d29-8058-532dd865f997"/>
    <ds:schemaRef ds:uri="http://schemas.microsoft.com/office/2006/documentManagement/types"/>
    <ds:schemaRef ds:uri="1ce55e6e-06dd-4e73-9374-e006fe8d85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22947E-DDFE-46D2-9212-FF7F424B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b5d65-6a7b-4d29-8058-532dd865f997"/>
    <ds:schemaRef ds:uri="1ce55e6e-06dd-4e73-9374-e006fe8d8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Signed Joint Letter – Vaccinations ahead of the festive season</vt:lpstr>
    </vt:vector>
  </TitlesOfParts>
  <Company/>
  <LinksUpToDate>false</LinksUpToDate>
  <CharactersWithSpaces>4367</CharactersWithSpaces>
  <SharedDoc>false</SharedDoc>
  <HLinks>
    <vt:vector size="24" baseType="variant">
      <vt:variant>
        <vt:i4>1638418</vt:i4>
      </vt:variant>
      <vt:variant>
        <vt:i4>9</vt:i4>
      </vt:variant>
      <vt:variant>
        <vt:i4>0</vt:i4>
      </vt:variant>
      <vt:variant>
        <vt:i4>5</vt:i4>
      </vt:variant>
      <vt:variant>
        <vt:lpwstr>https://www.safetyandquality.gov.au/publications-and-resources/resource-library/aged-care-infection-prevention-and-control-guide</vt:lpwstr>
      </vt:variant>
      <vt:variant>
        <vt:lpwstr/>
      </vt:variant>
      <vt:variant>
        <vt:i4>393223</vt:i4>
      </vt:variant>
      <vt:variant>
        <vt:i4>6</vt:i4>
      </vt:variant>
      <vt:variant>
        <vt:i4>0</vt:i4>
      </vt:variant>
      <vt:variant>
        <vt:i4>5</vt:i4>
      </vt:variant>
      <vt:variant>
        <vt:lpwstr>https://www.safetyandquality.gov.au/our-work/infection-prevention-and-control/infection-prevention-and-control-aged-care</vt:lpwstr>
      </vt:variant>
      <vt:variant>
        <vt:lpwstr/>
      </vt:variant>
      <vt:variant>
        <vt:i4>6160400</vt:i4>
      </vt:variant>
      <vt:variant>
        <vt:i4>3</vt:i4>
      </vt:variant>
      <vt:variant>
        <vt:i4>0</vt:i4>
      </vt:variant>
      <vt:variant>
        <vt:i4>5</vt:i4>
      </vt:variant>
      <vt:variant>
        <vt:lpwstr>https://immunisationhandbook.health.gov.au/contents/vaccination-procedures/preparing-for-vaccination</vt:lpwstr>
      </vt:variant>
      <vt:variant>
        <vt:lpwstr>valid-consent</vt:lpwstr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mailto:RACFVaccineClinics@health.gov.au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Signed Joint Letter – Vaccinations ahead of the festive season</dc:title>
  <dc:subject>Aged Care Providers – Vaccinations</dc:subject>
  <dc:creator>Australian Government Department of Health and Aged Care</dc:creator>
  <cp:keywords>Aged Care</cp:keywords>
  <dc:description/>
  <cp:lastModifiedBy>SPASENOVSKI, Christopher</cp:lastModifiedBy>
  <cp:revision>4</cp:revision>
  <dcterms:created xsi:type="dcterms:W3CDTF">2024-11-06T03:26:00Z</dcterms:created>
  <dcterms:modified xsi:type="dcterms:W3CDTF">2024-11-19T02:52:00Z</dcterms:modified>
</cp:coreProperties>
</file>