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04E17" w14:textId="77777777" w:rsidR="00B872B0" w:rsidRDefault="009752E0" w:rsidP="00B259EA">
      <w:pPr>
        <w:rPr>
          <w:rFonts w:eastAsiaTheme="majorEastAsia" w:cs="Times New Roman (Headings CS)"/>
          <w:b/>
          <w:color w:val="FFFFFF" w:themeColor="background1"/>
          <w:kern w:val="28"/>
          <w:sz w:val="40"/>
          <w:szCs w:val="56"/>
          <w:lang w:val="en-AU"/>
        </w:rPr>
      </w:pPr>
      <w:r w:rsidRPr="009752E0">
        <w:rPr>
          <w:rFonts w:eastAsiaTheme="majorEastAsia" w:cs="Times New Roman (Headings CS)"/>
          <w:b/>
          <w:color w:val="FFFFFF" w:themeColor="background1"/>
          <w:kern w:val="28"/>
          <w:sz w:val="40"/>
          <w:szCs w:val="56"/>
          <w:lang w:val="en-AU"/>
        </w:rPr>
        <w:t>60-day prescriptions</w:t>
      </w:r>
    </w:p>
    <w:p w14:paraId="5916A041" w14:textId="73B0169C" w:rsidR="009752E0" w:rsidRPr="009752E0" w:rsidRDefault="009752E0" w:rsidP="00B259EA">
      <w:pPr>
        <w:rPr>
          <w:rFonts w:eastAsiaTheme="majorEastAsia" w:cs="Times New Roman (Headings CS)"/>
          <w:b/>
          <w:color w:val="FFFFFF" w:themeColor="background1"/>
          <w:kern w:val="28"/>
          <w:sz w:val="40"/>
          <w:szCs w:val="56"/>
          <w:lang w:val="en-AU"/>
        </w:rPr>
      </w:pPr>
      <w:r>
        <w:rPr>
          <w:rFonts w:eastAsiaTheme="majorEastAsia" w:cs="Times New Roman (Headings CS)"/>
          <w:b/>
          <w:color w:val="FFFFFF" w:themeColor="background1"/>
          <w:kern w:val="28"/>
          <w:sz w:val="40"/>
          <w:szCs w:val="56"/>
          <w:lang w:val="en-AU"/>
        </w:rPr>
        <w:t>I</w:t>
      </w:r>
      <w:r w:rsidRPr="009752E0">
        <w:rPr>
          <w:rFonts w:eastAsiaTheme="majorEastAsia" w:cs="Times New Roman (Headings CS)"/>
          <w:b/>
          <w:color w:val="FFFFFF" w:themeColor="background1"/>
          <w:kern w:val="28"/>
          <w:sz w:val="40"/>
          <w:szCs w:val="56"/>
          <w:lang w:val="en-AU"/>
        </w:rPr>
        <w:t>nformation kit for prescribers</w:t>
      </w:r>
      <w:r w:rsidRPr="009752E0">
        <w:rPr>
          <w:rFonts w:eastAsiaTheme="majorEastAsia" w:cs="Times New Roman (Headings CS)"/>
          <w:b/>
          <w:color w:val="FFFFFF" w:themeColor="background1"/>
          <w:kern w:val="28"/>
          <w:sz w:val="40"/>
          <w:szCs w:val="56"/>
        </w:rPr>
        <w:t xml:space="preserve"> </w:t>
      </w:r>
    </w:p>
    <w:p w14:paraId="531B3EC3" w14:textId="4D5AEAA4" w:rsidR="002627EF" w:rsidRPr="00F74922" w:rsidRDefault="003621D2" w:rsidP="006A51EE">
      <w:pPr>
        <w:spacing w:before="240"/>
        <w:sectPr w:rsidR="002627EF" w:rsidRPr="00F74922" w:rsidSect="0032040F">
          <w:headerReference w:type="default" r:id="rId11"/>
          <w:footerReference w:type="even" r:id="rId12"/>
          <w:footerReference w:type="default" r:id="rId13"/>
          <w:pgSz w:w="11900" w:h="16840"/>
          <w:pgMar w:top="2835" w:right="1418" w:bottom="1701" w:left="1418" w:header="709" w:footer="709" w:gutter="0"/>
          <w:cols w:space="708"/>
          <w:docGrid w:linePitch="360"/>
        </w:sectPr>
      </w:pPr>
      <w:r>
        <w:rPr>
          <w:rStyle w:val="SubtitleChar"/>
          <w:color w:val="FFFFFF" w:themeColor="background1"/>
        </w:rPr>
        <w:t>Novem</w:t>
      </w:r>
      <w:r w:rsidR="002B500E">
        <w:rPr>
          <w:rStyle w:val="SubtitleChar"/>
          <w:color w:val="FFFFFF" w:themeColor="background1"/>
        </w:rPr>
        <w:t xml:space="preserve">ber </w:t>
      </w:r>
      <w:r w:rsidR="00DD21FC">
        <w:rPr>
          <w:rStyle w:val="SubtitleChar"/>
          <w:color w:val="FFFFFF" w:themeColor="background1"/>
        </w:rPr>
        <w:t>2024</w:t>
      </w:r>
      <w:r w:rsidR="00D43B19">
        <w:rPr>
          <w:rStyle w:val="SubtitleChar"/>
          <w:color w:val="FFFFFF" w:themeColor="background1"/>
        </w:rPr>
        <w:t xml:space="preserve"> update</w:t>
      </w:r>
    </w:p>
    <w:p w14:paraId="57438F29" w14:textId="18D29752" w:rsidR="00E66B30" w:rsidRDefault="00E66B30" w:rsidP="00B259EA">
      <w:pPr>
        <w:pStyle w:val="TOCHeading"/>
        <w:rPr>
          <w:lang w:val="en-AU"/>
        </w:rPr>
      </w:pPr>
      <w:r>
        <w:rPr>
          <w:lang w:val="en-AU"/>
        </w:rPr>
        <w:lastRenderedPageBreak/>
        <w:t>Contents</w:t>
      </w:r>
    </w:p>
    <w:p w14:paraId="69B9CB67" w14:textId="69B5D9F7" w:rsidR="00E5455B" w:rsidRDefault="008A4752">
      <w:pPr>
        <w:pStyle w:val="TOC1"/>
        <w:rPr>
          <w:rFonts w:asciiTheme="minorHAnsi" w:hAnsiTheme="minorHAnsi"/>
          <w:b w:val="0"/>
          <w:noProof/>
          <w:kern w:val="2"/>
          <w:sz w:val="24"/>
          <w:szCs w:val="24"/>
          <w:lang w:val="en-AU" w:eastAsia="en-GB"/>
          <w14:ligatures w14:val="standardContextual"/>
        </w:rPr>
      </w:pPr>
      <w:r>
        <w:rPr>
          <w:lang w:val="en-AU"/>
        </w:rPr>
        <w:fldChar w:fldCharType="begin"/>
      </w:r>
      <w:r>
        <w:rPr>
          <w:lang w:val="en-AU"/>
        </w:rPr>
        <w:instrText xml:space="preserve"> TOC \o "1-1" \h \z \u </w:instrText>
      </w:r>
      <w:r>
        <w:rPr>
          <w:lang w:val="en-AU"/>
        </w:rPr>
        <w:fldChar w:fldCharType="separate"/>
      </w:r>
      <w:hyperlink w:anchor="_Toc182315869" w:history="1">
        <w:r w:rsidR="00E5455B" w:rsidRPr="00E20B17">
          <w:rPr>
            <w:rStyle w:val="Hyperlink"/>
            <w:noProof/>
            <w:lang w:val="en-AU"/>
          </w:rPr>
          <w:t>What is changing?</w:t>
        </w:r>
        <w:r w:rsidR="00E5455B">
          <w:rPr>
            <w:noProof/>
            <w:webHidden/>
          </w:rPr>
          <w:tab/>
        </w:r>
        <w:r w:rsidR="00E5455B">
          <w:rPr>
            <w:noProof/>
            <w:webHidden/>
          </w:rPr>
          <w:fldChar w:fldCharType="begin"/>
        </w:r>
        <w:r w:rsidR="00E5455B">
          <w:rPr>
            <w:noProof/>
            <w:webHidden/>
          </w:rPr>
          <w:instrText xml:space="preserve"> PAGEREF _Toc182315869 \h </w:instrText>
        </w:r>
        <w:r w:rsidR="00E5455B">
          <w:rPr>
            <w:noProof/>
            <w:webHidden/>
          </w:rPr>
        </w:r>
        <w:r w:rsidR="00E5455B">
          <w:rPr>
            <w:noProof/>
            <w:webHidden/>
          </w:rPr>
          <w:fldChar w:fldCharType="separate"/>
        </w:r>
        <w:r w:rsidR="00E5455B">
          <w:rPr>
            <w:noProof/>
            <w:webHidden/>
          </w:rPr>
          <w:t>2</w:t>
        </w:r>
        <w:r w:rsidR="00E5455B">
          <w:rPr>
            <w:noProof/>
            <w:webHidden/>
          </w:rPr>
          <w:fldChar w:fldCharType="end"/>
        </w:r>
      </w:hyperlink>
    </w:p>
    <w:p w14:paraId="17BD1C31" w14:textId="6DBF354D" w:rsidR="00E5455B" w:rsidRDefault="00557F7D">
      <w:pPr>
        <w:pStyle w:val="TOC1"/>
        <w:rPr>
          <w:rFonts w:asciiTheme="minorHAnsi" w:hAnsiTheme="minorHAnsi"/>
          <w:b w:val="0"/>
          <w:noProof/>
          <w:kern w:val="2"/>
          <w:sz w:val="24"/>
          <w:szCs w:val="24"/>
          <w:lang w:val="en-AU" w:eastAsia="en-GB"/>
          <w14:ligatures w14:val="standardContextual"/>
        </w:rPr>
      </w:pPr>
      <w:hyperlink w:anchor="_Toc182315870" w:history="1">
        <w:r w:rsidR="00E5455B" w:rsidRPr="00E20B17">
          <w:rPr>
            <w:rStyle w:val="Hyperlink"/>
            <w:noProof/>
            <w:lang w:val="en-AU"/>
          </w:rPr>
          <w:t>Medicines eligible for 60-day prescriptions</w:t>
        </w:r>
        <w:r w:rsidR="00E5455B">
          <w:rPr>
            <w:noProof/>
            <w:webHidden/>
          </w:rPr>
          <w:tab/>
        </w:r>
        <w:r w:rsidR="00E5455B">
          <w:rPr>
            <w:noProof/>
            <w:webHidden/>
          </w:rPr>
          <w:fldChar w:fldCharType="begin"/>
        </w:r>
        <w:r w:rsidR="00E5455B">
          <w:rPr>
            <w:noProof/>
            <w:webHidden/>
          </w:rPr>
          <w:instrText xml:space="preserve"> PAGEREF _Toc182315870 \h </w:instrText>
        </w:r>
        <w:r w:rsidR="00E5455B">
          <w:rPr>
            <w:noProof/>
            <w:webHidden/>
          </w:rPr>
        </w:r>
        <w:r w:rsidR="00E5455B">
          <w:rPr>
            <w:noProof/>
            <w:webHidden/>
          </w:rPr>
          <w:fldChar w:fldCharType="separate"/>
        </w:r>
        <w:r w:rsidR="00E5455B">
          <w:rPr>
            <w:noProof/>
            <w:webHidden/>
          </w:rPr>
          <w:t>3</w:t>
        </w:r>
        <w:r w:rsidR="00E5455B">
          <w:rPr>
            <w:noProof/>
            <w:webHidden/>
          </w:rPr>
          <w:fldChar w:fldCharType="end"/>
        </w:r>
      </w:hyperlink>
    </w:p>
    <w:p w14:paraId="4CEF3B3F" w14:textId="6DF64E34" w:rsidR="00E5455B" w:rsidRDefault="00557F7D">
      <w:pPr>
        <w:pStyle w:val="TOC1"/>
        <w:rPr>
          <w:rFonts w:asciiTheme="minorHAnsi" w:hAnsiTheme="minorHAnsi"/>
          <w:b w:val="0"/>
          <w:noProof/>
          <w:kern w:val="2"/>
          <w:sz w:val="24"/>
          <w:szCs w:val="24"/>
          <w:lang w:val="en-AU" w:eastAsia="en-GB"/>
          <w14:ligatures w14:val="standardContextual"/>
        </w:rPr>
      </w:pPr>
      <w:hyperlink w:anchor="_Toc182315871" w:history="1">
        <w:r w:rsidR="00E5455B" w:rsidRPr="00E20B17">
          <w:rPr>
            <w:rStyle w:val="Hyperlink"/>
            <w:noProof/>
          </w:rPr>
          <w:t>Frequently asked questions</w:t>
        </w:r>
        <w:r w:rsidR="00E5455B">
          <w:rPr>
            <w:noProof/>
            <w:webHidden/>
          </w:rPr>
          <w:tab/>
        </w:r>
        <w:r w:rsidR="00E5455B">
          <w:rPr>
            <w:noProof/>
            <w:webHidden/>
          </w:rPr>
          <w:fldChar w:fldCharType="begin"/>
        </w:r>
        <w:r w:rsidR="00E5455B">
          <w:rPr>
            <w:noProof/>
            <w:webHidden/>
          </w:rPr>
          <w:instrText xml:space="preserve"> PAGEREF _Toc182315871 \h </w:instrText>
        </w:r>
        <w:r w:rsidR="00E5455B">
          <w:rPr>
            <w:noProof/>
            <w:webHidden/>
          </w:rPr>
        </w:r>
        <w:r w:rsidR="00E5455B">
          <w:rPr>
            <w:noProof/>
            <w:webHidden/>
          </w:rPr>
          <w:fldChar w:fldCharType="separate"/>
        </w:r>
        <w:r w:rsidR="00E5455B">
          <w:rPr>
            <w:noProof/>
            <w:webHidden/>
          </w:rPr>
          <w:t>4</w:t>
        </w:r>
        <w:r w:rsidR="00E5455B">
          <w:rPr>
            <w:noProof/>
            <w:webHidden/>
          </w:rPr>
          <w:fldChar w:fldCharType="end"/>
        </w:r>
      </w:hyperlink>
    </w:p>
    <w:p w14:paraId="10C0C99D" w14:textId="237629E7" w:rsidR="00E5455B" w:rsidRDefault="00557F7D">
      <w:pPr>
        <w:pStyle w:val="TOC1"/>
        <w:rPr>
          <w:rFonts w:asciiTheme="minorHAnsi" w:hAnsiTheme="minorHAnsi"/>
          <w:b w:val="0"/>
          <w:noProof/>
          <w:kern w:val="2"/>
          <w:sz w:val="24"/>
          <w:szCs w:val="24"/>
          <w:lang w:val="en-AU" w:eastAsia="en-GB"/>
          <w14:ligatures w14:val="standardContextual"/>
        </w:rPr>
      </w:pPr>
      <w:hyperlink w:anchor="_Toc182315872" w:history="1">
        <w:r w:rsidR="00E5455B" w:rsidRPr="00E20B17">
          <w:rPr>
            <w:rStyle w:val="Hyperlink"/>
            <w:noProof/>
            <w:lang w:val="en-AU" w:eastAsia="en-AU"/>
          </w:rPr>
          <w:t>Case studies</w:t>
        </w:r>
        <w:r w:rsidR="00E5455B">
          <w:rPr>
            <w:noProof/>
            <w:webHidden/>
          </w:rPr>
          <w:tab/>
        </w:r>
        <w:r w:rsidR="00E5455B">
          <w:rPr>
            <w:noProof/>
            <w:webHidden/>
          </w:rPr>
          <w:fldChar w:fldCharType="begin"/>
        </w:r>
        <w:r w:rsidR="00E5455B">
          <w:rPr>
            <w:noProof/>
            <w:webHidden/>
          </w:rPr>
          <w:instrText xml:space="preserve"> PAGEREF _Toc182315872 \h </w:instrText>
        </w:r>
        <w:r w:rsidR="00E5455B">
          <w:rPr>
            <w:noProof/>
            <w:webHidden/>
          </w:rPr>
        </w:r>
        <w:r w:rsidR="00E5455B">
          <w:rPr>
            <w:noProof/>
            <w:webHidden/>
          </w:rPr>
          <w:fldChar w:fldCharType="separate"/>
        </w:r>
        <w:r w:rsidR="00E5455B">
          <w:rPr>
            <w:noProof/>
            <w:webHidden/>
          </w:rPr>
          <w:t>7</w:t>
        </w:r>
        <w:r w:rsidR="00E5455B">
          <w:rPr>
            <w:noProof/>
            <w:webHidden/>
          </w:rPr>
          <w:fldChar w:fldCharType="end"/>
        </w:r>
      </w:hyperlink>
    </w:p>
    <w:p w14:paraId="4F034AD3" w14:textId="5B54ECB7" w:rsidR="00E5455B" w:rsidRDefault="00557F7D">
      <w:pPr>
        <w:pStyle w:val="TOC1"/>
        <w:rPr>
          <w:rFonts w:asciiTheme="minorHAnsi" w:hAnsiTheme="minorHAnsi"/>
          <w:b w:val="0"/>
          <w:noProof/>
          <w:kern w:val="2"/>
          <w:sz w:val="24"/>
          <w:szCs w:val="24"/>
          <w:lang w:val="en-AU" w:eastAsia="en-GB"/>
          <w14:ligatures w14:val="standardContextual"/>
        </w:rPr>
      </w:pPr>
      <w:hyperlink w:anchor="_Toc182315873" w:history="1">
        <w:r w:rsidR="00E5455B" w:rsidRPr="00E20B17">
          <w:rPr>
            <w:rStyle w:val="Hyperlink"/>
            <w:noProof/>
          </w:rPr>
          <w:t>Resources</w:t>
        </w:r>
        <w:r w:rsidR="00E5455B">
          <w:rPr>
            <w:noProof/>
            <w:webHidden/>
          </w:rPr>
          <w:tab/>
        </w:r>
        <w:r w:rsidR="00E5455B">
          <w:rPr>
            <w:noProof/>
            <w:webHidden/>
          </w:rPr>
          <w:fldChar w:fldCharType="begin"/>
        </w:r>
        <w:r w:rsidR="00E5455B">
          <w:rPr>
            <w:noProof/>
            <w:webHidden/>
          </w:rPr>
          <w:instrText xml:space="preserve"> PAGEREF _Toc182315873 \h </w:instrText>
        </w:r>
        <w:r w:rsidR="00E5455B">
          <w:rPr>
            <w:noProof/>
            <w:webHidden/>
          </w:rPr>
        </w:r>
        <w:r w:rsidR="00E5455B">
          <w:rPr>
            <w:noProof/>
            <w:webHidden/>
          </w:rPr>
          <w:fldChar w:fldCharType="separate"/>
        </w:r>
        <w:r w:rsidR="00E5455B">
          <w:rPr>
            <w:noProof/>
            <w:webHidden/>
          </w:rPr>
          <w:t>9</w:t>
        </w:r>
        <w:r w:rsidR="00E5455B">
          <w:rPr>
            <w:noProof/>
            <w:webHidden/>
          </w:rPr>
          <w:fldChar w:fldCharType="end"/>
        </w:r>
      </w:hyperlink>
    </w:p>
    <w:p w14:paraId="4F58C343" w14:textId="4C5A62BC" w:rsidR="009752E0" w:rsidRPr="00E73FCF" w:rsidRDefault="008A4752" w:rsidP="00E73FCF">
      <w:pPr>
        <w:pStyle w:val="TOC1"/>
        <w:rPr>
          <w:noProof/>
          <w:kern w:val="2"/>
          <w:sz w:val="24"/>
          <w:szCs w:val="24"/>
          <w:lang w:val="en-AU" w:eastAsia="en-GB"/>
          <w14:ligatures w14:val="standardContextual"/>
        </w:rPr>
      </w:pPr>
      <w:r>
        <w:rPr>
          <w:lang w:val="en-AU"/>
        </w:rPr>
        <w:fldChar w:fldCharType="end"/>
      </w:r>
      <w:r w:rsidR="00E82F40" w:rsidRPr="004C52F5">
        <w:br w:type="page"/>
      </w:r>
    </w:p>
    <w:p w14:paraId="145865D7" w14:textId="77777777" w:rsidR="009752E0" w:rsidRPr="008F0F3C" w:rsidRDefault="009752E0" w:rsidP="009752E0">
      <w:pPr>
        <w:pStyle w:val="Heading1"/>
        <w:rPr>
          <w:lang w:val="en-AU"/>
        </w:rPr>
      </w:pPr>
      <w:bookmarkStart w:id="1" w:name="_Toc182315869"/>
      <w:r>
        <w:rPr>
          <w:lang w:val="en-AU"/>
        </w:rPr>
        <w:lastRenderedPageBreak/>
        <w:t>What is changing?</w:t>
      </w:r>
      <w:bookmarkEnd w:id="1"/>
    </w:p>
    <w:p w14:paraId="530B996E" w14:textId="5227EF52" w:rsidR="009308C1" w:rsidRDefault="00D77CDF" w:rsidP="000B41A7">
      <w:pPr>
        <w:pStyle w:val="au-introduction"/>
      </w:pPr>
      <w:r w:rsidRPr="00D77CDF">
        <w:rPr>
          <w:rFonts w:ascii="Arial" w:eastAsiaTheme="minorEastAsia" w:hAnsi="Arial" w:cstheme="minorBidi"/>
          <w:sz w:val="20"/>
          <w:szCs w:val="26"/>
          <w:lang w:eastAsia="ja-JP"/>
        </w:rPr>
        <w:t xml:space="preserve">There are now </w:t>
      </w:r>
      <w:r w:rsidR="003621D2">
        <w:rPr>
          <w:rFonts w:ascii="Arial" w:eastAsiaTheme="minorEastAsia" w:hAnsi="Arial" w:cstheme="minorBidi"/>
          <w:sz w:val="20"/>
          <w:szCs w:val="26"/>
          <w:lang w:eastAsia="ja-JP"/>
        </w:rPr>
        <w:t>almost 300</w:t>
      </w:r>
      <w:r w:rsidRPr="00D77CDF">
        <w:rPr>
          <w:rFonts w:ascii="Arial" w:eastAsiaTheme="minorEastAsia" w:hAnsi="Arial" w:cstheme="minorBidi"/>
          <w:sz w:val="20"/>
          <w:szCs w:val="26"/>
          <w:lang w:eastAsia="ja-JP"/>
        </w:rPr>
        <w:t xml:space="preserve"> Pharmaceutical Benefits Scheme (PBS) medicines available for 60-day prescriptions. This will give many Australians twice the amount of their medication on a single prescription. </w:t>
      </w:r>
    </w:p>
    <w:p w14:paraId="197A7FF8" w14:textId="69B52F84" w:rsidR="00055624" w:rsidRPr="00673A3C" w:rsidRDefault="009308C1" w:rsidP="00B31D72">
      <w:pPr>
        <w:spacing w:line="276" w:lineRule="auto"/>
        <w:rPr>
          <w:lang w:val="en-AU"/>
        </w:rPr>
      </w:pPr>
      <w:r>
        <w:rPr>
          <w:lang w:val="en-AU"/>
        </w:rPr>
        <w:t>M</w:t>
      </w:r>
      <w:r w:rsidR="00055624">
        <w:rPr>
          <w:lang w:val="en-AU"/>
        </w:rPr>
        <w:t xml:space="preserve">edical practitioners </w:t>
      </w:r>
      <w:r w:rsidR="003621D2">
        <w:rPr>
          <w:lang w:val="en-AU"/>
        </w:rPr>
        <w:t>are</w:t>
      </w:r>
      <w:r w:rsidR="00055624">
        <w:rPr>
          <w:lang w:val="en-AU"/>
        </w:rPr>
        <w:t xml:space="preserve"> permitted to prescribe </w:t>
      </w:r>
      <w:r w:rsidR="00416071">
        <w:rPr>
          <w:lang w:val="en-AU"/>
        </w:rPr>
        <w:t>PBS</w:t>
      </w:r>
      <w:r w:rsidR="00055624">
        <w:rPr>
          <w:lang w:val="en-AU"/>
        </w:rPr>
        <w:t xml:space="preserve"> medicines </w:t>
      </w:r>
      <w:r w:rsidR="003621D2">
        <w:rPr>
          <w:lang w:val="en-AU"/>
        </w:rPr>
        <w:t xml:space="preserve">and </w:t>
      </w:r>
      <w:r w:rsidR="00416071">
        <w:rPr>
          <w:lang w:val="en-AU"/>
        </w:rPr>
        <w:t>can</w:t>
      </w:r>
      <w:r w:rsidR="00055624">
        <w:rPr>
          <w:lang w:val="en-AU"/>
        </w:rPr>
        <w:t xml:space="preserve"> </w:t>
      </w:r>
      <w:r w:rsidR="009752E0" w:rsidRPr="008F0F3C">
        <w:rPr>
          <w:lang w:val="en-AU"/>
        </w:rPr>
        <w:t>make the clinical decision about whether 60</w:t>
      </w:r>
      <w:r w:rsidR="00B13137">
        <w:rPr>
          <w:lang w:val="en-AU"/>
        </w:rPr>
        <w:t>-</w:t>
      </w:r>
      <w:r w:rsidR="009752E0" w:rsidRPr="008F0F3C">
        <w:rPr>
          <w:lang w:val="en-AU"/>
        </w:rPr>
        <w:t>day prescriptions are appropriate for patients with</w:t>
      </w:r>
      <w:r w:rsidR="001935C4">
        <w:rPr>
          <w:lang w:val="en-AU"/>
        </w:rPr>
        <w:t xml:space="preserve"> </w:t>
      </w:r>
      <w:r w:rsidR="00416071">
        <w:rPr>
          <w:lang w:val="en-AU"/>
        </w:rPr>
        <w:t xml:space="preserve">stable </w:t>
      </w:r>
      <w:r w:rsidR="009752E0" w:rsidRPr="008F0F3C">
        <w:rPr>
          <w:lang w:val="en-AU"/>
        </w:rPr>
        <w:t>ongoing health conditions</w:t>
      </w:r>
      <w:r w:rsidR="00055624" w:rsidRPr="00F1387B">
        <w:rPr>
          <w:lang w:val="en-AU"/>
        </w:rPr>
        <w:t xml:space="preserve">. A PBS prescriber is defined under Part VII of the </w:t>
      </w:r>
      <w:r w:rsidR="00055624" w:rsidRPr="00F1387B">
        <w:rPr>
          <w:i/>
          <w:iCs/>
          <w:lang w:val="en-AU"/>
        </w:rPr>
        <w:t>National Health Act 1953</w:t>
      </w:r>
      <w:r w:rsidR="00055624" w:rsidRPr="00F1387B">
        <w:rPr>
          <w:lang w:val="en-AU"/>
        </w:rPr>
        <w:t>.</w:t>
      </w:r>
    </w:p>
    <w:p w14:paraId="3EB31641" w14:textId="25D33020" w:rsidR="009752E0" w:rsidRDefault="00416071" w:rsidP="00B31D72">
      <w:pPr>
        <w:spacing w:line="276" w:lineRule="auto"/>
        <w:rPr>
          <w:lang w:val="en-AU"/>
        </w:rPr>
      </w:pPr>
      <w:r>
        <w:rPr>
          <w:lang w:val="en-AU"/>
        </w:rPr>
        <w:t>P</w:t>
      </w:r>
      <w:r w:rsidR="00D072FB" w:rsidRPr="00D072FB">
        <w:rPr>
          <w:lang w:val="en-AU"/>
        </w:rPr>
        <w:t xml:space="preserve">rescribing software </w:t>
      </w:r>
      <w:r w:rsidR="00886313">
        <w:rPr>
          <w:lang w:val="en-AU"/>
        </w:rPr>
        <w:t>is</w:t>
      </w:r>
      <w:r w:rsidR="00D072FB" w:rsidRPr="00D072FB">
        <w:rPr>
          <w:lang w:val="en-AU"/>
        </w:rPr>
        <w:t xml:space="preserve"> automatically updated and </w:t>
      </w:r>
      <w:r w:rsidR="00C75889">
        <w:rPr>
          <w:lang w:val="en-AU"/>
        </w:rPr>
        <w:t xml:space="preserve">included </w:t>
      </w:r>
      <w:r w:rsidR="00D072FB" w:rsidRPr="00D072FB">
        <w:rPr>
          <w:lang w:val="en-AU"/>
        </w:rPr>
        <w:t xml:space="preserve">medicines have an additional </w:t>
      </w:r>
      <w:r w:rsidR="004A0656">
        <w:rPr>
          <w:lang w:val="en-AU"/>
        </w:rPr>
        <w:t>PBS</w:t>
      </w:r>
      <w:r w:rsidR="004A0656" w:rsidRPr="00D072FB">
        <w:rPr>
          <w:lang w:val="en-AU"/>
        </w:rPr>
        <w:t xml:space="preserve"> </w:t>
      </w:r>
      <w:r w:rsidR="00D072FB" w:rsidRPr="00D072FB">
        <w:rPr>
          <w:lang w:val="en-AU"/>
        </w:rPr>
        <w:t>item code for 60-day</w:t>
      </w:r>
      <w:r w:rsidR="00D2531E">
        <w:rPr>
          <w:lang w:val="en-AU"/>
        </w:rPr>
        <w:t xml:space="preserve"> (or 56-day)</w:t>
      </w:r>
      <w:r w:rsidR="00D072FB" w:rsidRPr="00D072FB">
        <w:rPr>
          <w:lang w:val="en-AU"/>
        </w:rPr>
        <w:t xml:space="preserve"> prescriptions, as well as the current code for 30-day</w:t>
      </w:r>
      <w:r w:rsidR="002925CE">
        <w:rPr>
          <w:lang w:val="en-AU"/>
        </w:rPr>
        <w:t xml:space="preserve"> (or 28-day)</w:t>
      </w:r>
      <w:r w:rsidR="00D072FB" w:rsidRPr="00D072FB">
        <w:rPr>
          <w:lang w:val="en-AU"/>
        </w:rPr>
        <w:t xml:space="preserve"> prescriptions.</w:t>
      </w:r>
    </w:p>
    <w:p w14:paraId="77699992" w14:textId="0E07BD53" w:rsidR="009752E0" w:rsidRPr="002600CA" w:rsidRDefault="009752E0" w:rsidP="00B31D72">
      <w:pPr>
        <w:spacing w:line="276" w:lineRule="auto"/>
        <w:rPr>
          <w:lang w:val="en-GB"/>
        </w:rPr>
      </w:pPr>
      <w:r>
        <w:rPr>
          <w:lang w:val="en-AU"/>
        </w:rPr>
        <w:t xml:space="preserve">Where a prescriber considers </w:t>
      </w:r>
      <w:r w:rsidR="00C75889">
        <w:rPr>
          <w:lang w:val="en-AU"/>
        </w:rPr>
        <w:t xml:space="preserve">a </w:t>
      </w:r>
      <w:r>
        <w:rPr>
          <w:lang w:val="en-AU"/>
        </w:rPr>
        <w:t>60-day prescription appropriate</w:t>
      </w:r>
      <w:r w:rsidR="00BC74AC">
        <w:rPr>
          <w:lang w:val="en-AU"/>
        </w:rPr>
        <w:t xml:space="preserve"> for a patient</w:t>
      </w:r>
      <w:r>
        <w:rPr>
          <w:lang w:val="en-AU"/>
        </w:rPr>
        <w:t xml:space="preserve">, </w:t>
      </w:r>
      <w:r w:rsidRPr="00471B68">
        <w:rPr>
          <w:lang w:val="en-GB"/>
        </w:rPr>
        <w:t xml:space="preserve">it </w:t>
      </w:r>
      <w:r w:rsidR="00BC74AC">
        <w:rPr>
          <w:lang w:val="en-GB"/>
        </w:rPr>
        <w:t>may</w:t>
      </w:r>
      <w:r w:rsidRPr="00471B68">
        <w:rPr>
          <w:lang w:val="en-GB"/>
        </w:rPr>
        <w:t xml:space="preserve"> reduce </w:t>
      </w:r>
      <w:r w:rsidR="001C2AC2">
        <w:rPr>
          <w:lang w:val="en-GB"/>
        </w:rPr>
        <w:t xml:space="preserve">both </w:t>
      </w:r>
      <w:proofErr w:type="gramStart"/>
      <w:r w:rsidRPr="00471B68">
        <w:rPr>
          <w:lang w:val="en-GB"/>
        </w:rPr>
        <w:t>time</w:t>
      </w:r>
      <w:proofErr w:type="gramEnd"/>
      <w:r w:rsidRPr="00471B68">
        <w:rPr>
          <w:lang w:val="en-GB"/>
        </w:rPr>
        <w:t xml:space="preserve"> spent in consultations to renew prescriptions and the patient’s annual medication costs</w:t>
      </w:r>
      <w:r>
        <w:rPr>
          <w:lang w:val="en-AU"/>
        </w:rPr>
        <w:t>.</w:t>
      </w:r>
    </w:p>
    <w:p w14:paraId="3D80FD19" w14:textId="77777777" w:rsidR="003621D2" w:rsidRDefault="009101A1" w:rsidP="003621D2">
      <w:pPr>
        <w:pStyle w:val="Heading2"/>
        <w:shd w:val="clear" w:color="auto" w:fill="FFFFFF"/>
        <w:spacing w:before="0" w:after="0"/>
        <w:rPr>
          <w:rFonts w:asciiTheme="minorHAnsi" w:hAnsiTheme="minorHAnsi" w:cstheme="minorHAnsi"/>
          <w:b w:val="0"/>
          <w:color w:val="auto"/>
          <w:sz w:val="20"/>
          <w:szCs w:val="20"/>
        </w:rPr>
      </w:pPr>
      <w:r w:rsidRPr="007A521B">
        <w:rPr>
          <w:rFonts w:asciiTheme="minorHAnsi" w:hAnsiTheme="minorHAnsi" w:cstheme="minorHAnsi"/>
          <w:b w:val="0"/>
          <w:color w:val="auto"/>
          <w:sz w:val="20"/>
          <w:szCs w:val="20"/>
        </w:rPr>
        <w:t>60-day prescriptions have been introduced gradually in 3 stages over 12 months</w:t>
      </w:r>
      <w:r w:rsidR="003621D2">
        <w:rPr>
          <w:rFonts w:asciiTheme="minorHAnsi" w:hAnsiTheme="minorHAnsi" w:cstheme="minorHAnsi"/>
          <w:b w:val="0"/>
          <w:color w:val="auto"/>
          <w:sz w:val="20"/>
          <w:szCs w:val="20"/>
        </w:rPr>
        <w:t xml:space="preserve"> on:</w:t>
      </w:r>
      <w:r w:rsidRPr="007A521B">
        <w:rPr>
          <w:rFonts w:asciiTheme="minorHAnsi" w:hAnsiTheme="minorHAnsi" w:cstheme="minorHAnsi"/>
          <w:b w:val="0"/>
          <w:color w:val="auto"/>
          <w:sz w:val="20"/>
          <w:szCs w:val="20"/>
        </w:rPr>
        <w:t xml:space="preserve"> </w:t>
      </w:r>
    </w:p>
    <w:p w14:paraId="548ED2CE" w14:textId="77777777" w:rsidR="003621D2" w:rsidRPr="003621D2" w:rsidRDefault="009101A1" w:rsidP="00E60CDF">
      <w:pPr>
        <w:pStyle w:val="Heading2"/>
        <w:numPr>
          <w:ilvl w:val="0"/>
          <w:numId w:val="29"/>
        </w:numPr>
        <w:shd w:val="clear" w:color="auto" w:fill="FFFFFF"/>
        <w:spacing w:before="0" w:after="0"/>
        <w:rPr>
          <w:rFonts w:asciiTheme="minorHAnsi" w:hAnsiTheme="minorHAnsi" w:cstheme="minorHAnsi"/>
          <w:b w:val="0"/>
          <w:bCs/>
          <w:color w:val="313131"/>
          <w:sz w:val="20"/>
          <w:szCs w:val="20"/>
        </w:rPr>
      </w:pPr>
      <w:r w:rsidRPr="007A521B">
        <w:rPr>
          <w:rFonts w:asciiTheme="minorHAnsi" w:hAnsiTheme="minorHAnsi" w:cstheme="minorHAnsi"/>
          <w:b w:val="0"/>
          <w:color w:val="auto"/>
          <w:sz w:val="20"/>
          <w:szCs w:val="20"/>
        </w:rPr>
        <w:t xml:space="preserve">1 September 2023 </w:t>
      </w:r>
    </w:p>
    <w:p w14:paraId="699F9793" w14:textId="77777777" w:rsidR="003621D2" w:rsidRPr="003621D2" w:rsidRDefault="009101A1" w:rsidP="00E60CDF">
      <w:pPr>
        <w:pStyle w:val="Heading2"/>
        <w:numPr>
          <w:ilvl w:val="0"/>
          <w:numId w:val="29"/>
        </w:numPr>
        <w:shd w:val="clear" w:color="auto" w:fill="FFFFFF"/>
        <w:spacing w:before="0" w:after="0"/>
        <w:rPr>
          <w:rFonts w:asciiTheme="minorHAnsi" w:hAnsiTheme="minorHAnsi" w:cstheme="minorHAnsi"/>
          <w:b w:val="0"/>
          <w:bCs/>
          <w:color w:val="313131"/>
          <w:sz w:val="20"/>
          <w:szCs w:val="20"/>
        </w:rPr>
      </w:pPr>
      <w:r w:rsidRPr="007A521B">
        <w:rPr>
          <w:rFonts w:asciiTheme="minorHAnsi" w:hAnsiTheme="minorHAnsi" w:cstheme="minorHAnsi"/>
          <w:b w:val="0"/>
          <w:color w:val="auto"/>
          <w:sz w:val="20"/>
          <w:szCs w:val="20"/>
        </w:rPr>
        <w:t xml:space="preserve">1 March 2024 </w:t>
      </w:r>
    </w:p>
    <w:p w14:paraId="262CFE46" w14:textId="79B681D4" w:rsidR="009101A1" w:rsidRPr="009101A1" w:rsidRDefault="009101A1" w:rsidP="00E60CDF">
      <w:pPr>
        <w:pStyle w:val="Heading2"/>
        <w:numPr>
          <w:ilvl w:val="0"/>
          <w:numId w:val="29"/>
        </w:numPr>
        <w:shd w:val="clear" w:color="auto" w:fill="FFFFFF"/>
        <w:spacing w:before="0" w:after="0"/>
        <w:rPr>
          <w:rFonts w:asciiTheme="minorHAnsi" w:hAnsiTheme="minorHAnsi" w:cstheme="minorHAnsi"/>
          <w:b w:val="0"/>
          <w:bCs/>
          <w:color w:val="313131"/>
          <w:sz w:val="20"/>
          <w:szCs w:val="20"/>
        </w:rPr>
      </w:pPr>
      <w:r w:rsidRPr="007A521B">
        <w:rPr>
          <w:rFonts w:asciiTheme="minorHAnsi" w:hAnsiTheme="minorHAnsi" w:cstheme="minorHAnsi"/>
          <w:b w:val="0"/>
          <w:color w:val="auto"/>
          <w:sz w:val="20"/>
          <w:szCs w:val="20"/>
        </w:rPr>
        <w:t>1 September 2024. </w:t>
      </w:r>
    </w:p>
    <w:p w14:paraId="25C945D2" w14:textId="77777777" w:rsidR="00561F69" w:rsidRPr="008058D6" w:rsidRDefault="00561F69" w:rsidP="00457530">
      <w:pPr>
        <w:pStyle w:val="Heading2"/>
      </w:pPr>
      <w:r w:rsidRPr="008058D6">
        <w:t>Communication resources</w:t>
      </w:r>
    </w:p>
    <w:p w14:paraId="4404465E" w14:textId="1DCC603B" w:rsidR="00561F69" w:rsidRPr="00457530" w:rsidRDefault="00561F69" w:rsidP="00B31D72">
      <w:pPr>
        <w:spacing w:line="276" w:lineRule="auto"/>
        <w:rPr>
          <w:lang w:val="en-GB"/>
        </w:rPr>
      </w:pPr>
      <w:r w:rsidRPr="008058D6">
        <w:rPr>
          <w:lang w:val="en-GB"/>
        </w:rPr>
        <w:t xml:space="preserve">The </w:t>
      </w:r>
      <w:r w:rsidR="003823A6">
        <w:rPr>
          <w:lang w:val="en-GB"/>
        </w:rPr>
        <w:t xml:space="preserve">information </w:t>
      </w:r>
      <w:r w:rsidRPr="008058D6">
        <w:rPr>
          <w:lang w:val="en-GB"/>
        </w:rPr>
        <w:t xml:space="preserve">resources in this kit are designed to </w:t>
      </w:r>
      <w:r w:rsidR="003823A6">
        <w:rPr>
          <w:lang w:val="en-GB"/>
        </w:rPr>
        <w:t>be</w:t>
      </w:r>
      <w:r w:rsidRPr="008058D6">
        <w:rPr>
          <w:lang w:val="en-GB"/>
        </w:rPr>
        <w:t xml:space="preserve"> share</w:t>
      </w:r>
      <w:r w:rsidR="003823A6">
        <w:rPr>
          <w:lang w:val="en-GB"/>
        </w:rPr>
        <w:t>d</w:t>
      </w:r>
      <w:r w:rsidRPr="008058D6">
        <w:rPr>
          <w:lang w:val="en-GB"/>
        </w:rPr>
        <w:t xml:space="preserve"> </w:t>
      </w:r>
      <w:r w:rsidR="00C2246A" w:rsidRPr="00457530">
        <w:rPr>
          <w:lang w:val="en-GB"/>
        </w:rPr>
        <w:t>with your patients</w:t>
      </w:r>
      <w:r w:rsidRPr="008058D6">
        <w:rPr>
          <w:lang w:val="en-GB"/>
        </w:rPr>
        <w:t>. They cover a range of topics relating to the PBS and provide answers to common</w:t>
      </w:r>
      <w:r w:rsidR="00C80F43">
        <w:rPr>
          <w:lang w:val="en-GB"/>
        </w:rPr>
        <w:t>ly asked</w:t>
      </w:r>
      <w:r w:rsidR="00C2246A" w:rsidRPr="00457530">
        <w:rPr>
          <w:lang w:val="en-GB"/>
        </w:rPr>
        <w:t xml:space="preserve"> </w:t>
      </w:r>
      <w:r w:rsidRPr="008058D6">
        <w:rPr>
          <w:lang w:val="en-GB"/>
        </w:rPr>
        <w:t>questions.</w:t>
      </w:r>
    </w:p>
    <w:p w14:paraId="717EA2DA" w14:textId="7EE5769C" w:rsidR="00065BA3" w:rsidRPr="002A74C6" w:rsidRDefault="00065BA3" w:rsidP="00065BA3">
      <w:pPr>
        <w:pStyle w:val="Heading2"/>
        <w:rPr>
          <w:lang w:val="en-AU"/>
        </w:rPr>
      </w:pPr>
      <w:r w:rsidRPr="008F0F3C">
        <w:rPr>
          <w:lang w:val="en-AU"/>
        </w:rPr>
        <w:t>Further information</w:t>
      </w:r>
    </w:p>
    <w:p w14:paraId="01505A3A" w14:textId="66ECBA2F" w:rsidR="00A76E85" w:rsidRPr="002A74C6" w:rsidRDefault="00065BA3" w:rsidP="00B31D72">
      <w:pPr>
        <w:pStyle w:val="ListBullet2"/>
        <w:spacing w:line="276" w:lineRule="auto"/>
      </w:pPr>
      <w:r w:rsidRPr="002A74C6">
        <w:t>For further information on 60</w:t>
      </w:r>
      <w:r>
        <w:t>-</w:t>
      </w:r>
      <w:r w:rsidRPr="002A74C6">
        <w:t xml:space="preserve">day prescriptions visit </w:t>
      </w:r>
      <w:r w:rsidR="004F55B7" w:rsidRPr="00B31D72">
        <w:t>the</w:t>
      </w:r>
      <w:r w:rsidR="004F55B7">
        <w:t xml:space="preserve"> </w:t>
      </w:r>
      <w:hyperlink r:id="rId14" w:history="1">
        <w:r w:rsidR="00D60528" w:rsidRPr="00D60528">
          <w:rPr>
            <w:rStyle w:val="Hyperlink"/>
            <w:rFonts w:ascii="Arial" w:hAnsi="Arial"/>
          </w:rPr>
          <w:t>Cheaper Medicines website</w:t>
        </w:r>
      </w:hyperlink>
    </w:p>
    <w:p w14:paraId="3A9DC5E8" w14:textId="22AF981C" w:rsidR="00065BA3" w:rsidRPr="002A74C6" w:rsidRDefault="00065BA3" w:rsidP="00B31D72">
      <w:pPr>
        <w:pStyle w:val="ListBullet2"/>
        <w:spacing w:line="276" w:lineRule="auto"/>
      </w:pPr>
      <w:r w:rsidRPr="002A74C6">
        <w:t xml:space="preserve">For a searchable list of medicines </w:t>
      </w:r>
      <w:r w:rsidR="00C75889">
        <w:t xml:space="preserve">available for 60-day prescriptions </w:t>
      </w:r>
      <w:r w:rsidRPr="002A74C6">
        <w:t xml:space="preserve">visit </w:t>
      </w:r>
      <w:hyperlink r:id="rId15" w:history="1">
        <w:r w:rsidR="00485014" w:rsidRPr="00485014">
          <w:rPr>
            <w:rStyle w:val="Hyperlink"/>
            <w:rFonts w:ascii="Arial" w:hAnsi="Arial"/>
          </w:rPr>
          <w:t>PBS medicines and current item codes</w:t>
        </w:r>
      </w:hyperlink>
    </w:p>
    <w:p w14:paraId="51BE350A" w14:textId="33B4F04C" w:rsidR="00065BA3" w:rsidRPr="008F0F3C" w:rsidRDefault="00065BA3" w:rsidP="00B31D72">
      <w:pPr>
        <w:pStyle w:val="ListBullet2"/>
        <w:spacing w:line="276" w:lineRule="auto"/>
      </w:pPr>
      <w:r>
        <w:t>For a</w:t>
      </w:r>
      <w:r w:rsidRPr="008F0F3C">
        <w:t xml:space="preserve"> </w:t>
      </w:r>
      <w:r w:rsidR="00825027">
        <w:t xml:space="preserve">full </w:t>
      </w:r>
      <w:r w:rsidRPr="008F0F3C">
        <w:t>list of medicines recommended by the</w:t>
      </w:r>
      <w:r>
        <w:t xml:space="preserve"> Pharmaceutical Benefits Advisory Committee</w:t>
      </w:r>
      <w:r w:rsidR="00F13551">
        <w:t xml:space="preserve"> </w:t>
      </w:r>
      <w:r w:rsidRPr="008F0F3C">
        <w:t xml:space="preserve">as suitable for increased </w:t>
      </w:r>
      <w:r>
        <w:t>dispensing quantities</w:t>
      </w:r>
      <w:r w:rsidRPr="008F0F3C">
        <w:t xml:space="preserve"> </w:t>
      </w:r>
      <w:r>
        <w:t>visit the PBS website:</w:t>
      </w:r>
      <w:r w:rsidRPr="008F0F3C">
        <w:t xml:space="preserve"> </w:t>
      </w:r>
      <w:hyperlink r:id="rId16">
        <w:r w:rsidRPr="008F0F3C">
          <w:rPr>
            <w:rStyle w:val="Hyperlink"/>
          </w:rPr>
          <w:t>Increased Dispensing Quantities – List of Medicines</w:t>
        </w:r>
      </w:hyperlink>
    </w:p>
    <w:p w14:paraId="09059FB8" w14:textId="078F2CE7" w:rsidR="00065BA3" w:rsidRDefault="00065BA3" w:rsidP="00B31D72">
      <w:pPr>
        <w:pStyle w:val="ListBullet2"/>
        <w:spacing w:line="276" w:lineRule="auto"/>
      </w:pPr>
      <w:r>
        <w:t>R</w:t>
      </w:r>
      <w:r w:rsidRPr="008F0F3C">
        <w:t xml:space="preserve">esources for </w:t>
      </w:r>
      <w:r>
        <w:t>patients</w:t>
      </w:r>
      <w:r w:rsidRPr="008F0F3C">
        <w:t xml:space="preserve"> are available </w:t>
      </w:r>
      <w:r w:rsidR="00BB1E71">
        <w:t xml:space="preserve">on the </w:t>
      </w:r>
      <w:hyperlink r:id="rId17" w:history="1">
        <w:r w:rsidR="00BB1E71" w:rsidRPr="00653613">
          <w:rPr>
            <w:rStyle w:val="Hyperlink"/>
            <w:rFonts w:ascii="Arial" w:hAnsi="Arial"/>
          </w:rPr>
          <w:t>Cheaper Medicines website</w:t>
        </w:r>
      </w:hyperlink>
      <w:r w:rsidR="0039749A">
        <w:t xml:space="preserve"> and</w:t>
      </w:r>
      <w:r w:rsidRPr="008F0F3C">
        <w:t xml:space="preserve"> </w:t>
      </w:r>
      <w:hyperlink r:id="rId18" w:history="1">
        <w:r w:rsidRPr="008F0F3C">
          <w:rPr>
            <w:rStyle w:val="Hyperlink"/>
          </w:rPr>
          <w:t xml:space="preserve">60 Day Scripts – </w:t>
        </w:r>
        <w:r>
          <w:rPr>
            <w:rStyle w:val="Hyperlink"/>
          </w:rPr>
          <w:t>developed</w:t>
        </w:r>
        <w:r w:rsidRPr="008F0F3C">
          <w:rPr>
            <w:rStyle w:val="Hyperlink"/>
          </w:rPr>
          <w:t xml:space="preserve"> by Consumers Health Forum</w:t>
        </w:r>
      </w:hyperlink>
    </w:p>
    <w:p w14:paraId="109181C0" w14:textId="456B2763" w:rsidR="007A0D50" w:rsidRDefault="00557F7D" w:rsidP="00B31D72">
      <w:pPr>
        <w:pStyle w:val="ListBullet2"/>
        <w:spacing w:line="276" w:lineRule="auto"/>
      </w:pPr>
      <w:hyperlink r:id="rId19" w:history="1">
        <w:r w:rsidR="007A0D50" w:rsidRPr="008D1B54">
          <w:rPr>
            <w:rStyle w:val="Hyperlink"/>
            <w:rFonts w:ascii="Arial" w:hAnsi="Arial"/>
          </w:rPr>
          <w:t>Therapeutic Goods Administration medicine shortage reports database</w:t>
        </w:r>
      </w:hyperlink>
    </w:p>
    <w:p w14:paraId="5CA8CD50" w14:textId="47676CCB" w:rsidR="00431AAC" w:rsidRDefault="00065BA3" w:rsidP="00651BC2">
      <w:pPr>
        <w:spacing w:line="276" w:lineRule="auto"/>
        <w:rPr>
          <w:rFonts w:eastAsiaTheme="majorEastAsia" w:cs="Times New Roman (Headings CS)"/>
          <w:b/>
          <w:color w:val="004A1A" w:themeColor="accent1"/>
          <w:sz w:val="32"/>
          <w:szCs w:val="32"/>
          <w:lang w:val="en-AU"/>
        </w:rPr>
      </w:pPr>
      <w:r>
        <w:t>If you have questions or require further information you</w:t>
      </w:r>
      <w:r w:rsidR="008A4E26">
        <w:t xml:space="preserve"> </w:t>
      </w:r>
      <w:r>
        <w:t xml:space="preserve">can email the </w:t>
      </w:r>
      <w:r w:rsidRPr="008F0F3C">
        <w:rPr>
          <w:lang w:val="en-AU"/>
        </w:rPr>
        <w:t>Department</w:t>
      </w:r>
      <w:r>
        <w:rPr>
          <w:lang w:val="en-AU"/>
        </w:rPr>
        <w:t xml:space="preserve"> at: </w:t>
      </w:r>
      <w:hyperlink r:id="rId20" w:history="1">
        <w:r w:rsidR="00227E77">
          <w:rPr>
            <w:rStyle w:val="Hyperlink"/>
            <w:rFonts w:ascii="Arial" w:hAnsi="Arial"/>
            <w:lang w:val="en-AU"/>
          </w:rPr>
          <w:t>Enquiries</w:t>
        </w:r>
        <w:r w:rsidR="00227E77" w:rsidRPr="00360ACB">
          <w:rPr>
            <w:rStyle w:val="Hyperlink"/>
            <w:rFonts w:ascii="Arial" w:hAnsi="Arial"/>
            <w:lang w:val="en-AU"/>
          </w:rPr>
          <w:t>@health.gov.au</w:t>
        </w:r>
      </w:hyperlink>
      <w:r w:rsidR="00431AAC">
        <w:rPr>
          <w:lang w:val="en-AU"/>
        </w:rPr>
        <w:br w:type="page"/>
      </w:r>
    </w:p>
    <w:p w14:paraId="0DF94875" w14:textId="53D77869" w:rsidR="009752E0" w:rsidRPr="00FA7E65" w:rsidRDefault="009752E0" w:rsidP="00F761A2">
      <w:pPr>
        <w:pStyle w:val="Heading1"/>
        <w:rPr>
          <w:lang w:val="en-AU"/>
        </w:rPr>
      </w:pPr>
      <w:bookmarkStart w:id="2" w:name="_Toc182315870"/>
      <w:r w:rsidRPr="00FA7E65">
        <w:rPr>
          <w:lang w:val="en-AU"/>
        </w:rPr>
        <w:lastRenderedPageBreak/>
        <w:t>Medicines eligible for 60-day prescriptions</w:t>
      </w:r>
      <w:bookmarkEnd w:id="2"/>
    </w:p>
    <w:p w14:paraId="7D824F2B" w14:textId="172D78FB" w:rsidR="00CB0647" w:rsidRDefault="00A31A7C" w:rsidP="00B31D72">
      <w:pPr>
        <w:spacing w:line="276" w:lineRule="auto"/>
        <w:rPr>
          <w:rFonts w:asciiTheme="minorHAnsi" w:hAnsiTheme="minorHAnsi" w:cstheme="minorHAnsi"/>
          <w:szCs w:val="20"/>
          <w:lang w:val="en-AU"/>
        </w:rPr>
      </w:pPr>
      <w:r>
        <w:rPr>
          <w:lang w:val="en-AU"/>
        </w:rPr>
        <w:t>M</w:t>
      </w:r>
      <w:r w:rsidR="00A70E83" w:rsidRPr="00A31A7C">
        <w:rPr>
          <w:lang w:val="en-AU"/>
        </w:rPr>
        <w:t>edicines available for 60-day prescriptions</w:t>
      </w:r>
      <w:r w:rsidR="00CB0647" w:rsidRPr="00CB0647">
        <w:rPr>
          <w:lang w:val="en-AU"/>
        </w:rPr>
        <w:t xml:space="preserve"> support patients </w:t>
      </w:r>
      <w:r w:rsidR="00CB0647" w:rsidRPr="00CB0647">
        <w:rPr>
          <w:rFonts w:asciiTheme="minorHAnsi" w:hAnsiTheme="minorHAnsi" w:cstheme="minorHAnsi"/>
          <w:szCs w:val="20"/>
          <w:lang w:val="en-AU"/>
        </w:rPr>
        <w:t>living with</w:t>
      </w:r>
      <w:r w:rsidR="003823A6">
        <w:rPr>
          <w:rFonts w:asciiTheme="minorHAnsi" w:hAnsiTheme="minorHAnsi" w:cstheme="minorHAnsi"/>
          <w:szCs w:val="20"/>
          <w:lang w:val="en-AU"/>
        </w:rPr>
        <w:t xml:space="preserve"> stable </w:t>
      </w:r>
      <w:r w:rsidR="00CB0647" w:rsidRPr="00CB0647">
        <w:rPr>
          <w:rFonts w:asciiTheme="minorHAnsi" w:hAnsiTheme="minorHAnsi" w:cstheme="minorHAnsi"/>
          <w:szCs w:val="20"/>
          <w:lang w:val="en-AU"/>
        </w:rPr>
        <w:t>ongoing health condition</w:t>
      </w:r>
      <w:r>
        <w:rPr>
          <w:rFonts w:asciiTheme="minorHAnsi" w:hAnsiTheme="minorHAnsi" w:cstheme="minorHAnsi"/>
          <w:szCs w:val="20"/>
          <w:lang w:val="en-AU"/>
        </w:rPr>
        <w:t>s</w:t>
      </w:r>
      <w:r w:rsidR="00C75889">
        <w:rPr>
          <w:rFonts w:asciiTheme="minorHAnsi" w:hAnsiTheme="minorHAnsi" w:cstheme="minorHAnsi"/>
          <w:szCs w:val="20"/>
          <w:lang w:val="en-AU"/>
        </w:rPr>
        <w:t xml:space="preserve"> such as</w:t>
      </w:r>
      <w:r w:rsidR="00CB0647" w:rsidRPr="00CB0647">
        <w:rPr>
          <w:rFonts w:asciiTheme="minorHAnsi" w:hAnsiTheme="minorHAnsi" w:cstheme="minorHAnsi"/>
          <w:szCs w:val="20"/>
          <w:lang w:val="en-AU"/>
        </w:rPr>
        <w:t>:</w:t>
      </w:r>
    </w:p>
    <w:tbl>
      <w:tblPr>
        <w:tblStyle w:val="TableGrid-Header"/>
        <w:tblW w:w="0" w:type="auto"/>
        <w:tblLook w:val="04A0" w:firstRow="1" w:lastRow="0" w:firstColumn="1" w:lastColumn="0" w:noHBand="0" w:noVBand="1"/>
      </w:tblPr>
      <w:tblGrid>
        <w:gridCol w:w="3029"/>
        <w:gridCol w:w="3040"/>
        <w:gridCol w:w="3002"/>
      </w:tblGrid>
      <w:tr w:rsidR="00A31A7C" w:rsidRPr="00847EB1" w14:paraId="5117D76B" w14:textId="77777777" w:rsidTr="006D0010">
        <w:trPr>
          <w:cnfStyle w:val="100000000000" w:firstRow="1" w:lastRow="0" w:firstColumn="0" w:lastColumn="0" w:oddVBand="0" w:evenVBand="0" w:oddHBand="0" w:evenHBand="0" w:firstRowFirstColumn="0" w:firstRowLastColumn="0" w:lastRowFirstColumn="0" w:lastRowLastColumn="0"/>
          <w:trHeight w:val="265"/>
        </w:trPr>
        <w:tc>
          <w:tcPr>
            <w:tcW w:w="3213" w:type="dxa"/>
          </w:tcPr>
          <w:p w14:paraId="30B9ECD6" w14:textId="77777777" w:rsidR="00A31A7C" w:rsidRPr="00847EB1" w:rsidRDefault="00A31A7C" w:rsidP="006D0010">
            <w:pPr>
              <w:pStyle w:val="NormalTablesListBullet"/>
              <w:numPr>
                <w:ilvl w:val="0"/>
                <w:numId w:val="0"/>
              </w:numPr>
              <w:ind w:left="284"/>
              <w:rPr>
                <w:b w:val="0"/>
                <w:bCs/>
              </w:rPr>
            </w:pPr>
            <w:r w:rsidRPr="00847EB1">
              <w:rPr>
                <w:bCs/>
              </w:rPr>
              <w:t>Stage 1</w:t>
            </w:r>
          </w:p>
        </w:tc>
        <w:tc>
          <w:tcPr>
            <w:tcW w:w="3213" w:type="dxa"/>
          </w:tcPr>
          <w:p w14:paraId="67BF9E4A" w14:textId="77777777" w:rsidR="00A31A7C" w:rsidRPr="00847EB1" w:rsidRDefault="00A31A7C" w:rsidP="006D0010">
            <w:pPr>
              <w:pStyle w:val="NormalTablesListBullet"/>
              <w:numPr>
                <w:ilvl w:val="0"/>
                <w:numId w:val="0"/>
              </w:numPr>
              <w:ind w:left="284"/>
              <w:rPr>
                <w:b w:val="0"/>
                <w:bCs/>
              </w:rPr>
            </w:pPr>
            <w:r w:rsidRPr="00847EB1">
              <w:rPr>
                <w:bCs/>
              </w:rPr>
              <w:t>Stage 2</w:t>
            </w:r>
          </w:p>
        </w:tc>
        <w:tc>
          <w:tcPr>
            <w:tcW w:w="3213" w:type="dxa"/>
          </w:tcPr>
          <w:p w14:paraId="3D2860D6" w14:textId="77777777" w:rsidR="00A31A7C" w:rsidRPr="00847EB1" w:rsidRDefault="00A31A7C" w:rsidP="006D0010">
            <w:pPr>
              <w:pStyle w:val="NormalTablesListBullet"/>
              <w:numPr>
                <w:ilvl w:val="0"/>
                <w:numId w:val="0"/>
              </w:numPr>
              <w:ind w:left="284"/>
              <w:rPr>
                <w:b w:val="0"/>
                <w:bCs/>
              </w:rPr>
            </w:pPr>
            <w:r w:rsidRPr="00847EB1">
              <w:rPr>
                <w:bCs/>
              </w:rPr>
              <w:t>Stage 3</w:t>
            </w:r>
          </w:p>
        </w:tc>
      </w:tr>
      <w:tr w:rsidR="00A31A7C" w:rsidRPr="000B76A4" w14:paraId="272E36A7" w14:textId="77777777" w:rsidTr="006D0010">
        <w:trPr>
          <w:trHeight w:val="594"/>
        </w:trPr>
        <w:tc>
          <w:tcPr>
            <w:tcW w:w="3213" w:type="dxa"/>
          </w:tcPr>
          <w:p w14:paraId="1AB0105F" w14:textId="77777777" w:rsidR="00A31A7C" w:rsidRPr="00847EB1" w:rsidRDefault="00A31A7C" w:rsidP="00E60CDF">
            <w:pPr>
              <w:pStyle w:val="NormalTablesListBullet"/>
              <w:numPr>
                <w:ilvl w:val="0"/>
                <w:numId w:val="26"/>
              </w:numPr>
            </w:pPr>
            <w:r w:rsidRPr="00847EB1">
              <w:t>cardiovascular disease</w:t>
            </w:r>
          </w:p>
          <w:p w14:paraId="6F70C096" w14:textId="77777777" w:rsidR="00A31A7C" w:rsidRPr="00847EB1" w:rsidRDefault="00A31A7C" w:rsidP="00E60CDF">
            <w:pPr>
              <w:pStyle w:val="NormalTablesListBullet"/>
              <w:numPr>
                <w:ilvl w:val="0"/>
                <w:numId w:val="26"/>
              </w:numPr>
            </w:pPr>
            <w:r w:rsidRPr="00847EB1">
              <w:t>Crohn’s disease</w:t>
            </w:r>
          </w:p>
          <w:p w14:paraId="53991D8C" w14:textId="77777777" w:rsidR="00A31A7C" w:rsidRPr="00847EB1" w:rsidRDefault="00A31A7C" w:rsidP="00E60CDF">
            <w:pPr>
              <w:pStyle w:val="NormalTablesListBullet"/>
              <w:numPr>
                <w:ilvl w:val="0"/>
                <w:numId w:val="26"/>
              </w:numPr>
            </w:pPr>
            <w:r w:rsidRPr="00847EB1">
              <w:t>gout</w:t>
            </w:r>
          </w:p>
          <w:p w14:paraId="340F62A5" w14:textId="77777777" w:rsidR="00A31A7C" w:rsidRPr="00847EB1" w:rsidRDefault="00A31A7C" w:rsidP="00E60CDF">
            <w:pPr>
              <w:pStyle w:val="NormalTablesListBullet"/>
              <w:numPr>
                <w:ilvl w:val="0"/>
                <w:numId w:val="26"/>
              </w:numPr>
            </w:pPr>
            <w:r w:rsidRPr="00847EB1">
              <w:t>heart failure</w:t>
            </w:r>
          </w:p>
          <w:p w14:paraId="4D48252A" w14:textId="77777777" w:rsidR="00A31A7C" w:rsidRPr="00847EB1" w:rsidRDefault="00A31A7C" w:rsidP="00E60CDF">
            <w:pPr>
              <w:pStyle w:val="NormalTablesListBullet"/>
              <w:numPr>
                <w:ilvl w:val="0"/>
                <w:numId w:val="26"/>
              </w:numPr>
            </w:pPr>
            <w:r w:rsidRPr="00847EB1">
              <w:t>high cholesterol</w:t>
            </w:r>
          </w:p>
          <w:p w14:paraId="63C69233" w14:textId="77777777" w:rsidR="00A31A7C" w:rsidRPr="00847EB1" w:rsidRDefault="00A31A7C" w:rsidP="00E60CDF">
            <w:pPr>
              <w:pStyle w:val="NormalTablesListBullet"/>
              <w:numPr>
                <w:ilvl w:val="0"/>
                <w:numId w:val="26"/>
              </w:numPr>
            </w:pPr>
            <w:r w:rsidRPr="00847EB1">
              <w:t>hypertension</w:t>
            </w:r>
          </w:p>
          <w:p w14:paraId="53E3957A" w14:textId="77777777" w:rsidR="00A31A7C" w:rsidRPr="00847EB1" w:rsidRDefault="00A31A7C" w:rsidP="00E60CDF">
            <w:pPr>
              <w:pStyle w:val="NormalTablesListBullet"/>
              <w:numPr>
                <w:ilvl w:val="0"/>
                <w:numId w:val="26"/>
              </w:numPr>
            </w:pPr>
            <w:r w:rsidRPr="00847EB1">
              <w:t>osteoporosis</w:t>
            </w:r>
          </w:p>
          <w:p w14:paraId="5CEA5930" w14:textId="77777777" w:rsidR="00A31A7C" w:rsidRPr="00847EB1" w:rsidRDefault="00A31A7C" w:rsidP="00E60CDF">
            <w:pPr>
              <w:pStyle w:val="NormalTablesListBullet"/>
              <w:numPr>
                <w:ilvl w:val="0"/>
                <w:numId w:val="26"/>
              </w:numPr>
            </w:pPr>
            <w:r w:rsidRPr="00847EB1">
              <w:t>ulcerative colitis</w:t>
            </w:r>
          </w:p>
          <w:p w14:paraId="256C678C" w14:textId="77777777" w:rsidR="00A31A7C" w:rsidRPr="000B76A4" w:rsidRDefault="00A31A7C" w:rsidP="006D0010">
            <w:pPr>
              <w:pStyle w:val="NormalTablesListBullet"/>
              <w:numPr>
                <w:ilvl w:val="0"/>
                <w:numId w:val="0"/>
              </w:numPr>
              <w:ind w:left="284"/>
            </w:pPr>
          </w:p>
        </w:tc>
        <w:tc>
          <w:tcPr>
            <w:tcW w:w="3213" w:type="dxa"/>
          </w:tcPr>
          <w:p w14:paraId="4ACD28EB" w14:textId="77777777" w:rsidR="00A31A7C" w:rsidRPr="00847EB1" w:rsidRDefault="00A31A7C" w:rsidP="00E60CDF">
            <w:pPr>
              <w:pStyle w:val="NormalTablesListBullet"/>
              <w:numPr>
                <w:ilvl w:val="0"/>
                <w:numId w:val="27"/>
              </w:numPr>
            </w:pPr>
            <w:r w:rsidRPr="00847EB1">
              <w:t>androgen deficiency</w:t>
            </w:r>
          </w:p>
          <w:p w14:paraId="3BA7AF04" w14:textId="77777777" w:rsidR="00A31A7C" w:rsidRPr="00847EB1" w:rsidRDefault="00A31A7C" w:rsidP="00E60CDF">
            <w:pPr>
              <w:pStyle w:val="NormalTablesListBullet"/>
              <w:numPr>
                <w:ilvl w:val="0"/>
                <w:numId w:val="27"/>
              </w:numPr>
            </w:pPr>
            <w:r w:rsidRPr="00847EB1">
              <w:t>arthritis</w:t>
            </w:r>
          </w:p>
          <w:p w14:paraId="2AF1F8A8" w14:textId="77777777" w:rsidR="00A31A7C" w:rsidRPr="00847EB1" w:rsidRDefault="00A31A7C" w:rsidP="00E60CDF">
            <w:pPr>
              <w:pStyle w:val="NormalTablesListBullet"/>
              <w:numPr>
                <w:ilvl w:val="0"/>
                <w:numId w:val="27"/>
              </w:numPr>
            </w:pPr>
            <w:r w:rsidRPr="00847EB1">
              <w:t>bipolar disorder</w:t>
            </w:r>
          </w:p>
          <w:p w14:paraId="1FDD1475" w14:textId="77777777" w:rsidR="00A31A7C" w:rsidRPr="00847EB1" w:rsidRDefault="00A31A7C" w:rsidP="00E60CDF">
            <w:pPr>
              <w:pStyle w:val="NormalTablesListBullet"/>
              <w:numPr>
                <w:ilvl w:val="0"/>
                <w:numId w:val="27"/>
              </w:numPr>
            </w:pPr>
            <w:r w:rsidRPr="00847EB1">
              <w:t>breast cancer</w:t>
            </w:r>
          </w:p>
          <w:p w14:paraId="7F6694A8" w14:textId="77777777" w:rsidR="00A31A7C" w:rsidRPr="00847EB1" w:rsidRDefault="00A31A7C" w:rsidP="00E60CDF">
            <w:pPr>
              <w:pStyle w:val="NormalTablesListBullet"/>
              <w:numPr>
                <w:ilvl w:val="0"/>
                <w:numId w:val="27"/>
              </w:numPr>
            </w:pPr>
            <w:r w:rsidRPr="00847EB1">
              <w:t>diabetes</w:t>
            </w:r>
          </w:p>
          <w:p w14:paraId="1D61EE2A" w14:textId="77777777" w:rsidR="00A31A7C" w:rsidRPr="00847EB1" w:rsidRDefault="00A31A7C" w:rsidP="00E60CDF">
            <w:pPr>
              <w:pStyle w:val="NormalTablesListBullet"/>
              <w:numPr>
                <w:ilvl w:val="0"/>
                <w:numId w:val="27"/>
              </w:numPr>
            </w:pPr>
            <w:r w:rsidRPr="00847EB1">
              <w:t>epilepsy</w:t>
            </w:r>
          </w:p>
          <w:p w14:paraId="50FA81C5" w14:textId="77777777" w:rsidR="00A31A7C" w:rsidRPr="00847EB1" w:rsidRDefault="00A31A7C" w:rsidP="00E60CDF">
            <w:pPr>
              <w:pStyle w:val="NormalTablesListBullet"/>
              <w:numPr>
                <w:ilvl w:val="0"/>
                <w:numId w:val="27"/>
              </w:numPr>
            </w:pPr>
            <w:r w:rsidRPr="00847EB1">
              <w:t>hypothyroidism</w:t>
            </w:r>
          </w:p>
          <w:p w14:paraId="35514B78" w14:textId="77777777" w:rsidR="00A31A7C" w:rsidRPr="00847EB1" w:rsidRDefault="00A31A7C" w:rsidP="00E60CDF">
            <w:pPr>
              <w:pStyle w:val="NormalTablesListBullet"/>
              <w:numPr>
                <w:ilvl w:val="0"/>
                <w:numId w:val="27"/>
              </w:numPr>
            </w:pPr>
            <w:r w:rsidRPr="00847EB1">
              <w:t>incontinence</w:t>
            </w:r>
          </w:p>
          <w:p w14:paraId="0AC8F976" w14:textId="77777777" w:rsidR="00A31A7C" w:rsidRPr="00847EB1" w:rsidRDefault="00A31A7C" w:rsidP="00E60CDF">
            <w:pPr>
              <w:pStyle w:val="NormalTablesListBullet"/>
              <w:numPr>
                <w:ilvl w:val="0"/>
                <w:numId w:val="27"/>
              </w:numPr>
            </w:pPr>
            <w:r w:rsidRPr="00847EB1">
              <w:t>menopause</w:t>
            </w:r>
          </w:p>
          <w:p w14:paraId="5B16E68D" w14:textId="77777777" w:rsidR="00A31A7C" w:rsidRPr="00847EB1" w:rsidRDefault="00A31A7C" w:rsidP="00E60CDF">
            <w:pPr>
              <w:pStyle w:val="NormalTablesListBullet"/>
              <w:numPr>
                <w:ilvl w:val="0"/>
                <w:numId w:val="27"/>
              </w:numPr>
            </w:pPr>
            <w:r w:rsidRPr="00847EB1">
              <w:t>migraine</w:t>
            </w:r>
          </w:p>
          <w:p w14:paraId="1897A264" w14:textId="77777777" w:rsidR="00A31A7C" w:rsidRPr="00847EB1" w:rsidRDefault="00A31A7C" w:rsidP="00E60CDF">
            <w:pPr>
              <w:pStyle w:val="NormalTablesListBullet"/>
              <w:numPr>
                <w:ilvl w:val="0"/>
                <w:numId w:val="27"/>
              </w:numPr>
            </w:pPr>
            <w:r w:rsidRPr="00847EB1">
              <w:t>prostate cancer</w:t>
            </w:r>
          </w:p>
          <w:p w14:paraId="0C3D90C7" w14:textId="77777777" w:rsidR="00A31A7C" w:rsidRPr="00847EB1" w:rsidRDefault="00A31A7C" w:rsidP="00E60CDF">
            <w:pPr>
              <w:pStyle w:val="NormalTablesListBullet"/>
              <w:numPr>
                <w:ilvl w:val="0"/>
                <w:numId w:val="27"/>
              </w:numPr>
            </w:pPr>
            <w:r w:rsidRPr="00847EB1">
              <w:t>prostate enlargement</w:t>
            </w:r>
          </w:p>
          <w:p w14:paraId="30E7C97B" w14:textId="77777777" w:rsidR="00A31A7C" w:rsidRPr="000B76A4" w:rsidRDefault="00A31A7C" w:rsidP="006D0010">
            <w:pPr>
              <w:pStyle w:val="NormalTablesListBullet"/>
              <w:numPr>
                <w:ilvl w:val="0"/>
                <w:numId w:val="0"/>
              </w:numPr>
              <w:ind w:left="284"/>
            </w:pPr>
          </w:p>
        </w:tc>
        <w:tc>
          <w:tcPr>
            <w:tcW w:w="3213" w:type="dxa"/>
          </w:tcPr>
          <w:p w14:paraId="47294D73" w14:textId="77777777" w:rsidR="00A31A7C" w:rsidRPr="00847EB1" w:rsidRDefault="00A31A7C" w:rsidP="00E60CDF">
            <w:pPr>
              <w:pStyle w:val="NormalTablesListBullet"/>
              <w:numPr>
                <w:ilvl w:val="0"/>
                <w:numId w:val="28"/>
              </w:numPr>
            </w:pPr>
            <w:r w:rsidRPr="00847EB1">
              <w:t>acne</w:t>
            </w:r>
          </w:p>
          <w:p w14:paraId="168CFF7C" w14:textId="77777777" w:rsidR="00A31A7C" w:rsidRPr="00847EB1" w:rsidRDefault="00A31A7C" w:rsidP="00E60CDF">
            <w:pPr>
              <w:pStyle w:val="NormalTablesListBullet"/>
              <w:numPr>
                <w:ilvl w:val="0"/>
                <w:numId w:val="28"/>
              </w:numPr>
            </w:pPr>
            <w:r w:rsidRPr="00847EB1">
              <w:t>anxiety disorders</w:t>
            </w:r>
          </w:p>
          <w:p w14:paraId="3A31EF32" w14:textId="77777777" w:rsidR="00A31A7C" w:rsidRPr="00847EB1" w:rsidRDefault="00A31A7C" w:rsidP="00E60CDF">
            <w:pPr>
              <w:pStyle w:val="NormalTablesListBullet"/>
              <w:numPr>
                <w:ilvl w:val="0"/>
                <w:numId w:val="28"/>
              </w:numPr>
            </w:pPr>
            <w:r w:rsidRPr="00847EB1">
              <w:t>asthma  </w:t>
            </w:r>
          </w:p>
          <w:p w14:paraId="28B21F04" w14:textId="77777777" w:rsidR="00A31A7C" w:rsidRPr="00847EB1" w:rsidRDefault="00A31A7C" w:rsidP="00E60CDF">
            <w:pPr>
              <w:pStyle w:val="NormalTablesListBullet"/>
              <w:numPr>
                <w:ilvl w:val="0"/>
                <w:numId w:val="28"/>
              </w:numPr>
            </w:pPr>
            <w:r w:rsidRPr="00847EB1">
              <w:t>chronic obstructive pulmonary disease (COPD)</w:t>
            </w:r>
          </w:p>
          <w:p w14:paraId="545CABBA" w14:textId="77777777" w:rsidR="00A31A7C" w:rsidRPr="00847EB1" w:rsidRDefault="00A31A7C" w:rsidP="00E60CDF">
            <w:pPr>
              <w:pStyle w:val="NormalTablesListBullet"/>
              <w:numPr>
                <w:ilvl w:val="0"/>
                <w:numId w:val="28"/>
              </w:numPr>
            </w:pPr>
            <w:r w:rsidRPr="00847EB1">
              <w:t>constipation</w:t>
            </w:r>
          </w:p>
          <w:p w14:paraId="0234DF28" w14:textId="77777777" w:rsidR="00A31A7C" w:rsidRPr="00847EB1" w:rsidRDefault="00A31A7C" w:rsidP="00E60CDF">
            <w:pPr>
              <w:pStyle w:val="NormalTablesListBullet"/>
              <w:numPr>
                <w:ilvl w:val="0"/>
                <w:numId w:val="28"/>
              </w:numPr>
            </w:pPr>
            <w:r w:rsidRPr="00847EB1">
              <w:t>depression</w:t>
            </w:r>
          </w:p>
          <w:p w14:paraId="4161BA2D" w14:textId="77777777" w:rsidR="00A31A7C" w:rsidRPr="00847EB1" w:rsidRDefault="00A31A7C" w:rsidP="00E60CDF">
            <w:pPr>
              <w:pStyle w:val="NormalTablesListBullet"/>
              <w:numPr>
                <w:ilvl w:val="0"/>
                <w:numId w:val="28"/>
              </w:numPr>
            </w:pPr>
            <w:r w:rsidRPr="00847EB1">
              <w:t>dry eyes</w:t>
            </w:r>
          </w:p>
          <w:p w14:paraId="5D30367A" w14:textId="77777777" w:rsidR="00A31A7C" w:rsidRPr="00847EB1" w:rsidRDefault="00A31A7C" w:rsidP="00E60CDF">
            <w:pPr>
              <w:pStyle w:val="NormalTablesListBullet"/>
              <w:numPr>
                <w:ilvl w:val="0"/>
                <w:numId w:val="28"/>
              </w:numPr>
            </w:pPr>
            <w:r w:rsidRPr="00847EB1">
              <w:t>gastro-oesophageal reflux disease (GORD)</w:t>
            </w:r>
          </w:p>
          <w:p w14:paraId="1DA6C6E8" w14:textId="77777777" w:rsidR="00A31A7C" w:rsidRPr="00847EB1" w:rsidRDefault="00A31A7C" w:rsidP="00E60CDF">
            <w:pPr>
              <w:pStyle w:val="NormalTablesListBullet"/>
              <w:numPr>
                <w:ilvl w:val="0"/>
                <w:numId w:val="28"/>
              </w:numPr>
            </w:pPr>
            <w:r w:rsidRPr="00847EB1">
              <w:t>glaucoma</w:t>
            </w:r>
          </w:p>
          <w:p w14:paraId="22296AEE" w14:textId="77777777" w:rsidR="00A31A7C" w:rsidRPr="00847EB1" w:rsidRDefault="00A31A7C" w:rsidP="00E60CDF">
            <w:pPr>
              <w:pStyle w:val="NormalTablesListBullet"/>
              <w:numPr>
                <w:ilvl w:val="0"/>
                <w:numId w:val="28"/>
              </w:numPr>
            </w:pPr>
            <w:r w:rsidRPr="00847EB1">
              <w:t>Parkinson disease</w:t>
            </w:r>
          </w:p>
          <w:p w14:paraId="29F7EC3A" w14:textId="77777777" w:rsidR="00A31A7C" w:rsidRPr="000B76A4" w:rsidRDefault="00A31A7C" w:rsidP="006D0010">
            <w:pPr>
              <w:pStyle w:val="NormalTablesListBullet"/>
              <w:numPr>
                <w:ilvl w:val="0"/>
                <w:numId w:val="0"/>
              </w:numPr>
              <w:ind w:left="284"/>
            </w:pPr>
          </w:p>
        </w:tc>
      </w:tr>
    </w:tbl>
    <w:p w14:paraId="1F7A809B" w14:textId="77777777" w:rsidR="00A31A7C" w:rsidRDefault="00A31A7C" w:rsidP="00A31A7C">
      <w:pPr>
        <w:pStyle w:val="ListBullet2"/>
        <w:numPr>
          <w:ilvl w:val="0"/>
          <w:numId w:val="0"/>
        </w:numPr>
        <w:rPr>
          <w:lang w:val="en-AU"/>
        </w:rPr>
      </w:pPr>
    </w:p>
    <w:p w14:paraId="0E17BE81" w14:textId="25208959" w:rsidR="00396F4D" w:rsidRDefault="00396F4D" w:rsidP="00396F4D">
      <w:pPr>
        <w:pStyle w:val="Heading2"/>
      </w:pPr>
      <w:bookmarkStart w:id="3" w:name="_Toc143507315"/>
      <w:r>
        <w:t xml:space="preserve">How to check if a medicine is </w:t>
      </w:r>
      <w:bookmarkEnd w:id="3"/>
      <w:r w:rsidR="004A4623">
        <w:t>available for 60-day prescriptions:</w:t>
      </w:r>
    </w:p>
    <w:p w14:paraId="25DBF574" w14:textId="60585407" w:rsidR="00E67E73" w:rsidRPr="00E67E73" w:rsidRDefault="00E67E73" w:rsidP="00E67E73">
      <w:pPr>
        <w:pStyle w:val="ListBullet2"/>
        <w:spacing w:line="276" w:lineRule="auto"/>
        <w:rPr>
          <w:b/>
        </w:rPr>
      </w:pPr>
      <w:r w:rsidRPr="00E20497">
        <w:t xml:space="preserve">For a searchable list </w:t>
      </w:r>
      <w:r w:rsidR="00F13551">
        <w:t xml:space="preserve">of </w:t>
      </w:r>
      <w:r w:rsidRPr="00E20497">
        <w:t>medicines</w:t>
      </w:r>
      <w:r>
        <w:t xml:space="preserve"> available for 60 day-prescriptions</w:t>
      </w:r>
      <w:r w:rsidRPr="00E20497">
        <w:t xml:space="preserve">, </w:t>
      </w:r>
      <w:r w:rsidRPr="00E67E73">
        <w:t xml:space="preserve">visit </w:t>
      </w:r>
      <w:hyperlink r:id="rId21" w:history="1">
        <w:r w:rsidRPr="00E67E73">
          <w:rPr>
            <w:rStyle w:val="Hyperlink"/>
            <w:rFonts w:ascii="Arial" w:hAnsi="Arial"/>
          </w:rPr>
          <w:t>PBS medicines and current item codes</w:t>
        </w:r>
        <w:r w:rsidRPr="0005552D">
          <w:rPr>
            <w:rStyle w:val="Hyperlink"/>
            <w:rFonts w:ascii="Arial" w:hAnsi="Arial"/>
            <w:color w:val="000000" w:themeColor="text1"/>
            <w:u w:val="none"/>
          </w:rPr>
          <w:t>.</w:t>
        </w:r>
      </w:hyperlink>
    </w:p>
    <w:p w14:paraId="0AA5097E" w14:textId="62D2D8ED" w:rsidR="009752E0" w:rsidRDefault="00396F4D" w:rsidP="00B616D4">
      <w:pPr>
        <w:pStyle w:val="ListBullet2"/>
        <w:spacing w:line="276" w:lineRule="auto"/>
      </w:pPr>
      <w:r w:rsidRPr="00E20497">
        <w:t>Browse the list or input the name of a specific medicine into the search box to see if it is on the list.</w:t>
      </w:r>
    </w:p>
    <w:p w14:paraId="7869CF02" w14:textId="77777777" w:rsidR="009752E0" w:rsidRDefault="009752E0" w:rsidP="009752E0">
      <w:pPr>
        <w:spacing w:line="276" w:lineRule="auto"/>
        <w:ind w:left="714" w:hanging="357"/>
      </w:pPr>
      <w:r>
        <w:br w:type="page"/>
      </w:r>
    </w:p>
    <w:p w14:paraId="0E376E53" w14:textId="77777777" w:rsidR="009752E0" w:rsidRDefault="009752E0" w:rsidP="009752E0">
      <w:pPr>
        <w:pStyle w:val="Heading1"/>
      </w:pPr>
      <w:bookmarkStart w:id="4" w:name="_Toc141346578"/>
      <w:bookmarkStart w:id="5" w:name="_Toc182315871"/>
      <w:r>
        <w:lastRenderedPageBreak/>
        <w:t>Frequently asked questions</w:t>
      </w:r>
      <w:bookmarkEnd w:id="4"/>
      <w:bookmarkEnd w:id="5"/>
    </w:p>
    <w:p w14:paraId="2FDCDCF5" w14:textId="77777777" w:rsidR="00B942DE" w:rsidRPr="00F1387B" w:rsidRDefault="00B942DE" w:rsidP="00B942DE">
      <w:pPr>
        <w:pStyle w:val="Heading2"/>
        <w:rPr>
          <w:lang w:val="en-AU"/>
        </w:rPr>
      </w:pPr>
      <w:bookmarkStart w:id="6" w:name="_Toc142405921"/>
      <w:bookmarkStart w:id="7" w:name="_Toc143507317"/>
      <w:r w:rsidRPr="00F1387B">
        <w:rPr>
          <w:lang w:val="en-AU"/>
        </w:rPr>
        <w:t>Will people need a new prescription to obtain a 60-day supply of their current medication?</w:t>
      </w:r>
    </w:p>
    <w:p w14:paraId="3FC42DFA" w14:textId="13D83E73" w:rsidR="00227E77" w:rsidRDefault="00B942DE" w:rsidP="003621D2">
      <w:pPr>
        <w:spacing w:line="276" w:lineRule="auto"/>
        <w:rPr>
          <w:lang w:val="en-AU"/>
        </w:rPr>
      </w:pPr>
      <w:r w:rsidRPr="00F1387B">
        <w:rPr>
          <w:lang w:val="en-AU"/>
        </w:rPr>
        <w:t>Yes</w:t>
      </w:r>
      <w:r w:rsidR="003621D2">
        <w:rPr>
          <w:lang w:val="en-AU"/>
        </w:rPr>
        <w:t xml:space="preserve">, patients with stable ongoing health conditions should talk to their prescriber if they are eligible for a 60-day prescription. Prescribers will use their best professional judgement to prescribe medicines for either 30 or 60 days. </w:t>
      </w:r>
      <w:r w:rsidRPr="00F1387B">
        <w:rPr>
          <w:lang w:val="en-AU"/>
        </w:rPr>
        <w:t>Pharmacists can then supply the increased quantity as specified on the new prescription. This prescription is still valid for a maximum of 12 months.</w:t>
      </w:r>
      <w:r w:rsidR="003621D2">
        <w:rPr>
          <w:lang w:val="en-AU"/>
        </w:rPr>
        <w:t xml:space="preserve"> Patients need to talk to their doctor to see if they are eligible.</w:t>
      </w:r>
    </w:p>
    <w:p w14:paraId="0D445A54" w14:textId="77777777" w:rsidR="00227E77" w:rsidRPr="00227E77" w:rsidRDefault="00227E77" w:rsidP="00227E77">
      <w:pPr>
        <w:rPr>
          <w:rFonts w:eastAsiaTheme="majorEastAsia" w:cstheme="majorBidi"/>
          <w:b/>
          <w:color w:val="004A1A" w:themeColor="text2"/>
          <w:sz w:val="26"/>
          <w:lang w:val="en-AU"/>
        </w:rPr>
      </w:pPr>
      <w:r w:rsidRPr="00227E77">
        <w:rPr>
          <w:rFonts w:eastAsiaTheme="majorEastAsia" w:cstheme="majorBidi"/>
          <w:b/>
          <w:color w:val="004A1A" w:themeColor="text2"/>
          <w:sz w:val="26"/>
          <w:lang w:val="en-AU"/>
        </w:rPr>
        <w:t>Do patients require a Concession Card to be eligible for a 60-day prescription?</w:t>
      </w:r>
    </w:p>
    <w:p w14:paraId="1DC37A55" w14:textId="3499CF40" w:rsidR="00227E77" w:rsidRDefault="00227E77" w:rsidP="00B31D72">
      <w:pPr>
        <w:spacing w:line="276" w:lineRule="auto"/>
        <w:rPr>
          <w:lang w:val="en-AU"/>
        </w:rPr>
      </w:pPr>
      <w:r w:rsidRPr="009073AD">
        <w:rPr>
          <w:lang w:val="en-AU"/>
        </w:rPr>
        <w:t xml:space="preserve">Patients do not need a concession card to access a 60-day prescription. Doctors </w:t>
      </w:r>
      <w:r w:rsidR="003621D2">
        <w:rPr>
          <w:lang w:val="en-AU"/>
        </w:rPr>
        <w:t xml:space="preserve">and other prescribers (optometrists and nurse practitioners) </w:t>
      </w:r>
      <w:r w:rsidRPr="009073AD">
        <w:rPr>
          <w:lang w:val="en-AU"/>
        </w:rPr>
        <w:t>retain full clinical discretion over what quantity of medicine is prescribed for their patients based on their assessment of their patient’s condition at the time.</w:t>
      </w:r>
    </w:p>
    <w:p w14:paraId="024E0145" w14:textId="77777777" w:rsidR="00B942DE" w:rsidRPr="009752E0" w:rsidRDefault="00B942DE" w:rsidP="00B942DE">
      <w:pPr>
        <w:pStyle w:val="Heading2"/>
      </w:pPr>
      <w:r w:rsidRPr="009752E0">
        <w:t xml:space="preserve">Can </w:t>
      </w:r>
      <w:r>
        <w:t>prescribers</w:t>
      </w:r>
      <w:r w:rsidRPr="009752E0">
        <w:t xml:space="preserve"> still write a one month’s supply prescription?</w:t>
      </w:r>
    </w:p>
    <w:p w14:paraId="0593550A" w14:textId="7F24D1D0" w:rsidR="00B942DE" w:rsidRDefault="00B942DE" w:rsidP="00B31D72">
      <w:pPr>
        <w:spacing w:line="276" w:lineRule="auto"/>
        <w:rPr>
          <w:lang w:eastAsia="en-AU"/>
        </w:rPr>
      </w:pPr>
      <w:r w:rsidRPr="00FE164E">
        <w:rPr>
          <w:lang w:eastAsia="en-AU"/>
        </w:rPr>
        <w:t xml:space="preserve">Yes, </w:t>
      </w:r>
      <w:r>
        <w:rPr>
          <w:lang w:eastAsia="en-AU"/>
        </w:rPr>
        <w:t>prescribers</w:t>
      </w:r>
      <w:r w:rsidRPr="00FE164E">
        <w:rPr>
          <w:lang w:eastAsia="en-AU"/>
        </w:rPr>
        <w:t xml:space="preserve"> retain full clinical discretion over what quantity of medicine is </w:t>
      </w:r>
      <w:r>
        <w:rPr>
          <w:lang w:eastAsia="en-AU"/>
        </w:rPr>
        <w:t>prescribed</w:t>
      </w:r>
      <w:r w:rsidRPr="00FE164E">
        <w:rPr>
          <w:lang w:eastAsia="en-AU"/>
        </w:rPr>
        <w:t xml:space="preserve"> for their patients</w:t>
      </w:r>
      <w:r>
        <w:rPr>
          <w:lang w:eastAsia="en-AU"/>
        </w:rPr>
        <w:t>, based on their assessment of a patient’s condition at that time.</w:t>
      </w:r>
    </w:p>
    <w:p w14:paraId="0032111E" w14:textId="0BB09B53" w:rsidR="00B942DE" w:rsidRDefault="00B942DE" w:rsidP="00B31D72">
      <w:pPr>
        <w:spacing w:line="276" w:lineRule="auto"/>
        <w:rPr>
          <w:lang w:eastAsia="en-AU"/>
        </w:rPr>
      </w:pPr>
      <w:r>
        <w:rPr>
          <w:lang w:eastAsia="en-AU"/>
        </w:rPr>
        <w:t>For example, a prescriber may choose to write a 30-day rather than a 60-day prescription or may choose to write a 60-day prescription with an appropriate number of repeats, depending on their clinical assessment of patient needs.</w:t>
      </w:r>
    </w:p>
    <w:p w14:paraId="1BC76403" w14:textId="77777777" w:rsidR="00B942DE" w:rsidRPr="001935C4" w:rsidRDefault="00B942DE" w:rsidP="00B942DE">
      <w:pPr>
        <w:pStyle w:val="Heading2"/>
      </w:pPr>
      <w:r w:rsidRPr="001935C4">
        <w:t>How does this impact on prescribing PBS medication?</w:t>
      </w:r>
    </w:p>
    <w:p w14:paraId="4B54938C" w14:textId="77777777" w:rsidR="00B942DE" w:rsidRPr="00070E14" w:rsidRDefault="00B942DE" w:rsidP="00B31D72">
      <w:pPr>
        <w:spacing w:line="276" w:lineRule="auto"/>
        <w:rPr>
          <w:lang w:val="en-AU" w:eastAsia="en-AU"/>
        </w:rPr>
      </w:pPr>
      <w:r w:rsidRPr="00070E14">
        <w:rPr>
          <w:lang w:val="en-AU" w:eastAsia="en-AU"/>
        </w:rPr>
        <w:t>As with all PBS listed medicines, the prescriber must be satisfied that the patient meets the eligibility requirements for the subsidy.</w:t>
      </w:r>
    </w:p>
    <w:p w14:paraId="06AD3598" w14:textId="1340E660" w:rsidR="00B942DE" w:rsidRPr="00070E14" w:rsidRDefault="00B942DE" w:rsidP="00B31D72">
      <w:pPr>
        <w:spacing w:line="276" w:lineRule="auto"/>
        <w:rPr>
          <w:lang w:val="en-AU" w:eastAsia="en-AU"/>
        </w:rPr>
      </w:pPr>
      <w:r w:rsidRPr="00070E14">
        <w:rPr>
          <w:lang w:val="en-AU" w:eastAsia="en-AU"/>
        </w:rPr>
        <w:t>The PBS restriction for all items with increased 60-day quantities include an additional clinical criterion: “The condition must be stable for the doctor to consider the listed maximum quantity of this medicine suitable for this patient</w:t>
      </w:r>
      <w:r>
        <w:rPr>
          <w:lang w:val="en-AU" w:eastAsia="en-AU"/>
        </w:rPr>
        <w:t>”</w:t>
      </w:r>
      <w:r w:rsidRPr="00070E14">
        <w:rPr>
          <w:lang w:val="en-AU" w:eastAsia="en-AU"/>
        </w:rPr>
        <w:t>.</w:t>
      </w:r>
    </w:p>
    <w:p w14:paraId="41D0634C" w14:textId="37D9ED09" w:rsidR="00B942DE" w:rsidRDefault="00B942DE" w:rsidP="00B31D72">
      <w:pPr>
        <w:spacing w:line="276" w:lineRule="auto"/>
        <w:rPr>
          <w:lang w:val="en-AU" w:eastAsia="en-AU"/>
        </w:rPr>
      </w:pPr>
      <w:r w:rsidRPr="5BF1AE31">
        <w:rPr>
          <w:lang w:val="en-AU" w:eastAsia="en-AU"/>
        </w:rPr>
        <w:t>A prescriber can continue to apply for a PBS Authority where a patient needs increased quantity of a medication.</w:t>
      </w:r>
      <w:r w:rsidR="5615B715" w:rsidRPr="5BF1AE31">
        <w:rPr>
          <w:lang w:val="en-AU" w:eastAsia="en-AU"/>
        </w:rPr>
        <w:t xml:space="preserve"> </w:t>
      </w:r>
      <w:r w:rsidRPr="5BF1AE31">
        <w:rPr>
          <w:lang w:val="en-AU" w:eastAsia="en-AU"/>
        </w:rPr>
        <w:t xml:space="preserve">They can do so by calling the Services Australia Telephone Authority Applications </w:t>
      </w:r>
      <w:proofErr w:type="spellStart"/>
      <w:r w:rsidRPr="5BF1AE31">
        <w:rPr>
          <w:lang w:val="en-AU" w:eastAsia="en-AU"/>
        </w:rPr>
        <w:t>Freecall</w:t>
      </w:r>
      <w:proofErr w:type="spellEnd"/>
      <w:r w:rsidRPr="5BF1AE31">
        <w:rPr>
          <w:lang w:val="en-AU" w:eastAsia="en-AU"/>
        </w:rPr>
        <w:t xml:space="preserve"> service on Ph:1800 888 333, or </w:t>
      </w:r>
      <w:r w:rsidR="003621D2" w:rsidRPr="5BF1AE31">
        <w:rPr>
          <w:lang w:val="en-AU" w:eastAsia="en-AU"/>
        </w:rPr>
        <w:t xml:space="preserve">by </w:t>
      </w:r>
      <w:r w:rsidRPr="5BF1AE31">
        <w:rPr>
          <w:lang w:val="en-AU" w:eastAsia="en-AU"/>
        </w:rPr>
        <w:t>using the </w:t>
      </w:r>
      <w:hyperlink r:id="rId22">
        <w:r w:rsidRPr="5BF1AE31">
          <w:rPr>
            <w:color w:val="004A1A" w:themeColor="accent1"/>
            <w:u w:val="single"/>
            <w:lang w:val="en-AU" w:eastAsia="en-AU"/>
          </w:rPr>
          <w:t>Services Australia PBS authorities website</w:t>
        </w:r>
      </w:hyperlink>
      <w:r w:rsidRPr="5BF1AE31">
        <w:rPr>
          <w:lang w:val="en-AU" w:eastAsia="en-AU"/>
        </w:rPr>
        <w:t>.</w:t>
      </w:r>
    </w:p>
    <w:p w14:paraId="4253BD4E" w14:textId="77777777" w:rsidR="00B942DE" w:rsidRPr="0076534C" w:rsidRDefault="00B942DE" w:rsidP="00B942DE">
      <w:pPr>
        <w:pStyle w:val="Heading2"/>
      </w:pPr>
      <w:r w:rsidRPr="0076534C">
        <w:t xml:space="preserve">How are patients saving with 60-day prescriptions? </w:t>
      </w:r>
    </w:p>
    <w:p w14:paraId="21923892" w14:textId="4A2C9CC9" w:rsidR="00B942DE" w:rsidRPr="00FE1E1C" w:rsidRDefault="00B942DE" w:rsidP="00B31D72">
      <w:pPr>
        <w:spacing w:line="276" w:lineRule="auto"/>
        <w:rPr>
          <w:lang w:val="en-AU"/>
        </w:rPr>
      </w:pPr>
      <w:r w:rsidRPr="00836E98">
        <w:rPr>
          <w:lang w:val="en-AU"/>
        </w:rPr>
        <w:t xml:space="preserve">The fundamental principle of the </w:t>
      </w:r>
      <w:r>
        <w:rPr>
          <w:lang w:val="en-AU"/>
        </w:rPr>
        <w:t>change</w:t>
      </w:r>
      <w:r w:rsidRPr="00836E98">
        <w:rPr>
          <w:lang w:val="en-AU"/>
        </w:rPr>
        <w:t xml:space="preserve"> is that patients </w:t>
      </w:r>
      <w:r w:rsidR="00370783">
        <w:rPr>
          <w:lang w:val="en-AU"/>
        </w:rPr>
        <w:t xml:space="preserve">will get </w:t>
      </w:r>
      <w:r w:rsidR="003058DB" w:rsidRPr="00D77CDF">
        <w:t>twice the amount of their medication on a single prescription</w:t>
      </w:r>
      <w:r w:rsidRPr="00836E98">
        <w:rPr>
          <w:lang w:val="en-AU"/>
        </w:rPr>
        <w:t xml:space="preserve">. </w:t>
      </w:r>
      <w:r w:rsidRPr="00FE1E1C">
        <w:rPr>
          <w:lang w:val="en-AU"/>
        </w:rPr>
        <w:t>When a PBS medicine can be prescribed for 60-days patients can save:</w:t>
      </w:r>
    </w:p>
    <w:p w14:paraId="01910DB6" w14:textId="77777777" w:rsidR="00B942DE" w:rsidRPr="00906DC5" w:rsidRDefault="00B942DE" w:rsidP="00E60CDF">
      <w:pPr>
        <w:pStyle w:val="ListParagraph"/>
        <w:numPr>
          <w:ilvl w:val="0"/>
          <w:numId w:val="24"/>
        </w:numPr>
        <w:spacing w:line="276" w:lineRule="auto"/>
        <w:rPr>
          <w:lang w:val="en-AU"/>
        </w:rPr>
      </w:pPr>
      <w:r w:rsidRPr="00DD21FC">
        <w:rPr>
          <w:lang w:val="en-AU"/>
        </w:rPr>
        <w:t>up to $189.60 a year</w:t>
      </w:r>
      <w:r w:rsidRPr="6812E5B2">
        <w:rPr>
          <w:lang w:val="en-AU"/>
        </w:rPr>
        <w:t>, per medicine for Medicare card holders (non-concessional)</w:t>
      </w:r>
    </w:p>
    <w:p w14:paraId="34C7BC56" w14:textId="6F9E94C9" w:rsidR="00B942DE" w:rsidRPr="00906DC5" w:rsidRDefault="00B942DE" w:rsidP="00E60CDF">
      <w:pPr>
        <w:pStyle w:val="ListParagraph"/>
        <w:numPr>
          <w:ilvl w:val="0"/>
          <w:numId w:val="24"/>
        </w:numPr>
        <w:spacing w:line="276" w:lineRule="auto"/>
        <w:rPr>
          <w:lang w:val="en-AU"/>
        </w:rPr>
      </w:pPr>
      <w:r w:rsidRPr="00DD21FC">
        <w:rPr>
          <w:lang w:val="en-AU"/>
        </w:rPr>
        <w:t>up to $46.20 a year</w:t>
      </w:r>
      <w:r w:rsidRPr="00906DC5">
        <w:rPr>
          <w:lang w:val="en-AU"/>
        </w:rPr>
        <w:t>, per medicine for concession card holders</w:t>
      </w:r>
      <w:r>
        <w:rPr>
          <w:lang w:val="en-AU"/>
        </w:rPr>
        <w:t>.</w:t>
      </w:r>
    </w:p>
    <w:p w14:paraId="6D90F214" w14:textId="07E176FE" w:rsidR="00B942DE" w:rsidRPr="00836E98" w:rsidRDefault="00B942DE" w:rsidP="00B31D72">
      <w:pPr>
        <w:spacing w:line="276" w:lineRule="auto"/>
        <w:rPr>
          <w:lang w:val="en-AU"/>
        </w:rPr>
      </w:pPr>
      <w:r w:rsidRPr="00721B68">
        <w:rPr>
          <w:lang w:val="en-AU"/>
        </w:rPr>
        <w:t xml:space="preserve">A patient taking only medicines that have a 60-day prescription can halve their number of trips to the pharmacist to fill a script for that medicine. This will </w:t>
      </w:r>
      <w:r>
        <w:rPr>
          <w:lang w:val="en-AU"/>
        </w:rPr>
        <w:t xml:space="preserve">also </w:t>
      </w:r>
      <w:r w:rsidRPr="00721B68">
        <w:rPr>
          <w:lang w:val="en-AU"/>
        </w:rPr>
        <w:t xml:space="preserve">free up </w:t>
      </w:r>
      <w:r>
        <w:rPr>
          <w:lang w:val="en-AU"/>
        </w:rPr>
        <w:t>appointments with prescribers to focus on other aspects of patient care.</w:t>
      </w:r>
    </w:p>
    <w:p w14:paraId="6CA3CF81" w14:textId="77777777" w:rsidR="00B942DE" w:rsidRDefault="00B942DE" w:rsidP="00B942DE">
      <w:pPr>
        <w:pStyle w:val="Heading2"/>
      </w:pPr>
      <w:r w:rsidRPr="00160619">
        <w:lastRenderedPageBreak/>
        <w:t>How does this work with the PBS Safety Net</w:t>
      </w:r>
      <w:r>
        <w:t xml:space="preserve">? </w:t>
      </w:r>
    </w:p>
    <w:p w14:paraId="635C6F30" w14:textId="2D5C41B0" w:rsidR="00B942DE" w:rsidRDefault="00B942DE" w:rsidP="00B31D72">
      <w:pPr>
        <w:spacing w:line="276" w:lineRule="auto"/>
      </w:pPr>
      <w:r>
        <w:t xml:space="preserve">The PBS Safety Net will continue to support general patients who spend more than </w:t>
      </w:r>
      <w:r w:rsidRPr="00DD21FC">
        <w:t>$1,647.90</w:t>
      </w:r>
      <w:r>
        <w:t xml:space="preserve"> on PBS medicines in a year (or </w:t>
      </w:r>
      <w:r w:rsidRPr="00DD21FC">
        <w:t>$277.20</w:t>
      </w:r>
      <w:r>
        <w:t xml:space="preserve"> for concession card holders).</w:t>
      </w:r>
    </w:p>
    <w:p w14:paraId="6C2270DB" w14:textId="599B1407" w:rsidR="00B942DE" w:rsidRDefault="00B942DE" w:rsidP="00B31D72">
      <w:pPr>
        <w:spacing w:line="276" w:lineRule="auto"/>
      </w:pPr>
      <w:r>
        <w:t xml:space="preserve">With a 60-day prescription, patients </w:t>
      </w:r>
      <w:r w:rsidR="00EA00EE">
        <w:t xml:space="preserve">could </w:t>
      </w:r>
      <w:r>
        <w:t>save on their medicines</w:t>
      </w:r>
      <w:r w:rsidR="00EA00EE">
        <w:t xml:space="preserve"> so</w:t>
      </w:r>
      <w:r>
        <w:t xml:space="preserve"> that they won’t need the Safety Net. Others will reach the Safety Net later in the year, having spread their medicine costs over a longer period.</w:t>
      </w:r>
    </w:p>
    <w:p w14:paraId="00507B65" w14:textId="12CE46A0" w:rsidR="00B942DE" w:rsidRDefault="00B942DE" w:rsidP="00B31D72">
      <w:pPr>
        <w:spacing w:line="276" w:lineRule="auto"/>
      </w:pPr>
      <w:r>
        <w:t xml:space="preserve">The benefit for patients is that their total annual medicines cost will be spread out over a greater </w:t>
      </w:r>
      <w:proofErr w:type="gramStart"/>
      <w:r>
        <w:t>period of time</w:t>
      </w:r>
      <w:proofErr w:type="gramEnd"/>
      <w:r>
        <w:t xml:space="preserve">, resulting in a lower monthly medicines cost. </w:t>
      </w:r>
      <w:r w:rsidR="00EA00EE" w:rsidRPr="00EA00EE">
        <w:t>If patients don’t reach or hit the threshold later in the year, it means they have saved money throughout the year.</w:t>
      </w:r>
    </w:p>
    <w:p w14:paraId="7F901D85" w14:textId="64FFBBB1" w:rsidR="009752E0" w:rsidRPr="00673A3C" w:rsidRDefault="009752E0" w:rsidP="009752E0">
      <w:pPr>
        <w:pStyle w:val="Heading2"/>
        <w:rPr>
          <w:lang w:val="en-AU"/>
        </w:rPr>
      </w:pPr>
      <w:r w:rsidRPr="00673A3C">
        <w:rPr>
          <w:lang w:val="en-AU"/>
        </w:rPr>
        <w:t>How were these changes determined?</w:t>
      </w:r>
      <w:bookmarkEnd w:id="6"/>
      <w:bookmarkEnd w:id="7"/>
    </w:p>
    <w:p w14:paraId="6D37438F" w14:textId="7958D32C" w:rsidR="00123982" w:rsidRDefault="00356F7E" w:rsidP="00B31D72">
      <w:pPr>
        <w:spacing w:line="276" w:lineRule="auto"/>
        <w:rPr>
          <w:lang w:val="en-AU"/>
        </w:rPr>
      </w:pPr>
      <w:r w:rsidRPr="00356F7E">
        <w:rPr>
          <w:lang w:val="en-AU"/>
        </w:rPr>
        <w:t xml:space="preserve">Clinical experts from the independent Pharmaceutical Benefits Advisory Committee (PBAC) recommended introducing 60-day prescriptions for patients with </w:t>
      </w:r>
      <w:r w:rsidR="001B034A">
        <w:rPr>
          <w:lang w:val="en-AU"/>
        </w:rPr>
        <w:t xml:space="preserve">stable </w:t>
      </w:r>
      <w:r w:rsidRPr="00356F7E">
        <w:rPr>
          <w:lang w:val="en-AU"/>
        </w:rPr>
        <w:t>ongoing health conditions.</w:t>
      </w:r>
    </w:p>
    <w:p w14:paraId="55ED4B01" w14:textId="5FAA37FE" w:rsidR="00F761A2" w:rsidRPr="00F761A2" w:rsidRDefault="00F761A2" w:rsidP="00B31D72">
      <w:pPr>
        <w:spacing w:line="276" w:lineRule="auto"/>
        <w:rPr>
          <w:lang w:val="en-AU"/>
        </w:rPr>
      </w:pPr>
      <w:r w:rsidRPr="00F761A2">
        <w:rPr>
          <w:lang w:val="en-AU"/>
        </w:rPr>
        <w:t xml:space="preserve">In making its recommendations, the PBAC applied the following guidance criteria to identify medicines that should </w:t>
      </w:r>
      <w:r w:rsidRPr="001C3B37">
        <w:rPr>
          <w:u w:val="single"/>
          <w:lang w:val="en-AU"/>
        </w:rPr>
        <w:t>not</w:t>
      </w:r>
      <w:r w:rsidRPr="00F761A2">
        <w:rPr>
          <w:lang w:val="en-AU"/>
        </w:rPr>
        <w:t xml:space="preserve"> be listed with higher quantities:</w:t>
      </w:r>
    </w:p>
    <w:p w14:paraId="0B6350E4" w14:textId="58B01480" w:rsidR="00F761A2" w:rsidRPr="00F761A2" w:rsidRDefault="00F761A2" w:rsidP="00E60CDF">
      <w:pPr>
        <w:pStyle w:val="ListParagraph"/>
        <w:numPr>
          <w:ilvl w:val="0"/>
          <w:numId w:val="25"/>
        </w:numPr>
        <w:spacing w:line="276" w:lineRule="auto"/>
        <w:ind w:left="714" w:hanging="357"/>
        <w:contextualSpacing w:val="0"/>
        <w:rPr>
          <w:lang w:val="en-AU"/>
        </w:rPr>
      </w:pPr>
      <w:r w:rsidRPr="00F761A2">
        <w:rPr>
          <w:lang w:val="en-AU"/>
        </w:rPr>
        <w:t xml:space="preserve">medicines where being able to stockpile large quantities could pose a risk to patient safety (for example: narcotics, paracetamol/codeine, psychostimulants, </w:t>
      </w:r>
      <w:proofErr w:type="spellStart"/>
      <w:r w:rsidRPr="00F761A2">
        <w:rPr>
          <w:lang w:val="en-AU"/>
        </w:rPr>
        <w:t>psycholeptics</w:t>
      </w:r>
      <w:proofErr w:type="spellEnd"/>
      <w:r w:rsidRPr="00F761A2">
        <w:rPr>
          <w:lang w:val="en-AU"/>
        </w:rPr>
        <w:t xml:space="preserve"> and </w:t>
      </w:r>
      <w:proofErr w:type="spellStart"/>
      <w:r w:rsidRPr="00F761A2">
        <w:rPr>
          <w:lang w:val="en-AU"/>
        </w:rPr>
        <w:t>psychoanaleptics</w:t>
      </w:r>
      <w:proofErr w:type="spellEnd"/>
      <w:r w:rsidRPr="00F761A2">
        <w:rPr>
          <w:lang w:val="en-AU"/>
        </w:rPr>
        <w:t>)</w:t>
      </w:r>
    </w:p>
    <w:p w14:paraId="7C22E10A" w14:textId="717C5F6F" w:rsidR="00F761A2" w:rsidRPr="00F761A2" w:rsidRDefault="00F761A2" w:rsidP="00E60CDF">
      <w:pPr>
        <w:pStyle w:val="ListParagraph"/>
        <w:numPr>
          <w:ilvl w:val="0"/>
          <w:numId w:val="25"/>
        </w:numPr>
        <w:spacing w:line="276" w:lineRule="auto"/>
        <w:ind w:left="714" w:hanging="357"/>
        <w:contextualSpacing w:val="0"/>
        <w:rPr>
          <w:lang w:val="en-AU"/>
        </w:rPr>
      </w:pPr>
      <w:r w:rsidRPr="00F761A2">
        <w:rPr>
          <w:lang w:val="en-AU"/>
        </w:rPr>
        <w:t>medicines with a requirement for regular monitoring and frequent dose titration</w:t>
      </w:r>
    </w:p>
    <w:p w14:paraId="61202EE6" w14:textId="163713DC" w:rsidR="00F761A2" w:rsidRPr="00F761A2" w:rsidRDefault="00F761A2" w:rsidP="00E60CDF">
      <w:pPr>
        <w:pStyle w:val="ListParagraph"/>
        <w:numPr>
          <w:ilvl w:val="0"/>
          <w:numId w:val="25"/>
        </w:numPr>
        <w:spacing w:line="276" w:lineRule="auto"/>
        <w:ind w:left="714" w:hanging="357"/>
        <w:contextualSpacing w:val="0"/>
        <w:rPr>
          <w:lang w:val="en-AU"/>
        </w:rPr>
      </w:pPr>
      <w:r w:rsidRPr="00F761A2">
        <w:rPr>
          <w:lang w:val="en-AU"/>
        </w:rPr>
        <w:t xml:space="preserve">medicines where the drug regimen is associated with management of progressively worsening </w:t>
      </w:r>
      <w:proofErr w:type="gramStart"/>
      <w:r w:rsidRPr="00F761A2">
        <w:rPr>
          <w:lang w:val="en-AU"/>
        </w:rPr>
        <w:t>disease</w:t>
      </w:r>
      <w:proofErr w:type="gramEnd"/>
      <w:r w:rsidRPr="00F761A2">
        <w:rPr>
          <w:lang w:val="en-AU"/>
        </w:rPr>
        <w:t xml:space="preserve"> or the symptoms are associated with relapse of disease and the patient is not expected to be stable for the next </w:t>
      </w:r>
      <w:r w:rsidR="00AA5C3C">
        <w:rPr>
          <w:lang w:val="en-AU"/>
        </w:rPr>
        <w:t>12</w:t>
      </w:r>
      <w:r w:rsidRPr="00F761A2">
        <w:rPr>
          <w:lang w:val="en-AU"/>
        </w:rPr>
        <w:t xml:space="preserve"> months</w:t>
      </w:r>
    </w:p>
    <w:p w14:paraId="2AB4078C" w14:textId="4B662740" w:rsidR="00F761A2" w:rsidRPr="00F761A2" w:rsidRDefault="00F761A2" w:rsidP="00E60CDF">
      <w:pPr>
        <w:pStyle w:val="ListParagraph"/>
        <w:numPr>
          <w:ilvl w:val="0"/>
          <w:numId w:val="25"/>
        </w:numPr>
        <w:spacing w:line="276" w:lineRule="auto"/>
        <w:ind w:left="714" w:hanging="357"/>
        <w:contextualSpacing w:val="0"/>
        <w:rPr>
          <w:lang w:val="en-AU"/>
        </w:rPr>
      </w:pPr>
      <w:r w:rsidRPr="00F761A2">
        <w:rPr>
          <w:lang w:val="en-AU"/>
        </w:rPr>
        <w:t>medicines prescribed for short term management of symptoms in chronic diseases</w:t>
      </w:r>
    </w:p>
    <w:p w14:paraId="57923F1A" w14:textId="5858D2F2" w:rsidR="00F761A2" w:rsidRPr="00F761A2" w:rsidRDefault="00F761A2" w:rsidP="00E60CDF">
      <w:pPr>
        <w:pStyle w:val="ListParagraph"/>
        <w:numPr>
          <w:ilvl w:val="0"/>
          <w:numId w:val="25"/>
        </w:numPr>
        <w:spacing w:line="276" w:lineRule="auto"/>
        <w:ind w:left="714" w:hanging="357"/>
        <w:contextualSpacing w:val="0"/>
        <w:rPr>
          <w:lang w:val="en-AU"/>
        </w:rPr>
      </w:pPr>
      <w:r w:rsidRPr="00F761A2">
        <w:rPr>
          <w:lang w:val="en-AU"/>
        </w:rPr>
        <w:t>medicines in the Palliative Care section of the Schedule</w:t>
      </w:r>
    </w:p>
    <w:p w14:paraId="208BBFF5" w14:textId="4A2E72C3" w:rsidR="00F761A2" w:rsidRPr="00F761A2" w:rsidRDefault="00F761A2" w:rsidP="00E60CDF">
      <w:pPr>
        <w:pStyle w:val="ListParagraph"/>
        <w:numPr>
          <w:ilvl w:val="0"/>
          <w:numId w:val="25"/>
        </w:numPr>
        <w:spacing w:line="276" w:lineRule="auto"/>
        <w:ind w:left="714" w:hanging="357"/>
        <w:contextualSpacing w:val="0"/>
        <w:rPr>
          <w:lang w:val="en-AU"/>
        </w:rPr>
      </w:pPr>
      <w:r w:rsidRPr="00F761A2">
        <w:rPr>
          <w:lang w:val="en-AU"/>
        </w:rPr>
        <w:t>medicines where the PBAC has recommended a listing that enables prescribers to prescribe less than six months therapy per prescription</w:t>
      </w:r>
      <w:r w:rsidR="00037C47">
        <w:rPr>
          <w:lang w:val="en-AU"/>
        </w:rPr>
        <w:t>.</w:t>
      </w:r>
    </w:p>
    <w:p w14:paraId="2EF1931D" w14:textId="31BECACC" w:rsidR="00F761A2" w:rsidRPr="006C7091" w:rsidRDefault="001C3B37" w:rsidP="00B31D72">
      <w:pPr>
        <w:spacing w:line="276" w:lineRule="auto"/>
        <w:rPr>
          <w:lang w:val="en-AU"/>
        </w:rPr>
      </w:pPr>
      <w:r>
        <w:rPr>
          <w:lang w:val="en-AU"/>
        </w:rPr>
        <w:t xml:space="preserve">In addition, </w:t>
      </w:r>
      <w:r w:rsidR="00F761A2" w:rsidRPr="006C7091">
        <w:rPr>
          <w:lang w:val="en-AU"/>
        </w:rPr>
        <w:t xml:space="preserve">medicines must have been PBS listed for </w:t>
      </w:r>
      <w:r w:rsidR="008A4752">
        <w:rPr>
          <w:lang w:val="en-AU"/>
        </w:rPr>
        <w:t>five</w:t>
      </w:r>
      <w:r w:rsidR="00F761A2" w:rsidRPr="006C7091">
        <w:rPr>
          <w:lang w:val="en-AU"/>
        </w:rPr>
        <w:t xml:space="preserve"> or more years, or generics of medicines which have been listed for </w:t>
      </w:r>
      <w:r w:rsidR="008A4752">
        <w:rPr>
          <w:lang w:val="en-AU"/>
        </w:rPr>
        <w:t>five</w:t>
      </w:r>
      <w:r w:rsidR="00F761A2" w:rsidRPr="006C7091">
        <w:rPr>
          <w:lang w:val="en-AU"/>
        </w:rPr>
        <w:t xml:space="preserve"> or more years, as severe but rare adverse effects frequently become evident during the first few years a drug is widely available.</w:t>
      </w:r>
    </w:p>
    <w:p w14:paraId="57A7DF0D" w14:textId="0B6DB481" w:rsidR="00932FB3" w:rsidRPr="00932FB3" w:rsidRDefault="0092704D" w:rsidP="00B31D72">
      <w:pPr>
        <w:spacing w:line="276" w:lineRule="auto"/>
        <w:rPr>
          <w:lang w:val="en-AU" w:eastAsia="en-AU"/>
        </w:rPr>
      </w:pPr>
      <w:r w:rsidRPr="0092704D">
        <w:rPr>
          <w:lang w:val="en-AU"/>
        </w:rPr>
        <w:t xml:space="preserve">View </w:t>
      </w:r>
      <w:hyperlink r:id="rId23" w:tgtFrame="_blank" w:history="1">
        <w:r w:rsidRPr="0092704D">
          <w:rPr>
            <w:rStyle w:val="Hyperlink"/>
            <w:lang w:val="en-AU"/>
          </w:rPr>
          <w:t>the PBAC outcome statement</w:t>
        </w:r>
      </w:hyperlink>
      <w:r w:rsidRPr="0092704D">
        <w:rPr>
          <w:lang w:val="en-AU"/>
        </w:rPr>
        <w:t xml:space="preserve"> for more information.</w:t>
      </w:r>
    </w:p>
    <w:p w14:paraId="74011FCE" w14:textId="5A018CA1" w:rsidR="009752E0" w:rsidRPr="00F1387B" w:rsidRDefault="009752E0" w:rsidP="009752E0">
      <w:pPr>
        <w:pStyle w:val="Heading2"/>
      </w:pPr>
      <w:bookmarkStart w:id="8" w:name="_Toc142405926"/>
      <w:bookmarkStart w:id="9" w:name="_Toc143507323"/>
      <w:r w:rsidRPr="00F1387B">
        <w:t xml:space="preserve">Will 60-day prescriptions </w:t>
      </w:r>
      <w:r w:rsidR="00EA00EE">
        <w:t>affect</w:t>
      </w:r>
      <w:r w:rsidRPr="00F1387B">
        <w:t xml:space="preserve"> the supply of medicine?</w:t>
      </w:r>
      <w:bookmarkEnd w:id="8"/>
      <w:bookmarkEnd w:id="9"/>
    </w:p>
    <w:p w14:paraId="468B7962" w14:textId="4A61C4A7" w:rsidR="001513A8" w:rsidRPr="004037ED" w:rsidRDefault="00161BB5" w:rsidP="001513A8">
      <w:pPr>
        <w:spacing w:line="276" w:lineRule="auto"/>
        <w:rPr>
          <w:szCs w:val="20"/>
          <w:lang w:val="en-AU" w:eastAsia="en-AU"/>
        </w:rPr>
      </w:pPr>
      <w:r>
        <w:rPr>
          <w:szCs w:val="20"/>
          <w:lang w:val="en-AU" w:eastAsia="en-AU"/>
        </w:rPr>
        <w:t>To date there have been no medicine shortages because of 60-day prescriptions. The new policy spreads out when patients fill their prescription and does not add to overall demand. This means that patients will be prescribed the same amount of medication overall each year.</w:t>
      </w:r>
    </w:p>
    <w:p w14:paraId="7C417142" w14:textId="3F724AA1" w:rsidR="00745147" w:rsidRPr="004037ED" w:rsidRDefault="001513A8" w:rsidP="007003AB">
      <w:pPr>
        <w:pStyle w:val="NormalWeb"/>
        <w:rPr>
          <w:sz w:val="20"/>
          <w:szCs w:val="20"/>
          <w:lang w:val="en-AU" w:eastAsia="en-AU"/>
        </w:rPr>
      </w:pPr>
      <w:r w:rsidRPr="004037ED">
        <w:rPr>
          <w:sz w:val="20"/>
          <w:szCs w:val="20"/>
          <w:lang w:val="en-AU" w:eastAsia="en-AU"/>
        </w:rPr>
        <w:t>Medicines recommended by PBAC for 60-day prescriptions are not in short supply in Australia. If shortages do occur, alternative brands and/or strengths of the same medicine are usually available. We have monitored the list of recommended medicines for inclusion in each stage to reduce the risk of shortage</w:t>
      </w:r>
      <w:r w:rsidR="004037ED" w:rsidRPr="004037ED">
        <w:rPr>
          <w:sz w:val="20"/>
          <w:szCs w:val="20"/>
          <w:lang w:val="en-AU" w:eastAsia="en-AU"/>
        </w:rPr>
        <w:t>.</w:t>
      </w:r>
    </w:p>
    <w:p w14:paraId="78346219" w14:textId="0A8CC89A" w:rsidR="007003AB" w:rsidRPr="00F10CFA" w:rsidRDefault="007003AB" w:rsidP="007003AB">
      <w:pPr>
        <w:pStyle w:val="NormalWeb"/>
        <w:rPr>
          <w:rFonts w:asciiTheme="majorHAnsi" w:hAnsiTheme="majorHAnsi" w:cstheme="majorHAnsi"/>
          <w:sz w:val="20"/>
          <w:szCs w:val="20"/>
        </w:rPr>
      </w:pPr>
      <w:r w:rsidRPr="00F10CFA">
        <w:rPr>
          <w:rFonts w:asciiTheme="majorHAnsi" w:hAnsiTheme="majorHAnsi" w:cstheme="majorHAnsi"/>
          <w:sz w:val="20"/>
          <w:szCs w:val="20"/>
        </w:rPr>
        <w:t>Pharmaceutical companies must tell the Therapeutic Goods Administration (TGA) of expected </w:t>
      </w:r>
      <w:hyperlink r:id="rId24">
        <w:r w:rsidRPr="00A06E9D">
          <w:rPr>
            <w:rStyle w:val="Hyperlink"/>
            <w:rFonts w:asciiTheme="majorHAnsi" w:hAnsiTheme="majorHAnsi" w:cstheme="majorHAnsi"/>
            <w:sz w:val="20"/>
            <w:szCs w:val="20"/>
            <w:lang w:val="en-AU"/>
          </w:rPr>
          <w:t>medicine shortages</w:t>
        </w:r>
      </w:hyperlink>
      <w:r w:rsidRPr="00F10CFA">
        <w:rPr>
          <w:rFonts w:asciiTheme="majorHAnsi" w:hAnsiTheme="majorHAnsi" w:cstheme="majorHAnsi"/>
          <w:sz w:val="20"/>
          <w:szCs w:val="20"/>
        </w:rPr>
        <w:t>. The </w:t>
      </w:r>
      <w:hyperlink r:id="rId25" w:history="1">
        <w:r w:rsidRPr="00F10CFA">
          <w:rPr>
            <w:rStyle w:val="Hyperlink"/>
            <w:rFonts w:asciiTheme="majorHAnsi" w:hAnsiTheme="majorHAnsi" w:cstheme="majorHAnsi"/>
            <w:color w:val="auto"/>
            <w:sz w:val="20"/>
            <w:szCs w:val="20"/>
            <w:lang w:val="en-AU"/>
          </w:rPr>
          <w:t>Medicines Supply Security Guarantee</w:t>
        </w:r>
      </w:hyperlink>
      <w:r w:rsidRPr="00F10CFA">
        <w:rPr>
          <w:rFonts w:asciiTheme="majorHAnsi" w:hAnsiTheme="majorHAnsi" w:cstheme="majorHAnsi"/>
          <w:sz w:val="20"/>
          <w:szCs w:val="20"/>
        </w:rPr>
        <w:t xml:space="preserve"> changes commenced on 1 </w:t>
      </w:r>
      <w:r w:rsidRPr="00F10CFA">
        <w:rPr>
          <w:rFonts w:asciiTheme="majorHAnsi" w:hAnsiTheme="majorHAnsi" w:cstheme="majorHAnsi"/>
          <w:sz w:val="20"/>
          <w:szCs w:val="20"/>
        </w:rPr>
        <w:lastRenderedPageBreak/>
        <w:t>July 2023. Medicine manufacturers must have more stock onshore for some brands of PBS medicine, helping ensure any temporary rise in demand for those brands is met.</w:t>
      </w:r>
    </w:p>
    <w:p w14:paraId="0CA4431C" w14:textId="77777777" w:rsidR="007003AB" w:rsidRPr="00F10CFA" w:rsidRDefault="007003AB" w:rsidP="007003AB">
      <w:pPr>
        <w:pStyle w:val="NormalWeb"/>
        <w:rPr>
          <w:rFonts w:asciiTheme="majorHAnsi" w:hAnsiTheme="majorHAnsi" w:cstheme="majorHAnsi"/>
          <w:sz w:val="20"/>
          <w:szCs w:val="20"/>
        </w:rPr>
      </w:pPr>
      <w:r w:rsidRPr="00F10CFA">
        <w:rPr>
          <w:rFonts w:asciiTheme="majorHAnsi" w:hAnsiTheme="majorHAnsi" w:cstheme="majorHAnsi"/>
          <w:sz w:val="20"/>
          <w:szCs w:val="20"/>
        </w:rPr>
        <w:t>Wholesalers must deliver to any pharmacy in 24 hours (excluding weekends or public holidays) if they are running low on medicine. This applies for most medicines.</w:t>
      </w:r>
    </w:p>
    <w:p w14:paraId="26C87A88" w14:textId="527CC213" w:rsidR="009752E0" w:rsidRPr="000E20FD" w:rsidRDefault="009752E0" w:rsidP="00DE477F">
      <w:pPr>
        <w:pStyle w:val="Heading2"/>
      </w:pPr>
      <w:bookmarkStart w:id="10" w:name="_Toc142405929"/>
      <w:bookmarkStart w:id="11" w:name="_Toc143507326"/>
      <w:r w:rsidRPr="000E20FD">
        <w:t>Does Regulation 49 apply?</w:t>
      </w:r>
      <w:bookmarkEnd w:id="10"/>
      <w:bookmarkEnd w:id="11"/>
    </w:p>
    <w:p w14:paraId="7A382F43" w14:textId="6D7CE564" w:rsidR="004B722B" w:rsidRDefault="004B722B" w:rsidP="00B31D72">
      <w:pPr>
        <w:spacing w:line="276" w:lineRule="auto"/>
        <w:rPr>
          <w:lang w:val="en-AU" w:eastAsia="en-AU"/>
        </w:rPr>
      </w:pPr>
      <w:r>
        <w:rPr>
          <w:lang w:val="en-AU" w:eastAsia="en-AU"/>
        </w:rPr>
        <w:t>This regulation remains unchanged.</w:t>
      </w:r>
    </w:p>
    <w:p w14:paraId="5D39E007" w14:textId="11020BD8" w:rsidR="009752E0" w:rsidRPr="0000704F" w:rsidRDefault="00557F7D" w:rsidP="00B31D72">
      <w:pPr>
        <w:spacing w:line="276" w:lineRule="auto"/>
        <w:rPr>
          <w:lang w:val="en-AU" w:eastAsia="en-AU"/>
        </w:rPr>
      </w:pPr>
      <w:hyperlink r:id="rId26" w:anchor=":~:text=Top%20of%20page-,What%20is%20a%20Regulation%2049%20prescription%3F,supplied%20at%20the%20same%20time." w:history="1">
        <w:r w:rsidR="002366D0" w:rsidRPr="00D60528">
          <w:rPr>
            <w:rStyle w:val="Hyperlink"/>
            <w:rFonts w:ascii="Arial" w:hAnsi="Arial"/>
            <w:lang w:val="en-AU" w:eastAsia="en-AU"/>
          </w:rPr>
          <w:t>Regulation 49</w:t>
        </w:r>
      </w:hyperlink>
      <w:r w:rsidR="002366D0">
        <w:rPr>
          <w:lang w:val="en-AU" w:eastAsia="en-AU"/>
        </w:rPr>
        <w:t xml:space="preserve"> (</w:t>
      </w:r>
      <w:r w:rsidR="002366D0" w:rsidRPr="0000704F">
        <w:rPr>
          <w:lang w:val="en-AU" w:eastAsia="en-AU"/>
        </w:rPr>
        <w:t>previously Regulation 24</w:t>
      </w:r>
      <w:r w:rsidR="002366D0">
        <w:rPr>
          <w:lang w:val="en-AU" w:eastAsia="en-AU"/>
        </w:rPr>
        <w:t xml:space="preserve">), </w:t>
      </w:r>
      <w:r w:rsidR="00FC2CEA">
        <w:rPr>
          <w:lang w:val="en-AU" w:eastAsia="en-AU"/>
        </w:rPr>
        <w:t>permits</w:t>
      </w:r>
      <w:r w:rsidR="002366D0">
        <w:rPr>
          <w:lang w:val="en-AU" w:eastAsia="en-AU"/>
        </w:rPr>
        <w:t xml:space="preserve"> i</w:t>
      </w:r>
      <w:r w:rsidR="009752E0" w:rsidRPr="0000704F">
        <w:rPr>
          <w:lang w:val="en-AU" w:eastAsia="en-AU"/>
        </w:rPr>
        <w:t xml:space="preserve">n certain circumstances, a PBS prescription </w:t>
      </w:r>
      <w:r w:rsidR="00146F4A">
        <w:rPr>
          <w:lang w:val="en-AU" w:eastAsia="en-AU"/>
        </w:rPr>
        <w:t>to</w:t>
      </w:r>
      <w:r w:rsidR="009752E0" w:rsidRPr="0000704F">
        <w:rPr>
          <w:lang w:val="en-AU" w:eastAsia="en-AU"/>
        </w:rPr>
        <w:t xml:space="preserve"> be endorsed by the prescriber for “one supply” to allow the quantities for the original prescription and repeats to be supplied at the same time.</w:t>
      </w:r>
    </w:p>
    <w:p w14:paraId="1054512D" w14:textId="77777777" w:rsidR="009752E0" w:rsidRPr="0000704F" w:rsidRDefault="009752E0" w:rsidP="00B31D72">
      <w:pPr>
        <w:spacing w:line="276" w:lineRule="auto"/>
        <w:rPr>
          <w:lang w:val="en-AU" w:eastAsia="en-AU"/>
        </w:rPr>
      </w:pPr>
      <w:r w:rsidRPr="0000704F">
        <w:rPr>
          <w:lang w:val="en-AU" w:eastAsia="en-AU"/>
        </w:rPr>
        <w:t>The below criteria must be met for a Regulation 49 Provision, and is made at the request of the medical practitioner, midwife or nurse practitioner:</w:t>
      </w:r>
    </w:p>
    <w:p w14:paraId="0DBADCA7" w14:textId="77777777" w:rsidR="009752E0" w:rsidRPr="0000704F" w:rsidRDefault="009752E0" w:rsidP="00B31D72">
      <w:pPr>
        <w:pStyle w:val="ListBullet2"/>
        <w:spacing w:line="276" w:lineRule="auto"/>
        <w:rPr>
          <w:lang w:val="en-AU" w:eastAsia="en-AU"/>
        </w:rPr>
      </w:pPr>
      <w:r w:rsidRPr="0000704F">
        <w:rPr>
          <w:lang w:val="en-AU" w:eastAsia="en-AU"/>
        </w:rPr>
        <w:t>the maximum PBS quantity is insufficient for the patient's treatment; AND</w:t>
      </w:r>
    </w:p>
    <w:p w14:paraId="54AFBA13" w14:textId="77777777" w:rsidR="009752E0" w:rsidRPr="0000704F" w:rsidRDefault="009752E0" w:rsidP="00B31D72">
      <w:pPr>
        <w:pStyle w:val="ListBullet2"/>
        <w:spacing w:line="276" w:lineRule="auto"/>
        <w:rPr>
          <w:lang w:val="en-AU" w:eastAsia="en-AU"/>
        </w:rPr>
      </w:pPr>
      <w:r w:rsidRPr="0000704F">
        <w:rPr>
          <w:lang w:val="en-AU" w:eastAsia="en-AU"/>
        </w:rPr>
        <w:t>the patient has a chronic illness or lives in a remote area where access to PBS supplies is limited; AND</w:t>
      </w:r>
    </w:p>
    <w:p w14:paraId="748248B6" w14:textId="77777777" w:rsidR="009752E0" w:rsidRPr="0000704F" w:rsidRDefault="009752E0" w:rsidP="00B31D72">
      <w:pPr>
        <w:pStyle w:val="ListBullet2"/>
        <w:spacing w:line="276" w:lineRule="auto"/>
        <w:rPr>
          <w:lang w:val="en-AU" w:eastAsia="en-AU"/>
        </w:rPr>
      </w:pPr>
      <w:r w:rsidRPr="0000704F">
        <w:rPr>
          <w:lang w:val="en-AU" w:eastAsia="en-AU"/>
        </w:rPr>
        <w:t>the patient would suffer great hardship trying to get the pharmaceutical benefit on separate occasions.</w:t>
      </w:r>
    </w:p>
    <w:p w14:paraId="36936D29" w14:textId="0BD36B48" w:rsidR="009752E0" w:rsidRDefault="009752E0" w:rsidP="00B31D72">
      <w:pPr>
        <w:spacing w:line="276" w:lineRule="auto"/>
        <w:rPr>
          <w:lang w:val="en-AU" w:eastAsia="en-AU"/>
        </w:rPr>
      </w:pPr>
      <w:r w:rsidRPr="0000704F">
        <w:rPr>
          <w:lang w:val="en-AU" w:eastAsia="en-AU"/>
        </w:rPr>
        <w:t>The patient will be charged a total equivalent to the PBS co</w:t>
      </w:r>
      <w:r w:rsidR="000E0DFD">
        <w:rPr>
          <w:lang w:val="en-AU" w:eastAsia="en-AU"/>
        </w:rPr>
        <w:t>-</w:t>
      </w:r>
      <w:r w:rsidRPr="0000704F">
        <w:rPr>
          <w:lang w:val="en-AU" w:eastAsia="en-AU"/>
        </w:rPr>
        <w:t>payment amount that would otherwise apply for the original and each repeat making up the total supply. There may also be brand or therapeutic group premiums charged for each quantity making up the total.</w:t>
      </w:r>
    </w:p>
    <w:p w14:paraId="5132B855" w14:textId="2331BBDD" w:rsidR="009752E0" w:rsidRDefault="006F5D6A" w:rsidP="009752E0">
      <w:pPr>
        <w:pStyle w:val="Heading2"/>
        <w:rPr>
          <w:lang w:val="en-GB" w:eastAsia="en-AU"/>
        </w:rPr>
      </w:pPr>
      <w:bookmarkStart w:id="12" w:name="_Toc142405930"/>
      <w:bookmarkStart w:id="13" w:name="_Toc143507327"/>
      <w:r>
        <w:rPr>
          <w:lang w:val="en-GB" w:eastAsia="en-AU"/>
        </w:rPr>
        <w:t>How have</w:t>
      </w:r>
      <w:r w:rsidR="009752E0" w:rsidRPr="0000704F">
        <w:rPr>
          <w:lang w:val="en-GB" w:eastAsia="en-AU"/>
        </w:rPr>
        <w:t xml:space="preserve"> </w:t>
      </w:r>
      <w:r w:rsidR="000E20FD">
        <w:rPr>
          <w:lang w:val="en-GB" w:eastAsia="en-AU"/>
        </w:rPr>
        <w:t>primary care</w:t>
      </w:r>
      <w:r w:rsidR="009752E0">
        <w:rPr>
          <w:lang w:val="en-GB" w:eastAsia="en-AU"/>
        </w:rPr>
        <w:t xml:space="preserve"> and </w:t>
      </w:r>
      <w:r w:rsidR="009752E0" w:rsidRPr="0000704F">
        <w:rPr>
          <w:lang w:val="en-GB" w:eastAsia="en-AU"/>
        </w:rPr>
        <w:t xml:space="preserve">patient </w:t>
      </w:r>
      <w:r w:rsidR="009752E0">
        <w:rPr>
          <w:lang w:val="en-GB" w:eastAsia="en-AU"/>
        </w:rPr>
        <w:t xml:space="preserve">peak bodies </w:t>
      </w:r>
      <w:r>
        <w:rPr>
          <w:lang w:val="en-GB" w:eastAsia="en-AU"/>
        </w:rPr>
        <w:t>reacted</w:t>
      </w:r>
      <w:r w:rsidR="009752E0" w:rsidRPr="0000704F">
        <w:rPr>
          <w:lang w:val="en-GB" w:eastAsia="en-AU"/>
        </w:rPr>
        <w:t xml:space="preserve"> </w:t>
      </w:r>
      <w:r>
        <w:rPr>
          <w:lang w:val="en-GB" w:eastAsia="en-AU"/>
        </w:rPr>
        <w:t>to</w:t>
      </w:r>
      <w:r w:rsidR="009752E0" w:rsidRPr="0000704F">
        <w:rPr>
          <w:lang w:val="en-GB" w:eastAsia="en-AU"/>
        </w:rPr>
        <w:t xml:space="preserve"> this change?</w:t>
      </w:r>
      <w:bookmarkEnd w:id="12"/>
      <w:bookmarkEnd w:id="13"/>
      <w:r w:rsidR="009752E0">
        <w:rPr>
          <w:lang w:val="en-GB" w:eastAsia="en-AU"/>
        </w:rPr>
        <w:t xml:space="preserve"> </w:t>
      </w:r>
    </w:p>
    <w:p w14:paraId="3CA9E043" w14:textId="0FFBC213" w:rsidR="009752E0" w:rsidRDefault="009752E0" w:rsidP="00B616D4">
      <w:pPr>
        <w:spacing w:line="276" w:lineRule="auto"/>
        <w:rPr>
          <w:lang w:val="en-GB" w:eastAsia="en-AU"/>
        </w:rPr>
      </w:pPr>
      <w:r w:rsidRPr="0000704F">
        <w:rPr>
          <w:lang w:val="en-GB" w:eastAsia="en-AU"/>
        </w:rPr>
        <w:t xml:space="preserve">60-day </w:t>
      </w:r>
      <w:r>
        <w:rPr>
          <w:lang w:val="en-GB" w:eastAsia="en-AU"/>
        </w:rPr>
        <w:t>prescriptions</w:t>
      </w:r>
      <w:r w:rsidRPr="0000704F">
        <w:rPr>
          <w:lang w:val="en-GB" w:eastAsia="en-AU"/>
        </w:rPr>
        <w:t xml:space="preserve"> ha</w:t>
      </w:r>
      <w:r w:rsidR="00161BB5">
        <w:rPr>
          <w:lang w:val="en-GB" w:eastAsia="en-AU"/>
        </w:rPr>
        <w:t>ve</w:t>
      </w:r>
      <w:r w:rsidRPr="0000704F">
        <w:rPr>
          <w:lang w:val="en-GB" w:eastAsia="en-AU"/>
        </w:rPr>
        <w:t xml:space="preserve"> been</w:t>
      </w:r>
      <w:r>
        <w:rPr>
          <w:lang w:val="en-GB" w:eastAsia="en-AU"/>
        </w:rPr>
        <w:t xml:space="preserve"> </w:t>
      </w:r>
      <w:r w:rsidRPr="0000704F">
        <w:rPr>
          <w:lang w:val="en-GB" w:eastAsia="en-AU"/>
        </w:rPr>
        <w:t xml:space="preserve">welcomed by </w:t>
      </w:r>
      <w:r w:rsidR="00613A0F">
        <w:rPr>
          <w:lang w:val="en-GB" w:eastAsia="en-AU"/>
        </w:rPr>
        <w:t xml:space="preserve">many </w:t>
      </w:r>
      <w:r w:rsidR="00425FDD">
        <w:rPr>
          <w:lang w:val="en-GB" w:eastAsia="en-AU"/>
        </w:rPr>
        <w:t xml:space="preserve">medical, health </w:t>
      </w:r>
      <w:r w:rsidRPr="0000704F">
        <w:rPr>
          <w:lang w:val="en-GB" w:eastAsia="en-AU"/>
        </w:rPr>
        <w:t xml:space="preserve">and </w:t>
      </w:r>
      <w:r w:rsidR="00E668CB">
        <w:rPr>
          <w:lang w:val="en-GB" w:eastAsia="en-AU"/>
        </w:rPr>
        <w:t xml:space="preserve">consumer </w:t>
      </w:r>
      <w:r w:rsidRPr="0000704F">
        <w:rPr>
          <w:lang w:val="en-GB" w:eastAsia="en-AU"/>
        </w:rPr>
        <w:t>groups</w:t>
      </w:r>
      <w:r w:rsidR="00B175E0">
        <w:rPr>
          <w:lang w:val="en-GB" w:eastAsia="en-AU"/>
        </w:rPr>
        <w:t xml:space="preserve"> including</w:t>
      </w:r>
      <w:r w:rsidRPr="0000704F">
        <w:rPr>
          <w:lang w:val="en-GB" w:eastAsia="en-AU"/>
        </w:rPr>
        <w:t xml:space="preserve"> the</w:t>
      </w:r>
      <w:r w:rsidR="000729A7" w:rsidRPr="0000704F">
        <w:rPr>
          <w:lang w:val="en-GB" w:eastAsia="en-AU"/>
        </w:rPr>
        <w:t xml:space="preserve"> Royal</w:t>
      </w:r>
      <w:r w:rsidR="000729A7">
        <w:rPr>
          <w:lang w:val="en-GB" w:eastAsia="en-AU"/>
        </w:rPr>
        <w:t xml:space="preserve"> </w:t>
      </w:r>
      <w:r w:rsidR="000729A7" w:rsidRPr="0000704F">
        <w:rPr>
          <w:lang w:val="en-GB" w:eastAsia="en-AU"/>
        </w:rPr>
        <w:t>Australian College of General Practitioners</w:t>
      </w:r>
      <w:r w:rsidR="000729A7">
        <w:rPr>
          <w:lang w:val="en-GB" w:eastAsia="en-AU"/>
        </w:rPr>
        <w:t>,</w:t>
      </w:r>
      <w:r w:rsidR="00D2299B">
        <w:rPr>
          <w:lang w:val="en-GB" w:eastAsia="en-AU"/>
        </w:rPr>
        <w:t xml:space="preserve"> </w:t>
      </w:r>
      <w:r w:rsidR="00D2299B" w:rsidRPr="0000704F">
        <w:rPr>
          <w:lang w:val="en-GB" w:eastAsia="en-AU"/>
        </w:rPr>
        <w:t>Rural Doctors Association, the</w:t>
      </w:r>
      <w:r w:rsidR="00D2299B">
        <w:rPr>
          <w:lang w:val="en-GB" w:eastAsia="en-AU"/>
        </w:rPr>
        <w:t xml:space="preserve"> </w:t>
      </w:r>
      <w:r w:rsidR="00D2299B" w:rsidRPr="0000704F">
        <w:rPr>
          <w:lang w:val="en-GB" w:eastAsia="en-AU"/>
        </w:rPr>
        <w:t>Australian Medical Association,</w:t>
      </w:r>
      <w:r w:rsidR="0049210A">
        <w:rPr>
          <w:lang w:val="en-GB" w:eastAsia="en-AU"/>
        </w:rPr>
        <w:t xml:space="preserve"> the </w:t>
      </w:r>
      <w:r w:rsidRPr="0000704F">
        <w:rPr>
          <w:lang w:val="en-GB" w:eastAsia="en-AU"/>
        </w:rPr>
        <w:t>Heart Foundation,</w:t>
      </w:r>
      <w:r>
        <w:rPr>
          <w:lang w:val="en-GB" w:eastAsia="en-AU"/>
        </w:rPr>
        <w:t xml:space="preserve"> </w:t>
      </w:r>
      <w:r w:rsidRPr="0000704F">
        <w:rPr>
          <w:lang w:val="en-GB" w:eastAsia="en-AU"/>
        </w:rPr>
        <w:t>the Lung Foundation, Breast Cancer</w:t>
      </w:r>
      <w:r>
        <w:rPr>
          <w:lang w:val="en-GB" w:eastAsia="en-AU"/>
        </w:rPr>
        <w:t xml:space="preserve"> </w:t>
      </w:r>
      <w:r w:rsidRPr="0000704F">
        <w:rPr>
          <w:lang w:val="en-GB" w:eastAsia="en-AU"/>
        </w:rPr>
        <w:t>Network,</w:t>
      </w:r>
      <w:r>
        <w:rPr>
          <w:lang w:val="en-GB" w:eastAsia="en-AU"/>
        </w:rPr>
        <w:t xml:space="preserve"> </w:t>
      </w:r>
      <w:r w:rsidRPr="00E432D2">
        <w:rPr>
          <w:lang w:val="en-GB" w:eastAsia="en-AU"/>
        </w:rPr>
        <w:t xml:space="preserve">Consumers Health Forum of Australia </w:t>
      </w:r>
      <w:r w:rsidRPr="0000704F">
        <w:rPr>
          <w:lang w:val="en-GB" w:eastAsia="en-AU"/>
        </w:rPr>
        <w:t>and many others.</w:t>
      </w:r>
      <w:r w:rsidR="008E421E">
        <w:rPr>
          <w:lang w:val="en-GB" w:eastAsia="en-AU"/>
        </w:rPr>
        <w:t xml:space="preserve"> </w:t>
      </w:r>
      <w:hyperlink r:id="rId27" w:history="1">
        <w:r w:rsidR="008E421E" w:rsidRPr="008131B9">
          <w:rPr>
            <w:rStyle w:val="Hyperlink"/>
            <w:rFonts w:ascii="Arial" w:hAnsi="Arial"/>
            <w:lang w:val="en-GB" w:eastAsia="en-AU"/>
          </w:rPr>
          <w:t>Read the o</w:t>
        </w:r>
        <w:r w:rsidR="008131B9" w:rsidRPr="008131B9">
          <w:rPr>
            <w:rStyle w:val="Hyperlink"/>
            <w:rFonts w:ascii="Arial" w:hAnsi="Arial"/>
            <w:lang w:val="en-GB" w:eastAsia="en-AU"/>
          </w:rPr>
          <w:t>pen letter to all Federal Parliamentarians</w:t>
        </w:r>
        <w:r w:rsidR="008131B9" w:rsidRPr="00C178AB">
          <w:rPr>
            <w:rStyle w:val="Hyperlink"/>
            <w:rFonts w:ascii="Arial" w:hAnsi="Arial"/>
            <w:color w:val="000000" w:themeColor="text1"/>
            <w:u w:val="none"/>
            <w:lang w:val="en-GB" w:eastAsia="en-AU"/>
          </w:rPr>
          <w:t>.</w:t>
        </w:r>
      </w:hyperlink>
    </w:p>
    <w:p w14:paraId="5C0D4B25" w14:textId="77777777" w:rsidR="009752E0" w:rsidRDefault="009752E0" w:rsidP="00B616D4">
      <w:pPr>
        <w:spacing w:line="276" w:lineRule="auto"/>
        <w:ind w:hanging="357"/>
        <w:rPr>
          <w:lang w:val="en-GB" w:eastAsia="en-AU"/>
        </w:rPr>
      </w:pPr>
      <w:r>
        <w:rPr>
          <w:lang w:val="en-GB" w:eastAsia="en-AU"/>
        </w:rPr>
        <w:br w:type="page"/>
      </w:r>
    </w:p>
    <w:p w14:paraId="0508BE5C" w14:textId="77777777" w:rsidR="009752E0" w:rsidRDefault="009752E0" w:rsidP="009752E0">
      <w:pPr>
        <w:pStyle w:val="Heading1"/>
        <w:rPr>
          <w:lang w:val="en-AU" w:eastAsia="en-AU"/>
        </w:rPr>
      </w:pPr>
      <w:bookmarkStart w:id="14" w:name="_Toc141346579"/>
      <w:bookmarkStart w:id="15" w:name="_Toc182315872"/>
      <w:r w:rsidRPr="00356618">
        <w:rPr>
          <w:lang w:val="en-AU" w:eastAsia="en-AU"/>
        </w:rPr>
        <w:lastRenderedPageBreak/>
        <w:t>Case studies</w:t>
      </w:r>
      <w:bookmarkEnd w:id="14"/>
      <w:bookmarkEnd w:id="15"/>
    </w:p>
    <w:p w14:paraId="2E0F9CDE" w14:textId="2801C671" w:rsidR="00F50EE0" w:rsidRDefault="00F50EE0" w:rsidP="00F50EE0">
      <w:pPr>
        <w:pStyle w:val="Heading9"/>
        <w:rPr>
          <w:lang w:eastAsia="en-AU"/>
        </w:rPr>
      </w:pPr>
      <w:r w:rsidRPr="009F4E0E">
        <w:rPr>
          <w:lang w:eastAsia="en-AU"/>
        </w:rPr>
        <w:t>Case study 1</w:t>
      </w:r>
    </w:p>
    <w:p w14:paraId="4869A762" w14:textId="436F45CE" w:rsidR="00F50EE0" w:rsidRPr="00F50EE0" w:rsidRDefault="00F50EE0" w:rsidP="00F50EE0">
      <w:pPr>
        <w:pStyle w:val="Heading8"/>
        <w:rPr>
          <w:lang w:val="en-AU" w:eastAsia="en-AU"/>
        </w:rPr>
      </w:pPr>
      <w:bookmarkStart w:id="16" w:name="_Toc142405932"/>
      <w:bookmarkStart w:id="17" w:name="_Toc143507329"/>
      <w:r w:rsidRPr="6812E5B2">
        <w:rPr>
          <w:lang w:eastAsia="en-AU"/>
        </w:rPr>
        <w:t xml:space="preserve">Couple who are </w:t>
      </w:r>
      <w:r w:rsidR="02322D3B" w:rsidRPr="6812E5B2">
        <w:rPr>
          <w:lang w:eastAsia="en-AU"/>
        </w:rPr>
        <w:t>Medicare</w:t>
      </w:r>
      <w:r w:rsidRPr="6812E5B2">
        <w:rPr>
          <w:lang w:eastAsia="en-AU"/>
        </w:rPr>
        <w:t xml:space="preserve"> card holders (</w:t>
      </w:r>
      <w:bookmarkEnd w:id="16"/>
      <w:r w:rsidRPr="6812E5B2">
        <w:rPr>
          <w:lang w:eastAsia="en-AU"/>
        </w:rPr>
        <w:t>non-concessional)</w:t>
      </w:r>
      <w:bookmarkEnd w:id="17"/>
    </w:p>
    <w:p w14:paraId="19D20DA6" w14:textId="543DA369" w:rsidR="00F50EE0" w:rsidRPr="009F4E0E" w:rsidRDefault="00F50EE0" w:rsidP="00B31D72">
      <w:pPr>
        <w:spacing w:line="276" w:lineRule="auto"/>
      </w:pPr>
      <w:r>
        <w:t xml:space="preserve">William has a heart condition that increases his risk of developing a stroke, so he takes apixaban twice daily. William’s partner, Sandra, has ulcerative colitis and takes the </w:t>
      </w:r>
      <w:r w:rsidR="616F16C5">
        <w:t>anti-inflammatory</w:t>
      </w:r>
      <w:r>
        <w:t xml:space="preserve"> medication </w:t>
      </w:r>
      <w:proofErr w:type="spellStart"/>
      <w:r>
        <w:t>mesalazine</w:t>
      </w:r>
      <w:proofErr w:type="spellEnd"/>
      <w:r>
        <w:t xml:space="preserve"> granules each day.</w:t>
      </w:r>
    </w:p>
    <w:p w14:paraId="2A6249EF" w14:textId="681DA486" w:rsidR="00F50EE0" w:rsidRPr="009F4E0E" w:rsidRDefault="00F50EE0" w:rsidP="00B31D72">
      <w:pPr>
        <w:spacing w:line="276" w:lineRule="auto"/>
      </w:pPr>
      <w:r>
        <w:t xml:space="preserve">William and Sandra pay </w:t>
      </w:r>
      <w:r w:rsidR="00DD21FC" w:rsidRPr="00DD21FC">
        <w:rPr>
          <w:b/>
          <w:bCs/>
        </w:rPr>
        <w:t>$31.60</w:t>
      </w:r>
      <w:r w:rsidRPr="6812E5B2">
        <w:rPr>
          <w:b/>
          <w:bCs/>
        </w:rPr>
        <w:t xml:space="preserve"> per prescription in </w:t>
      </w:r>
      <w:r w:rsidR="00DD21FC" w:rsidRPr="00DD21FC">
        <w:rPr>
          <w:b/>
          <w:bCs/>
        </w:rPr>
        <w:t>2024</w:t>
      </w:r>
      <w:r>
        <w:t xml:space="preserve"> as </w:t>
      </w:r>
      <w:r w:rsidR="104E418D">
        <w:t>non-concessional</w:t>
      </w:r>
      <w:r w:rsidR="531019B3">
        <w:t xml:space="preserve"> </w:t>
      </w:r>
      <w:r w:rsidR="38DFEEE5">
        <w:t>Medicare</w:t>
      </w:r>
      <w:r w:rsidR="1B039750">
        <w:t xml:space="preserve"> </w:t>
      </w:r>
      <w:r w:rsidR="6FA835CB">
        <w:t>card hold</w:t>
      </w:r>
      <w:r w:rsidR="64D18348">
        <w:t>ing</w:t>
      </w:r>
      <w:r>
        <w:t xml:space="preserve"> patients for these PBS medications.</w:t>
      </w:r>
    </w:p>
    <w:p w14:paraId="17BB2B3F" w14:textId="66A1CC0B" w:rsidR="00F50EE0" w:rsidRPr="009F4E0E" w:rsidRDefault="00F50EE0" w:rsidP="00B31D72">
      <w:pPr>
        <w:spacing w:line="276" w:lineRule="auto"/>
      </w:pPr>
      <w:r w:rsidRPr="009F4E0E">
        <w:t xml:space="preserve">With each medication having </w:t>
      </w:r>
      <w:r w:rsidRPr="00F50EE0">
        <w:rPr>
          <w:b/>
          <w:bCs/>
        </w:rPr>
        <w:t xml:space="preserve">12 prescriptions per year, their combined cost for PBS medications in a year is currently </w:t>
      </w:r>
      <w:r w:rsidR="00DD21FC" w:rsidRPr="00DD21FC">
        <w:rPr>
          <w:b/>
          <w:bCs/>
        </w:rPr>
        <w:t>$758.40</w:t>
      </w:r>
      <w:r w:rsidRPr="00F50EE0">
        <w:rPr>
          <w:b/>
          <w:bCs/>
        </w:rPr>
        <w:t>.</w:t>
      </w:r>
    </w:p>
    <w:p w14:paraId="08997DF7" w14:textId="4C29AB51" w:rsidR="00F50EE0" w:rsidRPr="00B616D4" w:rsidRDefault="00933F57" w:rsidP="00B616D4">
      <w:pPr>
        <w:spacing w:after="360" w:line="276" w:lineRule="auto"/>
      </w:pPr>
      <w:r>
        <w:t xml:space="preserve">William and Sandra’s </w:t>
      </w:r>
      <w:r w:rsidRPr="00356618">
        <w:rPr>
          <w:lang w:val="en-AU" w:eastAsia="en-AU"/>
        </w:rPr>
        <w:t>doctor</w:t>
      </w:r>
      <w:r w:rsidR="006122EC">
        <w:rPr>
          <w:lang w:val="en-AU" w:eastAsia="en-AU"/>
        </w:rPr>
        <w:t>s</w:t>
      </w:r>
      <w:r w:rsidRPr="00356618">
        <w:rPr>
          <w:lang w:val="en-AU" w:eastAsia="en-AU"/>
        </w:rPr>
        <w:t xml:space="preserve"> finds </w:t>
      </w:r>
      <w:r>
        <w:rPr>
          <w:lang w:val="en-AU" w:eastAsia="en-AU"/>
        </w:rPr>
        <w:t>them</w:t>
      </w:r>
      <w:r w:rsidRPr="00356618">
        <w:rPr>
          <w:lang w:val="en-AU" w:eastAsia="en-AU"/>
        </w:rPr>
        <w:t xml:space="preserve"> suitable for 60</w:t>
      </w:r>
      <w:r w:rsidR="000E0DFD">
        <w:rPr>
          <w:lang w:val="en-AU" w:eastAsia="en-AU"/>
        </w:rPr>
        <w:t>-</w:t>
      </w:r>
      <w:r w:rsidRPr="00356618">
        <w:rPr>
          <w:lang w:val="en-AU" w:eastAsia="en-AU"/>
        </w:rPr>
        <w:t xml:space="preserve">day prescriptions for </w:t>
      </w:r>
      <w:r>
        <w:rPr>
          <w:lang w:val="en-AU" w:eastAsia="en-AU"/>
        </w:rPr>
        <w:t xml:space="preserve">the </w:t>
      </w:r>
      <w:r w:rsidRPr="00356618">
        <w:rPr>
          <w:lang w:val="en-AU" w:eastAsia="en-AU"/>
        </w:rPr>
        <w:t xml:space="preserve">medicines used to manage </w:t>
      </w:r>
      <w:r>
        <w:rPr>
          <w:lang w:val="en-AU" w:eastAsia="en-AU"/>
        </w:rPr>
        <w:t>their</w:t>
      </w:r>
      <w:r w:rsidRPr="00356618">
        <w:rPr>
          <w:lang w:val="en-AU" w:eastAsia="en-AU"/>
        </w:rPr>
        <w:t xml:space="preserve"> </w:t>
      </w:r>
      <w:r>
        <w:rPr>
          <w:lang w:val="en-AU" w:eastAsia="en-AU"/>
        </w:rPr>
        <w:t xml:space="preserve">stable </w:t>
      </w:r>
      <w:r w:rsidRPr="00356618">
        <w:rPr>
          <w:lang w:val="en-AU" w:eastAsia="en-AU"/>
        </w:rPr>
        <w:t>ongoing health conditions</w:t>
      </w:r>
      <w:r>
        <w:rPr>
          <w:lang w:val="en-AU" w:eastAsia="en-AU"/>
        </w:rPr>
        <w:t>.</w:t>
      </w:r>
      <w:r>
        <w:t xml:space="preserve"> </w:t>
      </w:r>
      <w:r w:rsidR="006122EC">
        <w:t xml:space="preserve">William and Sandra can now receive twice the amount of their medication on a single prescription. </w:t>
      </w:r>
      <w:r w:rsidR="00F50EE0" w:rsidRPr="009F4E0E">
        <w:t xml:space="preserve">William and Sandra will now have only </w:t>
      </w:r>
      <w:r w:rsidR="00F50EE0" w:rsidRPr="00F50EE0">
        <w:rPr>
          <w:b/>
          <w:bCs/>
        </w:rPr>
        <w:t>six prescriptions per year</w:t>
      </w:r>
      <w:r w:rsidR="00F50EE0" w:rsidRPr="009F4E0E">
        <w:t xml:space="preserve"> for each medication and pay only </w:t>
      </w:r>
      <w:r w:rsidR="00DD21FC" w:rsidRPr="00DD21FC">
        <w:rPr>
          <w:b/>
          <w:bCs/>
        </w:rPr>
        <w:t>$379.20</w:t>
      </w:r>
      <w:r w:rsidR="00F50EE0" w:rsidRPr="00F50EE0">
        <w:rPr>
          <w:b/>
          <w:bCs/>
        </w:rPr>
        <w:t xml:space="preserve"> in PBS co</w:t>
      </w:r>
      <w:r w:rsidR="000E0DFD">
        <w:rPr>
          <w:b/>
          <w:bCs/>
        </w:rPr>
        <w:t>-</w:t>
      </w:r>
      <w:r w:rsidR="00F50EE0" w:rsidRPr="00F50EE0">
        <w:rPr>
          <w:b/>
          <w:bCs/>
        </w:rPr>
        <w:t>payments for their medications, a saving of half (</w:t>
      </w:r>
      <w:r w:rsidR="00DD21FC" w:rsidRPr="00DD21FC">
        <w:rPr>
          <w:b/>
          <w:bCs/>
        </w:rPr>
        <w:t>$379.20</w:t>
      </w:r>
      <w:r w:rsidR="00F50EE0" w:rsidRPr="00F50EE0">
        <w:rPr>
          <w:b/>
          <w:bCs/>
        </w:rPr>
        <w:t>) of their annual PBS costs.</w:t>
      </w:r>
    </w:p>
    <w:p w14:paraId="4A3D93FC" w14:textId="77777777" w:rsidR="009F4E0E" w:rsidRDefault="009752E0" w:rsidP="00F50EE0">
      <w:pPr>
        <w:pStyle w:val="Heading9"/>
        <w:rPr>
          <w:lang w:val="en-AU" w:eastAsia="en-AU"/>
        </w:rPr>
      </w:pPr>
      <w:bookmarkStart w:id="18" w:name="_Toc142405933"/>
      <w:r w:rsidRPr="00356618">
        <w:rPr>
          <w:lang w:val="en-AU" w:eastAsia="en-AU"/>
        </w:rPr>
        <w:t xml:space="preserve">Case study </w:t>
      </w:r>
      <w:r w:rsidR="008025B5">
        <w:rPr>
          <w:lang w:val="en-AU" w:eastAsia="en-AU"/>
        </w:rPr>
        <w:t>2</w:t>
      </w:r>
    </w:p>
    <w:p w14:paraId="11ED5A72" w14:textId="6DC2EF17" w:rsidR="009752E0" w:rsidRPr="00F50EE0" w:rsidRDefault="009F4E0E" w:rsidP="00F50EE0">
      <w:pPr>
        <w:pStyle w:val="Heading8"/>
      </w:pPr>
      <w:bookmarkStart w:id="19" w:name="_Toc143507330"/>
      <w:r w:rsidRPr="00F50EE0">
        <w:t>E</w:t>
      </w:r>
      <w:r w:rsidR="009752E0" w:rsidRPr="00F50EE0">
        <w:t>lderly couple with Pensioner Concession Cards</w:t>
      </w:r>
      <w:bookmarkEnd w:id="18"/>
      <w:bookmarkEnd w:id="19"/>
    </w:p>
    <w:p w14:paraId="59B3878D" w14:textId="7DB46EB1" w:rsidR="009752E0" w:rsidRPr="00356618" w:rsidRDefault="009752E0" w:rsidP="00B31D72">
      <w:pPr>
        <w:spacing w:line="276" w:lineRule="auto"/>
        <w:rPr>
          <w:lang w:val="en-AU" w:eastAsia="en-AU"/>
        </w:rPr>
      </w:pPr>
      <w:r w:rsidRPr="00356618">
        <w:rPr>
          <w:lang w:val="en-AU" w:eastAsia="en-AU"/>
        </w:rPr>
        <w:t xml:space="preserve">Frank and Judy are a couple with Pensioner Concession Cards, providing them access to PBS medicines for </w:t>
      </w:r>
      <w:r w:rsidR="00DD21FC" w:rsidRPr="00DD21FC">
        <w:rPr>
          <w:b/>
          <w:bCs/>
          <w:lang w:val="en-AU" w:eastAsia="en-AU"/>
        </w:rPr>
        <w:t>$7.70</w:t>
      </w:r>
      <w:r w:rsidRPr="00F50EE0">
        <w:rPr>
          <w:b/>
          <w:bCs/>
          <w:lang w:val="en-AU" w:eastAsia="en-AU"/>
        </w:rPr>
        <w:t xml:space="preserve"> per script in 202</w:t>
      </w:r>
      <w:r w:rsidR="00DD21FC">
        <w:rPr>
          <w:b/>
          <w:bCs/>
          <w:lang w:val="en-AU" w:eastAsia="en-AU"/>
        </w:rPr>
        <w:t>4</w:t>
      </w:r>
      <w:r w:rsidRPr="00356618">
        <w:rPr>
          <w:lang w:val="en-AU" w:eastAsia="en-AU"/>
        </w:rPr>
        <w:t>.</w:t>
      </w:r>
    </w:p>
    <w:p w14:paraId="576418A5" w14:textId="0E077517" w:rsidR="009752E0" w:rsidRPr="00356618" w:rsidRDefault="009752E0" w:rsidP="00B31D72">
      <w:pPr>
        <w:spacing w:line="276" w:lineRule="auto"/>
        <w:rPr>
          <w:lang w:val="en-AU" w:eastAsia="en-AU"/>
        </w:rPr>
      </w:pPr>
      <w:r w:rsidRPr="00356618">
        <w:rPr>
          <w:lang w:val="en-AU" w:eastAsia="en-AU"/>
        </w:rPr>
        <w:t xml:space="preserve">As a couple they would receive </w:t>
      </w:r>
      <w:r w:rsidRPr="00F50EE0">
        <w:rPr>
          <w:b/>
          <w:bCs/>
          <w:lang w:val="en-AU" w:eastAsia="en-AU"/>
        </w:rPr>
        <w:t xml:space="preserve">40 scripts in a year and reach the PBS Safety Net, paying </w:t>
      </w:r>
      <w:r w:rsidR="00DD21FC" w:rsidRPr="00DD21FC">
        <w:rPr>
          <w:b/>
          <w:bCs/>
          <w:lang w:val="en-GB" w:eastAsia="en-AU"/>
        </w:rPr>
        <w:t>$277.20</w:t>
      </w:r>
      <w:r w:rsidRPr="00F50EE0">
        <w:rPr>
          <w:b/>
          <w:bCs/>
          <w:lang w:val="en-AU" w:eastAsia="en-AU"/>
        </w:rPr>
        <w:t xml:space="preserve"> across 36 prescriptions</w:t>
      </w:r>
      <w:r w:rsidRPr="00356618">
        <w:rPr>
          <w:lang w:val="en-AU" w:eastAsia="en-AU"/>
        </w:rPr>
        <w:t xml:space="preserve"> to reach the Safety Net and then </w:t>
      </w:r>
      <w:r>
        <w:rPr>
          <w:lang w:val="en-AU" w:eastAsia="en-AU"/>
        </w:rPr>
        <w:t>four</w:t>
      </w:r>
      <w:r w:rsidRPr="00356618">
        <w:rPr>
          <w:lang w:val="en-AU" w:eastAsia="en-AU"/>
        </w:rPr>
        <w:t xml:space="preserve"> free Safety Net prescriptions.</w:t>
      </w:r>
    </w:p>
    <w:p w14:paraId="3612456A" w14:textId="59D63993" w:rsidR="009752E0" w:rsidRPr="00356618" w:rsidRDefault="009752E0" w:rsidP="00B31D72">
      <w:pPr>
        <w:spacing w:line="276" w:lineRule="auto"/>
        <w:rPr>
          <w:lang w:val="en-AU" w:eastAsia="en-AU"/>
        </w:rPr>
      </w:pPr>
      <w:r w:rsidRPr="00356618">
        <w:rPr>
          <w:lang w:val="en-AU" w:eastAsia="en-AU"/>
        </w:rPr>
        <w:t>Judy’s doctor finds her suitable for a 60</w:t>
      </w:r>
      <w:r w:rsidR="000E0DFD">
        <w:rPr>
          <w:lang w:val="en-AU" w:eastAsia="en-AU"/>
        </w:rPr>
        <w:t>-</w:t>
      </w:r>
      <w:r w:rsidRPr="00356618">
        <w:rPr>
          <w:lang w:val="en-AU" w:eastAsia="en-AU"/>
        </w:rPr>
        <w:t xml:space="preserve">day prescription for the treatment of high cholesterol. Instead of getting one prescription per month to treat the condition (12 per year), Judy will get one prescription every </w:t>
      </w:r>
      <w:r>
        <w:rPr>
          <w:lang w:val="en-AU" w:eastAsia="en-AU"/>
        </w:rPr>
        <w:t>two</w:t>
      </w:r>
      <w:r w:rsidRPr="00356618">
        <w:rPr>
          <w:lang w:val="en-AU" w:eastAsia="en-AU"/>
        </w:rPr>
        <w:t xml:space="preserve"> months (6 per year).</w:t>
      </w:r>
    </w:p>
    <w:p w14:paraId="0E5286D0" w14:textId="32FE31BD" w:rsidR="00955526" w:rsidRPr="00356618" w:rsidRDefault="009752E0" w:rsidP="00B616D4">
      <w:pPr>
        <w:spacing w:line="276" w:lineRule="auto"/>
        <w:rPr>
          <w:lang w:val="en-AU" w:eastAsia="en-AU"/>
        </w:rPr>
      </w:pPr>
      <w:r w:rsidRPr="00356618">
        <w:rPr>
          <w:lang w:val="en-AU" w:eastAsia="en-AU"/>
        </w:rPr>
        <w:t xml:space="preserve">As a couple Frank and Judy will now receive </w:t>
      </w:r>
      <w:r w:rsidRPr="00F50EE0">
        <w:rPr>
          <w:b/>
          <w:bCs/>
          <w:lang w:val="en-AU" w:eastAsia="en-AU"/>
        </w:rPr>
        <w:t xml:space="preserve">34 prescriptions, meaning they will no longer reach the </w:t>
      </w:r>
      <w:r w:rsidR="00E1662E" w:rsidRPr="00E1662E">
        <w:rPr>
          <w:b/>
          <w:bCs/>
          <w:lang w:eastAsia="en-AU"/>
        </w:rPr>
        <w:t>$277.20</w:t>
      </w:r>
      <w:r w:rsidR="00E1662E">
        <w:rPr>
          <w:b/>
          <w:bCs/>
          <w:lang w:eastAsia="en-AU"/>
        </w:rPr>
        <w:t xml:space="preserve"> </w:t>
      </w:r>
      <w:r w:rsidRPr="00F50EE0">
        <w:rPr>
          <w:b/>
          <w:bCs/>
          <w:lang w:val="en-AU" w:eastAsia="en-AU"/>
        </w:rPr>
        <w:t>PBS Safety Net</w:t>
      </w:r>
      <w:r w:rsidR="00161BB5">
        <w:rPr>
          <w:lang w:val="en-AU" w:eastAsia="en-AU"/>
        </w:rPr>
        <w:t xml:space="preserve"> because</w:t>
      </w:r>
      <w:r w:rsidRPr="00356618">
        <w:rPr>
          <w:lang w:val="en-AU" w:eastAsia="en-AU"/>
        </w:rPr>
        <w:t xml:space="preserve"> they will be </w:t>
      </w:r>
      <w:r w:rsidRPr="00F50EE0">
        <w:rPr>
          <w:b/>
          <w:bCs/>
          <w:lang w:val="en-AU" w:eastAsia="en-AU"/>
        </w:rPr>
        <w:t>paying less for their medications overall</w:t>
      </w:r>
      <w:r w:rsidR="001C3B37">
        <w:rPr>
          <w:b/>
          <w:bCs/>
          <w:lang w:val="en-AU" w:eastAsia="en-AU"/>
        </w:rPr>
        <w:t>.</w:t>
      </w:r>
    </w:p>
    <w:p w14:paraId="37C6130F" w14:textId="77777777" w:rsidR="009F4E0E" w:rsidRPr="00F50EE0" w:rsidRDefault="009752E0" w:rsidP="00F50EE0">
      <w:pPr>
        <w:pStyle w:val="Heading9"/>
      </w:pPr>
      <w:bookmarkStart w:id="20" w:name="_Toc142405934"/>
      <w:r w:rsidRPr="00F50EE0">
        <w:lastRenderedPageBreak/>
        <w:t xml:space="preserve">Case study </w:t>
      </w:r>
      <w:r w:rsidR="008025B5" w:rsidRPr="00F50EE0">
        <w:t>3</w:t>
      </w:r>
    </w:p>
    <w:p w14:paraId="20FB8C33" w14:textId="5CF3554D" w:rsidR="009752E0" w:rsidRPr="00F50EE0" w:rsidRDefault="009F4E0E" w:rsidP="00F50EE0">
      <w:pPr>
        <w:pStyle w:val="Heading8"/>
      </w:pPr>
      <w:bookmarkStart w:id="21" w:name="_Toc143507331"/>
      <w:r w:rsidRPr="00F50EE0">
        <w:t>C</w:t>
      </w:r>
      <w:r w:rsidR="009752E0" w:rsidRPr="00F50EE0">
        <w:t>ouple with Health Care Cards</w:t>
      </w:r>
      <w:bookmarkEnd w:id="20"/>
      <w:bookmarkEnd w:id="21"/>
    </w:p>
    <w:p w14:paraId="6D3E5545" w14:textId="176C9708" w:rsidR="009752E0" w:rsidRPr="00356618" w:rsidRDefault="009752E0" w:rsidP="00B31D72">
      <w:pPr>
        <w:spacing w:line="276" w:lineRule="auto"/>
        <w:rPr>
          <w:lang w:val="en-AU" w:eastAsia="en-AU"/>
        </w:rPr>
      </w:pPr>
      <w:r w:rsidRPr="00356618">
        <w:rPr>
          <w:lang w:val="en-AU" w:eastAsia="en-AU"/>
        </w:rPr>
        <w:t xml:space="preserve">Tony and Jack are a couple with Health Care Cards, providing them access to PBS medications for </w:t>
      </w:r>
      <w:r w:rsidRPr="00F50EE0">
        <w:rPr>
          <w:b/>
          <w:bCs/>
          <w:lang w:val="en-AU" w:eastAsia="en-AU"/>
        </w:rPr>
        <w:t>$7.</w:t>
      </w:r>
      <w:r w:rsidR="00DD21FC">
        <w:rPr>
          <w:b/>
          <w:bCs/>
          <w:lang w:val="en-AU" w:eastAsia="en-AU"/>
        </w:rPr>
        <w:t>7</w:t>
      </w:r>
      <w:r w:rsidRPr="00F50EE0">
        <w:rPr>
          <w:b/>
          <w:bCs/>
          <w:lang w:val="en-AU" w:eastAsia="en-AU"/>
        </w:rPr>
        <w:t>0 per prescription in 202</w:t>
      </w:r>
      <w:r w:rsidR="00DD21FC">
        <w:rPr>
          <w:b/>
          <w:bCs/>
          <w:lang w:val="en-AU" w:eastAsia="en-AU"/>
        </w:rPr>
        <w:t>4</w:t>
      </w:r>
      <w:r w:rsidRPr="00356618">
        <w:rPr>
          <w:lang w:val="en-AU" w:eastAsia="en-AU"/>
        </w:rPr>
        <w:t>.</w:t>
      </w:r>
    </w:p>
    <w:p w14:paraId="0B5A229E" w14:textId="1ADC9051" w:rsidR="009752E0" w:rsidRPr="00356618" w:rsidRDefault="009752E0" w:rsidP="00B31D72">
      <w:pPr>
        <w:spacing w:line="276" w:lineRule="auto"/>
        <w:rPr>
          <w:lang w:val="en-AU" w:eastAsia="en-AU"/>
        </w:rPr>
      </w:pPr>
      <w:r w:rsidRPr="00356618">
        <w:rPr>
          <w:lang w:val="en-AU" w:eastAsia="en-AU"/>
        </w:rPr>
        <w:t xml:space="preserve">As a couple they fill </w:t>
      </w:r>
      <w:r w:rsidRPr="00E20497">
        <w:rPr>
          <w:b/>
          <w:bCs/>
          <w:lang w:val="en-AU" w:eastAsia="en-AU"/>
        </w:rPr>
        <w:t>50 prescriptions in a year and reach the PBS Safety Net, paying</w:t>
      </w:r>
      <w:r w:rsidRPr="00356618">
        <w:rPr>
          <w:lang w:val="en-AU" w:eastAsia="en-AU"/>
        </w:rPr>
        <w:t xml:space="preserve"> </w:t>
      </w:r>
      <w:r w:rsidR="00DD21FC" w:rsidRPr="00DD21FC">
        <w:rPr>
          <w:b/>
          <w:bCs/>
          <w:lang w:val="en-AU" w:eastAsia="en-AU"/>
        </w:rPr>
        <w:t>$277.20</w:t>
      </w:r>
      <w:r w:rsidRPr="00F50EE0">
        <w:rPr>
          <w:b/>
          <w:bCs/>
          <w:lang w:val="en-AU" w:eastAsia="en-AU"/>
        </w:rPr>
        <w:t xml:space="preserve"> across 36 prescriptions to reach the Safety Net and then receive 14 free safety net prescriptions</w:t>
      </w:r>
      <w:r w:rsidRPr="00356618">
        <w:rPr>
          <w:lang w:val="en-AU" w:eastAsia="en-AU"/>
        </w:rPr>
        <w:t xml:space="preserve">. </w:t>
      </w:r>
    </w:p>
    <w:p w14:paraId="1BEEC644" w14:textId="189B39E0" w:rsidR="009752E0" w:rsidRPr="00356618" w:rsidRDefault="009752E0" w:rsidP="00B31D72">
      <w:pPr>
        <w:spacing w:line="276" w:lineRule="auto"/>
        <w:rPr>
          <w:lang w:val="en-AU" w:eastAsia="en-AU"/>
        </w:rPr>
      </w:pPr>
      <w:r w:rsidRPr="00356618">
        <w:rPr>
          <w:lang w:val="en-AU" w:eastAsia="en-AU"/>
        </w:rPr>
        <w:t>Jack’s doctor finds him suitable for 60</w:t>
      </w:r>
      <w:r w:rsidR="000E0DFD">
        <w:rPr>
          <w:lang w:val="en-AU" w:eastAsia="en-AU"/>
        </w:rPr>
        <w:t>-</w:t>
      </w:r>
      <w:r w:rsidRPr="00356618">
        <w:rPr>
          <w:lang w:val="en-AU" w:eastAsia="en-AU"/>
        </w:rPr>
        <w:t xml:space="preserve">day prescriptions for </w:t>
      </w:r>
      <w:r>
        <w:rPr>
          <w:lang w:val="en-AU" w:eastAsia="en-AU"/>
        </w:rPr>
        <w:t xml:space="preserve">two </w:t>
      </w:r>
      <w:r w:rsidRPr="00356618">
        <w:rPr>
          <w:lang w:val="en-AU" w:eastAsia="en-AU"/>
        </w:rPr>
        <w:t xml:space="preserve">medicines used to manage his </w:t>
      </w:r>
      <w:r w:rsidR="00933F57">
        <w:rPr>
          <w:lang w:val="en-AU" w:eastAsia="en-AU"/>
        </w:rPr>
        <w:t xml:space="preserve">stable </w:t>
      </w:r>
      <w:r w:rsidRPr="00356618">
        <w:rPr>
          <w:lang w:val="en-AU" w:eastAsia="en-AU"/>
        </w:rPr>
        <w:t xml:space="preserve">ongoing health conditions. Instead of getting one prescription per month to treat each condition (24 per year), Jack will get one prescription every </w:t>
      </w:r>
      <w:r>
        <w:rPr>
          <w:lang w:val="en-AU" w:eastAsia="en-AU"/>
        </w:rPr>
        <w:t>two</w:t>
      </w:r>
      <w:r w:rsidRPr="00356618">
        <w:rPr>
          <w:lang w:val="en-AU" w:eastAsia="en-AU"/>
        </w:rPr>
        <w:t xml:space="preserve"> months (12 per year).</w:t>
      </w:r>
    </w:p>
    <w:p w14:paraId="353214CF" w14:textId="6C879EE7" w:rsidR="00D37A41" w:rsidRDefault="009752E0" w:rsidP="001B0BFE">
      <w:pPr>
        <w:spacing w:after="480" w:line="276" w:lineRule="auto"/>
        <w:rPr>
          <w:lang w:val="en-AU" w:eastAsia="en-AU"/>
        </w:rPr>
      </w:pPr>
      <w:r w:rsidRPr="00356618">
        <w:rPr>
          <w:lang w:val="en-AU" w:eastAsia="en-AU"/>
        </w:rPr>
        <w:t xml:space="preserve">As a couple Tony and Jack now fill </w:t>
      </w:r>
      <w:r w:rsidRPr="00F50EE0">
        <w:rPr>
          <w:b/>
          <w:bCs/>
          <w:lang w:val="en-AU" w:eastAsia="en-AU"/>
        </w:rPr>
        <w:t>38 prescriptions in total rather than 50</w:t>
      </w:r>
      <w:r w:rsidRPr="00356618">
        <w:rPr>
          <w:lang w:val="en-AU" w:eastAsia="en-AU"/>
        </w:rPr>
        <w:t xml:space="preserve">. They pay </w:t>
      </w:r>
      <w:r w:rsidR="00DD21FC" w:rsidRPr="00DD21FC">
        <w:rPr>
          <w:b/>
          <w:bCs/>
          <w:lang w:val="en-AU" w:eastAsia="en-AU"/>
        </w:rPr>
        <w:t>$277.20</w:t>
      </w:r>
      <w:r w:rsidRPr="00F50EE0">
        <w:rPr>
          <w:b/>
          <w:bCs/>
          <w:lang w:val="en-AU" w:eastAsia="en-AU"/>
        </w:rPr>
        <w:t xml:space="preserve"> in co</w:t>
      </w:r>
      <w:r w:rsidR="000E0DFD">
        <w:rPr>
          <w:b/>
          <w:bCs/>
          <w:lang w:val="en-AU" w:eastAsia="en-AU"/>
        </w:rPr>
        <w:t>-</w:t>
      </w:r>
      <w:r w:rsidRPr="00F50EE0">
        <w:rPr>
          <w:b/>
          <w:bCs/>
          <w:lang w:val="en-AU" w:eastAsia="en-AU"/>
        </w:rPr>
        <w:t>payments, then reach the PBS Safety Net</w:t>
      </w:r>
      <w:r w:rsidRPr="00356618">
        <w:rPr>
          <w:lang w:val="en-AU" w:eastAsia="en-AU"/>
        </w:rPr>
        <w:t>. They now reach the PBS Safety Net later in the year, making the same number of co</w:t>
      </w:r>
      <w:r w:rsidR="000E0DFD">
        <w:rPr>
          <w:lang w:val="en-AU" w:eastAsia="en-AU"/>
        </w:rPr>
        <w:t>-</w:t>
      </w:r>
      <w:r w:rsidRPr="00356618">
        <w:rPr>
          <w:lang w:val="en-AU" w:eastAsia="en-AU"/>
        </w:rPr>
        <w:t xml:space="preserve">payments but spread across a longer </w:t>
      </w:r>
      <w:proofErr w:type="gramStart"/>
      <w:r w:rsidRPr="00356618">
        <w:rPr>
          <w:lang w:val="en-AU" w:eastAsia="en-AU"/>
        </w:rPr>
        <w:t>period of time</w:t>
      </w:r>
      <w:proofErr w:type="gramEnd"/>
      <w:r w:rsidRPr="00356618">
        <w:rPr>
          <w:lang w:val="en-AU" w:eastAsia="en-AU"/>
        </w:rPr>
        <w:t>, meaning they pay fewer co</w:t>
      </w:r>
      <w:r w:rsidR="000E0DFD">
        <w:rPr>
          <w:lang w:val="en-AU" w:eastAsia="en-AU"/>
        </w:rPr>
        <w:t>-</w:t>
      </w:r>
      <w:r w:rsidRPr="00356618">
        <w:rPr>
          <w:lang w:val="en-AU" w:eastAsia="en-AU"/>
        </w:rPr>
        <w:t xml:space="preserve">payments in the first half of the year. They pay no additional cost for their PBS medications and receive </w:t>
      </w:r>
      <w:r>
        <w:rPr>
          <w:lang w:val="en-AU" w:eastAsia="en-AU"/>
        </w:rPr>
        <w:t>two</w:t>
      </w:r>
      <w:r w:rsidRPr="00356618">
        <w:rPr>
          <w:lang w:val="en-AU" w:eastAsia="en-AU"/>
        </w:rPr>
        <w:t xml:space="preserve"> free Safety Net prescriptions.</w:t>
      </w:r>
    </w:p>
    <w:p w14:paraId="048A7FC3" w14:textId="0AEE9F44" w:rsidR="00D37A41" w:rsidRPr="00F50EE0" w:rsidRDefault="00D37A41" w:rsidP="00D37A41">
      <w:pPr>
        <w:pStyle w:val="Heading9"/>
      </w:pPr>
      <w:r w:rsidRPr="00F50EE0">
        <w:t xml:space="preserve">Case study </w:t>
      </w:r>
      <w:r>
        <w:t>4</w:t>
      </w:r>
    </w:p>
    <w:p w14:paraId="50541DDA" w14:textId="124D4CED" w:rsidR="00D37A41" w:rsidRDefault="00D37A41" w:rsidP="00D37A41">
      <w:pPr>
        <w:pStyle w:val="Heading8"/>
        <w:rPr>
          <w:lang w:eastAsia="en-AU"/>
        </w:rPr>
      </w:pPr>
      <w:r>
        <w:t>Individual</w:t>
      </w:r>
      <w:r w:rsidRPr="00F50EE0">
        <w:t xml:space="preserve"> </w:t>
      </w:r>
      <w:r w:rsidR="003D05EA">
        <w:t xml:space="preserve">who is a Medicare card holder </w:t>
      </w:r>
      <w:r w:rsidR="003D05EA" w:rsidRPr="6812E5B2">
        <w:rPr>
          <w:lang w:eastAsia="en-AU"/>
        </w:rPr>
        <w:t>(non-concessional)</w:t>
      </w:r>
    </w:p>
    <w:p w14:paraId="4E772085" w14:textId="77777777" w:rsidR="001B0BFE" w:rsidRDefault="00A22BC3" w:rsidP="5BF1AE31">
      <w:pPr>
        <w:spacing w:after="0" w:line="240" w:lineRule="auto"/>
        <w:rPr>
          <w:rFonts w:asciiTheme="minorHAnsi" w:eastAsia="Times New Roman" w:hAnsiTheme="minorHAnsi"/>
          <w:color w:val="212121"/>
          <w:szCs w:val="20"/>
          <w:lang w:val="en-AU" w:eastAsia="en-GB"/>
        </w:rPr>
      </w:pPr>
      <w:bookmarkStart w:id="22" w:name="_Toc135211933"/>
      <w:r w:rsidRPr="00E60CDF">
        <w:rPr>
          <w:rFonts w:asciiTheme="minorHAnsi" w:eastAsia="Times New Roman" w:hAnsiTheme="minorHAnsi"/>
          <w:color w:val="212121"/>
          <w:szCs w:val="20"/>
          <w:lang w:val="en-AU" w:eastAsia="en-GB"/>
        </w:rPr>
        <w:t>Anne lives with type 2 diabetes, and she </w:t>
      </w:r>
      <w:r w:rsidRPr="00E60CDF">
        <w:rPr>
          <w:rFonts w:asciiTheme="minorHAnsi" w:eastAsia="Times New Roman" w:hAnsiTheme="minorHAnsi"/>
          <w:color w:val="212121"/>
          <w:szCs w:val="20"/>
          <w:lang w:val="en-GB" w:eastAsia="en-GB"/>
        </w:rPr>
        <w:t>needs to take one vildagliptin 50mg with metformin hydrochloride 1g tablet every day, which means filling 12 prescriptions per year.</w:t>
      </w:r>
    </w:p>
    <w:p w14:paraId="3D8E057A" w14:textId="1E020499" w:rsidR="00A22BC3" w:rsidRPr="00E60CDF" w:rsidRDefault="00A22BC3" w:rsidP="001B0BFE">
      <w:pPr>
        <w:spacing w:before="240" w:after="0" w:line="240" w:lineRule="auto"/>
        <w:rPr>
          <w:rFonts w:asciiTheme="minorHAnsi" w:eastAsia="Times New Roman" w:hAnsiTheme="minorHAnsi"/>
          <w:color w:val="212121"/>
          <w:szCs w:val="20"/>
          <w:lang w:val="en-AU" w:eastAsia="en-GB"/>
        </w:rPr>
      </w:pPr>
      <w:r w:rsidRPr="00E60CDF">
        <w:rPr>
          <w:rFonts w:asciiTheme="minorHAnsi" w:eastAsia="Times New Roman" w:hAnsiTheme="minorHAnsi"/>
          <w:color w:val="212121"/>
          <w:szCs w:val="20"/>
          <w:lang w:val="en-AU" w:eastAsia="en-GB"/>
        </w:rPr>
        <w:t>The </w:t>
      </w:r>
      <w:r w:rsidRPr="00E60CDF">
        <w:rPr>
          <w:rFonts w:asciiTheme="minorHAnsi" w:eastAsia="Times New Roman" w:hAnsiTheme="minorHAnsi"/>
          <w:color w:val="212121"/>
          <w:szCs w:val="20"/>
          <w:lang w:val="en-GB" w:eastAsia="en-GB"/>
        </w:rPr>
        <w:t>combination treatment vildagliptin with metformin is an essential medicine for many people living with type 2 diabetes, and it is listed on the Pharmaceutical Benefits Scheme (PBS).</w:t>
      </w:r>
      <w:r w:rsidRPr="00E60CDF">
        <w:rPr>
          <w:rFonts w:asciiTheme="minorHAnsi" w:eastAsia="Times New Roman" w:hAnsiTheme="minorHAnsi"/>
          <w:color w:val="212121"/>
          <w:szCs w:val="20"/>
          <w:lang w:val="en-AU" w:eastAsia="en-GB"/>
        </w:rPr>
        <w:t> </w:t>
      </w:r>
    </w:p>
    <w:p w14:paraId="0C74F509" w14:textId="317167F5" w:rsidR="00A22BC3" w:rsidRPr="00E60CDF" w:rsidRDefault="00A22BC3" w:rsidP="001B0BFE">
      <w:pPr>
        <w:spacing w:before="240" w:after="0" w:line="240" w:lineRule="auto"/>
        <w:rPr>
          <w:rFonts w:asciiTheme="minorHAnsi" w:eastAsia="Times New Roman" w:hAnsiTheme="minorHAnsi"/>
          <w:color w:val="212121"/>
          <w:szCs w:val="20"/>
          <w:lang w:val="en-AU" w:eastAsia="en-GB"/>
        </w:rPr>
      </w:pPr>
      <w:r w:rsidRPr="00E60CDF">
        <w:rPr>
          <w:rFonts w:asciiTheme="minorHAnsi" w:eastAsia="Times New Roman" w:hAnsiTheme="minorHAnsi"/>
          <w:color w:val="212121"/>
          <w:szCs w:val="20"/>
          <w:lang w:val="en-AU" w:eastAsia="en-GB"/>
        </w:rPr>
        <w:t>In 2024, Anne paid $31.60 for each script </w:t>
      </w:r>
      <w:r w:rsidRPr="00E60CDF">
        <w:rPr>
          <w:rFonts w:asciiTheme="minorHAnsi" w:eastAsia="Times New Roman" w:hAnsiTheme="minorHAnsi"/>
          <w:color w:val="212121"/>
          <w:szCs w:val="20"/>
          <w:lang w:eastAsia="en-GB"/>
        </w:rPr>
        <w:t>as non-concessional Medicare card holding patient for this PBS medication</w:t>
      </w:r>
      <w:r w:rsidRPr="00E60CDF">
        <w:rPr>
          <w:rFonts w:asciiTheme="minorHAnsi" w:eastAsia="Times New Roman" w:hAnsiTheme="minorHAnsi"/>
          <w:color w:val="212121"/>
          <w:szCs w:val="20"/>
          <w:lang w:val="en-AU" w:eastAsia="en-GB"/>
        </w:rPr>
        <w:t>. Having to refill </w:t>
      </w:r>
      <w:r w:rsidRPr="00E60CDF">
        <w:rPr>
          <w:rFonts w:asciiTheme="minorHAnsi" w:eastAsia="Times New Roman" w:hAnsiTheme="minorHAnsi"/>
          <w:b/>
          <w:bCs/>
          <w:color w:val="212121"/>
          <w:szCs w:val="20"/>
          <w:lang w:eastAsia="en-GB"/>
        </w:rPr>
        <w:t>12 prescriptions per year</w:t>
      </w:r>
      <w:r w:rsidRPr="00E60CDF">
        <w:rPr>
          <w:rFonts w:asciiTheme="minorHAnsi" w:eastAsia="Times New Roman" w:hAnsiTheme="minorHAnsi"/>
          <w:b/>
          <w:bCs/>
          <w:color w:val="212121"/>
          <w:szCs w:val="20"/>
          <w:lang w:val="en-AU" w:eastAsia="en-GB"/>
        </w:rPr>
        <w:t>, the total cost is $379.20 per year</w:t>
      </w:r>
      <w:r w:rsidRPr="00E60CDF">
        <w:rPr>
          <w:rFonts w:asciiTheme="minorHAnsi" w:eastAsia="Times New Roman" w:hAnsiTheme="minorHAnsi"/>
          <w:color w:val="212121"/>
          <w:szCs w:val="20"/>
          <w:lang w:val="en-AU" w:eastAsia="en-GB"/>
        </w:rPr>
        <w:t>.</w:t>
      </w:r>
    </w:p>
    <w:p w14:paraId="7DE91A54" w14:textId="3570FFA3" w:rsidR="00A22BC3" w:rsidRPr="00E60CDF" w:rsidRDefault="00A22BC3" w:rsidP="001B0BFE">
      <w:pPr>
        <w:spacing w:before="240" w:after="0" w:line="240" w:lineRule="auto"/>
        <w:rPr>
          <w:rFonts w:asciiTheme="minorHAnsi" w:eastAsia="Times New Roman" w:hAnsiTheme="minorHAnsi"/>
          <w:color w:val="212121"/>
          <w:szCs w:val="20"/>
          <w:lang w:val="en-AU" w:eastAsia="en-GB"/>
        </w:rPr>
      </w:pPr>
      <w:r w:rsidRPr="00E60CDF">
        <w:rPr>
          <w:rFonts w:asciiTheme="minorHAnsi" w:eastAsia="Times New Roman" w:hAnsiTheme="minorHAnsi"/>
          <w:color w:val="212121"/>
          <w:szCs w:val="20"/>
          <w:lang w:eastAsia="en-GB"/>
        </w:rPr>
        <w:t>Anne’s </w:t>
      </w:r>
      <w:r w:rsidRPr="00E60CDF">
        <w:rPr>
          <w:rFonts w:asciiTheme="minorHAnsi" w:eastAsia="Times New Roman" w:hAnsiTheme="minorHAnsi"/>
          <w:color w:val="212121"/>
          <w:szCs w:val="20"/>
          <w:lang w:val="en-AU" w:eastAsia="en-GB"/>
        </w:rPr>
        <w:t>doctor advised her that because her diabetes is a stable ongoing health condition, and her medication is available for a 60-day prescription, she is suitable for a 60-day prescription. She </w:t>
      </w:r>
      <w:r w:rsidRPr="00E60CDF">
        <w:rPr>
          <w:rFonts w:asciiTheme="minorHAnsi" w:eastAsia="Times New Roman" w:hAnsiTheme="minorHAnsi"/>
          <w:color w:val="212121"/>
          <w:szCs w:val="20"/>
          <w:lang w:eastAsia="en-GB"/>
        </w:rPr>
        <w:t xml:space="preserve">can now receive twice the amount of her medication on a single prescription and will need only </w:t>
      </w:r>
      <w:r w:rsidRPr="00E60CDF">
        <w:rPr>
          <w:rFonts w:asciiTheme="minorHAnsi" w:eastAsia="Times New Roman" w:hAnsiTheme="minorHAnsi"/>
          <w:b/>
          <w:bCs/>
          <w:color w:val="212121"/>
          <w:szCs w:val="20"/>
          <w:lang w:eastAsia="en-GB"/>
        </w:rPr>
        <w:t>six prescriptions per year</w:t>
      </w:r>
      <w:r w:rsidRPr="00E60CDF">
        <w:rPr>
          <w:rFonts w:asciiTheme="minorHAnsi" w:eastAsia="Times New Roman" w:hAnsiTheme="minorHAnsi"/>
          <w:color w:val="212121"/>
          <w:szCs w:val="20"/>
          <w:lang w:eastAsia="en-GB"/>
        </w:rPr>
        <w:t xml:space="preserve"> for her medication.</w:t>
      </w:r>
    </w:p>
    <w:p w14:paraId="72A41454" w14:textId="77777777" w:rsidR="00A22BC3" w:rsidRPr="00A22BC3" w:rsidRDefault="00A22BC3" w:rsidP="001B0BFE">
      <w:pPr>
        <w:spacing w:before="240" w:after="0" w:line="240" w:lineRule="auto"/>
        <w:rPr>
          <w:rFonts w:asciiTheme="minorHAnsi" w:eastAsia="Times New Roman" w:hAnsiTheme="minorHAnsi"/>
          <w:b/>
          <w:bCs/>
          <w:color w:val="212121"/>
          <w:szCs w:val="20"/>
          <w:lang w:val="en-AU" w:eastAsia="en-GB"/>
        </w:rPr>
      </w:pPr>
      <w:r w:rsidRPr="00E60CDF">
        <w:rPr>
          <w:rFonts w:asciiTheme="minorHAnsi" w:eastAsia="Times New Roman" w:hAnsiTheme="minorHAnsi"/>
          <w:color w:val="212121"/>
          <w:szCs w:val="20"/>
          <w:lang w:eastAsia="en-GB"/>
        </w:rPr>
        <w:t xml:space="preserve">Anne now pays only </w:t>
      </w:r>
      <w:r w:rsidRPr="00E60CDF">
        <w:rPr>
          <w:rFonts w:asciiTheme="minorHAnsi" w:eastAsia="Times New Roman" w:hAnsiTheme="minorHAnsi"/>
          <w:b/>
          <w:bCs/>
          <w:color w:val="212121"/>
          <w:szCs w:val="20"/>
          <w:lang w:eastAsia="en-GB"/>
        </w:rPr>
        <w:t>$189.60 in PBS co-payments for her medication, a saving of half ($189.60) on her annual PBS costs.</w:t>
      </w:r>
      <w:r w:rsidRPr="00E60CDF">
        <w:rPr>
          <w:rFonts w:asciiTheme="minorHAnsi" w:eastAsia="Times New Roman" w:hAnsiTheme="minorHAnsi"/>
          <w:b/>
          <w:bCs/>
          <w:color w:val="212121"/>
          <w:szCs w:val="20"/>
          <w:lang w:val="en-AU" w:eastAsia="en-GB"/>
        </w:rPr>
        <w:t> </w:t>
      </w:r>
    </w:p>
    <w:p w14:paraId="68BF37CD" w14:textId="5D550E82" w:rsidR="00F419FA" w:rsidRDefault="00F419FA" w:rsidP="00F419FA">
      <w:pPr>
        <w:pStyle w:val="Heading1"/>
      </w:pPr>
      <w:bookmarkStart w:id="23" w:name="_Toc182315873"/>
      <w:r>
        <w:lastRenderedPageBreak/>
        <w:t>R</w:t>
      </w:r>
      <w:r w:rsidRPr="00DC75E7">
        <w:t>esource</w:t>
      </w:r>
      <w:bookmarkEnd w:id="22"/>
      <w:r w:rsidR="00B616D4">
        <w:t>s</w:t>
      </w:r>
      <w:bookmarkEnd w:id="23"/>
    </w:p>
    <w:p w14:paraId="0ACCA24C" w14:textId="61FBC5A8" w:rsidR="00F419FA" w:rsidRDefault="00F419FA" w:rsidP="00B31D72">
      <w:pPr>
        <w:pStyle w:val="ListBullet2"/>
        <w:spacing w:line="276" w:lineRule="auto"/>
      </w:pPr>
      <w:r>
        <w:t>Resources have been created to comply with AAA criteria for accessibility.</w:t>
      </w:r>
    </w:p>
    <w:p w14:paraId="75146713" w14:textId="2838C308" w:rsidR="00E65EFC" w:rsidRDefault="00E65EFC" w:rsidP="00B31D72">
      <w:pPr>
        <w:pStyle w:val="ListBullet2"/>
        <w:spacing w:line="276" w:lineRule="auto"/>
      </w:pPr>
      <w:r w:rsidRPr="1404FD5E">
        <w:rPr>
          <w:lang w:val="en-GB"/>
        </w:rPr>
        <w:t xml:space="preserve">Preview images used below are for reference only. High-resolution copies of the below resources and written case studies can be downloaded from the Resources page on </w:t>
      </w:r>
      <w:hyperlink r:id="rId28">
        <w:r w:rsidR="00DA23F0" w:rsidRPr="1404FD5E">
          <w:rPr>
            <w:rStyle w:val="Hyperlink"/>
            <w:rFonts w:ascii="Arial" w:hAnsi="Arial"/>
          </w:rPr>
          <w:t>health.gov.au/</w:t>
        </w:r>
        <w:proofErr w:type="gramStart"/>
        <w:r w:rsidR="00DA23F0" w:rsidRPr="1404FD5E">
          <w:rPr>
            <w:rStyle w:val="Hyperlink"/>
            <w:rFonts w:ascii="Arial" w:hAnsi="Arial"/>
          </w:rPr>
          <w:t>cheaper-medicines</w:t>
        </w:r>
        <w:proofErr w:type="gramEnd"/>
        <w:r w:rsidR="00DA23F0" w:rsidRPr="1404FD5E">
          <w:rPr>
            <w:rStyle w:val="Hyperlink"/>
            <w:rFonts w:ascii="Arial" w:hAnsi="Arial"/>
          </w:rPr>
          <w:t>/resources</w:t>
        </w:r>
      </w:hyperlink>
      <w:r w:rsidR="33CECCA1">
        <w:t xml:space="preserve"> </w:t>
      </w:r>
    </w:p>
    <w:p w14:paraId="677AE385" w14:textId="1B6E9F29" w:rsidR="00F419FA" w:rsidRDefault="00F419FA" w:rsidP="00B31D72">
      <w:pPr>
        <w:pStyle w:val="ListBullet2"/>
        <w:spacing w:line="276" w:lineRule="auto"/>
      </w:pPr>
      <w:r>
        <w:t>Translated versions of resources can be downloaded from</w:t>
      </w:r>
      <w:r w:rsidR="00D318DE">
        <w:t xml:space="preserve"> </w:t>
      </w:r>
      <w:hyperlink r:id="rId29">
        <w:r w:rsidR="00363055" w:rsidRPr="1404FD5E">
          <w:rPr>
            <w:rStyle w:val="Hyperlink"/>
            <w:rFonts w:ascii="Arial" w:hAnsi="Arial"/>
          </w:rPr>
          <w:t>health.gov.au/</w:t>
        </w:r>
        <w:proofErr w:type="spellStart"/>
        <w:r w:rsidR="00363055" w:rsidRPr="1404FD5E">
          <w:rPr>
            <w:rStyle w:val="Hyperlink"/>
            <w:rFonts w:ascii="Arial" w:hAnsi="Arial"/>
          </w:rPr>
          <w:t>cheapermedicines</w:t>
        </w:r>
        <w:proofErr w:type="spellEnd"/>
        <w:r w:rsidR="00363055" w:rsidRPr="1404FD5E">
          <w:rPr>
            <w:rStyle w:val="Hyperlink"/>
            <w:rFonts w:ascii="Arial" w:hAnsi="Arial"/>
          </w:rPr>
          <w:t>/translated</w:t>
        </w:r>
      </w:hyperlink>
    </w:p>
    <w:p w14:paraId="70776212" w14:textId="2321754B" w:rsidR="00F419FA" w:rsidRDefault="00F419FA" w:rsidP="00B31D72">
      <w:pPr>
        <w:pStyle w:val="ListBullet2"/>
        <w:spacing w:line="276" w:lineRule="auto"/>
      </w:pPr>
      <w:r>
        <w:t xml:space="preserve">Materials for First Nations audiences and the Closing the Gap Concession card are also available at </w:t>
      </w:r>
      <w:hyperlink r:id="rId30">
        <w:r w:rsidR="00AD4C76" w:rsidRPr="1404FD5E">
          <w:rPr>
            <w:rStyle w:val="Hyperlink"/>
            <w:rFonts w:ascii="Arial" w:hAnsi="Arial"/>
          </w:rPr>
          <w:t>health.gov.au/cheaper-medicines/</w:t>
        </w:r>
        <w:proofErr w:type="gramStart"/>
        <w:r w:rsidR="00AD4C76" w:rsidRPr="1404FD5E">
          <w:rPr>
            <w:rStyle w:val="Hyperlink"/>
            <w:rFonts w:ascii="Arial" w:hAnsi="Arial"/>
          </w:rPr>
          <w:t>first-nations</w:t>
        </w:r>
        <w:proofErr w:type="gramEnd"/>
      </w:hyperlink>
    </w:p>
    <w:p w14:paraId="501A6C54" w14:textId="5E4A1BD9" w:rsidR="00F419FA" w:rsidRDefault="00BF0F73" w:rsidP="00B616D4">
      <w:pPr>
        <w:pStyle w:val="ListBullet2"/>
        <w:spacing w:after="360" w:line="276" w:lineRule="auto"/>
      </w:pPr>
      <w:r>
        <w:rPr>
          <w:lang w:val="en-GB"/>
        </w:rPr>
        <w:t xml:space="preserve">If you have any issues accessing </w:t>
      </w:r>
      <w:proofErr w:type="gramStart"/>
      <w:r>
        <w:rPr>
          <w:lang w:val="en-GB"/>
        </w:rPr>
        <w:t>resources</w:t>
      </w:r>
      <w:proofErr w:type="gramEnd"/>
      <w:r>
        <w:rPr>
          <w:lang w:val="en-GB"/>
        </w:rPr>
        <w:t xml:space="preserve"> please contact</w:t>
      </w:r>
      <w:r w:rsidR="00F419FA">
        <w:rPr>
          <w:lang w:val="en-GB"/>
        </w:rPr>
        <w:t xml:space="preserve"> </w:t>
      </w:r>
      <w:hyperlink r:id="rId31" w:history="1">
        <w:r w:rsidR="00161BB5" w:rsidRPr="00437291">
          <w:rPr>
            <w:rStyle w:val="Hyperlink"/>
            <w:rFonts w:ascii="Arial" w:hAnsi="Arial"/>
            <w:lang w:val="en-GB"/>
          </w:rPr>
          <w:t>healthcare.comms@health.gov.au</w:t>
        </w:r>
      </w:hyperlink>
    </w:p>
    <w:tbl>
      <w:tblPr>
        <w:tblStyle w:val="TableGrid-Header2"/>
        <w:tblW w:w="5000" w:type="pct"/>
        <w:tblLook w:val="04A0" w:firstRow="1" w:lastRow="0" w:firstColumn="1" w:lastColumn="0" w:noHBand="0" w:noVBand="1"/>
      </w:tblPr>
      <w:tblGrid>
        <w:gridCol w:w="2181"/>
        <w:gridCol w:w="2916"/>
        <w:gridCol w:w="2094"/>
        <w:gridCol w:w="1880"/>
      </w:tblGrid>
      <w:tr w:rsidR="00E054E5" w:rsidRPr="00B162C3" w14:paraId="6C586A3D" w14:textId="77777777" w:rsidTr="00D13A00">
        <w:trPr>
          <w:cnfStyle w:val="100000000000" w:firstRow="1" w:lastRow="0" w:firstColumn="0" w:lastColumn="0" w:oddVBand="0" w:evenVBand="0" w:oddHBand="0" w:evenHBand="0" w:firstRowFirstColumn="0" w:firstRowLastColumn="0" w:lastRowFirstColumn="0" w:lastRowLastColumn="0"/>
          <w:tblHeader/>
        </w:trPr>
        <w:tc>
          <w:tcPr>
            <w:tcW w:w="1202" w:type="pct"/>
          </w:tcPr>
          <w:p w14:paraId="20BAB5DF" w14:textId="0A5E3EC3" w:rsidR="00110183" w:rsidRDefault="00110183" w:rsidP="00FA4157">
            <w:pPr>
              <w:pStyle w:val="NormalTables"/>
            </w:pPr>
            <w:r>
              <w:t>Resource</w:t>
            </w:r>
          </w:p>
        </w:tc>
        <w:tc>
          <w:tcPr>
            <w:tcW w:w="1607" w:type="pct"/>
          </w:tcPr>
          <w:p w14:paraId="6D78976F" w14:textId="77777777" w:rsidR="00110183" w:rsidRPr="00B162C3" w:rsidRDefault="00110183" w:rsidP="00FA4157">
            <w:pPr>
              <w:pStyle w:val="NormalTables"/>
            </w:pPr>
            <w:r>
              <w:t>Preview</w:t>
            </w:r>
          </w:p>
        </w:tc>
        <w:tc>
          <w:tcPr>
            <w:tcW w:w="1154" w:type="pct"/>
          </w:tcPr>
          <w:p w14:paraId="46567B21" w14:textId="77777777" w:rsidR="00110183" w:rsidRDefault="00110183" w:rsidP="00FA4157">
            <w:pPr>
              <w:pStyle w:val="NormalTables"/>
            </w:pPr>
            <w:r>
              <w:t>Title</w:t>
            </w:r>
          </w:p>
        </w:tc>
        <w:tc>
          <w:tcPr>
            <w:tcW w:w="1036" w:type="pct"/>
          </w:tcPr>
          <w:p w14:paraId="7EBE79ED" w14:textId="77777777" w:rsidR="00110183" w:rsidRPr="00B162C3" w:rsidRDefault="00110183" w:rsidP="00FA4157">
            <w:pPr>
              <w:pStyle w:val="NormalTables"/>
            </w:pPr>
            <w:r>
              <w:t>Suggested use</w:t>
            </w:r>
          </w:p>
        </w:tc>
      </w:tr>
      <w:tr w:rsidR="00E054E5" w:rsidRPr="00B162C3" w14:paraId="43AB2B28" w14:textId="77777777" w:rsidTr="00D13A00">
        <w:tc>
          <w:tcPr>
            <w:tcW w:w="1202" w:type="pct"/>
          </w:tcPr>
          <w:p w14:paraId="16F08ACB" w14:textId="0DB2278A" w:rsidR="00110183" w:rsidRDefault="00557F7D" w:rsidP="00FA4157">
            <w:pPr>
              <w:pStyle w:val="NormalTables"/>
            </w:pPr>
            <w:hyperlink r:id="rId32" w:history="1">
              <w:r w:rsidR="00FA1794" w:rsidRPr="00E054E5">
                <w:rPr>
                  <w:rStyle w:val="Hyperlink"/>
                  <w:rFonts w:ascii="Arial" w:hAnsi="Arial"/>
                </w:rPr>
                <w:t>FAQ</w:t>
              </w:r>
            </w:hyperlink>
          </w:p>
        </w:tc>
        <w:tc>
          <w:tcPr>
            <w:tcW w:w="1607" w:type="pct"/>
          </w:tcPr>
          <w:p w14:paraId="761342B0" w14:textId="4902F270" w:rsidR="00110183" w:rsidRPr="00215C15" w:rsidRDefault="0000267C" w:rsidP="00FA4157">
            <w:pPr>
              <w:pStyle w:val="NormalTables"/>
            </w:pPr>
            <w:r>
              <w:rPr>
                <w:noProof/>
              </w:rPr>
              <w:drawing>
                <wp:inline distT="0" distB="0" distL="0" distR="0" wp14:anchorId="111BA1BC" wp14:editId="5C377E48">
                  <wp:extent cx="1160626" cy="1642432"/>
                  <wp:effectExtent l="12700" t="1270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60626" cy="1642432"/>
                          </a:xfrm>
                          <a:prstGeom prst="rect">
                            <a:avLst/>
                          </a:prstGeom>
                          <a:ln>
                            <a:solidFill>
                              <a:schemeClr val="tx2"/>
                            </a:solidFill>
                          </a:ln>
                        </pic:spPr>
                      </pic:pic>
                    </a:graphicData>
                  </a:graphic>
                </wp:inline>
              </w:drawing>
            </w:r>
          </w:p>
        </w:tc>
        <w:tc>
          <w:tcPr>
            <w:tcW w:w="1154" w:type="pct"/>
          </w:tcPr>
          <w:p w14:paraId="5BF2441C" w14:textId="4C488ABD" w:rsidR="00110183" w:rsidRPr="0095506A" w:rsidRDefault="00110183" w:rsidP="00B31D72">
            <w:pPr>
              <w:pStyle w:val="NormalTables"/>
              <w:spacing w:line="276" w:lineRule="auto"/>
            </w:pPr>
            <w:r>
              <w:t>60-day prescriptions – Frequently asked questions</w:t>
            </w:r>
          </w:p>
        </w:tc>
        <w:tc>
          <w:tcPr>
            <w:tcW w:w="1036" w:type="pct"/>
          </w:tcPr>
          <w:p w14:paraId="21048930" w14:textId="77777777" w:rsidR="00110183" w:rsidRDefault="00110183" w:rsidP="00B31D72">
            <w:pPr>
              <w:pStyle w:val="NormalTables"/>
              <w:spacing w:line="276" w:lineRule="auto"/>
            </w:pPr>
            <w:r>
              <w:t>For distribution to eligible patients</w:t>
            </w:r>
          </w:p>
          <w:p w14:paraId="782BCED8" w14:textId="32262FEB" w:rsidR="00110183" w:rsidRPr="00B162C3" w:rsidRDefault="00110183" w:rsidP="00FA4157">
            <w:pPr>
              <w:pStyle w:val="NormalTables"/>
            </w:pPr>
          </w:p>
        </w:tc>
      </w:tr>
      <w:tr w:rsidR="00E054E5" w:rsidRPr="00B162C3" w14:paraId="6175E148" w14:textId="77777777" w:rsidTr="00D13A00">
        <w:tc>
          <w:tcPr>
            <w:tcW w:w="1202" w:type="pct"/>
          </w:tcPr>
          <w:p w14:paraId="18A36C95" w14:textId="1F399A90" w:rsidR="00110183" w:rsidRPr="009247DD" w:rsidRDefault="00557F7D" w:rsidP="00FA4157">
            <w:pPr>
              <w:pStyle w:val="NormalTables"/>
            </w:pPr>
            <w:hyperlink r:id="rId34" w:history="1">
              <w:r w:rsidR="00FA1794" w:rsidRPr="00E11C4A">
                <w:rPr>
                  <w:rStyle w:val="Hyperlink"/>
                  <w:rFonts w:ascii="Arial" w:hAnsi="Arial"/>
                </w:rPr>
                <w:t>GP setting poster</w:t>
              </w:r>
            </w:hyperlink>
          </w:p>
        </w:tc>
        <w:tc>
          <w:tcPr>
            <w:tcW w:w="1607" w:type="pct"/>
          </w:tcPr>
          <w:p w14:paraId="0300AB43" w14:textId="239CFE51" w:rsidR="00110183" w:rsidRPr="00B162C3" w:rsidRDefault="0000267C" w:rsidP="00FA4157">
            <w:pPr>
              <w:pStyle w:val="NormalTables"/>
            </w:pPr>
            <w:r>
              <w:rPr>
                <w:noProof/>
              </w:rPr>
              <w:drawing>
                <wp:inline distT="0" distB="0" distL="0" distR="0" wp14:anchorId="58D527FD" wp14:editId="546C5CF8">
                  <wp:extent cx="1160625" cy="1641691"/>
                  <wp:effectExtent l="12700" t="12700" r="8255" b="9525"/>
                  <wp:docPr id="1870843609" name="Picture 187084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43609" name="Picture 1870843609"/>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60625" cy="1641691"/>
                          </a:xfrm>
                          <a:prstGeom prst="rect">
                            <a:avLst/>
                          </a:prstGeom>
                          <a:ln>
                            <a:solidFill>
                              <a:schemeClr val="tx2"/>
                            </a:solidFill>
                          </a:ln>
                        </pic:spPr>
                      </pic:pic>
                    </a:graphicData>
                  </a:graphic>
                </wp:inline>
              </w:drawing>
            </w:r>
          </w:p>
        </w:tc>
        <w:tc>
          <w:tcPr>
            <w:tcW w:w="1154" w:type="pct"/>
          </w:tcPr>
          <w:p w14:paraId="4BB6D71F" w14:textId="2ADC4B85" w:rsidR="00110183" w:rsidRPr="0095506A" w:rsidRDefault="00420683" w:rsidP="00B31D72">
            <w:pPr>
              <w:pStyle w:val="NormalTables"/>
              <w:spacing w:line="276" w:lineRule="auto"/>
            </w:pPr>
            <w:r>
              <w:t>60-day prescriptions</w:t>
            </w:r>
            <w:r w:rsidR="00364333">
              <w:t xml:space="preserve"> poster</w:t>
            </w:r>
          </w:p>
        </w:tc>
        <w:tc>
          <w:tcPr>
            <w:tcW w:w="1036" w:type="pct"/>
          </w:tcPr>
          <w:p w14:paraId="4067996E" w14:textId="79C3B2FD" w:rsidR="00110183" w:rsidRPr="00B162C3" w:rsidRDefault="00110183" w:rsidP="00B31D72">
            <w:pPr>
              <w:pStyle w:val="NormalTables"/>
              <w:spacing w:line="276" w:lineRule="auto"/>
            </w:pPr>
            <w:r>
              <w:t>For display in reception or waiting areas</w:t>
            </w:r>
          </w:p>
        </w:tc>
      </w:tr>
      <w:tr w:rsidR="00E054E5" w:rsidRPr="00B162C3" w14:paraId="7DD9734C" w14:textId="77777777" w:rsidTr="00D13A00">
        <w:tc>
          <w:tcPr>
            <w:tcW w:w="1202" w:type="pct"/>
          </w:tcPr>
          <w:p w14:paraId="7227DC67" w14:textId="4671DE46" w:rsidR="00FA1794" w:rsidRDefault="00557F7D" w:rsidP="00FA4157">
            <w:pPr>
              <w:pStyle w:val="NormalTables"/>
            </w:pPr>
            <w:hyperlink r:id="rId36" w:history="1">
              <w:r w:rsidR="00FA1794" w:rsidRPr="00E11C4A">
                <w:rPr>
                  <w:rStyle w:val="Hyperlink"/>
                  <w:rFonts w:ascii="Arial" w:hAnsi="Arial"/>
                </w:rPr>
                <w:t>Postcard</w:t>
              </w:r>
            </w:hyperlink>
          </w:p>
        </w:tc>
        <w:tc>
          <w:tcPr>
            <w:tcW w:w="1607" w:type="pct"/>
          </w:tcPr>
          <w:p w14:paraId="7E3F3CE5" w14:textId="6338A2A4" w:rsidR="00FA1794" w:rsidDel="006E76EE" w:rsidRDefault="00CF34AE" w:rsidP="00FA4157">
            <w:pPr>
              <w:pStyle w:val="NormalTables"/>
              <w:rPr>
                <w:noProof/>
              </w:rPr>
            </w:pPr>
            <w:r>
              <w:rPr>
                <w:noProof/>
              </w:rPr>
              <w:drawing>
                <wp:inline distT="0" distB="0" distL="0" distR="0" wp14:anchorId="0EC44A1E" wp14:editId="2EBF3A43">
                  <wp:extent cx="1160145" cy="1636703"/>
                  <wp:effectExtent l="12700" t="12700" r="8255" b="14605"/>
                  <wp:docPr id="564126271" name="Picture 56412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26271" name="Picture 56412627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63241" cy="1641071"/>
                          </a:xfrm>
                          <a:prstGeom prst="rect">
                            <a:avLst/>
                          </a:prstGeom>
                          <a:ln>
                            <a:solidFill>
                              <a:schemeClr val="accent1"/>
                            </a:solidFill>
                          </a:ln>
                        </pic:spPr>
                      </pic:pic>
                    </a:graphicData>
                  </a:graphic>
                </wp:inline>
              </w:drawing>
            </w:r>
          </w:p>
        </w:tc>
        <w:tc>
          <w:tcPr>
            <w:tcW w:w="1154" w:type="pct"/>
          </w:tcPr>
          <w:p w14:paraId="5B102988" w14:textId="487D61F7" w:rsidR="00FA1794" w:rsidRDefault="00FA1794" w:rsidP="00B31D72">
            <w:pPr>
              <w:pStyle w:val="NormalTables"/>
              <w:spacing w:line="276" w:lineRule="auto"/>
            </w:pPr>
            <w:r>
              <w:t>GP Postcard</w:t>
            </w:r>
          </w:p>
        </w:tc>
        <w:tc>
          <w:tcPr>
            <w:tcW w:w="1036" w:type="pct"/>
          </w:tcPr>
          <w:p w14:paraId="1616287E" w14:textId="373A8D5C" w:rsidR="00FA1794" w:rsidRDefault="00FA1794" w:rsidP="00B31D72">
            <w:pPr>
              <w:pStyle w:val="NormalTables"/>
              <w:spacing w:line="276" w:lineRule="auto"/>
            </w:pPr>
            <w:r>
              <w:t>For display in reception or waiting areas</w:t>
            </w:r>
          </w:p>
        </w:tc>
      </w:tr>
      <w:tr w:rsidR="00E054E5" w:rsidRPr="00B162C3" w14:paraId="4288A61A" w14:textId="77777777" w:rsidTr="00D13A00">
        <w:tc>
          <w:tcPr>
            <w:tcW w:w="1202" w:type="pct"/>
          </w:tcPr>
          <w:p w14:paraId="1D0869A6" w14:textId="0F93B2AF" w:rsidR="00110183" w:rsidRPr="009247DD" w:rsidRDefault="00557F7D" w:rsidP="00FA4157">
            <w:pPr>
              <w:pStyle w:val="NormalTables"/>
            </w:pPr>
            <w:hyperlink r:id="rId38" w:history="1">
              <w:r w:rsidR="00D37A41">
                <w:rPr>
                  <w:rStyle w:val="Hyperlink"/>
                  <w:rFonts w:ascii="Arial" w:hAnsi="Arial"/>
                </w:rPr>
                <w:t>Animation video</w:t>
              </w:r>
            </w:hyperlink>
          </w:p>
        </w:tc>
        <w:tc>
          <w:tcPr>
            <w:tcW w:w="1607" w:type="pct"/>
          </w:tcPr>
          <w:p w14:paraId="36E76380" w14:textId="7B12D5EF" w:rsidR="00110183" w:rsidRPr="00B162C3" w:rsidRDefault="009C26AB" w:rsidP="00FA4157">
            <w:pPr>
              <w:pStyle w:val="NormalTables"/>
            </w:pPr>
            <w:r>
              <w:rPr>
                <w:noProof/>
              </w:rPr>
              <w:drawing>
                <wp:inline distT="0" distB="0" distL="0" distR="0" wp14:anchorId="1CA63BEB" wp14:editId="30557738">
                  <wp:extent cx="1666875" cy="930796"/>
                  <wp:effectExtent l="19050" t="19050" r="9525" b="22225"/>
                  <wp:docPr id="1407502239" name="Picture 1407502239" descr="Video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02239" name="Picture 1407502239" descr="Video thumbnail"/>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698606" cy="948515"/>
                          </a:xfrm>
                          <a:prstGeom prst="rect">
                            <a:avLst/>
                          </a:prstGeom>
                          <a:ln>
                            <a:solidFill>
                              <a:schemeClr val="tx2"/>
                            </a:solidFill>
                          </a:ln>
                        </pic:spPr>
                      </pic:pic>
                    </a:graphicData>
                  </a:graphic>
                </wp:inline>
              </w:drawing>
            </w:r>
          </w:p>
        </w:tc>
        <w:tc>
          <w:tcPr>
            <w:tcW w:w="1154" w:type="pct"/>
          </w:tcPr>
          <w:p w14:paraId="65E0FBF7" w14:textId="2F990FB8" w:rsidR="00110183" w:rsidRPr="0095506A" w:rsidRDefault="00B07762" w:rsidP="00B31D72">
            <w:pPr>
              <w:pStyle w:val="NormalTables"/>
              <w:spacing w:line="276" w:lineRule="auto"/>
            </w:pPr>
            <w:r>
              <w:t>Are my medicines suitable for 60-day prescriptions?</w:t>
            </w:r>
          </w:p>
        </w:tc>
        <w:tc>
          <w:tcPr>
            <w:tcW w:w="1036" w:type="pct"/>
          </w:tcPr>
          <w:p w14:paraId="032F241A" w14:textId="5C62EE73" w:rsidR="00110183" w:rsidRDefault="00B07762" w:rsidP="00B31D72">
            <w:pPr>
              <w:pStyle w:val="NormalTables"/>
              <w:spacing w:line="276" w:lineRule="auto"/>
            </w:pPr>
            <w:r>
              <w:t>Embed on your website, in patient newsletter, or share on social media</w:t>
            </w:r>
          </w:p>
        </w:tc>
      </w:tr>
      <w:tr w:rsidR="00E054E5" w:rsidRPr="00B162C3" w14:paraId="56B0EF76" w14:textId="77777777" w:rsidTr="00D13A00">
        <w:tc>
          <w:tcPr>
            <w:tcW w:w="1202" w:type="pct"/>
          </w:tcPr>
          <w:p w14:paraId="1084B202" w14:textId="5D466C48" w:rsidR="000B5A83" w:rsidRPr="000B5A83" w:rsidRDefault="00557F7D" w:rsidP="00FA4157">
            <w:pPr>
              <w:pStyle w:val="NormalTables"/>
              <w:rPr>
                <w:b/>
                <w:bCs/>
              </w:rPr>
            </w:pPr>
            <w:hyperlink r:id="rId40" w:history="1">
              <w:r w:rsidR="00FA1794" w:rsidRPr="00D37A41">
                <w:rPr>
                  <w:rStyle w:val="Hyperlink"/>
                  <w:rFonts w:ascii="Arial" w:hAnsi="Arial"/>
                </w:rPr>
                <w:t>Patient FAQ with Dr Nicole Higgins – Episode 2</w:t>
              </w:r>
            </w:hyperlink>
          </w:p>
        </w:tc>
        <w:tc>
          <w:tcPr>
            <w:tcW w:w="1607" w:type="pct"/>
          </w:tcPr>
          <w:p w14:paraId="67CCCD47" w14:textId="1FBB6721" w:rsidR="000B5A83" w:rsidRPr="000B5A83" w:rsidRDefault="009C26AB" w:rsidP="000B5A83">
            <w:pPr>
              <w:spacing w:before="100" w:beforeAutospacing="1" w:after="100" w:afterAutospacing="1" w:line="240" w:lineRule="auto"/>
              <w:rPr>
                <w:rFonts w:ascii="Times New Roman" w:eastAsia="Times New Roman" w:hAnsi="Times New Roman" w:cs="Times New Roman"/>
                <w:sz w:val="24"/>
                <w:lang w:eastAsia="en-AU"/>
              </w:rPr>
            </w:pPr>
            <w:r w:rsidRPr="000B5A83">
              <w:rPr>
                <w:rFonts w:ascii="Times New Roman" w:eastAsia="Times New Roman" w:hAnsi="Times New Roman" w:cs="Times New Roman"/>
                <w:noProof/>
                <w:sz w:val="24"/>
                <w:lang w:eastAsia="en-AU"/>
              </w:rPr>
              <w:drawing>
                <wp:inline distT="0" distB="0" distL="0" distR="0" wp14:anchorId="7370291D" wp14:editId="30E62C5B">
                  <wp:extent cx="1680845" cy="939835"/>
                  <wp:effectExtent l="19050" t="19050" r="14605" b="12700"/>
                  <wp:docPr id="6" name="Picture 6" descr="Video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deo thumbnai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12840" cy="957725"/>
                          </a:xfrm>
                          <a:prstGeom prst="rect">
                            <a:avLst/>
                          </a:prstGeom>
                          <a:noFill/>
                          <a:ln>
                            <a:solidFill>
                              <a:schemeClr val="accent1"/>
                            </a:solidFill>
                          </a:ln>
                        </pic:spPr>
                      </pic:pic>
                    </a:graphicData>
                  </a:graphic>
                </wp:inline>
              </w:drawing>
            </w:r>
          </w:p>
          <w:p w14:paraId="4DADB657" w14:textId="77777777" w:rsidR="000B5A83" w:rsidRDefault="000B5A83" w:rsidP="00FA4157">
            <w:pPr>
              <w:pStyle w:val="NormalTables"/>
              <w:rPr>
                <w:noProof/>
              </w:rPr>
            </w:pPr>
          </w:p>
        </w:tc>
        <w:tc>
          <w:tcPr>
            <w:tcW w:w="1154" w:type="pct"/>
          </w:tcPr>
          <w:p w14:paraId="1C39099D" w14:textId="4A2786CB" w:rsidR="000B5A83" w:rsidRDefault="000B5A83" w:rsidP="00B31D72">
            <w:pPr>
              <w:pStyle w:val="NormalTables"/>
              <w:spacing w:line="276" w:lineRule="auto"/>
            </w:pPr>
            <w:r>
              <w:t>60-day pre</w:t>
            </w:r>
            <w:r w:rsidR="00D60528">
              <w:t>s</w:t>
            </w:r>
            <w:r>
              <w:t>criptions patient frequently asked questions – Episode 2</w:t>
            </w:r>
          </w:p>
        </w:tc>
        <w:tc>
          <w:tcPr>
            <w:tcW w:w="1036" w:type="pct"/>
          </w:tcPr>
          <w:p w14:paraId="533295FD" w14:textId="5D21C38D" w:rsidR="000B5A83" w:rsidRDefault="000B5A83" w:rsidP="00B31D72">
            <w:pPr>
              <w:pStyle w:val="NormalTables"/>
              <w:spacing w:line="276" w:lineRule="auto"/>
            </w:pPr>
            <w:r>
              <w:t>Embed on your website, in patient newsletter, or share on social media</w:t>
            </w:r>
          </w:p>
        </w:tc>
      </w:tr>
      <w:tr w:rsidR="00E054E5" w:rsidRPr="00B162C3" w14:paraId="794A622C" w14:textId="77777777" w:rsidTr="00D13A00">
        <w:tc>
          <w:tcPr>
            <w:tcW w:w="1202" w:type="pct"/>
          </w:tcPr>
          <w:p w14:paraId="27EA680A" w14:textId="3422D9AB" w:rsidR="00FA1794" w:rsidDel="00FA1794" w:rsidRDefault="00557F7D" w:rsidP="00FA4157">
            <w:pPr>
              <w:pStyle w:val="NormalTables"/>
            </w:pPr>
            <w:hyperlink r:id="rId42" w:history="1">
              <w:r w:rsidR="00FA1794" w:rsidRPr="00E054E5">
                <w:rPr>
                  <w:rStyle w:val="Hyperlink"/>
                  <w:rFonts w:ascii="Arial" w:hAnsi="Arial"/>
                </w:rPr>
                <w:t>First nations poster</w:t>
              </w:r>
            </w:hyperlink>
          </w:p>
        </w:tc>
        <w:tc>
          <w:tcPr>
            <w:tcW w:w="1607" w:type="pct"/>
          </w:tcPr>
          <w:p w14:paraId="66A617F4" w14:textId="7E092A80" w:rsidR="00FA1794" w:rsidRPr="000B5A83" w:rsidDel="006E76EE" w:rsidRDefault="00E054E5" w:rsidP="0000267C">
            <w:pPr>
              <w:pStyle w:val="NormalTables"/>
              <w:rPr>
                <w:rFonts w:ascii="Times New Roman" w:eastAsia="Times New Roman" w:hAnsi="Times New Roman" w:cs="Times New Roman"/>
                <w:noProof/>
                <w:sz w:val="24"/>
                <w:lang w:eastAsia="en-AU"/>
              </w:rPr>
            </w:pPr>
            <w:r>
              <w:rPr>
                <w:noProof/>
              </w:rPr>
              <w:drawing>
                <wp:inline distT="0" distB="0" distL="0" distR="0" wp14:anchorId="40B0726D" wp14:editId="44B1AAB3">
                  <wp:extent cx="1165122" cy="1636899"/>
                  <wp:effectExtent l="12700" t="12700" r="16510" b="14605"/>
                  <wp:docPr id="1503194835" name="Picture 2" descr="A poster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94835" name="Picture 2" descr="A poster of two people&#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04858" cy="1692725"/>
                          </a:xfrm>
                          <a:prstGeom prst="rect">
                            <a:avLst/>
                          </a:prstGeom>
                          <a:ln>
                            <a:solidFill>
                              <a:schemeClr val="accent1"/>
                            </a:solidFill>
                          </a:ln>
                        </pic:spPr>
                      </pic:pic>
                    </a:graphicData>
                  </a:graphic>
                </wp:inline>
              </w:drawing>
            </w:r>
          </w:p>
        </w:tc>
        <w:tc>
          <w:tcPr>
            <w:tcW w:w="1154" w:type="pct"/>
          </w:tcPr>
          <w:p w14:paraId="0CF1E10F" w14:textId="696B06FD" w:rsidR="00FA1794" w:rsidRDefault="00FA1794" w:rsidP="00B31D72">
            <w:pPr>
              <w:pStyle w:val="NormalTables"/>
              <w:spacing w:line="276" w:lineRule="auto"/>
            </w:pPr>
            <w:r>
              <w:t>60-day pre</w:t>
            </w:r>
            <w:r w:rsidR="00D60528">
              <w:t>s</w:t>
            </w:r>
            <w:r>
              <w:t>criptions poster – First Nations</w:t>
            </w:r>
          </w:p>
        </w:tc>
        <w:tc>
          <w:tcPr>
            <w:tcW w:w="1036" w:type="pct"/>
          </w:tcPr>
          <w:p w14:paraId="3653A1C4" w14:textId="20B4C5D0" w:rsidR="00FA1794" w:rsidRDefault="00FA1794" w:rsidP="00B31D72">
            <w:pPr>
              <w:pStyle w:val="NormalTables"/>
              <w:spacing w:line="276" w:lineRule="auto"/>
            </w:pPr>
            <w:r>
              <w:t>For display in reception or waiting areas</w:t>
            </w:r>
          </w:p>
        </w:tc>
      </w:tr>
    </w:tbl>
    <w:p w14:paraId="23E4849E" w14:textId="77777777" w:rsidR="00F419FA" w:rsidRPr="00F419FA" w:rsidRDefault="00F419FA" w:rsidP="00F419FA">
      <w:pPr>
        <w:rPr>
          <w:lang w:val="en-AU" w:eastAsia="en-AU"/>
        </w:rPr>
      </w:pPr>
    </w:p>
    <w:sectPr w:rsidR="00F419FA" w:rsidRPr="00F419FA" w:rsidSect="0032040F">
      <w:headerReference w:type="default" r:id="rId44"/>
      <w:footerReference w:type="default" r:id="rId45"/>
      <w:footnotePr>
        <w:numRestart w:val="eachPage"/>
      </w:footnotePr>
      <w:type w:val="continuous"/>
      <w:pgSz w:w="11907" w:h="16839" w:code="9"/>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279F8" w14:textId="77777777" w:rsidR="00140D92" w:rsidRDefault="00140D92" w:rsidP="00B259EA">
      <w:r>
        <w:separator/>
      </w:r>
    </w:p>
  </w:endnote>
  <w:endnote w:type="continuationSeparator" w:id="0">
    <w:p w14:paraId="1D8D54C5" w14:textId="77777777" w:rsidR="00140D92" w:rsidRDefault="00140D92" w:rsidP="00B259EA">
      <w:r>
        <w:continuationSeparator/>
      </w:r>
    </w:p>
  </w:endnote>
  <w:endnote w:type="continuationNotice" w:id="1">
    <w:p w14:paraId="74A822BC" w14:textId="77777777" w:rsidR="00140D92" w:rsidRDefault="00140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7F25"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2016BC5" w14:textId="77777777" w:rsidR="00E04C23" w:rsidRDefault="00E04C23" w:rsidP="006D491C">
    <w:pPr>
      <w:pStyle w:val="Footer"/>
      <w:ind w:right="360"/>
      <w:rPr>
        <w:rStyle w:val="PageNumber"/>
      </w:rPr>
    </w:pPr>
  </w:p>
  <w:p w14:paraId="6B904509" w14:textId="77777777" w:rsidR="00E04C23" w:rsidRDefault="00E04C23" w:rsidP="00B25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7FEA" w14:textId="77777777" w:rsidR="00E04C23" w:rsidRDefault="00E04C23" w:rsidP="00B259E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3638A2" w14:textId="74FA7CAC" w:rsidR="00E04C23" w:rsidRDefault="00304E20" w:rsidP="00B259EA">
    <w:pPr>
      <w:pStyle w:val="Footer"/>
    </w:pPr>
    <w:r>
      <w:fldChar w:fldCharType="begin"/>
    </w:r>
    <w:r>
      <w:instrText xml:space="preserve"> STYLEREF Title \* MERGEFORMAT </w:instrText>
    </w:r>
    <w:r>
      <w:fldChar w:fldCharType="separate"/>
    </w:r>
    <w:r w:rsidR="00557F7D">
      <w:rPr>
        <w:b/>
        <w:bCs/>
        <w:noProof/>
      </w:rPr>
      <w:t>Error! No text of specified style in document.</w:t>
    </w:r>
    <w:r>
      <w:rPr>
        <w:noProof/>
      </w:rPr>
      <w:fldChar w:fldCharType="end"/>
    </w:r>
    <w:r w:rsidR="00E04C23">
      <w:t xml:space="preserve"> – </w:t>
    </w:r>
    <w:r w:rsidR="00E04C23">
      <w:fldChar w:fldCharType="begin"/>
    </w:r>
    <w:r w:rsidR="00E04C23">
      <w:instrText xml:space="preserve"> STYLEREF Subtitle \* MERGEFORMAT </w:instrText>
    </w:r>
    <w:r w:rsidR="00E04C23">
      <w:fldChar w:fldCharType="separate"/>
    </w:r>
    <w:r w:rsidR="00557F7D">
      <w:rPr>
        <w:b/>
        <w:bCs/>
        <w:noProof/>
      </w:rPr>
      <w:t>Error! No text of specified style in document.</w:t>
    </w:r>
    <w:r w:rsidR="00E04C23">
      <w:rPr>
        <w:noProof/>
      </w:rPr>
      <w:fldChar w:fldCharType="end"/>
    </w:r>
    <w:bookmarkStart w:id="0" w:name="_Toc390071409"/>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4725438"/>
      <w:docPartObj>
        <w:docPartGallery w:val="Page Numbers (Bottom of Page)"/>
        <w:docPartUnique/>
      </w:docPartObj>
    </w:sdtPr>
    <w:sdtEndPr>
      <w:rPr>
        <w:rStyle w:val="PageNumber"/>
      </w:rPr>
    </w:sdtEndPr>
    <w:sdtContent>
      <w:p w14:paraId="0800EBF7"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690D37" w14:textId="7E1CB839" w:rsidR="00E04C23" w:rsidRPr="00E66B30" w:rsidRDefault="009752E0" w:rsidP="009752E0">
    <w:pPr>
      <w:pStyle w:val="Footer"/>
      <w:ind w:right="360"/>
    </w:pPr>
    <w:r>
      <w:t>60-day prescriptions – Information kit for prescribers</w:t>
    </w:r>
    <w:r w:rsidR="00B31D72">
      <w:t xml:space="preserve"> – </w:t>
    </w:r>
    <w:r w:rsidR="003621D2">
      <w:t>Novem</w:t>
    </w:r>
    <w:r w:rsidR="006E76EE">
      <w:t>ber</w:t>
    </w:r>
    <w:r w:rsidR="002B500E">
      <w:t xml:space="preserve"> </w:t>
    </w:r>
    <w:r w:rsidR="00B31D72">
      <w:t>2024 update</w:t>
    </w:r>
  </w:p>
  <w:p w14:paraId="55CFAE3E" w14:textId="77777777" w:rsidR="00470746" w:rsidRDefault="00470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CC0FD" w14:textId="77777777" w:rsidR="00140D92" w:rsidRDefault="00140D92" w:rsidP="00B259EA">
      <w:r>
        <w:separator/>
      </w:r>
    </w:p>
  </w:footnote>
  <w:footnote w:type="continuationSeparator" w:id="0">
    <w:p w14:paraId="32224A5B" w14:textId="77777777" w:rsidR="00140D92" w:rsidRDefault="00140D92" w:rsidP="00B259EA">
      <w:r>
        <w:continuationSeparator/>
      </w:r>
    </w:p>
  </w:footnote>
  <w:footnote w:type="continuationNotice" w:id="1">
    <w:p w14:paraId="46DE228D" w14:textId="77777777" w:rsidR="00140D92" w:rsidRDefault="00140D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B092" w14:textId="0A558F8A" w:rsidR="00E04C23" w:rsidRPr="00423A6C" w:rsidRDefault="00E770CD" w:rsidP="00B259EA">
    <w:pPr>
      <w:pStyle w:val="Header"/>
      <w:rPr>
        <w:lang w:val="en-AU"/>
      </w:rPr>
    </w:pPr>
    <w:r>
      <w:rPr>
        <w:noProof/>
      </w:rPr>
      <w:drawing>
        <wp:anchor distT="0" distB="0" distL="114300" distR="114300" simplePos="0" relativeHeight="251658240" behindDoc="0" locked="0" layoutInCell="1" allowOverlap="1" wp14:anchorId="0F706446" wp14:editId="369A627E">
          <wp:simplePos x="0" y="0"/>
          <wp:positionH relativeFrom="page">
            <wp:posOffset>0</wp:posOffset>
          </wp:positionH>
          <wp:positionV relativeFrom="page">
            <wp:posOffset>1307</wp:posOffset>
          </wp:positionV>
          <wp:extent cx="7538400" cy="10667786"/>
          <wp:effectExtent l="0" t="0" r="5715" b="635"/>
          <wp:wrapNone/>
          <wp:docPr id="1412352676" name="Picture 14123526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52676" name="Picture 14123526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400" cy="106677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9090" w14:textId="21A799E9" w:rsidR="00E04C23" w:rsidRPr="00BD2062" w:rsidRDefault="00E04C23" w:rsidP="00EE5651">
    <w:pPr>
      <w:pStyle w:val="Header"/>
      <w:jc w:val="right"/>
    </w:pPr>
  </w:p>
  <w:p w14:paraId="5F86F79E" w14:textId="77777777" w:rsidR="00470746" w:rsidRDefault="004707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D423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02A4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7274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41164B"/>
    <w:multiLevelType w:val="multilevel"/>
    <w:tmpl w:val="DEB0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55439BD"/>
    <w:multiLevelType w:val="hybridMultilevel"/>
    <w:tmpl w:val="A51C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5317D"/>
    <w:multiLevelType w:val="hybridMultilevel"/>
    <w:tmpl w:val="CF3A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86673A"/>
    <w:multiLevelType w:val="multilevel"/>
    <w:tmpl w:val="0C08EC58"/>
    <w:numStyleLink w:val="111"/>
  </w:abstractNum>
  <w:abstractNum w:abstractNumId="19" w15:restartNumberingAfterBreak="0">
    <w:nsid w:val="3F695963"/>
    <w:multiLevelType w:val="hybridMultilevel"/>
    <w:tmpl w:val="F52C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2" w15:restartNumberingAfterBreak="0">
    <w:nsid w:val="56EC7140"/>
    <w:multiLevelType w:val="multilevel"/>
    <w:tmpl w:val="F8E6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5" w15:restartNumberingAfterBreak="0">
    <w:nsid w:val="662A2B80"/>
    <w:multiLevelType w:val="multilevel"/>
    <w:tmpl w:val="1EDA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8"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622984">
    <w:abstractNumId w:val="9"/>
  </w:num>
  <w:num w:numId="2" w16cid:durableId="1817407726">
    <w:abstractNumId w:val="7"/>
  </w:num>
  <w:num w:numId="3" w16cid:durableId="162622549">
    <w:abstractNumId w:val="6"/>
  </w:num>
  <w:num w:numId="4" w16cid:durableId="1196430105">
    <w:abstractNumId w:val="5"/>
  </w:num>
  <w:num w:numId="5" w16cid:durableId="633100183">
    <w:abstractNumId w:val="4"/>
  </w:num>
  <w:num w:numId="6" w16cid:durableId="200559384">
    <w:abstractNumId w:val="8"/>
  </w:num>
  <w:num w:numId="7" w16cid:durableId="1170832302">
    <w:abstractNumId w:val="3"/>
  </w:num>
  <w:num w:numId="8" w16cid:durableId="426385711">
    <w:abstractNumId w:val="2"/>
  </w:num>
  <w:num w:numId="9" w16cid:durableId="551890925">
    <w:abstractNumId w:val="1"/>
  </w:num>
  <w:num w:numId="10" w16cid:durableId="2041784317">
    <w:abstractNumId w:val="0"/>
  </w:num>
  <w:num w:numId="11" w16cid:durableId="975063077">
    <w:abstractNumId w:val="14"/>
  </w:num>
  <w:num w:numId="12" w16cid:durableId="653415278">
    <w:abstractNumId w:val="13"/>
  </w:num>
  <w:num w:numId="13" w16cid:durableId="903445021">
    <w:abstractNumId w:val="10"/>
  </w:num>
  <w:num w:numId="14" w16cid:durableId="874585113">
    <w:abstractNumId w:val="24"/>
  </w:num>
  <w:num w:numId="15" w16cid:durableId="1548492536">
    <w:abstractNumId w:val="21"/>
  </w:num>
  <w:num w:numId="16" w16cid:durableId="2098017388">
    <w:abstractNumId w:val="28"/>
  </w:num>
  <w:num w:numId="17" w16cid:durableId="1296833483">
    <w:abstractNumId w:val="16"/>
  </w:num>
  <w:num w:numId="18" w16cid:durableId="894193796">
    <w:abstractNumId w:val="26"/>
  </w:num>
  <w:num w:numId="19" w16cid:durableId="859926916">
    <w:abstractNumId w:val="11"/>
  </w:num>
  <w:num w:numId="20" w16cid:durableId="1486430066">
    <w:abstractNumId w:val="27"/>
  </w:num>
  <w:num w:numId="21" w16cid:durableId="1408723359">
    <w:abstractNumId w:val="23"/>
  </w:num>
  <w:num w:numId="22" w16cid:durableId="1961957017">
    <w:abstractNumId w:val="20"/>
  </w:num>
  <w:num w:numId="23" w16cid:durableId="281426467">
    <w:abstractNumId w:val="18"/>
  </w:num>
  <w:num w:numId="24" w16cid:durableId="1112162377">
    <w:abstractNumId w:val="17"/>
  </w:num>
  <w:num w:numId="25" w16cid:durableId="1683625749">
    <w:abstractNumId w:val="19"/>
  </w:num>
  <w:num w:numId="26" w16cid:durableId="967668443">
    <w:abstractNumId w:val="22"/>
  </w:num>
  <w:num w:numId="27" w16cid:durableId="115956510">
    <w:abstractNumId w:val="25"/>
  </w:num>
  <w:num w:numId="28" w16cid:durableId="1264387632">
    <w:abstractNumId w:val="12"/>
  </w:num>
  <w:num w:numId="29" w16cid:durableId="1348213165">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72"/>
    <w:rsid w:val="00000B8B"/>
    <w:rsid w:val="00002621"/>
    <w:rsid w:val="0000267C"/>
    <w:rsid w:val="00003597"/>
    <w:rsid w:val="00003AF4"/>
    <w:rsid w:val="000040BF"/>
    <w:rsid w:val="00013991"/>
    <w:rsid w:val="0002058E"/>
    <w:rsid w:val="0002678B"/>
    <w:rsid w:val="000267B9"/>
    <w:rsid w:val="000269FA"/>
    <w:rsid w:val="000309E8"/>
    <w:rsid w:val="0003161B"/>
    <w:rsid w:val="0003255A"/>
    <w:rsid w:val="000328D9"/>
    <w:rsid w:val="000329AC"/>
    <w:rsid w:val="0003323F"/>
    <w:rsid w:val="00036311"/>
    <w:rsid w:val="00037C47"/>
    <w:rsid w:val="00044155"/>
    <w:rsid w:val="0004509D"/>
    <w:rsid w:val="00050333"/>
    <w:rsid w:val="0005391B"/>
    <w:rsid w:val="00053E9B"/>
    <w:rsid w:val="00054423"/>
    <w:rsid w:val="0005552D"/>
    <w:rsid w:val="00055624"/>
    <w:rsid w:val="000612CB"/>
    <w:rsid w:val="00064219"/>
    <w:rsid w:val="000645D4"/>
    <w:rsid w:val="000652C7"/>
    <w:rsid w:val="00065BA3"/>
    <w:rsid w:val="00066FAA"/>
    <w:rsid w:val="000729A7"/>
    <w:rsid w:val="0007629B"/>
    <w:rsid w:val="00077D28"/>
    <w:rsid w:val="000843CC"/>
    <w:rsid w:val="00084DDE"/>
    <w:rsid w:val="00085B89"/>
    <w:rsid w:val="000868E3"/>
    <w:rsid w:val="00091D69"/>
    <w:rsid w:val="00092925"/>
    <w:rsid w:val="00096225"/>
    <w:rsid w:val="00097704"/>
    <w:rsid w:val="000979E8"/>
    <w:rsid w:val="00097F19"/>
    <w:rsid w:val="000A082C"/>
    <w:rsid w:val="000A2162"/>
    <w:rsid w:val="000B1F64"/>
    <w:rsid w:val="000B41A7"/>
    <w:rsid w:val="000B5A83"/>
    <w:rsid w:val="000B635E"/>
    <w:rsid w:val="000C2FF3"/>
    <w:rsid w:val="000C4B89"/>
    <w:rsid w:val="000C5645"/>
    <w:rsid w:val="000C72DA"/>
    <w:rsid w:val="000D0E24"/>
    <w:rsid w:val="000D4D04"/>
    <w:rsid w:val="000D4DB4"/>
    <w:rsid w:val="000D5BA4"/>
    <w:rsid w:val="000D5F04"/>
    <w:rsid w:val="000D7E76"/>
    <w:rsid w:val="000E0DFD"/>
    <w:rsid w:val="000E20FD"/>
    <w:rsid w:val="000E6D3B"/>
    <w:rsid w:val="000F32A0"/>
    <w:rsid w:val="000F518E"/>
    <w:rsid w:val="000F5F67"/>
    <w:rsid w:val="00102C28"/>
    <w:rsid w:val="00105D9C"/>
    <w:rsid w:val="00106C8D"/>
    <w:rsid w:val="00110183"/>
    <w:rsid w:val="00111B01"/>
    <w:rsid w:val="001122F2"/>
    <w:rsid w:val="001136AF"/>
    <w:rsid w:val="0011724D"/>
    <w:rsid w:val="00123982"/>
    <w:rsid w:val="00126BE9"/>
    <w:rsid w:val="00127867"/>
    <w:rsid w:val="0013064C"/>
    <w:rsid w:val="00131388"/>
    <w:rsid w:val="001320E2"/>
    <w:rsid w:val="001346E2"/>
    <w:rsid w:val="00135090"/>
    <w:rsid w:val="0014084E"/>
    <w:rsid w:val="00140D92"/>
    <w:rsid w:val="0014225D"/>
    <w:rsid w:val="00144E4A"/>
    <w:rsid w:val="00145335"/>
    <w:rsid w:val="001456F7"/>
    <w:rsid w:val="00146F4A"/>
    <w:rsid w:val="001513A8"/>
    <w:rsid w:val="0015385E"/>
    <w:rsid w:val="00153DB9"/>
    <w:rsid w:val="00155CBF"/>
    <w:rsid w:val="00160619"/>
    <w:rsid w:val="001613E2"/>
    <w:rsid w:val="00161BB5"/>
    <w:rsid w:val="00163983"/>
    <w:rsid w:val="0016412F"/>
    <w:rsid w:val="00164CBE"/>
    <w:rsid w:val="00165C70"/>
    <w:rsid w:val="00166496"/>
    <w:rsid w:val="00167658"/>
    <w:rsid w:val="00175A8C"/>
    <w:rsid w:val="0018207F"/>
    <w:rsid w:val="00182FA5"/>
    <w:rsid w:val="00184202"/>
    <w:rsid w:val="00184724"/>
    <w:rsid w:val="00186110"/>
    <w:rsid w:val="0019327F"/>
    <w:rsid w:val="001935C4"/>
    <w:rsid w:val="001A018D"/>
    <w:rsid w:val="001A149F"/>
    <w:rsid w:val="001A53C7"/>
    <w:rsid w:val="001B034A"/>
    <w:rsid w:val="001B0BFE"/>
    <w:rsid w:val="001B3394"/>
    <w:rsid w:val="001B44DF"/>
    <w:rsid w:val="001B6B98"/>
    <w:rsid w:val="001B7AEE"/>
    <w:rsid w:val="001C0C1C"/>
    <w:rsid w:val="001C2AC2"/>
    <w:rsid w:val="001C31F2"/>
    <w:rsid w:val="001C3B37"/>
    <w:rsid w:val="001C633B"/>
    <w:rsid w:val="001C7CB9"/>
    <w:rsid w:val="001D10EA"/>
    <w:rsid w:val="001D6893"/>
    <w:rsid w:val="001D6915"/>
    <w:rsid w:val="001D6BEE"/>
    <w:rsid w:val="001E0AF6"/>
    <w:rsid w:val="001E142C"/>
    <w:rsid w:val="001E3300"/>
    <w:rsid w:val="001E6DE2"/>
    <w:rsid w:val="001F1A72"/>
    <w:rsid w:val="001F2B7E"/>
    <w:rsid w:val="00201722"/>
    <w:rsid w:val="002025E1"/>
    <w:rsid w:val="002070C1"/>
    <w:rsid w:val="00207AD1"/>
    <w:rsid w:val="002100D8"/>
    <w:rsid w:val="00210B3F"/>
    <w:rsid w:val="00210F99"/>
    <w:rsid w:val="002126A7"/>
    <w:rsid w:val="00215C15"/>
    <w:rsid w:val="002169A8"/>
    <w:rsid w:val="002210E6"/>
    <w:rsid w:val="002217F7"/>
    <w:rsid w:val="00222E56"/>
    <w:rsid w:val="0022300F"/>
    <w:rsid w:val="00227E77"/>
    <w:rsid w:val="002322EB"/>
    <w:rsid w:val="002355B7"/>
    <w:rsid w:val="002366D0"/>
    <w:rsid w:val="0024386C"/>
    <w:rsid w:val="00244926"/>
    <w:rsid w:val="00245989"/>
    <w:rsid w:val="002465AB"/>
    <w:rsid w:val="00247EDE"/>
    <w:rsid w:val="0025465F"/>
    <w:rsid w:val="002606FE"/>
    <w:rsid w:val="002609B5"/>
    <w:rsid w:val="002627EF"/>
    <w:rsid w:val="00262D83"/>
    <w:rsid w:val="002703B7"/>
    <w:rsid w:val="00272CB9"/>
    <w:rsid w:val="002739A5"/>
    <w:rsid w:val="00275E1E"/>
    <w:rsid w:val="002845E6"/>
    <w:rsid w:val="00284B09"/>
    <w:rsid w:val="00291608"/>
    <w:rsid w:val="00292073"/>
    <w:rsid w:val="002925CE"/>
    <w:rsid w:val="00297048"/>
    <w:rsid w:val="00297B6A"/>
    <w:rsid w:val="002A064D"/>
    <w:rsid w:val="002A5D23"/>
    <w:rsid w:val="002A692C"/>
    <w:rsid w:val="002A79FB"/>
    <w:rsid w:val="002A7E8D"/>
    <w:rsid w:val="002B395C"/>
    <w:rsid w:val="002B500E"/>
    <w:rsid w:val="002B713B"/>
    <w:rsid w:val="002C2298"/>
    <w:rsid w:val="002C25B7"/>
    <w:rsid w:val="002C5356"/>
    <w:rsid w:val="002C564D"/>
    <w:rsid w:val="002C79B5"/>
    <w:rsid w:val="002C7ABA"/>
    <w:rsid w:val="002D1627"/>
    <w:rsid w:val="002D35B2"/>
    <w:rsid w:val="002D3D07"/>
    <w:rsid w:val="002E5440"/>
    <w:rsid w:val="002E5C0B"/>
    <w:rsid w:val="002E7DCD"/>
    <w:rsid w:val="002F14E5"/>
    <w:rsid w:val="002F17CD"/>
    <w:rsid w:val="002F2099"/>
    <w:rsid w:val="002F2260"/>
    <w:rsid w:val="003029AB"/>
    <w:rsid w:val="003029AC"/>
    <w:rsid w:val="00304E20"/>
    <w:rsid w:val="00305379"/>
    <w:rsid w:val="003055EE"/>
    <w:rsid w:val="003058DB"/>
    <w:rsid w:val="00312166"/>
    <w:rsid w:val="00316160"/>
    <w:rsid w:val="003168A6"/>
    <w:rsid w:val="00316B84"/>
    <w:rsid w:val="0032040F"/>
    <w:rsid w:val="0032103A"/>
    <w:rsid w:val="00324655"/>
    <w:rsid w:val="00324DDB"/>
    <w:rsid w:val="0032537C"/>
    <w:rsid w:val="00326879"/>
    <w:rsid w:val="00331D7A"/>
    <w:rsid w:val="00333E6B"/>
    <w:rsid w:val="00334246"/>
    <w:rsid w:val="003405B1"/>
    <w:rsid w:val="00342CF2"/>
    <w:rsid w:val="00346F8B"/>
    <w:rsid w:val="003565AB"/>
    <w:rsid w:val="00356925"/>
    <w:rsid w:val="00356F7E"/>
    <w:rsid w:val="00361066"/>
    <w:rsid w:val="003621D2"/>
    <w:rsid w:val="00362F5E"/>
    <w:rsid w:val="00363055"/>
    <w:rsid w:val="00364333"/>
    <w:rsid w:val="00370783"/>
    <w:rsid w:val="0037278E"/>
    <w:rsid w:val="00373E13"/>
    <w:rsid w:val="003823A6"/>
    <w:rsid w:val="00394282"/>
    <w:rsid w:val="00395CB7"/>
    <w:rsid w:val="003968CD"/>
    <w:rsid w:val="00396F4D"/>
    <w:rsid w:val="0039749A"/>
    <w:rsid w:val="003A053F"/>
    <w:rsid w:val="003A0BEE"/>
    <w:rsid w:val="003A122E"/>
    <w:rsid w:val="003A2331"/>
    <w:rsid w:val="003A4E0E"/>
    <w:rsid w:val="003B11B3"/>
    <w:rsid w:val="003B22FD"/>
    <w:rsid w:val="003B5E53"/>
    <w:rsid w:val="003B6D0E"/>
    <w:rsid w:val="003B7DB6"/>
    <w:rsid w:val="003C0510"/>
    <w:rsid w:val="003C05A5"/>
    <w:rsid w:val="003C0B12"/>
    <w:rsid w:val="003C1AB8"/>
    <w:rsid w:val="003C3332"/>
    <w:rsid w:val="003C399F"/>
    <w:rsid w:val="003C42F9"/>
    <w:rsid w:val="003C4CC4"/>
    <w:rsid w:val="003C5FBC"/>
    <w:rsid w:val="003C6B23"/>
    <w:rsid w:val="003C6B47"/>
    <w:rsid w:val="003C78DA"/>
    <w:rsid w:val="003D05EA"/>
    <w:rsid w:val="003D3C74"/>
    <w:rsid w:val="003D4DD3"/>
    <w:rsid w:val="003E28BB"/>
    <w:rsid w:val="003E7509"/>
    <w:rsid w:val="003F1F1C"/>
    <w:rsid w:val="003F42F1"/>
    <w:rsid w:val="00400E4D"/>
    <w:rsid w:val="0040121A"/>
    <w:rsid w:val="00402513"/>
    <w:rsid w:val="004032CA"/>
    <w:rsid w:val="004037ED"/>
    <w:rsid w:val="004078A7"/>
    <w:rsid w:val="00407E5F"/>
    <w:rsid w:val="004141BD"/>
    <w:rsid w:val="00414DC1"/>
    <w:rsid w:val="00416071"/>
    <w:rsid w:val="00416B98"/>
    <w:rsid w:val="00420683"/>
    <w:rsid w:val="004213FC"/>
    <w:rsid w:val="00423A6C"/>
    <w:rsid w:val="00425FDD"/>
    <w:rsid w:val="00431AAC"/>
    <w:rsid w:val="004346B2"/>
    <w:rsid w:val="00434723"/>
    <w:rsid w:val="00435E90"/>
    <w:rsid w:val="004373BF"/>
    <w:rsid w:val="004455DA"/>
    <w:rsid w:val="00445720"/>
    <w:rsid w:val="00455C53"/>
    <w:rsid w:val="004560D9"/>
    <w:rsid w:val="00457016"/>
    <w:rsid w:val="00457530"/>
    <w:rsid w:val="004603E8"/>
    <w:rsid w:val="00460647"/>
    <w:rsid w:val="00460C02"/>
    <w:rsid w:val="004645B5"/>
    <w:rsid w:val="00465B90"/>
    <w:rsid w:val="00467EAE"/>
    <w:rsid w:val="00470746"/>
    <w:rsid w:val="0047113D"/>
    <w:rsid w:val="00472BD8"/>
    <w:rsid w:val="00475963"/>
    <w:rsid w:val="00476FDC"/>
    <w:rsid w:val="00480AFC"/>
    <w:rsid w:val="00484621"/>
    <w:rsid w:val="00485014"/>
    <w:rsid w:val="0049210A"/>
    <w:rsid w:val="004A0656"/>
    <w:rsid w:val="004A4623"/>
    <w:rsid w:val="004A5296"/>
    <w:rsid w:val="004A6AA7"/>
    <w:rsid w:val="004B0E60"/>
    <w:rsid w:val="004B3DAE"/>
    <w:rsid w:val="004B514E"/>
    <w:rsid w:val="004B635E"/>
    <w:rsid w:val="004B6E24"/>
    <w:rsid w:val="004B722B"/>
    <w:rsid w:val="004C3C79"/>
    <w:rsid w:val="004C3C9E"/>
    <w:rsid w:val="004C46FC"/>
    <w:rsid w:val="004C52F5"/>
    <w:rsid w:val="004C66E8"/>
    <w:rsid w:val="004D400B"/>
    <w:rsid w:val="004D488A"/>
    <w:rsid w:val="004D77A6"/>
    <w:rsid w:val="004E193D"/>
    <w:rsid w:val="004F1F65"/>
    <w:rsid w:val="004F4C3F"/>
    <w:rsid w:val="004F55B7"/>
    <w:rsid w:val="00500551"/>
    <w:rsid w:val="005021AB"/>
    <w:rsid w:val="005030E8"/>
    <w:rsid w:val="00503607"/>
    <w:rsid w:val="00504639"/>
    <w:rsid w:val="0050696F"/>
    <w:rsid w:val="00515BC0"/>
    <w:rsid w:val="00520613"/>
    <w:rsid w:val="00523019"/>
    <w:rsid w:val="005303C2"/>
    <w:rsid w:val="00530C12"/>
    <w:rsid w:val="00531ED4"/>
    <w:rsid w:val="005337C0"/>
    <w:rsid w:val="00534886"/>
    <w:rsid w:val="00542C8F"/>
    <w:rsid w:val="0055060D"/>
    <w:rsid w:val="005515AD"/>
    <w:rsid w:val="00554F33"/>
    <w:rsid w:val="005575F6"/>
    <w:rsid w:val="00557F7D"/>
    <w:rsid w:val="005601A2"/>
    <w:rsid w:val="00560B36"/>
    <w:rsid w:val="00561EDC"/>
    <w:rsid w:val="00561F69"/>
    <w:rsid w:val="00563092"/>
    <w:rsid w:val="00563242"/>
    <w:rsid w:val="00570ABE"/>
    <w:rsid w:val="00570D85"/>
    <w:rsid w:val="005712AE"/>
    <w:rsid w:val="0057348F"/>
    <w:rsid w:val="00576538"/>
    <w:rsid w:val="00576DA6"/>
    <w:rsid w:val="00577EA6"/>
    <w:rsid w:val="0058145C"/>
    <w:rsid w:val="0058158A"/>
    <w:rsid w:val="005821C6"/>
    <w:rsid w:val="00583BB2"/>
    <w:rsid w:val="00585AD1"/>
    <w:rsid w:val="00590A28"/>
    <w:rsid w:val="0059381B"/>
    <w:rsid w:val="005A47E9"/>
    <w:rsid w:val="005A4D34"/>
    <w:rsid w:val="005B1CEB"/>
    <w:rsid w:val="005C7200"/>
    <w:rsid w:val="005D0757"/>
    <w:rsid w:val="005D35C1"/>
    <w:rsid w:val="005D397A"/>
    <w:rsid w:val="005D4CE2"/>
    <w:rsid w:val="005D66B8"/>
    <w:rsid w:val="005E18DB"/>
    <w:rsid w:val="005E2AD5"/>
    <w:rsid w:val="005E5FEA"/>
    <w:rsid w:val="005E761E"/>
    <w:rsid w:val="005F0140"/>
    <w:rsid w:val="005F0910"/>
    <w:rsid w:val="005F607C"/>
    <w:rsid w:val="00601A3A"/>
    <w:rsid w:val="00601F61"/>
    <w:rsid w:val="006025DB"/>
    <w:rsid w:val="00602D33"/>
    <w:rsid w:val="00602EA3"/>
    <w:rsid w:val="00602EDF"/>
    <w:rsid w:val="00604577"/>
    <w:rsid w:val="00610418"/>
    <w:rsid w:val="006122EC"/>
    <w:rsid w:val="00612888"/>
    <w:rsid w:val="00613A0F"/>
    <w:rsid w:val="00615C2D"/>
    <w:rsid w:val="00615E0F"/>
    <w:rsid w:val="00617AAA"/>
    <w:rsid w:val="00621EE7"/>
    <w:rsid w:val="00624526"/>
    <w:rsid w:val="00630A2A"/>
    <w:rsid w:val="00632678"/>
    <w:rsid w:val="00635AC4"/>
    <w:rsid w:val="0063673B"/>
    <w:rsid w:val="00636AC0"/>
    <w:rsid w:val="00637C19"/>
    <w:rsid w:val="006431ED"/>
    <w:rsid w:val="006466B8"/>
    <w:rsid w:val="0064688B"/>
    <w:rsid w:val="0065046F"/>
    <w:rsid w:val="006519BF"/>
    <w:rsid w:val="00651BC2"/>
    <w:rsid w:val="00653613"/>
    <w:rsid w:val="006543FB"/>
    <w:rsid w:val="00654BFC"/>
    <w:rsid w:val="00656F94"/>
    <w:rsid w:val="00657378"/>
    <w:rsid w:val="00660A40"/>
    <w:rsid w:val="00666DA5"/>
    <w:rsid w:val="006702D4"/>
    <w:rsid w:val="006773B2"/>
    <w:rsid w:val="00680BE7"/>
    <w:rsid w:val="00682E9C"/>
    <w:rsid w:val="0068366A"/>
    <w:rsid w:val="00687CC2"/>
    <w:rsid w:val="00693802"/>
    <w:rsid w:val="006A1083"/>
    <w:rsid w:val="006A2AD4"/>
    <w:rsid w:val="006A51EE"/>
    <w:rsid w:val="006A6950"/>
    <w:rsid w:val="006B67D3"/>
    <w:rsid w:val="006B79BA"/>
    <w:rsid w:val="006B7EB2"/>
    <w:rsid w:val="006C2597"/>
    <w:rsid w:val="006C30BC"/>
    <w:rsid w:val="006C5403"/>
    <w:rsid w:val="006C7091"/>
    <w:rsid w:val="006D052A"/>
    <w:rsid w:val="006D11BE"/>
    <w:rsid w:val="006D323D"/>
    <w:rsid w:val="006D491C"/>
    <w:rsid w:val="006E0254"/>
    <w:rsid w:val="006E14C9"/>
    <w:rsid w:val="006E159F"/>
    <w:rsid w:val="006E49D9"/>
    <w:rsid w:val="006E5465"/>
    <w:rsid w:val="006E5511"/>
    <w:rsid w:val="006E6322"/>
    <w:rsid w:val="006E68EE"/>
    <w:rsid w:val="006E76EE"/>
    <w:rsid w:val="006F14C8"/>
    <w:rsid w:val="006F2ABA"/>
    <w:rsid w:val="006F3FE4"/>
    <w:rsid w:val="006F46FC"/>
    <w:rsid w:val="006F5D6A"/>
    <w:rsid w:val="006F62BD"/>
    <w:rsid w:val="006F66D7"/>
    <w:rsid w:val="006F79B1"/>
    <w:rsid w:val="007003AB"/>
    <w:rsid w:val="00700B1E"/>
    <w:rsid w:val="00702299"/>
    <w:rsid w:val="00703186"/>
    <w:rsid w:val="00707384"/>
    <w:rsid w:val="00711034"/>
    <w:rsid w:val="00716853"/>
    <w:rsid w:val="00717D28"/>
    <w:rsid w:val="00721B68"/>
    <w:rsid w:val="00723336"/>
    <w:rsid w:val="0072354E"/>
    <w:rsid w:val="0072627B"/>
    <w:rsid w:val="00731B9D"/>
    <w:rsid w:val="0073413D"/>
    <w:rsid w:val="00735EE0"/>
    <w:rsid w:val="00736CB4"/>
    <w:rsid w:val="00743A04"/>
    <w:rsid w:val="00745147"/>
    <w:rsid w:val="00751CC8"/>
    <w:rsid w:val="0075307C"/>
    <w:rsid w:val="00753860"/>
    <w:rsid w:val="00757211"/>
    <w:rsid w:val="00757FDA"/>
    <w:rsid w:val="00760678"/>
    <w:rsid w:val="007643AF"/>
    <w:rsid w:val="00764652"/>
    <w:rsid w:val="00764D6C"/>
    <w:rsid w:val="00764F76"/>
    <w:rsid w:val="0076534C"/>
    <w:rsid w:val="007704E6"/>
    <w:rsid w:val="00770FC5"/>
    <w:rsid w:val="00771DD0"/>
    <w:rsid w:val="00772120"/>
    <w:rsid w:val="007761BA"/>
    <w:rsid w:val="00780372"/>
    <w:rsid w:val="00780C38"/>
    <w:rsid w:val="00781940"/>
    <w:rsid w:val="00781D05"/>
    <w:rsid w:val="00783909"/>
    <w:rsid w:val="0078505E"/>
    <w:rsid w:val="0078511B"/>
    <w:rsid w:val="0079060F"/>
    <w:rsid w:val="00790755"/>
    <w:rsid w:val="007934E5"/>
    <w:rsid w:val="00795B3A"/>
    <w:rsid w:val="007A0D50"/>
    <w:rsid w:val="007A1647"/>
    <w:rsid w:val="007A1838"/>
    <w:rsid w:val="007A4B97"/>
    <w:rsid w:val="007A521B"/>
    <w:rsid w:val="007A5A47"/>
    <w:rsid w:val="007A6934"/>
    <w:rsid w:val="007B2C26"/>
    <w:rsid w:val="007B532D"/>
    <w:rsid w:val="007C545E"/>
    <w:rsid w:val="007C585A"/>
    <w:rsid w:val="007C5943"/>
    <w:rsid w:val="007C7868"/>
    <w:rsid w:val="007D1C17"/>
    <w:rsid w:val="007D1C4B"/>
    <w:rsid w:val="007D5B5F"/>
    <w:rsid w:val="007D7335"/>
    <w:rsid w:val="007E21B2"/>
    <w:rsid w:val="007E3CDF"/>
    <w:rsid w:val="007E4CFB"/>
    <w:rsid w:val="007E6F5C"/>
    <w:rsid w:val="007E7032"/>
    <w:rsid w:val="007F21DA"/>
    <w:rsid w:val="008025B5"/>
    <w:rsid w:val="00802784"/>
    <w:rsid w:val="008058D6"/>
    <w:rsid w:val="00806C5C"/>
    <w:rsid w:val="00811D55"/>
    <w:rsid w:val="00812D9B"/>
    <w:rsid w:val="0081308F"/>
    <w:rsid w:val="008131B9"/>
    <w:rsid w:val="0081410D"/>
    <w:rsid w:val="00825027"/>
    <w:rsid w:val="00826053"/>
    <w:rsid w:val="0083075F"/>
    <w:rsid w:val="00833BE5"/>
    <w:rsid w:val="00833C26"/>
    <w:rsid w:val="00834461"/>
    <w:rsid w:val="00836E98"/>
    <w:rsid w:val="00851634"/>
    <w:rsid w:val="008534AB"/>
    <w:rsid w:val="008559EB"/>
    <w:rsid w:val="00856D85"/>
    <w:rsid w:val="008572E8"/>
    <w:rsid w:val="00857B22"/>
    <w:rsid w:val="00860C44"/>
    <w:rsid w:val="0086635F"/>
    <w:rsid w:val="00866C72"/>
    <w:rsid w:val="008670D1"/>
    <w:rsid w:val="00872CAE"/>
    <w:rsid w:val="0087473A"/>
    <w:rsid w:val="0088311C"/>
    <w:rsid w:val="00885044"/>
    <w:rsid w:val="0088510B"/>
    <w:rsid w:val="00886313"/>
    <w:rsid w:val="00886523"/>
    <w:rsid w:val="0088680F"/>
    <w:rsid w:val="00890046"/>
    <w:rsid w:val="00890895"/>
    <w:rsid w:val="008917F0"/>
    <w:rsid w:val="00892872"/>
    <w:rsid w:val="008933F0"/>
    <w:rsid w:val="0089501D"/>
    <w:rsid w:val="008953F8"/>
    <w:rsid w:val="00895E93"/>
    <w:rsid w:val="00896606"/>
    <w:rsid w:val="008A149F"/>
    <w:rsid w:val="008A291C"/>
    <w:rsid w:val="008A4752"/>
    <w:rsid w:val="008A4E26"/>
    <w:rsid w:val="008A7846"/>
    <w:rsid w:val="008B401A"/>
    <w:rsid w:val="008B41F1"/>
    <w:rsid w:val="008B43C8"/>
    <w:rsid w:val="008B55BE"/>
    <w:rsid w:val="008B7B0C"/>
    <w:rsid w:val="008C77A6"/>
    <w:rsid w:val="008D1B54"/>
    <w:rsid w:val="008D64B2"/>
    <w:rsid w:val="008D65CF"/>
    <w:rsid w:val="008D68B1"/>
    <w:rsid w:val="008E0389"/>
    <w:rsid w:val="008E421E"/>
    <w:rsid w:val="008F361E"/>
    <w:rsid w:val="008F6478"/>
    <w:rsid w:val="00903ABD"/>
    <w:rsid w:val="00904A3C"/>
    <w:rsid w:val="0090547F"/>
    <w:rsid w:val="00906AAC"/>
    <w:rsid w:val="00906DC5"/>
    <w:rsid w:val="009073AD"/>
    <w:rsid w:val="009101A1"/>
    <w:rsid w:val="009109EC"/>
    <w:rsid w:val="009131F6"/>
    <w:rsid w:val="0091535C"/>
    <w:rsid w:val="00915A33"/>
    <w:rsid w:val="0092248D"/>
    <w:rsid w:val="00922DDC"/>
    <w:rsid w:val="00924D9A"/>
    <w:rsid w:val="00924FC7"/>
    <w:rsid w:val="0092704D"/>
    <w:rsid w:val="009308C1"/>
    <w:rsid w:val="00932663"/>
    <w:rsid w:val="00932FB3"/>
    <w:rsid w:val="009331B7"/>
    <w:rsid w:val="00933652"/>
    <w:rsid w:val="00933F57"/>
    <w:rsid w:val="0093650B"/>
    <w:rsid w:val="0094437D"/>
    <w:rsid w:val="00951B26"/>
    <w:rsid w:val="0095506A"/>
    <w:rsid w:val="00955526"/>
    <w:rsid w:val="0095706B"/>
    <w:rsid w:val="009577A3"/>
    <w:rsid w:val="009602FB"/>
    <w:rsid w:val="00963815"/>
    <w:rsid w:val="00966FAB"/>
    <w:rsid w:val="00967C64"/>
    <w:rsid w:val="00971F38"/>
    <w:rsid w:val="009726A4"/>
    <w:rsid w:val="009752E0"/>
    <w:rsid w:val="00980C5E"/>
    <w:rsid w:val="0098233F"/>
    <w:rsid w:val="009845F3"/>
    <w:rsid w:val="00987084"/>
    <w:rsid w:val="0099144E"/>
    <w:rsid w:val="00995FFC"/>
    <w:rsid w:val="00996BDB"/>
    <w:rsid w:val="00997710"/>
    <w:rsid w:val="009A08E6"/>
    <w:rsid w:val="009A2392"/>
    <w:rsid w:val="009A5C77"/>
    <w:rsid w:val="009B1C10"/>
    <w:rsid w:val="009B3FE8"/>
    <w:rsid w:val="009B4E09"/>
    <w:rsid w:val="009B58CB"/>
    <w:rsid w:val="009C081C"/>
    <w:rsid w:val="009C26AB"/>
    <w:rsid w:val="009C2ACF"/>
    <w:rsid w:val="009C31EB"/>
    <w:rsid w:val="009C55D0"/>
    <w:rsid w:val="009D2CD4"/>
    <w:rsid w:val="009E2FE3"/>
    <w:rsid w:val="009E44FA"/>
    <w:rsid w:val="009E5F69"/>
    <w:rsid w:val="009E61BC"/>
    <w:rsid w:val="009F4E0E"/>
    <w:rsid w:val="009F4EAB"/>
    <w:rsid w:val="00A01705"/>
    <w:rsid w:val="00A021A6"/>
    <w:rsid w:val="00A06E9D"/>
    <w:rsid w:val="00A076E7"/>
    <w:rsid w:val="00A07DE0"/>
    <w:rsid w:val="00A133B4"/>
    <w:rsid w:val="00A13B54"/>
    <w:rsid w:val="00A22BC3"/>
    <w:rsid w:val="00A27491"/>
    <w:rsid w:val="00A31A7C"/>
    <w:rsid w:val="00A33C0B"/>
    <w:rsid w:val="00A34E93"/>
    <w:rsid w:val="00A358DF"/>
    <w:rsid w:val="00A376C8"/>
    <w:rsid w:val="00A47392"/>
    <w:rsid w:val="00A50E80"/>
    <w:rsid w:val="00A52BC8"/>
    <w:rsid w:val="00A62B72"/>
    <w:rsid w:val="00A70706"/>
    <w:rsid w:val="00A70E83"/>
    <w:rsid w:val="00A71107"/>
    <w:rsid w:val="00A71223"/>
    <w:rsid w:val="00A71ABD"/>
    <w:rsid w:val="00A73A7B"/>
    <w:rsid w:val="00A76E85"/>
    <w:rsid w:val="00A81540"/>
    <w:rsid w:val="00A82372"/>
    <w:rsid w:val="00A825FE"/>
    <w:rsid w:val="00A83B7A"/>
    <w:rsid w:val="00A931DD"/>
    <w:rsid w:val="00A95942"/>
    <w:rsid w:val="00A95C42"/>
    <w:rsid w:val="00A964C5"/>
    <w:rsid w:val="00AA03EE"/>
    <w:rsid w:val="00AA12B4"/>
    <w:rsid w:val="00AA3390"/>
    <w:rsid w:val="00AA5522"/>
    <w:rsid w:val="00AA5C3C"/>
    <w:rsid w:val="00AB22F2"/>
    <w:rsid w:val="00AB68C7"/>
    <w:rsid w:val="00AC1C90"/>
    <w:rsid w:val="00AC708B"/>
    <w:rsid w:val="00AD217E"/>
    <w:rsid w:val="00AD24CA"/>
    <w:rsid w:val="00AD44AD"/>
    <w:rsid w:val="00AD4C76"/>
    <w:rsid w:val="00AD4D78"/>
    <w:rsid w:val="00AD66AF"/>
    <w:rsid w:val="00AD686A"/>
    <w:rsid w:val="00AE0ECC"/>
    <w:rsid w:val="00AE35B3"/>
    <w:rsid w:val="00AF001C"/>
    <w:rsid w:val="00AF28BE"/>
    <w:rsid w:val="00AF520F"/>
    <w:rsid w:val="00AF582C"/>
    <w:rsid w:val="00AF60B7"/>
    <w:rsid w:val="00B01860"/>
    <w:rsid w:val="00B038B0"/>
    <w:rsid w:val="00B05B84"/>
    <w:rsid w:val="00B072B9"/>
    <w:rsid w:val="00B07762"/>
    <w:rsid w:val="00B10196"/>
    <w:rsid w:val="00B12031"/>
    <w:rsid w:val="00B1302E"/>
    <w:rsid w:val="00B13137"/>
    <w:rsid w:val="00B1440B"/>
    <w:rsid w:val="00B15C1C"/>
    <w:rsid w:val="00B162C3"/>
    <w:rsid w:val="00B175E0"/>
    <w:rsid w:val="00B217EA"/>
    <w:rsid w:val="00B23FFE"/>
    <w:rsid w:val="00B259EA"/>
    <w:rsid w:val="00B31D72"/>
    <w:rsid w:val="00B3204C"/>
    <w:rsid w:val="00B37219"/>
    <w:rsid w:val="00B41A9F"/>
    <w:rsid w:val="00B4389B"/>
    <w:rsid w:val="00B51CBE"/>
    <w:rsid w:val="00B52F0C"/>
    <w:rsid w:val="00B563F4"/>
    <w:rsid w:val="00B576DF"/>
    <w:rsid w:val="00B616D4"/>
    <w:rsid w:val="00B61C4C"/>
    <w:rsid w:val="00B6480E"/>
    <w:rsid w:val="00B648CA"/>
    <w:rsid w:val="00B65FC8"/>
    <w:rsid w:val="00B8024D"/>
    <w:rsid w:val="00B80392"/>
    <w:rsid w:val="00B81A19"/>
    <w:rsid w:val="00B866F8"/>
    <w:rsid w:val="00B872B0"/>
    <w:rsid w:val="00B87DFE"/>
    <w:rsid w:val="00B942DE"/>
    <w:rsid w:val="00B97E61"/>
    <w:rsid w:val="00BA4608"/>
    <w:rsid w:val="00BA499E"/>
    <w:rsid w:val="00BA49C8"/>
    <w:rsid w:val="00BA62E3"/>
    <w:rsid w:val="00BA7645"/>
    <w:rsid w:val="00BA7EFD"/>
    <w:rsid w:val="00BB1E71"/>
    <w:rsid w:val="00BB4654"/>
    <w:rsid w:val="00BC2089"/>
    <w:rsid w:val="00BC2BF1"/>
    <w:rsid w:val="00BC32A2"/>
    <w:rsid w:val="00BC4F11"/>
    <w:rsid w:val="00BC676F"/>
    <w:rsid w:val="00BC74AC"/>
    <w:rsid w:val="00BD4079"/>
    <w:rsid w:val="00BE002F"/>
    <w:rsid w:val="00BE36D3"/>
    <w:rsid w:val="00BE6239"/>
    <w:rsid w:val="00BE663D"/>
    <w:rsid w:val="00BE716E"/>
    <w:rsid w:val="00BF0F73"/>
    <w:rsid w:val="00BF1138"/>
    <w:rsid w:val="00BF4D18"/>
    <w:rsid w:val="00BF522E"/>
    <w:rsid w:val="00C0036C"/>
    <w:rsid w:val="00C03396"/>
    <w:rsid w:val="00C03B7F"/>
    <w:rsid w:val="00C12F4A"/>
    <w:rsid w:val="00C17448"/>
    <w:rsid w:val="00C178AB"/>
    <w:rsid w:val="00C17C39"/>
    <w:rsid w:val="00C20789"/>
    <w:rsid w:val="00C2246A"/>
    <w:rsid w:val="00C22975"/>
    <w:rsid w:val="00C22F74"/>
    <w:rsid w:val="00C23288"/>
    <w:rsid w:val="00C236EA"/>
    <w:rsid w:val="00C257CE"/>
    <w:rsid w:val="00C262A4"/>
    <w:rsid w:val="00C3252F"/>
    <w:rsid w:val="00C33328"/>
    <w:rsid w:val="00C34E40"/>
    <w:rsid w:val="00C35933"/>
    <w:rsid w:val="00C3799E"/>
    <w:rsid w:val="00C37B77"/>
    <w:rsid w:val="00C411CD"/>
    <w:rsid w:val="00C50EC3"/>
    <w:rsid w:val="00C54B43"/>
    <w:rsid w:val="00C56DA5"/>
    <w:rsid w:val="00C6156D"/>
    <w:rsid w:val="00C616BD"/>
    <w:rsid w:val="00C62865"/>
    <w:rsid w:val="00C628D8"/>
    <w:rsid w:val="00C62C27"/>
    <w:rsid w:val="00C650F9"/>
    <w:rsid w:val="00C655FA"/>
    <w:rsid w:val="00C65F89"/>
    <w:rsid w:val="00C73B32"/>
    <w:rsid w:val="00C73CF6"/>
    <w:rsid w:val="00C75889"/>
    <w:rsid w:val="00C77246"/>
    <w:rsid w:val="00C80F43"/>
    <w:rsid w:val="00C81717"/>
    <w:rsid w:val="00C8522C"/>
    <w:rsid w:val="00C93E56"/>
    <w:rsid w:val="00CA2027"/>
    <w:rsid w:val="00CA2B38"/>
    <w:rsid w:val="00CA327F"/>
    <w:rsid w:val="00CA3756"/>
    <w:rsid w:val="00CA3CE1"/>
    <w:rsid w:val="00CB01E1"/>
    <w:rsid w:val="00CB0647"/>
    <w:rsid w:val="00CB5B36"/>
    <w:rsid w:val="00CC55D0"/>
    <w:rsid w:val="00CC72DD"/>
    <w:rsid w:val="00CD05C2"/>
    <w:rsid w:val="00CD26F7"/>
    <w:rsid w:val="00CD41BD"/>
    <w:rsid w:val="00CD65F4"/>
    <w:rsid w:val="00CE2A04"/>
    <w:rsid w:val="00CE4C0F"/>
    <w:rsid w:val="00CE4DA4"/>
    <w:rsid w:val="00CE63DD"/>
    <w:rsid w:val="00CF033A"/>
    <w:rsid w:val="00CF1D4E"/>
    <w:rsid w:val="00CF34AE"/>
    <w:rsid w:val="00D01F98"/>
    <w:rsid w:val="00D029D1"/>
    <w:rsid w:val="00D0463A"/>
    <w:rsid w:val="00D0481C"/>
    <w:rsid w:val="00D072FB"/>
    <w:rsid w:val="00D1068A"/>
    <w:rsid w:val="00D11C5D"/>
    <w:rsid w:val="00D13A00"/>
    <w:rsid w:val="00D149B6"/>
    <w:rsid w:val="00D1536D"/>
    <w:rsid w:val="00D16E1B"/>
    <w:rsid w:val="00D2299B"/>
    <w:rsid w:val="00D23639"/>
    <w:rsid w:val="00D2531E"/>
    <w:rsid w:val="00D25D50"/>
    <w:rsid w:val="00D2725C"/>
    <w:rsid w:val="00D3095D"/>
    <w:rsid w:val="00D318DE"/>
    <w:rsid w:val="00D31D87"/>
    <w:rsid w:val="00D36B04"/>
    <w:rsid w:val="00D37A41"/>
    <w:rsid w:val="00D41D8A"/>
    <w:rsid w:val="00D42D3F"/>
    <w:rsid w:val="00D43B19"/>
    <w:rsid w:val="00D467EF"/>
    <w:rsid w:val="00D502A6"/>
    <w:rsid w:val="00D535C5"/>
    <w:rsid w:val="00D535CD"/>
    <w:rsid w:val="00D556B5"/>
    <w:rsid w:val="00D56194"/>
    <w:rsid w:val="00D5733C"/>
    <w:rsid w:val="00D60528"/>
    <w:rsid w:val="00D62A1A"/>
    <w:rsid w:val="00D64087"/>
    <w:rsid w:val="00D651B6"/>
    <w:rsid w:val="00D654F6"/>
    <w:rsid w:val="00D73C8D"/>
    <w:rsid w:val="00D77CDF"/>
    <w:rsid w:val="00D82DBD"/>
    <w:rsid w:val="00D83ED4"/>
    <w:rsid w:val="00D847E3"/>
    <w:rsid w:val="00D87158"/>
    <w:rsid w:val="00D94990"/>
    <w:rsid w:val="00D96FF9"/>
    <w:rsid w:val="00DA0590"/>
    <w:rsid w:val="00DA238F"/>
    <w:rsid w:val="00DA23F0"/>
    <w:rsid w:val="00DA2D41"/>
    <w:rsid w:val="00DA689A"/>
    <w:rsid w:val="00DA7829"/>
    <w:rsid w:val="00DB1B96"/>
    <w:rsid w:val="00DB208A"/>
    <w:rsid w:val="00DB2AB0"/>
    <w:rsid w:val="00DB2C5C"/>
    <w:rsid w:val="00DB79A8"/>
    <w:rsid w:val="00DC1017"/>
    <w:rsid w:val="00DC571C"/>
    <w:rsid w:val="00DC75E7"/>
    <w:rsid w:val="00DD0DF8"/>
    <w:rsid w:val="00DD21FC"/>
    <w:rsid w:val="00DD3C4A"/>
    <w:rsid w:val="00DD64CE"/>
    <w:rsid w:val="00DD6C20"/>
    <w:rsid w:val="00DD7F75"/>
    <w:rsid w:val="00DE1AC7"/>
    <w:rsid w:val="00DE1CCA"/>
    <w:rsid w:val="00DE477F"/>
    <w:rsid w:val="00DE6E4D"/>
    <w:rsid w:val="00DF1BD1"/>
    <w:rsid w:val="00DF42A8"/>
    <w:rsid w:val="00DF6065"/>
    <w:rsid w:val="00DF67A3"/>
    <w:rsid w:val="00E00950"/>
    <w:rsid w:val="00E00DAF"/>
    <w:rsid w:val="00E018AC"/>
    <w:rsid w:val="00E0380E"/>
    <w:rsid w:val="00E04C23"/>
    <w:rsid w:val="00E054E5"/>
    <w:rsid w:val="00E10B64"/>
    <w:rsid w:val="00E11C07"/>
    <w:rsid w:val="00E11C4A"/>
    <w:rsid w:val="00E14FEA"/>
    <w:rsid w:val="00E1662E"/>
    <w:rsid w:val="00E20497"/>
    <w:rsid w:val="00E2145B"/>
    <w:rsid w:val="00E23983"/>
    <w:rsid w:val="00E243D2"/>
    <w:rsid w:val="00E24BC2"/>
    <w:rsid w:val="00E3327A"/>
    <w:rsid w:val="00E348FB"/>
    <w:rsid w:val="00E40158"/>
    <w:rsid w:val="00E438B9"/>
    <w:rsid w:val="00E44A9B"/>
    <w:rsid w:val="00E44AE0"/>
    <w:rsid w:val="00E4654E"/>
    <w:rsid w:val="00E5099E"/>
    <w:rsid w:val="00E50A1A"/>
    <w:rsid w:val="00E5455B"/>
    <w:rsid w:val="00E60CDF"/>
    <w:rsid w:val="00E63332"/>
    <w:rsid w:val="00E6495E"/>
    <w:rsid w:val="00E651E7"/>
    <w:rsid w:val="00E65EFC"/>
    <w:rsid w:val="00E66763"/>
    <w:rsid w:val="00E668CB"/>
    <w:rsid w:val="00E66B30"/>
    <w:rsid w:val="00E6748C"/>
    <w:rsid w:val="00E67E73"/>
    <w:rsid w:val="00E73FCF"/>
    <w:rsid w:val="00E75E1F"/>
    <w:rsid w:val="00E770CD"/>
    <w:rsid w:val="00E809C0"/>
    <w:rsid w:val="00E82DDB"/>
    <w:rsid w:val="00E82F40"/>
    <w:rsid w:val="00E85638"/>
    <w:rsid w:val="00E86385"/>
    <w:rsid w:val="00E870B7"/>
    <w:rsid w:val="00E870C1"/>
    <w:rsid w:val="00E9008C"/>
    <w:rsid w:val="00E9030A"/>
    <w:rsid w:val="00E9120E"/>
    <w:rsid w:val="00E9376A"/>
    <w:rsid w:val="00E93CD7"/>
    <w:rsid w:val="00E93D6D"/>
    <w:rsid w:val="00E93EFF"/>
    <w:rsid w:val="00E944AD"/>
    <w:rsid w:val="00EA00EE"/>
    <w:rsid w:val="00EA066D"/>
    <w:rsid w:val="00EA0DD4"/>
    <w:rsid w:val="00EA1CAF"/>
    <w:rsid w:val="00EA1D1C"/>
    <w:rsid w:val="00EA365A"/>
    <w:rsid w:val="00EA67C7"/>
    <w:rsid w:val="00EA6E87"/>
    <w:rsid w:val="00EB24AD"/>
    <w:rsid w:val="00EB7393"/>
    <w:rsid w:val="00EC15E9"/>
    <w:rsid w:val="00EC48A8"/>
    <w:rsid w:val="00EC654B"/>
    <w:rsid w:val="00EC6A4C"/>
    <w:rsid w:val="00EC7457"/>
    <w:rsid w:val="00ED0B8F"/>
    <w:rsid w:val="00ED237C"/>
    <w:rsid w:val="00ED334C"/>
    <w:rsid w:val="00ED3BB1"/>
    <w:rsid w:val="00ED76A8"/>
    <w:rsid w:val="00EE1A2F"/>
    <w:rsid w:val="00EE3F42"/>
    <w:rsid w:val="00EE5651"/>
    <w:rsid w:val="00EE79AB"/>
    <w:rsid w:val="00F011C3"/>
    <w:rsid w:val="00F059E2"/>
    <w:rsid w:val="00F10CFA"/>
    <w:rsid w:val="00F116B3"/>
    <w:rsid w:val="00F124BF"/>
    <w:rsid w:val="00F13551"/>
    <w:rsid w:val="00F14962"/>
    <w:rsid w:val="00F14A62"/>
    <w:rsid w:val="00F16CEB"/>
    <w:rsid w:val="00F20A81"/>
    <w:rsid w:val="00F2167F"/>
    <w:rsid w:val="00F33814"/>
    <w:rsid w:val="00F34CB1"/>
    <w:rsid w:val="00F34D77"/>
    <w:rsid w:val="00F3558C"/>
    <w:rsid w:val="00F37FEB"/>
    <w:rsid w:val="00F40077"/>
    <w:rsid w:val="00F415BA"/>
    <w:rsid w:val="00F41996"/>
    <w:rsid w:val="00F419FA"/>
    <w:rsid w:val="00F44B66"/>
    <w:rsid w:val="00F44B77"/>
    <w:rsid w:val="00F44F60"/>
    <w:rsid w:val="00F4507C"/>
    <w:rsid w:val="00F47F52"/>
    <w:rsid w:val="00F50EE0"/>
    <w:rsid w:val="00F53440"/>
    <w:rsid w:val="00F55C29"/>
    <w:rsid w:val="00F60499"/>
    <w:rsid w:val="00F638FD"/>
    <w:rsid w:val="00F6395B"/>
    <w:rsid w:val="00F63989"/>
    <w:rsid w:val="00F67EFE"/>
    <w:rsid w:val="00F7419B"/>
    <w:rsid w:val="00F74922"/>
    <w:rsid w:val="00F75489"/>
    <w:rsid w:val="00F75E06"/>
    <w:rsid w:val="00F761A2"/>
    <w:rsid w:val="00F81878"/>
    <w:rsid w:val="00F832B8"/>
    <w:rsid w:val="00F85278"/>
    <w:rsid w:val="00F87415"/>
    <w:rsid w:val="00F91DDC"/>
    <w:rsid w:val="00F9480E"/>
    <w:rsid w:val="00F96A50"/>
    <w:rsid w:val="00FA1794"/>
    <w:rsid w:val="00FA4009"/>
    <w:rsid w:val="00FA553A"/>
    <w:rsid w:val="00FA5957"/>
    <w:rsid w:val="00FA5F53"/>
    <w:rsid w:val="00FA7E65"/>
    <w:rsid w:val="00FB0BBB"/>
    <w:rsid w:val="00FB3C0B"/>
    <w:rsid w:val="00FB4232"/>
    <w:rsid w:val="00FB443F"/>
    <w:rsid w:val="00FB7481"/>
    <w:rsid w:val="00FC0435"/>
    <w:rsid w:val="00FC1ACF"/>
    <w:rsid w:val="00FC2B86"/>
    <w:rsid w:val="00FC2CEA"/>
    <w:rsid w:val="00FC5C09"/>
    <w:rsid w:val="00FD7AAE"/>
    <w:rsid w:val="00FE05A2"/>
    <w:rsid w:val="00FE1E1C"/>
    <w:rsid w:val="00FE2958"/>
    <w:rsid w:val="00FE2BB1"/>
    <w:rsid w:val="00FE2CCF"/>
    <w:rsid w:val="00FE3011"/>
    <w:rsid w:val="00FE315C"/>
    <w:rsid w:val="00FE3D58"/>
    <w:rsid w:val="00FE797A"/>
    <w:rsid w:val="00FF264A"/>
    <w:rsid w:val="00FF6207"/>
    <w:rsid w:val="00FF7B40"/>
    <w:rsid w:val="01179920"/>
    <w:rsid w:val="02322D3B"/>
    <w:rsid w:val="02761B54"/>
    <w:rsid w:val="0401557B"/>
    <w:rsid w:val="104E418D"/>
    <w:rsid w:val="1404FD5E"/>
    <w:rsid w:val="1B039750"/>
    <w:rsid w:val="1F5A77F7"/>
    <w:rsid w:val="33CECCA1"/>
    <w:rsid w:val="368CAEF8"/>
    <w:rsid w:val="38DFEEE5"/>
    <w:rsid w:val="39261621"/>
    <w:rsid w:val="3DA649DB"/>
    <w:rsid w:val="3E0D2EB0"/>
    <w:rsid w:val="40F018D3"/>
    <w:rsid w:val="4C2D1246"/>
    <w:rsid w:val="531019B3"/>
    <w:rsid w:val="5615B715"/>
    <w:rsid w:val="5BF1AE31"/>
    <w:rsid w:val="616F16C5"/>
    <w:rsid w:val="64D18348"/>
    <w:rsid w:val="66771551"/>
    <w:rsid w:val="6812E5B2"/>
    <w:rsid w:val="6FA835CB"/>
    <w:rsid w:val="713F09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E8483"/>
  <w15:chartTrackingRefBased/>
  <w15:docId w15:val="{F66D9D67-DD70-4FFA-85B3-1D5400F8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4A1A"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FE"/>
    <w:pPr>
      <w:spacing w:line="264" w:lineRule="auto"/>
      <w:ind w:left="0" w:firstLine="0"/>
    </w:pPr>
    <w:rPr>
      <w:rFonts w:ascii="Arial" w:hAnsi="Arial"/>
      <w:color w:val="auto"/>
      <w:sz w:val="20"/>
    </w:rPr>
  </w:style>
  <w:style w:type="paragraph" w:styleId="Heading1">
    <w:name w:val="heading 1"/>
    <w:basedOn w:val="Normal"/>
    <w:next w:val="Normal"/>
    <w:link w:val="Heading1Char"/>
    <w:uiPriority w:val="9"/>
    <w:qFormat/>
    <w:rsid w:val="0018207F"/>
    <w:pPr>
      <w:keepNext/>
      <w:keepLines/>
      <w:spacing w:after="440"/>
      <w:outlineLvl w:val="0"/>
    </w:pPr>
    <w:rPr>
      <w:rFonts w:eastAsiaTheme="majorEastAsia" w:cs="Times New Roman (Headings CS)"/>
      <w:b/>
      <w:color w:val="004A1A" w:themeColor="accent1"/>
      <w:sz w:val="32"/>
      <w:szCs w:val="32"/>
    </w:rPr>
  </w:style>
  <w:style w:type="paragraph" w:styleId="Heading2">
    <w:name w:val="heading 2"/>
    <w:basedOn w:val="Normal"/>
    <w:next w:val="Normal"/>
    <w:link w:val="Heading2Char"/>
    <w:uiPriority w:val="9"/>
    <w:unhideWhenUsed/>
    <w:qFormat/>
    <w:rsid w:val="009752E0"/>
    <w:pPr>
      <w:keepNext/>
      <w:keepLines/>
      <w:spacing w:before="320"/>
      <w:outlineLvl w:val="1"/>
    </w:pPr>
    <w:rPr>
      <w:rFonts w:eastAsiaTheme="majorEastAsia" w:cstheme="majorBidi"/>
      <w:b/>
      <w:color w:val="004A1A" w:themeColor="text2"/>
      <w:sz w:val="26"/>
    </w:rPr>
  </w:style>
  <w:style w:type="paragraph" w:styleId="Heading3">
    <w:name w:val="heading 3"/>
    <w:basedOn w:val="Normal"/>
    <w:next w:val="Normal"/>
    <w:link w:val="Heading3Char"/>
    <w:uiPriority w:val="9"/>
    <w:unhideWhenUsed/>
    <w:qFormat/>
    <w:rsid w:val="0018207F"/>
    <w:pPr>
      <w:keepNext/>
      <w:keepLines/>
      <w:outlineLvl w:val="2"/>
    </w:pPr>
    <w:rPr>
      <w:rFonts w:eastAsiaTheme="majorEastAsia" w:cstheme="majorBidi"/>
      <w:b/>
      <w:color w:val="004A1A" w:themeColor="accent1"/>
      <w:sz w:val="22"/>
      <w:szCs w:val="24"/>
    </w:rPr>
  </w:style>
  <w:style w:type="paragraph" w:styleId="Heading4">
    <w:name w:val="heading 4"/>
    <w:basedOn w:val="Normal"/>
    <w:next w:val="Normal"/>
    <w:link w:val="Heading4Char"/>
    <w:uiPriority w:val="9"/>
    <w:unhideWhenUsed/>
    <w:qFormat/>
    <w:rsid w:val="00EA365A"/>
    <w:pPr>
      <w:keepNext/>
      <w:keepLines/>
      <w:numPr>
        <w:ilvl w:val="3"/>
        <w:numId w:val="23"/>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23"/>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23"/>
      </w:numPr>
      <w:outlineLvl w:val="5"/>
    </w:pPr>
  </w:style>
  <w:style w:type="paragraph" w:styleId="Heading7">
    <w:name w:val="heading 7"/>
    <w:basedOn w:val="Heading3"/>
    <w:next w:val="Normal"/>
    <w:link w:val="Heading7Char"/>
    <w:uiPriority w:val="9"/>
    <w:unhideWhenUsed/>
    <w:qFormat/>
    <w:rsid w:val="00EA365A"/>
    <w:pPr>
      <w:numPr>
        <w:ilvl w:val="1"/>
        <w:numId w:val="23"/>
      </w:numPr>
      <w:outlineLvl w:val="6"/>
    </w:pPr>
    <w:rPr>
      <w:iCs/>
    </w:rPr>
  </w:style>
  <w:style w:type="paragraph" w:styleId="Heading8">
    <w:name w:val="heading 8"/>
    <w:basedOn w:val="Normal"/>
    <w:next w:val="Normal"/>
    <w:link w:val="Heading8Char"/>
    <w:uiPriority w:val="9"/>
    <w:unhideWhenUsed/>
    <w:qFormat/>
    <w:rsid w:val="00F50EE0"/>
    <w:pPr>
      <w:keepNext/>
      <w:keepLines/>
      <w:numPr>
        <w:ilvl w:val="7"/>
        <w:numId w:val="23"/>
      </w:numPr>
      <w:pBdr>
        <w:top w:val="single" w:sz="8" w:space="12" w:color="009547" w:themeColor="accent2"/>
      </w:pBdr>
      <w:spacing w:after="640"/>
      <w:outlineLvl w:val="7"/>
    </w:pPr>
    <w:rPr>
      <w:rFonts w:eastAsiaTheme="majorEastAsia" w:cstheme="majorBidi"/>
      <w:color w:val="004A1A" w:themeColor="accent1"/>
      <w:sz w:val="52"/>
      <w:szCs w:val="21"/>
    </w:rPr>
  </w:style>
  <w:style w:type="paragraph" w:styleId="Heading9">
    <w:name w:val="heading 9"/>
    <w:basedOn w:val="Heading3"/>
    <w:next w:val="Normal"/>
    <w:link w:val="Heading9Char"/>
    <w:uiPriority w:val="9"/>
    <w:unhideWhenUsed/>
    <w:qFormat/>
    <w:rsid w:val="00F50EE0"/>
    <w:pPr>
      <w:numPr>
        <w:ilvl w:val="8"/>
      </w:numPr>
      <w:pBdr>
        <w:top w:val="single" w:sz="24" w:space="3" w:color="009547" w:themeColor="accent2"/>
      </w:pBdr>
      <w:outlineLvl w:val="8"/>
    </w:pPr>
    <w:rPr>
      <w:iCs/>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A27491"/>
    <w:rPr>
      <w:rFonts w:asciiTheme="minorHAnsi" w:hAnsiTheme="minorHAnsi"/>
      <w:b/>
      <w:bCs/>
      <w:i/>
      <w:caps/>
      <w:smallCaps w:val="0"/>
      <w:color w:val="000000"/>
      <w:spacing w:val="5"/>
    </w:rPr>
  </w:style>
  <w:style w:type="character" w:customStyle="1" w:styleId="Heading1Char">
    <w:name w:val="Heading 1 Char"/>
    <w:basedOn w:val="DefaultParagraphFont"/>
    <w:link w:val="Heading1"/>
    <w:uiPriority w:val="9"/>
    <w:rsid w:val="0018207F"/>
    <w:rPr>
      <w:rFonts w:eastAsiaTheme="majorEastAsia" w:cs="Times New Roman (Headings CS)"/>
      <w:b/>
      <w:color w:val="004A1A" w:themeColor="accent1"/>
      <w:sz w:val="32"/>
      <w:szCs w:val="32"/>
    </w:rPr>
  </w:style>
  <w:style w:type="character" w:customStyle="1" w:styleId="Heading2Char">
    <w:name w:val="Heading 2 Char"/>
    <w:basedOn w:val="DefaultParagraphFont"/>
    <w:link w:val="Heading2"/>
    <w:uiPriority w:val="9"/>
    <w:rsid w:val="009752E0"/>
    <w:rPr>
      <w:rFonts w:ascii="Arial" w:eastAsiaTheme="majorEastAsia" w:hAnsi="Arial" w:cstheme="majorBidi"/>
      <w:b/>
    </w:rPr>
  </w:style>
  <w:style w:type="paragraph" w:styleId="Title">
    <w:name w:val="Title"/>
    <w:basedOn w:val="Normal"/>
    <w:link w:val="TitleChar"/>
    <w:uiPriority w:val="1"/>
    <w:qFormat/>
    <w:rsid w:val="000612CB"/>
    <w:pPr>
      <w:spacing w:after="640"/>
    </w:pPr>
    <w:rPr>
      <w:rFonts w:eastAsiaTheme="majorEastAsia" w:cs="Times New Roman (Headings CS)"/>
      <w:b/>
      <w:color w:val="004A1A" w:themeColor="accent1"/>
      <w:kern w:val="28"/>
      <w:sz w:val="40"/>
      <w:szCs w:val="56"/>
    </w:rPr>
  </w:style>
  <w:style w:type="character" w:customStyle="1" w:styleId="TitleChar">
    <w:name w:val="Title Char"/>
    <w:basedOn w:val="DefaultParagraphFont"/>
    <w:link w:val="Title"/>
    <w:uiPriority w:val="1"/>
    <w:rsid w:val="000612CB"/>
    <w:rPr>
      <w:rFonts w:eastAsiaTheme="majorEastAsia" w:cs="Times New Roman (Headings CS)"/>
      <w:b/>
      <w:color w:val="004A1A" w:themeColor="accent1"/>
      <w:kern w:val="28"/>
      <w:sz w:val="40"/>
      <w:szCs w:val="56"/>
    </w:rPr>
  </w:style>
  <w:style w:type="paragraph" w:styleId="Subtitle">
    <w:name w:val="Subtitle"/>
    <w:basedOn w:val="Normal"/>
    <w:link w:val="SubtitleChar"/>
    <w:uiPriority w:val="2"/>
    <w:qFormat/>
    <w:rsid w:val="000612CB"/>
    <w:pPr>
      <w:numPr>
        <w:ilvl w:val="1"/>
      </w:numPr>
    </w:pPr>
    <w:rPr>
      <w:color w:val="004A1A" w:themeColor="accent1"/>
      <w:sz w:val="28"/>
    </w:rPr>
  </w:style>
  <w:style w:type="character" w:customStyle="1" w:styleId="SubtitleChar">
    <w:name w:val="Subtitle Char"/>
    <w:basedOn w:val="DefaultParagraphFont"/>
    <w:link w:val="Subtitle"/>
    <w:uiPriority w:val="2"/>
    <w:rsid w:val="000612CB"/>
    <w:rPr>
      <w:rFonts w:eastAsiaTheme="minorEastAsia"/>
      <w:color w:val="004A1A" w:themeColor="accent1"/>
      <w:sz w:val="28"/>
    </w:rPr>
  </w:style>
  <w:style w:type="paragraph" w:styleId="Date">
    <w:name w:val="Date"/>
    <w:basedOn w:val="Normal"/>
    <w:next w:val="Heading1"/>
    <w:link w:val="DateChar"/>
    <w:uiPriority w:val="3"/>
    <w:qFormat/>
    <w:rsid w:val="000612CB"/>
    <w:rPr>
      <w:color w:val="004A1A" w:themeColor="accent1"/>
      <w:sz w:val="28"/>
    </w:rPr>
  </w:style>
  <w:style w:type="character" w:customStyle="1" w:styleId="DateChar">
    <w:name w:val="Date Char"/>
    <w:basedOn w:val="DefaultParagraphFont"/>
    <w:link w:val="Date"/>
    <w:uiPriority w:val="3"/>
    <w:rsid w:val="000612CB"/>
    <w:rPr>
      <w:color w:val="004A1A" w:themeColor="accen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9A5C77"/>
    <w:pPr>
      <w:spacing w:after="0" w:line="240" w:lineRule="auto"/>
    </w:p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0612CB"/>
    <w:pPr>
      <w:spacing w:after="200"/>
    </w:pPr>
    <w:rPr>
      <w:b/>
      <w:iCs/>
      <w:color w:val="004A1A" w:themeColor="accen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A27491"/>
    <w:rPr>
      <w:rFonts w:asciiTheme="minorHAnsi" w:hAnsiTheme="minorHAnsi"/>
      <w:b/>
      <w:iCs/>
      <w:caps/>
      <w:smallCaps w:val="0"/>
      <w:color w:val="000000"/>
    </w:rPr>
  </w:style>
  <w:style w:type="paragraph" w:styleId="IntenseQuote">
    <w:name w:val="Intense Quote"/>
    <w:basedOn w:val="Normal"/>
    <w:next w:val="Normal"/>
    <w:link w:val="IntenseQuoteChar"/>
    <w:uiPriority w:val="30"/>
    <w:unhideWhenUsed/>
    <w:qFormat/>
    <w:rsid w:val="0018207F"/>
    <w:pPr>
      <w:pBdr>
        <w:bottom w:val="single" w:sz="8" w:space="10" w:color="004A1A" w:themeColor="accent1"/>
      </w:pBdr>
      <w:spacing w:before="360" w:after="360"/>
    </w:pPr>
    <w:rPr>
      <w:i/>
      <w:iCs/>
      <w:color w:val="004A1A" w:themeColor="accent1"/>
      <w:sz w:val="28"/>
    </w:rPr>
  </w:style>
  <w:style w:type="character" w:customStyle="1" w:styleId="IntenseQuoteChar">
    <w:name w:val="Intense Quote Char"/>
    <w:basedOn w:val="DefaultParagraphFont"/>
    <w:link w:val="IntenseQuote"/>
    <w:uiPriority w:val="30"/>
    <w:rsid w:val="0018207F"/>
    <w:rPr>
      <w:i/>
      <w:iCs/>
      <w:color w:val="004A1A" w:themeColor="accen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18207F"/>
    <w:rPr>
      <w:i/>
      <w:iCs/>
      <w:color w:val="004A1A" w:themeColor="accent1"/>
      <w:sz w:val="28"/>
    </w:rPr>
  </w:style>
  <w:style w:type="character" w:customStyle="1" w:styleId="QuoteChar">
    <w:name w:val="Quote Char"/>
    <w:basedOn w:val="DefaultParagraphFont"/>
    <w:link w:val="Quote"/>
    <w:uiPriority w:val="29"/>
    <w:rsid w:val="0018207F"/>
    <w:rPr>
      <w:i/>
      <w:iCs/>
      <w:color w:val="004A1A" w:themeColor="accent1"/>
      <w:sz w:val="28"/>
    </w:rPr>
  </w:style>
  <w:style w:type="character" w:styleId="Strong">
    <w:name w:val="Strong"/>
    <w:basedOn w:val="DefaultParagraphFont"/>
    <w:uiPriority w:val="22"/>
    <w:semiHidden/>
    <w:unhideWhenUsed/>
    <w:qFormat/>
    <w:rsid w:val="00A27491"/>
    <w:rPr>
      <w:rFonts w:asciiTheme="minorHAnsi" w:hAnsiTheme="minorHAnsi"/>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A27491"/>
    <w:rPr>
      <w:rFonts w:asciiTheme="minorHAnsi" w:hAnsiTheme="minorHAnsi"/>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18207F"/>
    <w:rPr>
      <w:rFonts w:eastAsiaTheme="majorEastAsia" w:cstheme="majorBidi"/>
      <w:b/>
      <w:color w:val="004A1A" w:themeColor="accent1"/>
      <w:sz w:val="22"/>
      <w:szCs w:val="24"/>
    </w:rPr>
  </w:style>
  <w:style w:type="character" w:customStyle="1" w:styleId="Heading4Char">
    <w:name w:val="Heading 4 Char"/>
    <w:basedOn w:val="DefaultParagraphFont"/>
    <w:link w:val="Heading4"/>
    <w:uiPriority w:val="9"/>
    <w:rsid w:val="004D488A"/>
    <w:rPr>
      <w:rFonts w:ascii="Arial" w:eastAsiaTheme="majorEastAsia" w:hAnsi="Arial" w:cstheme="majorBidi"/>
      <w:b/>
      <w:iCs/>
      <w:color w:val="auto"/>
      <w:sz w:val="20"/>
    </w:rPr>
  </w:style>
  <w:style w:type="character" w:customStyle="1" w:styleId="Heading5Char">
    <w:name w:val="Heading 5 Char"/>
    <w:basedOn w:val="DefaultParagraphFont"/>
    <w:link w:val="Heading5"/>
    <w:uiPriority w:val="9"/>
    <w:rsid w:val="004D488A"/>
    <w:rPr>
      <w:rFonts w:ascii="Arial" w:eastAsiaTheme="majorEastAsia" w:hAnsi="Arial" w:cstheme="majorBidi"/>
      <w:b/>
      <w:i/>
      <w:color w:val="auto"/>
      <w:sz w:val="20"/>
    </w:rPr>
  </w:style>
  <w:style w:type="character" w:customStyle="1" w:styleId="Heading6Char">
    <w:name w:val="Heading 6 Char"/>
    <w:basedOn w:val="DefaultParagraphFont"/>
    <w:link w:val="Heading6"/>
    <w:uiPriority w:val="9"/>
    <w:rsid w:val="00A71223"/>
    <w:rPr>
      <w:rFonts w:ascii="Arial" w:eastAsiaTheme="majorEastAsia" w:hAnsi="Arial" w:cstheme="majorBidi"/>
      <w:b/>
    </w:rPr>
  </w:style>
  <w:style w:type="character" w:customStyle="1" w:styleId="Heading7Char">
    <w:name w:val="Heading 7 Char"/>
    <w:basedOn w:val="DefaultParagraphFont"/>
    <w:link w:val="Heading7"/>
    <w:uiPriority w:val="9"/>
    <w:rsid w:val="00A71223"/>
    <w:rPr>
      <w:rFonts w:ascii="Arial" w:eastAsiaTheme="majorEastAsia" w:hAnsi="Arial" w:cstheme="majorBidi"/>
      <w:b/>
      <w:iCs/>
      <w:color w:val="004A1A" w:themeColor="accent1"/>
      <w:sz w:val="22"/>
      <w:szCs w:val="24"/>
    </w:rPr>
  </w:style>
  <w:style w:type="character" w:customStyle="1" w:styleId="Heading8Char">
    <w:name w:val="Heading 8 Char"/>
    <w:basedOn w:val="DefaultParagraphFont"/>
    <w:link w:val="Heading8"/>
    <w:uiPriority w:val="9"/>
    <w:rsid w:val="00F50EE0"/>
    <w:rPr>
      <w:rFonts w:ascii="Arial" w:eastAsiaTheme="majorEastAsia" w:hAnsi="Arial" w:cstheme="majorBidi"/>
      <w:color w:val="004A1A" w:themeColor="accent1"/>
      <w:sz w:val="52"/>
      <w:szCs w:val="21"/>
    </w:rPr>
  </w:style>
  <w:style w:type="character" w:customStyle="1" w:styleId="Heading9Char">
    <w:name w:val="Heading 9 Char"/>
    <w:basedOn w:val="DefaultParagraphFont"/>
    <w:link w:val="Heading9"/>
    <w:uiPriority w:val="9"/>
    <w:rsid w:val="00F50EE0"/>
    <w:rPr>
      <w:rFonts w:ascii="Arial" w:eastAsiaTheme="majorEastAsia" w:hAnsi="Arial" w:cstheme="majorBidi"/>
      <w:b/>
      <w:iCs/>
      <w:color w:val="000000" w:themeColor="text1"/>
      <w:sz w:val="22"/>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9D2CD4"/>
    <w:pPr>
      <w:numPr>
        <w:numId w:val="2"/>
      </w:numPr>
      <w:tabs>
        <w:tab w:val="clear" w:pos="643"/>
      </w:tabs>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semiHidden/>
    <w:unhideWhenUsed/>
    <w:rsid w:val="00C655FA"/>
    <w:pPr>
      <w:ind w:left="1077"/>
    </w:pPr>
  </w:style>
  <w:style w:type="paragraph" w:styleId="ListContinue4">
    <w:name w:val="List Continue 4"/>
    <w:basedOn w:val="Normal"/>
    <w:uiPriority w:val="99"/>
    <w:semiHidden/>
    <w:unhideWhenUsed/>
    <w:rsid w:val="00C655FA"/>
    <w:pPr>
      <w:ind w:left="1440"/>
    </w:pPr>
  </w:style>
  <w:style w:type="paragraph" w:styleId="ListContinue5">
    <w:name w:val="List Continue 5"/>
    <w:basedOn w:val="Normal"/>
    <w:uiPriority w:val="99"/>
    <w:semiHidden/>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unhideWhenUsed/>
    <w:rsid w:val="003C3332"/>
    <w:rPr>
      <w:rFonts w:cs="Times New Roman"/>
      <w:sz w:val="24"/>
      <w:szCs w:val="24"/>
    </w:rPr>
  </w:style>
  <w:style w:type="character" w:styleId="PageNumber">
    <w:name w:val="page number"/>
    <w:basedOn w:val="DefaultParagraphFont"/>
    <w:uiPriority w:val="99"/>
    <w:semiHidden/>
    <w:unhideWhenUsed/>
    <w:rsid w:val="00EE5651"/>
    <w:rPr>
      <w:rFonts w:ascii="Calibri" w:hAnsi="Calibri"/>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0612CB"/>
    <w:rPr>
      <w:rFonts w:ascii="Calibri" w:hAnsi="Calibri"/>
      <w:color w:val="004A1A" w:themeColor="accen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0612CB"/>
    <w:rPr>
      <w:rFonts w:asciiTheme="minorHAnsi" w:hAnsiTheme="minorHAnsi"/>
      <w:color w:val="004A1A" w:themeColor="accen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0612CB"/>
    <w:rPr>
      <w:rFonts w:asciiTheme="minorHAnsi" w:hAnsiTheme="minorHAnsi"/>
      <w:color w:val="004A1A" w:themeColor="accen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18207F"/>
    <w:pPr>
      <w:pBdr>
        <w:top w:val="single" w:sz="2" w:space="10" w:color="004A1A" w:themeColor="accent1"/>
        <w:left w:val="single" w:sz="2" w:space="10" w:color="004A1A" w:themeColor="accent1"/>
        <w:bottom w:val="single" w:sz="2" w:space="10" w:color="004A1A" w:themeColor="accent1"/>
        <w:right w:val="single" w:sz="2" w:space="30" w:color="004A1A" w:themeColor="accent1"/>
      </w:pBdr>
      <w:ind w:left="255" w:right="567"/>
    </w:pPr>
    <w:rPr>
      <w:i/>
      <w:iCs/>
      <w:color w:val="004A1A" w:themeColor="accen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346F8B"/>
    <w:rPr>
      <w:b/>
      <w:color w:val="004A1A" w:themeColor="accen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65046F"/>
    <w:pPr>
      <w:tabs>
        <w:tab w:val="right" w:leader="dot" w:pos="9061"/>
      </w:tabs>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19"/>
      </w:numPr>
    </w:pPr>
  </w:style>
  <w:style w:type="table" w:customStyle="1" w:styleId="TableGrid-Header">
    <w:name w:val="Table Grid - Header"/>
    <w:basedOn w:val="TableNormal"/>
    <w:uiPriority w:val="99"/>
    <w:rsid w:val="009A5C77"/>
    <w:pPr>
      <w:spacing w:after="0" w:line="240" w:lineRule="auto"/>
      <w:ind w:left="0" w:firstLine="0"/>
    </w:pPr>
    <w:rPr>
      <w:color w:val="auto"/>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FEFEF"/>
      </w:tcPr>
    </w:tblStylePr>
  </w:style>
  <w:style w:type="table" w:customStyle="1" w:styleId="TableGrid-Header2">
    <w:name w:val="Table Grid - Header 2"/>
    <w:basedOn w:val="TableGrid-Header"/>
    <w:uiPriority w:val="99"/>
    <w:rsid w:val="009577A3"/>
    <w:tblPr/>
    <w:tblStylePr w:type="firstRow">
      <w:rPr>
        <w:b/>
      </w:rPr>
      <w:tblPr/>
      <w:tcPr>
        <w:tcBorders>
          <w:top w:val="single" w:sz="24" w:space="0" w:color="009547" w:themeColor="accent2"/>
        </w:tcBorders>
        <w:shd w:val="clear" w:color="auto" w:fill="EFEFEF"/>
      </w:tcPr>
    </w:tblStylePr>
  </w:style>
  <w:style w:type="numbering" w:customStyle="1" w:styleId="ListBullets">
    <w:name w:val="ListBullets"/>
    <w:uiPriority w:val="99"/>
    <w:rsid w:val="00624526"/>
    <w:pPr>
      <w:numPr>
        <w:numId w:val="21"/>
      </w:numPr>
    </w:pPr>
  </w:style>
  <w:style w:type="numbering" w:customStyle="1" w:styleId="ListNumbers">
    <w:name w:val="ListNumbers"/>
    <w:uiPriority w:val="99"/>
    <w:rsid w:val="00624526"/>
    <w:pPr>
      <w:numPr>
        <w:numId w:val="20"/>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22"/>
      </w:numPr>
    </w:pPr>
    <w:rPr>
      <w:szCs w:val="24"/>
      <w:lang w:eastAsia="en-US"/>
    </w:rPr>
  </w:style>
  <w:style w:type="table" w:styleId="TableGridLight">
    <w:name w:val="Grid Table Light"/>
    <w:basedOn w:val="TableNormal"/>
    <w:uiPriority w:val="40"/>
    <w:rsid w:val="00FB7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rsid w:val="00757FDA"/>
    <w:pPr>
      <w:spacing w:line="240" w:lineRule="auto"/>
    </w:pPr>
    <w:rPr>
      <w:szCs w:val="20"/>
    </w:rPr>
  </w:style>
  <w:style w:type="character" w:customStyle="1" w:styleId="CommentTextChar">
    <w:name w:val="Comment Text Char"/>
    <w:basedOn w:val="DefaultParagraphFont"/>
    <w:link w:val="CommentText"/>
    <w:uiPriority w:val="99"/>
    <w:rsid w:val="00757FDA"/>
    <w:rPr>
      <w:color w:val="auto"/>
      <w:sz w:val="20"/>
      <w:szCs w:val="20"/>
    </w:rPr>
  </w:style>
  <w:style w:type="paragraph" w:styleId="CommentSubject">
    <w:name w:val="annotation subject"/>
    <w:basedOn w:val="CommentText"/>
    <w:next w:val="CommentText"/>
    <w:link w:val="CommentSubjectChar"/>
    <w:uiPriority w:val="99"/>
    <w:semiHidden/>
    <w:unhideWhenUsed/>
    <w:rsid w:val="00757FDA"/>
    <w:rPr>
      <w:b/>
      <w:bCs/>
    </w:rPr>
  </w:style>
  <w:style w:type="character" w:customStyle="1" w:styleId="CommentSubjectChar">
    <w:name w:val="Comment Subject Char"/>
    <w:basedOn w:val="CommentTextChar"/>
    <w:link w:val="CommentSubject"/>
    <w:uiPriority w:val="99"/>
    <w:semiHidden/>
    <w:rsid w:val="00757FDA"/>
    <w:rPr>
      <w:b/>
      <w:bCs/>
      <w:color w:val="auto"/>
      <w:sz w:val="20"/>
      <w:szCs w:val="20"/>
    </w:rPr>
  </w:style>
  <w:style w:type="paragraph" w:styleId="Revision">
    <w:name w:val="Revision"/>
    <w:hidden/>
    <w:uiPriority w:val="99"/>
    <w:semiHidden/>
    <w:rsid w:val="00B05B84"/>
    <w:pPr>
      <w:spacing w:after="0" w:line="240" w:lineRule="auto"/>
      <w:ind w:left="0" w:firstLine="0"/>
    </w:pPr>
    <w:rPr>
      <w:color w:val="auto"/>
      <w:sz w:val="20"/>
    </w:rPr>
  </w:style>
  <w:style w:type="paragraph" w:customStyle="1" w:styleId="Default">
    <w:name w:val="Default"/>
    <w:rsid w:val="0002058E"/>
    <w:pPr>
      <w:autoSpaceDE w:val="0"/>
      <w:autoSpaceDN w:val="0"/>
      <w:adjustRightInd w:val="0"/>
      <w:spacing w:after="0" w:line="240" w:lineRule="auto"/>
      <w:ind w:left="0" w:firstLine="0"/>
    </w:pPr>
    <w:rPr>
      <w:rFonts w:ascii="Arial" w:hAnsi="Arial" w:cs="Arial"/>
      <w:color w:val="000000"/>
      <w:sz w:val="24"/>
      <w:szCs w:val="24"/>
      <w:lang w:val="en-AU"/>
    </w:rPr>
  </w:style>
  <w:style w:type="paragraph" w:customStyle="1" w:styleId="paragraph">
    <w:name w:val="paragraph"/>
    <w:basedOn w:val="Normal"/>
    <w:rsid w:val="006466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6466B8"/>
  </w:style>
  <w:style w:type="character" w:customStyle="1" w:styleId="eop">
    <w:name w:val="eop"/>
    <w:basedOn w:val="DefaultParagraphFont"/>
    <w:rsid w:val="006466B8"/>
  </w:style>
  <w:style w:type="paragraph" w:customStyle="1" w:styleId="au-introduction">
    <w:name w:val="au-introduction"/>
    <w:basedOn w:val="Normal"/>
    <w:rsid w:val="00D77CD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A22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0478">
      <w:bodyDiv w:val="1"/>
      <w:marLeft w:val="0"/>
      <w:marRight w:val="0"/>
      <w:marTop w:val="0"/>
      <w:marBottom w:val="0"/>
      <w:divBdr>
        <w:top w:val="none" w:sz="0" w:space="0" w:color="auto"/>
        <w:left w:val="none" w:sz="0" w:space="0" w:color="auto"/>
        <w:bottom w:val="none" w:sz="0" w:space="0" w:color="auto"/>
        <w:right w:val="none" w:sz="0" w:space="0" w:color="auto"/>
      </w:divBdr>
    </w:div>
    <w:div w:id="57897863">
      <w:bodyDiv w:val="1"/>
      <w:marLeft w:val="0"/>
      <w:marRight w:val="0"/>
      <w:marTop w:val="0"/>
      <w:marBottom w:val="0"/>
      <w:divBdr>
        <w:top w:val="none" w:sz="0" w:space="0" w:color="auto"/>
        <w:left w:val="none" w:sz="0" w:space="0" w:color="auto"/>
        <w:bottom w:val="none" w:sz="0" w:space="0" w:color="auto"/>
        <w:right w:val="none" w:sz="0" w:space="0" w:color="auto"/>
      </w:divBdr>
      <w:divsChild>
        <w:div w:id="229586289">
          <w:marLeft w:val="0"/>
          <w:marRight w:val="0"/>
          <w:marTop w:val="0"/>
          <w:marBottom w:val="0"/>
          <w:divBdr>
            <w:top w:val="none" w:sz="0" w:space="0" w:color="auto"/>
            <w:left w:val="none" w:sz="0" w:space="0" w:color="auto"/>
            <w:bottom w:val="none" w:sz="0" w:space="0" w:color="auto"/>
            <w:right w:val="none" w:sz="0" w:space="0" w:color="auto"/>
          </w:divBdr>
        </w:div>
        <w:div w:id="496461981">
          <w:marLeft w:val="0"/>
          <w:marRight w:val="0"/>
          <w:marTop w:val="0"/>
          <w:marBottom w:val="0"/>
          <w:divBdr>
            <w:top w:val="none" w:sz="0" w:space="0" w:color="auto"/>
            <w:left w:val="none" w:sz="0" w:space="0" w:color="auto"/>
            <w:bottom w:val="none" w:sz="0" w:space="0" w:color="auto"/>
            <w:right w:val="none" w:sz="0" w:space="0" w:color="auto"/>
          </w:divBdr>
        </w:div>
        <w:div w:id="1183282701">
          <w:marLeft w:val="0"/>
          <w:marRight w:val="0"/>
          <w:marTop w:val="0"/>
          <w:marBottom w:val="0"/>
          <w:divBdr>
            <w:top w:val="none" w:sz="0" w:space="0" w:color="auto"/>
            <w:left w:val="none" w:sz="0" w:space="0" w:color="auto"/>
            <w:bottom w:val="none" w:sz="0" w:space="0" w:color="auto"/>
            <w:right w:val="none" w:sz="0" w:space="0" w:color="auto"/>
          </w:divBdr>
        </w:div>
        <w:div w:id="1204439349">
          <w:marLeft w:val="0"/>
          <w:marRight w:val="0"/>
          <w:marTop w:val="0"/>
          <w:marBottom w:val="0"/>
          <w:divBdr>
            <w:top w:val="none" w:sz="0" w:space="0" w:color="auto"/>
            <w:left w:val="none" w:sz="0" w:space="0" w:color="auto"/>
            <w:bottom w:val="none" w:sz="0" w:space="0" w:color="auto"/>
            <w:right w:val="none" w:sz="0" w:space="0" w:color="auto"/>
          </w:divBdr>
        </w:div>
      </w:divsChild>
    </w:div>
    <w:div w:id="64375973">
      <w:bodyDiv w:val="1"/>
      <w:marLeft w:val="0"/>
      <w:marRight w:val="0"/>
      <w:marTop w:val="0"/>
      <w:marBottom w:val="0"/>
      <w:divBdr>
        <w:top w:val="none" w:sz="0" w:space="0" w:color="auto"/>
        <w:left w:val="none" w:sz="0" w:space="0" w:color="auto"/>
        <w:bottom w:val="none" w:sz="0" w:space="0" w:color="auto"/>
        <w:right w:val="none" w:sz="0" w:space="0" w:color="auto"/>
      </w:divBdr>
    </w:div>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407384861">
      <w:bodyDiv w:val="1"/>
      <w:marLeft w:val="0"/>
      <w:marRight w:val="0"/>
      <w:marTop w:val="0"/>
      <w:marBottom w:val="0"/>
      <w:divBdr>
        <w:top w:val="none" w:sz="0" w:space="0" w:color="auto"/>
        <w:left w:val="none" w:sz="0" w:space="0" w:color="auto"/>
        <w:bottom w:val="none" w:sz="0" w:space="0" w:color="auto"/>
        <w:right w:val="none" w:sz="0" w:space="0" w:color="auto"/>
      </w:divBdr>
    </w:div>
    <w:div w:id="807362795">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 w:id="1136529806">
      <w:bodyDiv w:val="1"/>
      <w:marLeft w:val="0"/>
      <w:marRight w:val="0"/>
      <w:marTop w:val="0"/>
      <w:marBottom w:val="0"/>
      <w:divBdr>
        <w:top w:val="none" w:sz="0" w:space="0" w:color="auto"/>
        <w:left w:val="none" w:sz="0" w:space="0" w:color="auto"/>
        <w:bottom w:val="none" w:sz="0" w:space="0" w:color="auto"/>
        <w:right w:val="none" w:sz="0" w:space="0" w:color="auto"/>
      </w:divBdr>
    </w:div>
    <w:div w:id="1285386646">
      <w:bodyDiv w:val="1"/>
      <w:marLeft w:val="0"/>
      <w:marRight w:val="0"/>
      <w:marTop w:val="0"/>
      <w:marBottom w:val="0"/>
      <w:divBdr>
        <w:top w:val="none" w:sz="0" w:space="0" w:color="auto"/>
        <w:left w:val="none" w:sz="0" w:space="0" w:color="auto"/>
        <w:bottom w:val="none" w:sz="0" w:space="0" w:color="auto"/>
        <w:right w:val="none" w:sz="0" w:space="0" w:color="auto"/>
      </w:divBdr>
    </w:div>
    <w:div w:id="1375961065">
      <w:bodyDiv w:val="1"/>
      <w:marLeft w:val="0"/>
      <w:marRight w:val="0"/>
      <w:marTop w:val="0"/>
      <w:marBottom w:val="0"/>
      <w:divBdr>
        <w:top w:val="none" w:sz="0" w:space="0" w:color="auto"/>
        <w:left w:val="none" w:sz="0" w:space="0" w:color="auto"/>
        <w:bottom w:val="none" w:sz="0" w:space="0" w:color="auto"/>
        <w:right w:val="none" w:sz="0" w:space="0" w:color="auto"/>
      </w:divBdr>
    </w:div>
    <w:div w:id="1426998152">
      <w:bodyDiv w:val="1"/>
      <w:marLeft w:val="0"/>
      <w:marRight w:val="0"/>
      <w:marTop w:val="0"/>
      <w:marBottom w:val="0"/>
      <w:divBdr>
        <w:top w:val="none" w:sz="0" w:space="0" w:color="auto"/>
        <w:left w:val="none" w:sz="0" w:space="0" w:color="auto"/>
        <w:bottom w:val="none" w:sz="0" w:space="0" w:color="auto"/>
        <w:right w:val="none" w:sz="0" w:space="0" w:color="auto"/>
      </w:divBdr>
      <w:divsChild>
        <w:div w:id="92939359">
          <w:marLeft w:val="0"/>
          <w:marRight w:val="0"/>
          <w:marTop w:val="0"/>
          <w:marBottom w:val="0"/>
          <w:divBdr>
            <w:top w:val="none" w:sz="0" w:space="0" w:color="auto"/>
            <w:left w:val="none" w:sz="0" w:space="0" w:color="auto"/>
            <w:bottom w:val="none" w:sz="0" w:space="0" w:color="auto"/>
            <w:right w:val="none" w:sz="0" w:space="0" w:color="auto"/>
          </w:divBdr>
          <w:divsChild>
            <w:div w:id="1159418425">
              <w:marLeft w:val="0"/>
              <w:marRight w:val="0"/>
              <w:marTop w:val="0"/>
              <w:marBottom w:val="150"/>
              <w:divBdr>
                <w:top w:val="none" w:sz="0" w:space="0" w:color="auto"/>
                <w:left w:val="none" w:sz="0" w:space="0" w:color="auto"/>
                <w:bottom w:val="none" w:sz="0" w:space="0" w:color="auto"/>
                <w:right w:val="none" w:sz="0" w:space="0" w:color="auto"/>
              </w:divBdr>
            </w:div>
          </w:divsChild>
        </w:div>
        <w:div w:id="2136948833">
          <w:marLeft w:val="0"/>
          <w:marRight w:val="0"/>
          <w:marTop w:val="0"/>
          <w:marBottom w:val="0"/>
          <w:divBdr>
            <w:top w:val="none" w:sz="0" w:space="0" w:color="auto"/>
            <w:left w:val="none" w:sz="0" w:space="0" w:color="auto"/>
            <w:bottom w:val="none" w:sz="0" w:space="0" w:color="auto"/>
            <w:right w:val="none" w:sz="0" w:space="0" w:color="auto"/>
          </w:divBdr>
          <w:divsChild>
            <w:div w:id="14857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494">
      <w:bodyDiv w:val="1"/>
      <w:marLeft w:val="0"/>
      <w:marRight w:val="0"/>
      <w:marTop w:val="0"/>
      <w:marBottom w:val="0"/>
      <w:divBdr>
        <w:top w:val="none" w:sz="0" w:space="0" w:color="auto"/>
        <w:left w:val="none" w:sz="0" w:space="0" w:color="auto"/>
        <w:bottom w:val="none" w:sz="0" w:space="0" w:color="auto"/>
        <w:right w:val="none" w:sz="0" w:space="0" w:color="auto"/>
      </w:divBdr>
    </w:div>
    <w:div w:id="1819960581">
      <w:bodyDiv w:val="1"/>
      <w:marLeft w:val="0"/>
      <w:marRight w:val="0"/>
      <w:marTop w:val="0"/>
      <w:marBottom w:val="0"/>
      <w:divBdr>
        <w:top w:val="none" w:sz="0" w:space="0" w:color="auto"/>
        <w:left w:val="none" w:sz="0" w:space="0" w:color="auto"/>
        <w:bottom w:val="none" w:sz="0" w:space="0" w:color="auto"/>
        <w:right w:val="none" w:sz="0" w:space="0" w:color="auto"/>
      </w:divBdr>
    </w:div>
    <w:div w:id="20265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60dayscripts.com.au/" TargetMode="External"/><Relationship Id="rId26" Type="http://schemas.openxmlformats.org/officeDocument/2006/relationships/hyperlink" Target="https://www.pbs.gov.au/info/general/faq" TargetMode="Externa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health.gov.au/cheaper-medicines/60-day-dispensing-pbs-medicines-and-current-item-codes" TargetMode="External"/><Relationship Id="rId34" Type="http://schemas.openxmlformats.org/officeDocument/2006/relationships/hyperlink" Target="https://www.health.gov.au/cheaper-medicines/resources/publications/60-day-prescriptions-poster-general-practice-gp-clinics?language=en" TargetMode="External"/><Relationship Id="rId42" Type="http://schemas.openxmlformats.org/officeDocument/2006/relationships/hyperlink" Target="https://www.health.gov.au/cheaper-medicines/resources/publications/60-day-prescriptions-poster-first-nations?language=en"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cheaper-medicines" TargetMode="External"/><Relationship Id="rId25" Type="http://schemas.openxmlformats.org/officeDocument/2006/relationships/hyperlink" Target="https://www.pbs.gov.au/info/industry/pricing/medicines-supply-security-guarantee" TargetMode="External"/><Relationship Id="rId33" Type="http://schemas.openxmlformats.org/officeDocument/2006/relationships/image" Target="media/image2.png"/><Relationship Id="rId38" Type="http://schemas.openxmlformats.org/officeDocument/2006/relationships/hyperlink" Target="https://www.health.gov.au/cheaper-medicines/resources?language=e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bs.gov.au/industry/listing/elements/pbac-meetings/pbac-outcomes/2022-12/Increased-Dispensing-Quantities-List-of-Medicines.pdf" TargetMode="External"/><Relationship Id="rId20" Type="http://schemas.openxmlformats.org/officeDocument/2006/relationships/hyperlink" Target="mailto:MDQ@health.gov.au" TargetMode="External"/><Relationship Id="rId29" Type="http://schemas.openxmlformats.org/officeDocument/2006/relationships/hyperlink" Target="https://www.health.gov.au/cheaper-medicines/translated-resources"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pps.tga.gov.au/prod/MSI/search/" TargetMode="External"/><Relationship Id="rId32" Type="http://schemas.openxmlformats.org/officeDocument/2006/relationships/hyperlink" Target="https://www.health.gov.au/cheaper-medicines/resources/publications/60-day-prescriptions-patient-frequently-asked-questions?language=en" TargetMode="External"/><Relationship Id="rId37" Type="http://schemas.openxmlformats.org/officeDocument/2006/relationships/image" Target="media/image4.png"/><Relationship Id="rId40" Type="http://schemas.openxmlformats.org/officeDocument/2006/relationships/hyperlink" Target="https://www.health.gov.au/cheaper-medicines/resources?language=en"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alth.gov.au/cheaper-medicines/60-day-dispensing-pbs-medicines-and-current-item-codes" TargetMode="External"/><Relationship Id="rId23" Type="http://schemas.openxmlformats.org/officeDocument/2006/relationships/hyperlink" Target="https://www.pbs.gov.au/industry/listing/elements/pbac-meetings/pbac-outcomes/2022-12/december-2022-pbac-web-outcomes-other-matters.pdf" TargetMode="External"/><Relationship Id="rId28" Type="http://schemas.openxmlformats.org/officeDocument/2006/relationships/hyperlink" Target="https://www.health.gov.au/cheaper-medicines/resources" TargetMode="External"/><Relationship Id="rId36" Type="http://schemas.openxmlformats.org/officeDocument/2006/relationships/hyperlink" Target="https://www.health.gov.au/cheaper-medicines/resources/publications/60-day-prescriptions-postcard?language=en" TargetMode="External"/><Relationship Id="rId10" Type="http://schemas.openxmlformats.org/officeDocument/2006/relationships/endnotes" Target="endnotes.xml"/><Relationship Id="rId19" Type="http://schemas.openxmlformats.org/officeDocument/2006/relationships/hyperlink" Target="https://apps.tga.gov.au/prod/MSI/search/" TargetMode="External"/><Relationship Id="rId31" Type="http://schemas.openxmlformats.org/officeDocument/2006/relationships/hyperlink" Target="mailto:healthcare.comms@health.gov.au"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cheaper-medicines" TargetMode="External"/><Relationship Id="rId22" Type="http://schemas.openxmlformats.org/officeDocument/2006/relationships/hyperlink" Target="https://www.servicesaustralia.gov.au/organisations/health-professionals/services/medicare/pbs-prescribers/managing/pbs-authorities" TargetMode="External"/><Relationship Id="rId27" Type="http://schemas.openxmlformats.org/officeDocument/2006/relationships/hyperlink" Target="https://www.racgp.org.au/getmedia/253e5471-a300-42e2-885a-549288dea9eb/60-day-prescribing-open-letter-FINAL.pdf.aspx" TargetMode="External"/><Relationship Id="rId30" Type="http://schemas.openxmlformats.org/officeDocument/2006/relationships/hyperlink" Target="http://www.health.gov.au/cheaper-medicines/first-nations" TargetMode="External"/><Relationship Id="rId35" Type="http://schemas.openxmlformats.org/officeDocument/2006/relationships/image" Target="media/image3.png"/><Relationship Id="rId43"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BS">
  <a:themeElements>
    <a:clrScheme name="PBS">
      <a:dk1>
        <a:srgbClr val="000000"/>
      </a:dk1>
      <a:lt1>
        <a:srgbClr val="FFFFFF"/>
      </a:lt1>
      <a:dk2>
        <a:srgbClr val="004A1A"/>
      </a:dk2>
      <a:lt2>
        <a:srgbClr val="F7E3CA"/>
      </a:lt2>
      <a:accent1>
        <a:srgbClr val="004A1A"/>
      </a:accent1>
      <a:accent2>
        <a:srgbClr val="009547"/>
      </a:accent2>
      <a:accent3>
        <a:srgbClr val="FFC327"/>
      </a:accent3>
      <a:accent4>
        <a:srgbClr val="F7E3C9"/>
      </a:accent4>
      <a:accent5>
        <a:srgbClr val="C1E4D2"/>
      </a:accent5>
      <a:accent6>
        <a:srgbClr val="164584"/>
      </a:accent6>
      <a:hlink>
        <a:srgbClr val="004A1A"/>
      </a:hlink>
      <a:folHlink>
        <a:srgbClr val="004A1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BS" id="{F4647379-0F8A-5448-924F-86105F4D10FC}" vid="{6A92AF6C-F9E2-514E-9FF6-FDA60AAF33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b8d296df-c91f-46ec-882c-a5f320b081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A8958-C1C2-43DB-A397-A83BB3171C16}">
  <ds:schemaRefs>
    <ds:schemaRef ds:uri="http://schemas.microsoft.com/sharepoint/v3/contenttype/forms"/>
  </ds:schemaRefs>
</ds:datastoreItem>
</file>

<file path=customXml/itemProps2.xml><?xml version="1.0" encoding="utf-8"?>
<ds:datastoreItem xmlns:ds="http://schemas.openxmlformats.org/officeDocument/2006/customXml" ds:itemID="{A2EB52A1-AD81-4728-947A-11EDED243D16}">
  <ds:schemaRefs>
    <ds:schemaRef ds:uri="b8d296df-c91f-46ec-882c-a5f320b081a8"/>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45EB53C-CC8D-4ADE-9702-139B5AEC2773}">
  <ds:schemaRefs>
    <ds:schemaRef ds:uri="http://schemas.openxmlformats.org/officeDocument/2006/bibliography"/>
  </ds:schemaRefs>
</ds:datastoreItem>
</file>

<file path=customXml/itemProps4.xml><?xml version="1.0" encoding="utf-8"?>
<ds:datastoreItem xmlns:ds="http://schemas.openxmlformats.org/officeDocument/2006/customXml" ds:itemID="{33BE0E6D-49B2-42F2-97B2-3E66FBB0B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2872</Words>
  <Characters>15911</Characters>
  <Application>Microsoft Office Word</Application>
  <DocSecurity>0</DocSecurity>
  <Lines>378</Lines>
  <Paragraphs>229</Paragraphs>
  <ScaleCrop>false</ScaleCrop>
  <HeadingPairs>
    <vt:vector size="2" baseType="variant">
      <vt:variant>
        <vt:lpstr>Title</vt:lpstr>
      </vt:variant>
      <vt:variant>
        <vt:i4>1</vt:i4>
      </vt:variant>
    </vt:vector>
  </HeadingPairs>
  <TitlesOfParts>
    <vt:vector size="1" baseType="lpstr">
      <vt:lpstr>60-day prescriptions – Stage 3 – Information kit for prescribers</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60-day prescriptions – Stage 3 – Information kit for prescribers</dc:title>
  <dc:subject>Cheaper medicines</dc:subject>
  <dc:creator>Australian Government Department of Health and Aged Care</dc:creator>
  <cp:keywords>Medicare; Medicines</cp:keywords>
  <dc:description/>
  <cp:revision>5</cp:revision>
  <cp:lastPrinted>2024-04-12T04:03:00Z</cp:lastPrinted>
  <dcterms:created xsi:type="dcterms:W3CDTF">2024-11-19T05:48:00Z</dcterms:created>
  <dcterms:modified xsi:type="dcterms:W3CDTF">2024-11-19T05:52:00Z</dcterms:modified>
</cp:coreProperties>
</file>