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32B95" w14:textId="627A886B" w:rsidR="001172BA" w:rsidRDefault="00365A89" w:rsidP="00A6547B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43FF91" wp14:editId="50C9D4C2">
            <wp:simplePos x="0" y="0"/>
            <wp:positionH relativeFrom="column">
              <wp:posOffset>-644748</wp:posOffset>
            </wp:positionH>
            <wp:positionV relativeFrom="paragraph">
              <wp:posOffset>-3391535</wp:posOffset>
            </wp:positionV>
            <wp:extent cx="7636510" cy="3364865"/>
            <wp:effectExtent l="0" t="0" r="2540" b="698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14"/>
                    <a:stretch/>
                  </pic:blipFill>
                  <pic:spPr bwMode="auto">
                    <a:xfrm>
                      <a:off x="0" y="0"/>
                      <a:ext cx="7636510" cy="3364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B91">
        <w:rPr>
          <w:noProof/>
        </w:rPr>
        <w:drawing>
          <wp:anchor distT="0" distB="0" distL="114300" distR="114300" simplePos="0" relativeHeight="251658242" behindDoc="0" locked="0" layoutInCell="1" allowOverlap="1" wp14:anchorId="6F5CE846" wp14:editId="51FA7B32">
            <wp:simplePos x="0" y="0"/>
            <wp:positionH relativeFrom="page">
              <wp:align>left</wp:align>
            </wp:positionH>
            <wp:positionV relativeFrom="paragraph">
              <wp:posOffset>-3393440</wp:posOffset>
            </wp:positionV>
            <wp:extent cx="7556500" cy="2869565"/>
            <wp:effectExtent l="0" t="0" r="6350" b="0"/>
            <wp:wrapNone/>
            <wp:docPr id="32" name="Picture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9B8">
        <w:t xml:space="preserve">How is cognition assessed </w:t>
      </w:r>
      <w:r w:rsidR="001C51BB">
        <w:t>for residential aged care funding</w:t>
      </w:r>
      <w:r w:rsidR="004D34EC">
        <w:t>?</w:t>
      </w:r>
    </w:p>
    <w:p w14:paraId="42EBAB67" w14:textId="051A035E" w:rsidR="001172BA" w:rsidRDefault="00BB6875" w:rsidP="003F1B73">
      <w:pPr>
        <w:pStyle w:val="Introduction"/>
      </w:pPr>
      <w:r>
        <w:t xml:space="preserve">Cognitive ability is a significant factor in </w:t>
      </w:r>
      <w:r w:rsidR="001C51BB">
        <w:t>residential aged care funding</w:t>
      </w:r>
      <w:r>
        <w:t xml:space="preserve"> assessments</w:t>
      </w:r>
      <w:r w:rsidR="001C51BB">
        <w:t xml:space="preserve"> (</w:t>
      </w:r>
      <w:r w:rsidR="3BD79E80">
        <w:t xml:space="preserve">funding </w:t>
      </w:r>
      <w:r w:rsidR="001C51BB">
        <w:t>assessments)</w:t>
      </w:r>
      <w:r w:rsidR="003210AB">
        <w:t>.</w:t>
      </w:r>
      <w:r>
        <w:t xml:space="preserve"> </w:t>
      </w:r>
      <w:r w:rsidR="00E510D9">
        <w:t>This fact sheet provides information on how cognition</w:t>
      </w:r>
      <w:r w:rsidR="00A00C90">
        <w:t xml:space="preserve"> is</w:t>
      </w:r>
      <w:r w:rsidR="00E510D9">
        <w:t xml:space="preserve"> assessed under the</w:t>
      </w:r>
      <w:r w:rsidR="00E051BA">
        <w:t xml:space="preserve"> </w:t>
      </w:r>
      <w:r w:rsidR="00520AB8">
        <w:t>Australian National Aged Care Classification</w:t>
      </w:r>
      <w:r w:rsidR="006B1082">
        <w:t xml:space="preserve"> </w:t>
      </w:r>
      <w:r w:rsidR="00520AB8">
        <w:t>(</w:t>
      </w:r>
      <w:r w:rsidR="00CC1452">
        <w:t>AN-ACC</w:t>
      </w:r>
      <w:r w:rsidR="00520AB8">
        <w:t>)</w:t>
      </w:r>
      <w:r w:rsidR="00CC1452">
        <w:t xml:space="preserve"> </w:t>
      </w:r>
      <w:r w:rsidR="0089681F">
        <w:t>funding model</w:t>
      </w:r>
      <w:r w:rsidR="001172BA">
        <w:t>.</w:t>
      </w:r>
    </w:p>
    <w:p w14:paraId="4EB73CBC" w14:textId="3EE66357" w:rsidR="001172BA" w:rsidRPr="007951F2" w:rsidRDefault="00633AD7" w:rsidP="00A6547B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CCC1F7" wp14:editId="21B487CE">
                <wp:simplePos x="0" y="0"/>
                <wp:positionH relativeFrom="column">
                  <wp:posOffset>4070350</wp:posOffset>
                </wp:positionH>
                <wp:positionV relativeFrom="paragraph">
                  <wp:posOffset>66263</wp:posOffset>
                </wp:positionV>
                <wp:extent cx="2414270" cy="2241550"/>
                <wp:effectExtent l="0" t="0" r="5080" b="0"/>
                <wp:wrapSquare wrapText="bothSides"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270" cy="224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08003F" w14:textId="348FA684" w:rsidR="0054403F" w:rsidRPr="00E510D9" w:rsidRDefault="00E510D9" w:rsidP="0010162C">
                            <w:pPr>
                              <w:pStyle w:val="Quoteorcalloutbox"/>
                              <w:rPr>
                                <w:b/>
                                <w:color w:val="1E1545" w:themeColor="text1"/>
                              </w:rPr>
                            </w:pPr>
                            <w:r w:rsidRPr="00E510D9">
                              <w:t xml:space="preserve">The AN-ACC funding model was developed by the University of </w:t>
                            </w:r>
                            <w:r w:rsidRPr="0010162C">
                              <w:t>Wollongong</w:t>
                            </w:r>
                            <w:r w:rsidRPr="00E510D9">
                              <w:t>, and has been independently researched, trialled, and tested</w:t>
                            </w:r>
                            <w:r w:rsidR="006F3531" w:rsidRPr="00E510D9">
                              <w:rPr>
                                <w:color w:val="1E1545" w:themeColor="text1"/>
                              </w:rPr>
                              <w:t>.</w:t>
                            </w:r>
                          </w:p>
                          <w:p w14:paraId="1A73CBDE" w14:textId="2DD59C93" w:rsidR="00E510D9" w:rsidRPr="00E510D9" w:rsidRDefault="00E510D9" w:rsidP="0054403F">
                            <w:pPr>
                              <w:pStyle w:val="Quoteorcalloutbox"/>
                              <w:rPr>
                                <w:b/>
                                <w:bCs w:val="0"/>
                                <w:color w:val="1E1545" w:themeColor="text1"/>
                              </w:rPr>
                            </w:pPr>
                            <w:r w:rsidRPr="00E510D9">
                              <w:rPr>
                                <w:bCs w:val="0"/>
                              </w:rPr>
                              <w:t>Cognitive ability drives time and costs associated with care need</w:t>
                            </w:r>
                            <w:r w:rsidR="00897F01">
                              <w:rPr>
                                <w:bCs w:val="0"/>
                              </w:rPr>
                              <w:t>s</w:t>
                            </w:r>
                            <w:r w:rsidRPr="00E510D9">
                              <w:rPr>
                                <w:bCs w:val="0"/>
                              </w:rPr>
                              <w:t xml:space="preserve"> and is central to the AN</w:t>
                            </w:r>
                            <w:r w:rsidR="00897F01">
                              <w:rPr>
                                <w:bCs w:val="0"/>
                              </w:rPr>
                              <w:noBreakHyphen/>
                            </w:r>
                            <w:r w:rsidRPr="00E510D9">
                              <w:rPr>
                                <w:bCs w:val="0"/>
                              </w:rPr>
                              <w:t>ACC classification</w:t>
                            </w:r>
                            <w:r w:rsidR="00405811">
                              <w:rPr>
                                <w:bCs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CC1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320.5pt;margin-top:5.2pt;width:190.1pt;height:17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" fillcolor="white [3201]" stroked="f" strokeweight=".5pt">
                <v:textbox>
                  <w:txbxContent>
                    <w:p w14:paraId="7308003F" w14:textId="348FA684" w:rsidR="0054403F" w:rsidRPr="00E510D9" w:rsidRDefault="00E510D9" w:rsidP="0010162C">
                      <w:pPr>
                        <w:pStyle w:val="Quoteorcalloutbox"/>
                        <w:rPr>
                          <w:b/>
                          <w:color w:val="1E1545" w:themeColor="text1"/>
                        </w:rPr>
                      </w:pPr>
                      <w:r w:rsidRPr="00E510D9">
                        <w:t xml:space="preserve">The AN-ACC funding model was developed by the University of </w:t>
                      </w:r>
                      <w:r w:rsidRPr="0010162C">
                        <w:t>Wollongong</w:t>
                      </w:r>
                      <w:r w:rsidRPr="00E510D9">
                        <w:t>, and has been independently researched, trialled, and tested</w:t>
                      </w:r>
                      <w:r w:rsidR="006F3531" w:rsidRPr="00E510D9">
                        <w:rPr>
                          <w:color w:val="1E1545" w:themeColor="text1"/>
                        </w:rPr>
                        <w:t>.</w:t>
                      </w:r>
                    </w:p>
                    <w:p w14:paraId="1A73CBDE" w14:textId="2DD59C93" w:rsidR="00E510D9" w:rsidRPr="00E510D9" w:rsidRDefault="00E510D9" w:rsidP="0054403F">
                      <w:pPr>
                        <w:pStyle w:val="Quoteorcalloutbox"/>
                        <w:rPr>
                          <w:b/>
                          <w:bCs w:val="0"/>
                          <w:color w:val="1E1545" w:themeColor="text1"/>
                        </w:rPr>
                      </w:pPr>
                      <w:r w:rsidRPr="00E510D9">
                        <w:rPr>
                          <w:bCs w:val="0"/>
                        </w:rPr>
                        <w:t>Cognitive ability drives time and costs associated with care need</w:t>
                      </w:r>
                      <w:r w:rsidR="00897F01">
                        <w:rPr>
                          <w:bCs w:val="0"/>
                        </w:rPr>
                        <w:t>s</w:t>
                      </w:r>
                      <w:r w:rsidRPr="00E510D9">
                        <w:rPr>
                          <w:bCs w:val="0"/>
                        </w:rPr>
                        <w:t xml:space="preserve"> and is central to the AN</w:t>
                      </w:r>
                      <w:r w:rsidR="00897F01">
                        <w:rPr>
                          <w:bCs w:val="0"/>
                        </w:rPr>
                        <w:noBreakHyphen/>
                      </w:r>
                      <w:r w:rsidRPr="00E510D9">
                        <w:rPr>
                          <w:bCs w:val="0"/>
                        </w:rPr>
                        <w:t>ACC classification</w:t>
                      </w:r>
                      <w:r w:rsidR="00405811">
                        <w:rPr>
                          <w:bCs w:val="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10D9">
        <w:t>Overview</w:t>
      </w:r>
    </w:p>
    <w:p w14:paraId="4AA65D30" w14:textId="6D460503" w:rsidR="00E510D9" w:rsidRPr="00E7643D" w:rsidRDefault="00E510D9" w:rsidP="00E510D9">
      <w:pPr>
        <w:pStyle w:val="NormalText"/>
      </w:pPr>
      <w:r w:rsidRPr="00F43138">
        <w:rPr>
          <w:lang w:val="en-GB"/>
        </w:rPr>
        <w:t xml:space="preserve">The AN-ACC </w:t>
      </w:r>
      <w:r w:rsidR="007C4EAE">
        <w:rPr>
          <w:lang w:val="en-GB"/>
        </w:rPr>
        <w:t xml:space="preserve">funding </w:t>
      </w:r>
      <w:r w:rsidRPr="00F43138">
        <w:rPr>
          <w:lang w:val="en-GB"/>
        </w:rPr>
        <w:t>model provide</w:t>
      </w:r>
      <w:r>
        <w:rPr>
          <w:lang w:val="en-GB"/>
        </w:rPr>
        <w:t>s</w:t>
      </w:r>
      <w:r w:rsidRPr="00F43138">
        <w:rPr>
          <w:lang w:val="en-GB"/>
        </w:rPr>
        <w:t xml:space="preserve"> more equitable care funding to providers that better matches </w:t>
      </w:r>
      <w:r>
        <w:rPr>
          <w:lang w:val="en-GB"/>
        </w:rPr>
        <w:t>funding</w:t>
      </w:r>
      <w:r w:rsidRPr="00F43138">
        <w:rPr>
          <w:lang w:val="en-GB"/>
        </w:rPr>
        <w:t xml:space="preserve"> </w:t>
      </w:r>
      <w:r w:rsidR="000A7D4E">
        <w:rPr>
          <w:lang w:val="en-GB"/>
        </w:rPr>
        <w:t xml:space="preserve">for </w:t>
      </w:r>
      <w:r w:rsidR="000A7D4E" w:rsidRPr="00F43138">
        <w:rPr>
          <w:lang w:val="en-GB"/>
        </w:rPr>
        <w:t>resident</w:t>
      </w:r>
      <w:r w:rsidR="000A7D4E">
        <w:rPr>
          <w:lang w:val="en-GB"/>
        </w:rPr>
        <w:t>s</w:t>
      </w:r>
      <w:r w:rsidR="000A7D4E" w:rsidRPr="00F43138">
        <w:rPr>
          <w:lang w:val="en-GB"/>
        </w:rPr>
        <w:t xml:space="preserve"> </w:t>
      </w:r>
      <w:r w:rsidRPr="00F43138">
        <w:rPr>
          <w:lang w:val="en-GB"/>
        </w:rPr>
        <w:t>with the costs of delivering care</w:t>
      </w:r>
      <w:r w:rsidR="00E40AFA">
        <w:rPr>
          <w:lang w:val="en-GB"/>
        </w:rPr>
        <w:t>,</w:t>
      </w:r>
      <w:r w:rsidRPr="00F43138">
        <w:rPr>
          <w:lang w:val="en-GB"/>
        </w:rPr>
        <w:t xml:space="preserve"> enabling a more efficient, transparent and sustainable system.</w:t>
      </w:r>
    </w:p>
    <w:p w14:paraId="1F586209" w14:textId="166638C1" w:rsidR="00E510D9" w:rsidRDefault="00E510D9" w:rsidP="006A08BD">
      <w:pPr>
        <w:pStyle w:val="NormalText"/>
        <w:sectPr w:rsidR="00E510D9" w:rsidSect="0068542C">
          <w:type w:val="continuous"/>
          <w:pgSz w:w="11900" w:h="16840"/>
          <w:pgMar w:top="5358" w:right="1021" w:bottom="692" w:left="1021" w:header="709" w:footer="556" w:gutter="0"/>
          <w:pgNumType w:start="0"/>
          <w:cols w:space="708"/>
          <w:titlePg/>
          <w:docGrid w:linePitch="360"/>
        </w:sectPr>
      </w:pPr>
      <w:r w:rsidRPr="00C84C86">
        <w:rPr>
          <w:lang w:val="en-GB"/>
        </w:rPr>
        <w:t xml:space="preserve">Mobility and cognitive ability, and their impact on </w:t>
      </w:r>
      <w:r>
        <w:rPr>
          <w:lang w:val="en-GB"/>
        </w:rPr>
        <w:t>care</w:t>
      </w:r>
      <w:r w:rsidRPr="00C84C86">
        <w:rPr>
          <w:lang w:val="en-GB"/>
        </w:rPr>
        <w:t xml:space="preserve"> costs, are central to the </w:t>
      </w:r>
      <w:r w:rsidR="2E40913D" w:rsidRPr="0627BF6E">
        <w:rPr>
          <w:lang w:val="en-GB"/>
        </w:rPr>
        <w:t>funding</w:t>
      </w:r>
      <w:r w:rsidRPr="0627BF6E">
        <w:rPr>
          <w:lang w:val="en-GB"/>
        </w:rPr>
        <w:t xml:space="preserve"> </w:t>
      </w:r>
      <w:r w:rsidR="00CE512C">
        <w:rPr>
          <w:lang w:val="en-GB"/>
        </w:rPr>
        <w:t>assessment</w:t>
      </w:r>
      <w:r w:rsidR="00FA27B3">
        <w:rPr>
          <w:lang w:val="en-GB"/>
        </w:rPr>
        <w:t xml:space="preserve"> process</w:t>
      </w:r>
      <w:r w:rsidRPr="00C84C86">
        <w:rPr>
          <w:lang w:val="en-GB"/>
        </w:rPr>
        <w:t>, which determines the variable funding a residential aged care provider will receive from the Australian Government to deliver care that meets each resident’s needs</w:t>
      </w:r>
      <w:r w:rsidRPr="00F43138">
        <w:rPr>
          <w:lang w:val="en-GB"/>
        </w:rPr>
        <w:t>.</w:t>
      </w:r>
    </w:p>
    <w:p w14:paraId="19F97E42" w14:textId="72646AD3" w:rsidR="00E510D9" w:rsidRDefault="00E510D9" w:rsidP="00A6547B">
      <w:pPr>
        <w:pStyle w:val="Heading2"/>
      </w:pPr>
      <w:r w:rsidRPr="00145E94">
        <w:t>What does the AN</w:t>
      </w:r>
      <w:r w:rsidRPr="00145E94">
        <w:noBreakHyphen/>
      </w:r>
      <w:r w:rsidRPr="006B5D29">
        <w:t>ACC Assessment Tool capture about the resident</w:t>
      </w:r>
      <w:r w:rsidR="0098320F">
        <w:t>?</w:t>
      </w:r>
    </w:p>
    <w:p w14:paraId="10218BD0" w14:textId="42884731" w:rsidR="0068542C" w:rsidRDefault="007E2AD3" w:rsidP="00E510D9">
      <w:pPr>
        <w:pStyle w:val="NormalText"/>
        <w:rPr>
          <w:rStyle w:val="Hyperlink"/>
          <w:rFonts w:cs="Segoe UI"/>
          <w:lang w:val="en-GB"/>
        </w:rPr>
        <w:sectPr w:rsidR="0068542C" w:rsidSect="0068542C">
          <w:type w:val="continuous"/>
          <w:pgSz w:w="11900" w:h="16840"/>
          <w:pgMar w:top="1355" w:right="1021" w:bottom="1089" w:left="1021" w:header="709" w:footer="556" w:gutter="0"/>
          <w:pgNumType w:start="0"/>
          <w:cols w:space="708"/>
          <w:titlePg/>
          <w:docGrid w:linePitch="360"/>
        </w:sectPr>
      </w:pPr>
      <w:r w:rsidRPr="002C1B02">
        <w:rPr>
          <w:rFonts w:cs="Segoe UI"/>
          <w:lang w:val="en-GB"/>
        </w:rPr>
        <w:t>A</w:t>
      </w:r>
      <w:r w:rsidR="6B2EB1ED" w:rsidRPr="20333491">
        <w:rPr>
          <w:rFonts w:cs="Segoe UI"/>
          <w:lang w:val="en-GB"/>
        </w:rPr>
        <w:t xml:space="preserve"> </w:t>
      </w:r>
      <w:r w:rsidR="226C7AB3" w:rsidRPr="20333491">
        <w:rPr>
          <w:rFonts w:cs="Segoe UI"/>
          <w:lang w:val="en-GB"/>
        </w:rPr>
        <w:t>funding</w:t>
      </w:r>
      <w:r w:rsidRPr="002C1B02">
        <w:rPr>
          <w:rFonts w:cs="Segoe UI"/>
          <w:lang w:val="en-GB"/>
        </w:rPr>
        <w:t xml:space="preserve"> assessment is different to </w:t>
      </w:r>
      <w:r w:rsidR="001E4AB9" w:rsidRPr="002C1B02">
        <w:rPr>
          <w:rFonts w:cs="Segoe UI"/>
          <w:lang w:val="en-GB"/>
        </w:rPr>
        <w:t xml:space="preserve">a care planning assessment </w:t>
      </w:r>
      <w:r w:rsidRPr="002C1B02">
        <w:rPr>
          <w:rFonts w:cs="Segoe UI"/>
          <w:lang w:val="en-GB"/>
        </w:rPr>
        <w:t xml:space="preserve">undertaken by care staff in a residential aged care home. The </w:t>
      </w:r>
      <w:r w:rsidR="72C63AF9" w:rsidRPr="20333491">
        <w:rPr>
          <w:rFonts w:cs="Segoe UI"/>
          <w:lang w:val="en-GB"/>
        </w:rPr>
        <w:t xml:space="preserve"> funding</w:t>
      </w:r>
      <w:r w:rsidRPr="002C1B02">
        <w:rPr>
          <w:rFonts w:cs="Segoe UI"/>
          <w:lang w:val="en-GB"/>
        </w:rPr>
        <w:t xml:space="preserve"> assessment process has been designed to be robust</w:t>
      </w:r>
      <w:r w:rsidR="00B500B3" w:rsidRPr="002C1B02">
        <w:rPr>
          <w:rFonts w:cs="Segoe UI"/>
          <w:lang w:val="en-GB"/>
        </w:rPr>
        <w:t xml:space="preserve"> and</w:t>
      </w:r>
      <w:r w:rsidRPr="002C1B02">
        <w:rPr>
          <w:rFonts w:cs="Segoe UI"/>
          <w:lang w:val="en-GB"/>
        </w:rPr>
        <w:t xml:space="preserve"> concise</w:t>
      </w:r>
      <w:r w:rsidR="00804D70" w:rsidRPr="002C1B02">
        <w:rPr>
          <w:rFonts w:cs="Segoe UI"/>
          <w:lang w:val="en-GB"/>
        </w:rPr>
        <w:t xml:space="preserve">, </w:t>
      </w:r>
      <w:r w:rsidR="00216C79" w:rsidRPr="002C1B02">
        <w:rPr>
          <w:rFonts w:cs="Segoe UI"/>
          <w:lang w:val="en-GB"/>
        </w:rPr>
        <w:t>and</w:t>
      </w:r>
      <w:r w:rsidRPr="002C1B02">
        <w:rPr>
          <w:rFonts w:cs="Segoe UI"/>
          <w:lang w:val="en-GB"/>
        </w:rPr>
        <w:t xml:space="preserve"> undertaken by an independent expert clinician using the </w:t>
      </w:r>
      <w:hyperlink r:id="rId13" w:history="1">
        <w:r w:rsidRPr="002C1B02">
          <w:rPr>
            <w:rStyle w:val="Hyperlink"/>
            <w:rFonts w:cs="Segoe UI"/>
            <w:lang w:val="en-GB"/>
          </w:rPr>
          <w:t>AN</w:t>
        </w:r>
        <w:r w:rsidR="00FB30D5" w:rsidRPr="002C1B02">
          <w:rPr>
            <w:rStyle w:val="Hyperlink"/>
            <w:rFonts w:cs="Segoe UI"/>
            <w:lang w:val="en-GB"/>
          </w:rPr>
          <w:noBreakHyphen/>
        </w:r>
        <w:r w:rsidRPr="002C1B02">
          <w:rPr>
            <w:rStyle w:val="Hyperlink"/>
            <w:rFonts w:cs="Segoe UI"/>
            <w:lang w:val="en-GB"/>
          </w:rPr>
          <w:t>ACC Assessment Tool</w:t>
        </w:r>
      </w:hyperlink>
      <w:r w:rsidR="00B500B3" w:rsidRPr="002C1B02">
        <w:rPr>
          <w:rStyle w:val="Hyperlink"/>
          <w:rFonts w:cs="Segoe UI"/>
          <w:lang w:val="en-GB"/>
        </w:rPr>
        <w:t>.</w:t>
      </w:r>
    </w:p>
    <w:p w14:paraId="3E8DF4CB" w14:textId="30F543DB" w:rsidR="00E510D9" w:rsidRPr="004D34EC" w:rsidRDefault="00E510D9" w:rsidP="00E510D9">
      <w:pPr>
        <w:pStyle w:val="NormalText"/>
        <w:rPr>
          <w:lang w:val="en-GB"/>
        </w:rPr>
      </w:pPr>
      <w:r w:rsidRPr="00424BB1">
        <w:rPr>
          <w:rFonts w:cs="Segoe UI"/>
          <w:lang w:val="en-GB"/>
        </w:rPr>
        <w:lastRenderedPageBreak/>
        <w:t xml:space="preserve">The </w:t>
      </w:r>
      <w:hyperlink r:id="rId14" w:history="1">
        <w:r w:rsidRPr="00A76670">
          <w:rPr>
            <w:rStyle w:val="Hyperlink"/>
            <w:rFonts w:cs="Segoe UI"/>
            <w:lang w:val="en-GB"/>
          </w:rPr>
          <w:t>AN-ACC Assessment Tool</w:t>
        </w:r>
      </w:hyperlink>
      <w:r>
        <w:rPr>
          <w:rFonts w:cs="Segoe UI"/>
          <w:lang w:val="en-GB"/>
        </w:rPr>
        <w:t xml:space="preserve"> </w:t>
      </w:r>
      <w:r w:rsidRPr="00C84C86">
        <w:rPr>
          <w:lang w:val="en-GB"/>
        </w:rPr>
        <w:t>has been designed to capture the core attributes that drive care costs in residential aged care</w:t>
      </w:r>
      <w:r w:rsidRPr="00F43138">
        <w:rPr>
          <w:lang w:val="en-GB"/>
        </w:rPr>
        <w:t xml:space="preserve">, which </w:t>
      </w:r>
      <w:r w:rsidRPr="004D34EC">
        <w:rPr>
          <w:lang w:val="en-GB"/>
        </w:rPr>
        <w:t>include: end of life, frailty, functional decline, cognition, behaviour, and technical nursing requirements.</w:t>
      </w:r>
    </w:p>
    <w:p w14:paraId="5B36823C" w14:textId="28B1952D" w:rsidR="00E510D9" w:rsidRPr="002C1B02" w:rsidRDefault="00E510D9" w:rsidP="002C1B02">
      <w:pPr>
        <w:pStyle w:val="NormalText"/>
      </w:pPr>
      <w:r w:rsidRPr="002C1B02">
        <w:t>The AN-ACC Assessment Tool considers:</w:t>
      </w:r>
    </w:p>
    <w:p w14:paraId="552F1814" w14:textId="77777777" w:rsidR="00E510D9" w:rsidRPr="00D9583A" w:rsidRDefault="00E510D9" w:rsidP="00D9583A">
      <w:pPr>
        <w:pStyle w:val="ListBullet"/>
      </w:pPr>
      <w:r w:rsidRPr="00D9583A">
        <w:t>physical ability (including pain)</w:t>
      </w:r>
    </w:p>
    <w:p w14:paraId="0ABBA0C5" w14:textId="3B482CAD" w:rsidR="00E510D9" w:rsidRPr="00D9583A" w:rsidRDefault="00E510D9" w:rsidP="00D9583A">
      <w:pPr>
        <w:pStyle w:val="ListBullet"/>
      </w:pPr>
      <w:r w:rsidRPr="00D9583A">
        <w:t xml:space="preserve">cognitive ability (including ability to communicate, socially interact, problem solve, </w:t>
      </w:r>
      <w:r w:rsidR="00B116D5" w:rsidRPr="00D9583A">
        <w:t xml:space="preserve">and </w:t>
      </w:r>
      <w:r w:rsidRPr="00D9583A">
        <w:t>memory)</w:t>
      </w:r>
    </w:p>
    <w:p w14:paraId="5B134F73" w14:textId="37430E54" w:rsidR="00E510D9" w:rsidRPr="00D9583A" w:rsidRDefault="00E510D9" w:rsidP="00D9583A">
      <w:pPr>
        <w:pStyle w:val="ListBullet"/>
      </w:pPr>
      <w:r w:rsidRPr="00D9583A">
        <w:t xml:space="preserve">behaviour (including ability to cooperate, physical aggression, problem wandering, passive resistance, </w:t>
      </w:r>
      <w:r w:rsidR="00D40CCA" w:rsidRPr="00D9583A">
        <w:t xml:space="preserve">and </w:t>
      </w:r>
      <w:r w:rsidRPr="00D9583A">
        <w:t>verbally disruptive</w:t>
      </w:r>
      <w:r w:rsidR="000A2E1A" w:rsidRPr="00D9583A">
        <w:t>ness</w:t>
      </w:r>
      <w:r w:rsidRPr="00D9583A">
        <w:t>)</w:t>
      </w:r>
    </w:p>
    <w:p w14:paraId="0EDBDD3A" w14:textId="7A9D3C75" w:rsidR="00E510D9" w:rsidRPr="00D9583A" w:rsidRDefault="00E510D9" w:rsidP="00D9583A">
      <w:pPr>
        <w:pStyle w:val="ListBullet"/>
      </w:pPr>
      <w:r w:rsidRPr="00D9583A">
        <w:t>mental health issues (including depression and anxiety).</w:t>
      </w:r>
    </w:p>
    <w:p w14:paraId="43AFDF03" w14:textId="3687DD8D" w:rsidR="00465DE0" w:rsidRPr="0098320F" w:rsidRDefault="182CE982" w:rsidP="00465DE0">
      <w:pPr>
        <w:pStyle w:val="NormalText"/>
      </w:pPr>
      <w:r>
        <w:t>Funding</w:t>
      </w:r>
      <w:r w:rsidR="00B9597F">
        <w:t xml:space="preserve"> assessments are conducted by </w:t>
      </w:r>
      <w:r w:rsidR="00C31B39">
        <w:t>residential aged care funding</w:t>
      </w:r>
      <w:r w:rsidR="00326CAC">
        <w:t xml:space="preserve"> assessors</w:t>
      </w:r>
      <w:r w:rsidR="00C31B39">
        <w:t xml:space="preserve"> (</w:t>
      </w:r>
      <w:r w:rsidR="15226B5F">
        <w:t xml:space="preserve">funding </w:t>
      </w:r>
      <w:r w:rsidR="002F293F">
        <w:t>assessors)</w:t>
      </w:r>
      <w:r w:rsidR="00326CAC">
        <w:t xml:space="preserve"> who are </w:t>
      </w:r>
      <w:r w:rsidR="00B9597F">
        <w:t xml:space="preserve">experienced aged care clinicians </w:t>
      </w:r>
      <w:r w:rsidR="00326CAC">
        <w:t>with</w:t>
      </w:r>
      <w:r w:rsidR="00B9597F">
        <w:t xml:space="preserve"> current registration as a registered nurse, occupational therapist, or physiotherapist.</w:t>
      </w:r>
      <w:r w:rsidR="00326CAC">
        <w:t xml:space="preserve"> </w:t>
      </w:r>
      <w:r w:rsidR="7C216CB7">
        <w:t xml:space="preserve">Funding </w:t>
      </w:r>
      <w:r w:rsidR="00465DE0">
        <w:t xml:space="preserve">assessors </w:t>
      </w:r>
      <w:r w:rsidR="005F2759">
        <w:t xml:space="preserve">also </w:t>
      </w:r>
      <w:r w:rsidR="00465DE0">
        <w:t>undergo comprehensive training on how to use the AN-ACC Assessment Tool.</w:t>
      </w:r>
    </w:p>
    <w:p w14:paraId="23C2A382" w14:textId="12CC8EDA" w:rsidR="00E510D9" w:rsidRPr="00424BB1" w:rsidRDefault="00E510D9" w:rsidP="00A6547B">
      <w:pPr>
        <w:pStyle w:val="Heading2"/>
      </w:pPr>
      <w:r w:rsidRPr="00424BB1">
        <w:t xml:space="preserve">How is cognition </w:t>
      </w:r>
      <w:r>
        <w:t>assessed</w:t>
      </w:r>
      <w:r w:rsidRPr="00424BB1">
        <w:t xml:space="preserve"> in the AN-ACC </w:t>
      </w:r>
      <w:r>
        <w:t>A</w:t>
      </w:r>
      <w:r w:rsidRPr="00424BB1">
        <w:t xml:space="preserve">ssessment </w:t>
      </w:r>
      <w:r>
        <w:t>T</w:t>
      </w:r>
      <w:r w:rsidRPr="00424BB1">
        <w:t>ool?</w:t>
      </w:r>
    </w:p>
    <w:p w14:paraId="6751BE51" w14:textId="6BB4AA27" w:rsidR="001F1AFF" w:rsidRPr="002C1B02" w:rsidRDefault="00E510D9" w:rsidP="0069339B">
      <w:pPr>
        <w:pStyle w:val="NormalText"/>
      </w:pPr>
      <w:r w:rsidRPr="002C1B02">
        <w:t xml:space="preserve">A </w:t>
      </w:r>
      <w:r w:rsidR="00E830CD" w:rsidRPr="002C1B02">
        <w:t xml:space="preserve">key component of the </w:t>
      </w:r>
      <w:r w:rsidR="2B3D6250" w:rsidRPr="002C1B02">
        <w:t>funding</w:t>
      </w:r>
      <w:r w:rsidRPr="002C1B02">
        <w:t xml:space="preserve"> assessment </w:t>
      </w:r>
      <w:r w:rsidR="00FE2A63" w:rsidRPr="002C1B02" w:rsidDel="000E336D">
        <w:t>process</w:t>
      </w:r>
      <w:r w:rsidR="00FE2A63" w:rsidRPr="002C1B02">
        <w:t xml:space="preserve"> </w:t>
      </w:r>
      <w:r w:rsidR="00E830CD" w:rsidRPr="002C1B02">
        <w:t xml:space="preserve">is </w:t>
      </w:r>
      <w:r w:rsidRPr="002C1B02">
        <w:t>an assessment of a person’s cognitive ability</w:t>
      </w:r>
      <w:r w:rsidR="005F2759" w:rsidRPr="002C1B02">
        <w:t xml:space="preserve">, which includes </w:t>
      </w:r>
      <w:r w:rsidR="00DC7CB0" w:rsidRPr="002C1B02">
        <w:t xml:space="preserve">their </w:t>
      </w:r>
      <w:r w:rsidRPr="002C1B02">
        <w:t xml:space="preserve">capacity to understand and complete a range of movements and tasks. When conducting a </w:t>
      </w:r>
      <w:r w:rsidR="68178471">
        <w:t xml:space="preserve">funding </w:t>
      </w:r>
      <w:r w:rsidRPr="002C1B02">
        <w:t xml:space="preserve">assessment,  </w:t>
      </w:r>
      <w:r w:rsidR="2519D6F8" w:rsidRPr="002C1B02">
        <w:t xml:space="preserve">funding </w:t>
      </w:r>
      <w:r w:rsidRPr="002C1B02">
        <w:t>assessors use a range of strategies to gather information about the capabilities of the person being assessed, including</w:t>
      </w:r>
      <w:r w:rsidR="009A4112" w:rsidRPr="002C1B02">
        <w:t>:</w:t>
      </w:r>
    </w:p>
    <w:p w14:paraId="4849CF46" w14:textId="77777777" w:rsidR="001F1AFF" w:rsidRPr="00D9583A" w:rsidRDefault="00E510D9" w:rsidP="00D9583A">
      <w:pPr>
        <w:pStyle w:val="ListBullet"/>
      </w:pPr>
      <w:r w:rsidRPr="00D9583A">
        <w:t>talking with the person (where appropriate)</w:t>
      </w:r>
    </w:p>
    <w:p w14:paraId="2E62042F" w14:textId="252C1D40" w:rsidR="001F1AFF" w:rsidRPr="00D9583A" w:rsidRDefault="00E510D9" w:rsidP="00D9583A">
      <w:pPr>
        <w:pStyle w:val="ListBullet"/>
      </w:pPr>
      <w:r w:rsidRPr="00D9583A">
        <w:t>observation</w:t>
      </w:r>
    </w:p>
    <w:p w14:paraId="5B097BD0" w14:textId="5E0AE534" w:rsidR="001F1AFF" w:rsidRPr="00D9583A" w:rsidRDefault="00E510D9" w:rsidP="00D9583A">
      <w:pPr>
        <w:pStyle w:val="ListBullet"/>
      </w:pPr>
      <w:r w:rsidRPr="00D9583A">
        <w:t>conversation with co-residents and key informants such as family, carers, friends, staff, and external health providers</w:t>
      </w:r>
    </w:p>
    <w:p w14:paraId="7D0776DC" w14:textId="700FCD6E" w:rsidR="00E510D9" w:rsidRPr="00D9583A" w:rsidRDefault="00E510D9" w:rsidP="00D9583A">
      <w:pPr>
        <w:pStyle w:val="ListBullet"/>
      </w:pPr>
      <w:r w:rsidRPr="00D9583A">
        <w:t>reviewing relevant documentation such as medical records, care plans, and wound care/behaviour charts.</w:t>
      </w:r>
    </w:p>
    <w:p w14:paraId="2267BE73" w14:textId="654B50C5" w:rsidR="00E510D9" w:rsidRPr="00E7643D" w:rsidRDefault="00E510D9" w:rsidP="0069339B">
      <w:pPr>
        <w:pStyle w:val="NormalText"/>
      </w:pPr>
      <w:r w:rsidRPr="00C84C86">
        <w:rPr>
          <w:lang w:val="en-GB"/>
        </w:rPr>
        <w:t xml:space="preserve">The modified De Morton Mobility Index (DEMMI) assessment (which is a mobility tool used to determine the </w:t>
      </w:r>
      <w:hyperlink r:id="rId15" w:anchor="anacc-classifications13-classes-of-care-funding" w:history="1">
        <w:r w:rsidRPr="00F43138">
          <w:rPr>
            <w:rStyle w:val="Hyperlink"/>
            <w:lang w:val="en-GB"/>
          </w:rPr>
          <w:t>first branch of the AN-ACC classification</w:t>
        </w:r>
      </w:hyperlink>
      <w:r w:rsidRPr="00F43138">
        <w:rPr>
          <w:lang w:val="en-GB"/>
        </w:rPr>
        <w:t xml:space="preserve">) also considers a person’s ability to comprehend and complete a task. For example, </w:t>
      </w:r>
      <w:r w:rsidRPr="00F43138">
        <w:t xml:space="preserve">a person who is </w:t>
      </w:r>
      <w:r w:rsidRPr="002C423B">
        <w:rPr>
          <w:lang w:val="en-GB"/>
        </w:rPr>
        <w:t>physically</w:t>
      </w:r>
      <w:r w:rsidRPr="00F43138">
        <w:t xml:space="preserve"> mobile, but</w:t>
      </w:r>
      <w:r>
        <w:t xml:space="preserve"> </w:t>
      </w:r>
      <w:r w:rsidRPr="00F43138">
        <w:t>needs assistance because they cannot recall where they are going</w:t>
      </w:r>
      <w:r w:rsidR="00D14425">
        <w:t xml:space="preserve"> or why</w:t>
      </w:r>
      <w:r w:rsidRPr="00F43138">
        <w:t>, would be assessed as being in the assisted mobility branch of AN</w:t>
      </w:r>
      <w:r w:rsidR="00F7290B">
        <w:noBreakHyphen/>
      </w:r>
      <w:r w:rsidRPr="00F43138">
        <w:t>ACC.</w:t>
      </w:r>
    </w:p>
    <w:p w14:paraId="389EEAB2" w14:textId="77777777" w:rsidR="001A0D5A" w:rsidRDefault="00E510D9" w:rsidP="0069339B">
      <w:pPr>
        <w:pStyle w:val="NormalText"/>
        <w:rPr>
          <w:lang w:val="en-GB"/>
        </w:rPr>
      </w:pPr>
      <w:r w:rsidRPr="00C84C86">
        <w:rPr>
          <w:lang w:val="en-GB"/>
        </w:rPr>
        <w:t xml:space="preserve">In addition, cognitive ability is assessed via the Australian Functional Measure (AFM) component of the AN-ACC </w:t>
      </w:r>
      <w:r w:rsidRPr="00F43138">
        <w:rPr>
          <w:lang w:val="en-GB"/>
        </w:rPr>
        <w:t xml:space="preserve">Assessment Tool, which considers a person’s capacity to understand and complete a range of movements and tasks, including their ability to communicate, sequence, socially interact, remember instructions, and problem solve. </w:t>
      </w:r>
    </w:p>
    <w:p w14:paraId="0102043E" w14:textId="5E57F456" w:rsidR="00E510D9" w:rsidRDefault="00E510D9" w:rsidP="0069339B">
      <w:pPr>
        <w:pStyle w:val="NormalText"/>
        <w:rPr>
          <w:lang w:val="en-GB"/>
        </w:rPr>
      </w:pPr>
      <w:r w:rsidRPr="002C1B02">
        <w:rPr>
          <w:lang w:val="en-GB"/>
        </w:rPr>
        <w:t xml:space="preserve">Evidence of </w:t>
      </w:r>
      <w:r w:rsidR="001A0D5A" w:rsidRPr="002C1B02">
        <w:rPr>
          <w:lang w:val="en-GB"/>
        </w:rPr>
        <w:t xml:space="preserve">any </w:t>
      </w:r>
      <w:r w:rsidRPr="002C1B02">
        <w:rPr>
          <w:lang w:val="en-GB"/>
        </w:rPr>
        <w:t>disruptive or agitated behaviours is assessed through the Behaviour Resource Utilisation Assessment (BRUA) component of the AN</w:t>
      </w:r>
      <w:r w:rsidR="00405811" w:rsidRPr="002C1B02">
        <w:rPr>
          <w:lang w:val="en-GB"/>
        </w:rPr>
        <w:noBreakHyphen/>
      </w:r>
      <w:r w:rsidRPr="002C1B02">
        <w:rPr>
          <w:lang w:val="en-GB"/>
        </w:rPr>
        <w:t>ACC Assessment Tool.</w:t>
      </w:r>
    </w:p>
    <w:p w14:paraId="243CA410" w14:textId="62FAD3E9" w:rsidR="00216C79" w:rsidRPr="002C1B02" w:rsidRDefault="00E510D9" w:rsidP="0068542C">
      <w:pPr>
        <w:pStyle w:val="NormalText"/>
        <w:rPr>
          <w:rFonts w:eastAsiaTheme="majorEastAsia"/>
        </w:rPr>
      </w:pPr>
      <w:r>
        <w:rPr>
          <w:lang w:val="en-GB"/>
        </w:rPr>
        <w:t>See</w:t>
      </w:r>
      <w:r w:rsidRPr="00F43138">
        <w:rPr>
          <w:lang w:val="en-GB"/>
        </w:rPr>
        <w:t xml:space="preserve"> the </w:t>
      </w:r>
      <w:hyperlink r:id="rId16" w:history="1">
        <w:r w:rsidRPr="00015783">
          <w:rPr>
            <w:rStyle w:val="Hyperlink"/>
          </w:rPr>
          <w:t>AN-ACC Reference Manual and Assessment Tool</w:t>
        </w:r>
      </w:hyperlink>
      <w:r w:rsidRPr="00E7643D">
        <w:t xml:space="preserve"> </w:t>
      </w:r>
      <w:r>
        <w:t>for more information</w:t>
      </w:r>
      <w:r w:rsidRPr="00F43138">
        <w:t>.</w:t>
      </w:r>
      <w:bookmarkStart w:id="0" w:name="_Hlk97626319"/>
      <w:r w:rsidR="00216C79">
        <w:br w:type="page"/>
      </w:r>
    </w:p>
    <w:bookmarkEnd w:id="0"/>
    <w:p w14:paraId="35002FF4" w14:textId="6B675F08" w:rsidR="00636F0A" w:rsidRPr="002C1B02" w:rsidRDefault="00636F0A" w:rsidP="002C1B02">
      <w:pPr>
        <w:pStyle w:val="Heading2"/>
      </w:pPr>
      <w:r w:rsidRPr="002C1B02">
        <w:lastRenderedPageBreak/>
        <w:t>More information and resources</w:t>
      </w:r>
    </w:p>
    <w:p w14:paraId="633C7CBB" w14:textId="54D9C883" w:rsidR="00636F0A" w:rsidRDefault="00636F0A" w:rsidP="002C1B02">
      <w:pPr>
        <w:pStyle w:val="NormalText"/>
        <w:rPr>
          <w:rFonts w:cstheme="minorHAnsi"/>
        </w:rPr>
      </w:pPr>
      <w:r>
        <w:rPr>
          <w:rFonts w:cs="Segoe UI"/>
        </w:rPr>
        <w:t>See</w:t>
      </w:r>
      <w:r w:rsidRPr="00CE1318">
        <w:rPr>
          <w:rFonts w:cs="Segoe UI"/>
          <w:lang w:val="en-GB"/>
        </w:rPr>
        <w:t xml:space="preserve"> </w:t>
      </w:r>
      <w:hyperlink r:id="rId17" w:history="1">
        <w:r>
          <w:rPr>
            <w:rStyle w:val="Hyperlink"/>
            <w:rFonts w:cstheme="minorHAnsi"/>
          </w:rPr>
          <w:t xml:space="preserve">the AN-ACC Funding Guide </w:t>
        </w:r>
      </w:hyperlink>
      <w:r>
        <w:rPr>
          <w:rFonts w:cstheme="minorHAnsi"/>
        </w:rPr>
        <w:t xml:space="preserve">for </w:t>
      </w:r>
      <w:r w:rsidR="009229C7">
        <w:rPr>
          <w:rFonts w:cstheme="minorHAnsi"/>
        </w:rPr>
        <w:t xml:space="preserve">comprehensive </w:t>
      </w:r>
      <w:r>
        <w:rPr>
          <w:rFonts w:cstheme="minorHAnsi"/>
        </w:rPr>
        <w:t>information on AN-ACC subsidies.</w:t>
      </w:r>
    </w:p>
    <w:p w14:paraId="091035ED" w14:textId="0CF09893" w:rsidR="008678F1" w:rsidRDefault="00636F0A" w:rsidP="00F4067A">
      <w:pPr>
        <w:pStyle w:val="NormalText"/>
      </w:pPr>
      <w:r w:rsidRPr="00424BB1">
        <w:rPr>
          <w:rFonts w:cs="Segoe UI"/>
        </w:rPr>
        <w:t xml:space="preserve">Further information about the AN-ACC funding model, including general information, is available on the </w:t>
      </w:r>
      <w:r w:rsidR="003C73E4" w:rsidRPr="003C73E4">
        <w:rPr>
          <w:rFonts w:cs="Segoe UI"/>
        </w:rPr>
        <w:t xml:space="preserve">webpage </w:t>
      </w:r>
      <w:hyperlink r:id="rId18" w:history="1">
        <w:r w:rsidR="00664C69">
          <w:rPr>
            <w:rStyle w:val="Hyperlink"/>
            <w:rFonts w:cs="Segoe UI"/>
          </w:rPr>
          <w:t>AN-ACC funding model</w:t>
        </w:r>
      </w:hyperlink>
      <w:r>
        <w:t xml:space="preserve">. </w:t>
      </w:r>
      <w:r w:rsidRPr="00E7643D">
        <w:t>The following resources are also available.</w:t>
      </w:r>
    </w:p>
    <w:tbl>
      <w:tblPr>
        <w:tblStyle w:val="ListTable3"/>
        <w:tblW w:w="9634" w:type="dxa"/>
        <w:tblLook w:val="04A0" w:firstRow="1" w:lastRow="0" w:firstColumn="1" w:lastColumn="0" w:noHBand="0" w:noVBand="1"/>
        <w:tblCaption w:val="Aged care resources"/>
        <w:tblDescription w:val="Resources with more information on aged care funding."/>
      </w:tblPr>
      <w:tblGrid>
        <w:gridCol w:w="3397"/>
        <w:gridCol w:w="6237"/>
      </w:tblGrid>
      <w:tr w:rsidR="004D34EC" w:rsidRPr="00523527" w14:paraId="7A14E8BC" w14:textId="77777777" w:rsidTr="002C1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</w:tcPr>
          <w:p w14:paraId="4C38442D" w14:textId="77777777" w:rsidR="004D34EC" w:rsidRPr="00D9583A" w:rsidRDefault="004D34EC" w:rsidP="00D9583A">
            <w:bookmarkStart w:id="1" w:name="_Hlk113108455"/>
            <w:bookmarkStart w:id="2" w:name="_Hlk113108679"/>
            <w:r w:rsidRPr="00D9583A">
              <w:t>Information source</w:t>
            </w:r>
          </w:p>
        </w:tc>
        <w:tc>
          <w:tcPr>
            <w:tcW w:w="6237" w:type="dxa"/>
          </w:tcPr>
          <w:p w14:paraId="259C5927" w14:textId="77777777" w:rsidR="004D34EC" w:rsidRPr="00D9583A" w:rsidRDefault="004D34EC" w:rsidP="00D958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583A">
              <w:t>Description</w:t>
            </w:r>
          </w:p>
        </w:tc>
      </w:tr>
      <w:tr w:rsidR="004D34EC" w:rsidRPr="00523527" w14:paraId="504D1C76" w14:textId="77777777" w:rsidTr="002C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F315DA6" w14:textId="77777777" w:rsidR="004D34EC" w:rsidRPr="00D9583A" w:rsidRDefault="004D34EC" w:rsidP="00D9583A">
            <w:r w:rsidRPr="00D9583A">
              <w:t>Resources and factsheets</w:t>
            </w:r>
          </w:p>
        </w:tc>
        <w:tc>
          <w:tcPr>
            <w:tcW w:w="6237" w:type="dxa"/>
          </w:tcPr>
          <w:p w14:paraId="73E26BC3" w14:textId="5009BFFD" w:rsidR="004D34EC" w:rsidRPr="00D9583A" w:rsidRDefault="00B65F0E" w:rsidP="00D9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4D34EC" w:rsidRPr="00D9583A">
                <w:rPr>
                  <w:rStyle w:val="Hyperlink"/>
                </w:rPr>
                <w:t>Resources and factsheets</w:t>
              </w:r>
            </w:hyperlink>
            <w:r w:rsidR="004D34EC" w:rsidRPr="00D9583A">
              <w:t xml:space="preserve"> can be located on the health website.</w:t>
            </w:r>
          </w:p>
        </w:tc>
      </w:tr>
      <w:tr w:rsidR="004D34EC" w:rsidRPr="00523527" w14:paraId="16AB9B90" w14:textId="77777777" w:rsidTr="002C1B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949C830" w14:textId="77777777" w:rsidR="004D34EC" w:rsidRPr="00D9583A" w:rsidRDefault="004D34EC" w:rsidP="00D9583A">
            <w:r w:rsidRPr="00D9583A">
              <w:t>Social media</w:t>
            </w:r>
          </w:p>
        </w:tc>
        <w:tc>
          <w:tcPr>
            <w:tcW w:w="6237" w:type="dxa"/>
          </w:tcPr>
          <w:p w14:paraId="5E91B3CD" w14:textId="121E222A" w:rsidR="004D34EC" w:rsidRPr="00D9583A" w:rsidRDefault="004D34EC" w:rsidP="00D9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83A">
              <w:t xml:space="preserve">Follow us on </w:t>
            </w:r>
            <w:hyperlink r:id="rId20" w:history="1">
              <w:r w:rsidRPr="00D9583A">
                <w:rPr>
                  <w:rStyle w:val="Hyperlink"/>
                </w:rPr>
                <w:t>Facebook</w:t>
              </w:r>
            </w:hyperlink>
            <w:r w:rsidRPr="00D9583A">
              <w:t xml:space="preserve">, </w:t>
            </w:r>
            <w:hyperlink r:id="rId21" w:history="1">
              <w:r w:rsidR="000B0084" w:rsidRPr="00D9583A">
                <w:rPr>
                  <w:rStyle w:val="Hyperlink"/>
                </w:rPr>
                <w:t>X</w:t>
              </w:r>
            </w:hyperlink>
            <w:r w:rsidRPr="00D9583A">
              <w:t xml:space="preserve">, </w:t>
            </w:r>
            <w:hyperlink r:id="rId22" w:history="1">
              <w:r w:rsidRPr="00D9583A">
                <w:rPr>
                  <w:rStyle w:val="Hyperlink"/>
                </w:rPr>
                <w:t>LinkedIn</w:t>
              </w:r>
            </w:hyperlink>
            <w:r w:rsidRPr="00D9583A">
              <w:t xml:space="preserve"> and </w:t>
            </w:r>
            <w:hyperlink r:id="rId23" w:history="1">
              <w:r w:rsidRPr="00D9583A">
                <w:rPr>
                  <w:rStyle w:val="Hyperlink"/>
                </w:rPr>
                <w:t>Instagram</w:t>
              </w:r>
            </w:hyperlink>
          </w:p>
        </w:tc>
      </w:tr>
      <w:tr w:rsidR="004D34EC" w:rsidRPr="00523527" w14:paraId="572F203F" w14:textId="77777777" w:rsidTr="002C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07B9FDB" w14:textId="77777777" w:rsidR="004D34EC" w:rsidRPr="00D9583A" w:rsidRDefault="004D34EC" w:rsidP="00D9583A">
            <w:r w:rsidRPr="00D9583A">
              <w:t>Subscriptions</w:t>
            </w:r>
          </w:p>
        </w:tc>
        <w:tc>
          <w:tcPr>
            <w:tcW w:w="6237" w:type="dxa"/>
          </w:tcPr>
          <w:p w14:paraId="31B06568" w14:textId="77777777" w:rsidR="004D34EC" w:rsidRPr="00D9583A" w:rsidRDefault="00B65F0E" w:rsidP="00D9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4D34EC" w:rsidRPr="00D9583A">
                <w:rPr>
                  <w:rStyle w:val="Hyperlink"/>
                </w:rPr>
                <w:t>Subscribe to the Department of Health and Aged Care’s newsletters</w:t>
              </w:r>
            </w:hyperlink>
            <w:r w:rsidR="004D34EC" w:rsidRPr="00D9583A">
              <w:t xml:space="preserve"> for aged care updates.</w:t>
            </w:r>
          </w:p>
        </w:tc>
      </w:tr>
      <w:tr w:rsidR="004D34EC" w:rsidRPr="00523527" w14:paraId="6E29B4A9" w14:textId="77777777" w:rsidTr="002C1B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5F4E615" w14:textId="77777777" w:rsidR="004D34EC" w:rsidRPr="00D9583A" w:rsidRDefault="004D34EC" w:rsidP="00D9583A">
            <w:r w:rsidRPr="00D9583A">
              <w:t>Ageing and Aged Care Engagement Hub</w:t>
            </w:r>
          </w:p>
        </w:tc>
        <w:tc>
          <w:tcPr>
            <w:tcW w:w="6237" w:type="dxa"/>
          </w:tcPr>
          <w:p w14:paraId="5F2B7B42" w14:textId="77777777" w:rsidR="004D34EC" w:rsidRPr="00D9583A" w:rsidRDefault="004D34EC" w:rsidP="00D9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83A">
              <w:t>Find current engagement activities and register your interest to be involved in workshops, focus groups, webinars and surveys</w:t>
            </w:r>
          </w:p>
          <w:p w14:paraId="222485B2" w14:textId="77777777" w:rsidR="004D34EC" w:rsidRPr="00D9583A" w:rsidRDefault="004D34EC" w:rsidP="00D9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83A">
              <w:t xml:space="preserve">Website: </w:t>
            </w:r>
            <w:hyperlink r:id="rId25" w:history="1">
              <w:r w:rsidRPr="00D9583A">
                <w:rPr>
                  <w:rStyle w:val="Hyperlink"/>
                </w:rPr>
                <w:t>https://www.agedcareengagement.health.gov.au/</w:t>
              </w:r>
            </w:hyperlink>
          </w:p>
        </w:tc>
      </w:tr>
      <w:bookmarkEnd w:id="1"/>
      <w:tr w:rsidR="004D34EC" w:rsidRPr="00523527" w14:paraId="530C5BB0" w14:textId="77777777" w:rsidTr="002C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4F6B364" w14:textId="77777777" w:rsidR="004D34EC" w:rsidRPr="00D9583A" w:rsidRDefault="004D34EC" w:rsidP="00D9583A">
            <w:r w:rsidRPr="00D9583A">
              <w:t>My Aged Care service provider and assessor helpline</w:t>
            </w:r>
          </w:p>
        </w:tc>
        <w:tc>
          <w:tcPr>
            <w:tcW w:w="6237" w:type="dxa"/>
          </w:tcPr>
          <w:p w14:paraId="274CD3A7" w14:textId="77777777" w:rsidR="004D34EC" w:rsidRPr="00D9583A" w:rsidRDefault="004D34EC" w:rsidP="00D9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583A">
              <w:t>For help with the My Aged Care system or technical support for providers and assessors.</w:t>
            </w:r>
          </w:p>
          <w:p w14:paraId="49607CB8" w14:textId="77777777" w:rsidR="004D34EC" w:rsidRPr="00D9583A" w:rsidRDefault="004D34EC" w:rsidP="00D9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583A">
              <w:t>Phone: 1800 836 799</w:t>
            </w:r>
          </w:p>
          <w:p w14:paraId="159D6A86" w14:textId="77777777" w:rsidR="004D34EC" w:rsidRPr="00D9583A" w:rsidRDefault="004D34EC" w:rsidP="00D9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583A">
              <w:t>The helpline is available from 8:00am to 8:00pm Monday to Friday and 10:00am to 2:00pm Saturday, local time across Australia.</w:t>
            </w:r>
          </w:p>
        </w:tc>
      </w:tr>
    </w:tbl>
    <w:bookmarkEnd w:id="2"/>
    <w:p w14:paraId="3C5E8C35" w14:textId="583074DF" w:rsidR="00F21AAD" w:rsidRPr="00D9583A" w:rsidRDefault="00636F0A" w:rsidP="002C1B02">
      <w:pPr>
        <w:pStyle w:val="NormalText"/>
        <w:rPr>
          <w:i/>
          <w:iCs/>
        </w:rPr>
      </w:pPr>
      <w:r w:rsidRPr="00D9583A">
        <w:rPr>
          <w:i/>
          <w:iCs/>
        </w:rPr>
        <w:t xml:space="preserve">Last updated </w:t>
      </w:r>
      <w:r w:rsidR="00F20A21" w:rsidRPr="00D9583A">
        <w:rPr>
          <w:i/>
          <w:iCs/>
        </w:rPr>
        <w:t>202</w:t>
      </w:r>
      <w:r w:rsidR="0062522F" w:rsidRPr="00D9583A">
        <w:rPr>
          <w:i/>
          <w:iCs/>
        </w:rPr>
        <w:t>4</w:t>
      </w:r>
    </w:p>
    <w:sectPr w:rsidR="00F21AAD" w:rsidRPr="00D9583A" w:rsidSect="00365A89">
      <w:pgSz w:w="11900" w:h="16840"/>
      <w:pgMar w:top="1361" w:right="1361" w:bottom="907" w:left="1134" w:header="709" w:footer="55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63653" w14:textId="77777777" w:rsidR="003618A4" w:rsidRDefault="003618A4" w:rsidP="001172BA">
      <w:r>
        <w:separator/>
      </w:r>
    </w:p>
  </w:endnote>
  <w:endnote w:type="continuationSeparator" w:id="0">
    <w:p w14:paraId="0B355DF7" w14:textId="77777777" w:rsidR="003618A4" w:rsidRDefault="003618A4" w:rsidP="001172BA">
      <w:r>
        <w:continuationSeparator/>
      </w:r>
    </w:p>
  </w:endnote>
  <w:endnote w:type="continuationNotice" w:id="1">
    <w:p w14:paraId="7497EF02" w14:textId="77777777" w:rsidR="003618A4" w:rsidRDefault="003618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@SimSun-ExtB"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2B140" w14:textId="77777777" w:rsidR="003618A4" w:rsidRDefault="003618A4" w:rsidP="001172BA"/>
  </w:footnote>
  <w:footnote w:type="continuationSeparator" w:id="0">
    <w:p w14:paraId="6D00D1FE" w14:textId="77777777" w:rsidR="003618A4" w:rsidRDefault="003618A4" w:rsidP="001172BA">
      <w:r>
        <w:continuationSeparator/>
      </w:r>
    </w:p>
  </w:footnote>
  <w:footnote w:type="continuationNotice" w:id="1">
    <w:p w14:paraId="2BC153E6" w14:textId="77777777" w:rsidR="003618A4" w:rsidRDefault="003618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2CC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569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8380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5A2D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66A1AC5"/>
    <w:multiLevelType w:val="multilevel"/>
    <w:tmpl w:val="D96C8A6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FAE0A22"/>
    <w:multiLevelType w:val="hybridMultilevel"/>
    <w:tmpl w:val="B2F4C8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1A4A4B"/>
    <w:multiLevelType w:val="hybridMultilevel"/>
    <w:tmpl w:val="13560D52"/>
    <w:lvl w:ilvl="0" w:tplc="A0DA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1732B"/>
    <w:multiLevelType w:val="hybridMultilevel"/>
    <w:tmpl w:val="12B8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6371B"/>
    <w:multiLevelType w:val="multilevel"/>
    <w:tmpl w:val="A0D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F31DC"/>
    <w:multiLevelType w:val="multilevel"/>
    <w:tmpl w:val="46C6AE88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Arial" w:hAnsi="Arial" w:hint="default"/>
        <w:color w:val="1E1545" w:themeColor="text1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749C512D"/>
    <w:multiLevelType w:val="hybridMultilevel"/>
    <w:tmpl w:val="0332D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746581">
    <w:abstractNumId w:val="9"/>
  </w:num>
  <w:num w:numId="2" w16cid:durableId="17284497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567523">
    <w:abstractNumId w:val="4"/>
  </w:num>
  <w:num w:numId="4" w16cid:durableId="2066294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54027">
    <w:abstractNumId w:val="10"/>
  </w:num>
  <w:num w:numId="6" w16cid:durableId="259534121">
    <w:abstractNumId w:val="8"/>
  </w:num>
  <w:num w:numId="7" w16cid:durableId="1731616156">
    <w:abstractNumId w:val="5"/>
  </w:num>
  <w:num w:numId="8" w16cid:durableId="1314261412">
    <w:abstractNumId w:val="7"/>
  </w:num>
  <w:num w:numId="9" w16cid:durableId="783578843">
    <w:abstractNumId w:val="3"/>
  </w:num>
  <w:num w:numId="10" w16cid:durableId="2088453730">
    <w:abstractNumId w:val="2"/>
  </w:num>
  <w:num w:numId="11" w16cid:durableId="1692610213">
    <w:abstractNumId w:val="1"/>
  </w:num>
  <w:num w:numId="12" w16cid:durableId="1930382017">
    <w:abstractNumId w:val="0"/>
  </w:num>
  <w:num w:numId="13" w16cid:durableId="903028170">
    <w:abstractNumId w:val="6"/>
  </w:num>
  <w:num w:numId="14" w16cid:durableId="781537229">
    <w:abstractNumId w:val="9"/>
  </w:num>
  <w:num w:numId="15" w16cid:durableId="100301050">
    <w:abstractNumId w:val="9"/>
  </w:num>
  <w:num w:numId="16" w16cid:durableId="1495336356">
    <w:abstractNumId w:val="9"/>
  </w:num>
  <w:num w:numId="17" w16cid:durableId="5331231">
    <w:abstractNumId w:val="9"/>
  </w:num>
  <w:num w:numId="18" w16cid:durableId="686104137">
    <w:abstractNumId w:val="9"/>
  </w:num>
  <w:num w:numId="19" w16cid:durableId="781608921">
    <w:abstractNumId w:val="9"/>
  </w:num>
  <w:num w:numId="20" w16cid:durableId="393158627">
    <w:abstractNumId w:val="9"/>
  </w:num>
  <w:num w:numId="21" w16cid:durableId="235743609">
    <w:abstractNumId w:val="9"/>
  </w:num>
  <w:num w:numId="22" w16cid:durableId="346367838">
    <w:abstractNumId w:val="9"/>
  </w:num>
  <w:num w:numId="23" w16cid:durableId="618730098">
    <w:abstractNumId w:val="9"/>
  </w:num>
  <w:num w:numId="24" w16cid:durableId="2105179499">
    <w:abstractNumId w:val="9"/>
  </w:num>
  <w:num w:numId="25" w16cid:durableId="464204093">
    <w:abstractNumId w:val="9"/>
  </w:num>
  <w:num w:numId="26" w16cid:durableId="1387947309">
    <w:abstractNumId w:val="9"/>
  </w:num>
  <w:num w:numId="27" w16cid:durableId="1881353667">
    <w:abstractNumId w:val="9"/>
  </w:num>
  <w:num w:numId="28" w16cid:durableId="723722981">
    <w:abstractNumId w:val="9"/>
  </w:num>
  <w:num w:numId="29" w16cid:durableId="1684360259">
    <w:abstractNumId w:val="9"/>
  </w:num>
  <w:num w:numId="30" w16cid:durableId="514537202">
    <w:abstractNumId w:val="9"/>
  </w:num>
  <w:num w:numId="31" w16cid:durableId="1267888863">
    <w:abstractNumId w:val="9"/>
  </w:num>
  <w:num w:numId="32" w16cid:durableId="1122920859">
    <w:abstractNumId w:val="9"/>
  </w:num>
  <w:num w:numId="33" w16cid:durableId="1555390221">
    <w:abstractNumId w:val="9"/>
  </w:num>
  <w:num w:numId="34" w16cid:durableId="1411002390">
    <w:abstractNumId w:val="9"/>
  </w:num>
  <w:num w:numId="35" w16cid:durableId="1777754953">
    <w:abstractNumId w:val="9"/>
  </w:num>
  <w:num w:numId="36" w16cid:durableId="1369989185">
    <w:abstractNumId w:val="9"/>
  </w:num>
  <w:num w:numId="37" w16cid:durableId="819620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ListTable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BA"/>
    <w:rsid w:val="00006510"/>
    <w:rsid w:val="000110EA"/>
    <w:rsid w:val="000121B1"/>
    <w:rsid w:val="00013A72"/>
    <w:rsid w:val="00014DDE"/>
    <w:rsid w:val="00015D1B"/>
    <w:rsid w:val="00021869"/>
    <w:rsid w:val="000225AB"/>
    <w:rsid w:val="00083B12"/>
    <w:rsid w:val="000842C2"/>
    <w:rsid w:val="00086E1C"/>
    <w:rsid w:val="000A2E1A"/>
    <w:rsid w:val="000A44DC"/>
    <w:rsid w:val="000A57FB"/>
    <w:rsid w:val="000A7D4E"/>
    <w:rsid w:val="000B0084"/>
    <w:rsid w:val="000B0E9C"/>
    <w:rsid w:val="000B35A4"/>
    <w:rsid w:val="000B7EB7"/>
    <w:rsid w:val="000C3A5B"/>
    <w:rsid w:val="000C3FC8"/>
    <w:rsid w:val="000D414C"/>
    <w:rsid w:val="000E336D"/>
    <w:rsid w:val="000E34D3"/>
    <w:rsid w:val="000E640C"/>
    <w:rsid w:val="00100214"/>
    <w:rsid w:val="0010162C"/>
    <w:rsid w:val="00104EFD"/>
    <w:rsid w:val="001172BA"/>
    <w:rsid w:val="001178A3"/>
    <w:rsid w:val="00123680"/>
    <w:rsid w:val="00141921"/>
    <w:rsid w:val="00141C7F"/>
    <w:rsid w:val="00162AC9"/>
    <w:rsid w:val="001662CE"/>
    <w:rsid w:val="001765EF"/>
    <w:rsid w:val="00177301"/>
    <w:rsid w:val="00177534"/>
    <w:rsid w:val="0018085A"/>
    <w:rsid w:val="00186958"/>
    <w:rsid w:val="001869FC"/>
    <w:rsid w:val="00190CC7"/>
    <w:rsid w:val="00191E1B"/>
    <w:rsid w:val="001A0D5A"/>
    <w:rsid w:val="001B1F38"/>
    <w:rsid w:val="001B7C8F"/>
    <w:rsid w:val="001C51BB"/>
    <w:rsid w:val="001D65C3"/>
    <w:rsid w:val="001E4AB9"/>
    <w:rsid w:val="001F1AFF"/>
    <w:rsid w:val="0020446C"/>
    <w:rsid w:val="002061F4"/>
    <w:rsid w:val="00216C79"/>
    <w:rsid w:val="0021799F"/>
    <w:rsid w:val="00226AD6"/>
    <w:rsid w:val="00231AAE"/>
    <w:rsid w:val="00235D06"/>
    <w:rsid w:val="002513ED"/>
    <w:rsid w:val="00251499"/>
    <w:rsid w:val="002522B2"/>
    <w:rsid w:val="0026088A"/>
    <w:rsid w:val="00261736"/>
    <w:rsid w:val="00273D08"/>
    <w:rsid w:val="00281727"/>
    <w:rsid w:val="002B372B"/>
    <w:rsid w:val="002B6F76"/>
    <w:rsid w:val="002C1B02"/>
    <w:rsid w:val="002C25E1"/>
    <w:rsid w:val="002C5F59"/>
    <w:rsid w:val="002F17F5"/>
    <w:rsid w:val="002F293F"/>
    <w:rsid w:val="002F3AFE"/>
    <w:rsid w:val="002F3E20"/>
    <w:rsid w:val="002F56BA"/>
    <w:rsid w:val="003210AB"/>
    <w:rsid w:val="003226F2"/>
    <w:rsid w:val="00326CAC"/>
    <w:rsid w:val="0033420E"/>
    <w:rsid w:val="003618A4"/>
    <w:rsid w:val="00365A89"/>
    <w:rsid w:val="0036662C"/>
    <w:rsid w:val="00382D13"/>
    <w:rsid w:val="0039209E"/>
    <w:rsid w:val="003A3A9B"/>
    <w:rsid w:val="003B792D"/>
    <w:rsid w:val="003C3C74"/>
    <w:rsid w:val="003C73E4"/>
    <w:rsid w:val="003F1B73"/>
    <w:rsid w:val="003F2D2A"/>
    <w:rsid w:val="003F528D"/>
    <w:rsid w:val="00405811"/>
    <w:rsid w:val="0041023D"/>
    <w:rsid w:val="004249B9"/>
    <w:rsid w:val="00425D86"/>
    <w:rsid w:val="00430AA3"/>
    <w:rsid w:val="004422F3"/>
    <w:rsid w:val="00446D26"/>
    <w:rsid w:val="004477C1"/>
    <w:rsid w:val="00460636"/>
    <w:rsid w:val="00461A8A"/>
    <w:rsid w:val="00463095"/>
    <w:rsid w:val="00465DE0"/>
    <w:rsid w:val="004725EA"/>
    <w:rsid w:val="00476D2A"/>
    <w:rsid w:val="0048402F"/>
    <w:rsid w:val="00494F7A"/>
    <w:rsid w:val="004A2685"/>
    <w:rsid w:val="004A5F99"/>
    <w:rsid w:val="004A6752"/>
    <w:rsid w:val="004A72B1"/>
    <w:rsid w:val="004C184E"/>
    <w:rsid w:val="004D34EC"/>
    <w:rsid w:val="004D57DF"/>
    <w:rsid w:val="004F6EBC"/>
    <w:rsid w:val="005021FC"/>
    <w:rsid w:val="0050445E"/>
    <w:rsid w:val="005129DC"/>
    <w:rsid w:val="00514E93"/>
    <w:rsid w:val="00520AB8"/>
    <w:rsid w:val="00532CE1"/>
    <w:rsid w:val="005420A7"/>
    <w:rsid w:val="00543539"/>
    <w:rsid w:val="0054403F"/>
    <w:rsid w:val="00546FE6"/>
    <w:rsid w:val="005478E5"/>
    <w:rsid w:val="00550B57"/>
    <w:rsid w:val="005512B6"/>
    <w:rsid w:val="00553BD4"/>
    <w:rsid w:val="00554E05"/>
    <w:rsid w:val="00571910"/>
    <w:rsid w:val="00573004"/>
    <w:rsid w:val="00575616"/>
    <w:rsid w:val="00575B91"/>
    <w:rsid w:val="005772C6"/>
    <w:rsid w:val="00580264"/>
    <w:rsid w:val="005837C3"/>
    <w:rsid w:val="0058682C"/>
    <w:rsid w:val="00591614"/>
    <w:rsid w:val="005A1BFD"/>
    <w:rsid w:val="005A2503"/>
    <w:rsid w:val="005B5E44"/>
    <w:rsid w:val="005C4831"/>
    <w:rsid w:val="005C6411"/>
    <w:rsid w:val="005F1142"/>
    <w:rsid w:val="005F1B0A"/>
    <w:rsid w:val="005F2759"/>
    <w:rsid w:val="006041BE"/>
    <w:rsid w:val="00606435"/>
    <w:rsid w:val="0062297F"/>
    <w:rsid w:val="00623F48"/>
    <w:rsid w:val="0062522F"/>
    <w:rsid w:val="00631253"/>
    <w:rsid w:val="00633AD7"/>
    <w:rsid w:val="00636F0A"/>
    <w:rsid w:val="00642227"/>
    <w:rsid w:val="00650004"/>
    <w:rsid w:val="00652E81"/>
    <w:rsid w:val="00653594"/>
    <w:rsid w:val="0065491A"/>
    <w:rsid w:val="00657021"/>
    <w:rsid w:val="00660377"/>
    <w:rsid w:val="00664C69"/>
    <w:rsid w:val="00677452"/>
    <w:rsid w:val="00677B08"/>
    <w:rsid w:val="006835C7"/>
    <w:rsid w:val="0068542C"/>
    <w:rsid w:val="00686391"/>
    <w:rsid w:val="0069339B"/>
    <w:rsid w:val="006A08BD"/>
    <w:rsid w:val="006A168C"/>
    <w:rsid w:val="006B1082"/>
    <w:rsid w:val="006B6DA3"/>
    <w:rsid w:val="006C1AA9"/>
    <w:rsid w:val="006C75A8"/>
    <w:rsid w:val="006D619F"/>
    <w:rsid w:val="006F0CBA"/>
    <w:rsid w:val="006F1106"/>
    <w:rsid w:val="006F3531"/>
    <w:rsid w:val="006F3EDF"/>
    <w:rsid w:val="0070057D"/>
    <w:rsid w:val="00715024"/>
    <w:rsid w:val="007216E3"/>
    <w:rsid w:val="00733309"/>
    <w:rsid w:val="0073737F"/>
    <w:rsid w:val="00742811"/>
    <w:rsid w:val="0074525E"/>
    <w:rsid w:val="0074555E"/>
    <w:rsid w:val="00745C8E"/>
    <w:rsid w:val="00761F26"/>
    <w:rsid w:val="00776AA8"/>
    <w:rsid w:val="00791F72"/>
    <w:rsid w:val="007951F2"/>
    <w:rsid w:val="007A481E"/>
    <w:rsid w:val="007B097E"/>
    <w:rsid w:val="007B6242"/>
    <w:rsid w:val="007C4EAE"/>
    <w:rsid w:val="007D2E9A"/>
    <w:rsid w:val="007D3FDC"/>
    <w:rsid w:val="007E2AD3"/>
    <w:rsid w:val="007F34AA"/>
    <w:rsid w:val="00804D70"/>
    <w:rsid w:val="008063CC"/>
    <w:rsid w:val="00826079"/>
    <w:rsid w:val="008309D1"/>
    <w:rsid w:val="00831B2D"/>
    <w:rsid w:val="00845C7B"/>
    <w:rsid w:val="00866FD9"/>
    <w:rsid w:val="008678F1"/>
    <w:rsid w:val="00870682"/>
    <w:rsid w:val="00873AEA"/>
    <w:rsid w:val="0087505A"/>
    <w:rsid w:val="00884417"/>
    <w:rsid w:val="0089454D"/>
    <w:rsid w:val="0089681F"/>
    <w:rsid w:val="00897F01"/>
    <w:rsid w:val="008A0F15"/>
    <w:rsid w:val="008A67F7"/>
    <w:rsid w:val="008C03A3"/>
    <w:rsid w:val="008C7CE8"/>
    <w:rsid w:val="008D68D3"/>
    <w:rsid w:val="009006A4"/>
    <w:rsid w:val="00901E97"/>
    <w:rsid w:val="00905711"/>
    <w:rsid w:val="00914504"/>
    <w:rsid w:val="009229C7"/>
    <w:rsid w:val="0092460D"/>
    <w:rsid w:val="00943FE8"/>
    <w:rsid w:val="00947F5F"/>
    <w:rsid w:val="0096627E"/>
    <w:rsid w:val="0098320F"/>
    <w:rsid w:val="00985989"/>
    <w:rsid w:val="00995DC5"/>
    <w:rsid w:val="00997042"/>
    <w:rsid w:val="009A4112"/>
    <w:rsid w:val="009A757F"/>
    <w:rsid w:val="009C63E0"/>
    <w:rsid w:val="009C7A03"/>
    <w:rsid w:val="009D49C8"/>
    <w:rsid w:val="009D4AC2"/>
    <w:rsid w:val="009E3C67"/>
    <w:rsid w:val="009E6DBD"/>
    <w:rsid w:val="009F6A90"/>
    <w:rsid w:val="00A00C90"/>
    <w:rsid w:val="00A0161D"/>
    <w:rsid w:val="00A01D9C"/>
    <w:rsid w:val="00A05D8D"/>
    <w:rsid w:val="00A304E5"/>
    <w:rsid w:val="00A33AAC"/>
    <w:rsid w:val="00A34689"/>
    <w:rsid w:val="00A405A5"/>
    <w:rsid w:val="00A41F93"/>
    <w:rsid w:val="00A45A20"/>
    <w:rsid w:val="00A45E03"/>
    <w:rsid w:val="00A479CB"/>
    <w:rsid w:val="00A50FCA"/>
    <w:rsid w:val="00A53BA3"/>
    <w:rsid w:val="00A608C7"/>
    <w:rsid w:val="00A6547B"/>
    <w:rsid w:val="00A70D84"/>
    <w:rsid w:val="00A71B14"/>
    <w:rsid w:val="00A82321"/>
    <w:rsid w:val="00A93086"/>
    <w:rsid w:val="00A97A7F"/>
    <w:rsid w:val="00AC0980"/>
    <w:rsid w:val="00AC111F"/>
    <w:rsid w:val="00AC66C4"/>
    <w:rsid w:val="00AD3447"/>
    <w:rsid w:val="00AE0B6E"/>
    <w:rsid w:val="00AE2F1B"/>
    <w:rsid w:val="00AF01AA"/>
    <w:rsid w:val="00B01105"/>
    <w:rsid w:val="00B02649"/>
    <w:rsid w:val="00B116D0"/>
    <w:rsid w:val="00B116D5"/>
    <w:rsid w:val="00B1378E"/>
    <w:rsid w:val="00B20208"/>
    <w:rsid w:val="00B40165"/>
    <w:rsid w:val="00B4225A"/>
    <w:rsid w:val="00B500B3"/>
    <w:rsid w:val="00B60E0F"/>
    <w:rsid w:val="00B65F0E"/>
    <w:rsid w:val="00B83E12"/>
    <w:rsid w:val="00B9597F"/>
    <w:rsid w:val="00BA3A68"/>
    <w:rsid w:val="00BA50DF"/>
    <w:rsid w:val="00BA6FDA"/>
    <w:rsid w:val="00BB21D8"/>
    <w:rsid w:val="00BB34AA"/>
    <w:rsid w:val="00BB6875"/>
    <w:rsid w:val="00BB7155"/>
    <w:rsid w:val="00BE0FBB"/>
    <w:rsid w:val="00BE13B8"/>
    <w:rsid w:val="00BF513B"/>
    <w:rsid w:val="00BF6E1D"/>
    <w:rsid w:val="00C1095B"/>
    <w:rsid w:val="00C15FB6"/>
    <w:rsid w:val="00C211F7"/>
    <w:rsid w:val="00C22B8C"/>
    <w:rsid w:val="00C261E9"/>
    <w:rsid w:val="00C3195C"/>
    <w:rsid w:val="00C31B39"/>
    <w:rsid w:val="00C3691A"/>
    <w:rsid w:val="00C56EC6"/>
    <w:rsid w:val="00C64418"/>
    <w:rsid w:val="00C67ABB"/>
    <w:rsid w:val="00C72A2B"/>
    <w:rsid w:val="00C77B3B"/>
    <w:rsid w:val="00CA1866"/>
    <w:rsid w:val="00CA2C9D"/>
    <w:rsid w:val="00CA4A29"/>
    <w:rsid w:val="00CB5427"/>
    <w:rsid w:val="00CC1452"/>
    <w:rsid w:val="00CC7CA2"/>
    <w:rsid w:val="00CE10B7"/>
    <w:rsid w:val="00CE512C"/>
    <w:rsid w:val="00CF25B2"/>
    <w:rsid w:val="00D002FB"/>
    <w:rsid w:val="00D11518"/>
    <w:rsid w:val="00D14425"/>
    <w:rsid w:val="00D30D70"/>
    <w:rsid w:val="00D376AE"/>
    <w:rsid w:val="00D40CCA"/>
    <w:rsid w:val="00D41E54"/>
    <w:rsid w:val="00D50722"/>
    <w:rsid w:val="00D70A29"/>
    <w:rsid w:val="00D77842"/>
    <w:rsid w:val="00D83B40"/>
    <w:rsid w:val="00D87B57"/>
    <w:rsid w:val="00D92908"/>
    <w:rsid w:val="00D9583A"/>
    <w:rsid w:val="00D978B0"/>
    <w:rsid w:val="00DA52BE"/>
    <w:rsid w:val="00DA5414"/>
    <w:rsid w:val="00DA7527"/>
    <w:rsid w:val="00DA7783"/>
    <w:rsid w:val="00DB1F49"/>
    <w:rsid w:val="00DB6D97"/>
    <w:rsid w:val="00DC58BC"/>
    <w:rsid w:val="00DC7AC4"/>
    <w:rsid w:val="00DC7CB0"/>
    <w:rsid w:val="00DE1F4E"/>
    <w:rsid w:val="00DF061C"/>
    <w:rsid w:val="00E051BA"/>
    <w:rsid w:val="00E10AC1"/>
    <w:rsid w:val="00E13643"/>
    <w:rsid w:val="00E2480B"/>
    <w:rsid w:val="00E27F92"/>
    <w:rsid w:val="00E40AD2"/>
    <w:rsid w:val="00E40AFA"/>
    <w:rsid w:val="00E510D9"/>
    <w:rsid w:val="00E621E3"/>
    <w:rsid w:val="00E6772A"/>
    <w:rsid w:val="00E72872"/>
    <w:rsid w:val="00E739B8"/>
    <w:rsid w:val="00E7643D"/>
    <w:rsid w:val="00E7773D"/>
    <w:rsid w:val="00E82638"/>
    <w:rsid w:val="00E8271B"/>
    <w:rsid w:val="00E830CD"/>
    <w:rsid w:val="00E95B49"/>
    <w:rsid w:val="00EB7EB5"/>
    <w:rsid w:val="00EC25AC"/>
    <w:rsid w:val="00ED1FCA"/>
    <w:rsid w:val="00ED5C48"/>
    <w:rsid w:val="00EE14BA"/>
    <w:rsid w:val="00EE3102"/>
    <w:rsid w:val="00EF0853"/>
    <w:rsid w:val="00EF1521"/>
    <w:rsid w:val="00EF4741"/>
    <w:rsid w:val="00EF6414"/>
    <w:rsid w:val="00F0454C"/>
    <w:rsid w:val="00F0609D"/>
    <w:rsid w:val="00F2057E"/>
    <w:rsid w:val="00F20A21"/>
    <w:rsid w:val="00F21AAD"/>
    <w:rsid w:val="00F21E3D"/>
    <w:rsid w:val="00F26F4F"/>
    <w:rsid w:val="00F31B9E"/>
    <w:rsid w:val="00F3213E"/>
    <w:rsid w:val="00F37D00"/>
    <w:rsid w:val="00F4067A"/>
    <w:rsid w:val="00F628AE"/>
    <w:rsid w:val="00F7290B"/>
    <w:rsid w:val="00F768FA"/>
    <w:rsid w:val="00F83BC8"/>
    <w:rsid w:val="00F9682E"/>
    <w:rsid w:val="00FA27B3"/>
    <w:rsid w:val="00FA6061"/>
    <w:rsid w:val="00FB30D5"/>
    <w:rsid w:val="00FB69ED"/>
    <w:rsid w:val="00FC2516"/>
    <w:rsid w:val="00FC4063"/>
    <w:rsid w:val="00FE2A63"/>
    <w:rsid w:val="00FE5B73"/>
    <w:rsid w:val="00FF4686"/>
    <w:rsid w:val="00FF62C0"/>
    <w:rsid w:val="0154DBCD"/>
    <w:rsid w:val="0627BF6E"/>
    <w:rsid w:val="15226B5F"/>
    <w:rsid w:val="182CE982"/>
    <w:rsid w:val="20333491"/>
    <w:rsid w:val="226C7AB3"/>
    <w:rsid w:val="2519D6F8"/>
    <w:rsid w:val="2B3D6250"/>
    <w:rsid w:val="2E40913D"/>
    <w:rsid w:val="3BD79E80"/>
    <w:rsid w:val="4E5630CF"/>
    <w:rsid w:val="5C61DFBA"/>
    <w:rsid w:val="6700556A"/>
    <w:rsid w:val="68178471"/>
    <w:rsid w:val="6B2EB1ED"/>
    <w:rsid w:val="6CC8281B"/>
    <w:rsid w:val="72C63AF9"/>
    <w:rsid w:val="7C21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56135"/>
  <w15:chartTrackingRefBased/>
  <w15:docId w15:val="{5F931BE9-BC24-D44E-BC62-A67299F0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47B"/>
  </w:style>
  <w:style w:type="paragraph" w:styleId="Heading1">
    <w:name w:val="heading 1"/>
    <w:next w:val="Normal"/>
    <w:link w:val="Heading1Char"/>
    <w:uiPriority w:val="9"/>
    <w:rsid w:val="00A6547B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5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6547B"/>
    <w:pPr>
      <w:spacing w:before="40"/>
      <w:outlineLvl w:val="1"/>
    </w:pPr>
    <w:rPr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547B"/>
    <w:pPr>
      <w:spacing w:before="120" w:after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0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848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2BA"/>
  </w:style>
  <w:style w:type="paragraph" w:styleId="Footer">
    <w:name w:val="footer"/>
    <w:basedOn w:val="Normal"/>
    <w:link w:val="Foot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2BA"/>
  </w:style>
  <w:style w:type="paragraph" w:customStyle="1" w:styleId="Introduction">
    <w:name w:val="Introduction"/>
    <w:basedOn w:val="Normal"/>
    <w:next w:val="Normal"/>
    <w:qFormat/>
    <w:rsid w:val="00A6547B"/>
    <w:pPr>
      <w:spacing w:before="100" w:beforeAutospacing="1" w:after="240" w:line="276" w:lineRule="auto"/>
      <w:outlineLvl w:val="0"/>
    </w:pPr>
    <w:rPr>
      <w:rFonts w:ascii="Arial" w:eastAsia="Times New Roman" w:hAnsi="Arial"/>
      <w:color w:val="1E1644"/>
      <w:sz w:val="32"/>
      <w:szCs w:val="20"/>
      <w:lang w:eastAsia="en-GB"/>
    </w:rPr>
  </w:style>
  <w:style w:type="character" w:styleId="Strong">
    <w:name w:val="Strong"/>
    <w:uiPriority w:val="22"/>
    <w:qFormat/>
    <w:rsid w:val="001172BA"/>
    <w:rPr>
      <w:b/>
      <w:bCs/>
      <w:spacing w:val="0"/>
    </w:rPr>
  </w:style>
  <w:style w:type="paragraph" w:customStyle="1" w:styleId="NormalText">
    <w:name w:val="Normal Text"/>
    <w:basedOn w:val="Normal"/>
    <w:qFormat/>
    <w:rsid w:val="001172BA"/>
    <w:pPr>
      <w:spacing w:before="120" w:after="120" w:line="288" w:lineRule="auto"/>
    </w:pPr>
    <w:rPr>
      <w:rFonts w:ascii="Arial" w:eastAsia="Times New Roman" w:hAnsi="Arial"/>
      <w:noProof/>
      <w:color w:val="1E1545" w:themeColor="text1"/>
      <w:szCs w:val="20"/>
      <w:shd w:val="clear" w:color="auto" w:fill="FFFFFF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1172BA"/>
    <w:pPr>
      <w:ind w:left="680"/>
    </w:pPr>
    <w:rPr>
      <w:rFonts w:ascii="Arial" w:hAnsi="Arial"/>
      <w:color w:val="1E1545" w:themeColor="text1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2BA"/>
    <w:rPr>
      <w:rFonts w:ascii="Arial" w:hAnsi="Arial"/>
      <w:color w:val="1E1545" w:themeColor="text1"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72BA"/>
    <w:rPr>
      <w:rFonts w:ascii="Arial" w:hAnsi="Arial"/>
      <w:sz w:val="24"/>
      <w:vertAlign w:val="superscript"/>
    </w:rPr>
  </w:style>
  <w:style w:type="paragraph" w:styleId="ListBullet">
    <w:name w:val="List Bullet"/>
    <w:basedOn w:val="Normal"/>
    <w:uiPriority w:val="99"/>
    <w:unhideWhenUsed/>
    <w:qFormat/>
    <w:rsid w:val="003F1B73"/>
    <w:pPr>
      <w:numPr>
        <w:numId w:val="1"/>
      </w:numPr>
      <w:spacing w:after="80"/>
    </w:pPr>
    <w:rPr>
      <w:rFonts w:ascii="Arial" w:hAnsi="Arial"/>
      <w:color w:val="1E1545" w:themeColor="text1"/>
      <w:szCs w:val="20"/>
    </w:rPr>
  </w:style>
  <w:style w:type="paragraph" w:styleId="ListBullet2">
    <w:name w:val="List Bullet 2"/>
    <w:basedOn w:val="Normal"/>
    <w:uiPriority w:val="99"/>
    <w:unhideWhenUsed/>
    <w:qFormat/>
    <w:rsid w:val="001172BA"/>
    <w:pPr>
      <w:numPr>
        <w:ilvl w:val="1"/>
        <w:numId w:val="1"/>
      </w:numPr>
      <w:spacing w:after="80"/>
      <w:ind w:left="1434"/>
    </w:pPr>
    <w:rPr>
      <w:rFonts w:ascii="Arial" w:hAnsi="Arial"/>
      <w:color w:val="1E1545" w:themeColor="text1"/>
      <w:szCs w:val="20"/>
    </w:rPr>
  </w:style>
  <w:style w:type="paragraph" w:styleId="ListBullet3">
    <w:name w:val="List Bullet 3"/>
    <w:basedOn w:val="Normal"/>
    <w:uiPriority w:val="99"/>
    <w:unhideWhenUsed/>
    <w:qFormat/>
    <w:rsid w:val="00DE1F4E"/>
    <w:pPr>
      <w:numPr>
        <w:ilvl w:val="2"/>
        <w:numId w:val="1"/>
      </w:numPr>
      <w:spacing w:after="80"/>
      <w:ind w:left="2160" w:hanging="181"/>
    </w:pPr>
    <w:rPr>
      <w:rFonts w:ascii="Arial" w:hAnsi="Arial"/>
      <w:color w:val="1E1545" w:themeColor="text1"/>
      <w:szCs w:val="20"/>
    </w:rPr>
  </w:style>
  <w:style w:type="paragraph" w:styleId="NoSpacing">
    <w:name w:val="No Spacing"/>
    <w:link w:val="NoSpacingChar"/>
    <w:uiPriority w:val="1"/>
    <w:qFormat/>
    <w:rsid w:val="005F1B0A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F1B0A"/>
    <w:rPr>
      <w:sz w:val="22"/>
      <w:szCs w:val="22"/>
      <w:lang w:val="en-US"/>
    </w:rPr>
  </w:style>
  <w:style w:type="table" w:styleId="PlainTable2">
    <w:name w:val="Plain Table 2"/>
    <w:basedOn w:val="TableNormal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 w:themeColor="text1" w:themeTint="80"/>
        <w:bottom w:val="single" w:sz="4" w:space="0" w:color="715DCD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2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1Horz">
      <w:tblPr/>
      <w:tcPr>
        <w:tcBorders>
          <w:top w:val="single" w:sz="4" w:space="0" w:color="715DCD" w:themeColor="text1" w:themeTint="80"/>
          <w:bottom w:val="single" w:sz="4" w:space="0" w:color="715DCD" w:themeColor="text1" w:themeTint="80"/>
        </w:tcBorders>
      </w:tcPr>
    </w:tblStylePr>
  </w:style>
  <w:style w:type="paragraph" w:styleId="ListNumber">
    <w:name w:val="List Number"/>
    <w:basedOn w:val="Normal"/>
    <w:uiPriority w:val="99"/>
    <w:unhideWhenUsed/>
    <w:qFormat/>
    <w:rsid w:val="005F1B0A"/>
    <w:pPr>
      <w:numPr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paragraph" w:styleId="ListNumber2">
    <w:name w:val="List Number 2"/>
    <w:basedOn w:val="Normal"/>
    <w:uiPriority w:val="99"/>
    <w:unhideWhenUsed/>
    <w:qFormat/>
    <w:rsid w:val="005F1B0A"/>
    <w:pPr>
      <w:numPr>
        <w:ilvl w:val="1"/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paragraph" w:styleId="ListNumber3">
    <w:name w:val="List Number 3"/>
    <w:basedOn w:val="Normal"/>
    <w:uiPriority w:val="99"/>
    <w:unhideWhenUsed/>
    <w:qFormat/>
    <w:rsid w:val="005F1B0A"/>
    <w:pPr>
      <w:numPr>
        <w:ilvl w:val="2"/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table" w:customStyle="1" w:styleId="PlainTable21">
    <w:name w:val="Plain Table 21"/>
    <w:basedOn w:val="TableNormal"/>
    <w:next w:val="PlainTable2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/>
        <w:bottom w:val="single" w:sz="4" w:space="0" w:color="715DCD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2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1Horz">
      <w:tblPr/>
      <w:tcPr>
        <w:tcBorders>
          <w:top w:val="single" w:sz="4" w:space="0" w:color="715DCD"/>
          <w:bottom w:val="single" w:sz="4" w:space="0" w:color="715DC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63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0"/>
    <w:rPr>
      <w:rFonts w:ascii="Times New Roman" w:hAnsi="Times New Roman" w:cs="Times New Roman"/>
      <w:sz w:val="18"/>
      <w:szCs w:val="18"/>
    </w:rPr>
  </w:style>
  <w:style w:type="paragraph" w:customStyle="1" w:styleId="Quoteorcalloutbox">
    <w:name w:val="Quote or call out box"/>
    <w:basedOn w:val="Normal"/>
    <w:qFormat/>
    <w:rsid w:val="00A6547B"/>
    <w:pPr>
      <w:pBdr>
        <w:top w:val="single" w:sz="8" w:space="1" w:color="2AB1BB" w:themeColor="accent1"/>
        <w:bottom w:val="single" w:sz="8" w:space="1" w:color="2AB1BB" w:themeColor="accent1"/>
      </w:pBdr>
      <w:spacing w:before="100" w:beforeAutospacing="1" w:after="120" w:line="276" w:lineRule="auto"/>
      <w:outlineLvl w:val="1"/>
    </w:pPr>
    <w:rPr>
      <w:rFonts w:ascii="Arial" w:eastAsia="Times New Roman" w:hAnsi="Arial"/>
      <w:bCs/>
      <w:noProof/>
      <w:color w:val="1E1644"/>
      <w:shd w:val="clear" w:color="auto" w:fill="FFFFFF"/>
      <w:lang w:eastAsia="en-GB"/>
    </w:rPr>
  </w:style>
  <w:style w:type="table" w:styleId="TableGrid">
    <w:name w:val="Table Grid"/>
    <w:basedOn w:val="TableNormal"/>
    <w:uiPriority w:val="39"/>
    <w:rsid w:val="006F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547B"/>
    <w:rPr>
      <w:rFonts w:ascii="Arial" w:eastAsiaTheme="majorEastAsia" w:hAnsi="Arial" w:cstheme="majorBidi"/>
      <w:b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116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stTable3">
    <w:name w:val="List Table 3"/>
    <w:basedOn w:val="TableNormal"/>
    <w:uiPriority w:val="48"/>
    <w:rsid w:val="004D34EC"/>
    <w:pPr>
      <w:spacing w:before="120" w:after="120"/>
    </w:pPr>
    <w:rPr>
      <w:color w:val="1E1545" w:themeColor="text1"/>
    </w:rPr>
    <w:tblPr>
      <w:tblStyleRowBandSize w:val="1"/>
      <w:tblStyleColBandSize w:val="1"/>
      <w:tblBorders>
        <w:top w:val="single" w:sz="4" w:space="0" w:color="1E1545" w:themeColor="text1"/>
        <w:left w:val="single" w:sz="4" w:space="0" w:color="1E1545" w:themeColor="text1"/>
        <w:bottom w:val="single" w:sz="4" w:space="0" w:color="1E1545" w:themeColor="text1"/>
        <w:right w:val="single" w:sz="4" w:space="0" w:color="1E1545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1545" w:themeFill="text1"/>
      </w:tcPr>
    </w:tblStylePr>
    <w:tblStylePr w:type="lastRow">
      <w:rPr>
        <w:b/>
        <w:bCs/>
      </w:rPr>
      <w:tblPr/>
      <w:tcPr>
        <w:tcBorders>
          <w:top w:val="double" w:sz="4" w:space="0" w:color="1E1545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1545" w:themeColor="text1"/>
          <w:right w:val="single" w:sz="4" w:space="0" w:color="1E1545" w:themeColor="text1"/>
        </w:tcBorders>
      </w:tcPr>
    </w:tblStylePr>
    <w:tblStylePr w:type="band1Horz">
      <w:tblPr/>
      <w:tcPr>
        <w:tcBorders>
          <w:top w:val="single" w:sz="4" w:space="0" w:color="1E1545" w:themeColor="text1"/>
          <w:bottom w:val="single" w:sz="4" w:space="0" w:color="1E1545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1545" w:themeColor="text1"/>
          <w:left w:val="nil"/>
        </w:tcBorders>
      </w:tcPr>
    </w:tblStylePr>
    <w:tblStylePr w:type="swCell">
      <w:tblPr/>
      <w:tcPr>
        <w:tcBorders>
          <w:top w:val="double" w:sz="4" w:space="0" w:color="1E1545" w:themeColor="tex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7773D"/>
    <w:rPr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6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F0A"/>
    <w:pPr>
      <w:keepLines/>
      <w:spacing w:before="120"/>
    </w:pPr>
    <w:rPr>
      <w:rFonts w:ascii="Segoe UI" w:eastAsiaTheme="minorHAnsi" w:hAnsi="Segoe UI" w:cs="Times New Roman (Body CS)"/>
      <w:spacing w:val="-3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F0A"/>
    <w:rPr>
      <w:rFonts w:ascii="Segoe UI" w:eastAsiaTheme="minorHAnsi" w:hAnsi="Segoe UI" w:cs="Times New Roman (Body CS)"/>
      <w:spacing w:val="-3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6547B"/>
    <w:rPr>
      <w:rFonts w:ascii="Arial" w:eastAsiaTheme="majorEastAsia" w:hAnsi="Arial" w:cstheme="majorBidi"/>
      <w:b/>
      <w:sz w:val="36"/>
      <w:szCs w:val="26"/>
    </w:rPr>
  </w:style>
  <w:style w:type="table" w:customStyle="1" w:styleId="AgedCare1">
    <w:name w:val="Aged Care 1"/>
    <w:basedOn w:val="TableNormal"/>
    <w:uiPriority w:val="99"/>
    <w:rsid w:val="00E510D9"/>
    <w:pPr>
      <w:snapToGrid w:val="0"/>
      <w:jc w:val="center"/>
    </w:pPr>
    <w:rPr>
      <w:rFonts w:ascii="Segoe UI" w:eastAsiaTheme="minorHAnsi" w:hAnsi="Segoe UI" w:cs="Times New Roman (Body CS)"/>
      <w:sz w:val="20"/>
      <w:lang w:eastAsia="en-US"/>
    </w:rPr>
    <w:tblPr>
      <w:tblStyleRowBandSize w:val="1"/>
      <w:tblStyleColBandSize w:val="1"/>
      <w:tblBorders>
        <w:bottom w:val="single" w:sz="4" w:space="0" w:color="2AB1BB" w:themeColor="accent1"/>
        <w:insideH w:val="single" w:sz="4" w:space="0" w:color="2AB1BB" w:themeColor="accent1"/>
      </w:tblBorders>
    </w:tblPr>
    <w:tcPr>
      <w:shd w:val="clear" w:color="auto" w:fill="auto"/>
    </w:tcPr>
    <w:tblStylePr w:type="firstRow">
      <w:pPr>
        <w:wordWrap/>
        <w:spacing w:line="240" w:lineRule="auto"/>
        <w:jc w:val="center"/>
      </w:pPr>
      <w:rPr>
        <w:rFonts w:ascii="@SimSun-ExtB" w:hAnsi="@SimSun-ExtB"/>
        <w:b/>
        <w:i w:val="0"/>
        <w:color w:val="2AB1BB" w:themeColor="accent1"/>
        <w:sz w:val="20"/>
      </w:rPr>
    </w:tblStylePr>
    <w:tblStylePr w:type="firstCol">
      <w:pPr>
        <w:wordWrap/>
        <w:spacing w:line="240" w:lineRule="auto"/>
        <w:jc w:val="left"/>
      </w:pPr>
      <w:rPr>
        <w:rFonts w:ascii="@SimSun-ExtB" w:hAnsi="@SimSun-ExtB"/>
        <w:b/>
        <w:i w:val="0"/>
        <w:color w:val="2AB1BB" w:themeColor="accent1"/>
        <w:sz w:val="20"/>
      </w:rPr>
    </w:tblStylePr>
  </w:style>
  <w:style w:type="character" w:customStyle="1" w:styleId="Heading4Char">
    <w:name w:val="Heading 4 Char"/>
    <w:basedOn w:val="DefaultParagraphFont"/>
    <w:link w:val="Heading4"/>
    <w:uiPriority w:val="6"/>
    <w:rsid w:val="00573004"/>
    <w:rPr>
      <w:rFonts w:asciiTheme="majorHAnsi" w:eastAsiaTheme="majorEastAsia" w:hAnsiTheme="majorHAnsi" w:cstheme="majorBidi"/>
      <w:i/>
      <w:iCs/>
      <w:color w:val="1F848B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8678F1"/>
    <w:pPr>
      <w:spacing w:after="200"/>
    </w:pPr>
    <w:rPr>
      <w:rFonts w:ascii="Arial" w:hAnsi="Arial"/>
      <w:b/>
      <w:iCs/>
      <w:color w:val="1E1545" w:themeColor="text1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C73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5811"/>
    <w:rPr>
      <w:color w:val="78BE43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811"/>
    <w:pPr>
      <w:keepLines w:val="0"/>
      <w:spacing w:before="0"/>
    </w:pPr>
    <w:rPr>
      <w:rFonts w:asciiTheme="minorHAnsi" w:eastAsiaTheme="minorEastAsia" w:hAnsiTheme="minorHAnsi" w:cstheme="minorBidi"/>
      <w:b/>
      <w:bCs/>
      <w:spacing w:val="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811"/>
    <w:rPr>
      <w:rFonts w:ascii="Segoe UI" w:eastAsiaTheme="minorHAnsi" w:hAnsi="Segoe UI" w:cs="Times New Roman (Body CS)"/>
      <w:b/>
      <w:bCs/>
      <w:spacing w:val="-3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6547B"/>
    <w:rPr>
      <w:rFonts w:ascii="Arial" w:eastAsiaTheme="majorEastAsia" w:hAnsi="Arial" w:cstheme="majorBidi"/>
      <w:b/>
      <w:sz w:val="28"/>
      <w:szCs w:val="26"/>
    </w:rPr>
  </w:style>
  <w:style w:type="paragraph" w:styleId="Revision">
    <w:name w:val="Revision"/>
    <w:hidden/>
    <w:uiPriority w:val="99"/>
    <w:semiHidden/>
    <w:rsid w:val="00B116D5"/>
  </w:style>
  <w:style w:type="paragraph" w:styleId="ListParagraph">
    <w:name w:val="List Paragraph"/>
    <w:basedOn w:val="Normal"/>
    <w:uiPriority w:val="34"/>
    <w:qFormat/>
    <w:rsid w:val="00C31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an-acc-reference-manual-and-an-acc-assessment-tool" TargetMode="External"/><Relationship Id="rId18" Type="http://schemas.openxmlformats.org/officeDocument/2006/relationships/hyperlink" Target="https://www.health.gov.au/our-work/AN-ACC/funding-higher-wages-in-residential-aged-car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healthgov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health.gov.au/resources/publications/the-australian-national-aged-care-classification-an-acc-funding-guide" TargetMode="External"/><Relationship Id="rId25" Type="http://schemas.openxmlformats.org/officeDocument/2006/relationships/hyperlink" Target="https://www.agedcareengagement.health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an-acc-reference-manual-and-an-acc-assessment-tool" TargetMode="External"/><Relationship Id="rId20" Type="http://schemas.openxmlformats.org/officeDocument/2006/relationships/hyperlink" Target="https://www.facebook.com/healthgov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health.gov.au/using-our-websites/subscriptions/subscribe-to-the-aged-care-sector-newsletters-and-aler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health-topics/aged-care/aged-care-reforms-and-reviews/residential-aged-care-funding-reform/assessment-process-and-classification" TargetMode="External"/><Relationship Id="rId23" Type="http://schemas.openxmlformats.org/officeDocument/2006/relationships/hyperlink" Target="https://www.instagram.com/healthgova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collections/an-acc-resour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an-acc-reference-manual-and-an-acc-assessment-tool" TargetMode="External"/><Relationship Id="rId22" Type="http://schemas.openxmlformats.org/officeDocument/2006/relationships/hyperlink" Target="https://www.linkedin.com/company/dept-of-health-gov-a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HAC">
  <a:themeElements>
    <a:clrScheme name="DHAC">
      <a:dk1>
        <a:srgbClr val="1E1545"/>
      </a:dk1>
      <a:lt1>
        <a:sysClr val="window" lastClr="FFFFFF"/>
      </a:lt1>
      <a:dk2>
        <a:srgbClr val="1E1545"/>
      </a:dk2>
      <a:lt2>
        <a:srgbClr val="EEEEEE"/>
      </a:lt2>
      <a:accent1>
        <a:srgbClr val="2AB1BB"/>
      </a:accent1>
      <a:accent2>
        <a:srgbClr val="78BE43"/>
      </a:accent2>
      <a:accent3>
        <a:srgbClr val="8C5AA5"/>
      </a:accent3>
      <a:accent4>
        <a:srgbClr val="DA576C"/>
      </a:accent4>
      <a:accent5>
        <a:srgbClr val="F26A2B"/>
      </a:accent5>
      <a:accent6>
        <a:srgbClr val="F4B223"/>
      </a:accent6>
      <a:hlink>
        <a:srgbClr val="2AB1BB"/>
      </a:hlink>
      <a:folHlink>
        <a:srgbClr val="78BE43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da294-f5b6-4e2d-8b21-4a7d04dca982">
      <Terms xmlns="http://schemas.microsoft.com/office/infopath/2007/PartnerControls"/>
    </lcf76f155ced4ddcb4097134ff3c332f>
    <TaxCatchAll xmlns="d48bfc06-5762-4cfb-85f8-969387ebc8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6562A4C7FCB449B30A025D981B1B5" ma:contentTypeVersion="13" ma:contentTypeDescription="Create a new document." ma:contentTypeScope="" ma:versionID="c4092d97c7aa492b63689308b24197f1">
  <xsd:schema xmlns:xsd="http://www.w3.org/2001/XMLSchema" xmlns:xs="http://www.w3.org/2001/XMLSchema" xmlns:p="http://schemas.microsoft.com/office/2006/metadata/properties" xmlns:ns2="d26da294-f5b6-4e2d-8b21-4a7d04dca982" xmlns:ns3="d48bfc06-5762-4cfb-85f8-969387ebc8ab" targetNamespace="http://schemas.microsoft.com/office/2006/metadata/properties" ma:root="true" ma:fieldsID="8982cbecabcc7ce40bd1a9d93afa9345" ns2:_="" ns3:_="">
    <xsd:import namespace="d26da294-f5b6-4e2d-8b21-4a7d04dca982"/>
    <xsd:import namespace="d48bfc06-5762-4cfb-85f8-969387ebc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294-f5b6-4e2d-8b21-4a7d04dc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fc06-5762-4cfb-85f8-969387ebc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da6ba94-57bf-4ca0-9c63-de628d56127e}" ma:internalName="TaxCatchAll" ma:showField="CatchAllData" ma:web="d48bfc06-5762-4cfb-85f8-969387ebc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4B7DA-5069-5746-A9D1-52DCE3414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EF5545-A15F-4956-9E8D-62AB5A496646}">
  <ds:schemaRefs>
    <ds:schemaRef ds:uri="http://schemas.microsoft.com/office/2006/metadata/properties"/>
    <ds:schemaRef ds:uri="http://purl.org/dc/terms/"/>
    <ds:schemaRef ds:uri="d26da294-f5b6-4e2d-8b21-4a7d04dca982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48bfc06-5762-4cfb-85f8-969387ebc8a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7B6F77-D040-47DC-AF9E-39FE327EF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294-f5b6-4e2d-8b21-4a7d04dca982"/>
    <ds:schemaRef ds:uri="d48bfc06-5762-4cfb-85f8-969387ebc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264A6-1F82-4C6B-ADAE-4DED7A790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is cognition assessed under AN-ACC? – Fact sheet</vt:lpstr>
    </vt:vector>
  </TitlesOfParts>
  <Manager/>
  <Company/>
  <LinksUpToDate>false</LinksUpToDate>
  <CharactersWithSpaces>6160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is cognition assessed for residential aged care funding? – Fact sheet</dc:title>
  <dc:subject>Aged Care</dc:subject>
  <dc:creator>Australian Government Department of Health and Aged Care</dc:creator>
  <cp:keywords>Aged care; Residential aged care; Australian National Aged Care Classification funding model</cp:keywords>
  <dc:description/>
  <cp:revision>2</cp:revision>
  <cp:lastPrinted>2023-08-21T05:05:00Z</cp:lastPrinted>
  <dcterms:created xsi:type="dcterms:W3CDTF">2024-11-20T23:31:00Z</dcterms:created>
  <dcterms:modified xsi:type="dcterms:W3CDTF">2024-11-20T23:31:00Z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0x0101002C06562A4C7FCB449B30A025D981B1B5</vt:lpwstr>
  </property>
  <property fmtid="{D5CDD505-2E9C-101B-9397-08002B2CF9AE}" pid="3" name="MediaServiceImageTags">
    <vt:lpwstr/>
  </property>
</Properties>
</file>