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2B95" w14:textId="15934676" w:rsidR="001172BA" w:rsidRPr="00E55F25" w:rsidRDefault="00762923" w:rsidP="00E55F25">
      <w:pPr>
        <w:pStyle w:val="Title"/>
      </w:pPr>
      <w:bookmarkStart w:id="0" w:name="_Hlk117850481"/>
      <w:r w:rsidRPr="00E55F25">
        <w:t>Home Care Package</w:t>
      </w:r>
      <w:r w:rsidR="006715F3" w:rsidRPr="00E55F25">
        <w:t>s</w:t>
      </w:r>
      <w:r w:rsidRPr="00E55F25">
        <w:t>: a</w:t>
      </w:r>
      <w:r w:rsidR="00716CCE" w:rsidRPr="00E55F25">
        <w:t>ccess</w:t>
      </w:r>
      <w:r w:rsidRPr="00E55F25">
        <w:t xml:space="preserve"> </w:t>
      </w:r>
      <w:r w:rsidR="006F40FC" w:rsidRPr="00E55F25">
        <w:t xml:space="preserve">to $2,500 for </w:t>
      </w:r>
      <w:r w:rsidR="00716CCE" w:rsidRPr="00E55F25">
        <w:t xml:space="preserve">urgent goods, </w:t>
      </w:r>
      <w:r w:rsidRPr="00E55F25">
        <w:t>equipment,</w:t>
      </w:r>
      <w:r w:rsidR="00716CCE" w:rsidRPr="00E55F25">
        <w:t xml:space="preserve"> </w:t>
      </w:r>
      <w:r w:rsidRPr="00E55F25">
        <w:t>and</w:t>
      </w:r>
      <w:r w:rsidR="00716CCE" w:rsidRPr="00E55F25">
        <w:t xml:space="preserve"> assistive technology</w:t>
      </w:r>
    </w:p>
    <w:p w14:paraId="79B79E3B" w14:textId="482BB6CC" w:rsidR="00B36A1C" w:rsidRDefault="00762923" w:rsidP="00E120CF">
      <w:r>
        <w:t xml:space="preserve">Home Care Package (HCP) </w:t>
      </w:r>
      <w:r w:rsidR="00235037">
        <w:t xml:space="preserve">care </w:t>
      </w:r>
      <w:r>
        <w:t>recipient</w:t>
      </w:r>
      <w:r w:rsidR="006715F3">
        <w:t>s</w:t>
      </w:r>
      <w:r>
        <w:t xml:space="preserve"> </w:t>
      </w:r>
      <w:r w:rsidR="00F353F6">
        <w:t xml:space="preserve">who </w:t>
      </w:r>
      <w:r>
        <w:t>urgently need Goods, Equipment and Assistive Technology (GEAT)</w:t>
      </w:r>
      <w:r w:rsidR="006715F3">
        <w:t>,</w:t>
      </w:r>
      <w:r>
        <w:t xml:space="preserve"> such as mobility aids, </w:t>
      </w:r>
      <w:r w:rsidR="00235037">
        <w:t>can</w:t>
      </w:r>
      <w:r>
        <w:t xml:space="preserve"> now </w:t>
      </w:r>
      <w:r w:rsidR="00235037">
        <w:t xml:space="preserve">access </w:t>
      </w:r>
      <w:r w:rsidR="006F40FC">
        <w:t>up to $2,500 for equipment through</w:t>
      </w:r>
      <w:r>
        <w:t xml:space="preserve"> the Commonwealth Home Support Program</w:t>
      </w:r>
      <w:r w:rsidR="006F40FC">
        <w:t>me</w:t>
      </w:r>
      <w:r>
        <w:t xml:space="preserve"> (CHSP)</w:t>
      </w:r>
      <w:r w:rsidR="00235037">
        <w:t>.</w:t>
      </w:r>
      <w:bookmarkEnd w:id="0"/>
    </w:p>
    <w:p w14:paraId="40D83732" w14:textId="0D35E74F" w:rsidR="00703A8A" w:rsidRPr="00E55F25" w:rsidRDefault="00703A8A" w:rsidP="00E55F25">
      <w:pPr>
        <w:pStyle w:val="Heading1"/>
      </w:pPr>
      <w:r w:rsidRPr="00E55F25">
        <w:t>What is GEAT</w:t>
      </w:r>
      <w:r w:rsidR="00966ECE" w:rsidRPr="00E55F25">
        <w:t>?</w:t>
      </w:r>
    </w:p>
    <w:p w14:paraId="56D01E35" w14:textId="1F359162" w:rsidR="00703A8A" w:rsidRPr="00E55F25" w:rsidRDefault="00703A8A" w:rsidP="00E55F25">
      <w:bookmarkStart w:id="1" w:name="_Hlk117855296"/>
      <w:r w:rsidRPr="00E55F25">
        <w:t xml:space="preserve">GEAT </w:t>
      </w:r>
      <w:r w:rsidR="00892F2E" w:rsidRPr="00E55F25">
        <w:t xml:space="preserve">refers to </w:t>
      </w:r>
      <w:r w:rsidRPr="00E55F25">
        <w:t xml:space="preserve">items </w:t>
      </w:r>
      <w:r w:rsidR="00966ECE" w:rsidRPr="00E55F25">
        <w:t>that help</w:t>
      </w:r>
      <w:r w:rsidRPr="00E55F25">
        <w:t xml:space="preserve"> </w:t>
      </w:r>
      <w:r w:rsidR="00892F2E" w:rsidRPr="00E55F25">
        <w:t xml:space="preserve">older Australians to </w:t>
      </w:r>
      <w:r w:rsidRPr="00E55F25">
        <w:t>manage a range of health conditions</w:t>
      </w:r>
      <w:r w:rsidR="00892F2E" w:rsidRPr="00E55F25">
        <w:t xml:space="preserve">, </w:t>
      </w:r>
      <w:r w:rsidRPr="00E55F25">
        <w:t>reduce risk of falls, assist</w:t>
      </w:r>
      <w:r w:rsidR="00966ECE" w:rsidRPr="00E55F25">
        <w:t xml:space="preserve"> with </w:t>
      </w:r>
      <w:r w:rsidRPr="00E55F25">
        <w:t>daily activities that may pose a challenge</w:t>
      </w:r>
      <w:r w:rsidR="00892F2E" w:rsidRPr="00E55F25">
        <w:t xml:space="preserve"> and minimise reliance on family or formal carers. These items</w:t>
      </w:r>
      <w:r w:rsidR="00966ECE" w:rsidRPr="00E55F25">
        <w:t xml:space="preserve"> include</w:t>
      </w:r>
      <w:r w:rsidRPr="00E55F25">
        <w:t xml:space="preserve"> bendable cutlery, walking sticks, raised toilet seats, as well as more costly supports such as mobility scooters, specialised chairs, wheelchairs, and modified beds.</w:t>
      </w:r>
    </w:p>
    <w:p w14:paraId="3919F9B8" w14:textId="54E8E802" w:rsidR="00703A8A" w:rsidRPr="00E55F25" w:rsidRDefault="00DE4193" w:rsidP="00E55F25">
      <w:r w:rsidRPr="00E55F25">
        <w:t>There are three categories for GEAT items:</w:t>
      </w:r>
    </w:p>
    <w:p w14:paraId="41A4CD6B" w14:textId="06198041" w:rsidR="00703A8A" w:rsidRPr="00F353F6" w:rsidRDefault="00703A8A" w:rsidP="00E55F25">
      <w:pPr>
        <w:pStyle w:val="ListNumber"/>
      </w:pPr>
      <w:r w:rsidRPr="00E55F25">
        <w:rPr>
          <w:rStyle w:val="Strong"/>
        </w:rPr>
        <w:t>Low-risk:</w:t>
      </w:r>
      <w:r w:rsidRPr="006906F8">
        <w:t xml:space="preserve"> Simple and relatively low-cost daily living aids such as a long-handled duster or a jar opener. These usually do not need clinical instruction</w:t>
      </w:r>
      <w:r>
        <w:t>s on</w:t>
      </w:r>
      <w:r w:rsidRPr="006906F8">
        <w:t xml:space="preserve"> us</w:t>
      </w:r>
      <w:r>
        <w:t>age</w:t>
      </w:r>
      <w:r w:rsidRPr="006906F8">
        <w:t xml:space="preserve">. </w:t>
      </w:r>
    </w:p>
    <w:p w14:paraId="4B20548E" w14:textId="76C00627" w:rsidR="00F353F6" w:rsidRPr="00F353F6" w:rsidRDefault="00703A8A" w:rsidP="00E55F25">
      <w:pPr>
        <w:pStyle w:val="ListNumber"/>
      </w:pPr>
      <w:r w:rsidRPr="00E55F25">
        <w:rPr>
          <w:rStyle w:val="Strong"/>
        </w:rPr>
        <w:t>Under-advice:</w:t>
      </w:r>
      <w:r w:rsidRPr="006906F8">
        <w:t xml:space="preserve"> </w:t>
      </w:r>
      <w:r w:rsidR="00C62B66">
        <w:t xml:space="preserve">items </w:t>
      </w:r>
      <w:r w:rsidR="00560B6B">
        <w:t>where w</w:t>
      </w:r>
      <w:r w:rsidRPr="006906F8">
        <w:t xml:space="preserve">ritten or professional advice is encouraged to ensure they are installed </w:t>
      </w:r>
      <w:r w:rsidR="00560B6B">
        <w:t xml:space="preserve">and used </w:t>
      </w:r>
      <w:r w:rsidRPr="006906F8">
        <w:t xml:space="preserve">correctly. Examples </w:t>
      </w:r>
      <w:r w:rsidR="00560B6B">
        <w:t>include</w:t>
      </w:r>
      <w:r w:rsidR="00560B6B" w:rsidRPr="006906F8">
        <w:t xml:space="preserve"> </w:t>
      </w:r>
      <w:r w:rsidRPr="006906F8">
        <w:t>body system monitors, wheeled walking frames and personal alarms.</w:t>
      </w:r>
    </w:p>
    <w:bookmarkEnd w:id="1"/>
    <w:p w14:paraId="27679F32" w14:textId="67186827" w:rsidR="00E34050" w:rsidRDefault="00703A8A" w:rsidP="00E55F25">
      <w:pPr>
        <w:pStyle w:val="ListNumber"/>
      </w:pPr>
      <w:r w:rsidRPr="00E55F25">
        <w:rPr>
          <w:rStyle w:val="Strong"/>
        </w:rPr>
        <w:t>Prescribed:</w:t>
      </w:r>
      <w:r w:rsidRPr="00E34050">
        <w:t xml:space="preserve"> These are usually more costly and complex items that are specifically adjusted or designed to meet the support needs of an individual such as scooters, powered wheelchairs, patient hoists, and adjustable beds.</w:t>
      </w:r>
    </w:p>
    <w:p w14:paraId="0303BAC9" w14:textId="291AD177" w:rsidR="00E34050" w:rsidRPr="00E55F25" w:rsidRDefault="00E34050" w:rsidP="00E55F25">
      <w:r w:rsidRPr="00E55F25">
        <w:t xml:space="preserve">GEAT is </w:t>
      </w:r>
      <w:r w:rsidR="00894B1D" w:rsidRPr="00E55F25">
        <w:t xml:space="preserve">recommended </w:t>
      </w:r>
      <w:r w:rsidRPr="00E55F25">
        <w:t>for older Australians when:</w:t>
      </w:r>
    </w:p>
    <w:p w14:paraId="41216F36" w14:textId="04E298ED" w:rsidR="00E34050" w:rsidRPr="00E55F25" w:rsidRDefault="00894B1D" w:rsidP="00E55F25">
      <w:pPr>
        <w:pStyle w:val="ListBullet"/>
      </w:pPr>
      <w:r w:rsidRPr="00E55F25">
        <w:t xml:space="preserve">The </w:t>
      </w:r>
      <w:r w:rsidR="00E34050" w:rsidRPr="00E55F25">
        <w:t>item will minimise the risk of serious injury to the care recipient, carer or provider</w:t>
      </w:r>
      <w:r w:rsidRPr="00E55F25">
        <w:t>.</w:t>
      </w:r>
      <w:r w:rsidR="00E34050" w:rsidRPr="00E55F25">
        <w:t xml:space="preserve"> </w:t>
      </w:r>
    </w:p>
    <w:p w14:paraId="0EBFE7DC" w14:textId="68D92F6F" w:rsidR="002759BF" w:rsidRPr="00E55F25" w:rsidRDefault="00894B1D" w:rsidP="00E55F25">
      <w:pPr>
        <w:pStyle w:val="ListBullet"/>
      </w:pPr>
      <w:r w:rsidRPr="00E55F25">
        <w:t xml:space="preserve">The </w:t>
      </w:r>
      <w:r w:rsidR="00E34050" w:rsidRPr="00E55F25">
        <w:t xml:space="preserve">care recipient would be compromised when completing </w:t>
      </w:r>
      <w:r w:rsidRPr="00E55F25">
        <w:t xml:space="preserve">daily </w:t>
      </w:r>
      <w:r w:rsidR="00E34050" w:rsidRPr="00E55F25">
        <w:t>activities without the equipment</w:t>
      </w:r>
      <w:r w:rsidRPr="00E55F25">
        <w:t>.</w:t>
      </w:r>
    </w:p>
    <w:p w14:paraId="43F1027F" w14:textId="6EFDA1E5" w:rsidR="002759BF" w:rsidRPr="00E55F25" w:rsidRDefault="00894B1D" w:rsidP="00E55F25">
      <w:pPr>
        <w:pStyle w:val="ListBullet"/>
      </w:pPr>
      <w:r w:rsidRPr="00E55F25">
        <w:t xml:space="preserve">The </w:t>
      </w:r>
      <w:r w:rsidR="00E34050" w:rsidRPr="00E55F25">
        <w:t>equipment will help improve functional capacity</w:t>
      </w:r>
      <w:r w:rsidRPr="00E55F25">
        <w:t>.</w:t>
      </w:r>
    </w:p>
    <w:p w14:paraId="0BE10B8E" w14:textId="1338AF9A" w:rsidR="002759BF" w:rsidRPr="00E55F25" w:rsidRDefault="00894B1D" w:rsidP="00E55F25">
      <w:pPr>
        <w:pStyle w:val="ListBullet"/>
      </w:pPr>
      <w:r w:rsidRPr="00E55F25">
        <w:t xml:space="preserve">The </w:t>
      </w:r>
      <w:r w:rsidR="002759BF" w:rsidRPr="00E55F25">
        <w:t>equipment will reduce progression of functional and/or postural deterioration</w:t>
      </w:r>
      <w:r w:rsidRPr="00E55F25">
        <w:t>.</w:t>
      </w:r>
    </w:p>
    <w:p w14:paraId="434A7058" w14:textId="5801067F" w:rsidR="00D837EB" w:rsidRDefault="00D837EB" w:rsidP="00E120CF">
      <w:pPr>
        <w:pStyle w:val="Header2"/>
      </w:pPr>
      <w:r w:rsidRPr="00D837EB">
        <w:t xml:space="preserve">How can </w:t>
      </w:r>
      <w:r w:rsidR="006715F3">
        <w:t>HCP</w:t>
      </w:r>
      <w:r w:rsidRPr="00D837EB">
        <w:t xml:space="preserve"> recipients access equipment under the CHSP?</w:t>
      </w:r>
    </w:p>
    <w:p w14:paraId="59EBDA28" w14:textId="00B55F85" w:rsidR="00E34050" w:rsidRPr="00E55F25" w:rsidRDefault="00E34050" w:rsidP="00E55F25">
      <w:r w:rsidRPr="00E55F25">
        <w:t xml:space="preserve">There is a growing need for aids and equipment for home care recipients. That’s why the Australian Government has funded an additional $25 million for GEAT under CHSP and expanded access to eligible HCP care recipients </w:t>
      </w:r>
      <w:r w:rsidR="00894B1D" w:rsidRPr="00E55F25">
        <w:t xml:space="preserve">who </w:t>
      </w:r>
      <w:r w:rsidRPr="00E55F25">
        <w:t>urgently need equipment.</w:t>
      </w:r>
    </w:p>
    <w:p w14:paraId="0E235805" w14:textId="77777777" w:rsidR="00D53739" w:rsidRPr="00E55F25" w:rsidRDefault="00D53739" w:rsidP="00E55F25">
      <w:r w:rsidRPr="00E55F25">
        <w:br w:type="page"/>
      </w:r>
    </w:p>
    <w:p w14:paraId="1DEA0743" w14:textId="65C33DB6" w:rsidR="00E34050" w:rsidRPr="00E55F25" w:rsidRDefault="00E34050" w:rsidP="00E55F25">
      <w:r w:rsidRPr="00E55F25">
        <w:lastRenderedPageBreak/>
        <w:t xml:space="preserve">Existing and approved HCP care recipients are eligible to access GEAT </w:t>
      </w:r>
      <w:r w:rsidR="00F9587D" w:rsidRPr="00E55F25">
        <w:t xml:space="preserve">through the </w:t>
      </w:r>
      <w:r w:rsidRPr="00E55F25">
        <w:t xml:space="preserve">CHSP </w:t>
      </w:r>
      <w:r w:rsidR="00F9587D" w:rsidRPr="00E55F25">
        <w:t xml:space="preserve">program </w:t>
      </w:r>
      <w:r w:rsidRPr="00E55F25">
        <w:t>if they meet the following criteria:</w:t>
      </w:r>
    </w:p>
    <w:p w14:paraId="52B74572" w14:textId="2FCE4939" w:rsidR="00E34050" w:rsidRPr="00E55F25" w:rsidRDefault="00E34050" w:rsidP="00E55F25">
      <w:pPr>
        <w:pStyle w:val="ListBullet"/>
      </w:pPr>
      <w:r w:rsidRPr="00E55F25">
        <w:t xml:space="preserve">an </w:t>
      </w:r>
      <w:r w:rsidR="004E6A7E" w:rsidRPr="00E55F25">
        <w:t>aged care assessor</w:t>
      </w:r>
      <w:r w:rsidRPr="00E55F25">
        <w:t xml:space="preserve"> has assessed the care recipient as having an urgent or immediate need for equipment; and</w:t>
      </w:r>
    </w:p>
    <w:p w14:paraId="1309062F" w14:textId="15296D2B" w:rsidR="00E34050" w:rsidRPr="00E55F25" w:rsidRDefault="00E34050" w:rsidP="00E55F25">
      <w:pPr>
        <w:pStyle w:val="ListBullet"/>
      </w:pPr>
      <w:r w:rsidRPr="00E55F25">
        <w:t xml:space="preserve">they have insufficient funds in their HCP budget </w:t>
      </w:r>
      <w:r w:rsidR="00C81BE6" w:rsidRPr="00E55F25">
        <w:t xml:space="preserve">for GEAT </w:t>
      </w:r>
      <w:r w:rsidRPr="00E55F25">
        <w:t xml:space="preserve">to </w:t>
      </w:r>
      <w:r w:rsidR="00C81BE6" w:rsidRPr="00E55F25">
        <w:t>meet short term needs.</w:t>
      </w:r>
    </w:p>
    <w:p w14:paraId="5C3EF3E4" w14:textId="7FA5B8F5" w:rsidR="00E34050" w:rsidRPr="00E55F25" w:rsidRDefault="00E34050" w:rsidP="00E55F25">
      <w:r w:rsidRPr="00E55F25">
        <w:t xml:space="preserve">From mid-November, CHSP national equipment provider geat2GO will support eligible HCP care recipients with </w:t>
      </w:r>
      <w:r w:rsidR="00894B1D" w:rsidRPr="00E55F25">
        <w:t xml:space="preserve">an urgent </w:t>
      </w:r>
      <w:r w:rsidRPr="00E55F25">
        <w:t xml:space="preserve">need. </w:t>
      </w:r>
    </w:p>
    <w:p w14:paraId="1062A218" w14:textId="01EFE19A" w:rsidR="00BF2876" w:rsidRPr="00E55F25" w:rsidRDefault="00BF2876" w:rsidP="00E55F25">
      <w:r w:rsidRPr="00E55F25">
        <w:t xml:space="preserve">HCP providers should advise </w:t>
      </w:r>
      <w:r w:rsidR="006606CD" w:rsidRPr="00E55F25">
        <w:t xml:space="preserve">HCP </w:t>
      </w:r>
      <w:r w:rsidRPr="00E55F25">
        <w:t xml:space="preserve">care recipients on what funding is available in their package budget, how much to allocate for GEAT and discuss options if urgent needs arise. </w:t>
      </w:r>
    </w:p>
    <w:p w14:paraId="681F6029" w14:textId="26D5ADEE" w:rsidR="00BF2876" w:rsidRPr="00E55F25" w:rsidRDefault="00BF2876" w:rsidP="00E55F25">
      <w:r w:rsidRPr="00E55F25">
        <w:t xml:space="preserve">Depending on how much package funding </w:t>
      </w:r>
      <w:r w:rsidR="00606C5F" w:rsidRPr="00E55F25">
        <w:t xml:space="preserve">is </w:t>
      </w:r>
      <w:r w:rsidRPr="00E55F25">
        <w:t>available, their options include:</w:t>
      </w:r>
    </w:p>
    <w:p w14:paraId="16B9021A" w14:textId="77777777" w:rsidR="00BF2876" w:rsidRPr="00E55F25" w:rsidRDefault="00BF2876" w:rsidP="00E55F25">
      <w:pPr>
        <w:pStyle w:val="ListBullet"/>
      </w:pPr>
      <w:r w:rsidRPr="007F51CC">
        <w:t xml:space="preserve">If </w:t>
      </w:r>
      <w:r w:rsidRPr="00E55F25">
        <w:t xml:space="preserve">a recipient has enough funds in their package to pay for new equipment, they will not have access to emergency GEAT under CHSP. </w:t>
      </w:r>
    </w:p>
    <w:p w14:paraId="529266ED" w14:textId="77777777" w:rsidR="00BF2876" w:rsidRPr="00E55F25" w:rsidRDefault="00BF2876" w:rsidP="00E55F25">
      <w:pPr>
        <w:pStyle w:val="ListBullet"/>
      </w:pPr>
      <w:r w:rsidRPr="00E55F25">
        <w:t>If a recipient has limited unspent funds, they should consider renting or lease to buy options. All costs related to these arrangements must be agreed in a contract between a provider and care recipient and included in the home care agreement.</w:t>
      </w:r>
    </w:p>
    <w:p w14:paraId="558376E0" w14:textId="17DBE068" w:rsidR="00BF2876" w:rsidRPr="00E55F25" w:rsidRDefault="00BF2876" w:rsidP="00E55F25">
      <w:pPr>
        <w:pStyle w:val="ListBullet"/>
      </w:pPr>
      <w:r w:rsidRPr="00E55F25">
        <w:t xml:space="preserve">If a recipient has spent their allocated funds but requires urgent GEAT, their HCP provider can arrange a referral to </w:t>
      </w:r>
      <w:r w:rsidR="00894B1D" w:rsidRPr="00E55F25">
        <w:t xml:space="preserve">an </w:t>
      </w:r>
      <w:r w:rsidR="005C2E27" w:rsidRPr="00E55F25">
        <w:t xml:space="preserve">aged care assessor </w:t>
      </w:r>
      <w:r w:rsidRPr="00E55F25">
        <w:t xml:space="preserve">to have their circumstances assessed. </w:t>
      </w:r>
    </w:p>
    <w:p w14:paraId="08B9ED59" w14:textId="55CBDEB8" w:rsidR="00F9587D" w:rsidRPr="00E55F25" w:rsidRDefault="00F9587D" w:rsidP="00E55F25">
      <w:pPr>
        <w:pStyle w:val="ListBullet2"/>
      </w:pPr>
      <w:r w:rsidRPr="00E55F25">
        <w:t>HCP providers should advise the HCP care recipient that a client contribution (gap) payment is applicable for items that cost greater than $2,500.</w:t>
      </w:r>
    </w:p>
    <w:p w14:paraId="3B66EE9C" w14:textId="35EB1912" w:rsidR="005948BF" w:rsidRPr="00E55F25" w:rsidRDefault="005948BF" w:rsidP="00E55F25">
      <w:pPr>
        <w:pStyle w:val="Heading2"/>
      </w:pPr>
      <w:r w:rsidRPr="00E55F25">
        <w:t>What is an urgent need</w:t>
      </w:r>
      <w:r w:rsidR="00BC0628" w:rsidRPr="00E55F25">
        <w:t xml:space="preserve"> </w:t>
      </w:r>
      <w:r w:rsidR="00C17B6B" w:rsidRPr="00E55F25">
        <w:t xml:space="preserve">and </w:t>
      </w:r>
      <w:r w:rsidR="00BC0628" w:rsidRPr="00E55F25">
        <w:t>who makes the decision</w:t>
      </w:r>
      <w:r w:rsidR="00966ECE" w:rsidRPr="00E55F25">
        <w:t>?</w:t>
      </w:r>
    </w:p>
    <w:p w14:paraId="066BF1C5" w14:textId="38BFE8B0" w:rsidR="005948BF" w:rsidRPr="00E55F25" w:rsidRDefault="005948BF" w:rsidP="00E55F25">
      <w:r w:rsidRPr="00E55F25">
        <w:t>Urgent</w:t>
      </w:r>
      <w:r w:rsidR="00841C29" w:rsidRPr="00E55F25">
        <w:t xml:space="preserve"> circumstances</w:t>
      </w:r>
      <w:r w:rsidRPr="00E55F25">
        <w:t xml:space="preserve"> </w:t>
      </w:r>
      <w:r w:rsidR="00984F12" w:rsidRPr="00E55F25">
        <w:t>are when</w:t>
      </w:r>
      <w:r w:rsidRPr="00E55F25">
        <w:t xml:space="preserve"> the persons immediate health and safety </w:t>
      </w:r>
      <w:r w:rsidR="00984F12" w:rsidRPr="00E55F25">
        <w:t xml:space="preserve">may be </w:t>
      </w:r>
      <w:r w:rsidRPr="00E55F25">
        <w:t xml:space="preserve">at risk </w:t>
      </w:r>
      <w:r w:rsidR="00841C29" w:rsidRPr="00E55F25">
        <w:t xml:space="preserve">if they do not receive </w:t>
      </w:r>
      <w:r w:rsidRPr="00E55F25">
        <w:t xml:space="preserve">the </w:t>
      </w:r>
      <w:r w:rsidR="00841C29" w:rsidRPr="00E55F25">
        <w:t xml:space="preserve">necessary </w:t>
      </w:r>
      <w:r w:rsidRPr="00E55F25">
        <w:t>assistive equipment.</w:t>
      </w:r>
      <w:r w:rsidR="00841C29" w:rsidRPr="00E55F25">
        <w:t xml:space="preserve"> </w:t>
      </w:r>
    </w:p>
    <w:p w14:paraId="7F0468B6" w14:textId="77777777" w:rsidR="005948BF" w:rsidRPr="00E55F25" w:rsidRDefault="005948BF" w:rsidP="00E55F25">
      <w:r w:rsidRPr="00E55F25">
        <w:t>Some examples of urgent circumstances include:</w:t>
      </w:r>
    </w:p>
    <w:p w14:paraId="0536FEBB" w14:textId="26172A81" w:rsidR="005948BF" w:rsidRPr="00E55F25" w:rsidRDefault="00FC7A23" w:rsidP="00E55F25">
      <w:pPr>
        <w:pStyle w:val="ListBullet"/>
      </w:pPr>
      <w:r w:rsidRPr="00E55F25">
        <w:t>A</w:t>
      </w:r>
      <w:r w:rsidR="00D95973" w:rsidRPr="00E55F25">
        <w:t xml:space="preserve"> care </w:t>
      </w:r>
      <w:r w:rsidRPr="00E55F25">
        <w:t>recipient</w:t>
      </w:r>
      <w:r w:rsidR="005948BF" w:rsidRPr="00E55F25">
        <w:t xml:space="preserve"> </w:t>
      </w:r>
      <w:r w:rsidRPr="00E55F25">
        <w:t>is</w:t>
      </w:r>
      <w:r w:rsidR="005948BF" w:rsidRPr="00E55F25">
        <w:t xml:space="preserve"> on the waiting list for a package</w:t>
      </w:r>
      <w:r w:rsidR="00D95973" w:rsidRPr="00E55F25">
        <w:t xml:space="preserve"> but requires urgent GEAT.</w:t>
      </w:r>
    </w:p>
    <w:p w14:paraId="38CC0869" w14:textId="37287B41" w:rsidR="005948BF" w:rsidRPr="00E55F25" w:rsidRDefault="00FC7A23" w:rsidP="00E55F25">
      <w:pPr>
        <w:pStyle w:val="ListBullet"/>
      </w:pPr>
      <w:r w:rsidRPr="00E55F25">
        <w:t>An e</w:t>
      </w:r>
      <w:r w:rsidR="005948BF" w:rsidRPr="00E55F25">
        <w:t xml:space="preserve">xisting </w:t>
      </w:r>
      <w:r w:rsidR="00D95973" w:rsidRPr="00E55F25">
        <w:t xml:space="preserve">care </w:t>
      </w:r>
      <w:r w:rsidR="005948BF" w:rsidRPr="00E55F25">
        <w:t>recipient sustain</w:t>
      </w:r>
      <w:r w:rsidRPr="00E55F25">
        <w:t>s</w:t>
      </w:r>
      <w:r w:rsidR="005948BF" w:rsidRPr="00E55F25">
        <w:t xml:space="preserve"> an injury and require</w:t>
      </w:r>
      <w:r w:rsidRPr="00E55F25">
        <w:t xml:space="preserve">s </w:t>
      </w:r>
      <w:r w:rsidR="005948BF" w:rsidRPr="00E55F25">
        <w:t xml:space="preserve">urgent </w:t>
      </w:r>
      <w:r w:rsidR="003863E2" w:rsidRPr="00E55F25">
        <w:t>GEAT but</w:t>
      </w:r>
      <w:r w:rsidR="005948BF" w:rsidRPr="00E55F25">
        <w:t xml:space="preserve"> </w:t>
      </w:r>
      <w:r w:rsidRPr="00E55F25">
        <w:t xml:space="preserve">has </w:t>
      </w:r>
      <w:r w:rsidR="005948BF" w:rsidRPr="00E55F25">
        <w:t>insufficient funds in their package to cover the purchase.</w:t>
      </w:r>
    </w:p>
    <w:p w14:paraId="64D59DD4" w14:textId="384F09E6" w:rsidR="005948BF" w:rsidRPr="00E55F25" w:rsidRDefault="00D95973" w:rsidP="00E55F25">
      <w:pPr>
        <w:pStyle w:val="ListBullet"/>
      </w:pPr>
      <w:r w:rsidRPr="00E55F25">
        <w:t>An e</w:t>
      </w:r>
      <w:r w:rsidR="005948BF" w:rsidRPr="00E55F25">
        <w:t xml:space="preserve">xisting </w:t>
      </w:r>
      <w:r w:rsidRPr="00E55F25">
        <w:t xml:space="preserve">care </w:t>
      </w:r>
      <w:r w:rsidR="005948BF" w:rsidRPr="00E55F25">
        <w:t>recipient</w:t>
      </w:r>
      <w:r w:rsidRPr="00E55F25">
        <w:t xml:space="preserve"> uses </w:t>
      </w:r>
      <w:r w:rsidR="005948BF" w:rsidRPr="00E55F25">
        <w:t>most of their package each month</w:t>
      </w:r>
      <w:r w:rsidRPr="00E55F25">
        <w:t xml:space="preserve">. They were just </w:t>
      </w:r>
      <w:r w:rsidR="005948BF" w:rsidRPr="00E55F25">
        <w:t>reassessed and require</w:t>
      </w:r>
      <w:r w:rsidRPr="00E55F25">
        <w:t xml:space="preserve"> </w:t>
      </w:r>
      <w:r w:rsidR="005948BF" w:rsidRPr="00E55F25">
        <w:t>urgent</w:t>
      </w:r>
      <w:r w:rsidRPr="00E55F25">
        <w:t xml:space="preserve"> </w:t>
      </w:r>
      <w:r w:rsidR="00B25476" w:rsidRPr="00E55F25">
        <w:t>equipment</w:t>
      </w:r>
      <w:r w:rsidRPr="00E55F25">
        <w:t xml:space="preserve">, but </w:t>
      </w:r>
      <w:r w:rsidR="005948BF" w:rsidRPr="00E55F25">
        <w:t>with no increase to their package</w:t>
      </w:r>
      <w:r w:rsidRPr="00E55F25">
        <w:t xml:space="preserve">. </w:t>
      </w:r>
    </w:p>
    <w:p w14:paraId="311AB84E" w14:textId="25BAC949" w:rsidR="00415F14" w:rsidRPr="00E55F25" w:rsidRDefault="00D95973" w:rsidP="00E55F25">
      <w:pPr>
        <w:pStyle w:val="ListBullet"/>
      </w:pPr>
      <w:r w:rsidRPr="00E55F25">
        <w:t>An e</w:t>
      </w:r>
      <w:r w:rsidR="005948BF" w:rsidRPr="00E55F25">
        <w:t>xisting care recipient</w:t>
      </w:r>
      <w:r w:rsidRPr="00E55F25">
        <w:t xml:space="preserve"> is </w:t>
      </w:r>
      <w:r w:rsidR="00395F5A" w:rsidRPr="00E55F25">
        <w:t xml:space="preserve">receiving a </w:t>
      </w:r>
      <w:r w:rsidR="00841C29" w:rsidRPr="00E55F25">
        <w:t>lower-level</w:t>
      </w:r>
      <w:r w:rsidR="005948BF" w:rsidRPr="00E55F25">
        <w:t xml:space="preserve"> package </w:t>
      </w:r>
      <w:r w:rsidR="00E87123" w:rsidRPr="00E55F25">
        <w:t xml:space="preserve">while </w:t>
      </w:r>
      <w:r w:rsidR="005948BF" w:rsidRPr="00E55F25">
        <w:t>waiting for assessment or allocation of a higher</w:t>
      </w:r>
      <w:r w:rsidR="00841C29" w:rsidRPr="00E55F25">
        <w:t>-</w:t>
      </w:r>
      <w:r w:rsidR="005948BF" w:rsidRPr="00E55F25">
        <w:t>level package</w:t>
      </w:r>
      <w:r w:rsidRPr="00E55F25">
        <w:t>, but</w:t>
      </w:r>
      <w:r w:rsidR="005948BF" w:rsidRPr="00E55F25">
        <w:t xml:space="preserve"> </w:t>
      </w:r>
      <w:r w:rsidR="00841C29" w:rsidRPr="00E55F25">
        <w:t xml:space="preserve">they </w:t>
      </w:r>
      <w:r w:rsidR="005948BF" w:rsidRPr="00E55F25">
        <w:t>require</w:t>
      </w:r>
      <w:r w:rsidRPr="00E55F25">
        <w:t xml:space="preserve"> </w:t>
      </w:r>
      <w:r w:rsidR="005948BF" w:rsidRPr="00E55F25">
        <w:t xml:space="preserve">urgent GEAT beyond what their current package allows. </w:t>
      </w:r>
    </w:p>
    <w:p w14:paraId="09998348" w14:textId="693CC14F" w:rsidR="00AF72A9" w:rsidRPr="00E55F25" w:rsidRDefault="00AF72A9" w:rsidP="00E55F25">
      <w:r w:rsidRPr="00E55F25">
        <w:t xml:space="preserve">An </w:t>
      </w:r>
      <w:r w:rsidR="005C2E27" w:rsidRPr="00E55F25">
        <w:t xml:space="preserve">aged care assessor </w:t>
      </w:r>
      <w:r w:rsidR="00BC0628" w:rsidRPr="00E55F25">
        <w:t xml:space="preserve">will use their experience and clinical judgement </w:t>
      </w:r>
      <w:r w:rsidRPr="00E55F25">
        <w:t xml:space="preserve">to </w:t>
      </w:r>
      <w:r w:rsidR="00BC0628" w:rsidRPr="00E55F25">
        <w:t xml:space="preserve">review </w:t>
      </w:r>
      <w:r w:rsidRPr="00E55F25">
        <w:t xml:space="preserve">a care </w:t>
      </w:r>
      <w:r w:rsidR="00BC0628" w:rsidRPr="00E55F25">
        <w:t xml:space="preserve">recipient’s situation </w:t>
      </w:r>
      <w:r w:rsidRPr="00E55F25">
        <w:t>and determine whether they are eligible to access GEAT under CHSP</w:t>
      </w:r>
      <w:r w:rsidR="00BC0628" w:rsidRPr="00E55F25">
        <w:t>.</w:t>
      </w:r>
    </w:p>
    <w:p w14:paraId="6AAADFA7" w14:textId="08E7D88A" w:rsidR="00BC0628" w:rsidRPr="00E55F25" w:rsidRDefault="00BC0628" w:rsidP="00E55F25">
      <w:r w:rsidRPr="00E55F25">
        <w:t>For example</w:t>
      </w:r>
      <w:r w:rsidR="00AF72A9" w:rsidRPr="00E55F25">
        <w:t xml:space="preserve">, </w:t>
      </w:r>
      <w:proofErr w:type="gramStart"/>
      <w:r w:rsidR="00AF72A9" w:rsidRPr="00E55F25">
        <w:t>a</w:t>
      </w:r>
      <w:proofErr w:type="gramEnd"/>
      <w:r w:rsidR="00AF72A9" w:rsidRPr="00E55F25">
        <w:t xml:space="preserve"> </w:t>
      </w:r>
      <w:r w:rsidR="006606CD" w:rsidRPr="00E55F25">
        <w:t xml:space="preserve">HCP </w:t>
      </w:r>
      <w:r w:rsidR="00AF72A9" w:rsidRPr="00E55F25">
        <w:t xml:space="preserve">care recipient’s mobility has declined, and they cannot get to a seated position or get off their bed without assistance. </w:t>
      </w:r>
      <w:r w:rsidRPr="00E55F25">
        <w:t xml:space="preserve">They have </w:t>
      </w:r>
      <w:r w:rsidR="00E87123" w:rsidRPr="00E55F25">
        <w:t xml:space="preserve">a </w:t>
      </w:r>
      <w:r w:rsidRPr="00E55F25">
        <w:t>high risk of fall</w:t>
      </w:r>
      <w:r w:rsidR="00AF72A9" w:rsidRPr="00E55F25">
        <w:t>ing</w:t>
      </w:r>
      <w:r w:rsidRPr="00E55F25">
        <w:t xml:space="preserve"> from the bed without </w:t>
      </w:r>
      <w:r w:rsidR="00AF72A9" w:rsidRPr="00E55F25">
        <w:t xml:space="preserve">a </w:t>
      </w:r>
      <w:r w:rsidRPr="00E55F25">
        <w:t>hoist</w:t>
      </w:r>
      <w:r w:rsidR="00AF72A9" w:rsidRPr="00E55F25">
        <w:t xml:space="preserve">, </w:t>
      </w:r>
      <w:r w:rsidRPr="00E55F25">
        <w:t xml:space="preserve">which </w:t>
      </w:r>
      <w:r w:rsidR="00AF72A9" w:rsidRPr="00E55F25">
        <w:t>risks</w:t>
      </w:r>
      <w:r w:rsidRPr="00E55F25">
        <w:t xml:space="preserve"> serious injury or hospitalisation. </w:t>
      </w:r>
    </w:p>
    <w:p w14:paraId="04A1DA0C" w14:textId="77777777" w:rsidR="0005036B" w:rsidRPr="00E55F25" w:rsidRDefault="0005036B" w:rsidP="00E55F25">
      <w:r w:rsidRPr="00E55F25">
        <w:br w:type="page"/>
      </w:r>
    </w:p>
    <w:p w14:paraId="5D0398FA" w14:textId="5AD0D122" w:rsidR="00E34050" w:rsidRPr="00E55F25" w:rsidRDefault="00E34050" w:rsidP="00E55F25">
      <w:r w:rsidRPr="00E55F25">
        <w:lastRenderedPageBreak/>
        <w:t xml:space="preserve">Referrals from an </w:t>
      </w:r>
      <w:r w:rsidR="00407E93" w:rsidRPr="00E55F25">
        <w:t xml:space="preserve">aged care assessor </w:t>
      </w:r>
      <w:r w:rsidRPr="00E55F25">
        <w:t>can look like the following:</w:t>
      </w:r>
    </w:p>
    <w:p w14:paraId="608131CB" w14:textId="04AEAAFB" w:rsidR="00BC0628" w:rsidRPr="00E55F25" w:rsidRDefault="00407E93" w:rsidP="00E55F25">
      <w:pPr>
        <w:pStyle w:val="ListBullet"/>
      </w:pPr>
      <w:r w:rsidRPr="00E55F25">
        <w:t xml:space="preserve">Aged care assessors </w:t>
      </w:r>
      <w:r w:rsidR="00BC0628" w:rsidRPr="00E55F25">
        <w:t>can make urgent referral</w:t>
      </w:r>
      <w:r w:rsidR="005643FC" w:rsidRPr="00E55F25">
        <w:t>s</w:t>
      </w:r>
      <w:r w:rsidR="00E87123" w:rsidRPr="00E55F25">
        <w:t xml:space="preserve"> for specific equipment</w:t>
      </w:r>
      <w:r w:rsidR="00BC0628" w:rsidRPr="00E55F25">
        <w:t xml:space="preserve"> directly to </w:t>
      </w:r>
      <w:r w:rsidR="003E1DB4" w:rsidRPr="00E55F25">
        <w:t>geat</w:t>
      </w:r>
      <w:r w:rsidR="00BC0628" w:rsidRPr="00E55F25">
        <w:t>2GO</w:t>
      </w:r>
      <w:r w:rsidR="005643FC" w:rsidRPr="00E55F25">
        <w:t xml:space="preserve"> without the need</w:t>
      </w:r>
      <w:r w:rsidR="00BC0628" w:rsidRPr="00E55F25">
        <w:t xml:space="preserve"> for a </w:t>
      </w:r>
      <w:r w:rsidR="005643FC" w:rsidRPr="00E55F25">
        <w:t xml:space="preserve">referral for a </w:t>
      </w:r>
      <w:r w:rsidR="00BC0628" w:rsidRPr="00E55F25">
        <w:t xml:space="preserve">high priority allied health assessment. </w:t>
      </w:r>
    </w:p>
    <w:p w14:paraId="1B6B1987" w14:textId="3BE21907" w:rsidR="00BC0628" w:rsidRPr="00E55F25" w:rsidRDefault="00BC0628" w:rsidP="00E55F25">
      <w:pPr>
        <w:pStyle w:val="ListBullet"/>
      </w:pPr>
      <w:r w:rsidRPr="00E55F25">
        <w:t xml:space="preserve">During </w:t>
      </w:r>
      <w:r w:rsidR="005643FC" w:rsidRPr="00E55F25">
        <w:t xml:space="preserve">an </w:t>
      </w:r>
      <w:r w:rsidRPr="00E55F25">
        <w:t xml:space="preserve">assessment, </w:t>
      </w:r>
      <w:r w:rsidR="0005036B" w:rsidRPr="00E55F25">
        <w:t xml:space="preserve">the </w:t>
      </w:r>
      <w:r w:rsidR="00407E93" w:rsidRPr="00E55F25">
        <w:t xml:space="preserve">aged care assessor </w:t>
      </w:r>
      <w:r w:rsidRPr="00E55F25">
        <w:t xml:space="preserve">can contact </w:t>
      </w:r>
      <w:r w:rsidR="003E1DB4" w:rsidRPr="00E55F25">
        <w:t>geat2</w:t>
      </w:r>
      <w:r w:rsidRPr="00E55F25">
        <w:t xml:space="preserve">GO directly </w:t>
      </w:r>
      <w:r w:rsidR="0005036B" w:rsidRPr="00E55F25">
        <w:t>to</w:t>
      </w:r>
      <w:r w:rsidR="00E87123" w:rsidRPr="00E55F25">
        <w:t xml:space="preserve"> </w:t>
      </w:r>
      <w:r w:rsidRPr="00E55F25">
        <w:t xml:space="preserve">discuss </w:t>
      </w:r>
      <w:r w:rsidR="005643FC" w:rsidRPr="00E55F25">
        <w:t xml:space="preserve">a care </w:t>
      </w:r>
      <w:r w:rsidRPr="00E55F25">
        <w:t xml:space="preserve">recipient’s circumstance and urgent equipment needs. </w:t>
      </w:r>
    </w:p>
    <w:p w14:paraId="62BD14A4" w14:textId="6BE70412" w:rsidR="00C30CCE" w:rsidRPr="00E55F25" w:rsidRDefault="00407E93" w:rsidP="00E55F25">
      <w:pPr>
        <w:pStyle w:val="ListBullet"/>
      </w:pPr>
      <w:r w:rsidRPr="00E55F25">
        <w:t xml:space="preserve">Aged care assessors </w:t>
      </w:r>
      <w:r w:rsidR="00C30CCE" w:rsidRPr="00E55F25">
        <w:t xml:space="preserve">can make urgent referral for an allied health assessment for equipment that requires written or professional advice (Under-advice) to ensure they are installed and used correctly; or for items that are specifically adjusted or designed (Prescribed) to meet the support needs of an individual is encouraged. </w:t>
      </w:r>
    </w:p>
    <w:p w14:paraId="20F5D460" w14:textId="18942146" w:rsidR="00661924" w:rsidRPr="00E55F25" w:rsidRDefault="00BC0628" w:rsidP="00E55F25">
      <w:pPr>
        <w:pStyle w:val="ListBullet"/>
      </w:pPr>
      <w:r w:rsidRPr="00E55F25">
        <w:t xml:space="preserve">In non-emergency situations, the </w:t>
      </w:r>
      <w:r w:rsidR="00407E93" w:rsidRPr="00E55F25">
        <w:t xml:space="preserve">aged care assessor </w:t>
      </w:r>
      <w:r w:rsidRPr="00E55F25">
        <w:t xml:space="preserve">can make a referral </w:t>
      </w:r>
      <w:r w:rsidR="00E87123" w:rsidRPr="00E55F25">
        <w:t xml:space="preserve">for </w:t>
      </w:r>
      <w:r w:rsidRPr="00E55F25">
        <w:t xml:space="preserve">an allied health </w:t>
      </w:r>
      <w:r w:rsidR="00E87123" w:rsidRPr="00E55F25">
        <w:t xml:space="preserve">assessment in the same way this is currently done. </w:t>
      </w:r>
      <w:r w:rsidRPr="00E55F25">
        <w:t xml:space="preserve">  </w:t>
      </w:r>
    </w:p>
    <w:p w14:paraId="4A951C20" w14:textId="178F633C" w:rsidR="00B55275" w:rsidRPr="00E55F25" w:rsidRDefault="00B55275" w:rsidP="00E55F25">
      <w:pPr>
        <w:pStyle w:val="Heading2"/>
      </w:pPr>
      <w:r w:rsidRPr="00E55F25">
        <w:t>Costs associated with urgent GEAT</w:t>
      </w:r>
    </w:p>
    <w:p w14:paraId="14E65B07" w14:textId="0883B143" w:rsidR="00B55275" w:rsidRPr="00E55F25" w:rsidRDefault="00B55275" w:rsidP="00E55F25">
      <w:r w:rsidRPr="00E55F25">
        <w:t xml:space="preserve">Eligible HCP </w:t>
      </w:r>
      <w:r w:rsidR="006606CD" w:rsidRPr="00E55F25">
        <w:t xml:space="preserve">care </w:t>
      </w:r>
      <w:r w:rsidRPr="00E55F25">
        <w:t xml:space="preserve">recipients and those on the waiting list for </w:t>
      </w:r>
      <w:r w:rsidR="002759BF" w:rsidRPr="00E55F25">
        <w:t>an</w:t>
      </w:r>
      <w:r w:rsidRPr="00E55F25">
        <w:t xml:space="preserve"> HCP package can access up to $2,500 per year </w:t>
      </w:r>
      <w:r w:rsidR="002759BF" w:rsidRPr="00E55F25">
        <w:t xml:space="preserve">for equipment and assistive technology </w:t>
      </w:r>
      <w:r w:rsidRPr="00E55F25">
        <w:t xml:space="preserve">through </w:t>
      </w:r>
      <w:r w:rsidR="00FA27AB" w:rsidRPr="00E55F25">
        <w:t xml:space="preserve">the </w:t>
      </w:r>
      <w:r w:rsidR="002759BF" w:rsidRPr="00E55F25">
        <w:t>CHSP</w:t>
      </w:r>
      <w:r w:rsidR="00B02F2B" w:rsidRPr="00E55F25">
        <w:t xml:space="preserve"> </w:t>
      </w:r>
      <w:r w:rsidR="00FA27AB" w:rsidRPr="00E55F25">
        <w:t xml:space="preserve">program. </w:t>
      </w:r>
      <w:r w:rsidR="002759BF" w:rsidRPr="00E55F25">
        <w:t xml:space="preserve"> </w:t>
      </w:r>
      <w:r w:rsidRPr="00E55F25">
        <w:t xml:space="preserve"> </w:t>
      </w:r>
    </w:p>
    <w:p w14:paraId="2648B897" w14:textId="3F340FC3" w:rsidR="006606CD" w:rsidRPr="00E55F25" w:rsidRDefault="00B55275" w:rsidP="00E55F25">
      <w:r w:rsidRPr="00E55F25">
        <w:t>If the cost of the urgent item/s exceed $2,500, HCP recipients will need to pay the</w:t>
      </w:r>
      <w:r w:rsidR="002759BF" w:rsidRPr="00E55F25">
        <w:t xml:space="preserve"> </w:t>
      </w:r>
      <w:r w:rsidR="00FA27AB" w:rsidRPr="00E55F25">
        <w:t>gap</w:t>
      </w:r>
      <w:r w:rsidRPr="00E55F25">
        <w:t xml:space="preserve"> amount to </w:t>
      </w:r>
      <w:r w:rsidR="002759BF" w:rsidRPr="00E55F25">
        <w:t xml:space="preserve">geat2GO </w:t>
      </w:r>
      <w:r w:rsidRPr="00E55F25">
        <w:t xml:space="preserve">with their private funds. A recipient may not use any unspent funds </w:t>
      </w:r>
      <w:r w:rsidR="00FA27AB" w:rsidRPr="00E55F25">
        <w:t xml:space="preserve">from </w:t>
      </w:r>
      <w:r w:rsidRPr="00E55F25">
        <w:t xml:space="preserve">their package </w:t>
      </w:r>
      <w:r w:rsidR="006833A0" w:rsidRPr="00E55F25">
        <w:t xml:space="preserve">towards the cost of the </w:t>
      </w:r>
      <w:r w:rsidR="00FA27AB" w:rsidRPr="00E55F25">
        <w:t xml:space="preserve">urgent </w:t>
      </w:r>
      <w:r w:rsidR="006833A0" w:rsidRPr="00E55F25">
        <w:t xml:space="preserve">GEAT item. </w:t>
      </w:r>
    </w:p>
    <w:p w14:paraId="0A8B820A" w14:textId="4B4D7D10" w:rsidR="00B55275" w:rsidRPr="00E55F25" w:rsidRDefault="006606CD" w:rsidP="00E55F25">
      <w:r w:rsidRPr="00E55F25">
        <w:t xml:space="preserve">Alternatively, if </w:t>
      </w:r>
      <w:proofErr w:type="gramStart"/>
      <w:r w:rsidRPr="00E55F25">
        <w:t>a</w:t>
      </w:r>
      <w:proofErr w:type="gramEnd"/>
      <w:r w:rsidRPr="00E55F25">
        <w:t xml:space="preserve"> HCP care recipient cannot pay </w:t>
      </w:r>
      <w:r w:rsidR="00FA27AB" w:rsidRPr="00E55F25">
        <w:t xml:space="preserve">the gap, </w:t>
      </w:r>
      <w:r w:rsidRPr="00E55F25">
        <w:t xml:space="preserve">the home care provider should assist the HCP care recipient to look at </w:t>
      </w:r>
      <w:r w:rsidR="00FA27AB" w:rsidRPr="00E55F25">
        <w:t xml:space="preserve">other ways to source equipment such as </w:t>
      </w:r>
      <w:r w:rsidRPr="00E55F25">
        <w:t>hire, lease to buy, or second-hand purchases.</w:t>
      </w:r>
    </w:p>
    <w:p w14:paraId="5C2ABD5B" w14:textId="1418D571" w:rsidR="00E120CF" w:rsidRDefault="006833A0" w:rsidP="00E55F25">
      <w:r w:rsidRPr="00E55F25">
        <w:t>Note</w:t>
      </w:r>
      <w:r w:rsidR="00FA27AB" w:rsidRPr="00E55F25">
        <w:t>:</w:t>
      </w:r>
      <w:r w:rsidRPr="00E55F25">
        <w:t xml:space="preserve"> </w:t>
      </w:r>
      <w:r w:rsidR="00B55275" w:rsidRPr="00E55F25">
        <w:t xml:space="preserve">HCP provider should discuss any </w:t>
      </w:r>
      <w:r w:rsidR="00FA27AB" w:rsidRPr="00E55F25">
        <w:t xml:space="preserve">additional </w:t>
      </w:r>
      <w:r w:rsidR="00B55275" w:rsidRPr="00E55F25">
        <w:t>costs</w:t>
      </w:r>
      <w:r w:rsidR="00A95E38" w:rsidRPr="00E55F25">
        <w:t xml:space="preserve"> with </w:t>
      </w:r>
      <w:r w:rsidRPr="00E55F25">
        <w:t xml:space="preserve">their </w:t>
      </w:r>
      <w:r w:rsidR="00A95E38" w:rsidRPr="00E55F25">
        <w:t>care recipient</w:t>
      </w:r>
      <w:r w:rsidR="00B55275" w:rsidRPr="00E55F25">
        <w:t xml:space="preserve"> before referring </w:t>
      </w:r>
      <w:r w:rsidR="00A95E38" w:rsidRPr="00E55F25">
        <w:t xml:space="preserve">them to </w:t>
      </w:r>
      <w:r w:rsidR="00FA27AB" w:rsidRPr="00E55F25">
        <w:t xml:space="preserve">the </w:t>
      </w:r>
      <w:r w:rsidR="005B4E07" w:rsidRPr="00E55F25">
        <w:t xml:space="preserve">aged care assessor </w:t>
      </w:r>
      <w:r w:rsidRPr="00E55F25">
        <w:t>to have their circumstances assessed.</w:t>
      </w:r>
    </w:p>
    <w:p w14:paraId="1D818DA9" w14:textId="018BFDA8" w:rsidR="00494738" w:rsidRPr="00E55F25" w:rsidRDefault="007D5CE0" w:rsidP="007D5CE0">
      <w:pPr>
        <w:jc w:val="right"/>
      </w:pPr>
      <w:r>
        <w:rPr>
          <w:noProof/>
        </w:rPr>
        <w:drawing>
          <wp:anchor distT="0" distB="0" distL="114300" distR="114300" simplePos="0" relativeHeight="251658240" behindDoc="0" locked="0" layoutInCell="1" allowOverlap="1" wp14:anchorId="0999F298" wp14:editId="2AB2002F">
            <wp:simplePos x="0" y="0"/>
            <wp:positionH relativeFrom="page">
              <wp:align>right</wp:align>
            </wp:positionH>
            <wp:positionV relativeFrom="paragraph">
              <wp:posOffset>1960245</wp:posOffset>
            </wp:positionV>
            <wp:extent cx="4048125" cy="2371725"/>
            <wp:effectExtent l="0" t="0" r="9525" b="9525"/>
            <wp:wrapSquare wrapText="bothSides"/>
            <wp:docPr id="2123274160" name="Picture 1" descr="Phone 1800 200 422&#10;(My Aged Care’s free call phone line)&#10;Visit agedcareengagement.health.gov.au&#10;For translating and interpreting services, call 131 450 and ask for My Aged Care on 1800 200 422. To use the National Relay Service, visit nrschat.nrscall.gov.au/nrs or call 1800 555 660. &#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74160" name="Picture 1" descr="Phone 1800 200 422&#10;(My Aged Care’s free call phone line)&#10;Visit agedcareengagement.health.gov.au&#10;For translating and interpreting services, call 131 450 and ask for My Aged Care on 1800 200 422. To use the National Relay Service, visit nrschat.nrscall.gov.au/nrs or call 1800 555 660. &#10;d"/>
                    <pic:cNvPicPr/>
                  </pic:nvPicPr>
                  <pic:blipFill>
                    <a:blip r:embed="rId11">
                      <a:extLst>
                        <a:ext uri="{28A0092B-C50C-407E-A947-70E740481C1C}">
                          <a14:useLocalDpi xmlns:a14="http://schemas.microsoft.com/office/drawing/2010/main" val="0"/>
                        </a:ext>
                      </a:extLst>
                    </a:blip>
                    <a:stretch>
                      <a:fillRect/>
                    </a:stretch>
                  </pic:blipFill>
                  <pic:spPr>
                    <a:xfrm>
                      <a:off x="0" y="0"/>
                      <a:ext cx="4048125" cy="2371725"/>
                    </a:xfrm>
                    <a:prstGeom prst="rect">
                      <a:avLst/>
                    </a:prstGeom>
                  </pic:spPr>
                </pic:pic>
              </a:graphicData>
            </a:graphic>
          </wp:anchor>
        </w:drawing>
      </w:r>
    </w:p>
    <w:sectPr w:rsidR="00494738" w:rsidRPr="00E55F25" w:rsidSect="00E120CF">
      <w:headerReference w:type="first" r:id="rId12"/>
      <w:type w:val="continuous"/>
      <w:pgSz w:w="11900" w:h="16840"/>
      <w:pgMar w:top="1357" w:right="985" w:bottom="709" w:left="993" w:header="709" w:footer="55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914C7" w14:textId="77777777" w:rsidR="00AE7A08" w:rsidRDefault="00AE7A08" w:rsidP="001172BA">
      <w:r>
        <w:separator/>
      </w:r>
    </w:p>
  </w:endnote>
  <w:endnote w:type="continuationSeparator" w:id="0">
    <w:p w14:paraId="7E614DC0" w14:textId="77777777" w:rsidR="00AE7A08" w:rsidRDefault="00AE7A08" w:rsidP="0011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5593B" w14:textId="77777777" w:rsidR="00AE7A08" w:rsidRDefault="00AE7A08" w:rsidP="001172BA"/>
  </w:footnote>
  <w:footnote w:type="continuationSeparator" w:id="0">
    <w:p w14:paraId="3E2CCE07" w14:textId="77777777" w:rsidR="00AE7A08" w:rsidRDefault="00AE7A08" w:rsidP="0011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FF33" w14:textId="1D347962" w:rsidR="00E120CF" w:rsidRDefault="00E120CF">
    <w:pPr>
      <w:pStyle w:val="Header"/>
    </w:pPr>
    <w:r>
      <w:rPr>
        <w:noProof/>
      </w:rPr>
      <w:drawing>
        <wp:anchor distT="0" distB="0" distL="114300" distR="114300" simplePos="0" relativeHeight="251650048" behindDoc="1" locked="0" layoutInCell="1" allowOverlap="1" wp14:anchorId="012155D5" wp14:editId="0F9F41D2">
          <wp:simplePos x="0" y="0"/>
          <wp:positionH relativeFrom="page">
            <wp:align>left</wp:align>
          </wp:positionH>
          <wp:positionV relativeFrom="page">
            <wp:align>top</wp:align>
          </wp:positionV>
          <wp:extent cx="7553960" cy="2868930"/>
          <wp:effectExtent l="0" t="0" r="8890" b="0"/>
          <wp:wrapNone/>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960" cy="2868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446A"/>
    <w:multiLevelType w:val="hybridMultilevel"/>
    <w:tmpl w:val="D22EA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05DB"/>
    <w:multiLevelType w:val="hybridMultilevel"/>
    <w:tmpl w:val="BFF22B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1FAD58E5"/>
    <w:multiLevelType w:val="hybridMultilevel"/>
    <w:tmpl w:val="08526C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02045"/>
    <w:multiLevelType w:val="hybridMultilevel"/>
    <w:tmpl w:val="8420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AD26D9"/>
    <w:multiLevelType w:val="hybridMultilevel"/>
    <w:tmpl w:val="0B8E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CD5F65"/>
    <w:multiLevelType w:val="hybridMultilevel"/>
    <w:tmpl w:val="7F1A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C92940"/>
    <w:multiLevelType w:val="hybridMultilevel"/>
    <w:tmpl w:val="83AC0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0A453D"/>
    <w:multiLevelType w:val="hybridMultilevel"/>
    <w:tmpl w:val="01765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D92ED3"/>
    <w:multiLevelType w:val="hybridMultilevel"/>
    <w:tmpl w:val="04D85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6F31DC"/>
    <w:multiLevelType w:val="multilevel"/>
    <w:tmpl w:val="D4DEC2CA"/>
    <w:lvl w:ilvl="0">
      <w:start w:val="1"/>
      <w:numFmt w:val="bullet"/>
      <w:pStyle w:val="ListBullet"/>
      <w:lvlText w:val=""/>
      <w:lvlJc w:val="left"/>
      <w:pPr>
        <w:ind w:left="360" w:hanging="360"/>
      </w:pPr>
      <w:rPr>
        <w:rFonts w:ascii="Symbol" w:hAnsi="Symbol" w:cs="Symbol" w:hint="default"/>
        <w:color w:val="1E1545"/>
      </w:rPr>
    </w:lvl>
    <w:lvl w:ilvl="1">
      <w:start w:val="1"/>
      <w:numFmt w:val="bullet"/>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6FE162F9"/>
    <w:multiLevelType w:val="hybridMultilevel"/>
    <w:tmpl w:val="52CA9A86"/>
    <w:lvl w:ilvl="0" w:tplc="17CE8318">
      <w:start w:val="1"/>
      <w:numFmt w:val="bullet"/>
      <w:pStyle w:val="ListBullet2"/>
      <w:lvlText w:val="o"/>
      <w:lvlJc w:val="left"/>
      <w:pPr>
        <w:ind w:left="1797" w:hanging="360"/>
      </w:pPr>
      <w:rPr>
        <w:rFonts w:ascii="Courier New" w:hAnsi="Courier New" w:cs="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2" w15:restartNumberingAfterBreak="0">
    <w:nsid w:val="7C5F29CB"/>
    <w:multiLevelType w:val="hybridMultilevel"/>
    <w:tmpl w:val="2146C6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9727EA"/>
    <w:multiLevelType w:val="hybridMultilevel"/>
    <w:tmpl w:val="C69CF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0665283">
    <w:abstractNumId w:val="10"/>
  </w:num>
  <w:num w:numId="2" w16cid:durableId="513806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7228464">
    <w:abstractNumId w:val="2"/>
  </w:num>
  <w:num w:numId="4" w16cid:durableId="567226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7163435">
    <w:abstractNumId w:val="1"/>
  </w:num>
  <w:num w:numId="6" w16cid:durableId="222757978">
    <w:abstractNumId w:val="6"/>
  </w:num>
  <w:num w:numId="7" w16cid:durableId="904685502">
    <w:abstractNumId w:val="5"/>
  </w:num>
  <w:num w:numId="8" w16cid:durableId="1296375368">
    <w:abstractNumId w:val="7"/>
  </w:num>
  <w:num w:numId="9" w16cid:durableId="427164396">
    <w:abstractNumId w:val="3"/>
  </w:num>
  <w:num w:numId="10" w16cid:durableId="1064794606">
    <w:abstractNumId w:val="0"/>
  </w:num>
  <w:num w:numId="11" w16cid:durableId="1256286000">
    <w:abstractNumId w:val="12"/>
  </w:num>
  <w:num w:numId="12" w16cid:durableId="193154328">
    <w:abstractNumId w:val="4"/>
  </w:num>
  <w:num w:numId="13" w16cid:durableId="934946386">
    <w:abstractNumId w:val="13"/>
  </w:num>
  <w:num w:numId="14" w16cid:durableId="634339434">
    <w:abstractNumId w:val="9"/>
  </w:num>
  <w:num w:numId="15" w16cid:durableId="1731420653">
    <w:abstractNumId w:val="8"/>
  </w:num>
  <w:num w:numId="16" w16cid:durableId="1441023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10BB"/>
    <w:rsid w:val="0002724B"/>
    <w:rsid w:val="0005036B"/>
    <w:rsid w:val="00092297"/>
    <w:rsid w:val="00095673"/>
    <w:rsid w:val="000A4120"/>
    <w:rsid w:val="000D414C"/>
    <w:rsid w:val="000F2F10"/>
    <w:rsid w:val="001172BA"/>
    <w:rsid w:val="001A17C0"/>
    <w:rsid w:val="002063F0"/>
    <w:rsid w:val="00222022"/>
    <w:rsid w:val="00226AD6"/>
    <w:rsid w:val="0023440E"/>
    <w:rsid w:val="00235037"/>
    <w:rsid w:val="00243151"/>
    <w:rsid w:val="002513ED"/>
    <w:rsid w:val="002759BF"/>
    <w:rsid w:val="00280404"/>
    <w:rsid w:val="00281727"/>
    <w:rsid w:val="002A5442"/>
    <w:rsid w:val="002B0405"/>
    <w:rsid w:val="002C1F0E"/>
    <w:rsid w:val="00346EFE"/>
    <w:rsid w:val="00370814"/>
    <w:rsid w:val="003863E2"/>
    <w:rsid w:val="00395F5A"/>
    <w:rsid w:val="003E1DB4"/>
    <w:rsid w:val="003E2727"/>
    <w:rsid w:val="00407E93"/>
    <w:rsid w:val="00413F5F"/>
    <w:rsid w:val="00415F14"/>
    <w:rsid w:val="00470F78"/>
    <w:rsid w:val="004867AC"/>
    <w:rsid w:val="00494738"/>
    <w:rsid w:val="004A6752"/>
    <w:rsid w:val="004C4AB0"/>
    <w:rsid w:val="004C5F9A"/>
    <w:rsid w:val="004D57DF"/>
    <w:rsid w:val="004E6A7E"/>
    <w:rsid w:val="004E7BA6"/>
    <w:rsid w:val="004F118A"/>
    <w:rsid w:val="0054403F"/>
    <w:rsid w:val="005478E5"/>
    <w:rsid w:val="00554E05"/>
    <w:rsid w:val="00560B6B"/>
    <w:rsid w:val="005643FC"/>
    <w:rsid w:val="005948BF"/>
    <w:rsid w:val="00597817"/>
    <w:rsid w:val="005B4E07"/>
    <w:rsid w:val="005B5A51"/>
    <w:rsid w:val="005B7660"/>
    <w:rsid w:val="005C2E27"/>
    <w:rsid w:val="005C669B"/>
    <w:rsid w:val="005F1142"/>
    <w:rsid w:val="005F15AC"/>
    <w:rsid w:val="005F1B0A"/>
    <w:rsid w:val="00606C5F"/>
    <w:rsid w:val="0061245B"/>
    <w:rsid w:val="00614926"/>
    <w:rsid w:val="00625C20"/>
    <w:rsid w:val="006606CD"/>
    <w:rsid w:val="00661924"/>
    <w:rsid w:val="006715F3"/>
    <w:rsid w:val="00677B08"/>
    <w:rsid w:val="006833A0"/>
    <w:rsid w:val="006B6DAD"/>
    <w:rsid w:val="006F1106"/>
    <w:rsid w:val="006F3531"/>
    <w:rsid w:val="006F40FC"/>
    <w:rsid w:val="006F7F2A"/>
    <w:rsid w:val="00703A8A"/>
    <w:rsid w:val="00716CCE"/>
    <w:rsid w:val="00762923"/>
    <w:rsid w:val="007A62F1"/>
    <w:rsid w:val="007B097E"/>
    <w:rsid w:val="007B2F1F"/>
    <w:rsid w:val="007D4B8A"/>
    <w:rsid w:val="007D5CE0"/>
    <w:rsid w:val="007F1E7A"/>
    <w:rsid w:val="00800432"/>
    <w:rsid w:val="00841C29"/>
    <w:rsid w:val="00845C7B"/>
    <w:rsid w:val="00860316"/>
    <w:rsid w:val="008618EC"/>
    <w:rsid w:val="0087505A"/>
    <w:rsid w:val="00892F2E"/>
    <w:rsid w:val="0089454D"/>
    <w:rsid w:val="00894B1D"/>
    <w:rsid w:val="00914504"/>
    <w:rsid w:val="00934688"/>
    <w:rsid w:val="00966ECE"/>
    <w:rsid w:val="00976BB3"/>
    <w:rsid w:val="00977C51"/>
    <w:rsid w:val="00984F12"/>
    <w:rsid w:val="00985FCF"/>
    <w:rsid w:val="009B726C"/>
    <w:rsid w:val="009C63E0"/>
    <w:rsid w:val="00A13E49"/>
    <w:rsid w:val="00A41F93"/>
    <w:rsid w:val="00A51D9C"/>
    <w:rsid w:val="00A57B97"/>
    <w:rsid w:val="00A95E38"/>
    <w:rsid w:val="00AC4035"/>
    <w:rsid w:val="00AE701B"/>
    <w:rsid w:val="00AE7A08"/>
    <w:rsid w:val="00AF72A9"/>
    <w:rsid w:val="00B02F2B"/>
    <w:rsid w:val="00B0335C"/>
    <w:rsid w:val="00B1075D"/>
    <w:rsid w:val="00B116D0"/>
    <w:rsid w:val="00B16B66"/>
    <w:rsid w:val="00B17883"/>
    <w:rsid w:val="00B25476"/>
    <w:rsid w:val="00B36A1C"/>
    <w:rsid w:val="00B4225A"/>
    <w:rsid w:val="00B55275"/>
    <w:rsid w:val="00BC0628"/>
    <w:rsid w:val="00BD55B1"/>
    <w:rsid w:val="00BF2876"/>
    <w:rsid w:val="00C03FD4"/>
    <w:rsid w:val="00C06EAA"/>
    <w:rsid w:val="00C17B6B"/>
    <w:rsid w:val="00C30CCE"/>
    <w:rsid w:val="00C31E79"/>
    <w:rsid w:val="00C349E2"/>
    <w:rsid w:val="00C44E88"/>
    <w:rsid w:val="00C463FB"/>
    <w:rsid w:val="00C62B66"/>
    <w:rsid w:val="00C81BE6"/>
    <w:rsid w:val="00C90A0F"/>
    <w:rsid w:val="00C91E70"/>
    <w:rsid w:val="00CC7CA2"/>
    <w:rsid w:val="00CE10B7"/>
    <w:rsid w:val="00D53739"/>
    <w:rsid w:val="00D837EB"/>
    <w:rsid w:val="00D83E1C"/>
    <w:rsid w:val="00D95973"/>
    <w:rsid w:val="00DA58B8"/>
    <w:rsid w:val="00DC69B2"/>
    <w:rsid w:val="00DE1F4E"/>
    <w:rsid w:val="00DE4193"/>
    <w:rsid w:val="00E00F37"/>
    <w:rsid w:val="00E05BAE"/>
    <w:rsid w:val="00E120CF"/>
    <w:rsid w:val="00E34050"/>
    <w:rsid w:val="00E51FD2"/>
    <w:rsid w:val="00E55F25"/>
    <w:rsid w:val="00E87123"/>
    <w:rsid w:val="00EB1131"/>
    <w:rsid w:val="00ED1FCA"/>
    <w:rsid w:val="00EF0853"/>
    <w:rsid w:val="00EF2583"/>
    <w:rsid w:val="00EF4741"/>
    <w:rsid w:val="00F21AAD"/>
    <w:rsid w:val="00F21E3D"/>
    <w:rsid w:val="00F353F6"/>
    <w:rsid w:val="00F74799"/>
    <w:rsid w:val="00F768FA"/>
    <w:rsid w:val="00F84B42"/>
    <w:rsid w:val="00F8617D"/>
    <w:rsid w:val="00F9587D"/>
    <w:rsid w:val="00FA27AB"/>
    <w:rsid w:val="00FC7A23"/>
    <w:rsid w:val="00FD084B"/>
    <w:rsid w:val="00FE02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5F931BE9-BC24-D44E-BC62-A67299F0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25"/>
    <w:pPr>
      <w:spacing w:before="120" w:after="120" w:line="259" w:lineRule="auto"/>
    </w:pPr>
    <w:rPr>
      <w:color w:val="1E1545" w:themeColor="text1"/>
    </w:rPr>
  </w:style>
  <w:style w:type="paragraph" w:styleId="Heading1">
    <w:name w:val="heading 1"/>
    <w:basedOn w:val="Normal"/>
    <w:next w:val="Normal"/>
    <w:link w:val="Heading1Char"/>
    <w:uiPriority w:val="9"/>
    <w:rsid w:val="00E55F25"/>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55F25"/>
    <w:pPr>
      <w:keepNext/>
      <w:keepLines/>
      <w:spacing w:before="40" w:after="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5948BF"/>
    <w:pPr>
      <w:keepNext/>
      <w:keepLines/>
      <w:spacing w:before="40"/>
      <w:outlineLvl w:val="2"/>
    </w:pPr>
    <w:rPr>
      <w:rFonts w:asciiTheme="majorHAnsi" w:eastAsiaTheme="majorEastAsia" w:hAnsiTheme="majorHAnsi" w:cstheme="majorBidi"/>
      <w:color w:val="15575D" w:themeColor="accent1" w:themeShade="7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Header1">
    <w:name w:val="Header 1"/>
    <w:next w:val="Introduction"/>
    <w:qFormat/>
    <w:rsid w:val="00E120CF"/>
    <w:pPr>
      <w:spacing w:before="100" w:beforeAutospacing="1" w:after="240"/>
      <w:outlineLvl w:val="0"/>
    </w:pPr>
    <w:rPr>
      <w:rFonts w:ascii="Arial" w:eastAsia="Times New Roman" w:hAnsi="Arial"/>
      <w:b/>
      <w:color w:val="1E1644"/>
      <w:sz w:val="60"/>
      <w:szCs w:val="20"/>
      <w:lang w:eastAsia="en-GB"/>
    </w:rPr>
  </w:style>
  <w:style w:type="paragraph" w:customStyle="1" w:styleId="Introduction">
    <w:name w:val="Introduction"/>
    <w:basedOn w:val="Header1"/>
    <w:next w:val="Normal"/>
    <w:qFormat/>
    <w:rsid w:val="001172BA"/>
    <w:pPr>
      <w:spacing w:line="276" w:lineRule="auto"/>
    </w:pPr>
    <w:rPr>
      <w:b w:val="0"/>
      <w:sz w:val="32"/>
    </w:rPr>
  </w:style>
  <w:style w:type="character" w:styleId="Strong">
    <w:name w:val="Strong"/>
    <w:uiPriority w:val="22"/>
    <w:qFormat/>
    <w:rsid w:val="001172BA"/>
    <w:rPr>
      <w:b/>
      <w:bCs/>
      <w:spacing w:val="0"/>
    </w:rPr>
  </w:style>
  <w:style w:type="paragraph" w:customStyle="1" w:styleId="Header2">
    <w:name w:val="Header 2"/>
    <w:basedOn w:val="Introduction"/>
    <w:qFormat/>
    <w:rsid w:val="00E120CF"/>
    <w:pPr>
      <w:spacing w:after="120"/>
      <w:outlineLvl w:val="1"/>
    </w:pPr>
    <w:rPr>
      <w:b/>
      <w:bCs/>
      <w:noProof/>
      <w:szCs w:val="28"/>
      <w:shd w:val="clear" w:color="auto" w:fill="FFFFFF"/>
    </w:rPr>
  </w:style>
  <w:style w:type="paragraph" w:customStyle="1" w:styleId="Header3">
    <w:name w:val="Header 3"/>
    <w:basedOn w:val="Header2"/>
    <w:qFormat/>
    <w:rsid w:val="001172BA"/>
    <w:rPr>
      <w:sz w:val="24"/>
      <w:szCs w:val="24"/>
    </w:rPr>
  </w:style>
  <w:style w:type="paragraph" w:styleId="FootnoteText">
    <w:name w:val="footnote text"/>
    <w:basedOn w:val="Normal"/>
    <w:link w:val="FootnoteTextChar"/>
    <w:uiPriority w:val="99"/>
    <w:unhideWhenUsed/>
    <w:rsid w:val="001172BA"/>
    <w:pPr>
      <w:ind w:left="680"/>
    </w:pPr>
    <w:rPr>
      <w:rFonts w:ascii="Arial" w:hAnsi="Arial"/>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E55F25"/>
    <w:pPr>
      <w:numPr>
        <w:numId w:val="1"/>
      </w:numPr>
      <w:ind w:left="584" w:hanging="357"/>
    </w:pPr>
    <w:rPr>
      <w:rFonts w:ascii="Arial" w:hAnsi="Arial"/>
      <w:szCs w:val="20"/>
    </w:rPr>
  </w:style>
  <w:style w:type="paragraph" w:styleId="ListBullet2">
    <w:name w:val="List Bullet 2"/>
    <w:basedOn w:val="Normal"/>
    <w:uiPriority w:val="99"/>
    <w:unhideWhenUsed/>
    <w:qFormat/>
    <w:rsid w:val="00E55F25"/>
    <w:pPr>
      <w:numPr>
        <w:numId w:val="16"/>
      </w:numPr>
      <w:spacing w:after="80"/>
    </w:pPr>
    <w:rPr>
      <w:rFonts w:ascii="Arial" w:hAnsi="Arial"/>
      <w:b/>
      <w:szCs w:val="20"/>
    </w:rPr>
  </w:style>
  <w:style w:type="paragraph" w:styleId="ListBullet3">
    <w:name w:val="List Bullet 3"/>
    <w:basedOn w:val="Normal"/>
    <w:uiPriority w:val="99"/>
    <w:unhideWhenUsed/>
    <w:qFormat/>
    <w:rsid w:val="00DE1F4E"/>
    <w:pPr>
      <w:numPr>
        <w:ilvl w:val="2"/>
        <w:numId w:val="1"/>
      </w:numPr>
      <w:spacing w:after="80"/>
      <w:ind w:left="2160" w:hanging="181"/>
    </w:pPr>
    <w:rPr>
      <w:rFonts w:ascii="Arial" w:hAnsi="Arial"/>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3"/>
      </w:numPr>
      <w:spacing w:after="80"/>
    </w:pPr>
    <w:rPr>
      <w:rFonts w:ascii="Arial" w:hAnsi="Arial"/>
      <w:szCs w:val="20"/>
    </w:rPr>
  </w:style>
  <w:style w:type="paragraph" w:styleId="ListNumber2">
    <w:name w:val="List Number 2"/>
    <w:basedOn w:val="Normal"/>
    <w:uiPriority w:val="99"/>
    <w:unhideWhenUsed/>
    <w:qFormat/>
    <w:rsid w:val="005F1B0A"/>
    <w:pPr>
      <w:numPr>
        <w:ilvl w:val="1"/>
        <w:numId w:val="3"/>
      </w:numPr>
      <w:spacing w:after="80"/>
    </w:pPr>
    <w:rPr>
      <w:rFonts w:ascii="Arial" w:hAnsi="Arial"/>
      <w:szCs w:val="20"/>
    </w:rPr>
  </w:style>
  <w:style w:type="paragraph" w:styleId="ListNumber3">
    <w:name w:val="List Number 3"/>
    <w:basedOn w:val="Normal"/>
    <w:uiPriority w:val="99"/>
    <w:unhideWhenUsed/>
    <w:qFormat/>
    <w:rsid w:val="005F1B0A"/>
    <w:pPr>
      <w:numPr>
        <w:ilvl w:val="2"/>
        <w:numId w:val="3"/>
      </w:numPr>
      <w:spacing w:after="80"/>
    </w:pPr>
    <w:rPr>
      <w:rFonts w:ascii="Arial" w:hAnsi="Arial"/>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9C63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3E0"/>
    <w:rPr>
      <w:rFonts w:ascii="Times New Roman" w:hAnsi="Times New Roman" w:cs="Times New Roman"/>
      <w:sz w:val="18"/>
      <w:szCs w:val="18"/>
    </w:rPr>
  </w:style>
  <w:style w:type="paragraph" w:customStyle="1" w:styleId="Quoteorcalloutbox">
    <w:name w:val="Quote or call out box"/>
    <w:basedOn w:val="Header3"/>
    <w:qFormat/>
    <w:rsid w:val="00243151"/>
    <w:pPr>
      <w:pBdr>
        <w:top w:val="single" w:sz="8" w:space="1" w:color="DA576C" w:themeColor="accent4"/>
        <w:bottom w:val="single" w:sz="8" w:space="1" w:color="DA576C" w:themeColor="accent4"/>
      </w:pBdr>
    </w:pPr>
  </w:style>
  <w:style w:type="table" w:styleId="TableGrid">
    <w:name w:val="Table Grid"/>
    <w:basedOn w:val="TableNormal"/>
    <w:uiPriority w:val="39"/>
    <w:rsid w:val="006F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5F25"/>
    <w:rPr>
      <w:rFonts w:asciiTheme="majorHAnsi" w:eastAsiaTheme="majorEastAsia" w:hAnsiTheme="majorHAnsi" w:cstheme="majorBidi"/>
      <w:b/>
      <w:color w:val="1E1545" w:themeColor="text1"/>
      <w:sz w:val="32"/>
      <w:szCs w:val="32"/>
    </w:rPr>
  </w:style>
  <w:style w:type="paragraph" w:styleId="Title">
    <w:name w:val="Title"/>
    <w:basedOn w:val="Header1"/>
    <w:next w:val="Normal"/>
    <w:link w:val="TitleChar"/>
    <w:uiPriority w:val="10"/>
    <w:qFormat/>
    <w:rsid w:val="00E55F25"/>
    <w:pPr>
      <w:outlineLvl w:val="9"/>
    </w:pPr>
  </w:style>
  <w:style w:type="character" w:customStyle="1" w:styleId="TitleChar">
    <w:name w:val="Title Char"/>
    <w:basedOn w:val="DefaultParagraphFont"/>
    <w:link w:val="Title"/>
    <w:uiPriority w:val="10"/>
    <w:rsid w:val="00E55F25"/>
    <w:rPr>
      <w:rFonts w:ascii="Arial" w:eastAsia="Times New Roman" w:hAnsi="Arial"/>
      <w:b/>
      <w:color w:val="1E1644"/>
      <w:sz w:val="60"/>
      <w:szCs w:val="20"/>
      <w:lang w:eastAsia="en-GB"/>
    </w:rPr>
  </w:style>
  <w:style w:type="character" w:customStyle="1" w:styleId="Heading3Char">
    <w:name w:val="Heading 3 Char"/>
    <w:basedOn w:val="DefaultParagraphFont"/>
    <w:link w:val="Heading3"/>
    <w:uiPriority w:val="9"/>
    <w:rsid w:val="005948BF"/>
    <w:rPr>
      <w:rFonts w:asciiTheme="majorHAnsi" w:eastAsiaTheme="majorEastAsia" w:hAnsiTheme="majorHAnsi" w:cstheme="majorBidi"/>
      <w:color w:val="15575D" w:themeColor="accent1" w:themeShade="7F"/>
      <w:lang w:eastAsia="en-US"/>
    </w:rPr>
  </w:style>
  <w:style w:type="character" w:styleId="CommentReference">
    <w:name w:val="annotation reference"/>
    <w:basedOn w:val="DefaultParagraphFont"/>
    <w:uiPriority w:val="99"/>
    <w:semiHidden/>
    <w:unhideWhenUsed/>
    <w:rsid w:val="00892F2E"/>
    <w:rPr>
      <w:sz w:val="16"/>
      <w:szCs w:val="16"/>
    </w:rPr>
  </w:style>
  <w:style w:type="paragraph" w:styleId="CommentText">
    <w:name w:val="annotation text"/>
    <w:basedOn w:val="Normal"/>
    <w:link w:val="CommentTextChar"/>
    <w:uiPriority w:val="99"/>
    <w:semiHidden/>
    <w:unhideWhenUsed/>
    <w:rsid w:val="00892F2E"/>
    <w:rPr>
      <w:sz w:val="20"/>
      <w:szCs w:val="20"/>
    </w:rPr>
  </w:style>
  <w:style w:type="character" w:customStyle="1" w:styleId="CommentTextChar">
    <w:name w:val="Comment Text Char"/>
    <w:basedOn w:val="DefaultParagraphFont"/>
    <w:link w:val="CommentText"/>
    <w:uiPriority w:val="99"/>
    <w:semiHidden/>
    <w:rsid w:val="00892F2E"/>
    <w:rPr>
      <w:sz w:val="20"/>
      <w:szCs w:val="20"/>
    </w:rPr>
  </w:style>
  <w:style w:type="paragraph" w:styleId="CommentSubject">
    <w:name w:val="annotation subject"/>
    <w:basedOn w:val="CommentText"/>
    <w:next w:val="CommentText"/>
    <w:link w:val="CommentSubjectChar"/>
    <w:uiPriority w:val="99"/>
    <w:semiHidden/>
    <w:unhideWhenUsed/>
    <w:rsid w:val="00892F2E"/>
    <w:rPr>
      <w:b/>
      <w:bCs/>
    </w:rPr>
  </w:style>
  <w:style w:type="character" w:customStyle="1" w:styleId="CommentSubjectChar">
    <w:name w:val="Comment Subject Char"/>
    <w:basedOn w:val="CommentTextChar"/>
    <w:link w:val="CommentSubject"/>
    <w:uiPriority w:val="99"/>
    <w:semiHidden/>
    <w:rsid w:val="00892F2E"/>
    <w:rPr>
      <w:b/>
      <w:bCs/>
      <w:sz w:val="20"/>
      <w:szCs w:val="20"/>
    </w:rPr>
  </w:style>
  <w:style w:type="paragraph" w:styleId="Revision">
    <w:name w:val="Revision"/>
    <w:hidden/>
    <w:uiPriority w:val="99"/>
    <w:semiHidden/>
    <w:rsid w:val="00892F2E"/>
  </w:style>
  <w:style w:type="character" w:customStyle="1" w:styleId="Heading2Char">
    <w:name w:val="Heading 2 Char"/>
    <w:basedOn w:val="DefaultParagraphFont"/>
    <w:link w:val="Heading2"/>
    <w:uiPriority w:val="9"/>
    <w:rsid w:val="00E55F25"/>
    <w:rPr>
      <w:rFonts w:ascii="Arial" w:eastAsiaTheme="majorEastAsia" w:hAnsi="Arial" w:cstheme="majorBidi"/>
      <w:b/>
      <w:color w:val="1E1545"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gram xmlns="3e8600df-d0b0-4bf8-9919-75fbfdc08afc">OTHER</Program>
    <Rusrtcleared xmlns="3e8600df-d0b0-4bf8-9919-75fbfdc08afc" xsi:nil="true"/>
    <Status xmlns="3e8600df-d0b0-4bf8-9919-75fbfdc08afc">In draft</Status>
    <EL2cleared xmlns="3e8600df-d0b0-4bf8-9919-75fbfdc08afc">No</EL2cleared>
    <FAS_x0020_cleared xmlns="3e8600df-d0b0-4bf8-9919-75fbfdc08afc">N/A</FAS_x0020_clea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27" ma:contentTypeDescription="Create a new document." ma:contentTypeScope="" ma:versionID="e7f3ef8cdb89bd31df2b696201565113">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82ef80b2b409ec3bc3ca456c98e8a17a"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4B7DA-5069-5746-A9D1-52DCE3414B56}">
  <ds:schemaRefs>
    <ds:schemaRef ds:uri="http://schemas.openxmlformats.org/officeDocument/2006/bibliography"/>
  </ds:schemaRefs>
</ds:datastoreItem>
</file>

<file path=customXml/itemProps2.xml><?xml version="1.0" encoding="utf-8"?>
<ds:datastoreItem xmlns:ds="http://schemas.openxmlformats.org/officeDocument/2006/customXml" ds:itemID="{99FC9A38-1CC5-4145-AA37-3C12C91BD2AA}">
  <ds:schemaRefs>
    <ds:schemaRef ds:uri="3e8600df-d0b0-4bf8-9919-75fbfdc08afc"/>
    <ds:schemaRef ds:uri="http://schemas.microsoft.com/office/2006/metadata/properties"/>
    <ds:schemaRef ds:uri="b460321b-948a-465f-b38c-9a30c8f895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9C179FF-D9A6-4AB1-8566-2BA2CA343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EBBF6-FA8A-4F9E-899F-4CD91857C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1013</Words>
  <Characters>5384</Characters>
  <Application>Microsoft Office Word</Application>
  <DocSecurity>0</DocSecurity>
  <Lines>97</Lines>
  <Paragraphs>53</Paragraphs>
  <ScaleCrop>false</ScaleCrop>
  <HeadingPairs>
    <vt:vector size="2" baseType="variant">
      <vt:variant>
        <vt:lpstr>Title</vt:lpstr>
      </vt:variant>
      <vt:variant>
        <vt:i4>1</vt:i4>
      </vt:variant>
    </vt:vector>
  </HeadingPairs>
  <TitlesOfParts>
    <vt:vector size="1" baseType="lpstr">
      <vt:lpstr>Home Care Packages: access to $2,500 for urgent goods, equipment, and assistive technology</vt:lpstr>
    </vt:vector>
  </TitlesOfParts>
  <Manager/>
  <Company/>
  <LinksUpToDate>false</LinksUpToDate>
  <CharactersWithSpaces>6344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Packages: access to $2,500 for urgent goods, equipment, and assistive technology</dc:title>
  <dc:subject>Aged Care</dc:subject>
  <dc:creator>Australian Government Department of Health and Aged Care</dc:creator>
  <cp:keywords>Aged care; Home care</cp:keywords>
  <dc:description/>
  <cp:lastModifiedBy>MASCHKE, Elvia</cp:lastModifiedBy>
  <cp:revision>3</cp:revision>
  <cp:lastPrinted>2022-08-08T04:51:00Z</cp:lastPrinted>
  <dcterms:created xsi:type="dcterms:W3CDTF">2024-11-27T23:26:00Z</dcterms:created>
  <dcterms:modified xsi:type="dcterms:W3CDTF">2024-11-27T23:55:00Z</dcterms:modified>
  <cp:category/>
</cp:coreProperties>
</file>