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9197" w14:textId="0EC11CC8" w:rsidR="00D560DC" w:rsidRDefault="007B5368" w:rsidP="004963FC">
      <w:pPr>
        <w:pStyle w:val="Title"/>
      </w:pPr>
      <w:sdt>
        <w:sdtPr>
          <w:alias w:val="Title"/>
          <w:tag w:val=""/>
          <w:id w:val="-992257587"/>
          <w:placeholder>
            <w:docPart w:val="0D9F1AD9FB114BBD973A226BF98C2D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32D09" w:rsidRPr="00C473D2">
            <w:t>General Practice</w:t>
          </w:r>
          <w:r w:rsidR="00E32D09">
            <w:t xml:space="preserve"> in</w:t>
          </w:r>
          <w:r w:rsidR="00E32D09" w:rsidRPr="00C473D2">
            <w:t xml:space="preserve"> Aged Care Incentive – Frequently </w:t>
          </w:r>
          <w:r w:rsidR="00E32D09">
            <w:t>a</w:t>
          </w:r>
          <w:r w:rsidR="00E32D09" w:rsidRPr="00C473D2">
            <w:t xml:space="preserve">sked </w:t>
          </w:r>
          <w:r w:rsidR="00E32D09">
            <w:t>q</w:t>
          </w:r>
          <w:r w:rsidR="00E32D09" w:rsidRPr="00C473D2">
            <w:t xml:space="preserve">uestions for </w:t>
          </w:r>
          <w:r w:rsidR="00E32D09">
            <w:t>aged care residents</w:t>
          </w:r>
          <w:r w:rsidR="00803CF3">
            <w:t xml:space="preserve"> and carers</w:t>
          </w:r>
        </w:sdtContent>
      </w:sdt>
    </w:p>
    <w:p w14:paraId="2D8203FF" w14:textId="72729641" w:rsidR="002B76E5" w:rsidRDefault="002B76E5" w:rsidP="004963FC">
      <w:pPr>
        <w:pStyle w:val="Heading1"/>
      </w:pPr>
      <w:r>
        <w:t>Eligibility</w:t>
      </w:r>
    </w:p>
    <w:p w14:paraId="2C0842F4" w14:textId="28DBEF59" w:rsidR="004963FC" w:rsidRPr="001C6700" w:rsidRDefault="00C473D2" w:rsidP="004963FC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Who is eligible to receive the General Practice in Aged Care Incentive?</w:t>
      </w:r>
    </w:p>
    <w:p w14:paraId="7640B398" w14:textId="614C4F68" w:rsidR="00052F28" w:rsidRPr="00052F28" w:rsidRDefault="00052F28" w:rsidP="189AC649">
      <w:pPr>
        <w:rPr>
          <w:rFonts w:eastAsia="Arial" w:cs="Arial"/>
        </w:rPr>
      </w:pPr>
      <w:r w:rsidRPr="2B912DBB">
        <w:rPr>
          <w:rFonts w:eastAsia="Arial" w:cs="Arial"/>
        </w:rPr>
        <w:t>To be eligible, patients must:</w:t>
      </w:r>
    </w:p>
    <w:p w14:paraId="2B36D64A" w14:textId="4A6BFFCC" w:rsidR="00052F28" w:rsidRPr="00052F28" w:rsidRDefault="00052F28" w:rsidP="189AC649">
      <w:pPr>
        <w:pStyle w:val="Bullet1"/>
        <w:numPr>
          <w:ilvl w:val="0"/>
          <w:numId w:val="7"/>
        </w:numPr>
        <w:tabs>
          <w:tab w:val="clear" w:pos="720"/>
        </w:tabs>
        <w:ind w:left="284" w:hanging="284"/>
        <w:rPr>
          <w:rFonts w:eastAsia="Arial" w:cs="Arial"/>
        </w:rPr>
      </w:pPr>
      <w:r w:rsidRPr="2B912DBB">
        <w:rPr>
          <w:rFonts w:eastAsia="Arial" w:cs="Arial"/>
        </w:rPr>
        <w:t xml:space="preserve">permanently live in a </w:t>
      </w:r>
      <w:r w:rsidR="006A5158" w:rsidRPr="2B912DBB">
        <w:rPr>
          <w:rFonts w:eastAsia="Arial" w:cs="Arial"/>
        </w:rPr>
        <w:t>residential a</w:t>
      </w:r>
      <w:r w:rsidRPr="2B912DBB">
        <w:rPr>
          <w:rFonts w:eastAsia="Arial" w:cs="Arial"/>
        </w:rPr>
        <w:t xml:space="preserve">ged </w:t>
      </w:r>
      <w:r w:rsidR="006A5158" w:rsidRPr="2B912DBB">
        <w:rPr>
          <w:rFonts w:eastAsia="Arial" w:cs="Arial"/>
        </w:rPr>
        <w:t>c</w:t>
      </w:r>
      <w:r w:rsidRPr="2B912DBB">
        <w:rPr>
          <w:rFonts w:eastAsia="Arial" w:cs="Arial"/>
        </w:rPr>
        <w:t xml:space="preserve">are </w:t>
      </w:r>
      <w:r w:rsidR="006A5158" w:rsidRPr="2B912DBB">
        <w:rPr>
          <w:rFonts w:eastAsia="Arial" w:cs="Arial"/>
        </w:rPr>
        <w:t>h</w:t>
      </w:r>
      <w:r w:rsidRPr="2B912DBB">
        <w:rPr>
          <w:rFonts w:eastAsia="Arial" w:cs="Arial"/>
        </w:rPr>
        <w:t>ome, not including respite care</w:t>
      </w:r>
    </w:p>
    <w:p w14:paraId="71C7A953" w14:textId="472740C4" w:rsidR="00052F28" w:rsidRPr="00052F28" w:rsidRDefault="006A5158" w:rsidP="189AC649">
      <w:pPr>
        <w:pStyle w:val="Bullet1"/>
        <w:numPr>
          <w:ilvl w:val="0"/>
          <w:numId w:val="7"/>
        </w:numPr>
        <w:tabs>
          <w:tab w:val="clear" w:pos="720"/>
        </w:tabs>
        <w:ind w:left="284" w:hanging="284"/>
        <w:rPr>
          <w:rFonts w:eastAsia="Arial" w:cs="Arial"/>
        </w:rPr>
      </w:pPr>
      <w:r w:rsidRPr="2B912DBB">
        <w:rPr>
          <w:rFonts w:eastAsia="Arial" w:cs="Arial"/>
        </w:rPr>
        <w:t>be</w:t>
      </w:r>
      <w:r w:rsidR="004B1043">
        <w:rPr>
          <w:rFonts w:eastAsia="Arial" w:cs="Arial"/>
        </w:rPr>
        <w:t xml:space="preserve"> </w:t>
      </w:r>
      <w:hyperlink r:id="rId11" w:history="1">
        <w:r w:rsidR="00442C5A" w:rsidRPr="00442C5A">
          <w:rPr>
            <w:color w:val="0070C0"/>
            <w:u w:val="single"/>
          </w:rPr>
          <w:t>registered in MyMedicare</w:t>
        </w:r>
      </w:hyperlink>
    </w:p>
    <w:p w14:paraId="670114A2" w14:textId="1A27A99C" w:rsidR="00052F28" w:rsidRDefault="006A5158" w:rsidP="189AC649">
      <w:pPr>
        <w:pStyle w:val="Bullet1"/>
        <w:numPr>
          <w:ilvl w:val="0"/>
          <w:numId w:val="7"/>
        </w:numPr>
        <w:tabs>
          <w:tab w:val="clear" w:pos="720"/>
        </w:tabs>
        <w:ind w:left="284" w:hanging="284"/>
        <w:rPr>
          <w:rFonts w:eastAsia="Arial" w:cs="Arial"/>
        </w:rPr>
      </w:pPr>
      <w:r w:rsidRPr="2B912DBB">
        <w:rPr>
          <w:rFonts w:eastAsia="Arial" w:cs="Arial"/>
        </w:rPr>
        <w:t>have</w:t>
      </w:r>
      <w:r w:rsidR="00052F28" w:rsidRPr="2B912DBB">
        <w:rPr>
          <w:rFonts w:eastAsia="Arial" w:cs="Arial"/>
        </w:rPr>
        <w:t xml:space="preserve"> their practice agree to deliver the General Practice in Aged Care Incentive, including:</w:t>
      </w:r>
    </w:p>
    <w:p w14:paraId="5794DF29" w14:textId="462FB4C6" w:rsidR="00C20B9F" w:rsidRPr="00C20B9F" w:rsidRDefault="006A5158" w:rsidP="00D83183">
      <w:pPr>
        <w:pStyle w:val="Bullet1"/>
        <w:numPr>
          <w:ilvl w:val="1"/>
          <w:numId w:val="7"/>
        </w:numPr>
      </w:pPr>
      <w:r>
        <w:rPr>
          <w:lang w:val="en-GB"/>
        </w:rPr>
        <w:t>l</w:t>
      </w:r>
      <w:r w:rsidRPr="00052F28">
        <w:rPr>
          <w:lang w:val="en-GB"/>
        </w:rPr>
        <w:t xml:space="preserve">inking </w:t>
      </w:r>
      <w:r w:rsidR="00052F28" w:rsidRPr="00052F28">
        <w:rPr>
          <w:lang w:val="en-GB"/>
        </w:rPr>
        <w:t xml:space="preserve">them to the practice and </w:t>
      </w:r>
      <w:r w:rsidR="009C6248">
        <w:rPr>
          <w:lang w:val="en-GB"/>
        </w:rPr>
        <w:t>r</w:t>
      </w:r>
      <w:r w:rsidR="009C6248" w:rsidRPr="00052F28">
        <w:rPr>
          <w:lang w:val="en-GB"/>
        </w:rPr>
        <w:t xml:space="preserve">esponsible </w:t>
      </w:r>
      <w:r w:rsidR="009C6248">
        <w:rPr>
          <w:lang w:val="en-GB"/>
        </w:rPr>
        <w:t>p</w:t>
      </w:r>
      <w:r w:rsidR="009C6248" w:rsidRPr="00052F28">
        <w:rPr>
          <w:lang w:val="en-GB"/>
        </w:rPr>
        <w:t xml:space="preserve">rovider </w:t>
      </w:r>
      <w:r w:rsidR="00052F28" w:rsidRPr="00052F28">
        <w:rPr>
          <w:lang w:val="en-GB"/>
        </w:rPr>
        <w:t>in MyMedicare</w:t>
      </w:r>
      <w:r w:rsidR="003D4CC4">
        <w:rPr>
          <w:lang w:val="en-GB"/>
        </w:rPr>
        <w:t>.</w:t>
      </w:r>
    </w:p>
    <w:p w14:paraId="0CD48927" w14:textId="7EA282F6" w:rsidR="00052F28" w:rsidRPr="00A64493" w:rsidRDefault="006A5158" w:rsidP="00D83183">
      <w:pPr>
        <w:pStyle w:val="Bullet1"/>
        <w:numPr>
          <w:ilvl w:val="1"/>
          <w:numId w:val="7"/>
        </w:numPr>
      </w:pPr>
      <w:r w:rsidRPr="679080D4">
        <w:rPr>
          <w:lang w:val="en-GB"/>
        </w:rPr>
        <w:t xml:space="preserve">selecting </w:t>
      </w:r>
      <w:r w:rsidR="00C20B9F" w:rsidRPr="679080D4">
        <w:rPr>
          <w:lang w:val="en-GB"/>
        </w:rPr>
        <w:t>the General Practice in Aged Care Incentive indicator on their MyMedicare profile</w:t>
      </w:r>
      <w:r w:rsidR="003D4CC4" w:rsidRPr="679080D4">
        <w:rPr>
          <w:lang w:val="en-GB"/>
        </w:rPr>
        <w:t>.</w:t>
      </w:r>
    </w:p>
    <w:p w14:paraId="7B162B58" w14:textId="503FA112" w:rsidR="00A64493" w:rsidRPr="001C6700" w:rsidRDefault="00A64493" w:rsidP="00A64493">
      <w:pPr>
        <w:pStyle w:val="Heading1"/>
        <w:rPr>
          <w:sz w:val="24"/>
          <w:szCs w:val="24"/>
        </w:rPr>
      </w:pPr>
      <w:r w:rsidRPr="271AC301">
        <w:rPr>
          <w:sz w:val="24"/>
          <w:szCs w:val="24"/>
        </w:rPr>
        <w:t xml:space="preserve">Who is a </w:t>
      </w:r>
      <w:r w:rsidR="00AD5041">
        <w:rPr>
          <w:sz w:val="24"/>
          <w:szCs w:val="24"/>
        </w:rPr>
        <w:t>r</w:t>
      </w:r>
      <w:r w:rsidR="00AD5041" w:rsidRPr="271AC301">
        <w:rPr>
          <w:sz w:val="24"/>
          <w:szCs w:val="24"/>
        </w:rPr>
        <w:t xml:space="preserve">esponsible </w:t>
      </w:r>
      <w:r w:rsidR="00AD5041">
        <w:rPr>
          <w:sz w:val="24"/>
          <w:szCs w:val="24"/>
        </w:rPr>
        <w:t>p</w:t>
      </w:r>
      <w:r w:rsidR="00AD5041" w:rsidRPr="271AC301">
        <w:rPr>
          <w:sz w:val="24"/>
          <w:szCs w:val="24"/>
        </w:rPr>
        <w:t>rovider</w:t>
      </w:r>
      <w:r w:rsidRPr="271AC301">
        <w:rPr>
          <w:sz w:val="24"/>
          <w:szCs w:val="24"/>
        </w:rPr>
        <w:t>?</w:t>
      </w:r>
    </w:p>
    <w:p w14:paraId="5F99FAF2" w14:textId="054FC0F6" w:rsidR="00CA7E4E" w:rsidRDefault="00CA7E4E" w:rsidP="00CA7E4E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t xml:space="preserve">A </w:t>
      </w:r>
      <w:r w:rsidRPr="2B912DBB">
        <w:rPr>
          <w:rFonts w:eastAsia="Arial" w:cs="Arial"/>
        </w:rPr>
        <w:t xml:space="preserve">‘responsible provider’ is a medical practitioner who holds an eligible speciality code, as outlined in </w:t>
      </w:r>
      <w:r w:rsidR="008B5317" w:rsidRPr="2B912DBB">
        <w:rPr>
          <w:rFonts w:eastAsia="Arial" w:cs="Arial"/>
        </w:rPr>
        <w:t>the</w:t>
      </w:r>
      <w:r w:rsidR="008B5317" w:rsidRPr="2B912DBB">
        <w:t xml:space="preserve"> </w:t>
      </w:r>
      <w:hyperlink r:id="rId12" w:history="1">
        <w:r w:rsidR="008B5317" w:rsidRPr="008B5317">
          <w:rPr>
            <w:color w:val="0070C0"/>
            <w:u w:val="single"/>
          </w:rPr>
          <w:t>program guidelines</w:t>
        </w:r>
      </w:hyperlink>
      <w:r w:rsidRPr="2B912DBB">
        <w:rPr>
          <w:rFonts w:eastAsia="Arial" w:cs="Arial"/>
        </w:rPr>
        <w:t>. This practitioner is responsible for coordinating the delivery of eligible services to the registered p</w:t>
      </w:r>
      <w:r>
        <w:t>atient as part of the General Practice in Aged Care Incentive. This includes services they deliver or that are provided by other healthcare professionals at the practice.</w:t>
      </w:r>
    </w:p>
    <w:p w14:paraId="313D08B5" w14:textId="0A7AB2F9" w:rsidR="00CA7E4E" w:rsidRDefault="00CA7E4E" w:rsidP="00CA7E4E">
      <w:pPr>
        <w:spacing w:before="120" w:after="120" w:line="276" w:lineRule="auto"/>
        <w:rPr>
          <w:lang w:val="en-GB"/>
        </w:rPr>
      </w:pPr>
      <w:r>
        <w:t xml:space="preserve">The medical practitioner must be linked to their eligible practice in the organisation register. They must also be </w:t>
      </w:r>
      <w:r>
        <w:rPr>
          <w:lang w:val="en-GB"/>
        </w:rPr>
        <w:t>declared as the responsible provider of eligible services to the registered patient, including coordinating services provided by the care team.</w:t>
      </w:r>
    </w:p>
    <w:p w14:paraId="0F71A063" w14:textId="4638E976" w:rsidR="0012545F" w:rsidRDefault="005B664F" w:rsidP="0012545F">
      <w:pPr>
        <w:spacing w:before="120" w:after="120" w:line="276" w:lineRule="auto"/>
      </w:pPr>
      <w:r>
        <w:rPr>
          <w:lang w:val="en-GB"/>
        </w:rPr>
        <w:t xml:space="preserve">Speak to your </w:t>
      </w:r>
      <w:r w:rsidR="00134213">
        <w:rPr>
          <w:lang w:val="en-GB"/>
        </w:rPr>
        <w:t xml:space="preserve">GP or </w:t>
      </w:r>
      <w:r w:rsidR="00DD6B54">
        <w:rPr>
          <w:lang w:val="en-GB"/>
        </w:rPr>
        <w:t>the aged care provider</w:t>
      </w:r>
      <w:r w:rsidR="00134213">
        <w:rPr>
          <w:lang w:val="en-GB"/>
        </w:rPr>
        <w:t xml:space="preserve"> </w:t>
      </w:r>
      <w:r w:rsidR="00BC5CDD">
        <w:rPr>
          <w:lang w:val="en-GB"/>
        </w:rPr>
        <w:t xml:space="preserve">to find out </w:t>
      </w:r>
      <w:r w:rsidR="00DD6B54">
        <w:rPr>
          <w:lang w:val="en-GB"/>
        </w:rPr>
        <w:t>more about</w:t>
      </w:r>
      <w:r w:rsidR="00F62FEE">
        <w:rPr>
          <w:lang w:val="en-GB"/>
        </w:rPr>
        <w:t xml:space="preserve"> the </w:t>
      </w:r>
      <w:r w:rsidR="00F62FEE" w:rsidRPr="001C6700">
        <w:rPr>
          <w:szCs w:val="26"/>
        </w:rPr>
        <w:t>General Practice in Aged Care Incentive</w:t>
      </w:r>
      <w:r w:rsidR="0012545F" w:rsidRPr="00113499">
        <w:t>.</w:t>
      </w:r>
    </w:p>
    <w:p w14:paraId="25F03D19" w14:textId="08C1FAD0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lastRenderedPageBreak/>
        <w:t xml:space="preserve">Is there a minimum age requirement for </w:t>
      </w:r>
      <w:r w:rsidR="00FF6051">
        <w:rPr>
          <w:sz w:val="24"/>
          <w:szCs w:val="26"/>
        </w:rPr>
        <w:t>aged care residents</w:t>
      </w:r>
      <w:r w:rsidRPr="001C6700">
        <w:rPr>
          <w:sz w:val="24"/>
          <w:szCs w:val="26"/>
        </w:rPr>
        <w:t xml:space="preserve"> to be eligible for the General Practice in Aged Care Incentive?</w:t>
      </w:r>
    </w:p>
    <w:p w14:paraId="451BC3C8" w14:textId="4504457D" w:rsidR="009C4D6B" w:rsidRPr="00A57617" w:rsidRDefault="00B66DA4" w:rsidP="00A57617">
      <w:r>
        <w:t xml:space="preserve">There is no lower age requirement for the General Practice in Aged Care Incentive. </w:t>
      </w:r>
      <w:r w:rsidR="00421931">
        <w:t>Y</w:t>
      </w:r>
      <w:r w:rsidR="6F47226F">
        <w:t xml:space="preserve">ounger people </w:t>
      </w:r>
      <w:r w:rsidR="003F57A3">
        <w:t>are</w:t>
      </w:r>
      <w:r w:rsidR="6F47226F">
        <w:t xml:space="preserve"> eligible to participate in the incentive</w:t>
      </w:r>
      <w:r>
        <w:t xml:space="preserve">, provided </w:t>
      </w:r>
      <w:r w:rsidR="6F47226F">
        <w:t>they are a permanent resident</w:t>
      </w:r>
      <w:r w:rsidR="008E03BB">
        <w:t xml:space="preserve"> of an aged care home.</w:t>
      </w:r>
    </w:p>
    <w:p w14:paraId="7CD6EEF5" w14:textId="77777777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What is considered a residential aged care home?</w:t>
      </w:r>
    </w:p>
    <w:p w14:paraId="577B995B" w14:textId="4B5173AF" w:rsidR="00052F28" w:rsidRPr="00052F28" w:rsidRDefault="00052F28" w:rsidP="00052F28">
      <w:r w:rsidRPr="00052F28">
        <w:t xml:space="preserve">Residential aged care homes are homes for older people who can no longer live </w:t>
      </w:r>
      <w:r w:rsidR="00670CA8">
        <w:t>in their own</w:t>
      </w:r>
      <w:r w:rsidR="00670CA8" w:rsidRPr="00052F28">
        <w:t xml:space="preserve"> </w:t>
      </w:r>
      <w:r w:rsidRPr="00052F28">
        <w:t xml:space="preserve">home. </w:t>
      </w:r>
      <w:r w:rsidR="00AB61B5">
        <w:t>A</w:t>
      </w:r>
      <w:r w:rsidR="00244CDD" w:rsidRPr="00052F28">
        <w:t>ged care homes</w:t>
      </w:r>
      <w:r w:rsidRPr="00052F28">
        <w:t xml:space="preserve"> include accommodation and personal care 24 hours a day, </w:t>
      </w:r>
      <w:r w:rsidR="00FD283A">
        <w:t>with</w:t>
      </w:r>
      <w:r w:rsidRPr="00052F28">
        <w:t xml:space="preserve"> access to nursing and general health care services. All </w:t>
      </w:r>
      <w:r w:rsidR="005A52B9">
        <w:t>government-funded aged care homes</w:t>
      </w:r>
      <w:r w:rsidRPr="00052F28">
        <w:t xml:space="preserve"> must meet certain standards to ensure residents receive the appropriate level of care to meet their needs.</w:t>
      </w:r>
    </w:p>
    <w:p w14:paraId="3292391B" w14:textId="77777777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Can residents in respite care participate in the General Practice in Aged Care Incentive?</w:t>
      </w:r>
    </w:p>
    <w:p w14:paraId="391DE152" w14:textId="4D2738B3" w:rsidR="1B33DE8E" w:rsidRDefault="26509897" w:rsidP="0E865899">
      <w:pPr>
        <w:rPr>
          <w:b/>
          <w:bCs/>
        </w:rPr>
      </w:pPr>
      <w:r>
        <w:t>No, to be eligible for the General Practice in Aged Care Incentive, older people must be a permanent resident of a residential aged care home. This does not include respite care.</w:t>
      </w:r>
    </w:p>
    <w:p w14:paraId="088675D7" w14:textId="4E7C7E0C" w:rsidR="6C97F969" w:rsidRDefault="78AA04E9" w:rsidP="00A57617">
      <w:pPr>
        <w:pStyle w:val="Heading1"/>
      </w:pPr>
      <w:r w:rsidRPr="4028923B">
        <w:rPr>
          <w:sz w:val="24"/>
          <w:szCs w:val="24"/>
        </w:rPr>
        <w:t xml:space="preserve">Can residents in </w:t>
      </w:r>
      <w:r w:rsidR="1FE13159" w:rsidRPr="4028923B">
        <w:rPr>
          <w:sz w:val="24"/>
          <w:szCs w:val="24"/>
        </w:rPr>
        <w:t xml:space="preserve">an </w:t>
      </w:r>
      <w:r w:rsidRPr="4028923B">
        <w:rPr>
          <w:sz w:val="24"/>
          <w:szCs w:val="24"/>
        </w:rPr>
        <w:t xml:space="preserve">aged care program </w:t>
      </w:r>
      <w:r w:rsidR="77A0CCAE" w:rsidRPr="4028923B">
        <w:rPr>
          <w:sz w:val="24"/>
          <w:szCs w:val="24"/>
        </w:rPr>
        <w:t xml:space="preserve">not </w:t>
      </w:r>
      <w:r w:rsidR="415F2D4C" w:rsidRPr="4028923B">
        <w:rPr>
          <w:sz w:val="24"/>
          <w:szCs w:val="24"/>
        </w:rPr>
        <w:t>register</w:t>
      </w:r>
      <w:r w:rsidR="5613F1EE" w:rsidRPr="4028923B">
        <w:rPr>
          <w:sz w:val="24"/>
          <w:szCs w:val="24"/>
        </w:rPr>
        <w:t>ed</w:t>
      </w:r>
      <w:r w:rsidR="415F2D4C" w:rsidRPr="4028923B">
        <w:rPr>
          <w:sz w:val="24"/>
          <w:szCs w:val="24"/>
        </w:rPr>
        <w:t xml:space="preserve"> </w:t>
      </w:r>
      <w:r w:rsidR="77A0CCAE" w:rsidRPr="4028923B">
        <w:rPr>
          <w:sz w:val="24"/>
          <w:szCs w:val="24"/>
        </w:rPr>
        <w:t xml:space="preserve">under the </w:t>
      </w:r>
      <w:r w:rsidR="77A0CCAE" w:rsidRPr="4028923B">
        <w:rPr>
          <w:i/>
          <w:iCs/>
          <w:sz w:val="24"/>
          <w:szCs w:val="24"/>
        </w:rPr>
        <w:t xml:space="preserve">Aged Care Act </w:t>
      </w:r>
      <w:r w:rsidRPr="4028923B">
        <w:rPr>
          <w:sz w:val="24"/>
          <w:szCs w:val="24"/>
        </w:rPr>
        <w:t>participate in the General Practice in Aged Care Incentive?</w:t>
      </w:r>
    </w:p>
    <w:p w14:paraId="58B36365" w14:textId="6CD0A34F" w:rsidR="2E8D83A1" w:rsidRDefault="61B9CA83">
      <w:r>
        <w:t xml:space="preserve">Residents </w:t>
      </w:r>
      <w:r w:rsidR="6EDBA343">
        <w:t>receiving care through</w:t>
      </w:r>
      <w:r>
        <w:t xml:space="preserve"> f</w:t>
      </w:r>
      <w:r w:rsidR="3007E300">
        <w:t>lexible aged care programs, such as the Multi-Purpose Services and National Aboriginal and Torres Strait Islander Flexible Aged Care program</w:t>
      </w:r>
      <w:r w:rsidR="6B2954CA">
        <w:t>s</w:t>
      </w:r>
      <w:r w:rsidR="3007E300">
        <w:t xml:space="preserve">, are </w:t>
      </w:r>
      <w:r w:rsidR="6DE9BE78">
        <w:t>eligible for the incentive</w:t>
      </w:r>
      <w:r w:rsidR="6AFB684E">
        <w:t xml:space="preserve"> where</w:t>
      </w:r>
      <w:r w:rsidR="5B71FBD6">
        <w:t>:</w:t>
      </w:r>
      <w:r w:rsidR="5F815067">
        <w:t xml:space="preserve"> </w:t>
      </w:r>
    </w:p>
    <w:p w14:paraId="0E34B67D" w14:textId="7E2EFDEB" w:rsidR="0032413A" w:rsidRDefault="5F815067" w:rsidP="007933CB">
      <w:pPr>
        <w:pStyle w:val="Bullet1"/>
        <w:numPr>
          <w:ilvl w:val="0"/>
          <w:numId w:val="1"/>
        </w:numPr>
      </w:pPr>
      <w:r>
        <w:t>t</w:t>
      </w:r>
      <w:r w:rsidR="2A902A8C">
        <w:t xml:space="preserve">he residential aged care home </w:t>
      </w:r>
      <w:r w:rsidR="5AB948D3">
        <w:t>meet</w:t>
      </w:r>
      <w:r w:rsidR="2E0F52A2">
        <w:t>s</w:t>
      </w:r>
      <w:r w:rsidR="5AB948D3">
        <w:t xml:space="preserve"> the </w:t>
      </w:r>
      <w:r w:rsidR="2A902A8C">
        <w:t>defin</w:t>
      </w:r>
      <w:r w:rsidR="639B4C81">
        <w:t>ition under the General Practice in Aged Care Incentive Program Guidelines</w:t>
      </w:r>
    </w:p>
    <w:p w14:paraId="1A90BB06" w14:textId="1987CD8A" w:rsidR="4586DD61" w:rsidRDefault="2161FD6E" w:rsidP="007933CB">
      <w:pPr>
        <w:pStyle w:val="Bullet1"/>
        <w:numPr>
          <w:ilvl w:val="0"/>
          <w:numId w:val="1"/>
        </w:numPr>
      </w:pPr>
      <w:r>
        <w:t xml:space="preserve">the </w:t>
      </w:r>
      <w:r w:rsidR="56D06926">
        <w:t xml:space="preserve">resident </w:t>
      </w:r>
      <w:r>
        <w:t>is in a permanent residential aged care place</w:t>
      </w:r>
    </w:p>
    <w:p w14:paraId="6FD0488D" w14:textId="08817F50" w:rsidR="68A6B749" w:rsidRDefault="09033529" w:rsidP="007933CB">
      <w:pPr>
        <w:pStyle w:val="Bullet1"/>
        <w:numPr>
          <w:ilvl w:val="0"/>
          <w:numId w:val="1"/>
        </w:numPr>
        <w:rPr>
          <w:rFonts w:eastAsia="Arial" w:cs="Arial"/>
        </w:rPr>
      </w:pPr>
      <w:r>
        <w:t>t</w:t>
      </w:r>
      <w:r w:rsidR="2161FD6E">
        <w:t xml:space="preserve">he practice, provider and patient </w:t>
      </w:r>
      <w:r w:rsidR="41369E50">
        <w:t xml:space="preserve">meet </w:t>
      </w:r>
      <w:r w:rsidR="2161FD6E">
        <w:t xml:space="preserve">all other eligibility </w:t>
      </w:r>
      <w:r w:rsidR="03D3A86F">
        <w:t xml:space="preserve">and service delivery </w:t>
      </w:r>
      <w:r w:rsidR="2161FD6E">
        <w:t>requirements.</w:t>
      </w:r>
    </w:p>
    <w:p w14:paraId="476156AB" w14:textId="77F051EB" w:rsidR="00503C21" w:rsidRPr="00281967" w:rsidRDefault="26B7DDEC" w:rsidP="00281967">
      <w:pPr>
        <w:pStyle w:val="Heading1"/>
        <w:rPr>
          <w:sz w:val="24"/>
          <w:szCs w:val="24"/>
        </w:rPr>
      </w:pPr>
      <w:r w:rsidRPr="4028923B">
        <w:rPr>
          <w:sz w:val="24"/>
          <w:szCs w:val="24"/>
        </w:rPr>
        <w:lastRenderedPageBreak/>
        <w:t>How does a person without the capacity to consent participate in MyMedicare and the associated incentive programs?</w:t>
      </w:r>
    </w:p>
    <w:p w14:paraId="71DA3274" w14:textId="272B1FB4" w:rsidR="0042761D" w:rsidRDefault="0042761D" w:rsidP="0042761D">
      <w:r>
        <w:t>If a person is incapable of providing consent to register in MyMedicare, a responsible person can provide consent and register on their behalf. This can be the parent or guardian of a minor, a person who holds power of attorney or a guardianship order, or the next of kin.</w:t>
      </w:r>
    </w:p>
    <w:p w14:paraId="2E8102AC" w14:textId="1442DBCB" w:rsidR="00C77DFF" w:rsidRDefault="457458DA" w:rsidP="7D773588">
      <w:pPr>
        <w:spacing w:before="120" w:after="120" w:line="276" w:lineRule="auto"/>
      </w:pPr>
      <w:r>
        <w:t xml:space="preserve">By consenting to MyMedicare, </w:t>
      </w:r>
      <w:r w:rsidR="40A84F30">
        <w:t>you are also providing consent to participate in incentive programs including the General Practice in Aged Care Incentive.</w:t>
      </w:r>
    </w:p>
    <w:p w14:paraId="72B8FF1B" w14:textId="3E4EF94F" w:rsidR="009E2E60" w:rsidRDefault="00C77DFF" w:rsidP="7D773588">
      <w:pPr>
        <w:spacing w:before="120" w:after="120" w:line="276" w:lineRule="auto"/>
      </w:pPr>
      <w:r w:rsidRPr="2B912DBB">
        <w:rPr>
          <w:lang w:val="en-GB"/>
        </w:rPr>
        <w:t>Residents should s</w:t>
      </w:r>
      <w:r w:rsidR="3E76F5BA" w:rsidRPr="2B912DBB">
        <w:rPr>
          <w:lang w:val="en-GB"/>
        </w:rPr>
        <w:t>peak to</w:t>
      </w:r>
      <w:r w:rsidRPr="2B912DBB">
        <w:rPr>
          <w:lang w:val="en-GB"/>
        </w:rPr>
        <w:t xml:space="preserve"> their</w:t>
      </w:r>
      <w:r w:rsidR="3E76F5BA" w:rsidRPr="2B912DBB">
        <w:rPr>
          <w:lang w:val="en-GB"/>
        </w:rPr>
        <w:t xml:space="preserve"> GP or aged care provider to find out more about the </w:t>
      </w:r>
      <w:r w:rsidR="3E76F5BA">
        <w:t>General Practice in Aged Care Incentive.</w:t>
      </w:r>
    </w:p>
    <w:p w14:paraId="1AA4EF2E" w14:textId="09EA3B00" w:rsidR="7D773588" w:rsidRDefault="7D773588"/>
    <w:p w14:paraId="74025592" w14:textId="044EFF7C" w:rsidR="001038AB" w:rsidRPr="00052F28" w:rsidRDefault="001038AB" w:rsidP="001C6700">
      <w:pPr>
        <w:pStyle w:val="Heading1"/>
      </w:pPr>
      <w:r>
        <w:t>Registration</w:t>
      </w:r>
    </w:p>
    <w:p w14:paraId="4B3FA7B9" w14:textId="7EC1D13F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How do I register with the General Practice in Aged Care Incentive?</w:t>
      </w:r>
    </w:p>
    <w:p w14:paraId="7218403F" w14:textId="432D547E" w:rsidR="00052F28" w:rsidRPr="00052F28" w:rsidRDefault="00052F28" w:rsidP="0E865899">
      <w:r>
        <w:t xml:space="preserve">To be eligible for the General Practice in Aged Care Incentive, you will need to register for MyMedicare. More information on how to register for MyMedicare is available at </w:t>
      </w:r>
      <w:hyperlink r:id="rId13">
        <w:r w:rsidRPr="0E865899">
          <w:rPr>
            <w:rStyle w:val="Hyperlink"/>
            <w:color w:val="0070C0"/>
          </w:rPr>
          <w:t>health.gov.au/our-work/mymedicare/patients</w:t>
        </w:r>
      </w:hyperlink>
      <w:r w:rsidR="25C6EC79">
        <w:t>.</w:t>
      </w:r>
    </w:p>
    <w:p w14:paraId="14AD13CB" w14:textId="56A47F3D" w:rsidR="00850A28" w:rsidRDefault="00052F28" w:rsidP="00052F28">
      <w:r>
        <w:t xml:space="preserve">Once you are registered in MyMedicare, </w:t>
      </w:r>
      <w:r w:rsidR="00F24F3F">
        <w:t>general practices</w:t>
      </w:r>
      <w:r>
        <w:t xml:space="preserve"> are responsible for registering their eligible patients in the General Practice in Aged Care Incentive. </w:t>
      </w:r>
    </w:p>
    <w:p w14:paraId="019B4473" w14:textId="267DCAE6" w:rsidR="00052F28" w:rsidRPr="00863D8A" w:rsidRDefault="00850A28" w:rsidP="00052F28">
      <w:r>
        <w:t xml:space="preserve">Eligible registered patients can expect to receive </w:t>
      </w:r>
      <w:r w:rsidR="000D6DE3">
        <w:t xml:space="preserve">a minimum of </w:t>
      </w:r>
      <w:r w:rsidR="001B3128">
        <w:t xml:space="preserve">eight </w:t>
      </w:r>
      <w:r w:rsidR="00E9042A">
        <w:t>regular visits</w:t>
      </w:r>
      <w:r w:rsidR="001B3128">
        <w:t xml:space="preserve"> and two care planning sessions </w:t>
      </w:r>
      <w:r w:rsidR="00B92D10">
        <w:t xml:space="preserve">over a </w:t>
      </w:r>
      <w:r w:rsidR="001D7339">
        <w:t>12-month</w:t>
      </w:r>
      <w:r w:rsidR="00B92D10">
        <w:t xml:space="preserve"> period </w:t>
      </w:r>
      <w:r w:rsidR="001B3128">
        <w:t xml:space="preserve">from </w:t>
      </w:r>
      <w:r w:rsidR="00B87D5C">
        <w:t xml:space="preserve">the responsible provider and the extended care team at their practice. </w:t>
      </w:r>
      <w:r w:rsidR="00E06AE5">
        <w:t>Additional visits and care appointments are still possible</w:t>
      </w:r>
      <w:r w:rsidR="00770F25">
        <w:t xml:space="preserve"> as needed.</w:t>
      </w:r>
      <w:r w:rsidR="00052F28" w:rsidRPr="43F46C0D">
        <w:t xml:space="preserve"> It is recommended that </w:t>
      </w:r>
      <w:r w:rsidR="00052F28">
        <w:t>you</w:t>
      </w:r>
      <w:r w:rsidR="00052F28" w:rsidRPr="43F46C0D">
        <w:t xml:space="preserve"> speak to </w:t>
      </w:r>
      <w:r w:rsidR="00052F28">
        <w:t>your</w:t>
      </w:r>
      <w:r w:rsidR="00052F28" w:rsidRPr="43F46C0D">
        <w:t xml:space="preserve"> </w:t>
      </w:r>
      <w:r w:rsidR="00404E70">
        <w:t>GP</w:t>
      </w:r>
      <w:r w:rsidR="00052F28" w:rsidRPr="43F46C0D">
        <w:t xml:space="preserve"> and/or practice if you would like to be a part of the </w:t>
      </w:r>
      <w:r w:rsidR="00052F28">
        <w:t>General Practice in Aged Care Incentive</w:t>
      </w:r>
      <w:r w:rsidR="00052F28" w:rsidRPr="43F46C0D">
        <w:t>.</w:t>
      </w:r>
    </w:p>
    <w:p w14:paraId="0343F20C" w14:textId="3025ACFD" w:rsidR="006E003C" w:rsidRPr="001C6700" w:rsidRDefault="00052F28" w:rsidP="00052F28">
      <w:pPr>
        <w:pStyle w:val="Heading1"/>
        <w:rPr>
          <w:sz w:val="24"/>
          <w:szCs w:val="24"/>
        </w:rPr>
      </w:pPr>
      <w:r w:rsidRPr="271AC301">
        <w:rPr>
          <w:sz w:val="24"/>
          <w:szCs w:val="24"/>
        </w:rPr>
        <w:t>Can I choose my own</w:t>
      </w:r>
      <w:r w:rsidR="00F0173E" w:rsidRPr="271AC301">
        <w:rPr>
          <w:sz w:val="24"/>
          <w:szCs w:val="24"/>
        </w:rPr>
        <w:t xml:space="preserve"> GP or practice </w:t>
      </w:r>
      <w:r w:rsidR="00546340" w:rsidRPr="271AC301">
        <w:rPr>
          <w:sz w:val="24"/>
          <w:szCs w:val="24"/>
        </w:rPr>
        <w:t>to access the</w:t>
      </w:r>
      <w:r w:rsidRPr="271AC301">
        <w:rPr>
          <w:sz w:val="24"/>
          <w:szCs w:val="24"/>
        </w:rPr>
        <w:t xml:space="preserve"> </w:t>
      </w:r>
      <w:r w:rsidR="00671C57" w:rsidRPr="271AC301">
        <w:rPr>
          <w:sz w:val="24"/>
          <w:szCs w:val="24"/>
        </w:rPr>
        <w:t xml:space="preserve">services under the </w:t>
      </w:r>
      <w:r w:rsidRPr="271AC301">
        <w:rPr>
          <w:sz w:val="24"/>
          <w:szCs w:val="24"/>
        </w:rPr>
        <w:t>General Practice in Aged Care Incentive?</w:t>
      </w:r>
    </w:p>
    <w:p w14:paraId="6B2A3326" w14:textId="3B18572C" w:rsidR="00052F28" w:rsidRPr="00052F28" w:rsidRDefault="00052F28" w:rsidP="00052F28">
      <w:r w:rsidRPr="00052F28">
        <w:t xml:space="preserve">You will be able to register in MyMedicare with your chosen practice. It is up to the practice whether they </w:t>
      </w:r>
      <w:r w:rsidR="00C3298E">
        <w:t>want</w:t>
      </w:r>
      <w:r w:rsidRPr="00052F28">
        <w:t xml:space="preserve"> to deliver services under the General Practice in Aged Care Incentive and who the </w:t>
      </w:r>
      <w:r w:rsidR="00440C1D">
        <w:t>r</w:t>
      </w:r>
      <w:r w:rsidR="00440C1D" w:rsidRPr="00052F28">
        <w:t xml:space="preserve">esponsible </w:t>
      </w:r>
      <w:r w:rsidR="00440C1D">
        <w:t>p</w:t>
      </w:r>
      <w:r w:rsidR="00440C1D" w:rsidRPr="00052F28">
        <w:t xml:space="preserve">rovider </w:t>
      </w:r>
      <w:r w:rsidRPr="00052F28">
        <w:t>will be.</w:t>
      </w:r>
    </w:p>
    <w:p w14:paraId="7FE0B91B" w14:textId="5CE54939" w:rsidR="00052F28" w:rsidRPr="00052F28" w:rsidRDefault="00052F28" w:rsidP="00052F28">
      <w:r w:rsidRPr="00052F28">
        <w:t xml:space="preserve">You </w:t>
      </w:r>
      <w:r w:rsidR="00C3298E">
        <w:t>can</w:t>
      </w:r>
      <w:r w:rsidRPr="00052F28">
        <w:t xml:space="preserve"> change your MyMedicare practice at any time and register with a different practice if you meet the eligibility requirements and the practice is also registered.</w:t>
      </w:r>
    </w:p>
    <w:p w14:paraId="38195E14" w14:textId="11921B62" w:rsidR="00052F28" w:rsidRPr="001C6700" w:rsidRDefault="00052F28" w:rsidP="001C6700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lastRenderedPageBreak/>
        <w:t>I’ve registered with MyMedicare</w:t>
      </w:r>
      <w:r w:rsidR="00BB0519">
        <w:rPr>
          <w:sz w:val="24"/>
          <w:szCs w:val="26"/>
        </w:rPr>
        <w:t>. H</w:t>
      </w:r>
      <w:r w:rsidRPr="001C6700">
        <w:rPr>
          <w:sz w:val="24"/>
          <w:szCs w:val="26"/>
        </w:rPr>
        <w:t>ow do I know if I’m registered for the General Practice in Aged Care Incentive?</w:t>
      </w:r>
    </w:p>
    <w:p w14:paraId="15270805" w14:textId="2F6E7EC5" w:rsidR="00052F28" w:rsidRPr="00052F28" w:rsidRDefault="00052F28" w:rsidP="00052F28">
      <w:r>
        <w:t xml:space="preserve">It is the responsibility of the practice to register their patients for the General Practice in Aged Care Incentive. You should </w:t>
      </w:r>
      <w:r w:rsidR="00E46627">
        <w:t xml:space="preserve">ask </w:t>
      </w:r>
      <w:r>
        <w:t>your practice or</w:t>
      </w:r>
      <w:r w:rsidR="7436B497">
        <w:t xml:space="preserve"> GP</w:t>
      </w:r>
      <w:r>
        <w:t xml:space="preserve"> </w:t>
      </w:r>
      <w:r w:rsidR="00E46627">
        <w:t>if</w:t>
      </w:r>
      <w:r>
        <w:t xml:space="preserve"> they are participating in the General Practice in Aged Care Incentive.</w:t>
      </w:r>
    </w:p>
    <w:p w14:paraId="326A8A68" w14:textId="3C4C79B8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What if my regular practice is not participating in the General Practice in Aged Care Incentive?</w:t>
      </w:r>
    </w:p>
    <w:p w14:paraId="45E0DE3A" w14:textId="65B6E99F" w:rsidR="00052F28" w:rsidRDefault="00052F28" w:rsidP="00052F28">
      <w:r w:rsidRPr="00052F28">
        <w:t>Practices are not required to participate in the General Practice in Aged Care Incentive. We</w:t>
      </w:r>
      <w:r w:rsidRPr="00273133">
        <w:t xml:space="preserve"> recommend you talk with your </w:t>
      </w:r>
      <w:r w:rsidR="00D10675">
        <w:t>GP</w:t>
      </w:r>
      <w:r w:rsidRPr="00273133">
        <w:t xml:space="preserve"> or practice about whether the benefits provided through </w:t>
      </w:r>
      <w:r>
        <w:t>participating</w:t>
      </w:r>
      <w:r w:rsidRPr="00273133">
        <w:t xml:space="preserve"> will support your health care needs.</w:t>
      </w:r>
    </w:p>
    <w:p w14:paraId="3BF91969" w14:textId="178416C0" w:rsidR="26509897" w:rsidRDefault="26509897">
      <w:r>
        <w:t xml:space="preserve">Your </w:t>
      </w:r>
      <w:r w:rsidR="07A7BEAD">
        <w:t xml:space="preserve">GP and </w:t>
      </w:r>
      <w:r>
        <w:t>practice should still deliver the care that you require even if they are not part of the General Practice in Aged Care Incentive.</w:t>
      </w:r>
    </w:p>
    <w:p w14:paraId="7131314B" w14:textId="6F638904" w:rsidR="55255299" w:rsidRDefault="1167DA58">
      <w:pPr>
        <w:pStyle w:val="Heading1"/>
        <w:rPr>
          <w:sz w:val="24"/>
          <w:szCs w:val="24"/>
        </w:rPr>
      </w:pPr>
      <w:r w:rsidRPr="4028923B">
        <w:rPr>
          <w:sz w:val="24"/>
          <w:szCs w:val="24"/>
        </w:rPr>
        <w:t xml:space="preserve">Am I still eligible for the </w:t>
      </w:r>
      <w:r w:rsidR="67E2DD35" w:rsidRPr="4028923B">
        <w:rPr>
          <w:sz w:val="24"/>
          <w:szCs w:val="24"/>
        </w:rPr>
        <w:t>i</w:t>
      </w:r>
      <w:r w:rsidRPr="4028923B">
        <w:rPr>
          <w:sz w:val="24"/>
          <w:szCs w:val="24"/>
        </w:rPr>
        <w:t xml:space="preserve">ncentive if I have not seen my GP previously? </w:t>
      </w:r>
    </w:p>
    <w:p w14:paraId="5DB6D9B0" w14:textId="7C48910A" w:rsidR="3E61CF2C" w:rsidRDefault="3E61CF2C" w:rsidP="4028923B">
      <w:pPr>
        <w:spacing w:after="120" w:line="240" w:lineRule="auto"/>
        <w:rPr>
          <w:rFonts w:eastAsia="Arial" w:cs="Arial"/>
          <w:szCs w:val="24"/>
          <w:lang w:val="en-GB"/>
        </w:rPr>
      </w:pPr>
      <w:r w:rsidRPr="4028923B">
        <w:rPr>
          <w:rFonts w:eastAsia="Arial" w:cs="Arial"/>
          <w:szCs w:val="24"/>
          <w:lang w:val="en-GB"/>
        </w:rPr>
        <w:t>To participate in the General Practice in Aged Care Incentive, patients will need to be registered in MyMedicare.</w:t>
      </w:r>
    </w:p>
    <w:p w14:paraId="3A6B9260" w14:textId="41C17106" w:rsidR="4028923B" w:rsidRDefault="4028923B" w:rsidP="4028923B"/>
    <w:p w14:paraId="60FCB308" w14:textId="6CF21C32" w:rsidR="001038AB" w:rsidRPr="00052F28" w:rsidRDefault="0AE5834C" w:rsidP="4028923B">
      <w:pPr>
        <w:rPr>
          <w:rFonts w:ascii="Segoe UI" w:eastAsia="Segoe UI" w:hAnsi="Segoe UI" w:cs="Segoe UI"/>
          <w:color w:val="313131"/>
          <w:szCs w:val="24"/>
        </w:rPr>
      </w:pPr>
      <w:r>
        <w:t>Patients who are participating in the General Practice in Aged Care Incentive will be exempt from the MyMedicare requirement to visit their GP prior to registering for MyMedicare.</w:t>
      </w:r>
      <w:r w:rsidR="0612A46E">
        <w:t xml:space="preserve"> </w:t>
      </w:r>
      <w:r w:rsidR="13278F7B">
        <w:t>Participating in the General Practice in Aged Care Incentive</w:t>
      </w:r>
    </w:p>
    <w:p w14:paraId="4F6FCE3D" w14:textId="518D496B" w:rsidR="00052F28" w:rsidRPr="001C6700" w:rsidRDefault="00647749" w:rsidP="00052F28">
      <w:pPr>
        <w:pStyle w:val="Heading1"/>
        <w:rPr>
          <w:sz w:val="24"/>
          <w:szCs w:val="26"/>
        </w:rPr>
      </w:pPr>
      <w:r>
        <w:rPr>
          <w:sz w:val="24"/>
          <w:szCs w:val="26"/>
        </w:rPr>
        <w:t>Will I have to pay</w:t>
      </w:r>
      <w:r w:rsidR="00052F28" w:rsidRPr="001C6700">
        <w:rPr>
          <w:sz w:val="24"/>
          <w:szCs w:val="26"/>
        </w:rPr>
        <w:t xml:space="preserve"> to receive General Practice in Aged Care Incentive services?</w:t>
      </w:r>
    </w:p>
    <w:p w14:paraId="5B427F30" w14:textId="444DD527" w:rsidR="00052F28" w:rsidRPr="00052F28" w:rsidRDefault="00052F28" w:rsidP="00052F28">
      <w:r>
        <w:t>Regular M</w:t>
      </w:r>
      <w:r w:rsidR="00B377D0">
        <w:t xml:space="preserve">edicare </w:t>
      </w:r>
      <w:r w:rsidR="009A7204">
        <w:t>B</w:t>
      </w:r>
      <w:r w:rsidR="00B377D0">
        <w:t>enefit</w:t>
      </w:r>
      <w:r w:rsidR="00403C24">
        <w:t>s</w:t>
      </w:r>
      <w:r w:rsidR="00B377D0">
        <w:t xml:space="preserve"> </w:t>
      </w:r>
      <w:r w:rsidR="4ABC5241">
        <w:t>Schedule</w:t>
      </w:r>
      <w:r>
        <w:t xml:space="preserve">, bulk billing and out of pockets costs will still apply for services as decided by the practice. Apart from this, there is no additional charge for </w:t>
      </w:r>
      <w:r w:rsidR="00647749">
        <w:t xml:space="preserve">you to receive </w:t>
      </w:r>
      <w:r>
        <w:t xml:space="preserve">the General Practice in Aged Care Incentive services from a </w:t>
      </w:r>
      <w:r w:rsidR="00440C1D">
        <w:t>responsible provider</w:t>
      </w:r>
      <w:r>
        <w:t xml:space="preserve">. </w:t>
      </w:r>
    </w:p>
    <w:p w14:paraId="74CF342C" w14:textId="1BEC65BB" w:rsidR="00052F28" w:rsidRPr="001C6700" w:rsidRDefault="00052F28" w:rsidP="00052F28">
      <w:pPr>
        <w:pStyle w:val="Heading1"/>
        <w:rPr>
          <w:sz w:val="24"/>
          <w:szCs w:val="26"/>
        </w:rPr>
      </w:pPr>
      <w:r w:rsidRPr="001C6700">
        <w:rPr>
          <w:sz w:val="24"/>
          <w:szCs w:val="26"/>
        </w:rPr>
        <w:t>Can I withdraw from the General Practice in Aged Care Incentive?</w:t>
      </w:r>
    </w:p>
    <w:p w14:paraId="2427544E" w14:textId="3A42E559" w:rsidR="00052F28" w:rsidRDefault="002576A9" w:rsidP="00052F28">
      <w:r>
        <w:t xml:space="preserve">Yes, you </w:t>
      </w:r>
      <w:r w:rsidR="00052F28">
        <w:t xml:space="preserve">can withdraw from the General Practice in Aged Care Incentive at any time. To withdraw, you or a legally responsible person </w:t>
      </w:r>
      <w:r>
        <w:t>need to ask</w:t>
      </w:r>
      <w:r w:rsidR="00052F28">
        <w:t xml:space="preserve"> your practice to withdraw you from the program. Practices are required to withdraw a patient at their earliest opportunity after receiving a withdrawal request.</w:t>
      </w:r>
    </w:p>
    <w:p w14:paraId="5E6ED7DC" w14:textId="035793C8" w:rsidR="00052F28" w:rsidRPr="005914B8" w:rsidRDefault="00052F28" w:rsidP="00052F28">
      <w:r>
        <w:lastRenderedPageBreak/>
        <w:t xml:space="preserve">If you withdraw from MyMedicare, this will </w:t>
      </w:r>
      <w:r w:rsidR="00A6223F">
        <w:t xml:space="preserve">automatically mean you withdraw </w:t>
      </w:r>
      <w:r>
        <w:t>from the General Practice in Aged Care Incentive</w:t>
      </w:r>
      <w:r w:rsidR="00A6223F">
        <w:t xml:space="preserve"> too</w:t>
      </w:r>
      <w:r>
        <w:t>.</w:t>
      </w:r>
    </w:p>
    <w:sectPr w:rsidR="00052F28" w:rsidRPr="005914B8" w:rsidSect="004963F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AAE2" w14:textId="77777777" w:rsidR="00823B37" w:rsidRDefault="00823B37" w:rsidP="00D560DC">
      <w:pPr>
        <w:spacing w:before="0" w:after="0" w:line="240" w:lineRule="auto"/>
      </w:pPr>
      <w:r>
        <w:separator/>
      </w:r>
    </w:p>
  </w:endnote>
  <w:endnote w:type="continuationSeparator" w:id="0">
    <w:p w14:paraId="009DFB28" w14:textId="77777777" w:rsidR="00823B37" w:rsidRDefault="00823B37" w:rsidP="00D560DC">
      <w:pPr>
        <w:spacing w:before="0" w:after="0" w:line="240" w:lineRule="auto"/>
      </w:pPr>
      <w:r>
        <w:continuationSeparator/>
      </w:r>
    </w:p>
  </w:endnote>
  <w:endnote w:type="continuationNotice" w:id="1">
    <w:p w14:paraId="1C51C7BF" w14:textId="77777777" w:rsidR="00823B37" w:rsidRDefault="00823B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CE9F" w14:textId="5569B03C" w:rsidR="0039793D" w:rsidRDefault="00AF121B" w:rsidP="0039793D">
    <w:pPr>
      <w:pStyle w:val="Foot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  <w:rPr>
                              <w:noProof/>
                            </w:rPr>
                          </w:pPr>
                          <w:r w:rsidRPr="00222E22"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Pr="00222E22"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222E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  <w:rPr>
                        <w:noProof/>
                      </w:rPr>
                    </w:pPr>
                    <w:r w:rsidRPr="00222E22"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 w:rsidRPr="00222E22"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222E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04654711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2"/>
          <w:szCs w:val="18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3CF3" w:rsidRPr="00F11E2A">
          <w:rPr>
            <w:sz w:val="22"/>
            <w:szCs w:val="18"/>
          </w:rPr>
          <w:t>General Practice in Aged Care Incentive – Frequently asked questions for aged care residents and carers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0F5ACE2" w:rsidR="00D560DC" w:rsidRPr="00C70717" w:rsidRDefault="004A500A" w:rsidP="00D560DC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auto"/>
          <w:shd w:val="clear" w:color="auto" w:fill="auto"/>
        </w:rPr>
      </w:sdtEndPr>
      <w:sdtContent>
        <w:r w:rsidR="00803CF3">
          <w:rPr>
            <w:color w:val="2B579A"/>
            <w:shd w:val="clear" w:color="auto" w:fill="E6E6E6"/>
          </w:rPr>
          <w:t>General Practice in Aged Care Incentive – Frequently asked questions for aged care residents and carers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85FE" w14:textId="77777777" w:rsidR="00823B37" w:rsidRDefault="00823B3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6AA6EFE" w14:textId="77777777" w:rsidR="00823B37" w:rsidRDefault="00823B37" w:rsidP="00D560DC">
      <w:pPr>
        <w:spacing w:before="0" w:after="0" w:line="240" w:lineRule="auto"/>
      </w:pPr>
      <w:r>
        <w:continuationSeparator/>
      </w:r>
    </w:p>
  </w:footnote>
  <w:footnote w:type="continuationNotice" w:id="1">
    <w:p w14:paraId="1FB0E37D" w14:textId="77777777" w:rsidR="00823B37" w:rsidRDefault="00823B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6C43" w14:textId="2C27A1F7" w:rsidR="00D560DC" w:rsidRDefault="004963FC" w:rsidP="004963FC">
    <w:pPr>
      <w:pStyle w:val="Header"/>
      <w:spacing w:after="14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57B4"/>
    <w:multiLevelType w:val="multilevel"/>
    <w:tmpl w:val="E27E9296"/>
    <w:numStyleLink w:val="NumberedListStyle"/>
  </w:abstractNum>
  <w:abstractNum w:abstractNumId="2" w15:restartNumberingAfterBreak="0">
    <w:nsid w:val="1FBD4D24"/>
    <w:multiLevelType w:val="multilevel"/>
    <w:tmpl w:val="3BE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BAEA9"/>
    <w:multiLevelType w:val="hybridMultilevel"/>
    <w:tmpl w:val="19BCB17A"/>
    <w:lvl w:ilvl="0" w:tplc="247AA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41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0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B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E6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7883C7AB"/>
    <w:multiLevelType w:val="hybridMultilevel"/>
    <w:tmpl w:val="44B4067E"/>
    <w:lvl w:ilvl="0" w:tplc="8ADC8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AD5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96CC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6AE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2081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18AA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CA02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8C58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2C71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B691D"/>
    <w:multiLevelType w:val="multilevel"/>
    <w:tmpl w:val="7A48930E"/>
    <w:styleLink w:val="BulletListStyl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09306969">
    <w:abstractNumId w:val="5"/>
  </w:num>
  <w:num w:numId="2" w16cid:durableId="1138255236">
    <w:abstractNumId w:val="3"/>
  </w:num>
  <w:num w:numId="3" w16cid:durableId="1673797208">
    <w:abstractNumId w:val="6"/>
  </w:num>
  <w:num w:numId="4" w16cid:durableId="842470679">
    <w:abstractNumId w:val="4"/>
  </w:num>
  <w:num w:numId="5" w16cid:durableId="1678968889">
    <w:abstractNumId w:val="0"/>
  </w:num>
  <w:num w:numId="6" w16cid:durableId="1842163252">
    <w:abstractNumId w:val="1"/>
  </w:num>
  <w:num w:numId="7" w16cid:durableId="102324379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02862"/>
    <w:rsid w:val="00017597"/>
    <w:rsid w:val="00027E66"/>
    <w:rsid w:val="000313AC"/>
    <w:rsid w:val="00032371"/>
    <w:rsid w:val="0003434C"/>
    <w:rsid w:val="00035540"/>
    <w:rsid w:val="00045D92"/>
    <w:rsid w:val="00052F28"/>
    <w:rsid w:val="00060E6D"/>
    <w:rsid w:val="00061D6A"/>
    <w:rsid w:val="00073057"/>
    <w:rsid w:val="00075FE2"/>
    <w:rsid w:val="00082701"/>
    <w:rsid w:val="00091A66"/>
    <w:rsid w:val="000A5AB7"/>
    <w:rsid w:val="000B18A7"/>
    <w:rsid w:val="000B1AB4"/>
    <w:rsid w:val="000B5679"/>
    <w:rsid w:val="000D6362"/>
    <w:rsid w:val="000D6DE3"/>
    <w:rsid w:val="000F1C45"/>
    <w:rsid w:val="001038AB"/>
    <w:rsid w:val="0012545F"/>
    <w:rsid w:val="00132B7E"/>
    <w:rsid w:val="00134213"/>
    <w:rsid w:val="001559DB"/>
    <w:rsid w:val="00163226"/>
    <w:rsid w:val="00181913"/>
    <w:rsid w:val="0018202B"/>
    <w:rsid w:val="00182459"/>
    <w:rsid w:val="00191297"/>
    <w:rsid w:val="00196D82"/>
    <w:rsid w:val="00197EC9"/>
    <w:rsid w:val="001A254C"/>
    <w:rsid w:val="001B3128"/>
    <w:rsid w:val="001B3342"/>
    <w:rsid w:val="001C2CDB"/>
    <w:rsid w:val="001C6700"/>
    <w:rsid w:val="001D7339"/>
    <w:rsid w:val="001E3443"/>
    <w:rsid w:val="001F70E2"/>
    <w:rsid w:val="00204935"/>
    <w:rsid w:val="0020779A"/>
    <w:rsid w:val="00222E22"/>
    <w:rsid w:val="00225826"/>
    <w:rsid w:val="00244CDD"/>
    <w:rsid w:val="002463B7"/>
    <w:rsid w:val="002576A9"/>
    <w:rsid w:val="00257EE5"/>
    <w:rsid w:val="00274507"/>
    <w:rsid w:val="00275296"/>
    <w:rsid w:val="00281967"/>
    <w:rsid w:val="002A2EBA"/>
    <w:rsid w:val="002A4D34"/>
    <w:rsid w:val="002A77A4"/>
    <w:rsid w:val="002B5E7A"/>
    <w:rsid w:val="002B76E5"/>
    <w:rsid w:val="002C26E8"/>
    <w:rsid w:val="002D27AE"/>
    <w:rsid w:val="002D2927"/>
    <w:rsid w:val="002D331E"/>
    <w:rsid w:val="002D3953"/>
    <w:rsid w:val="002D5E69"/>
    <w:rsid w:val="002D7224"/>
    <w:rsid w:val="002E227E"/>
    <w:rsid w:val="002F5F72"/>
    <w:rsid w:val="00302091"/>
    <w:rsid w:val="003067F1"/>
    <w:rsid w:val="00307D21"/>
    <w:rsid w:val="0032053A"/>
    <w:rsid w:val="0032413A"/>
    <w:rsid w:val="00325F1E"/>
    <w:rsid w:val="003358DE"/>
    <w:rsid w:val="00351772"/>
    <w:rsid w:val="00373A7F"/>
    <w:rsid w:val="0038214E"/>
    <w:rsid w:val="003932FC"/>
    <w:rsid w:val="003974D4"/>
    <w:rsid w:val="0039793D"/>
    <w:rsid w:val="003A18B8"/>
    <w:rsid w:val="003B36D9"/>
    <w:rsid w:val="003B6965"/>
    <w:rsid w:val="003D12F3"/>
    <w:rsid w:val="003D3165"/>
    <w:rsid w:val="003D4CC4"/>
    <w:rsid w:val="003F5519"/>
    <w:rsid w:val="003F57A3"/>
    <w:rsid w:val="003F6E9A"/>
    <w:rsid w:val="00403C24"/>
    <w:rsid w:val="00404170"/>
    <w:rsid w:val="00404E70"/>
    <w:rsid w:val="00407312"/>
    <w:rsid w:val="0041233C"/>
    <w:rsid w:val="00421931"/>
    <w:rsid w:val="00424056"/>
    <w:rsid w:val="0042761D"/>
    <w:rsid w:val="00430276"/>
    <w:rsid w:val="0043294E"/>
    <w:rsid w:val="00432A99"/>
    <w:rsid w:val="00440C1D"/>
    <w:rsid w:val="00442C5A"/>
    <w:rsid w:val="00463DB7"/>
    <w:rsid w:val="0049639A"/>
    <w:rsid w:val="004963FC"/>
    <w:rsid w:val="004A1E4C"/>
    <w:rsid w:val="004A3992"/>
    <w:rsid w:val="004A500A"/>
    <w:rsid w:val="004A50AD"/>
    <w:rsid w:val="004B1043"/>
    <w:rsid w:val="004B1AF8"/>
    <w:rsid w:val="004B3D3F"/>
    <w:rsid w:val="004B557F"/>
    <w:rsid w:val="004C7058"/>
    <w:rsid w:val="004E2732"/>
    <w:rsid w:val="004E540A"/>
    <w:rsid w:val="004E7228"/>
    <w:rsid w:val="004F24FD"/>
    <w:rsid w:val="004F4AAC"/>
    <w:rsid w:val="004F54EF"/>
    <w:rsid w:val="004F6487"/>
    <w:rsid w:val="00503C21"/>
    <w:rsid w:val="00511249"/>
    <w:rsid w:val="00511DFF"/>
    <w:rsid w:val="00515612"/>
    <w:rsid w:val="00524B9A"/>
    <w:rsid w:val="00526548"/>
    <w:rsid w:val="00527D37"/>
    <w:rsid w:val="00530AA7"/>
    <w:rsid w:val="00535C06"/>
    <w:rsid w:val="00537E2E"/>
    <w:rsid w:val="00546340"/>
    <w:rsid w:val="00553B0E"/>
    <w:rsid w:val="00575CEF"/>
    <w:rsid w:val="005914B8"/>
    <w:rsid w:val="005958B1"/>
    <w:rsid w:val="00597979"/>
    <w:rsid w:val="005A52B9"/>
    <w:rsid w:val="005B664F"/>
    <w:rsid w:val="005C71BC"/>
    <w:rsid w:val="005D2DE6"/>
    <w:rsid w:val="005D34E4"/>
    <w:rsid w:val="005D368B"/>
    <w:rsid w:val="005D5042"/>
    <w:rsid w:val="005F3C05"/>
    <w:rsid w:val="00612AA0"/>
    <w:rsid w:val="00614B6C"/>
    <w:rsid w:val="00635A19"/>
    <w:rsid w:val="00643D5A"/>
    <w:rsid w:val="00647749"/>
    <w:rsid w:val="00653BD2"/>
    <w:rsid w:val="00670CA8"/>
    <w:rsid w:val="00671C57"/>
    <w:rsid w:val="0067416F"/>
    <w:rsid w:val="006A1C17"/>
    <w:rsid w:val="006A2EA6"/>
    <w:rsid w:val="006A3B67"/>
    <w:rsid w:val="006A5158"/>
    <w:rsid w:val="006A633F"/>
    <w:rsid w:val="006C2927"/>
    <w:rsid w:val="006C60D1"/>
    <w:rsid w:val="006D0E4D"/>
    <w:rsid w:val="006E003C"/>
    <w:rsid w:val="00705210"/>
    <w:rsid w:val="007148D0"/>
    <w:rsid w:val="00734571"/>
    <w:rsid w:val="00734D69"/>
    <w:rsid w:val="00741D14"/>
    <w:rsid w:val="007462AF"/>
    <w:rsid w:val="00762EB0"/>
    <w:rsid w:val="007661CA"/>
    <w:rsid w:val="00766C04"/>
    <w:rsid w:val="007678FE"/>
    <w:rsid w:val="00767A5A"/>
    <w:rsid w:val="00770F25"/>
    <w:rsid w:val="00776335"/>
    <w:rsid w:val="007933CB"/>
    <w:rsid w:val="007B0499"/>
    <w:rsid w:val="007B4244"/>
    <w:rsid w:val="007B5368"/>
    <w:rsid w:val="007C2B87"/>
    <w:rsid w:val="007F1294"/>
    <w:rsid w:val="007F603F"/>
    <w:rsid w:val="007F73E8"/>
    <w:rsid w:val="0080053F"/>
    <w:rsid w:val="008021AC"/>
    <w:rsid w:val="00803CF3"/>
    <w:rsid w:val="008042CC"/>
    <w:rsid w:val="008056EA"/>
    <w:rsid w:val="0082059C"/>
    <w:rsid w:val="00823B37"/>
    <w:rsid w:val="008408B9"/>
    <w:rsid w:val="00844530"/>
    <w:rsid w:val="00845E13"/>
    <w:rsid w:val="00850A28"/>
    <w:rsid w:val="00853B77"/>
    <w:rsid w:val="00854248"/>
    <w:rsid w:val="00865346"/>
    <w:rsid w:val="00874CDF"/>
    <w:rsid w:val="00887B8C"/>
    <w:rsid w:val="00891C26"/>
    <w:rsid w:val="008A340B"/>
    <w:rsid w:val="008A658B"/>
    <w:rsid w:val="008A6E9E"/>
    <w:rsid w:val="008B5317"/>
    <w:rsid w:val="008C355D"/>
    <w:rsid w:val="008D0DA4"/>
    <w:rsid w:val="008D7687"/>
    <w:rsid w:val="008E03BB"/>
    <w:rsid w:val="008E2533"/>
    <w:rsid w:val="008F309C"/>
    <w:rsid w:val="008F4DA9"/>
    <w:rsid w:val="00901119"/>
    <w:rsid w:val="009052A0"/>
    <w:rsid w:val="00910C06"/>
    <w:rsid w:val="00912C01"/>
    <w:rsid w:val="00915E3E"/>
    <w:rsid w:val="00931F7C"/>
    <w:rsid w:val="00937DC3"/>
    <w:rsid w:val="0094086D"/>
    <w:rsid w:val="009426C5"/>
    <w:rsid w:val="00950AF4"/>
    <w:rsid w:val="0095530D"/>
    <w:rsid w:val="00966951"/>
    <w:rsid w:val="00982FE1"/>
    <w:rsid w:val="009857DF"/>
    <w:rsid w:val="009A7204"/>
    <w:rsid w:val="009B02F7"/>
    <w:rsid w:val="009B24EE"/>
    <w:rsid w:val="009B52D3"/>
    <w:rsid w:val="009C01BF"/>
    <w:rsid w:val="009C4D6B"/>
    <w:rsid w:val="009C6248"/>
    <w:rsid w:val="009E11D0"/>
    <w:rsid w:val="009E2E60"/>
    <w:rsid w:val="009F3D02"/>
    <w:rsid w:val="009F53A0"/>
    <w:rsid w:val="009F63EF"/>
    <w:rsid w:val="00A14CEF"/>
    <w:rsid w:val="00A2470F"/>
    <w:rsid w:val="00A358C4"/>
    <w:rsid w:val="00A550FC"/>
    <w:rsid w:val="00A57617"/>
    <w:rsid w:val="00A60297"/>
    <w:rsid w:val="00A62134"/>
    <w:rsid w:val="00A6223F"/>
    <w:rsid w:val="00A64493"/>
    <w:rsid w:val="00A67F2D"/>
    <w:rsid w:val="00A722B6"/>
    <w:rsid w:val="00A7329D"/>
    <w:rsid w:val="00A87304"/>
    <w:rsid w:val="00A9171E"/>
    <w:rsid w:val="00AA7166"/>
    <w:rsid w:val="00AB095B"/>
    <w:rsid w:val="00AB61B5"/>
    <w:rsid w:val="00AB76A4"/>
    <w:rsid w:val="00AD5041"/>
    <w:rsid w:val="00AD623D"/>
    <w:rsid w:val="00AD63AD"/>
    <w:rsid w:val="00AE0DB0"/>
    <w:rsid w:val="00AF121B"/>
    <w:rsid w:val="00AF71F9"/>
    <w:rsid w:val="00B1375C"/>
    <w:rsid w:val="00B232F4"/>
    <w:rsid w:val="00B349F8"/>
    <w:rsid w:val="00B34A12"/>
    <w:rsid w:val="00B358A0"/>
    <w:rsid w:val="00B377D0"/>
    <w:rsid w:val="00B5581E"/>
    <w:rsid w:val="00B612DA"/>
    <w:rsid w:val="00B63BA7"/>
    <w:rsid w:val="00B66DA4"/>
    <w:rsid w:val="00B71922"/>
    <w:rsid w:val="00B73698"/>
    <w:rsid w:val="00B87D5C"/>
    <w:rsid w:val="00B92D10"/>
    <w:rsid w:val="00BA4186"/>
    <w:rsid w:val="00BA4643"/>
    <w:rsid w:val="00BA5BFD"/>
    <w:rsid w:val="00BA67B2"/>
    <w:rsid w:val="00BB0519"/>
    <w:rsid w:val="00BB6739"/>
    <w:rsid w:val="00BC2448"/>
    <w:rsid w:val="00BC5CDD"/>
    <w:rsid w:val="00BD0118"/>
    <w:rsid w:val="00BD45CE"/>
    <w:rsid w:val="00BE091A"/>
    <w:rsid w:val="00BF20B0"/>
    <w:rsid w:val="00C0204C"/>
    <w:rsid w:val="00C02B31"/>
    <w:rsid w:val="00C1181F"/>
    <w:rsid w:val="00C20B9F"/>
    <w:rsid w:val="00C236C3"/>
    <w:rsid w:val="00C3298E"/>
    <w:rsid w:val="00C473D2"/>
    <w:rsid w:val="00C528D7"/>
    <w:rsid w:val="00C579DD"/>
    <w:rsid w:val="00C62D98"/>
    <w:rsid w:val="00C67C1A"/>
    <w:rsid w:val="00C70717"/>
    <w:rsid w:val="00C70DCE"/>
    <w:rsid w:val="00C72181"/>
    <w:rsid w:val="00C75A2C"/>
    <w:rsid w:val="00C77DFF"/>
    <w:rsid w:val="00C9315D"/>
    <w:rsid w:val="00C952BA"/>
    <w:rsid w:val="00C970E7"/>
    <w:rsid w:val="00CA4889"/>
    <w:rsid w:val="00CA7E4E"/>
    <w:rsid w:val="00CB72FD"/>
    <w:rsid w:val="00CB7741"/>
    <w:rsid w:val="00CC5D96"/>
    <w:rsid w:val="00CD2544"/>
    <w:rsid w:val="00CE52B6"/>
    <w:rsid w:val="00CF40FC"/>
    <w:rsid w:val="00CF47A4"/>
    <w:rsid w:val="00CF68A2"/>
    <w:rsid w:val="00CF7369"/>
    <w:rsid w:val="00D01000"/>
    <w:rsid w:val="00D06FDA"/>
    <w:rsid w:val="00D10675"/>
    <w:rsid w:val="00D11558"/>
    <w:rsid w:val="00D2565E"/>
    <w:rsid w:val="00D37D15"/>
    <w:rsid w:val="00D43D9C"/>
    <w:rsid w:val="00D474B3"/>
    <w:rsid w:val="00D50739"/>
    <w:rsid w:val="00D54340"/>
    <w:rsid w:val="00D548FC"/>
    <w:rsid w:val="00D560DC"/>
    <w:rsid w:val="00D63417"/>
    <w:rsid w:val="00D67D1B"/>
    <w:rsid w:val="00D83183"/>
    <w:rsid w:val="00D83C95"/>
    <w:rsid w:val="00D84D7D"/>
    <w:rsid w:val="00DB5904"/>
    <w:rsid w:val="00DB5D01"/>
    <w:rsid w:val="00DB786A"/>
    <w:rsid w:val="00DD6588"/>
    <w:rsid w:val="00DD6B54"/>
    <w:rsid w:val="00DF4CA4"/>
    <w:rsid w:val="00DF666F"/>
    <w:rsid w:val="00E0199B"/>
    <w:rsid w:val="00E02A70"/>
    <w:rsid w:val="00E0396B"/>
    <w:rsid w:val="00E06AE5"/>
    <w:rsid w:val="00E06FAF"/>
    <w:rsid w:val="00E32D09"/>
    <w:rsid w:val="00E34FAA"/>
    <w:rsid w:val="00E46627"/>
    <w:rsid w:val="00E472D3"/>
    <w:rsid w:val="00E47880"/>
    <w:rsid w:val="00E47EE2"/>
    <w:rsid w:val="00E565DF"/>
    <w:rsid w:val="00E5732E"/>
    <w:rsid w:val="00E65022"/>
    <w:rsid w:val="00E70878"/>
    <w:rsid w:val="00E73468"/>
    <w:rsid w:val="00E75127"/>
    <w:rsid w:val="00E7590B"/>
    <w:rsid w:val="00E9042A"/>
    <w:rsid w:val="00E91390"/>
    <w:rsid w:val="00EA13BA"/>
    <w:rsid w:val="00EA430B"/>
    <w:rsid w:val="00EA546E"/>
    <w:rsid w:val="00EA5D8F"/>
    <w:rsid w:val="00EA6912"/>
    <w:rsid w:val="00EB1B56"/>
    <w:rsid w:val="00ED2F56"/>
    <w:rsid w:val="00EE02B4"/>
    <w:rsid w:val="00EF16B7"/>
    <w:rsid w:val="00F0173E"/>
    <w:rsid w:val="00F04FC3"/>
    <w:rsid w:val="00F054EE"/>
    <w:rsid w:val="00F11C2D"/>
    <w:rsid w:val="00F11E2A"/>
    <w:rsid w:val="00F17E58"/>
    <w:rsid w:val="00F24F3F"/>
    <w:rsid w:val="00F33F6A"/>
    <w:rsid w:val="00F35CC6"/>
    <w:rsid w:val="00F37EE6"/>
    <w:rsid w:val="00F50532"/>
    <w:rsid w:val="00F51041"/>
    <w:rsid w:val="00F52C02"/>
    <w:rsid w:val="00F57682"/>
    <w:rsid w:val="00F62279"/>
    <w:rsid w:val="00F62FEE"/>
    <w:rsid w:val="00F64F88"/>
    <w:rsid w:val="00F64FDB"/>
    <w:rsid w:val="00F662D4"/>
    <w:rsid w:val="00F8037B"/>
    <w:rsid w:val="00FA3109"/>
    <w:rsid w:val="00FA7839"/>
    <w:rsid w:val="00FB0F0B"/>
    <w:rsid w:val="00FB1D7F"/>
    <w:rsid w:val="00FB7C1E"/>
    <w:rsid w:val="00FC5E48"/>
    <w:rsid w:val="00FD283A"/>
    <w:rsid w:val="00FD37DC"/>
    <w:rsid w:val="00FD4E53"/>
    <w:rsid w:val="00FF031F"/>
    <w:rsid w:val="00FF327C"/>
    <w:rsid w:val="00FF4129"/>
    <w:rsid w:val="00FF458B"/>
    <w:rsid w:val="00FF6051"/>
    <w:rsid w:val="01CEAF41"/>
    <w:rsid w:val="02EF3B13"/>
    <w:rsid w:val="03CE450B"/>
    <w:rsid w:val="03D3A86F"/>
    <w:rsid w:val="04A625A2"/>
    <w:rsid w:val="05DD0EBA"/>
    <w:rsid w:val="05EE491E"/>
    <w:rsid w:val="0612A46E"/>
    <w:rsid w:val="067BB256"/>
    <w:rsid w:val="0692491A"/>
    <w:rsid w:val="07A7BEAD"/>
    <w:rsid w:val="08CDF369"/>
    <w:rsid w:val="09033529"/>
    <w:rsid w:val="09434F2B"/>
    <w:rsid w:val="0AE5834C"/>
    <w:rsid w:val="0CAEC3B7"/>
    <w:rsid w:val="0CD48CA0"/>
    <w:rsid w:val="0D54D3C8"/>
    <w:rsid w:val="0DFB95B5"/>
    <w:rsid w:val="0E865899"/>
    <w:rsid w:val="113ECBD1"/>
    <w:rsid w:val="1167DA58"/>
    <w:rsid w:val="11ED35F5"/>
    <w:rsid w:val="12438BAE"/>
    <w:rsid w:val="12BBE766"/>
    <w:rsid w:val="13278F7B"/>
    <w:rsid w:val="14BD4533"/>
    <w:rsid w:val="1516741A"/>
    <w:rsid w:val="153573C2"/>
    <w:rsid w:val="189AC649"/>
    <w:rsid w:val="1906862B"/>
    <w:rsid w:val="1B33DE8E"/>
    <w:rsid w:val="1C7B9973"/>
    <w:rsid w:val="1DC8A2E3"/>
    <w:rsid w:val="1DD1CA4F"/>
    <w:rsid w:val="1FE13159"/>
    <w:rsid w:val="205D8EC0"/>
    <w:rsid w:val="2150C4B3"/>
    <w:rsid w:val="2161FD6E"/>
    <w:rsid w:val="22D33F70"/>
    <w:rsid w:val="25C6EC79"/>
    <w:rsid w:val="25F972BA"/>
    <w:rsid w:val="26285E94"/>
    <w:rsid w:val="26509897"/>
    <w:rsid w:val="26B7DDEC"/>
    <w:rsid w:val="271AC301"/>
    <w:rsid w:val="2732AF04"/>
    <w:rsid w:val="2A902A8C"/>
    <w:rsid w:val="2B912DBB"/>
    <w:rsid w:val="2C661AFA"/>
    <w:rsid w:val="2D946C87"/>
    <w:rsid w:val="2E0F52A2"/>
    <w:rsid w:val="2E8D83A1"/>
    <w:rsid w:val="2F8440FB"/>
    <w:rsid w:val="2F8A295B"/>
    <w:rsid w:val="2FBC0E6D"/>
    <w:rsid w:val="2FDABEAE"/>
    <w:rsid w:val="3007E300"/>
    <w:rsid w:val="311E0E94"/>
    <w:rsid w:val="3297E2A4"/>
    <w:rsid w:val="360BE726"/>
    <w:rsid w:val="38FE095F"/>
    <w:rsid w:val="3BD21DDE"/>
    <w:rsid w:val="3BF7C6F1"/>
    <w:rsid w:val="3CFA1B76"/>
    <w:rsid w:val="3D550D25"/>
    <w:rsid w:val="3E61CF2C"/>
    <w:rsid w:val="3E76F5BA"/>
    <w:rsid w:val="3ED0F203"/>
    <w:rsid w:val="401265CE"/>
    <w:rsid w:val="4028923B"/>
    <w:rsid w:val="40A84F30"/>
    <w:rsid w:val="40CC6959"/>
    <w:rsid w:val="41369E50"/>
    <w:rsid w:val="415F2D4C"/>
    <w:rsid w:val="418D61D2"/>
    <w:rsid w:val="426C1FBF"/>
    <w:rsid w:val="42C809E6"/>
    <w:rsid w:val="4521691D"/>
    <w:rsid w:val="45356C94"/>
    <w:rsid w:val="457458DA"/>
    <w:rsid w:val="4586DD61"/>
    <w:rsid w:val="4648EE7C"/>
    <w:rsid w:val="4791C09A"/>
    <w:rsid w:val="47A565B3"/>
    <w:rsid w:val="483EC48C"/>
    <w:rsid w:val="49E26064"/>
    <w:rsid w:val="4ABC5241"/>
    <w:rsid w:val="4BF385C4"/>
    <w:rsid w:val="4C9DDE32"/>
    <w:rsid w:val="4D90874F"/>
    <w:rsid w:val="4ECA8C6E"/>
    <w:rsid w:val="5140EC01"/>
    <w:rsid w:val="51FD7487"/>
    <w:rsid w:val="52E81895"/>
    <w:rsid w:val="53DF7D9E"/>
    <w:rsid w:val="544A2953"/>
    <w:rsid w:val="54E855A9"/>
    <w:rsid w:val="54F1A6E2"/>
    <w:rsid w:val="55255299"/>
    <w:rsid w:val="55BFD1BA"/>
    <w:rsid w:val="5613F1EE"/>
    <w:rsid w:val="56D06926"/>
    <w:rsid w:val="56E996B0"/>
    <w:rsid w:val="5AB948D3"/>
    <w:rsid w:val="5B71FBD6"/>
    <w:rsid w:val="5B8A88C2"/>
    <w:rsid w:val="5CF9D668"/>
    <w:rsid w:val="5EBC4377"/>
    <w:rsid w:val="5ED6B1CA"/>
    <w:rsid w:val="5F815067"/>
    <w:rsid w:val="5FE18461"/>
    <w:rsid w:val="61B9CA83"/>
    <w:rsid w:val="62940F61"/>
    <w:rsid w:val="639B4C81"/>
    <w:rsid w:val="66BAB47A"/>
    <w:rsid w:val="66F470AD"/>
    <w:rsid w:val="679080D4"/>
    <w:rsid w:val="67E2DD35"/>
    <w:rsid w:val="67F6E378"/>
    <w:rsid w:val="685FF201"/>
    <w:rsid w:val="68A6B749"/>
    <w:rsid w:val="69411868"/>
    <w:rsid w:val="6A1A8279"/>
    <w:rsid w:val="6AC6F9F2"/>
    <w:rsid w:val="6AF685FD"/>
    <w:rsid w:val="6AFB684E"/>
    <w:rsid w:val="6B2954CA"/>
    <w:rsid w:val="6BCC615F"/>
    <w:rsid w:val="6C97F969"/>
    <w:rsid w:val="6DD6568A"/>
    <w:rsid w:val="6DE9BE78"/>
    <w:rsid w:val="6EDBA343"/>
    <w:rsid w:val="6F47226F"/>
    <w:rsid w:val="6F68AAD5"/>
    <w:rsid w:val="70320B7C"/>
    <w:rsid w:val="720765F1"/>
    <w:rsid w:val="7309DF67"/>
    <w:rsid w:val="740E7499"/>
    <w:rsid w:val="7436B497"/>
    <w:rsid w:val="76FB4E3B"/>
    <w:rsid w:val="775A9DD9"/>
    <w:rsid w:val="77A0CCAE"/>
    <w:rsid w:val="77B21948"/>
    <w:rsid w:val="78AA04E9"/>
    <w:rsid w:val="78E7760F"/>
    <w:rsid w:val="79BD7499"/>
    <w:rsid w:val="7BDF207D"/>
    <w:rsid w:val="7C239AC4"/>
    <w:rsid w:val="7D773588"/>
    <w:rsid w:val="7DD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B875E7AF-2F5C-42F4-9905-CC97F2D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3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6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4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5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C473D2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3D2"/>
  </w:style>
  <w:style w:type="character" w:customStyle="1" w:styleId="eop">
    <w:name w:val="eop"/>
    <w:basedOn w:val="DefaultParagraphFont"/>
    <w:rsid w:val="00C473D2"/>
  </w:style>
  <w:style w:type="paragraph" w:customStyle="1" w:styleId="paragraph">
    <w:name w:val="paragraph"/>
    <w:basedOn w:val="Normal"/>
    <w:rsid w:val="00C4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51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7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D0118"/>
    <w:pPr>
      <w:spacing w:before="0" w:after="0" w:line="240" w:lineRule="auto"/>
    </w:pPr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sid w:val="0094086D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5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mymedicare/pati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general-practice-in-aged-care-incentive-program-guidelines-2024?language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mymedicare/pati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F1AD9FB114BBD973A226BF98C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03E9-2C3B-4833-9EAB-0063CC72F0AA}"/>
      </w:docPartPr>
      <w:docPartBody>
        <w:p w:rsidR="00EB1B56" w:rsidRDefault="00EB1B56">
          <w:pPr>
            <w:pStyle w:val="0D9F1AD9FB114BBD973A226BF98C2DFB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B5679"/>
    <w:rsid w:val="00116C8D"/>
    <w:rsid w:val="0017062C"/>
    <w:rsid w:val="00204935"/>
    <w:rsid w:val="00225826"/>
    <w:rsid w:val="003320EA"/>
    <w:rsid w:val="00404170"/>
    <w:rsid w:val="00484FBB"/>
    <w:rsid w:val="0057603D"/>
    <w:rsid w:val="00661240"/>
    <w:rsid w:val="00673111"/>
    <w:rsid w:val="006F1EAB"/>
    <w:rsid w:val="00734D69"/>
    <w:rsid w:val="007572C0"/>
    <w:rsid w:val="007C2B87"/>
    <w:rsid w:val="007F147F"/>
    <w:rsid w:val="008462FC"/>
    <w:rsid w:val="008706C1"/>
    <w:rsid w:val="009A379B"/>
    <w:rsid w:val="009C7F93"/>
    <w:rsid w:val="00A06F70"/>
    <w:rsid w:val="00AA7166"/>
    <w:rsid w:val="00AC33C9"/>
    <w:rsid w:val="00BC6338"/>
    <w:rsid w:val="00D73CB1"/>
    <w:rsid w:val="00D8594D"/>
    <w:rsid w:val="00DB48BF"/>
    <w:rsid w:val="00E25AA4"/>
    <w:rsid w:val="00EB1B56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9F1AD9FB114BBD973A226BF98C2DFB">
    <w:name w:val="0D9F1AD9FB114BBD973A226BF98C2DFB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f1bf92-8efe-42de-a57b-c47f1363fb08" xsi:nil="true"/>
    <lcf76f155ced4ddcb4097134ff3c332f xmlns="7c980402-323e-4976-aa94-186e43b5eb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5" ma:contentTypeDescription="Create a new document." ma:contentTypeScope="" ma:versionID="694a4e33493e4c1fcf52ba2fb96c24d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1be21bcf681988cba87f1679f4922a2f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f9e385-1bd1-4bfa-a23e-9bc8d2b423c5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C46B9-71BA-4114-AF20-7B6514AAEE7B}">
  <ds:schemaRefs>
    <ds:schemaRef ds:uri="http://schemas.microsoft.com/office/infopath/2007/PartnerControls"/>
    <ds:schemaRef ds:uri="http://purl.org/dc/terms/"/>
    <ds:schemaRef ds:uri="http://purl.org/dc/dcmitype/"/>
    <ds:schemaRef ds:uri="7c980402-323e-4976-aa94-186e43b5ebe6"/>
    <ds:schemaRef ds:uri="http://purl.org/dc/elements/1.1/"/>
    <ds:schemaRef ds:uri="http://schemas.microsoft.com/office/2006/documentManagement/types"/>
    <ds:schemaRef ds:uri="64f1bf92-8efe-42de-a57b-c47f1363fb0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893DC3-8C22-4F7F-AE2D-D8B506C8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Practice in Aged Care Incentive – Frequently asked questions for aged care residents and carers</vt:lpstr>
    </vt:vector>
  </TitlesOfParts>
  <Manager/>
  <Company/>
  <LinksUpToDate>false</LinksUpToDate>
  <CharactersWithSpaces>7458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Practice in Aged Care Incentive – Frequently asked questions for aged care residents and carers</dc:title>
  <dc:subject>General Practice in Aged Care Incentive</dc:subject>
  <dc:creator>Australian Government Department of Health and Aged Care</dc:creator>
  <cp:keywords>Aged care; Residential aged care; Medicare; MyMedicare</cp:keywords>
  <dc:description/>
  <cp:revision>169</cp:revision>
  <dcterms:created xsi:type="dcterms:W3CDTF">2024-10-18T13:06:00Z</dcterms:created>
  <dcterms:modified xsi:type="dcterms:W3CDTF">2024-11-06T03:31:00Z</dcterms:modified>
  <cp:category/>
</cp:coreProperties>
</file>