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CB627" w14:textId="50B309BB" w:rsidR="00751A23" w:rsidRDefault="009A7F5A" w:rsidP="00751A23">
      <w:pPr>
        <w:pStyle w:val="Title"/>
      </w:pPr>
      <w:r>
        <w:t xml:space="preserve">Emissions Reduction </w:t>
      </w:r>
      <w:r w:rsidR="005A25FF">
        <w:t>P</w:t>
      </w:r>
      <w:r>
        <w:t>lan</w:t>
      </w:r>
    </w:p>
    <w:p w14:paraId="0685F9D6" w14:textId="00C6E1E5" w:rsidR="00751A23" w:rsidRDefault="009A7F5A" w:rsidP="00751A23">
      <w:pPr>
        <w:pStyle w:val="Subtitle"/>
        <w:sectPr w:rsidR="00751A23" w:rsidSect="00D45D9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850" w:footer="709" w:gutter="0"/>
          <w:cols w:space="708"/>
          <w:titlePg/>
          <w:docGrid w:linePitch="360"/>
        </w:sectPr>
      </w:pPr>
      <w:r>
        <w:t>2024</w:t>
      </w:r>
      <w:r w:rsidR="00C7530F">
        <w:t>-</w:t>
      </w:r>
      <w:r>
        <w:t>25</w:t>
      </w:r>
    </w:p>
    <w:sdt>
      <w:sdtPr>
        <w:id w:val="1431315785"/>
        <w:docPartObj>
          <w:docPartGallery w:val="Table of Contents"/>
          <w:docPartUnique/>
        </w:docPartObj>
      </w:sdtPr>
      <w:sdtEndPr>
        <w:rPr>
          <w:rFonts w:eastAsia="Times New Roman" w:cs="Times New Roman"/>
          <w:b w:val="0"/>
          <w:color w:val="000000" w:themeColor="text1"/>
          <w:sz w:val="22"/>
          <w:szCs w:val="24"/>
          <w:lang w:val="en-AU"/>
        </w:rPr>
      </w:sdtEndPr>
      <w:sdtContent>
        <w:p w14:paraId="07BA8770" w14:textId="477D3D5F" w:rsidR="00884A5C" w:rsidRDefault="00884A5C">
          <w:pPr>
            <w:pStyle w:val="TOCHeading"/>
          </w:pPr>
          <w:r>
            <w:t>Contents</w:t>
          </w:r>
        </w:p>
        <w:p w14:paraId="3D7EDB8E" w14:textId="5A7F868D" w:rsidR="00884A5C" w:rsidRDefault="00884A5C">
          <w:pPr>
            <w:pStyle w:val="TOC1"/>
            <w:tabs>
              <w:tab w:val="right" w:leader="dot" w:pos="9402"/>
            </w:tabs>
            <w:rPr>
              <w:rFonts w:asciiTheme="minorHAnsi" w:eastAsiaTheme="minorEastAsia" w:hAnsiTheme="minorHAnsi" w:cstheme="minorBidi"/>
              <w:noProof/>
              <w:color w:val="auto"/>
              <w:kern w:val="2"/>
              <w:sz w:val="24"/>
              <w:lang w:eastAsia="ja-JP"/>
              <w14:ligatures w14:val="standardContextual"/>
            </w:rPr>
          </w:pPr>
          <w:r>
            <w:fldChar w:fldCharType="begin"/>
          </w:r>
          <w:r>
            <w:instrText xml:space="preserve"> TOC \o "1-3" \h \z \u </w:instrText>
          </w:r>
          <w:r>
            <w:fldChar w:fldCharType="separate"/>
          </w:r>
          <w:hyperlink w:anchor="_Toc181779488" w:history="1">
            <w:r w:rsidRPr="007A08CF">
              <w:rPr>
                <w:rStyle w:val="Hyperlink"/>
                <w:noProof/>
              </w:rPr>
              <w:t>Acknowledgement of Country</w:t>
            </w:r>
            <w:r>
              <w:rPr>
                <w:noProof/>
                <w:webHidden/>
              </w:rPr>
              <w:tab/>
            </w:r>
            <w:r>
              <w:rPr>
                <w:noProof/>
                <w:webHidden/>
              </w:rPr>
              <w:fldChar w:fldCharType="begin"/>
            </w:r>
            <w:r>
              <w:rPr>
                <w:noProof/>
                <w:webHidden/>
              </w:rPr>
              <w:instrText xml:space="preserve"> PAGEREF _Toc181779488 \h </w:instrText>
            </w:r>
            <w:r>
              <w:rPr>
                <w:noProof/>
                <w:webHidden/>
              </w:rPr>
            </w:r>
            <w:r>
              <w:rPr>
                <w:noProof/>
                <w:webHidden/>
              </w:rPr>
              <w:fldChar w:fldCharType="separate"/>
            </w:r>
            <w:r>
              <w:rPr>
                <w:noProof/>
                <w:webHidden/>
              </w:rPr>
              <w:t>2</w:t>
            </w:r>
            <w:r>
              <w:rPr>
                <w:noProof/>
                <w:webHidden/>
              </w:rPr>
              <w:fldChar w:fldCharType="end"/>
            </w:r>
          </w:hyperlink>
        </w:p>
        <w:p w14:paraId="46B9B3A6" w14:textId="43191F03" w:rsidR="00884A5C" w:rsidRDefault="00884A5C">
          <w:pPr>
            <w:pStyle w:val="TOC1"/>
            <w:tabs>
              <w:tab w:val="right" w:leader="dot" w:pos="9402"/>
            </w:tabs>
            <w:rPr>
              <w:rFonts w:asciiTheme="minorHAnsi" w:eastAsiaTheme="minorEastAsia" w:hAnsiTheme="minorHAnsi" w:cstheme="minorBidi"/>
              <w:noProof/>
              <w:color w:val="auto"/>
              <w:kern w:val="2"/>
              <w:sz w:val="24"/>
              <w:lang w:eastAsia="ja-JP"/>
              <w14:ligatures w14:val="standardContextual"/>
            </w:rPr>
          </w:pPr>
          <w:hyperlink w:anchor="_Toc181779489" w:history="1">
            <w:r w:rsidRPr="007A08CF">
              <w:rPr>
                <w:rStyle w:val="Hyperlink"/>
                <w:noProof/>
              </w:rPr>
              <w:t>Accountable Authority Sign Off</w:t>
            </w:r>
            <w:r>
              <w:rPr>
                <w:noProof/>
                <w:webHidden/>
              </w:rPr>
              <w:tab/>
            </w:r>
            <w:r>
              <w:rPr>
                <w:noProof/>
                <w:webHidden/>
              </w:rPr>
              <w:fldChar w:fldCharType="begin"/>
            </w:r>
            <w:r>
              <w:rPr>
                <w:noProof/>
                <w:webHidden/>
              </w:rPr>
              <w:instrText xml:space="preserve"> PAGEREF _Toc181779489 \h </w:instrText>
            </w:r>
            <w:r>
              <w:rPr>
                <w:noProof/>
                <w:webHidden/>
              </w:rPr>
            </w:r>
            <w:r>
              <w:rPr>
                <w:noProof/>
                <w:webHidden/>
              </w:rPr>
              <w:fldChar w:fldCharType="separate"/>
            </w:r>
            <w:r>
              <w:rPr>
                <w:noProof/>
                <w:webHidden/>
              </w:rPr>
              <w:t>3</w:t>
            </w:r>
            <w:r>
              <w:rPr>
                <w:noProof/>
                <w:webHidden/>
              </w:rPr>
              <w:fldChar w:fldCharType="end"/>
            </w:r>
          </w:hyperlink>
        </w:p>
        <w:p w14:paraId="5D2DB1B5" w14:textId="57D1E681" w:rsidR="00884A5C" w:rsidRDefault="00884A5C">
          <w:pPr>
            <w:pStyle w:val="TOC1"/>
            <w:tabs>
              <w:tab w:val="right" w:leader="dot" w:pos="9402"/>
            </w:tabs>
            <w:rPr>
              <w:rFonts w:asciiTheme="minorHAnsi" w:eastAsiaTheme="minorEastAsia" w:hAnsiTheme="minorHAnsi" w:cstheme="minorBidi"/>
              <w:noProof/>
              <w:color w:val="auto"/>
              <w:kern w:val="2"/>
              <w:sz w:val="24"/>
              <w:lang w:eastAsia="ja-JP"/>
              <w14:ligatures w14:val="standardContextual"/>
            </w:rPr>
          </w:pPr>
          <w:hyperlink w:anchor="_Toc181779490" w:history="1">
            <w:r w:rsidRPr="007A08CF">
              <w:rPr>
                <w:rStyle w:val="Hyperlink"/>
                <w:noProof/>
              </w:rPr>
              <w:t>Emissions Reduction Plan</w:t>
            </w:r>
            <w:r>
              <w:rPr>
                <w:noProof/>
                <w:webHidden/>
              </w:rPr>
              <w:tab/>
            </w:r>
            <w:r>
              <w:rPr>
                <w:noProof/>
                <w:webHidden/>
              </w:rPr>
              <w:fldChar w:fldCharType="begin"/>
            </w:r>
            <w:r>
              <w:rPr>
                <w:noProof/>
                <w:webHidden/>
              </w:rPr>
              <w:instrText xml:space="preserve"> PAGEREF _Toc181779490 \h </w:instrText>
            </w:r>
            <w:r>
              <w:rPr>
                <w:noProof/>
                <w:webHidden/>
              </w:rPr>
            </w:r>
            <w:r>
              <w:rPr>
                <w:noProof/>
                <w:webHidden/>
              </w:rPr>
              <w:fldChar w:fldCharType="separate"/>
            </w:r>
            <w:r>
              <w:rPr>
                <w:noProof/>
                <w:webHidden/>
              </w:rPr>
              <w:t>4</w:t>
            </w:r>
            <w:r>
              <w:rPr>
                <w:noProof/>
                <w:webHidden/>
              </w:rPr>
              <w:fldChar w:fldCharType="end"/>
            </w:r>
          </w:hyperlink>
        </w:p>
        <w:p w14:paraId="3D0754C1" w14:textId="62366DFB" w:rsidR="00884A5C" w:rsidRDefault="00884A5C">
          <w:pPr>
            <w:pStyle w:val="TOC2"/>
            <w:rPr>
              <w:rFonts w:eastAsiaTheme="minorEastAsia"/>
              <w:kern w:val="2"/>
              <w:lang w:eastAsia="ja-JP"/>
              <w14:ligatures w14:val="standardContextual"/>
            </w:rPr>
          </w:pPr>
          <w:hyperlink w:anchor="_Toc181779491" w:history="1">
            <w:r w:rsidRPr="007A08CF">
              <w:rPr>
                <w:rStyle w:val="Hyperlink"/>
                <w:rFonts w:eastAsia="MS Gothic"/>
              </w:rPr>
              <w:t>Purpose</w:t>
            </w:r>
            <w:r>
              <w:rPr>
                <w:webHidden/>
              </w:rPr>
              <w:tab/>
            </w:r>
            <w:r>
              <w:rPr>
                <w:webHidden/>
              </w:rPr>
              <w:fldChar w:fldCharType="begin"/>
            </w:r>
            <w:r>
              <w:rPr>
                <w:webHidden/>
              </w:rPr>
              <w:instrText xml:space="preserve"> PAGEREF _Toc181779491 \h </w:instrText>
            </w:r>
            <w:r>
              <w:rPr>
                <w:webHidden/>
              </w:rPr>
            </w:r>
            <w:r>
              <w:rPr>
                <w:webHidden/>
              </w:rPr>
              <w:fldChar w:fldCharType="separate"/>
            </w:r>
            <w:r>
              <w:rPr>
                <w:webHidden/>
              </w:rPr>
              <w:t>4</w:t>
            </w:r>
            <w:r>
              <w:rPr>
                <w:webHidden/>
              </w:rPr>
              <w:fldChar w:fldCharType="end"/>
            </w:r>
          </w:hyperlink>
        </w:p>
        <w:p w14:paraId="5D4B4E72" w14:textId="3BF75D75" w:rsidR="00884A5C" w:rsidRDefault="00884A5C">
          <w:pPr>
            <w:pStyle w:val="TOC2"/>
            <w:rPr>
              <w:rFonts w:eastAsiaTheme="minorEastAsia"/>
              <w:kern w:val="2"/>
              <w:lang w:eastAsia="ja-JP"/>
              <w14:ligatures w14:val="standardContextual"/>
            </w:rPr>
          </w:pPr>
          <w:hyperlink w:anchor="_Toc181779492" w:history="1">
            <w:r w:rsidRPr="007A08CF">
              <w:rPr>
                <w:rStyle w:val="Hyperlink"/>
                <w:rFonts w:eastAsia="MS Gothic"/>
              </w:rPr>
              <w:t>Net zero greenhouse gas emissions</w:t>
            </w:r>
            <w:r>
              <w:rPr>
                <w:webHidden/>
              </w:rPr>
              <w:tab/>
            </w:r>
            <w:r>
              <w:rPr>
                <w:webHidden/>
              </w:rPr>
              <w:fldChar w:fldCharType="begin"/>
            </w:r>
            <w:r>
              <w:rPr>
                <w:webHidden/>
              </w:rPr>
              <w:instrText xml:space="preserve"> PAGEREF _Toc181779492 \h </w:instrText>
            </w:r>
            <w:r>
              <w:rPr>
                <w:webHidden/>
              </w:rPr>
            </w:r>
            <w:r>
              <w:rPr>
                <w:webHidden/>
              </w:rPr>
              <w:fldChar w:fldCharType="separate"/>
            </w:r>
            <w:r>
              <w:rPr>
                <w:webHidden/>
              </w:rPr>
              <w:t>4</w:t>
            </w:r>
            <w:r>
              <w:rPr>
                <w:webHidden/>
              </w:rPr>
              <w:fldChar w:fldCharType="end"/>
            </w:r>
          </w:hyperlink>
        </w:p>
        <w:p w14:paraId="2D0D5F8E" w14:textId="420B1D39" w:rsidR="00884A5C" w:rsidRDefault="00884A5C">
          <w:pPr>
            <w:pStyle w:val="TOC2"/>
            <w:rPr>
              <w:rFonts w:eastAsiaTheme="minorEastAsia"/>
              <w:kern w:val="2"/>
              <w:lang w:eastAsia="ja-JP"/>
              <w14:ligatures w14:val="standardContextual"/>
            </w:rPr>
          </w:pPr>
          <w:hyperlink w:anchor="_Toc181779493" w:history="1">
            <w:r w:rsidRPr="007A08CF">
              <w:rPr>
                <w:rStyle w:val="Hyperlink"/>
                <w:rFonts w:eastAsia="MS Gothic"/>
              </w:rPr>
              <w:t>Governance and reporting</w:t>
            </w:r>
            <w:r>
              <w:rPr>
                <w:webHidden/>
              </w:rPr>
              <w:tab/>
            </w:r>
            <w:r>
              <w:rPr>
                <w:webHidden/>
              </w:rPr>
              <w:fldChar w:fldCharType="begin"/>
            </w:r>
            <w:r>
              <w:rPr>
                <w:webHidden/>
              </w:rPr>
              <w:instrText xml:space="preserve"> PAGEREF _Toc181779493 \h </w:instrText>
            </w:r>
            <w:r>
              <w:rPr>
                <w:webHidden/>
              </w:rPr>
            </w:r>
            <w:r>
              <w:rPr>
                <w:webHidden/>
              </w:rPr>
              <w:fldChar w:fldCharType="separate"/>
            </w:r>
            <w:r>
              <w:rPr>
                <w:webHidden/>
              </w:rPr>
              <w:t>4</w:t>
            </w:r>
            <w:r>
              <w:rPr>
                <w:webHidden/>
              </w:rPr>
              <w:fldChar w:fldCharType="end"/>
            </w:r>
          </w:hyperlink>
        </w:p>
        <w:p w14:paraId="751792E4" w14:textId="59C35800" w:rsidR="00884A5C" w:rsidRDefault="00884A5C">
          <w:pPr>
            <w:pStyle w:val="TOC2"/>
            <w:rPr>
              <w:rFonts w:eastAsiaTheme="minorEastAsia"/>
              <w:kern w:val="2"/>
              <w:lang w:eastAsia="ja-JP"/>
              <w14:ligatures w14:val="standardContextual"/>
            </w:rPr>
          </w:pPr>
          <w:hyperlink w:anchor="_Toc181779494" w:history="1">
            <w:r w:rsidRPr="007A08CF">
              <w:rPr>
                <w:rStyle w:val="Hyperlink"/>
                <w:rFonts w:eastAsia="MS Gothic"/>
              </w:rPr>
              <w:t>The Department’s operational context</w:t>
            </w:r>
            <w:r>
              <w:rPr>
                <w:webHidden/>
              </w:rPr>
              <w:tab/>
            </w:r>
            <w:r>
              <w:rPr>
                <w:webHidden/>
              </w:rPr>
              <w:fldChar w:fldCharType="begin"/>
            </w:r>
            <w:r>
              <w:rPr>
                <w:webHidden/>
              </w:rPr>
              <w:instrText xml:space="preserve"> PAGEREF _Toc181779494 \h </w:instrText>
            </w:r>
            <w:r>
              <w:rPr>
                <w:webHidden/>
              </w:rPr>
            </w:r>
            <w:r>
              <w:rPr>
                <w:webHidden/>
              </w:rPr>
              <w:fldChar w:fldCharType="separate"/>
            </w:r>
            <w:r>
              <w:rPr>
                <w:webHidden/>
              </w:rPr>
              <w:t>5</w:t>
            </w:r>
            <w:r>
              <w:rPr>
                <w:webHidden/>
              </w:rPr>
              <w:fldChar w:fldCharType="end"/>
            </w:r>
          </w:hyperlink>
        </w:p>
        <w:p w14:paraId="246B1989" w14:textId="11FA89A9" w:rsidR="00884A5C" w:rsidRDefault="00884A5C">
          <w:pPr>
            <w:pStyle w:val="TOC2"/>
            <w:rPr>
              <w:rFonts w:eastAsiaTheme="minorEastAsia"/>
              <w:kern w:val="2"/>
              <w:lang w:eastAsia="ja-JP"/>
              <w14:ligatures w14:val="standardContextual"/>
            </w:rPr>
          </w:pPr>
          <w:hyperlink w:anchor="_Toc181779495" w:history="1">
            <w:r w:rsidRPr="007A08CF">
              <w:rPr>
                <w:rStyle w:val="Hyperlink"/>
                <w:rFonts w:eastAsia="MS Gothic"/>
              </w:rPr>
              <w:t>Baseline emissions</w:t>
            </w:r>
            <w:r>
              <w:rPr>
                <w:webHidden/>
              </w:rPr>
              <w:tab/>
            </w:r>
            <w:r>
              <w:rPr>
                <w:webHidden/>
              </w:rPr>
              <w:fldChar w:fldCharType="begin"/>
            </w:r>
            <w:r>
              <w:rPr>
                <w:webHidden/>
              </w:rPr>
              <w:instrText xml:space="preserve"> PAGEREF _Toc181779495 \h </w:instrText>
            </w:r>
            <w:r>
              <w:rPr>
                <w:webHidden/>
              </w:rPr>
            </w:r>
            <w:r>
              <w:rPr>
                <w:webHidden/>
              </w:rPr>
              <w:fldChar w:fldCharType="separate"/>
            </w:r>
            <w:r>
              <w:rPr>
                <w:webHidden/>
              </w:rPr>
              <w:t>5</w:t>
            </w:r>
            <w:r>
              <w:rPr>
                <w:webHidden/>
              </w:rPr>
              <w:fldChar w:fldCharType="end"/>
            </w:r>
          </w:hyperlink>
        </w:p>
        <w:p w14:paraId="3BBF550B" w14:textId="4EE1DCC1" w:rsidR="00884A5C" w:rsidRDefault="00884A5C">
          <w:pPr>
            <w:pStyle w:val="TOC2"/>
            <w:rPr>
              <w:rFonts w:eastAsiaTheme="minorEastAsia"/>
              <w:kern w:val="2"/>
              <w:lang w:eastAsia="ja-JP"/>
              <w14:ligatures w14:val="standardContextual"/>
            </w:rPr>
          </w:pPr>
          <w:hyperlink w:anchor="_Toc181779496" w:history="1">
            <w:r w:rsidRPr="007A08CF">
              <w:rPr>
                <w:rStyle w:val="Hyperlink"/>
                <w:rFonts w:eastAsia="Arial"/>
              </w:rPr>
              <w:t>Time Series Consistency</w:t>
            </w:r>
            <w:r>
              <w:rPr>
                <w:webHidden/>
              </w:rPr>
              <w:tab/>
            </w:r>
            <w:r>
              <w:rPr>
                <w:webHidden/>
              </w:rPr>
              <w:fldChar w:fldCharType="begin"/>
            </w:r>
            <w:r>
              <w:rPr>
                <w:webHidden/>
              </w:rPr>
              <w:instrText xml:space="preserve"> PAGEREF _Toc181779496 \h </w:instrText>
            </w:r>
            <w:r>
              <w:rPr>
                <w:webHidden/>
              </w:rPr>
            </w:r>
            <w:r>
              <w:rPr>
                <w:webHidden/>
              </w:rPr>
              <w:fldChar w:fldCharType="separate"/>
            </w:r>
            <w:r>
              <w:rPr>
                <w:webHidden/>
              </w:rPr>
              <w:t>6</w:t>
            </w:r>
            <w:r>
              <w:rPr>
                <w:webHidden/>
              </w:rPr>
              <w:fldChar w:fldCharType="end"/>
            </w:r>
          </w:hyperlink>
        </w:p>
        <w:p w14:paraId="362E4A48" w14:textId="1E38E267" w:rsidR="00884A5C" w:rsidRDefault="00884A5C">
          <w:pPr>
            <w:pStyle w:val="TOC2"/>
            <w:rPr>
              <w:rFonts w:eastAsiaTheme="minorEastAsia"/>
              <w:kern w:val="2"/>
              <w:lang w:eastAsia="ja-JP"/>
              <w14:ligatures w14:val="standardContextual"/>
            </w:rPr>
          </w:pPr>
          <w:hyperlink w:anchor="_Toc181779497" w:history="1">
            <w:r w:rsidRPr="007A08CF">
              <w:rPr>
                <w:rStyle w:val="Hyperlink"/>
                <w:rFonts w:eastAsia="Arial"/>
              </w:rPr>
              <w:t>Methodological Consistency and Transparency</w:t>
            </w:r>
            <w:r>
              <w:rPr>
                <w:webHidden/>
              </w:rPr>
              <w:tab/>
            </w:r>
            <w:r>
              <w:rPr>
                <w:webHidden/>
              </w:rPr>
              <w:fldChar w:fldCharType="begin"/>
            </w:r>
            <w:r>
              <w:rPr>
                <w:webHidden/>
              </w:rPr>
              <w:instrText xml:space="preserve"> PAGEREF _Toc181779497 \h </w:instrText>
            </w:r>
            <w:r>
              <w:rPr>
                <w:webHidden/>
              </w:rPr>
            </w:r>
            <w:r>
              <w:rPr>
                <w:webHidden/>
              </w:rPr>
              <w:fldChar w:fldCharType="separate"/>
            </w:r>
            <w:r>
              <w:rPr>
                <w:webHidden/>
              </w:rPr>
              <w:t>6</w:t>
            </w:r>
            <w:r>
              <w:rPr>
                <w:webHidden/>
              </w:rPr>
              <w:fldChar w:fldCharType="end"/>
            </w:r>
          </w:hyperlink>
        </w:p>
        <w:p w14:paraId="28E48A58" w14:textId="07F295A0" w:rsidR="00884A5C" w:rsidRDefault="00884A5C">
          <w:pPr>
            <w:pStyle w:val="TOC2"/>
            <w:rPr>
              <w:rFonts w:eastAsiaTheme="minorEastAsia"/>
              <w:kern w:val="2"/>
              <w:lang w:eastAsia="ja-JP"/>
              <w14:ligatures w14:val="standardContextual"/>
            </w:rPr>
          </w:pPr>
          <w:hyperlink w:anchor="_Toc181779498" w:history="1">
            <w:r w:rsidRPr="007A08CF">
              <w:rPr>
                <w:rStyle w:val="Hyperlink"/>
                <w:rFonts w:eastAsia="Arial"/>
              </w:rPr>
              <w:t>Continuous Improvement</w:t>
            </w:r>
            <w:r>
              <w:rPr>
                <w:webHidden/>
              </w:rPr>
              <w:tab/>
            </w:r>
            <w:r>
              <w:rPr>
                <w:webHidden/>
              </w:rPr>
              <w:fldChar w:fldCharType="begin"/>
            </w:r>
            <w:r>
              <w:rPr>
                <w:webHidden/>
              </w:rPr>
              <w:instrText xml:space="preserve"> PAGEREF _Toc181779498 \h </w:instrText>
            </w:r>
            <w:r>
              <w:rPr>
                <w:webHidden/>
              </w:rPr>
            </w:r>
            <w:r>
              <w:rPr>
                <w:webHidden/>
              </w:rPr>
              <w:fldChar w:fldCharType="separate"/>
            </w:r>
            <w:r>
              <w:rPr>
                <w:webHidden/>
              </w:rPr>
              <w:t>6</w:t>
            </w:r>
            <w:r>
              <w:rPr>
                <w:webHidden/>
              </w:rPr>
              <w:fldChar w:fldCharType="end"/>
            </w:r>
          </w:hyperlink>
        </w:p>
        <w:p w14:paraId="629C11CE" w14:textId="1B4A2DA3" w:rsidR="00884A5C" w:rsidRDefault="00884A5C">
          <w:pPr>
            <w:pStyle w:val="TOC2"/>
            <w:rPr>
              <w:rFonts w:eastAsiaTheme="minorEastAsia"/>
              <w:kern w:val="2"/>
              <w:lang w:eastAsia="ja-JP"/>
              <w14:ligatures w14:val="standardContextual"/>
            </w:rPr>
          </w:pPr>
          <w:hyperlink w:anchor="_Toc181779499" w:history="1">
            <w:r w:rsidRPr="007A08CF">
              <w:rPr>
                <w:rStyle w:val="Hyperlink"/>
                <w:rFonts w:eastAsia="MS Gothic"/>
              </w:rPr>
              <w:t>Engagement</w:t>
            </w:r>
            <w:r>
              <w:rPr>
                <w:webHidden/>
              </w:rPr>
              <w:tab/>
            </w:r>
            <w:r>
              <w:rPr>
                <w:webHidden/>
              </w:rPr>
              <w:fldChar w:fldCharType="begin"/>
            </w:r>
            <w:r>
              <w:rPr>
                <w:webHidden/>
              </w:rPr>
              <w:instrText xml:space="preserve"> PAGEREF _Toc181779499 \h </w:instrText>
            </w:r>
            <w:r>
              <w:rPr>
                <w:webHidden/>
              </w:rPr>
            </w:r>
            <w:r>
              <w:rPr>
                <w:webHidden/>
              </w:rPr>
              <w:fldChar w:fldCharType="separate"/>
            </w:r>
            <w:r>
              <w:rPr>
                <w:webHidden/>
              </w:rPr>
              <w:t>7</w:t>
            </w:r>
            <w:r>
              <w:rPr>
                <w:webHidden/>
              </w:rPr>
              <w:fldChar w:fldCharType="end"/>
            </w:r>
          </w:hyperlink>
        </w:p>
        <w:p w14:paraId="186402C0" w14:textId="4337AB07" w:rsidR="00884A5C" w:rsidRDefault="00884A5C">
          <w:pPr>
            <w:pStyle w:val="TOC2"/>
            <w:rPr>
              <w:rFonts w:eastAsiaTheme="minorEastAsia"/>
              <w:kern w:val="2"/>
              <w:lang w:eastAsia="ja-JP"/>
              <w14:ligatures w14:val="standardContextual"/>
            </w:rPr>
          </w:pPr>
          <w:hyperlink w:anchor="_Toc181779500" w:history="1">
            <w:r w:rsidRPr="007A08CF">
              <w:rPr>
                <w:rStyle w:val="Hyperlink"/>
                <w:rFonts w:eastAsia="MS Gothic"/>
              </w:rPr>
              <w:t>Emissions reduction targets</w:t>
            </w:r>
            <w:r>
              <w:rPr>
                <w:webHidden/>
              </w:rPr>
              <w:tab/>
            </w:r>
            <w:r>
              <w:rPr>
                <w:webHidden/>
              </w:rPr>
              <w:fldChar w:fldCharType="begin"/>
            </w:r>
            <w:r>
              <w:rPr>
                <w:webHidden/>
              </w:rPr>
              <w:instrText xml:space="preserve"> PAGEREF _Toc181779500 \h </w:instrText>
            </w:r>
            <w:r>
              <w:rPr>
                <w:webHidden/>
              </w:rPr>
            </w:r>
            <w:r>
              <w:rPr>
                <w:webHidden/>
              </w:rPr>
              <w:fldChar w:fldCharType="separate"/>
            </w:r>
            <w:r>
              <w:rPr>
                <w:webHidden/>
              </w:rPr>
              <w:t>7</w:t>
            </w:r>
            <w:r>
              <w:rPr>
                <w:webHidden/>
              </w:rPr>
              <w:fldChar w:fldCharType="end"/>
            </w:r>
          </w:hyperlink>
        </w:p>
        <w:p w14:paraId="4FCA3D57" w14:textId="6E86EDA1" w:rsidR="00884A5C" w:rsidRDefault="00884A5C">
          <w:pPr>
            <w:pStyle w:val="TOC2"/>
            <w:rPr>
              <w:rFonts w:eastAsiaTheme="minorEastAsia"/>
              <w:kern w:val="2"/>
              <w:lang w:eastAsia="ja-JP"/>
              <w14:ligatures w14:val="standardContextual"/>
            </w:rPr>
          </w:pPr>
          <w:hyperlink w:anchor="_Toc181779501" w:history="1">
            <w:r w:rsidRPr="007A08CF">
              <w:rPr>
                <w:rStyle w:val="Hyperlink"/>
              </w:rPr>
              <w:t>Prioritise and action</w:t>
            </w:r>
            <w:r>
              <w:rPr>
                <w:webHidden/>
              </w:rPr>
              <w:tab/>
            </w:r>
            <w:r>
              <w:rPr>
                <w:webHidden/>
              </w:rPr>
              <w:fldChar w:fldCharType="begin"/>
            </w:r>
            <w:r>
              <w:rPr>
                <w:webHidden/>
              </w:rPr>
              <w:instrText xml:space="preserve"> PAGEREF _Toc181779501 \h </w:instrText>
            </w:r>
            <w:r>
              <w:rPr>
                <w:webHidden/>
              </w:rPr>
            </w:r>
            <w:r>
              <w:rPr>
                <w:webHidden/>
              </w:rPr>
              <w:fldChar w:fldCharType="separate"/>
            </w:r>
            <w:r>
              <w:rPr>
                <w:webHidden/>
              </w:rPr>
              <w:t>7</w:t>
            </w:r>
            <w:r>
              <w:rPr>
                <w:webHidden/>
              </w:rPr>
              <w:fldChar w:fldCharType="end"/>
            </w:r>
          </w:hyperlink>
        </w:p>
        <w:p w14:paraId="1CA01849" w14:textId="361BB29C" w:rsidR="00884A5C" w:rsidRDefault="00884A5C">
          <w:pPr>
            <w:pStyle w:val="TOC3"/>
            <w:tabs>
              <w:tab w:val="right" w:leader="dot" w:pos="9402"/>
            </w:tabs>
            <w:rPr>
              <w:noProof/>
            </w:rPr>
          </w:pPr>
          <w:hyperlink w:anchor="_Toc181779502" w:history="1">
            <w:r w:rsidRPr="007A08CF">
              <w:rPr>
                <w:rStyle w:val="Hyperlink"/>
                <w:rFonts w:eastAsia="Arial"/>
                <w:noProof/>
              </w:rPr>
              <w:t>Building</w:t>
            </w:r>
            <w:r>
              <w:rPr>
                <w:noProof/>
                <w:webHidden/>
              </w:rPr>
              <w:tab/>
            </w:r>
            <w:r>
              <w:rPr>
                <w:noProof/>
                <w:webHidden/>
              </w:rPr>
              <w:fldChar w:fldCharType="begin"/>
            </w:r>
            <w:r>
              <w:rPr>
                <w:noProof/>
                <w:webHidden/>
              </w:rPr>
              <w:instrText xml:space="preserve"> PAGEREF _Toc181779502 \h </w:instrText>
            </w:r>
            <w:r>
              <w:rPr>
                <w:noProof/>
                <w:webHidden/>
              </w:rPr>
            </w:r>
            <w:r>
              <w:rPr>
                <w:noProof/>
                <w:webHidden/>
              </w:rPr>
              <w:fldChar w:fldCharType="separate"/>
            </w:r>
            <w:r>
              <w:rPr>
                <w:noProof/>
                <w:webHidden/>
              </w:rPr>
              <w:t>8</w:t>
            </w:r>
            <w:r>
              <w:rPr>
                <w:noProof/>
                <w:webHidden/>
              </w:rPr>
              <w:fldChar w:fldCharType="end"/>
            </w:r>
          </w:hyperlink>
        </w:p>
        <w:p w14:paraId="44D06EA7" w14:textId="3A03723B" w:rsidR="00884A5C" w:rsidRDefault="00884A5C">
          <w:pPr>
            <w:pStyle w:val="TOC3"/>
            <w:tabs>
              <w:tab w:val="right" w:leader="dot" w:pos="9402"/>
            </w:tabs>
            <w:rPr>
              <w:noProof/>
            </w:rPr>
          </w:pPr>
          <w:hyperlink w:anchor="_Toc181779503" w:history="1">
            <w:r w:rsidRPr="007A08CF">
              <w:rPr>
                <w:rStyle w:val="Hyperlink"/>
                <w:noProof/>
              </w:rPr>
              <w:t>Electricity</w:t>
            </w:r>
            <w:r>
              <w:rPr>
                <w:noProof/>
                <w:webHidden/>
              </w:rPr>
              <w:tab/>
            </w:r>
            <w:r>
              <w:rPr>
                <w:noProof/>
                <w:webHidden/>
              </w:rPr>
              <w:fldChar w:fldCharType="begin"/>
            </w:r>
            <w:r>
              <w:rPr>
                <w:noProof/>
                <w:webHidden/>
              </w:rPr>
              <w:instrText xml:space="preserve"> PAGEREF _Toc181779503 \h </w:instrText>
            </w:r>
            <w:r>
              <w:rPr>
                <w:noProof/>
                <w:webHidden/>
              </w:rPr>
            </w:r>
            <w:r>
              <w:rPr>
                <w:noProof/>
                <w:webHidden/>
              </w:rPr>
              <w:fldChar w:fldCharType="separate"/>
            </w:r>
            <w:r>
              <w:rPr>
                <w:noProof/>
                <w:webHidden/>
              </w:rPr>
              <w:t>9</w:t>
            </w:r>
            <w:r>
              <w:rPr>
                <w:noProof/>
                <w:webHidden/>
              </w:rPr>
              <w:fldChar w:fldCharType="end"/>
            </w:r>
          </w:hyperlink>
        </w:p>
        <w:p w14:paraId="0B31D71C" w14:textId="57745946" w:rsidR="00884A5C" w:rsidRDefault="00884A5C">
          <w:pPr>
            <w:pStyle w:val="TOC3"/>
            <w:tabs>
              <w:tab w:val="right" w:leader="dot" w:pos="9402"/>
            </w:tabs>
            <w:rPr>
              <w:noProof/>
            </w:rPr>
          </w:pPr>
          <w:hyperlink w:anchor="_Toc181779504" w:history="1">
            <w:r w:rsidRPr="007A08CF">
              <w:rPr>
                <w:rStyle w:val="Hyperlink"/>
                <w:rFonts w:eastAsia="Arial"/>
                <w:noProof/>
              </w:rPr>
              <w:t>Fleet</w:t>
            </w:r>
            <w:r>
              <w:rPr>
                <w:noProof/>
                <w:webHidden/>
              </w:rPr>
              <w:tab/>
            </w:r>
            <w:r>
              <w:rPr>
                <w:noProof/>
                <w:webHidden/>
              </w:rPr>
              <w:fldChar w:fldCharType="begin"/>
            </w:r>
            <w:r>
              <w:rPr>
                <w:noProof/>
                <w:webHidden/>
              </w:rPr>
              <w:instrText xml:space="preserve"> PAGEREF _Toc181779504 \h </w:instrText>
            </w:r>
            <w:r>
              <w:rPr>
                <w:noProof/>
                <w:webHidden/>
              </w:rPr>
            </w:r>
            <w:r>
              <w:rPr>
                <w:noProof/>
                <w:webHidden/>
              </w:rPr>
              <w:fldChar w:fldCharType="separate"/>
            </w:r>
            <w:r>
              <w:rPr>
                <w:noProof/>
                <w:webHidden/>
              </w:rPr>
              <w:t>9</w:t>
            </w:r>
            <w:r>
              <w:rPr>
                <w:noProof/>
                <w:webHidden/>
              </w:rPr>
              <w:fldChar w:fldCharType="end"/>
            </w:r>
          </w:hyperlink>
        </w:p>
        <w:p w14:paraId="121609DE" w14:textId="3D564948" w:rsidR="00884A5C" w:rsidRDefault="00884A5C">
          <w:pPr>
            <w:pStyle w:val="TOC2"/>
            <w:rPr>
              <w:rFonts w:eastAsiaTheme="minorEastAsia"/>
              <w:kern w:val="2"/>
              <w:lang w:eastAsia="ja-JP"/>
              <w14:ligatures w14:val="standardContextual"/>
            </w:rPr>
          </w:pPr>
          <w:hyperlink w:anchor="_Toc181779505" w:history="1">
            <w:r w:rsidRPr="007A08CF">
              <w:rPr>
                <w:rStyle w:val="Hyperlink"/>
                <w:rFonts w:eastAsia="Arial"/>
              </w:rPr>
              <w:t>Involved participants</w:t>
            </w:r>
            <w:r>
              <w:rPr>
                <w:webHidden/>
              </w:rPr>
              <w:tab/>
            </w:r>
            <w:r>
              <w:rPr>
                <w:webHidden/>
              </w:rPr>
              <w:fldChar w:fldCharType="begin"/>
            </w:r>
            <w:r>
              <w:rPr>
                <w:webHidden/>
              </w:rPr>
              <w:instrText xml:space="preserve"> PAGEREF _Toc181779505 \h </w:instrText>
            </w:r>
            <w:r>
              <w:rPr>
                <w:webHidden/>
              </w:rPr>
            </w:r>
            <w:r>
              <w:rPr>
                <w:webHidden/>
              </w:rPr>
              <w:fldChar w:fldCharType="separate"/>
            </w:r>
            <w:r>
              <w:rPr>
                <w:webHidden/>
              </w:rPr>
              <w:t>10</w:t>
            </w:r>
            <w:r>
              <w:rPr>
                <w:webHidden/>
              </w:rPr>
              <w:fldChar w:fldCharType="end"/>
            </w:r>
          </w:hyperlink>
        </w:p>
        <w:p w14:paraId="43E78DF1" w14:textId="201F97BC" w:rsidR="006F09CC" w:rsidRPr="00DA164D" w:rsidRDefault="00884A5C" w:rsidP="00DA164D">
          <w:pPr>
            <w:rPr>
              <w:rFonts w:eastAsia="MS Gothic"/>
            </w:rPr>
          </w:pPr>
          <w:r>
            <w:rPr>
              <w:b/>
              <w:bCs/>
              <w:noProof/>
            </w:rPr>
            <w:fldChar w:fldCharType="end"/>
          </w:r>
        </w:p>
      </w:sdtContent>
    </w:sdt>
    <w:p w14:paraId="663F5DB3" w14:textId="77777777" w:rsidR="00884A5C" w:rsidRPr="00DA164D" w:rsidRDefault="00884A5C" w:rsidP="00DA164D">
      <w:pPr>
        <w:rPr>
          <w:rFonts w:eastAsia="MS Gothic"/>
        </w:rPr>
      </w:pPr>
    </w:p>
    <w:p w14:paraId="6EDE61C7" w14:textId="27316AA0" w:rsidR="00884A5C" w:rsidRPr="00DA164D" w:rsidRDefault="00884A5C" w:rsidP="00DA164D">
      <w:pPr>
        <w:rPr>
          <w:rFonts w:eastAsia="MS Gothic"/>
        </w:rPr>
        <w:sectPr w:rsidR="00884A5C" w:rsidRPr="00DA164D" w:rsidSect="006F09CC">
          <w:headerReference w:type="even" r:id="rId17"/>
          <w:footerReference w:type="default" r:id="rId18"/>
          <w:headerReference w:type="first" r:id="rId19"/>
          <w:pgSz w:w="11906" w:h="16838"/>
          <w:pgMar w:top="1701" w:right="1247" w:bottom="1247" w:left="1247" w:header="709" w:footer="709" w:gutter="0"/>
          <w:pgNumType w:fmt="lowerRoman" w:start="1"/>
          <w:cols w:space="708"/>
          <w:docGrid w:linePitch="360"/>
        </w:sectPr>
      </w:pPr>
    </w:p>
    <w:p w14:paraId="136153A0" w14:textId="77777777" w:rsidR="009A7F5A" w:rsidRPr="00EB19C0" w:rsidRDefault="009A7F5A" w:rsidP="00EB19C0">
      <w:pPr>
        <w:pStyle w:val="Heading1"/>
      </w:pPr>
      <w:bookmarkStart w:id="0" w:name="_Toc181779488"/>
      <w:r w:rsidRPr="00EB19C0">
        <w:lastRenderedPageBreak/>
        <w:t>Acknowledgement of Country</w:t>
      </w:r>
      <w:bookmarkEnd w:id="0"/>
    </w:p>
    <w:p w14:paraId="17D1E370" w14:textId="77777777" w:rsidR="009A7F5A" w:rsidRPr="008F2543" w:rsidRDefault="009A7F5A" w:rsidP="008F2543">
      <w:r w:rsidRPr="008F2543">
        <w:t>The Department of Health and Aged Care acknowledges the Traditional Owners and custodians of the lands on which we work, and we pay our respects to their Elders past, present and emerging.</w:t>
      </w:r>
    </w:p>
    <w:p w14:paraId="0673820C" w14:textId="77777777" w:rsidR="006F09CC" w:rsidRDefault="006F09CC" w:rsidP="006F09CC"/>
    <w:p w14:paraId="4BEB14FF" w14:textId="77777777" w:rsidR="006F09CC" w:rsidRDefault="006F09CC" w:rsidP="006F09CC">
      <w:pPr>
        <w:sectPr w:rsidR="006F09CC" w:rsidSect="00A74345">
          <w:headerReference w:type="default" r:id="rId20"/>
          <w:footerReference w:type="default" r:id="rId21"/>
          <w:pgSz w:w="11906" w:h="16838"/>
          <w:pgMar w:top="1701" w:right="1418" w:bottom="1418" w:left="1418" w:header="709" w:footer="709" w:gutter="0"/>
          <w:cols w:space="708"/>
          <w:docGrid w:linePitch="360"/>
        </w:sectPr>
      </w:pPr>
    </w:p>
    <w:p w14:paraId="0FB34A80" w14:textId="77777777" w:rsidR="006F09CC" w:rsidRPr="00884A5C" w:rsidRDefault="006F09CC" w:rsidP="00884A5C">
      <w:pPr>
        <w:pStyle w:val="Heading1"/>
      </w:pPr>
      <w:bookmarkStart w:id="1" w:name="_Toc181779489"/>
      <w:r w:rsidRPr="00884A5C">
        <w:lastRenderedPageBreak/>
        <w:t>Accountable Authority Sign Off</w:t>
      </w:r>
      <w:bookmarkEnd w:id="1"/>
    </w:p>
    <w:p w14:paraId="6C3DBFC7" w14:textId="77777777" w:rsidR="006F09CC" w:rsidRDefault="006F09CC" w:rsidP="006F09CC">
      <w:r>
        <w:t xml:space="preserve">The Australian Government released the Net Zero in Government Operations Strategy in November 2023, setting out the overall approach and action required by Commonwealth entities to achieve the APS Net Zero 2030 target. </w:t>
      </w:r>
    </w:p>
    <w:p w14:paraId="17F326BD" w14:textId="77777777" w:rsidR="006F09CC" w:rsidRDefault="006F09CC" w:rsidP="006F09CC">
      <w:r>
        <w:t xml:space="preserve">The Net Zero in Government Operations Strategy represents a strong commitment by the Australian Government to lead by example on emissions reduction and contribute to the decarbonisation of Australia’s economy. </w:t>
      </w:r>
    </w:p>
    <w:p w14:paraId="6621D46F" w14:textId="3D2E3BC6" w:rsidR="006F09CC" w:rsidRDefault="006F09CC" w:rsidP="006F09CC">
      <w:r>
        <w:t>The Department of Health &amp; Aged Care (the Department) is committed to implementing the Government’s APS Net Zero in Government Operations Strategy and the APS Net Zero 2030 target in full.</w:t>
      </w:r>
    </w:p>
    <w:p w14:paraId="3ADF93DF" w14:textId="77777777" w:rsidR="006F09CC" w:rsidRDefault="006F09CC" w:rsidP="006F09CC">
      <w:r>
        <w:t>This Emissions Reduction Plan describes the 2024-25 priorities and actions the Department is taking to reduce our operational emissions and contribute to the APS Net Zero 2030 target.</w:t>
      </w:r>
    </w:p>
    <w:p w14:paraId="16AFF1C0" w14:textId="62610F41" w:rsidR="006F09CC" w:rsidRDefault="00961064" w:rsidP="006F09CC">
      <w:r>
        <w:rPr>
          <w:noProof/>
        </w:rPr>
        <mc:AlternateContent>
          <mc:Choice Requires="wpi">
            <w:drawing>
              <wp:inline distT="0" distB="0" distL="0" distR="0" wp14:anchorId="76075806" wp14:editId="29B3F984">
                <wp:extent cx="968760" cy="453600"/>
                <wp:effectExtent l="38100" t="38100" r="3175" b="41910"/>
                <wp:docPr id="1855564184" name="Ink 1" descr="Signature for Rachel Balmanno&#10;Chief Sustainability Officer&#10;Department of Health &amp; Aged Care&#10;"/>
                <wp:cNvGraphicFramePr/>
                <a:graphic xmlns:a="http://schemas.openxmlformats.org/drawingml/2006/main">
                  <a:graphicData uri="http://schemas.microsoft.com/office/word/2010/wordprocessingInk">
                    <w14:contentPart bwMode="auto" r:id="rId22">
                      <w14:nvContentPartPr>
                        <w14:cNvContentPartPr/>
                      </w14:nvContentPartPr>
                      <w14:xfrm>
                        <a:off x="0" y="0"/>
                        <a:ext cx="968760" cy="453600"/>
                      </w14:xfrm>
                    </w14:contentPart>
                  </a:graphicData>
                </a:graphic>
              </wp:inline>
            </w:drawing>
          </mc:Choice>
          <mc:Fallback>
            <w:pict>
              <v:shapetype w14:anchorId="77F0E3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i1025" type="#_x0000_t75" alt="Signature for Rachel Balmanno&#10;Chief Sustainability Officer&#10;Department of Health &amp; Aged Care&#10;" style="width:77pt;height:36pt;visibility:visible;mso-wrap-style:squar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">
                <v:imagedata r:id="rId23" o:title="Signature for Rachel Balmanno&#10;Chief Sustainability Officer&#10;Department of Health &amp; Aged Care&#10;"/>
              </v:shape>
            </w:pict>
          </mc:Fallback>
        </mc:AlternateContent>
      </w:r>
    </w:p>
    <w:p w14:paraId="37365C9B" w14:textId="1247C4F0" w:rsidR="00286E0E" w:rsidRDefault="00286E0E" w:rsidP="006F09CC">
      <w:r>
        <w:t xml:space="preserve">Rachel </w:t>
      </w:r>
      <w:proofErr w:type="spellStart"/>
      <w:r>
        <w:t>Balmanno</w:t>
      </w:r>
      <w:proofErr w:type="spellEnd"/>
    </w:p>
    <w:p w14:paraId="27FF3048" w14:textId="76C9D1B9" w:rsidR="006F09CC" w:rsidRDefault="006F09CC" w:rsidP="006F09CC">
      <w:r>
        <w:t>Chief Sustainability Officer</w:t>
      </w:r>
    </w:p>
    <w:p w14:paraId="03EC150C" w14:textId="77777777" w:rsidR="006F09CC" w:rsidRDefault="006F09CC" w:rsidP="006F09CC">
      <w:r>
        <w:t>Department of Health &amp; Aged Care</w:t>
      </w:r>
    </w:p>
    <w:p w14:paraId="6C0477C4" w14:textId="447BF752" w:rsidR="006F09CC" w:rsidRPr="006F09CC" w:rsidRDefault="00961064" w:rsidP="006F09CC">
      <w:r>
        <w:t>6</w:t>
      </w:r>
      <w:r w:rsidR="006F09CC">
        <w:t xml:space="preserve"> </w:t>
      </w:r>
      <w:r w:rsidR="00352B63">
        <w:t>September</w:t>
      </w:r>
      <w:r w:rsidR="00F217A8">
        <w:t xml:space="preserve"> </w:t>
      </w:r>
      <w:r w:rsidR="006F09CC">
        <w:t>2024</w:t>
      </w:r>
    </w:p>
    <w:p w14:paraId="76E849AB" w14:textId="14ECE409" w:rsidR="00A1348E" w:rsidRDefault="00A1348E" w:rsidP="00A1348E">
      <w:pPr>
        <w:sectPr w:rsidR="00A1348E" w:rsidSect="00A74345">
          <w:pgSz w:w="11906" w:h="16838"/>
          <w:pgMar w:top="1701" w:right="1418" w:bottom="1418" w:left="1418" w:header="709" w:footer="709" w:gutter="0"/>
          <w:cols w:space="708"/>
          <w:docGrid w:linePitch="360"/>
        </w:sectPr>
      </w:pPr>
    </w:p>
    <w:p w14:paraId="2B2B9447" w14:textId="081AB2A3" w:rsidR="00884A5C" w:rsidRPr="00CF2B5E" w:rsidRDefault="00884A5C" w:rsidP="00CF2B5E">
      <w:pPr>
        <w:pStyle w:val="Heading1"/>
      </w:pPr>
      <w:bookmarkStart w:id="2" w:name="_Toc169538672"/>
      <w:bookmarkStart w:id="3" w:name="_Toc181779490"/>
      <w:r w:rsidRPr="00CF2B5E">
        <w:lastRenderedPageBreak/>
        <w:t>Emissions Reduction Plan</w:t>
      </w:r>
      <w:bookmarkEnd w:id="3"/>
    </w:p>
    <w:p w14:paraId="4415D4DA" w14:textId="294A870C" w:rsidR="00121D4A" w:rsidRPr="00802A07" w:rsidRDefault="00121D4A" w:rsidP="00EB19C0">
      <w:pPr>
        <w:pStyle w:val="Heading2"/>
      </w:pPr>
      <w:bookmarkStart w:id="4" w:name="_Toc181779491"/>
      <w:r w:rsidRPr="00802A07">
        <w:t>Purpose</w:t>
      </w:r>
      <w:bookmarkEnd w:id="2"/>
      <w:bookmarkEnd w:id="4"/>
    </w:p>
    <w:p w14:paraId="4B92F485" w14:textId="77777777" w:rsidR="00DC5B06" w:rsidRPr="00DA164D" w:rsidRDefault="00DC5B06" w:rsidP="00DA164D">
      <w:pPr>
        <w:rPr>
          <w:rFonts w:eastAsia="MS Gothic"/>
        </w:rPr>
      </w:pPr>
      <w:r w:rsidRPr="00DA164D">
        <w:rPr>
          <w:rFonts w:eastAsia="MS Gothic"/>
        </w:rPr>
        <w:t>The Department is responsible for managing and implementing emissions reduction initiatives set by the Australian Government’s Net Zero in Government Operations Strategy (the Strategy) developed by the Department of Finance. The Strategy sets out the Australian Government’s approach to achieving net zero greenhouse gas emissions from its operations by 2030 and reinstates public emissions reporting.</w:t>
      </w:r>
    </w:p>
    <w:p w14:paraId="5FBB8076" w14:textId="77777777" w:rsidR="00DC5B06" w:rsidRPr="00DA164D" w:rsidRDefault="00DC5B06" w:rsidP="00DA164D">
      <w:pPr>
        <w:rPr>
          <w:rFonts w:eastAsia="MS Gothic"/>
        </w:rPr>
      </w:pPr>
      <w:r w:rsidRPr="00DA164D">
        <w:rPr>
          <w:rFonts w:eastAsia="MS Gothic"/>
        </w:rPr>
        <w:t>The goal of this Emissions Reduction Plan is to outline how the Department will contribute to the achievement of the APS Net Zero 2030 target through emissions reduction activities in 2024-25. This plan encompasses existing and new priorities and actions within the Department to reduce emissions.</w:t>
      </w:r>
    </w:p>
    <w:p w14:paraId="7B6C072E" w14:textId="373C0928" w:rsidR="00DC5B06" w:rsidRPr="00DA164D" w:rsidRDefault="00DC5B06" w:rsidP="00DA164D">
      <w:pPr>
        <w:rPr>
          <w:rFonts w:eastAsia="MS Gothic"/>
        </w:rPr>
      </w:pPr>
      <w:r w:rsidRPr="00DA164D">
        <w:rPr>
          <w:rFonts w:eastAsia="MS Gothic"/>
        </w:rPr>
        <w:t>This Emissions Reduction Plan has been completed in accordance with the Strategy, associated guidance and reporting standards for annual emissions reporting.</w:t>
      </w:r>
    </w:p>
    <w:p w14:paraId="4812F757" w14:textId="77777777" w:rsidR="00121D4A" w:rsidRDefault="00121D4A" w:rsidP="00EB19C0">
      <w:pPr>
        <w:pStyle w:val="Heading2"/>
      </w:pPr>
      <w:bookmarkStart w:id="5" w:name="_Toc169538673"/>
      <w:bookmarkStart w:id="6" w:name="_Toc181779492"/>
      <w:r w:rsidRPr="00802A07">
        <w:t>Net zero greenhouse gas emissions</w:t>
      </w:r>
      <w:bookmarkEnd w:id="5"/>
      <w:bookmarkEnd w:id="6"/>
    </w:p>
    <w:p w14:paraId="28416AB3" w14:textId="2551BDDD" w:rsidR="00DA164D" w:rsidRPr="00DA164D" w:rsidRDefault="00DA164D" w:rsidP="00DA164D">
      <w:pPr>
        <w:rPr>
          <w:rFonts w:eastAsia="MS Gothic"/>
        </w:rPr>
      </w:pPr>
      <w:r w:rsidRPr="00DA164D">
        <w:rPr>
          <w:rFonts w:eastAsia="MS Gothic"/>
        </w:rPr>
        <w:t>APS Net Zero 2030 is the target set by the Australian Government to achieve net zero greenhouse gas emissions from government operations by the year 2030. It includes scope 1 and scope 2 emissions from activities in Australia and its territories, as described in the Strategy. The APS Net Zero 2030 target applies at the aggregate level to non-corporate Commonwealth entities and generally covers the entirety of the entity’s organisation. From an organisational perspective, this means minimising the greenhouse gas emissions that are within our control.</w:t>
      </w:r>
    </w:p>
    <w:p w14:paraId="2AC1353C" w14:textId="77777777" w:rsidR="00121D4A" w:rsidRPr="00802A07" w:rsidRDefault="00121D4A" w:rsidP="00EB19C0">
      <w:pPr>
        <w:pStyle w:val="Heading2"/>
      </w:pPr>
      <w:bookmarkStart w:id="7" w:name="_Toc169538674"/>
      <w:bookmarkStart w:id="8" w:name="_Toc181779493"/>
      <w:r w:rsidRPr="00802A07">
        <w:t>Governance and reporting</w:t>
      </w:r>
      <w:bookmarkEnd w:id="7"/>
      <w:bookmarkEnd w:id="8"/>
    </w:p>
    <w:p w14:paraId="5552B5A1" w14:textId="7CF50204" w:rsidR="00DC5B06" w:rsidRPr="00DA164D" w:rsidRDefault="00DC5B06" w:rsidP="00DA164D">
      <w:pPr>
        <w:rPr>
          <w:rFonts w:eastAsia="Arial"/>
        </w:rPr>
      </w:pPr>
      <w:r w:rsidRPr="00DA164D">
        <w:t>The Department has implemented interim governance arrangements, including establishing the role of Chief Sustainability Officer (CSO), to support current activities and drive improved risk identification, quality of data and reporting capability. The Department expects to the governance arrangements as our emissions reduction efforts broaden in future years.</w:t>
      </w:r>
    </w:p>
    <w:p w14:paraId="51240F45" w14:textId="56FD7A89" w:rsidR="00121D4A" w:rsidRPr="00DA164D" w:rsidRDefault="00121D4A" w:rsidP="00DA164D">
      <w:pPr>
        <w:rPr>
          <w:rFonts w:eastAsia="Arial"/>
        </w:rPr>
      </w:pPr>
      <w:r w:rsidRPr="00DA164D">
        <w:rPr>
          <w:rFonts w:eastAsia="Arial"/>
        </w:rPr>
        <w:t xml:space="preserve">Progress against actions identified within this Emissions Reduction Plan, and any additional measures adopted, will be included in our Annual Reports. This, combined with annual emissions reporting, will be used </w:t>
      </w:r>
      <w:r w:rsidR="00C7530F" w:rsidRPr="00DA164D">
        <w:rPr>
          <w:rFonts w:eastAsia="Arial"/>
        </w:rPr>
        <w:t>to</w:t>
      </w:r>
      <w:r w:rsidRPr="00DA164D">
        <w:rPr>
          <w:rFonts w:eastAsia="Arial"/>
        </w:rPr>
        <w:t xml:space="preserve"> measure </w:t>
      </w:r>
      <w:r w:rsidR="00C7530F" w:rsidRPr="00DA164D">
        <w:rPr>
          <w:rFonts w:eastAsia="Arial"/>
        </w:rPr>
        <w:t>our</w:t>
      </w:r>
      <w:r w:rsidRPr="00DA164D">
        <w:rPr>
          <w:rFonts w:eastAsia="Arial"/>
        </w:rPr>
        <w:t xml:space="preserve"> progress towards reducing </w:t>
      </w:r>
      <w:r w:rsidR="00C7530F" w:rsidRPr="00DA164D">
        <w:rPr>
          <w:rFonts w:eastAsia="Arial"/>
        </w:rPr>
        <w:t>our</w:t>
      </w:r>
      <w:r w:rsidRPr="00DA164D">
        <w:rPr>
          <w:rFonts w:eastAsia="Arial"/>
        </w:rPr>
        <w:t xml:space="preserve"> emissions.</w:t>
      </w:r>
    </w:p>
    <w:p w14:paraId="6F6AA70D" w14:textId="58D2102F" w:rsidR="00121D4A" w:rsidRPr="00DA164D" w:rsidRDefault="00121D4A" w:rsidP="00DA164D">
      <w:pPr>
        <w:rPr>
          <w:rFonts w:eastAsia="Arial"/>
        </w:rPr>
      </w:pPr>
      <w:r w:rsidRPr="00DA164D">
        <w:rPr>
          <w:rFonts w:eastAsia="Arial"/>
        </w:rPr>
        <w:t xml:space="preserve">As part of the Net Zero in Government Operations Annual Progress Report, the Department of Finance will provide whole-of-Australian Government emissions reporting. </w:t>
      </w:r>
    </w:p>
    <w:p w14:paraId="69978785" w14:textId="5D4B21C1" w:rsidR="00121D4A" w:rsidRPr="00802A07" w:rsidRDefault="00121D4A" w:rsidP="00EB19C0">
      <w:pPr>
        <w:pStyle w:val="Heading2"/>
      </w:pPr>
      <w:bookmarkStart w:id="9" w:name="_Toc169538675"/>
      <w:bookmarkStart w:id="10" w:name="_Toc181779494"/>
      <w:r w:rsidRPr="00802A07">
        <w:lastRenderedPageBreak/>
        <w:t xml:space="preserve">The Department’s </w:t>
      </w:r>
      <w:r w:rsidR="006B5DBE" w:rsidRPr="00802A07">
        <w:t>o</w:t>
      </w:r>
      <w:r w:rsidRPr="00802A07">
        <w:t>perational context</w:t>
      </w:r>
      <w:bookmarkEnd w:id="9"/>
      <w:bookmarkEnd w:id="10"/>
    </w:p>
    <w:p w14:paraId="7536E56F" w14:textId="77777777" w:rsidR="00121D4A" w:rsidRPr="00DA164D" w:rsidRDefault="00121D4A" w:rsidP="00DA164D">
      <w:pPr>
        <w:rPr>
          <w:rFonts w:eastAsia="Arial"/>
        </w:rPr>
      </w:pPr>
      <w:r w:rsidRPr="00DA164D">
        <w:rPr>
          <w:rFonts w:eastAsia="Arial"/>
        </w:rPr>
        <w:t>The Department operates across all Australian states and territories, with approximately 7,296</w:t>
      </w:r>
      <w:r w:rsidRPr="00DA164D">
        <w:rPr>
          <w:rFonts w:eastAsia="Arial"/>
        </w:rPr>
        <w:footnoteReference w:id="2"/>
      </w:r>
      <w:r w:rsidRPr="00DA164D">
        <w:rPr>
          <w:rFonts w:eastAsia="Arial"/>
        </w:rPr>
        <w:t xml:space="preserve"> personnel working across these jurisdictions. Our facilities including 12 office spaces within a mixture of sole-tenanted and multi-tenanted buildings, and a specialised laboratory site. This presents unique operational challenges that add complexity to our emissions reduction strategy.</w:t>
      </w:r>
    </w:p>
    <w:p w14:paraId="456A3159" w14:textId="2BEE1FEA" w:rsidR="00D34407" w:rsidRPr="00DA164D" w:rsidRDefault="00D34407" w:rsidP="00DA164D">
      <w:pPr>
        <w:rPr>
          <w:rFonts w:eastAsia="Arial"/>
        </w:rPr>
      </w:pPr>
      <w:r w:rsidRPr="00DA164D">
        <w:rPr>
          <w:rFonts w:eastAsia="Arial"/>
        </w:rPr>
        <w:t>In the 2024-25 Budget, the Government announced that, as an interim step in the reform of the National Mental Health Commission, the Commission’s functions, resources, and associated appropriations will transfer into the Department of Health and Aged Care as a non-statutory office on or before 1 October 2024.</w:t>
      </w:r>
    </w:p>
    <w:p w14:paraId="6A12E47A" w14:textId="7DBDD623" w:rsidR="00D34407" w:rsidRPr="00DA164D" w:rsidRDefault="00D34407" w:rsidP="00DA164D">
      <w:pPr>
        <w:rPr>
          <w:rFonts w:eastAsia="Arial"/>
        </w:rPr>
      </w:pPr>
      <w:r w:rsidRPr="00DA164D">
        <w:rPr>
          <w:rFonts w:eastAsia="Arial"/>
        </w:rPr>
        <w:t>As of 1 August 2024, the Commission has 39 staff based across NSW, ACT, Queensland, Victoria and Western Australia. Its facilities consist of 2 office spaces, one in Sydney and one in Canberra. Each office space is part of a multi-tenanted building.</w:t>
      </w:r>
    </w:p>
    <w:p w14:paraId="560CD7A6" w14:textId="59CEF009" w:rsidR="00121D4A" w:rsidRPr="00DA164D" w:rsidRDefault="00D34407" w:rsidP="00DA164D">
      <w:pPr>
        <w:rPr>
          <w:rFonts w:eastAsia="Arial"/>
        </w:rPr>
      </w:pPr>
      <w:r w:rsidRPr="00DA164D">
        <w:rPr>
          <w:rFonts w:eastAsia="Arial"/>
        </w:rPr>
        <w:t xml:space="preserve">The Department </w:t>
      </w:r>
      <w:r w:rsidR="00C7530F" w:rsidRPr="00DA164D">
        <w:rPr>
          <w:rFonts w:eastAsia="Arial"/>
        </w:rPr>
        <w:t xml:space="preserve">has shared tenancies with and provides corporate services to </w:t>
      </w:r>
      <w:r w:rsidRPr="00DA164D">
        <w:rPr>
          <w:rFonts w:eastAsia="Arial"/>
        </w:rPr>
        <w:t xml:space="preserve">several agencies and statutory office holders within the </w:t>
      </w:r>
      <w:r w:rsidR="00C7530F" w:rsidRPr="00DA164D">
        <w:rPr>
          <w:rFonts w:eastAsia="Arial"/>
        </w:rPr>
        <w:t xml:space="preserve">Health and Aged Care </w:t>
      </w:r>
      <w:r w:rsidRPr="00DA164D">
        <w:rPr>
          <w:rFonts w:eastAsia="Arial"/>
        </w:rPr>
        <w:t xml:space="preserve">portfolio. </w:t>
      </w:r>
      <w:r w:rsidR="0040426D" w:rsidRPr="00DA164D">
        <w:rPr>
          <w:rFonts w:eastAsia="Arial"/>
        </w:rPr>
        <w:t>The Department works cooperatively with these entities to</w:t>
      </w:r>
      <w:r w:rsidR="00121D4A" w:rsidRPr="00DA164D">
        <w:rPr>
          <w:rFonts w:eastAsia="Arial"/>
        </w:rPr>
        <w:t xml:space="preserve"> initiate net-zero emissions pathway</w:t>
      </w:r>
      <w:r w:rsidR="0040426D" w:rsidRPr="00DA164D">
        <w:rPr>
          <w:rFonts w:eastAsia="Arial"/>
        </w:rPr>
        <w:t>s</w:t>
      </w:r>
      <w:r w:rsidR="00121D4A" w:rsidRPr="00DA164D">
        <w:rPr>
          <w:rFonts w:eastAsia="Arial"/>
        </w:rPr>
        <w:t xml:space="preserve"> </w:t>
      </w:r>
      <w:r w:rsidR="00C7530F" w:rsidRPr="00DA164D">
        <w:rPr>
          <w:rFonts w:eastAsia="Arial"/>
        </w:rPr>
        <w:t>aligned to</w:t>
      </w:r>
      <w:r w:rsidR="00121D4A" w:rsidRPr="00DA164D">
        <w:rPr>
          <w:rFonts w:eastAsia="Arial"/>
        </w:rPr>
        <w:t xml:space="preserve"> the goals</w:t>
      </w:r>
      <w:r w:rsidR="00C7530F" w:rsidRPr="00DA164D">
        <w:rPr>
          <w:rFonts w:eastAsia="Arial"/>
        </w:rPr>
        <w:t xml:space="preserve"> of the</w:t>
      </w:r>
      <w:r w:rsidR="00121D4A" w:rsidRPr="00DA164D">
        <w:rPr>
          <w:rFonts w:eastAsia="Arial"/>
        </w:rPr>
        <w:t xml:space="preserve"> Strategy. Key activities include:</w:t>
      </w:r>
    </w:p>
    <w:p w14:paraId="2FFB6CCB" w14:textId="77777777" w:rsidR="0067044A" w:rsidRDefault="0067044A" w:rsidP="0067044A">
      <w:pPr>
        <w:pStyle w:val="ListBullet"/>
      </w:pPr>
      <w:r w:rsidRPr="0067044A">
        <w:t>consolidating leased premises, preferencing energy-efficient buildings for new lease arrangements and incorporating sustainable design in our workspaces</w:t>
      </w:r>
    </w:p>
    <w:p w14:paraId="5B50890F" w14:textId="77777777" w:rsidR="0067044A" w:rsidRDefault="0067044A" w:rsidP="0067044A">
      <w:pPr>
        <w:pStyle w:val="ListBullet"/>
      </w:pPr>
      <w:r w:rsidRPr="0067044A">
        <w:t>rationalising our vehicle fleet and transitioning to low emissions and electric vehicles</w:t>
      </w:r>
    </w:p>
    <w:p w14:paraId="29084107" w14:textId="77777777" w:rsidR="0067044A" w:rsidRDefault="0067044A" w:rsidP="0067044A">
      <w:pPr>
        <w:pStyle w:val="ListBullet"/>
      </w:pPr>
      <w:r w:rsidRPr="0067044A">
        <w:t>minimising travel, and</w:t>
      </w:r>
    </w:p>
    <w:p w14:paraId="601A8CBB" w14:textId="7F4C3132" w:rsidR="00CF2B5E" w:rsidRPr="0067044A" w:rsidRDefault="0067044A" w:rsidP="0067044A">
      <w:pPr>
        <w:pStyle w:val="ListBullet"/>
      </w:pPr>
      <w:r w:rsidRPr="0067044A">
        <w:t>procuring renewable energy sources and reducing waste.</w:t>
      </w:r>
    </w:p>
    <w:p w14:paraId="596F369D" w14:textId="77777777" w:rsidR="00121D4A" w:rsidRPr="00802A07" w:rsidRDefault="00121D4A" w:rsidP="00EB19C0">
      <w:pPr>
        <w:pStyle w:val="Heading2"/>
      </w:pPr>
      <w:bookmarkStart w:id="11" w:name="_Toc169538676"/>
      <w:bookmarkStart w:id="12" w:name="_Hlk150953826"/>
      <w:bookmarkStart w:id="13" w:name="_Toc181779495"/>
      <w:r w:rsidRPr="00802A07">
        <w:t>Baseline emissions</w:t>
      </w:r>
      <w:bookmarkEnd w:id="11"/>
      <w:bookmarkEnd w:id="13"/>
    </w:p>
    <w:p w14:paraId="1A8EFB94" w14:textId="77777777" w:rsidR="00121D4A" w:rsidRPr="00DA164D" w:rsidRDefault="00121D4A" w:rsidP="00DA164D">
      <w:pPr>
        <w:rPr>
          <w:rFonts w:eastAsia="Arial"/>
        </w:rPr>
      </w:pPr>
      <w:r w:rsidRPr="00DA164D">
        <w:rPr>
          <w:rFonts w:eastAsia="Arial"/>
        </w:rPr>
        <w:t xml:space="preserve">Baseline emissions are a record of greenhouse gases that have been produced in the past and were produced prior to the introduction of any strategies to reduce emissions. The baseline emissions from financial year 2022-23 are the reference point against which emissions reduction actions can be measured. </w:t>
      </w:r>
    </w:p>
    <w:p w14:paraId="7A562EBC" w14:textId="30A05434" w:rsidR="00121D4A" w:rsidRDefault="00121D4A" w:rsidP="006B5DBE">
      <w:pPr>
        <w:rPr>
          <w:rFonts w:eastAsia="Arial" w:cs="Arial"/>
        </w:rPr>
      </w:pPr>
      <w:r w:rsidRPr="00121D4A">
        <w:rPr>
          <w:rFonts w:eastAsia="Arial" w:cs="Arial"/>
        </w:rPr>
        <w:t>The baseline emissions for this plan focus on scope 1 and scope 2 emissions, consistent with the APS Net Zero 2030 target. Electricity-related emissions were calculated using the location-based method.</w:t>
      </w:r>
    </w:p>
    <w:p w14:paraId="390BE96F" w14:textId="0D9FE18C" w:rsidR="00EB19C0" w:rsidRPr="00DA164D" w:rsidRDefault="00EB19C0" w:rsidP="00DA164D">
      <w:pPr>
        <w:rPr>
          <w:rFonts w:eastAsia="Arial"/>
        </w:rPr>
      </w:pPr>
      <w:r w:rsidRPr="00DA164D">
        <w:t>The Australian Public Service has committed to achieving Net Zero emissions by 2030, initially focusing on Scope 1 and Scope 2 emissions. Scope 1 emissions are direct greenhouse gas emissions from sources owned or controlled by the organisation, while Scope 2 emissions are indirect emissions from the consumption of purchased electricity, steam, heating, and cooling. The Department’s 2024-25 plan does not include Scope 3 emissions, indirect emissions not covered in Scope 2. These will be considered as more data becomes available.</w:t>
      </w:r>
    </w:p>
    <w:p w14:paraId="13996D22" w14:textId="3BA5994B" w:rsidR="00121D4A" w:rsidRPr="0067044A" w:rsidRDefault="00CE6872" w:rsidP="00CE6872">
      <w:pPr>
        <w:pStyle w:val="Caption"/>
      </w:pPr>
      <w:bookmarkStart w:id="14" w:name="_Toc169538677"/>
      <w:r>
        <w:lastRenderedPageBreak/>
        <w:t xml:space="preserve">Table </w:t>
      </w:r>
      <w:r>
        <w:fldChar w:fldCharType="begin"/>
      </w:r>
      <w:r>
        <w:instrText xml:space="preserve"> SEQ Table \* ARABIC </w:instrText>
      </w:r>
      <w:r>
        <w:fldChar w:fldCharType="separate"/>
      </w:r>
      <w:r w:rsidR="00AF3A35">
        <w:rPr>
          <w:noProof/>
        </w:rPr>
        <w:t>1</w:t>
      </w:r>
      <w:r>
        <w:fldChar w:fldCharType="end"/>
      </w:r>
      <w:r w:rsidR="00121D4A" w:rsidRPr="0067044A">
        <w:t xml:space="preserve"> Department of Health and Aged Care's baseline emissions data</w:t>
      </w:r>
      <w:r w:rsidR="00705936" w:rsidRPr="0067044A">
        <w:t>*</w:t>
      </w:r>
    </w:p>
    <w:tbl>
      <w:tblPr>
        <w:tblW w:w="0" w:type="auto"/>
        <w:tblLook w:val="04A0" w:firstRow="1" w:lastRow="0" w:firstColumn="1" w:lastColumn="0" w:noHBand="0" w:noVBand="1"/>
      </w:tblPr>
      <w:tblGrid>
        <w:gridCol w:w="2538"/>
        <w:gridCol w:w="6532"/>
      </w:tblGrid>
      <w:tr w:rsidR="00121D4A" w:rsidRPr="00121D4A" w14:paraId="38FB359A" w14:textId="77777777" w:rsidTr="00794228">
        <w:trPr>
          <w:trHeight w:val="412"/>
        </w:trPr>
        <w:tc>
          <w:tcPr>
            <w:tcW w:w="2552" w:type="dxa"/>
            <w:tcBorders>
              <w:top w:val="single" w:sz="12" w:space="0" w:color="359D9A"/>
              <w:left w:val="nil"/>
              <w:bottom w:val="single" w:sz="8" w:space="0" w:color="000000"/>
              <w:right w:val="nil"/>
            </w:tcBorders>
            <w:shd w:val="clear" w:color="auto" w:fill="78D1CE"/>
            <w:hideMark/>
          </w:tcPr>
          <w:p w14:paraId="7FFC5F34" w14:textId="77777777" w:rsidR="00121D4A" w:rsidRPr="00DA164D" w:rsidRDefault="00121D4A" w:rsidP="00DA164D">
            <w:pPr>
              <w:rPr>
                <w:rFonts w:eastAsia="Arial"/>
              </w:rPr>
            </w:pPr>
            <w:r w:rsidRPr="00DA164D">
              <w:rPr>
                <w:rFonts w:eastAsia="Arial"/>
              </w:rPr>
              <w:t>Baseline year</w:t>
            </w:r>
          </w:p>
        </w:tc>
        <w:tc>
          <w:tcPr>
            <w:tcW w:w="6583" w:type="dxa"/>
            <w:tcBorders>
              <w:top w:val="single" w:sz="12" w:space="0" w:color="359D9A"/>
              <w:left w:val="nil"/>
              <w:bottom w:val="single" w:sz="8" w:space="0" w:color="000000"/>
              <w:right w:val="nil"/>
            </w:tcBorders>
            <w:shd w:val="clear" w:color="auto" w:fill="D2F0EF"/>
            <w:hideMark/>
          </w:tcPr>
          <w:p w14:paraId="0FDD5464" w14:textId="77777777" w:rsidR="00121D4A" w:rsidRPr="00DA164D" w:rsidRDefault="00121D4A" w:rsidP="00DA164D">
            <w:pPr>
              <w:rPr>
                <w:rFonts w:eastAsia="Arial"/>
              </w:rPr>
            </w:pPr>
            <w:r w:rsidRPr="00DA164D">
              <w:rPr>
                <w:rFonts w:eastAsia="Arial"/>
              </w:rPr>
              <w:t>Financial year 2022-23 – location based</w:t>
            </w:r>
          </w:p>
        </w:tc>
      </w:tr>
      <w:tr w:rsidR="00121D4A" w:rsidRPr="00121D4A" w14:paraId="5D7FB37D" w14:textId="77777777" w:rsidTr="00794228">
        <w:trPr>
          <w:trHeight w:val="407"/>
        </w:trPr>
        <w:tc>
          <w:tcPr>
            <w:tcW w:w="2552" w:type="dxa"/>
            <w:tcBorders>
              <w:top w:val="nil"/>
              <w:left w:val="nil"/>
              <w:bottom w:val="single" w:sz="8" w:space="0" w:color="000000"/>
              <w:right w:val="nil"/>
            </w:tcBorders>
            <w:shd w:val="clear" w:color="auto" w:fill="78D1CE"/>
            <w:hideMark/>
          </w:tcPr>
          <w:p w14:paraId="18443468" w14:textId="77777777" w:rsidR="00121D4A" w:rsidRPr="00DA164D" w:rsidRDefault="00121D4A" w:rsidP="00DA164D">
            <w:pPr>
              <w:rPr>
                <w:rFonts w:eastAsia="Arial"/>
              </w:rPr>
            </w:pPr>
            <w:r w:rsidRPr="00DA164D">
              <w:rPr>
                <w:rFonts w:eastAsia="Arial"/>
              </w:rPr>
              <w:t>Scope 1 emissions</w:t>
            </w:r>
          </w:p>
        </w:tc>
        <w:tc>
          <w:tcPr>
            <w:tcW w:w="6583" w:type="dxa"/>
            <w:tcBorders>
              <w:top w:val="nil"/>
              <w:left w:val="nil"/>
              <w:bottom w:val="single" w:sz="8" w:space="0" w:color="000000"/>
              <w:right w:val="nil"/>
            </w:tcBorders>
            <w:shd w:val="clear" w:color="auto" w:fill="D2F0EF"/>
            <w:hideMark/>
          </w:tcPr>
          <w:p w14:paraId="0B9B3CFF" w14:textId="1D39057D" w:rsidR="00121D4A" w:rsidRPr="00DA164D" w:rsidRDefault="00A83EEF" w:rsidP="00DA164D">
            <w:pPr>
              <w:rPr>
                <w:rFonts w:eastAsia="Arial"/>
              </w:rPr>
            </w:pPr>
            <w:r w:rsidRPr="00DA164D">
              <w:rPr>
                <w:rFonts w:eastAsia="Arial"/>
              </w:rPr>
              <w:t>736,448</w:t>
            </w:r>
            <w:r w:rsidR="00121D4A" w:rsidRPr="00DA164D">
              <w:rPr>
                <w:rFonts w:eastAsia="Arial"/>
              </w:rPr>
              <w:t xml:space="preserve"> kg CO2e</w:t>
            </w:r>
          </w:p>
        </w:tc>
      </w:tr>
      <w:tr w:rsidR="00121D4A" w:rsidRPr="00121D4A" w14:paraId="726A7B11" w14:textId="77777777" w:rsidTr="00794228">
        <w:trPr>
          <w:trHeight w:val="407"/>
        </w:trPr>
        <w:tc>
          <w:tcPr>
            <w:tcW w:w="2552" w:type="dxa"/>
            <w:tcBorders>
              <w:top w:val="nil"/>
              <w:left w:val="nil"/>
              <w:bottom w:val="single" w:sz="8" w:space="0" w:color="000000"/>
              <w:right w:val="nil"/>
            </w:tcBorders>
            <w:shd w:val="clear" w:color="auto" w:fill="78D1CE"/>
            <w:hideMark/>
          </w:tcPr>
          <w:p w14:paraId="0715ACBD" w14:textId="77777777" w:rsidR="00121D4A" w:rsidRPr="00DA164D" w:rsidRDefault="00121D4A" w:rsidP="00DA164D">
            <w:pPr>
              <w:rPr>
                <w:rFonts w:eastAsia="Arial"/>
              </w:rPr>
            </w:pPr>
            <w:r w:rsidRPr="00DA164D">
              <w:rPr>
                <w:rFonts w:eastAsia="Arial"/>
              </w:rPr>
              <w:t>Scope 2 emissions</w:t>
            </w:r>
          </w:p>
        </w:tc>
        <w:tc>
          <w:tcPr>
            <w:tcW w:w="6583" w:type="dxa"/>
            <w:tcBorders>
              <w:top w:val="nil"/>
              <w:left w:val="nil"/>
              <w:bottom w:val="single" w:sz="8" w:space="0" w:color="000000"/>
              <w:right w:val="nil"/>
            </w:tcBorders>
            <w:shd w:val="clear" w:color="auto" w:fill="D2F0EF"/>
            <w:hideMark/>
          </w:tcPr>
          <w:p w14:paraId="65907878" w14:textId="557AA130" w:rsidR="00121D4A" w:rsidRPr="00DA164D" w:rsidRDefault="00A83EEF" w:rsidP="00DA164D">
            <w:pPr>
              <w:rPr>
                <w:rFonts w:eastAsia="Arial"/>
              </w:rPr>
            </w:pPr>
            <w:r w:rsidRPr="00DA164D">
              <w:rPr>
                <w:rFonts w:eastAsia="Arial"/>
              </w:rPr>
              <w:t>4,819,297</w:t>
            </w:r>
            <w:r w:rsidR="00121D4A" w:rsidRPr="00DA164D">
              <w:rPr>
                <w:rFonts w:eastAsia="Arial"/>
              </w:rPr>
              <w:t xml:space="preserve"> kg </w:t>
            </w:r>
            <w:r w:rsidR="00F23B06" w:rsidRPr="00DA164D">
              <w:rPr>
                <w:rFonts w:eastAsia="Arial"/>
              </w:rPr>
              <w:t>CO2e</w:t>
            </w:r>
          </w:p>
        </w:tc>
      </w:tr>
      <w:tr w:rsidR="00121D4A" w:rsidRPr="00121D4A" w14:paraId="767E1BBE" w14:textId="77777777" w:rsidTr="00794228">
        <w:trPr>
          <w:trHeight w:val="398"/>
        </w:trPr>
        <w:tc>
          <w:tcPr>
            <w:tcW w:w="2552" w:type="dxa"/>
            <w:shd w:val="clear" w:color="auto" w:fill="78D1CE"/>
            <w:hideMark/>
          </w:tcPr>
          <w:p w14:paraId="7A003575" w14:textId="77777777" w:rsidR="00121D4A" w:rsidRPr="00DA164D" w:rsidRDefault="00121D4A" w:rsidP="00DA164D">
            <w:pPr>
              <w:rPr>
                <w:rFonts w:eastAsia="Arial"/>
              </w:rPr>
            </w:pPr>
            <w:r w:rsidRPr="00DA164D">
              <w:rPr>
                <w:rFonts w:eastAsia="Arial"/>
              </w:rPr>
              <w:t>Total emissions</w:t>
            </w:r>
          </w:p>
        </w:tc>
        <w:tc>
          <w:tcPr>
            <w:tcW w:w="6583" w:type="dxa"/>
            <w:shd w:val="clear" w:color="auto" w:fill="D2F0EF"/>
            <w:hideMark/>
          </w:tcPr>
          <w:p w14:paraId="750FB420" w14:textId="7A0A39C4" w:rsidR="00121D4A" w:rsidRPr="00DA164D" w:rsidRDefault="00A83EEF" w:rsidP="00DA164D">
            <w:pPr>
              <w:rPr>
                <w:rFonts w:eastAsia="Arial"/>
              </w:rPr>
            </w:pPr>
            <w:r w:rsidRPr="00DA164D">
              <w:rPr>
                <w:rFonts w:eastAsia="Arial"/>
              </w:rPr>
              <w:t>5,555,745</w:t>
            </w:r>
            <w:r w:rsidR="00121D4A" w:rsidRPr="00DA164D">
              <w:rPr>
                <w:rFonts w:eastAsia="Arial"/>
              </w:rPr>
              <w:t xml:space="preserve"> kg </w:t>
            </w:r>
            <w:r w:rsidR="00F23B06" w:rsidRPr="00DA164D">
              <w:rPr>
                <w:rFonts w:eastAsia="Arial"/>
              </w:rPr>
              <w:t>CO2e</w:t>
            </w:r>
          </w:p>
        </w:tc>
      </w:tr>
    </w:tbl>
    <w:p w14:paraId="5EFB4C6C" w14:textId="77777777" w:rsidR="00121D4A" w:rsidRPr="00DA164D" w:rsidRDefault="00121D4A" w:rsidP="00DA164D">
      <w:pPr>
        <w:rPr>
          <w:rFonts w:eastAsia="Arial"/>
        </w:rPr>
      </w:pPr>
    </w:p>
    <w:tbl>
      <w:tblPr>
        <w:tblW w:w="0" w:type="auto"/>
        <w:tblLook w:val="04A0" w:firstRow="1" w:lastRow="0" w:firstColumn="1" w:lastColumn="0" w:noHBand="0" w:noVBand="1"/>
      </w:tblPr>
      <w:tblGrid>
        <w:gridCol w:w="2552"/>
        <w:gridCol w:w="6464"/>
      </w:tblGrid>
      <w:tr w:rsidR="00121D4A" w:rsidRPr="00121D4A" w14:paraId="6848E9FA" w14:textId="77777777" w:rsidTr="00794228">
        <w:trPr>
          <w:trHeight w:val="445"/>
        </w:trPr>
        <w:tc>
          <w:tcPr>
            <w:tcW w:w="2552" w:type="dxa"/>
            <w:tcBorders>
              <w:top w:val="single" w:sz="12" w:space="0" w:color="359D9A"/>
              <w:left w:val="nil"/>
              <w:bottom w:val="single" w:sz="8" w:space="0" w:color="000000"/>
              <w:right w:val="nil"/>
            </w:tcBorders>
            <w:shd w:val="clear" w:color="auto" w:fill="78D1CE"/>
            <w:hideMark/>
          </w:tcPr>
          <w:p w14:paraId="69AFA393" w14:textId="77777777" w:rsidR="00121D4A" w:rsidRPr="00DA164D" w:rsidRDefault="00121D4A" w:rsidP="00DA164D">
            <w:pPr>
              <w:rPr>
                <w:rFonts w:eastAsia="Arial"/>
              </w:rPr>
            </w:pPr>
            <w:r w:rsidRPr="00DA164D">
              <w:rPr>
                <w:rFonts w:eastAsia="Arial"/>
              </w:rPr>
              <w:t>Baseline year</w:t>
            </w:r>
          </w:p>
        </w:tc>
        <w:tc>
          <w:tcPr>
            <w:tcW w:w="6464" w:type="dxa"/>
            <w:tcBorders>
              <w:top w:val="single" w:sz="12" w:space="0" w:color="359D9A"/>
              <w:left w:val="nil"/>
              <w:bottom w:val="single" w:sz="8" w:space="0" w:color="000000"/>
              <w:right w:val="nil"/>
            </w:tcBorders>
            <w:shd w:val="clear" w:color="auto" w:fill="D2F0EF"/>
            <w:hideMark/>
          </w:tcPr>
          <w:p w14:paraId="12231E2A" w14:textId="77777777" w:rsidR="00121D4A" w:rsidRPr="00DA164D" w:rsidRDefault="00121D4A" w:rsidP="00DA164D">
            <w:pPr>
              <w:rPr>
                <w:rFonts w:eastAsia="Arial"/>
              </w:rPr>
            </w:pPr>
            <w:r w:rsidRPr="00DA164D">
              <w:rPr>
                <w:rFonts w:eastAsia="Arial"/>
              </w:rPr>
              <w:t>Financial year 2022-23 – market based</w:t>
            </w:r>
          </w:p>
        </w:tc>
      </w:tr>
      <w:tr w:rsidR="00121D4A" w:rsidRPr="00121D4A" w14:paraId="101E8178" w14:textId="77777777" w:rsidTr="00794228">
        <w:trPr>
          <w:trHeight w:val="440"/>
        </w:trPr>
        <w:tc>
          <w:tcPr>
            <w:tcW w:w="2552" w:type="dxa"/>
            <w:tcBorders>
              <w:top w:val="nil"/>
              <w:left w:val="nil"/>
              <w:bottom w:val="single" w:sz="8" w:space="0" w:color="000000"/>
              <w:right w:val="nil"/>
            </w:tcBorders>
            <w:shd w:val="clear" w:color="auto" w:fill="78D1CE"/>
            <w:hideMark/>
          </w:tcPr>
          <w:p w14:paraId="504508EA" w14:textId="77777777" w:rsidR="00121D4A" w:rsidRPr="00DA164D" w:rsidRDefault="00121D4A" w:rsidP="00DA164D">
            <w:pPr>
              <w:rPr>
                <w:rFonts w:eastAsia="Arial"/>
              </w:rPr>
            </w:pPr>
            <w:r w:rsidRPr="00DA164D">
              <w:rPr>
                <w:rFonts w:eastAsia="Arial"/>
              </w:rPr>
              <w:t>Scope 1 emissions</w:t>
            </w:r>
          </w:p>
        </w:tc>
        <w:tc>
          <w:tcPr>
            <w:tcW w:w="6464" w:type="dxa"/>
            <w:tcBorders>
              <w:top w:val="nil"/>
              <w:left w:val="nil"/>
              <w:bottom w:val="single" w:sz="8" w:space="0" w:color="000000"/>
              <w:right w:val="nil"/>
            </w:tcBorders>
            <w:shd w:val="clear" w:color="auto" w:fill="D2F0EF"/>
            <w:hideMark/>
          </w:tcPr>
          <w:p w14:paraId="0373E4D5" w14:textId="0468F38C" w:rsidR="00121D4A" w:rsidRPr="00DA164D" w:rsidRDefault="00121D4A" w:rsidP="00DA164D">
            <w:pPr>
              <w:rPr>
                <w:rFonts w:eastAsia="Arial"/>
              </w:rPr>
            </w:pPr>
            <w:r w:rsidRPr="00DA164D">
              <w:rPr>
                <w:rFonts w:eastAsia="Arial"/>
              </w:rPr>
              <w:t> </w:t>
            </w:r>
            <w:r w:rsidR="00355C0B" w:rsidRPr="00DA164D">
              <w:rPr>
                <w:rFonts w:eastAsia="Arial"/>
              </w:rPr>
              <w:t>736,448</w:t>
            </w:r>
            <w:r w:rsidRPr="00DA164D">
              <w:rPr>
                <w:rFonts w:eastAsia="Arial"/>
              </w:rPr>
              <w:t xml:space="preserve"> kg </w:t>
            </w:r>
            <w:r w:rsidR="00F23B06" w:rsidRPr="00DA164D">
              <w:rPr>
                <w:rFonts w:eastAsia="Arial"/>
              </w:rPr>
              <w:t>CO2e</w:t>
            </w:r>
          </w:p>
        </w:tc>
      </w:tr>
      <w:tr w:rsidR="00121D4A" w:rsidRPr="00121D4A" w14:paraId="6222A96A" w14:textId="77777777" w:rsidTr="00794228">
        <w:trPr>
          <w:trHeight w:val="440"/>
        </w:trPr>
        <w:tc>
          <w:tcPr>
            <w:tcW w:w="2552" w:type="dxa"/>
            <w:tcBorders>
              <w:top w:val="nil"/>
              <w:left w:val="nil"/>
              <w:bottom w:val="single" w:sz="8" w:space="0" w:color="000000"/>
              <w:right w:val="nil"/>
            </w:tcBorders>
            <w:shd w:val="clear" w:color="auto" w:fill="78D1CE"/>
            <w:hideMark/>
          </w:tcPr>
          <w:p w14:paraId="7D599402" w14:textId="77777777" w:rsidR="00121D4A" w:rsidRPr="00DA164D" w:rsidRDefault="00121D4A" w:rsidP="00DA164D">
            <w:pPr>
              <w:rPr>
                <w:rFonts w:eastAsia="Arial"/>
              </w:rPr>
            </w:pPr>
            <w:r w:rsidRPr="00DA164D">
              <w:rPr>
                <w:rFonts w:eastAsia="Arial"/>
              </w:rPr>
              <w:t>Scope 2 emissions</w:t>
            </w:r>
          </w:p>
        </w:tc>
        <w:tc>
          <w:tcPr>
            <w:tcW w:w="6464" w:type="dxa"/>
            <w:tcBorders>
              <w:top w:val="nil"/>
              <w:left w:val="nil"/>
              <w:bottom w:val="single" w:sz="8" w:space="0" w:color="000000"/>
              <w:right w:val="nil"/>
            </w:tcBorders>
            <w:shd w:val="clear" w:color="auto" w:fill="D2F0EF"/>
            <w:hideMark/>
          </w:tcPr>
          <w:p w14:paraId="70901280" w14:textId="2385EF5B" w:rsidR="00121D4A" w:rsidRPr="00DA164D" w:rsidRDefault="00121D4A" w:rsidP="00DA164D">
            <w:pPr>
              <w:rPr>
                <w:rFonts w:eastAsia="Arial"/>
              </w:rPr>
            </w:pPr>
            <w:r w:rsidRPr="00DA164D">
              <w:rPr>
                <w:rFonts w:eastAsia="Arial"/>
              </w:rPr>
              <w:t> </w:t>
            </w:r>
            <w:r w:rsidR="00355C0B" w:rsidRPr="00DA164D">
              <w:rPr>
                <w:rFonts w:eastAsia="Arial"/>
              </w:rPr>
              <w:t>1,021,183</w:t>
            </w:r>
            <w:r w:rsidRPr="00DA164D">
              <w:rPr>
                <w:rFonts w:eastAsia="Arial"/>
              </w:rPr>
              <w:t xml:space="preserve"> kg </w:t>
            </w:r>
            <w:r w:rsidR="00F23B06" w:rsidRPr="00DA164D">
              <w:rPr>
                <w:rFonts w:eastAsia="Arial"/>
              </w:rPr>
              <w:t>CO2e</w:t>
            </w:r>
          </w:p>
        </w:tc>
      </w:tr>
      <w:tr w:rsidR="00121D4A" w:rsidRPr="00121D4A" w14:paraId="5AF9F7A4" w14:textId="77777777" w:rsidTr="00794228">
        <w:trPr>
          <w:trHeight w:val="430"/>
        </w:trPr>
        <w:tc>
          <w:tcPr>
            <w:tcW w:w="2552" w:type="dxa"/>
            <w:shd w:val="clear" w:color="auto" w:fill="78D1CE"/>
            <w:hideMark/>
          </w:tcPr>
          <w:p w14:paraId="66CA3D85" w14:textId="77777777" w:rsidR="00121D4A" w:rsidRPr="00DA164D" w:rsidRDefault="00121D4A" w:rsidP="00DA164D">
            <w:pPr>
              <w:rPr>
                <w:rFonts w:eastAsia="Arial"/>
              </w:rPr>
            </w:pPr>
            <w:r w:rsidRPr="00DA164D">
              <w:rPr>
                <w:rFonts w:eastAsia="Arial"/>
              </w:rPr>
              <w:t>Total emissions</w:t>
            </w:r>
          </w:p>
        </w:tc>
        <w:tc>
          <w:tcPr>
            <w:tcW w:w="6464" w:type="dxa"/>
            <w:shd w:val="clear" w:color="auto" w:fill="D2F0EF"/>
            <w:hideMark/>
          </w:tcPr>
          <w:p w14:paraId="77A6F460" w14:textId="71B92C9F" w:rsidR="00121D4A" w:rsidRPr="00DA164D" w:rsidRDefault="00355C0B" w:rsidP="00DA164D">
            <w:pPr>
              <w:rPr>
                <w:rFonts w:eastAsia="Arial"/>
              </w:rPr>
            </w:pPr>
            <w:r w:rsidRPr="00DA164D">
              <w:rPr>
                <w:rFonts w:eastAsia="Arial"/>
              </w:rPr>
              <w:t>1,757,631</w:t>
            </w:r>
            <w:r w:rsidR="00121D4A" w:rsidRPr="00DA164D">
              <w:rPr>
                <w:rFonts w:eastAsia="Arial"/>
              </w:rPr>
              <w:t xml:space="preserve"> kg </w:t>
            </w:r>
            <w:r w:rsidR="00F23B06" w:rsidRPr="00DA164D">
              <w:rPr>
                <w:rFonts w:eastAsia="Arial"/>
              </w:rPr>
              <w:t>CO2e</w:t>
            </w:r>
          </w:p>
        </w:tc>
      </w:tr>
    </w:tbl>
    <w:p w14:paraId="60B80F0A" w14:textId="78403255" w:rsidR="00DC5B06" w:rsidRPr="00DA164D" w:rsidRDefault="00DC5B06" w:rsidP="00DA164D">
      <w:pPr>
        <w:rPr>
          <w:rFonts w:eastAsia="Arial"/>
        </w:rPr>
      </w:pPr>
      <w:r w:rsidRPr="00DA164D">
        <w:t>* This Table includes 2022-23 emissions data for the National Mental Health Commission (NMHC) pending a Machinery of Government change, effective 1 October 2024.</w:t>
      </w:r>
    </w:p>
    <w:p w14:paraId="79AC2436" w14:textId="1CEA39CC" w:rsidR="00121D4A" w:rsidRPr="00802A07" w:rsidRDefault="00121D4A" w:rsidP="00884A5C">
      <w:pPr>
        <w:pStyle w:val="Heading2"/>
      </w:pPr>
      <w:bookmarkStart w:id="15" w:name="_Toc181779496"/>
      <w:r w:rsidRPr="00802A07">
        <w:t>Time Series Consistency</w:t>
      </w:r>
      <w:bookmarkEnd w:id="15"/>
    </w:p>
    <w:p w14:paraId="5BF63350" w14:textId="7EB47508" w:rsidR="00121D4A" w:rsidRPr="00DA164D" w:rsidRDefault="00121D4A" w:rsidP="00DA164D">
      <w:pPr>
        <w:rPr>
          <w:rFonts w:eastAsia="Arial"/>
        </w:rPr>
      </w:pPr>
      <w:r w:rsidRPr="00DA164D">
        <w:rPr>
          <w:rFonts w:eastAsia="Arial"/>
        </w:rPr>
        <w:t xml:space="preserve">Tracking emissions trends and the impact of emission reduction strategies is essential for understanding progress over time. </w:t>
      </w:r>
      <w:r w:rsidR="00C7530F" w:rsidRPr="00DA164D">
        <w:rPr>
          <w:rFonts w:eastAsia="Arial"/>
        </w:rPr>
        <w:t>The Department will endeavour to</w:t>
      </w:r>
      <w:r w:rsidRPr="00DA164D">
        <w:rPr>
          <w:rFonts w:eastAsia="Arial"/>
        </w:rPr>
        <w:t xml:space="preserve"> use consistent data collection methods and data sources </w:t>
      </w:r>
      <w:r w:rsidR="00C7530F" w:rsidRPr="00DA164D">
        <w:rPr>
          <w:rFonts w:eastAsia="Arial"/>
        </w:rPr>
        <w:t>each year.</w:t>
      </w:r>
      <w:r w:rsidRPr="00DA164D">
        <w:rPr>
          <w:rFonts w:eastAsia="Arial"/>
        </w:rPr>
        <w:t xml:space="preserve"> </w:t>
      </w:r>
    </w:p>
    <w:p w14:paraId="27A93BB2" w14:textId="77777777" w:rsidR="00121D4A" w:rsidRPr="00802A07" w:rsidRDefault="00121D4A" w:rsidP="00884A5C">
      <w:pPr>
        <w:pStyle w:val="Heading2"/>
      </w:pPr>
      <w:bookmarkStart w:id="16" w:name="_Toc181779497"/>
      <w:r w:rsidRPr="00802A07">
        <w:t>Methodological Consistency and Transparency</w:t>
      </w:r>
      <w:bookmarkEnd w:id="16"/>
    </w:p>
    <w:p w14:paraId="2263E4DF" w14:textId="09E5EFCE" w:rsidR="00121D4A" w:rsidRPr="00DA164D" w:rsidRDefault="00121D4A" w:rsidP="00DA164D">
      <w:pPr>
        <w:rPr>
          <w:rFonts w:eastAsia="Arial"/>
        </w:rPr>
      </w:pPr>
      <w:r w:rsidRPr="00DA164D">
        <w:rPr>
          <w:rFonts w:eastAsia="Arial"/>
        </w:rPr>
        <w:t xml:space="preserve">Key to ensuring confidence in the time-series consistency will be the diligent documentation of approaches to </w:t>
      </w:r>
      <w:r w:rsidR="00C7530F" w:rsidRPr="00DA164D">
        <w:rPr>
          <w:rFonts w:eastAsia="Arial"/>
        </w:rPr>
        <w:t xml:space="preserve">estimate </w:t>
      </w:r>
      <w:r w:rsidRPr="00DA164D">
        <w:rPr>
          <w:rFonts w:eastAsia="Arial"/>
        </w:rPr>
        <w:t>emissions, including methodologies and data sources. This will be detailed in the Net Zero in Government Operations Annual Progress Reports. The Department will adhere to best practices in emissions accounting, following guidelines from reputable sources such as the Greenhouse Gas Protocol, the National Greenhouse and Energy Reporting scheme, and other relevant frameworks.</w:t>
      </w:r>
    </w:p>
    <w:p w14:paraId="31BFB86F" w14:textId="77777777" w:rsidR="00121D4A" w:rsidRPr="00802A07" w:rsidRDefault="00121D4A" w:rsidP="00884A5C">
      <w:pPr>
        <w:pStyle w:val="Heading2"/>
      </w:pPr>
      <w:bookmarkStart w:id="17" w:name="_Toc181779498"/>
      <w:r w:rsidRPr="00802A07">
        <w:t>Continuous Improvement</w:t>
      </w:r>
      <w:bookmarkEnd w:id="17"/>
    </w:p>
    <w:p w14:paraId="3F0F2407" w14:textId="77B83F1A" w:rsidR="00DC5B06" w:rsidRPr="00DA164D" w:rsidRDefault="00DC5B06" w:rsidP="00DA164D">
      <w:pPr>
        <w:rPr>
          <w:rFonts w:eastAsia="Arial"/>
        </w:rPr>
      </w:pPr>
      <w:r w:rsidRPr="00DA164D">
        <w:t>The Department is committed to continually improving its emissions data accuracy and reporting transparency. This includes adopting advanced data collection technologies, engaging in regular audits, and aligning with international standards and practices. By doing so, the Department aims to set a leading example and continue to support our portfolio agencies in emissions reduction and sustainability.</w:t>
      </w:r>
    </w:p>
    <w:p w14:paraId="5D6F026D" w14:textId="77777777" w:rsidR="00121D4A" w:rsidRPr="00802A07" w:rsidRDefault="00121D4A" w:rsidP="00EB19C0">
      <w:pPr>
        <w:pStyle w:val="Heading2"/>
      </w:pPr>
      <w:bookmarkStart w:id="18" w:name="_Toc181779499"/>
      <w:r w:rsidRPr="00802A07">
        <w:t>Engagement</w:t>
      </w:r>
      <w:bookmarkEnd w:id="14"/>
      <w:bookmarkEnd w:id="18"/>
    </w:p>
    <w:p w14:paraId="06BCFE58" w14:textId="2C157C11" w:rsidR="00121D4A" w:rsidRPr="00DA164D" w:rsidRDefault="00121D4A" w:rsidP="00DA164D">
      <w:pPr>
        <w:rPr>
          <w:rFonts w:eastAsia="Arial"/>
        </w:rPr>
      </w:pPr>
      <w:r w:rsidRPr="00DA164D">
        <w:rPr>
          <w:rFonts w:eastAsia="Arial"/>
        </w:rPr>
        <w:t>In develop</w:t>
      </w:r>
      <w:r w:rsidR="00C7530F" w:rsidRPr="00DA164D">
        <w:rPr>
          <w:rFonts w:eastAsia="Arial"/>
        </w:rPr>
        <w:t>ing</w:t>
      </w:r>
      <w:r w:rsidRPr="00DA164D">
        <w:rPr>
          <w:rFonts w:eastAsia="Arial"/>
        </w:rPr>
        <w:t xml:space="preserve"> this </w:t>
      </w:r>
      <w:proofErr w:type="gramStart"/>
      <w:r w:rsidRPr="00DA164D">
        <w:rPr>
          <w:rFonts w:eastAsia="Arial"/>
        </w:rPr>
        <w:t>plan</w:t>
      </w:r>
      <w:proofErr w:type="gramEnd"/>
      <w:r w:rsidRPr="00DA164D">
        <w:rPr>
          <w:rFonts w:eastAsia="Arial"/>
        </w:rPr>
        <w:t xml:space="preserve"> the Department </w:t>
      </w:r>
      <w:r w:rsidR="00C7530F" w:rsidRPr="00DA164D">
        <w:rPr>
          <w:rFonts w:eastAsia="Arial"/>
        </w:rPr>
        <w:t xml:space="preserve">worked </w:t>
      </w:r>
      <w:r w:rsidRPr="00DA164D">
        <w:rPr>
          <w:rFonts w:eastAsia="Arial"/>
        </w:rPr>
        <w:t>with</w:t>
      </w:r>
      <w:r w:rsidR="009E7824" w:rsidRPr="00DA164D">
        <w:rPr>
          <w:rFonts w:eastAsia="Arial"/>
        </w:rPr>
        <w:t>:</w:t>
      </w:r>
    </w:p>
    <w:p w14:paraId="1B763B48" w14:textId="77777777" w:rsidR="00121D4A" w:rsidRPr="008F2543" w:rsidRDefault="00121D4A" w:rsidP="0067044A">
      <w:pPr>
        <w:pStyle w:val="ListBullet"/>
      </w:pPr>
      <w:r w:rsidRPr="008F2543">
        <w:lastRenderedPageBreak/>
        <w:t>Department of Finance</w:t>
      </w:r>
    </w:p>
    <w:p w14:paraId="21CCED4F" w14:textId="4F456A99" w:rsidR="00121D4A" w:rsidRPr="008F2543" w:rsidRDefault="00121D4A" w:rsidP="008F2543">
      <w:pPr>
        <w:pStyle w:val="ListBullet2"/>
      </w:pPr>
      <w:r w:rsidRPr="008F2543">
        <w:t>Climate Action in Government Operations –to ensure this plan aligns with the Net Zero in Government Operations Strategy and the Commonwealth Climate Disclosure requirements.</w:t>
      </w:r>
    </w:p>
    <w:p w14:paraId="4DB8B35C" w14:textId="77777777" w:rsidR="00121D4A" w:rsidRPr="008F2543" w:rsidRDefault="00121D4A" w:rsidP="008F2543">
      <w:pPr>
        <w:pStyle w:val="ListBullet2"/>
      </w:pPr>
      <w:r w:rsidRPr="008F2543">
        <w:t>Fleet Team – to discuss options associated with low emissions vehicles.</w:t>
      </w:r>
    </w:p>
    <w:p w14:paraId="41C5AB16" w14:textId="77777777" w:rsidR="00121D4A" w:rsidRPr="008F2543" w:rsidRDefault="00121D4A" w:rsidP="008F2543">
      <w:pPr>
        <w:pStyle w:val="ListBullet2"/>
      </w:pPr>
      <w:r w:rsidRPr="008F2543">
        <w:t>Travel Team – to discuss options and considerations for lowering travel emissions.</w:t>
      </w:r>
    </w:p>
    <w:p w14:paraId="57413C97" w14:textId="77777777" w:rsidR="00121D4A" w:rsidRPr="008F2543" w:rsidRDefault="00121D4A" w:rsidP="0067044A">
      <w:pPr>
        <w:pStyle w:val="ListBullet"/>
      </w:pPr>
      <w:r w:rsidRPr="008F2543">
        <w:t>Department of Employment and Workplace Relations</w:t>
      </w:r>
    </w:p>
    <w:p w14:paraId="7CBE3F46" w14:textId="77777777" w:rsidR="00121D4A" w:rsidRPr="008F2543" w:rsidRDefault="00121D4A" w:rsidP="0067044A">
      <w:pPr>
        <w:pStyle w:val="ListBullet"/>
      </w:pPr>
      <w:r w:rsidRPr="008F2543">
        <w:t>Whole of Australian Government Property Service Provider – Evolve FM</w:t>
      </w:r>
    </w:p>
    <w:p w14:paraId="10655758" w14:textId="694A2746" w:rsidR="009E7824" w:rsidRPr="008F2543" w:rsidRDefault="009E7824" w:rsidP="0067044A">
      <w:pPr>
        <w:pStyle w:val="ListBullet"/>
      </w:pPr>
      <w:r w:rsidRPr="008F2543">
        <w:t>National Mental Health Commission (NMHC)</w:t>
      </w:r>
    </w:p>
    <w:p w14:paraId="298E5924" w14:textId="77777777" w:rsidR="00121D4A" w:rsidRPr="00802A07" w:rsidRDefault="00121D4A" w:rsidP="00EB19C0">
      <w:pPr>
        <w:pStyle w:val="Heading2"/>
      </w:pPr>
      <w:bookmarkStart w:id="19" w:name="_Toc169538678"/>
      <w:bookmarkStart w:id="20" w:name="_Toc181779500"/>
      <w:r w:rsidRPr="00802A07">
        <w:t>Emissions reduction targets</w:t>
      </w:r>
      <w:bookmarkEnd w:id="19"/>
      <w:bookmarkEnd w:id="20"/>
    </w:p>
    <w:p w14:paraId="144CDE43" w14:textId="3E99D548" w:rsidR="00C7530F" w:rsidRPr="00DA164D" w:rsidRDefault="00121D4A" w:rsidP="00DA164D">
      <w:pPr>
        <w:rPr>
          <w:rFonts w:eastAsia="Arial"/>
        </w:rPr>
      </w:pPr>
      <w:bookmarkStart w:id="21" w:name="_Toc169538679"/>
      <w:bookmarkEnd w:id="12"/>
      <w:r w:rsidRPr="00DA164D">
        <w:rPr>
          <w:rFonts w:eastAsia="Arial"/>
        </w:rPr>
        <w:t xml:space="preserve">Using the baseline emissions data, we will </w:t>
      </w:r>
      <w:r w:rsidR="00F23B06" w:rsidRPr="00DA164D">
        <w:rPr>
          <w:rFonts w:eastAsia="Arial"/>
        </w:rPr>
        <w:t>seek t</w:t>
      </w:r>
      <w:r w:rsidRPr="00DA164D">
        <w:rPr>
          <w:rFonts w:eastAsia="Arial"/>
        </w:rPr>
        <w:t>o reduce greenhouse gas emissions through a combination of</w:t>
      </w:r>
      <w:r w:rsidR="00C7530F" w:rsidRPr="00DA164D">
        <w:rPr>
          <w:rFonts w:eastAsia="Arial"/>
        </w:rPr>
        <w:t>:</w:t>
      </w:r>
    </w:p>
    <w:p w14:paraId="0BED647F" w14:textId="77777777" w:rsidR="00C7530F" w:rsidRPr="008F2543" w:rsidRDefault="0044610D" w:rsidP="0067044A">
      <w:pPr>
        <w:pStyle w:val="ListBullet"/>
      </w:pPr>
      <w:r w:rsidRPr="008F2543">
        <w:t>a reduction in our overall footprint of commercial office accommodation</w:t>
      </w:r>
    </w:p>
    <w:p w14:paraId="5D2B36F3" w14:textId="28BCD251" w:rsidR="00C7530F" w:rsidRPr="008F2543" w:rsidRDefault="0044610D" w:rsidP="0067044A">
      <w:pPr>
        <w:pStyle w:val="ListBullet"/>
      </w:pPr>
      <w:r w:rsidRPr="008F2543">
        <w:t xml:space="preserve">implementing sustainable design principles for new </w:t>
      </w:r>
      <w:proofErr w:type="gramStart"/>
      <w:r w:rsidRPr="008F2543">
        <w:t>fit-outs</w:t>
      </w:r>
      <w:proofErr w:type="gramEnd"/>
    </w:p>
    <w:p w14:paraId="35C25E64" w14:textId="055AE7C3" w:rsidR="00C7530F" w:rsidRPr="008F2543" w:rsidRDefault="00121D4A" w:rsidP="0067044A">
      <w:pPr>
        <w:pStyle w:val="ListBullet"/>
      </w:pPr>
      <w:r w:rsidRPr="008F2543">
        <w:t>energy efficiency</w:t>
      </w:r>
      <w:r w:rsidR="00C7530F" w:rsidRPr="008F2543">
        <w:t xml:space="preserve"> and use of</w:t>
      </w:r>
      <w:r w:rsidRPr="008F2543">
        <w:t xml:space="preserve"> renewable energy, and </w:t>
      </w:r>
    </w:p>
    <w:p w14:paraId="54FE8588" w14:textId="6EDD2ADD" w:rsidR="00121D4A" w:rsidRPr="008F2543" w:rsidRDefault="00121D4A" w:rsidP="0067044A">
      <w:pPr>
        <w:pStyle w:val="ListBullet"/>
      </w:pPr>
      <w:r w:rsidRPr="008F2543">
        <w:t>other measures, including the use of offsets.</w:t>
      </w:r>
    </w:p>
    <w:p w14:paraId="6E697F71" w14:textId="77777777" w:rsidR="00C7530F" w:rsidRDefault="00121D4A" w:rsidP="00985ACA">
      <w:pPr>
        <w:rPr>
          <w:rFonts w:eastAsia="Arial" w:cs="Arial"/>
        </w:rPr>
      </w:pPr>
      <w:r w:rsidRPr="0044610D">
        <w:rPr>
          <w:rFonts w:eastAsia="Arial" w:cs="Arial"/>
        </w:rPr>
        <w:t>We have relocated our largest energy-consuming site</w:t>
      </w:r>
      <w:r w:rsidR="00C7530F">
        <w:rPr>
          <w:rFonts w:eastAsia="Arial" w:cs="Arial"/>
        </w:rPr>
        <w:t>, the Therapeutic Goods Administration’s laboratories</w:t>
      </w:r>
      <w:r w:rsidRPr="0044610D">
        <w:rPr>
          <w:rFonts w:eastAsia="Arial" w:cs="Arial"/>
        </w:rPr>
        <w:t xml:space="preserve"> from </w:t>
      </w:r>
      <w:r w:rsidR="00C7530F">
        <w:rPr>
          <w:rFonts w:eastAsia="Arial" w:cs="Arial"/>
        </w:rPr>
        <w:t>an ageing building in Symonston</w:t>
      </w:r>
      <w:r w:rsidRPr="0044610D">
        <w:rPr>
          <w:rFonts w:eastAsia="Arial" w:cs="Arial"/>
        </w:rPr>
        <w:t xml:space="preserve"> to an all-electric office and laboratory facility </w:t>
      </w:r>
      <w:r w:rsidR="00C7530F">
        <w:rPr>
          <w:rFonts w:eastAsia="Arial" w:cs="Arial"/>
        </w:rPr>
        <w:t>in Fairbairn</w:t>
      </w:r>
      <w:r w:rsidRPr="0044610D">
        <w:rPr>
          <w:rFonts w:eastAsia="Arial" w:cs="Arial"/>
        </w:rPr>
        <w:t xml:space="preserve">. This move has led to a significant reduction in gas consumption across our portfolio. </w:t>
      </w:r>
    </w:p>
    <w:p w14:paraId="5BCA3B27" w14:textId="15920404" w:rsidR="00484E55" w:rsidRDefault="00C7530F" w:rsidP="00985ACA">
      <w:pPr>
        <w:rPr>
          <w:rFonts w:eastAsia="Arial" w:cs="Arial"/>
        </w:rPr>
      </w:pPr>
      <w:r>
        <w:rPr>
          <w:rFonts w:eastAsia="Arial" w:cs="Arial"/>
        </w:rPr>
        <w:t xml:space="preserve">The associated </w:t>
      </w:r>
      <w:r w:rsidR="00121D4A" w:rsidRPr="0044610D">
        <w:rPr>
          <w:rFonts w:eastAsia="Arial" w:cs="Arial"/>
        </w:rPr>
        <w:t xml:space="preserve">office facility </w:t>
      </w:r>
      <w:r>
        <w:rPr>
          <w:rFonts w:eastAsia="Arial" w:cs="Arial"/>
        </w:rPr>
        <w:t xml:space="preserve">was also relocated to a new building, reducing our </w:t>
      </w:r>
      <w:r w:rsidR="00121D4A" w:rsidRPr="0044610D">
        <w:rPr>
          <w:rFonts w:eastAsia="Arial" w:cs="Arial"/>
        </w:rPr>
        <w:t>environmental footprint through robust sustainability practices, including energy efficiency, water conservation, waste management, sustainable transportation, and community engagement</w:t>
      </w:r>
      <w:r w:rsidR="00F23B06">
        <w:rPr>
          <w:rFonts w:eastAsia="Arial" w:cs="Arial"/>
        </w:rPr>
        <w:t>.</w:t>
      </w:r>
    </w:p>
    <w:p w14:paraId="460BC6BE" w14:textId="1CF6134C" w:rsidR="0044610D" w:rsidRPr="00DA164D" w:rsidRDefault="00D251F9" w:rsidP="00DA164D">
      <w:pPr>
        <w:rPr>
          <w:rFonts w:eastAsia="Arial"/>
        </w:rPr>
      </w:pPr>
      <w:r w:rsidRPr="00DA164D">
        <w:rPr>
          <w:rFonts w:eastAsia="Arial"/>
        </w:rPr>
        <w:t>The Department’s</w:t>
      </w:r>
      <w:r w:rsidR="00C7530F" w:rsidRPr="00DA164D">
        <w:rPr>
          <w:rFonts w:eastAsia="Arial"/>
        </w:rPr>
        <w:t xml:space="preserve"> Property Service Provider will</w:t>
      </w:r>
      <w:r w:rsidRPr="00DA164D">
        <w:rPr>
          <w:rFonts w:eastAsia="Arial"/>
        </w:rPr>
        <w:t xml:space="preserve"> undertake a desktop review of </w:t>
      </w:r>
      <w:r w:rsidR="00CC511A" w:rsidRPr="00DA164D">
        <w:rPr>
          <w:rFonts w:eastAsia="Arial"/>
        </w:rPr>
        <w:t>our sites to</w:t>
      </w:r>
      <w:r w:rsidRPr="00DA164D">
        <w:rPr>
          <w:rFonts w:eastAsia="Arial"/>
        </w:rPr>
        <w:t xml:space="preserve"> identify the top energy-consuming sites and energy efficiency opportunities based on the energy consumption data and the existing base building sustainability credentials.</w:t>
      </w:r>
      <w:r w:rsidR="00CC511A" w:rsidRPr="00DA164D">
        <w:rPr>
          <w:rFonts w:eastAsia="Arial"/>
        </w:rPr>
        <w:t xml:space="preserve"> Following this, the need for a </w:t>
      </w:r>
      <w:r w:rsidR="0044610D" w:rsidRPr="00DA164D">
        <w:rPr>
          <w:rFonts w:eastAsia="Arial"/>
        </w:rPr>
        <w:t xml:space="preserve">detailed study of our highest-emitting sites </w:t>
      </w:r>
      <w:r w:rsidRPr="00DA164D">
        <w:rPr>
          <w:rFonts w:eastAsia="Arial"/>
        </w:rPr>
        <w:t xml:space="preserve">can then be considered to </w:t>
      </w:r>
      <w:r w:rsidR="0044610D" w:rsidRPr="00DA164D">
        <w:rPr>
          <w:rFonts w:eastAsia="Arial"/>
        </w:rPr>
        <w:t>assess achievable emissions reductions and associated costs.</w:t>
      </w:r>
    </w:p>
    <w:p w14:paraId="12804CDE" w14:textId="5D234684" w:rsidR="00884A5C" w:rsidRPr="00802A07" w:rsidRDefault="00884A5C" w:rsidP="00884A5C">
      <w:pPr>
        <w:pStyle w:val="Heading2"/>
      </w:pPr>
      <w:bookmarkStart w:id="22" w:name="_Toc181779501"/>
      <w:bookmarkEnd w:id="21"/>
      <w:r w:rsidRPr="00884A5C">
        <w:t>Prioritise and action</w:t>
      </w:r>
      <w:bookmarkEnd w:id="22"/>
    </w:p>
    <w:p w14:paraId="69B34B86" w14:textId="180BA9DD" w:rsidR="00121D4A" w:rsidRPr="00DA164D" w:rsidRDefault="00121D4A" w:rsidP="00DA164D">
      <w:pPr>
        <w:rPr>
          <w:rFonts w:eastAsia="Arial"/>
        </w:rPr>
      </w:pPr>
      <w:r w:rsidRPr="00DA164D">
        <w:rPr>
          <w:rFonts w:eastAsia="Arial"/>
        </w:rPr>
        <w:t>The Department will contribute to achiev</w:t>
      </w:r>
      <w:r w:rsidR="00C7530F" w:rsidRPr="00DA164D">
        <w:rPr>
          <w:rFonts w:eastAsia="Arial"/>
        </w:rPr>
        <w:t>ing</w:t>
      </w:r>
      <w:r w:rsidRPr="00DA164D">
        <w:rPr>
          <w:rFonts w:eastAsia="Arial"/>
        </w:rPr>
        <w:t xml:space="preserve"> the APS Net Zero 2030 target through existing emissions </w:t>
      </w:r>
      <w:r w:rsidR="00C7530F" w:rsidRPr="00DA164D">
        <w:rPr>
          <w:rFonts w:eastAsia="Arial"/>
        </w:rPr>
        <w:t xml:space="preserve">and new </w:t>
      </w:r>
      <w:r w:rsidRPr="00DA164D">
        <w:rPr>
          <w:rFonts w:eastAsia="Arial"/>
        </w:rPr>
        <w:t xml:space="preserve">reduction measures. </w:t>
      </w:r>
    </w:p>
    <w:p w14:paraId="1E654CB1" w14:textId="77777777" w:rsidR="00121D4A" w:rsidRPr="00DA164D" w:rsidRDefault="00121D4A" w:rsidP="00DA164D">
      <w:pPr>
        <w:rPr>
          <w:rFonts w:eastAsia="Arial"/>
        </w:rPr>
      </w:pPr>
      <w:r w:rsidRPr="00DA164D">
        <w:rPr>
          <w:rFonts w:eastAsia="Arial"/>
        </w:rPr>
        <w:t xml:space="preserve">Actions already underway include: </w:t>
      </w:r>
    </w:p>
    <w:p w14:paraId="2F3BE331" w14:textId="5E476034" w:rsidR="00121D4A" w:rsidRPr="008F2543" w:rsidRDefault="00C7530F" w:rsidP="0067044A">
      <w:pPr>
        <w:pStyle w:val="ListBullet"/>
      </w:pPr>
      <w:r w:rsidRPr="008F2543">
        <w:t xml:space="preserve">Ensuring we take an overarching view of our emissions through </w:t>
      </w:r>
      <w:r w:rsidR="00121D4A" w:rsidRPr="008F2543">
        <w:t xml:space="preserve">the Chief Sustainability Officer role and </w:t>
      </w:r>
      <w:r w:rsidRPr="008F2543">
        <w:t xml:space="preserve">related </w:t>
      </w:r>
      <w:r w:rsidR="00121D4A" w:rsidRPr="008F2543">
        <w:t>governance arrangements</w:t>
      </w:r>
      <w:r w:rsidRPr="008F2543">
        <w:t>.</w:t>
      </w:r>
    </w:p>
    <w:p w14:paraId="3C439DC7" w14:textId="50362FBD" w:rsidR="00E604B4" w:rsidRPr="008F2543" w:rsidRDefault="00C7530F" w:rsidP="0067044A">
      <w:pPr>
        <w:pStyle w:val="ListBullet"/>
      </w:pPr>
      <w:bookmarkStart w:id="23" w:name="_Hlk175050003"/>
      <w:r w:rsidRPr="008F2543">
        <w:t>Undertaking an i</w:t>
      </w:r>
      <w:r w:rsidR="00E604B4" w:rsidRPr="008F2543">
        <w:t xml:space="preserve">nternal audit of the Department’s readiness for Net Zero </w:t>
      </w:r>
      <w:r w:rsidR="00E6298C" w:rsidRPr="008F2543">
        <w:t>r</w:t>
      </w:r>
      <w:r w:rsidR="00E604B4" w:rsidRPr="008F2543">
        <w:t>equirements</w:t>
      </w:r>
      <w:r w:rsidRPr="008F2543">
        <w:t xml:space="preserve"> to identify areas for improvement</w:t>
      </w:r>
      <w:r w:rsidR="00E604B4" w:rsidRPr="008F2543">
        <w:t>.</w:t>
      </w:r>
    </w:p>
    <w:bookmarkEnd w:id="23"/>
    <w:p w14:paraId="07CF7FCA" w14:textId="211A4BD7" w:rsidR="005D0CDF" w:rsidRPr="008F2543" w:rsidRDefault="00CF69C2" w:rsidP="0067044A">
      <w:pPr>
        <w:pStyle w:val="ListBullet"/>
      </w:pPr>
      <w:r w:rsidRPr="008F2543">
        <w:t>Implementing the National Health and Climate Strategy which sets out a whole</w:t>
      </w:r>
      <w:r w:rsidR="00C7530F" w:rsidRPr="008F2543">
        <w:t>-</w:t>
      </w:r>
      <w:r w:rsidRPr="008F2543">
        <w:t xml:space="preserve">of-government plan for addressing the health and wellbeing impacts of climate </w:t>
      </w:r>
      <w:r w:rsidR="00D321B2" w:rsidRPr="008F2543">
        <w:t xml:space="preserve">change </w:t>
      </w:r>
      <w:r w:rsidR="00D321B2" w:rsidRPr="008F2543">
        <w:lastRenderedPageBreak/>
        <w:t>and</w:t>
      </w:r>
      <w:r w:rsidRPr="008F2543">
        <w:t xml:space="preserve"> reducing greenhouse gas emissions from the Australian health system. The Strategy’s vision is ‘Healthy, climate-resilient communities, and a sustainable, resilient, high-quality, net zero health system’.</w:t>
      </w:r>
    </w:p>
    <w:p w14:paraId="27878DD1" w14:textId="27949959" w:rsidR="00121D4A" w:rsidRPr="008F2543" w:rsidRDefault="00E604B4" w:rsidP="0067044A">
      <w:pPr>
        <w:pStyle w:val="ListBullet"/>
      </w:pPr>
      <w:r w:rsidRPr="008F2543">
        <w:t>Engaging in sustainable procurement, including p</w:t>
      </w:r>
      <w:r w:rsidR="00121D4A" w:rsidRPr="008F2543">
        <w:t xml:space="preserve">rocuring renewable electricity under the Department of Finance’s </w:t>
      </w:r>
      <w:r w:rsidR="00C7530F" w:rsidRPr="008F2543">
        <w:t>whole-of-government</w:t>
      </w:r>
      <w:r w:rsidR="00121D4A" w:rsidRPr="008F2543">
        <w:t xml:space="preserve"> electricity contract</w:t>
      </w:r>
      <w:r w:rsidR="00D321B2" w:rsidRPr="008F2543">
        <w:t xml:space="preserve">, to </w:t>
      </w:r>
      <w:r w:rsidR="005D0CDF" w:rsidRPr="008F2543">
        <w:t>enable investment in renewable energy, improv</w:t>
      </w:r>
      <w:r w:rsidR="00D321B2" w:rsidRPr="008F2543">
        <w:t>e</w:t>
      </w:r>
      <w:r w:rsidR="005D0CDF" w:rsidRPr="008F2543">
        <w:t xml:space="preserve"> energy efficiency and optimis</w:t>
      </w:r>
      <w:r w:rsidR="00D321B2" w:rsidRPr="008F2543">
        <w:t>e</w:t>
      </w:r>
      <w:r w:rsidR="005D0CDF" w:rsidRPr="008F2543">
        <w:t xml:space="preserve"> supply chain</w:t>
      </w:r>
      <w:r w:rsidR="00C7530F" w:rsidRPr="008F2543">
        <w:t>s</w:t>
      </w:r>
      <w:r w:rsidR="00D321B2" w:rsidRPr="008F2543">
        <w:t>.</w:t>
      </w:r>
    </w:p>
    <w:p w14:paraId="16585B8D" w14:textId="6879127F" w:rsidR="00121D4A" w:rsidRPr="008F2543" w:rsidRDefault="00C7530F" w:rsidP="0067044A">
      <w:pPr>
        <w:pStyle w:val="ListBullet"/>
      </w:pPr>
      <w:r w:rsidRPr="008F2543">
        <w:t>E</w:t>
      </w:r>
      <w:r w:rsidR="00121D4A" w:rsidRPr="008F2543">
        <w:t>nsuring a minimum 5.5 NABERS rating for current and new lease arrangements, where</w:t>
      </w:r>
      <w:r w:rsidRPr="008F2543">
        <w:t>ver</w:t>
      </w:r>
      <w:r w:rsidR="00121D4A" w:rsidRPr="008F2543">
        <w:t xml:space="preserve"> possible.</w:t>
      </w:r>
    </w:p>
    <w:p w14:paraId="56BCF4C8" w14:textId="77777777" w:rsidR="00121D4A" w:rsidRPr="008F2543" w:rsidRDefault="00121D4A" w:rsidP="0067044A">
      <w:pPr>
        <w:pStyle w:val="ListBullet"/>
      </w:pPr>
      <w:r w:rsidRPr="008F2543">
        <w:t>Transitioning 80% of fleet vehicle leases to low emission vehicles or electric vehicles by January 2026.</w:t>
      </w:r>
    </w:p>
    <w:p w14:paraId="2A077E37" w14:textId="444EEEE7" w:rsidR="00121D4A" w:rsidRPr="008F2543" w:rsidRDefault="00121D4A" w:rsidP="0067044A">
      <w:pPr>
        <w:pStyle w:val="ListBullet"/>
      </w:pPr>
      <w:r w:rsidRPr="008F2543">
        <w:t>Engaging with building owners to establish electric vehicle charging at office spaces with allocated parking for electric vehicles by January 2026, where possible.</w:t>
      </w:r>
    </w:p>
    <w:p w14:paraId="0D53236D" w14:textId="3C028A56" w:rsidR="00D321B2" w:rsidRPr="008F2543" w:rsidRDefault="00D321B2" w:rsidP="0067044A">
      <w:pPr>
        <w:pStyle w:val="ListBullet"/>
      </w:pPr>
      <w:r w:rsidRPr="008F2543">
        <w:t xml:space="preserve">Engage employees </w:t>
      </w:r>
      <w:r w:rsidR="00F23B06" w:rsidRPr="008F2543">
        <w:t>(</w:t>
      </w:r>
      <w:proofErr w:type="spellStart"/>
      <w:r w:rsidR="00F23B06" w:rsidRPr="008F2543">
        <w:t>eg</w:t>
      </w:r>
      <w:proofErr w:type="spellEnd"/>
      <w:r w:rsidR="00F23B06" w:rsidRPr="008F2543">
        <w:t xml:space="preserve"> fleet users) </w:t>
      </w:r>
      <w:r w:rsidRPr="008F2543">
        <w:t xml:space="preserve">and </w:t>
      </w:r>
      <w:r w:rsidR="00F23B06" w:rsidRPr="008F2543">
        <w:t xml:space="preserve">shared-services </w:t>
      </w:r>
      <w:r w:rsidRPr="008F2543">
        <w:t>customers in sustainability initiatives to build a culture of environmental responsibility.</w:t>
      </w:r>
    </w:p>
    <w:p w14:paraId="1A41F454" w14:textId="38F67D13" w:rsidR="00121D4A" w:rsidRPr="00DA164D" w:rsidRDefault="00F23B06" w:rsidP="00DA164D">
      <w:pPr>
        <w:rPr>
          <w:rFonts w:eastAsia="Arial"/>
        </w:rPr>
      </w:pPr>
      <w:r w:rsidRPr="00DA164D">
        <w:rPr>
          <w:rFonts w:eastAsia="Arial"/>
        </w:rPr>
        <w:t>In addition, we will</w:t>
      </w:r>
      <w:r w:rsidR="00121D4A" w:rsidRPr="00DA164D">
        <w:rPr>
          <w:rFonts w:eastAsia="Arial"/>
        </w:rPr>
        <w:t>:</w:t>
      </w:r>
    </w:p>
    <w:p w14:paraId="7BB75095" w14:textId="711180DA" w:rsidR="00D321B2" w:rsidRPr="008F2543" w:rsidRDefault="00D321B2" w:rsidP="0067044A">
      <w:pPr>
        <w:pStyle w:val="ListBullet"/>
      </w:pPr>
      <w:r w:rsidRPr="008F2543">
        <w:t>Establish clear, science-based emission reduction targets and regularly tracking progress towards these goals.</w:t>
      </w:r>
    </w:p>
    <w:p w14:paraId="3B0A0D0A" w14:textId="65D86062" w:rsidR="005D0CDF" w:rsidRPr="008F2543" w:rsidRDefault="005D0CDF" w:rsidP="0067044A">
      <w:pPr>
        <w:pStyle w:val="ListBullet"/>
      </w:pPr>
      <w:r w:rsidRPr="008F2543">
        <w:t xml:space="preserve">Promote sustainable practices among </w:t>
      </w:r>
      <w:r w:rsidR="00F23B06" w:rsidRPr="008F2543">
        <w:t xml:space="preserve">our service providers and </w:t>
      </w:r>
      <w:r w:rsidRPr="008F2543">
        <w:t>employees, such as reducing waste, recycling, using public transportation</w:t>
      </w:r>
      <w:r w:rsidR="00D321B2" w:rsidRPr="008F2543">
        <w:t xml:space="preserve"> and c</w:t>
      </w:r>
      <w:r w:rsidRPr="008F2543">
        <w:t>onsidering climate impact when planning travel</w:t>
      </w:r>
      <w:r w:rsidR="00D321B2" w:rsidRPr="008F2543">
        <w:t>.</w:t>
      </w:r>
    </w:p>
    <w:p w14:paraId="3BC53576" w14:textId="5C395131" w:rsidR="00352B63" w:rsidRPr="008F2543" w:rsidRDefault="00C41C2A" w:rsidP="0067044A">
      <w:pPr>
        <w:pStyle w:val="ListBullet"/>
      </w:pPr>
      <w:r w:rsidRPr="008F2543">
        <w:t>W</w:t>
      </w:r>
      <w:r w:rsidR="00352B63" w:rsidRPr="008F2543">
        <w:t>ork with incumbent providers on maximising emission reduction opportunities.</w:t>
      </w:r>
    </w:p>
    <w:p w14:paraId="54F46DB6" w14:textId="68FF6E42" w:rsidR="00884A5C" w:rsidRPr="00802A07" w:rsidRDefault="00884A5C" w:rsidP="00884A5C">
      <w:pPr>
        <w:pStyle w:val="Heading3"/>
      </w:pPr>
      <w:bookmarkStart w:id="24" w:name="_Toc181779502"/>
      <w:r w:rsidRPr="00802A07">
        <w:t>Building</w:t>
      </w:r>
      <w:bookmarkEnd w:id="24"/>
    </w:p>
    <w:p w14:paraId="202EDA4D" w14:textId="1D11F518" w:rsidR="00121D4A" w:rsidRPr="00DA164D" w:rsidRDefault="00121D4A" w:rsidP="00DA164D">
      <w:pPr>
        <w:rPr>
          <w:rFonts w:eastAsia="Arial"/>
        </w:rPr>
      </w:pPr>
      <w:r w:rsidRPr="00DA164D">
        <w:rPr>
          <w:rFonts w:eastAsia="Arial"/>
        </w:rPr>
        <w:t>During 202</w:t>
      </w:r>
      <w:r w:rsidR="00C7530F" w:rsidRPr="00DA164D">
        <w:rPr>
          <w:rFonts w:eastAsia="Arial"/>
        </w:rPr>
        <w:t>4</w:t>
      </w:r>
      <w:r w:rsidRPr="00DA164D">
        <w:rPr>
          <w:rFonts w:eastAsia="Arial"/>
        </w:rPr>
        <w:t>-2</w:t>
      </w:r>
      <w:r w:rsidR="00C7530F" w:rsidRPr="00DA164D">
        <w:rPr>
          <w:rFonts w:eastAsia="Arial"/>
        </w:rPr>
        <w:t>5</w:t>
      </w:r>
      <w:r w:rsidRPr="00DA164D">
        <w:rPr>
          <w:rFonts w:eastAsia="Arial"/>
        </w:rPr>
        <w:t xml:space="preserve">, the Department </w:t>
      </w:r>
      <w:r w:rsidR="00C7530F" w:rsidRPr="00DA164D">
        <w:rPr>
          <w:rFonts w:eastAsia="Arial"/>
        </w:rPr>
        <w:t xml:space="preserve">will </w:t>
      </w:r>
      <w:r w:rsidRPr="00DA164D">
        <w:rPr>
          <w:rFonts w:eastAsia="Arial"/>
        </w:rPr>
        <w:t>continue</w:t>
      </w:r>
      <w:r w:rsidR="00C7530F" w:rsidRPr="00DA164D">
        <w:rPr>
          <w:rFonts w:eastAsia="Arial"/>
        </w:rPr>
        <w:t xml:space="preserve"> </w:t>
      </w:r>
      <w:r w:rsidRPr="00DA164D">
        <w:rPr>
          <w:rFonts w:eastAsia="Arial"/>
        </w:rPr>
        <w:t>to consolidate leased premises</w:t>
      </w:r>
      <w:r w:rsidR="00C7530F" w:rsidRPr="00DA164D">
        <w:rPr>
          <w:rFonts w:eastAsia="Arial"/>
        </w:rPr>
        <w:t xml:space="preserve">, reducing our overall </w:t>
      </w:r>
      <w:r w:rsidRPr="00DA164D">
        <w:rPr>
          <w:rFonts w:eastAsia="Arial"/>
        </w:rPr>
        <w:t>leased office-space, and preferenc</w:t>
      </w:r>
      <w:r w:rsidR="00C7530F" w:rsidRPr="00DA164D">
        <w:rPr>
          <w:rFonts w:eastAsia="Arial"/>
        </w:rPr>
        <w:t>ing all-electric buildings with 4.5-star minimum National Australian Built Environment Rating System (NABERS) ratings.</w:t>
      </w:r>
    </w:p>
    <w:p w14:paraId="4C103527" w14:textId="4A32CA72" w:rsidR="00C7530F" w:rsidRPr="00DA164D" w:rsidRDefault="00C7530F" w:rsidP="00DA164D">
      <w:pPr>
        <w:rPr>
          <w:rFonts w:eastAsia="Arial"/>
        </w:rPr>
      </w:pPr>
      <w:r w:rsidRPr="00DA164D">
        <w:rPr>
          <w:rFonts w:eastAsia="Arial"/>
        </w:rPr>
        <w:t xml:space="preserve">We will continue to implement refit our premises, under </w:t>
      </w:r>
      <w:r w:rsidR="00121D4A" w:rsidRPr="00DA164D">
        <w:rPr>
          <w:rFonts w:eastAsia="Arial"/>
        </w:rPr>
        <w:t>the New Ways of Working program</w:t>
      </w:r>
      <w:r w:rsidRPr="00DA164D">
        <w:rPr>
          <w:rFonts w:eastAsia="Arial"/>
        </w:rPr>
        <w:t>, to optimise our use of space. By reducing and optimising our office space we are:</w:t>
      </w:r>
    </w:p>
    <w:p w14:paraId="24D3ECA4" w14:textId="4B94EFBE" w:rsidR="00C7530F" w:rsidRPr="008F2543" w:rsidRDefault="00C7530F" w:rsidP="0067044A">
      <w:pPr>
        <w:pStyle w:val="ListBullet"/>
      </w:pPr>
      <w:r w:rsidRPr="008F2543">
        <w:t>decreasing atmospheric emissions, particularly through HVAC systems</w:t>
      </w:r>
    </w:p>
    <w:p w14:paraId="712A1063" w14:textId="4C7D471A" w:rsidR="00C7530F" w:rsidRPr="008F2543" w:rsidRDefault="00C7530F" w:rsidP="0067044A">
      <w:pPr>
        <w:pStyle w:val="ListBullet"/>
      </w:pPr>
      <w:r w:rsidRPr="008F2543">
        <w:t>decreasing electricity and water consumption (HVAC, Lifts, hot water services and other services, plant &amp; equipment)</w:t>
      </w:r>
    </w:p>
    <w:p w14:paraId="75C3AABC" w14:textId="6E8F00F5" w:rsidR="00C7530F" w:rsidRPr="008F2543" w:rsidRDefault="00C7530F" w:rsidP="0067044A">
      <w:pPr>
        <w:pStyle w:val="ListBullet"/>
      </w:pPr>
      <w:r w:rsidRPr="008F2543">
        <w:t>decreasing cleaning demand and waste disposal</w:t>
      </w:r>
    </w:p>
    <w:p w14:paraId="6E79E967" w14:textId="5859C36B" w:rsidR="00C7530F" w:rsidRPr="008F2543" w:rsidRDefault="00C7530F" w:rsidP="0067044A">
      <w:pPr>
        <w:pStyle w:val="ListBullet"/>
      </w:pPr>
      <w:r w:rsidRPr="008F2543">
        <w:t>avoiding the need to upgrade lighting, and</w:t>
      </w:r>
    </w:p>
    <w:p w14:paraId="55FBFF0A" w14:textId="4765C7ED" w:rsidR="00C7530F" w:rsidRPr="008F2543" w:rsidRDefault="00C7530F" w:rsidP="0067044A">
      <w:pPr>
        <w:pStyle w:val="ListBullet"/>
      </w:pPr>
      <w:r w:rsidRPr="008F2543">
        <w:t>decreasing the impact of ongoing minor capital works, R&amp;M, eventual full re-fit and associated waste.</w:t>
      </w:r>
    </w:p>
    <w:p w14:paraId="40797DAF" w14:textId="1F806E9E" w:rsidR="00121D4A" w:rsidRPr="00DA164D" w:rsidRDefault="00C7530F" w:rsidP="00DA164D">
      <w:pPr>
        <w:rPr>
          <w:rFonts w:eastAsia="Arial"/>
        </w:rPr>
      </w:pPr>
      <w:r w:rsidRPr="00DA164D">
        <w:rPr>
          <w:rFonts w:eastAsia="Arial"/>
        </w:rPr>
        <w:t>In addition, the program’s design principles include a focus on sustainability including</w:t>
      </w:r>
      <w:r w:rsidR="00121D4A" w:rsidRPr="00DA164D">
        <w:rPr>
          <w:rFonts w:eastAsia="Arial"/>
        </w:rPr>
        <w:t>:</w:t>
      </w:r>
    </w:p>
    <w:p w14:paraId="0FD787E1" w14:textId="16F50628" w:rsidR="00121D4A" w:rsidRPr="008F2543" w:rsidRDefault="00121D4A" w:rsidP="0067044A">
      <w:pPr>
        <w:pStyle w:val="ListBullet"/>
      </w:pPr>
      <w:r w:rsidRPr="008F2543">
        <w:t>using sustainable building materials, optimising natural light, and improving insulation</w:t>
      </w:r>
    </w:p>
    <w:p w14:paraId="5A848C64" w14:textId="50F9DDE9" w:rsidR="00121D4A" w:rsidRPr="008F2543" w:rsidRDefault="00121D4A" w:rsidP="0067044A">
      <w:pPr>
        <w:pStyle w:val="ListBullet"/>
      </w:pPr>
      <w:r w:rsidRPr="008F2543">
        <w:t>installing energy efficient lighting and appliances</w:t>
      </w:r>
    </w:p>
    <w:p w14:paraId="2A0AC760" w14:textId="51053291" w:rsidR="00121D4A" w:rsidRPr="008F2543" w:rsidRDefault="00121D4A" w:rsidP="0067044A">
      <w:pPr>
        <w:pStyle w:val="ListBullet"/>
      </w:pPr>
      <w:r w:rsidRPr="008F2543">
        <w:t xml:space="preserve">purchasing goods and services through suppliers who prioritise sustainability, </w:t>
      </w:r>
      <w:r w:rsidR="00C7530F" w:rsidRPr="008F2543">
        <w:t xml:space="preserve">including </w:t>
      </w:r>
      <w:r w:rsidRPr="008F2543">
        <w:t>purchasing recycled or recyclable products</w:t>
      </w:r>
    </w:p>
    <w:p w14:paraId="7A8F68B1" w14:textId="25B59664" w:rsidR="00121D4A" w:rsidRPr="008F2543" w:rsidRDefault="00121D4A" w:rsidP="0067044A">
      <w:pPr>
        <w:pStyle w:val="ListBullet"/>
      </w:pPr>
      <w:r w:rsidRPr="008F2543">
        <w:t>where possible, implementing recycling bins for better waste management and landfill diversion</w:t>
      </w:r>
      <w:r w:rsidR="00C7530F" w:rsidRPr="008F2543">
        <w:t>, and</w:t>
      </w:r>
    </w:p>
    <w:p w14:paraId="6AB03EB1" w14:textId="77777777" w:rsidR="00121D4A" w:rsidRDefault="00121D4A" w:rsidP="0067044A">
      <w:pPr>
        <w:pStyle w:val="ListBullet"/>
      </w:pPr>
      <w:r w:rsidRPr="008F2543">
        <w:lastRenderedPageBreak/>
        <w:t>embedding sustainable staff practices, such as paper-lite, minimising the waste of office supplies and a printer cartridge recycling program.</w:t>
      </w:r>
    </w:p>
    <w:p w14:paraId="265EDB5C" w14:textId="6AE59BBD" w:rsidR="00ED7205" w:rsidRPr="00ED7205" w:rsidRDefault="00ED7205" w:rsidP="00ED7205">
      <w:pPr>
        <w:pStyle w:val="Heading4"/>
      </w:pPr>
      <w:r>
        <w:t>Action</w:t>
      </w:r>
    </w:p>
    <w:p w14:paraId="0006498E" w14:textId="77777777" w:rsidR="00C7530F" w:rsidRPr="00DC5B06" w:rsidRDefault="00C7530F" w:rsidP="0067044A">
      <w:pPr>
        <w:pStyle w:val="ListBullet"/>
      </w:pPr>
      <w:r w:rsidRPr="00DC5B06">
        <w:t>Continue to consolidate the Department’s property footprint.</w:t>
      </w:r>
    </w:p>
    <w:p w14:paraId="58832FFB" w14:textId="3BD49530" w:rsidR="00C7530F" w:rsidRPr="00DC5B06" w:rsidRDefault="00C7530F" w:rsidP="0067044A">
      <w:pPr>
        <w:pStyle w:val="ListBullet"/>
      </w:pPr>
      <w:r w:rsidRPr="00DC5B06">
        <w:t>Continue to implement the New Ways of Working Program.</w:t>
      </w:r>
    </w:p>
    <w:p w14:paraId="31607156" w14:textId="4C86554C" w:rsidR="00121D4A" w:rsidRPr="00DC5B06" w:rsidRDefault="00121D4A" w:rsidP="0067044A">
      <w:pPr>
        <w:pStyle w:val="ListBullet"/>
      </w:pPr>
      <w:r w:rsidRPr="00DC5B06">
        <w:t>Future opportunities include transitioning to renewable energy sources such as installing solar panels on buildings, purchasing green power, or participating in renewable energy programs and carbon off-setting.</w:t>
      </w:r>
    </w:p>
    <w:p w14:paraId="6CB2211A" w14:textId="77F6D81A" w:rsidR="00CF58F9" w:rsidRPr="00ED7205" w:rsidRDefault="00CF58F9" w:rsidP="00CF58F9">
      <w:pPr>
        <w:pStyle w:val="Heading3"/>
      </w:pPr>
      <w:bookmarkStart w:id="25" w:name="_Toc181779503"/>
      <w:r w:rsidRPr="00CF58F9">
        <w:t>Electricity</w:t>
      </w:r>
      <w:bookmarkEnd w:id="25"/>
    </w:p>
    <w:p w14:paraId="68048C24" w14:textId="70EA6F06" w:rsidR="00121D4A" w:rsidRPr="00DA164D" w:rsidRDefault="00121D4A" w:rsidP="00DA164D">
      <w:pPr>
        <w:rPr>
          <w:rFonts w:eastAsia="Arial"/>
        </w:rPr>
      </w:pPr>
      <w:r w:rsidRPr="00DA164D">
        <w:rPr>
          <w:rFonts w:eastAsia="Arial"/>
        </w:rPr>
        <w:t>The Department’s energy contracts are managed by our Property Service Provider</w:t>
      </w:r>
      <w:r w:rsidR="00C7530F" w:rsidRPr="00DA164D">
        <w:rPr>
          <w:rFonts w:eastAsia="Arial"/>
        </w:rPr>
        <w:t>. T</w:t>
      </w:r>
      <w:r w:rsidRPr="00DA164D">
        <w:rPr>
          <w:rFonts w:eastAsia="Arial"/>
        </w:rPr>
        <w:t>he Department has committed to transitioning electricity contracts to renewable sources where available.</w:t>
      </w:r>
    </w:p>
    <w:p w14:paraId="1181366B" w14:textId="7E1596A3" w:rsidR="00121D4A" w:rsidRPr="00DA164D" w:rsidRDefault="00121D4A" w:rsidP="00DA164D">
      <w:pPr>
        <w:rPr>
          <w:rFonts w:eastAsia="Arial"/>
        </w:rPr>
      </w:pPr>
      <w:r w:rsidRPr="00DA164D">
        <w:rPr>
          <w:rFonts w:eastAsia="Arial"/>
        </w:rPr>
        <w:t xml:space="preserve">The Department of Finance are approaching the market for new </w:t>
      </w:r>
      <w:r w:rsidR="00C7530F" w:rsidRPr="00DA164D">
        <w:rPr>
          <w:rFonts w:eastAsia="Arial"/>
        </w:rPr>
        <w:t>whole-of-government</w:t>
      </w:r>
      <w:r w:rsidRPr="00DA164D">
        <w:rPr>
          <w:rFonts w:eastAsia="Arial"/>
        </w:rPr>
        <w:t xml:space="preserve"> renewable electricity arrangements</w:t>
      </w:r>
      <w:r w:rsidR="00C7530F" w:rsidRPr="00DA164D">
        <w:rPr>
          <w:rFonts w:eastAsia="Arial"/>
        </w:rPr>
        <w:t>. T</w:t>
      </w:r>
      <w:r w:rsidRPr="00DA164D">
        <w:rPr>
          <w:rFonts w:eastAsia="Arial"/>
        </w:rPr>
        <w:t xml:space="preserve">he department will migrate to these arrangements as they are rolled out, </w:t>
      </w:r>
      <w:r w:rsidR="00C7530F" w:rsidRPr="00DA164D">
        <w:rPr>
          <w:rFonts w:eastAsia="Arial"/>
        </w:rPr>
        <w:t xml:space="preserve">and </w:t>
      </w:r>
      <w:r w:rsidRPr="00DA164D">
        <w:rPr>
          <w:rFonts w:eastAsia="Arial"/>
        </w:rPr>
        <w:t>existing contracts cease.</w:t>
      </w:r>
      <w:r w:rsidR="00CE16E3" w:rsidRPr="00DA164D">
        <w:rPr>
          <w:rFonts w:eastAsia="Arial"/>
        </w:rPr>
        <w:t xml:space="preserve"> </w:t>
      </w:r>
    </w:p>
    <w:p w14:paraId="60AA0EF9" w14:textId="77777777" w:rsidR="006B5DBE" w:rsidRPr="00CF58F9" w:rsidRDefault="006B5DBE" w:rsidP="00ED7205">
      <w:pPr>
        <w:pStyle w:val="Heading4"/>
      </w:pPr>
      <w:r w:rsidRPr="00CF58F9">
        <w:t>Action</w:t>
      </w:r>
    </w:p>
    <w:p w14:paraId="25116B95" w14:textId="38330262" w:rsidR="00121D4A" w:rsidRPr="008F2543" w:rsidRDefault="00C7530F" w:rsidP="0067044A">
      <w:pPr>
        <w:pStyle w:val="ListBullet"/>
      </w:pPr>
      <w:r w:rsidRPr="008F2543">
        <w:t>P</w:t>
      </w:r>
      <w:r w:rsidR="00121D4A" w:rsidRPr="008F2543">
        <w:t>articipat</w:t>
      </w:r>
      <w:r w:rsidRPr="008F2543">
        <w:t>e</w:t>
      </w:r>
      <w:r w:rsidR="00121D4A" w:rsidRPr="008F2543">
        <w:t xml:space="preserve"> in </w:t>
      </w:r>
      <w:r w:rsidRPr="008F2543">
        <w:t>new whole-of-government</w:t>
      </w:r>
      <w:r w:rsidR="00121D4A" w:rsidRPr="008F2543">
        <w:t xml:space="preserve"> electricity </w:t>
      </w:r>
      <w:r w:rsidRPr="008F2543">
        <w:t>arrangements</w:t>
      </w:r>
      <w:r w:rsidR="00121D4A" w:rsidRPr="008F2543">
        <w:t xml:space="preserve"> </w:t>
      </w:r>
      <w:r w:rsidRPr="008F2543">
        <w:t>to</w:t>
      </w:r>
      <w:r w:rsidR="00121D4A" w:rsidRPr="008F2543">
        <w:t xml:space="preserve"> replace electricity contracts with renewable electricity. </w:t>
      </w:r>
    </w:p>
    <w:p w14:paraId="2858FC43" w14:textId="3B6FF818" w:rsidR="00121D4A" w:rsidRPr="008F2543" w:rsidRDefault="00121D4A" w:rsidP="0067044A">
      <w:pPr>
        <w:pStyle w:val="ListBullet"/>
      </w:pPr>
      <w:r w:rsidRPr="008F2543">
        <w:t xml:space="preserve">In locations where the </w:t>
      </w:r>
      <w:r w:rsidR="00C7530F" w:rsidRPr="008F2543">
        <w:t>whole-of-government</w:t>
      </w:r>
      <w:r w:rsidRPr="008F2543">
        <w:t xml:space="preserve"> arrangements will not be available, work with </w:t>
      </w:r>
      <w:r w:rsidR="00C7530F" w:rsidRPr="008F2543">
        <w:t>our Property Service Provider</w:t>
      </w:r>
      <w:r w:rsidRPr="008F2543">
        <w:t xml:space="preserve"> to transition contracts to renewable sources where possible.</w:t>
      </w:r>
    </w:p>
    <w:p w14:paraId="0BB81920" w14:textId="2E3C797A" w:rsidR="00CF58F9" w:rsidRPr="00802A07" w:rsidRDefault="00CF58F9" w:rsidP="00CF58F9">
      <w:pPr>
        <w:pStyle w:val="Heading3"/>
      </w:pPr>
      <w:bookmarkStart w:id="26" w:name="_Toc181779504"/>
      <w:r w:rsidRPr="00802A07">
        <w:t>Fleet</w:t>
      </w:r>
      <w:bookmarkEnd w:id="26"/>
    </w:p>
    <w:p w14:paraId="22FA5F61" w14:textId="6CFEF2DE" w:rsidR="00121D4A" w:rsidRPr="00DA164D" w:rsidRDefault="00121D4A" w:rsidP="00DA164D">
      <w:pPr>
        <w:rPr>
          <w:rFonts w:eastAsia="Arial"/>
        </w:rPr>
      </w:pPr>
      <w:r w:rsidRPr="00DA164D">
        <w:rPr>
          <w:rFonts w:eastAsia="Arial"/>
        </w:rPr>
        <w:t xml:space="preserve">The Department has committed to replacing its vehicle fleet with </w:t>
      </w:r>
      <w:r w:rsidR="00C7530F" w:rsidRPr="00DA164D">
        <w:rPr>
          <w:rFonts w:eastAsia="Arial"/>
        </w:rPr>
        <w:t>l</w:t>
      </w:r>
      <w:r w:rsidRPr="00DA164D">
        <w:rPr>
          <w:rFonts w:eastAsia="Arial"/>
        </w:rPr>
        <w:t xml:space="preserve">ow </w:t>
      </w:r>
      <w:r w:rsidR="00C7530F" w:rsidRPr="00DA164D">
        <w:rPr>
          <w:rFonts w:eastAsia="Arial"/>
        </w:rPr>
        <w:t>e</w:t>
      </w:r>
      <w:r w:rsidRPr="00DA164D">
        <w:rPr>
          <w:rFonts w:eastAsia="Arial"/>
        </w:rPr>
        <w:t xml:space="preserve">mission </w:t>
      </w:r>
      <w:r w:rsidR="00C7530F" w:rsidRPr="00DA164D">
        <w:rPr>
          <w:rFonts w:eastAsia="Arial"/>
        </w:rPr>
        <w:t>v</w:t>
      </w:r>
      <w:r w:rsidRPr="00DA164D">
        <w:rPr>
          <w:rFonts w:eastAsia="Arial"/>
        </w:rPr>
        <w:t xml:space="preserve">ehicles </w:t>
      </w:r>
      <w:r w:rsidR="00DF707D" w:rsidRPr="00DA164D">
        <w:rPr>
          <w:rFonts w:eastAsia="Arial"/>
        </w:rPr>
        <w:t xml:space="preserve">or </w:t>
      </w:r>
      <w:r w:rsidR="00C7530F" w:rsidRPr="00DA164D">
        <w:rPr>
          <w:rFonts w:eastAsia="Arial"/>
        </w:rPr>
        <w:t>e</w:t>
      </w:r>
      <w:r w:rsidR="00DF707D" w:rsidRPr="00DA164D">
        <w:rPr>
          <w:rFonts w:eastAsia="Arial"/>
        </w:rPr>
        <w:t xml:space="preserve">lectric </w:t>
      </w:r>
      <w:r w:rsidR="00C7530F" w:rsidRPr="00DA164D">
        <w:rPr>
          <w:rFonts w:eastAsia="Arial"/>
        </w:rPr>
        <w:t>v</w:t>
      </w:r>
      <w:r w:rsidR="00DF707D" w:rsidRPr="00DA164D">
        <w:rPr>
          <w:rFonts w:eastAsia="Arial"/>
        </w:rPr>
        <w:t xml:space="preserve">ehicles </w:t>
      </w:r>
      <w:r w:rsidRPr="00DA164D">
        <w:rPr>
          <w:rFonts w:eastAsia="Arial"/>
        </w:rPr>
        <w:t>as existing leases end</w:t>
      </w:r>
      <w:r w:rsidR="00C7530F" w:rsidRPr="00DA164D">
        <w:rPr>
          <w:rFonts w:eastAsia="Arial"/>
        </w:rPr>
        <w:t>,</w:t>
      </w:r>
      <w:r w:rsidRPr="00DA164D">
        <w:rPr>
          <w:rFonts w:eastAsia="Arial"/>
        </w:rPr>
        <w:t xml:space="preserve"> in line with the Commonwealth Fleet Vehicle Selection Policy.</w:t>
      </w:r>
    </w:p>
    <w:p w14:paraId="6B074DD3" w14:textId="77777777" w:rsidR="00C7530F" w:rsidRPr="00DA164D" w:rsidRDefault="00C7530F" w:rsidP="00DA164D">
      <w:pPr>
        <w:rPr>
          <w:rFonts w:eastAsia="Arial"/>
        </w:rPr>
      </w:pPr>
      <w:r w:rsidRPr="00DA164D">
        <w:rPr>
          <w:rFonts w:eastAsia="Arial"/>
        </w:rPr>
        <w:t xml:space="preserve">Currently the Department has 20 leased fleet vehicles with five additional vehicles expected to arrive by the end of 2024 taking the fleet to 25 vehicles. All are passenger cars subject to low emission vehicle targets. </w:t>
      </w:r>
    </w:p>
    <w:p w14:paraId="3AC61AD5" w14:textId="38BB1473" w:rsidR="00C7530F" w:rsidRPr="00DA164D" w:rsidRDefault="00C7530F" w:rsidP="00DA164D">
      <w:pPr>
        <w:rPr>
          <w:rFonts w:eastAsia="Arial"/>
        </w:rPr>
      </w:pPr>
      <w:r w:rsidRPr="00DA164D">
        <w:rPr>
          <w:rFonts w:eastAsia="Arial"/>
        </w:rPr>
        <w:t>A review of fleet vehicle utilisation has been undertaken to determine vehicles suitable for replacement with low emission and electric vehicles, including battery electric vehicles.  The initial focus will be on vehicles used primarily in metropolitan areas with ready access to charging infrastructure, and plug-in hybrid electric vehicles where usage involves long-distance travel and extends to regional areas where access to charging infrastructure may be limited.</w:t>
      </w:r>
    </w:p>
    <w:p w14:paraId="0265C285" w14:textId="3C65DADA" w:rsidR="00CF58F9" w:rsidRPr="00CF58F9" w:rsidRDefault="00CF58F9" w:rsidP="00CF58F9">
      <w:pPr>
        <w:pStyle w:val="Heading4"/>
      </w:pPr>
      <w:r w:rsidRPr="00CF58F9">
        <w:t>Action</w:t>
      </w:r>
    </w:p>
    <w:p w14:paraId="23442C80" w14:textId="573FD31D" w:rsidR="008F2543" w:rsidRPr="008F2543" w:rsidRDefault="008F2543" w:rsidP="0067044A">
      <w:pPr>
        <w:pStyle w:val="ListBullet"/>
      </w:pPr>
      <w:r w:rsidRPr="008F2543">
        <w:t>Progressively transition the Department’s vehicle fleet to low emission or electric vehicles:</w:t>
      </w:r>
    </w:p>
    <w:p w14:paraId="0B46FB87" w14:textId="77777777" w:rsidR="00C7530F" w:rsidRPr="008F2543" w:rsidRDefault="00C7530F" w:rsidP="008F2543">
      <w:pPr>
        <w:pStyle w:val="ListBullet2"/>
      </w:pPr>
      <w:r w:rsidRPr="008F2543">
        <w:t xml:space="preserve">25% </w:t>
      </w:r>
      <w:r w:rsidR="00121D4A" w:rsidRPr="008F2543">
        <w:t xml:space="preserve">by </w:t>
      </w:r>
      <w:r w:rsidR="001A558C" w:rsidRPr="008F2543">
        <w:t>January 2025</w:t>
      </w:r>
      <w:r w:rsidRPr="008F2543">
        <w:t xml:space="preserve"> (</w:t>
      </w:r>
      <w:r w:rsidR="00121D4A" w:rsidRPr="008F2543">
        <w:t>pending delivery of vehicles currently on order</w:t>
      </w:r>
      <w:r w:rsidRPr="008F2543">
        <w:t>)</w:t>
      </w:r>
    </w:p>
    <w:p w14:paraId="2EDEA8EB" w14:textId="77777777" w:rsidR="00C7530F" w:rsidRPr="008F2543" w:rsidRDefault="00C7530F" w:rsidP="008F2543">
      <w:pPr>
        <w:pStyle w:val="ListBullet2"/>
      </w:pPr>
      <w:r w:rsidRPr="008F2543">
        <w:lastRenderedPageBreak/>
        <w:t>80% by January 2026, and</w:t>
      </w:r>
    </w:p>
    <w:p w14:paraId="175B5CB8" w14:textId="4538CB5E" w:rsidR="00C7530F" w:rsidRDefault="00C7530F" w:rsidP="008F2543">
      <w:pPr>
        <w:pStyle w:val="ListBullet2"/>
      </w:pPr>
      <w:r w:rsidRPr="008F2543">
        <w:t>100% by 2030.</w:t>
      </w:r>
    </w:p>
    <w:p w14:paraId="57889B11" w14:textId="6046B07B" w:rsidR="008F2543" w:rsidRPr="008F2543" w:rsidRDefault="008F2543" w:rsidP="0067044A">
      <w:pPr>
        <w:pStyle w:val="ListBullet"/>
      </w:pPr>
      <w:r w:rsidRPr="008F2543">
        <w:t>Develop a Fleet Strategy, including an EV charging plan, to support these forward targets.</w:t>
      </w:r>
    </w:p>
    <w:p w14:paraId="5CBB849B" w14:textId="0E6CC4A0" w:rsidR="00884A5C" w:rsidRPr="00802A07" w:rsidRDefault="00884A5C" w:rsidP="00884A5C">
      <w:pPr>
        <w:pStyle w:val="Heading2"/>
      </w:pPr>
      <w:bookmarkStart w:id="27" w:name="_Toc181779505"/>
      <w:r w:rsidRPr="00802A07">
        <w:t>Involved participants</w:t>
      </w:r>
      <w:bookmarkEnd w:id="27"/>
    </w:p>
    <w:p w14:paraId="62BEC467" w14:textId="01A2F01D" w:rsidR="00121D4A" w:rsidRPr="0067044A" w:rsidRDefault="00AF3A35" w:rsidP="00AF3A35">
      <w:pPr>
        <w:pStyle w:val="Caption"/>
      </w:pPr>
      <w:r>
        <w:t xml:space="preserve">Table </w:t>
      </w:r>
      <w:r>
        <w:fldChar w:fldCharType="begin"/>
      </w:r>
      <w:r>
        <w:instrText xml:space="preserve"> SEQ Table \* ARABIC </w:instrText>
      </w:r>
      <w:r>
        <w:fldChar w:fldCharType="separate"/>
      </w:r>
      <w:r>
        <w:rPr>
          <w:noProof/>
        </w:rPr>
        <w:t>2</w:t>
      </w:r>
      <w:r>
        <w:fldChar w:fldCharType="end"/>
      </w:r>
      <w:r w:rsidR="00985ACA" w:rsidRPr="0067044A">
        <w:t>:</w:t>
      </w:r>
      <w:r w:rsidR="00121D4A" w:rsidRPr="0067044A">
        <w:t xml:space="preserve"> </w:t>
      </w:r>
      <w:r w:rsidR="00985ACA" w:rsidRPr="0067044A">
        <w:t>A</w:t>
      </w:r>
      <w:r w:rsidR="00121D4A" w:rsidRPr="0067044A">
        <w:t xml:space="preserve">reas of </w:t>
      </w:r>
      <w:r w:rsidR="00DF707D" w:rsidRPr="0067044A">
        <w:t>t</w:t>
      </w:r>
      <w:r w:rsidR="00121D4A" w:rsidRPr="0067044A">
        <w:t>he Department involved in the development of this plan</w:t>
      </w:r>
    </w:p>
    <w:tbl>
      <w:tblPr>
        <w:tblStyle w:val="DepartmentofHealthtable"/>
        <w:tblW w:w="0" w:type="auto"/>
        <w:tblLook w:val="04A0" w:firstRow="1" w:lastRow="0" w:firstColumn="1" w:lastColumn="0" w:noHBand="0" w:noVBand="1"/>
      </w:tblPr>
      <w:tblGrid>
        <w:gridCol w:w="4390"/>
        <w:gridCol w:w="4670"/>
      </w:tblGrid>
      <w:tr w:rsidR="00484E55" w:rsidRPr="00484E55" w14:paraId="1D3A59D4" w14:textId="77777777" w:rsidTr="00EB19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14:paraId="4B818C3E" w14:textId="77777777" w:rsidR="00121D4A" w:rsidRPr="008F2543" w:rsidRDefault="00121D4A" w:rsidP="00EB19C0">
            <w:pPr>
              <w:pStyle w:val="TableHeaderWhite"/>
            </w:pPr>
            <w:r w:rsidRPr="008F2543">
              <w:t>Division</w:t>
            </w:r>
          </w:p>
        </w:tc>
        <w:tc>
          <w:tcPr>
            <w:tcW w:w="4670" w:type="dxa"/>
          </w:tcPr>
          <w:p w14:paraId="43EE04C9" w14:textId="77777777" w:rsidR="00121D4A" w:rsidRPr="008F2543" w:rsidRDefault="00121D4A" w:rsidP="00EB19C0">
            <w:pPr>
              <w:pStyle w:val="TableHeaderWhite"/>
              <w:cnfStyle w:val="100000000000" w:firstRow="1" w:lastRow="0" w:firstColumn="0" w:lastColumn="0" w:oddVBand="0" w:evenVBand="0" w:oddHBand="0" w:evenHBand="0" w:firstRowFirstColumn="0" w:firstRowLastColumn="0" w:lastRowFirstColumn="0" w:lastRowLastColumn="0"/>
            </w:pPr>
            <w:r w:rsidRPr="008F2543">
              <w:t>Branch</w:t>
            </w:r>
          </w:p>
        </w:tc>
      </w:tr>
      <w:tr w:rsidR="00484E55" w:rsidRPr="00121D4A" w14:paraId="50F9A865" w14:textId="77777777" w:rsidTr="00EB1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294E671" w14:textId="77777777" w:rsidR="00121D4A" w:rsidRPr="00884A5C" w:rsidRDefault="00121D4A" w:rsidP="00884A5C">
            <w:r w:rsidRPr="00884A5C">
              <w:t>People, Communication and Parliamentary</w:t>
            </w:r>
          </w:p>
        </w:tc>
        <w:tc>
          <w:tcPr>
            <w:tcW w:w="4670" w:type="dxa"/>
          </w:tcPr>
          <w:p w14:paraId="05596162" w14:textId="77777777" w:rsidR="00121D4A" w:rsidRPr="00884A5C" w:rsidRDefault="00121D4A" w:rsidP="00884A5C">
            <w:pPr>
              <w:cnfStyle w:val="000000100000" w:firstRow="0" w:lastRow="0" w:firstColumn="0" w:lastColumn="0" w:oddVBand="0" w:evenVBand="0" w:oddHBand="1" w:evenHBand="0" w:firstRowFirstColumn="0" w:firstRowLastColumn="0" w:lastRowFirstColumn="0" w:lastRowLastColumn="0"/>
            </w:pPr>
            <w:r w:rsidRPr="00884A5C">
              <w:t>Workplace and Change</w:t>
            </w:r>
          </w:p>
        </w:tc>
      </w:tr>
      <w:tr w:rsidR="00121D4A" w:rsidRPr="00121D4A" w14:paraId="3EAFC280" w14:textId="77777777" w:rsidTr="00EB19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4BE0296" w14:textId="77777777" w:rsidR="00121D4A" w:rsidRPr="00884A5C" w:rsidRDefault="00121D4A" w:rsidP="00884A5C">
            <w:r w:rsidRPr="00884A5C">
              <w:t>Integrity and Assurance</w:t>
            </w:r>
          </w:p>
        </w:tc>
        <w:tc>
          <w:tcPr>
            <w:tcW w:w="4670" w:type="dxa"/>
          </w:tcPr>
          <w:p w14:paraId="5875EA70" w14:textId="43C4012D" w:rsidR="00121D4A" w:rsidRPr="00884A5C" w:rsidRDefault="00121D4A" w:rsidP="00884A5C">
            <w:pPr>
              <w:cnfStyle w:val="000000010000" w:firstRow="0" w:lastRow="0" w:firstColumn="0" w:lastColumn="0" w:oddVBand="0" w:evenVBand="0" w:oddHBand="0" w:evenHBand="1" w:firstRowFirstColumn="0" w:firstRowLastColumn="0" w:lastRowFirstColumn="0" w:lastRowLastColumn="0"/>
            </w:pPr>
            <w:r w:rsidRPr="00884A5C">
              <w:t xml:space="preserve">Assurance </w:t>
            </w:r>
          </w:p>
        </w:tc>
      </w:tr>
      <w:tr w:rsidR="00484E55" w:rsidRPr="00121D4A" w14:paraId="5EA73B6B" w14:textId="77777777" w:rsidTr="00EB1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7C56CFB" w14:textId="77777777" w:rsidR="00121D4A" w:rsidRPr="00884A5C" w:rsidRDefault="00121D4A" w:rsidP="00884A5C">
            <w:r w:rsidRPr="00884A5C">
              <w:t>Financial Management</w:t>
            </w:r>
          </w:p>
        </w:tc>
        <w:tc>
          <w:tcPr>
            <w:tcW w:w="4670" w:type="dxa"/>
          </w:tcPr>
          <w:p w14:paraId="6BF2DA22" w14:textId="516DF8C8" w:rsidR="00121D4A" w:rsidRPr="00884A5C" w:rsidRDefault="00121D4A" w:rsidP="00884A5C">
            <w:pPr>
              <w:cnfStyle w:val="000000100000" w:firstRow="0" w:lastRow="0" w:firstColumn="0" w:lastColumn="0" w:oddVBand="0" w:evenVBand="0" w:oddHBand="1" w:evenHBand="0" w:firstRowFirstColumn="0" w:firstRowLastColumn="0" w:lastRowFirstColumn="0" w:lastRowLastColumn="0"/>
            </w:pPr>
            <w:r w:rsidRPr="00884A5C">
              <w:t xml:space="preserve">Strategic Procurement </w:t>
            </w:r>
          </w:p>
        </w:tc>
      </w:tr>
      <w:tr w:rsidR="008D0803" w:rsidRPr="00121D4A" w14:paraId="080348B2" w14:textId="77777777" w:rsidTr="00EB19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882FC8D" w14:textId="435B676D" w:rsidR="008D0803" w:rsidRPr="00884A5C" w:rsidRDefault="008D0803" w:rsidP="00884A5C">
            <w:r w:rsidRPr="00884A5C">
              <w:t xml:space="preserve">Information Technology </w:t>
            </w:r>
          </w:p>
        </w:tc>
        <w:tc>
          <w:tcPr>
            <w:tcW w:w="4670" w:type="dxa"/>
          </w:tcPr>
          <w:p w14:paraId="441F8377" w14:textId="7662B4EE" w:rsidR="008D0803" w:rsidRPr="00884A5C" w:rsidRDefault="008D0803" w:rsidP="00884A5C">
            <w:pPr>
              <w:cnfStyle w:val="000000010000" w:firstRow="0" w:lastRow="0" w:firstColumn="0" w:lastColumn="0" w:oddVBand="0" w:evenVBand="0" w:oddHBand="0" w:evenHBand="1" w:firstRowFirstColumn="0" w:firstRowLastColumn="0" w:lastRowFirstColumn="0" w:lastRowLastColumn="0"/>
            </w:pPr>
            <w:r w:rsidRPr="00884A5C">
              <w:t>Service Operations and Infrastructure</w:t>
            </w:r>
          </w:p>
        </w:tc>
      </w:tr>
      <w:tr w:rsidR="00121D4A" w:rsidRPr="00121D4A" w14:paraId="50C9C14E" w14:textId="77777777" w:rsidTr="00EB1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09F5575" w14:textId="2DC1C443" w:rsidR="00121D4A" w:rsidRPr="00884A5C" w:rsidRDefault="00121D4A" w:rsidP="00884A5C">
            <w:r w:rsidRPr="00884A5C">
              <w:t xml:space="preserve">Office of Health Protection Policy </w:t>
            </w:r>
            <w:r w:rsidR="00C7530F" w:rsidRPr="00884A5C">
              <w:t>and</w:t>
            </w:r>
            <w:r w:rsidRPr="00884A5C">
              <w:t xml:space="preserve"> Surveillance</w:t>
            </w:r>
          </w:p>
        </w:tc>
        <w:tc>
          <w:tcPr>
            <w:tcW w:w="4670" w:type="dxa"/>
          </w:tcPr>
          <w:p w14:paraId="0B9E3E54" w14:textId="77777777" w:rsidR="00121D4A" w:rsidRPr="00884A5C" w:rsidRDefault="00121D4A" w:rsidP="00884A5C">
            <w:pPr>
              <w:cnfStyle w:val="000000100000" w:firstRow="0" w:lastRow="0" w:firstColumn="0" w:lastColumn="0" w:oddVBand="0" w:evenVBand="0" w:oddHBand="1" w:evenHBand="0" w:firstRowFirstColumn="0" w:firstRowLastColumn="0" w:lastRowFirstColumn="0" w:lastRowLastColumn="0"/>
            </w:pPr>
            <w:r w:rsidRPr="00884A5C">
              <w:t>Interim Australian Centre for Disease Control</w:t>
            </w:r>
          </w:p>
        </w:tc>
      </w:tr>
      <w:tr w:rsidR="00BF52D7" w:rsidRPr="00121D4A" w14:paraId="587F88FF" w14:textId="77777777" w:rsidTr="00EB19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383B48" w14:textId="5ECCC23A" w:rsidR="00BF52D7" w:rsidRPr="00884A5C" w:rsidRDefault="00BF52D7" w:rsidP="00884A5C">
            <w:r w:rsidRPr="00884A5C">
              <w:t>National Mental Health Commission</w:t>
            </w:r>
          </w:p>
        </w:tc>
        <w:tc>
          <w:tcPr>
            <w:tcW w:w="4670" w:type="dxa"/>
          </w:tcPr>
          <w:p w14:paraId="0E471865" w14:textId="02EDFDE8" w:rsidR="00BF52D7" w:rsidRPr="00884A5C" w:rsidRDefault="00CC511A" w:rsidP="00884A5C">
            <w:pPr>
              <w:cnfStyle w:val="000000010000" w:firstRow="0" w:lastRow="0" w:firstColumn="0" w:lastColumn="0" w:oddVBand="0" w:evenVBand="0" w:oddHBand="0" w:evenHBand="1" w:firstRowFirstColumn="0" w:firstRowLastColumn="0" w:lastRowFirstColumn="0" w:lastRowLastColumn="0"/>
            </w:pPr>
            <w:r w:rsidRPr="00884A5C">
              <w:t xml:space="preserve">Corporate </w:t>
            </w:r>
          </w:p>
        </w:tc>
      </w:tr>
    </w:tbl>
    <w:p w14:paraId="60542CBD" w14:textId="77777777" w:rsidR="00B741CE" w:rsidRPr="00DA164D" w:rsidRDefault="00B741CE" w:rsidP="00DA164D">
      <w:pPr>
        <w:rPr>
          <w:rFonts w:eastAsia="Arial"/>
        </w:rPr>
      </w:pPr>
    </w:p>
    <w:p w14:paraId="400424A8" w14:textId="77777777" w:rsidR="006B5DBE" w:rsidRPr="00DA164D" w:rsidRDefault="006B5DBE" w:rsidP="00DA164D">
      <w:pPr>
        <w:rPr>
          <w:rFonts w:eastAsia="Arial"/>
        </w:rPr>
        <w:sectPr w:rsidR="006B5DBE" w:rsidRPr="00DA164D" w:rsidSect="00A74345">
          <w:pgSz w:w="11906" w:h="16838"/>
          <w:pgMar w:top="1701" w:right="1418" w:bottom="1418" w:left="1418" w:header="709" w:footer="709" w:gutter="0"/>
          <w:cols w:space="708"/>
          <w:docGrid w:linePitch="360"/>
        </w:sectPr>
      </w:pPr>
    </w:p>
    <w:tbl>
      <w:tblPr>
        <w:tblStyle w:val="TableGrid"/>
        <w:tblW w:w="5396" w:type="pct"/>
        <w:tblLook w:val="04A0" w:firstRow="1" w:lastRow="0" w:firstColumn="1" w:lastColumn="0" w:noHBand="0" w:noVBand="1"/>
      </w:tblPr>
      <w:tblGrid>
        <w:gridCol w:w="1805"/>
        <w:gridCol w:w="7973"/>
      </w:tblGrid>
      <w:tr w:rsidR="00121D4A" w:rsidRPr="00121D4A" w14:paraId="4B48D17E" w14:textId="77777777" w:rsidTr="00EB19C0">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23" w:type="pct"/>
          </w:tcPr>
          <w:p w14:paraId="648953D1" w14:textId="77777777" w:rsidR="00121D4A" w:rsidRPr="00DC5B06" w:rsidRDefault="00121D4A" w:rsidP="00DC5B06">
            <w:r w:rsidRPr="00DC5B06">
              <w:lastRenderedPageBreak/>
              <w:t>Title</w:t>
            </w:r>
          </w:p>
        </w:tc>
        <w:tc>
          <w:tcPr>
            <w:tcW w:w="4077" w:type="pct"/>
          </w:tcPr>
          <w:p w14:paraId="03616ABF" w14:textId="77777777" w:rsidR="00121D4A" w:rsidRPr="00DC5B06" w:rsidRDefault="00121D4A" w:rsidP="00DC5B06">
            <w:pPr>
              <w:cnfStyle w:val="100000000000" w:firstRow="1" w:lastRow="0" w:firstColumn="0" w:lastColumn="0" w:oddVBand="0" w:evenVBand="0" w:oddHBand="0" w:evenHBand="0" w:firstRowFirstColumn="0" w:firstRowLastColumn="0" w:lastRowFirstColumn="0" w:lastRowLastColumn="0"/>
            </w:pPr>
            <w:r w:rsidRPr="00DC5B06">
              <w:t>Emission Reduction Plan (ERP)</w:t>
            </w:r>
          </w:p>
        </w:tc>
      </w:tr>
      <w:tr w:rsidR="00121D4A" w:rsidRPr="00121D4A" w14:paraId="6EA2F2CA" w14:textId="77777777" w:rsidTr="00EB19C0">
        <w:trPr>
          <w:trHeight w:val="490"/>
        </w:trPr>
        <w:tc>
          <w:tcPr>
            <w:cnfStyle w:val="001000000000" w:firstRow="0" w:lastRow="0" w:firstColumn="1" w:lastColumn="0" w:oddVBand="0" w:evenVBand="0" w:oddHBand="0" w:evenHBand="0" w:firstRowFirstColumn="0" w:firstRowLastColumn="0" w:lastRowFirstColumn="0" w:lastRowLastColumn="0"/>
            <w:tcW w:w="923" w:type="pct"/>
          </w:tcPr>
          <w:p w14:paraId="439999C7" w14:textId="77777777" w:rsidR="00121D4A" w:rsidRPr="00DC5B06" w:rsidRDefault="00121D4A" w:rsidP="00DC5B06">
            <w:r w:rsidRPr="00DC5B06">
              <w:t>Created By</w:t>
            </w:r>
          </w:p>
        </w:tc>
        <w:tc>
          <w:tcPr>
            <w:tcW w:w="4077" w:type="pct"/>
          </w:tcPr>
          <w:p w14:paraId="76AD3A4F" w14:textId="77777777" w:rsidR="00121D4A" w:rsidRPr="00DC5B06" w:rsidRDefault="00121D4A" w:rsidP="00DC5B06">
            <w:pPr>
              <w:cnfStyle w:val="000000000000" w:firstRow="0" w:lastRow="0" w:firstColumn="0" w:lastColumn="0" w:oddVBand="0" w:evenVBand="0" w:oddHBand="0" w:evenHBand="0" w:firstRowFirstColumn="0" w:firstRowLastColumn="0" w:lastRowFirstColumn="0" w:lastRowLastColumn="0"/>
            </w:pPr>
            <w:r w:rsidRPr="00DC5B06">
              <w:t xml:space="preserve">Michelle </w:t>
            </w:r>
            <w:proofErr w:type="spellStart"/>
            <w:r w:rsidRPr="00DC5B06">
              <w:t>Paschkow</w:t>
            </w:r>
            <w:proofErr w:type="spellEnd"/>
            <w:r w:rsidRPr="00DC5B06">
              <w:t>, Workplace &amp; Change Branch, PCPD</w:t>
            </w:r>
          </w:p>
        </w:tc>
      </w:tr>
      <w:tr w:rsidR="00121D4A" w:rsidRPr="00121D4A" w14:paraId="3157E4B7" w14:textId="77777777" w:rsidTr="00EB19C0">
        <w:trPr>
          <w:trHeight w:val="505"/>
        </w:trPr>
        <w:tc>
          <w:tcPr>
            <w:cnfStyle w:val="001000000000" w:firstRow="0" w:lastRow="0" w:firstColumn="1" w:lastColumn="0" w:oddVBand="0" w:evenVBand="0" w:oddHBand="0" w:evenHBand="0" w:firstRowFirstColumn="0" w:firstRowLastColumn="0" w:lastRowFirstColumn="0" w:lastRowLastColumn="0"/>
            <w:tcW w:w="923" w:type="pct"/>
          </w:tcPr>
          <w:p w14:paraId="7C492697" w14:textId="77777777" w:rsidR="00121D4A" w:rsidRPr="00DC5B06" w:rsidRDefault="00121D4A" w:rsidP="00DC5B06">
            <w:r w:rsidRPr="00DC5B06">
              <w:t>Date Created</w:t>
            </w:r>
          </w:p>
        </w:tc>
        <w:tc>
          <w:tcPr>
            <w:tcW w:w="4077" w:type="pct"/>
          </w:tcPr>
          <w:p w14:paraId="1D5A6EC3" w14:textId="77777777" w:rsidR="00121D4A" w:rsidRPr="00DC5B06" w:rsidRDefault="00121D4A" w:rsidP="00DC5B06">
            <w:pPr>
              <w:cnfStyle w:val="000000000000" w:firstRow="0" w:lastRow="0" w:firstColumn="0" w:lastColumn="0" w:oddVBand="0" w:evenVBand="0" w:oddHBand="0" w:evenHBand="0" w:firstRowFirstColumn="0" w:firstRowLastColumn="0" w:lastRowFirstColumn="0" w:lastRowLastColumn="0"/>
            </w:pPr>
            <w:r w:rsidRPr="00DC5B06">
              <w:t>25 July 2024</w:t>
            </w:r>
          </w:p>
        </w:tc>
      </w:tr>
      <w:tr w:rsidR="00121D4A" w:rsidRPr="00121D4A" w14:paraId="3400F5AC" w14:textId="77777777" w:rsidTr="00EB19C0">
        <w:trPr>
          <w:trHeight w:val="598"/>
        </w:trPr>
        <w:tc>
          <w:tcPr>
            <w:cnfStyle w:val="001000000000" w:firstRow="0" w:lastRow="0" w:firstColumn="1" w:lastColumn="0" w:oddVBand="0" w:evenVBand="0" w:oddHBand="0" w:evenHBand="0" w:firstRowFirstColumn="0" w:firstRowLastColumn="0" w:lastRowFirstColumn="0" w:lastRowLastColumn="0"/>
            <w:tcW w:w="923" w:type="pct"/>
          </w:tcPr>
          <w:p w14:paraId="13EE0AF6" w14:textId="77777777" w:rsidR="00121D4A" w:rsidRPr="00DC5B06" w:rsidRDefault="00121D4A" w:rsidP="00DC5B06">
            <w:r w:rsidRPr="00DC5B06">
              <w:t>Maintained By</w:t>
            </w:r>
          </w:p>
        </w:tc>
        <w:tc>
          <w:tcPr>
            <w:tcW w:w="4077" w:type="pct"/>
          </w:tcPr>
          <w:p w14:paraId="2E2747F9" w14:textId="77777777" w:rsidR="00121D4A" w:rsidRPr="00DC5B06" w:rsidRDefault="00121D4A" w:rsidP="00DC5B06">
            <w:pPr>
              <w:cnfStyle w:val="000000000000" w:firstRow="0" w:lastRow="0" w:firstColumn="0" w:lastColumn="0" w:oddVBand="0" w:evenVBand="0" w:oddHBand="0" w:evenHBand="0" w:firstRowFirstColumn="0" w:firstRowLastColumn="0" w:lastRowFirstColumn="0" w:lastRowLastColumn="0"/>
            </w:pPr>
            <w:r w:rsidRPr="00DC5B06">
              <w:t xml:space="preserve">Michelle </w:t>
            </w:r>
            <w:proofErr w:type="spellStart"/>
            <w:r w:rsidRPr="00DC5B06">
              <w:t>Paschkow</w:t>
            </w:r>
            <w:proofErr w:type="spellEnd"/>
            <w:r w:rsidRPr="00DC5B06">
              <w:t>, Workplace &amp; Change Branch, PCPD</w:t>
            </w:r>
          </w:p>
        </w:tc>
      </w:tr>
    </w:tbl>
    <w:p w14:paraId="0A410E4F" w14:textId="77777777" w:rsidR="00DC5B06" w:rsidRDefault="00DC5B06"/>
    <w:tbl>
      <w:tblPr>
        <w:tblStyle w:val="TableGrid"/>
        <w:tblW w:w="5396" w:type="pct"/>
        <w:tblLook w:val="04A0" w:firstRow="1" w:lastRow="0" w:firstColumn="1" w:lastColumn="0" w:noHBand="0" w:noVBand="1"/>
      </w:tblPr>
      <w:tblGrid>
        <w:gridCol w:w="1805"/>
        <w:gridCol w:w="1408"/>
        <w:gridCol w:w="4003"/>
        <w:gridCol w:w="1598"/>
        <w:gridCol w:w="964"/>
      </w:tblGrid>
      <w:tr w:rsidR="00121D4A" w:rsidRPr="00121D4A" w14:paraId="6F1C7D70" w14:textId="77777777" w:rsidTr="00DC5B06">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3" w:type="pct"/>
          </w:tcPr>
          <w:p w14:paraId="23DD95A3" w14:textId="11712050" w:rsidR="00121D4A" w:rsidRPr="00DC5B06" w:rsidRDefault="00121D4A" w:rsidP="00DC5B06">
            <w:r w:rsidRPr="00DC5B06">
              <w:t>Version Number</w:t>
            </w:r>
          </w:p>
        </w:tc>
        <w:tc>
          <w:tcPr>
            <w:tcW w:w="720" w:type="pct"/>
          </w:tcPr>
          <w:p w14:paraId="06C25301" w14:textId="77777777" w:rsidR="00121D4A" w:rsidRPr="00DC5B06" w:rsidRDefault="00121D4A" w:rsidP="00DC5B06">
            <w:pPr>
              <w:cnfStyle w:val="100000000000" w:firstRow="1" w:lastRow="0" w:firstColumn="0" w:lastColumn="0" w:oddVBand="0" w:evenVBand="0" w:oddHBand="0" w:evenHBand="0" w:firstRowFirstColumn="0" w:firstRowLastColumn="0" w:lastRowFirstColumn="0" w:lastRowLastColumn="0"/>
            </w:pPr>
            <w:r w:rsidRPr="00DC5B06">
              <w:t>Modified By</w:t>
            </w:r>
          </w:p>
        </w:tc>
        <w:tc>
          <w:tcPr>
            <w:tcW w:w="2047" w:type="pct"/>
          </w:tcPr>
          <w:p w14:paraId="67F6F719" w14:textId="77777777" w:rsidR="00121D4A" w:rsidRPr="00DC5B06" w:rsidRDefault="00121D4A" w:rsidP="00DC5B06">
            <w:pPr>
              <w:cnfStyle w:val="100000000000" w:firstRow="1" w:lastRow="0" w:firstColumn="0" w:lastColumn="0" w:oddVBand="0" w:evenVBand="0" w:oddHBand="0" w:evenHBand="0" w:firstRowFirstColumn="0" w:firstRowLastColumn="0" w:lastRowFirstColumn="0" w:lastRowLastColumn="0"/>
            </w:pPr>
            <w:r w:rsidRPr="00DC5B06">
              <w:t>Modifications Made</w:t>
            </w:r>
          </w:p>
        </w:tc>
        <w:tc>
          <w:tcPr>
            <w:tcW w:w="817" w:type="pct"/>
          </w:tcPr>
          <w:p w14:paraId="08725A98" w14:textId="267D368D" w:rsidR="00121D4A" w:rsidRPr="00DC5B06" w:rsidRDefault="00121D4A" w:rsidP="00DC5B06">
            <w:pPr>
              <w:cnfStyle w:val="100000000000" w:firstRow="1" w:lastRow="0" w:firstColumn="0" w:lastColumn="0" w:oddVBand="0" w:evenVBand="0" w:oddHBand="0" w:evenHBand="0" w:firstRowFirstColumn="0" w:firstRowLastColumn="0" w:lastRowFirstColumn="0" w:lastRowLastColumn="0"/>
            </w:pPr>
            <w:r w:rsidRPr="00DC5B06">
              <w:t>Date Modified</w:t>
            </w:r>
          </w:p>
        </w:tc>
        <w:tc>
          <w:tcPr>
            <w:tcW w:w="493" w:type="pct"/>
          </w:tcPr>
          <w:p w14:paraId="260A2AE6" w14:textId="77777777" w:rsidR="00121D4A" w:rsidRPr="00DC5B06" w:rsidRDefault="00121D4A" w:rsidP="00DC5B06">
            <w:pPr>
              <w:cnfStyle w:val="100000000000" w:firstRow="1" w:lastRow="0" w:firstColumn="0" w:lastColumn="0" w:oddVBand="0" w:evenVBand="0" w:oddHBand="0" w:evenHBand="0" w:firstRowFirstColumn="0" w:firstRowLastColumn="0" w:lastRowFirstColumn="0" w:lastRowLastColumn="0"/>
            </w:pPr>
            <w:r w:rsidRPr="00DC5B06">
              <w:t>Status</w:t>
            </w:r>
          </w:p>
        </w:tc>
      </w:tr>
      <w:tr w:rsidR="00121D4A" w:rsidRPr="00121D4A" w14:paraId="74B96738" w14:textId="77777777" w:rsidTr="00DC5B06">
        <w:trPr>
          <w:trHeight w:val="505"/>
        </w:trPr>
        <w:tc>
          <w:tcPr>
            <w:cnfStyle w:val="001000000000" w:firstRow="0" w:lastRow="0" w:firstColumn="1" w:lastColumn="0" w:oddVBand="0" w:evenVBand="0" w:oddHBand="0" w:evenHBand="0" w:firstRowFirstColumn="0" w:firstRowLastColumn="0" w:lastRowFirstColumn="0" w:lastRowLastColumn="0"/>
            <w:tcW w:w="923" w:type="pct"/>
          </w:tcPr>
          <w:p w14:paraId="33052142" w14:textId="77777777" w:rsidR="00121D4A" w:rsidRPr="00DC5B06" w:rsidRDefault="00121D4A" w:rsidP="00DC5B06">
            <w:r w:rsidRPr="00DC5B06">
              <w:t>1.0</w:t>
            </w:r>
          </w:p>
        </w:tc>
        <w:tc>
          <w:tcPr>
            <w:tcW w:w="720" w:type="pct"/>
          </w:tcPr>
          <w:p w14:paraId="66D9A648" w14:textId="77777777" w:rsidR="00121D4A" w:rsidRPr="00DC5B06" w:rsidRDefault="00121D4A" w:rsidP="00DC5B06">
            <w:pPr>
              <w:cnfStyle w:val="000000000000" w:firstRow="0" w:lastRow="0" w:firstColumn="0" w:lastColumn="0" w:oddVBand="0" w:evenVBand="0" w:oddHBand="0" w:evenHBand="0" w:firstRowFirstColumn="0" w:firstRowLastColumn="0" w:lastRowFirstColumn="0" w:lastRowLastColumn="0"/>
            </w:pPr>
            <w:r w:rsidRPr="00DC5B06">
              <w:t>MP</w:t>
            </w:r>
          </w:p>
        </w:tc>
        <w:tc>
          <w:tcPr>
            <w:tcW w:w="2047" w:type="pct"/>
          </w:tcPr>
          <w:p w14:paraId="46CD1908" w14:textId="77777777" w:rsidR="00121D4A" w:rsidRPr="00DC5B06" w:rsidRDefault="00121D4A" w:rsidP="00DC5B06">
            <w:pPr>
              <w:cnfStyle w:val="000000000000" w:firstRow="0" w:lastRow="0" w:firstColumn="0" w:lastColumn="0" w:oddVBand="0" w:evenVBand="0" w:oddHBand="0" w:evenHBand="0" w:firstRowFirstColumn="0" w:firstRowLastColumn="0" w:lastRowFirstColumn="0" w:lastRowLastColumn="0"/>
            </w:pPr>
            <w:r w:rsidRPr="00DC5B06">
              <w:t>Initial draft release</w:t>
            </w:r>
          </w:p>
        </w:tc>
        <w:tc>
          <w:tcPr>
            <w:tcW w:w="817" w:type="pct"/>
          </w:tcPr>
          <w:p w14:paraId="454631EE" w14:textId="77777777" w:rsidR="00121D4A" w:rsidRPr="00DC5B06" w:rsidRDefault="00121D4A" w:rsidP="00DC5B06">
            <w:pPr>
              <w:cnfStyle w:val="000000000000" w:firstRow="0" w:lastRow="0" w:firstColumn="0" w:lastColumn="0" w:oddVBand="0" w:evenVBand="0" w:oddHBand="0" w:evenHBand="0" w:firstRowFirstColumn="0" w:firstRowLastColumn="0" w:lastRowFirstColumn="0" w:lastRowLastColumn="0"/>
            </w:pPr>
            <w:r w:rsidRPr="00DC5B06">
              <w:t>July 2024</w:t>
            </w:r>
          </w:p>
        </w:tc>
        <w:tc>
          <w:tcPr>
            <w:tcW w:w="493" w:type="pct"/>
          </w:tcPr>
          <w:p w14:paraId="30F65220" w14:textId="58EA737E" w:rsidR="00121D4A" w:rsidRPr="00DC5B06" w:rsidRDefault="00C721FF" w:rsidP="00DC5B06">
            <w:pPr>
              <w:cnfStyle w:val="000000000000" w:firstRow="0" w:lastRow="0" w:firstColumn="0" w:lastColumn="0" w:oddVBand="0" w:evenVBand="0" w:oddHBand="0" w:evenHBand="0" w:firstRowFirstColumn="0" w:firstRowLastColumn="0" w:lastRowFirstColumn="0" w:lastRowLastColumn="0"/>
            </w:pPr>
            <w:r w:rsidRPr="00DC5B06">
              <w:t>V1</w:t>
            </w:r>
          </w:p>
        </w:tc>
      </w:tr>
      <w:tr w:rsidR="00121D4A" w:rsidRPr="00121D4A" w14:paraId="72F4DDA8" w14:textId="77777777" w:rsidTr="00DC5B06">
        <w:trPr>
          <w:trHeight w:val="490"/>
        </w:trPr>
        <w:tc>
          <w:tcPr>
            <w:cnfStyle w:val="001000000000" w:firstRow="0" w:lastRow="0" w:firstColumn="1" w:lastColumn="0" w:oddVBand="0" w:evenVBand="0" w:oddHBand="0" w:evenHBand="0" w:firstRowFirstColumn="0" w:firstRowLastColumn="0" w:lastRowFirstColumn="0" w:lastRowLastColumn="0"/>
            <w:tcW w:w="923" w:type="pct"/>
          </w:tcPr>
          <w:p w14:paraId="07B9C822" w14:textId="77777777" w:rsidR="00121D4A" w:rsidRPr="00DC5B06" w:rsidRDefault="00121D4A" w:rsidP="00DC5B06">
            <w:r w:rsidRPr="00DC5B06">
              <w:t>1.1</w:t>
            </w:r>
          </w:p>
        </w:tc>
        <w:tc>
          <w:tcPr>
            <w:tcW w:w="720" w:type="pct"/>
          </w:tcPr>
          <w:p w14:paraId="7D3F6C55" w14:textId="77777777" w:rsidR="00121D4A" w:rsidRPr="00DC5B06" w:rsidRDefault="00121D4A" w:rsidP="00DC5B06">
            <w:pPr>
              <w:cnfStyle w:val="000000000000" w:firstRow="0" w:lastRow="0" w:firstColumn="0" w:lastColumn="0" w:oddVBand="0" w:evenVBand="0" w:oddHBand="0" w:evenHBand="0" w:firstRowFirstColumn="0" w:firstRowLastColumn="0" w:lastRowFirstColumn="0" w:lastRowLastColumn="0"/>
            </w:pPr>
            <w:r w:rsidRPr="00DC5B06">
              <w:t>JM</w:t>
            </w:r>
          </w:p>
        </w:tc>
        <w:tc>
          <w:tcPr>
            <w:tcW w:w="2047" w:type="pct"/>
          </w:tcPr>
          <w:p w14:paraId="052BEAA0" w14:textId="01778FB6" w:rsidR="00121D4A" w:rsidRPr="00DC5B06" w:rsidRDefault="00121D4A" w:rsidP="00DC5B06">
            <w:pPr>
              <w:cnfStyle w:val="000000000000" w:firstRow="0" w:lastRow="0" w:firstColumn="0" w:lastColumn="0" w:oddVBand="0" w:evenVBand="0" w:oddHBand="0" w:evenHBand="0" w:firstRowFirstColumn="0" w:firstRowLastColumn="0" w:lastRowFirstColumn="0" w:lastRowLastColumn="0"/>
            </w:pPr>
            <w:r w:rsidRPr="00DC5B06">
              <w:t>Text and formatting</w:t>
            </w:r>
          </w:p>
        </w:tc>
        <w:tc>
          <w:tcPr>
            <w:tcW w:w="817" w:type="pct"/>
          </w:tcPr>
          <w:p w14:paraId="00D4A56A" w14:textId="7D2F3D94" w:rsidR="00121D4A" w:rsidRPr="00DC5B06" w:rsidRDefault="00121D4A" w:rsidP="00DC5B06">
            <w:pPr>
              <w:cnfStyle w:val="000000000000" w:firstRow="0" w:lastRow="0" w:firstColumn="0" w:lastColumn="0" w:oddVBand="0" w:evenVBand="0" w:oddHBand="0" w:evenHBand="0" w:firstRowFirstColumn="0" w:firstRowLastColumn="0" w:lastRowFirstColumn="0" w:lastRowLastColumn="0"/>
            </w:pPr>
            <w:r w:rsidRPr="00DC5B06">
              <w:t>Aug 2024</w:t>
            </w:r>
          </w:p>
        </w:tc>
        <w:tc>
          <w:tcPr>
            <w:tcW w:w="493" w:type="pct"/>
          </w:tcPr>
          <w:p w14:paraId="78DA8A34" w14:textId="06304AB6" w:rsidR="00121D4A" w:rsidRPr="00DC5B06" w:rsidRDefault="00121D4A" w:rsidP="00DC5B06">
            <w:pPr>
              <w:cnfStyle w:val="000000000000" w:firstRow="0" w:lastRow="0" w:firstColumn="0" w:lastColumn="0" w:oddVBand="0" w:evenVBand="0" w:oddHBand="0" w:evenHBand="0" w:firstRowFirstColumn="0" w:firstRowLastColumn="0" w:lastRowFirstColumn="0" w:lastRowLastColumn="0"/>
            </w:pPr>
            <w:r w:rsidRPr="00DC5B06">
              <w:t>Draft</w:t>
            </w:r>
          </w:p>
        </w:tc>
      </w:tr>
      <w:tr w:rsidR="00121D4A" w:rsidRPr="00121D4A" w14:paraId="05B269A4" w14:textId="77777777" w:rsidTr="00DC5B06">
        <w:trPr>
          <w:trHeight w:val="505"/>
        </w:trPr>
        <w:tc>
          <w:tcPr>
            <w:cnfStyle w:val="001000000000" w:firstRow="0" w:lastRow="0" w:firstColumn="1" w:lastColumn="0" w:oddVBand="0" w:evenVBand="0" w:oddHBand="0" w:evenHBand="0" w:firstRowFirstColumn="0" w:firstRowLastColumn="0" w:lastRowFirstColumn="0" w:lastRowLastColumn="0"/>
            <w:tcW w:w="923" w:type="pct"/>
          </w:tcPr>
          <w:p w14:paraId="36E869A6" w14:textId="77777777" w:rsidR="00121D4A" w:rsidRPr="00DC5B06" w:rsidRDefault="00121D4A" w:rsidP="00DC5B06">
            <w:r w:rsidRPr="00DC5B06">
              <w:t>2.0</w:t>
            </w:r>
          </w:p>
        </w:tc>
        <w:tc>
          <w:tcPr>
            <w:tcW w:w="720" w:type="pct"/>
          </w:tcPr>
          <w:p w14:paraId="0D29C346" w14:textId="4E962E86" w:rsidR="00121D4A" w:rsidRPr="00DC5B06" w:rsidRDefault="00121D4A" w:rsidP="00DC5B06">
            <w:pPr>
              <w:cnfStyle w:val="000000000000" w:firstRow="0" w:lastRow="0" w:firstColumn="0" w:lastColumn="0" w:oddVBand="0" w:evenVBand="0" w:oddHBand="0" w:evenHBand="0" w:firstRowFirstColumn="0" w:firstRowLastColumn="0" w:lastRowFirstColumn="0" w:lastRowLastColumn="0"/>
            </w:pPr>
            <w:r w:rsidRPr="00DC5B06">
              <w:t>MP</w:t>
            </w:r>
          </w:p>
        </w:tc>
        <w:tc>
          <w:tcPr>
            <w:tcW w:w="2047" w:type="pct"/>
          </w:tcPr>
          <w:p w14:paraId="1635103A" w14:textId="226E63F2" w:rsidR="00121D4A" w:rsidRPr="00DC5B06" w:rsidRDefault="00121D4A" w:rsidP="00DC5B06">
            <w:pPr>
              <w:cnfStyle w:val="000000000000" w:firstRow="0" w:lastRow="0" w:firstColumn="0" w:lastColumn="0" w:oddVBand="0" w:evenVBand="0" w:oddHBand="0" w:evenHBand="0" w:firstRowFirstColumn="0" w:firstRowLastColumn="0" w:lastRowFirstColumn="0" w:lastRowLastColumn="0"/>
            </w:pPr>
            <w:r w:rsidRPr="00DC5B06">
              <w:t>Format</w:t>
            </w:r>
          </w:p>
        </w:tc>
        <w:tc>
          <w:tcPr>
            <w:tcW w:w="817" w:type="pct"/>
          </w:tcPr>
          <w:p w14:paraId="0CBC329A" w14:textId="00F63A03" w:rsidR="00121D4A" w:rsidRPr="00DC5B06" w:rsidRDefault="00C721FF" w:rsidP="00DC5B06">
            <w:pPr>
              <w:cnfStyle w:val="000000000000" w:firstRow="0" w:lastRow="0" w:firstColumn="0" w:lastColumn="0" w:oddVBand="0" w:evenVBand="0" w:oddHBand="0" w:evenHBand="0" w:firstRowFirstColumn="0" w:firstRowLastColumn="0" w:lastRowFirstColumn="0" w:lastRowLastColumn="0"/>
            </w:pPr>
            <w:r w:rsidRPr="00DC5B06">
              <w:t>Aug 2024</w:t>
            </w:r>
          </w:p>
        </w:tc>
        <w:tc>
          <w:tcPr>
            <w:tcW w:w="493" w:type="pct"/>
          </w:tcPr>
          <w:p w14:paraId="2AEDF3E5" w14:textId="5479488A" w:rsidR="00121D4A" w:rsidRPr="00DC5B06" w:rsidRDefault="00C721FF" w:rsidP="00DC5B06">
            <w:pPr>
              <w:cnfStyle w:val="000000000000" w:firstRow="0" w:lastRow="0" w:firstColumn="0" w:lastColumn="0" w:oddVBand="0" w:evenVBand="0" w:oddHBand="0" w:evenHBand="0" w:firstRowFirstColumn="0" w:firstRowLastColumn="0" w:lastRowFirstColumn="0" w:lastRowLastColumn="0"/>
            </w:pPr>
            <w:r w:rsidRPr="00DC5B06">
              <w:t>V2</w:t>
            </w:r>
          </w:p>
        </w:tc>
      </w:tr>
      <w:tr w:rsidR="00121D4A" w:rsidRPr="00121D4A" w14:paraId="7BFA99B9" w14:textId="77777777" w:rsidTr="00DC5B06">
        <w:trPr>
          <w:trHeight w:val="505"/>
        </w:trPr>
        <w:tc>
          <w:tcPr>
            <w:cnfStyle w:val="001000000000" w:firstRow="0" w:lastRow="0" w:firstColumn="1" w:lastColumn="0" w:oddVBand="0" w:evenVBand="0" w:oddHBand="0" w:evenHBand="0" w:firstRowFirstColumn="0" w:firstRowLastColumn="0" w:lastRowFirstColumn="0" w:lastRowLastColumn="0"/>
            <w:tcW w:w="923" w:type="pct"/>
          </w:tcPr>
          <w:p w14:paraId="288B7D10" w14:textId="69BBCA1E" w:rsidR="00121D4A" w:rsidRPr="00DC5B06" w:rsidRDefault="00E849C2" w:rsidP="00DC5B06">
            <w:r w:rsidRPr="00DC5B06">
              <w:t>2.1</w:t>
            </w:r>
          </w:p>
        </w:tc>
        <w:tc>
          <w:tcPr>
            <w:tcW w:w="720" w:type="pct"/>
          </w:tcPr>
          <w:p w14:paraId="0A49A968" w14:textId="62F9EC3E" w:rsidR="00121D4A" w:rsidRPr="00DC5B06" w:rsidRDefault="00E849C2" w:rsidP="00DC5B06">
            <w:pPr>
              <w:cnfStyle w:val="000000000000" w:firstRow="0" w:lastRow="0" w:firstColumn="0" w:lastColumn="0" w:oddVBand="0" w:evenVBand="0" w:oddHBand="0" w:evenHBand="0" w:firstRowFirstColumn="0" w:firstRowLastColumn="0" w:lastRowFirstColumn="0" w:lastRowLastColumn="0"/>
            </w:pPr>
            <w:r w:rsidRPr="00DC5B06">
              <w:t>RB</w:t>
            </w:r>
          </w:p>
        </w:tc>
        <w:tc>
          <w:tcPr>
            <w:tcW w:w="2047" w:type="pct"/>
          </w:tcPr>
          <w:p w14:paraId="46F49F0C" w14:textId="3D4E4AC6" w:rsidR="00121D4A" w:rsidRPr="00DC5B06" w:rsidRDefault="00E849C2" w:rsidP="00DC5B06">
            <w:pPr>
              <w:cnfStyle w:val="000000000000" w:firstRow="0" w:lastRow="0" w:firstColumn="0" w:lastColumn="0" w:oddVBand="0" w:evenVBand="0" w:oddHBand="0" w:evenHBand="0" w:firstRowFirstColumn="0" w:firstRowLastColumn="0" w:lastRowFirstColumn="0" w:lastRowLastColumn="0"/>
            </w:pPr>
            <w:r w:rsidRPr="00DC5B06">
              <w:t>Content changes</w:t>
            </w:r>
          </w:p>
        </w:tc>
        <w:tc>
          <w:tcPr>
            <w:tcW w:w="817" w:type="pct"/>
          </w:tcPr>
          <w:p w14:paraId="318665E7" w14:textId="56329DE7" w:rsidR="00121D4A" w:rsidRPr="00DC5B06" w:rsidRDefault="00E849C2" w:rsidP="00DC5B06">
            <w:pPr>
              <w:cnfStyle w:val="000000000000" w:firstRow="0" w:lastRow="0" w:firstColumn="0" w:lastColumn="0" w:oddVBand="0" w:evenVBand="0" w:oddHBand="0" w:evenHBand="0" w:firstRowFirstColumn="0" w:firstRowLastColumn="0" w:lastRowFirstColumn="0" w:lastRowLastColumn="0"/>
            </w:pPr>
            <w:r w:rsidRPr="00DC5B06">
              <w:t>Aug 2024</w:t>
            </w:r>
          </w:p>
        </w:tc>
        <w:tc>
          <w:tcPr>
            <w:tcW w:w="493" w:type="pct"/>
          </w:tcPr>
          <w:p w14:paraId="0C0020E5" w14:textId="0604F3D9" w:rsidR="00121D4A" w:rsidRPr="00DC5B06" w:rsidRDefault="00E849C2" w:rsidP="00DC5B06">
            <w:pPr>
              <w:cnfStyle w:val="000000000000" w:firstRow="0" w:lastRow="0" w:firstColumn="0" w:lastColumn="0" w:oddVBand="0" w:evenVBand="0" w:oddHBand="0" w:evenHBand="0" w:firstRowFirstColumn="0" w:firstRowLastColumn="0" w:lastRowFirstColumn="0" w:lastRowLastColumn="0"/>
            </w:pPr>
            <w:r w:rsidRPr="00DC5B06">
              <w:t>V2.1</w:t>
            </w:r>
          </w:p>
        </w:tc>
      </w:tr>
      <w:tr w:rsidR="00121D4A" w:rsidRPr="00121D4A" w14:paraId="0C1C5645" w14:textId="77777777" w:rsidTr="00DC5B06">
        <w:trPr>
          <w:trHeight w:val="490"/>
        </w:trPr>
        <w:tc>
          <w:tcPr>
            <w:cnfStyle w:val="001000000000" w:firstRow="0" w:lastRow="0" w:firstColumn="1" w:lastColumn="0" w:oddVBand="0" w:evenVBand="0" w:oddHBand="0" w:evenHBand="0" w:firstRowFirstColumn="0" w:firstRowLastColumn="0" w:lastRowFirstColumn="0" w:lastRowLastColumn="0"/>
            <w:tcW w:w="923" w:type="pct"/>
          </w:tcPr>
          <w:p w14:paraId="57E858AC" w14:textId="77777777" w:rsidR="00121D4A" w:rsidRPr="00121D4A" w:rsidRDefault="00121D4A" w:rsidP="00121D4A">
            <w:pPr>
              <w:spacing w:line="240" w:lineRule="auto"/>
              <w:ind w:left="360" w:hanging="360"/>
              <w:rPr>
                <w:rFonts w:cs="Arial"/>
                <w:color w:val="auto"/>
                <w:szCs w:val="22"/>
              </w:rPr>
            </w:pPr>
          </w:p>
        </w:tc>
        <w:tc>
          <w:tcPr>
            <w:tcW w:w="720" w:type="pct"/>
          </w:tcPr>
          <w:p w14:paraId="079EB21A" w14:textId="77777777" w:rsidR="00121D4A" w:rsidRPr="00121D4A" w:rsidRDefault="00121D4A" w:rsidP="00121D4A">
            <w:pPr>
              <w:spacing w:line="240" w:lineRule="auto"/>
              <w:ind w:left="360" w:hanging="360"/>
              <w:cnfStyle w:val="000000000000" w:firstRow="0" w:lastRow="0" w:firstColumn="0" w:lastColumn="0" w:oddVBand="0" w:evenVBand="0" w:oddHBand="0" w:evenHBand="0" w:firstRowFirstColumn="0" w:firstRowLastColumn="0" w:lastRowFirstColumn="0" w:lastRowLastColumn="0"/>
              <w:rPr>
                <w:rFonts w:cs="Arial"/>
                <w:color w:val="auto"/>
                <w:szCs w:val="22"/>
              </w:rPr>
            </w:pPr>
          </w:p>
        </w:tc>
        <w:tc>
          <w:tcPr>
            <w:tcW w:w="2047" w:type="pct"/>
          </w:tcPr>
          <w:p w14:paraId="6E234D55" w14:textId="77777777" w:rsidR="00121D4A" w:rsidRPr="00121D4A" w:rsidRDefault="00121D4A" w:rsidP="00121D4A">
            <w:pPr>
              <w:spacing w:line="240" w:lineRule="auto"/>
              <w:ind w:left="360" w:hanging="360"/>
              <w:cnfStyle w:val="000000000000" w:firstRow="0" w:lastRow="0" w:firstColumn="0" w:lastColumn="0" w:oddVBand="0" w:evenVBand="0" w:oddHBand="0" w:evenHBand="0" w:firstRowFirstColumn="0" w:firstRowLastColumn="0" w:lastRowFirstColumn="0" w:lastRowLastColumn="0"/>
              <w:rPr>
                <w:rFonts w:cs="Arial"/>
                <w:color w:val="auto"/>
                <w:szCs w:val="22"/>
              </w:rPr>
            </w:pPr>
          </w:p>
        </w:tc>
        <w:tc>
          <w:tcPr>
            <w:tcW w:w="817" w:type="pct"/>
          </w:tcPr>
          <w:p w14:paraId="5B5AB76E" w14:textId="77777777" w:rsidR="00121D4A" w:rsidRPr="00121D4A" w:rsidRDefault="00121D4A" w:rsidP="00121D4A">
            <w:pPr>
              <w:spacing w:line="240" w:lineRule="auto"/>
              <w:ind w:left="360" w:hanging="360"/>
              <w:cnfStyle w:val="000000000000" w:firstRow="0" w:lastRow="0" w:firstColumn="0" w:lastColumn="0" w:oddVBand="0" w:evenVBand="0" w:oddHBand="0" w:evenHBand="0" w:firstRowFirstColumn="0" w:firstRowLastColumn="0" w:lastRowFirstColumn="0" w:lastRowLastColumn="0"/>
              <w:rPr>
                <w:rFonts w:cs="Arial"/>
                <w:color w:val="auto"/>
                <w:szCs w:val="22"/>
              </w:rPr>
            </w:pPr>
          </w:p>
        </w:tc>
        <w:tc>
          <w:tcPr>
            <w:tcW w:w="493" w:type="pct"/>
          </w:tcPr>
          <w:p w14:paraId="423BD30C" w14:textId="77777777" w:rsidR="00121D4A" w:rsidRPr="00121D4A" w:rsidRDefault="00121D4A" w:rsidP="00121D4A">
            <w:pPr>
              <w:spacing w:line="240" w:lineRule="auto"/>
              <w:ind w:left="360" w:hanging="360"/>
              <w:cnfStyle w:val="000000000000" w:firstRow="0" w:lastRow="0" w:firstColumn="0" w:lastColumn="0" w:oddVBand="0" w:evenVBand="0" w:oddHBand="0" w:evenHBand="0" w:firstRowFirstColumn="0" w:firstRowLastColumn="0" w:lastRowFirstColumn="0" w:lastRowLastColumn="0"/>
              <w:rPr>
                <w:rFonts w:cs="Arial"/>
                <w:color w:val="auto"/>
                <w:szCs w:val="22"/>
              </w:rPr>
            </w:pPr>
          </w:p>
        </w:tc>
      </w:tr>
      <w:tr w:rsidR="00121D4A" w:rsidRPr="00121D4A" w14:paraId="33E43ECF" w14:textId="77777777" w:rsidTr="00DC5B06">
        <w:trPr>
          <w:trHeight w:val="505"/>
        </w:trPr>
        <w:tc>
          <w:tcPr>
            <w:cnfStyle w:val="001000000000" w:firstRow="0" w:lastRow="0" w:firstColumn="1" w:lastColumn="0" w:oddVBand="0" w:evenVBand="0" w:oddHBand="0" w:evenHBand="0" w:firstRowFirstColumn="0" w:firstRowLastColumn="0" w:lastRowFirstColumn="0" w:lastRowLastColumn="0"/>
            <w:tcW w:w="923" w:type="pct"/>
          </w:tcPr>
          <w:p w14:paraId="36263F8D" w14:textId="77777777" w:rsidR="00121D4A" w:rsidRPr="00121D4A" w:rsidRDefault="00121D4A" w:rsidP="00121D4A">
            <w:pPr>
              <w:spacing w:line="240" w:lineRule="auto"/>
              <w:ind w:left="360" w:hanging="360"/>
              <w:rPr>
                <w:rFonts w:cs="Arial"/>
                <w:color w:val="auto"/>
                <w:szCs w:val="22"/>
              </w:rPr>
            </w:pPr>
          </w:p>
        </w:tc>
        <w:tc>
          <w:tcPr>
            <w:tcW w:w="720" w:type="pct"/>
          </w:tcPr>
          <w:p w14:paraId="7460DDAF" w14:textId="77777777" w:rsidR="00121D4A" w:rsidRPr="00121D4A" w:rsidRDefault="00121D4A" w:rsidP="00121D4A">
            <w:pPr>
              <w:spacing w:line="240" w:lineRule="auto"/>
              <w:ind w:left="360" w:hanging="360"/>
              <w:cnfStyle w:val="000000000000" w:firstRow="0" w:lastRow="0" w:firstColumn="0" w:lastColumn="0" w:oddVBand="0" w:evenVBand="0" w:oddHBand="0" w:evenHBand="0" w:firstRowFirstColumn="0" w:firstRowLastColumn="0" w:lastRowFirstColumn="0" w:lastRowLastColumn="0"/>
              <w:rPr>
                <w:rFonts w:cs="Arial"/>
                <w:color w:val="auto"/>
                <w:szCs w:val="22"/>
              </w:rPr>
            </w:pPr>
          </w:p>
        </w:tc>
        <w:tc>
          <w:tcPr>
            <w:tcW w:w="2047" w:type="pct"/>
          </w:tcPr>
          <w:p w14:paraId="43257E22" w14:textId="77777777" w:rsidR="00121D4A" w:rsidRPr="00121D4A" w:rsidRDefault="00121D4A" w:rsidP="00121D4A">
            <w:pPr>
              <w:spacing w:line="240" w:lineRule="auto"/>
              <w:ind w:left="360" w:hanging="360"/>
              <w:cnfStyle w:val="000000000000" w:firstRow="0" w:lastRow="0" w:firstColumn="0" w:lastColumn="0" w:oddVBand="0" w:evenVBand="0" w:oddHBand="0" w:evenHBand="0" w:firstRowFirstColumn="0" w:firstRowLastColumn="0" w:lastRowFirstColumn="0" w:lastRowLastColumn="0"/>
              <w:rPr>
                <w:rFonts w:cs="Arial"/>
                <w:color w:val="auto"/>
                <w:szCs w:val="22"/>
              </w:rPr>
            </w:pPr>
          </w:p>
        </w:tc>
        <w:tc>
          <w:tcPr>
            <w:tcW w:w="817" w:type="pct"/>
          </w:tcPr>
          <w:p w14:paraId="1064A610" w14:textId="77777777" w:rsidR="00121D4A" w:rsidRPr="00121D4A" w:rsidRDefault="00121D4A" w:rsidP="00121D4A">
            <w:pPr>
              <w:spacing w:line="240" w:lineRule="auto"/>
              <w:ind w:left="360" w:hanging="360"/>
              <w:cnfStyle w:val="000000000000" w:firstRow="0" w:lastRow="0" w:firstColumn="0" w:lastColumn="0" w:oddVBand="0" w:evenVBand="0" w:oddHBand="0" w:evenHBand="0" w:firstRowFirstColumn="0" w:firstRowLastColumn="0" w:lastRowFirstColumn="0" w:lastRowLastColumn="0"/>
              <w:rPr>
                <w:rFonts w:cs="Arial"/>
                <w:color w:val="auto"/>
                <w:szCs w:val="22"/>
              </w:rPr>
            </w:pPr>
          </w:p>
        </w:tc>
        <w:tc>
          <w:tcPr>
            <w:tcW w:w="493" w:type="pct"/>
          </w:tcPr>
          <w:p w14:paraId="004360C6" w14:textId="77777777" w:rsidR="00121D4A" w:rsidRPr="00121D4A" w:rsidRDefault="00121D4A" w:rsidP="00121D4A">
            <w:pPr>
              <w:spacing w:line="240" w:lineRule="auto"/>
              <w:ind w:left="360" w:hanging="360"/>
              <w:cnfStyle w:val="000000000000" w:firstRow="0" w:lastRow="0" w:firstColumn="0" w:lastColumn="0" w:oddVBand="0" w:evenVBand="0" w:oddHBand="0" w:evenHBand="0" w:firstRowFirstColumn="0" w:firstRowLastColumn="0" w:lastRowFirstColumn="0" w:lastRowLastColumn="0"/>
              <w:rPr>
                <w:rFonts w:cs="Arial"/>
                <w:color w:val="auto"/>
                <w:szCs w:val="22"/>
              </w:rPr>
            </w:pPr>
          </w:p>
        </w:tc>
      </w:tr>
      <w:tr w:rsidR="00121D4A" w:rsidRPr="00121D4A" w14:paraId="21A53F04" w14:textId="77777777" w:rsidTr="00DC5B06">
        <w:trPr>
          <w:trHeight w:val="490"/>
        </w:trPr>
        <w:tc>
          <w:tcPr>
            <w:cnfStyle w:val="001000000000" w:firstRow="0" w:lastRow="0" w:firstColumn="1" w:lastColumn="0" w:oddVBand="0" w:evenVBand="0" w:oddHBand="0" w:evenHBand="0" w:firstRowFirstColumn="0" w:firstRowLastColumn="0" w:lastRowFirstColumn="0" w:lastRowLastColumn="0"/>
            <w:tcW w:w="923" w:type="pct"/>
          </w:tcPr>
          <w:p w14:paraId="564A4B7D" w14:textId="77777777" w:rsidR="00121D4A" w:rsidRPr="00121D4A" w:rsidRDefault="00121D4A" w:rsidP="00121D4A">
            <w:pPr>
              <w:spacing w:line="240" w:lineRule="auto"/>
              <w:ind w:left="360" w:hanging="360"/>
              <w:rPr>
                <w:rFonts w:cs="Arial"/>
                <w:color w:val="auto"/>
                <w:szCs w:val="22"/>
              </w:rPr>
            </w:pPr>
          </w:p>
        </w:tc>
        <w:tc>
          <w:tcPr>
            <w:tcW w:w="720" w:type="pct"/>
          </w:tcPr>
          <w:p w14:paraId="7B3EDCCA" w14:textId="77777777" w:rsidR="00121D4A" w:rsidRPr="00121D4A" w:rsidRDefault="00121D4A" w:rsidP="00121D4A">
            <w:pPr>
              <w:spacing w:line="240" w:lineRule="auto"/>
              <w:ind w:left="360" w:hanging="360"/>
              <w:cnfStyle w:val="000000000000" w:firstRow="0" w:lastRow="0" w:firstColumn="0" w:lastColumn="0" w:oddVBand="0" w:evenVBand="0" w:oddHBand="0" w:evenHBand="0" w:firstRowFirstColumn="0" w:firstRowLastColumn="0" w:lastRowFirstColumn="0" w:lastRowLastColumn="0"/>
              <w:rPr>
                <w:rFonts w:cs="Arial"/>
                <w:color w:val="auto"/>
                <w:szCs w:val="22"/>
              </w:rPr>
            </w:pPr>
          </w:p>
        </w:tc>
        <w:tc>
          <w:tcPr>
            <w:tcW w:w="2047" w:type="pct"/>
          </w:tcPr>
          <w:p w14:paraId="35A91E2E" w14:textId="77777777" w:rsidR="00121D4A" w:rsidRPr="00121D4A" w:rsidRDefault="00121D4A" w:rsidP="00121D4A">
            <w:pPr>
              <w:spacing w:line="240" w:lineRule="auto"/>
              <w:ind w:left="360" w:hanging="360"/>
              <w:cnfStyle w:val="000000000000" w:firstRow="0" w:lastRow="0" w:firstColumn="0" w:lastColumn="0" w:oddVBand="0" w:evenVBand="0" w:oddHBand="0" w:evenHBand="0" w:firstRowFirstColumn="0" w:firstRowLastColumn="0" w:lastRowFirstColumn="0" w:lastRowLastColumn="0"/>
              <w:rPr>
                <w:rFonts w:cs="Arial"/>
                <w:color w:val="auto"/>
                <w:szCs w:val="22"/>
              </w:rPr>
            </w:pPr>
          </w:p>
        </w:tc>
        <w:tc>
          <w:tcPr>
            <w:tcW w:w="817" w:type="pct"/>
          </w:tcPr>
          <w:p w14:paraId="33F79AA9" w14:textId="77777777" w:rsidR="00121D4A" w:rsidRPr="00121D4A" w:rsidRDefault="00121D4A" w:rsidP="00121D4A">
            <w:pPr>
              <w:spacing w:line="240" w:lineRule="auto"/>
              <w:ind w:left="360" w:hanging="360"/>
              <w:cnfStyle w:val="000000000000" w:firstRow="0" w:lastRow="0" w:firstColumn="0" w:lastColumn="0" w:oddVBand="0" w:evenVBand="0" w:oddHBand="0" w:evenHBand="0" w:firstRowFirstColumn="0" w:firstRowLastColumn="0" w:lastRowFirstColumn="0" w:lastRowLastColumn="0"/>
              <w:rPr>
                <w:rFonts w:cs="Arial"/>
                <w:color w:val="auto"/>
                <w:szCs w:val="22"/>
              </w:rPr>
            </w:pPr>
          </w:p>
        </w:tc>
        <w:tc>
          <w:tcPr>
            <w:tcW w:w="493" w:type="pct"/>
          </w:tcPr>
          <w:p w14:paraId="3CF517F7" w14:textId="77777777" w:rsidR="00121D4A" w:rsidRPr="00121D4A" w:rsidRDefault="00121D4A" w:rsidP="00121D4A">
            <w:pPr>
              <w:spacing w:line="240" w:lineRule="auto"/>
              <w:ind w:left="360" w:hanging="360"/>
              <w:cnfStyle w:val="000000000000" w:firstRow="0" w:lastRow="0" w:firstColumn="0" w:lastColumn="0" w:oddVBand="0" w:evenVBand="0" w:oddHBand="0" w:evenHBand="0" w:firstRowFirstColumn="0" w:firstRowLastColumn="0" w:lastRowFirstColumn="0" w:lastRowLastColumn="0"/>
              <w:rPr>
                <w:rFonts w:cs="Arial"/>
                <w:color w:val="auto"/>
                <w:szCs w:val="22"/>
              </w:rPr>
            </w:pPr>
          </w:p>
        </w:tc>
      </w:tr>
    </w:tbl>
    <w:p w14:paraId="327A1CDF" w14:textId="77777777" w:rsidR="00BF52D7" w:rsidRDefault="00BF52D7" w:rsidP="008F2543"/>
    <w:sectPr w:rsidR="00BF52D7" w:rsidSect="00A74345">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F5596" w14:textId="77777777" w:rsidR="000F3D98" w:rsidRDefault="000F3D98" w:rsidP="00934368">
      <w:r>
        <w:separator/>
      </w:r>
    </w:p>
    <w:p w14:paraId="3B7323B9" w14:textId="77777777" w:rsidR="000F3D98" w:rsidRDefault="000F3D98" w:rsidP="00934368"/>
  </w:endnote>
  <w:endnote w:type="continuationSeparator" w:id="0">
    <w:p w14:paraId="4A70F94E" w14:textId="77777777" w:rsidR="000F3D98" w:rsidRDefault="000F3D98" w:rsidP="00934368">
      <w:r>
        <w:continuationSeparator/>
      </w:r>
    </w:p>
    <w:p w14:paraId="6B190E9C" w14:textId="77777777" w:rsidR="000F3D98" w:rsidRDefault="000F3D98" w:rsidP="00934368"/>
  </w:endnote>
  <w:endnote w:type="continuationNotice" w:id="1">
    <w:p w14:paraId="611555AE" w14:textId="77777777" w:rsidR="000F3D98" w:rsidRDefault="000F3D98"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D6FF0" w14:textId="77777777" w:rsidR="003846A8" w:rsidRDefault="00384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AABEF" w14:textId="77777777" w:rsidR="003846A8" w:rsidRDefault="00384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1FCE" w14:textId="77777777" w:rsidR="003846A8" w:rsidRDefault="003846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721960"/>
      <w:docPartObj>
        <w:docPartGallery w:val="Page Numbers (Bottom of Page)"/>
        <w:docPartUnique/>
      </w:docPartObj>
    </w:sdtPr>
    <w:sdtEndPr>
      <w:rPr>
        <w:rStyle w:val="FooterChar"/>
      </w:rPr>
    </w:sdtEndPr>
    <w:sdtContent>
      <w:p w14:paraId="3C7EF1BD" w14:textId="1730E7FD" w:rsidR="006F09CC" w:rsidRPr="005E098E" w:rsidRDefault="006F09CC" w:rsidP="00B22549">
        <w:r>
          <w:rPr>
            <w:rStyle w:val="FooterChar"/>
          </w:rPr>
          <w:t>Department of Health and Aged Care</w:t>
        </w:r>
        <w:r w:rsidRPr="007120F0">
          <w:rPr>
            <w:rStyle w:val="FooterChar"/>
          </w:rPr>
          <w:t xml:space="preserve"> </w:t>
        </w:r>
        <w:r>
          <w:rPr>
            <w:rStyle w:val="FooterChar"/>
          </w:rPr>
          <w:t>Emissions Reduction Plan 2024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20F7" w14:textId="092187E8" w:rsidR="00751A23" w:rsidRPr="00751A23" w:rsidRDefault="009A7F5A" w:rsidP="00934368">
    <w:pPr>
      <w:pStyle w:val="Footer"/>
    </w:pPr>
    <w:r>
      <w:t>Department of Health &amp; Aged Care Emissions Reduction Plan 2024</w:t>
    </w:r>
    <w:r w:rsidR="003846A8">
      <w:t>-</w:t>
    </w:r>
    <w:r>
      <w:t>25</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D5E75" w14:textId="77777777" w:rsidR="000F3D98" w:rsidRDefault="000F3D98" w:rsidP="00934368">
      <w:r>
        <w:separator/>
      </w:r>
    </w:p>
    <w:p w14:paraId="7DFD887D" w14:textId="77777777" w:rsidR="000F3D98" w:rsidRDefault="000F3D98" w:rsidP="00934368"/>
  </w:footnote>
  <w:footnote w:type="continuationSeparator" w:id="0">
    <w:p w14:paraId="3DC265C0" w14:textId="77777777" w:rsidR="000F3D98" w:rsidRDefault="000F3D98" w:rsidP="00AF3A35">
      <w:r>
        <w:continuationSeparator/>
      </w:r>
    </w:p>
  </w:footnote>
  <w:footnote w:type="continuationNotice" w:id="1">
    <w:p w14:paraId="026DCC49" w14:textId="77777777" w:rsidR="000F3D98" w:rsidRDefault="000F3D98" w:rsidP="00934368"/>
  </w:footnote>
  <w:footnote w:id="2">
    <w:p w14:paraId="574295A0" w14:textId="77777777" w:rsidR="00121D4A" w:rsidRDefault="00121D4A" w:rsidP="00121D4A">
      <w:pPr>
        <w:pStyle w:val="FootnoteText"/>
      </w:pPr>
      <w:r>
        <w:rPr>
          <w:rStyle w:val="FootnoteReference1"/>
        </w:rPr>
        <w:footnoteRef/>
      </w:r>
      <w:r>
        <w:t xml:space="preserve"> </w:t>
      </w:r>
      <w:proofErr w:type="spellStart"/>
      <w:r>
        <w:t>Serraview</w:t>
      </w:r>
      <w:proofErr w:type="spellEnd"/>
      <w:r>
        <w:t xml:space="preserve"> Accommodation Report 19 July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B611E" w14:textId="77777777" w:rsidR="003846A8" w:rsidRDefault="00384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5C6F0" w14:textId="77777777" w:rsidR="003846A8" w:rsidRDefault="00384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BF28" w14:textId="5EF09212" w:rsidR="00751A23" w:rsidRDefault="00751A23" w:rsidP="00934368">
    <w:pPr>
      <w:pStyle w:val="Header"/>
    </w:pPr>
    <w:r>
      <w:rPr>
        <w:noProof/>
        <w:lang w:eastAsia="en-AU"/>
      </w:rPr>
      <w:drawing>
        <wp:anchor distT="0" distB="0" distL="114300" distR="114300" simplePos="0" relativeHeight="251659264" behindDoc="1" locked="0" layoutInCell="1" allowOverlap="1" wp14:anchorId="46D321AA" wp14:editId="095A6804">
          <wp:simplePos x="0" y="0"/>
          <wp:positionH relativeFrom="page">
            <wp:align>center</wp:align>
          </wp:positionH>
          <wp:positionV relativeFrom="page">
            <wp:align>center</wp:align>
          </wp:positionV>
          <wp:extent cx="7559245" cy="10692675"/>
          <wp:effectExtent l="0" t="0" r="0" b="1270"/>
          <wp:wrapNone/>
          <wp:docPr id="1641114646" name="Picture 16411146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0D3F" w14:textId="77777777" w:rsidR="006F09CC" w:rsidRDefault="006F09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2184" w14:textId="77777777" w:rsidR="006F09CC" w:rsidRDefault="006F09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9976" w14:textId="3A8E3883"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9C03A3"/>
    <w:multiLevelType w:val="hybridMultilevel"/>
    <w:tmpl w:val="848A3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852F31"/>
    <w:multiLevelType w:val="hybridMultilevel"/>
    <w:tmpl w:val="3D205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83742"/>
    <w:multiLevelType w:val="hybridMultilevel"/>
    <w:tmpl w:val="4296D9F8"/>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4" w15:restartNumberingAfterBreak="0">
    <w:nsid w:val="1EA978FC"/>
    <w:multiLevelType w:val="hybridMultilevel"/>
    <w:tmpl w:val="EC761880"/>
    <w:lvl w:ilvl="0" w:tplc="F21EE998">
      <w:numFmt w:val="bullet"/>
      <w:lvlText w:val="•"/>
      <w:lvlJc w:val="left"/>
      <w:pPr>
        <w:ind w:left="360" w:hanging="360"/>
      </w:pPr>
      <w:rPr>
        <w:rFonts w:ascii="Arial" w:hAnsi="Arial" w:hint="default"/>
        <w:b/>
        <w:color w:val="auto"/>
        <w:sz w:val="2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E23235"/>
    <w:multiLevelType w:val="hybridMultilevel"/>
    <w:tmpl w:val="0D34ECC4"/>
    <w:lvl w:ilvl="0" w:tplc="FFFFFFFF">
      <w:numFmt w:val="bullet"/>
      <w:lvlText w:val="•"/>
      <w:lvlJc w:val="left"/>
      <w:pPr>
        <w:ind w:left="360" w:hanging="360"/>
      </w:pPr>
      <w:rPr>
        <w:rFonts w:ascii="Arial" w:hAnsi="Arial" w:hint="default"/>
        <w:b/>
        <w:color w:val="auto"/>
        <w:sz w:val="28"/>
      </w:rPr>
    </w:lvl>
    <w:lvl w:ilvl="1" w:tplc="F21EE998">
      <w:numFmt w:val="bullet"/>
      <w:lvlText w:val="•"/>
      <w:lvlJc w:val="left"/>
      <w:pPr>
        <w:ind w:left="1080" w:hanging="360"/>
      </w:pPr>
      <w:rPr>
        <w:rFonts w:ascii="Arial" w:hAnsi="Arial" w:hint="default"/>
        <w:b/>
        <w:color w:val="auto"/>
        <w:sz w:val="2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EFD67BC"/>
    <w:multiLevelType w:val="hybridMultilevel"/>
    <w:tmpl w:val="AB486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F16694F"/>
    <w:multiLevelType w:val="hybridMultilevel"/>
    <w:tmpl w:val="ADB0BACE"/>
    <w:lvl w:ilvl="0" w:tplc="F21EE998">
      <w:numFmt w:val="bullet"/>
      <w:lvlText w:val="•"/>
      <w:lvlJc w:val="left"/>
      <w:pPr>
        <w:ind w:left="360" w:hanging="360"/>
      </w:pPr>
      <w:rPr>
        <w:rFonts w:ascii="Arial" w:hAnsi="Arial" w:hint="default"/>
        <w:b/>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ED35D8"/>
    <w:multiLevelType w:val="hybridMultilevel"/>
    <w:tmpl w:val="B6205846"/>
    <w:lvl w:ilvl="0" w:tplc="F21EE998">
      <w:numFmt w:val="bullet"/>
      <w:lvlText w:val="•"/>
      <w:lvlJc w:val="left"/>
      <w:pPr>
        <w:ind w:left="360" w:hanging="360"/>
      </w:pPr>
      <w:rPr>
        <w:rFonts w:ascii="Arial" w:hAnsi="Arial" w:hint="default"/>
        <w:b/>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7956758"/>
    <w:multiLevelType w:val="hybridMultilevel"/>
    <w:tmpl w:val="E8A6EC7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3" w15:restartNumberingAfterBreak="0">
    <w:nsid w:val="4915777A"/>
    <w:multiLevelType w:val="hybridMultilevel"/>
    <w:tmpl w:val="34389656"/>
    <w:lvl w:ilvl="0" w:tplc="CF163C8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5B7436"/>
    <w:multiLevelType w:val="multilevel"/>
    <w:tmpl w:val="2102C5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F2E6708"/>
    <w:multiLevelType w:val="hybridMultilevel"/>
    <w:tmpl w:val="205E0C12"/>
    <w:lvl w:ilvl="0" w:tplc="FFFFFFFF">
      <w:numFmt w:val="bullet"/>
      <w:lvlText w:val="•"/>
      <w:lvlJc w:val="left"/>
      <w:pPr>
        <w:ind w:left="360" w:hanging="360"/>
      </w:pPr>
      <w:rPr>
        <w:rFonts w:ascii="Arial" w:hAnsi="Arial" w:hint="default"/>
        <w:b/>
        <w:color w:val="auto"/>
        <w:sz w:val="28"/>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C23D39"/>
    <w:multiLevelType w:val="hybridMultilevel"/>
    <w:tmpl w:val="6A4A38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46154D"/>
    <w:multiLevelType w:val="hybridMultilevel"/>
    <w:tmpl w:val="81925C12"/>
    <w:lvl w:ilvl="0" w:tplc="F21EE998">
      <w:numFmt w:val="bullet"/>
      <w:lvlText w:val="•"/>
      <w:lvlJc w:val="left"/>
      <w:pPr>
        <w:ind w:left="360" w:hanging="360"/>
      </w:pPr>
      <w:rPr>
        <w:rFonts w:ascii="Arial" w:hAnsi="Arial" w:hint="default"/>
        <w:b/>
        <w:color w:val="auto"/>
        <w:sz w:val="28"/>
      </w:rPr>
    </w:lvl>
    <w:lvl w:ilvl="1" w:tplc="81A40192">
      <w:start w:val="1"/>
      <w:numFmt w:val="bullet"/>
      <w:pStyle w:val="ListBullet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34280390">
    <w:abstractNumId w:val="7"/>
  </w:num>
  <w:num w:numId="2" w16cid:durableId="1875727798">
    <w:abstractNumId w:val="28"/>
  </w:num>
  <w:num w:numId="3" w16cid:durableId="1742485916">
    <w:abstractNumId w:val="31"/>
  </w:num>
  <w:num w:numId="4" w16cid:durableId="1354307564">
    <w:abstractNumId w:val="8"/>
  </w:num>
  <w:num w:numId="5" w16cid:durableId="1401294608">
    <w:abstractNumId w:val="8"/>
    <w:lvlOverride w:ilvl="0">
      <w:startOverride w:val="1"/>
    </w:lvlOverride>
  </w:num>
  <w:num w:numId="6" w16cid:durableId="696273829">
    <w:abstractNumId w:val="10"/>
  </w:num>
  <w:num w:numId="7" w16cid:durableId="2132892343">
    <w:abstractNumId w:val="21"/>
  </w:num>
  <w:num w:numId="8" w16cid:durableId="1885018730">
    <w:abstractNumId w:val="30"/>
  </w:num>
  <w:num w:numId="9" w16cid:durableId="1482305174">
    <w:abstractNumId w:val="5"/>
  </w:num>
  <w:num w:numId="10" w16cid:durableId="479732191">
    <w:abstractNumId w:val="4"/>
  </w:num>
  <w:num w:numId="11" w16cid:durableId="1322201670">
    <w:abstractNumId w:val="3"/>
  </w:num>
  <w:num w:numId="12" w16cid:durableId="1025131700">
    <w:abstractNumId w:val="2"/>
  </w:num>
  <w:num w:numId="13" w16cid:durableId="1736197421">
    <w:abstractNumId w:val="6"/>
  </w:num>
  <w:num w:numId="14" w16cid:durableId="305209764">
    <w:abstractNumId w:val="1"/>
  </w:num>
  <w:num w:numId="15" w16cid:durableId="275873339">
    <w:abstractNumId w:val="0"/>
  </w:num>
  <w:num w:numId="16" w16cid:durableId="1749038341">
    <w:abstractNumId w:val="32"/>
  </w:num>
  <w:num w:numId="17" w16cid:durableId="73747767">
    <w:abstractNumId w:val="11"/>
  </w:num>
  <w:num w:numId="18" w16cid:durableId="1590801">
    <w:abstractNumId w:val="15"/>
  </w:num>
  <w:num w:numId="19" w16cid:durableId="1694114522">
    <w:abstractNumId w:val="18"/>
  </w:num>
  <w:num w:numId="20" w16cid:durableId="2065717685">
    <w:abstractNumId w:val="11"/>
  </w:num>
  <w:num w:numId="21" w16cid:durableId="212619461">
    <w:abstractNumId w:val="18"/>
  </w:num>
  <w:num w:numId="22" w16cid:durableId="29379354">
    <w:abstractNumId w:val="32"/>
  </w:num>
  <w:num w:numId="23" w16cid:durableId="1778209396">
    <w:abstractNumId w:val="28"/>
  </w:num>
  <w:num w:numId="24" w16cid:durableId="1251043094">
    <w:abstractNumId w:val="31"/>
  </w:num>
  <w:num w:numId="25" w16cid:durableId="477655215">
    <w:abstractNumId w:val="8"/>
  </w:num>
  <w:num w:numId="26" w16cid:durableId="1207840428">
    <w:abstractNumId w:val="26"/>
  </w:num>
  <w:num w:numId="27" w16cid:durableId="965039431">
    <w:abstractNumId w:val="27"/>
  </w:num>
  <w:num w:numId="28" w16cid:durableId="728963428">
    <w:abstractNumId w:val="22"/>
  </w:num>
  <w:num w:numId="29" w16cid:durableId="2055234276">
    <w:abstractNumId w:val="13"/>
  </w:num>
  <w:num w:numId="30" w16cid:durableId="609975701">
    <w:abstractNumId w:val="9"/>
  </w:num>
  <w:num w:numId="31" w16cid:durableId="338124977">
    <w:abstractNumId w:val="17"/>
  </w:num>
  <w:num w:numId="32" w16cid:durableId="1000695251">
    <w:abstractNumId w:val="24"/>
  </w:num>
  <w:num w:numId="33" w16cid:durableId="461075773">
    <w:abstractNumId w:val="14"/>
  </w:num>
  <w:num w:numId="34" w16cid:durableId="1556620549">
    <w:abstractNumId w:val="16"/>
  </w:num>
  <w:num w:numId="35" w16cid:durableId="1043483664">
    <w:abstractNumId w:val="20"/>
  </w:num>
  <w:num w:numId="36" w16cid:durableId="2051689348">
    <w:abstractNumId w:val="19"/>
  </w:num>
  <w:num w:numId="37" w16cid:durableId="1581063328">
    <w:abstractNumId w:val="29"/>
  </w:num>
  <w:num w:numId="38" w16cid:durableId="1552383805">
    <w:abstractNumId w:val="25"/>
  </w:num>
  <w:num w:numId="39" w16cid:durableId="689066339">
    <w:abstractNumId w:val="12"/>
  </w:num>
  <w:num w:numId="40" w16cid:durableId="573052193">
    <w:abstractNumId w:val="23"/>
  </w:num>
  <w:num w:numId="41" w16cid:durableId="689333137">
    <w:abstractNumId w:val="23"/>
  </w:num>
  <w:num w:numId="42" w16cid:durableId="115224769">
    <w:abstractNumId w:val="23"/>
  </w:num>
  <w:num w:numId="43" w16cid:durableId="1479299816">
    <w:abstractNumId w:val="23"/>
  </w:num>
  <w:num w:numId="44" w16cid:durableId="1277827425">
    <w:abstractNumId w:val="23"/>
  </w:num>
  <w:num w:numId="45" w16cid:durableId="681081216">
    <w:abstractNumId w:val="23"/>
  </w:num>
  <w:num w:numId="46" w16cid:durableId="1689869940">
    <w:abstractNumId w:val="23"/>
  </w:num>
  <w:num w:numId="47" w16cid:durableId="439035705">
    <w:abstractNumId w:val="23"/>
  </w:num>
  <w:num w:numId="48" w16cid:durableId="1304314562">
    <w:abstractNumId w:val="23"/>
  </w:num>
  <w:num w:numId="49" w16cid:durableId="1603410976">
    <w:abstractNumId w:val="23"/>
  </w:num>
  <w:num w:numId="50" w16cid:durableId="541551439">
    <w:abstractNumId w:val="23"/>
  </w:num>
  <w:num w:numId="51" w16cid:durableId="18882947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1F41"/>
    <w:rsid w:val="00003743"/>
    <w:rsid w:val="000047B4"/>
    <w:rsid w:val="00005712"/>
    <w:rsid w:val="00007FD8"/>
    <w:rsid w:val="000117F8"/>
    <w:rsid w:val="00017A09"/>
    <w:rsid w:val="00026139"/>
    <w:rsid w:val="00027071"/>
    <w:rsid w:val="00027601"/>
    <w:rsid w:val="00033321"/>
    <w:rsid w:val="000338E5"/>
    <w:rsid w:val="00033ECC"/>
    <w:rsid w:val="0003422F"/>
    <w:rsid w:val="00046FF0"/>
    <w:rsid w:val="00050176"/>
    <w:rsid w:val="00051534"/>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0F3D98"/>
    <w:rsid w:val="0010616D"/>
    <w:rsid w:val="00110478"/>
    <w:rsid w:val="0011711B"/>
    <w:rsid w:val="00117F8A"/>
    <w:rsid w:val="00121B9B"/>
    <w:rsid w:val="00121D4A"/>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A558C"/>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6E0E"/>
    <w:rsid w:val="002872ED"/>
    <w:rsid w:val="002905C2"/>
    <w:rsid w:val="00295AF2"/>
    <w:rsid w:val="00295C91"/>
    <w:rsid w:val="00297151"/>
    <w:rsid w:val="002A0910"/>
    <w:rsid w:val="002A3D19"/>
    <w:rsid w:val="002A5F86"/>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2B63"/>
    <w:rsid w:val="003540A4"/>
    <w:rsid w:val="00355C0B"/>
    <w:rsid w:val="00360E4E"/>
    <w:rsid w:val="00370AAA"/>
    <w:rsid w:val="00375F77"/>
    <w:rsid w:val="00377A78"/>
    <w:rsid w:val="00381BBE"/>
    <w:rsid w:val="00382903"/>
    <w:rsid w:val="003846A8"/>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222A"/>
    <w:rsid w:val="003E5265"/>
    <w:rsid w:val="003F0955"/>
    <w:rsid w:val="003F6FE1"/>
    <w:rsid w:val="00400F00"/>
    <w:rsid w:val="0040426D"/>
    <w:rsid w:val="00404F8B"/>
    <w:rsid w:val="00405256"/>
    <w:rsid w:val="00410031"/>
    <w:rsid w:val="004106A8"/>
    <w:rsid w:val="004115A2"/>
    <w:rsid w:val="00415C81"/>
    <w:rsid w:val="00416731"/>
    <w:rsid w:val="00432378"/>
    <w:rsid w:val="00440D65"/>
    <w:rsid w:val="004435E6"/>
    <w:rsid w:val="0044610D"/>
    <w:rsid w:val="00447E31"/>
    <w:rsid w:val="00453923"/>
    <w:rsid w:val="00454B9B"/>
    <w:rsid w:val="00457858"/>
    <w:rsid w:val="00460B0B"/>
    <w:rsid w:val="00461023"/>
    <w:rsid w:val="00462FAC"/>
    <w:rsid w:val="00464631"/>
    <w:rsid w:val="00464B79"/>
    <w:rsid w:val="00467BBF"/>
    <w:rsid w:val="00484E55"/>
    <w:rsid w:val="004867E2"/>
    <w:rsid w:val="004929A9"/>
    <w:rsid w:val="004C0489"/>
    <w:rsid w:val="004C2FEC"/>
    <w:rsid w:val="004C6BCF"/>
    <w:rsid w:val="004D3AB5"/>
    <w:rsid w:val="004D58BF"/>
    <w:rsid w:val="004D75AA"/>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97D79"/>
    <w:rsid w:val="005A0C59"/>
    <w:rsid w:val="005A25FF"/>
    <w:rsid w:val="005A48EB"/>
    <w:rsid w:val="005A6CFB"/>
    <w:rsid w:val="005C5AEB"/>
    <w:rsid w:val="005D0CDF"/>
    <w:rsid w:val="005E0A3F"/>
    <w:rsid w:val="005E6883"/>
    <w:rsid w:val="005E772F"/>
    <w:rsid w:val="005F4ECA"/>
    <w:rsid w:val="006041BE"/>
    <w:rsid w:val="006043C7"/>
    <w:rsid w:val="00624B52"/>
    <w:rsid w:val="00631DF4"/>
    <w:rsid w:val="00634175"/>
    <w:rsid w:val="006408AC"/>
    <w:rsid w:val="006511B6"/>
    <w:rsid w:val="00652742"/>
    <w:rsid w:val="00657FF8"/>
    <w:rsid w:val="0067044A"/>
    <w:rsid w:val="00670D99"/>
    <w:rsid w:val="00670E2B"/>
    <w:rsid w:val="00672743"/>
    <w:rsid w:val="006734BB"/>
    <w:rsid w:val="00681A34"/>
    <w:rsid w:val="006821EB"/>
    <w:rsid w:val="006B2286"/>
    <w:rsid w:val="006B56BB"/>
    <w:rsid w:val="006B5DBE"/>
    <w:rsid w:val="006C77A8"/>
    <w:rsid w:val="006D4098"/>
    <w:rsid w:val="006D4581"/>
    <w:rsid w:val="006D7681"/>
    <w:rsid w:val="006D7B2E"/>
    <w:rsid w:val="006E02EA"/>
    <w:rsid w:val="006E0968"/>
    <w:rsid w:val="006E2AF6"/>
    <w:rsid w:val="006F09CC"/>
    <w:rsid w:val="00701275"/>
    <w:rsid w:val="00705936"/>
    <w:rsid w:val="00707F56"/>
    <w:rsid w:val="00713558"/>
    <w:rsid w:val="00720D08"/>
    <w:rsid w:val="00720EBB"/>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B3D03"/>
    <w:rsid w:val="007C6D9C"/>
    <w:rsid w:val="007C7DDB"/>
    <w:rsid w:val="007D2CC7"/>
    <w:rsid w:val="007D673D"/>
    <w:rsid w:val="007F2220"/>
    <w:rsid w:val="007F4B3E"/>
    <w:rsid w:val="007F588A"/>
    <w:rsid w:val="00802A07"/>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A5C"/>
    <w:rsid w:val="00884C63"/>
    <w:rsid w:val="00885908"/>
    <w:rsid w:val="008864B7"/>
    <w:rsid w:val="0089677E"/>
    <w:rsid w:val="00896E8C"/>
    <w:rsid w:val="008A7438"/>
    <w:rsid w:val="008B1334"/>
    <w:rsid w:val="008C0278"/>
    <w:rsid w:val="008C24E9"/>
    <w:rsid w:val="008D0533"/>
    <w:rsid w:val="008D0803"/>
    <w:rsid w:val="008D42CB"/>
    <w:rsid w:val="008D48C9"/>
    <w:rsid w:val="008D5B79"/>
    <w:rsid w:val="008D6381"/>
    <w:rsid w:val="008E0C77"/>
    <w:rsid w:val="008E625F"/>
    <w:rsid w:val="008F2543"/>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61064"/>
    <w:rsid w:val="00972BC1"/>
    <w:rsid w:val="00974B59"/>
    <w:rsid w:val="0098340B"/>
    <w:rsid w:val="00985ACA"/>
    <w:rsid w:val="00986830"/>
    <w:rsid w:val="009924C3"/>
    <w:rsid w:val="00993102"/>
    <w:rsid w:val="009A0F75"/>
    <w:rsid w:val="009A7F5A"/>
    <w:rsid w:val="009C2F1B"/>
    <w:rsid w:val="009C4A39"/>
    <w:rsid w:val="009C6F10"/>
    <w:rsid w:val="009D148F"/>
    <w:rsid w:val="009D3D70"/>
    <w:rsid w:val="009D525A"/>
    <w:rsid w:val="009E6F7E"/>
    <w:rsid w:val="009E7824"/>
    <w:rsid w:val="009E7A57"/>
    <w:rsid w:val="009F4F6A"/>
    <w:rsid w:val="00A04084"/>
    <w:rsid w:val="00A1348E"/>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83EEF"/>
    <w:rsid w:val="00A90F8E"/>
    <w:rsid w:val="00A930AE"/>
    <w:rsid w:val="00AA1A95"/>
    <w:rsid w:val="00AA260F"/>
    <w:rsid w:val="00AB0202"/>
    <w:rsid w:val="00AB1EE7"/>
    <w:rsid w:val="00AB4B37"/>
    <w:rsid w:val="00AB5762"/>
    <w:rsid w:val="00AC2679"/>
    <w:rsid w:val="00AC4BE4"/>
    <w:rsid w:val="00AC6BF9"/>
    <w:rsid w:val="00AD05E6"/>
    <w:rsid w:val="00AD0D3F"/>
    <w:rsid w:val="00AD1C5A"/>
    <w:rsid w:val="00AE1D7D"/>
    <w:rsid w:val="00AE2A8B"/>
    <w:rsid w:val="00AE3F64"/>
    <w:rsid w:val="00AF3A35"/>
    <w:rsid w:val="00AF702A"/>
    <w:rsid w:val="00AF7386"/>
    <w:rsid w:val="00AF7934"/>
    <w:rsid w:val="00B00B81"/>
    <w:rsid w:val="00B04580"/>
    <w:rsid w:val="00B04B09"/>
    <w:rsid w:val="00B11ED0"/>
    <w:rsid w:val="00B16A51"/>
    <w:rsid w:val="00B25440"/>
    <w:rsid w:val="00B32222"/>
    <w:rsid w:val="00B3618D"/>
    <w:rsid w:val="00B36233"/>
    <w:rsid w:val="00B42851"/>
    <w:rsid w:val="00B45AC7"/>
    <w:rsid w:val="00B5372F"/>
    <w:rsid w:val="00B61129"/>
    <w:rsid w:val="00B67E7F"/>
    <w:rsid w:val="00B741CE"/>
    <w:rsid w:val="00B75A04"/>
    <w:rsid w:val="00B82A16"/>
    <w:rsid w:val="00B839B2"/>
    <w:rsid w:val="00B94252"/>
    <w:rsid w:val="00B9715A"/>
    <w:rsid w:val="00BA14BE"/>
    <w:rsid w:val="00BA2732"/>
    <w:rsid w:val="00BA293D"/>
    <w:rsid w:val="00BA49BC"/>
    <w:rsid w:val="00BA56B7"/>
    <w:rsid w:val="00BA7A1E"/>
    <w:rsid w:val="00BA7CA9"/>
    <w:rsid w:val="00BB2F6C"/>
    <w:rsid w:val="00BB3875"/>
    <w:rsid w:val="00BB4635"/>
    <w:rsid w:val="00BB5860"/>
    <w:rsid w:val="00BB6AAD"/>
    <w:rsid w:val="00BC4A19"/>
    <w:rsid w:val="00BC4E6D"/>
    <w:rsid w:val="00BD0617"/>
    <w:rsid w:val="00BD2E9B"/>
    <w:rsid w:val="00BE3F24"/>
    <w:rsid w:val="00BF52D7"/>
    <w:rsid w:val="00BF7AD7"/>
    <w:rsid w:val="00C00930"/>
    <w:rsid w:val="00C060AD"/>
    <w:rsid w:val="00C0670D"/>
    <w:rsid w:val="00C113BF"/>
    <w:rsid w:val="00C2176E"/>
    <w:rsid w:val="00C23430"/>
    <w:rsid w:val="00C27D67"/>
    <w:rsid w:val="00C41C2A"/>
    <w:rsid w:val="00C4631F"/>
    <w:rsid w:val="00C50E16"/>
    <w:rsid w:val="00C50F69"/>
    <w:rsid w:val="00C55258"/>
    <w:rsid w:val="00C721FF"/>
    <w:rsid w:val="00C7530F"/>
    <w:rsid w:val="00C82EEB"/>
    <w:rsid w:val="00C971DC"/>
    <w:rsid w:val="00CA16B7"/>
    <w:rsid w:val="00CA4BE3"/>
    <w:rsid w:val="00CA62AE"/>
    <w:rsid w:val="00CB5B1A"/>
    <w:rsid w:val="00CC220B"/>
    <w:rsid w:val="00CC511A"/>
    <w:rsid w:val="00CC5C43"/>
    <w:rsid w:val="00CD02AE"/>
    <w:rsid w:val="00CD2A4F"/>
    <w:rsid w:val="00CE03CA"/>
    <w:rsid w:val="00CE16E3"/>
    <w:rsid w:val="00CE22F1"/>
    <w:rsid w:val="00CE50F2"/>
    <w:rsid w:val="00CE6502"/>
    <w:rsid w:val="00CE6872"/>
    <w:rsid w:val="00CF2B5E"/>
    <w:rsid w:val="00CF58F9"/>
    <w:rsid w:val="00CF69C2"/>
    <w:rsid w:val="00CF7D3C"/>
    <w:rsid w:val="00D03933"/>
    <w:rsid w:val="00D147EB"/>
    <w:rsid w:val="00D251F9"/>
    <w:rsid w:val="00D321B2"/>
    <w:rsid w:val="00D34407"/>
    <w:rsid w:val="00D34667"/>
    <w:rsid w:val="00D401E1"/>
    <w:rsid w:val="00D408B4"/>
    <w:rsid w:val="00D423B1"/>
    <w:rsid w:val="00D45D94"/>
    <w:rsid w:val="00D524C8"/>
    <w:rsid w:val="00D60E25"/>
    <w:rsid w:val="00D70E24"/>
    <w:rsid w:val="00D72B61"/>
    <w:rsid w:val="00DA164D"/>
    <w:rsid w:val="00DA3D1D"/>
    <w:rsid w:val="00DB0138"/>
    <w:rsid w:val="00DB0DC5"/>
    <w:rsid w:val="00DB6286"/>
    <w:rsid w:val="00DB645F"/>
    <w:rsid w:val="00DB76E9"/>
    <w:rsid w:val="00DC0A67"/>
    <w:rsid w:val="00DC1D5E"/>
    <w:rsid w:val="00DC2313"/>
    <w:rsid w:val="00DC5220"/>
    <w:rsid w:val="00DC5B06"/>
    <w:rsid w:val="00DC7910"/>
    <w:rsid w:val="00DD2061"/>
    <w:rsid w:val="00DD7DAB"/>
    <w:rsid w:val="00DE3355"/>
    <w:rsid w:val="00DF486F"/>
    <w:rsid w:val="00DF5B5B"/>
    <w:rsid w:val="00DF707D"/>
    <w:rsid w:val="00DF7619"/>
    <w:rsid w:val="00E042D8"/>
    <w:rsid w:val="00E07EE7"/>
    <w:rsid w:val="00E1103B"/>
    <w:rsid w:val="00E17B44"/>
    <w:rsid w:val="00E27FEA"/>
    <w:rsid w:val="00E361BD"/>
    <w:rsid w:val="00E4086F"/>
    <w:rsid w:val="00E43B3C"/>
    <w:rsid w:val="00E50188"/>
    <w:rsid w:val="00E515CB"/>
    <w:rsid w:val="00E52260"/>
    <w:rsid w:val="00E604B4"/>
    <w:rsid w:val="00E6298C"/>
    <w:rsid w:val="00E639B6"/>
    <w:rsid w:val="00E6434B"/>
    <w:rsid w:val="00E6463D"/>
    <w:rsid w:val="00E70A8B"/>
    <w:rsid w:val="00E70ECC"/>
    <w:rsid w:val="00E72E9B"/>
    <w:rsid w:val="00E849C2"/>
    <w:rsid w:val="00E849DA"/>
    <w:rsid w:val="00E9462E"/>
    <w:rsid w:val="00EA470E"/>
    <w:rsid w:val="00EA47A7"/>
    <w:rsid w:val="00EA57EB"/>
    <w:rsid w:val="00EB19C0"/>
    <w:rsid w:val="00EB3226"/>
    <w:rsid w:val="00EC213A"/>
    <w:rsid w:val="00EC6603"/>
    <w:rsid w:val="00EC7744"/>
    <w:rsid w:val="00ED0DAD"/>
    <w:rsid w:val="00ED0F46"/>
    <w:rsid w:val="00ED2373"/>
    <w:rsid w:val="00ED7205"/>
    <w:rsid w:val="00EE3E8A"/>
    <w:rsid w:val="00EF6ECA"/>
    <w:rsid w:val="00F024E1"/>
    <w:rsid w:val="00F049F6"/>
    <w:rsid w:val="00F06C10"/>
    <w:rsid w:val="00F1096F"/>
    <w:rsid w:val="00F12589"/>
    <w:rsid w:val="00F12595"/>
    <w:rsid w:val="00F134D9"/>
    <w:rsid w:val="00F1403D"/>
    <w:rsid w:val="00F1463F"/>
    <w:rsid w:val="00F21302"/>
    <w:rsid w:val="00F217A8"/>
    <w:rsid w:val="00F23B06"/>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78E9CEB4-CC1B-4C7A-A037-C18272F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02A07"/>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CF58F9"/>
    <w:pPr>
      <w:keepNext/>
      <w:spacing w:before="240" w:after="60"/>
      <w:outlineLvl w:val="3"/>
    </w:pPr>
    <w:rPr>
      <w:rFonts w:ascii="Arial" w:eastAsiaTheme="minorEastAsia" w:hAnsi="Arial" w:cs="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Paragraph"/>
    <w:rsid w:val="008F2543"/>
    <w:pPr>
      <w:numPr>
        <w:ilvl w:val="1"/>
        <w:numId w:val="37"/>
      </w:numPr>
    </w:pPr>
    <w:rPr>
      <w:rFonts w:eastAsia="Arial"/>
      <w:color w:val="auto"/>
      <w:szCs w:val="22"/>
    </w:rPr>
  </w:style>
  <w:style w:type="paragraph" w:styleId="ListNumber2">
    <w:name w:val="List Number 2"/>
    <w:basedOn w:val="ListBullet"/>
    <w:qFormat/>
    <w:rsid w:val="00BF7AD7"/>
    <w:pPr>
      <w:numPr>
        <w:numId w:val="21"/>
      </w:numPr>
    </w:pPr>
  </w:style>
  <w:style w:type="paragraph" w:styleId="ListBullet">
    <w:name w:val="List Bullet"/>
    <w:basedOn w:val="ListParagraph"/>
    <w:qFormat/>
    <w:rsid w:val="0067044A"/>
    <w:pPr>
      <w:numPr>
        <w:numId w:val="40"/>
      </w:numPr>
    </w:pPr>
    <w:rPr>
      <w:rFonts w:eastAsia="Arial"/>
    </w:r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EB19C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rFonts w:ascii="Arial" w:hAnsi="Arial"/>
        <w:b/>
      </w:rPr>
    </w:tblStyle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TOC2">
    <w:name w:val="toc 2"/>
    <w:basedOn w:val="Normal"/>
    <w:next w:val="Normal"/>
    <w:uiPriority w:val="39"/>
    <w:qFormat/>
    <w:rsid w:val="009A7F5A"/>
    <w:pPr>
      <w:tabs>
        <w:tab w:val="right" w:leader="dot" w:pos="9402"/>
      </w:tabs>
      <w:spacing w:line="360" w:lineRule="auto"/>
      <w:ind w:left="221"/>
    </w:pPr>
    <w:rPr>
      <w:rFonts w:asciiTheme="minorHAnsi" w:eastAsiaTheme="minorHAnsi" w:hAnsiTheme="minorHAnsi" w:cstheme="minorBidi"/>
      <w:noProof/>
      <w:color w:val="auto"/>
      <w:sz w:val="24"/>
    </w:rPr>
  </w:style>
  <w:style w:type="paragraph" w:styleId="TOC1">
    <w:name w:val="toc 1"/>
    <w:basedOn w:val="Normal"/>
    <w:next w:val="Normal"/>
    <w:autoRedefine/>
    <w:uiPriority w:val="39"/>
    <w:unhideWhenUsed/>
    <w:rsid w:val="009A7F5A"/>
    <w:pPr>
      <w:spacing w:after="100"/>
    </w:pPr>
  </w:style>
  <w:style w:type="table" w:customStyle="1" w:styleId="TableGrid1">
    <w:name w:val="Table Grid1"/>
    <w:basedOn w:val="TableNormal"/>
    <w:next w:val="TableGrid"/>
    <w:rsid w:val="00121D4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1">
    <w:name w:val="Footnote Reference1"/>
    <w:basedOn w:val="DefaultParagraphFont"/>
    <w:uiPriority w:val="99"/>
    <w:unhideWhenUsed/>
    <w:qFormat/>
    <w:rsid w:val="00121D4A"/>
    <w:rPr>
      <w:rFonts w:ascii="Arial" w:hAnsi="Arial"/>
      <w:color w:val="0D0D0D"/>
      <w:sz w:val="18"/>
      <w:bdr w:val="none" w:sz="0" w:space="0" w:color="auto"/>
      <w:vertAlign w:val="superscript"/>
    </w:rPr>
  </w:style>
  <w:style w:type="character" w:styleId="CommentReference">
    <w:name w:val="annotation reference"/>
    <w:basedOn w:val="DefaultParagraphFont"/>
    <w:uiPriority w:val="99"/>
    <w:semiHidden/>
    <w:unhideWhenUsed/>
    <w:rsid w:val="00121D4A"/>
    <w:rPr>
      <w:sz w:val="16"/>
      <w:szCs w:val="16"/>
    </w:rPr>
  </w:style>
  <w:style w:type="paragraph" w:customStyle="1" w:styleId="CommentText1">
    <w:name w:val="Comment Text1"/>
    <w:basedOn w:val="Normal"/>
    <w:next w:val="CommentText"/>
    <w:link w:val="CommentTextChar"/>
    <w:uiPriority w:val="99"/>
    <w:unhideWhenUsed/>
    <w:rsid w:val="00121D4A"/>
    <w:pPr>
      <w:spacing w:line="240" w:lineRule="auto"/>
    </w:pPr>
    <w:rPr>
      <w:color w:val="auto"/>
      <w:sz w:val="20"/>
      <w:szCs w:val="20"/>
      <w:lang w:eastAsia="en-AU"/>
    </w:rPr>
  </w:style>
  <w:style w:type="character" w:customStyle="1" w:styleId="CommentTextChar">
    <w:name w:val="Comment Text Char"/>
    <w:basedOn w:val="DefaultParagraphFont"/>
    <w:link w:val="CommentText1"/>
    <w:uiPriority w:val="99"/>
    <w:rsid w:val="00121D4A"/>
    <w:rPr>
      <w:rFonts w:ascii="Arial" w:hAnsi="Arial"/>
      <w:sz w:val="20"/>
      <w:szCs w:val="20"/>
    </w:rPr>
  </w:style>
  <w:style w:type="table" w:customStyle="1" w:styleId="GridTable2-Accent21">
    <w:name w:val="Grid Table 2 - Accent 21"/>
    <w:basedOn w:val="TableNormal"/>
    <w:next w:val="GridTable2-Accent2"/>
    <w:uiPriority w:val="47"/>
    <w:rsid w:val="00121D4A"/>
    <w:rPr>
      <w:rFonts w:ascii="Arial" w:eastAsia="Arial" w:hAnsi="Arial"/>
      <w:sz w:val="22"/>
      <w:szCs w:val="22"/>
      <w:lang w:eastAsia="en-US"/>
    </w:rPr>
    <w:tblPr>
      <w:tblStyleRowBandSize w:val="1"/>
      <w:tblStyleColBandSize w:val="1"/>
      <w:tblBorders>
        <w:top w:val="single" w:sz="2" w:space="0" w:color="78D1CE"/>
        <w:bottom w:val="single" w:sz="2" w:space="0" w:color="78D1CE"/>
        <w:insideH w:val="single" w:sz="2" w:space="0" w:color="78D1CE"/>
        <w:insideV w:val="single" w:sz="2" w:space="0" w:color="78D1CE"/>
      </w:tblBorders>
    </w:tblPr>
    <w:tblStylePr w:type="firstRow">
      <w:rPr>
        <w:b/>
        <w:bCs/>
      </w:rPr>
      <w:tblPr/>
      <w:tcPr>
        <w:tcBorders>
          <w:top w:val="nil"/>
          <w:bottom w:val="single" w:sz="12" w:space="0" w:color="78D1CE"/>
          <w:insideH w:val="nil"/>
          <w:insideV w:val="nil"/>
        </w:tcBorders>
        <w:shd w:val="clear" w:color="auto" w:fill="FFFFFF"/>
      </w:tcPr>
    </w:tblStylePr>
    <w:tblStylePr w:type="lastRow">
      <w:rPr>
        <w:b/>
        <w:bCs/>
      </w:rPr>
      <w:tblPr/>
      <w:tcPr>
        <w:tcBorders>
          <w:top w:val="double" w:sz="2" w:space="0" w:color="78D1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2F0EF"/>
      </w:tcPr>
    </w:tblStylePr>
    <w:tblStylePr w:type="band1Horz">
      <w:tblPr/>
      <w:tcPr>
        <w:shd w:val="clear" w:color="auto" w:fill="D2F0EF"/>
      </w:tcPr>
    </w:tblStylePr>
  </w:style>
  <w:style w:type="character" w:styleId="FootnoteReference">
    <w:name w:val="footnote reference"/>
    <w:basedOn w:val="DefaultParagraphFont"/>
    <w:semiHidden/>
    <w:unhideWhenUsed/>
    <w:rsid w:val="00121D4A"/>
    <w:rPr>
      <w:vertAlign w:val="superscript"/>
    </w:rPr>
  </w:style>
  <w:style w:type="paragraph" w:styleId="CommentText">
    <w:name w:val="annotation text"/>
    <w:basedOn w:val="Normal"/>
    <w:link w:val="CommentTextChar1"/>
    <w:unhideWhenUsed/>
    <w:rsid w:val="00121D4A"/>
    <w:pPr>
      <w:spacing w:line="240" w:lineRule="auto"/>
    </w:pPr>
    <w:rPr>
      <w:sz w:val="20"/>
      <w:szCs w:val="20"/>
    </w:rPr>
  </w:style>
  <w:style w:type="character" w:customStyle="1" w:styleId="CommentTextChar1">
    <w:name w:val="Comment Text Char1"/>
    <w:basedOn w:val="DefaultParagraphFont"/>
    <w:link w:val="CommentText"/>
    <w:rsid w:val="00121D4A"/>
    <w:rPr>
      <w:rFonts w:ascii="Arial" w:hAnsi="Arial"/>
      <w:color w:val="000000" w:themeColor="text1"/>
      <w:lang w:eastAsia="en-US"/>
    </w:rPr>
  </w:style>
  <w:style w:type="table" w:styleId="GridTable2-Accent2">
    <w:name w:val="Grid Table 2 Accent 2"/>
    <w:basedOn w:val="TableNormal"/>
    <w:uiPriority w:val="47"/>
    <w:rsid w:val="00121D4A"/>
    <w:tblPr>
      <w:tblStyleRowBandSize w:val="1"/>
      <w:tblStyleColBandSize w:val="1"/>
      <w:tblBorders>
        <w:top w:val="single" w:sz="2" w:space="0" w:color="74C1C9" w:themeColor="accent2" w:themeTint="99"/>
        <w:bottom w:val="single" w:sz="2" w:space="0" w:color="74C1C9" w:themeColor="accent2" w:themeTint="99"/>
        <w:insideH w:val="single" w:sz="2" w:space="0" w:color="74C1C9" w:themeColor="accent2" w:themeTint="99"/>
        <w:insideV w:val="single" w:sz="2" w:space="0" w:color="74C1C9" w:themeColor="accent2" w:themeTint="99"/>
      </w:tblBorders>
    </w:tblPr>
    <w:tblStylePr w:type="firstRow">
      <w:rPr>
        <w:b/>
        <w:bCs/>
      </w:rPr>
      <w:tblPr/>
      <w:tcPr>
        <w:tcBorders>
          <w:top w:val="nil"/>
          <w:bottom w:val="single" w:sz="12" w:space="0" w:color="74C1C9" w:themeColor="accent2" w:themeTint="99"/>
          <w:insideH w:val="nil"/>
          <w:insideV w:val="nil"/>
        </w:tcBorders>
        <w:shd w:val="clear" w:color="auto" w:fill="FFFFFF" w:themeFill="background1"/>
      </w:tcPr>
    </w:tblStylePr>
    <w:tblStylePr w:type="lastRow">
      <w:rPr>
        <w:b/>
        <w:bCs/>
      </w:rPr>
      <w:tblPr/>
      <w:tcPr>
        <w:tcBorders>
          <w:top w:val="double" w:sz="2" w:space="0" w:color="74C1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CommentSubject">
    <w:name w:val="annotation subject"/>
    <w:basedOn w:val="CommentText"/>
    <w:next w:val="CommentText"/>
    <w:link w:val="CommentSubjectChar"/>
    <w:semiHidden/>
    <w:unhideWhenUsed/>
    <w:rsid w:val="00DF707D"/>
    <w:rPr>
      <w:b/>
      <w:bCs/>
    </w:rPr>
  </w:style>
  <w:style w:type="character" w:customStyle="1" w:styleId="CommentSubjectChar">
    <w:name w:val="Comment Subject Char"/>
    <w:basedOn w:val="CommentTextChar1"/>
    <w:link w:val="CommentSubject"/>
    <w:semiHidden/>
    <w:rsid w:val="00DF707D"/>
    <w:rPr>
      <w:rFonts w:ascii="Arial" w:hAnsi="Arial"/>
      <w:b/>
      <w:bCs/>
      <w:color w:val="000000" w:themeColor="text1"/>
      <w:lang w:eastAsia="en-US"/>
    </w:rPr>
  </w:style>
  <w:style w:type="paragraph" w:customStyle="1" w:styleId="pf0">
    <w:name w:val="pf0"/>
    <w:basedOn w:val="Normal"/>
    <w:rsid w:val="00A83EEF"/>
    <w:pPr>
      <w:spacing w:before="100" w:beforeAutospacing="1" w:after="100" w:afterAutospacing="1" w:line="240" w:lineRule="auto"/>
    </w:pPr>
    <w:rPr>
      <w:rFonts w:ascii="Times New Roman" w:hAnsi="Times New Roman"/>
      <w:color w:val="auto"/>
      <w:sz w:val="24"/>
      <w:lang w:eastAsia="en-AU"/>
    </w:rPr>
  </w:style>
  <w:style w:type="character" w:customStyle="1" w:styleId="cf01">
    <w:name w:val="cf01"/>
    <w:basedOn w:val="DefaultParagraphFont"/>
    <w:rsid w:val="00A83EEF"/>
    <w:rPr>
      <w:rFonts w:ascii="Segoe UI" w:hAnsi="Segoe UI" w:cs="Segoe UI" w:hint="default"/>
      <w:sz w:val="18"/>
      <w:szCs w:val="18"/>
    </w:rPr>
  </w:style>
  <w:style w:type="paragraph" w:customStyle="1" w:styleId="StyleHeading4AsianArial">
    <w:name w:val="Style Heading 4 + (Asian) Arial"/>
    <w:basedOn w:val="Heading4"/>
    <w:rsid w:val="00CF58F9"/>
    <w:rPr>
      <w:rFonts w:asciiTheme="minorHAnsi" w:eastAsia="Arial" w:hAnsiTheme="minorHAnsi"/>
    </w:rPr>
  </w:style>
  <w:style w:type="paragraph" w:customStyle="1" w:styleId="StyleHeading1AsianMSGothic">
    <w:name w:val="Style Heading 1 + (Asian) MS Gothic"/>
    <w:basedOn w:val="Heading1"/>
    <w:rsid w:val="00884A5C"/>
    <w:rPr>
      <w:rFonts w:eastAsia="MS Gothic"/>
    </w:rPr>
  </w:style>
  <w:style w:type="paragraph" w:styleId="TOCHeading">
    <w:name w:val="TOC Heading"/>
    <w:basedOn w:val="Heading1"/>
    <w:next w:val="Normal"/>
    <w:uiPriority w:val="39"/>
    <w:unhideWhenUsed/>
    <w:qFormat/>
    <w:rsid w:val="00884A5C"/>
    <w:pPr>
      <w:keepLines/>
      <w:spacing w:after="0" w:line="259" w:lineRule="auto"/>
      <w:outlineLvl w:val="9"/>
    </w:pPr>
    <w:rPr>
      <w:rFonts w:eastAsiaTheme="majorEastAsia" w:cstheme="majorBidi"/>
      <w:bCs w:val="0"/>
      <w:color w:val="2F3757" w:themeColor="accent1" w:themeShade="BF"/>
      <w:kern w:val="0"/>
      <w:szCs w:val="32"/>
      <w:lang w:val="en-US"/>
    </w:rPr>
  </w:style>
  <w:style w:type="paragraph" w:styleId="TOC3">
    <w:name w:val="toc 3"/>
    <w:basedOn w:val="Normal"/>
    <w:next w:val="Normal"/>
    <w:autoRedefine/>
    <w:uiPriority w:val="39"/>
    <w:unhideWhenUsed/>
    <w:rsid w:val="00884A5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24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ink/ink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05T23:30:15.834"/>
    </inkml:context>
    <inkml:brush xml:id="br0">
      <inkml:brushProperty name="width" value="0.025" units="cm"/>
      <inkml:brushProperty name="height" value="0.025" units="cm"/>
    </inkml:brush>
  </inkml:definitions>
  <inkml:trace contextRef="#ctx0" brushRef="#br0">906 150 24575,'-295'315'0,"198"-205"0,-32 37 0,-167 178 0,284-312 0,4-4 0,-1-1 0,1 1 0,-2-2 0,1 1 0,-15 8 0,24-16 0,0 0 0,0 0 0,0 0 0,0 1 0,-1-1 0,1 0 0,0 0 0,0 0 0,0 0 0,0 0 0,0 0 0,0 1 0,-1-1 0,1 0 0,0 0 0,0 0 0,0 0 0,0 0 0,-1 0 0,1 0 0,0 0 0,0 0 0,0 0 0,0 0 0,-1 1 0,1-1 0,0 0 0,0 0 0,0 0 0,-1-1 0,1 1 0,0 0 0,0 0 0,0 0 0,-1 0 0,1 0 0,0 0 0,0 0 0,0 0 0,0 0 0,0 0 0,-1 0 0,1 0 0,0-1 0,0 1 0,0 0 0,0 0 0,0 0 0,-1 0 0,1 0 0,0-1 0,0 1 0,0 0 0,0 0 0,0 0 0,0 0 0,0-1 0,0 1 0,0 0 0,6-15 0,15-21 0,2 2 0,1 0 0,37-38 0,-44 52 0,92-101-169,5 5-1,5 5 0,5 5 1,233-153-1,-157 144 170,-170 100 0,0 2 0,2 1 0,-1 1 0,56-11 0,-81 21-2,1 0-1,0 0 1,-1 1-1,1 0 1,-1 0-1,1 1 1,-1-1-1,13 4 1,-17-3 20,-1 0 0,1-1 0,-1 1 0,1 0 1,-1 0-1,0-1 0,1 1 0,-1 1 1,0-1-1,0 0 0,0 0 0,1 0 1,-1 0-1,0 1 0,-1-1 0,1 1 0,0-1 1,0 0-1,-1 1 0,1-1 0,0 1 1,-1 0-1,0-1 0,1 1 0,-1-1 1,0 1-1,0 0 0,0-1 0,0 1 1,0 0-1,0-1 0,0 1 0,-1-1 0,1 1 1,0 0-1,-1-1 0,0 1 0,1-1 1,-2 2-1,-2 8-1,-1-1 0,0-1 0,0 1 0,-1-1 0,0 0 0,-1 0 0,0 0 1,-12 11-1,-7 3-24,-42 29 1,10-13 6,-1-3 0,-2-3 0,-1-3 0,-96 33 0,-275 62 0,288-87 0,125-33 0,-30 9 0,47-13 0,-1 1 0,1-1 0,0 0 0,0 1 0,0 0 0,0 0 0,0 0 0,0 0 0,1 0 0,-5 6 0,6-7 0,1-1 0,-1 1 0,1 0 0,-1 0 0,1 0 0,0 0 0,0 0 0,0 0 0,-1 0 0,1 0 0,0 0 0,0 0 0,0 0 0,0 0 0,1 0 0,-1 0 0,0 0 0,0 0 0,1 0 0,-1 0 0,0 0 0,1 0 0,-1 0 0,1 0 0,-1-1 0,1 1 0,-1 0 0,1 0 0,0 0 0,-1-1 0,2 2 0,26 21 0,-1-7 0,1-1 0,0-1 0,1-2 0,54 16 0,-21-12 0,87 12 0,-104-23 0,0-1 0,0-3 0,0-1 0,1-2 0,-1-2 0,-1-3 0,1-1 0,-1-2 0,0-2 0,-1-2 0,-1-2 0,74-39 0,-54 21 0,-3-3 0,-1-2 0,-1-3 0,-3-3 0,-2-2 0,-1-2 0,-3-2 0,50-70 0,-75 94 0,-22 30 0,-4 8 0,-31 55 0,-30 45 0,-4-4 0,-158 189 0,216-285 0,1 0 0,1-1 0,-2-1 0,1 1 0,-1-2 0,-23 16 0,33-24 0,0 1 0,0-1 0,-1 0 0,1 0 0,0 0 0,0 1 0,-1-1 0,1 0 0,0 0 0,-1 0 0,1 0 0,0 0 0,-1 0 0,1 0 0,0 1 0,-1-1 0,1 0 0,0 0 0,0 0 0,-1 0 0,1 0 0,0 0 0,-1-1 0,1 1 0,0 0 0,-1 0 0,1 0 0,0 0 0,-1 0 0,1 0 0,0 0 0,0-1 0,-1 1 0,1 0 0,0-12 0,12-20 0,6-4 0,1 1 0,3 1 0,28-35 0,88-91 0,-65 85 0,114-91 0,-128 121 0,1 3 0,118-62 0,-63 54 0,-102 46 0,1-1 0,0 2 0,0 0 0,0 1 0,0 0 0,20 1 0,-34 0 0,1 1 0,0 0 0,0 0 0,0 0 0,0 0 0,0 0 0,0 0 0,0 1 0,0-1 0,0 0 0,0 0 0,-1 1 0,1-1 0,0 0 0,0 1 0,0-1 0,-1 1 0,1-1 0,0 1 0,0 0 0,-1-1 0,2 2 0,-2-1 0,0 0 0,0-1 0,0 1 0,0 0 0,0 0 0,0-1 0,0 1 0,0 0 0,-1 0 0,1-1 0,0 1 0,0 0 0,-1 0 0,1-1 0,0 1 0,-1 0 0,1-1 0,-1 1 0,1-1 0,-2 2 0,-4 5 0,-1-1 0,0 0 0,-11 7 0,-34 22 0,-80 40 0,-66 19 0,14-8 0,182-85 0,-2 1 0,-1 0 0,1 0 0,0 1 0,0-1 0,0 1 0,-6 6 0,10-9 0,-1 0 0,1 1 0,0-1 0,-1 1 0,1-1 0,0 0 0,0 1 0,0-1 0,-1 1 0,1-1 0,0 1 0,0-1 0,0 1 0,0-1 0,0 1 0,0-1 0,0 1 0,0-1 0,0 1 0,0-1 0,0 1 0,0-1 0,0 1 0,1-1 0,-1 1 0,0 0 0,1 0 0,0 0 0,1 1 0,-1-1 0,0 0 0,1 0 0,-1 1 0,0-1 0,1-1 0,-1 1 0,1 0 0,2 1 0,146 59 0,-7-3 0,18 22 0,-131-63 0,-1 2 0,-1 1 0,31 27 0,-55-42 0,1-1 0,-1 0 0,0 1 0,0 0 0,0 0 0,0 0 0,-1 1 0,0-1 0,2 7 0,-4-9 0,0 1 0,0-1 0,0 1 0,-1 0 0,0-1 0,1 1 0,-1 0 0,-1-1 0,1 1 0,-1-1 0,1 1 0,-1-1 0,0 1 0,0-1 0,0 1 0,-1-1 0,-1 4 0,-4 5 0,-1 1 0,0-1 0,0-1 0,-2 0 0,1 0 0,-1-1 0,-21 17 0,-4-1 0,-50 29 0,18-18 0,-1-2 0,-1-4 0,-2-3 0,-76 20 0,80-30 0,0-3 0,-1-3 0,0-4 0,-118 1 0,153-10 0,1-1 0,-34-7 0,56 7 0,0 0 0,0-1 0,1 0 0,-1-1 0,0 0 0,1 0 0,0-1 0,0 0 0,0-1 0,-9-8 0,15 12 0,1-1 0,0 1 0,-1 0 0,1-1 0,0 0 0,0 0 0,0 0 0,1 1 0,-1-2 0,1 1 0,0 0 0,0 0 0,0 0 0,0 0 0,0-1 0,0 1 0,1-1 0,0 1 0,0 0 0,0-1 0,0 1 0,0 0 0,1-1 0,-1 1 0,1 0 0,0-1 0,0 1 0,0 0 0,1 0 0,-1 0 0,1 0 0,2-4 0,3-5 0,1 1 0,1-1 0,0 2 0,0-1 0,17-13 0,11-8 0,63-40 0,104-45-325,226-68-1166,13 45 316,-153 64-4026</inkml:trace>
</inkml:ink>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4" ma:contentTypeDescription="Create a new document." ma:contentTypeScope="" ma:versionID="1efc29144d2cdb5d0736af09f42c33a5">
  <xsd:schema xmlns:xsd="http://www.w3.org/2001/XMLSchema" xmlns:xs="http://www.w3.org/2001/XMLSchema" xmlns:p="http://schemas.microsoft.com/office/2006/metadata/properties" xmlns:ns2="b0971709-fccf-4aa3-94ca-d5d85211933c" targetNamespace="http://schemas.microsoft.com/office/2006/metadata/properties" ma:root="true" ma:fieldsID="4d060b4cffcc26a7af42461ee72e61dd"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8DD1B-8760-440C-BE92-5A36F2AA1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2406</Words>
  <Characters>15693</Characters>
  <Application>Microsoft Office Word</Application>
  <DocSecurity>0</DocSecurity>
  <Lines>713</Lines>
  <Paragraphs>583</Paragraphs>
  <ScaleCrop>false</ScaleCrop>
  <HeadingPairs>
    <vt:vector size="2" baseType="variant">
      <vt:variant>
        <vt:lpstr>Title</vt:lpstr>
      </vt:variant>
      <vt:variant>
        <vt:i4>1</vt:i4>
      </vt:variant>
    </vt:vector>
  </HeadingPairs>
  <TitlesOfParts>
    <vt:vector size="1" baseType="lpstr">
      <vt:lpstr>Emissions Reduction Plan 2024-25</vt:lpstr>
    </vt:vector>
  </TitlesOfParts>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Emissions Reduction Plan 2024-25</dc:title>
  <dc:creator>Australian Governement Department of Health and Aged Care</dc:creator>
  <cp:keywords>About the department</cp:keywords>
  <cp:lastModifiedBy>MASCHKE, Elvia</cp:lastModifiedBy>
  <cp:revision>4</cp:revision>
  <cp:lastPrinted>2022-06-22T22:44:00Z</cp:lastPrinted>
  <dcterms:created xsi:type="dcterms:W3CDTF">2024-11-05T23:04:00Z</dcterms:created>
  <dcterms:modified xsi:type="dcterms:W3CDTF">2024-11-05T23:09:00Z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0x010100913B9D538FF1B34BB1614625CED124C5</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 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499;#DESA, Katarina</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4;#visual identity|a54ebda2-a0fd-45ec-8fc0-1cf31001b526</vt:lpwstr>
  </property>
  <property fmtid="{D5CDD505-2E9C-101B-9397-08002B2CF9AE}" pid="24" name="lcf76f155ced4ddcb4097134ff3c332f">
    <vt:lpwstr/>
  </property>
</Properties>
</file>