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4" w:tblpY="646"/>
        <w:tblW w:w="5121" w:type="pct"/>
        <w:tblBorders>
          <w:top w:val="single" w:sz="4" w:space="0" w:color="3667AD"/>
          <w:left w:val="single" w:sz="4" w:space="0" w:color="3667AD"/>
          <w:bottom w:val="single" w:sz="4" w:space="0" w:color="3667AD"/>
          <w:right w:val="single" w:sz="4" w:space="0" w:color="3667AD"/>
          <w:insideH w:val="single" w:sz="4" w:space="0" w:color="3667AD"/>
          <w:insideV w:val="single" w:sz="4" w:space="0" w:color="3667AD"/>
        </w:tblBorders>
        <w:tblLayout w:type="fixed"/>
        <w:tblCellMar>
          <w:left w:w="170" w:type="dxa"/>
          <w:right w:w="113" w:type="dxa"/>
        </w:tblCellMar>
        <w:tblLook w:val="01E0" w:firstRow="1" w:lastRow="1" w:firstColumn="1" w:lastColumn="1" w:noHBand="0" w:noVBand="0"/>
      </w:tblPr>
      <w:tblGrid>
        <w:gridCol w:w="2976"/>
        <w:gridCol w:w="2976"/>
        <w:gridCol w:w="2837"/>
        <w:gridCol w:w="2833"/>
        <w:gridCol w:w="2828"/>
        <w:gridCol w:w="2980"/>
        <w:gridCol w:w="2837"/>
        <w:gridCol w:w="2837"/>
      </w:tblGrid>
      <w:tr w:rsidR="00F44BA4" w:rsidRPr="008E4367" w14:paraId="1015838C" w14:textId="77777777" w:rsidTr="00ED125F">
        <w:trPr>
          <w:trHeight w:val="1697"/>
        </w:trPr>
        <w:tc>
          <w:tcPr>
            <w:tcW w:w="644" w:type="pct"/>
            <w:tcBorders>
              <w:top w:val="nil"/>
              <w:left w:val="nil"/>
              <w:right w:val="single" w:sz="48" w:space="0" w:color="FFFFFF" w:themeColor="background1"/>
            </w:tcBorders>
            <w:shd w:val="clear" w:color="auto" w:fill="auto"/>
          </w:tcPr>
          <w:p w14:paraId="28169EA0" w14:textId="2EC85329" w:rsidR="00A65421" w:rsidRPr="008E4367" w:rsidRDefault="00A65421" w:rsidP="00881EAA">
            <w:pPr>
              <w:pStyle w:val="TableParagraph"/>
              <w:spacing w:before="120"/>
              <w:ind w:left="-35"/>
              <w:rPr>
                <w:rFonts w:cs="Arial"/>
                <w:color w:val="2F5496" w:themeColor="accent1" w:themeShade="BF"/>
                <w:sz w:val="16"/>
                <w:szCs w:val="16"/>
              </w:rPr>
            </w:pPr>
            <w:r w:rsidRPr="008E4367">
              <w:rPr>
                <w:rFonts w:cs="Arial"/>
                <w:noProof/>
                <w:sz w:val="16"/>
                <w:szCs w:val="16"/>
                <w:shd w:val="clear" w:color="auto" w:fill="FFFFFF"/>
              </w:rPr>
              <w:drawing>
                <wp:inline distT="0" distB="0" distL="0" distR="0" wp14:anchorId="7CA8B1C5" wp14:editId="18231021">
                  <wp:extent cx="1709530" cy="453202"/>
                  <wp:effectExtent l="0" t="0" r="5080" b="4445"/>
                  <wp:docPr id="1" name="Picture 1" descr="COVID-19 vaccin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VID-19 vaccination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" t="13560" r="2223" b="11484"/>
                          <a:stretch/>
                        </pic:blipFill>
                        <pic:spPr bwMode="auto">
                          <a:xfrm>
                            <a:off x="0" y="0"/>
                            <a:ext cx="1729617" cy="45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D035B2" w14:textId="64993833" w:rsidR="00A65421" w:rsidRPr="00F640F4" w:rsidRDefault="00A65421" w:rsidP="00881EAA">
            <w:pPr>
              <w:pStyle w:val="TableParagraph"/>
              <w:ind w:left="-35"/>
              <w:rPr>
                <w:rFonts w:cs="Arial"/>
                <w:color w:val="2F5496" w:themeColor="accent1" w:themeShade="BF"/>
                <w:szCs w:val="20"/>
              </w:rPr>
            </w:pPr>
            <w:r w:rsidRPr="008E4367">
              <w:rPr>
                <w:rFonts w:cs="Arial"/>
                <w:color w:val="2F5496" w:themeColor="accent1" w:themeShade="BF"/>
                <w:sz w:val="16"/>
                <w:szCs w:val="16"/>
              </w:rPr>
              <w:br/>
            </w:r>
            <w:r w:rsidRPr="00F640F4">
              <w:rPr>
                <w:rFonts w:cs="Arial"/>
                <w:color w:val="2F5496" w:themeColor="accent1" w:themeShade="BF"/>
                <w:szCs w:val="20"/>
              </w:rPr>
              <w:t xml:space="preserve">As of </w:t>
            </w:r>
            <w:r w:rsidR="008F1D97">
              <w:rPr>
                <w:rFonts w:cs="Arial"/>
                <w:color w:val="2F5496" w:themeColor="accent1" w:themeShade="BF"/>
                <w:szCs w:val="20"/>
              </w:rPr>
              <w:t>14</w:t>
            </w:r>
            <w:r>
              <w:rPr>
                <w:rFonts w:cs="Arial"/>
                <w:color w:val="2F5496" w:themeColor="accent1" w:themeShade="BF"/>
                <w:szCs w:val="20"/>
              </w:rPr>
              <w:t xml:space="preserve"> November</w:t>
            </w:r>
            <w:r w:rsidRPr="00F640F4">
              <w:rPr>
                <w:rFonts w:cs="Arial"/>
                <w:color w:val="2F5496" w:themeColor="accent1" w:themeShade="BF"/>
                <w:szCs w:val="20"/>
              </w:rPr>
              <w:t xml:space="preserve"> 2024 </w:t>
            </w:r>
          </w:p>
          <w:p w14:paraId="395C4382" w14:textId="77777777" w:rsidR="00A65421" w:rsidRPr="008E4367" w:rsidRDefault="00A65421" w:rsidP="00881EAA">
            <w:pPr>
              <w:pStyle w:val="TableParagraph"/>
              <w:ind w:left="-35"/>
              <w:rPr>
                <w:rFonts w:cs="Arial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161C137" w14:textId="19DBCD8C" w:rsidR="00A65421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Pfizer (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COMIRNATY</w:t>
            </w:r>
            <w:r w:rsidR="00E54C51">
              <w:rPr>
                <w:rFonts w:cs="Arial"/>
                <w:b/>
                <w:bCs/>
                <w:color w:val="auto"/>
                <w:sz w:val="18"/>
                <w:szCs w:val="18"/>
              </w:rPr>
              <w:t>)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JN.1 </w:t>
            </w:r>
          </w:p>
          <w:p w14:paraId="7561DC00" w14:textId="6DC889F7" w:rsidR="00A65421" w:rsidRPr="0085629E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6 months – 4 years</w:t>
            </w:r>
          </w:p>
          <w:p w14:paraId="4641D5E0" w14:textId="670908DE" w:rsidR="00A65421" w:rsidRPr="0085629E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>3 mcg/0.3 mL</w:t>
            </w:r>
          </w:p>
          <w:p w14:paraId="33D7CBB1" w14:textId="041D044E" w:rsidR="00A65421" w:rsidRPr="003C7D69" w:rsidRDefault="00A65421" w:rsidP="00166513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>concentrated suspension for injection multi-dose via</w:t>
            </w:r>
            <w:r>
              <w:rPr>
                <w:rFonts w:cs="Arial"/>
                <w:color w:val="auto"/>
                <w:sz w:val="18"/>
                <w:szCs w:val="18"/>
              </w:rPr>
              <w:t>l</w:t>
            </w:r>
          </w:p>
          <w:p w14:paraId="58005C89" w14:textId="683AD556" w:rsidR="00A65421" w:rsidRPr="00210D98" w:rsidRDefault="00166513" w:rsidP="00881EAA">
            <w:pPr>
              <w:framePr w:hSpace="0" w:wrap="auto" w:vAnchor="margin" w:hAnchor="text" w:yAlign="inline"/>
              <w:ind w:left="0"/>
              <w:jc w:val="center"/>
              <w:rPr>
                <w:lang w:val="en-US"/>
              </w:rPr>
            </w:pPr>
            <w:r w:rsidRPr="003C7D69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868EF10" wp14:editId="2786A4B3">
                  <wp:simplePos x="0" y="0"/>
                  <wp:positionH relativeFrom="column">
                    <wp:posOffset>578182</wp:posOffset>
                  </wp:positionH>
                  <wp:positionV relativeFrom="paragraph">
                    <wp:posOffset>319185</wp:posOffset>
                  </wp:positionV>
                  <wp:extent cx="548640" cy="1166495"/>
                  <wp:effectExtent l="0" t="0" r="3810" b="0"/>
                  <wp:wrapTopAndBottom/>
                  <wp:docPr id="855435640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35640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4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BDD6EE" w:themeFill="accent5" w:themeFillTint="66"/>
          </w:tcPr>
          <w:p w14:paraId="62E27E2B" w14:textId="7F917874" w:rsidR="00A65421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Pfizer (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COMIRNATY</w:t>
            </w:r>
            <w:r w:rsidR="00564338">
              <w:rPr>
                <w:rFonts w:cs="Arial"/>
                <w:b/>
                <w:bCs/>
                <w:color w:val="auto"/>
                <w:sz w:val="18"/>
                <w:szCs w:val="18"/>
              </w:rPr>
              <w:t>)</w:t>
            </w: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JN.1 </w:t>
            </w:r>
          </w:p>
          <w:p w14:paraId="0346E137" w14:textId="12E7D4FC" w:rsidR="00A65421" w:rsidRPr="0085629E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5 – 11 years</w:t>
            </w:r>
          </w:p>
          <w:p w14:paraId="513AA8FC" w14:textId="67839AFF" w:rsidR="00A65421" w:rsidRPr="0085629E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>10 mcg/0.3 mL</w:t>
            </w:r>
          </w:p>
          <w:p w14:paraId="5271B99E" w14:textId="5DC91603" w:rsidR="00A65421" w:rsidRPr="0085629E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 xml:space="preserve">suspension for injection </w:t>
            </w:r>
          </w:p>
          <w:p w14:paraId="1F018BB8" w14:textId="145F73C0" w:rsidR="00A65421" w:rsidRPr="00C13B03" w:rsidRDefault="00A65421" w:rsidP="00881EAA">
            <w:pPr>
              <w:pStyle w:val="TableParagraph"/>
              <w:spacing w:after="100"/>
              <w:ind w:left="0" w:right="-11"/>
              <w:jc w:val="center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  <w:r w:rsidRPr="008E664F">
              <w:rPr>
                <w:rFonts w:cs="Arial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27520" behindDoc="0" locked="0" layoutInCell="1" allowOverlap="1" wp14:anchorId="1B2A19A8" wp14:editId="7369307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378101</wp:posOffset>
                  </wp:positionV>
                  <wp:extent cx="564515" cy="1185545"/>
                  <wp:effectExtent l="0" t="0" r="6985" b="0"/>
                  <wp:wrapTopAndBottom/>
                  <wp:docPr id="85345692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5692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629E">
              <w:rPr>
                <w:rFonts w:cs="Arial"/>
                <w:color w:val="auto"/>
                <w:sz w:val="18"/>
                <w:szCs w:val="18"/>
              </w:rPr>
              <w:t>single-dose vial</w:t>
            </w:r>
          </w:p>
        </w:tc>
        <w:tc>
          <w:tcPr>
            <w:tcW w:w="613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6A6A6" w:themeFill="background1" w:themeFillShade="A6"/>
          </w:tcPr>
          <w:p w14:paraId="3B6E5231" w14:textId="38429148" w:rsidR="00A65421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Pfizer (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COMIRNATY</w:t>
            </w:r>
            <w:r w:rsidR="00564338">
              <w:rPr>
                <w:rFonts w:cs="Arial"/>
                <w:b/>
                <w:bCs/>
                <w:color w:val="auto"/>
                <w:sz w:val="18"/>
                <w:szCs w:val="18"/>
              </w:rPr>
              <w:t>)</w:t>
            </w: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JN.1 </w:t>
            </w:r>
          </w:p>
          <w:p w14:paraId="32DE1A82" w14:textId="403B3BB4" w:rsidR="00A65421" w:rsidRPr="0085629E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12 years+</w:t>
            </w:r>
          </w:p>
          <w:p w14:paraId="0DABCC77" w14:textId="685A8DAA" w:rsidR="00A65421" w:rsidRPr="0085629E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>30 mcg/0.3 mL</w:t>
            </w:r>
          </w:p>
          <w:p w14:paraId="12CF9F8A" w14:textId="0FFFB231" w:rsidR="00A65421" w:rsidRPr="0085629E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color w:val="auto"/>
                <w:sz w:val="18"/>
                <w:szCs w:val="18"/>
              </w:rPr>
              <w:t xml:space="preserve">suspension for injection </w:t>
            </w:r>
          </w:p>
          <w:p w14:paraId="3A468F30" w14:textId="311E354E" w:rsidR="00A65421" w:rsidRPr="00C13B03" w:rsidRDefault="00A65421" w:rsidP="00881EAA">
            <w:pPr>
              <w:pStyle w:val="TableParagraph"/>
              <w:spacing w:after="100"/>
              <w:ind w:left="0" w:right="-11"/>
              <w:jc w:val="center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  <w:r w:rsidRPr="00AD6872">
              <w:rPr>
                <w:rFonts w:cs="Arial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22964508" wp14:editId="000E0F72">
                  <wp:simplePos x="0" y="0"/>
                  <wp:positionH relativeFrom="column">
                    <wp:posOffset>545521</wp:posOffset>
                  </wp:positionH>
                  <wp:positionV relativeFrom="paragraph">
                    <wp:posOffset>397178</wp:posOffset>
                  </wp:positionV>
                  <wp:extent cx="546186" cy="1191728"/>
                  <wp:effectExtent l="0" t="0" r="6350" b="8890"/>
                  <wp:wrapTopAndBottom/>
                  <wp:docPr id="179036533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36533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6" cy="11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29E">
              <w:rPr>
                <w:rFonts w:cs="Arial"/>
                <w:color w:val="auto"/>
                <w:sz w:val="18"/>
                <w:szCs w:val="18"/>
              </w:rPr>
              <w:t>multi-dose vial</w:t>
            </w:r>
          </w:p>
        </w:tc>
        <w:tc>
          <w:tcPr>
            <w:tcW w:w="612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5E0B3" w:themeFill="accent6" w:themeFillTint="66"/>
          </w:tcPr>
          <w:p w14:paraId="44F991BD" w14:textId="7001B527" w:rsidR="00A65421" w:rsidRPr="00007533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Pfizer (COMIRNATY</w:t>
            </w:r>
            <w:r w:rsidR="00564338"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)</w:t>
            </w: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JN.1 </w:t>
            </w:r>
          </w:p>
          <w:p w14:paraId="47691B53" w14:textId="645250FB" w:rsidR="00A65421" w:rsidRPr="00007533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12 years+</w:t>
            </w:r>
          </w:p>
          <w:p w14:paraId="6D4A8AE4" w14:textId="77777777" w:rsidR="00A65421" w:rsidRPr="000E45F6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E45F6">
              <w:rPr>
                <w:rFonts w:cs="Arial"/>
                <w:color w:val="auto"/>
                <w:sz w:val="18"/>
                <w:szCs w:val="18"/>
              </w:rPr>
              <w:t>30 mcg/0.3 mL</w:t>
            </w:r>
          </w:p>
          <w:p w14:paraId="5FBF3A12" w14:textId="777FB39A" w:rsidR="00A65421" w:rsidRPr="000E45F6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E45F6">
              <w:rPr>
                <w:rFonts w:cs="Arial"/>
                <w:color w:val="auto"/>
                <w:sz w:val="18"/>
                <w:szCs w:val="18"/>
              </w:rPr>
              <w:t xml:space="preserve">suspension for injection </w:t>
            </w:r>
          </w:p>
          <w:p w14:paraId="12090C5D" w14:textId="247C0090" w:rsidR="00A65421" w:rsidRPr="00C13B03" w:rsidRDefault="00A65421" w:rsidP="00881EAA">
            <w:pPr>
              <w:pStyle w:val="TableParagraph"/>
              <w:spacing w:after="100"/>
              <w:ind w:left="0" w:right="-11"/>
              <w:jc w:val="center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  <w:r w:rsidRPr="008C324D">
              <w:rPr>
                <w:rFonts w:cs="Arial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529146AE" wp14:editId="0DC1CB34">
                  <wp:simplePos x="0" y="0"/>
                  <wp:positionH relativeFrom="column">
                    <wp:posOffset>692406</wp:posOffset>
                  </wp:positionH>
                  <wp:positionV relativeFrom="paragraph">
                    <wp:posOffset>389766</wp:posOffset>
                  </wp:positionV>
                  <wp:extent cx="292100" cy="1247775"/>
                  <wp:effectExtent l="0" t="0" r="0" b="9525"/>
                  <wp:wrapTopAndBottom/>
                  <wp:docPr id="135605820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5820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45F6">
              <w:rPr>
                <w:rFonts w:cs="Arial"/>
                <w:color w:val="auto"/>
                <w:sz w:val="18"/>
                <w:szCs w:val="18"/>
              </w:rPr>
              <w:t>single-dose glass prefilled syringes</w:t>
            </w:r>
          </w:p>
        </w:tc>
        <w:tc>
          <w:tcPr>
            <w:tcW w:w="645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7CAAC" w:themeFill="accent2" w:themeFillTint="66"/>
          </w:tcPr>
          <w:p w14:paraId="1FD5D452" w14:textId="77777777" w:rsidR="003146F5" w:rsidRPr="00007533" w:rsidRDefault="003146F5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Pfizer (COMIRNATY) Omicron XBB.1.5</w:t>
            </w:r>
          </w:p>
          <w:p w14:paraId="7F609FED" w14:textId="77777777" w:rsidR="005E0A3A" w:rsidRDefault="008C1164" w:rsidP="00881EAA">
            <w:pPr>
              <w:pStyle w:val="TableParagraph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5629E">
              <w:rPr>
                <w:rFonts w:cs="Arial"/>
                <w:b/>
                <w:bCs/>
                <w:color w:val="auto"/>
                <w:sz w:val="18"/>
                <w:szCs w:val="18"/>
              </w:rPr>
              <w:t>6 months – 4 years</w:t>
            </w:r>
          </w:p>
          <w:p w14:paraId="693F0E60" w14:textId="6C2C6D0E" w:rsidR="003146F5" w:rsidRPr="00007533" w:rsidRDefault="003146F5" w:rsidP="00881EAA">
            <w:pPr>
              <w:pStyle w:val="TableParagraph"/>
              <w:ind w:left="0" w:right="-11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3 mcg/0.2 mL</w:t>
            </w:r>
          </w:p>
          <w:p w14:paraId="094EEEB3" w14:textId="554506BF" w:rsidR="00A65421" w:rsidRPr="00C13B03" w:rsidRDefault="005E0A3A" w:rsidP="00881EAA">
            <w:pPr>
              <w:pStyle w:val="TableParagraph"/>
              <w:spacing w:after="100"/>
              <w:ind w:left="0" w:right="-11"/>
              <w:jc w:val="center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  <w:r w:rsidRPr="00007533">
              <w:rPr>
                <w:noProof/>
                <w:color w:val="auto"/>
              </w:rPr>
              <w:drawing>
                <wp:anchor distT="0" distB="0" distL="114300" distR="114300" simplePos="0" relativeHeight="251777024" behindDoc="0" locked="0" layoutInCell="1" allowOverlap="1" wp14:anchorId="199C356A" wp14:editId="5E9D3366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438670</wp:posOffset>
                  </wp:positionV>
                  <wp:extent cx="876863" cy="1304498"/>
                  <wp:effectExtent l="0" t="0" r="0" b="0"/>
                  <wp:wrapTopAndBottom/>
                  <wp:docPr id="5" name="Picture 4">
                    <a:hlinkClick xmlns:a="http://schemas.openxmlformats.org/drawingml/2006/main" r:id="rId13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13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8352" b="89890" l="9477" r="89542">
                                        <a14:foregroundMark x1="50489" y1="10941" x2="50489" y2="10941"/>
                                        <a14:foregroundMark x1="29316" y1="10722" x2="29316" y2="10722"/>
                                        <a14:foregroundMark x1="71661" y1="41138" x2="71661" y2="41138"/>
                                        <a14:foregroundMark x1="62215" y1="29540" x2="62215" y2="29540"/>
                                        <a14:foregroundMark x1="60261" y1="59081" x2="60261" y2="59081"/>
                                        <a14:foregroundMark x1="27036" y1="46171" x2="39088" y2="76586"/>
                                        <a14:foregroundMark x1="39088" y1="76586" x2="48208" y2="49672"/>
                                        <a14:foregroundMark x1="48208" y1="49672" x2="52443" y2="78337"/>
                                        <a14:foregroundMark x1="52443" y1="78337" x2="58306" y2="51641"/>
                                        <a14:foregroundMark x1="58306" y1="51641" x2="70033" y2="78556"/>
                                        <a14:foregroundMark x1="70033" y1="78556" x2="69707" y2="79212"/>
                                        <a14:foregroundMark x1="69055" y1="40263" x2="69055" y2="40263"/>
                                        <a14:foregroundMark x1="64169" y1="38074" x2="66775" y2="38731"/>
                                        <a14:foregroundMark x1="68730" y1="38950" x2="68730" y2="38950"/>
                                        <a14:foregroundMark x1="70033" y1="40263" x2="75244" y2="68490"/>
                                        <a14:foregroundMark x1="34657" y1="29231" x2="35505" y2="37637"/>
                                        <a14:foregroundMark x1="34613" y1="28791" x2="34657" y2="29231"/>
                                        <a14:foregroundMark x1="34546" y1="28132" x2="34613" y2="28791"/>
                                        <a14:foregroundMark x1="34369" y1="26374" x2="34546" y2="28132"/>
                                        <a14:foregroundMark x1="34202" y1="24726" x2="34369" y2="26374"/>
                                        <a14:foregroundMark x1="23779" y1="71335" x2="55049" y2="90153"/>
                                        <a14:foregroundMark x1="55049" y1="90153" x2="69055" y2="79431"/>
                                        <a14:foregroundMark x1="56026" y1="77681" x2="56026" y2="77681"/>
                                        <a14:foregroundMark x1="66775" y1="76586" x2="66775" y2="76586"/>
                                        <a14:foregroundMark x1="21173" y1="71991" x2="21824" y2="79431"/>
                                        <a14:foregroundMark x1="46906" y1="8753" x2="46906" y2="8753"/>
                                        <a14:foregroundMark x1="46254" y1="77681" x2="46254" y2="77681"/>
                                        <a14:foregroundMark x1="30000" y1="85577" x2="30000" y2="85577"/>
                                        <a14:foregroundMark x1="55229" y1="40000" x2="55229" y2="40000"/>
                                        <a14:foregroundMark x1="55229" y1="32088" x2="55229" y2="32088"/>
                                        <a14:foregroundMark x1="48693" y1="41099" x2="48693" y2="41099"/>
                                        <a14:foregroundMark x1="43464" y1="46154" x2="43464" y2="46154"/>
                                        <a14:foregroundMark x1="26797" y1="43956" x2="26797" y2="43956"/>
                                        <a14:foregroundMark x1="27778" y1="40000" x2="27778" y2="40000"/>
                                        <a14:foregroundMark x1="62745" y1="55604" x2="62745" y2="55604"/>
                                        <a14:foregroundMark x1="68627" y1="52967" x2="68627" y2="52967"/>
                                        <a14:foregroundMark x1="68627" y1="52967" x2="68627" y2="52967"/>
                                        <a14:foregroundMark x1="65359" y1="50549" x2="66013" y2="50549"/>
                                        <a14:foregroundMark x1="66013" y1="55165" x2="66013" y2="55165"/>
                                        <a14:foregroundMark x1="64379" y1="56923" x2="64379" y2="56923"/>
                                        <a14:foregroundMark x1="62745" y1="54066" x2="62745" y2="54066"/>
                                        <a14:foregroundMark x1="64379" y1="52967" x2="64379" y2="52967"/>
                                        <a14:foregroundMark x1="64379" y1="52967" x2="64379" y2="52967"/>
                                        <a14:foregroundMark x1="72876" y1="40000" x2="72876" y2="40000"/>
                                        <a14:foregroundMark x1="62745" y1="30330" x2="62745" y2="30330"/>
                                        <a14:foregroundMark x1="63725" y1="36484" x2="63725" y2="36484"/>
                                        <a14:foregroundMark x1="31046" y1="35385" x2="31046" y2="35385"/>
                                        <a14:foregroundMark x1="27778" y1="32088" x2="27778" y2="32088"/>
                                        <a14:foregroundMark x1="29412" y1="27473" x2="29412" y2="27473"/>
                                        <a14:foregroundMark x1="21895" y1="43297" x2="21895" y2="43297"/>
                                        <a14:foregroundMark x1="53595" y1="69231" x2="53595" y2="69231"/>
                                        <a14:foregroundMark x1="37582" y1="11868" x2="37582" y2="11868"/>
                                        <a14:foregroundMark x1="46732" y1="11868" x2="46732" y2="11868"/>
                                        <a14:foregroundMark x1="56209" y1="9011" x2="56209" y2="9011"/>
                                        <a14:foregroundMark x1="49346" y1="8352" x2="36928" y2="8352"/>
                                        <a14:foregroundMark x1="35948" y1="8352" x2="35948" y2="8352"/>
                                        <a14:backgroundMark x1="71895" y1="30330" x2="71895" y2="30330"/>
                                        <a14:backgroundMark x1="27778" y1="31429" x2="27778" y2="31429"/>
                                        <a14:backgroundMark x1="28431" y1="32088" x2="28431" y2="32088"/>
                                        <a14:backgroundMark x1="29412" y1="29231" x2="29412" y2="29231"/>
                                        <a14:backgroundMark x1="30065" y1="28791" x2="30065" y2="28791"/>
                                        <a14:backgroundMark x1="29412" y1="26374" x2="29412" y2="26374"/>
                                        <a14:backgroundMark x1="30065" y1="28132" x2="30065" y2="2813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63" cy="130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46F5" w:rsidRPr="00007533">
              <w:rPr>
                <w:rFonts w:cs="Arial"/>
                <w:color w:val="auto"/>
                <w:sz w:val="18"/>
                <w:szCs w:val="18"/>
              </w:rPr>
              <w:t>concentrated suspension for injection</w:t>
            </w:r>
            <w:r w:rsidRPr="00007533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3146F5" w:rsidRPr="00007533">
              <w:rPr>
                <w:rFonts w:cs="Arial"/>
                <w:color w:val="auto"/>
                <w:sz w:val="18"/>
                <w:szCs w:val="18"/>
              </w:rPr>
              <w:t>multi-dose vial</w:t>
            </w:r>
          </w:p>
        </w:tc>
        <w:tc>
          <w:tcPr>
            <w:tcW w:w="614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BDD6EE" w:themeFill="accent5" w:themeFillTint="66"/>
          </w:tcPr>
          <w:p w14:paraId="0E794B8C" w14:textId="11085FC6" w:rsidR="00A65421" w:rsidRPr="00007533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Pfizer (COMIRNATY) Omicron XBB.1.5</w:t>
            </w:r>
          </w:p>
          <w:p w14:paraId="0FE7DC49" w14:textId="77777777" w:rsidR="005E0A3A" w:rsidRPr="00007533" w:rsidRDefault="00564338" w:rsidP="00881EAA">
            <w:pPr>
              <w:pStyle w:val="TableParagraph"/>
              <w:ind w:left="0" w:right="-12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5 – 11 years</w:t>
            </w:r>
          </w:p>
          <w:p w14:paraId="2C7C5D5D" w14:textId="2EEE8818" w:rsidR="00A65421" w:rsidRPr="00007533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10 mcg/0.3 mL</w:t>
            </w:r>
          </w:p>
          <w:p w14:paraId="3932119F" w14:textId="3E406CB1" w:rsidR="00A65421" w:rsidRPr="00007533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suspension for injection</w:t>
            </w:r>
          </w:p>
          <w:p w14:paraId="56A1F872" w14:textId="4531F77D" w:rsidR="00A65421" w:rsidRPr="00007533" w:rsidRDefault="00BB0CC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ascii="Gotham Rounded" w:hAnsi="Gotham Rounded"/>
                <w:noProof/>
                <w:color w:val="595959" w:themeColor="text1" w:themeTint="A6"/>
              </w:rPr>
              <w:drawing>
                <wp:anchor distT="0" distB="0" distL="114300" distR="114300" simplePos="0" relativeHeight="251713536" behindDoc="0" locked="0" layoutInCell="1" allowOverlap="1" wp14:anchorId="089A0FF1" wp14:editId="07771FDD">
                  <wp:simplePos x="0" y="0"/>
                  <wp:positionH relativeFrom="column">
                    <wp:posOffset>579479</wp:posOffset>
                  </wp:positionH>
                  <wp:positionV relativeFrom="paragraph">
                    <wp:posOffset>358140</wp:posOffset>
                  </wp:positionV>
                  <wp:extent cx="496771" cy="1080000"/>
                  <wp:effectExtent l="57150" t="19050" r="55880" b="101600"/>
                  <wp:wrapTopAndBottom/>
                  <wp:docPr id="15" name="Picture 15">
                    <a:hlinkClick xmlns:a="http://schemas.openxmlformats.org/drawingml/2006/main" r:id="rId13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13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1" t="18241" r="36591" b="18795"/>
                          <a:stretch/>
                        </pic:blipFill>
                        <pic:spPr bwMode="auto">
                          <a:xfrm>
                            <a:off x="0" y="0"/>
                            <a:ext cx="4967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65421" w:rsidRPr="00007533">
              <w:rPr>
                <w:rFonts w:cs="Arial"/>
                <w:color w:val="auto"/>
                <w:sz w:val="18"/>
                <w:szCs w:val="18"/>
              </w:rPr>
              <w:t>single-dose vial</w:t>
            </w:r>
          </w:p>
          <w:p w14:paraId="3B7F9F67" w14:textId="506170D2" w:rsidR="00A65421" w:rsidRPr="00771BD8" w:rsidRDefault="00A65421" w:rsidP="00881EAA">
            <w:pPr>
              <w:pStyle w:val="TableParagraph"/>
              <w:spacing w:before="240"/>
              <w:ind w:left="0" w:right="-12"/>
              <w:jc w:val="center"/>
              <w:rPr>
                <w:rFonts w:cs="Arial"/>
                <w:color w:val="80384B"/>
                <w:sz w:val="14"/>
                <w:szCs w:val="14"/>
              </w:rPr>
            </w:pPr>
          </w:p>
        </w:tc>
        <w:tc>
          <w:tcPr>
            <w:tcW w:w="614" w:type="pct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14:paraId="39FC5BEA" w14:textId="77777777" w:rsidR="00A65421" w:rsidRPr="00007533" w:rsidRDefault="00A65421" w:rsidP="00881EAA">
            <w:pPr>
              <w:pStyle w:val="TableParagraph"/>
              <w:spacing w:before="120" w:after="100"/>
              <w:ind w:left="0" w:right="-1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Pfizer (COMIRNATY) Omicron XBB.1.5</w:t>
            </w:r>
          </w:p>
          <w:p w14:paraId="6E066879" w14:textId="77777777" w:rsidR="005E0A3A" w:rsidRPr="00007533" w:rsidRDefault="00ED23CA" w:rsidP="00881EAA">
            <w:pPr>
              <w:pStyle w:val="TableParagraph"/>
              <w:ind w:left="0" w:right="-12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b/>
                <w:bCs/>
                <w:color w:val="auto"/>
                <w:sz w:val="18"/>
                <w:szCs w:val="18"/>
              </w:rPr>
              <w:t>12 years+</w:t>
            </w:r>
          </w:p>
          <w:p w14:paraId="215EF341" w14:textId="1EC7B20D" w:rsidR="00A65421" w:rsidRPr="00007533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30 mcg/0.3 mL</w:t>
            </w:r>
          </w:p>
          <w:p w14:paraId="52A6D6E2" w14:textId="1026135A" w:rsidR="00A65421" w:rsidRPr="00007533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suspension for injection</w:t>
            </w:r>
          </w:p>
          <w:p w14:paraId="658E86DF" w14:textId="77777777" w:rsidR="00A65421" w:rsidRPr="00007533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07533">
              <w:rPr>
                <w:rFonts w:cs="Arial"/>
                <w:color w:val="auto"/>
                <w:sz w:val="18"/>
                <w:szCs w:val="18"/>
              </w:rPr>
              <w:t>multi-dose vial</w:t>
            </w:r>
          </w:p>
          <w:p w14:paraId="7FCB37C3" w14:textId="15E0E9A9" w:rsidR="00A65421" w:rsidRPr="00EF494F" w:rsidRDefault="00A65421" w:rsidP="00881EAA">
            <w:pPr>
              <w:pStyle w:val="TableParagraph"/>
              <w:ind w:left="0" w:right="-12"/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otham Rounded" w:hAnsi="Gotham Rounded"/>
                <w:noProof/>
                <w:color w:val="595959" w:themeColor="text1" w:themeTint="A6"/>
              </w:rPr>
              <w:drawing>
                <wp:anchor distT="0" distB="0" distL="114300" distR="114300" simplePos="0" relativeHeight="251742208" behindDoc="0" locked="0" layoutInCell="1" allowOverlap="1" wp14:anchorId="1A03487B" wp14:editId="61C61742">
                  <wp:simplePos x="0" y="0"/>
                  <wp:positionH relativeFrom="column">
                    <wp:posOffset>648997</wp:posOffset>
                  </wp:positionH>
                  <wp:positionV relativeFrom="paragraph">
                    <wp:posOffset>247650</wp:posOffset>
                  </wp:positionV>
                  <wp:extent cx="496570" cy="1079500"/>
                  <wp:effectExtent l="57150" t="19050" r="55880" b="101600"/>
                  <wp:wrapTopAndBottom/>
                  <wp:docPr id="16" name="Picture 16">
                    <a:hlinkClick xmlns:a="http://schemas.openxmlformats.org/drawingml/2006/main" r:id="rId13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13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38" t="18048" r="36554" b="18899"/>
                          <a:stretch/>
                        </pic:blipFill>
                        <pic:spPr bwMode="auto">
                          <a:xfrm>
                            <a:off x="0" y="0"/>
                            <a:ext cx="4965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F502B85" w14:textId="19D4DAF7" w:rsidR="00A65421" w:rsidRPr="0085702C" w:rsidRDefault="00A65421" w:rsidP="00881EAA">
            <w:pPr>
              <w:pStyle w:val="TableParagraph"/>
              <w:ind w:left="0" w:right="-11"/>
              <w:jc w:val="center"/>
              <w:rPr>
                <w:rFonts w:cs="Arial"/>
                <w:color w:val="80384B"/>
                <w:sz w:val="18"/>
                <w:szCs w:val="18"/>
              </w:rPr>
            </w:pPr>
          </w:p>
        </w:tc>
      </w:tr>
      <w:tr w:rsidR="00F44BA4" w:rsidRPr="008E4367" w14:paraId="524A389E" w14:textId="77777777" w:rsidTr="00ED125F">
        <w:trPr>
          <w:trHeight w:val="78"/>
        </w:trPr>
        <w:tc>
          <w:tcPr>
            <w:tcW w:w="644" w:type="pct"/>
            <w:tcBorders>
              <w:top w:val="nil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7F7F7F" w:themeFill="text1" w:themeFillTint="80"/>
          </w:tcPr>
          <w:p w14:paraId="24644B8E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color w:val="2F5496" w:themeColor="accent1" w:themeShade="BF"/>
                <w:sz w:val="8"/>
                <w:szCs w:val="8"/>
              </w:rPr>
            </w:pPr>
          </w:p>
        </w:tc>
        <w:tc>
          <w:tcPr>
            <w:tcW w:w="644" w:type="pct"/>
            <w:tcBorders>
              <w:top w:val="nil"/>
              <w:left w:val="single" w:sz="48" w:space="0" w:color="FFFFFF" w:themeColor="background1"/>
              <w:bottom w:val="nil"/>
              <w:right w:val="single" w:sz="4" w:space="0" w:color="auto"/>
            </w:tcBorders>
            <w:shd w:val="clear" w:color="auto" w:fill="BF8F00" w:themeFill="accent4" w:themeFillShade="BF"/>
          </w:tcPr>
          <w:p w14:paraId="6CFB1307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2E74B5" w:themeFill="accent5" w:themeFillShade="BF"/>
          </w:tcPr>
          <w:p w14:paraId="7E11F670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13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7F7F7F" w:themeFill="text1" w:themeFillTint="80"/>
          </w:tcPr>
          <w:p w14:paraId="221C8DDE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538135" w:themeFill="accent6" w:themeFillShade="BF"/>
          </w:tcPr>
          <w:p w14:paraId="778B624F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45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45911" w:themeFill="accent2" w:themeFillShade="BF"/>
          </w:tcPr>
          <w:p w14:paraId="76DCF61E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2E74B5" w:themeFill="accent5" w:themeFillShade="BF"/>
          </w:tcPr>
          <w:p w14:paraId="36B35B2E" w14:textId="3E3448E3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14:paraId="174F9BA3" w14:textId="77777777" w:rsidR="00A65421" w:rsidRPr="008E4367" w:rsidRDefault="00A65421" w:rsidP="00881EAA">
            <w:pPr>
              <w:pStyle w:val="TableParagraph"/>
              <w:ind w:left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F44BA4" w:rsidRPr="008B4F18" w14:paraId="2D87AAD6" w14:textId="77777777" w:rsidTr="00ED125F">
        <w:trPr>
          <w:trHeight w:val="587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6AF81E" w14:textId="77777777" w:rsidR="00A65421" w:rsidRPr="008B4F18" w:rsidRDefault="00A65421" w:rsidP="00841A4F">
            <w:pPr>
              <w:pStyle w:val="TableParagraph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CVAS naming convention</w:t>
            </w:r>
          </w:p>
        </w:tc>
        <w:tc>
          <w:tcPr>
            <w:tcW w:w="644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1F0405D8" w14:textId="396AE7A2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Pfizer (JN.1) 6 months – 4 years</w:t>
            </w:r>
            <w:r w:rsidR="005E0A3A">
              <w:rPr>
                <w:rFonts w:cs="Arial"/>
                <w:color w:val="auto"/>
                <w:szCs w:val="20"/>
              </w:rPr>
              <w:t xml:space="preserve"> </w:t>
            </w:r>
            <w:r w:rsidR="004064E6">
              <w:rPr>
                <w:rFonts w:cs="Arial"/>
                <w:color w:val="auto"/>
                <w:szCs w:val="20"/>
              </w:rPr>
              <w:t>(Yellow)</w:t>
            </w: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6B3EBEEE" w14:textId="26822663" w:rsidR="00A65421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Pfizer (JN.1) 5 – 11 years</w:t>
            </w:r>
          </w:p>
          <w:p w14:paraId="687AE5AF" w14:textId="0F8E9033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(Light Blue)</w:t>
            </w:r>
          </w:p>
        </w:tc>
        <w:tc>
          <w:tcPr>
            <w:tcW w:w="613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79F8C533" w14:textId="6A075D6F" w:rsidR="00A65421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Pfizer (JN.1) 12 years</w:t>
            </w:r>
            <w:r w:rsidRPr="008B4F18">
              <w:rPr>
                <w:rFonts w:cs="Arial"/>
                <w:color w:val="auto"/>
                <w:szCs w:val="20"/>
              </w:rPr>
              <w:t>+</w:t>
            </w:r>
          </w:p>
          <w:p w14:paraId="786784AB" w14:textId="612F9876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(</w:t>
            </w:r>
            <w:r>
              <w:rPr>
                <w:rFonts w:cs="Arial"/>
                <w:color w:val="auto"/>
                <w:szCs w:val="20"/>
              </w:rPr>
              <w:t xml:space="preserve">Dark </w:t>
            </w:r>
            <w:r w:rsidRPr="008B4F18">
              <w:rPr>
                <w:rFonts w:cs="Arial"/>
                <w:color w:val="auto"/>
                <w:szCs w:val="20"/>
              </w:rPr>
              <w:t>Grey)</w:t>
            </w:r>
          </w:p>
        </w:tc>
        <w:tc>
          <w:tcPr>
            <w:tcW w:w="612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68F54D93" w14:textId="37985161" w:rsidR="00A65421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Pfizer (JN.1) 12 years</w:t>
            </w:r>
            <w:r w:rsidRPr="008B4F18">
              <w:rPr>
                <w:rFonts w:cs="Arial"/>
                <w:color w:val="auto"/>
                <w:szCs w:val="20"/>
              </w:rPr>
              <w:t>+</w:t>
            </w:r>
          </w:p>
          <w:p w14:paraId="3E468440" w14:textId="57B229AA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(</w:t>
            </w:r>
            <w:r>
              <w:rPr>
                <w:rFonts w:cs="Arial"/>
                <w:color w:val="auto"/>
                <w:szCs w:val="20"/>
              </w:rPr>
              <w:t>PFS</w:t>
            </w:r>
            <w:r w:rsidRPr="008B4F1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645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1DE6F275" w14:textId="4E38188C" w:rsidR="00A65421" w:rsidRPr="008B4F18" w:rsidRDefault="003146F5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Pfizer (XBB.1.5) </w:t>
            </w:r>
            <w:r>
              <w:rPr>
                <w:rFonts w:cs="Arial"/>
                <w:color w:val="auto"/>
                <w:szCs w:val="20"/>
              </w:rPr>
              <w:t>6 months</w:t>
            </w:r>
            <w:r w:rsidR="00EA0629"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</w:t>
            </w:r>
            <w:r w:rsidR="00EA0629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4</w:t>
            </w:r>
            <w:r w:rsidRPr="008B4F18">
              <w:rPr>
                <w:rFonts w:cs="Arial"/>
                <w:color w:val="auto"/>
                <w:szCs w:val="20"/>
              </w:rPr>
              <w:t xml:space="preserve"> years (</w:t>
            </w:r>
            <w:r>
              <w:rPr>
                <w:rFonts w:cs="Arial"/>
                <w:color w:val="auto"/>
                <w:szCs w:val="20"/>
              </w:rPr>
              <w:t>Maroon</w:t>
            </w:r>
            <w:r w:rsidRPr="008B4F18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6BD4DE6" w14:textId="6976B8D9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Pfizer (XBB.1.5) 5</w:t>
            </w:r>
            <w:r w:rsidR="00BF2037"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</w:t>
            </w:r>
            <w:r w:rsidR="00BF2037"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11 years (Light Blue)</w:t>
            </w:r>
          </w:p>
        </w:tc>
        <w:tc>
          <w:tcPr>
            <w:tcW w:w="614" w:type="pct"/>
            <w:tcBorders>
              <w:top w:val="nil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330204AD" w14:textId="0A9E4908" w:rsidR="00A65421" w:rsidRPr="008B4F18" w:rsidRDefault="00A65421" w:rsidP="000C3CC6">
            <w:pPr>
              <w:pStyle w:val="TableParagraph"/>
              <w:spacing w:before="4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Pfizer (XBB.1.5) 12 years+ (Grey)</w:t>
            </w:r>
          </w:p>
        </w:tc>
      </w:tr>
      <w:tr w:rsidR="00F44BA4" w:rsidRPr="008B4F18" w14:paraId="55625B03" w14:textId="77777777" w:rsidTr="00ED125F">
        <w:trPr>
          <w:trHeight w:val="175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B1983A" w14:textId="77777777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Vaccine type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3B254A99" w14:textId="260AFCA9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>mRNA</w:t>
            </w:r>
            <w:r w:rsidR="00A75081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="00A75081" w:rsidRPr="008B4F18">
              <w:rPr>
                <w:rFonts w:cs="Arial"/>
                <w:bCs/>
                <w:color w:val="auto"/>
                <w:szCs w:val="20"/>
              </w:rPr>
              <w:t>(nucleic acid)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398F0FF5" w14:textId="67F6B6BF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>mRNA</w:t>
            </w:r>
            <w:r w:rsidR="00A75081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="00A75081" w:rsidRPr="008B4F18">
              <w:rPr>
                <w:rFonts w:cs="Arial"/>
                <w:bCs/>
                <w:color w:val="auto"/>
                <w:szCs w:val="20"/>
              </w:rPr>
              <w:t>(nucleic acid)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003E90BA" w14:textId="38EB22EC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>mRNA</w:t>
            </w:r>
            <w:r w:rsidR="00A75081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="00A75081" w:rsidRPr="008B4F18">
              <w:rPr>
                <w:rFonts w:cs="Arial"/>
                <w:bCs/>
                <w:color w:val="auto"/>
                <w:szCs w:val="20"/>
              </w:rPr>
              <w:t>(nucleic acid)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69BB4496" w14:textId="12119710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>mRNA</w:t>
            </w:r>
            <w:r w:rsidR="00A75081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="00A75081" w:rsidRPr="008B4F18">
              <w:rPr>
                <w:rFonts w:cs="Arial"/>
                <w:bCs/>
                <w:color w:val="auto"/>
                <w:szCs w:val="20"/>
              </w:rPr>
              <w:t>(nucleic acid)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3743279C" w14:textId="189D099A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 xml:space="preserve">mRNA </w:t>
            </w:r>
            <w:r w:rsidRPr="008B4F18">
              <w:rPr>
                <w:rFonts w:cs="Arial"/>
                <w:bCs/>
                <w:color w:val="auto"/>
                <w:szCs w:val="20"/>
              </w:rPr>
              <w:t>(nucleic acid)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6029C3A8" w14:textId="2F96623A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 w:rsidRPr="008B4F18">
              <w:rPr>
                <w:rFonts w:cs="Arial"/>
                <w:bCs/>
                <w:color w:val="auto"/>
                <w:szCs w:val="20"/>
              </w:rPr>
              <w:t>mRNA (nucleic acid)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17606101" w14:textId="49E665C7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 w:rsidRPr="008B4F18">
              <w:rPr>
                <w:rFonts w:cs="Arial"/>
                <w:bCs/>
                <w:color w:val="auto"/>
                <w:szCs w:val="20"/>
              </w:rPr>
              <w:t>mRNA (nucleic acid)</w:t>
            </w:r>
          </w:p>
        </w:tc>
      </w:tr>
      <w:tr w:rsidR="00F44BA4" w:rsidRPr="008B4F18" w14:paraId="76373AAA" w14:textId="77777777" w:rsidTr="00ED125F">
        <w:trPr>
          <w:trHeight w:val="39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4A61C6" w14:textId="77777777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Approved age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76165451" w14:textId="11C0B9C0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6 months – 4 years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2D1D9958" w14:textId="49110F3F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5 – 11 years 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43FDBA69" w14:textId="772E7FAA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12 years and older 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74D7494B" w14:textId="53E5E939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12 years and older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1A3D7935" w14:textId="01CB491C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bCs/>
                <w:color w:val="auto"/>
                <w:szCs w:val="20"/>
              </w:rPr>
              <w:t>6 months to 4 years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7595C10B" w14:textId="2E194374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bCs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5 to 11 years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6B6693FE" w14:textId="06727AB3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12 years and older</w:t>
            </w:r>
          </w:p>
        </w:tc>
      </w:tr>
      <w:tr w:rsidR="00F44BA4" w:rsidRPr="008B4F18" w14:paraId="1B3A77D7" w14:textId="77777777" w:rsidTr="00ED125F">
        <w:trPr>
          <w:trHeight w:val="206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D2939A" w14:textId="77777777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Dose volume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0A72865D" w14:textId="134A6C61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0.3 mL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8ACE934" w14:textId="1BC71544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0.3 mL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1BFEAE08" w14:textId="7D2C7C61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0.3 mL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37055054" w14:textId="3F3CAFF3" w:rsidR="00A65421" w:rsidRPr="008B4F18" w:rsidRDefault="00360337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0.3mL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4F7AE3AE" w14:textId="6A6C38A9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0.2 mL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0C7560ED" w14:textId="6E8A6CC0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0.3 mL 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16BC188E" w14:textId="4DA35CB3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0.3 mL </w:t>
            </w:r>
          </w:p>
        </w:tc>
      </w:tr>
      <w:tr w:rsidR="00F44BA4" w:rsidRPr="008B4F18" w14:paraId="77C7E6C0" w14:textId="77777777" w:rsidTr="00ED125F">
        <w:trPr>
          <w:trHeight w:val="45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142F46" w14:textId="77777777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Doses per vial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24B51328" w14:textId="1CAFA0A9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6ACC9600" w14:textId="72D8D22F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2C959F3B" w14:textId="74F4EA98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6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7CF9AB33" w14:textId="233D6066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27828208" w14:textId="56D28732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10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7A6664CC" w14:textId="430EBD57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40F921CA" w14:textId="21CC03C3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6</w:t>
            </w:r>
          </w:p>
        </w:tc>
      </w:tr>
      <w:tr w:rsidR="00F44BA4" w:rsidRPr="008B4F18" w14:paraId="6900BAB3" w14:textId="77777777" w:rsidTr="00ED125F">
        <w:trPr>
          <w:trHeight w:val="29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EC4AD0" w14:textId="77777777" w:rsidR="00A65421" w:rsidRPr="008B4F18" w:rsidRDefault="00A65421" w:rsidP="00881EAA">
            <w:pPr>
              <w:pStyle w:val="TableParagraph"/>
              <w:spacing w:before="80" w:after="80"/>
              <w:ind w:left="-25" w:right="-196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Dilution required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6A421C2D" w14:textId="5AFAA326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Yes</w:t>
            </w:r>
            <w:r w:rsidR="00367C3D">
              <w:rPr>
                <w:rFonts w:cs="Arial"/>
                <w:color w:val="auto"/>
                <w:szCs w:val="20"/>
              </w:rPr>
              <w:t xml:space="preserve"> (</w:t>
            </w:r>
            <w:r w:rsidR="00367C3D" w:rsidRPr="00367C3D">
              <w:rPr>
                <w:rFonts w:cs="Arial"/>
                <w:color w:val="auto"/>
                <w:szCs w:val="20"/>
                <w:lang w:val="en-AU"/>
              </w:rPr>
              <w:t>1.1 mL</w:t>
            </w:r>
            <w:r w:rsidR="00367C3D">
              <w:rPr>
                <w:rFonts w:cs="Arial"/>
                <w:color w:val="auto"/>
                <w:szCs w:val="20"/>
                <w:lang w:val="en-AU"/>
              </w:rPr>
              <w:t>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28818F5B" w14:textId="6F9E45E3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448B7A25" w14:textId="45A6C252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0493B3C3" w14:textId="649D0791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4655E57A" w14:textId="2C091967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Yes </w:t>
            </w:r>
            <w:r w:rsidRPr="008B4F18">
              <w:rPr>
                <w:rFonts w:cs="Arial"/>
                <w:color w:val="auto"/>
                <w:szCs w:val="20"/>
              </w:rPr>
              <w:t>(2.2 mL)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65FED92A" w14:textId="68F97DA4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4EFD682E" w14:textId="1FDBF60B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No</w:t>
            </w:r>
          </w:p>
        </w:tc>
      </w:tr>
      <w:tr w:rsidR="00F44BA4" w:rsidRPr="008B4F18" w14:paraId="00EA41D9" w14:textId="77777777" w:rsidTr="00ED125F">
        <w:trPr>
          <w:trHeight w:val="406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62A60E" w14:textId="05B7A753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  <w:vertAlign w:val="superscript"/>
              </w:rPr>
            </w:pPr>
            <w:r w:rsidRPr="008B4F18">
              <w:rPr>
                <w:rFonts w:cs="Arial"/>
                <w:color w:val="auto"/>
                <w:szCs w:val="20"/>
              </w:rPr>
              <w:t>ULT freezer storage time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0D0E13B7" w14:textId="77777777" w:rsidR="00633471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18</w:t>
            </w:r>
            <w:r w:rsidRPr="008B4F18">
              <w:rPr>
                <w:rFonts w:cs="Arial"/>
                <w:color w:val="auto"/>
                <w:szCs w:val="20"/>
              </w:rPr>
              <w:t xml:space="preserve"> months (shelf life) at </w:t>
            </w:r>
          </w:p>
          <w:p w14:paraId="7B058F38" w14:textId="023A2E47" w:rsidR="00A65421" w:rsidRPr="008B4F18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103B63A" w14:textId="77777777" w:rsidR="00633471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18</w:t>
            </w:r>
            <w:r w:rsidRPr="008B4F18">
              <w:rPr>
                <w:rFonts w:cs="Arial"/>
                <w:color w:val="auto"/>
                <w:szCs w:val="20"/>
              </w:rPr>
              <w:t xml:space="preserve"> months (shelf life) at </w:t>
            </w:r>
          </w:p>
          <w:p w14:paraId="1AC6B82F" w14:textId="79461795" w:rsidR="00A65421" w:rsidRPr="008B4F18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6B94D947" w14:textId="77777777" w:rsidR="00633471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18</w:t>
            </w:r>
            <w:r w:rsidRPr="008B4F18">
              <w:rPr>
                <w:rFonts w:cs="Arial"/>
                <w:color w:val="auto"/>
                <w:szCs w:val="20"/>
              </w:rPr>
              <w:t xml:space="preserve"> months (shelf life) at </w:t>
            </w:r>
          </w:p>
          <w:p w14:paraId="5BB8EEF5" w14:textId="791D13FD" w:rsidR="00A65421" w:rsidRPr="008B4F18" w:rsidRDefault="007B1BC3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64C61FAA" w14:textId="77739A04" w:rsidR="00A65421" w:rsidRPr="008B4F18" w:rsidRDefault="00A65421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NA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14E6B298" w14:textId="77777777" w:rsidR="007A510A" w:rsidRDefault="003146F5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24 months (shelf life) at </w:t>
            </w:r>
          </w:p>
          <w:p w14:paraId="54D68238" w14:textId="28064DE3" w:rsidR="00A65421" w:rsidRPr="008B4F18" w:rsidRDefault="003146F5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4CF0C3DA" w14:textId="77777777" w:rsidR="007A510A" w:rsidRDefault="00A65421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24 months (shelf life) at </w:t>
            </w:r>
          </w:p>
          <w:p w14:paraId="52F4EAAA" w14:textId="3667F362" w:rsidR="00A65421" w:rsidRPr="008B4F18" w:rsidRDefault="00A65421" w:rsidP="00881EAA">
            <w:pPr>
              <w:pStyle w:val="TableParagraph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093AAA99" w14:textId="77777777" w:rsidR="007A510A" w:rsidRDefault="00A65421" w:rsidP="00881EAA">
            <w:pPr>
              <w:pStyle w:val="TableParagraph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24 months (shelf life) at </w:t>
            </w:r>
          </w:p>
          <w:p w14:paraId="2FB95963" w14:textId="69CA1954" w:rsidR="00A65421" w:rsidRPr="008B4F18" w:rsidRDefault="00A65421" w:rsidP="00881EAA">
            <w:pPr>
              <w:pStyle w:val="TableParagraph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-90°C to -60°C</w:t>
            </w:r>
          </w:p>
        </w:tc>
      </w:tr>
      <w:tr w:rsidR="00F44BA4" w:rsidRPr="008B4F18" w14:paraId="4970A11F" w14:textId="77777777" w:rsidTr="00ED125F">
        <w:trPr>
          <w:trHeight w:val="40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ECDF0D" w14:textId="10E03E03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Freezer storage time (unopened)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5F174032" w14:textId="77777777" w:rsidR="00525AC4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 NOT STORE at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14:paraId="7E70AD0E" w14:textId="1A06B3BB" w:rsidR="00A65421" w:rsidRPr="008B4F18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-15°C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2B69E278" w14:textId="77777777" w:rsidR="00525AC4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 NOT STORE at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14:paraId="47956CA6" w14:textId="1821E59F" w:rsidR="00A65421" w:rsidRPr="008B4F18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-15°C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3EC3B5BE" w14:textId="77777777" w:rsidR="00525AC4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 NOT STORE at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14:paraId="1861BCB8" w14:textId="752018A8" w:rsidR="00A65421" w:rsidRPr="008B4F18" w:rsidRDefault="00525AC4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-15°C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73297F2B" w14:textId="3915D9E9" w:rsidR="00A65421" w:rsidRPr="008B4F18" w:rsidRDefault="0088293D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380B99">
              <w:rPr>
                <w:rFonts w:cs="Arial"/>
                <w:color w:val="auto"/>
                <w:szCs w:val="20"/>
                <w:lang w:val="en-AU"/>
              </w:rPr>
              <w:t xml:space="preserve"> </w:t>
            </w:r>
            <w:r w:rsidR="00131760">
              <w:rPr>
                <w:rFonts w:cs="Arial"/>
                <w:color w:val="auto"/>
                <w:szCs w:val="20"/>
                <w:lang w:val="en-AU"/>
              </w:rPr>
              <w:t>DO NOT FREEZE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5CCF2B36" w14:textId="77777777" w:rsidR="009D6F27" w:rsidRDefault="003146F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DO NOT STORE at </w:t>
            </w:r>
          </w:p>
          <w:p w14:paraId="38145315" w14:textId="033D2C0A" w:rsidR="00A65421" w:rsidRPr="008B4F18" w:rsidRDefault="003146F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 -15°C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7A9BF0B6" w14:textId="63F48EBA" w:rsidR="00A65421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 NOT STORE at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14:paraId="36F62C27" w14:textId="28E880A5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-15°C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66792839" w14:textId="77777777" w:rsidR="00A65421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DO NOT STORE at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14:paraId="2BD8C312" w14:textId="4B6E6DDA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-25°C to -15°C</w:t>
            </w:r>
          </w:p>
        </w:tc>
      </w:tr>
      <w:tr w:rsidR="00F44BA4" w:rsidRPr="008B4F18" w14:paraId="2497FDC9" w14:textId="77777777" w:rsidTr="00ED125F">
        <w:trPr>
          <w:trHeight w:val="101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E2076B" w14:textId="2D940496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Refrigeration storage time (unopened)</w:t>
            </w:r>
            <w:r>
              <w:rPr>
                <w:rFonts w:cs="Arial"/>
                <w:color w:val="auto"/>
                <w:szCs w:val="20"/>
                <w:vertAlign w:val="superscript"/>
              </w:rPr>
              <w:t>1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33029AAB" w14:textId="2E0ED498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70 days (+2°C to +8°C</w:t>
            </w:r>
            <w:proofErr w:type="gramStart"/>
            <w:r w:rsidRPr="008B4F18">
              <w:rPr>
                <w:rFonts w:cs="Arial"/>
                <w:color w:val="auto"/>
                <w:szCs w:val="20"/>
              </w:rPr>
              <w:t xml:space="preserve">) </w:t>
            </w:r>
            <w:r w:rsidR="00670BA2"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within</w:t>
            </w:r>
            <w:proofErr w:type="gramEnd"/>
            <w:r w:rsidRPr="008B4F18">
              <w:rPr>
                <w:rFonts w:cs="Arial"/>
                <w:color w:val="auto"/>
                <w:szCs w:val="20"/>
              </w:rPr>
              <w:t xml:space="preserve"> the</w:t>
            </w:r>
            <w:r w:rsidR="00FC1C2A">
              <w:rPr>
                <w:rFonts w:cs="Arial"/>
                <w:color w:val="auto"/>
                <w:szCs w:val="20"/>
              </w:rPr>
              <w:t xml:space="preserve"> 18</w:t>
            </w:r>
            <w:r w:rsidR="00FC1C2A" w:rsidRPr="008B4F18">
              <w:rPr>
                <w:rFonts w:cs="Arial"/>
                <w:color w:val="auto"/>
                <w:szCs w:val="20"/>
              </w:rPr>
              <w:t>-month shelf life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5BC25EE5" w14:textId="286F3028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70 days (+2°C to +8°C) within the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="00FC1C2A">
              <w:rPr>
                <w:rFonts w:cs="Arial"/>
                <w:color w:val="auto"/>
                <w:szCs w:val="20"/>
              </w:rPr>
              <w:t>18</w:t>
            </w:r>
            <w:r w:rsidR="00FC1C2A" w:rsidRPr="008B4F18">
              <w:rPr>
                <w:rFonts w:cs="Arial"/>
                <w:color w:val="auto"/>
                <w:szCs w:val="20"/>
              </w:rPr>
              <w:t>-month shelf life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760D3902" w14:textId="605ED199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70 days (+2°C to +8°C) within the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="00FC1C2A">
              <w:rPr>
                <w:rFonts w:cs="Arial"/>
                <w:color w:val="auto"/>
                <w:szCs w:val="20"/>
              </w:rPr>
              <w:t>18</w:t>
            </w:r>
            <w:r w:rsidR="00FC1C2A" w:rsidRPr="008B4F18">
              <w:rPr>
                <w:rFonts w:cs="Arial"/>
                <w:color w:val="auto"/>
                <w:szCs w:val="20"/>
              </w:rPr>
              <w:t>-month shelf life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084502B4" w14:textId="64C67278" w:rsidR="00A65421" w:rsidRPr="008B4F18" w:rsidRDefault="0093432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Expiry date printed on the carton and syringe label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534B5B3E" w14:textId="43F38721" w:rsidR="00A65421" w:rsidRPr="008B4F18" w:rsidRDefault="003146F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 xml:space="preserve">70 days (+2°C to +8°C) </w:t>
            </w:r>
            <w:r w:rsidR="00A9431C">
              <w:rPr>
                <w:rFonts w:cs="Arial"/>
                <w:color w:val="auto"/>
                <w:szCs w:val="20"/>
              </w:rPr>
              <w:t xml:space="preserve">  </w:t>
            </w:r>
            <w:r w:rsidRPr="008B4F18">
              <w:rPr>
                <w:rFonts w:cs="Arial"/>
                <w:color w:val="auto"/>
                <w:szCs w:val="20"/>
              </w:rPr>
              <w:t>within the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24-month shelf life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035124C9" w14:textId="4DC32ABC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70 days (+2°C to +8°C) within the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24-month shelf life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638FB070" w14:textId="409C517B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70 days (+2°C to +8°C) within the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24-month shelf life</w:t>
            </w:r>
          </w:p>
        </w:tc>
      </w:tr>
      <w:tr w:rsidR="00F44BA4" w:rsidRPr="008B4F18" w14:paraId="13AE3354" w14:textId="77777777" w:rsidTr="00ED125F">
        <w:trPr>
          <w:trHeight w:val="60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EFCDED" w14:textId="73CCBF9F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Room temperature storage time (unopened)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0A40CC2D" w14:textId="5803A36F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24</w:t>
            </w:r>
            <w:r w:rsidRPr="008B4F18">
              <w:rPr>
                <w:rFonts w:cs="Arial"/>
                <w:color w:val="auto"/>
                <w:szCs w:val="20"/>
              </w:rPr>
              <w:t xml:space="preserve"> hours pre- and post-</w:t>
            </w:r>
            <w:r w:rsidR="00F45751">
              <w:rPr>
                <w:rFonts w:cs="Arial"/>
                <w:color w:val="auto"/>
                <w:szCs w:val="20"/>
              </w:rPr>
              <w:t xml:space="preserve"> dilution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0774B15" w14:textId="6DE4E401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6011DF">
              <w:rPr>
                <w:rFonts w:cs="Arial"/>
                <w:color w:val="auto"/>
                <w:szCs w:val="20"/>
              </w:rPr>
              <w:t>24 hours pre- and post-initial puncture (up to +30°C)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634641A2" w14:textId="2DF1E458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6011DF">
              <w:rPr>
                <w:rFonts w:cs="Arial"/>
                <w:color w:val="auto"/>
                <w:szCs w:val="20"/>
              </w:rPr>
              <w:t>24 hours pre- and post-initial puncture (up to +30°C)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1749573F" w14:textId="25FDF26F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12 hours </w:t>
            </w:r>
            <w:r w:rsidRPr="008C343B">
              <w:rPr>
                <w:rFonts w:cs="Arial"/>
                <w:color w:val="auto"/>
                <w:szCs w:val="20"/>
              </w:rPr>
              <w:t>(up to +30°C)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62E6CF5D" w14:textId="750460C5" w:rsidR="00A65421" w:rsidRPr="006011DF" w:rsidRDefault="003146F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24 hours pre- and post-dilution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0BBBE8FF" w14:textId="28DDDFFE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6011DF">
              <w:rPr>
                <w:rFonts w:cs="Arial"/>
                <w:color w:val="auto"/>
                <w:szCs w:val="20"/>
              </w:rPr>
              <w:t>24 hours pre- and post-initial puncture 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32792BFC" w14:textId="3181AB33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24 hours pre- and post-initial puncture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(up to +30°C)</w:t>
            </w:r>
          </w:p>
        </w:tc>
      </w:tr>
      <w:tr w:rsidR="00F44BA4" w:rsidRPr="008B4F18" w14:paraId="641BA8D2" w14:textId="77777777" w:rsidTr="00ED125F">
        <w:trPr>
          <w:trHeight w:val="48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F3DACF" w14:textId="1BF07BDE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  <w:vertAlign w:val="superscript"/>
              </w:rPr>
            </w:pPr>
            <w:r w:rsidRPr="008B4F18">
              <w:rPr>
                <w:rFonts w:cs="Arial"/>
                <w:color w:val="auto"/>
                <w:szCs w:val="20"/>
              </w:rPr>
              <w:t>Storing opened vials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6B988828" w14:textId="7554D377" w:rsidR="00A65421" w:rsidRPr="008B4F18" w:rsidRDefault="0093432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6 </w:t>
            </w:r>
            <w:r w:rsidR="00A65421" w:rsidRPr="00C47866">
              <w:rPr>
                <w:rFonts w:cs="Arial"/>
                <w:color w:val="auto"/>
                <w:szCs w:val="20"/>
              </w:rPr>
              <w:t>hours 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BEC6138" w14:textId="3FA78A33" w:rsidR="00A65421" w:rsidRPr="008B4F18" w:rsidRDefault="0093432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6 </w:t>
            </w:r>
            <w:r w:rsidR="00A65421" w:rsidRPr="008C343B">
              <w:rPr>
                <w:rFonts w:cs="Arial"/>
                <w:color w:val="auto"/>
                <w:szCs w:val="20"/>
              </w:rPr>
              <w:t>hours (up to +30°C)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71DCD54A" w14:textId="159CE91C" w:rsidR="00A65421" w:rsidRPr="008B4F18" w:rsidRDefault="0093432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6 </w:t>
            </w:r>
            <w:r w:rsidR="00A65421" w:rsidRPr="008C343B">
              <w:rPr>
                <w:rFonts w:cs="Arial"/>
                <w:color w:val="auto"/>
                <w:szCs w:val="20"/>
              </w:rPr>
              <w:t>hours (up to +30°C)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419DB506" w14:textId="2F58C60A" w:rsidR="00A65421" w:rsidRPr="008B4F18" w:rsidRDefault="0093432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NA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6AF490F4" w14:textId="457B9D25" w:rsidR="00A65421" w:rsidRPr="008B4F18" w:rsidRDefault="003146F5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6 hours 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521E0101" w14:textId="68EF5F3E" w:rsidR="00A65421" w:rsidRPr="008B4F18" w:rsidRDefault="00964640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(up to +30°C)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59C9CDEB" w14:textId="2FE2EA0C" w:rsidR="00A65421" w:rsidRPr="008B4F18" w:rsidRDefault="00A65421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6 hours (up to +30°C)</w:t>
            </w:r>
          </w:p>
        </w:tc>
      </w:tr>
      <w:tr w:rsidR="00F44BA4" w:rsidRPr="008B4F18" w14:paraId="6FB0BB58" w14:textId="77777777" w:rsidTr="00ED125F">
        <w:trPr>
          <w:trHeight w:val="307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285EA0" w14:textId="196D94C1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  <w:vertAlign w:val="superscript"/>
              </w:rPr>
            </w:pPr>
            <w:r w:rsidRPr="008B4F18">
              <w:rPr>
                <w:rFonts w:cs="Arial"/>
                <w:color w:val="auto"/>
                <w:szCs w:val="20"/>
              </w:rPr>
              <w:t>Storing pre-drawn doses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FF2CC" w:themeFill="accent4" w:themeFillTint="33"/>
          </w:tcPr>
          <w:p w14:paraId="52108A7E" w14:textId="6E5A9F51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(+2°C to +8°C)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6A68BC9F" w14:textId="36FDFC0A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(+2°C to +8°C)</w:t>
            </w:r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045DC499" w14:textId="111C8595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(+2°C to +8°C)</w:t>
            </w:r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6F29D2F2" w14:textId="36571E98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NA</w:t>
            </w:r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0688A914" w14:textId="7203D347" w:rsidR="00A65421" w:rsidRPr="008B4F18" w:rsidRDefault="003146F5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 6 hours (+2°C to +8°C)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302D7F3A" w14:textId="09907943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(+2°C to +8°C)</w:t>
            </w:r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2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</w:tcPr>
          <w:p w14:paraId="2653BBE4" w14:textId="4F332F36" w:rsidR="00A65421" w:rsidRPr="008B4F18" w:rsidRDefault="00A65421" w:rsidP="00881EAA">
            <w:pPr>
              <w:pStyle w:val="TableParagraph"/>
              <w:spacing w:before="80"/>
              <w:ind w:left="0"/>
              <w:rPr>
                <w:rFonts w:cs="Arial"/>
                <w:color w:val="auto"/>
                <w:szCs w:val="20"/>
              </w:rPr>
            </w:pPr>
            <w:r w:rsidRPr="008B4F18">
              <w:rPr>
                <w:rFonts w:cs="Arial"/>
                <w:color w:val="auto"/>
                <w:szCs w:val="20"/>
              </w:rPr>
              <w:t>1 hour (up to +30°C) or</w:t>
            </w:r>
            <w:r>
              <w:rPr>
                <w:rFonts w:cs="Arial"/>
                <w:color w:val="auto"/>
                <w:szCs w:val="20"/>
              </w:rPr>
              <w:t xml:space="preserve"> </w:t>
            </w:r>
            <w:r w:rsidRPr="008B4F18">
              <w:rPr>
                <w:rFonts w:cs="Arial"/>
                <w:color w:val="auto"/>
                <w:szCs w:val="20"/>
              </w:rPr>
              <w:t>6 hours (+2°C to +8°C)</w:t>
            </w:r>
          </w:p>
        </w:tc>
      </w:tr>
      <w:tr w:rsidR="00F44BA4" w:rsidRPr="008B4F18" w14:paraId="6D980E6C" w14:textId="77777777" w:rsidTr="00ED125F">
        <w:trPr>
          <w:trHeight w:val="48"/>
        </w:trPr>
        <w:tc>
          <w:tcPr>
            <w:tcW w:w="644" w:type="pct"/>
            <w:tcBorders>
              <w:top w:val="single" w:sz="2" w:space="0" w:color="595959" w:themeColor="text1" w:themeTint="A6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EC0E95" w14:textId="358567EB" w:rsidR="00A65421" w:rsidRPr="008B4F18" w:rsidRDefault="00A65421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TGA Product Information (PI) and Consumer Medicine Information (CMI)</w:t>
            </w:r>
          </w:p>
        </w:tc>
        <w:tc>
          <w:tcPr>
            <w:tcW w:w="64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E65653" w14:textId="16D308D9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18" w:history="1">
              <w:r w:rsidR="00A65421" w:rsidRPr="007A453D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449D1B4C" w14:textId="01953B5F" w:rsidR="00A65421" w:rsidRDefault="007C32E3" w:rsidP="00881EAA">
            <w:pPr>
              <w:pStyle w:val="TableParagraph"/>
              <w:spacing w:before="80" w:after="80"/>
              <w:ind w:left="0"/>
            </w:pPr>
            <w:hyperlink r:id="rId19" w:history="1">
              <w:r w:rsidR="00A65421" w:rsidRPr="007A453D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1955AB7D" w14:textId="77777777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20" w:history="1">
              <w:r w:rsidR="00A65421" w:rsidRPr="007A453D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25A085AA" w14:textId="06A09E39" w:rsidR="00A65421" w:rsidRDefault="007C32E3" w:rsidP="00881EAA">
            <w:pPr>
              <w:pStyle w:val="TableParagraph"/>
              <w:spacing w:before="80" w:after="80"/>
              <w:ind w:left="0"/>
            </w:pPr>
            <w:hyperlink r:id="rId21" w:history="1">
              <w:r w:rsidR="00A65421" w:rsidRPr="007A453D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13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14:paraId="6B4092C6" w14:textId="77777777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22" w:history="1">
              <w:r w:rsidR="00A65421" w:rsidRPr="007A453D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462EACF1" w14:textId="274B9850" w:rsidR="00A65421" w:rsidRDefault="007C32E3" w:rsidP="00881EAA">
            <w:pPr>
              <w:pStyle w:val="TableParagraph"/>
              <w:spacing w:before="80" w:after="80"/>
              <w:ind w:left="0"/>
            </w:pPr>
            <w:hyperlink r:id="rId23" w:history="1">
              <w:r w:rsidR="00A65421" w:rsidRPr="007A453D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12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E2EFD9" w:themeFill="accent6" w:themeFillTint="33"/>
          </w:tcPr>
          <w:p w14:paraId="449A1374" w14:textId="77777777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24" w:history="1">
              <w:r w:rsidR="00A65421" w:rsidRPr="007A453D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6CBB7FDC" w14:textId="65E929CC" w:rsidR="00A65421" w:rsidRDefault="007C32E3" w:rsidP="00881EAA">
            <w:pPr>
              <w:pStyle w:val="TableParagraph"/>
              <w:spacing w:before="80" w:after="80"/>
              <w:ind w:left="0"/>
            </w:pPr>
            <w:hyperlink r:id="rId25" w:history="1">
              <w:r w:rsidR="00A65421" w:rsidRPr="007A453D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45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FBE4D5" w:themeFill="accent2" w:themeFillTint="33"/>
          </w:tcPr>
          <w:p w14:paraId="1DAE9ADA" w14:textId="77777777" w:rsidR="003146F5" w:rsidRDefault="007C32E3" w:rsidP="00881EAA">
            <w:pPr>
              <w:pStyle w:val="TableParagraph"/>
              <w:spacing w:before="80" w:after="80"/>
              <w:ind w:left="-25"/>
              <w:rPr>
                <w:rFonts w:cs="Arial"/>
                <w:color w:val="auto"/>
                <w:szCs w:val="20"/>
              </w:rPr>
            </w:pPr>
            <w:hyperlink r:id="rId26" w:history="1">
              <w:r w:rsidR="003146F5" w:rsidRPr="00E926A2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7B5FE025" w14:textId="4E774FC5" w:rsidR="00A65421" w:rsidRDefault="007C32E3" w:rsidP="00881EAA">
            <w:pPr>
              <w:pStyle w:val="TableParagraph"/>
              <w:spacing w:before="80" w:after="80"/>
              <w:ind w:left="0"/>
            </w:pPr>
            <w:hyperlink r:id="rId27" w:history="1">
              <w:r w:rsidR="003146F5" w:rsidRPr="00E926A2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DEEAF6" w:themeFill="accent5" w:themeFillTint="33"/>
          </w:tcPr>
          <w:p w14:paraId="0E6DF060" w14:textId="55DF878C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28" w:history="1">
              <w:r w:rsidR="00A65421" w:rsidRPr="00E926A2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78F81B0E" w14:textId="78082E8E" w:rsidR="00A65421" w:rsidRPr="008B4F18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29" w:history="1">
              <w:r w:rsidR="00A65421" w:rsidRPr="00731AAC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  <w:tc>
          <w:tcPr>
            <w:tcW w:w="614" w:type="pct"/>
            <w:tcBorders>
              <w:top w:val="single" w:sz="2" w:space="0" w:color="595959" w:themeColor="text1" w:themeTint="A6"/>
              <w:left w:val="single" w:sz="4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8B2A8" w14:textId="77777777" w:rsidR="00A65421" w:rsidRDefault="007C32E3" w:rsidP="00881EAA">
            <w:pPr>
              <w:pStyle w:val="TableParagraph"/>
              <w:spacing w:before="80" w:after="80"/>
              <w:ind w:left="0"/>
              <w:rPr>
                <w:rFonts w:cs="Arial"/>
                <w:color w:val="auto"/>
                <w:szCs w:val="20"/>
              </w:rPr>
            </w:pPr>
            <w:hyperlink r:id="rId30" w:history="1">
              <w:r w:rsidR="00A65421" w:rsidRPr="00E926A2">
                <w:rPr>
                  <w:rStyle w:val="Hyperlink"/>
                  <w:rFonts w:cs="Arial"/>
                  <w:szCs w:val="20"/>
                </w:rPr>
                <w:t>PI</w:t>
              </w:r>
            </w:hyperlink>
          </w:p>
          <w:p w14:paraId="165BDCF9" w14:textId="446AB01F" w:rsidR="00A65421" w:rsidRDefault="007C32E3" w:rsidP="00881EAA">
            <w:pPr>
              <w:pStyle w:val="TableParagraph"/>
              <w:spacing w:before="80" w:after="80"/>
              <w:ind w:left="0"/>
            </w:pPr>
            <w:hyperlink r:id="rId31" w:history="1">
              <w:r w:rsidR="00A65421" w:rsidRPr="00E926A2">
                <w:rPr>
                  <w:rStyle w:val="Hyperlink"/>
                  <w:rFonts w:cs="Arial"/>
                  <w:szCs w:val="20"/>
                </w:rPr>
                <w:t>CMI</w:t>
              </w:r>
            </w:hyperlink>
          </w:p>
        </w:tc>
      </w:tr>
      <w:tr w:rsidR="00A65421" w:rsidRPr="008E4367" w14:paraId="00812955" w14:textId="77777777" w:rsidTr="00F44BA4">
        <w:trPr>
          <w:trHeight w:val="8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7E51CE" w14:textId="6D3E6262" w:rsidR="00A65421" w:rsidRPr="00CF7ECB" w:rsidRDefault="00A65421" w:rsidP="00C258FF">
            <w:pPr>
              <w:framePr w:hSpace="0" w:wrap="auto" w:vAnchor="margin" w:hAnchor="text" w:yAlign="inline"/>
              <w:spacing w:before="240"/>
              <w:rPr>
                <w:b/>
                <w:bCs/>
                <w:sz w:val="20"/>
                <w:szCs w:val="20"/>
              </w:rPr>
            </w:pPr>
            <w:r w:rsidRPr="00CF7ECB">
              <w:rPr>
                <w:rStyle w:val="Strong"/>
                <w:color w:val="auto"/>
                <w:sz w:val="20"/>
                <w:szCs w:val="20"/>
              </w:rPr>
              <w:t>Notes:</w:t>
            </w:r>
          </w:p>
          <w:p w14:paraId="140F9C58" w14:textId="285C5722" w:rsidR="00A65421" w:rsidRPr="00CF7ECB" w:rsidRDefault="00A65421" w:rsidP="00881EAA">
            <w:pPr>
              <w:framePr w:hSpace="0" w:wrap="auto" w:vAnchor="margin" w:hAnchor="text" w:yAlign="inline"/>
              <w:rPr>
                <w:color w:val="595959" w:themeColor="text1" w:themeTint="A6"/>
                <w:sz w:val="20"/>
                <w:szCs w:val="20"/>
                <w:lang w:eastAsia="en-GB"/>
              </w:rPr>
            </w:pPr>
            <w:r w:rsidRPr="00CF7ECB">
              <w:rPr>
                <w:sz w:val="20"/>
                <w:szCs w:val="20"/>
                <w:lang w:eastAsia="en-GB"/>
              </w:rPr>
              <w:t xml:space="preserve">For the latest information on COVID-19 primary course and additional doses advise, please </w:t>
            </w:r>
            <w:r w:rsidRPr="00CF7ECB">
              <w:rPr>
                <w:sz w:val="20"/>
                <w:szCs w:val="20"/>
                <w:shd w:val="clear" w:color="auto" w:fill="FFFFFF"/>
                <w:lang w:eastAsia="en-GB"/>
              </w:rPr>
              <w:t xml:space="preserve">refer to the </w:t>
            </w:r>
            <w:hyperlink r:id="rId32" w:anchor="recommendations" w:history="1">
              <w:r w:rsidRPr="00CF7ECB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Australian Immunisation Handbook</w:t>
              </w:r>
            </w:hyperlink>
            <w:r w:rsidRPr="00CF7ECB">
              <w:rPr>
                <w:rStyle w:val="Hyperlink"/>
                <w:rFonts w:eastAsia="Times New Roman"/>
                <w:sz w:val="20"/>
                <w:szCs w:val="20"/>
                <w:lang w:eastAsia="en-GB"/>
              </w:rPr>
              <w:t>:</w:t>
            </w:r>
          </w:p>
          <w:p w14:paraId="35ED9B22" w14:textId="2986F176" w:rsidR="00A65421" w:rsidRPr="00CF7ECB" w:rsidRDefault="00A65421" w:rsidP="00881EAA">
            <w:pPr>
              <w:pStyle w:val="ListBullet"/>
              <w:framePr w:hSpace="0" w:wrap="auto" w:vAnchor="margin" w:hAnchor="text" w:yAlign="inline"/>
              <w:tabs>
                <w:tab w:val="clear" w:pos="360"/>
              </w:tabs>
              <w:rPr>
                <w:sz w:val="20"/>
                <w:szCs w:val="20"/>
              </w:rPr>
            </w:pPr>
            <w:r w:rsidRPr="00CF7ECB">
              <w:rPr>
                <w:sz w:val="20"/>
                <w:szCs w:val="20"/>
                <w:lang w:eastAsia="en-GB"/>
              </w:rPr>
              <w:t xml:space="preserve">All adults aged 18 years and over are </w:t>
            </w:r>
            <w:r w:rsidRPr="00CF7ECB">
              <w:rPr>
                <w:b/>
                <w:bCs/>
                <w:sz w:val="20"/>
                <w:szCs w:val="20"/>
                <w:lang w:eastAsia="en-GB"/>
              </w:rPr>
              <w:t>recommended</w:t>
            </w:r>
            <w:r w:rsidRPr="00CF7ECB">
              <w:rPr>
                <w:sz w:val="20"/>
                <w:szCs w:val="20"/>
                <w:lang w:eastAsia="en-GB"/>
              </w:rPr>
              <w:t xml:space="preserve"> a </w:t>
            </w:r>
            <w:r w:rsidRPr="00CF7ECB">
              <w:rPr>
                <w:b/>
                <w:bCs/>
                <w:sz w:val="20"/>
                <w:szCs w:val="20"/>
                <w:lang w:eastAsia="en-GB"/>
              </w:rPr>
              <w:t>single primary dose</w:t>
            </w:r>
            <w:r w:rsidRPr="00CF7ECB">
              <w:rPr>
                <w:sz w:val="20"/>
                <w:szCs w:val="20"/>
                <w:lang w:eastAsia="en-GB"/>
              </w:rPr>
              <w:t>. Ch</w:t>
            </w:r>
            <w:r w:rsidRPr="00CF7ECB">
              <w:rPr>
                <w:sz w:val="20"/>
                <w:szCs w:val="20"/>
              </w:rPr>
              <w:t>ildren and adolescents aged under 18 years are not routinely recommended a primary dose.</w:t>
            </w:r>
          </w:p>
          <w:p w14:paraId="776545E8" w14:textId="77777777" w:rsidR="00A65421" w:rsidRPr="00CF7ECB" w:rsidRDefault="00A65421" w:rsidP="00881EAA">
            <w:pPr>
              <w:pStyle w:val="ListBullet"/>
              <w:framePr w:hSpace="0" w:wrap="auto" w:vAnchor="margin" w:hAnchor="text" w:yAlign="inline"/>
              <w:tabs>
                <w:tab w:val="clear" w:pos="360"/>
              </w:tabs>
              <w:rPr>
                <w:sz w:val="20"/>
                <w:szCs w:val="20"/>
              </w:rPr>
            </w:pPr>
            <w:r w:rsidRPr="00CF7ECB">
              <w:rPr>
                <w:sz w:val="20"/>
                <w:szCs w:val="20"/>
              </w:rPr>
              <w:t>People with severe immunocompromise conditions, who are over 6 months of age or older are recommended 2 primary doses and are eligible for a 3rd primary dose based on an individual risk-benefit assessment.</w:t>
            </w:r>
          </w:p>
          <w:p w14:paraId="245CD037" w14:textId="2DE8BB2B" w:rsidR="00A65421" w:rsidRPr="00C258FF" w:rsidRDefault="00A65421" w:rsidP="00C258FF">
            <w:pPr>
              <w:pStyle w:val="ListBullet"/>
              <w:framePr w:hSpace="0" w:wrap="auto" w:vAnchor="margin" w:hAnchor="text" w:yAlign="inline"/>
              <w:tabs>
                <w:tab w:val="clear" w:pos="360"/>
              </w:tabs>
              <w:spacing w:after="240"/>
              <w:rPr>
                <w:sz w:val="20"/>
                <w:szCs w:val="20"/>
              </w:rPr>
            </w:pPr>
            <w:r w:rsidRPr="00CF7ECB">
              <w:rPr>
                <w:sz w:val="20"/>
                <w:szCs w:val="20"/>
              </w:rPr>
              <w:t xml:space="preserve">Infants, children and adolescents aged 6 months to &lt;18 years </w:t>
            </w:r>
            <w:r w:rsidRPr="00CF7ECB">
              <w:rPr>
                <w:sz w:val="20"/>
                <w:szCs w:val="20"/>
                <w:shd w:val="clear" w:color="auto" w:fill="FFFFFF"/>
                <w:lang w:eastAsia="en-GB"/>
              </w:rPr>
              <w:t xml:space="preserve">with conditions other than severe immunocompromise that may increase the risk of severe COVID-19 are </w:t>
            </w:r>
            <w:r w:rsidRPr="00CF7ECB">
              <w:rPr>
                <w:b/>
                <w:bCs/>
                <w:sz w:val="20"/>
                <w:szCs w:val="20"/>
                <w:shd w:val="clear" w:color="auto" w:fill="FFFFFF"/>
                <w:lang w:eastAsia="en-GB"/>
              </w:rPr>
              <w:t>eligible</w:t>
            </w:r>
            <w:r w:rsidRPr="00CF7ECB">
              <w:rPr>
                <w:sz w:val="20"/>
                <w:szCs w:val="20"/>
                <w:shd w:val="clear" w:color="auto" w:fill="FFFFFF"/>
                <w:lang w:eastAsia="en-GB"/>
              </w:rPr>
              <w:t xml:space="preserve"> for primary dose(s) based on a risk benefit assessment.</w:t>
            </w:r>
          </w:p>
          <w:p w14:paraId="78F1E8E3" w14:textId="59E2CE76" w:rsidR="005E0A3A" w:rsidRDefault="005E0A3A" w:rsidP="00881EAA">
            <w:pPr>
              <w:framePr w:hSpace="0" w:wrap="auto" w:vAnchor="margin" w:hAnchor="text" w:yAlign="inline"/>
              <w:rPr>
                <w:sz w:val="20"/>
                <w:szCs w:val="20"/>
              </w:rPr>
            </w:pPr>
            <w:r w:rsidRPr="005E0A3A">
              <w:rPr>
                <w:sz w:val="20"/>
                <w:szCs w:val="20"/>
              </w:rPr>
              <w:t xml:space="preserve">If vaccines are stored or handled outside the conditions listed, complete the Cold Chain Breach (CCB) reporting form and email it to the Vaccine Operations Centre (VOC) </w:t>
            </w:r>
            <w:hyperlink r:id="rId33" w:history="1">
              <w:r w:rsidRPr="00382420">
                <w:rPr>
                  <w:rStyle w:val="Hyperlink"/>
                  <w:sz w:val="20"/>
                  <w:szCs w:val="20"/>
                </w:rPr>
                <w:t>COVID19VaccineOperationsCentre@health.gov.au</w:t>
              </w:r>
            </w:hyperlink>
            <w:r w:rsidRPr="005E0A3A">
              <w:rPr>
                <w:sz w:val="20"/>
                <w:szCs w:val="20"/>
              </w:rPr>
              <w:t>.</w:t>
            </w:r>
          </w:p>
          <w:p w14:paraId="4840420D" w14:textId="225383BF" w:rsidR="00A65421" w:rsidRPr="00CF7ECB" w:rsidRDefault="00A65421" w:rsidP="00C258FF">
            <w:pPr>
              <w:framePr w:hSpace="0" w:wrap="auto" w:vAnchor="margin" w:hAnchor="text" w:yAlign="inline"/>
              <w:spacing w:before="240"/>
              <w:rPr>
                <w:sz w:val="20"/>
                <w:szCs w:val="20"/>
              </w:rPr>
            </w:pPr>
            <w:r w:rsidRPr="00CF7ECB">
              <w:rPr>
                <w:sz w:val="20"/>
                <w:szCs w:val="20"/>
              </w:rPr>
              <w:t xml:space="preserve">It is mandatory under the </w:t>
            </w:r>
            <w:r w:rsidRPr="00CF7ECB">
              <w:rPr>
                <w:i/>
                <w:iCs/>
                <w:sz w:val="20"/>
                <w:szCs w:val="20"/>
              </w:rPr>
              <w:t xml:space="preserve">Australian Immunisation Register Act 2015 </w:t>
            </w:r>
            <w:r w:rsidRPr="00CF7ECB">
              <w:rPr>
                <w:sz w:val="20"/>
                <w:szCs w:val="20"/>
              </w:rPr>
              <w:t xml:space="preserve">for vaccination providers to report all vaccinations administered in Australia to the AIR. For more information, please visit </w:t>
            </w:r>
            <w:hyperlink r:id="rId34" w:history="1">
              <w:r w:rsidRPr="00CF7ECB">
                <w:rPr>
                  <w:rStyle w:val="Hyperlink"/>
                  <w:sz w:val="20"/>
                  <w:szCs w:val="20"/>
                </w:rPr>
                <w:t>Advice for COVID-19 vaccine providers and administrators</w:t>
              </w:r>
            </w:hyperlink>
            <w:r w:rsidRPr="00CF7ECB">
              <w:rPr>
                <w:sz w:val="20"/>
                <w:szCs w:val="20"/>
                <w:u w:val="single"/>
              </w:rPr>
              <w:t>.</w:t>
            </w:r>
          </w:p>
          <w:p w14:paraId="68B5EF8B" w14:textId="4170048B" w:rsidR="00A65421" w:rsidRPr="0040440B" w:rsidRDefault="00A65421" w:rsidP="00C258FF">
            <w:pPr>
              <w:framePr w:hSpace="0" w:wrap="auto" w:vAnchor="margin" w:hAnchor="text" w:yAlign="inline"/>
              <w:spacing w:before="240"/>
            </w:pPr>
            <w:r w:rsidRPr="00CF7ECB">
              <w:rPr>
                <w:sz w:val="20"/>
                <w:szCs w:val="20"/>
              </w:rPr>
              <w:t>Images © 202</w:t>
            </w:r>
            <w:r w:rsidR="007261C2">
              <w:rPr>
                <w:sz w:val="20"/>
                <w:szCs w:val="20"/>
              </w:rPr>
              <w:t>4</w:t>
            </w:r>
            <w:r w:rsidRPr="00CF7ECB">
              <w:rPr>
                <w:sz w:val="20"/>
                <w:szCs w:val="20"/>
              </w:rPr>
              <w:t xml:space="preserve"> Pfizer Inc. All rights reserved.</w:t>
            </w:r>
          </w:p>
        </w:tc>
      </w:tr>
    </w:tbl>
    <w:p w14:paraId="2CF22215" w14:textId="77777777" w:rsidR="0023689D" w:rsidRPr="00375393" w:rsidRDefault="0023689D" w:rsidP="002C0FE5">
      <w:pPr>
        <w:framePr w:w="37" w:h="248" w:hRule="exact" w:wrap="around" w:y="678"/>
      </w:pPr>
    </w:p>
    <w:sectPr w:rsidR="0023689D" w:rsidRPr="00375393" w:rsidSect="00DD4B12">
      <w:pgSz w:w="23811" w:h="16838" w:orient="landscape" w:code="8"/>
      <w:pgMar w:top="624" w:right="624" w:bottom="244" w:left="624" w:header="4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E60E" w14:textId="77777777" w:rsidR="006D6AD8" w:rsidRDefault="006D6AD8" w:rsidP="00375393">
      <w:pPr>
        <w:framePr w:wrap="around"/>
      </w:pPr>
      <w:r>
        <w:separator/>
      </w:r>
    </w:p>
  </w:endnote>
  <w:endnote w:type="continuationSeparator" w:id="0">
    <w:p w14:paraId="6E702176" w14:textId="77777777" w:rsidR="006D6AD8" w:rsidRDefault="006D6AD8" w:rsidP="00375393">
      <w:pPr>
        <w:framePr w:wrap="around"/>
      </w:pPr>
      <w:r>
        <w:continuationSeparator/>
      </w:r>
    </w:p>
  </w:endnote>
  <w:endnote w:type="continuationNotice" w:id="1">
    <w:p w14:paraId="214DF803" w14:textId="77777777" w:rsidR="006D6AD8" w:rsidRDefault="006D6AD8" w:rsidP="00375393">
      <w:pPr>
        <w:framePr w:wrap="aroun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5FAF" w14:textId="77777777" w:rsidR="006D6AD8" w:rsidRDefault="006D6AD8" w:rsidP="00375393">
      <w:pPr>
        <w:framePr w:wrap="around"/>
      </w:pPr>
      <w:r>
        <w:separator/>
      </w:r>
    </w:p>
  </w:footnote>
  <w:footnote w:type="continuationSeparator" w:id="0">
    <w:p w14:paraId="772109B7" w14:textId="77777777" w:rsidR="006D6AD8" w:rsidRDefault="006D6AD8" w:rsidP="00375393">
      <w:pPr>
        <w:framePr w:wrap="around"/>
      </w:pPr>
      <w:r>
        <w:continuationSeparator/>
      </w:r>
    </w:p>
  </w:footnote>
  <w:footnote w:type="continuationNotice" w:id="1">
    <w:p w14:paraId="19CCF6D8" w14:textId="77777777" w:rsidR="006D6AD8" w:rsidRDefault="006D6AD8" w:rsidP="00375393">
      <w:pPr>
        <w:framePr w:wrap="aroun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B4C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DE0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F17A43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CE7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5F26"/>
    <w:multiLevelType w:val="hybridMultilevel"/>
    <w:tmpl w:val="D89ECFA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801FF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406B3"/>
    <w:multiLevelType w:val="hybridMultilevel"/>
    <w:tmpl w:val="457AE0F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3878E9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DC2"/>
    <w:multiLevelType w:val="hybridMultilevel"/>
    <w:tmpl w:val="A0D69A8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42110E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51E56"/>
    <w:multiLevelType w:val="hybridMultilevel"/>
    <w:tmpl w:val="098EC77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332E2"/>
    <w:multiLevelType w:val="hybridMultilevel"/>
    <w:tmpl w:val="8B189B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9133F"/>
    <w:multiLevelType w:val="hybridMultilevel"/>
    <w:tmpl w:val="0E4865B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20C2C75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0BDD"/>
    <w:multiLevelType w:val="hybridMultilevel"/>
    <w:tmpl w:val="89807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16C23"/>
    <w:multiLevelType w:val="hybridMultilevel"/>
    <w:tmpl w:val="3534820E"/>
    <w:lvl w:ilvl="0" w:tplc="C2FA92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C75C9"/>
    <w:multiLevelType w:val="hybridMultilevel"/>
    <w:tmpl w:val="C096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831B8"/>
    <w:multiLevelType w:val="hybridMultilevel"/>
    <w:tmpl w:val="37844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87B2F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4F0B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5179A"/>
    <w:multiLevelType w:val="hybridMultilevel"/>
    <w:tmpl w:val="8B189B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2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629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944317">
    <w:abstractNumId w:val="14"/>
  </w:num>
  <w:num w:numId="4" w16cid:durableId="1447966692">
    <w:abstractNumId w:val="8"/>
  </w:num>
  <w:num w:numId="5" w16cid:durableId="1835146025">
    <w:abstractNumId w:val="6"/>
  </w:num>
  <w:num w:numId="6" w16cid:durableId="108743143">
    <w:abstractNumId w:val="12"/>
  </w:num>
  <w:num w:numId="7" w16cid:durableId="1674523979">
    <w:abstractNumId w:val="10"/>
  </w:num>
  <w:num w:numId="8" w16cid:durableId="1425498137">
    <w:abstractNumId w:val="3"/>
  </w:num>
  <w:num w:numId="9" w16cid:durableId="335546531">
    <w:abstractNumId w:val="19"/>
  </w:num>
  <w:num w:numId="10" w16cid:durableId="359014547">
    <w:abstractNumId w:val="18"/>
  </w:num>
  <w:num w:numId="11" w16cid:durableId="1305768194">
    <w:abstractNumId w:val="5"/>
  </w:num>
  <w:num w:numId="12" w16cid:durableId="1196507693">
    <w:abstractNumId w:val="7"/>
  </w:num>
  <w:num w:numId="13" w16cid:durableId="795368185">
    <w:abstractNumId w:val="20"/>
  </w:num>
  <w:num w:numId="14" w16cid:durableId="1325742919">
    <w:abstractNumId w:val="16"/>
  </w:num>
  <w:num w:numId="15" w16cid:durableId="1528444672">
    <w:abstractNumId w:val="15"/>
  </w:num>
  <w:num w:numId="16" w16cid:durableId="640691041">
    <w:abstractNumId w:val="2"/>
  </w:num>
  <w:num w:numId="17" w16cid:durableId="1183203306">
    <w:abstractNumId w:val="13"/>
  </w:num>
  <w:num w:numId="18" w16cid:durableId="1967079565">
    <w:abstractNumId w:val="9"/>
  </w:num>
  <w:num w:numId="19" w16cid:durableId="1968193692">
    <w:abstractNumId w:val="4"/>
  </w:num>
  <w:num w:numId="20" w16cid:durableId="1763137537">
    <w:abstractNumId w:val="17"/>
  </w:num>
  <w:num w:numId="21" w16cid:durableId="2012105297">
    <w:abstractNumId w:val="1"/>
  </w:num>
  <w:num w:numId="22" w16cid:durableId="204814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CC"/>
    <w:rsid w:val="00002A4C"/>
    <w:rsid w:val="00003904"/>
    <w:rsid w:val="00004205"/>
    <w:rsid w:val="00006249"/>
    <w:rsid w:val="00007533"/>
    <w:rsid w:val="00011988"/>
    <w:rsid w:val="00011B44"/>
    <w:rsid w:val="000174D4"/>
    <w:rsid w:val="00017CB6"/>
    <w:rsid w:val="0002153A"/>
    <w:rsid w:val="000235AD"/>
    <w:rsid w:val="00026456"/>
    <w:rsid w:val="0002715C"/>
    <w:rsid w:val="00031BF7"/>
    <w:rsid w:val="000327A0"/>
    <w:rsid w:val="0003571A"/>
    <w:rsid w:val="00036B0C"/>
    <w:rsid w:val="000430B4"/>
    <w:rsid w:val="00050700"/>
    <w:rsid w:val="00051173"/>
    <w:rsid w:val="00051E70"/>
    <w:rsid w:val="00053243"/>
    <w:rsid w:val="00061767"/>
    <w:rsid w:val="00065832"/>
    <w:rsid w:val="000733FA"/>
    <w:rsid w:val="000760C7"/>
    <w:rsid w:val="000775AC"/>
    <w:rsid w:val="00080812"/>
    <w:rsid w:val="00082B62"/>
    <w:rsid w:val="00085DC2"/>
    <w:rsid w:val="000871FC"/>
    <w:rsid w:val="00087F69"/>
    <w:rsid w:val="0009003A"/>
    <w:rsid w:val="0009047C"/>
    <w:rsid w:val="0009098C"/>
    <w:rsid w:val="00092688"/>
    <w:rsid w:val="00095630"/>
    <w:rsid w:val="00095DDD"/>
    <w:rsid w:val="000975B3"/>
    <w:rsid w:val="000A3604"/>
    <w:rsid w:val="000A782B"/>
    <w:rsid w:val="000B13F2"/>
    <w:rsid w:val="000C0DE7"/>
    <w:rsid w:val="000C249C"/>
    <w:rsid w:val="000C3CC6"/>
    <w:rsid w:val="000C6CB9"/>
    <w:rsid w:val="000D03B5"/>
    <w:rsid w:val="000D572F"/>
    <w:rsid w:val="000D77F3"/>
    <w:rsid w:val="000E0DA0"/>
    <w:rsid w:val="000E116A"/>
    <w:rsid w:val="000E15E0"/>
    <w:rsid w:val="000E1826"/>
    <w:rsid w:val="000E45F6"/>
    <w:rsid w:val="000E6CCB"/>
    <w:rsid w:val="00100F06"/>
    <w:rsid w:val="00101AF8"/>
    <w:rsid w:val="0010318C"/>
    <w:rsid w:val="00110A61"/>
    <w:rsid w:val="00113DFC"/>
    <w:rsid w:val="00113FA4"/>
    <w:rsid w:val="00120AB8"/>
    <w:rsid w:val="00120D5E"/>
    <w:rsid w:val="00122D54"/>
    <w:rsid w:val="00122F1C"/>
    <w:rsid w:val="0012429A"/>
    <w:rsid w:val="00125A82"/>
    <w:rsid w:val="00126E01"/>
    <w:rsid w:val="00127F9C"/>
    <w:rsid w:val="001305B0"/>
    <w:rsid w:val="00131760"/>
    <w:rsid w:val="00133C63"/>
    <w:rsid w:val="001345D0"/>
    <w:rsid w:val="00135056"/>
    <w:rsid w:val="00136BA0"/>
    <w:rsid w:val="00137A67"/>
    <w:rsid w:val="00140E37"/>
    <w:rsid w:val="001413CA"/>
    <w:rsid w:val="00144F27"/>
    <w:rsid w:val="0014528B"/>
    <w:rsid w:val="00145BEE"/>
    <w:rsid w:val="001624AA"/>
    <w:rsid w:val="00162AF7"/>
    <w:rsid w:val="0016630A"/>
    <w:rsid w:val="00166513"/>
    <w:rsid w:val="00166780"/>
    <w:rsid w:val="001724A6"/>
    <w:rsid w:val="001740CE"/>
    <w:rsid w:val="00174DA4"/>
    <w:rsid w:val="001814A7"/>
    <w:rsid w:val="00183054"/>
    <w:rsid w:val="00183364"/>
    <w:rsid w:val="00196846"/>
    <w:rsid w:val="001A2F86"/>
    <w:rsid w:val="001A5E07"/>
    <w:rsid w:val="001A6AD5"/>
    <w:rsid w:val="001B0AB5"/>
    <w:rsid w:val="001B0B33"/>
    <w:rsid w:val="001C1867"/>
    <w:rsid w:val="001C3BC2"/>
    <w:rsid w:val="001C3E84"/>
    <w:rsid w:val="001D1821"/>
    <w:rsid w:val="001D4A78"/>
    <w:rsid w:val="001D5184"/>
    <w:rsid w:val="001D5476"/>
    <w:rsid w:val="001E02CE"/>
    <w:rsid w:val="001E053C"/>
    <w:rsid w:val="001E3F92"/>
    <w:rsid w:val="001E4D56"/>
    <w:rsid w:val="001E7A71"/>
    <w:rsid w:val="001F0757"/>
    <w:rsid w:val="001F0DDB"/>
    <w:rsid w:val="001F4DEE"/>
    <w:rsid w:val="001F59E2"/>
    <w:rsid w:val="00200193"/>
    <w:rsid w:val="002005C3"/>
    <w:rsid w:val="002026D1"/>
    <w:rsid w:val="00203E57"/>
    <w:rsid w:val="00210D98"/>
    <w:rsid w:val="00211E81"/>
    <w:rsid w:val="00212CC7"/>
    <w:rsid w:val="002207FC"/>
    <w:rsid w:val="00222077"/>
    <w:rsid w:val="002221A3"/>
    <w:rsid w:val="002225AF"/>
    <w:rsid w:val="00224304"/>
    <w:rsid w:val="0022458A"/>
    <w:rsid w:val="00226901"/>
    <w:rsid w:val="0023689D"/>
    <w:rsid w:val="0024206F"/>
    <w:rsid w:val="00245314"/>
    <w:rsid w:val="002453FE"/>
    <w:rsid w:val="002477B3"/>
    <w:rsid w:val="00250A1A"/>
    <w:rsid w:val="0025432E"/>
    <w:rsid w:val="002559FE"/>
    <w:rsid w:val="00257209"/>
    <w:rsid w:val="00257516"/>
    <w:rsid w:val="00260FC5"/>
    <w:rsid w:val="00262FEC"/>
    <w:rsid w:val="00273247"/>
    <w:rsid w:val="002742B1"/>
    <w:rsid w:val="0027500A"/>
    <w:rsid w:val="00280050"/>
    <w:rsid w:val="002853C8"/>
    <w:rsid w:val="0028566E"/>
    <w:rsid w:val="00286C92"/>
    <w:rsid w:val="00286E5C"/>
    <w:rsid w:val="002902A1"/>
    <w:rsid w:val="00291EF5"/>
    <w:rsid w:val="00295571"/>
    <w:rsid w:val="00297BA6"/>
    <w:rsid w:val="002A2204"/>
    <w:rsid w:val="002B0642"/>
    <w:rsid w:val="002B5C36"/>
    <w:rsid w:val="002C0FE5"/>
    <w:rsid w:val="002C2B6C"/>
    <w:rsid w:val="002C6DBD"/>
    <w:rsid w:val="002D0778"/>
    <w:rsid w:val="002D3308"/>
    <w:rsid w:val="002D4E26"/>
    <w:rsid w:val="002E0ECE"/>
    <w:rsid w:val="002E0EFE"/>
    <w:rsid w:val="002E25A2"/>
    <w:rsid w:val="002E261B"/>
    <w:rsid w:val="002E3AD2"/>
    <w:rsid w:val="002E4C1D"/>
    <w:rsid w:val="002E5A27"/>
    <w:rsid w:val="002F185F"/>
    <w:rsid w:val="002F388A"/>
    <w:rsid w:val="002F61B5"/>
    <w:rsid w:val="00302A66"/>
    <w:rsid w:val="00302AD7"/>
    <w:rsid w:val="0030449D"/>
    <w:rsid w:val="003066DC"/>
    <w:rsid w:val="003073DA"/>
    <w:rsid w:val="00312D63"/>
    <w:rsid w:val="003146F5"/>
    <w:rsid w:val="003147C0"/>
    <w:rsid w:val="003147C5"/>
    <w:rsid w:val="00316190"/>
    <w:rsid w:val="003167A2"/>
    <w:rsid w:val="00317933"/>
    <w:rsid w:val="00317D48"/>
    <w:rsid w:val="00320EE4"/>
    <w:rsid w:val="00323619"/>
    <w:rsid w:val="00324402"/>
    <w:rsid w:val="00327AA9"/>
    <w:rsid w:val="0033737A"/>
    <w:rsid w:val="00343161"/>
    <w:rsid w:val="003446A1"/>
    <w:rsid w:val="00344765"/>
    <w:rsid w:val="00345DC0"/>
    <w:rsid w:val="00352BE0"/>
    <w:rsid w:val="003541FD"/>
    <w:rsid w:val="0035557A"/>
    <w:rsid w:val="00356D15"/>
    <w:rsid w:val="00360337"/>
    <w:rsid w:val="0036045D"/>
    <w:rsid w:val="00360690"/>
    <w:rsid w:val="00360D9F"/>
    <w:rsid w:val="00361703"/>
    <w:rsid w:val="003623B3"/>
    <w:rsid w:val="00362789"/>
    <w:rsid w:val="00364C0A"/>
    <w:rsid w:val="00366142"/>
    <w:rsid w:val="00367C3D"/>
    <w:rsid w:val="0037176D"/>
    <w:rsid w:val="00372F52"/>
    <w:rsid w:val="0037518A"/>
    <w:rsid w:val="00375393"/>
    <w:rsid w:val="00375865"/>
    <w:rsid w:val="00380C43"/>
    <w:rsid w:val="0038343C"/>
    <w:rsid w:val="0038445D"/>
    <w:rsid w:val="00384AFE"/>
    <w:rsid w:val="00391656"/>
    <w:rsid w:val="0039201D"/>
    <w:rsid w:val="003940D4"/>
    <w:rsid w:val="00394D39"/>
    <w:rsid w:val="00397F09"/>
    <w:rsid w:val="003A0004"/>
    <w:rsid w:val="003A0122"/>
    <w:rsid w:val="003A112A"/>
    <w:rsid w:val="003A1278"/>
    <w:rsid w:val="003A4CFC"/>
    <w:rsid w:val="003A557D"/>
    <w:rsid w:val="003A7F16"/>
    <w:rsid w:val="003B554F"/>
    <w:rsid w:val="003C7D69"/>
    <w:rsid w:val="003D1F56"/>
    <w:rsid w:val="003D3B75"/>
    <w:rsid w:val="003D6006"/>
    <w:rsid w:val="003D790D"/>
    <w:rsid w:val="003E7D70"/>
    <w:rsid w:val="003F1815"/>
    <w:rsid w:val="003F2BE1"/>
    <w:rsid w:val="003F2DFD"/>
    <w:rsid w:val="003F643E"/>
    <w:rsid w:val="003F728A"/>
    <w:rsid w:val="0040440B"/>
    <w:rsid w:val="004045AF"/>
    <w:rsid w:val="004064E6"/>
    <w:rsid w:val="00411721"/>
    <w:rsid w:val="00411DF0"/>
    <w:rsid w:val="004150F2"/>
    <w:rsid w:val="00423A49"/>
    <w:rsid w:val="00423E02"/>
    <w:rsid w:val="00425937"/>
    <w:rsid w:val="00440A7D"/>
    <w:rsid w:val="0044269D"/>
    <w:rsid w:val="00443352"/>
    <w:rsid w:val="0044504F"/>
    <w:rsid w:val="00445EA1"/>
    <w:rsid w:val="00453581"/>
    <w:rsid w:val="00453649"/>
    <w:rsid w:val="00455AD8"/>
    <w:rsid w:val="00471E1E"/>
    <w:rsid w:val="004732A3"/>
    <w:rsid w:val="00473450"/>
    <w:rsid w:val="004741C2"/>
    <w:rsid w:val="00481D6B"/>
    <w:rsid w:val="00484754"/>
    <w:rsid w:val="00487C89"/>
    <w:rsid w:val="0049151C"/>
    <w:rsid w:val="00492005"/>
    <w:rsid w:val="00494856"/>
    <w:rsid w:val="00495107"/>
    <w:rsid w:val="004965E4"/>
    <w:rsid w:val="004A05E6"/>
    <w:rsid w:val="004A3B4B"/>
    <w:rsid w:val="004A4DAE"/>
    <w:rsid w:val="004A4F56"/>
    <w:rsid w:val="004A7049"/>
    <w:rsid w:val="004B5F8F"/>
    <w:rsid w:val="004B7AB0"/>
    <w:rsid w:val="004C4169"/>
    <w:rsid w:val="004D0769"/>
    <w:rsid w:val="004D34C9"/>
    <w:rsid w:val="004D529C"/>
    <w:rsid w:val="004E021A"/>
    <w:rsid w:val="004E452A"/>
    <w:rsid w:val="004E4B39"/>
    <w:rsid w:val="004F1B13"/>
    <w:rsid w:val="004F1D40"/>
    <w:rsid w:val="00502DA9"/>
    <w:rsid w:val="0051291F"/>
    <w:rsid w:val="00512A76"/>
    <w:rsid w:val="005176CA"/>
    <w:rsid w:val="005239BF"/>
    <w:rsid w:val="005255F4"/>
    <w:rsid w:val="00525AC4"/>
    <w:rsid w:val="00526339"/>
    <w:rsid w:val="005308F2"/>
    <w:rsid w:val="005314FB"/>
    <w:rsid w:val="00536464"/>
    <w:rsid w:val="005417A4"/>
    <w:rsid w:val="00541E18"/>
    <w:rsid w:val="00544D06"/>
    <w:rsid w:val="00551A60"/>
    <w:rsid w:val="0055493E"/>
    <w:rsid w:val="00555E21"/>
    <w:rsid w:val="00562CFC"/>
    <w:rsid w:val="005640A9"/>
    <w:rsid w:val="00564338"/>
    <w:rsid w:val="00564AD6"/>
    <w:rsid w:val="00564CE3"/>
    <w:rsid w:val="00577C21"/>
    <w:rsid w:val="00581327"/>
    <w:rsid w:val="00584749"/>
    <w:rsid w:val="00594050"/>
    <w:rsid w:val="005949FF"/>
    <w:rsid w:val="005A4ED9"/>
    <w:rsid w:val="005A78BD"/>
    <w:rsid w:val="005B0088"/>
    <w:rsid w:val="005B0625"/>
    <w:rsid w:val="005B3FCE"/>
    <w:rsid w:val="005B4B89"/>
    <w:rsid w:val="005C026B"/>
    <w:rsid w:val="005D262F"/>
    <w:rsid w:val="005D31B1"/>
    <w:rsid w:val="005D5255"/>
    <w:rsid w:val="005D5A00"/>
    <w:rsid w:val="005E0027"/>
    <w:rsid w:val="005E0935"/>
    <w:rsid w:val="005E0A3A"/>
    <w:rsid w:val="005E55D4"/>
    <w:rsid w:val="005E6A31"/>
    <w:rsid w:val="005F0FCA"/>
    <w:rsid w:val="005F1526"/>
    <w:rsid w:val="005F3A61"/>
    <w:rsid w:val="005F43AF"/>
    <w:rsid w:val="005F4D8A"/>
    <w:rsid w:val="006011CA"/>
    <w:rsid w:val="006011DF"/>
    <w:rsid w:val="0060233E"/>
    <w:rsid w:val="006031E6"/>
    <w:rsid w:val="0060497E"/>
    <w:rsid w:val="00605D15"/>
    <w:rsid w:val="00605DE1"/>
    <w:rsid w:val="0060672B"/>
    <w:rsid w:val="00607018"/>
    <w:rsid w:val="00607B6F"/>
    <w:rsid w:val="00611584"/>
    <w:rsid w:val="00611F12"/>
    <w:rsid w:val="006127DF"/>
    <w:rsid w:val="006146E5"/>
    <w:rsid w:val="00614BA9"/>
    <w:rsid w:val="006155D8"/>
    <w:rsid w:val="00615E5E"/>
    <w:rsid w:val="006202CC"/>
    <w:rsid w:val="00623955"/>
    <w:rsid w:val="00627B25"/>
    <w:rsid w:val="00633471"/>
    <w:rsid w:val="00633E5B"/>
    <w:rsid w:val="006345A3"/>
    <w:rsid w:val="00636D67"/>
    <w:rsid w:val="006419A2"/>
    <w:rsid w:val="0064288C"/>
    <w:rsid w:val="00643254"/>
    <w:rsid w:val="00643BB5"/>
    <w:rsid w:val="00647A9E"/>
    <w:rsid w:val="006504AA"/>
    <w:rsid w:val="00650F9B"/>
    <w:rsid w:val="00651324"/>
    <w:rsid w:val="00651ECA"/>
    <w:rsid w:val="00652A64"/>
    <w:rsid w:val="006562BE"/>
    <w:rsid w:val="006562EE"/>
    <w:rsid w:val="00657060"/>
    <w:rsid w:val="00657627"/>
    <w:rsid w:val="00657B41"/>
    <w:rsid w:val="00660A83"/>
    <w:rsid w:val="00661CE6"/>
    <w:rsid w:val="00670308"/>
    <w:rsid w:val="00670BA2"/>
    <w:rsid w:val="0067396B"/>
    <w:rsid w:val="00674B82"/>
    <w:rsid w:val="00680BF7"/>
    <w:rsid w:val="00681215"/>
    <w:rsid w:val="00683620"/>
    <w:rsid w:val="006840AE"/>
    <w:rsid w:val="00684701"/>
    <w:rsid w:val="0068555E"/>
    <w:rsid w:val="006872A2"/>
    <w:rsid w:val="0069070F"/>
    <w:rsid w:val="00693047"/>
    <w:rsid w:val="006935F3"/>
    <w:rsid w:val="00696464"/>
    <w:rsid w:val="006A0156"/>
    <w:rsid w:val="006A5977"/>
    <w:rsid w:val="006B2102"/>
    <w:rsid w:val="006B239C"/>
    <w:rsid w:val="006B2C90"/>
    <w:rsid w:val="006B7EF6"/>
    <w:rsid w:val="006C38BD"/>
    <w:rsid w:val="006C4501"/>
    <w:rsid w:val="006C5479"/>
    <w:rsid w:val="006D0698"/>
    <w:rsid w:val="006D1F60"/>
    <w:rsid w:val="006D3789"/>
    <w:rsid w:val="006D45E2"/>
    <w:rsid w:val="006D4B21"/>
    <w:rsid w:val="006D5D20"/>
    <w:rsid w:val="006D5DC0"/>
    <w:rsid w:val="006D6AD8"/>
    <w:rsid w:val="006E1016"/>
    <w:rsid w:val="006E3989"/>
    <w:rsid w:val="006E4CEC"/>
    <w:rsid w:val="006E7087"/>
    <w:rsid w:val="006F3394"/>
    <w:rsid w:val="006F555F"/>
    <w:rsid w:val="00703999"/>
    <w:rsid w:val="00705756"/>
    <w:rsid w:val="00706713"/>
    <w:rsid w:val="00712F42"/>
    <w:rsid w:val="007214BC"/>
    <w:rsid w:val="00722BAC"/>
    <w:rsid w:val="007261C2"/>
    <w:rsid w:val="00727356"/>
    <w:rsid w:val="00730360"/>
    <w:rsid w:val="00731AAC"/>
    <w:rsid w:val="00733F8D"/>
    <w:rsid w:val="00734BE9"/>
    <w:rsid w:val="00734DD0"/>
    <w:rsid w:val="0074181F"/>
    <w:rsid w:val="00742F45"/>
    <w:rsid w:val="007443AD"/>
    <w:rsid w:val="0074541F"/>
    <w:rsid w:val="007467FF"/>
    <w:rsid w:val="00746A05"/>
    <w:rsid w:val="0075081D"/>
    <w:rsid w:val="00752E2E"/>
    <w:rsid w:val="007538F3"/>
    <w:rsid w:val="0075595F"/>
    <w:rsid w:val="00760843"/>
    <w:rsid w:val="007612EC"/>
    <w:rsid w:val="007615C3"/>
    <w:rsid w:val="007623DF"/>
    <w:rsid w:val="00771BD8"/>
    <w:rsid w:val="00775425"/>
    <w:rsid w:val="00775C57"/>
    <w:rsid w:val="00783A3C"/>
    <w:rsid w:val="00790BA2"/>
    <w:rsid w:val="007925C4"/>
    <w:rsid w:val="00793198"/>
    <w:rsid w:val="00796ECA"/>
    <w:rsid w:val="007A450F"/>
    <w:rsid w:val="007A453D"/>
    <w:rsid w:val="007A510A"/>
    <w:rsid w:val="007B01D1"/>
    <w:rsid w:val="007B1BC3"/>
    <w:rsid w:val="007B2010"/>
    <w:rsid w:val="007B4F30"/>
    <w:rsid w:val="007C32E3"/>
    <w:rsid w:val="007C5BAE"/>
    <w:rsid w:val="007D087C"/>
    <w:rsid w:val="007D1C37"/>
    <w:rsid w:val="007D335C"/>
    <w:rsid w:val="007D4441"/>
    <w:rsid w:val="007D4EFB"/>
    <w:rsid w:val="007E37C1"/>
    <w:rsid w:val="007F0208"/>
    <w:rsid w:val="007F4DDE"/>
    <w:rsid w:val="008078B2"/>
    <w:rsid w:val="00821A9D"/>
    <w:rsid w:val="008227FF"/>
    <w:rsid w:val="00824351"/>
    <w:rsid w:val="008263D1"/>
    <w:rsid w:val="008270B9"/>
    <w:rsid w:val="00831F6F"/>
    <w:rsid w:val="00832DD6"/>
    <w:rsid w:val="008334B0"/>
    <w:rsid w:val="00836EB6"/>
    <w:rsid w:val="00837CDD"/>
    <w:rsid w:val="00837F29"/>
    <w:rsid w:val="00841A4F"/>
    <w:rsid w:val="00845641"/>
    <w:rsid w:val="0084615A"/>
    <w:rsid w:val="00847C9F"/>
    <w:rsid w:val="0085367B"/>
    <w:rsid w:val="008545DB"/>
    <w:rsid w:val="00855687"/>
    <w:rsid w:val="0085629E"/>
    <w:rsid w:val="00856B78"/>
    <w:rsid w:val="00856CAF"/>
    <w:rsid w:val="0085702C"/>
    <w:rsid w:val="00857AD1"/>
    <w:rsid w:val="008634EA"/>
    <w:rsid w:val="008713CC"/>
    <w:rsid w:val="0087148D"/>
    <w:rsid w:val="008726B5"/>
    <w:rsid w:val="0087671E"/>
    <w:rsid w:val="0087708B"/>
    <w:rsid w:val="00877225"/>
    <w:rsid w:val="008819A3"/>
    <w:rsid w:val="00881EAA"/>
    <w:rsid w:val="0088293D"/>
    <w:rsid w:val="00890A06"/>
    <w:rsid w:val="00893F74"/>
    <w:rsid w:val="00895996"/>
    <w:rsid w:val="00896B59"/>
    <w:rsid w:val="008975F8"/>
    <w:rsid w:val="008A6580"/>
    <w:rsid w:val="008B1E6E"/>
    <w:rsid w:val="008B26FE"/>
    <w:rsid w:val="008B28D7"/>
    <w:rsid w:val="008B2B5F"/>
    <w:rsid w:val="008B4A08"/>
    <w:rsid w:val="008B4F18"/>
    <w:rsid w:val="008B65F0"/>
    <w:rsid w:val="008C1164"/>
    <w:rsid w:val="008C2367"/>
    <w:rsid w:val="008C324D"/>
    <w:rsid w:val="008C343B"/>
    <w:rsid w:val="008D0363"/>
    <w:rsid w:val="008D120E"/>
    <w:rsid w:val="008D2569"/>
    <w:rsid w:val="008D5476"/>
    <w:rsid w:val="008E0D28"/>
    <w:rsid w:val="008E11DF"/>
    <w:rsid w:val="008E2AB6"/>
    <w:rsid w:val="008E4367"/>
    <w:rsid w:val="008E504D"/>
    <w:rsid w:val="008E664F"/>
    <w:rsid w:val="008F1D97"/>
    <w:rsid w:val="008F2E56"/>
    <w:rsid w:val="008F31C9"/>
    <w:rsid w:val="008F3B2E"/>
    <w:rsid w:val="008F585C"/>
    <w:rsid w:val="008F5B2B"/>
    <w:rsid w:val="008F68CC"/>
    <w:rsid w:val="008F7B4F"/>
    <w:rsid w:val="00905298"/>
    <w:rsid w:val="00914559"/>
    <w:rsid w:val="00917832"/>
    <w:rsid w:val="009205AC"/>
    <w:rsid w:val="00920CC7"/>
    <w:rsid w:val="00926771"/>
    <w:rsid w:val="0093025C"/>
    <w:rsid w:val="00934325"/>
    <w:rsid w:val="00942296"/>
    <w:rsid w:val="009426F4"/>
    <w:rsid w:val="0094292D"/>
    <w:rsid w:val="00944A77"/>
    <w:rsid w:val="0095049D"/>
    <w:rsid w:val="009511FB"/>
    <w:rsid w:val="00953067"/>
    <w:rsid w:val="00953D6F"/>
    <w:rsid w:val="009548D5"/>
    <w:rsid w:val="00964640"/>
    <w:rsid w:val="00967ED8"/>
    <w:rsid w:val="0097013C"/>
    <w:rsid w:val="00971ABD"/>
    <w:rsid w:val="00974EAC"/>
    <w:rsid w:val="009752FA"/>
    <w:rsid w:val="00975E9E"/>
    <w:rsid w:val="00977BD4"/>
    <w:rsid w:val="00977C05"/>
    <w:rsid w:val="00980EE5"/>
    <w:rsid w:val="009825B6"/>
    <w:rsid w:val="00983867"/>
    <w:rsid w:val="00986818"/>
    <w:rsid w:val="009879AA"/>
    <w:rsid w:val="009909FB"/>
    <w:rsid w:val="00991FB5"/>
    <w:rsid w:val="0099417A"/>
    <w:rsid w:val="009A16BE"/>
    <w:rsid w:val="009A1E50"/>
    <w:rsid w:val="009A2FA3"/>
    <w:rsid w:val="009A2FE1"/>
    <w:rsid w:val="009A6ABB"/>
    <w:rsid w:val="009B262C"/>
    <w:rsid w:val="009B307B"/>
    <w:rsid w:val="009B795E"/>
    <w:rsid w:val="009C42C9"/>
    <w:rsid w:val="009D0251"/>
    <w:rsid w:val="009D3A27"/>
    <w:rsid w:val="009D5BE1"/>
    <w:rsid w:val="009D63F8"/>
    <w:rsid w:val="009D6F27"/>
    <w:rsid w:val="009E0B02"/>
    <w:rsid w:val="009E2A2A"/>
    <w:rsid w:val="009E3768"/>
    <w:rsid w:val="009E3E18"/>
    <w:rsid w:val="009E66F5"/>
    <w:rsid w:val="009E6CCE"/>
    <w:rsid w:val="009F209F"/>
    <w:rsid w:val="009F388A"/>
    <w:rsid w:val="009F5990"/>
    <w:rsid w:val="009F7FC6"/>
    <w:rsid w:val="00A0156F"/>
    <w:rsid w:val="00A01A6F"/>
    <w:rsid w:val="00A054F5"/>
    <w:rsid w:val="00A06256"/>
    <w:rsid w:val="00A074DC"/>
    <w:rsid w:val="00A07D71"/>
    <w:rsid w:val="00A1047D"/>
    <w:rsid w:val="00A10EFE"/>
    <w:rsid w:val="00A143F7"/>
    <w:rsid w:val="00A21F7E"/>
    <w:rsid w:val="00A24D64"/>
    <w:rsid w:val="00A25ECD"/>
    <w:rsid w:val="00A26849"/>
    <w:rsid w:val="00A3114F"/>
    <w:rsid w:val="00A35E24"/>
    <w:rsid w:val="00A36CB3"/>
    <w:rsid w:val="00A402E5"/>
    <w:rsid w:val="00A4119E"/>
    <w:rsid w:val="00A41276"/>
    <w:rsid w:val="00A42952"/>
    <w:rsid w:val="00A44038"/>
    <w:rsid w:val="00A51A86"/>
    <w:rsid w:val="00A53AB7"/>
    <w:rsid w:val="00A57869"/>
    <w:rsid w:val="00A63874"/>
    <w:rsid w:val="00A64499"/>
    <w:rsid w:val="00A65421"/>
    <w:rsid w:val="00A66316"/>
    <w:rsid w:val="00A75081"/>
    <w:rsid w:val="00A8023E"/>
    <w:rsid w:val="00A845AF"/>
    <w:rsid w:val="00A87EB7"/>
    <w:rsid w:val="00A914ED"/>
    <w:rsid w:val="00A919A7"/>
    <w:rsid w:val="00A93915"/>
    <w:rsid w:val="00A9431C"/>
    <w:rsid w:val="00A97C7C"/>
    <w:rsid w:val="00AA1E0D"/>
    <w:rsid w:val="00AA21D4"/>
    <w:rsid w:val="00AA3D11"/>
    <w:rsid w:val="00AA561C"/>
    <w:rsid w:val="00AC0C90"/>
    <w:rsid w:val="00AC3D71"/>
    <w:rsid w:val="00AC49FC"/>
    <w:rsid w:val="00AC4B51"/>
    <w:rsid w:val="00AC7296"/>
    <w:rsid w:val="00AC7518"/>
    <w:rsid w:val="00AC75BC"/>
    <w:rsid w:val="00AD44F6"/>
    <w:rsid w:val="00AD4D57"/>
    <w:rsid w:val="00AD6872"/>
    <w:rsid w:val="00AE17E0"/>
    <w:rsid w:val="00AE3BD8"/>
    <w:rsid w:val="00AE7BE2"/>
    <w:rsid w:val="00AF5DED"/>
    <w:rsid w:val="00B000ED"/>
    <w:rsid w:val="00B00640"/>
    <w:rsid w:val="00B00F12"/>
    <w:rsid w:val="00B04A19"/>
    <w:rsid w:val="00B05311"/>
    <w:rsid w:val="00B061BA"/>
    <w:rsid w:val="00B10AC8"/>
    <w:rsid w:val="00B117CC"/>
    <w:rsid w:val="00B13417"/>
    <w:rsid w:val="00B13EB6"/>
    <w:rsid w:val="00B141E7"/>
    <w:rsid w:val="00B2442C"/>
    <w:rsid w:val="00B262F4"/>
    <w:rsid w:val="00B26A04"/>
    <w:rsid w:val="00B26BF1"/>
    <w:rsid w:val="00B324CE"/>
    <w:rsid w:val="00B325EF"/>
    <w:rsid w:val="00B33175"/>
    <w:rsid w:val="00B338FA"/>
    <w:rsid w:val="00B3438A"/>
    <w:rsid w:val="00B40494"/>
    <w:rsid w:val="00B43722"/>
    <w:rsid w:val="00B45952"/>
    <w:rsid w:val="00B46AD7"/>
    <w:rsid w:val="00B50A2F"/>
    <w:rsid w:val="00B50E19"/>
    <w:rsid w:val="00B516FB"/>
    <w:rsid w:val="00B55937"/>
    <w:rsid w:val="00B56267"/>
    <w:rsid w:val="00B63597"/>
    <w:rsid w:val="00B63ADC"/>
    <w:rsid w:val="00B657BD"/>
    <w:rsid w:val="00B65C04"/>
    <w:rsid w:val="00B65DE4"/>
    <w:rsid w:val="00B70A21"/>
    <w:rsid w:val="00B70C14"/>
    <w:rsid w:val="00B71062"/>
    <w:rsid w:val="00B734ED"/>
    <w:rsid w:val="00B73A9F"/>
    <w:rsid w:val="00B76426"/>
    <w:rsid w:val="00B7685F"/>
    <w:rsid w:val="00B8107F"/>
    <w:rsid w:val="00B82EF5"/>
    <w:rsid w:val="00B86149"/>
    <w:rsid w:val="00B87A8E"/>
    <w:rsid w:val="00B87E79"/>
    <w:rsid w:val="00B87FF4"/>
    <w:rsid w:val="00B935DF"/>
    <w:rsid w:val="00B937A6"/>
    <w:rsid w:val="00B94D90"/>
    <w:rsid w:val="00B956B9"/>
    <w:rsid w:val="00B97BC0"/>
    <w:rsid w:val="00B97C79"/>
    <w:rsid w:val="00BA0ADC"/>
    <w:rsid w:val="00BA2221"/>
    <w:rsid w:val="00BA5823"/>
    <w:rsid w:val="00BA6533"/>
    <w:rsid w:val="00BB0CC1"/>
    <w:rsid w:val="00BB15E0"/>
    <w:rsid w:val="00BB2160"/>
    <w:rsid w:val="00BB302B"/>
    <w:rsid w:val="00BC051C"/>
    <w:rsid w:val="00BC245C"/>
    <w:rsid w:val="00BC388F"/>
    <w:rsid w:val="00BC50C9"/>
    <w:rsid w:val="00BD08D0"/>
    <w:rsid w:val="00BD1D59"/>
    <w:rsid w:val="00BD21A8"/>
    <w:rsid w:val="00BD2BD7"/>
    <w:rsid w:val="00BD41F9"/>
    <w:rsid w:val="00BD66B3"/>
    <w:rsid w:val="00BE4F17"/>
    <w:rsid w:val="00BE57B0"/>
    <w:rsid w:val="00BF07E9"/>
    <w:rsid w:val="00BF18AE"/>
    <w:rsid w:val="00BF1C64"/>
    <w:rsid w:val="00BF2037"/>
    <w:rsid w:val="00BF34AB"/>
    <w:rsid w:val="00BF3C1D"/>
    <w:rsid w:val="00BF76C0"/>
    <w:rsid w:val="00BF7EAC"/>
    <w:rsid w:val="00C032DA"/>
    <w:rsid w:val="00C04483"/>
    <w:rsid w:val="00C05E42"/>
    <w:rsid w:val="00C132AA"/>
    <w:rsid w:val="00C13719"/>
    <w:rsid w:val="00C13B03"/>
    <w:rsid w:val="00C1559F"/>
    <w:rsid w:val="00C17534"/>
    <w:rsid w:val="00C20582"/>
    <w:rsid w:val="00C20E3A"/>
    <w:rsid w:val="00C237AB"/>
    <w:rsid w:val="00C2494B"/>
    <w:rsid w:val="00C258FF"/>
    <w:rsid w:val="00C2768A"/>
    <w:rsid w:val="00C27B14"/>
    <w:rsid w:val="00C40BF4"/>
    <w:rsid w:val="00C41FBF"/>
    <w:rsid w:val="00C449CB"/>
    <w:rsid w:val="00C46A0E"/>
    <w:rsid w:val="00C47866"/>
    <w:rsid w:val="00C51493"/>
    <w:rsid w:val="00C52317"/>
    <w:rsid w:val="00C52F31"/>
    <w:rsid w:val="00C541E2"/>
    <w:rsid w:val="00C5429B"/>
    <w:rsid w:val="00C567CA"/>
    <w:rsid w:val="00C62ABB"/>
    <w:rsid w:val="00C64878"/>
    <w:rsid w:val="00C6667F"/>
    <w:rsid w:val="00C70AFA"/>
    <w:rsid w:val="00C70EEE"/>
    <w:rsid w:val="00C74299"/>
    <w:rsid w:val="00C74657"/>
    <w:rsid w:val="00C77802"/>
    <w:rsid w:val="00C778FA"/>
    <w:rsid w:val="00C77A4D"/>
    <w:rsid w:val="00C77B72"/>
    <w:rsid w:val="00C803B2"/>
    <w:rsid w:val="00C83AAA"/>
    <w:rsid w:val="00C84CDD"/>
    <w:rsid w:val="00C92843"/>
    <w:rsid w:val="00C95B35"/>
    <w:rsid w:val="00C9776A"/>
    <w:rsid w:val="00CA5FC7"/>
    <w:rsid w:val="00CA6977"/>
    <w:rsid w:val="00CA7972"/>
    <w:rsid w:val="00CB2CDF"/>
    <w:rsid w:val="00CC5828"/>
    <w:rsid w:val="00CC662B"/>
    <w:rsid w:val="00CD1348"/>
    <w:rsid w:val="00CD1E1F"/>
    <w:rsid w:val="00CD4F06"/>
    <w:rsid w:val="00CD6EFB"/>
    <w:rsid w:val="00CE4BAF"/>
    <w:rsid w:val="00CE7BB4"/>
    <w:rsid w:val="00CF05B3"/>
    <w:rsid w:val="00CF439C"/>
    <w:rsid w:val="00CF6F25"/>
    <w:rsid w:val="00CF7ECB"/>
    <w:rsid w:val="00D02D8B"/>
    <w:rsid w:val="00D05164"/>
    <w:rsid w:val="00D12036"/>
    <w:rsid w:val="00D132D3"/>
    <w:rsid w:val="00D151F8"/>
    <w:rsid w:val="00D1569B"/>
    <w:rsid w:val="00D16D4D"/>
    <w:rsid w:val="00D17AC9"/>
    <w:rsid w:val="00D25C48"/>
    <w:rsid w:val="00D31D96"/>
    <w:rsid w:val="00D33AFB"/>
    <w:rsid w:val="00D35728"/>
    <w:rsid w:val="00D47496"/>
    <w:rsid w:val="00D507A1"/>
    <w:rsid w:val="00D513D0"/>
    <w:rsid w:val="00D54712"/>
    <w:rsid w:val="00D600C2"/>
    <w:rsid w:val="00D6016B"/>
    <w:rsid w:val="00D60733"/>
    <w:rsid w:val="00D63302"/>
    <w:rsid w:val="00D6414C"/>
    <w:rsid w:val="00D64681"/>
    <w:rsid w:val="00D64BED"/>
    <w:rsid w:val="00D653D7"/>
    <w:rsid w:val="00D67C0D"/>
    <w:rsid w:val="00D70912"/>
    <w:rsid w:val="00D70A5F"/>
    <w:rsid w:val="00D70F39"/>
    <w:rsid w:val="00D7640A"/>
    <w:rsid w:val="00D76447"/>
    <w:rsid w:val="00D77358"/>
    <w:rsid w:val="00D81D6A"/>
    <w:rsid w:val="00D85C23"/>
    <w:rsid w:val="00D85D31"/>
    <w:rsid w:val="00D85F1B"/>
    <w:rsid w:val="00D86111"/>
    <w:rsid w:val="00D94682"/>
    <w:rsid w:val="00D94CF1"/>
    <w:rsid w:val="00DA0B2F"/>
    <w:rsid w:val="00DA4055"/>
    <w:rsid w:val="00DA40C8"/>
    <w:rsid w:val="00DA4482"/>
    <w:rsid w:val="00DB2802"/>
    <w:rsid w:val="00DB5977"/>
    <w:rsid w:val="00DB6FFF"/>
    <w:rsid w:val="00DB7505"/>
    <w:rsid w:val="00DB7641"/>
    <w:rsid w:val="00DC167B"/>
    <w:rsid w:val="00DC28DB"/>
    <w:rsid w:val="00DC2EC6"/>
    <w:rsid w:val="00DD4B12"/>
    <w:rsid w:val="00DD4F2A"/>
    <w:rsid w:val="00DE19F9"/>
    <w:rsid w:val="00DE1B15"/>
    <w:rsid w:val="00DF047A"/>
    <w:rsid w:val="00DF17A6"/>
    <w:rsid w:val="00DF2915"/>
    <w:rsid w:val="00DF2F60"/>
    <w:rsid w:val="00DF3FAC"/>
    <w:rsid w:val="00DF6921"/>
    <w:rsid w:val="00E02FBF"/>
    <w:rsid w:val="00E066DD"/>
    <w:rsid w:val="00E10F36"/>
    <w:rsid w:val="00E11CC5"/>
    <w:rsid w:val="00E2060F"/>
    <w:rsid w:val="00E2271C"/>
    <w:rsid w:val="00E23570"/>
    <w:rsid w:val="00E2481F"/>
    <w:rsid w:val="00E26111"/>
    <w:rsid w:val="00E268DB"/>
    <w:rsid w:val="00E350D6"/>
    <w:rsid w:val="00E35316"/>
    <w:rsid w:val="00E455C8"/>
    <w:rsid w:val="00E505CF"/>
    <w:rsid w:val="00E50994"/>
    <w:rsid w:val="00E50AA3"/>
    <w:rsid w:val="00E50F2E"/>
    <w:rsid w:val="00E51AF7"/>
    <w:rsid w:val="00E5212B"/>
    <w:rsid w:val="00E54C51"/>
    <w:rsid w:val="00E56B3E"/>
    <w:rsid w:val="00E57EE9"/>
    <w:rsid w:val="00E61039"/>
    <w:rsid w:val="00E63F57"/>
    <w:rsid w:val="00E66057"/>
    <w:rsid w:val="00E70DA6"/>
    <w:rsid w:val="00E72CBB"/>
    <w:rsid w:val="00E74BED"/>
    <w:rsid w:val="00E77CC4"/>
    <w:rsid w:val="00E865D4"/>
    <w:rsid w:val="00E8695E"/>
    <w:rsid w:val="00E8797D"/>
    <w:rsid w:val="00E926A2"/>
    <w:rsid w:val="00E94154"/>
    <w:rsid w:val="00E9468D"/>
    <w:rsid w:val="00E95DAA"/>
    <w:rsid w:val="00E97315"/>
    <w:rsid w:val="00EA0486"/>
    <w:rsid w:val="00EA0629"/>
    <w:rsid w:val="00EA0E41"/>
    <w:rsid w:val="00EA1729"/>
    <w:rsid w:val="00EA1E72"/>
    <w:rsid w:val="00EA568B"/>
    <w:rsid w:val="00EA6471"/>
    <w:rsid w:val="00EB5C11"/>
    <w:rsid w:val="00EB7009"/>
    <w:rsid w:val="00EB74A6"/>
    <w:rsid w:val="00EC093E"/>
    <w:rsid w:val="00EC2E5D"/>
    <w:rsid w:val="00EC341C"/>
    <w:rsid w:val="00EC38CC"/>
    <w:rsid w:val="00ED11F5"/>
    <w:rsid w:val="00ED125F"/>
    <w:rsid w:val="00ED23CA"/>
    <w:rsid w:val="00ED3DDD"/>
    <w:rsid w:val="00ED5F30"/>
    <w:rsid w:val="00ED63C1"/>
    <w:rsid w:val="00EE53AC"/>
    <w:rsid w:val="00EE61AA"/>
    <w:rsid w:val="00EE68C9"/>
    <w:rsid w:val="00EF0B69"/>
    <w:rsid w:val="00EF0CBC"/>
    <w:rsid w:val="00EF180F"/>
    <w:rsid w:val="00EF1EF5"/>
    <w:rsid w:val="00EF21E1"/>
    <w:rsid w:val="00EF28B1"/>
    <w:rsid w:val="00EF494F"/>
    <w:rsid w:val="00EF50A9"/>
    <w:rsid w:val="00F00220"/>
    <w:rsid w:val="00F02244"/>
    <w:rsid w:val="00F02281"/>
    <w:rsid w:val="00F06DBF"/>
    <w:rsid w:val="00F12138"/>
    <w:rsid w:val="00F14D6C"/>
    <w:rsid w:val="00F16028"/>
    <w:rsid w:val="00F16CB3"/>
    <w:rsid w:val="00F21EAD"/>
    <w:rsid w:val="00F24A07"/>
    <w:rsid w:val="00F27E66"/>
    <w:rsid w:val="00F32462"/>
    <w:rsid w:val="00F32C44"/>
    <w:rsid w:val="00F33B95"/>
    <w:rsid w:val="00F33DA6"/>
    <w:rsid w:val="00F40C57"/>
    <w:rsid w:val="00F41FAA"/>
    <w:rsid w:val="00F44BA4"/>
    <w:rsid w:val="00F454E2"/>
    <w:rsid w:val="00F45668"/>
    <w:rsid w:val="00F45751"/>
    <w:rsid w:val="00F470E5"/>
    <w:rsid w:val="00F50E80"/>
    <w:rsid w:val="00F51C8D"/>
    <w:rsid w:val="00F54A5E"/>
    <w:rsid w:val="00F565A6"/>
    <w:rsid w:val="00F56F98"/>
    <w:rsid w:val="00F618E5"/>
    <w:rsid w:val="00F640F4"/>
    <w:rsid w:val="00F65803"/>
    <w:rsid w:val="00F70EF9"/>
    <w:rsid w:val="00F71566"/>
    <w:rsid w:val="00F74352"/>
    <w:rsid w:val="00F8232F"/>
    <w:rsid w:val="00F8464F"/>
    <w:rsid w:val="00F852BD"/>
    <w:rsid w:val="00F922B0"/>
    <w:rsid w:val="00F94B5C"/>
    <w:rsid w:val="00F959D7"/>
    <w:rsid w:val="00F95EDD"/>
    <w:rsid w:val="00F95F0C"/>
    <w:rsid w:val="00F96111"/>
    <w:rsid w:val="00F96A97"/>
    <w:rsid w:val="00FA3E12"/>
    <w:rsid w:val="00FA4E93"/>
    <w:rsid w:val="00FA79EA"/>
    <w:rsid w:val="00FB5C52"/>
    <w:rsid w:val="00FB5E45"/>
    <w:rsid w:val="00FB69B5"/>
    <w:rsid w:val="00FB7F4C"/>
    <w:rsid w:val="00FC0B59"/>
    <w:rsid w:val="00FC0C8B"/>
    <w:rsid w:val="00FC1186"/>
    <w:rsid w:val="00FC1C2A"/>
    <w:rsid w:val="00FC282C"/>
    <w:rsid w:val="00FC5F57"/>
    <w:rsid w:val="00FC6068"/>
    <w:rsid w:val="00FC6BB5"/>
    <w:rsid w:val="00FD0E1B"/>
    <w:rsid w:val="00FD5C0B"/>
    <w:rsid w:val="00FD69A3"/>
    <w:rsid w:val="00FE0BDF"/>
    <w:rsid w:val="00FE2E34"/>
    <w:rsid w:val="00FE65A6"/>
    <w:rsid w:val="00FF4432"/>
    <w:rsid w:val="00FF52B7"/>
    <w:rsid w:val="00FF655D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58CD"/>
  <w15:chartTrackingRefBased/>
  <w15:docId w15:val="{97D9659E-7E27-40A7-8621-1F6D0B20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93"/>
    <w:pPr>
      <w:framePr w:hSpace="180" w:wrap="around" w:vAnchor="page" w:hAnchor="margin" w:y="646"/>
      <w:spacing w:before="40" w:after="40" w:line="240" w:lineRule="auto"/>
      <w:ind w:left="-164"/>
    </w:pPr>
    <w:rPr>
      <w:rFonts w:ascii="Arial" w:hAnsi="Arial" w:cs="Arial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649"/>
    <w:pPr>
      <w:framePr w:wrap="around"/>
      <w:spacing w:before="120" w:after="0"/>
      <w:ind w:left="0"/>
      <w:outlineLvl w:val="2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7CC"/>
    <w:rPr>
      <w:color w:val="0563C1" w:themeColor="hyperlink"/>
      <w:u w:val="singl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B117CC"/>
    <w:pPr>
      <w:framePr w:wrap="around"/>
      <w:ind w:left="720"/>
      <w:contextualSpacing/>
    </w:pPr>
  </w:style>
  <w:style w:type="character" w:styleId="Strong">
    <w:name w:val="Strong"/>
    <w:uiPriority w:val="22"/>
    <w:qFormat/>
    <w:rsid w:val="00B117CC"/>
    <w:rPr>
      <w:rFonts w:ascii="Arial" w:hAnsi="Arial" w:cs="Arial"/>
      <w:b/>
      <w:bCs/>
      <w:color w:val="3663AD"/>
      <w:sz w:val="16"/>
      <w:szCs w:val="16"/>
    </w:rPr>
  </w:style>
  <w:style w:type="paragraph" w:customStyle="1" w:styleId="TableParagraph">
    <w:name w:val="Table Paragraph"/>
    <w:uiPriority w:val="1"/>
    <w:qFormat/>
    <w:rsid w:val="00B117CC"/>
    <w:pPr>
      <w:widowControl w:val="0"/>
      <w:autoSpaceDE w:val="0"/>
      <w:autoSpaceDN w:val="0"/>
      <w:spacing w:after="0" w:line="240" w:lineRule="auto"/>
      <w:ind w:left="227"/>
    </w:pPr>
    <w:rPr>
      <w:rFonts w:ascii="Arial" w:eastAsia="Verdana" w:hAnsi="Arial" w:cs="Verdana"/>
      <w:color w:val="3664AD"/>
      <w:sz w:val="20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117CC"/>
    <w:rPr>
      <w:rFonts w:ascii="Arial" w:hAnsi="Arial" w:cs="Arial"/>
      <w:color w:val="3663AD"/>
      <w:sz w:val="16"/>
      <w:szCs w:val="16"/>
    </w:rPr>
  </w:style>
  <w:style w:type="paragraph" w:styleId="Revision">
    <w:name w:val="Revision"/>
    <w:hidden/>
    <w:uiPriority w:val="99"/>
    <w:semiHidden/>
    <w:rsid w:val="00B117CC"/>
    <w:pPr>
      <w:spacing w:after="0" w:line="240" w:lineRule="auto"/>
    </w:pPr>
    <w:rPr>
      <w:rFonts w:ascii="Arial" w:hAnsi="Arial" w:cs="Arial"/>
      <w:color w:val="3663AD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53649"/>
    <w:rPr>
      <w:rFonts w:eastAsiaTheme="minorEastAsia" w:cstheme="minorBidi"/>
      <w:b/>
      <w:bCs/>
      <w:sz w:val="20"/>
      <w:szCs w:val="20"/>
    </w:rPr>
  </w:style>
  <w:style w:type="table" w:styleId="TableGrid">
    <w:name w:val="Table Grid"/>
    <w:basedOn w:val="TableNormal"/>
    <w:rsid w:val="0045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B72"/>
    <w:pPr>
      <w:framePr w:wrap="around"/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7B72"/>
    <w:rPr>
      <w:rFonts w:ascii="Arial" w:hAnsi="Arial" w:cs="Arial"/>
      <w:color w:val="3663AD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7B72"/>
    <w:pPr>
      <w:framePr w:wrap="around"/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7B72"/>
    <w:rPr>
      <w:rFonts w:ascii="Arial" w:hAnsi="Arial" w:cs="Arial"/>
      <w:color w:val="3663AD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06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2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6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CAF"/>
    <w:pPr>
      <w:framePr w:wrap="around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CAF"/>
    <w:rPr>
      <w:rFonts w:ascii="Arial" w:hAnsi="Arial" w:cs="Arial"/>
      <w:color w:val="3663A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AF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CAF"/>
    <w:rPr>
      <w:rFonts w:ascii="Arial" w:hAnsi="Arial" w:cs="Arial"/>
      <w:b/>
      <w:bCs/>
      <w:color w:val="3663AD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0F39"/>
    <w:pPr>
      <w:framePr w:wrap="around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2D4E26"/>
    <w:pPr>
      <w:framePr w:wrap="around"/>
      <w:numPr>
        <w:numId w:val="21"/>
      </w:numPr>
      <w:ind w:left="527" w:hanging="357"/>
    </w:pPr>
  </w:style>
  <w:style w:type="paragraph" w:styleId="ListNumber">
    <w:name w:val="List Number"/>
    <w:basedOn w:val="Normal"/>
    <w:uiPriority w:val="99"/>
    <w:unhideWhenUsed/>
    <w:rsid w:val="002D4E26"/>
    <w:pPr>
      <w:framePr w:wrap="around"/>
      <w:numPr>
        <w:numId w:val="22"/>
      </w:numPr>
      <w:tabs>
        <w:tab w:val="clear" w:pos="36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bs.tga.gov.au/ebs/picmi/picmirepository.nsf/pdf?OpenAgent&amp;id=CP-2023-PI-02409-1&amp;d=202104131016933" TargetMode="External"/><Relationship Id="rId18" Type="http://schemas.openxmlformats.org/officeDocument/2006/relationships/hyperlink" Target="https://www.ebs.tga.gov.au/ebs/picmi/picmirepository.nsf/pdf?OpenAgent&amp;id=CP-2024-PI-02704-1&amp;d=20241030172310101" TargetMode="External"/><Relationship Id="rId26" Type="http://schemas.openxmlformats.org/officeDocument/2006/relationships/hyperlink" Target="https://www.ebs.tga.gov.au/ebs/picmi/picmirepository.nsf/pdf?OpenAgent&amp;id=CP-2023-PI-02409-1&amp;d=202104131016933&amp;d=20231011172310101&amp;d=20231016172310101&amp;d=20231122172310101&amp;d=2024031217231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bs.tga.gov.au/ebs/picmi/picmirepository.nsf/pdf?OpenAgent&amp;id=CP-2024-CMI-02705-1" TargetMode="External"/><Relationship Id="rId34" Type="http://schemas.openxmlformats.org/officeDocument/2006/relationships/hyperlink" Target="https://www.health.gov.au/our-work/covid-19-vaccines/advice-for-provider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www.ebs.tga.gov.au/ebs/picmi/picmirepository.nsf/pdf?OpenAgent&amp;id=CP-2024-CMI-02705-1" TargetMode="External"/><Relationship Id="rId33" Type="http://schemas.openxmlformats.org/officeDocument/2006/relationships/hyperlink" Target="mailto:COVID19VaccineOperationsCentre@health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ebs.tga.gov.au/ebs/picmi/picmirepository.nsf/pdf?OpenAgent&amp;id=CP-2024-PI-02704-1&amp;d=20241030172310101" TargetMode="External"/><Relationship Id="rId29" Type="http://schemas.openxmlformats.org/officeDocument/2006/relationships/hyperlink" Target="https://www.ebs.tga.gov.au/ebs/picmi/picmirepository.nsf/pdf?OpenAgent&amp;id=CP-2023-CMI-02414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ebs.tga.gov.au/ebs/picmi/picmirepository.nsf/pdf?OpenAgent&amp;id=CP-2024-PI-02704-1&amp;d=20241030172310101" TargetMode="External"/><Relationship Id="rId32" Type="http://schemas.openxmlformats.org/officeDocument/2006/relationships/hyperlink" Target="https://immunisationhandbook.health.gov.au/contents/vaccine-preventable-diseases/covid-19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hyperlink" Target="https://www.ebs.tga.gov.au/ebs/picmi/picmirepository.nsf/pdf?OpenAgent&amp;id=CP-2024-CMI-02705-1" TargetMode="External"/><Relationship Id="rId28" Type="http://schemas.openxmlformats.org/officeDocument/2006/relationships/hyperlink" Target="https://www.ebs.tga.gov.au/ebs/picmi/picmirepository.nsf/pdf?OpenAgent&amp;id=CP-2023-PI-02409-1&amp;d=202104131016933&amp;d=20231011172310101&amp;d=20231016172310101&amp;d=20231122172310101&amp;d=20240312172310101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ebs.tga.gov.au/ebs/picmi/picmirepository.nsf/pdf?OpenAgent&amp;id=CP-2024-CMI-02705-1" TargetMode="External"/><Relationship Id="rId31" Type="http://schemas.openxmlformats.org/officeDocument/2006/relationships/hyperlink" Target="https://www.ebs.tga.gov.au/ebs/picmi/picmirepository.nsf/pdf?OpenAgent&amp;id=CP-2023-CMI-02414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ebs.tga.gov.au/ebs/picmi/picmirepository.nsf/pdf?OpenAgent&amp;id=CP-2024-PI-02704-1&amp;d=20241030172310101" TargetMode="External"/><Relationship Id="rId27" Type="http://schemas.openxmlformats.org/officeDocument/2006/relationships/hyperlink" Target="https://www.ebs.tga.gov.au/ebs/picmi/picmirepository.nsf/pdf?OpenAgent&amp;id=CP-2023-CMI-02414-1" TargetMode="External"/><Relationship Id="rId30" Type="http://schemas.openxmlformats.org/officeDocument/2006/relationships/hyperlink" Target="https://www.ebs.tga.gov.au/ebs/picmi/picmirepository.nsf/pdf?OpenAgent&amp;id=CP-2023-PI-02409-1&amp;d=202104131016933&amp;d=20231011172310101&amp;d=20231016172310101&amp;d=20231122172310101&amp;d=202403121723101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6FFF-E468-4F32-BBE3-9FF474D8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800</Words>
  <Characters>3808</Characters>
  <Application>Microsoft Office Word</Application>
  <DocSecurity>0</DocSecurity>
  <Lines>217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vaccines in Australia – A3 poster</vt:lpstr>
    </vt:vector>
  </TitlesOfParts>
  <Company/>
  <LinksUpToDate>false</LinksUpToDate>
  <CharactersWithSpaces>4481</CharactersWithSpaces>
  <SharedDoc>false</SharedDoc>
  <HLinks>
    <vt:vector size="36" baseType="variant">
      <vt:variant>
        <vt:i4>262248</vt:i4>
      </vt:variant>
      <vt:variant>
        <vt:i4>15</vt:i4>
      </vt:variant>
      <vt:variant>
        <vt:i4>0</vt:i4>
      </vt:variant>
      <vt:variant>
        <vt:i4>5</vt:i4>
      </vt:variant>
      <vt:variant>
        <vt:lpwstr>mailto:COVID19VaccineOperationsCentre@health.gov.au</vt:lpwstr>
      </vt:variant>
      <vt:variant>
        <vt:lpwstr/>
      </vt:variant>
      <vt:variant>
        <vt:i4>1048579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https://www.health.gov.au/resources/publications/cold-chain-breach-ccb-reporting-form?language=en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https://www.health.gov.au/news/atagi-update-on-the-covid-19-vaccination-program</vt:lpwstr>
      </vt:variant>
      <vt:variant>
        <vt:lpwstr/>
      </vt:variant>
      <vt:variant>
        <vt:i4>4063273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https://www.health.gov.au/resources/publications/atagi-recommendations-on-the-use-of-a-third-primary-dose-of-covid-19-vaccine-in-individuals-who-are-severely-immunocompromised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https://immunisationhandbook.health.gov.au/contents/vaccine-preventable-diseases/covid-19</vt:lpwstr>
      </vt:variant>
      <vt:variant>
        <vt:lpwstr>recommendations</vt:lpwstr>
      </vt:variant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https://immunisationhandbook.health.gov.au/contents/vaccine-preventable-diseases/covid-19</vt:lpwstr>
      </vt:variant>
      <vt:variant>
        <vt:lpwstr>recommendations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vaccines in Australia – A3 poster</dc:title>
  <dc:subject>COVID-19</dc:subject>
  <dc:creator>Australian Government Department of Health and Aged Care</dc:creator>
  <cp:keywords>Communicable diseases; Emergency health management; Immunisation; COVID-19; Coronavirus</cp:keywords>
  <dc:description/>
  <cp:revision>3</cp:revision>
  <cp:lastPrinted>2023-12-13T03:32:00Z</cp:lastPrinted>
  <dcterms:created xsi:type="dcterms:W3CDTF">2024-11-14T00:59:00Z</dcterms:created>
  <dcterms:modified xsi:type="dcterms:W3CDTF">2024-11-14T02:01:00Z</dcterms:modified>
</cp:coreProperties>
</file>