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222A" w14:textId="77770340" w:rsidR="00C63AAC" w:rsidRDefault="00A37839" w:rsidP="00657A78">
      <w:pPr>
        <w:pStyle w:val="Heading1"/>
        <w:spacing w:before="240" w:after="120"/>
      </w:pPr>
      <w:r>
        <w:t xml:space="preserve">Aged Care Wage Rise </w:t>
      </w:r>
      <w:r w:rsidR="008B1EC1">
        <w:t>(</w:t>
      </w:r>
      <w:r>
        <w:t>Stage 3</w:t>
      </w:r>
      <w:r w:rsidR="008B1EC1">
        <w:t>)</w:t>
      </w:r>
      <w:r w:rsidR="00F42E02">
        <w:t xml:space="preserve"> </w:t>
      </w:r>
      <w:r>
        <w:t xml:space="preserve">– </w:t>
      </w:r>
      <w:r w:rsidR="009E0349">
        <w:t>Home</w:t>
      </w:r>
      <w:r>
        <w:t xml:space="preserve"> </w:t>
      </w:r>
      <w:r w:rsidR="009E0349">
        <w:t xml:space="preserve">Care Packages Program </w:t>
      </w:r>
      <w:r>
        <w:t>subsidy increase</w:t>
      </w:r>
    </w:p>
    <w:p w14:paraId="1EF154EC" w14:textId="5F02194D" w:rsidR="00681E9F" w:rsidRPr="009545A1" w:rsidRDefault="00C63AAC" w:rsidP="009545A1">
      <w:pPr>
        <w:pStyle w:val="Heading2"/>
      </w:pPr>
      <w:r w:rsidRPr="00C63AAC">
        <w:t>P</w:t>
      </w:r>
      <w:r w:rsidR="001B3A81" w:rsidRPr="00C63AAC">
        <w:t>rovider fact sheet</w:t>
      </w:r>
    </w:p>
    <w:p w14:paraId="43EDC4C9" w14:textId="06E836B4" w:rsidR="00482F40" w:rsidRPr="00C63AAC" w:rsidRDefault="00482F40" w:rsidP="00165845">
      <w:pPr>
        <w:pStyle w:val="Introduction"/>
        <w:ind w:right="-144"/>
      </w:pPr>
      <w:r w:rsidRPr="00C63AAC">
        <w:t xml:space="preserve">This fact sheet </w:t>
      </w:r>
      <w:r w:rsidR="00C63AAC" w:rsidRPr="00C63AAC">
        <w:t xml:space="preserve">is to assist </w:t>
      </w:r>
      <w:r w:rsidRPr="00C63AAC">
        <w:t xml:space="preserve">Home Care Package (HCP) </w:t>
      </w:r>
      <w:r w:rsidR="00C63AAC" w:rsidRPr="00C63AAC">
        <w:t>providers</w:t>
      </w:r>
      <w:r w:rsidRPr="00C63AAC">
        <w:t xml:space="preserve"> to prepare for </w:t>
      </w:r>
      <w:r w:rsidR="00657A78">
        <w:t xml:space="preserve">the </w:t>
      </w:r>
      <w:r w:rsidRPr="00C63AAC">
        <w:t xml:space="preserve">increase to </w:t>
      </w:r>
      <w:r w:rsidR="00C63AAC" w:rsidRPr="00C63AAC">
        <w:t xml:space="preserve">award </w:t>
      </w:r>
      <w:r w:rsidRPr="00C63AAC">
        <w:t xml:space="preserve">wages from </w:t>
      </w:r>
      <w:r w:rsidR="0060439C">
        <w:t>1 January 2025</w:t>
      </w:r>
      <w:r w:rsidRPr="00C63AAC">
        <w:t xml:space="preserve">. </w:t>
      </w:r>
    </w:p>
    <w:p w14:paraId="243522ED" w14:textId="1C539B05" w:rsidR="006D69B2" w:rsidRPr="009545A1" w:rsidRDefault="001B3A81" w:rsidP="009545A1">
      <w:pPr>
        <w:pStyle w:val="Heading2"/>
      </w:pPr>
      <w:r w:rsidRPr="00C63AAC">
        <w:t>Background</w:t>
      </w:r>
    </w:p>
    <w:p w14:paraId="32EBFE51" w14:textId="77777777" w:rsidR="00E23530" w:rsidRDefault="0060439C" w:rsidP="00F67496">
      <w:r w:rsidRPr="0060439C">
        <w:t xml:space="preserve">From 1 January 2025, award wages will increase for many aged care workers, as a result of the Fair Work Commission’s </w:t>
      </w:r>
      <w:hyperlink r:id="rId11" w:history="1">
        <w:r w:rsidRPr="00E968C6">
          <w:rPr>
            <w:rStyle w:val="Hyperlink"/>
          </w:rPr>
          <w:t>Aged Care Work Value Case</w:t>
        </w:r>
      </w:hyperlink>
      <w:r w:rsidRPr="0060439C">
        <w:t xml:space="preserve"> Stage 3 decision. </w:t>
      </w:r>
    </w:p>
    <w:p w14:paraId="44B5A262" w14:textId="485AEC55" w:rsidR="0060439C" w:rsidRDefault="0060439C" w:rsidP="00F67496">
      <w:r w:rsidRPr="0060439C">
        <w:t>For some workers, award wages will increase in 2 phases, with the second increase occurring on 1 October 2025.</w:t>
      </w:r>
      <w:r w:rsidR="00F67496">
        <w:t xml:space="preserve"> The</w:t>
      </w:r>
      <w:r w:rsidR="00435BB4">
        <w:t xml:space="preserve"> award wage</w:t>
      </w:r>
      <w:r w:rsidR="00F67496">
        <w:t xml:space="preserve"> increases will be between 2.3% and 13.5%.</w:t>
      </w:r>
    </w:p>
    <w:p w14:paraId="4D12C21A" w14:textId="23916538" w:rsidR="0065312D" w:rsidRPr="001B3A81" w:rsidRDefault="001B3A81" w:rsidP="00F67496">
      <w:r w:rsidRPr="001B3A81">
        <w:t>The Australian Government is investing $</w:t>
      </w:r>
      <w:r w:rsidR="0060439C">
        <w:t>3.8</w:t>
      </w:r>
      <w:r w:rsidRPr="001B3A81">
        <w:t xml:space="preserve"> billion </w:t>
      </w:r>
      <w:r w:rsidR="0060439C">
        <w:t>over four years</w:t>
      </w:r>
      <w:r w:rsidRPr="001B3A81">
        <w:t xml:space="preserve"> to support </w:t>
      </w:r>
      <w:r w:rsidR="00F67496">
        <w:t xml:space="preserve">the </w:t>
      </w:r>
      <w:r w:rsidRPr="001B3A81">
        <w:t>wage</w:t>
      </w:r>
      <w:r w:rsidR="00F67496">
        <w:t xml:space="preserve"> increase. </w:t>
      </w:r>
      <w:r w:rsidR="00F67496" w:rsidRPr="00F67496">
        <w:t xml:space="preserve">This funding builds on </w:t>
      </w:r>
      <w:r w:rsidR="00F67496">
        <w:t>the</w:t>
      </w:r>
      <w:r w:rsidR="00F67496" w:rsidRPr="00F67496">
        <w:t xml:space="preserve"> $11.3 billion commitment </w:t>
      </w:r>
      <w:r w:rsidR="00F67496">
        <w:t xml:space="preserve">in 2023 </w:t>
      </w:r>
      <w:r w:rsidR="00F67496" w:rsidRPr="00F67496">
        <w:t>to fund the</w:t>
      </w:r>
      <w:r w:rsidR="00F67496">
        <w:t xml:space="preserve"> previous</w:t>
      </w:r>
      <w:r w:rsidR="00F67496" w:rsidRPr="00F67496">
        <w:t xml:space="preserve"> 15% award wage increase determined by the F</w:t>
      </w:r>
      <w:r w:rsidR="00F67496">
        <w:t xml:space="preserve">air </w:t>
      </w:r>
      <w:r w:rsidR="00F67496" w:rsidRPr="00F67496">
        <w:t>W</w:t>
      </w:r>
      <w:r w:rsidR="00F67496">
        <w:t xml:space="preserve">ork </w:t>
      </w:r>
      <w:r w:rsidR="00F67496" w:rsidRPr="00F67496">
        <w:t>C</w:t>
      </w:r>
      <w:r w:rsidR="00F67496">
        <w:t>ommission.</w:t>
      </w:r>
    </w:p>
    <w:p w14:paraId="4C35919A" w14:textId="3E85F682" w:rsidR="00A3089C" w:rsidRPr="001B3A81" w:rsidRDefault="001B3A81">
      <w:pPr>
        <w:pStyle w:val="Heading2"/>
        <w:rPr>
          <w:rStyle w:val="Hyperlink"/>
          <w:rFonts w:eastAsiaTheme="minorHAnsi" w:cs="Arial"/>
          <w:b w:val="0"/>
          <w:color w:val="1E1544" w:themeColor="text1"/>
          <w:sz w:val="36"/>
          <w:szCs w:val="28"/>
          <w:u w:val="none"/>
        </w:rPr>
      </w:pPr>
      <w:r>
        <w:t>Contents</w:t>
      </w:r>
    </w:p>
    <w:tbl>
      <w:tblPr>
        <w:tblStyle w:val="TableGrid"/>
        <w:tblW w:w="0" w:type="auto"/>
        <w:tblLook w:val="04A0" w:firstRow="1" w:lastRow="0" w:firstColumn="1" w:lastColumn="0" w:noHBand="0" w:noVBand="1"/>
      </w:tblPr>
      <w:tblGrid>
        <w:gridCol w:w="6096"/>
        <w:gridCol w:w="567"/>
      </w:tblGrid>
      <w:tr w:rsidR="00A3089C" w14:paraId="2701DCAF" w14:textId="77777777" w:rsidTr="001B3A81">
        <w:tc>
          <w:tcPr>
            <w:tcW w:w="6096" w:type="dxa"/>
          </w:tcPr>
          <w:p w14:paraId="152E6BF9" w14:textId="2A9D2D7F" w:rsidR="00A3089C" w:rsidRPr="001B3A81" w:rsidRDefault="00000000">
            <w:hyperlink w:anchor="_Age_related_functional" w:history="1">
              <w:r w:rsidR="00537BF9">
                <w:rPr>
                  <w:rStyle w:val="Hyperlink"/>
                </w:rPr>
                <w:t>What is the Fair Work Commission decision?</w:t>
              </w:r>
            </w:hyperlink>
          </w:p>
        </w:tc>
        <w:tc>
          <w:tcPr>
            <w:tcW w:w="567" w:type="dxa"/>
          </w:tcPr>
          <w:p w14:paraId="30F0F55E" w14:textId="4B2BF1B1" w:rsidR="00A3089C" w:rsidRPr="001B3A81" w:rsidRDefault="0065312D">
            <w:r>
              <w:t>2</w:t>
            </w:r>
          </w:p>
        </w:tc>
      </w:tr>
      <w:tr w:rsidR="00A3089C" w14:paraId="1C3AB198" w14:textId="77777777" w:rsidTr="001B3A81">
        <w:tc>
          <w:tcPr>
            <w:tcW w:w="6096" w:type="dxa"/>
          </w:tcPr>
          <w:p w14:paraId="0D7BEEA2" w14:textId="35C42D51" w:rsidR="00A3089C" w:rsidRPr="001B3A81" w:rsidRDefault="00000000">
            <w:hyperlink w:anchor="_Who_will_receive" w:history="1">
              <w:r w:rsidR="001B3A81" w:rsidRPr="00657A78">
                <w:rPr>
                  <w:rStyle w:val="Hyperlink"/>
                </w:rPr>
                <w:t>Who</w:t>
              </w:r>
              <w:r w:rsidR="001B3A81" w:rsidRPr="00C63AAC">
                <w:rPr>
                  <w:rStyle w:val="Hyperlink"/>
                </w:rPr>
                <w:t xml:space="preserve"> will receive the increase?</w:t>
              </w:r>
            </w:hyperlink>
          </w:p>
        </w:tc>
        <w:tc>
          <w:tcPr>
            <w:tcW w:w="567" w:type="dxa"/>
          </w:tcPr>
          <w:p w14:paraId="667E7426" w14:textId="20FC552E" w:rsidR="00A3089C" w:rsidRPr="001B3A81" w:rsidRDefault="00C63AAC">
            <w:r>
              <w:t>2</w:t>
            </w:r>
          </w:p>
        </w:tc>
      </w:tr>
      <w:tr w:rsidR="00A3089C" w14:paraId="134AB719" w14:textId="77777777" w:rsidTr="001B3A81">
        <w:tc>
          <w:tcPr>
            <w:tcW w:w="6096" w:type="dxa"/>
          </w:tcPr>
          <w:p w14:paraId="12BBDB41" w14:textId="39E9C696" w:rsidR="00A3089C" w:rsidRPr="001B3A81" w:rsidRDefault="00000000">
            <w:hyperlink w:anchor="_How_will_the" w:history="1">
              <w:r w:rsidR="001B3A81" w:rsidRPr="00657A78">
                <w:rPr>
                  <w:rStyle w:val="Hyperlink"/>
                </w:rPr>
                <w:t>How</w:t>
              </w:r>
              <w:r w:rsidR="001B3A81" w:rsidRPr="00482F40">
                <w:rPr>
                  <w:rStyle w:val="Hyperlink"/>
                </w:rPr>
                <w:t xml:space="preserve"> will</w:t>
              </w:r>
              <w:r w:rsidR="00537BF9">
                <w:rPr>
                  <w:rStyle w:val="Hyperlink"/>
                </w:rPr>
                <w:t xml:space="preserve"> the increase</w:t>
              </w:r>
              <w:r w:rsidR="001B3A81" w:rsidRPr="00482F40">
                <w:rPr>
                  <w:rStyle w:val="Hyperlink"/>
                </w:rPr>
                <w:t xml:space="preserve"> be implemented?</w:t>
              </w:r>
            </w:hyperlink>
          </w:p>
        </w:tc>
        <w:tc>
          <w:tcPr>
            <w:tcW w:w="567" w:type="dxa"/>
          </w:tcPr>
          <w:p w14:paraId="4BD70795" w14:textId="16A5A207" w:rsidR="00A3089C" w:rsidRPr="001B3A81" w:rsidRDefault="00C63AAC">
            <w:r>
              <w:t>2</w:t>
            </w:r>
          </w:p>
        </w:tc>
      </w:tr>
      <w:tr w:rsidR="00A3089C" w14:paraId="5918C360" w14:textId="77777777" w:rsidTr="001B3A81">
        <w:tc>
          <w:tcPr>
            <w:tcW w:w="6096" w:type="dxa"/>
          </w:tcPr>
          <w:p w14:paraId="345EF700" w14:textId="5874488D" w:rsidR="00A3089C" w:rsidRPr="001B3A81" w:rsidRDefault="00000000">
            <w:hyperlink w:anchor="_When_will_the" w:history="1">
              <w:r w:rsidR="001B3A81" w:rsidRPr="00657A78">
                <w:rPr>
                  <w:rStyle w:val="Hyperlink"/>
                </w:rPr>
                <w:t>When</w:t>
              </w:r>
              <w:r w:rsidR="001B3A81" w:rsidRPr="00482F40">
                <w:rPr>
                  <w:rStyle w:val="Hyperlink"/>
                </w:rPr>
                <w:t xml:space="preserve"> will</w:t>
              </w:r>
              <w:r w:rsidR="00537BF9">
                <w:rPr>
                  <w:rStyle w:val="Hyperlink"/>
                </w:rPr>
                <w:t xml:space="preserve"> the wage rise </w:t>
              </w:r>
              <w:r w:rsidR="001B3A81" w:rsidRPr="00482F40">
                <w:rPr>
                  <w:rStyle w:val="Hyperlink"/>
                </w:rPr>
                <w:t>be implemented?</w:t>
              </w:r>
            </w:hyperlink>
          </w:p>
        </w:tc>
        <w:tc>
          <w:tcPr>
            <w:tcW w:w="567" w:type="dxa"/>
          </w:tcPr>
          <w:p w14:paraId="3A368854" w14:textId="563DEA84" w:rsidR="00A3089C" w:rsidRPr="001B3A81" w:rsidRDefault="00012D9A">
            <w:r>
              <w:t>4</w:t>
            </w:r>
          </w:p>
        </w:tc>
      </w:tr>
      <w:tr w:rsidR="00A3089C" w14:paraId="7839D49A" w14:textId="77777777" w:rsidTr="001B3A81">
        <w:tc>
          <w:tcPr>
            <w:tcW w:w="6096" w:type="dxa"/>
          </w:tcPr>
          <w:p w14:paraId="260C10F2" w14:textId="61E64F08" w:rsidR="00A3089C" w:rsidRPr="001B3A81" w:rsidRDefault="00000000">
            <w:hyperlink w:anchor="_What_will_providers" w:history="1">
              <w:r w:rsidR="0065312D" w:rsidRPr="00482F40">
                <w:rPr>
                  <w:rStyle w:val="Hyperlink"/>
                </w:rPr>
                <w:t xml:space="preserve">What </w:t>
              </w:r>
              <w:r w:rsidR="008201BA">
                <w:rPr>
                  <w:rStyle w:val="Hyperlink"/>
                </w:rPr>
                <w:t>will</w:t>
              </w:r>
              <w:r w:rsidR="0065312D" w:rsidRPr="00482F40">
                <w:rPr>
                  <w:rStyle w:val="Hyperlink"/>
                </w:rPr>
                <w:t xml:space="preserve"> providers </w:t>
              </w:r>
              <w:r w:rsidR="0065312D" w:rsidRPr="00657A78">
                <w:rPr>
                  <w:rStyle w:val="Hyperlink"/>
                </w:rPr>
                <w:t>need to do</w:t>
              </w:r>
              <w:r w:rsidR="0065312D" w:rsidRPr="00482F40">
                <w:rPr>
                  <w:rStyle w:val="Hyperlink"/>
                </w:rPr>
                <w:t>?</w:t>
              </w:r>
            </w:hyperlink>
          </w:p>
        </w:tc>
        <w:tc>
          <w:tcPr>
            <w:tcW w:w="567" w:type="dxa"/>
          </w:tcPr>
          <w:p w14:paraId="37F2C9F0" w14:textId="205ABAA6" w:rsidR="00A3089C" w:rsidRPr="001B3A81" w:rsidRDefault="00012D9A">
            <w:r>
              <w:t>4</w:t>
            </w:r>
          </w:p>
        </w:tc>
      </w:tr>
      <w:tr w:rsidR="00A3089C" w14:paraId="5BA1CDC1" w14:textId="77777777" w:rsidTr="001B3A81">
        <w:tc>
          <w:tcPr>
            <w:tcW w:w="6096" w:type="dxa"/>
          </w:tcPr>
          <w:p w14:paraId="5D9DFEAC" w14:textId="72974BB1" w:rsidR="00A3089C" w:rsidRPr="001B3A81" w:rsidRDefault="00000000">
            <w:hyperlink w:anchor="_Compliance" w:history="1">
              <w:r w:rsidR="0065312D" w:rsidRPr="00482F40">
                <w:rPr>
                  <w:rStyle w:val="Hyperlink"/>
                </w:rPr>
                <w:t>Compliance</w:t>
              </w:r>
            </w:hyperlink>
          </w:p>
        </w:tc>
        <w:tc>
          <w:tcPr>
            <w:tcW w:w="567" w:type="dxa"/>
          </w:tcPr>
          <w:p w14:paraId="113FE787" w14:textId="40E89CB0" w:rsidR="00A3089C" w:rsidRPr="001B3A81" w:rsidRDefault="00F53567">
            <w:r>
              <w:t>5</w:t>
            </w:r>
          </w:p>
        </w:tc>
      </w:tr>
      <w:tr w:rsidR="00A3089C" w14:paraId="1118335E" w14:textId="77777777" w:rsidTr="001B3A81">
        <w:tc>
          <w:tcPr>
            <w:tcW w:w="6096" w:type="dxa"/>
          </w:tcPr>
          <w:p w14:paraId="695F494A" w14:textId="770F0648" w:rsidR="00A3089C" w:rsidRPr="001B3A81" w:rsidRDefault="00000000">
            <w:hyperlink w:anchor="_Question_and_Answers" w:history="1">
              <w:r w:rsidR="0065312D" w:rsidRPr="00482F40">
                <w:rPr>
                  <w:rStyle w:val="Hyperlink"/>
                </w:rPr>
                <w:t>Questions and answers</w:t>
              </w:r>
            </w:hyperlink>
          </w:p>
        </w:tc>
        <w:tc>
          <w:tcPr>
            <w:tcW w:w="567" w:type="dxa"/>
          </w:tcPr>
          <w:p w14:paraId="078B9678" w14:textId="36CFF104" w:rsidR="00A3089C" w:rsidRPr="001B3A81" w:rsidRDefault="00F53567">
            <w:r>
              <w:t>6</w:t>
            </w:r>
          </w:p>
        </w:tc>
      </w:tr>
      <w:tr w:rsidR="008201BA" w14:paraId="5EAAAE43" w14:textId="77777777" w:rsidTr="001B3A81">
        <w:tc>
          <w:tcPr>
            <w:tcW w:w="6096" w:type="dxa"/>
          </w:tcPr>
          <w:p w14:paraId="52C25D1E" w14:textId="5FE77554" w:rsidR="008201BA" w:rsidRDefault="00000000">
            <w:hyperlink w:anchor="_Medications" w:history="1">
              <w:r w:rsidR="008201BA" w:rsidRPr="008201BA">
                <w:rPr>
                  <w:rStyle w:val="Hyperlink"/>
                </w:rPr>
                <w:t>Care recipients</w:t>
              </w:r>
            </w:hyperlink>
          </w:p>
        </w:tc>
        <w:tc>
          <w:tcPr>
            <w:tcW w:w="567" w:type="dxa"/>
          </w:tcPr>
          <w:p w14:paraId="057B1A40" w14:textId="625E0190" w:rsidR="008201BA" w:rsidRDefault="00F53567">
            <w:r>
              <w:t>9</w:t>
            </w:r>
          </w:p>
        </w:tc>
      </w:tr>
      <w:tr w:rsidR="00A3089C" w14:paraId="21BC7DFC" w14:textId="77777777" w:rsidTr="001B3A81">
        <w:tc>
          <w:tcPr>
            <w:tcW w:w="6096" w:type="dxa"/>
          </w:tcPr>
          <w:p w14:paraId="68775258" w14:textId="0554B78B" w:rsidR="00A3089C" w:rsidRPr="001B3A81" w:rsidRDefault="00000000">
            <w:hyperlink w:anchor="_Where_can_providers" w:history="1">
              <w:r w:rsidR="00E1328A">
                <w:rPr>
                  <w:rStyle w:val="Hyperlink"/>
                </w:rPr>
                <w:t>Where can providers find out more information?</w:t>
              </w:r>
            </w:hyperlink>
          </w:p>
        </w:tc>
        <w:tc>
          <w:tcPr>
            <w:tcW w:w="567" w:type="dxa"/>
          </w:tcPr>
          <w:p w14:paraId="449EF8D3" w14:textId="4B6EECB8" w:rsidR="00A3089C" w:rsidRPr="001B3A81" w:rsidRDefault="00F53567">
            <w:r>
              <w:t>9</w:t>
            </w:r>
          </w:p>
        </w:tc>
      </w:tr>
    </w:tbl>
    <w:p w14:paraId="19B30BF9" w14:textId="77777777" w:rsidR="0065312D" w:rsidRDefault="0065312D">
      <w:pPr>
        <w:pStyle w:val="Heading2"/>
      </w:pPr>
      <w:bookmarkStart w:id="0" w:name="_Age_related_functional"/>
      <w:bookmarkStart w:id="1" w:name="_What_is_the"/>
      <w:bookmarkEnd w:id="0"/>
      <w:bookmarkEnd w:id="1"/>
      <w:r w:rsidRPr="0065312D">
        <w:lastRenderedPageBreak/>
        <w:t>What is the Fair Work Commission decision?</w:t>
      </w:r>
    </w:p>
    <w:p w14:paraId="27568A91" w14:textId="51641BD7" w:rsidR="0065312D" w:rsidRPr="0045382A" w:rsidRDefault="0065312D">
      <w:pPr>
        <w:rPr>
          <w:lang w:eastAsia="en-AU"/>
        </w:rPr>
      </w:pPr>
      <w:r w:rsidRPr="0045382A">
        <w:rPr>
          <w:lang w:eastAsia="en-AU"/>
        </w:rPr>
        <w:t>The Australian Government is funding</w:t>
      </w:r>
      <w:r w:rsidR="00F67496">
        <w:rPr>
          <w:lang w:eastAsia="en-AU"/>
        </w:rPr>
        <w:t xml:space="preserve"> Stage 3 of</w:t>
      </w:r>
      <w:r w:rsidRPr="0045382A">
        <w:rPr>
          <w:lang w:eastAsia="en-AU"/>
        </w:rPr>
        <w:t xml:space="preserve"> the</w:t>
      </w:r>
      <w:r w:rsidRPr="005A6520">
        <w:rPr>
          <w:lang w:eastAsia="en-AU"/>
        </w:rPr>
        <w:t xml:space="preserve"> Fair Work Commission</w:t>
      </w:r>
      <w:r>
        <w:rPr>
          <w:lang w:eastAsia="en-AU"/>
        </w:rPr>
        <w:t>’</w:t>
      </w:r>
      <w:r w:rsidRPr="005A6520">
        <w:rPr>
          <w:lang w:eastAsia="en-AU"/>
        </w:rPr>
        <w:t xml:space="preserve">s decision on the Aged Care Work Value case. </w:t>
      </w:r>
      <w:r w:rsidR="00C84120">
        <w:rPr>
          <w:lang w:eastAsia="en-AU"/>
        </w:rPr>
        <w:t>Award wage increases</w:t>
      </w:r>
      <w:r w:rsidR="00F67496">
        <w:rPr>
          <w:lang w:eastAsia="en-AU"/>
        </w:rPr>
        <w:t xml:space="preserve"> between 2.3% and 13.5%</w:t>
      </w:r>
      <w:r w:rsidRPr="005A6520">
        <w:rPr>
          <w:lang w:eastAsia="en-AU"/>
        </w:rPr>
        <w:t xml:space="preserve"> </w:t>
      </w:r>
      <w:r w:rsidR="00C84120">
        <w:rPr>
          <w:lang w:eastAsia="en-AU"/>
        </w:rPr>
        <w:t xml:space="preserve">will be implemented </w:t>
      </w:r>
      <w:r w:rsidRPr="005A6520">
        <w:rPr>
          <w:lang w:eastAsia="en-AU"/>
        </w:rPr>
        <w:t>for</w:t>
      </w:r>
      <w:r w:rsidR="006D7556">
        <w:rPr>
          <w:lang w:eastAsia="en-AU"/>
        </w:rPr>
        <w:t xml:space="preserve"> eligible </w:t>
      </w:r>
      <w:r w:rsidR="00F13B7D">
        <w:rPr>
          <w:lang w:eastAsia="en-AU"/>
        </w:rPr>
        <w:t>aged care</w:t>
      </w:r>
      <w:r w:rsidR="00292C34">
        <w:rPr>
          <w:lang w:eastAsia="en-AU"/>
        </w:rPr>
        <w:t xml:space="preserve"> </w:t>
      </w:r>
      <w:r w:rsidR="00D05778">
        <w:rPr>
          <w:lang w:eastAsia="en-AU"/>
        </w:rPr>
        <w:t>worker</w:t>
      </w:r>
      <w:r w:rsidR="00292C34">
        <w:rPr>
          <w:lang w:eastAsia="en-AU"/>
        </w:rPr>
        <w:t>s</w:t>
      </w:r>
      <w:r w:rsidR="00950D3C">
        <w:rPr>
          <w:lang w:eastAsia="en-AU"/>
        </w:rPr>
        <w:t>.</w:t>
      </w:r>
      <w:r w:rsidR="00C84120">
        <w:rPr>
          <w:lang w:eastAsia="en-AU"/>
        </w:rPr>
        <w:t xml:space="preserve"> </w:t>
      </w:r>
      <w:r w:rsidR="00C84120" w:rsidRPr="00C84120">
        <w:rPr>
          <w:lang w:eastAsia="en-AU"/>
        </w:rPr>
        <w:t>Average wages for home care workers are expected to increase by 3.6%.</w:t>
      </w:r>
    </w:p>
    <w:p w14:paraId="3E0EABA7" w14:textId="6376EED0" w:rsidR="0065312D" w:rsidRPr="0045382A" w:rsidRDefault="0065312D">
      <w:pPr>
        <w:rPr>
          <w:lang w:eastAsia="en-AU"/>
        </w:rPr>
      </w:pPr>
      <w:r w:rsidRPr="0045382A">
        <w:rPr>
          <w:lang w:eastAsia="en-AU"/>
        </w:rPr>
        <w:t xml:space="preserve">Where </w:t>
      </w:r>
      <w:r>
        <w:rPr>
          <w:lang w:eastAsia="en-AU"/>
        </w:rPr>
        <w:t xml:space="preserve">you have </w:t>
      </w:r>
      <w:r w:rsidRPr="0045382A">
        <w:rPr>
          <w:lang w:eastAsia="en-AU"/>
        </w:rPr>
        <w:t xml:space="preserve">been paying </w:t>
      </w:r>
      <w:r>
        <w:rPr>
          <w:lang w:eastAsia="en-AU"/>
        </w:rPr>
        <w:t>your</w:t>
      </w:r>
      <w:r w:rsidRPr="0045382A">
        <w:rPr>
          <w:lang w:eastAsia="en-AU"/>
        </w:rPr>
        <w:t xml:space="preserve"> workers according to the </w:t>
      </w:r>
      <w:r w:rsidR="00292C34">
        <w:rPr>
          <w:lang w:eastAsia="en-AU"/>
        </w:rPr>
        <w:t>award wage</w:t>
      </w:r>
      <w:r w:rsidRPr="0045382A">
        <w:rPr>
          <w:lang w:eastAsia="en-AU"/>
        </w:rPr>
        <w:t xml:space="preserve">, </w:t>
      </w:r>
      <w:r>
        <w:rPr>
          <w:lang w:eastAsia="en-AU"/>
        </w:rPr>
        <w:t>you</w:t>
      </w:r>
      <w:r w:rsidRPr="0045382A">
        <w:rPr>
          <w:lang w:eastAsia="en-AU"/>
        </w:rPr>
        <w:t xml:space="preserve"> will now need to pay</w:t>
      </w:r>
      <w:r>
        <w:rPr>
          <w:lang w:eastAsia="en-AU"/>
        </w:rPr>
        <w:t xml:space="preserve"> your</w:t>
      </w:r>
      <w:r w:rsidRPr="0045382A">
        <w:rPr>
          <w:lang w:eastAsia="en-AU"/>
        </w:rPr>
        <w:t xml:space="preserve"> workers in accordance with the new award rate from </w:t>
      </w:r>
      <w:r w:rsidR="00F67496">
        <w:rPr>
          <w:lang w:eastAsia="en-AU"/>
        </w:rPr>
        <w:t>1 January 2025</w:t>
      </w:r>
      <w:r w:rsidRPr="0045382A">
        <w:rPr>
          <w:lang w:eastAsia="en-AU"/>
        </w:rPr>
        <w:t>.</w:t>
      </w:r>
      <w:r w:rsidR="00F67496">
        <w:rPr>
          <w:lang w:eastAsia="en-AU"/>
        </w:rPr>
        <w:t xml:space="preserve"> A second wage increase </w:t>
      </w:r>
      <w:r w:rsidR="00A11B05">
        <w:rPr>
          <w:lang w:eastAsia="en-AU"/>
        </w:rPr>
        <w:t>will apply to</w:t>
      </w:r>
      <w:r w:rsidR="00F67496">
        <w:rPr>
          <w:lang w:eastAsia="en-AU"/>
        </w:rPr>
        <w:t xml:space="preserve"> some workers from 1 October 2025.</w:t>
      </w:r>
    </w:p>
    <w:p w14:paraId="1C529EBC" w14:textId="61D61AF1" w:rsidR="00E1328A" w:rsidRDefault="0065312D" w:rsidP="00E1328A">
      <w:r w:rsidRPr="002B2019">
        <w:t xml:space="preserve">The wage increase is expected to benefit </w:t>
      </w:r>
      <w:r w:rsidR="00A11B05">
        <w:t xml:space="preserve">340,000 aged care workers in residential and </w:t>
      </w:r>
      <w:r w:rsidR="00D5104A">
        <w:t>in-</w:t>
      </w:r>
      <w:r w:rsidR="00A11B05">
        <w:t xml:space="preserve">home </w:t>
      </w:r>
      <w:r w:rsidR="00D5104A">
        <w:t xml:space="preserve">aged </w:t>
      </w:r>
      <w:r w:rsidR="00A11B05">
        <w:t>care</w:t>
      </w:r>
      <w:r w:rsidRPr="002B2019">
        <w:t>.</w:t>
      </w:r>
      <w:r w:rsidR="00D5104A">
        <w:t xml:space="preserve"> </w:t>
      </w:r>
      <w:r w:rsidR="00E1328A" w:rsidRPr="002B2019">
        <w:t>A more skilled and diverse workforce will deliver safe, consistent, high-quality aged care service</w:t>
      </w:r>
      <w:r w:rsidR="00E1328A">
        <w:t>s</w:t>
      </w:r>
      <w:r w:rsidR="00E1328A" w:rsidRPr="002B2019">
        <w:t xml:space="preserve"> for care recipients. </w:t>
      </w:r>
      <w:r w:rsidRPr="002B2019">
        <w:t>This starts with fair wages for workers, a supportive workplace and recognition of the complex, often undervalued work involved.</w:t>
      </w:r>
      <w:r w:rsidR="00E1328A">
        <w:t xml:space="preserve"> </w:t>
      </w:r>
    </w:p>
    <w:p w14:paraId="3A1F8BCC" w14:textId="77777777" w:rsidR="00C63AAC" w:rsidRPr="00D95DFE" w:rsidRDefault="00C63AAC">
      <w:pPr>
        <w:pStyle w:val="Heading2"/>
      </w:pPr>
      <w:bookmarkStart w:id="2" w:name="_What_is_changing?"/>
      <w:bookmarkStart w:id="3" w:name="_Who_will_receive"/>
      <w:bookmarkEnd w:id="2"/>
      <w:bookmarkEnd w:id="3"/>
      <w:r w:rsidRPr="00D95DFE">
        <w:t>Who will receive the increase?</w:t>
      </w:r>
    </w:p>
    <w:p w14:paraId="41EEED45" w14:textId="37F5EB14" w:rsidR="005373F2" w:rsidRDefault="00F67496" w:rsidP="00CE6236">
      <w:pPr>
        <w:pStyle w:val="ListParagraph"/>
        <w:ind w:left="0"/>
      </w:pPr>
      <w:r>
        <w:t>These award wage increases apply to:</w:t>
      </w:r>
    </w:p>
    <w:p w14:paraId="31FB47FA" w14:textId="4449BCB7" w:rsidR="005373F2" w:rsidRPr="00EA303C" w:rsidRDefault="005373F2" w:rsidP="00EA303C">
      <w:pPr>
        <w:pStyle w:val="ListBullet"/>
      </w:pPr>
      <w:r w:rsidRPr="00EA303C">
        <w:t>assistants in nursing</w:t>
      </w:r>
    </w:p>
    <w:p w14:paraId="4E06C8BB" w14:textId="08F05A44" w:rsidR="005373F2" w:rsidRPr="00EA303C" w:rsidRDefault="005373F2" w:rsidP="00EA303C">
      <w:pPr>
        <w:pStyle w:val="ListBullet"/>
      </w:pPr>
      <w:r w:rsidRPr="00EA303C">
        <w:t>personal care workers</w:t>
      </w:r>
    </w:p>
    <w:p w14:paraId="281B0F99" w14:textId="5CF15064" w:rsidR="005373F2" w:rsidRPr="00EA303C" w:rsidRDefault="005373F2" w:rsidP="00EA303C">
      <w:pPr>
        <w:pStyle w:val="ListBullet"/>
      </w:pPr>
      <w:r w:rsidRPr="00EA303C">
        <w:t>home care workers</w:t>
      </w:r>
    </w:p>
    <w:p w14:paraId="61421A9D" w14:textId="2FDD2E2B" w:rsidR="005373F2" w:rsidRPr="00EA303C" w:rsidRDefault="005373F2" w:rsidP="00EA303C">
      <w:pPr>
        <w:pStyle w:val="ListBullet"/>
      </w:pPr>
      <w:r w:rsidRPr="00EA303C">
        <w:t>recreational activities officers (lifestyle workers)</w:t>
      </w:r>
    </w:p>
    <w:p w14:paraId="30C4B37F" w14:textId="5BFCCDA2" w:rsidR="005373F2" w:rsidRDefault="005373F2" w:rsidP="00EA303C">
      <w:pPr>
        <w:pStyle w:val="ListBullet"/>
      </w:pPr>
      <w:r w:rsidRPr="00EA303C">
        <w:t>ancillary staff – such as administration staff, drivers, maintenance staff, gardeners, laundry</w:t>
      </w:r>
      <w:r>
        <w:t xml:space="preserve"> hands, cleaners and food service assistants</w:t>
      </w:r>
      <w:r w:rsidR="00D5104A">
        <w:t>.</w:t>
      </w:r>
    </w:p>
    <w:p w14:paraId="61EFAB7D" w14:textId="06A81171" w:rsidR="005373F2" w:rsidRDefault="005373F2" w:rsidP="005373F2">
      <w:r>
        <w:t>These wage increases apply to workers on the:</w:t>
      </w:r>
    </w:p>
    <w:p w14:paraId="4292D2D2" w14:textId="77777777" w:rsidR="005373F2" w:rsidRPr="00EA303C" w:rsidRDefault="005373F2" w:rsidP="00EA303C">
      <w:pPr>
        <w:pStyle w:val="ListBullet"/>
      </w:pPr>
      <w:r>
        <w:t>Aged Ca</w:t>
      </w:r>
      <w:r w:rsidRPr="00EA303C">
        <w:t>re Award 2010</w:t>
      </w:r>
    </w:p>
    <w:p w14:paraId="5396C65E" w14:textId="67567145" w:rsidR="005373F2" w:rsidRPr="0045382A" w:rsidRDefault="005373F2" w:rsidP="00EA303C">
      <w:pPr>
        <w:pStyle w:val="ListBullet"/>
      </w:pPr>
      <w:r w:rsidRPr="00EA303C">
        <w:t>Social, Community</w:t>
      </w:r>
      <w:r>
        <w:t xml:space="preserve">, Home Care and Disability Services Industry </w:t>
      </w:r>
      <w:r w:rsidR="00D5104A">
        <w:t xml:space="preserve">(SCHADS) </w:t>
      </w:r>
      <w:r>
        <w:t>Award 2010</w:t>
      </w:r>
      <w:r w:rsidR="00D5104A">
        <w:t>.</w:t>
      </w:r>
    </w:p>
    <w:p w14:paraId="60D0FC7B" w14:textId="611AB3BF" w:rsidR="0065312D" w:rsidRDefault="0065312D" w:rsidP="009B6BEB">
      <w:pPr>
        <w:pStyle w:val="Heading2"/>
      </w:pPr>
      <w:bookmarkStart w:id="4" w:name="_Assessment,_recommending_and"/>
      <w:bookmarkStart w:id="5" w:name="_How_will_the"/>
      <w:bookmarkEnd w:id="4"/>
      <w:bookmarkEnd w:id="5"/>
      <w:r w:rsidRPr="0045382A">
        <w:t>How will the increase be implemented?</w:t>
      </w:r>
    </w:p>
    <w:p w14:paraId="2C08FC81" w14:textId="3E422446" w:rsidR="00A11B05" w:rsidRDefault="00A11B05" w:rsidP="009B6BEB">
      <w:r>
        <w:t>To</w:t>
      </w:r>
      <w:r w:rsidR="0065312D">
        <w:t xml:space="preserve"> allow your business to fund the wage increase without reducing services for care recipients</w:t>
      </w:r>
      <w:r>
        <w:t xml:space="preserve">, the </w:t>
      </w:r>
      <w:r w:rsidR="00EF19A3">
        <w:t>HCP</w:t>
      </w:r>
      <w:r>
        <w:t xml:space="preserve"> subsidy will increase</w:t>
      </w:r>
      <w:r w:rsidR="00EF19A3">
        <w:t xml:space="preserve"> </w:t>
      </w:r>
      <w:r>
        <w:t>by:</w:t>
      </w:r>
    </w:p>
    <w:p w14:paraId="4F4482D0" w14:textId="7D1FB53B" w:rsidR="00A11B05" w:rsidRPr="00EA303C" w:rsidRDefault="00A11B05" w:rsidP="00EA303C">
      <w:pPr>
        <w:pStyle w:val="ListBullet"/>
      </w:pPr>
      <w:r>
        <w:t>0.93</w:t>
      </w:r>
      <w:r w:rsidRPr="00EA303C">
        <w:t xml:space="preserve">% from 1 January 2025 </w:t>
      </w:r>
    </w:p>
    <w:p w14:paraId="0D7036F0" w14:textId="18E1F49C" w:rsidR="00A11B05" w:rsidRDefault="00A11B05" w:rsidP="00EA303C">
      <w:pPr>
        <w:pStyle w:val="ListBullet"/>
      </w:pPr>
      <w:bookmarkStart w:id="6" w:name="_Hlk181536322"/>
      <w:r w:rsidRPr="00EA303C">
        <w:t>0.44% from 1 October 2025, subject to passage of the new Aged Care Act</w:t>
      </w:r>
      <w:r w:rsidR="00B67D7A" w:rsidRPr="00EA303C">
        <w:t xml:space="preserve">, </w:t>
      </w:r>
      <w:r w:rsidRPr="00EA303C">
        <w:t>the Support at Ho</w:t>
      </w:r>
      <w:r>
        <w:t xml:space="preserve">me program will replace the </w:t>
      </w:r>
      <w:r w:rsidR="00EF19A3">
        <w:t>HCP</w:t>
      </w:r>
      <w:r>
        <w:t xml:space="preserve"> Program on 1 July 2025.</w:t>
      </w:r>
    </w:p>
    <w:bookmarkEnd w:id="6"/>
    <w:p w14:paraId="1C3D4CAA" w14:textId="19D11F99" w:rsidR="00EF19A3" w:rsidRDefault="00EF19A3" w:rsidP="003E5B7E">
      <w:pPr>
        <w:spacing w:after="0"/>
      </w:pPr>
      <w:r>
        <w:t>The HCP subsidy increase</w:t>
      </w:r>
      <w:r w:rsidR="00051EF7">
        <w:t xml:space="preserve"> will apply to the basic subsidy and supplements with a workforce component. The increase</w:t>
      </w:r>
      <w:r>
        <w:t xml:space="preserve"> will be available from the January 2025 claim.</w:t>
      </w:r>
    </w:p>
    <w:p w14:paraId="6CEE033C" w14:textId="54FE8BFD" w:rsidR="0065312D" w:rsidRDefault="0065312D" w:rsidP="00A11B05">
      <w:pPr>
        <w:spacing w:after="0"/>
      </w:pPr>
      <w:r>
        <w:t>The supplements that are increasing are:</w:t>
      </w:r>
    </w:p>
    <w:p w14:paraId="12E101F4" w14:textId="728E40AA" w:rsidR="0065312D" w:rsidRPr="00EA303C" w:rsidRDefault="0065312D" w:rsidP="00EA303C">
      <w:pPr>
        <w:pStyle w:val="ListBullet"/>
      </w:pPr>
      <w:r w:rsidRPr="00EA303C">
        <w:t>Viability supplement</w:t>
      </w:r>
    </w:p>
    <w:p w14:paraId="324B4D5F" w14:textId="6562607E" w:rsidR="0065312D" w:rsidRPr="00EA303C" w:rsidRDefault="0065312D" w:rsidP="00EA303C">
      <w:pPr>
        <w:pStyle w:val="ListBullet"/>
      </w:pPr>
      <w:r w:rsidRPr="00EA303C">
        <w:t xml:space="preserve">Dementia and cognition supplement </w:t>
      </w:r>
    </w:p>
    <w:p w14:paraId="0DE3FF66" w14:textId="07793CFA" w:rsidR="0065312D" w:rsidRPr="00EA303C" w:rsidRDefault="0065312D" w:rsidP="00EA303C">
      <w:pPr>
        <w:pStyle w:val="ListBullet"/>
      </w:pPr>
      <w:r w:rsidRPr="00EA303C">
        <w:t>Veterans supplement</w:t>
      </w:r>
    </w:p>
    <w:p w14:paraId="7EC993EA" w14:textId="7A444AF1" w:rsidR="0065312D" w:rsidRDefault="00C84120" w:rsidP="00EA303C">
      <w:pPr>
        <w:pStyle w:val="ListBullet"/>
      </w:pPr>
      <w:r w:rsidRPr="00EA303C">
        <w:t>EACH</w:t>
      </w:r>
      <w:r>
        <w:t xml:space="preserve">-D </w:t>
      </w:r>
      <w:r w:rsidR="0065312D">
        <w:t>Top-up supplement</w:t>
      </w:r>
      <w:r w:rsidR="00D5104A">
        <w:t>.</w:t>
      </w:r>
    </w:p>
    <w:p w14:paraId="142F83C8" w14:textId="7DDF57CF" w:rsidR="009545A1" w:rsidRDefault="009545A1">
      <w:pPr>
        <w:spacing w:before="0" w:after="0" w:line="240" w:lineRule="auto"/>
      </w:pPr>
      <w:r>
        <w:br w:type="page"/>
      </w:r>
    </w:p>
    <w:p w14:paraId="163C6A20" w14:textId="55C90A7A" w:rsidR="0065312D" w:rsidRDefault="00D3604E" w:rsidP="00A11B05">
      <w:pPr>
        <w:spacing w:after="0"/>
      </w:pPr>
      <w:r>
        <w:lastRenderedPageBreak/>
        <w:t>From 1 January 2025, t</w:t>
      </w:r>
      <w:r w:rsidR="0065312D">
        <w:t>he basic subsidy rates will increase as follows:</w:t>
      </w:r>
    </w:p>
    <w:tbl>
      <w:tblPr>
        <w:tblStyle w:val="TableGrid"/>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3616"/>
        <w:gridCol w:w="3616"/>
      </w:tblGrid>
      <w:tr w:rsidR="0065312D" w:rsidRPr="00886257" w14:paraId="14154D4F" w14:textId="77777777" w:rsidTr="009545A1">
        <w:trPr>
          <w:tblHeader/>
        </w:trPr>
        <w:tc>
          <w:tcPr>
            <w:tcW w:w="2400" w:type="dxa"/>
            <w:shd w:val="clear" w:color="auto" w:fill="002060"/>
            <w:hideMark/>
          </w:tcPr>
          <w:p w14:paraId="5C90CD34" w14:textId="14DA9328" w:rsidR="0065312D" w:rsidRPr="006A1C30" w:rsidRDefault="009E0349" w:rsidP="009545A1">
            <w:pPr>
              <w:spacing w:line="240" w:lineRule="auto"/>
              <w:rPr>
                <w:rFonts w:cs="Arial"/>
                <w:b/>
                <w:bCs/>
              </w:rPr>
            </w:pPr>
            <w:r>
              <w:rPr>
                <w:rFonts w:cs="Arial"/>
                <w:b/>
                <w:bCs/>
              </w:rPr>
              <w:t>Package Level</w:t>
            </w:r>
          </w:p>
        </w:tc>
        <w:tc>
          <w:tcPr>
            <w:tcW w:w="3616" w:type="dxa"/>
            <w:shd w:val="clear" w:color="auto" w:fill="002060"/>
            <w:hideMark/>
          </w:tcPr>
          <w:p w14:paraId="3A1D1B42" w14:textId="623E46DF" w:rsidR="0065312D" w:rsidRPr="006A1C30" w:rsidRDefault="0065312D" w:rsidP="009545A1">
            <w:pPr>
              <w:spacing w:line="240" w:lineRule="auto"/>
              <w:jc w:val="center"/>
              <w:rPr>
                <w:rFonts w:cs="Arial"/>
                <w:b/>
                <w:bCs/>
              </w:rPr>
            </w:pPr>
            <w:r>
              <w:rPr>
                <w:rFonts w:cs="Arial"/>
                <w:b/>
                <w:bCs/>
              </w:rPr>
              <w:t xml:space="preserve">Current </w:t>
            </w:r>
            <w:r w:rsidR="0060082D">
              <w:rPr>
                <w:rFonts w:cs="Arial"/>
                <w:b/>
                <w:bCs/>
              </w:rPr>
              <w:t>d</w:t>
            </w:r>
            <w:r>
              <w:rPr>
                <w:rFonts w:cs="Arial"/>
                <w:b/>
                <w:bCs/>
              </w:rPr>
              <w:t xml:space="preserve">aily </w:t>
            </w:r>
            <w:r w:rsidR="0060082D">
              <w:rPr>
                <w:rFonts w:cs="Arial"/>
                <w:b/>
                <w:bCs/>
              </w:rPr>
              <w:t>s</w:t>
            </w:r>
            <w:r>
              <w:rPr>
                <w:rFonts w:cs="Arial"/>
                <w:b/>
                <w:bCs/>
              </w:rPr>
              <w:t>ubsidy</w:t>
            </w:r>
            <w:r w:rsidR="0060082D">
              <w:rPr>
                <w:rFonts w:cs="Arial"/>
                <w:b/>
                <w:bCs/>
              </w:rPr>
              <w:t xml:space="preserve"> rate from</w:t>
            </w:r>
            <w:r>
              <w:rPr>
                <w:rFonts w:cs="Arial"/>
                <w:b/>
                <w:bCs/>
              </w:rPr>
              <w:t xml:space="preserve"> 1 July 202</w:t>
            </w:r>
            <w:r w:rsidR="00C84120">
              <w:rPr>
                <w:rFonts w:cs="Arial"/>
                <w:b/>
                <w:bCs/>
              </w:rPr>
              <w:t>4</w:t>
            </w:r>
          </w:p>
        </w:tc>
        <w:tc>
          <w:tcPr>
            <w:tcW w:w="3616" w:type="dxa"/>
            <w:shd w:val="clear" w:color="auto" w:fill="002060"/>
          </w:tcPr>
          <w:p w14:paraId="2FC3E593" w14:textId="36237560" w:rsidR="0060082D" w:rsidRDefault="009E0349" w:rsidP="009545A1">
            <w:pPr>
              <w:spacing w:line="240" w:lineRule="auto"/>
              <w:jc w:val="center"/>
              <w:rPr>
                <w:rFonts w:cs="Arial"/>
                <w:b/>
                <w:bCs/>
              </w:rPr>
            </w:pPr>
            <w:r>
              <w:rPr>
                <w:rFonts w:cs="Arial"/>
                <w:b/>
                <w:bCs/>
              </w:rPr>
              <w:t>Daily subsidy from</w:t>
            </w:r>
          </w:p>
          <w:p w14:paraId="09AB84E0" w14:textId="0A31B39B" w:rsidR="0065312D" w:rsidRPr="006A1C30" w:rsidRDefault="009E0349" w:rsidP="009545A1">
            <w:pPr>
              <w:spacing w:line="240" w:lineRule="auto"/>
              <w:jc w:val="center"/>
              <w:rPr>
                <w:rFonts w:cs="Arial"/>
                <w:b/>
                <w:bCs/>
              </w:rPr>
            </w:pPr>
            <w:r>
              <w:rPr>
                <w:rFonts w:cs="Arial"/>
                <w:b/>
                <w:bCs/>
              </w:rPr>
              <w:t>1 January 2025</w:t>
            </w:r>
          </w:p>
        </w:tc>
      </w:tr>
      <w:tr w:rsidR="0065312D" w:rsidRPr="00886257" w14:paraId="194D1A6A" w14:textId="77777777" w:rsidTr="009545A1">
        <w:tc>
          <w:tcPr>
            <w:tcW w:w="2400" w:type="dxa"/>
            <w:hideMark/>
          </w:tcPr>
          <w:p w14:paraId="10439190" w14:textId="77777777" w:rsidR="0065312D" w:rsidRPr="0065312D" w:rsidRDefault="0065312D" w:rsidP="009545A1">
            <w:pPr>
              <w:spacing w:line="240" w:lineRule="auto"/>
              <w:rPr>
                <w:rFonts w:cs="Arial"/>
              </w:rPr>
            </w:pPr>
            <w:r w:rsidRPr="0065312D">
              <w:rPr>
                <w:rFonts w:cs="Arial"/>
              </w:rPr>
              <w:t>Level 1</w:t>
            </w:r>
          </w:p>
        </w:tc>
        <w:tc>
          <w:tcPr>
            <w:tcW w:w="3616" w:type="dxa"/>
            <w:hideMark/>
          </w:tcPr>
          <w:p w14:paraId="0B340E31" w14:textId="2B2F2422" w:rsidR="0065312D" w:rsidRPr="0065312D" w:rsidRDefault="0065312D" w:rsidP="009545A1">
            <w:pPr>
              <w:spacing w:line="240" w:lineRule="auto"/>
              <w:rPr>
                <w:rFonts w:cs="Arial"/>
              </w:rPr>
            </w:pPr>
            <w:r w:rsidRPr="0065312D">
              <w:rPr>
                <w:rFonts w:cs="Arial"/>
              </w:rPr>
              <w:t>$2</w:t>
            </w:r>
            <w:r w:rsidR="00C02F48">
              <w:rPr>
                <w:rFonts w:cs="Arial"/>
              </w:rPr>
              <w:t>9.01</w:t>
            </w:r>
          </w:p>
        </w:tc>
        <w:tc>
          <w:tcPr>
            <w:tcW w:w="3616" w:type="dxa"/>
          </w:tcPr>
          <w:p w14:paraId="67112F36" w14:textId="1B38ADD2" w:rsidR="0065312D" w:rsidRPr="0065312D" w:rsidRDefault="0065312D" w:rsidP="009545A1">
            <w:pPr>
              <w:spacing w:line="240" w:lineRule="auto"/>
              <w:rPr>
                <w:rFonts w:cs="Arial"/>
              </w:rPr>
            </w:pPr>
            <w:r w:rsidRPr="0065312D">
              <w:rPr>
                <w:rFonts w:cs="Arial"/>
              </w:rPr>
              <w:t>$</w:t>
            </w:r>
            <w:r w:rsidR="00D3604E">
              <w:rPr>
                <w:rFonts w:cs="Arial"/>
              </w:rPr>
              <w:t>29.2</w:t>
            </w:r>
            <w:r w:rsidR="009F1ED9">
              <w:rPr>
                <w:rFonts w:cs="Arial"/>
              </w:rPr>
              <w:t>8</w:t>
            </w:r>
          </w:p>
        </w:tc>
      </w:tr>
      <w:tr w:rsidR="0065312D" w:rsidRPr="00886257" w14:paraId="1C368456" w14:textId="77777777" w:rsidTr="009545A1">
        <w:tc>
          <w:tcPr>
            <w:tcW w:w="2400" w:type="dxa"/>
            <w:hideMark/>
          </w:tcPr>
          <w:p w14:paraId="3DFB0849" w14:textId="77777777" w:rsidR="0065312D" w:rsidRPr="0065312D" w:rsidRDefault="0065312D" w:rsidP="009545A1">
            <w:pPr>
              <w:spacing w:line="240" w:lineRule="auto"/>
              <w:rPr>
                <w:rFonts w:cs="Arial"/>
              </w:rPr>
            </w:pPr>
            <w:r w:rsidRPr="0065312D">
              <w:rPr>
                <w:rFonts w:cs="Arial"/>
              </w:rPr>
              <w:t>Level 2</w:t>
            </w:r>
          </w:p>
        </w:tc>
        <w:tc>
          <w:tcPr>
            <w:tcW w:w="3616" w:type="dxa"/>
            <w:hideMark/>
          </w:tcPr>
          <w:p w14:paraId="62799FB3" w14:textId="2992B4B4" w:rsidR="0065312D" w:rsidRPr="0065312D" w:rsidRDefault="0065312D" w:rsidP="009545A1">
            <w:pPr>
              <w:spacing w:line="240" w:lineRule="auto"/>
              <w:rPr>
                <w:rFonts w:cs="Arial"/>
              </w:rPr>
            </w:pPr>
            <w:r w:rsidRPr="0065312D">
              <w:rPr>
                <w:rFonts w:cs="Arial"/>
              </w:rPr>
              <w:t>$</w:t>
            </w:r>
            <w:r w:rsidR="00C02F48">
              <w:rPr>
                <w:rFonts w:cs="Arial"/>
              </w:rPr>
              <w:t>51.02</w:t>
            </w:r>
          </w:p>
        </w:tc>
        <w:tc>
          <w:tcPr>
            <w:tcW w:w="3616" w:type="dxa"/>
          </w:tcPr>
          <w:p w14:paraId="6EF0854B" w14:textId="7C2B1B0E" w:rsidR="0065312D" w:rsidRPr="0065312D" w:rsidRDefault="0065312D" w:rsidP="009545A1">
            <w:pPr>
              <w:spacing w:line="240" w:lineRule="auto"/>
              <w:rPr>
                <w:rFonts w:cs="Arial"/>
              </w:rPr>
            </w:pPr>
            <w:r w:rsidRPr="0065312D">
              <w:rPr>
                <w:rFonts w:cs="Arial"/>
              </w:rPr>
              <w:t>$</w:t>
            </w:r>
            <w:r w:rsidR="00D3604E">
              <w:rPr>
                <w:rFonts w:cs="Arial"/>
              </w:rPr>
              <w:t>51.49</w:t>
            </w:r>
          </w:p>
        </w:tc>
      </w:tr>
      <w:tr w:rsidR="0065312D" w:rsidRPr="00886257" w14:paraId="6D430C82" w14:textId="77777777" w:rsidTr="009545A1">
        <w:tc>
          <w:tcPr>
            <w:tcW w:w="2400" w:type="dxa"/>
            <w:hideMark/>
          </w:tcPr>
          <w:p w14:paraId="727F94E8" w14:textId="77777777" w:rsidR="0065312D" w:rsidRPr="0065312D" w:rsidRDefault="0065312D" w:rsidP="009545A1">
            <w:pPr>
              <w:spacing w:line="240" w:lineRule="auto"/>
              <w:rPr>
                <w:rFonts w:cs="Arial"/>
              </w:rPr>
            </w:pPr>
            <w:r w:rsidRPr="0065312D">
              <w:rPr>
                <w:rFonts w:cs="Arial"/>
              </w:rPr>
              <w:t>Level 3</w:t>
            </w:r>
          </w:p>
        </w:tc>
        <w:tc>
          <w:tcPr>
            <w:tcW w:w="3616" w:type="dxa"/>
            <w:hideMark/>
          </w:tcPr>
          <w:p w14:paraId="238074EE" w14:textId="1CB9D4BC" w:rsidR="0065312D" w:rsidRPr="0065312D" w:rsidRDefault="0065312D" w:rsidP="009545A1">
            <w:pPr>
              <w:spacing w:line="240" w:lineRule="auto"/>
              <w:rPr>
                <w:rFonts w:cs="Arial"/>
              </w:rPr>
            </w:pPr>
            <w:r w:rsidRPr="0065312D">
              <w:rPr>
                <w:rFonts w:cs="Arial"/>
              </w:rPr>
              <w:t>$</w:t>
            </w:r>
            <w:r w:rsidR="00C02F48">
              <w:rPr>
                <w:rFonts w:cs="Arial"/>
              </w:rPr>
              <w:t>111.04</w:t>
            </w:r>
          </w:p>
        </w:tc>
        <w:tc>
          <w:tcPr>
            <w:tcW w:w="3616" w:type="dxa"/>
          </w:tcPr>
          <w:p w14:paraId="121290A0" w14:textId="2022F276" w:rsidR="0065312D" w:rsidRPr="0065312D" w:rsidRDefault="0065312D" w:rsidP="009545A1">
            <w:pPr>
              <w:spacing w:line="240" w:lineRule="auto"/>
              <w:rPr>
                <w:rFonts w:cs="Arial"/>
              </w:rPr>
            </w:pPr>
            <w:r w:rsidRPr="0065312D">
              <w:rPr>
                <w:rFonts w:cs="Arial"/>
              </w:rPr>
              <w:t>$</w:t>
            </w:r>
            <w:r w:rsidR="00D3604E">
              <w:rPr>
                <w:rFonts w:cs="Arial"/>
              </w:rPr>
              <w:t>112.07</w:t>
            </w:r>
          </w:p>
        </w:tc>
      </w:tr>
      <w:tr w:rsidR="0065312D" w:rsidRPr="00886257" w14:paraId="4D9C23BF" w14:textId="77777777" w:rsidTr="009545A1">
        <w:tc>
          <w:tcPr>
            <w:tcW w:w="2400" w:type="dxa"/>
            <w:hideMark/>
          </w:tcPr>
          <w:p w14:paraId="4043D4E2" w14:textId="77777777" w:rsidR="0065312D" w:rsidRPr="0065312D" w:rsidRDefault="0065312D" w:rsidP="009545A1">
            <w:pPr>
              <w:spacing w:line="240" w:lineRule="auto"/>
              <w:rPr>
                <w:rFonts w:cs="Arial"/>
              </w:rPr>
            </w:pPr>
            <w:r w:rsidRPr="0065312D">
              <w:rPr>
                <w:rFonts w:cs="Arial"/>
              </w:rPr>
              <w:t>Level 4</w:t>
            </w:r>
          </w:p>
        </w:tc>
        <w:tc>
          <w:tcPr>
            <w:tcW w:w="3616" w:type="dxa"/>
            <w:hideMark/>
          </w:tcPr>
          <w:p w14:paraId="054AAD1C" w14:textId="77BC5B40" w:rsidR="0065312D" w:rsidRPr="0065312D" w:rsidRDefault="0065312D" w:rsidP="009545A1">
            <w:pPr>
              <w:spacing w:line="240" w:lineRule="auto"/>
              <w:rPr>
                <w:rFonts w:cs="Arial"/>
              </w:rPr>
            </w:pPr>
            <w:r w:rsidRPr="0065312D">
              <w:rPr>
                <w:rFonts w:cs="Arial"/>
              </w:rPr>
              <w:t>$</w:t>
            </w:r>
            <w:r w:rsidR="00C02F48">
              <w:rPr>
                <w:rFonts w:cs="Arial"/>
              </w:rPr>
              <w:t>168.33</w:t>
            </w:r>
          </w:p>
        </w:tc>
        <w:tc>
          <w:tcPr>
            <w:tcW w:w="3616" w:type="dxa"/>
          </w:tcPr>
          <w:p w14:paraId="1CDFB7D5" w14:textId="67E11860" w:rsidR="0065312D" w:rsidRPr="0065312D" w:rsidRDefault="0065312D" w:rsidP="009545A1">
            <w:pPr>
              <w:spacing w:line="240" w:lineRule="auto"/>
              <w:rPr>
                <w:rFonts w:cs="Arial"/>
              </w:rPr>
            </w:pPr>
            <w:r w:rsidRPr="0065312D">
              <w:rPr>
                <w:rFonts w:cs="Arial"/>
              </w:rPr>
              <w:t>$</w:t>
            </w:r>
            <w:r w:rsidR="00D3604E">
              <w:rPr>
                <w:rFonts w:cs="Arial"/>
              </w:rPr>
              <w:t>169.</w:t>
            </w:r>
            <w:r w:rsidR="009E0349">
              <w:rPr>
                <w:rFonts w:cs="Arial"/>
              </w:rPr>
              <w:t>90</w:t>
            </w:r>
          </w:p>
        </w:tc>
      </w:tr>
    </w:tbl>
    <w:p w14:paraId="512B041A" w14:textId="05599510" w:rsidR="0065312D" w:rsidRDefault="0065312D" w:rsidP="00657A78">
      <w:pPr>
        <w:spacing w:beforeLines="100" w:before="240" w:afterLines="60" w:after="144"/>
        <w:rPr>
          <w:rFonts w:cstheme="minorHAnsi"/>
        </w:rPr>
      </w:pPr>
      <w:r>
        <w:rPr>
          <w:rFonts w:cstheme="minorHAnsi"/>
        </w:rPr>
        <w:t>Supplements such as oxygen and enteral feeding supplements will</w:t>
      </w:r>
      <w:r w:rsidR="00EF19A3">
        <w:rPr>
          <w:rFonts w:cstheme="minorHAnsi"/>
        </w:rPr>
        <w:t xml:space="preserve"> </w:t>
      </w:r>
      <w:r w:rsidR="00D3604E">
        <w:rPr>
          <w:rFonts w:cstheme="minorHAnsi"/>
        </w:rPr>
        <w:t>not increase</w:t>
      </w:r>
      <w:r>
        <w:rPr>
          <w:rFonts w:cstheme="minorHAnsi"/>
        </w:rPr>
        <w:t>, as these supplements do not have a workforce component.</w:t>
      </w:r>
    </w:p>
    <w:p w14:paraId="131F90AB" w14:textId="763AE3DC" w:rsidR="0065312D" w:rsidRDefault="00E26A0A">
      <w:pPr>
        <w:pStyle w:val="Heading3"/>
      </w:pPr>
      <w:r>
        <w:t>Will the subsidy increase be sufficient?</w:t>
      </w:r>
    </w:p>
    <w:p w14:paraId="2892E626" w14:textId="342A27BE" w:rsidR="00A11B05" w:rsidRDefault="00E26A0A" w:rsidP="00733F14">
      <w:r w:rsidRPr="00AE4610">
        <w:t>The sub</w:t>
      </w:r>
      <w:r>
        <w:t>sidy increase has been calculated based on what providers spent in 202</w:t>
      </w:r>
      <w:r w:rsidR="00A11B05">
        <w:t>2</w:t>
      </w:r>
      <w:r>
        <w:t>-2</w:t>
      </w:r>
      <w:r w:rsidR="00A11B05">
        <w:t>3</w:t>
      </w:r>
      <w:r>
        <w:t xml:space="preserve"> on </w:t>
      </w:r>
      <w:r w:rsidR="00292C34">
        <w:t>aged care</w:t>
      </w:r>
      <w:r>
        <w:t xml:space="preserve"> </w:t>
      </w:r>
      <w:r w:rsidR="00D05778">
        <w:t>worker</w:t>
      </w:r>
      <w:r w:rsidR="00950D3C">
        <w:t xml:space="preserve">s </w:t>
      </w:r>
      <w:r>
        <w:t xml:space="preserve">and will be sufficient to ensure almost every care recipient continues to receive the same hours of care from 1 </w:t>
      </w:r>
      <w:r w:rsidR="00A11B05">
        <w:t xml:space="preserve">January </w:t>
      </w:r>
      <w:r>
        <w:t>202</w:t>
      </w:r>
      <w:r w:rsidR="00A11B05">
        <w:t>5</w:t>
      </w:r>
      <w:r>
        <w:t xml:space="preserve">. </w:t>
      </w:r>
    </w:p>
    <w:p w14:paraId="0F0B8EAC" w14:textId="302A25E7" w:rsidR="00733F14" w:rsidRDefault="00733F14" w:rsidP="00733F14">
      <w:r>
        <w:t xml:space="preserve">All care recipients’ </w:t>
      </w:r>
      <w:r w:rsidR="00D5104A">
        <w:t>packages</w:t>
      </w:r>
      <w:r>
        <w:t xml:space="preserve"> will increase by </w:t>
      </w:r>
      <w:r w:rsidR="00A11B05">
        <w:t>0.93% and a further 0.44%</w:t>
      </w:r>
      <w:r>
        <w:t xml:space="preserve"> to cover the cost of the wage rise for aged care workers, as well as other increases in prices. Th</w:t>
      </w:r>
      <w:r w:rsidR="00EF19A3">
        <w:t>ese</w:t>
      </w:r>
      <w:r>
        <w:t xml:space="preserve"> increase</w:t>
      </w:r>
      <w:r w:rsidR="00EF19A3">
        <w:t>s</w:t>
      </w:r>
      <w:r>
        <w:t xml:space="preserve"> </w:t>
      </w:r>
      <w:r w:rsidR="00EF19A3">
        <w:t>are</w:t>
      </w:r>
      <w:r>
        <w:t xml:space="preserve"> less than </w:t>
      </w:r>
      <w:r w:rsidR="00EF19A3">
        <w:t>the wage increase</w:t>
      </w:r>
      <w:r>
        <w:t xml:space="preserve"> to account for the fact that many care recipients use their package to access goods, equipment, allied health and home modifications, which are not impacted by the wage increase, alongside their direct nursing and personal care services.</w:t>
      </w:r>
    </w:p>
    <w:p w14:paraId="2AA0EA6E" w14:textId="24AC0831" w:rsidR="00E26A0A" w:rsidRPr="00A21775" w:rsidRDefault="00E26A0A">
      <w:pPr>
        <w:pStyle w:val="Heading3"/>
      </w:pPr>
      <w:r w:rsidRPr="007753B1">
        <w:t>Care and package management caps</w:t>
      </w:r>
    </w:p>
    <w:p w14:paraId="1FE9FFF3" w14:textId="77BAA0DF" w:rsidR="00733108" w:rsidRPr="00733108" w:rsidRDefault="001937D9" w:rsidP="00733108">
      <w:pPr>
        <w:spacing w:after="0"/>
      </w:pPr>
      <w:r>
        <w:t xml:space="preserve">Care and package management caps that were implemented on 1 January 2023 will increase </w:t>
      </w:r>
      <w:r w:rsidR="00EF19A3">
        <w:t xml:space="preserve">with the subsidy </w:t>
      </w:r>
      <w:r>
        <w:t>on 1 J</w:t>
      </w:r>
      <w:r w:rsidR="00EF19A3">
        <w:t>anuary 2025</w:t>
      </w:r>
      <w:r>
        <w:t xml:space="preserve">. </w:t>
      </w:r>
    </w:p>
    <w:p w14:paraId="0F0546BD" w14:textId="5590E462" w:rsidR="006D7556" w:rsidRDefault="006D7556" w:rsidP="00EA303C">
      <w:pPr>
        <w:pStyle w:val="Heading4"/>
        <w:numPr>
          <w:ilvl w:val="0"/>
          <w:numId w:val="0"/>
        </w:numPr>
      </w:pPr>
      <w:r>
        <w:rPr>
          <w:rFonts w:eastAsia="Times New Roman"/>
        </w:rPr>
        <w:t>Maximum daily prices for care and package management from 1 J</w:t>
      </w:r>
      <w:r w:rsidR="00DA2576">
        <w:rPr>
          <w:rFonts w:eastAsia="Times New Roman"/>
        </w:rPr>
        <w:t>anuary 2025</w:t>
      </w:r>
    </w:p>
    <w:tbl>
      <w:tblPr>
        <w:tblW w:w="9888" w:type="dxa"/>
        <w:tblInd w:w="-10" w:type="dxa"/>
        <w:tblCellMar>
          <w:left w:w="0" w:type="dxa"/>
          <w:right w:w="0" w:type="dxa"/>
        </w:tblCellMar>
        <w:tblLook w:val="04A0" w:firstRow="1" w:lastRow="0" w:firstColumn="1" w:lastColumn="0" w:noHBand="0" w:noVBand="1"/>
      </w:tblPr>
      <w:tblGrid>
        <w:gridCol w:w="1418"/>
        <w:gridCol w:w="1843"/>
        <w:gridCol w:w="3084"/>
        <w:gridCol w:w="3543"/>
      </w:tblGrid>
      <w:tr w:rsidR="0033293D" w:rsidRPr="0033293D" w14:paraId="4DE6871A" w14:textId="77777777" w:rsidTr="00EA303C">
        <w:trPr>
          <w:trHeight w:val="315"/>
          <w:tblHeader/>
        </w:trPr>
        <w:tc>
          <w:tcPr>
            <w:tcW w:w="1418"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78CA040A" w14:textId="48865BAF" w:rsidR="001937D9" w:rsidRPr="00345AA5" w:rsidRDefault="00562EFB" w:rsidP="00562EFB">
            <w:pPr>
              <w:spacing w:line="240" w:lineRule="auto"/>
              <w:jc w:val="center"/>
              <w:rPr>
                <w:rFonts w:cs="Arial"/>
                <w:b/>
                <w:bCs/>
              </w:rPr>
            </w:pPr>
            <w:r>
              <w:rPr>
                <w:rFonts w:cs="Arial"/>
                <w:b/>
                <w:bCs/>
              </w:rPr>
              <w:t>Package level</w:t>
            </w:r>
          </w:p>
        </w:tc>
        <w:tc>
          <w:tcPr>
            <w:tcW w:w="1843"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7909ED63" w14:textId="71C424E2" w:rsidR="001937D9" w:rsidRPr="00345AA5" w:rsidRDefault="00562EFB" w:rsidP="00562EFB">
            <w:pPr>
              <w:jc w:val="center"/>
              <w:rPr>
                <w:rFonts w:cs="Arial"/>
                <w:b/>
                <w:bCs/>
              </w:rPr>
            </w:pPr>
            <w:r>
              <w:rPr>
                <w:rFonts w:cs="Arial"/>
                <w:b/>
                <w:bCs/>
              </w:rPr>
              <w:t>Daily</w:t>
            </w:r>
            <w:r w:rsidR="001937D9" w:rsidRPr="00345AA5">
              <w:rPr>
                <w:rFonts w:cs="Arial"/>
                <w:b/>
                <w:bCs/>
              </w:rPr>
              <w:t xml:space="preserve"> subsidy</w:t>
            </w:r>
          </w:p>
        </w:tc>
        <w:tc>
          <w:tcPr>
            <w:tcW w:w="3084"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0CE4F59D" w14:textId="6C99383D" w:rsidR="001937D9" w:rsidRPr="00345AA5" w:rsidRDefault="00562EFB" w:rsidP="00562EFB">
            <w:pPr>
              <w:jc w:val="center"/>
              <w:rPr>
                <w:rFonts w:cs="Arial"/>
                <w:b/>
                <w:bCs/>
              </w:rPr>
            </w:pPr>
            <w:r>
              <w:rPr>
                <w:rFonts w:cs="Arial"/>
                <w:b/>
                <w:bCs/>
              </w:rPr>
              <w:t>C</w:t>
            </w:r>
            <w:r w:rsidR="001937D9" w:rsidRPr="00345AA5">
              <w:rPr>
                <w:rFonts w:cs="Arial"/>
                <w:b/>
                <w:bCs/>
              </w:rPr>
              <w:t>are management x 20%</w:t>
            </w:r>
          </w:p>
        </w:tc>
        <w:tc>
          <w:tcPr>
            <w:tcW w:w="3543"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46AF4B3F" w14:textId="61ECDDF4" w:rsidR="001937D9" w:rsidRPr="00345AA5" w:rsidRDefault="00562EFB" w:rsidP="00562EFB">
            <w:pPr>
              <w:jc w:val="center"/>
              <w:rPr>
                <w:rFonts w:cs="Arial"/>
                <w:b/>
                <w:bCs/>
              </w:rPr>
            </w:pPr>
            <w:r>
              <w:rPr>
                <w:rFonts w:cs="Arial"/>
                <w:b/>
                <w:bCs/>
              </w:rPr>
              <w:t>P</w:t>
            </w:r>
            <w:r w:rsidR="001937D9" w:rsidRPr="00345AA5">
              <w:rPr>
                <w:rFonts w:cs="Arial"/>
                <w:b/>
                <w:bCs/>
              </w:rPr>
              <w:t>ackage management x 15%</w:t>
            </w:r>
          </w:p>
        </w:tc>
      </w:tr>
      <w:tr w:rsidR="001937D9" w:rsidRPr="0033293D" w14:paraId="395EE87A" w14:textId="77777777" w:rsidTr="006D7556">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D9DAC5" w14:textId="77777777" w:rsidR="001937D9" w:rsidRPr="00345AA5" w:rsidRDefault="001937D9" w:rsidP="00345AA5">
            <w:pPr>
              <w:spacing w:line="240" w:lineRule="auto"/>
              <w:rPr>
                <w:rFonts w:cs="Arial"/>
              </w:rPr>
            </w:pPr>
            <w:r w:rsidRPr="00733F14">
              <w:rPr>
                <w:rFonts w:cs="Arial"/>
              </w:rPr>
              <w:t>Level 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AA87BE" w14:textId="3A210078" w:rsidR="001937D9" w:rsidRPr="00345AA5" w:rsidRDefault="001937D9" w:rsidP="00345AA5">
            <w:pPr>
              <w:spacing w:line="240" w:lineRule="auto"/>
              <w:rPr>
                <w:rFonts w:cs="Arial"/>
              </w:rPr>
            </w:pPr>
            <w:r w:rsidRPr="00345AA5">
              <w:rPr>
                <w:rFonts w:cs="Arial"/>
              </w:rPr>
              <w:t>$2</w:t>
            </w:r>
            <w:r w:rsidR="00DA2576">
              <w:rPr>
                <w:rFonts w:cs="Arial"/>
              </w:rPr>
              <w:t>9.2</w:t>
            </w:r>
            <w:r w:rsidR="009F1ED9">
              <w:rPr>
                <w:rFonts w:cs="Arial"/>
              </w:rPr>
              <w:t>8</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264523" w14:textId="1F0BD428" w:rsidR="001937D9" w:rsidRPr="00345AA5" w:rsidRDefault="001937D9" w:rsidP="00345AA5">
            <w:pPr>
              <w:spacing w:line="240" w:lineRule="auto"/>
              <w:rPr>
                <w:rFonts w:cs="Arial"/>
              </w:rPr>
            </w:pPr>
            <w:r w:rsidRPr="00345AA5">
              <w:rPr>
                <w:rFonts w:cs="Arial"/>
              </w:rPr>
              <w:t>$5.</w:t>
            </w:r>
            <w:r w:rsidR="00D75C53">
              <w:rPr>
                <w:rFonts w:cs="Arial"/>
              </w:rPr>
              <w:t>8</w:t>
            </w:r>
            <w:r w:rsidR="009F1ED9">
              <w:rPr>
                <w:rFonts w:cs="Arial"/>
              </w:rPr>
              <w:t>6</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3723A3" w14:textId="1DBBEA9C" w:rsidR="001937D9" w:rsidRPr="00345AA5" w:rsidRDefault="001937D9" w:rsidP="00345AA5">
            <w:pPr>
              <w:spacing w:line="240" w:lineRule="auto"/>
              <w:rPr>
                <w:rFonts w:cs="Arial"/>
              </w:rPr>
            </w:pPr>
            <w:r w:rsidRPr="00345AA5">
              <w:rPr>
                <w:rFonts w:cs="Arial"/>
              </w:rPr>
              <w:t>$4.</w:t>
            </w:r>
            <w:r w:rsidR="00F41F46">
              <w:rPr>
                <w:rFonts w:cs="Arial"/>
              </w:rPr>
              <w:t>39</w:t>
            </w:r>
          </w:p>
        </w:tc>
      </w:tr>
      <w:tr w:rsidR="001937D9" w:rsidRPr="0033293D" w14:paraId="05582AEB" w14:textId="77777777" w:rsidTr="006D7556">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095602" w14:textId="77777777" w:rsidR="001937D9" w:rsidRPr="00345AA5" w:rsidRDefault="001937D9" w:rsidP="00345AA5">
            <w:pPr>
              <w:spacing w:line="240" w:lineRule="auto"/>
              <w:rPr>
                <w:rFonts w:cs="Arial"/>
              </w:rPr>
            </w:pPr>
            <w:r w:rsidRPr="00733F14">
              <w:rPr>
                <w:rFonts w:cs="Arial"/>
              </w:rPr>
              <w:t>Level 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353B5B" w14:textId="716D6871" w:rsidR="001937D9" w:rsidRPr="00345AA5" w:rsidRDefault="001937D9" w:rsidP="00345AA5">
            <w:pPr>
              <w:spacing w:line="240" w:lineRule="auto"/>
              <w:rPr>
                <w:rFonts w:cs="Arial"/>
              </w:rPr>
            </w:pPr>
            <w:r w:rsidRPr="00345AA5">
              <w:rPr>
                <w:rFonts w:cs="Arial"/>
              </w:rPr>
              <w:t>$</w:t>
            </w:r>
            <w:r w:rsidR="00DA2576">
              <w:rPr>
                <w:rFonts w:cs="Arial"/>
              </w:rPr>
              <w:t>51.49</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32E77B" w14:textId="35807A40" w:rsidR="001937D9" w:rsidRPr="00345AA5" w:rsidRDefault="001937D9" w:rsidP="00345AA5">
            <w:pPr>
              <w:spacing w:line="240" w:lineRule="auto"/>
              <w:rPr>
                <w:rFonts w:cs="Arial"/>
              </w:rPr>
            </w:pPr>
            <w:r w:rsidRPr="00345AA5">
              <w:rPr>
                <w:rFonts w:cs="Arial"/>
              </w:rPr>
              <w:t>$</w:t>
            </w:r>
            <w:r w:rsidR="00F41F46">
              <w:rPr>
                <w:rFonts w:cs="Arial"/>
              </w:rPr>
              <w:t>10.</w:t>
            </w:r>
            <w:r w:rsidR="009F1ED9">
              <w:rPr>
                <w:rFonts w:cs="Arial"/>
              </w:rPr>
              <w:t>30</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70FDB" w14:textId="662A8999" w:rsidR="001937D9" w:rsidRPr="00345AA5" w:rsidRDefault="001937D9" w:rsidP="00345AA5">
            <w:pPr>
              <w:spacing w:line="240" w:lineRule="auto"/>
              <w:rPr>
                <w:rFonts w:cs="Arial"/>
              </w:rPr>
            </w:pPr>
            <w:r w:rsidRPr="00345AA5">
              <w:rPr>
                <w:rFonts w:cs="Arial"/>
              </w:rPr>
              <w:t>$7.</w:t>
            </w:r>
            <w:r w:rsidR="00F41F46">
              <w:rPr>
                <w:rFonts w:cs="Arial"/>
              </w:rPr>
              <w:t>72</w:t>
            </w:r>
          </w:p>
        </w:tc>
      </w:tr>
      <w:tr w:rsidR="001937D9" w:rsidRPr="0033293D" w14:paraId="432EED17" w14:textId="77777777" w:rsidTr="006D7556">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732222" w14:textId="77777777" w:rsidR="001937D9" w:rsidRPr="00345AA5" w:rsidRDefault="001937D9" w:rsidP="00345AA5">
            <w:pPr>
              <w:spacing w:line="240" w:lineRule="auto"/>
              <w:rPr>
                <w:rFonts w:cs="Arial"/>
              </w:rPr>
            </w:pPr>
            <w:r w:rsidRPr="00733F14">
              <w:rPr>
                <w:rFonts w:cs="Arial"/>
              </w:rPr>
              <w:t>Level 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F14500" w14:textId="197538AF" w:rsidR="001937D9" w:rsidRPr="00345AA5" w:rsidRDefault="001937D9" w:rsidP="00345AA5">
            <w:pPr>
              <w:spacing w:line="240" w:lineRule="auto"/>
              <w:rPr>
                <w:rFonts w:cs="Arial"/>
              </w:rPr>
            </w:pPr>
            <w:r w:rsidRPr="00345AA5">
              <w:rPr>
                <w:rFonts w:cs="Arial"/>
              </w:rPr>
              <w:t>$1</w:t>
            </w:r>
            <w:r w:rsidR="00DA2576">
              <w:rPr>
                <w:rFonts w:cs="Arial"/>
              </w:rPr>
              <w:t>12.07</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F0D1E4" w14:textId="2C875365" w:rsidR="001937D9" w:rsidRPr="00345AA5" w:rsidRDefault="001937D9" w:rsidP="00345AA5">
            <w:pPr>
              <w:spacing w:line="240" w:lineRule="auto"/>
              <w:rPr>
                <w:rFonts w:cs="Arial"/>
              </w:rPr>
            </w:pPr>
            <w:r w:rsidRPr="00345AA5">
              <w:rPr>
                <w:rFonts w:cs="Arial"/>
              </w:rPr>
              <w:t>$2</w:t>
            </w:r>
            <w:r w:rsidR="00CA636C">
              <w:rPr>
                <w:rFonts w:cs="Arial"/>
              </w:rPr>
              <w:t>2.41</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0D6D8" w14:textId="75A5EE2D" w:rsidR="001937D9" w:rsidRPr="00345AA5" w:rsidRDefault="001937D9" w:rsidP="00345AA5">
            <w:pPr>
              <w:spacing w:line="240" w:lineRule="auto"/>
              <w:rPr>
                <w:rFonts w:cs="Arial"/>
              </w:rPr>
            </w:pPr>
            <w:r w:rsidRPr="00345AA5">
              <w:rPr>
                <w:rFonts w:cs="Arial"/>
              </w:rPr>
              <w:t>$16.</w:t>
            </w:r>
            <w:r w:rsidR="00CA636C">
              <w:rPr>
                <w:rFonts w:cs="Arial"/>
              </w:rPr>
              <w:t>81</w:t>
            </w:r>
          </w:p>
        </w:tc>
      </w:tr>
      <w:tr w:rsidR="001937D9" w:rsidRPr="0033293D" w14:paraId="18D4AE95" w14:textId="77777777" w:rsidTr="006D7556">
        <w:trPr>
          <w:trHeight w:val="315"/>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4A7646" w14:textId="77777777" w:rsidR="001937D9" w:rsidRPr="00345AA5" w:rsidRDefault="001937D9" w:rsidP="00345AA5">
            <w:pPr>
              <w:spacing w:line="240" w:lineRule="auto"/>
              <w:rPr>
                <w:rFonts w:cs="Arial"/>
              </w:rPr>
            </w:pPr>
            <w:r w:rsidRPr="00733F14">
              <w:rPr>
                <w:rFonts w:cs="Arial"/>
              </w:rPr>
              <w:t>Level 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A8635A" w14:textId="4CD36C51" w:rsidR="001937D9" w:rsidRPr="00345AA5" w:rsidRDefault="001937D9" w:rsidP="00345AA5">
            <w:pPr>
              <w:spacing w:line="240" w:lineRule="auto"/>
              <w:rPr>
                <w:rFonts w:cs="Arial"/>
              </w:rPr>
            </w:pPr>
            <w:r w:rsidRPr="00345AA5">
              <w:rPr>
                <w:rFonts w:cs="Arial"/>
              </w:rPr>
              <w:t>$16</w:t>
            </w:r>
            <w:r w:rsidR="00DA2576">
              <w:rPr>
                <w:rFonts w:cs="Arial"/>
              </w:rPr>
              <w:t>9.</w:t>
            </w:r>
            <w:r w:rsidR="009F1ED9">
              <w:rPr>
                <w:rFonts w:cs="Arial"/>
              </w:rPr>
              <w:t>90</w:t>
            </w:r>
          </w:p>
        </w:tc>
        <w:tc>
          <w:tcPr>
            <w:tcW w:w="30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83A59" w14:textId="1F992632" w:rsidR="001937D9" w:rsidRPr="00345AA5" w:rsidRDefault="001937D9" w:rsidP="00345AA5">
            <w:pPr>
              <w:spacing w:line="240" w:lineRule="auto"/>
              <w:rPr>
                <w:rFonts w:cs="Arial"/>
              </w:rPr>
            </w:pPr>
            <w:r w:rsidRPr="00345AA5">
              <w:rPr>
                <w:rFonts w:cs="Arial"/>
              </w:rPr>
              <w:t>$3</w:t>
            </w:r>
            <w:r w:rsidR="002C7D7E">
              <w:rPr>
                <w:rFonts w:cs="Arial"/>
              </w:rPr>
              <w:t>3.9</w:t>
            </w:r>
            <w:r w:rsidR="009F1ED9">
              <w:rPr>
                <w:rFonts w:cs="Arial"/>
              </w:rPr>
              <w:t>8</w:t>
            </w:r>
          </w:p>
        </w:tc>
        <w:tc>
          <w:tcPr>
            <w:tcW w:w="35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E3738D" w14:textId="4DE40960" w:rsidR="001937D9" w:rsidRPr="00345AA5" w:rsidRDefault="001937D9" w:rsidP="00345AA5">
            <w:pPr>
              <w:spacing w:line="240" w:lineRule="auto"/>
              <w:rPr>
                <w:rFonts w:cs="Arial"/>
              </w:rPr>
            </w:pPr>
            <w:r w:rsidRPr="00345AA5">
              <w:rPr>
                <w:rFonts w:cs="Arial"/>
              </w:rPr>
              <w:t>$2</w:t>
            </w:r>
            <w:r w:rsidR="002C7D7E">
              <w:rPr>
                <w:rFonts w:cs="Arial"/>
              </w:rPr>
              <w:t>5.4</w:t>
            </w:r>
            <w:r w:rsidR="009F1ED9">
              <w:rPr>
                <w:rFonts w:cs="Arial"/>
              </w:rPr>
              <w:t>9</w:t>
            </w:r>
          </w:p>
        </w:tc>
      </w:tr>
    </w:tbl>
    <w:p w14:paraId="4D00198E" w14:textId="1EF1977B" w:rsidR="00E26A0A" w:rsidRDefault="00E26A0A">
      <w:pPr>
        <w:pStyle w:val="Heading2"/>
      </w:pPr>
      <w:bookmarkStart w:id="7" w:name="_When_will_the"/>
      <w:bookmarkEnd w:id="7"/>
      <w:r>
        <w:lastRenderedPageBreak/>
        <w:t>When will the wage rise be implemented?</w:t>
      </w:r>
    </w:p>
    <w:p w14:paraId="37BAC723" w14:textId="5D0D6E3E" w:rsidR="00E26A0A" w:rsidRDefault="00E26A0A">
      <w:r w:rsidRPr="005A6520">
        <w:t xml:space="preserve">The changes will take effect from the start of the </w:t>
      </w:r>
      <w:r w:rsidR="00D05778">
        <w:t>worker</w:t>
      </w:r>
      <w:r w:rsidRPr="005A6520">
        <w:t xml:space="preserve">’s first full pay period that starts on or after </w:t>
      </w:r>
      <w:r w:rsidR="006B721B">
        <w:t>1 January 2025</w:t>
      </w:r>
      <w:r w:rsidRPr="005A6520">
        <w:t>.</w:t>
      </w:r>
      <w:r w:rsidR="006B721B">
        <w:t xml:space="preserve"> Some workers will have a second increase from the start of their first full pay period starting on or after 1 October 2025.</w:t>
      </w:r>
    </w:p>
    <w:p w14:paraId="354D1B35" w14:textId="09E8E49C" w:rsidR="00E26A0A" w:rsidRPr="00F17B50" w:rsidRDefault="00704ACA" w:rsidP="00345AA5">
      <w:pPr>
        <w:pStyle w:val="CommentText"/>
      </w:pPr>
      <w:r>
        <w:rPr>
          <w:sz w:val="24"/>
          <w:szCs w:val="24"/>
        </w:rPr>
        <w:t>More i</w:t>
      </w:r>
      <w:r w:rsidR="006573E6">
        <w:rPr>
          <w:sz w:val="24"/>
          <w:szCs w:val="24"/>
        </w:rPr>
        <w:t>nformation</w:t>
      </w:r>
      <w:r w:rsidR="003958B5" w:rsidRPr="007753B1">
        <w:rPr>
          <w:sz w:val="24"/>
          <w:szCs w:val="24"/>
        </w:rPr>
        <w:t xml:space="preserve"> </w:t>
      </w:r>
      <w:r>
        <w:rPr>
          <w:sz w:val="24"/>
          <w:szCs w:val="24"/>
        </w:rPr>
        <w:t>on</w:t>
      </w:r>
      <w:r w:rsidRPr="007753B1">
        <w:rPr>
          <w:sz w:val="24"/>
          <w:szCs w:val="24"/>
        </w:rPr>
        <w:t xml:space="preserve"> </w:t>
      </w:r>
      <w:r w:rsidR="003958B5" w:rsidRPr="007753B1">
        <w:rPr>
          <w:sz w:val="24"/>
          <w:szCs w:val="24"/>
        </w:rPr>
        <w:t xml:space="preserve">the </w:t>
      </w:r>
      <w:hyperlink r:id="rId12" w:history="1">
        <w:r w:rsidR="006B721B" w:rsidRPr="00F80568">
          <w:rPr>
            <w:rStyle w:val="Hyperlink"/>
            <w:szCs w:val="24"/>
          </w:rPr>
          <w:t>Aged Care Work Value Case</w:t>
        </w:r>
      </w:hyperlink>
      <w:r w:rsidR="003958B5" w:rsidRPr="007753B1">
        <w:rPr>
          <w:sz w:val="24"/>
          <w:szCs w:val="24"/>
        </w:rPr>
        <w:t xml:space="preserve"> </w:t>
      </w:r>
      <w:r w:rsidR="00D5104A">
        <w:rPr>
          <w:sz w:val="24"/>
          <w:szCs w:val="24"/>
        </w:rPr>
        <w:t xml:space="preserve">Stage 3 </w:t>
      </w:r>
      <w:r w:rsidR="006B721B">
        <w:rPr>
          <w:sz w:val="24"/>
          <w:szCs w:val="24"/>
        </w:rPr>
        <w:t>decision</w:t>
      </w:r>
      <w:r w:rsidR="006B721B" w:rsidRPr="007753B1">
        <w:rPr>
          <w:sz w:val="24"/>
          <w:szCs w:val="24"/>
        </w:rPr>
        <w:t xml:space="preserve"> </w:t>
      </w:r>
      <w:r w:rsidR="003958B5" w:rsidRPr="007753B1">
        <w:rPr>
          <w:sz w:val="24"/>
          <w:szCs w:val="24"/>
        </w:rPr>
        <w:t>for the aged care sector</w:t>
      </w:r>
      <w:r>
        <w:rPr>
          <w:sz w:val="24"/>
          <w:szCs w:val="24"/>
        </w:rPr>
        <w:t xml:space="preserve"> is available </w:t>
      </w:r>
      <w:r w:rsidR="00F80568">
        <w:rPr>
          <w:sz w:val="24"/>
          <w:szCs w:val="24"/>
        </w:rPr>
        <w:t>on the Fair Work Commission website</w:t>
      </w:r>
      <w:r>
        <w:rPr>
          <w:sz w:val="24"/>
          <w:szCs w:val="24"/>
        </w:rPr>
        <w:t>.</w:t>
      </w:r>
    </w:p>
    <w:p w14:paraId="60090CF6" w14:textId="0B0229EA" w:rsidR="00E26A0A" w:rsidRDefault="00E26A0A">
      <w:pPr>
        <w:pStyle w:val="Heading2"/>
      </w:pPr>
      <w:bookmarkStart w:id="8" w:name="_What_will_providers"/>
      <w:bookmarkEnd w:id="8"/>
      <w:r>
        <w:t>What will providers need to do?</w:t>
      </w:r>
    </w:p>
    <w:p w14:paraId="320C532B" w14:textId="77777777" w:rsidR="00E26A0A" w:rsidRDefault="00E26A0A">
      <w:r>
        <w:t>Providers will need to:</w:t>
      </w:r>
    </w:p>
    <w:p w14:paraId="1DDF5D55" w14:textId="60585170" w:rsidR="00E26A0A" w:rsidRDefault="00D91A7B" w:rsidP="00EA303C">
      <w:pPr>
        <w:pStyle w:val="ListBullet"/>
      </w:pPr>
      <w:r>
        <w:t>c</w:t>
      </w:r>
      <w:r w:rsidR="00E26A0A">
        <w:t xml:space="preserve">ommunicate and implement these changes for their workers affected by the relevant </w:t>
      </w:r>
      <w:r w:rsidR="00EB704A">
        <w:t>aw</w:t>
      </w:r>
      <w:r w:rsidR="00E26A0A">
        <w:t>ards</w:t>
      </w:r>
    </w:p>
    <w:p w14:paraId="67A00FA7" w14:textId="77777777" w:rsidR="006D7556" w:rsidRDefault="00D91A7B" w:rsidP="00EA303C">
      <w:pPr>
        <w:pStyle w:val="ListBullet"/>
      </w:pPr>
      <w:r>
        <w:t>c</w:t>
      </w:r>
      <w:r w:rsidR="00E26A0A" w:rsidRPr="00147462">
        <w:t>onsult with and gain the consent of care recipients to any changes</w:t>
      </w:r>
      <w:r w:rsidR="00E26A0A">
        <w:t xml:space="preserve"> that may affect them. </w:t>
      </w:r>
    </w:p>
    <w:p w14:paraId="32816028" w14:textId="38D0DF09" w:rsidR="00E26A0A" w:rsidRDefault="00E26A0A">
      <w:pPr>
        <w:pStyle w:val="Heading3"/>
      </w:pPr>
      <w:r>
        <w:t>Enterprise agreements</w:t>
      </w:r>
    </w:p>
    <w:p w14:paraId="5FFB9F50" w14:textId="431933B2" w:rsidR="00E26A0A" w:rsidRPr="00733108" w:rsidRDefault="00E26A0A" w:rsidP="008201BA">
      <w:r w:rsidRPr="003D6DAA">
        <w:rPr>
          <w:lang w:eastAsia="en-AU"/>
        </w:rPr>
        <w:t xml:space="preserve">Some providers have a separate arrangement for paying their workers known as an Enterprise Agreement. This arrangement should mean that their workers are already being paid </w:t>
      </w:r>
      <w:r w:rsidR="006E7B15">
        <w:rPr>
          <w:lang w:eastAsia="en-AU"/>
        </w:rPr>
        <w:t>at least the base pay rate in the applicable award wage</w:t>
      </w:r>
      <w:r w:rsidRPr="003D6DAA">
        <w:rPr>
          <w:lang w:eastAsia="en-AU"/>
        </w:rPr>
        <w:t xml:space="preserve">. If </w:t>
      </w:r>
      <w:r w:rsidRPr="00733108">
        <w:t xml:space="preserve">this rate is not </w:t>
      </w:r>
      <w:r w:rsidR="006E7B15" w:rsidRPr="00733108">
        <w:t xml:space="preserve">at least </w:t>
      </w:r>
      <w:r w:rsidRPr="00733108">
        <w:t xml:space="preserve">the new </w:t>
      </w:r>
      <w:r w:rsidR="006E7B15" w:rsidRPr="00733108">
        <w:t>base pay</w:t>
      </w:r>
      <w:r w:rsidRPr="00733108">
        <w:t xml:space="preserve"> rate, these providers will have to increase </w:t>
      </w:r>
      <w:r w:rsidR="006E7B15" w:rsidRPr="00733108">
        <w:t>those</w:t>
      </w:r>
      <w:r w:rsidRPr="00733108">
        <w:t xml:space="preserve"> workers’ </w:t>
      </w:r>
      <w:r w:rsidR="006E7B15" w:rsidRPr="00733108">
        <w:t xml:space="preserve">base pay rate </w:t>
      </w:r>
      <w:r w:rsidRPr="00733108">
        <w:t xml:space="preserve">to at least meet the </w:t>
      </w:r>
      <w:r w:rsidR="006E7B15" w:rsidRPr="00733108">
        <w:t>new base pay rate</w:t>
      </w:r>
      <w:r w:rsidRPr="00733108">
        <w:t xml:space="preserve">. </w:t>
      </w:r>
    </w:p>
    <w:p w14:paraId="4AA013A6" w14:textId="11C5020D" w:rsidR="00F17B50" w:rsidRPr="00733108" w:rsidRDefault="007C740E" w:rsidP="00733108">
      <w:bookmarkStart w:id="9" w:name=""/>
      <w:bookmarkStart w:id="10" w:name="_Hlk129012249"/>
      <w:bookmarkEnd w:id="9"/>
      <w:r>
        <w:t>M</w:t>
      </w:r>
      <w:r w:rsidR="00733108" w:rsidRPr="00733108">
        <w:t>ore</w:t>
      </w:r>
      <w:r w:rsidR="006E7B15" w:rsidRPr="00733108">
        <w:t xml:space="preserve"> information on </w:t>
      </w:r>
      <w:hyperlink r:id="rId13" w:history="1">
        <w:r>
          <w:rPr>
            <w:rStyle w:val="Hyperlink"/>
          </w:rPr>
          <w:t>E</w:t>
        </w:r>
        <w:r w:rsidR="006E7B15" w:rsidRPr="00733108">
          <w:rPr>
            <w:rStyle w:val="Hyperlink"/>
          </w:rPr>
          <w:t xml:space="preserve">nterprise </w:t>
        </w:r>
        <w:r>
          <w:rPr>
            <w:rStyle w:val="Hyperlink"/>
          </w:rPr>
          <w:t>A</w:t>
        </w:r>
        <w:r w:rsidR="006E7B15" w:rsidRPr="00733108">
          <w:rPr>
            <w:rStyle w:val="Hyperlink"/>
          </w:rPr>
          <w:t>greements</w:t>
        </w:r>
      </w:hyperlink>
      <w:r>
        <w:t xml:space="preserve"> is available on the Fair Work Ombudsman website.  </w:t>
      </w:r>
    </w:p>
    <w:bookmarkEnd w:id="10"/>
    <w:p w14:paraId="400930B7" w14:textId="61DD220C" w:rsidR="00E26A0A" w:rsidRDefault="00E26A0A">
      <w:pPr>
        <w:pStyle w:val="Heading3"/>
      </w:pPr>
      <w:r>
        <w:t>Communicate with care recipients</w:t>
      </w:r>
    </w:p>
    <w:p w14:paraId="5DB75B20" w14:textId="77777777" w:rsidR="00E26A0A" w:rsidRPr="0045382A" w:rsidRDefault="00E26A0A">
      <w:pPr>
        <w:rPr>
          <w:lang w:eastAsia="en-AU"/>
        </w:rPr>
      </w:pPr>
      <w:r>
        <w:rPr>
          <w:lang w:eastAsia="en-AU"/>
        </w:rPr>
        <w:t>You may</w:t>
      </w:r>
      <w:r w:rsidRPr="0045382A">
        <w:rPr>
          <w:lang w:eastAsia="en-AU"/>
        </w:rPr>
        <w:t xml:space="preserve"> need to adjust </w:t>
      </w:r>
      <w:r>
        <w:rPr>
          <w:lang w:eastAsia="en-AU"/>
        </w:rPr>
        <w:t>your</w:t>
      </w:r>
      <w:r w:rsidRPr="0045382A">
        <w:rPr>
          <w:lang w:eastAsia="en-AU"/>
        </w:rPr>
        <w:t xml:space="preserve"> pricing models. This may require reasonable increases in charges for care and services delivered by workers receiving the wage increase.</w:t>
      </w:r>
    </w:p>
    <w:p w14:paraId="061D2EF7" w14:textId="4597D5C2" w:rsidR="00347254" w:rsidRPr="0045382A" w:rsidRDefault="00347254" w:rsidP="00347254">
      <w:r>
        <w:t xml:space="preserve">A </w:t>
      </w:r>
      <w:r w:rsidRPr="0045382A">
        <w:t>reasonable and justifiable price</w:t>
      </w:r>
      <w:r>
        <w:t xml:space="preserve"> increase</w:t>
      </w:r>
      <w:r w:rsidRPr="0045382A">
        <w:t xml:space="preserve"> for care and services</w:t>
      </w:r>
      <w:r>
        <w:t xml:space="preserve"> </w:t>
      </w:r>
      <w:r w:rsidRPr="0045382A">
        <w:t>must be:</w:t>
      </w:r>
    </w:p>
    <w:p w14:paraId="289F736D" w14:textId="77777777" w:rsidR="00347254" w:rsidRPr="0045382A" w:rsidRDefault="00347254" w:rsidP="00EA303C">
      <w:pPr>
        <w:pStyle w:val="ListBullet"/>
      </w:pPr>
      <w:r w:rsidRPr="0045382A">
        <w:t>value for money and reflect the resources it takes to provide the care or service</w:t>
      </w:r>
    </w:p>
    <w:p w14:paraId="081BF132" w14:textId="77777777" w:rsidR="00347254" w:rsidRPr="0045382A" w:rsidRDefault="00347254" w:rsidP="00EA303C">
      <w:pPr>
        <w:pStyle w:val="ListBullet"/>
      </w:pPr>
      <w:r w:rsidRPr="0045382A">
        <w:t>clear, understandable and transparent</w:t>
      </w:r>
    </w:p>
    <w:p w14:paraId="3300C16A" w14:textId="77777777" w:rsidR="00347254" w:rsidRPr="0045382A" w:rsidRDefault="00347254" w:rsidP="00EA303C">
      <w:pPr>
        <w:pStyle w:val="ListBullet"/>
      </w:pPr>
      <w:r w:rsidRPr="0045382A">
        <w:t>in the best interests of care recipients</w:t>
      </w:r>
    </w:p>
    <w:p w14:paraId="3F08C677" w14:textId="77777777" w:rsidR="00347254" w:rsidRPr="0045382A" w:rsidRDefault="00347254" w:rsidP="00EA303C">
      <w:pPr>
        <w:pStyle w:val="ListBullet"/>
      </w:pPr>
      <w:r w:rsidRPr="0045382A">
        <w:t>in line with program requirements and legislation</w:t>
      </w:r>
    </w:p>
    <w:p w14:paraId="4EB29D98" w14:textId="7E07DFFE" w:rsidR="00347254" w:rsidRPr="0045382A" w:rsidRDefault="00347254" w:rsidP="00EA303C">
      <w:pPr>
        <w:pStyle w:val="ListBullet"/>
      </w:pPr>
      <w:r w:rsidRPr="0045382A">
        <w:t xml:space="preserve">directly related to coordinating allowable care or </w:t>
      </w:r>
      <w:r w:rsidR="00733F14" w:rsidRPr="0045382A">
        <w:t>services or</w:t>
      </w:r>
      <w:r w:rsidRPr="0045382A">
        <w:t xml:space="preserve"> purchasing goods to meet the care recipient’s assessed needs and goals.</w:t>
      </w:r>
    </w:p>
    <w:p w14:paraId="12EC9E1F" w14:textId="7BFFD931" w:rsidR="00347254" w:rsidRDefault="002A28AC" w:rsidP="009545A1">
      <w:r w:rsidRPr="009545A1">
        <w:t>Providers</w:t>
      </w:r>
      <w:r>
        <w:t xml:space="preserve"> cannot make changes to Home Care Agreements without informed consent and agreement from care recipients. </w:t>
      </w:r>
      <w:r w:rsidR="00D91A7B" w:rsidRPr="0045382A">
        <w:t>Where</w:t>
      </w:r>
      <w:r w:rsidR="00D91A7B">
        <w:t xml:space="preserve"> a care recipients’</w:t>
      </w:r>
      <w:r w:rsidR="00D91A7B" w:rsidRPr="0045382A">
        <w:t xml:space="preserve"> prices</w:t>
      </w:r>
      <w:r w:rsidR="00D91A7B">
        <w:t xml:space="preserve"> increase</w:t>
      </w:r>
      <w:r w:rsidR="00D91A7B" w:rsidRPr="0045382A">
        <w:t xml:space="preserve"> to account for </w:t>
      </w:r>
      <w:r w:rsidR="00D91A7B">
        <w:t xml:space="preserve">the </w:t>
      </w:r>
      <w:r w:rsidR="00D91A7B" w:rsidRPr="0045382A">
        <w:t xml:space="preserve">increased wages, providers must renegotiate </w:t>
      </w:r>
      <w:r>
        <w:t>H</w:t>
      </w:r>
      <w:r w:rsidR="00D91A7B" w:rsidRPr="0045382A">
        <w:t xml:space="preserve">ome </w:t>
      </w:r>
      <w:r>
        <w:t>C</w:t>
      </w:r>
      <w:r w:rsidR="00D91A7B" w:rsidRPr="0045382A">
        <w:t xml:space="preserve">are </w:t>
      </w:r>
      <w:r>
        <w:t>A</w:t>
      </w:r>
      <w:r w:rsidR="00D91A7B" w:rsidRPr="0045382A">
        <w:t>greements with their care recipients</w:t>
      </w:r>
      <w:r w:rsidR="00D91A7B">
        <w:t xml:space="preserve"> and gain mutual consent</w:t>
      </w:r>
      <w:r w:rsidR="00D91A7B" w:rsidRPr="0045382A">
        <w:t xml:space="preserve">. </w:t>
      </w:r>
      <w:r w:rsidR="00347254">
        <w:t>This ensures care recipients are adequately informed and understand all the changes and the terms of the proposed agreement.</w:t>
      </w:r>
    </w:p>
    <w:p w14:paraId="708C7CF4" w14:textId="77777777" w:rsidR="0013603D" w:rsidRDefault="00E26A0A">
      <w:r w:rsidRPr="0045382A">
        <w:t xml:space="preserve">It is the provider’s responsibility to ensure </w:t>
      </w:r>
      <w:r>
        <w:t>care recipients</w:t>
      </w:r>
      <w:r w:rsidRPr="0045382A">
        <w:t xml:space="preserve"> understand </w:t>
      </w:r>
      <w:r>
        <w:t xml:space="preserve">any changes to prices </w:t>
      </w:r>
      <w:r w:rsidRPr="0045382A">
        <w:t>and why</w:t>
      </w:r>
      <w:r>
        <w:t xml:space="preserve"> these changes are being made</w:t>
      </w:r>
      <w:r w:rsidRPr="0045382A">
        <w:t xml:space="preserve">. </w:t>
      </w:r>
    </w:p>
    <w:p w14:paraId="18AD6F62" w14:textId="28B63142" w:rsidR="00E26A0A" w:rsidRPr="0045382A" w:rsidRDefault="00E26A0A" w:rsidP="009545A1">
      <w:pPr>
        <w:keepNext/>
      </w:pPr>
      <w:r w:rsidRPr="0045382A">
        <w:lastRenderedPageBreak/>
        <w:t>This will involve:</w:t>
      </w:r>
    </w:p>
    <w:p w14:paraId="5096C5A9" w14:textId="7589E92E" w:rsidR="00E26A0A" w:rsidRDefault="00F159A3" w:rsidP="00EA303C">
      <w:pPr>
        <w:pStyle w:val="ListBullet"/>
      </w:pPr>
      <w:r>
        <w:t>D</w:t>
      </w:r>
      <w:r w:rsidR="00E26A0A" w:rsidRPr="0045382A">
        <w:t xml:space="preserve">iscussing with care recipients how </w:t>
      </w:r>
      <w:r w:rsidR="00E26A0A">
        <w:t xml:space="preserve">prices for </w:t>
      </w:r>
      <w:r w:rsidR="00E26A0A" w:rsidRPr="0045382A">
        <w:t>care and services delivered by some workers may need to change</w:t>
      </w:r>
      <w:r w:rsidR="00E26A0A">
        <w:t>, including</w:t>
      </w:r>
      <w:r w:rsidR="00E26A0A" w:rsidRPr="0045382A">
        <w:t>:</w:t>
      </w:r>
    </w:p>
    <w:p w14:paraId="4329D40A" w14:textId="77777777" w:rsidR="00E26A0A" w:rsidRPr="009545A1" w:rsidRDefault="00E26A0A" w:rsidP="009545A1">
      <w:pPr>
        <w:pStyle w:val="ListBullet2"/>
      </w:pPr>
      <w:r w:rsidRPr="0045382A">
        <w:t>what prices are changing</w:t>
      </w:r>
    </w:p>
    <w:p w14:paraId="36B84FD6" w14:textId="77777777" w:rsidR="00E26A0A" w:rsidRPr="009545A1" w:rsidRDefault="00E26A0A" w:rsidP="009545A1">
      <w:pPr>
        <w:pStyle w:val="ListBullet2"/>
      </w:pPr>
      <w:r w:rsidRPr="009545A1">
        <w:t>why the prices need to change</w:t>
      </w:r>
    </w:p>
    <w:p w14:paraId="57DB942A" w14:textId="56FBE2D7" w:rsidR="00E26A0A" w:rsidRPr="009545A1" w:rsidRDefault="00E26A0A" w:rsidP="009545A1">
      <w:pPr>
        <w:pStyle w:val="ListBullet2"/>
      </w:pPr>
      <w:r w:rsidRPr="009545A1">
        <w:t xml:space="preserve">what those prices include </w:t>
      </w:r>
    </w:p>
    <w:p w14:paraId="1DCFFDC8" w14:textId="46C38CC3" w:rsidR="00E26A0A" w:rsidRPr="0045382A" w:rsidRDefault="00E26A0A" w:rsidP="009545A1">
      <w:pPr>
        <w:pStyle w:val="ListBullet2"/>
      </w:pPr>
      <w:r w:rsidRPr="009545A1">
        <w:t>when the new prices will</w:t>
      </w:r>
      <w:r w:rsidRPr="0045382A">
        <w:t xml:space="preserve"> start</w:t>
      </w:r>
      <w:r w:rsidR="00F159A3">
        <w:t>.</w:t>
      </w:r>
    </w:p>
    <w:p w14:paraId="4F47920F" w14:textId="7B9D8E9A" w:rsidR="00E26A0A" w:rsidRPr="0045382A" w:rsidRDefault="00F159A3" w:rsidP="00EA303C">
      <w:pPr>
        <w:pStyle w:val="ListBullet"/>
      </w:pPr>
      <w:r>
        <w:t>R</w:t>
      </w:r>
      <w:r w:rsidR="00E26A0A" w:rsidRPr="0045382A">
        <w:t>enegotiating prices with care recipients</w:t>
      </w:r>
      <w:r>
        <w:t>.</w:t>
      </w:r>
    </w:p>
    <w:p w14:paraId="07BB3054" w14:textId="66676A9E" w:rsidR="00E26A0A" w:rsidRPr="0045382A" w:rsidRDefault="00F159A3" w:rsidP="00EA303C">
      <w:pPr>
        <w:pStyle w:val="ListBullet"/>
      </w:pPr>
      <w:r>
        <w:t>U</w:t>
      </w:r>
      <w:r w:rsidR="00E26A0A" w:rsidRPr="0045382A">
        <w:t xml:space="preserve">pdating </w:t>
      </w:r>
      <w:r w:rsidR="002A28AC">
        <w:t>H</w:t>
      </w:r>
      <w:r w:rsidR="00E26A0A" w:rsidRPr="0045382A">
        <w:t xml:space="preserve">ome </w:t>
      </w:r>
      <w:r w:rsidR="002A28AC">
        <w:t>C</w:t>
      </w:r>
      <w:r w:rsidR="00E26A0A" w:rsidRPr="0045382A">
        <w:t xml:space="preserve">are </w:t>
      </w:r>
      <w:r w:rsidR="002A28AC">
        <w:t>A</w:t>
      </w:r>
      <w:r w:rsidR="00E26A0A" w:rsidRPr="0045382A">
        <w:t>greements</w:t>
      </w:r>
      <w:r>
        <w:t>.</w:t>
      </w:r>
    </w:p>
    <w:p w14:paraId="3339C90E" w14:textId="7DECAC5E" w:rsidR="00E26A0A" w:rsidRPr="0045382A" w:rsidRDefault="00F159A3" w:rsidP="00EA303C">
      <w:pPr>
        <w:pStyle w:val="ListBullet"/>
      </w:pPr>
      <w:r>
        <w:t>U</w:t>
      </w:r>
      <w:r w:rsidR="00E26A0A" w:rsidRPr="0045382A">
        <w:t>pdating pricing schedules</w:t>
      </w:r>
      <w:r>
        <w:t>.</w:t>
      </w:r>
      <w:r w:rsidR="00E26A0A" w:rsidRPr="0045382A">
        <w:t xml:space="preserve"> </w:t>
      </w:r>
    </w:p>
    <w:p w14:paraId="4AE2DCF3" w14:textId="2B7318F6" w:rsidR="00E26A0A" w:rsidRPr="0045382A" w:rsidRDefault="00F159A3" w:rsidP="00EA303C">
      <w:pPr>
        <w:pStyle w:val="ListBullet"/>
      </w:pPr>
      <w:r>
        <w:t>P</w:t>
      </w:r>
      <w:r w:rsidR="00E26A0A" w:rsidRPr="0045382A">
        <w:t>ublishing up</w:t>
      </w:r>
      <w:r>
        <w:t>-</w:t>
      </w:r>
      <w:r w:rsidR="00E26A0A" w:rsidRPr="0045382A">
        <w:t>to</w:t>
      </w:r>
      <w:r>
        <w:t>-</w:t>
      </w:r>
      <w:r w:rsidR="00E26A0A" w:rsidRPr="0045382A">
        <w:t>date prices on My Aged Care</w:t>
      </w:r>
      <w:r w:rsidR="0014418F">
        <w:t>. For support</w:t>
      </w:r>
      <w:r>
        <w:t xml:space="preserve"> with this process, refer to </w:t>
      </w:r>
      <w:hyperlink r:id="rId14" w:history="1">
        <w:r w:rsidRPr="00F159A3">
          <w:rPr>
            <w:rStyle w:val="Hyperlink"/>
          </w:rPr>
          <w:t>My Age Care’s tips for HCP providers</w:t>
        </w:r>
      </w:hyperlink>
      <w:r>
        <w:t xml:space="preserve">. </w:t>
      </w:r>
    </w:p>
    <w:p w14:paraId="60672E34" w14:textId="7F4C185E" w:rsidR="00E26A0A" w:rsidRDefault="00E26A0A">
      <w:r>
        <w:t xml:space="preserve">We do not consider a notice of changes to be discussion and mutual agreement with the care recipient. Care recipients should be given a minimum of 14 days to respond, or other timeframe as agreed in the </w:t>
      </w:r>
      <w:r w:rsidR="002A28AC">
        <w:t>H</w:t>
      </w:r>
      <w:r>
        <w:t xml:space="preserve">ome </w:t>
      </w:r>
      <w:r w:rsidR="002A28AC">
        <w:t>C</w:t>
      </w:r>
      <w:r>
        <w:t xml:space="preserve">are </w:t>
      </w:r>
      <w:r w:rsidR="002A28AC">
        <w:t>A</w:t>
      </w:r>
      <w:r>
        <w:t xml:space="preserve">greement, to proposed changes unless they are urgently required by the care recipient. </w:t>
      </w:r>
    </w:p>
    <w:p w14:paraId="776F6F96" w14:textId="0E4568E7" w:rsidR="00C20788" w:rsidRDefault="007C740E" w:rsidP="00C20788">
      <w:pPr>
        <w:rPr>
          <w:rFonts w:cs="Arial"/>
        </w:rPr>
      </w:pPr>
      <w:r>
        <w:t xml:space="preserve">For further </w:t>
      </w:r>
      <w:r w:rsidR="00347254">
        <w:t xml:space="preserve">guidance on </w:t>
      </w:r>
      <w:hyperlink r:id="rId15" w:history="1">
        <w:r w:rsidR="00347254" w:rsidRPr="00E26A0A">
          <w:rPr>
            <w:rStyle w:val="Hyperlink"/>
            <w:rFonts w:cs="Arial"/>
          </w:rPr>
          <w:t>setting</w:t>
        </w:r>
      </w:hyperlink>
      <w:r w:rsidR="00347254" w:rsidRPr="00E26A0A">
        <w:rPr>
          <w:rFonts w:cs="Arial"/>
        </w:rPr>
        <w:t>, </w:t>
      </w:r>
      <w:hyperlink r:id="rId16" w:history="1">
        <w:r w:rsidR="00347254" w:rsidRPr="00E26A0A">
          <w:rPr>
            <w:rStyle w:val="Hyperlink"/>
            <w:rFonts w:cs="Arial"/>
          </w:rPr>
          <w:t>publishing</w:t>
        </w:r>
      </w:hyperlink>
      <w:r w:rsidR="00347254" w:rsidRPr="00E26A0A">
        <w:rPr>
          <w:rFonts w:cs="Arial"/>
        </w:rPr>
        <w:t> or </w:t>
      </w:r>
      <w:hyperlink r:id="rId17" w:history="1">
        <w:r w:rsidR="00347254" w:rsidRPr="00E26A0A">
          <w:rPr>
            <w:rStyle w:val="Hyperlink"/>
            <w:rFonts w:cs="Arial"/>
          </w:rPr>
          <w:t>charging</w:t>
        </w:r>
      </w:hyperlink>
      <w:r w:rsidR="00347254" w:rsidRPr="00E26A0A">
        <w:rPr>
          <w:rFonts w:cs="Arial"/>
        </w:rPr>
        <w:t> prices</w:t>
      </w:r>
      <w:r w:rsidR="00347254">
        <w:rPr>
          <w:rFonts w:cs="Arial"/>
        </w:rPr>
        <w:t xml:space="preserve"> and</w:t>
      </w:r>
      <w:r w:rsidR="00E26A0A" w:rsidRPr="00E26A0A">
        <w:rPr>
          <w:rFonts w:cs="Arial"/>
        </w:rPr>
        <w:t xml:space="preserve"> </w:t>
      </w:r>
      <w:hyperlink r:id="rId18" w:history="1">
        <w:r w:rsidR="00E26A0A" w:rsidRPr="00D5104A">
          <w:rPr>
            <w:rStyle w:val="Hyperlink"/>
            <w:rFonts w:cs="Arial"/>
          </w:rPr>
          <w:t>updating</w:t>
        </w:r>
        <w:r w:rsidR="00733108" w:rsidRPr="00D5104A">
          <w:rPr>
            <w:rStyle w:val="Hyperlink"/>
            <w:rFonts w:cs="Arial"/>
          </w:rPr>
          <w:t xml:space="preserve"> </w:t>
        </w:r>
        <w:r w:rsidR="002A28AC" w:rsidRPr="00D5104A">
          <w:rPr>
            <w:rStyle w:val="Hyperlink"/>
            <w:rFonts w:cs="Arial"/>
          </w:rPr>
          <w:t>Home Care Agreements</w:t>
        </w:r>
      </w:hyperlink>
      <w:r>
        <w:rPr>
          <w:rFonts w:cs="Arial"/>
        </w:rPr>
        <w:t xml:space="preserve">, visit the department’s website. </w:t>
      </w:r>
      <w:bookmarkStart w:id="11" w:name="_Compliance"/>
      <w:bookmarkEnd w:id="11"/>
    </w:p>
    <w:p w14:paraId="6D8AECCF" w14:textId="369AECFB" w:rsidR="00E26A0A" w:rsidRPr="00733108" w:rsidRDefault="00E26A0A" w:rsidP="00733108">
      <w:pPr>
        <w:pStyle w:val="Heading2"/>
        <w:rPr>
          <w:rFonts w:cs="Arial"/>
        </w:rPr>
      </w:pPr>
      <w:r w:rsidRPr="00E26A0A">
        <w:t>Compliance</w:t>
      </w:r>
    </w:p>
    <w:p w14:paraId="085A34A1" w14:textId="77777777" w:rsidR="00E26A0A" w:rsidRPr="00E26A0A" w:rsidRDefault="00E26A0A">
      <w:pPr>
        <w:pStyle w:val="Heading3"/>
      </w:pPr>
      <w:r w:rsidRPr="00E26A0A">
        <w:t>Fair Work Ombudsman</w:t>
      </w:r>
    </w:p>
    <w:p w14:paraId="53FB2FB3" w14:textId="7DE6E7DB" w:rsidR="0056216E" w:rsidRDefault="00E26A0A">
      <w:pPr>
        <w:rPr>
          <w:lang w:eastAsia="en-AU"/>
        </w:rPr>
      </w:pPr>
      <w:r w:rsidRPr="00B17CC7">
        <w:rPr>
          <w:lang w:eastAsia="en-AU"/>
        </w:rPr>
        <w:t xml:space="preserve">The </w:t>
      </w:r>
      <w:r w:rsidR="00806627" w:rsidRPr="0060082D">
        <w:rPr>
          <w:lang w:eastAsia="en-AU"/>
        </w:rPr>
        <w:t>Fair Work Ombudsman</w:t>
      </w:r>
      <w:r w:rsidR="00806627">
        <w:rPr>
          <w:lang w:eastAsia="en-AU"/>
        </w:rPr>
        <w:t xml:space="preserve"> </w:t>
      </w:r>
      <w:r w:rsidRPr="00B17CC7">
        <w:rPr>
          <w:lang w:eastAsia="en-AU"/>
        </w:rPr>
        <w:t xml:space="preserve">is responsible for </w:t>
      </w:r>
      <w:r>
        <w:rPr>
          <w:lang w:eastAsia="en-AU"/>
        </w:rPr>
        <w:t>ensuring</w:t>
      </w:r>
      <w:r w:rsidRPr="00B17CC7">
        <w:rPr>
          <w:lang w:eastAsia="en-AU"/>
        </w:rPr>
        <w:t xml:space="preserve"> compliance with Australian workplace laws and providing education about rights and responsibilities at work. </w:t>
      </w:r>
    </w:p>
    <w:p w14:paraId="4EC7A588" w14:textId="336BC5D8" w:rsidR="00E26A0A" w:rsidRDefault="00E26A0A">
      <w:pPr>
        <w:rPr>
          <w:lang w:eastAsia="en-AU"/>
        </w:rPr>
      </w:pPr>
      <w:r w:rsidRPr="00B17CC7">
        <w:rPr>
          <w:lang w:eastAsia="en-AU"/>
        </w:rPr>
        <w:t xml:space="preserve">The Fair Work Ombudsman can also help to resolve workplace issues including by using </w:t>
      </w:r>
      <w:r w:rsidR="00806627">
        <w:rPr>
          <w:lang w:eastAsia="en-AU"/>
        </w:rPr>
        <w:t xml:space="preserve">a </w:t>
      </w:r>
      <w:r w:rsidRPr="00B17CC7">
        <w:rPr>
          <w:lang w:eastAsia="en-AU"/>
        </w:rPr>
        <w:t xml:space="preserve">range of compliance powers. </w:t>
      </w:r>
    </w:p>
    <w:p w14:paraId="07A1AAC8" w14:textId="5E6D9FCD" w:rsidR="00E26A0A" w:rsidRPr="00B17CC7" w:rsidRDefault="006D7556" w:rsidP="00345AA5">
      <w:pPr>
        <w:pStyle w:val="CommentText"/>
      </w:pPr>
      <w:r>
        <w:rPr>
          <w:sz w:val="24"/>
          <w:szCs w:val="24"/>
        </w:rPr>
        <w:t>Visit their website</w:t>
      </w:r>
      <w:r w:rsidR="007C740E">
        <w:rPr>
          <w:sz w:val="24"/>
          <w:szCs w:val="24"/>
        </w:rPr>
        <w:t xml:space="preserve"> </w:t>
      </w:r>
      <w:r>
        <w:rPr>
          <w:sz w:val="24"/>
          <w:szCs w:val="24"/>
        </w:rPr>
        <w:t>for m</w:t>
      </w:r>
      <w:r w:rsidR="00806627">
        <w:rPr>
          <w:sz w:val="24"/>
          <w:szCs w:val="24"/>
        </w:rPr>
        <w:t>ore information on</w:t>
      </w:r>
      <w:r w:rsidR="00B80872" w:rsidRPr="00345AA5">
        <w:rPr>
          <w:sz w:val="24"/>
          <w:szCs w:val="24"/>
        </w:rPr>
        <w:t xml:space="preserve"> the </w:t>
      </w:r>
      <w:r w:rsidR="00806627" w:rsidRPr="00806627">
        <w:rPr>
          <w:sz w:val="24"/>
          <w:szCs w:val="24"/>
        </w:rPr>
        <w:t>Fair Work Ombudsman</w:t>
      </w:r>
      <w:r w:rsidR="00B80872" w:rsidRPr="00345AA5">
        <w:rPr>
          <w:sz w:val="24"/>
          <w:szCs w:val="24"/>
        </w:rPr>
        <w:t xml:space="preserve">'s approach to </w:t>
      </w:r>
      <w:hyperlink r:id="rId19" w:history="1">
        <w:r w:rsidR="00806627" w:rsidRPr="00806627">
          <w:rPr>
            <w:rStyle w:val="Hyperlink"/>
            <w:szCs w:val="24"/>
          </w:rPr>
          <w:t>resolving workplace disputes</w:t>
        </w:r>
      </w:hyperlink>
      <w:r w:rsidR="00B80872" w:rsidRPr="00345AA5">
        <w:rPr>
          <w:sz w:val="24"/>
          <w:szCs w:val="24"/>
        </w:rPr>
        <w:t xml:space="preserve"> at the workplace level</w:t>
      </w:r>
      <w:r w:rsidR="00806627">
        <w:rPr>
          <w:sz w:val="24"/>
          <w:szCs w:val="24"/>
        </w:rPr>
        <w:t xml:space="preserve"> compared to</w:t>
      </w:r>
      <w:r w:rsidR="00B80872" w:rsidRPr="00345AA5">
        <w:rPr>
          <w:sz w:val="24"/>
          <w:szCs w:val="24"/>
        </w:rPr>
        <w:t xml:space="preserve"> </w:t>
      </w:r>
      <w:hyperlink r:id="rId20" w:history="1">
        <w:r w:rsidR="00B80872" w:rsidRPr="00345AA5">
          <w:rPr>
            <w:rStyle w:val="Hyperlink"/>
            <w:szCs w:val="24"/>
          </w:rPr>
          <w:t>compliance and enforcement</w:t>
        </w:r>
      </w:hyperlink>
      <w:r>
        <w:rPr>
          <w:sz w:val="24"/>
          <w:szCs w:val="24"/>
        </w:rPr>
        <w:t>.</w:t>
      </w:r>
    </w:p>
    <w:p w14:paraId="60216729" w14:textId="77777777" w:rsidR="00E26A0A" w:rsidRPr="00B17CC7" w:rsidRDefault="00E26A0A">
      <w:pPr>
        <w:pStyle w:val="Heading3"/>
      </w:pPr>
      <w:r w:rsidRPr="00B17CC7">
        <w:t>Aged Care Quality and Safety Commission</w:t>
      </w:r>
    </w:p>
    <w:p w14:paraId="7C7F8C0C" w14:textId="296A3AFA" w:rsidR="00E26A0A" w:rsidRPr="00B17CC7" w:rsidRDefault="00E26A0A">
      <w:r w:rsidRPr="00B17CC7">
        <w:t>The </w:t>
      </w:r>
      <w:hyperlink r:id="rId21" w:history="1">
        <w:r w:rsidRPr="00B17CC7">
          <w:rPr>
            <w:rStyle w:val="Hyperlink"/>
            <w:rFonts w:cstheme="minorHAnsi"/>
          </w:rPr>
          <w:t>Aged Care Quality and Safety Commission</w:t>
        </w:r>
      </w:hyperlink>
      <w:r w:rsidRPr="00B17CC7">
        <w:t> </w:t>
      </w:r>
      <w:r w:rsidRPr="00B17CC7">
        <w:rPr>
          <w:lang w:eastAsia="en-AU"/>
        </w:rPr>
        <w:t>uses a wide range of regulatory tools to monitor and assess the performance of aged care providers</w:t>
      </w:r>
      <w:r>
        <w:rPr>
          <w:lang w:eastAsia="en-AU"/>
        </w:rPr>
        <w:t xml:space="preserve"> as well as ensuring providers comply with their provider responsibilities under the </w:t>
      </w:r>
      <w:r>
        <w:rPr>
          <w:i/>
          <w:iCs/>
          <w:lang w:eastAsia="en-AU"/>
        </w:rPr>
        <w:t>Aged Care Act 1997</w:t>
      </w:r>
      <w:r>
        <w:rPr>
          <w:lang w:eastAsia="en-AU"/>
        </w:rPr>
        <w:t xml:space="preserve">. </w:t>
      </w:r>
      <w:r w:rsidR="0056216E">
        <w:rPr>
          <w:lang w:eastAsia="en-AU"/>
        </w:rPr>
        <w:t xml:space="preserve">This </w:t>
      </w:r>
      <w:r w:rsidR="00C91A6A">
        <w:rPr>
          <w:lang w:eastAsia="en-AU"/>
        </w:rPr>
        <w:t>includes</w:t>
      </w:r>
      <w:r>
        <w:rPr>
          <w:lang w:eastAsia="en-AU"/>
        </w:rPr>
        <w:t xml:space="preserve"> the </w:t>
      </w:r>
      <w:r w:rsidR="0056216E">
        <w:rPr>
          <w:lang w:eastAsia="en-AU"/>
        </w:rPr>
        <w:t xml:space="preserve">legislative </w:t>
      </w:r>
      <w:r>
        <w:rPr>
          <w:lang w:eastAsia="en-AU"/>
        </w:rPr>
        <w:t xml:space="preserve">requirement to adequately consult and gain mutual consent of care recipients to make any changes to </w:t>
      </w:r>
      <w:r w:rsidR="002A28AC">
        <w:rPr>
          <w:lang w:eastAsia="en-AU"/>
        </w:rPr>
        <w:t>H</w:t>
      </w:r>
      <w:r>
        <w:rPr>
          <w:lang w:eastAsia="en-AU"/>
        </w:rPr>
        <w:t xml:space="preserve">ome </w:t>
      </w:r>
      <w:r w:rsidR="002A28AC">
        <w:rPr>
          <w:lang w:eastAsia="en-AU"/>
        </w:rPr>
        <w:t>C</w:t>
      </w:r>
      <w:r>
        <w:rPr>
          <w:lang w:eastAsia="en-AU"/>
        </w:rPr>
        <w:t xml:space="preserve">are </w:t>
      </w:r>
      <w:r w:rsidR="002A28AC">
        <w:rPr>
          <w:lang w:eastAsia="en-AU"/>
        </w:rPr>
        <w:t>A</w:t>
      </w:r>
      <w:r>
        <w:rPr>
          <w:lang w:eastAsia="en-AU"/>
        </w:rPr>
        <w:t xml:space="preserve">greements and prices </w:t>
      </w:r>
      <w:r w:rsidR="0056216E">
        <w:rPr>
          <w:lang w:eastAsia="en-AU"/>
        </w:rPr>
        <w:t xml:space="preserve">for </w:t>
      </w:r>
      <w:r>
        <w:rPr>
          <w:lang w:eastAsia="en-AU"/>
        </w:rPr>
        <w:t>the care and services they receive</w:t>
      </w:r>
      <w:r w:rsidRPr="00B17CC7">
        <w:rPr>
          <w:lang w:eastAsia="en-AU"/>
        </w:rPr>
        <w:t xml:space="preserve">. </w:t>
      </w:r>
    </w:p>
    <w:p w14:paraId="6CB65245" w14:textId="77777777" w:rsidR="0013603D" w:rsidRDefault="00E26A0A">
      <w:pPr>
        <w:rPr>
          <w:lang w:eastAsia="en-AU"/>
        </w:rPr>
      </w:pPr>
      <w:r w:rsidRPr="00B17CC7">
        <w:rPr>
          <w:lang w:eastAsia="en-AU"/>
        </w:rPr>
        <w:t>If the Commission finds a provider to be non-compliant with their responsibilities, the</w:t>
      </w:r>
      <w:r w:rsidR="0056216E">
        <w:rPr>
          <w:lang w:eastAsia="en-AU"/>
        </w:rPr>
        <w:t xml:space="preserve">y </w:t>
      </w:r>
      <w:r w:rsidRPr="00B17CC7">
        <w:rPr>
          <w:lang w:eastAsia="en-AU"/>
        </w:rPr>
        <w:t xml:space="preserve">will progress further compliance or enforcement action. </w:t>
      </w:r>
    </w:p>
    <w:p w14:paraId="442CA7BD" w14:textId="4EB7A4CF" w:rsidR="00E26A0A" w:rsidRPr="00B17CC7" w:rsidRDefault="00E26A0A">
      <w:pPr>
        <w:rPr>
          <w:lang w:eastAsia="en-AU"/>
        </w:rPr>
      </w:pPr>
      <w:r w:rsidRPr="00B17CC7">
        <w:rPr>
          <w:lang w:eastAsia="en-AU"/>
        </w:rPr>
        <w:t>In all circumstances, the Commission’s response is informed by the risk posed to the safety, health, wellbeing and quality of life of c</w:t>
      </w:r>
      <w:r>
        <w:rPr>
          <w:lang w:eastAsia="en-AU"/>
        </w:rPr>
        <w:t>are recipients</w:t>
      </w:r>
      <w:r w:rsidRPr="00B17CC7">
        <w:rPr>
          <w:lang w:eastAsia="en-AU"/>
        </w:rPr>
        <w:t>.</w:t>
      </w:r>
    </w:p>
    <w:p w14:paraId="002BCF69" w14:textId="1826339D" w:rsidR="00E26A0A" w:rsidRDefault="00E26A0A">
      <w:r w:rsidRPr="00B17CC7">
        <w:lastRenderedPageBreak/>
        <w:t>For more information</w:t>
      </w:r>
      <w:r w:rsidR="00375E50">
        <w:t xml:space="preserve">, read the Commission’s guide on </w:t>
      </w:r>
      <w:hyperlink r:id="rId22" w:history="1">
        <w:r w:rsidR="00375E50" w:rsidRPr="00375E50">
          <w:rPr>
            <w:rStyle w:val="Hyperlink"/>
          </w:rPr>
          <w:t>home services pricing and agreements</w:t>
        </w:r>
      </w:hyperlink>
      <w:r w:rsidR="00375E50">
        <w:t xml:space="preserve">  and </w:t>
      </w:r>
      <w:r w:rsidRPr="00B17CC7">
        <w:t xml:space="preserve">visit </w:t>
      </w:r>
      <w:r w:rsidR="00375E50">
        <w:t xml:space="preserve">their </w:t>
      </w:r>
      <w:hyperlink r:id="rId23" w:anchor="what-is-the-aged-care-quality-and-safety-commission" w:history="1">
        <w:r w:rsidRPr="00375E50">
          <w:rPr>
            <w:rStyle w:val="Hyperlink"/>
          </w:rPr>
          <w:t>website</w:t>
        </w:r>
      </w:hyperlink>
      <w:r w:rsidRPr="00B17CC7">
        <w:t>.</w:t>
      </w:r>
    </w:p>
    <w:p w14:paraId="19259430" w14:textId="77777777" w:rsidR="00E26A0A" w:rsidRPr="00B17CC7" w:rsidRDefault="00E26A0A">
      <w:pPr>
        <w:pStyle w:val="Heading3"/>
      </w:pPr>
      <w:r w:rsidRPr="00B17CC7">
        <w:t>Australian Competition and Consumer Commission</w:t>
      </w:r>
    </w:p>
    <w:p w14:paraId="51B2A996" w14:textId="099B1F79" w:rsidR="00E26A0A" w:rsidRPr="00B17CC7" w:rsidRDefault="00E26A0A">
      <w:r w:rsidRPr="00B17CC7">
        <w:t>The</w:t>
      </w:r>
      <w:r w:rsidR="00EB65FD">
        <w:t xml:space="preserve"> </w:t>
      </w:r>
      <w:hyperlink r:id="rId24" w:history="1">
        <w:r w:rsidRPr="00B17CC7">
          <w:rPr>
            <w:rStyle w:val="Hyperlink"/>
            <w:rFonts w:cstheme="minorHAnsi"/>
          </w:rPr>
          <w:t>Australian Competition and Consumer Commission</w:t>
        </w:r>
      </w:hyperlink>
      <w:r w:rsidR="00EB65FD">
        <w:t xml:space="preserve"> </w:t>
      </w:r>
      <w:r w:rsidRPr="00B17CC7">
        <w:t>(ACCC) is an independent Commonwealth statutory authority. Its role is to:</w:t>
      </w:r>
    </w:p>
    <w:p w14:paraId="4E20C984" w14:textId="478B9372" w:rsidR="00E26A0A" w:rsidRPr="00B17CC7" w:rsidRDefault="00E26A0A" w:rsidP="00EA303C">
      <w:pPr>
        <w:pStyle w:val="ListBullet"/>
      </w:pPr>
      <w:r w:rsidRPr="00B17CC7">
        <w:t>enforce the</w:t>
      </w:r>
      <w:r w:rsidR="00EB65FD">
        <w:t xml:space="preserve"> </w:t>
      </w:r>
      <w:hyperlink r:id="rId25" w:history="1">
        <w:r w:rsidRPr="00F13B7D">
          <w:rPr>
            <w:rStyle w:val="Hyperlink"/>
            <w:rFonts w:cstheme="minorHAnsi"/>
            <w:i/>
            <w:iCs/>
          </w:rPr>
          <w:t>Competition and Consumer Act 2010</w:t>
        </w:r>
      </w:hyperlink>
      <w:r w:rsidR="00EB65FD">
        <w:t xml:space="preserve"> </w:t>
      </w:r>
      <w:r w:rsidRPr="00B17CC7">
        <w:t>and a range of additional legislation</w:t>
      </w:r>
    </w:p>
    <w:p w14:paraId="5ADFA79D" w14:textId="77777777" w:rsidR="00E26A0A" w:rsidRDefault="00E26A0A" w:rsidP="00EA303C">
      <w:pPr>
        <w:pStyle w:val="ListBullet"/>
      </w:pPr>
      <w:r w:rsidRPr="00B17CC7">
        <w:t>promote competition and fair trading</w:t>
      </w:r>
    </w:p>
    <w:p w14:paraId="512E29FF" w14:textId="77777777" w:rsidR="00E26A0A" w:rsidRPr="00B17CC7" w:rsidRDefault="00E26A0A" w:rsidP="00EA303C">
      <w:pPr>
        <w:pStyle w:val="ListBullet"/>
      </w:pPr>
      <w:r w:rsidRPr="00B17CC7">
        <w:t>regulate national infrastructure for the benefit of all Australians.</w:t>
      </w:r>
    </w:p>
    <w:p w14:paraId="730DEE0E" w14:textId="77777777" w:rsidR="00E26A0A" w:rsidRPr="00B17CC7" w:rsidRDefault="00E26A0A">
      <w:r w:rsidRPr="00B17CC7">
        <w:t>The ACCC can investigate and act:</w:t>
      </w:r>
    </w:p>
    <w:p w14:paraId="787287CB" w14:textId="77777777" w:rsidR="00E26A0A" w:rsidRPr="00B17CC7" w:rsidRDefault="00E26A0A" w:rsidP="00EA303C">
      <w:pPr>
        <w:pStyle w:val="ListBullet"/>
      </w:pPr>
      <w:r w:rsidRPr="00B17CC7">
        <w:t>where businesses mislead care recipients about pricing</w:t>
      </w:r>
    </w:p>
    <w:p w14:paraId="5CD06890" w14:textId="77777777" w:rsidR="00E26A0A" w:rsidRPr="00B17CC7" w:rsidRDefault="00E26A0A" w:rsidP="00EA303C">
      <w:pPr>
        <w:pStyle w:val="ListBullet"/>
      </w:pPr>
      <w:r w:rsidRPr="00B17CC7">
        <w:t>on unfair business practices</w:t>
      </w:r>
    </w:p>
    <w:p w14:paraId="424832DB" w14:textId="370087B5" w:rsidR="00E26A0A" w:rsidRPr="00B17CC7" w:rsidRDefault="00E26A0A" w:rsidP="00EA303C">
      <w:pPr>
        <w:pStyle w:val="ListBullet"/>
      </w:pPr>
      <w:r w:rsidRPr="00B17CC7">
        <w:t>against businesses involved in price fixing and other anti-competitive behaviour</w:t>
      </w:r>
      <w:r w:rsidR="00522DBF">
        <w:t>.</w:t>
      </w:r>
      <w:r w:rsidRPr="00B17CC7">
        <w:t xml:space="preserve"> </w:t>
      </w:r>
    </w:p>
    <w:p w14:paraId="7B70019E" w14:textId="67AC48E4" w:rsidR="00E26A0A" w:rsidRPr="00E26A0A" w:rsidRDefault="007C740E">
      <w:r>
        <w:t>M</w:t>
      </w:r>
      <w:r w:rsidR="00E26A0A" w:rsidRPr="00B17CC7">
        <w:t xml:space="preserve">ore information on </w:t>
      </w:r>
      <w:hyperlink r:id="rId26" w:history="1">
        <w:r w:rsidR="00E26A0A" w:rsidRPr="007C740E">
          <w:rPr>
            <w:rStyle w:val="Hyperlink"/>
          </w:rPr>
          <w:t>your obligations to consumers, and how to meet them, as well as your business rights</w:t>
        </w:r>
      </w:hyperlink>
      <w:r w:rsidR="00E26A0A" w:rsidRPr="00B17CC7">
        <w:t xml:space="preserve"> </w:t>
      </w:r>
      <w:r>
        <w:t>is available on</w:t>
      </w:r>
      <w:r w:rsidR="003B51DE">
        <w:t xml:space="preserve"> the </w:t>
      </w:r>
      <w:r w:rsidR="003B51DE" w:rsidRPr="007C740E">
        <w:t>ACCC website</w:t>
      </w:r>
      <w:r w:rsidR="003B51DE">
        <w:t>.</w:t>
      </w:r>
      <w:r w:rsidR="00E26A0A" w:rsidRPr="00B17CC7">
        <w:t> </w:t>
      </w:r>
    </w:p>
    <w:p w14:paraId="0975E454" w14:textId="39DEA02D" w:rsidR="00E26A0A" w:rsidRDefault="009E0349">
      <w:pPr>
        <w:pStyle w:val="Heading2"/>
      </w:pPr>
      <w:bookmarkStart w:id="12" w:name="_Question_and_Answers"/>
      <w:bookmarkEnd w:id="12"/>
      <w:r>
        <w:t>Frequently Asked Questions</w:t>
      </w:r>
    </w:p>
    <w:p w14:paraId="7A1CF7E7" w14:textId="01527333" w:rsidR="00E26A0A" w:rsidRDefault="00733108" w:rsidP="00C91A6A">
      <w:r>
        <w:t>To assist providers, see b</w:t>
      </w:r>
      <w:r w:rsidR="00C91A6A">
        <w:t xml:space="preserve">elow </w:t>
      </w:r>
      <w:r>
        <w:t>for</w:t>
      </w:r>
      <w:r w:rsidR="00C91A6A">
        <w:t xml:space="preserve"> </w:t>
      </w:r>
      <w:r>
        <w:t xml:space="preserve">answers to </w:t>
      </w:r>
      <w:r w:rsidR="00C91A6A">
        <w:t>commonly asked questions</w:t>
      </w:r>
      <w:r>
        <w:t>.</w:t>
      </w:r>
    </w:p>
    <w:p w14:paraId="159A5387" w14:textId="2260F75A" w:rsidR="001054A1" w:rsidRPr="00886257" w:rsidRDefault="000E3BDE">
      <w:pPr>
        <w:pStyle w:val="Heading3"/>
        <w:rPr>
          <w:rFonts w:eastAsia="Calibri"/>
        </w:rPr>
      </w:pPr>
      <w:bookmarkStart w:id="13" w:name="_Allied_Health_and_1"/>
      <w:bookmarkStart w:id="14" w:name="_Home_Care_Providers"/>
      <w:bookmarkEnd w:id="13"/>
      <w:bookmarkEnd w:id="14"/>
      <w:r>
        <w:t>Home Care</w:t>
      </w:r>
      <w:r w:rsidR="00C91A6A">
        <w:t xml:space="preserve"> Packages</w:t>
      </w:r>
      <w:r>
        <w:t xml:space="preserve"> </w:t>
      </w:r>
      <w:r w:rsidR="00C91A6A">
        <w:t xml:space="preserve">Program </w:t>
      </w:r>
      <w:r>
        <w:t>Providers</w:t>
      </w:r>
    </w:p>
    <w:p w14:paraId="64AB73D8" w14:textId="156F8AE1" w:rsidR="001054A1" w:rsidRPr="00886257" w:rsidRDefault="000E3BDE" w:rsidP="00EA303C">
      <w:pPr>
        <w:pStyle w:val="Heading4"/>
      </w:pPr>
      <w:r>
        <w:t>If I pay above the award, do I need to increase my staff’s wages?</w:t>
      </w:r>
    </w:p>
    <w:p w14:paraId="33E1F395" w14:textId="5A5A40CB" w:rsidR="000E3BDE" w:rsidRDefault="000E3BDE" w:rsidP="00EA303C">
      <w:pPr>
        <w:pStyle w:val="ListBullet"/>
      </w:pPr>
      <w:r>
        <w:t xml:space="preserve">The investment in wages </w:t>
      </w:r>
      <w:r w:rsidR="002A28AC">
        <w:t>is intended to be passed on for the</w:t>
      </w:r>
      <w:r>
        <w:t xml:space="preserve"> benefit of workers.</w:t>
      </w:r>
    </w:p>
    <w:p w14:paraId="7E4A5F16" w14:textId="62B076FC" w:rsidR="000E3BDE" w:rsidRDefault="000E3BDE" w:rsidP="00EA303C">
      <w:pPr>
        <w:pStyle w:val="ListBullet"/>
      </w:pPr>
      <w:r>
        <w:t xml:space="preserve">Higher wages for </w:t>
      </w:r>
      <w:r w:rsidR="00F13B7D">
        <w:t>aged care</w:t>
      </w:r>
      <w:r w:rsidR="00292C34">
        <w:t xml:space="preserve"> </w:t>
      </w:r>
      <w:r w:rsidR="00D05778">
        <w:t>worker</w:t>
      </w:r>
      <w:r w:rsidR="00292C34">
        <w:t xml:space="preserve">s </w:t>
      </w:r>
      <w:r>
        <w:t xml:space="preserve">mean providers can attract and retain staff to relieve workforce pressures. </w:t>
      </w:r>
    </w:p>
    <w:p w14:paraId="235CEA89" w14:textId="7BBEB40E" w:rsidR="000E3BDE" w:rsidRDefault="000E3BDE" w:rsidP="00EA303C">
      <w:pPr>
        <w:pStyle w:val="ListBullet"/>
      </w:pPr>
      <w:r>
        <w:t>For providers who pay above award through Enterprise Agreements or individual contracts, they will continue to be required to pay their workers according to these arrangements.</w:t>
      </w:r>
    </w:p>
    <w:p w14:paraId="3A60EB82" w14:textId="5FAA5504" w:rsidR="00C20788" w:rsidRDefault="007C740E" w:rsidP="00EA303C">
      <w:pPr>
        <w:pStyle w:val="ListBullet"/>
      </w:pPr>
      <w:r>
        <w:t xml:space="preserve">For </w:t>
      </w:r>
      <w:r w:rsidR="00EB65FD">
        <w:t>f</w:t>
      </w:r>
      <w:r w:rsidR="004941A8" w:rsidRPr="00345AA5">
        <w:t xml:space="preserve">urther information on </w:t>
      </w:r>
      <w:hyperlink r:id="rId27" w:history="1">
        <w:r w:rsidR="004941A8" w:rsidRPr="002C5BC8">
          <w:rPr>
            <w:rStyle w:val="Hyperlink"/>
          </w:rPr>
          <w:t>safety net contractual arrangements</w:t>
        </w:r>
      </w:hyperlink>
      <w:r w:rsidRPr="007C740E">
        <w:t xml:space="preserve">, </w:t>
      </w:r>
      <w:r>
        <w:t>visit the Fair Work Ombudsman’s website</w:t>
      </w:r>
      <w:r w:rsidR="00EB65FD">
        <w:t>.</w:t>
      </w:r>
    </w:p>
    <w:p w14:paraId="36A446AA" w14:textId="29F7405A" w:rsidR="000E3BDE" w:rsidRPr="00EA303C" w:rsidRDefault="000E3BDE" w:rsidP="00EA303C">
      <w:pPr>
        <w:pStyle w:val="Heading4"/>
      </w:pPr>
      <w:r w:rsidRPr="00EA303C">
        <w:t>Does the Government monitor what providers are paying their workers?</w:t>
      </w:r>
    </w:p>
    <w:p w14:paraId="6ECA03AF" w14:textId="4A128D44" w:rsidR="000E3BDE" w:rsidRDefault="000E3BDE" w:rsidP="00EA303C">
      <w:pPr>
        <w:pStyle w:val="ListBullet"/>
      </w:pPr>
      <w:r w:rsidRPr="00482F40">
        <w:t xml:space="preserve">It is a legal requirement for employers to fund the minimum pay rates as prescribed by the relevant </w:t>
      </w:r>
      <w:hyperlink r:id="rId28" w:history="1">
        <w:r w:rsidR="00522DBF" w:rsidRPr="00522DBF">
          <w:rPr>
            <w:rStyle w:val="Hyperlink"/>
          </w:rPr>
          <w:t>m</w:t>
        </w:r>
        <w:r w:rsidRPr="00522DBF">
          <w:rPr>
            <w:rStyle w:val="Hyperlink"/>
          </w:rPr>
          <w:t xml:space="preserve">odern </w:t>
        </w:r>
        <w:r w:rsidR="00522DBF" w:rsidRPr="00522DBF">
          <w:rPr>
            <w:rStyle w:val="Hyperlink"/>
          </w:rPr>
          <w:t>a</w:t>
        </w:r>
        <w:r w:rsidRPr="00522DBF">
          <w:rPr>
            <w:rStyle w:val="Hyperlink"/>
          </w:rPr>
          <w:t>ward</w:t>
        </w:r>
      </w:hyperlink>
      <w:r w:rsidRPr="00482F40">
        <w:t xml:space="preserve">. </w:t>
      </w:r>
    </w:p>
    <w:p w14:paraId="56FC4E61" w14:textId="6F1F2068" w:rsidR="000E3BDE" w:rsidRPr="00482F40" w:rsidRDefault="000E3BDE" w:rsidP="00EA303C">
      <w:pPr>
        <w:pStyle w:val="ListBullet"/>
      </w:pPr>
      <w:r w:rsidRPr="00482F40">
        <w:t xml:space="preserve">The </w:t>
      </w:r>
      <w:r w:rsidR="003B51DE">
        <w:t>d</w:t>
      </w:r>
      <w:r w:rsidR="003B51DE" w:rsidRPr="00482F40">
        <w:t xml:space="preserve">epartment </w:t>
      </w:r>
      <w:r w:rsidRPr="00482F40">
        <w:t>will continue to monitor provider expenditure on wages through the Quarterly Financial Report and program assurance activities and will publish key financial trends from the sector as part of the Quarterly Financial Snapshot.</w:t>
      </w:r>
    </w:p>
    <w:p w14:paraId="42AFD26F" w14:textId="7F987B48" w:rsidR="0027386D" w:rsidRPr="00EA303C" w:rsidRDefault="000E3BDE" w:rsidP="00EA303C">
      <w:pPr>
        <w:pStyle w:val="Heading4"/>
      </w:pPr>
      <w:r w:rsidRPr="00EA303C">
        <w:t>Will the funding also cover leave liabilities?</w:t>
      </w:r>
      <w:bookmarkStart w:id="15" w:name="_Hlk135387909"/>
    </w:p>
    <w:p w14:paraId="5EB15C8A" w14:textId="77777777" w:rsidR="00002C6D" w:rsidRDefault="0027386D" w:rsidP="00EA303C">
      <w:pPr>
        <w:pStyle w:val="ListBullet"/>
      </w:pPr>
      <w:r w:rsidRPr="0027386D">
        <w:t xml:space="preserve">A grant program is being established in recognition of the increased value of accrued leave liabilities resulting from the Stage 3 decision. </w:t>
      </w:r>
    </w:p>
    <w:p w14:paraId="08BC14E8" w14:textId="31D497D7" w:rsidR="00002C6D" w:rsidRDefault="0027386D" w:rsidP="00EA303C">
      <w:pPr>
        <w:pStyle w:val="ListBullet"/>
      </w:pPr>
      <w:r w:rsidRPr="0027386D">
        <w:lastRenderedPageBreak/>
        <w:t xml:space="preserve">This grant will include </w:t>
      </w:r>
      <w:r w:rsidR="00A37839">
        <w:t>2</w:t>
      </w:r>
      <w:r w:rsidRPr="0027386D">
        <w:t xml:space="preserve"> rounds to align with each phase of the Stage 3 increase.</w:t>
      </w:r>
    </w:p>
    <w:p w14:paraId="3A99A14C" w14:textId="77777777" w:rsidR="009A76E3" w:rsidRDefault="0027386D" w:rsidP="00EA303C">
      <w:pPr>
        <w:pStyle w:val="ListBullet"/>
      </w:pPr>
      <w:r w:rsidRPr="0027386D">
        <w:t xml:space="preserve">Providers can apply for a proportion of the increased leave liabilities for in-scope workers covered by the Stage 3 decision. </w:t>
      </w:r>
    </w:p>
    <w:p w14:paraId="1067242F" w14:textId="3E862080" w:rsidR="0027386D" w:rsidRDefault="0027386D" w:rsidP="00EA303C">
      <w:pPr>
        <w:pStyle w:val="ListBullet"/>
      </w:pPr>
      <w:r w:rsidRPr="0027386D">
        <w:t>This includes personal care workers, assistants in nursing, home care workers, recreational activities officers, and ancillary workers including administration staff, gardeners, laundry hands, cleaners, and food services assistants.</w:t>
      </w:r>
    </w:p>
    <w:p w14:paraId="72E77FA7" w14:textId="1FD5C37C" w:rsidR="0033293D" w:rsidRDefault="000E3BDE" w:rsidP="00EA303C">
      <w:pPr>
        <w:pStyle w:val="ListBullet"/>
      </w:pPr>
      <w:r w:rsidRPr="000E3BDE">
        <w:t xml:space="preserve">Further information about this </w:t>
      </w:r>
      <w:r w:rsidR="004D398A">
        <w:t>g</w:t>
      </w:r>
      <w:r w:rsidRPr="000E3BDE">
        <w:t xml:space="preserve">rant </w:t>
      </w:r>
      <w:r w:rsidR="004D398A">
        <w:t>o</w:t>
      </w:r>
      <w:r w:rsidRPr="000E3BDE">
        <w:t>pportunity will be available later in 202</w:t>
      </w:r>
      <w:r w:rsidR="009A76E3">
        <w:t>4</w:t>
      </w:r>
      <w:r w:rsidRPr="000E3BDE">
        <w:t>.</w:t>
      </w:r>
    </w:p>
    <w:bookmarkEnd w:id="15"/>
    <w:p w14:paraId="6E4D07C7" w14:textId="627D9D01" w:rsidR="000E3BDE" w:rsidRPr="00EA303C" w:rsidRDefault="000E3BDE" w:rsidP="00EA303C">
      <w:pPr>
        <w:pStyle w:val="Heading4"/>
      </w:pPr>
      <w:r w:rsidRPr="00EA303C">
        <w:t>The outcome of the Annual Wage Review (AWR) will take effect from 1 July 202</w:t>
      </w:r>
      <w:r w:rsidR="00A12840" w:rsidRPr="00EA303C">
        <w:t>5</w:t>
      </w:r>
      <w:r w:rsidRPr="00EA303C">
        <w:t>,</w:t>
      </w:r>
      <w:r w:rsidR="00482F40" w:rsidRPr="00EA303C">
        <w:t xml:space="preserve"> </w:t>
      </w:r>
      <w:r w:rsidRPr="00EA303C">
        <w:t>w</w:t>
      </w:r>
      <w:r w:rsidR="00482F40" w:rsidRPr="00EA303C">
        <w:t>i</w:t>
      </w:r>
      <w:r w:rsidRPr="00EA303C">
        <w:t>ll workers receive another wage increase?</w:t>
      </w:r>
    </w:p>
    <w:p w14:paraId="2AAF24AE" w14:textId="6CECB799" w:rsidR="003B51DE" w:rsidRDefault="000E3BDE" w:rsidP="00EA303C">
      <w:pPr>
        <w:pStyle w:val="ListBullet"/>
      </w:pPr>
      <w:r w:rsidRPr="000E3BDE">
        <w:t xml:space="preserve">The Government has committed </w:t>
      </w:r>
      <w:r w:rsidR="005656C2">
        <w:t xml:space="preserve">$356.4 million over 4 years </w:t>
      </w:r>
      <w:r w:rsidRPr="000E3BDE">
        <w:t>to</w:t>
      </w:r>
      <w:r w:rsidR="005656C2">
        <w:t xml:space="preserve"> fund the</w:t>
      </w:r>
      <w:r w:rsidRPr="000E3BDE">
        <w:t xml:space="preserve"> </w:t>
      </w:r>
      <w:r w:rsidR="00A12840">
        <w:t>increas</w:t>
      </w:r>
      <w:r w:rsidR="005656C2">
        <w:t>e to</w:t>
      </w:r>
      <w:r w:rsidR="004D398A">
        <w:t xml:space="preserve"> the </w:t>
      </w:r>
      <w:r w:rsidR="00A12840">
        <w:t>HCP</w:t>
      </w:r>
      <w:r w:rsidR="004D398A">
        <w:t xml:space="preserve"> subsidy by </w:t>
      </w:r>
      <w:r w:rsidR="00A12840">
        <w:t>0.93</w:t>
      </w:r>
      <w:r w:rsidR="004D398A">
        <w:t>%</w:t>
      </w:r>
      <w:r w:rsidR="00A12840">
        <w:t xml:space="preserve"> </w:t>
      </w:r>
      <w:r w:rsidR="004D398A">
        <w:t xml:space="preserve">from 1 </w:t>
      </w:r>
      <w:r w:rsidR="00A12840">
        <w:t>January 2025, and 0.44% from 1 October 2025</w:t>
      </w:r>
      <w:r w:rsidR="004D398A">
        <w:t>.</w:t>
      </w:r>
    </w:p>
    <w:p w14:paraId="2DD8BFAD" w14:textId="25B6530A" w:rsidR="003B51DE" w:rsidRDefault="000E3BDE" w:rsidP="00EA303C">
      <w:pPr>
        <w:pStyle w:val="ListBullet"/>
      </w:pPr>
      <w:r w:rsidRPr="000E3BDE">
        <w:t xml:space="preserve">The Government is aware the </w:t>
      </w:r>
      <w:hyperlink r:id="rId29" w:history="1">
        <w:r w:rsidR="00522DBF">
          <w:rPr>
            <w:rStyle w:val="Hyperlink"/>
          </w:rPr>
          <w:t>annual wage review</w:t>
        </w:r>
      </w:hyperlink>
      <w:r w:rsidR="00522DBF">
        <w:t xml:space="preserve"> </w:t>
      </w:r>
      <w:r w:rsidR="00A12840">
        <w:t>may</w:t>
      </w:r>
      <w:r w:rsidRPr="000E3BDE">
        <w:t xml:space="preserve"> increase </w:t>
      </w:r>
      <w:r w:rsidR="00292C34">
        <w:t>award wage</w:t>
      </w:r>
      <w:r w:rsidRPr="000E3BDE">
        <w:t>s again from 1 July 202</w:t>
      </w:r>
      <w:r w:rsidR="00A12840">
        <w:t>5</w:t>
      </w:r>
      <w:r w:rsidRPr="000E3BDE">
        <w:t xml:space="preserve">. </w:t>
      </w:r>
    </w:p>
    <w:p w14:paraId="0417B15D" w14:textId="70D81CE0" w:rsidR="000E3BDE" w:rsidRPr="000E3BDE" w:rsidRDefault="000E3BDE" w:rsidP="00EA303C">
      <w:pPr>
        <w:pStyle w:val="ListBullet"/>
      </w:pPr>
      <w:r w:rsidRPr="000E3BDE">
        <w:t xml:space="preserve">Annual wage review increases are considered as part of regular annual program indexation arrangements. </w:t>
      </w:r>
    </w:p>
    <w:p w14:paraId="13A377B1" w14:textId="1B303E32" w:rsidR="003B51DE" w:rsidRDefault="000E3BDE" w:rsidP="00EA303C">
      <w:pPr>
        <w:pStyle w:val="ListBullet"/>
      </w:pPr>
      <w:r w:rsidRPr="000E3BDE">
        <w:t xml:space="preserve">Employers will therefore need to financially prepare for another wage increase as determined by the </w:t>
      </w:r>
      <w:r w:rsidR="004D398A">
        <w:t>Fair Work Commission</w:t>
      </w:r>
      <w:r w:rsidRPr="000E3BDE">
        <w:t xml:space="preserve">. </w:t>
      </w:r>
    </w:p>
    <w:p w14:paraId="1FAE7DAA" w14:textId="5A434AC0" w:rsidR="000E3BDE" w:rsidRDefault="000E3BDE" w:rsidP="00EA303C">
      <w:pPr>
        <w:pStyle w:val="ListBullet"/>
      </w:pPr>
      <w:r w:rsidRPr="000E3BDE">
        <w:t xml:space="preserve">It is expected that providers consider the timing of the </w:t>
      </w:r>
      <w:r w:rsidR="00292C34">
        <w:t>award wage</w:t>
      </w:r>
      <w:r w:rsidRPr="000E3BDE">
        <w:t xml:space="preserve"> increases when renegotiating enterprise agreements with their workers. </w:t>
      </w:r>
    </w:p>
    <w:p w14:paraId="6494ECFC" w14:textId="29DB6CCE" w:rsidR="00E043B0" w:rsidRPr="00EA303C" w:rsidRDefault="00E043B0" w:rsidP="00EA303C">
      <w:pPr>
        <w:pStyle w:val="Heading4"/>
      </w:pPr>
      <w:r w:rsidRPr="00EA303C">
        <w:t>How long do I have to update prices on My Aged Care?</w:t>
      </w:r>
    </w:p>
    <w:p w14:paraId="572D7086" w14:textId="6488A358" w:rsidR="00E043B0" w:rsidRDefault="00E043B0" w:rsidP="00EA303C">
      <w:pPr>
        <w:pStyle w:val="ListBullet"/>
      </w:pPr>
      <w:r>
        <w:t xml:space="preserve">Your business must update My Aged Care as soon as possible. </w:t>
      </w:r>
    </w:p>
    <w:p w14:paraId="68EF65AC" w14:textId="280CB67E" w:rsidR="00AE4EC3" w:rsidRPr="006D7556" w:rsidRDefault="00AE4EC3" w:rsidP="00EA303C">
      <w:pPr>
        <w:pStyle w:val="ListBullet"/>
      </w:pPr>
      <w:r w:rsidRPr="006D7556">
        <w:t>Any updates to your pricing information should be applied consistently to your pricing schedule and full price list.</w:t>
      </w:r>
    </w:p>
    <w:p w14:paraId="65E1B78F" w14:textId="1B66370E" w:rsidR="00EB65FD" w:rsidRDefault="00AE4EC3" w:rsidP="00EA303C">
      <w:pPr>
        <w:pStyle w:val="ListBullet"/>
      </w:pPr>
      <w:r>
        <w:t>When updating My Aged Care, you</w:t>
      </w:r>
      <w:r w:rsidR="008201BA">
        <w:t xml:space="preserve"> will</w:t>
      </w:r>
      <w:r>
        <w:t xml:space="preserve"> </w:t>
      </w:r>
      <w:r w:rsidR="00EB65FD">
        <w:t xml:space="preserve">need </w:t>
      </w:r>
      <w:r>
        <w:t xml:space="preserve">to use the </w:t>
      </w:r>
      <w:hyperlink r:id="rId30" w:history="1">
        <w:r>
          <w:rPr>
            <w:rStyle w:val="Hyperlink"/>
          </w:rPr>
          <w:t>Find the Provider function</w:t>
        </w:r>
      </w:hyperlink>
      <w:r>
        <w:t xml:space="preserve"> to ensure the changes you make are visible to the public for </w:t>
      </w:r>
      <w:r w:rsidRPr="00345AA5">
        <w:t>all</w:t>
      </w:r>
      <w:r>
        <w:t xml:space="preserve"> your active outlets/services. </w:t>
      </w:r>
    </w:p>
    <w:p w14:paraId="26CAA046" w14:textId="4F1D0575" w:rsidR="00801250" w:rsidRDefault="008201BA" w:rsidP="00EA303C">
      <w:pPr>
        <w:pStyle w:val="ListBullet"/>
      </w:pPr>
      <w:r>
        <w:t>This is</w:t>
      </w:r>
      <w:r w:rsidR="00AE4EC3">
        <w:t xml:space="preserve"> </w:t>
      </w:r>
      <w:r w:rsidR="00AE4EC3" w:rsidRPr="00EA303C">
        <w:t>also</w:t>
      </w:r>
      <w:r w:rsidR="00AE4EC3">
        <w:t xml:space="preserve"> a good opportunity to review your outlets and deactivate any that are no longer in use or are duplicates</w:t>
      </w:r>
      <w:r w:rsidR="00EB65FD">
        <w:t>.</w:t>
      </w:r>
    </w:p>
    <w:p w14:paraId="2AE7C7C3" w14:textId="43ADA31A" w:rsidR="00EB65FD" w:rsidRDefault="00EB65FD" w:rsidP="00EA303C">
      <w:pPr>
        <w:pStyle w:val="ListBullet"/>
      </w:pPr>
      <w:r>
        <w:t>For m</w:t>
      </w:r>
      <w:r w:rsidR="006D7556">
        <w:t>ore information</w:t>
      </w:r>
      <w:r>
        <w:t xml:space="preserve"> on how to update My Aged Care, read</w:t>
      </w:r>
      <w:r w:rsidR="007C740E">
        <w:t xml:space="preserve"> the</w:t>
      </w:r>
      <w:r>
        <w:t>:</w:t>
      </w:r>
    </w:p>
    <w:p w14:paraId="21646D6E" w14:textId="3E31CD9F" w:rsidR="00EB65FD" w:rsidRDefault="00000000" w:rsidP="00EA303C">
      <w:pPr>
        <w:pStyle w:val="ListBullet2"/>
      </w:pPr>
      <w:hyperlink r:id="rId31" w:history="1">
        <w:r w:rsidR="006D7556" w:rsidRPr="00EB65FD">
          <w:rPr>
            <w:rStyle w:val="Hyperlink"/>
          </w:rPr>
          <w:t>service and support portal user guide</w:t>
        </w:r>
      </w:hyperlink>
    </w:p>
    <w:p w14:paraId="54251938" w14:textId="26309CF0" w:rsidR="00EB65FD" w:rsidRPr="00EA303C" w:rsidRDefault="00000000" w:rsidP="00EA303C">
      <w:pPr>
        <w:pStyle w:val="ListBullet2"/>
      </w:pPr>
      <w:hyperlink r:id="rId32" w:history="1">
        <w:r w:rsidR="006D7556" w:rsidRPr="00EB65FD">
          <w:rPr>
            <w:rStyle w:val="Hyperlink"/>
          </w:rPr>
          <w:t>administrator functions guide</w:t>
        </w:r>
      </w:hyperlink>
      <w:r w:rsidR="006D7556">
        <w:t xml:space="preserve"> </w:t>
      </w:r>
    </w:p>
    <w:p w14:paraId="568CC516" w14:textId="39C2FBCF" w:rsidR="00AE4EC3" w:rsidRPr="00EA303C" w:rsidRDefault="00000000" w:rsidP="00EA303C">
      <w:pPr>
        <w:pStyle w:val="ListBullet2"/>
      </w:pPr>
      <w:hyperlink r:id="rId33" w:history="1">
        <w:r w:rsidR="00EB65FD" w:rsidRPr="00EB65FD">
          <w:rPr>
            <w:rStyle w:val="Hyperlink"/>
          </w:rPr>
          <w:t xml:space="preserve">tips for </w:t>
        </w:r>
        <w:r w:rsidR="006D7556" w:rsidRPr="00EB65FD">
          <w:rPr>
            <w:rStyle w:val="Hyperlink"/>
          </w:rPr>
          <w:t xml:space="preserve">HCP providers </w:t>
        </w:r>
        <w:r w:rsidR="00EB65FD" w:rsidRPr="00EB65FD">
          <w:rPr>
            <w:rStyle w:val="Hyperlink"/>
          </w:rPr>
          <w:t>regarding costs</w:t>
        </w:r>
      </w:hyperlink>
    </w:p>
    <w:p w14:paraId="04AD15F6" w14:textId="16444DB4" w:rsidR="000E3BDE" w:rsidRPr="00EA303C" w:rsidRDefault="000E3BDE" w:rsidP="00EA303C">
      <w:pPr>
        <w:pStyle w:val="Heading4"/>
      </w:pPr>
      <w:r w:rsidRPr="00EA303C">
        <w:t>Are on-costs covered?</w:t>
      </w:r>
    </w:p>
    <w:p w14:paraId="28E159B2" w14:textId="63469BD8" w:rsidR="0033293D" w:rsidRPr="000E3BDE" w:rsidRDefault="000E3BDE" w:rsidP="00EA303C">
      <w:pPr>
        <w:pStyle w:val="ListBullet"/>
      </w:pPr>
      <w:r>
        <w:t xml:space="preserve">Yes, the subsidy increase was calculated by analysing what providers spent on </w:t>
      </w:r>
      <w:r w:rsidR="00292C34">
        <w:t>aged care</w:t>
      </w:r>
      <w:r w:rsidR="00950D3C">
        <w:t xml:space="preserve"> </w:t>
      </w:r>
      <w:r w:rsidR="00D05778">
        <w:t>worker</w:t>
      </w:r>
      <w:r w:rsidR="00950D3C">
        <w:t>s</w:t>
      </w:r>
      <w:r>
        <w:t>, including on-costs, in</w:t>
      </w:r>
      <w:r w:rsidR="004D398A">
        <w:t xml:space="preserve"> the</w:t>
      </w:r>
      <w:r>
        <w:t xml:space="preserve"> 202</w:t>
      </w:r>
      <w:r w:rsidR="005656C2">
        <w:t>2-</w:t>
      </w:r>
      <w:r>
        <w:t>2</w:t>
      </w:r>
      <w:r w:rsidR="005656C2">
        <w:t>3</w:t>
      </w:r>
      <w:r w:rsidR="004D398A">
        <w:t xml:space="preserve"> financial year</w:t>
      </w:r>
      <w:r>
        <w:t>.</w:t>
      </w:r>
    </w:p>
    <w:p w14:paraId="3244D8F7" w14:textId="36ED6B3A" w:rsidR="000E3BDE" w:rsidRPr="00EA303C" w:rsidRDefault="000E3BDE" w:rsidP="00EA303C">
      <w:pPr>
        <w:pStyle w:val="Heading4"/>
      </w:pPr>
      <w:r w:rsidRPr="00EA303C">
        <w:lastRenderedPageBreak/>
        <w:t xml:space="preserve">My care recipient’s package budget does not include care or services delivered by </w:t>
      </w:r>
      <w:r w:rsidR="00D05778" w:rsidRPr="00EA303C">
        <w:t>worker</w:t>
      </w:r>
      <w:r w:rsidR="00292C34" w:rsidRPr="00EA303C">
        <w:t>s in aged care</w:t>
      </w:r>
      <w:r w:rsidRPr="00EA303C">
        <w:t xml:space="preserve"> covered by the wage increase. Will their package subsidy still be increased?</w:t>
      </w:r>
    </w:p>
    <w:p w14:paraId="24CD0A93" w14:textId="77777777" w:rsidR="000E3BDE" w:rsidRDefault="000E3BDE" w:rsidP="00EA303C">
      <w:pPr>
        <w:pStyle w:val="ListBullet"/>
      </w:pPr>
      <w:r>
        <w:t xml:space="preserve">Yes, base funding has been increased to ensure enough funds are available to cover wage increases. </w:t>
      </w:r>
    </w:p>
    <w:p w14:paraId="1105CD23" w14:textId="77777777" w:rsidR="00EB65FD" w:rsidRDefault="000E3BDE" w:rsidP="00EA303C">
      <w:pPr>
        <w:pStyle w:val="ListBullet"/>
      </w:pPr>
      <w:r>
        <w:t>All care recipients must receive care management</w:t>
      </w:r>
      <w:r w:rsidR="004D398A">
        <w:t>,</w:t>
      </w:r>
      <w:r>
        <w:t xml:space="preserve"> which includes a workforce component. </w:t>
      </w:r>
    </w:p>
    <w:p w14:paraId="1FF26D00" w14:textId="5BD98CC9" w:rsidR="000E3BDE" w:rsidRPr="00EA303C" w:rsidRDefault="000E3BDE" w:rsidP="00EA303C">
      <w:pPr>
        <w:pStyle w:val="Heading4"/>
      </w:pPr>
      <w:r w:rsidRPr="00EA303C">
        <w:t>I have workers who work across multiple programs, including National Disability Insurance Scheme (NDIS), Department of Ve</w:t>
      </w:r>
      <w:r w:rsidR="00B5566E" w:rsidRPr="00EA303C">
        <w:t>tera</w:t>
      </w:r>
      <w:r w:rsidRPr="00EA303C">
        <w:t xml:space="preserve">n Affairs (DVA) </w:t>
      </w:r>
      <w:r w:rsidR="00B5566E" w:rsidRPr="00EA303C">
        <w:t>and H</w:t>
      </w:r>
      <w:r w:rsidR="004C667B" w:rsidRPr="00EA303C">
        <w:t>CP</w:t>
      </w:r>
      <w:r w:rsidR="00B5566E" w:rsidRPr="00EA303C">
        <w:t>. What does this mean for these workers?</w:t>
      </w:r>
    </w:p>
    <w:p w14:paraId="793A714D" w14:textId="77777777" w:rsidR="005C2367" w:rsidRPr="00EB65FD" w:rsidRDefault="005C2367" w:rsidP="00EA303C">
      <w:pPr>
        <w:pStyle w:val="ListBullet"/>
      </w:pPr>
      <w:r w:rsidRPr="00EB65FD">
        <w:t>The Government is aware that Disability Support Workers (DSWs) can be employed as ‘social and community services’ workers under Schedule B or ‘home care’ workers under Schedule E of the SCHADS Award.</w:t>
      </w:r>
    </w:p>
    <w:p w14:paraId="5219A0EA" w14:textId="7052F73E" w:rsidR="005C2367" w:rsidRPr="00EB65FD" w:rsidRDefault="005C2367" w:rsidP="00EA303C">
      <w:pPr>
        <w:pStyle w:val="ListBullet"/>
      </w:pPr>
      <w:r w:rsidRPr="00EB65FD">
        <w:t xml:space="preserve">However, the NDIS Disability Support Worker Cost Model sets price limits for some categories of support delivered by DSWs. </w:t>
      </w:r>
    </w:p>
    <w:p w14:paraId="467B7872" w14:textId="21D5BEA5" w:rsidR="00E043B0" w:rsidRPr="00EB65FD" w:rsidRDefault="00E043B0" w:rsidP="00EA303C">
      <w:pPr>
        <w:pStyle w:val="ListBullet"/>
      </w:pPr>
      <w:r w:rsidRPr="00EB65FD">
        <w:t xml:space="preserve">Where a provider delivers multiple programs, they should contact the </w:t>
      </w:r>
      <w:hyperlink r:id="rId34" w:history="1">
        <w:r w:rsidRPr="00EB65FD">
          <w:rPr>
            <w:rStyle w:val="Hyperlink"/>
            <w:color w:val="auto"/>
            <w:u w:val="none"/>
          </w:rPr>
          <w:t>F</w:t>
        </w:r>
        <w:r w:rsidR="002C5BC8" w:rsidRPr="00EB65FD">
          <w:rPr>
            <w:rStyle w:val="Hyperlink"/>
            <w:color w:val="auto"/>
            <w:u w:val="none"/>
          </w:rPr>
          <w:t xml:space="preserve">air </w:t>
        </w:r>
        <w:r w:rsidRPr="00EB65FD">
          <w:rPr>
            <w:rStyle w:val="Hyperlink"/>
            <w:color w:val="auto"/>
            <w:u w:val="none"/>
          </w:rPr>
          <w:t>W</w:t>
        </w:r>
        <w:r w:rsidR="002C5BC8" w:rsidRPr="00EB65FD">
          <w:rPr>
            <w:rStyle w:val="Hyperlink"/>
            <w:color w:val="auto"/>
            <w:u w:val="none"/>
          </w:rPr>
          <w:t xml:space="preserve">ork </w:t>
        </w:r>
        <w:r w:rsidRPr="00EB65FD">
          <w:rPr>
            <w:rStyle w:val="Hyperlink"/>
            <w:color w:val="auto"/>
            <w:u w:val="none"/>
          </w:rPr>
          <w:t>O</w:t>
        </w:r>
        <w:r w:rsidR="002C5BC8" w:rsidRPr="00EB65FD">
          <w:rPr>
            <w:rStyle w:val="Hyperlink"/>
            <w:color w:val="auto"/>
            <w:u w:val="none"/>
          </w:rPr>
          <w:t>mbudsman</w:t>
        </w:r>
      </w:hyperlink>
      <w:r w:rsidRPr="00EB65FD">
        <w:t xml:space="preserve"> for specialised advice on which awards apply to their workforce.</w:t>
      </w:r>
    </w:p>
    <w:p w14:paraId="7083818A" w14:textId="1C69C6BD" w:rsidR="00EB65FD" w:rsidRPr="00EB65FD" w:rsidRDefault="007C740E" w:rsidP="00EA303C">
      <w:pPr>
        <w:pStyle w:val="ListBullet"/>
      </w:pPr>
      <w:r>
        <w:t xml:space="preserve">More </w:t>
      </w:r>
      <w:r w:rsidR="00E911D7" w:rsidRPr="00EB65FD">
        <w:t xml:space="preserve">information </w:t>
      </w:r>
      <w:r>
        <w:t xml:space="preserve">on </w:t>
      </w:r>
      <w:hyperlink r:id="rId35" w:history="1">
        <w:r w:rsidR="001A3F2D" w:rsidRPr="007C740E">
          <w:rPr>
            <w:rStyle w:val="Hyperlink"/>
          </w:rPr>
          <w:t>equal remuneration order in the SCHADS Award</w:t>
        </w:r>
      </w:hyperlink>
      <w:r w:rsidR="00E911D7" w:rsidRPr="00EB65FD">
        <w:t xml:space="preserve"> </w:t>
      </w:r>
      <w:r w:rsidRPr="00EB65FD">
        <w:t>is available on the Fair Work Ombudsman’s</w:t>
      </w:r>
      <w:r>
        <w:t xml:space="preserve"> website.</w:t>
      </w:r>
    </w:p>
    <w:p w14:paraId="13284551" w14:textId="781BF403" w:rsidR="00C53B62" w:rsidRPr="00EA303C" w:rsidRDefault="00C53B62" w:rsidP="00EA303C">
      <w:pPr>
        <w:pStyle w:val="Heading4"/>
      </w:pPr>
      <w:r w:rsidRPr="00EA303C">
        <w:t>Is there a mandatory timeframe for providers to pass on the wage increase?</w:t>
      </w:r>
    </w:p>
    <w:p w14:paraId="16ED69F7" w14:textId="3A51C9E2" w:rsidR="00C53B62" w:rsidRPr="00EB65FD" w:rsidRDefault="00C53B62" w:rsidP="00EA303C">
      <w:pPr>
        <w:pStyle w:val="ListBullet"/>
      </w:pPr>
      <w:r w:rsidRPr="00EB65FD">
        <w:t>As per legislation providers must implement this pay increase and pay their workers according to the award from</w:t>
      </w:r>
      <w:r w:rsidR="00A46B8F" w:rsidRPr="00EB65FD">
        <w:t xml:space="preserve"> </w:t>
      </w:r>
      <w:r w:rsidR="005179A4">
        <w:t>1 January 2025</w:t>
      </w:r>
      <w:r w:rsidRPr="00EB65FD">
        <w:t xml:space="preserve">. </w:t>
      </w:r>
    </w:p>
    <w:p w14:paraId="531A3988" w14:textId="3664441A" w:rsidR="00552445" w:rsidRPr="00EB65FD" w:rsidRDefault="00552445" w:rsidP="00EA303C">
      <w:pPr>
        <w:pStyle w:val="ListBullet"/>
      </w:pPr>
      <w:r w:rsidRPr="00EB65FD">
        <w:t xml:space="preserve">HCP providers should consult with their scheduling and billing software providers to ensure that their systems will be updated to </w:t>
      </w:r>
      <w:proofErr w:type="gramStart"/>
      <w:r w:rsidRPr="00EB65FD">
        <w:t>take into account</w:t>
      </w:r>
      <w:proofErr w:type="gramEnd"/>
      <w:r w:rsidRPr="00EB65FD">
        <w:t xml:space="preserve"> the wage increase. </w:t>
      </w:r>
    </w:p>
    <w:p w14:paraId="2F44A73B" w14:textId="6EBAB7B1" w:rsidR="00C53B62" w:rsidRPr="00EB65FD" w:rsidRDefault="00C53B62" w:rsidP="00EA303C">
      <w:pPr>
        <w:pStyle w:val="ListBullet"/>
      </w:pPr>
      <w:r w:rsidRPr="00EB65FD">
        <w:t>However</w:t>
      </w:r>
      <w:r w:rsidR="001A3F2D" w:rsidRPr="00EB65FD">
        <w:t>,</w:t>
      </w:r>
      <w:r w:rsidRPr="00EB65FD">
        <w:t xml:space="preserve"> if providers do not have their systems in place</w:t>
      </w:r>
      <w:r w:rsidR="002C5BC8" w:rsidRPr="00EB65FD">
        <w:t xml:space="preserve"> in time for </w:t>
      </w:r>
      <w:r w:rsidR="00025694">
        <w:t>1 January 2025</w:t>
      </w:r>
      <w:r w:rsidRPr="00EB65FD">
        <w:t xml:space="preserve"> </w:t>
      </w:r>
      <w:r w:rsidR="002C5BC8" w:rsidRPr="00EB65FD">
        <w:t xml:space="preserve">and there is a risk you won’t be able to pay your workers on time contact the </w:t>
      </w:r>
      <w:hyperlink r:id="rId36" w:history="1">
        <w:r w:rsidR="002C5BC8" w:rsidRPr="00EB65FD">
          <w:rPr>
            <w:rStyle w:val="Hyperlink"/>
            <w:color w:val="auto"/>
            <w:u w:val="none"/>
          </w:rPr>
          <w:t>Fair Work Ombudsman for specialised advice</w:t>
        </w:r>
      </w:hyperlink>
      <w:r w:rsidR="002C5BC8" w:rsidRPr="00EB65FD">
        <w:t>.</w:t>
      </w:r>
    </w:p>
    <w:p w14:paraId="0BF1B1BA" w14:textId="04BC1186" w:rsidR="00EA365C" w:rsidRPr="00886257" w:rsidRDefault="005C2367">
      <w:pPr>
        <w:pStyle w:val="Heading2"/>
      </w:pPr>
      <w:bookmarkStart w:id="16" w:name="_Medications"/>
      <w:bookmarkStart w:id="17" w:name="_Medications,_vitamins_and"/>
      <w:bookmarkStart w:id="18" w:name="_Aged_Care_Workers"/>
      <w:bookmarkStart w:id="19" w:name="_Care_recipients"/>
      <w:bookmarkEnd w:id="16"/>
      <w:bookmarkEnd w:id="17"/>
      <w:bookmarkEnd w:id="18"/>
      <w:bookmarkEnd w:id="19"/>
      <w:r>
        <w:t>Care recipients</w:t>
      </w:r>
    </w:p>
    <w:p w14:paraId="6755DED7" w14:textId="7737E65B" w:rsidR="00002C6D" w:rsidRDefault="00B9372D" w:rsidP="00EA303C">
      <w:pPr>
        <w:pStyle w:val="ListBullet"/>
      </w:pPr>
      <w:r>
        <w:t xml:space="preserve">A care recipient fact sheet has been published with </w:t>
      </w:r>
      <w:r w:rsidR="0040374F">
        <w:t>information about the Fair Work Commission Stage 3 decision.</w:t>
      </w:r>
    </w:p>
    <w:p w14:paraId="0B9CA588" w14:textId="7CD4AA93" w:rsidR="005C2367" w:rsidRPr="00960937" w:rsidRDefault="00025694" w:rsidP="00EA303C">
      <w:pPr>
        <w:pStyle w:val="ListBullet"/>
      </w:pPr>
      <w:r>
        <w:t xml:space="preserve">The department </w:t>
      </w:r>
      <w:r w:rsidR="00A37839">
        <w:t>has also sent a</w:t>
      </w:r>
      <w:r w:rsidR="001D583D">
        <w:t xml:space="preserve"> letter to all care recipients and their representatives advising of the changes</w:t>
      </w:r>
      <w:r w:rsidR="002C05AC" w:rsidRPr="00D05778">
        <w:rPr>
          <w:color w:val="313131"/>
          <w:shd w:val="clear" w:color="auto" w:fill="FFFFFF"/>
        </w:rPr>
        <w:t>.</w:t>
      </w:r>
      <w:r w:rsidR="001D583D">
        <w:rPr>
          <w:color w:val="313131"/>
          <w:shd w:val="clear" w:color="auto" w:fill="FFFFFF"/>
        </w:rPr>
        <w:t xml:space="preserve"> Care recipients </w:t>
      </w:r>
      <w:r w:rsidR="006B516A">
        <w:rPr>
          <w:color w:val="313131"/>
          <w:shd w:val="clear" w:color="auto" w:fill="FFFFFF"/>
        </w:rPr>
        <w:t xml:space="preserve">and their representatives </w:t>
      </w:r>
      <w:r w:rsidR="001D583D">
        <w:rPr>
          <w:color w:val="313131"/>
          <w:shd w:val="clear" w:color="auto" w:fill="FFFFFF"/>
        </w:rPr>
        <w:t>can expect to receive the letter</w:t>
      </w:r>
      <w:r w:rsidR="006B516A">
        <w:rPr>
          <w:color w:val="313131"/>
          <w:shd w:val="clear" w:color="auto" w:fill="FFFFFF"/>
        </w:rPr>
        <w:t xml:space="preserve">, provided their My Aged Care record </w:t>
      </w:r>
      <w:r w:rsidR="003E6936">
        <w:rPr>
          <w:color w:val="313131"/>
          <w:shd w:val="clear" w:color="auto" w:fill="FFFFFF"/>
        </w:rPr>
        <w:t>contains their current postal address</w:t>
      </w:r>
      <w:r w:rsidR="006B516A">
        <w:rPr>
          <w:color w:val="313131"/>
          <w:shd w:val="clear" w:color="auto" w:fill="FFFFFF"/>
        </w:rPr>
        <w:t>.</w:t>
      </w:r>
    </w:p>
    <w:p w14:paraId="73AF900E" w14:textId="59249102" w:rsidR="00A80439" w:rsidRDefault="005C2367">
      <w:pPr>
        <w:pStyle w:val="Heading2"/>
      </w:pPr>
      <w:bookmarkStart w:id="20" w:name="_Where_can_providers"/>
      <w:bookmarkEnd w:id="20"/>
      <w:r>
        <w:t>Where can providers find out more information?</w:t>
      </w:r>
    </w:p>
    <w:p w14:paraId="41A01D83" w14:textId="74832AC0" w:rsidR="005C2367" w:rsidRPr="009C7E07" w:rsidRDefault="005C2367">
      <w:r w:rsidRPr="009C7E07">
        <w:t xml:space="preserve">For assistance navigating these changes, </w:t>
      </w:r>
      <w:r w:rsidR="008528F1">
        <w:t xml:space="preserve">providers can </w:t>
      </w:r>
      <w:r w:rsidRPr="009C7E07">
        <w:t>go to</w:t>
      </w:r>
      <w:r w:rsidR="00DE45A1">
        <w:t xml:space="preserve"> the following links</w:t>
      </w:r>
      <w:r w:rsidRPr="009C7E07">
        <w:t>:</w:t>
      </w:r>
    </w:p>
    <w:p w14:paraId="36990D6C" w14:textId="19DFC02C" w:rsidR="005C2367" w:rsidRPr="009C7E07" w:rsidRDefault="00000000" w:rsidP="00EA303C">
      <w:pPr>
        <w:pStyle w:val="ListBullet"/>
      </w:pPr>
      <w:hyperlink r:id="rId37" w:history="1">
        <w:r w:rsidR="002E513C">
          <w:rPr>
            <w:rStyle w:val="Hyperlink"/>
            <w:rFonts w:cstheme="minorHAnsi"/>
          </w:rPr>
          <w:t>Home care agreements for Home Care Packages</w:t>
        </w:r>
      </w:hyperlink>
    </w:p>
    <w:p w14:paraId="0A1AE31A" w14:textId="77777777" w:rsidR="00EA303C" w:rsidRDefault="00000000" w:rsidP="00EA303C">
      <w:pPr>
        <w:pStyle w:val="ListBullet"/>
      </w:pPr>
      <w:hyperlink r:id="rId38" w:history="1">
        <w:r w:rsidR="00A37839">
          <w:rPr>
            <w:rStyle w:val="Hyperlink"/>
          </w:rPr>
          <w:t>ACCC - Home care services</w:t>
        </w:r>
      </w:hyperlink>
      <w:r w:rsidR="00A37839" w:rsidRPr="00A37839">
        <w:t xml:space="preserve"> </w:t>
      </w:r>
    </w:p>
    <w:p w14:paraId="5151E01F" w14:textId="2A75F3E8" w:rsidR="005C2367" w:rsidRPr="00EA303C" w:rsidRDefault="00F80568" w:rsidP="00EA303C">
      <w:pPr>
        <w:pStyle w:val="ListBullet"/>
      </w:pPr>
      <w:r w:rsidRPr="00EA303C">
        <w:rPr>
          <w:rFonts w:cstheme="minorHAnsi"/>
        </w:rPr>
        <w:fldChar w:fldCharType="begin"/>
      </w:r>
      <w:r w:rsidRPr="00EA303C">
        <w:rPr>
          <w:rFonts w:cstheme="minorHAnsi"/>
        </w:rPr>
        <w:instrText>HYPERLINK "https://www.fwc.gov.au/hearings-decisions/major-cases/work-value-case-aged-care-industry/decisions-statements-and"</w:instrText>
      </w:r>
      <w:r>
        <w:rPr>
          <w:rFonts w:cstheme="minorHAnsi"/>
        </w:rPr>
      </w:r>
      <w:r w:rsidRPr="00EA303C">
        <w:rPr>
          <w:rFonts w:cstheme="minorHAnsi"/>
        </w:rPr>
        <w:fldChar w:fldCharType="separate"/>
      </w:r>
      <w:r w:rsidR="002E513C" w:rsidRPr="00EA303C">
        <w:rPr>
          <w:rStyle w:val="Hyperlink"/>
          <w:rFonts w:cstheme="minorHAnsi"/>
        </w:rPr>
        <w:t xml:space="preserve">Fair Work Commission - Aged Care Award </w:t>
      </w:r>
      <w:r w:rsidRPr="00EA303C">
        <w:rPr>
          <w:rStyle w:val="Hyperlink"/>
          <w:rFonts w:cstheme="minorHAnsi"/>
        </w:rPr>
        <w:t>decision</w:t>
      </w:r>
    </w:p>
    <w:p w14:paraId="05B0DD05" w14:textId="3C83D080" w:rsidR="002C5BC8" w:rsidRPr="00FB18A5" w:rsidRDefault="00F80568" w:rsidP="00EA303C">
      <w:pPr>
        <w:pStyle w:val="ListBullet"/>
      </w:pPr>
      <w:r>
        <w:rPr>
          <w:rFonts w:cstheme="minorHAnsi"/>
        </w:rPr>
        <w:lastRenderedPageBreak/>
        <w:fldChar w:fldCharType="end"/>
      </w:r>
      <w:hyperlink r:id="rId39" w:history="1">
        <w:r w:rsidR="00F159A3">
          <w:rPr>
            <w:rStyle w:val="Hyperlink"/>
          </w:rPr>
          <w:t>Fair Work Ombudsman - Get help</w:t>
        </w:r>
      </w:hyperlink>
    </w:p>
    <w:p w14:paraId="4D0FDA14" w14:textId="77777777" w:rsidR="005C2367" w:rsidRPr="00A37839" w:rsidRDefault="00000000" w:rsidP="00EA303C">
      <w:pPr>
        <w:pStyle w:val="ListBullet"/>
      </w:pPr>
      <w:hyperlink r:id="rId40" w:anchor="_Toc20489468" w:history="1">
        <w:r w:rsidR="005C2367" w:rsidRPr="00A37839">
          <w:rPr>
            <w:rStyle w:val="Hyperlink"/>
            <w:rFonts w:cstheme="minorHAnsi"/>
            <w:i/>
            <w:iCs/>
          </w:rPr>
          <w:t>Aged Care Act 1997</w:t>
        </w:r>
      </w:hyperlink>
    </w:p>
    <w:p w14:paraId="742E22C7" w14:textId="77777777" w:rsidR="005C2367" w:rsidRPr="009C7E07" w:rsidRDefault="00000000" w:rsidP="00EA303C">
      <w:pPr>
        <w:pStyle w:val="ListBullet"/>
      </w:pPr>
      <w:hyperlink r:id="rId41" w:anchor="_Toc15400371" w:history="1">
        <w:r w:rsidR="005C2367" w:rsidRPr="00F13B7D">
          <w:rPr>
            <w:rStyle w:val="Hyperlink"/>
            <w:rFonts w:cstheme="minorHAnsi"/>
          </w:rPr>
          <w:t>User Rights Principles 2014</w:t>
        </w:r>
      </w:hyperlink>
    </w:p>
    <w:p w14:paraId="7B3DE9AB" w14:textId="77777777" w:rsidR="005C2367" w:rsidRPr="009C7E07" w:rsidRDefault="005C2367" w:rsidP="00EA303C">
      <w:pPr>
        <w:pStyle w:val="ListBullet"/>
      </w:pPr>
      <w:r w:rsidRPr="00D05778">
        <w:rPr>
          <w:rStyle w:val="Hyperlink"/>
          <w:rFonts w:cstheme="minorHAnsi"/>
        </w:rPr>
        <w:t xml:space="preserve">Subscribe to aged care sector </w:t>
      </w:r>
      <w:hyperlink r:id="rId42" w:history="1">
        <w:r w:rsidRPr="00F13B7D">
          <w:rPr>
            <w:rStyle w:val="Hyperlink"/>
            <w:rFonts w:cstheme="minorHAnsi"/>
          </w:rPr>
          <w:t>newsletters and alerts</w:t>
        </w:r>
      </w:hyperlink>
      <w:r w:rsidRPr="009C7E07">
        <w:t xml:space="preserve"> </w:t>
      </w:r>
    </w:p>
    <w:p w14:paraId="50476BFD" w14:textId="22EEFC53" w:rsidR="005C2367" w:rsidRDefault="005C2367">
      <w:pPr>
        <w:pStyle w:val="Heading3"/>
      </w:pPr>
      <w:r>
        <w:t>Contact</w:t>
      </w:r>
    </w:p>
    <w:p w14:paraId="4552C9A1" w14:textId="08B32937" w:rsidR="00D71888" w:rsidRPr="00D71888" w:rsidRDefault="00D71888" w:rsidP="00657A78">
      <w:r>
        <w:t>If you have further questions, you can contact:</w:t>
      </w:r>
    </w:p>
    <w:p w14:paraId="6F66A2F6" w14:textId="78721A1D" w:rsidR="005C2367" w:rsidRPr="005C2367" w:rsidRDefault="00000000" w:rsidP="00EA303C">
      <w:pPr>
        <w:pStyle w:val="ListBullet"/>
      </w:pPr>
      <w:hyperlink r:id="rId43" w:history="1">
        <w:r w:rsidR="005043A3" w:rsidRPr="00CF2F4B">
          <w:rPr>
            <w:rStyle w:val="Hyperlink"/>
          </w:rPr>
          <w:t>agedcareenquiries@health.gov.au</w:t>
        </w:r>
      </w:hyperlink>
      <w:r w:rsidR="005043A3">
        <w:t xml:space="preserve"> </w:t>
      </w:r>
    </w:p>
    <w:sectPr w:rsidR="005C2367" w:rsidRPr="005C2367" w:rsidSect="00657A78">
      <w:footerReference w:type="default" r:id="rId44"/>
      <w:headerReference w:type="first" r:id="rId45"/>
      <w:footerReference w:type="first" r:id="rId46"/>
      <w:type w:val="continuous"/>
      <w:pgSz w:w="11906" w:h="16838"/>
      <w:pgMar w:top="1440" w:right="851" w:bottom="1134" w:left="851" w:header="15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CB29" w14:textId="77777777" w:rsidR="005C03F4" w:rsidRDefault="005C03F4" w:rsidP="0076491B">
      <w:pPr>
        <w:spacing w:before="0" w:after="0" w:line="240" w:lineRule="auto"/>
      </w:pPr>
      <w:r>
        <w:separator/>
      </w:r>
    </w:p>
  </w:endnote>
  <w:endnote w:type="continuationSeparator" w:id="0">
    <w:p w14:paraId="0EE07C71" w14:textId="77777777" w:rsidR="005C03F4" w:rsidRDefault="005C03F4"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570227"/>
      <w:docPartObj>
        <w:docPartGallery w:val="Page Numbers (Bottom of Page)"/>
        <w:docPartUnique/>
      </w:docPartObj>
    </w:sdtPr>
    <w:sdtEndPr>
      <w:rPr>
        <w:noProof/>
      </w:rPr>
    </w:sdtEndPr>
    <w:sdtContent>
      <w:p w14:paraId="324AC863" w14:textId="3E535B74" w:rsidR="00C63AAC" w:rsidRDefault="009A7953" w:rsidP="009A7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621327"/>
      <w:docPartObj>
        <w:docPartGallery w:val="Page Numbers (Bottom of Page)"/>
        <w:docPartUnique/>
      </w:docPartObj>
    </w:sdtPr>
    <w:sdtEndPr>
      <w:rPr>
        <w:noProof/>
      </w:rPr>
    </w:sdtEndPr>
    <w:sdtContent>
      <w:p w14:paraId="301E0E96" w14:textId="36E7D5A6" w:rsidR="0065312D" w:rsidRDefault="009A7953" w:rsidP="009A7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CC819" w14:textId="77777777" w:rsidR="005C03F4" w:rsidRDefault="005C03F4" w:rsidP="0076491B">
      <w:pPr>
        <w:spacing w:before="0" w:after="0" w:line="240" w:lineRule="auto"/>
      </w:pPr>
      <w:r>
        <w:separator/>
      </w:r>
    </w:p>
  </w:footnote>
  <w:footnote w:type="continuationSeparator" w:id="0">
    <w:p w14:paraId="3433A86C" w14:textId="77777777" w:rsidR="005C03F4" w:rsidRDefault="005C03F4"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6994" w14:textId="670B7ED8" w:rsidR="0076491B" w:rsidRDefault="00524F6A">
    <w:pPr>
      <w:pStyle w:val="Header"/>
    </w:pPr>
    <w:r>
      <w:rPr>
        <w:noProof/>
      </w:rPr>
      <w:drawing>
        <wp:anchor distT="0" distB="0" distL="114300" distR="114300" simplePos="0" relativeHeight="251657216" behindDoc="0" locked="0" layoutInCell="1" allowOverlap="1" wp14:anchorId="30742D77" wp14:editId="4569DCEE">
          <wp:simplePos x="0" y="0"/>
          <wp:positionH relativeFrom="page">
            <wp:align>left</wp:align>
          </wp:positionH>
          <wp:positionV relativeFrom="page">
            <wp:align>top</wp:align>
          </wp:positionV>
          <wp:extent cx="7560000" cy="19872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1F263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250B6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EE5C74"/>
    <w:multiLevelType w:val="hybridMultilevel"/>
    <w:tmpl w:val="94C26E8E"/>
    <w:lvl w:ilvl="0" w:tplc="360A81E2">
      <w:start w:val="1"/>
      <w:numFmt w:val="bullet"/>
      <w:lvlText w:val=""/>
      <w:lvlJc w:val="left"/>
      <w:pPr>
        <w:ind w:left="1797" w:hanging="360"/>
      </w:pPr>
      <w:rPr>
        <w:rFonts w:ascii="Symbol" w:hAnsi="Symbol" w:hint="default"/>
      </w:rPr>
    </w:lvl>
    <w:lvl w:ilvl="1" w:tplc="CA164112">
      <w:start w:val="1"/>
      <w:numFmt w:val="bullet"/>
      <w:pStyle w:val="Subpoints"/>
      <w:lvlText w:val="o"/>
      <w:lvlJc w:val="left"/>
      <w:pPr>
        <w:ind w:left="2517" w:hanging="360"/>
      </w:pPr>
      <w:rPr>
        <w:rFonts w:ascii="Courier New" w:hAnsi="Courier New" w:cs="Courier New" w:hint="default"/>
      </w:rPr>
    </w:lvl>
    <w:lvl w:ilvl="2" w:tplc="0C090005">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 w15:restartNumberingAfterBreak="0">
    <w:nsid w:val="016B171C"/>
    <w:multiLevelType w:val="hybridMultilevel"/>
    <w:tmpl w:val="7EE4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47C01"/>
    <w:multiLevelType w:val="hybridMultilevel"/>
    <w:tmpl w:val="F734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BA7770"/>
    <w:multiLevelType w:val="hybridMultilevel"/>
    <w:tmpl w:val="CBC0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A07188"/>
    <w:multiLevelType w:val="hybridMultilevel"/>
    <w:tmpl w:val="A1CA3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5C75C92"/>
    <w:multiLevelType w:val="hybridMultilevel"/>
    <w:tmpl w:val="14BE0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1627CA"/>
    <w:multiLevelType w:val="hybridMultilevel"/>
    <w:tmpl w:val="3CB6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233EC1"/>
    <w:multiLevelType w:val="hybridMultilevel"/>
    <w:tmpl w:val="BE100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6400EF"/>
    <w:multiLevelType w:val="multilevel"/>
    <w:tmpl w:val="F154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74A3C"/>
    <w:multiLevelType w:val="hybridMultilevel"/>
    <w:tmpl w:val="52F4C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EDB0DB1"/>
    <w:multiLevelType w:val="hybridMultilevel"/>
    <w:tmpl w:val="CA3E2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6756D"/>
    <w:multiLevelType w:val="hybridMultilevel"/>
    <w:tmpl w:val="2F66BBAA"/>
    <w:lvl w:ilvl="0" w:tplc="EC424222">
      <w:start w:val="1"/>
      <w:numFmt w:val="bullet"/>
      <w:lvlText w:val=""/>
      <w:lvlJc w:val="left"/>
      <w:pPr>
        <w:ind w:left="720" w:hanging="360"/>
      </w:pPr>
      <w:rPr>
        <w:rFonts w:ascii="Symbol" w:hAnsi="Symbol"/>
      </w:rPr>
    </w:lvl>
    <w:lvl w:ilvl="1" w:tplc="9E7C78FE">
      <w:start w:val="1"/>
      <w:numFmt w:val="bullet"/>
      <w:lvlText w:val=""/>
      <w:lvlJc w:val="left"/>
      <w:pPr>
        <w:ind w:left="720" w:hanging="360"/>
      </w:pPr>
      <w:rPr>
        <w:rFonts w:ascii="Symbol" w:hAnsi="Symbol"/>
      </w:rPr>
    </w:lvl>
    <w:lvl w:ilvl="2" w:tplc="44E2FC48">
      <w:start w:val="1"/>
      <w:numFmt w:val="bullet"/>
      <w:lvlText w:val=""/>
      <w:lvlJc w:val="left"/>
      <w:pPr>
        <w:ind w:left="720" w:hanging="360"/>
      </w:pPr>
      <w:rPr>
        <w:rFonts w:ascii="Symbol" w:hAnsi="Symbol"/>
      </w:rPr>
    </w:lvl>
    <w:lvl w:ilvl="3" w:tplc="F82C3896">
      <w:start w:val="1"/>
      <w:numFmt w:val="bullet"/>
      <w:lvlText w:val=""/>
      <w:lvlJc w:val="left"/>
      <w:pPr>
        <w:ind w:left="720" w:hanging="360"/>
      </w:pPr>
      <w:rPr>
        <w:rFonts w:ascii="Symbol" w:hAnsi="Symbol"/>
      </w:rPr>
    </w:lvl>
    <w:lvl w:ilvl="4" w:tplc="5BBE1CA6">
      <w:start w:val="1"/>
      <w:numFmt w:val="bullet"/>
      <w:lvlText w:val=""/>
      <w:lvlJc w:val="left"/>
      <w:pPr>
        <w:ind w:left="720" w:hanging="360"/>
      </w:pPr>
      <w:rPr>
        <w:rFonts w:ascii="Symbol" w:hAnsi="Symbol"/>
      </w:rPr>
    </w:lvl>
    <w:lvl w:ilvl="5" w:tplc="53288556">
      <w:start w:val="1"/>
      <w:numFmt w:val="bullet"/>
      <w:lvlText w:val=""/>
      <w:lvlJc w:val="left"/>
      <w:pPr>
        <w:ind w:left="720" w:hanging="360"/>
      </w:pPr>
      <w:rPr>
        <w:rFonts w:ascii="Symbol" w:hAnsi="Symbol"/>
      </w:rPr>
    </w:lvl>
    <w:lvl w:ilvl="6" w:tplc="D506019E">
      <w:start w:val="1"/>
      <w:numFmt w:val="bullet"/>
      <w:lvlText w:val=""/>
      <w:lvlJc w:val="left"/>
      <w:pPr>
        <w:ind w:left="720" w:hanging="360"/>
      </w:pPr>
      <w:rPr>
        <w:rFonts w:ascii="Symbol" w:hAnsi="Symbol"/>
      </w:rPr>
    </w:lvl>
    <w:lvl w:ilvl="7" w:tplc="4D88A84A">
      <w:start w:val="1"/>
      <w:numFmt w:val="bullet"/>
      <w:lvlText w:val=""/>
      <w:lvlJc w:val="left"/>
      <w:pPr>
        <w:ind w:left="720" w:hanging="360"/>
      </w:pPr>
      <w:rPr>
        <w:rFonts w:ascii="Symbol" w:hAnsi="Symbol"/>
      </w:rPr>
    </w:lvl>
    <w:lvl w:ilvl="8" w:tplc="978C3A6C">
      <w:start w:val="1"/>
      <w:numFmt w:val="bullet"/>
      <w:lvlText w:val=""/>
      <w:lvlJc w:val="left"/>
      <w:pPr>
        <w:ind w:left="720" w:hanging="360"/>
      </w:pPr>
      <w:rPr>
        <w:rFonts w:ascii="Symbol" w:hAnsi="Symbol"/>
      </w:rPr>
    </w:lvl>
  </w:abstractNum>
  <w:abstractNum w:abstractNumId="14" w15:restartNumberingAfterBreak="0">
    <w:nsid w:val="134F7D47"/>
    <w:multiLevelType w:val="hybridMultilevel"/>
    <w:tmpl w:val="AC1C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A72E51"/>
    <w:multiLevelType w:val="hybridMultilevel"/>
    <w:tmpl w:val="2C8C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E027AC"/>
    <w:multiLevelType w:val="hybridMultilevel"/>
    <w:tmpl w:val="0686B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2B3E49"/>
    <w:multiLevelType w:val="multilevel"/>
    <w:tmpl w:val="614E5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669"/>
    <w:multiLevelType w:val="hybridMultilevel"/>
    <w:tmpl w:val="19146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C96421"/>
    <w:multiLevelType w:val="hybridMultilevel"/>
    <w:tmpl w:val="44AE3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087A58"/>
    <w:multiLevelType w:val="hybridMultilevel"/>
    <w:tmpl w:val="9CDC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8C3FA5"/>
    <w:multiLevelType w:val="hybridMultilevel"/>
    <w:tmpl w:val="CD7E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3F7FCE"/>
    <w:multiLevelType w:val="hybridMultilevel"/>
    <w:tmpl w:val="C9FC6E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52359DC"/>
    <w:multiLevelType w:val="hybridMultilevel"/>
    <w:tmpl w:val="396073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58F2AA0"/>
    <w:multiLevelType w:val="hybridMultilevel"/>
    <w:tmpl w:val="D79C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0D604B"/>
    <w:multiLevelType w:val="hybridMultilevel"/>
    <w:tmpl w:val="AABA1D8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2AEA0D2C"/>
    <w:multiLevelType w:val="hybridMultilevel"/>
    <w:tmpl w:val="28C67E4E"/>
    <w:lvl w:ilvl="0" w:tplc="ED9E4484">
      <w:start w:val="1"/>
      <w:numFmt w:val="decimal"/>
      <w:lvlText w:val="%1."/>
      <w:lvlJc w:val="left"/>
      <w:pPr>
        <w:ind w:left="360" w:hanging="360"/>
      </w:pPr>
      <w:rPr>
        <w:rFonts w:ascii="Arial" w:hAnsi="Arial" w:cs="Arial" w:hint="default"/>
        <w:b/>
        <w:bCs/>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6A0A3F"/>
    <w:multiLevelType w:val="hybridMultilevel"/>
    <w:tmpl w:val="9086F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2E5B0F33"/>
    <w:multiLevelType w:val="hybridMultilevel"/>
    <w:tmpl w:val="AB4AA61A"/>
    <w:lvl w:ilvl="0" w:tplc="0C090001">
      <w:start w:val="1"/>
      <w:numFmt w:val="bullet"/>
      <w:lvlText w:val=""/>
      <w:lvlJc w:val="left"/>
      <w:pPr>
        <w:ind w:left="2157" w:hanging="360"/>
      </w:pPr>
      <w:rPr>
        <w:rFonts w:ascii="Symbol" w:hAnsi="Symbol"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29" w15:restartNumberingAfterBreak="0">
    <w:nsid w:val="308D419F"/>
    <w:multiLevelType w:val="hybridMultilevel"/>
    <w:tmpl w:val="4652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B41632"/>
    <w:multiLevelType w:val="hybridMultilevel"/>
    <w:tmpl w:val="7E54C5C4"/>
    <w:lvl w:ilvl="0" w:tplc="0C090003">
      <w:start w:val="1"/>
      <w:numFmt w:val="bullet"/>
      <w:lvlText w:val="o"/>
      <w:lvlJc w:val="left"/>
      <w:pPr>
        <w:ind w:left="770" w:hanging="360"/>
      </w:pPr>
      <w:rPr>
        <w:rFonts w:ascii="Courier New" w:hAnsi="Courier New" w:cs="Courier New"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30F97915"/>
    <w:multiLevelType w:val="hybridMultilevel"/>
    <w:tmpl w:val="3292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8A2DBC"/>
    <w:multiLevelType w:val="hybridMultilevel"/>
    <w:tmpl w:val="5908F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324A24"/>
    <w:multiLevelType w:val="hybridMultilevel"/>
    <w:tmpl w:val="30966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FD2628"/>
    <w:multiLevelType w:val="hybridMultilevel"/>
    <w:tmpl w:val="0164B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7E45E62"/>
    <w:multiLevelType w:val="multilevel"/>
    <w:tmpl w:val="469C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367B88"/>
    <w:multiLevelType w:val="hybridMultilevel"/>
    <w:tmpl w:val="EDA2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CD8699A"/>
    <w:multiLevelType w:val="hybridMultilevel"/>
    <w:tmpl w:val="0C44DCC2"/>
    <w:lvl w:ilvl="0" w:tplc="36FA91A6">
      <w:start w:val="1"/>
      <w:numFmt w:val="lowerLetter"/>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E5B672F"/>
    <w:multiLevelType w:val="hybridMultilevel"/>
    <w:tmpl w:val="89AE7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6B25D2"/>
    <w:multiLevelType w:val="hybridMultilevel"/>
    <w:tmpl w:val="122C931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6295B47"/>
    <w:multiLevelType w:val="hybridMultilevel"/>
    <w:tmpl w:val="24D0A38C"/>
    <w:lvl w:ilvl="0" w:tplc="C3785FB6">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76539DC"/>
    <w:multiLevelType w:val="hybridMultilevel"/>
    <w:tmpl w:val="B89A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C12F81"/>
    <w:multiLevelType w:val="hybridMultilevel"/>
    <w:tmpl w:val="25AA4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763BDF"/>
    <w:multiLevelType w:val="hybridMultilevel"/>
    <w:tmpl w:val="3638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D333F0"/>
    <w:multiLevelType w:val="hybridMultilevel"/>
    <w:tmpl w:val="7530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762AEA"/>
    <w:multiLevelType w:val="hybridMultilevel"/>
    <w:tmpl w:val="82E4F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1467BC"/>
    <w:multiLevelType w:val="hybridMultilevel"/>
    <w:tmpl w:val="C6FAF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ABE042F"/>
    <w:multiLevelType w:val="hybridMultilevel"/>
    <w:tmpl w:val="55C26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B6C77AA"/>
    <w:multiLevelType w:val="hybridMultilevel"/>
    <w:tmpl w:val="FD541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C4D37F3"/>
    <w:multiLevelType w:val="hybridMultilevel"/>
    <w:tmpl w:val="77067EE0"/>
    <w:lvl w:ilvl="0" w:tplc="BEA688C2">
      <w:start w:val="1"/>
      <w:numFmt w:val="lowerLetter"/>
      <w:lvlText w:val="%1)"/>
      <w:lvlJc w:val="left"/>
      <w:pPr>
        <w:ind w:left="360" w:hanging="360"/>
      </w:pPr>
      <w:rPr>
        <w:b/>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D0A0502"/>
    <w:multiLevelType w:val="hybridMultilevel"/>
    <w:tmpl w:val="BFA80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683A25"/>
    <w:multiLevelType w:val="hybridMultilevel"/>
    <w:tmpl w:val="33C69230"/>
    <w:lvl w:ilvl="0" w:tplc="E9004522">
      <w:start w:val="1"/>
      <w:numFmt w:val="lowerLetter"/>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E704AC9"/>
    <w:multiLevelType w:val="hybridMultilevel"/>
    <w:tmpl w:val="E4B20384"/>
    <w:lvl w:ilvl="0" w:tplc="36FA91A6">
      <w:start w:val="1"/>
      <w:numFmt w:val="lowerLetter"/>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F9366F3"/>
    <w:multiLevelType w:val="hybridMultilevel"/>
    <w:tmpl w:val="9D8C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18C7CA6"/>
    <w:multiLevelType w:val="hybridMultilevel"/>
    <w:tmpl w:val="71843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045E27"/>
    <w:multiLevelType w:val="hybridMultilevel"/>
    <w:tmpl w:val="93D611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7946FDF"/>
    <w:multiLevelType w:val="hybridMultilevel"/>
    <w:tmpl w:val="A48E8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7CC429E"/>
    <w:multiLevelType w:val="hybridMultilevel"/>
    <w:tmpl w:val="B4827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8A97440"/>
    <w:multiLevelType w:val="hybridMultilevel"/>
    <w:tmpl w:val="31AC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AB2B34"/>
    <w:multiLevelType w:val="hybridMultilevel"/>
    <w:tmpl w:val="433EF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EB73D76"/>
    <w:multiLevelType w:val="hybridMultilevel"/>
    <w:tmpl w:val="4F7A68DC"/>
    <w:lvl w:ilvl="0" w:tplc="E598B578">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6F780BEA"/>
    <w:multiLevelType w:val="hybridMultilevel"/>
    <w:tmpl w:val="87D43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FA27A51"/>
    <w:multiLevelType w:val="hybridMultilevel"/>
    <w:tmpl w:val="7F6E4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6C26F6"/>
    <w:multiLevelType w:val="hybridMultilevel"/>
    <w:tmpl w:val="AE9C4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0FE198F"/>
    <w:multiLevelType w:val="hybridMultilevel"/>
    <w:tmpl w:val="0E96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8F44DD"/>
    <w:multiLevelType w:val="hybridMultilevel"/>
    <w:tmpl w:val="1D8831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2D40394"/>
    <w:multiLevelType w:val="hybridMultilevel"/>
    <w:tmpl w:val="8D7679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34F772E"/>
    <w:multiLevelType w:val="hybridMultilevel"/>
    <w:tmpl w:val="A0B84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6EB5CAC"/>
    <w:multiLevelType w:val="hybridMultilevel"/>
    <w:tmpl w:val="22E28F58"/>
    <w:lvl w:ilvl="0" w:tplc="A45CE998">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813543D"/>
    <w:multiLevelType w:val="hybridMultilevel"/>
    <w:tmpl w:val="122C931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8AC312E"/>
    <w:multiLevelType w:val="hybridMultilevel"/>
    <w:tmpl w:val="E8E4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5747B9"/>
    <w:multiLevelType w:val="hybridMultilevel"/>
    <w:tmpl w:val="AD54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783DB1"/>
    <w:multiLevelType w:val="hybridMultilevel"/>
    <w:tmpl w:val="DAE41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A5012DB"/>
    <w:multiLevelType w:val="hybridMultilevel"/>
    <w:tmpl w:val="38383908"/>
    <w:lvl w:ilvl="0" w:tplc="A61020DC">
      <w:start w:val="1"/>
      <w:numFmt w:val="decimal"/>
      <w:pStyle w:val="Heading4"/>
      <w:lvlText w:val="%1."/>
      <w:lvlJc w:val="left"/>
      <w:pPr>
        <w:ind w:left="720" w:hanging="360"/>
      </w:pPr>
      <w:rPr>
        <w:rFonts w:cs="Arial" w:hint="default"/>
        <w:b/>
        <w:bCs/>
        <w:i w:val="0"/>
        <w:iCs w:val="0"/>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A9334FB"/>
    <w:multiLevelType w:val="hybridMultilevel"/>
    <w:tmpl w:val="936C2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B3A215D"/>
    <w:multiLevelType w:val="hybridMultilevel"/>
    <w:tmpl w:val="5178EC72"/>
    <w:lvl w:ilvl="0" w:tplc="0C090001">
      <w:start w:val="1"/>
      <w:numFmt w:val="bullet"/>
      <w:lvlText w:val=""/>
      <w:lvlJc w:val="left"/>
      <w:pPr>
        <w:ind w:left="1797" w:hanging="360"/>
      </w:pPr>
      <w:rPr>
        <w:rFonts w:ascii="Symbol" w:hAnsi="Symbol" w:hint="default"/>
      </w:rPr>
    </w:lvl>
    <w:lvl w:ilvl="1" w:tplc="FFFFFFFF">
      <w:start w:val="1"/>
      <w:numFmt w:val="bullet"/>
      <w:lvlText w:val="o"/>
      <w:lvlJc w:val="left"/>
      <w:pPr>
        <w:ind w:left="2517" w:hanging="360"/>
      </w:pPr>
      <w:rPr>
        <w:rFonts w:ascii="Courier New" w:hAnsi="Courier New" w:cs="Courier New" w:hint="default"/>
      </w:rPr>
    </w:lvl>
    <w:lvl w:ilvl="2" w:tplc="FFFFFFFF">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76" w15:restartNumberingAfterBreak="0">
    <w:nsid w:val="7CE23B49"/>
    <w:multiLevelType w:val="hybridMultilevel"/>
    <w:tmpl w:val="55ECD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EDA4C79"/>
    <w:multiLevelType w:val="hybridMultilevel"/>
    <w:tmpl w:val="FE88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F2342B0"/>
    <w:multiLevelType w:val="hybridMultilevel"/>
    <w:tmpl w:val="87484C26"/>
    <w:lvl w:ilvl="0" w:tplc="CBB8DEA6">
      <w:start w:val="1"/>
      <w:numFmt w:val="bullet"/>
      <w:pStyle w:val="ListBullet"/>
      <w:lvlText w:val=""/>
      <w:lvlJc w:val="left"/>
      <w:pPr>
        <w:ind w:left="1390" w:hanging="360"/>
      </w:pPr>
      <w:rPr>
        <w:rFonts w:ascii="Symbol" w:hAnsi="Symbol" w:hint="default"/>
      </w:rPr>
    </w:lvl>
    <w:lvl w:ilvl="1" w:tplc="25D6E64A">
      <w:start w:val="1"/>
      <w:numFmt w:val="bullet"/>
      <w:lvlText w:val="o"/>
      <w:lvlJc w:val="left"/>
      <w:pPr>
        <w:ind w:left="2110" w:hanging="360"/>
      </w:pPr>
      <w:rPr>
        <w:rFonts w:ascii="Courier New" w:hAnsi="Courier New" w:cs="Courier New" w:hint="default"/>
      </w:rPr>
    </w:lvl>
    <w:lvl w:ilvl="2" w:tplc="0C090005">
      <w:start w:val="1"/>
      <w:numFmt w:val="bullet"/>
      <w:lvlText w:val=""/>
      <w:lvlJc w:val="left"/>
      <w:pPr>
        <w:ind w:left="2830" w:hanging="360"/>
      </w:pPr>
      <w:rPr>
        <w:rFonts w:ascii="Wingdings" w:hAnsi="Wingdings" w:hint="default"/>
      </w:rPr>
    </w:lvl>
    <w:lvl w:ilvl="3" w:tplc="0C090001" w:tentative="1">
      <w:start w:val="1"/>
      <w:numFmt w:val="bullet"/>
      <w:lvlText w:val=""/>
      <w:lvlJc w:val="left"/>
      <w:pPr>
        <w:ind w:left="3550" w:hanging="360"/>
      </w:pPr>
      <w:rPr>
        <w:rFonts w:ascii="Symbol" w:hAnsi="Symbol" w:hint="default"/>
      </w:rPr>
    </w:lvl>
    <w:lvl w:ilvl="4" w:tplc="0C090003" w:tentative="1">
      <w:start w:val="1"/>
      <w:numFmt w:val="bullet"/>
      <w:lvlText w:val="o"/>
      <w:lvlJc w:val="left"/>
      <w:pPr>
        <w:ind w:left="4270" w:hanging="360"/>
      </w:pPr>
      <w:rPr>
        <w:rFonts w:ascii="Courier New" w:hAnsi="Courier New" w:cs="Courier New" w:hint="default"/>
      </w:rPr>
    </w:lvl>
    <w:lvl w:ilvl="5" w:tplc="0C090005" w:tentative="1">
      <w:start w:val="1"/>
      <w:numFmt w:val="bullet"/>
      <w:lvlText w:val=""/>
      <w:lvlJc w:val="left"/>
      <w:pPr>
        <w:ind w:left="4990" w:hanging="360"/>
      </w:pPr>
      <w:rPr>
        <w:rFonts w:ascii="Wingdings" w:hAnsi="Wingdings" w:hint="default"/>
      </w:rPr>
    </w:lvl>
    <w:lvl w:ilvl="6" w:tplc="0C090001" w:tentative="1">
      <w:start w:val="1"/>
      <w:numFmt w:val="bullet"/>
      <w:lvlText w:val=""/>
      <w:lvlJc w:val="left"/>
      <w:pPr>
        <w:ind w:left="5710" w:hanging="360"/>
      </w:pPr>
      <w:rPr>
        <w:rFonts w:ascii="Symbol" w:hAnsi="Symbol" w:hint="default"/>
      </w:rPr>
    </w:lvl>
    <w:lvl w:ilvl="7" w:tplc="0C090003" w:tentative="1">
      <w:start w:val="1"/>
      <w:numFmt w:val="bullet"/>
      <w:lvlText w:val="o"/>
      <w:lvlJc w:val="left"/>
      <w:pPr>
        <w:ind w:left="6430" w:hanging="360"/>
      </w:pPr>
      <w:rPr>
        <w:rFonts w:ascii="Courier New" w:hAnsi="Courier New" w:cs="Courier New" w:hint="default"/>
      </w:rPr>
    </w:lvl>
    <w:lvl w:ilvl="8" w:tplc="0C090005" w:tentative="1">
      <w:start w:val="1"/>
      <w:numFmt w:val="bullet"/>
      <w:lvlText w:val=""/>
      <w:lvlJc w:val="left"/>
      <w:pPr>
        <w:ind w:left="7150" w:hanging="360"/>
      </w:pPr>
      <w:rPr>
        <w:rFonts w:ascii="Wingdings" w:hAnsi="Wingdings" w:hint="default"/>
      </w:rPr>
    </w:lvl>
  </w:abstractNum>
  <w:abstractNum w:abstractNumId="79" w15:restartNumberingAfterBreak="0">
    <w:nsid w:val="7F8730C2"/>
    <w:multiLevelType w:val="hybridMultilevel"/>
    <w:tmpl w:val="CF5ECD8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428106">
    <w:abstractNumId w:val="22"/>
  </w:num>
  <w:num w:numId="2" w16cid:durableId="1279874365">
    <w:abstractNumId w:val="49"/>
  </w:num>
  <w:num w:numId="3" w16cid:durableId="54203104">
    <w:abstractNumId w:val="68"/>
  </w:num>
  <w:num w:numId="4" w16cid:durableId="1175536896">
    <w:abstractNumId w:val="52"/>
  </w:num>
  <w:num w:numId="5" w16cid:durableId="851647115">
    <w:abstractNumId w:val="2"/>
  </w:num>
  <w:num w:numId="6" w16cid:durableId="1631016990">
    <w:abstractNumId w:val="51"/>
  </w:num>
  <w:num w:numId="7" w16cid:durableId="1486776513">
    <w:abstractNumId w:val="39"/>
  </w:num>
  <w:num w:numId="8" w16cid:durableId="212817590">
    <w:abstractNumId w:val="56"/>
  </w:num>
  <w:num w:numId="9" w16cid:durableId="1114210201">
    <w:abstractNumId w:val="69"/>
  </w:num>
  <w:num w:numId="10" w16cid:durableId="261841896">
    <w:abstractNumId w:val="78"/>
  </w:num>
  <w:num w:numId="11" w16cid:durableId="1422141138">
    <w:abstractNumId w:val="9"/>
  </w:num>
  <w:num w:numId="12" w16cid:durableId="1076514634">
    <w:abstractNumId w:val="70"/>
  </w:num>
  <w:num w:numId="13" w16cid:durableId="392697275">
    <w:abstractNumId w:val="40"/>
  </w:num>
  <w:num w:numId="14" w16cid:durableId="31154567">
    <w:abstractNumId w:val="47"/>
  </w:num>
  <w:num w:numId="15" w16cid:durableId="750277531">
    <w:abstractNumId w:val="11"/>
  </w:num>
  <w:num w:numId="16" w16cid:durableId="957025069">
    <w:abstractNumId w:val="37"/>
  </w:num>
  <w:num w:numId="17" w16cid:durableId="2125541806">
    <w:abstractNumId w:val="63"/>
  </w:num>
  <w:num w:numId="18" w16cid:durableId="1364550667">
    <w:abstractNumId w:val="57"/>
  </w:num>
  <w:num w:numId="19" w16cid:durableId="2058042866">
    <w:abstractNumId w:val="42"/>
  </w:num>
  <w:num w:numId="20" w16cid:durableId="1295911032">
    <w:abstractNumId w:val="48"/>
  </w:num>
  <w:num w:numId="21" w16cid:durableId="1233657152">
    <w:abstractNumId w:val="1"/>
  </w:num>
  <w:num w:numId="22" w16cid:durableId="1024597704">
    <w:abstractNumId w:val="15"/>
  </w:num>
  <w:num w:numId="23" w16cid:durableId="1342467314">
    <w:abstractNumId w:val="78"/>
  </w:num>
  <w:num w:numId="24" w16cid:durableId="1152986964">
    <w:abstractNumId w:val="30"/>
  </w:num>
  <w:num w:numId="25" w16cid:durableId="2099330413">
    <w:abstractNumId w:val="78"/>
  </w:num>
  <w:num w:numId="26" w16cid:durableId="131601385">
    <w:abstractNumId w:val="79"/>
  </w:num>
  <w:num w:numId="27" w16cid:durableId="1614749693">
    <w:abstractNumId w:val="78"/>
  </w:num>
  <w:num w:numId="28" w16cid:durableId="1502430132">
    <w:abstractNumId w:val="78"/>
  </w:num>
  <w:num w:numId="29" w16cid:durableId="580221148">
    <w:abstractNumId w:val="78"/>
  </w:num>
  <w:num w:numId="30" w16cid:durableId="1277247843">
    <w:abstractNumId w:val="78"/>
  </w:num>
  <w:num w:numId="31" w16cid:durableId="413405685">
    <w:abstractNumId w:val="78"/>
  </w:num>
  <w:num w:numId="32" w16cid:durableId="1929578750">
    <w:abstractNumId w:val="78"/>
  </w:num>
  <w:num w:numId="33" w16cid:durableId="1656689509">
    <w:abstractNumId w:val="78"/>
  </w:num>
  <w:num w:numId="34" w16cid:durableId="1160072918">
    <w:abstractNumId w:val="78"/>
  </w:num>
  <w:num w:numId="35" w16cid:durableId="192811824">
    <w:abstractNumId w:val="78"/>
  </w:num>
  <w:num w:numId="36" w16cid:durableId="14355413">
    <w:abstractNumId w:val="78"/>
  </w:num>
  <w:num w:numId="37" w16cid:durableId="236088268">
    <w:abstractNumId w:val="78"/>
  </w:num>
  <w:num w:numId="38" w16cid:durableId="286013611">
    <w:abstractNumId w:val="78"/>
  </w:num>
  <w:num w:numId="39" w16cid:durableId="2137602617">
    <w:abstractNumId w:val="78"/>
  </w:num>
  <w:num w:numId="40" w16cid:durableId="1539125087">
    <w:abstractNumId w:val="78"/>
  </w:num>
  <w:num w:numId="41" w16cid:durableId="1444416783">
    <w:abstractNumId w:val="78"/>
  </w:num>
  <w:num w:numId="42" w16cid:durableId="729235053">
    <w:abstractNumId w:val="78"/>
  </w:num>
  <w:num w:numId="43" w16cid:durableId="513154489">
    <w:abstractNumId w:val="78"/>
  </w:num>
  <w:num w:numId="44" w16cid:durableId="1023821757">
    <w:abstractNumId w:val="78"/>
  </w:num>
  <w:num w:numId="45" w16cid:durableId="229536468">
    <w:abstractNumId w:val="78"/>
  </w:num>
  <w:num w:numId="46" w16cid:durableId="1088161789">
    <w:abstractNumId w:val="38"/>
  </w:num>
  <w:num w:numId="47" w16cid:durableId="832793188">
    <w:abstractNumId w:val="23"/>
  </w:num>
  <w:num w:numId="48" w16cid:durableId="744301168">
    <w:abstractNumId w:val="20"/>
  </w:num>
  <w:num w:numId="49" w16cid:durableId="849174395">
    <w:abstractNumId w:val="6"/>
  </w:num>
  <w:num w:numId="50" w16cid:durableId="1718361025">
    <w:abstractNumId w:val="26"/>
  </w:num>
  <w:num w:numId="51" w16cid:durableId="110513042">
    <w:abstractNumId w:val="50"/>
  </w:num>
  <w:num w:numId="52" w16cid:durableId="1875264065">
    <w:abstractNumId w:val="60"/>
  </w:num>
  <w:num w:numId="53" w16cid:durableId="1963343491">
    <w:abstractNumId w:val="4"/>
  </w:num>
  <w:num w:numId="54" w16cid:durableId="524102693">
    <w:abstractNumId w:val="46"/>
  </w:num>
  <w:num w:numId="55" w16cid:durableId="1009329067">
    <w:abstractNumId w:val="5"/>
  </w:num>
  <w:num w:numId="56" w16cid:durableId="148517769">
    <w:abstractNumId w:val="17"/>
  </w:num>
  <w:num w:numId="57" w16cid:durableId="326634641">
    <w:abstractNumId w:val="10"/>
  </w:num>
  <w:num w:numId="58" w16cid:durableId="1031491690">
    <w:abstractNumId w:val="44"/>
  </w:num>
  <w:num w:numId="59" w16cid:durableId="1767001568">
    <w:abstractNumId w:val="8"/>
  </w:num>
  <w:num w:numId="60" w16cid:durableId="7486306">
    <w:abstractNumId w:val="32"/>
  </w:num>
  <w:num w:numId="61" w16cid:durableId="940186762">
    <w:abstractNumId w:val="58"/>
  </w:num>
  <w:num w:numId="62" w16cid:durableId="840894248">
    <w:abstractNumId w:val="35"/>
  </w:num>
  <w:num w:numId="63" w16cid:durableId="578176201">
    <w:abstractNumId w:val="36"/>
  </w:num>
  <w:num w:numId="64" w16cid:durableId="14775479">
    <w:abstractNumId w:val="29"/>
  </w:num>
  <w:num w:numId="65" w16cid:durableId="1705596768">
    <w:abstractNumId w:val="76"/>
  </w:num>
  <w:num w:numId="66" w16cid:durableId="369184556">
    <w:abstractNumId w:val="13"/>
  </w:num>
  <w:num w:numId="67" w16cid:durableId="547379343">
    <w:abstractNumId w:val="7"/>
  </w:num>
  <w:num w:numId="68" w16cid:durableId="210502554">
    <w:abstractNumId w:val="2"/>
  </w:num>
  <w:num w:numId="69" w16cid:durableId="538661650">
    <w:abstractNumId w:val="25"/>
  </w:num>
  <w:num w:numId="70" w16cid:durableId="852574666">
    <w:abstractNumId w:val="28"/>
  </w:num>
  <w:num w:numId="71" w16cid:durableId="1128472684">
    <w:abstractNumId w:val="2"/>
  </w:num>
  <w:num w:numId="72" w16cid:durableId="680282085">
    <w:abstractNumId w:val="3"/>
  </w:num>
  <w:num w:numId="73" w16cid:durableId="463039110">
    <w:abstractNumId w:val="33"/>
  </w:num>
  <w:num w:numId="74" w16cid:durableId="1638415992">
    <w:abstractNumId w:val="19"/>
  </w:num>
  <w:num w:numId="75" w16cid:durableId="226377541">
    <w:abstractNumId w:val="54"/>
  </w:num>
  <w:num w:numId="76" w16cid:durableId="234245104">
    <w:abstractNumId w:val="24"/>
  </w:num>
  <w:num w:numId="77" w16cid:durableId="661857084">
    <w:abstractNumId w:val="72"/>
  </w:num>
  <w:num w:numId="78" w16cid:durableId="334306039">
    <w:abstractNumId w:val="45"/>
  </w:num>
  <w:num w:numId="79" w16cid:durableId="188177884">
    <w:abstractNumId w:val="62"/>
  </w:num>
  <w:num w:numId="80" w16cid:durableId="896018041">
    <w:abstractNumId w:val="55"/>
  </w:num>
  <w:num w:numId="81" w16cid:durableId="1567951944">
    <w:abstractNumId w:val="14"/>
  </w:num>
  <w:num w:numId="82" w16cid:durableId="2068798198">
    <w:abstractNumId w:val="59"/>
  </w:num>
  <w:num w:numId="83" w16cid:durableId="1322350292">
    <w:abstractNumId w:val="74"/>
  </w:num>
  <w:num w:numId="84" w16cid:durableId="1131899646">
    <w:abstractNumId w:val="64"/>
  </w:num>
  <w:num w:numId="85" w16cid:durableId="90123343">
    <w:abstractNumId w:val="71"/>
  </w:num>
  <w:num w:numId="86" w16cid:durableId="1819805228">
    <w:abstractNumId w:val="16"/>
  </w:num>
  <w:num w:numId="87" w16cid:durableId="638417577">
    <w:abstractNumId w:val="65"/>
  </w:num>
  <w:num w:numId="88" w16cid:durableId="701396903">
    <w:abstractNumId w:val="66"/>
  </w:num>
  <w:num w:numId="89" w16cid:durableId="1417047489">
    <w:abstractNumId w:val="18"/>
  </w:num>
  <w:num w:numId="90" w16cid:durableId="1944268495">
    <w:abstractNumId w:val="41"/>
  </w:num>
  <w:num w:numId="91" w16cid:durableId="72355526">
    <w:abstractNumId w:val="21"/>
  </w:num>
  <w:num w:numId="92" w16cid:durableId="197621139">
    <w:abstractNumId w:val="53"/>
  </w:num>
  <w:num w:numId="93" w16cid:durableId="289828623">
    <w:abstractNumId w:val="75"/>
  </w:num>
  <w:num w:numId="94" w16cid:durableId="381491339">
    <w:abstractNumId w:val="2"/>
  </w:num>
  <w:num w:numId="95" w16cid:durableId="1983382847">
    <w:abstractNumId w:val="67"/>
  </w:num>
  <w:num w:numId="96" w16cid:durableId="618267548">
    <w:abstractNumId w:val="27"/>
  </w:num>
  <w:num w:numId="97" w16cid:durableId="1156186526">
    <w:abstractNumId w:val="34"/>
  </w:num>
  <w:num w:numId="98" w16cid:durableId="1685210092">
    <w:abstractNumId w:val="61"/>
  </w:num>
  <w:num w:numId="99" w16cid:durableId="3436606">
    <w:abstractNumId w:val="43"/>
  </w:num>
  <w:num w:numId="100" w16cid:durableId="430705157">
    <w:abstractNumId w:val="12"/>
  </w:num>
  <w:num w:numId="101" w16cid:durableId="1302999370">
    <w:abstractNumId w:val="31"/>
  </w:num>
  <w:num w:numId="102" w16cid:durableId="821701410">
    <w:abstractNumId w:val="77"/>
  </w:num>
  <w:num w:numId="103" w16cid:durableId="1090273148">
    <w:abstractNumId w:val="0"/>
  </w:num>
  <w:num w:numId="104" w16cid:durableId="2110466760">
    <w:abstractNumId w:val="7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8"/>
    <w:rsid w:val="00002C6D"/>
    <w:rsid w:val="00011DA9"/>
    <w:rsid w:val="0001245D"/>
    <w:rsid w:val="00012D9A"/>
    <w:rsid w:val="00024E62"/>
    <w:rsid w:val="00025694"/>
    <w:rsid w:val="00027C8A"/>
    <w:rsid w:val="00037754"/>
    <w:rsid w:val="00051EF7"/>
    <w:rsid w:val="00061CE3"/>
    <w:rsid w:val="0007120B"/>
    <w:rsid w:val="00072682"/>
    <w:rsid w:val="00074C26"/>
    <w:rsid w:val="000872F7"/>
    <w:rsid w:val="00091EB7"/>
    <w:rsid w:val="000A153C"/>
    <w:rsid w:val="000B3017"/>
    <w:rsid w:val="000D62EF"/>
    <w:rsid w:val="000E3BDE"/>
    <w:rsid w:val="000E3CC7"/>
    <w:rsid w:val="00102609"/>
    <w:rsid w:val="00102826"/>
    <w:rsid w:val="001054A1"/>
    <w:rsid w:val="00111692"/>
    <w:rsid w:val="001266B8"/>
    <w:rsid w:val="00127984"/>
    <w:rsid w:val="00130844"/>
    <w:rsid w:val="0013603D"/>
    <w:rsid w:val="00143AFA"/>
    <w:rsid w:val="0014418F"/>
    <w:rsid w:val="00147645"/>
    <w:rsid w:val="0015585F"/>
    <w:rsid w:val="00160256"/>
    <w:rsid w:val="00161690"/>
    <w:rsid w:val="00165845"/>
    <w:rsid w:val="00167E45"/>
    <w:rsid w:val="00171E04"/>
    <w:rsid w:val="00184BEB"/>
    <w:rsid w:val="001904B1"/>
    <w:rsid w:val="001928D5"/>
    <w:rsid w:val="001937D9"/>
    <w:rsid w:val="001A3F2D"/>
    <w:rsid w:val="001A4831"/>
    <w:rsid w:val="001A638A"/>
    <w:rsid w:val="001B1EC2"/>
    <w:rsid w:val="001B3A81"/>
    <w:rsid w:val="001C6BAC"/>
    <w:rsid w:val="001D583D"/>
    <w:rsid w:val="001E45A3"/>
    <w:rsid w:val="001E45DA"/>
    <w:rsid w:val="001E7359"/>
    <w:rsid w:val="001F4C5E"/>
    <w:rsid w:val="002067FC"/>
    <w:rsid w:val="00207E22"/>
    <w:rsid w:val="0021265B"/>
    <w:rsid w:val="00215BF3"/>
    <w:rsid w:val="002204FB"/>
    <w:rsid w:val="002205B7"/>
    <w:rsid w:val="002278BF"/>
    <w:rsid w:val="0023297E"/>
    <w:rsid w:val="00262B21"/>
    <w:rsid w:val="002641FE"/>
    <w:rsid w:val="00265B24"/>
    <w:rsid w:val="0027386D"/>
    <w:rsid w:val="0027514F"/>
    <w:rsid w:val="002827A9"/>
    <w:rsid w:val="00284BA2"/>
    <w:rsid w:val="002852B8"/>
    <w:rsid w:val="00285307"/>
    <w:rsid w:val="00292084"/>
    <w:rsid w:val="00292C34"/>
    <w:rsid w:val="0029653D"/>
    <w:rsid w:val="002A28AC"/>
    <w:rsid w:val="002B0515"/>
    <w:rsid w:val="002C05AC"/>
    <w:rsid w:val="002C3FF6"/>
    <w:rsid w:val="002C5BC8"/>
    <w:rsid w:val="002C7D7E"/>
    <w:rsid w:val="002D0BBE"/>
    <w:rsid w:val="002D6AA3"/>
    <w:rsid w:val="002D7AC2"/>
    <w:rsid w:val="002E513C"/>
    <w:rsid w:val="002E682E"/>
    <w:rsid w:val="00300C87"/>
    <w:rsid w:val="003031E6"/>
    <w:rsid w:val="00306563"/>
    <w:rsid w:val="003133D0"/>
    <w:rsid w:val="003155AC"/>
    <w:rsid w:val="00315A8E"/>
    <w:rsid w:val="00321800"/>
    <w:rsid w:val="0033293D"/>
    <w:rsid w:val="003438BD"/>
    <w:rsid w:val="00344433"/>
    <w:rsid w:val="00345AA5"/>
    <w:rsid w:val="00346565"/>
    <w:rsid w:val="00347254"/>
    <w:rsid w:val="00355D18"/>
    <w:rsid w:val="00360B34"/>
    <w:rsid w:val="00363775"/>
    <w:rsid w:val="00364DA4"/>
    <w:rsid w:val="00375E50"/>
    <w:rsid w:val="003813DB"/>
    <w:rsid w:val="00384535"/>
    <w:rsid w:val="003953D8"/>
    <w:rsid w:val="003958B5"/>
    <w:rsid w:val="00396ABC"/>
    <w:rsid w:val="00396B9B"/>
    <w:rsid w:val="00397D2C"/>
    <w:rsid w:val="003A09B0"/>
    <w:rsid w:val="003A22DB"/>
    <w:rsid w:val="003B51DE"/>
    <w:rsid w:val="003B74BA"/>
    <w:rsid w:val="003C26F0"/>
    <w:rsid w:val="003D708F"/>
    <w:rsid w:val="003E258B"/>
    <w:rsid w:val="003E4073"/>
    <w:rsid w:val="003E5B7E"/>
    <w:rsid w:val="003E6936"/>
    <w:rsid w:val="003F3295"/>
    <w:rsid w:val="003F6942"/>
    <w:rsid w:val="003F70F8"/>
    <w:rsid w:val="00401342"/>
    <w:rsid w:val="0040374F"/>
    <w:rsid w:val="0041456E"/>
    <w:rsid w:val="004147BD"/>
    <w:rsid w:val="00427136"/>
    <w:rsid w:val="00434C18"/>
    <w:rsid w:val="00435BB4"/>
    <w:rsid w:val="0044312A"/>
    <w:rsid w:val="00451E65"/>
    <w:rsid w:val="004557A0"/>
    <w:rsid w:val="00460B1D"/>
    <w:rsid w:val="004641D9"/>
    <w:rsid w:val="00464F14"/>
    <w:rsid w:val="004663B9"/>
    <w:rsid w:val="004722BC"/>
    <w:rsid w:val="00472903"/>
    <w:rsid w:val="00482F40"/>
    <w:rsid w:val="00491FF3"/>
    <w:rsid w:val="004935B6"/>
    <w:rsid w:val="004941A8"/>
    <w:rsid w:val="00496058"/>
    <w:rsid w:val="004A48E1"/>
    <w:rsid w:val="004A5178"/>
    <w:rsid w:val="004A540E"/>
    <w:rsid w:val="004B476C"/>
    <w:rsid w:val="004C015C"/>
    <w:rsid w:val="004C11EB"/>
    <w:rsid w:val="004C667B"/>
    <w:rsid w:val="004D398A"/>
    <w:rsid w:val="004D7F49"/>
    <w:rsid w:val="004E1DBA"/>
    <w:rsid w:val="004E3EE9"/>
    <w:rsid w:val="005024B4"/>
    <w:rsid w:val="005035B6"/>
    <w:rsid w:val="005043A3"/>
    <w:rsid w:val="005106C4"/>
    <w:rsid w:val="00510FD0"/>
    <w:rsid w:val="00511D5C"/>
    <w:rsid w:val="00511E2E"/>
    <w:rsid w:val="00512001"/>
    <w:rsid w:val="00514644"/>
    <w:rsid w:val="005179A4"/>
    <w:rsid w:val="00517C15"/>
    <w:rsid w:val="00520097"/>
    <w:rsid w:val="00522DBF"/>
    <w:rsid w:val="00524F6A"/>
    <w:rsid w:val="00525AB6"/>
    <w:rsid w:val="00527267"/>
    <w:rsid w:val="005329F3"/>
    <w:rsid w:val="005373F2"/>
    <w:rsid w:val="00537BF9"/>
    <w:rsid w:val="00540CE1"/>
    <w:rsid w:val="005421FF"/>
    <w:rsid w:val="00546C9B"/>
    <w:rsid w:val="00551246"/>
    <w:rsid w:val="00552445"/>
    <w:rsid w:val="00554A4E"/>
    <w:rsid w:val="00556F90"/>
    <w:rsid w:val="0056216E"/>
    <w:rsid w:val="00562EFB"/>
    <w:rsid w:val="00564270"/>
    <w:rsid w:val="005656C2"/>
    <w:rsid w:val="00573331"/>
    <w:rsid w:val="00577C30"/>
    <w:rsid w:val="005859C3"/>
    <w:rsid w:val="005874EC"/>
    <w:rsid w:val="005C03F4"/>
    <w:rsid w:val="005C2367"/>
    <w:rsid w:val="005C45E3"/>
    <w:rsid w:val="005C6E9E"/>
    <w:rsid w:val="005C7178"/>
    <w:rsid w:val="005E3E23"/>
    <w:rsid w:val="0060082D"/>
    <w:rsid w:val="0060439C"/>
    <w:rsid w:val="0060772A"/>
    <w:rsid w:val="006120F9"/>
    <w:rsid w:val="00616D74"/>
    <w:rsid w:val="00625E66"/>
    <w:rsid w:val="00633131"/>
    <w:rsid w:val="00633DB4"/>
    <w:rsid w:val="00644A8A"/>
    <w:rsid w:val="00645B77"/>
    <w:rsid w:val="00651ACF"/>
    <w:rsid w:val="00651D73"/>
    <w:rsid w:val="0065312D"/>
    <w:rsid w:val="006573E6"/>
    <w:rsid w:val="00657A78"/>
    <w:rsid w:val="00663BB7"/>
    <w:rsid w:val="00681E9F"/>
    <w:rsid w:val="006848BE"/>
    <w:rsid w:val="00686723"/>
    <w:rsid w:val="006948E2"/>
    <w:rsid w:val="006B516A"/>
    <w:rsid w:val="006B721B"/>
    <w:rsid w:val="006C5A3F"/>
    <w:rsid w:val="006D1661"/>
    <w:rsid w:val="006D69B2"/>
    <w:rsid w:val="006D7556"/>
    <w:rsid w:val="006E7B15"/>
    <w:rsid w:val="006F0524"/>
    <w:rsid w:val="006F4500"/>
    <w:rsid w:val="007029ED"/>
    <w:rsid w:val="00704ACA"/>
    <w:rsid w:val="007149A8"/>
    <w:rsid w:val="007156C3"/>
    <w:rsid w:val="007164C7"/>
    <w:rsid w:val="00724F1B"/>
    <w:rsid w:val="00726939"/>
    <w:rsid w:val="007271ED"/>
    <w:rsid w:val="00727AEF"/>
    <w:rsid w:val="00733108"/>
    <w:rsid w:val="00733F14"/>
    <w:rsid w:val="00735E00"/>
    <w:rsid w:val="0073743C"/>
    <w:rsid w:val="00762270"/>
    <w:rsid w:val="0076491B"/>
    <w:rsid w:val="0077401E"/>
    <w:rsid w:val="007753B1"/>
    <w:rsid w:val="00776D68"/>
    <w:rsid w:val="00784F69"/>
    <w:rsid w:val="00793545"/>
    <w:rsid w:val="00797945"/>
    <w:rsid w:val="007A7E2A"/>
    <w:rsid w:val="007B05E3"/>
    <w:rsid w:val="007B4AB0"/>
    <w:rsid w:val="007C4F07"/>
    <w:rsid w:val="007C740E"/>
    <w:rsid w:val="007D1E48"/>
    <w:rsid w:val="007D6859"/>
    <w:rsid w:val="007E753C"/>
    <w:rsid w:val="007F50CF"/>
    <w:rsid w:val="007F6CF6"/>
    <w:rsid w:val="00801250"/>
    <w:rsid w:val="0080157D"/>
    <w:rsid w:val="00802DB2"/>
    <w:rsid w:val="00803815"/>
    <w:rsid w:val="00806627"/>
    <w:rsid w:val="008158B3"/>
    <w:rsid w:val="008201BA"/>
    <w:rsid w:val="00833D50"/>
    <w:rsid w:val="00847588"/>
    <w:rsid w:val="008524B7"/>
    <w:rsid w:val="008528F1"/>
    <w:rsid w:val="00874290"/>
    <w:rsid w:val="008743E9"/>
    <w:rsid w:val="008770C5"/>
    <w:rsid w:val="00886257"/>
    <w:rsid w:val="00896BB1"/>
    <w:rsid w:val="008A023E"/>
    <w:rsid w:val="008B1EC1"/>
    <w:rsid w:val="008B3FA8"/>
    <w:rsid w:val="008B42D9"/>
    <w:rsid w:val="008B55FF"/>
    <w:rsid w:val="008C3667"/>
    <w:rsid w:val="008D2B89"/>
    <w:rsid w:val="008D4F3A"/>
    <w:rsid w:val="008E0D3F"/>
    <w:rsid w:val="00900FD6"/>
    <w:rsid w:val="00901E78"/>
    <w:rsid w:val="00907E67"/>
    <w:rsid w:val="00914227"/>
    <w:rsid w:val="00916FCB"/>
    <w:rsid w:val="009216ED"/>
    <w:rsid w:val="009346B6"/>
    <w:rsid w:val="009353E8"/>
    <w:rsid w:val="00941E85"/>
    <w:rsid w:val="0094354C"/>
    <w:rsid w:val="00950D3C"/>
    <w:rsid w:val="0095161D"/>
    <w:rsid w:val="009539DB"/>
    <w:rsid w:val="009545A1"/>
    <w:rsid w:val="00955F05"/>
    <w:rsid w:val="00956DEC"/>
    <w:rsid w:val="009640DF"/>
    <w:rsid w:val="009713AE"/>
    <w:rsid w:val="00971413"/>
    <w:rsid w:val="00974701"/>
    <w:rsid w:val="009773D1"/>
    <w:rsid w:val="0098081F"/>
    <w:rsid w:val="009833BE"/>
    <w:rsid w:val="00992524"/>
    <w:rsid w:val="009A32A7"/>
    <w:rsid w:val="009A76E3"/>
    <w:rsid w:val="009A7953"/>
    <w:rsid w:val="009B2828"/>
    <w:rsid w:val="009B60C7"/>
    <w:rsid w:val="009B6BEB"/>
    <w:rsid w:val="009B6D20"/>
    <w:rsid w:val="009B7C9A"/>
    <w:rsid w:val="009D26D1"/>
    <w:rsid w:val="009D5E92"/>
    <w:rsid w:val="009E0349"/>
    <w:rsid w:val="009E6112"/>
    <w:rsid w:val="009F146D"/>
    <w:rsid w:val="009F1ED9"/>
    <w:rsid w:val="009F56BC"/>
    <w:rsid w:val="009F67AE"/>
    <w:rsid w:val="00A01B52"/>
    <w:rsid w:val="00A06382"/>
    <w:rsid w:val="00A11B05"/>
    <w:rsid w:val="00A12840"/>
    <w:rsid w:val="00A135F5"/>
    <w:rsid w:val="00A13D8D"/>
    <w:rsid w:val="00A16C9C"/>
    <w:rsid w:val="00A213E9"/>
    <w:rsid w:val="00A24C06"/>
    <w:rsid w:val="00A24EAF"/>
    <w:rsid w:val="00A25125"/>
    <w:rsid w:val="00A27E82"/>
    <w:rsid w:val="00A3089C"/>
    <w:rsid w:val="00A37839"/>
    <w:rsid w:val="00A443F1"/>
    <w:rsid w:val="00A461C5"/>
    <w:rsid w:val="00A46870"/>
    <w:rsid w:val="00A46B8F"/>
    <w:rsid w:val="00A47A22"/>
    <w:rsid w:val="00A53030"/>
    <w:rsid w:val="00A6138A"/>
    <w:rsid w:val="00A63C55"/>
    <w:rsid w:val="00A65E8F"/>
    <w:rsid w:val="00A71D9A"/>
    <w:rsid w:val="00A72B0B"/>
    <w:rsid w:val="00A76986"/>
    <w:rsid w:val="00A80439"/>
    <w:rsid w:val="00A813C7"/>
    <w:rsid w:val="00A93AF2"/>
    <w:rsid w:val="00A978FE"/>
    <w:rsid w:val="00AA2E64"/>
    <w:rsid w:val="00AA3082"/>
    <w:rsid w:val="00AA3E63"/>
    <w:rsid w:val="00AA61C0"/>
    <w:rsid w:val="00AB456C"/>
    <w:rsid w:val="00AD1486"/>
    <w:rsid w:val="00AD53AB"/>
    <w:rsid w:val="00AE4EC3"/>
    <w:rsid w:val="00AF2289"/>
    <w:rsid w:val="00AF4026"/>
    <w:rsid w:val="00AF5296"/>
    <w:rsid w:val="00B12136"/>
    <w:rsid w:val="00B13FBE"/>
    <w:rsid w:val="00B16B18"/>
    <w:rsid w:val="00B34313"/>
    <w:rsid w:val="00B37D94"/>
    <w:rsid w:val="00B4351F"/>
    <w:rsid w:val="00B54E72"/>
    <w:rsid w:val="00B5566E"/>
    <w:rsid w:val="00B67D7A"/>
    <w:rsid w:val="00B70AD2"/>
    <w:rsid w:val="00B72E87"/>
    <w:rsid w:val="00B80424"/>
    <w:rsid w:val="00B80872"/>
    <w:rsid w:val="00B9372D"/>
    <w:rsid w:val="00B9526F"/>
    <w:rsid w:val="00B95951"/>
    <w:rsid w:val="00B96014"/>
    <w:rsid w:val="00BB0E0A"/>
    <w:rsid w:val="00BB508D"/>
    <w:rsid w:val="00BB7168"/>
    <w:rsid w:val="00BC2088"/>
    <w:rsid w:val="00BC5A39"/>
    <w:rsid w:val="00BD121B"/>
    <w:rsid w:val="00BD7B2E"/>
    <w:rsid w:val="00BF21F1"/>
    <w:rsid w:val="00BF35AF"/>
    <w:rsid w:val="00BF622C"/>
    <w:rsid w:val="00C02B6D"/>
    <w:rsid w:val="00C02F48"/>
    <w:rsid w:val="00C03BCC"/>
    <w:rsid w:val="00C053DE"/>
    <w:rsid w:val="00C20788"/>
    <w:rsid w:val="00C35EA0"/>
    <w:rsid w:val="00C45D81"/>
    <w:rsid w:val="00C46331"/>
    <w:rsid w:val="00C471E0"/>
    <w:rsid w:val="00C512EE"/>
    <w:rsid w:val="00C53B62"/>
    <w:rsid w:val="00C57424"/>
    <w:rsid w:val="00C61653"/>
    <w:rsid w:val="00C63AAC"/>
    <w:rsid w:val="00C76B54"/>
    <w:rsid w:val="00C815E2"/>
    <w:rsid w:val="00C83FB0"/>
    <w:rsid w:val="00C84120"/>
    <w:rsid w:val="00C9187A"/>
    <w:rsid w:val="00C91A6A"/>
    <w:rsid w:val="00C91DAB"/>
    <w:rsid w:val="00C97009"/>
    <w:rsid w:val="00CA0CFC"/>
    <w:rsid w:val="00CA1B32"/>
    <w:rsid w:val="00CA3843"/>
    <w:rsid w:val="00CA636C"/>
    <w:rsid w:val="00CB145A"/>
    <w:rsid w:val="00CB51BA"/>
    <w:rsid w:val="00CB6D29"/>
    <w:rsid w:val="00CD281E"/>
    <w:rsid w:val="00CD4845"/>
    <w:rsid w:val="00CE16B7"/>
    <w:rsid w:val="00CE6236"/>
    <w:rsid w:val="00CF1888"/>
    <w:rsid w:val="00D00CB5"/>
    <w:rsid w:val="00D05778"/>
    <w:rsid w:val="00D05A3E"/>
    <w:rsid w:val="00D1073E"/>
    <w:rsid w:val="00D110AC"/>
    <w:rsid w:val="00D11611"/>
    <w:rsid w:val="00D12F3E"/>
    <w:rsid w:val="00D140AD"/>
    <w:rsid w:val="00D171E9"/>
    <w:rsid w:val="00D22CD2"/>
    <w:rsid w:val="00D2499E"/>
    <w:rsid w:val="00D30447"/>
    <w:rsid w:val="00D315A8"/>
    <w:rsid w:val="00D3604E"/>
    <w:rsid w:val="00D372BE"/>
    <w:rsid w:val="00D41508"/>
    <w:rsid w:val="00D461C3"/>
    <w:rsid w:val="00D5104A"/>
    <w:rsid w:val="00D64ECB"/>
    <w:rsid w:val="00D70E52"/>
    <w:rsid w:val="00D71888"/>
    <w:rsid w:val="00D725EE"/>
    <w:rsid w:val="00D75C53"/>
    <w:rsid w:val="00D83916"/>
    <w:rsid w:val="00D84339"/>
    <w:rsid w:val="00D9068F"/>
    <w:rsid w:val="00D91A7B"/>
    <w:rsid w:val="00D95DFE"/>
    <w:rsid w:val="00D96247"/>
    <w:rsid w:val="00DA2576"/>
    <w:rsid w:val="00DB594C"/>
    <w:rsid w:val="00DC5281"/>
    <w:rsid w:val="00DD0B5D"/>
    <w:rsid w:val="00DE3BBF"/>
    <w:rsid w:val="00DE45A1"/>
    <w:rsid w:val="00DE62DE"/>
    <w:rsid w:val="00DE755A"/>
    <w:rsid w:val="00DF1ED3"/>
    <w:rsid w:val="00DF23EF"/>
    <w:rsid w:val="00DF7A20"/>
    <w:rsid w:val="00E043B0"/>
    <w:rsid w:val="00E1088C"/>
    <w:rsid w:val="00E10CB8"/>
    <w:rsid w:val="00E12670"/>
    <w:rsid w:val="00E1328A"/>
    <w:rsid w:val="00E21991"/>
    <w:rsid w:val="00E2335E"/>
    <w:rsid w:val="00E23530"/>
    <w:rsid w:val="00E2387D"/>
    <w:rsid w:val="00E26A0A"/>
    <w:rsid w:val="00E27023"/>
    <w:rsid w:val="00E31BC5"/>
    <w:rsid w:val="00E31C0C"/>
    <w:rsid w:val="00E41ED4"/>
    <w:rsid w:val="00E653B5"/>
    <w:rsid w:val="00E67411"/>
    <w:rsid w:val="00E7171E"/>
    <w:rsid w:val="00E82879"/>
    <w:rsid w:val="00E838B9"/>
    <w:rsid w:val="00E84BBC"/>
    <w:rsid w:val="00E911D7"/>
    <w:rsid w:val="00E95B22"/>
    <w:rsid w:val="00E968C6"/>
    <w:rsid w:val="00E97361"/>
    <w:rsid w:val="00E97C10"/>
    <w:rsid w:val="00EA1600"/>
    <w:rsid w:val="00EA303C"/>
    <w:rsid w:val="00EA365C"/>
    <w:rsid w:val="00EA65EB"/>
    <w:rsid w:val="00EB1BB9"/>
    <w:rsid w:val="00EB2D20"/>
    <w:rsid w:val="00EB65FD"/>
    <w:rsid w:val="00EB704A"/>
    <w:rsid w:val="00EC2AA5"/>
    <w:rsid w:val="00EC2B74"/>
    <w:rsid w:val="00EC5053"/>
    <w:rsid w:val="00EC5A2A"/>
    <w:rsid w:val="00ED1AB7"/>
    <w:rsid w:val="00EE538D"/>
    <w:rsid w:val="00EF19A3"/>
    <w:rsid w:val="00EF6F53"/>
    <w:rsid w:val="00EF71A1"/>
    <w:rsid w:val="00F00205"/>
    <w:rsid w:val="00F11C9B"/>
    <w:rsid w:val="00F13B7D"/>
    <w:rsid w:val="00F140F2"/>
    <w:rsid w:val="00F159A3"/>
    <w:rsid w:val="00F17B50"/>
    <w:rsid w:val="00F301E0"/>
    <w:rsid w:val="00F324EA"/>
    <w:rsid w:val="00F35905"/>
    <w:rsid w:val="00F41F46"/>
    <w:rsid w:val="00F421D7"/>
    <w:rsid w:val="00F42E02"/>
    <w:rsid w:val="00F50A56"/>
    <w:rsid w:val="00F53567"/>
    <w:rsid w:val="00F53BD8"/>
    <w:rsid w:val="00F57DC4"/>
    <w:rsid w:val="00F60DAA"/>
    <w:rsid w:val="00F67496"/>
    <w:rsid w:val="00F72B40"/>
    <w:rsid w:val="00F742A8"/>
    <w:rsid w:val="00F75060"/>
    <w:rsid w:val="00F75F95"/>
    <w:rsid w:val="00F80568"/>
    <w:rsid w:val="00F841A8"/>
    <w:rsid w:val="00F85602"/>
    <w:rsid w:val="00F904C5"/>
    <w:rsid w:val="00F94061"/>
    <w:rsid w:val="00F95B20"/>
    <w:rsid w:val="00F96A02"/>
    <w:rsid w:val="00F96AB7"/>
    <w:rsid w:val="00FA0335"/>
    <w:rsid w:val="00FB027E"/>
    <w:rsid w:val="00FC3487"/>
    <w:rsid w:val="00FC420B"/>
    <w:rsid w:val="00FD0D90"/>
    <w:rsid w:val="00FD5A7F"/>
    <w:rsid w:val="00FD7ED4"/>
    <w:rsid w:val="00FE266E"/>
    <w:rsid w:val="00FE52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19B3"/>
  <w15:chartTrackingRefBased/>
  <w15:docId w15:val="{4B20CBDD-9A24-4A16-9D56-83E6724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3C"/>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E26A0A"/>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EA303C"/>
    <w:pPr>
      <w:numPr>
        <w:numId w:val="104"/>
      </w:numPr>
      <w:ind w:left="357" w:hanging="357"/>
      <w:outlineLvl w:val="3"/>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9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E26A0A"/>
    <w:rPr>
      <w:rFonts w:ascii="Arial" w:eastAsiaTheme="majorEastAsia" w:hAnsi="Arial" w:cstheme="majorBidi"/>
      <w:b/>
      <w:color w:val="1E1544" w:themeColor="text1"/>
      <w:sz w:val="32"/>
      <w:szCs w:val="26"/>
    </w:rPr>
  </w:style>
  <w:style w:type="paragraph" w:styleId="ListParagraph">
    <w:name w:val="List Paragraph"/>
    <w:aliases w:val="Bullet point,Bullets,CV text,Dot pt,F5 List Paragraph,Figure_name,FooterText,L,List Paragraph1,List Paragraph11,List Paragraph111,List Paragraph2,Medium Grid 1 - Accent 21,NAST Quote,NFP GP Bulleted List,Numbered Paragraph,Recommendation"/>
    <w:basedOn w:val="Normal"/>
    <w:link w:val="ListParagraphChar"/>
    <w:uiPriority w:val="34"/>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EA303C"/>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733108"/>
    <w:rPr>
      <w:rFonts w:ascii="Arial" w:hAnsi="Arial"/>
      <w:color w:val="0070C0"/>
      <w:sz w:val="24"/>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styleId="CommentText">
    <w:name w:val="annotation text"/>
    <w:basedOn w:val="Normal"/>
    <w:link w:val="CommentTextChar"/>
    <w:unhideWhenUsed/>
    <w:rsid w:val="007C4F07"/>
    <w:pPr>
      <w:spacing w:line="240" w:lineRule="auto"/>
    </w:pPr>
    <w:rPr>
      <w:sz w:val="20"/>
      <w:szCs w:val="20"/>
    </w:rPr>
  </w:style>
  <w:style w:type="character" w:customStyle="1" w:styleId="CommentTextChar">
    <w:name w:val="Comment Text Char"/>
    <w:basedOn w:val="DefaultParagraphFont"/>
    <w:link w:val="CommentText"/>
    <w:rsid w:val="007C4F07"/>
    <w:rPr>
      <w:rFonts w:ascii="Arial" w:hAnsi="Arial"/>
      <w:sz w:val="20"/>
      <w:szCs w:val="20"/>
    </w:rPr>
  </w:style>
  <w:style w:type="character" w:styleId="CommentReference">
    <w:name w:val="annotation reference"/>
    <w:basedOn w:val="DefaultParagraphFont"/>
    <w:semiHidden/>
    <w:unhideWhenUsed/>
    <w:rsid w:val="007C4F07"/>
    <w:rPr>
      <w:sz w:val="16"/>
      <w:szCs w:val="16"/>
    </w:rPr>
  </w:style>
  <w:style w:type="paragraph" w:styleId="CommentSubject">
    <w:name w:val="annotation subject"/>
    <w:basedOn w:val="CommentText"/>
    <w:next w:val="CommentText"/>
    <w:link w:val="CommentSubjectChar"/>
    <w:uiPriority w:val="99"/>
    <w:semiHidden/>
    <w:unhideWhenUsed/>
    <w:rsid w:val="00B34313"/>
    <w:rPr>
      <w:b/>
      <w:bCs/>
    </w:rPr>
  </w:style>
  <w:style w:type="character" w:customStyle="1" w:styleId="CommentSubjectChar">
    <w:name w:val="Comment Subject Char"/>
    <w:basedOn w:val="CommentTextChar"/>
    <w:link w:val="CommentSubject"/>
    <w:uiPriority w:val="99"/>
    <w:semiHidden/>
    <w:rsid w:val="00B34313"/>
    <w:rPr>
      <w:rFonts w:ascii="Arial" w:hAnsi="Arial"/>
      <w:b/>
      <w:bCs/>
      <w:sz w:val="20"/>
      <w:szCs w:val="20"/>
    </w:rPr>
  </w:style>
  <w:style w:type="paragraph" w:styleId="NormalWeb">
    <w:name w:val="Normal (Web)"/>
    <w:basedOn w:val="Normal"/>
    <w:uiPriority w:val="99"/>
    <w:unhideWhenUsed/>
    <w:rsid w:val="00A53030"/>
    <w:pPr>
      <w:spacing w:before="0" w:after="150"/>
    </w:pPr>
    <w:rPr>
      <w:rFonts w:ascii="Times New Roman" w:eastAsia="Times New Roman" w:hAnsi="Times New Roman" w:cs="Times New Roman"/>
      <w:lang w:eastAsia="en-AU"/>
    </w:rPr>
  </w:style>
  <w:style w:type="paragraph" w:customStyle="1" w:styleId="Default">
    <w:name w:val="Default"/>
    <w:uiPriority w:val="99"/>
    <w:rsid w:val="00D84339"/>
    <w:pPr>
      <w:autoSpaceDE w:val="0"/>
      <w:autoSpaceDN w:val="0"/>
      <w:adjustRightInd w:val="0"/>
      <w:spacing w:after="120" w:line="276" w:lineRule="auto"/>
    </w:pPr>
    <w:rPr>
      <w:rFonts w:ascii="Arial" w:eastAsia="Times New Roman" w:hAnsi="Arial" w:cs="Arial"/>
      <w:color w:val="000000"/>
      <w:lang w:eastAsia="en-AU"/>
    </w:rPr>
  </w:style>
  <w:style w:type="character" w:customStyle="1" w:styleId="ListParagraphChar">
    <w:name w:val="List Paragraph Char"/>
    <w:aliases w:val="Bullet point Char,Bullets Char,CV text Char,Dot pt Char,F5 List Paragraph Char,Figure_name Char,FooterText Char,L Char,List Paragraph1 Char,List Paragraph11 Char,List Paragraph111 Char,List Paragraph2 Char,NAST Quote Char"/>
    <w:link w:val="ListParagraph"/>
    <w:uiPriority w:val="34"/>
    <w:qFormat/>
    <w:locked/>
    <w:rsid w:val="0023297E"/>
    <w:rPr>
      <w:rFonts w:ascii="Arial" w:hAnsi="Arial"/>
    </w:rPr>
  </w:style>
  <w:style w:type="character" w:styleId="FollowedHyperlink">
    <w:name w:val="FollowedHyperlink"/>
    <w:basedOn w:val="DefaultParagraphFont"/>
    <w:uiPriority w:val="99"/>
    <w:unhideWhenUsed/>
    <w:rsid w:val="00733108"/>
    <w:rPr>
      <w:rFonts w:ascii="Arial" w:hAnsi="Arial"/>
      <w:color w:val="00467A"/>
      <w:sz w:val="24"/>
      <w:u w:val="single"/>
    </w:rPr>
  </w:style>
  <w:style w:type="paragraph" w:styleId="Revision">
    <w:name w:val="Revision"/>
    <w:hidden/>
    <w:uiPriority w:val="99"/>
    <w:semiHidden/>
    <w:rsid w:val="007E753C"/>
    <w:rPr>
      <w:rFonts w:ascii="Arial" w:hAnsi="Arial"/>
    </w:rPr>
  </w:style>
  <w:style w:type="paragraph" w:styleId="TOCHeading">
    <w:name w:val="TOC Heading"/>
    <w:basedOn w:val="Heading1"/>
    <w:next w:val="Normal"/>
    <w:uiPriority w:val="39"/>
    <w:unhideWhenUsed/>
    <w:rsid w:val="00D30447"/>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2">
    <w:name w:val="toc 2"/>
    <w:basedOn w:val="Normal"/>
    <w:next w:val="Normal"/>
    <w:autoRedefine/>
    <w:uiPriority w:val="39"/>
    <w:unhideWhenUsed/>
    <w:rsid w:val="00D30447"/>
    <w:pPr>
      <w:spacing w:before="0" w:after="100" w:line="259" w:lineRule="auto"/>
      <w:ind w:left="220"/>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D30447"/>
    <w:pPr>
      <w:spacing w:before="0" w:after="100" w:line="259" w:lineRule="auto"/>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D30447"/>
    <w:pPr>
      <w:spacing w:before="0" w:after="100" w:line="259" w:lineRule="auto"/>
      <w:ind w:left="440"/>
    </w:pPr>
    <w:rPr>
      <w:rFonts w:asciiTheme="minorHAnsi" w:eastAsiaTheme="minorEastAsia" w:hAnsiTheme="minorHAnsi" w:cs="Times New Roman"/>
      <w:sz w:val="22"/>
      <w:szCs w:val="22"/>
      <w:lang w:val="en-US"/>
    </w:rPr>
  </w:style>
  <w:style w:type="paragraph" w:styleId="ListBullet">
    <w:name w:val="List Bullet"/>
    <w:basedOn w:val="Normal"/>
    <w:autoRedefine/>
    <w:uiPriority w:val="99"/>
    <w:unhideWhenUsed/>
    <w:rsid w:val="009545A1"/>
    <w:pPr>
      <w:numPr>
        <w:numId w:val="10"/>
      </w:numPr>
      <w:spacing w:before="0" w:after="0"/>
      <w:ind w:left="641" w:hanging="357"/>
      <w:contextualSpacing/>
    </w:pPr>
    <w:rPr>
      <w:rFonts w:eastAsia="Times New Roman" w:cs="Times New Roman"/>
      <w:color w:val="1E1544" w:themeColor="text1"/>
    </w:rPr>
  </w:style>
  <w:style w:type="table" w:customStyle="1" w:styleId="TableGrid1">
    <w:name w:val="Table Grid1"/>
    <w:basedOn w:val="TableNormal"/>
    <w:next w:val="TableGrid"/>
    <w:uiPriority w:val="39"/>
    <w:rsid w:val="002D0BBE"/>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Subpoints">
    <w:name w:val="Subpoints"/>
    <w:basedOn w:val="ListParagraph"/>
    <w:qFormat/>
    <w:rsid w:val="00663BB7"/>
    <w:pPr>
      <w:numPr>
        <w:ilvl w:val="1"/>
        <w:numId w:val="5"/>
      </w:numPr>
      <w:spacing w:before="0" w:after="160" w:line="257" w:lineRule="auto"/>
      <w:ind w:left="1418" w:hanging="425"/>
      <w:contextualSpacing w:val="0"/>
    </w:pPr>
    <w:rPr>
      <w:rFonts w:eastAsia="Calibri" w:cs="Arial"/>
    </w:rPr>
  </w:style>
  <w:style w:type="table" w:customStyle="1" w:styleId="PlainTable21">
    <w:name w:val="Plain Table 21"/>
    <w:basedOn w:val="TableNormal"/>
    <w:next w:val="PlainTable2"/>
    <w:uiPriority w:val="42"/>
    <w:rsid w:val="0065312D"/>
    <w:pPr>
      <w:ind w:left="2160"/>
    </w:pPr>
    <w:rPr>
      <w:rFonts w:eastAsiaTheme="minorEastAsia"/>
      <w:sz w:val="20"/>
      <w:szCs w:val="20"/>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table" w:styleId="PlainTable2">
    <w:name w:val="Plain Table 2"/>
    <w:basedOn w:val="TableNormal"/>
    <w:uiPriority w:val="42"/>
    <w:rsid w:val="0065312D"/>
    <w:tblPr>
      <w:tblStyleRowBandSize w:val="1"/>
      <w:tblStyleColBandSize w:val="1"/>
      <w:tblBorders>
        <w:top w:val="single" w:sz="4" w:space="0" w:color="725DCD" w:themeColor="text1" w:themeTint="80"/>
        <w:bottom w:val="single" w:sz="4" w:space="0" w:color="725DCD" w:themeColor="text1" w:themeTint="80"/>
      </w:tblBorders>
    </w:tblPr>
    <w:tblStylePr w:type="firstRow">
      <w:rPr>
        <w:b/>
        <w:bCs/>
      </w:rPr>
      <w:tblPr/>
      <w:tcPr>
        <w:tcBorders>
          <w:bottom w:val="single" w:sz="4" w:space="0" w:color="725DCD" w:themeColor="text1" w:themeTint="80"/>
        </w:tcBorders>
      </w:tcPr>
    </w:tblStylePr>
    <w:tblStylePr w:type="lastRow">
      <w:rPr>
        <w:b/>
        <w:bCs/>
      </w:rPr>
      <w:tblPr/>
      <w:tcPr>
        <w:tcBorders>
          <w:top w:val="single" w:sz="4" w:space="0" w:color="725DCD" w:themeColor="text1" w:themeTint="80"/>
        </w:tcBorders>
      </w:tcPr>
    </w:tblStylePr>
    <w:tblStylePr w:type="firstCol">
      <w:rPr>
        <w:b/>
        <w:bCs/>
      </w:rPr>
    </w:tblStylePr>
    <w:tblStylePr w:type="lastCol">
      <w:rPr>
        <w:b/>
        <w:bCs/>
      </w:rPr>
    </w:tblStylePr>
    <w:tblStylePr w:type="band1Vert">
      <w:tblPr/>
      <w:tcPr>
        <w:tcBorders>
          <w:left w:val="single" w:sz="4" w:space="0" w:color="725DCD" w:themeColor="text1" w:themeTint="80"/>
          <w:right w:val="single" w:sz="4" w:space="0" w:color="725DCD" w:themeColor="text1" w:themeTint="80"/>
        </w:tcBorders>
      </w:tcPr>
    </w:tblStylePr>
    <w:tblStylePr w:type="band2Vert">
      <w:tblPr/>
      <w:tcPr>
        <w:tcBorders>
          <w:left w:val="single" w:sz="4" w:space="0" w:color="725DCD" w:themeColor="text1" w:themeTint="80"/>
          <w:right w:val="single" w:sz="4" w:space="0" w:color="725DCD" w:themeColor="text1" w:themeTint="80"/>
        </w:tcBorders>
      </w:tcPr>
    </w:tblStylePr>
    <w:tblStylePr w:type="band1Horz">
      <w:tblPr/>
      <w:tcPr>
        <w:tcBorders>
          <w:top w:val="single" w:sz="4" w:space="0" w:color="725DCD" w:themeColor="text1" w:themeTint="80"/>
          <w:bottom w:val="single" w:sz="4" w:space="0" w:color="725DCD" w:themeColor="text1" w:themeTint="80"/>
        </w:tcBorders>
      </w:tcPr>
    </w:tblStylePr>
  </w:style>
  <w:style w:type="paragraph" w:customStyle="1" w:styleId="Normaltext">
    <w:name w:val="Normal text"/>
    <w:basedOn w:val="Normal"/>
    <w:rsid w:val="000E3BDE"/>
    <w:rPr>
      <w:rFonts w:eastAsia="Times New Roman" w:cs="Times New Roman"/>
      <w:color w:val="1E1544" w:themeColor="text1"/>
    </w:rPr>
  </w:style>
  <w:style w:type="paragraph" w:customStyle="1" w:styleId="NormalText0">
    <w:name w:val="Normal Text"/>
    <w:basedOn w:val="Normal"/>
    <w:rsid w:val="00C63AAC"/>
    <w:pPr>
      <w:spacing w:line="288" w:lineRule="auto"/>
    </w:pPr>
    <w:rPr>
      <w:rFonts w:eastAsia="Times New Roman"/>
      <w:color w:val="1E1544" w:themeColor="text1"/>
      <w:szCs w:val="20"/>
      <w:shd w:val="clear" w:color="auto" w:fill="FFFFFF"/>
      <w:lang w:eastAsia="en-GB"/>
    </w:rPr>
  </w:style>
  <w:style w:type="paragraph" w:styleId="Subtitle">
    <w:name w:val="Subtitle"/>
    <w:basedOn w:val="Normal"/>
    <w:next w:val="Normal"/>
    <w:link w:val="SubtitleChar"/>
    <w:uiPriority w:val="11"/>
    <w:rsid w:val="00E1328A"/>
    <w:pPr>
      <w:numPr>
        <w:ilvl w:val="1"/>
      </w:numPr>
      <w:spacing w:after="160"/>
    </w:pPr>
    <w:rPr>
      <w:rFonts w:asciiTheme="minorHAnsi" w:eastAsiaTheme="minorEastAsia" w:hAnsiTheme="minorHAnsi"/>
      <w:color w:val="4F38B5" w:themeColor="text1" w:themeTint="A5"/>
      <w:spacing w:val="15"/>
      <w:sz w:val="22"/>
      <w:szCs w:val="22"/>
    </w:rPr>
  </w:style>
  <w:style w:type="character" w:customStyle="1" w:styleId="SubtitleChar">
    <w:name w:val="Subtitle Char"/>
    <w:basedOn w:val="DefaultParagraphFont"/>
    <w:link w:val="Subtitle"/>
    <w:uiPriority w:val="11"/>
    <w:rsid w:val="00E1328A"/>
    <w:rPr>
      <w:rFonts w:eastAsiaTheme="minorEastAsia"/>
      <w:color w:val="4F38B5" w:themeColor="text1" w:themeTint="A5"/>
      <w:spacing w:val="15"/>
      <w:sz w:val="22"/>
      <w:szCs w:val="22"/>
    </w:rPr>
  </w:style>
  <w:style w:type="paragraph" w:styleId="ListBullet2">
    <w:name w:val="List Bullet 2"/>
    <w:basedOn w:val="Subpoints"/>
    <w:uiPriority w:val="99"/>
    <w:unhideWhenUsed/>
    <w:rsid w:val="00EA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0266">
      <w:bodyDiv w:val="1"/>
      <w:marLeft w:val="0"/>
      <w:marRight w:val="0"/>
      <w:marTop w:val="0"/>
      <w:marBottom w:val="0"/>
      <w:divBdr>
        <w:top w:val="none" w:sz="0" w:space="0" w:color="auto"/>
        <w:left w:val="none" w:sz="0" w:space="0" w:color="auto"/>
        <w:bottom w:val="none" w:sz="0" w:space="0" w:color="auto"/>
        <w:right w:val="none" w:sz="0" w:space="0" w:color="auto"/>
      </w:divBdr>
    </w:div>
    <w:div w:id="61372899">
      <w:bodyDiv w:val="1"/>
      <w:marLeft w:val="0"/>
      <w:marRight w:val="0"/>
      <w:marTop w:val="0"/>
      <w:marBottom w:val="0"/>
      <w:divBdr>
        <w:top w:val="none" w:sz="0" w:space="0" w:color="auto"/>
        <w:left w:val="none" w:sz="0" w:space="0" w:color="auto"/>
        <w:bottom w:val="none" w:sz="0" w:space="0" w:color="auto"/>
        <w:right w:val="none" w:sz="0" w:space="0" w:color="auto"/>
      </w:divBdr>
    </w:div>
    <w:div w:id="64765315">
      <w:bodyDiv w:val="1"/>
      <w:marLeft w:val="0"/>
      <w:marRight w:val="0"/>
      <w:marTop w:val="0"/>
      <w:marBottom w:val="0"/>
      <w:divBdr>
        <w:top w:val="none" w:sz="0" w:space="0" w:color="auto"/>
        <w:left w:val="none" w:sz="0" w:space="0" w:color="auto"/>
        <w:bottom w:val="none" w:sz="0" w:space="0" w:color="auto"/>
        <w:right w:val="none" w:sz="0" w:space="0" w:color="auto"/>
      </w:divBdr>
    </w:div>
    <w:div w:id="144901141">
      <w:bodyDiv w:val="1"/>
      <w:marLeft w:val="0"/>
      <w:marRight w:val="0"/>
      <w:marTop w:val="0"/>
      <w:marBottom w:val="0"/>
      <w:divBdr>
        <w:top w:val="none" w:sz="0" w:space="0" w:color="auto"/>
        <w:left w:val="none" w:sz="0" w:space="0" w:color="auto"/>
        <w:bottom w:val="none" w:sz="0" w:space="0" w:color="auto"/>
        <w:right w:val="none" w:sz="0" w:space="0" w:color="auto"/>
      </w:divBdr>
    </w:div>
    <w:div w:id="182328985">
      <w:bodyDiv w:val="1"/>
      <w:marLeft w:val="0"/>
      <w:marRight w:val="0"/>
      <w:marTop w:val="0"/>
      <w:marBottom w:val="0"/>
      <w:divBdr>
        <w:top w:val="none" w:sz="0" w:space="0" w:color="auto"/>
        <w:left w:val="none" w:sz="0" w:space="0" w:color="auto"/>
        <w:bottom w:val="none" w:sz="0" w:space="0" w:color="auto"/>
        <w:right w:val="none" w:sz="0" w:space="0" w:color="auto"/>
      </w:divBdr>
    </w:div>
    <w:div w:id="206988680">
      <w:bodyDiv w:val="1"/>
      <w:marLeft w:val="0"/>
      <w:marRight w:val="0"/>
      <w:marTop w:val="0"/>
      <w:marBottom w:val="0"/>
      <w:divBdr>
        <w:top w:val="none" w:sz="0" w:space="0" w:color="auto"/>
        <w:left w:val="none" w:sz="0" w:space="0" w:color="auto"/>
        <w:bottom w:val="none" w:sz="0" w:space="0" w:color="auto"/>
        <w:right w:val="none" w:sz="0" w:space="0" w:color="auto"/>
      </w:divBdr>
    </w:div>
    <w:div w:id="255940348">
      <w:bodyDiv w:val="1"/>
      <w:marLeft w:val="0"/>
      <w:marRight w:val="0"/>
      <w:marTop w:val="0"/>
      <w:marBottom w:val="0"/>
      <w:divBdr>
        <w:top w:val="none" w:sz="0" w:space="0" w:color="auto"/>
        <w:left w:val="none" w:sz="0" w:space="0" w:color="auto"/>
        <w:bottom w:val="none" w:sz="0" w:space="0" w:color="auto"/>
        <w:right w:val="none" w:sz="0" w:space="0" w:color="auto"/>
      </w:divBdr>
    </w:div>
    <w:div w:id="344789790">
      <w:bodyDiv w:val="1"/>
      <w:marLeft w:val="0"/>
      <w:marRight w:val="0"/>
      <w:marTop w:val="0"/>
      <w:marBottom w:val="0"/>
      <w:divBdr>
        <w:top w:val="none" w:sz="0" w:space="0" w:color="auto"/>
        <w:left w:val="none" w:sz="0" w:space="0" w:color="auto"/>
        <w:bottom w:val="none" w:sz="0" w:space="0" w:color="auto"/>
        <w:right w:val="none" w:sz="0" w:space="0" w:color="auto"/>
      </w:divBdr>
    </w:div>
    <w:div w:id="521670505">
      <w:bodyDiv w:val="1"/>
      <w:marLeft w:val="0"/>
      <w:marRight w:val="0"/>
      <w:marTop w:val="0"/>
      <w:marBottom w:val="0"/>
      <w:divBdr>
        <w:top w:val="none" w:sz="0" w:space="0" w:color="auto"/>
        <w:left w:val="none" w:sz="0" w:space="0" w:color="auto"/>
        <w:bottom w:val="none" w:sz="0" w:space="0" w:color="auto"/>
        <w:right w:val="none" w:sz="0" w:space="0" w:color="auto"/>
      </w:divBdr>
    </w:div>
    <w:div w:id="525145180">
      <w:bodyDiv w:val="1"/>
      <w:marLeft w:val="0"/>
      <w:marRight w:val="0"/>
      <w:marTop w:val="0"/>
      <w:marBottom w:val="0"/>
      <w:divBdr>
        <w:top w:val="none" w:sz="0" w:space="0" w:color="auto"/>
        <w:left w:val="none" w:sz="0" w:space="0" w:color="auto"/>
        <w:bottom w:val="none" w:sz="0" w:space="0" w:color="auto"/>
        <w:right w:val="none" w:sz="0" w:space="0" w:color="auto"/>
      </w:divBdr>
    </w:div>
    <w:div w:id="628516900">
      <w:bodyDiv w:val="1"/>
      <w:marLeft w:val="0"/>
      <w:marRight w:val="0"/>
      <w:marTop w:val="0"/>
      <w:marBottom w:val="0"/>
      <w:divBdr>
        <w:top w:val="none" w:sz="0" w:space="0" w:color="auto"/>
        <w:left w:val="none" w:sz="0" w:space="0" w:color="auto"/>
        <w:bottom w:val="none" w:sz="0" w:space="0" w:color="auto"/>
        <w:right w:val="none" w:sz="0" w:space="0" w:color="auto"/>
      </w:divBdr>
    </w:div>
    <w:div w:id="718166248">
      <w:bodyDiv w:val="1"/>
      <w:marLeft w:val="0"/>
      <w:marRight w:val="0"/>
      <w:marTop w:val="0"/>
      <w:marBottom w:val="0"/>
      <w:divBdr>
        <w:top w:val="none" w:sz="0" w:space="0" w:color="auto"/>
        <w:left w:val="none" w:sz="0" w:space="0" w:color="auto"/>
        <w:bottom w:val="none" w:sz="0" w:space="0" w:color="auto"/>
        <w:right w:val="none" w:sz="0" w:space="0" w:color="auto"/>
      </w:divBdr>
    </w:div>
    <w:div w:id="752749883">
      <w:bodyDiv w:val="1"/>
      <w:marLeft w:val="0"/>
      <w:marRight w:val="0"/>
      <w:marTop w:val="0"/>
      <w:marBottom w:val="0"/>
      <w:divBdr>
        <w:top w:val="none" w:sz="0" w:space="0" w:color="auto"/>
        <w:left w:val="none" w:sz="0" w:space="0" w:color="auto"/>
        <w:bottom w:val="none" w:sz="0" w:space="0" w:color="auto"/>
        <w:right w:val="none" w:sz="0" w:space="0" w:color="auto"/>
      </w:divBdr>
    </w:div>
    <w:div w:id="764303602">
      <w:bodyDiv w:val="1"/>
      <w:marLeft w:val="0"/>
      <w:marRight w:val="0"/>
      <w:marTop w:val="0"/>
      <w:marBottom w:val="0"/>
      <w:divBdr>
        <w:top w:val="none" w:sz="0" w:space="0" w:color="auto"/>
        <w:left w:val="none" w:sz="0" w:space="0" w:color="auto"/>
        <w:bottom w:val="none" w:sz="0" w:space="0" w:color="auto"/>
        <w:right w:val="none" w:sz="0" w:space="0" w:color="auto"/>
      </w:divBdr>
    </w:div>
    <w:div w:id="989407428">
      <w:bodyDiv w:val="1"/>
      <w:marLeft w:val="0"/>
      <w:marRight w:val="0"/>
      <w:marTop w:val="0"/>
      <w:marBottom w:val="0"/>
      <w:divBdr>
        <w:top w:val="none" w:sz="0" w:space="0" w:color="auto"/>
        <w:left w:val="none" w:sz="0" w:space="0" w:color="auto"/>
        <w:bottom w:val="none" w:sz="0" w:space="0" w:color="auto"/>
        <w:right w:val="none" w:sz="0" w:space="0" w:color="auto"/>
      </w:divBdr>
    </w:div>
    <w:div w:id="1007052806">
      <w:bodyDiv w:val="1"/>
      <w:marLeft w:val="0"/>
      <w:marRight w:val="0"/>
      <w:marTop w:val="0"/>
      <w:marBottom w:val="0"/>
      <w:divBdr>
        <w:top w:val="none" w:sz="0" w:space="0" w:color="auto"/>
        <w:left w:val="none" w:sz="0" w:space="0" w:color="auto"/>
        <w:bottom w:val="none" w:sz="0" w:space="0" w:color="auto"/>
        <w:right w:val="none" w:sz="0" w:space="0" w:color="auto"/>
      </w:divBdr>
    </w:div>
    <w:div w:id="1065227399">
      <w:bodyDiv w:val="1"/>
      <w:marLeft w:val="0"/>
      <w:marRight w:val="0"/>
      <w:marTop w:val="0"/>
      <w:marBottom w:val="0"/>
      <w:divBdr>
        <w:top w:val="none" w:sz="0" w:space="0" w:color="auto"/>
        <w:left w:val="none" w:sz="0" w:space="0" w:color="auto"/>
        <w:bottom w:val="none" w:sz="0" w:space="0" w:color="auto"/>
        <w:right w:val="none" w:sz="0" w:space="0" w:color="auto"/>
      </w:divBdr>
    </w:div>
    <w:div w:id="1086418264">
      <w:bodyDiv w:val="1"/>
      <w:marLeft w:val="0"/>
      <w:marRight w:val="0"/>
      <w:marTop w:val="0"/>
      <w:marBottom w:val="0"/>
      <w:divBdr>
        <w:top w:val="none" w:sz="0" w:space="0" w:color="auto"/>
        <w:left w:val="none" w:sz="0" w:space="0" w:color="auto"/>
        <w:bottom w:val="none" w:sz="0" w:space="0" w:color="auto"/>
        <w:right w:val="none" w:sz="0" w:space="0" w:color="auto"/>
      </w:divBdr>
    </w:div>
    <w:div w:id="1090394850">
      <w:bodyDiv w:val="1"/>
      <w:marLeft w:val="0"/>
      <w:marRight w:val="0"/>
      <w:marTop w:val="0"/>
      <w:marBottom w:val="0"/>
      <w:divBdr>
        <w:top w:val="none" w:sz="0" w:space="0" w:color="auto"/>
        <w:left w:val="none" w:sz="0" w:space="0" w:color="auto"/>
        <w:bottom w:val="none" w:sz="0" w:space="0" w:color="auto"/>
        <w:right w:val="none" w:sz="0" w:space="0" w:color="auto"/>
      </w:divBdr>
    </w:div>
    <w:div w:id="1109351494">
      <w:bodyDiv w:val="1"/>
      <w:marLeft w:val="0"/>
      <w:marRight w:val="0"/>
      <w:marTop w:val="0"/>
      <w:marBottom w:val="0"/>
      <w:divBdr>
        <w:top w:val="none" w:sz="0" w:space="0" w:color="auto"/>
        <w:left w:val="none" w:sz="0" w:space="0" w:color="auto"/>
        <w:bottom w:val="none" w:sz="0" w:space="0" w:color="auto"/>
        <w:right w:val="none" w:sz="0" w:space="0" w:color="auto"/>
      </w:divBdr>
    </w:div>
    <w:div w:id="1116676701">
      <w:bodyDiv w:val="1"/>
      <w:marLeft w:val="0"/>
      <w:marRight w:val="0"/>
      <w:marTop w:val="0"/>
      <w:marBottom w:val="0"/>
      <w:divBdr>
        <w:top w:val="none" w:sz="0" w:space="0" w:color="auto"/>
        <w:left w:val="none" w:sz="0" w:space="0" w:color="auto"/>
        <w:bottom w:val="none" w:sz="0" w:space="0" w:color="auto"/>
        <w:right w:val="none" w:sz="0" w:space="0" w:color="auto"/>
      </w:divBdr>
    </w:div>
    <w:div w:id="1138837689">
      <w:bodyDiv w:val="1"/>
      <w:marLeft w:val="0"/>
      <w:marRight w:val="0"/>
      <w:marTop w:val="0"/>
      <w:marBottom w:val="0"/>
      <w:divBdr>
        <w:top w:val="none" w:sz="0" w:space="0" w:color="auto"/>
        <w:left w:val="none" w:sz="0" w:space="0" w:color="auto"/>
        <w:bottom w:val="none" w:sz="0" w:space="0" w:color="auto"/>
        <w:right w:val="none" w:sz="0" w:space="0" w:color="auto"/>
      </w:divBdr>
    </w:div>
    <w:div w:id="1169712797">
      <w:bodyDiv w:val="1"/>
      <w:marLeft w:val="0"/>
      <w:marRight w:val="0"/>
      <w:marTop w:val="0"/>
      <w:marBottom w:val="0"/>
      <w:divBdr>
        <w:top w:val="none" w:sz="0" w:space="0" w:color="auto"/>
        <w:left w:val="none" w:sz="0" w:space="0" w:color="auto"/>
        <w:bottom w:val="none" w:sz="0" w:space="0" w:color="auto"/>
        <w:right w:val="none" w:sz="0" w:space="0" w:color="auto"/>
      </w:divBdr>
    </w:div>
    <w:div w:id="1191529349">
      <w:bodyDiv w:val="1"/>
      <w:marLeft w:val="0"/>
      <w:marRight w:val="0"/>
      <w:marTop w:val="0"/>
      <w:marBottom w:val="0"/>
      <w:divBdr>
        <w:top w:val="none" w:sz="0" w:space="0" w:color="auto"/>
        <w:left w:val="none" w:sz="0" w:space="0" w:color="auto"/>
        <w:bottom w:val="none" w:sz="0" w:space="0" w:color="auto"/>
        <w:right w:val="none" w:sz="0" w:space="0" w:color="auto"/>
      </w:divBdr>
    </w:div>
    <w:div w:id="1231572868">
      <w:bodyDiv w:val="1"/>
      <w:marLeft w:val="0"/>
      <w:marRight w:val="0"/>
      <w:marTop w:val="0"/>
      <w:marBottom w:val="0"/>
      <w:divBdr>
        <w:top w:val="none" w:sz="0" w:space="0" w:color="auto"/>
        <w:left w:val="none" w:sz="0" w:space="0" w:color="auto"/>
        <w:bottom w:val="none" w:sz="0" w:space="0" w:color="auto"/>
        <w:right w:val="none" w:sz="0" w:space="0" w:color="auto"/>
      </w:divBdr>
    </w:div>
    <w:div w:id="1286421318">
      <w:bodyDiv w:val="1"/>
      <w:marLeft w:val="0"/>
      <w:marRight w:val="0"/>
      <w:marTop w:val="0"/>
      <w:marBottom w:val="0"/>
      <w:divBdr>
        <w:top w:val="none" w:sz="0" w:space="0" w:color="auto"/>
        <w:left w:val="none" w:sz="0" w:space="0" w:color="auto"/>
        <w:bottom w:val="none" w:sz="0" w:space="0" w:color="auto"/>
        <w:right w:val="none" w:sz="0" w:space="0" w:color="auto"/>
      </w:divBdr>
    </w:div>
    <w:div w:id="1307515933">
      <w:bodyDiv w:val="1"/>
      <w:marLeft w:val="0"/>
      <w:marRight w:val="0"/>
      <w:marTop w:val="0"/>
      <w:marBottom w:val="0"/>
      <w:divBdr>
        <w:top w:val="none" w:sz="0" w:space="0" w:color="auto"/>
        <w:left w:val="none" w:sz="0" w:space="0" w:color="auto"/>
        <w:bottom w:val="none" w:sz="0" w:space="0" w:color="auto"/>
        <w:right w:val="none" w:sz="0" w:space="0" w:color="auto"/>
      </w:divBdr>
    </w:div>
    <w:div w:id="1387219984">
      <w:bodyDiv w:val="1"/>
      <w:marLeft w:val="0"/>
      <w:marRight w:val="0"/>
      <w:marTop w:val="0"/>
      <w:marBottom w:val="0"/>
      <w:divBdr>
        <w:top w:val="none" w:sz="0" w:space="0" w:color="auto"/>
        <w:left w:val="none" w:sz="0" w:space="0" w:color="auto"/>
        <w:bottom w:val="none" w:sz="0" w:space="0" w:color="auto"/>
        <w:right w:val="none" w:sz="0" w:space="0" w:color="auto"/>
      </w:divBdr>
    </w:div>
    <w:div w:id="1450516949">
      <w:bodyDiv w:val="1"/>
      <w:marLeft w:val="0"/>
      <w:marRight w:val="0"/>
      <w:marTop w:val="0"/>
      <w:marBottom w:val="0"/>
      <w:divBdr>
        <w:top w:val="none" w:sz="0" w:space="0" w:color="auto"/>
        <w:left w:val="none" w:sz="0" w:space="0" w:color="auto"/>
        <w:bottom w:val="none" w:sz="0" w:space="0" w:color="auto"/>
        <w:right w:val="none" w:sz="0" w:space="0" w:color="auto"/>
      </w:divBdr>
    </w:div>
    <w:div w:id="1506744311">
      <w:bodyDiv w:val="1"/>
      <w:marLeft w:val="0"/>
      <w:marRight w:val="0"/>
      <w:marTop w:val="0"/>
      <w:marBottom w:val="0"/>
      <w:divBdr>
        <w:top w:val="none" w:sz="0" w:space="0" w:color="auto"/>
        <w:left w:val="none" w:sz="0" w:space="0" w:color="auto"/>
        <w:bottom w:val="none" w:sz="0" w:space="0" w:color="auto"/>
        <w:right w:val="none" w:sz="0" w:space="0" w:color="auto"/>
      </w:divBdr>
    </w:div>
    <w:div w:id="1545436690">
      <w:bodyDiv w:val="1"/>
      <w:marLeft w:val="0"/>
      <w:marRight w:val="0"/>
      <w:marTop w:val="0"/>
      <w:marBottom w:val="0"/>
      <w:divBdr>
        <w:top w:val="none" w:sz="0" w:space="0" w:color="auto"/>
        <w:left w:val="none" w:sz="0" w:space="0" w:color="auto"/>
        <w:bottom w:val="none" w:sz="0" w:space="0" w:color="auto"/>
        <w:right w:val="none" w:sz="0" w:space="0" w:color="auto"/>
      </w:divBdr>
    </w:div>
    <w:div w:id="1548762685">
      <w:bodyDiv w:val="1"/>
      <w:marLeft w:val="0"/>
      <w:marRight w:val="0"/>
      <w:marTop w:val="0"/>
      <w:marBottom w:val="0"/>
      <w:divBdr>
        <w:top w:val="none" w:sz="0" w:space="0" w:color="auto"/>
        <w:left w:val="none" w:sz="0" w:space="0" w:color="auto"/>
        <w:bottom w:val="none" w:sz="0" w:space="0" w:color="auto"/>
        <w:right w:val="none" w:sz="0" w:space="0" w:color="auto"/>
      </w:divBdr>
    </w:div>
    <w:div w:id="1573395196">
      <w:bodyDiv w:val="1"/>
      <w:marLeft w:val="0"/>
      <w:marRight w:val="0"/>
      <w:marTop w:val="0"/>
      <w:marBottom w:val="0"/>
      <w:divBdr>
        <w:top w:val="none" w:sz="0" w:space="0" w:color="auto"/>
        <w:left w:val="none" w:sz="0" w:space="0" w:color="auto"/>
        <w:bottom w:val="none" w:sz="0" w:space="0" w:color="auto"/>
        <w:right w:val="none" w:sz="0" w:space="0" w:color="auto"/>
      </w:divBdr>
    </w:div>
    <w:div w:id="1576822170">
      <w:bodyDiv w:val="1"/>
      <w:marLeft w:val="0"/>
      <w:marRight w:val="0"/>
      <w:marTop w:val="0"/>
      <w:marBottom w:val="0"/>
      <w:divBdr>
        <w:top w:val="none" w:sz="0" w:space="0" w:color="auto"/>
        <w:left w:val="none" w:sz="0" w:space="0" w:color="auto"/>
        <w:bottom w:val="none" w:sz="0" w:space="0" w:color="auto"/>
        <w:right w:val="none" w:sz="0" w:space="0" w:color="auto"/>
      </w:divBdr>
    </w:div>
    <w:div w:id="1579902021">
      <w:bodyDiv w:val="1"/>
      <w:marLeft w:val="0"/>
      <w:marRight w:val="0"/>
      <w:marTop w:val="0"/>
      <w:marBottom w:val="0"/>
      <w:divBdr>
        <w:top w:val="none" w:sz="0" w:space="0" w:color="auto"/>
        <w:left w:val="none" w:sz="0" w:space="0" w:color="auto"/>
        <w:bottom w:val="none" w:sz="0" w:space="0" w:color="auto"/>
        <w:right w:val="none" w:sz="0" w:space="0" w:color="auto"/>
      </w:divBdr>
    </w:div>
    <w:div w:id="1605841879">
      <w:bodyDiv w:val="1"/>
      <w:marLeft w:val="0"/>
      <w:marRight w:val="0"/>
      <w:marTop w:val="0"/>
      <w:marBottom w:val="0"/>
      <w:divBdr>
        <w:top w:val="none" w:sz="0" w:space="0" w:color="auto"/>
        <w:left w:val="none" w:sz="0" w:space="0" w:color="auto"/>
        <w:bottom w:val="none" w:sz="0" w:space="0" w:color="auto"/>
        <w:right w:val="none" w:sz="0" w:space="0" w:color="auto"/>
      </w:divBdr>
    </w:div>
    <w:div w:id="1634408567">
      <w:bodyDiv w:val="1"/>
      <w:marLeft w:val="0"/>
      <w:marRight w:val="0"/>
      <w:marTop w:val="0"/>
      <w:marBottom w:val="0"/>
      <w:divBdr>
        <w:top w:val="none" w:sz="0" w:space="0" w:color="auto"/>
        <w:left w:val="none" w:sz="0" w:space="0" w:color="auto"/>
        <w:bottom w:val="none" w:sz="0" w:space="0" w:color="auto"/>
        <w:right w:val="none" w:sz="0" w:space="0" w:color="auto"/>
      </w:divBdr>
    </w:div>
    <w:div w:id="1681009106">
      <w:bodyDiv w:val="1"/>
      <w:marLeft w:val="0"/>
      <w:marRight w:val="0"/>
      <w:marTop w:val="0"/>
      <w:marBottom w:val="0"/>
      <w:divBdr>
        <w:top w:val="none" w:sz="0" w:space="0" w:color="auto"/>
        <w:left w:val="none" w:sz="0" w:space="0" w:color="auto"/>
        <w:bottom w:val="none" w:sz="0" w:space="0" w:color="auto"/>
        <w:right w:val="none" w:sz="0" w:space="0" w:color="auto"/>
      </w:divBdr>
    </w:div>
    <w:div w:id="1689410474">
      <w:bodyDiv w:val="1"/>
      <w:marLeft w:val="0"/>
      <w:marRight w:val="0"/>
      <w:marTop w:val="0"/>
      <w:marBottom w:val="0"/>
      <w:divBdr>
        <w:top w:val="none" w:sz="0" w:space="0" w:color="auto"/>
        <w:left w:val="none" w:sz="0" w:space="0" w:color="auto"/>
        <w:bottom w:val="none" w:sz="0" w:space="0" w:color="auto"/>
        <w:right w:val="none" w:sz="0" w:space="0" w:color="auto"/>
      </w:divBdr>
    </w:div>
    <w:div w:id="1712723440">
      <w:bodyDiv w:val="1"/>
      <w:marLeft w:val="0"/>
      <w:marRight w:val="0"/>
      <w:marTop w:val="0"/>
      <w:marBottom w:val="0"/>
      <w:divBdr>
        <w:top w:val="none" w:sz="0" w:space="0" w:color="auto"/>
        <w:left w:val="none" w:sz="0" w:space="0" w:color="auto"/>
        <w:bottom w:val="none" w:sz="0" w:space="0" w:color="auto"/>
        <w:right w:val="none" w:sz="0" w:space="0" w:color="auto"/>
      </w:divBdr>
    </w:div>
    <w:div w:id="1721827738">
      <w:bodyDiv w:val="1"/>
      <w:marLeft w:val="0"/>
      <w:marRight w:val="0"/>
      <w:marTop w:val="0"/>
      <w:marBottom w:val="0"/>
      <w:divBdr>
        <w:top w:val="none" w:sz="0" w:space="0" w:color="auto"/>
        <w:left w:val="none" w:sz="0" w:space="0" w:color="auto"/>
        <w:bottom w:val="none" w:sz="0" w:space="0" w:color="auto"/>
        <w:right w:val="none" w:sz="0" w:space="0" w:color="auto"/>
      </w:divBdr>
    </w:div>
    <w:div w:id="1727872157">
      <w:bodyDiv w:val="1"/>
      <w:marLeft w:val="0"/>
      <w:marRight w:val="0"/>
      <w:marTop w:val="0"/>
      <w:marBottom w:val="0"/>
      <w:divBdr>
        <w:top w:val="none" w:sz="0" w:space="0" w:color="auto"/>
        <w:left w:val="none" w:sz="0" w:space="0" w:color="auto"/>
        <w:bottom w:val="none" w:sz="0" w:space="0" w:color="auto"/>
        <w:right w:val="none" w:sz="0" w:space="0" w:color="auto"/>
      </w:divBdr>
    </w:div>
    <w:div w:id="1899314289">
      <w:bodyDiv w:val="1"/>
      <w:marLeft w:val="0"/>
      <w:marRight w:val="0"/>
      <w:marTop w:val="0"/>
      <w:marBottom w:val="0"/>
      <w:divBdr>
        <w:top w:val="none" w:sz="0" w:space="0" w:color="auto"/>
        <w:left w:val="none" w:sz="0" w:space="0" w:color="auto"/>
        <w:bottom w:val="none" w:sz="0" w:space="0" w:color="auto"/>
        <w:right w:val="none" w:sz="0" w:space="0" w:color="auto"/>
      </w:divBdr>
    </w:div>
    <w:div w:id="1933587345">
      <w:bodyDiv w:val="1"/>
      <w:marLeft w:val="0"/>
      <w:marRight w:val="0"/>
      <w:marTop w:val="0"/>
      <w:marBottom w:val="0"/>
      <w:divBdr>
        <w:top w:val="none" w:sz="0" w:space="0" w:color="auto"/>
        <w:left w:val="none" w:sz="0" w:space="0" w:color="auto"/>
        <w:bottom w:val="none" w:sz="0" w:space="0" w:color="auto"/>
        <w:right w:val="none" w:sz="0" w:space="0" w:color="auto"/>
      </w:divBdr>
    </w:div>
    <w:div w:id="2012373065">
      <w:bodyDiv w:val="1"/>
      <w:marLeft w:val="0"/>
      <w:marRight w:val="0"/>
      <w:marTop w:val="0"/>
      <w:marBottom w:val="0"/>
      <w:divBdr>
        <w:top w:val="none" w:sz="0" w:space="0" w:color="auto"/>
        <w:left w:val="none" w:sz="0" w:space="0" w:color="auto"/>
        <w:bottom w:val="none" w:sz="0" w:space="0" w:color="auto"/>
        <w:right w:val="none" w:sz="0" w:space="0" w:color="auto"/>
      </w:divBdr>
    </w:div>
    <w:div w:id="20839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employment-conditions/agreements" TargetMode="External"/><Relationship Id="rId18" Type="http://schemas.openxmlformats.org/officeDocument/2006/relationships/hyperlink" Target="https://www.health.gov.au/our-work/hcp/care-management/ongoing-care-discussions" TargetMode="External"/><Relationship Id="rId26" Type="http://schemas.openxmlformats.org/officeDocument/2006/relationships/hyperlink" Target="https://www.accc.gov.au/consumers/specific-products-and-activities/home-care-services" TargetMode="External"/><Relationship Id="rId39" Type="http://schemas.openxmlformats.org/officeDocument/2006/relationships/hyperlink" Target="https://services.fairwork.gov.au/get-help" TargetMode="External"/><Relationship Id="rId3" Type="http://schemas.openxmlformats.org/officeDocument/2006/relationships/customXml" Target="../customXml/item3.xml"/><Relationship Id="rId21" Type="http://schemas.openxmlformats.org/officeDocument/2006/relationships/hyperlink" Target="https://www.agedcarequality.gov.au/" TargetMode="External"/><Relationship Id="rId34" Type="http://schemas.openxmlformats.org/officeDocument/2006/relationships/hyperlink" Target="https://services.fairwork.gov.au/get-help" TargetMode="External"/><Relationship Id="rId42" Type="http://schemas.openxmlformats.org/officeDocument/2006/relationships/hyperlink" Target="https://www.health.gov.au/topics/aged-care/providing-aged-care-services/newsletters-and-alerts-for-the-aged-care-sector"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wc.gov.au/hearings-decisions/major-cases/work-value-case-aged-care-industry/decisions-statements-and" TargetMode="External"/><Relationship Id="rId17" Type="http://schemas.openxmlformats.org/officeDocument/2006/relationships/hyperlink" Target="https://www.health.gov.au/our-work/hcp/pricing/charging-prices" TargetMode="External"/><Relationship Id="rId25" Type="http://schemas.openxmlformats.org/officeDocument/2006/relationships/hyperlink" Target="https://www.legislation.gov.au/Latest/C2022C00212" TargetMode="External"/><Relationship Id="rId33" Type="http://schemas.openxmlformats.org/officeDocument/2006/relationships/hyperlink" Target="https://www.myagedcare.gov.au/service-providers/profile-tips-service-providers/profile-tips-home-care-package-providers/hcp-providers-costs" TargetMode="External"/><Relationship Id="rId38" Type="http://schemas.openxmlformats.org/officeDocument/2006/relationships/hyperlink" Target="https://www.accc.gov.au/consumers/specific-products-and-activities/home-care-service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our-work/hcp/pricing/publishing-prices" TargetMode="External"/><Relationship Id="rId20" Type="http://schemas.openxmlformats.org/officeDocument/2006/relationships/hyperlink" Target="https://www.fairwork.gov.au/about-us/compliance-and-enforcement" TargetMode="External"/><Relationship Id="rId29" Type="http://schemas.openxmlformats.org/officeDocument/2006/relationships/hyperlink" Target="https://www.fairwork.gov.au/about-us/workplace-laws/annual-wage-review" TargetMode="External"/><Relationship Id="rId41" Type="http://schemas.openxmlformats.org/officeDocument/2006/relationships/hyperlink" Target="https://www.legislation.gov.au/Details/F2021C00861/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hearings-decisions/major-cases/work-value-case-aged-care-industry/decisions-statements-and" TargetMode="External"/><Relationship Id="rId24" Type="http://schemas.openxmlformats.org/officeDocument/2006/relationships/hyperlink" Target="https://www.accc.gov.au/" TargetMode="External"/><Relationship Id="rId32" Type="http://schemas.openxmlformats.org/officeDocument/2006/relationships/hyperlink" Target="https://www.health.gov.au/resources/publications/my-aged-care-service-and-support-portal-user-guide-part-1-administrator-functions?language=en" TargetMode="External"/><Relationship Id="rId37" Type="http://schemas.openxmlformats.org/officeDocument/2006/relationships/hyperlink" Target="https://www.health.gov.au/our-work/hcp/care-management/home-care-agreements" TargetMode="External"/><Relationship Id="rId40" Type="http://schemas.openxmlformats.org/officeDocument/2006/relationships/hyperlink" Target="https://www.legislation.gov.au/Details/C2021C00344/Text"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our-work/hcp/pricing/setting-prices" TargetMode="External"/><Relationship Id="rId23" Type="http://schemas.openxmlformats.org/officeDocument/2006/relationships/hyperlink" Target="https://www.agedcarequality.gov.au/consumers" TargetMode="External"/><Relationship Id="rId28" Type="http://schemas.openxmlformats.org/officeDocument/2006/relationships/hyperlink" Target="https://www.fairwork.gov.au/tools-and-resources/fact-sheets/minimum-workplace-entitlements/modern-awards" TargetMode="External"/><Relationship Id="rId36" Type="http://schemas.openxmlformats.org/officeDocument/2006/relationships/hyperlink" Target="https://services.fairwork.gov.au/get-help" TargetMode="External"/><Relationship Id="rId10" Type="http://schemas.openxmlformats.org/officeDocument/2006/relationships/endnotes" Target="endnotes.xml"/><Relationship Id="rId19" Type="http://schemas.openxmlformats.org/officeDocument/2006/relationships/hyperlink" Target="https://www.fairwork.gov.au/tools-and-resources/language-help/english/issues-in-the-workplace/resolving-workplace-disputes" TargetMode="External"/><Relationship Id="rId31" Type="http://schemas.openxmlformats.org/officeDocument/2006/relationships/hyperlink" Target="https://www.health.gov.au/resources/publications/my-aged-care-service-and-support-portal-user-guide-creating-service-delivery-outlets-and-adding-service-information?language=e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agedcare.gov.au/service-providers/profile-tips-service-providers/profile-tips-home-care-package-providers/hcp-providers-costs" TargetMode="External"/><Relationship Id="rId22" Type="http://schemas.openxmlformats.org/officeDocument/2006/relationships/hyperlink" Target="https://www.agedcarequality.gov.au/resource-library/provider-guidance-home-services-pricing-and-agreements" TargetMode="External"/><Relationship Id="rId27" Type="http://schemas.openxmlformats.org/officeDocument/2006/relationships/hyperlink" Target="https://library.fairwork.gov.au/viewer/?krn=K600383" TargetMode="External"/><Relationship Id="rId30" Type="http://schemas.openxmlformats.org/officeDocument/2006/relationships/hyperlink" Target="https://www.myagedcare.gov.au/find-a-provider-choice" TargetMode="External"/><Relationship Id="rId35" Type="http://schemas.openxmlformats.org/officeDocument/2006/relationships/hyperlink" Target="https://library.fairwork.gov.au/viewer/?krn=K600306" TargetMode="External"/><Relationship Id="rId43" Type="http://schemas.openxmlformats.org/officeDocument/2006/relationships/hyperlink" Target="mailto:agedcareenquiries@health.gov.au"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1caad870-3340-4911-bc92-c3989ba6ea87">Template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5AB8119B1D0B40B9C97E64BEA9C356" ma:contentTypeVersion="12" ma:contentTypeDescription="Create a new document." ma:contentTypeScope="" ma:versionID="777d9cf5c7728b85ba49536c988fbb27">
  <xsd:schema xmlns:xsd="http://www.w3.org/2001/XMLSchema" xmlns:xs="http://www.w3.org/2001/XMLSchema" xmlns:p="http://schemas.microsoft.com/office/2006/metadata/properties" xmlns:ns2="1caad870-3340-4911-bc92-c3989ba6ea87" xmlns:ns3="50d51488-8d6c-408c-8e2e-448ce4e05758" targetNamespace="http://schemas.microsoft.com/office/2006/metadata/properties" ma:root="true" ma:fieldsID="cc079d9b070b22d609109ea51b673897" ns2:_="" ns3:_="">
    <xsd:import namespace="1caad870-3340-4911-bc92-c3989ba6ea87"/>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d870-3340-4911-bc92-c3989ba6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Category" ma:index="19"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2.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3.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1caad870-3340-4911-bc92-c3989ba6ea87"/>
  </ds:schemaRefs>
</ds:datastoreItem>
</file>

<file path=customXml/itemProps4.xml><?xml version="1.0" encoding="utf-8"?>
<ds:datastoreItem xmlns:ds="http://schemas.openxmlformats.org/officeDocument/2006/customXml" ds:itemID="{5EB8CB6D-445B-4236-9974-68B8E8ECC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ad870-3340-4911-bc92-c3989ba6ea87"/>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3131</Words>
  <Characters>16565</Characters>
  <Application>Microsoft Office Word</Application>
  <DocSecurity>0</DocSecurity>
  <Lines>385</Lines>
  <Paragraphs>298</Paragraphs>
  <ScaleCrop>false</ScaleCrop>
  <HeadingPairs>
    <vt:vector size="2" baseType="variant">
      <vt:variant>
        <vt:lpstr>Title</vt:lpstr>
      </vt:variant>
      <vt:variant>
        <vt:i4>1</vt:i4>
      </vt:variant>
    </vt:vector>
  </HeadingPairs>
  <TitlesOfParts>
    <vt:vector size="1" baseType="lpstr">
      <vt:lpstr>Aged Care Wage Rise (Stage 3) – Home Care Packages Program subsidy increase</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Wage Rise (Stage 3) – Home Care Packages Program subsidy increase</dc:title>
  <dc:subject>Aged Care</dc:subject>
  <dc:creator>Australian Government Department of Health and Aged Care</dc:creator>
  <cp:keywords>Aged Care, Aged Care Reforms</cp:keywords>
  <dc:description/>
  <cp:lastModifiedBy>MASCHKE, Elvia</cp:lastModifiedBy>
  <cp:revision>4</cp:revision>
  <dcterms:created xsi:type="dcterms:W3CDTF">2024-11-12T06:00:00Z</dcterms:created>
  <dcterms:modified xsi:type="dcterms:W3CDTF">2024-11-12T06:12:00Z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0x010100655AB8119B1D0B40B9C97E64BEA9C356</vt:lpwstr>
  </property>
</Properties>
</file>