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58A1" w14:textId="77777777" w:rsidR="00710C17" w:rsidRPr="00200365" w:rsidRDefault="00710C17" w:rsidP="00200365">
      <w:pPr>
        <w:pStyle w:val="Title"/>
      </w:pPr>
      <w:bookmarkStart w:id="0" w:name="_Toc83808543"/>
      <w:r w:rsidRPr="00200365">
        <w:t>Questions &amp; Answers</w:t>
      </w:r>
      <w:bookmarkEnd w:id="0"/>
    </w:p>
    <w:p w14:paraId="4D71DEFF" w14:textId="7F1C3E90" w:rsidR="00710C17" w:rsidRDefault="00710C17" w:rsidP="00200365">
      <w:pPr>
        <w:pStyle w:val="Title"/>
      </w:pPr>
      <w:r w:rsidRPr="00200365">
        <w:t xml:space="preserve">MPS webinar: - Aged care reforms: impacts on the MPS program and providers – </w:t>
      </w:r>
      <w:r w:rsidR="00D739D0" w:rsidRPr="00200365">
        <w:t>29</w:t>
      </w:r>
      <w:r w:rsidRPr="00200365">
        <w:t xml:space="preserve"> Ju</w:t>
      </w:r>
      <w:r w:rsidR="00D739D0" w:rsidRPr="00200365">
        <w:t>ly</w:t>
      </w:r>
      <w:r w:rsidRPr="00200365">
        <w:t xml:space="preserve"> 2024</w:t>
      </w:r>
    </w:p>
    <w:sdt>
      <w:sdtPr>
        <w:rPr>
          <w:rFonts w:asciiTheme="minorHAnsi" w:eastAsiaTheme="minorHAnsi" w:hAnsiTheme="minorHAnsi" w:cstheme="minorHAnsi"/>
          <w:b w:val="0"/>
          <w:color w:val="auto"/>
          <w:sz w:val="22"/>
          <w:szCs w:val="20"/>
          <w:lang w:val="en-AU"/>
        </w:rPr>
        <w:id w:val="2138910351"/>
        <w:docPartObj>
          <w:docPartGallery w:val="Table of Contents"/>
          <w:docPartUnique/>
        </w:docPartObj>
      </w:sdtPr>
      <w:sdtEndPr>
        <w:rPr>
          <w:bCs/>
          <w:noProof/>
        </w:rPr>
      </w:sdtEndPr>
      <w:sdtContent>
        <w:p w14:paraId="67590B08" w14:textId="6C98DF63" w:rsidR="00200365" w:rsidRDefault="00200365">
          <w:pPr>
            <w:pStyle w:val="TOCHeading"/>
          </w:pPr>
          <w:r>
            <w:t>Table of Contents</w:t>
          </w:r>
        </w:p>
        <w:p w14:paraId="35BF0B40" w14:textId="4424969E" w:rsidR="00200365" w:rsidRDefault="00200365">
          <w:pPr>
            <w:pStyle w:val="TOC1"/>
            <w:tabs>
              <w:tab w:val="right" w:leader="dot" w:pos="9016"/>
            </w:tabs>
            <w:rPr>
              <w:rFonts w:eastAsiaTheme="minorEastAsia" w:cstheme="minorBidi"/>
              <w:noProof/>
              <w:kern w:val="2"/>
              <w:szCs w:val="22"/>
              <w:lang w:eastAsia="en-AU"/>
              <w14:ligatures w14:val="standardContextual"/>
            </w:rPr>
          </w:pPr>
          <w:r>
            <w:fldChar w:fldCharType="begin"/>
          </w:r>
          <w:r>
            <w:instrText xml:space="preserve"> TOC \o "1-1" \h \z \u </w:instrText>
          </w:r>
          <w:r>
            <w:fldChar w:fldCharType="separate"/>
          </w:r>
          <w:hyperlink w:anchor="_Toc179815344" w:history="1">
            <w:r w:rsidRPr="00913DDB">
              <w:rPr>
                <w:rStyle w:val="Hyperlink"/>
                <w:noProof/>
              </w:rPr>
              <w:t>Introduction</w:t>
            </w:r>
            <w:r>
              <w:rPr>
                <w:noProof/>
                <w:webHidden/>
              </w:rPr>
              <w:tab/>
            </w:r>
            <w:r>
              <w:rPr>
                <w:noProof/>
                <w:webHidden/>
              </w:rPr>
              <w:fldChar w:fldCharType="begin"/>
            </w:r>
            <w:r>
              <w:rPr>
                <w:noProof/>
                <w:webHidden/>
              </w:rPr>
              <w:instrText xml:space="preserve"> PAGEREF _Toc179815344 \h </w:instrText>
            </w:r>
            <w:r>
              <w:rPr>
                <w:noProof/>
                <w:webHidden/>
              </w:rPr>
            </w:r>
            <w:r>
              <w:rPr>
                <w:noProof/>
                <w:webHidden/>
              </w:rPr>
              <w:fldChar w:fldCharType="separate"/>
            </w:r>
            <w:r>
              <w:rPr>
                <w:noProof/>
                <w:webHidden/>
              </w:rPr>
              <w:t>1</w:t>
            </w:r>
            <w:r>
              <w:rPr>
                <w:noProof/>
                <w:webHidden/>
              </w:rPr>
              <w:fldChar w:fldCharType="end"/>
            </w:r>
          </w:hyperlink>
        </w:p>
        <w:p w14:paraId="7D1F53C3" w14:textId="4E340C52" w:rsidR="00200365"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345" w:history="1">
            <w:r w:rsidR="00200365" w:rsidRPr="00913DDB">
              <w:rPr>
                <w:rStyle w:val="Hyperlink"/>
                <w:noProof/>
              </w:rPr>
              <w:t>Question and Answers</w:t>
            </w:r>
            <w:r w:rsidR="00200365">
              <w:rPr>
                <w:noProof/>
                <w:webHidden/>
              </w:rPr>
              <w:tab/>
            </w:r>
            <w:r w:rsidR="00200365">
              <w:rPr>
                <w:noProof/>
                <w:webHidden/>
              </w:rPr>
              <w:fldChar w:fldCharType="begin"/>
            </w:r>
            <w:r w:rsidR="00200365">
              <w:rPr>
                <w:noProof/>
                <w:webHidden/>
              </w:rPr>
              <w:instrText xml:space="preserve"> PAGEREF _Toc179815345 \h </w:instrText>
            </w:r>
            <w:r w:rsidR="00200365">
              <w:rPr>
                <w:noProof/>
                <w:webHidden/>
              </w:rPr>
            </w:r>
            <w:r w:rsidR="00200365">
              <w:rPr>
                <w:noProof/>
                <w:webHidden/>
              </w:rPr>
              <w:fldChar w:fldCharType="separate"/>
            </w:r>
            <w:r w:rsidR="00200365">
              <w:rPr>
                <w:noProof/>
                <w:webHidden/>
              </w:rPr>
              <w:t>1</w:t>
            </w:r>
            <w:r w:rsidR="00200365">
              <w:rPr>
                <w:noProof/>
                <w:webHidden/>
              </w:rPr>
              <w:fldChar w:fldCharType="end"/>
            </w:r>
          </w:hyperlink>
        </w:p>
        <w:p w14:paraId="35DD64EA" w14:textId="6C1979FB" w:rsidR="00200365"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346" w:history="1">
            <w:r w:rsidR="00200365" w:rsidRPr="00913DDB">
              <w:rPr>
                <w:rStyle w:val="Hyperlink"/>
                <w:noProof/>
                <w:lang w:val="en-US"/>
              </w:rPr>
              <w:t>Document History</w:t>
            </w:r>
            <w:r w:rsidR="00200365">
              <w:rPr>
                <w:noProof/>
                <w:webHidden/>
              </w:rPr>
              <w:tab/>
            </w:r>
            <w:r w:rsidR="00200365">
              <w:rPr>
                <w:noProof/>
                <w:webHidden/>
              </w:rPr>
              <w:fldChar w:fldCharType="begin"/>
            </w:r>
            <w:r w:rsidR="00200365">
              <w:rPr>
                <w:noProof/>
                <w:webHidden/>
              </w:rPr>
              <w:instrText xml:space="preserve"> PAGEREF _Toc179815346 \h </w:instrText>
            </w:r>
            <w:r w:rsidR="00200365">
              <w:rPr>
                <w:noProof/>
                <w:webHidden/>
              </w:rPr>
            </w:r>
            <w:r w:rsidR="00200365">
              <w:rPr>
                <w:noProof/>
                <w:webHidden/>
              </w:rPr>
              <w:fldChar w:fldCharType="separate"/>
            </w:r>
            <w:r w:rsidR="00200365">
              <w:rPr>
                <w:noProof/>
                <w:webHidden/>
              </w:rPr>
              <w:t>2</w:t>
            </w:r>
            <w:r w:rsidR="00200365">
              <w:rPr>
                <w:noProof/>
                <w:webHidden/>
              </w:rPr>
              <w:fldChar w:fldCharType="end"/>
            </w:r>
          </w:hyperlink>
        </w:p>
        <w:p w14:paraId="09752F44" w14:textId="6466ADBE" w:rsidR="00200365"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347" w:history="1">
            <w:r w:rsidR="00200365" w:rsidRPr="00913DDB">
              <w:rPr>
                <w:rStyle w:val="Hyperlink"/>
                <w:noProof/>
              </w:rPr>
              <w:t>Acronym/ Abbreviation</w:t>
            </w:r>
            <w:r w:rsidR="00200365">
              <w:rPr>
                <w:noProof/>
                <w:webHidden/>
              </w:rPr>
              <w:tab/>
            </w:r>
            <w:r w:rsidR="00200365">
              <w:rPr>
                <w:noProof/>
                <w:webHidden/>
              </w:rPr>
              <w:fldChar w:fldCharType="begin"/>
            </w:r>
            <w:r w:rsidR="00200365">
              <w:rPr>
                <w:noProof/>
                <w:webHidden/>
              </w:rPr>
              <w:instrText xml:space="preserve"> PAGEREF _Toc179815347 \h </w:instrText>
            </w:r>
            <w:r w:rsidR="00200365">
              <w:rPr>
                <w:noProof/>
                <w:webHidden/>
              </w:rPr>
            </w:r>
            <w:r w:rsidR="00200365">
              <w:rPr>
                <w:noProof/>
                <w:webHidden/>
              </w:rPr>
              <w:fldChar w:fldCharType="separate"/>
            </w:r>
            <w:r w:rsidR="00200365">
              <w:rPr>
                <w:noProof/>
                <w:webHidden/>
              </w:rPr>
              <w:t>2</w:t>
            </w:r>
            <w:r w:rsidR="00200365">
              <w:rPr>
                <w:noProof/>
                <w:webHidden/>
              </w:rPr>
              <w:fldChar w:fldCharType="end"/>
            </w:r>
          </w:hyperlink>
        </w:p>
        <w:p w14:paraId="29BDC48D" w14:textId="6FA2F767" w:rsidR="00200365" w:rsidRPr="00200365" w:rsidRDefault="00200365" w:rsidP="00200365">
          <w:r>
            <w:fldChar w:fldCharType="end"/>
          </w:r>
        </w:p>
      </w:sdtContent>
    </w:sdt>
    <w:p w14:paraId="24BF736A" w14:textId="070A0E6B" w:rsidR="00710C17" w:rsidRPr="004D56BC" w:rsidRDefault="00710C17" w:rsidP="00200365">
      <w:pPr>
        <w:pStyle w:val="Heading1"/>
      </w:pPr>
      <w:bookmarkStart w:id="1" w:name="_Toc170219261"/>
      <w:bookmarkStart w:id="2" w:name="_Toc170893618"/>
      <w:bookmarkStart w:id="3" w:name="_Toc179799681"/>
      <w:bookmarkStart w:id="4" w:name="_Toc179815344"/>
      <w:r w:rsidRPr="004D56BC">
        <w:t>Introduction</w:t>
      </w:r>
      <w:bookmarkEnd w:id="1"/>
      <w:bookmarkEnd w:id="2"/>
      <w:bookmarkEnd w:id="3"/>
      <w:bookmarkEnd w:id="4"/>
    </w:p>
    <w:p w14:paraId="5FBB7509" w14:textId="4761CE5D" w:rsidR="00710C17" w:rsidRPr="00251DEF" w:rsidRDefault="00710C17" w:rsidP="00F10E3A">
      <w:pPr>
        <w:rPr>
          <w:lang w:val="en-US"/>
        </w:rPr>
      </w:pPr>
      <w:r w:rsidRPr="00E12CC6">
        <w:rPr>
          <w:lang w:val="en-US"/>
        </w:rPr>
        <w:t xml:space="preserve">On </w:t>
      </w:r>
      <w:r w:rsidR="00E66382">
        <w:rPr>
          <w:lang w:val="en-US"/>
        </w:rPr>
        <w:t>29</w:t>
      </w:r>
      <w:r w:rsidRPr="00E12CC6">
        <w:rPr>
          <w:lang w:val="en-US"/>
        </w:rPr>
        <w:t xml:space="preserve"> Ju</w:t>
      </w:r>
      <w:r w:rsidR="00E66382">
        <w:rPr>
          <w:lang w:val="en-US"/>
        </w:rPr>
        <w:t>ly</w:t>
      </w:r>
      <w:r w:rsidRPr="00E12CC6">
        <w:rPr>
          <w:lang w:val="en-US"/>
        </w:rPr>
        <w:t xml:space="preserve"> 2024, the Department of </w:t>
      </w:r>
      <w:proofErr w:type="gramStart"/>
      <w:r w:rsidRPr="00E12CC6">
        <w:rPr>
          <w:lang w:val="en-US"/>
        </w:rPr>
        <w:t>Health</w:t>
      </w:r>
      <w:proofErr w:type="gramEnd"/>
      <w:r w:rsidRPr="00E12CC6">
        <w:rPr>
          <w:lang w:val="en-US"/>
        </w:rPr>
        <w:t xml:space="preserve"> and Aged Care (</w:t>
      </w:r>
      <w:r w:rsidR="004D56BC">
        <w:rPr>
          <w:lang w:val="en-US"/>
        </w:rPr>
        <w:t>the Department</w:t>
      </w:r>
      <w:r w:rsidRPr="00E12CC6">
        <w:rPr>
          <w:lang w:val="en-US"/>
        </w:rPr>
        <w:t>) hosted a webinar for MPS providers, to explain how aged care reforms will impact the</w:t>
      </w:r>
      <w:r w:rsidR="003F75C0" w:rsidRPr="003F75C0">
        <w:t xml:space="preserve"> </w:t>
      </w:r>
      <w:r w:rsidR="003F75C0" w:rsidRPr="003F75C0">
        <w:rPr>
          <w:lang w:val="en-US"/>
        </w:rPr>
        <w:t>Multi-Purpose Services</w:t>
      </w:r>
      <w:r w:rsidRPr="00E12CC6">
        <w:rPr>
          <w:lang w:val="en-US"/>
        </w:rPr>
        <w:t xml:space="preserve"> </w:t>
      </w:r>
      <w:r w:rsidR="003F75C0">
        <w:rPr>
          <w:lang w:val="en-US"/>
        </w:rPr>
        <w:t>(</w:t>
      </w:r>
      <w:r w:rsidRPr="00E12CC6">
        <w:rPr>
          <w:lang w:val="en-US"/>
        </w:rPr>
        <w:t>MPS</w:t>
      </w:r>
      <w:r w:rsidR="003F75C0">
        <w:rPr>
          <w:lang w:val="en-US"/>
        </w:rPr>
        <w:t>)</w:t>
      </w:r>
      <w:r w:rsidRPr="00E12CC6">
        <w:rPr>
          <w:lang w:val="en-US"/>
        </w:rPr>
        <w:t xml:space="preserve"> program and its providers. </w:t>
      </w:r>
      <w:r w:rsidRPr="00251DEF">
        <w:rPr>
          <w:lang w:val="en-US"/>
        </w:rPr>
        <w:t>Health thanks all attendees for their engagement.</w:t>
      </w:r>
    </w:p>
    <w:p w14:paraId="3585B7B5" w14:textId="4C6C3642" w:rsidR="00710C17" w:rsidRDefault="00347AAA" w:rsidP="00F10E3A">
      <w:pPr>
        <w:rPr>
          <w:lang w:val="en-US"/>
        </w:rPr>
      </w:pPr>
      <w:r>
        <w:rPr>
          <w:lang w:val="en-US"/>
        </w:rPr>
        <w:t>The</w:t>
      </w:r>
      <w:r w:rsidRPr="00251DEF">
        <w:rPr>
          <w:lang w:val="en-US"/>
        </w:rPr>
        <w:t xml:space="preserve"> </w:t>
      </w:r>
      <w:r w:rsidR="00710C17" w:rsidRPr="00251DEF">
        <w:rPr>
          <w:lang w:val="en-US"/>
        </w:rPr>
        <w:t xml:space="preserve">webinar </w:t>
      </w:r>
      <w:r>
        <w:rPr>
          <w:lang w:val="en-US"/>
        </w:rPr>
        <w:t>wa</w:t>
      </w:r>
      <w:r w:rsidR="00710C17">
        <w:rPr>
          <w:lang w:val="en-US"/>
        </w:rPr>
        <w:t xml:space="preserve">s </w:t>
      </w:r>
      <w:r w:rsidR="0047458B">
        <w:rPr>
          <w:lang w:val="en-US"/>
        </w:rPr>
        <w:t xml:space="preserve">the third in </w:t>
      </w:r>
      <w:r w:rsidR="00710C17" w:rsidRPr="00251DEF">
        <w:rPr>
          <w:lang w:val="en-US"/>
        </w:rPr>
        <w:t>a series</w:t>
      </w:r>
      <w:r w:rsidR="00710C17">
        <w:rPr>
          <w:lang w:val="en-US"/>
        </w:rPr>
        <w:t xml:space="preserve"> </w:t>
      </w:r>
      <w:r w:rsidR="00710C17" w:rsidRPr="00251DEF">
        <w:rPr>
          <w:lang w:val="en-US"/>
        </w:rPr>
        <w:t xml:space="preserve">sharing information, answering </w:t>
      </w:r>
      <w:r w:rsidR="00710C17" w:rsidRPr="006F0170">
        <w:rPr>
          <w:lang w:val="en-US"/>
        </w:rPr>
        <w:t>questions,</w:t>
      </w:r>
      <w:r w:rsidR="00710C17" w:rsidRPr="002B42BE">
        <w:rPr>
          <w:lang w:val="en-US"/>
        </w:rPr>
        <w:t xml:space="preserve"> and seeking input for the design and implementation of reforms. These webinars build on </w:t>
      </w:r>
      <w:r w:rsidR="004D56BC">
        <w:rPr>
          <w:lang w:val="en-US"/>
        </w:rPr>
        <w:t>the Department</w:t>
      </w:r>
      <w:r w:rsidR="00710C17" w:rsidRPr="002B42BE">
        <w:rPr>
          <w:lang w:val="en-US"/>
        </w:rPr>
        <w:t>’s ongoing engagement on MPS reforms with state and territory health department officials, through the MPS</w:t>
      </w:r>
      <w:r w:rsidR="00E36667">
        <w:rPr>
          <w:lang w:val="en-US"/>
        </w:rPr>
        <w:t> </w:t>
      </w:r>
      <w:r w:rsidR="00710C17" w:rsidRPr="002B42BE">
        <w:rPr>
          <w:lang w:val="en-US"/>
        </w:rPr>
        <w:t>Working Group.</w:t>
      </w:r>
    </w:p>
    <w:p w14:paraId="5DE6B44D" w14:textId="65434184" w:rsidR="00293D76" w:rsidRDefault="00291F7E" w:rsidP="00F10E3A">
      <w:pPr>
        <w:rPr>
          <w:lang w:val="en-US"/>
        </w:rPr>
      </w:pPr>
      <w:r>
        <w:rPr>
          <w:lang w:val="en-US"/>
        </w:rPr>
        <w:t>The</w:t>
      </w:r>
      <w:r w:rsidR="008E2195">
        <w:rPr>
          <w:lang w:val="en-US"/>
        </w:rPr>
        <w:t xml:space="preserve"> webinar</w:t>
      </w:r>
      <w:r w:rsidR="00A6515E">
        <w:rPr>
          <w:lang w:val="en-US"/>
        </w:rPr>
        <w:t xml:space="preserve"> </w:t>
      </w:r>
      <w:r w:rsidR="000934C0">
        <w:rPr>
          <w:lang w:val="en-US"/>
        </w:rPr>
        <w:t>included</w:t>
      </w:r>
      <w:r w:rsidR="0059503A">
        <w:rPr>
          <w:lang w:val="en-US"/>
        </w:rPr>
        <w:t xml:space="preserve"> the following topics</w:t>
      </w:r>
      <w:r w:rsidR="00A6515E">
        <w:rPr>
          <w:lang w:val="en-US"/>
        </w:rPr>
        <w:t>:</w:t>
      </w:r>
    </w:p>
    <w:p w14:paraId="0181CE94" w14:textId="69FFB6A9" w:rsidR="00B64850" w:rsidRPr="00B64850" w:rsidRDefault="00B64850" w:rsidP="00F10E3A">
      <w:pPr>
        <w:pStyle w:val="ListBullet"/>
      </w:pPr>
      <w:r w:rsidRPr="00B64850">
        <w:t xml:space="preserve">Reform schedule developments and quick </w:t>
      </w:r>
      <w:proofErr w:type="gramStart"/>
      <w:r w:rsidRPr="00B64850">
        <w:t>updates</w:t>
      </w:r>
      <w:proofErr w:type="gramEnd"/>
      <w:r w:rsidRPr="00B64850">
        <w:t xml:space="preserve"> </w:t>
      </w:r>
    </w:p>
    <w:p w14:paraId="6BDEAAE0" w14:textId="77777777" w:rsidR="00B64850" w:rsidRPr="00B64850" w:rsidRDefault="00B64850" w:rsidP="00F10E3A">
      <w:pPr>
        <w:pStyle w:val="ListBullet"/>
      </w:pPr>
      <w:r w:rsidRPr="00B64850">
        <w:t>Direct care targets trial</w:t>
      </w:r>
    </w:p>
    <w:p w14:paraId="584E4C89" w14:textId="1E1DA65D" w:rsidR="00B64850" w:rsidRPr="00B64850" w:rsidRDefault="00E36667" w:rsidP="00F10E3A">
      <w:pPr>
        <w:pStyle w:val="ListBullet"/>
      </w:pPr>
      <w:r>
        <w:t xml:space="preserve">Updates to the </w:t>
      </w:r>
      <w:r w:rsidR="00B64850" w:rsidRPr="00B64850">
        <w:t>MPS Module</w:t>
      </w:r>
    </w:p>
    <w:p w14:paraId="4EDAFE35" w14:textId="77777777" w:rsidR="00B64850" w:rsidRPr="00B64850" w:rsidRDefault="00B64850" w:rsidP="00F10E3A">
      <w:pPr>
        <w:pStyle w:val="ListBullet"/>
      </w:pPr>
      <w:r w:rsidRPr="00B64850">
        <w:t>Provider obligations under the new Act (Part 2)</w:t>
      </w:r>
    </w:p>
    <w:p w14:paraId="05A607DE" w14:textId="1C04D1F2" w:rsidR="00582D9E" w:rsidRPr="00027016" w:rsidRDefault="00582D9E" w:rsidP="00F10E3A">
      <w:pPr>
        <w:rPr>
          <w:lang w:val="en-US"/>
        </w:rPr>
      </w:pPr>
      <w:r w:rsidRPr="00027016">
        <w:rPr>
          <w:lang w:val="en-US"/>
        </w:rPr>
        <w:t xml:space="preserve">This document </w:t>
      </w:r>
      <w:r w:rsidR="005F564D">
        <w:rPr>
          <w:lang w:val="en-US"/>
        </w:rPr>
        <w:t>is</w:t>
      </w:r>
      <w:r w:rsidRPr="00027016">
        <w:rPr>
          <w:lang w:val="en-US"/>
        </w:rPr>
        <w:t xml:space="preserve"> a summary of key questions and answers from the webinar, grouped into themes</w:t>
      </w:r>
      <w:r w:rsidR="0059503A">
        <w:rPr>
          <w:lang w:val="en-US"/>
        </w:rPr>
        <w:t>.</w:t>
      </w:r>
    </w:p>
    <w:p w14:paraId="7EA86664" w14:textId="62C155D6" w:rsidR="00710C17" w:rsidRPr="00027016" w:rsidRDefault="00710C17" w:rsidP="00F10E3A">
      <w:pPr>
        <w:rPr>
          <w:lang w:val="en-US"/>
        </w:rPr>
      </w:pPr>
      <w:r w:rsidRPr="00027016">
        <w:rPr>
          <w:lang w:val="en-US"/>
        </w:rPr>
        <w:t xml:space="preserve">The answers below incorporate verbal responses from </w:t>
      </w:r>
      <w:r>
        <w:rPr>
          <w:lang w:val="en-US"/>
        </w:rPr>
        <w:t>the Department</w:t>
      </w:r>
      <w:r w:rsidRPr="00027016">
        <w:rPr>
          <w:lang w:val="en-US"/>
        </w:rPr>
        <w:t>’s officials during the webinar, with further information added if required for clarity</w:t>
      </w:r>
      <w:r w:rsidR="0009779E">
        <w:rPr>
          <w:lang w:val="en-US"/>
        </w:rPr>
        <w:t>,</w:t>
      </w:r>
      <w:r w:rsidRPr="00027016">
        <w:rPr>
          <w:lang w:val="en-US"/>
        </w:rPr>
        <w:t xml:space="preserve"> and for any questions that did not </w:t>
      </w:r>
      <w:r w:rsidR="0009779E">
        <w:rPr>
          <w:lang w:val="en-US"/>
        </w:rPr>
        <w:t>receive</w:t>
      </w:r>
      <w:r w:rsidRPr="00027016">
        <w:rPr>
          <w:lang w:val="en-US"/>
        </w:rPr>
        <w:t xml:space="preserve"> a response during the session. Responses were correct as at the time of the webinar. </w:t>
      </w:r>
    </w:p>
    <w:p w14:paraId="6F7B057B" w14:textId="6290D376" w:rsidR="00B625B4" w:rsidRDefault="00710C17" w:rsidP="00200365">
      <w:pPr>
        <w:pStyle w:val="Heading1"/>
      </w:pPr>
      <w:bookmarkStart w:id="5" w:name="_Toc170219266"/>
      <w:bookmarkStart w:id="6" w:name="_Toc170893619"/>
      <w:bookmarkStart w:id="7" w:name="_Toc179799682"/>
      <w:bookmarkStart w:id="8" w:name="_Toc179815345"/>
      <w:r w:rsidRPr="00C654EE">
        <w:t>Question and Answers</w:t>
      </w:r>
      <w:bookmarkEnd w:id="5"/>
      <w:bookmarkEnd w:id="6"/>
      <w:bookmarkEnd w:id="7"/>
      <w:bookmarkEnd w:id="8"/>
    </w:p>
    <w:p w14:paraId="6D8AE2AC" w14:textId="710C37DD" w:rsidR="00302CE5" w:rsidRPr="003A1DA5" w:rsidRDefault="000C1E9D" w:rsidP="003A1DA5">
      <w:pPr>
        <w:pStyle w:val="Heading2"/>
      </w:pPr>
      <w:r w:rsidRPr="003F3CE4">
        <w:t>MPS Integrated Assessment Tool (IAT)</w:t>
      </w:r>
    </w:p>
    <w:p w14:paraId="4F14A3E6" w14:textId="0B23BDE6" w:rsidR="00B625B4" w:rsidRPr="00F10E3A" w:rsidRDefault="00B625B4" w:rsidP="00F10E3A">
      <w:pPr>
        <w:pStyle w:val="ListNumber"/>
      </w:pPr>
      <w:r w:rsidRPr="00F10E3A">
        <w:t>Will all existing</w:t>
      </w:r>
      <w:r w:rsidR="0004583D" w:rsidRPr="00F10E3A">
        <w:t>/</w:t>
      </w:r>
      <w:r w:rsidRPr="00F10E3A">
        <w:t>current MPS residents require reassessment on the IAT by July 2025 even if they are already assessed under the NSAF?</w:t>
      </w:r>
    </w:p>
    <w:p w14:paraId="5732A02B" w14:textId="160D5D16" w:rsidR="00E36667" w:rsidRDefault="00E36667" w:rsidP="0017398B">
      <w:r>
        <w:t xml:space="preserve">Transitional arrangements for existing MPS residents are still being finalised and will be discussed at the next MPS reform </w:t>
      </w:r>
      <w:proofErr w:type="gramStart"/>
      <w:r>
        <w:t>webinar..</w:t>
      </w:r>
      <w:proofErr w:type="gramEnd"/>
    </w:p>
    <w:p w14:paraId="18CFE237" w14:textId="1C7615D3" w:rsidR="00E36667" w:rsidRDefault="00E36667" w:rsidP="0017398B">
      <w:r>
        <w:t>Our aim is to avoid re-assessments where possible. However, to ensure continuity of services, MPS providers are likely to be required to provide certain information about existing clients to ensure we can confirm they meet any legal requirements and avoid any disruption to services, or need for a formal re-assessment of their aged care service needs.</w:t>
      </w:r>
    </w:p>
    <w:p w14:paraId="4B286DB2" w14:textId="7D3DE272" w:rsidR="00B625B4" w:rsidRPr="00F10E3A" w:rsidRDefault="00B625B4" w:rsidP="00F10E3A">
      <w:pPr>
        <w:pStyle w:val="ListNumber"/>
      </w:pPr>
      <w:r w:rsidRPr="00F10E3A">
        <w:t xml:space="preserve">Will the IAT be compulsory for all new MPS residents following </w:t>
      </w:r>
      <w:r w:rsidR="004852B4" w:rsidRPr="00F10E3A">
        <w:t xml:space="preserve">the </w:t>
      </w:r>
      <w:r w:rsidRPr="00F10E3A">
        <w:t xml:space="preserve">launch of the </w:t>
      </w:r>
      <w:r w:rsidR="004852B4" w:rsidRPr="00F10E3A">
        <w:t xml:space="preserve">new </w:t>
      </w:r>
      <w:r w:rsidRPr="00F10E3A">
        <w:t>Aged Care Act</w:t>
      </w:r>
      <w:r w:rsidR="004852B4" w:rsidRPr="00F10E3A">
        <w:t>,</w:t>
      </w:r>
      <w:r w:rsidRPr="00F10E3A">
        <w:t xml:space="preserve"> or will there be a lead time before it is compulsory?</w:t>
      </w:r>
    </w:p>
    <w:p w14:paraId="723A5C26" w14:textId="27BAE0B5" w:rsidR="00444889" w:rsidRPr="00F10E3A" w:rsidRDefault="00E36667" w:rsidP="00F10E3A">
      <w:pPr>
        <w:ind w:right="-330"/>
      </w:pPr>
      <w:r>
        <w:t xml:space="preserve">Yes </w:t>
      </w:r>
      <w:r w:rsidR="00444889">
        <w:t>–</w:t>
      </w:r>
      <w:r>
        <w:t xml:space="preserve"> </w:t>
      </w:r>
      <w:r w:rsidR="00444889">
        <w:t>all new applicants for Commonwealth aged care services after the commencement of the new Aged Care Act, if eligible, will need to undertake a needs assessment with an approved needs assessor. The IAT will be the assessment tool used by the assessor.</w:t>
      </w:r>
      <w:r w:rsidR="00444889">
        <w:rPr>
          <w:b/>
          <w:bCs/>
          <w:sz w:val="24"/>
          <w:szCs w:val="24"/>
        </w:rPr>
        <w:br w:type="page"/>
      </w:r>
    </w:p>
    <w:p w14:paraId="79ED62F0" w14:textId="00A26CF3" w:rsidR="00825379" w:rsidRPr="003F3CE4" w:rsidRDefault="00E36667" w:rsidP="003A1DA5">
      <w:pPr>
        <w:pStyle w:val="Heading2"/>
      </w:pPr>
      <w:r>
        <w:lastRenderedPageBreak/>
        <w:t xml:space="preserve">Updating the </w:t>
      </w:r>
      <w:r w:rsidR="00D31E10" w:rsidRPr="00D31E10">
        <w:t>MPS Module</w:t>
      </w:r>
      <w:r>
        <w:t xml:space="preserve"> to align with the strengthened Quality Standards</w:t>
      </w:r>
    </w:p>
    <w:p w14:paraId="2A375DEF" w14:textId="563B9849" w:rsidR="00B625B4" w:rsidRPr="00F10E3A" w:rsidRDefault="00901A88" w:rsidP="00F10E3A">
      <w:pPr>
        <w:pStyle w:val="ListNumber"/>
      </w:pPr>
      <w:r w:rsidRPr="00F10E3A">
        <w:t xml:space="preserve">Will the Aged </w:t>
      </w:r>
      <w:r w:rsidR="00257E62" w:rsidRPr="00F10E3A">
        <w:t>C</w:t>
      </w:r>
      <w:r w:rsidRPr="00F10E3A">
        <w:t xml:space="preserve">are Module cover services delivered in the community as well as bed based </w:t>
      </w:r>
      <w:r w:rsidR="007E38A3" w:rsidRPr="00F10E3A">
        <w:t>(residentia</w:t>
      </w:r>
      <w:r w:rsidR="00257E62" w:rsidRPr="00F10E3A">
        <w:t xml:space="preserve">l) </w:t>
      </w:r>
      <w:r w:rsidRPr="00F10E3A">
        <w:t>aged care?</w:t>
      </w:r>
    </w:p>
    <w:p w14:paraId="69E74A95" w14:textId="01439391" w:rsidR="00C846FE" w:rsidRDefault="00444889" w:rsidP="00B625B4">
      <w:r>
        <w:t xml:space="preserve">Yes - </w:t>
      </w:r>
      <w:r w:rsidR="00B625B4">
        <w:t xml:space="preserve">the </w:t>
      </w:r>
      <w:r w:rsidR="002162FC" w:rsidRPr="002162FC">
        <w:t xml:space="preserve">MPS Aged Care </w:t>
      </w:r>
      <w:r w:rsidR="00B625B4">
        <w:t xml:space="preserve">Module will cover </w:t>
      </w:r>
      <w:r w:rsidR="00BB6F3C">
        <w:t>all</w:t>
      </w:r>
      <w:r w:rsidR="00B625B4">
        <w:t xml:space="preserve"> services</w:t>
      </w:r>
      <w:r w:rsidR="00E77A9E">
        <w:t xml:space="preserve"> provided by an MPS</w:t>
      </w:r>
      <w:r w:rsidR="00B625B4">
        <w:t>.</w:t>
      </w:r>
    </w:p>
    <w:p w14:paraId="7940BE59" w14:textId="44456FA1" w:rsidR="007513B2" w:rsidRPr="000E0274" w:rsidRDefault="008E3BE4" w:rsidP="003A1DA5">
      <w:pPr>
        <w:pStyle w:val="Heading2"/>
      </w:pPr>
      <w:r w:rsidRPr="008E3BE4">
        <w:t>Provider obligations under the new Act (Part 2)</w:t>
      </w:r>
    </w:p>
    <w:p w14:paraId="1A3AB0F8" w14:textId="21FEEE80" w:rsidR="00B625B4" w:rsidRPr="00F10E3A" w:rsidRDefault="00C846FE" w:rsidP="00F10E3A">
      <w:pPr>
        <w:pStyle w:val="ListNumber"/>
      </w:pPr>
      <w:r w:rsidRPr="00F10E3A">
        <w:t>Can we get some clarity on any financial penalty for not notifying of material changes within the time frame?</w:t>
      </w:r>
    </w:p>
    <w:p w14:paraId="4826AAEE" w14:textId="48797244" w:rsidR="007C1479" w:rsidRDefault="00444889" w:rsidP="007C1479">
      <w:pPr>
        <w:ind w:right="-188"/>
      </w:pPr>
      <w:r>
        <w:t>The</w:t>
      </w:r>
      <w:r w:rsidRPr="007C07A0">
        <w:t xml:space="preserve"> </w:t>
      </w:r>
      <w:hyperlink r:id="rId9" w:history="1">
        <w:r w:rsidRPr="000F3A7D">
          <w:rPr>
            <w:rStyle w:val="Hyperlink"/>
          </w:rPr>
          <w:t>exposure draft</w:t>
        </w:r>
      </w:hyperlink>
      <w:r w:rsidRPr="007C07A0">
        <w:t xml:space="preserve"> of the Bill for the new Aged Care Act</w:t>
      </w:r>
      <w:r>
        <w:t xml:space="preserve"> at section 110 </w:t>
      </w:r>
      <w:r w:rsidR="007C1479">
        <w:t xml:space="preserve">currently </w:t>
      </w:r>
      <w:r>
        <w:t>outlines a proposed civil penalty of 30 penalty units where a registered provider fails to notify the Commissioner or a change in circumstances where required</w:t>
      </w:r>
      <w:r w:rsidR="007C1479">
        <w:t>. However, any final penalty arrangements will be dependent on Parliamentary passage of the Bill and any subsequent amendments made to this provision.</w:t>
      </w:r>
    </w:p>
    <w:p w14:paraId="67E58270" w14:textId="221012B7" w:rsidR="00D63A6B" w:rsidRPr="00D63A6B" w:rsidRDefault="007C1479" w:rsidP="00F10E3A">
      <w:pPr>
        <w:rPr>
          <w:b/>
          <w:bCs/>
          <w:sz w:val="24"/>
          <w:szCs w:val="24"/>
        </w:rPr>
      </w:pPr>
      <w:r>
        <w:t xml:space="preserve">It is also noted that the Aged Care Quality and Safety Commission has a range of regulatory powers available to utilise in order to manage a provider’s failure to comply with their obligations under the Act. Any regulatory response is expected to be proportionate to the any identified </w:t>
      </w:r>
      <w:proofErr w:type="gramStart"/>
      <w:r>
        <w:t>breach, and</w:t>
      </w:r>
      <w:proofErr w:type="gramEnd"/>
      <w:r>
        <w:t xml:space="preserve"> would take into the provider’s broader conduct and any history of compliance or non-compliance.</w:t>
      </w:r>
      <w:r>
        <w:br/>
      </w:r>
      <w:r w:rsidR="00D63A6B">
        <w:rPr>
          <w:b/>
          <w:bCs/>
          <w:sz w:val="24"/>
          <w:szCs w:val="24"/>
        </w:rPr>
        <w:t>General Questions</w:t>
      </w:r>
    </w:p>
    <w:p w14:paraId="75D5713E" w14:textId="7A9FD71B" w:rsidR="00B625B4" w:rsidRPr="00F10E3A" w:rsidRDefault="00E36667" w:rsidP="00F10E3A">
      <w:pPr>
        <w:pStyle w:val="ListNumber"/>
      </w:pPr>
      <w:r w:rsidRPr="00F10E3A">
        <w:t xml:space="preserve">Where can I access a copy of the </w:t>
      </w:r>
      <w:r w:rsidR="00B625B4" w:rsidRPr="00F10E3A">
        <w:t xml:space="preserve">Exposure Draft for the </w:t>
      </w:r>
      <w:r w:rsidR="00342F27" w:rsidRPr="00F10E3A">
        <w:t xml:space="preserve">new </w:t>
      </w:r>
      <w:r w:rsidR="00B625B4" w:rsidRPr="00F10E3A">
        <w:t>Aged Care Act?</w:t>
      </w:r>
    </w:p>
    <w:p w14:paraId="3772A7E2" w14:textId="63D032E0" w:rsidR="00E36667" w:rsidRDefault="007C07A0" w:rsidP="00E02989">
      <w:r>
        <w:t>An</w:t>
      </w:r>
      <w:r w:rsidRPr="007C07A0">
        <w:t xml:space="preserve"> </w:t>
      </w:r>
      <w:hyperlink r:id="rId10" w:history="1">
        <w:r w:rsidRPr="000F3A7D">
          <w:rPr>
            <w:rStyle w:val="Hyperlink"/>
          </w:rPr>
          <w:t>exposure draft</w:t>
        </w:r>
      </w:hyperlink>
      <w:r w:rsidRPr="007C07A0">
        <w:t xml:space="preserve"> of the Bill for the new Aged Care Act was </w:t>
      </w:r>
      <w:r w:rsidR="00F4051A">
        <w:t xml:space="preserve">released for </w:t>
      </w:r>
      <w:r w:rsidRPr="007C07A0">
        <w:t>public consultation, which ran from 14 December 2023 to 8 March 2024</w:t>
      </w:r>
      <w:r w:rsidR="00444889">
        <w:t xml:space="preserve">, and is available </w:t>
      </w:r>
      <w:r w:rsidR="00E36667">
        <w:t>on the Department’s website.</w:t>
      </w:r>
    </w:p>
    <w:p w14:paraId="377D9E97" w14:textId="3456010C" w:rsidR="00812B90" w:rsidRPr="007A3A24" w:rsidRDefault="00D8005D" w:rsidP="00F10E3A">
      <w:pPr>
        <w:pStyle w:val="Heading1"/>
        <w:rPr>
          <w:lang w:val="en-US"/>
        </w:rPr>
      </w:pPr>
      <w:bookmarkStart w:id="9" w:name="_Toc179799683"/>
      <w:bookmarkStart w:id="10" w:name="_Toc179815346"/>
      <w:r>
        <w:rPr>
          <w:lang w:val="en-US"/>
        </w:rPr>
        <w:t>Document History</w:t>
      </w:r>
      <w:bookmarkEnd w:id="9"/>
      <w:bookmarkEnd w:id="10"/>
    </w:p>
    <w:tbl>
      <w:tblPr>
        <w:tblStyle w:val="TableGrid"/>
        <w:tblW w:w="0" w:type="auto"/>
        <w:tblLook w:val="04A0" w:firstRow="1" w:lastRow="0" w:firstColumn="1" w:lastColumn="0" w:noHBand="0" w:noVBand="1"/>
      </w:tblPr>
      <w:tblGrid>
        <w:gridCol w:w="1555"/>
        <w:gridCol w:w="1559"/>
        <w:gridCol w:w="2126"/>
        <w:gridCol w:w="3776"/>
      </w:tblGrid>
      <w:tr w:rsidR="001E2442" w:rsidRPr="001D7FEB" w14:paraId="28E75230" w14:textId="77777777" w:rsidTr="00191315">
        <w:trPr>
          <w:tblHeader/>
        </w:trPr>
        <w:tc>
          <w:tcPr>
            <w:tcW w:w="1555" w:type="dxa"/>
            <w:shd w:val="clear" w:color="auto" w:fill="DEEAF6" w:themeFill="accent5" w:themeFillTint="33"/>
          </w:tcPr>
          <w:p w14:paraId="1C023408" w14:textId="77777777" w:rsidR="001E2442" w:rsidRPr="001D7FEB" w:rsidRDefault="001E2442" w:rsidP="00652C48">
            <w:bookmarkStart w:id="11" w:name="_Hlk80952779"/>
            <w:r w:rsidRPr="001D7FEB">
              <w:t>Version</w:t>
            </w:r>
          </w:p>
        </w:tc>
        <w:tc>
          <w:tcPr>
            <w:tcW w:w="1559" w:type="dxa"/>
            <w:shd w:val="clear" w:color="auto" w:fill="DEEAF6" w:themeFill="accent5" w:themeFillTint="33"/>
          </w:tcPr>
          <w:p w14:paraId="1B92D733" w14:textId="77777777" w:rsidR="001E2442" w:rsidRPr="001D7FEB" w:rsidRDefault="001E2442" w:rsidP="00652C48">
            <w:r w:rsidRPr="001D7FEB">
              <w:t>Date</w:t>
            </w:r>
          </w:p>
        </w:tc>
        <w:tc>
          <w:tcPr>
            <w:tcW w:w="2126" w:type="dxa"/>
            <w:shd w:val="clear" w:color="auto" w:fill="DEEAF6" w:themeFill="accent5" w:themeFillTint="33"/>
          </w:tcPr>
          <w:p w14:paraId="6B566D28" w14:textId="6DCA9C75" w:rsidR="001E2442" w:rsidRPr="001D7FEB" w:rsidRDefault="001E2442" w:rsidP="00652C48">
            <w:r w:rsidRPr="001D7FEB">
              <w:t>Q&amp;A added</w:t>
            </w:r>
          </w:p>
        </w:tc>
        <w:tc>
          <w:tcPr>
            <w:tcW w:w="3776" w:type="dxa"/>
            <w:shd w:val="clear" w:color="auto" w:fill="DEEAF6" w:themeFill="accent5" w:themeFillTint="33"/>
          </w:tcPr>
          <w:p w14:paraId="6DA6891F" w14:textId="77777777" w:rsidR="001E2442" w:rsidRPr="00FD7163" w:rsidRDefault="001E2442" w:rsidP="00652C48">
            <w:pPr>
              <w:rPr>
                <w:highlight w:val="yellow"/>
              </w:rPr>
            </w:pPr>
            <w:r w:rsidRPr="00E02989">
              <w:t>Q&amp;A edited</w:t>
            </w:r>
          </w:p>
        </w:tc>
      </w:tr>
      <w:tr w:rsidR="001E2442" w:rsidRPr="001D7FEB" w14:paraId="26E1F2BA" w14:textId="77777777" w:rsidTr="00652C48">
        <w:tc>
          <w:tcPr>
            <w:tcW w:w="1555" w:type="dxa"/>
          </w:tcPr>
          <w:p w14:paraId="4D48D2E1" w14:textId="77777777" w:rsidR="001E2442" w:rsidRPr="001D7FEB" w:rsidRDefault="001E2442" w:rsidP="00652C48">
            <w:r w:rsidRPr="001D7FEB">
              <w:t>1.1</w:t>
            </w:r>
          </w:p>
        </w:tc>
        <w:tc>
          <w:tcPr>
            <w:tcW w:w="1559" w:type="dxa"/>
          </w:tcPr>
          <w:p w14:paraId="7DCEDA9A" w14:textId="0E9E6663" w:rsidR="001E2442" w:rsidRPr="001D7FEB" w:rsidRDefault="001E2442" w:rsidP="00652C48">
            <w:r>
              <w:t xml:space="preserve">29 </w:t>
            </w:r>
            <w:r w:rsidRPr="001D7FEB">
              <w:t>J</w:t>
            </w:r>
            <w:r>
              <w:t>uly</w:t>
            </w:r>
            <w:r w:rsidRPr="001D7FEB">
              <w:t xml:space="preserve"> 2024</w:t>
            </w:r>
          </w:p>
        </w:tc>
        <w:tc>
          <w:tcPr>
            <w:tcW w:w="2126" w:type="dxa"/>
          </w:tcPr>
          <w:p w14:paraId="03A5301F" w14:textId="77777777" w:rsidR="001E2442" w:rsidRPr="001D7FEB" w:rsidRDefault="001E2442" w:rsidP="00652C48">
            <w:r w:rsidRPr="001D7FEB">
              <w:t>All</w:t>
            </w:r>
          </w:p>
        </w:tc>
        <w:tc>
          <w:tcPr>
            <w:tcW w:w="3776" w:type="dxa"/>
          </w:tcPr>
          <w:p w14:paraId="7333D792" w14:textId="5F01F168" w:rsidR="001E2442" w:rsidRPr="001D7FEB" w:rsidRDefault="00020F0E" w:rsidP="00652C48">
            <w:r>
              <w:t>9 September 2024</w:t>
            </w:r>
          </w:p>
        </w:tc>
      </w:tr>
    </w:tbl>
    <w:p w14:paraId="67D0D770" w14:textId="77777777" w:rsidR="001E2442" w:rsidRPr="00F10E3A" w:rsidRDefault="001E2442" w:rsidP="00F10E3A">
      <w:pPr>
        <w:pStyle w:val="Heading1"/>
      </w:pPr>
      <w:bookmarkStart w:id="12" w:name="_Toc179799684"/>
      <w:bookmarkStart w:id="13" w:name="_Toc179815347"/>
      <w:bookmarkEnd w:id="11"/>
      <w:r w:rsidRPr="00F10E3A">
        <w:t>Acronym/ Abbreviation</w:t>
      </w:r>
      <w:bookmarkEnd w:id="12"/>
      <w:bookmarkEnd w:id="13"/>
    </w:p>
    <w:tbl>
      <w:tblPr>
        <w:tblStyle w:val="TableGrid"/>
        <w:tblW w:w="9067" w:type="dxa"/>
        <w:tblLook w:val="04A0" w:firstRow="1" w:lastRow="0" w:firstColumn="1" w:lastColumn="0" w:noHBand="0" w:noVBand="1"/>
      </w:tblPr>
      <w:tblGrid>
        <w:gridCol w:w="2261"/>
        <w:gridCol w:w="6806"/>
      </w:tblGrid>
      <w:tr w:rsidR="001E2442" w:rsidRPr="001D7FEB" w14:paraId="79C1B6C2" w14:textId="77777777" w:rsidTr="00191315">
        <w:trPr>
          <w:tblHeader/>
        </w:trPr>
        <w:tc>
          <w:tcPr>
            <w:tcW w:w="1696" w:type="dxa"/>
            <w:shd w:val="clear" w:color="auto" w:fill="DEEAF6" w:themeFill="accent5" w:themeFillTint="33"/>
          </w:tcPr>
          <w:p w14:paraId="78455773" w14:textId="716D8B22" w:rsidR="001E2442" w:rsidRPr="001D7FEB" w:rsidRDefault="001E2442" w:rsidP="00191315">
            <w:r w:rsidRPr="001D7FEB">
              <w:t xml:space="preserve">Acronym/Abbreviation </w:t>
            </w:r>
          </w:p>
        </w:tc>
        <w:tc>
          <w:tcPr>
            <w:tcW w:w="7371" w:type="dxa"/>
            <w:shd w:val="clear" w:color="auto" w:fill="DEEAF6" w:themeFill="accent5" w:themeFillTint="33"/>
          </w:tcPr>
          <w:p w14:paraId="1738D14A" w14:textId="77777777" w:rsidR="001E2442" w:rsidRPr="001D7FEB" w:rsidRDefault="001E2442" w:rsidP="00652C48">
            <w:r w:rsidRPr="001D7FEB">
              <w:t xml:space="preserve">Definition </w:t>
            </w:r>
          </w:p>
        </w:tc>
      </w:tr>
      <w:tr w:rsidR="001E2442" w:rsidRPr="001D7FEB" w14:paraId="64ACEE84" w14:textId="77777777" w:rsidTr="00652C48">
        <w:tc>
          <w:tcPr>
            <w:tcW w:w="1696" w:type="dxa"/>
          </w:tcPr>
          <w:p w14:paraId="178D1722" w14:textId="77777777" w:rsidR="001E2442" w:rsidRPr="001D7FEB" w:rsidRDefault="001E2442" w:rsidP="00652C48">
            <w:r w:rsidRPr="001D7FEB">
              <w:t>MPS</w:t>
            </w:r>
          </w:p>
        </w:tc>
        <w:tc>
          <w:tcPr>
            <w:tcW w:w="7371" w:type="dxa"/>
          </w:tcPr>
          <w:p w14:paraId="1ABD2123" w14:textId="77777777" w:rsidR="001E2442" w:rsidRPr="001D7FEB" w:rsidRDefault="001E2442" w:rsidP="00652C48">
            <w:r w:rsidRPr="001D7FEB">
              <w:t>Multi-Purpose Service</w:t>
            </w:r>
          </w:p>
        </w:tc>
      </w:tr>
      <w:tr w:rsidR="001E2442" w:rsidRPr="001D7FEB" w14:paraId="3C205DBC" w14:textId="77777777" w:rsidTr="00652C48">
        <w:tc>
          <w:tcPr>
            <w:tcW w:w="1696" w:type="dxa"/>
          </w:tcPr>
          <w:p w14:paraId="59471DA3" w14:textId="77777777" w:rsidR="001E2442" w:rsidRPr="001D7FEB" w:rsidRDefault="001E2442" w:rsidP="00652C48">
            <w:r w:rsidRPr="001D7FEB">
              <w:t>Act</w:t>
            </w:r>
          </w:p>
        </w:tc>
        <w:tc>
          <w:tcPr>
            <w:tcW w:w="7371" w:type="dxa"/>
          </w:tcPr>
          <w:p w14:paraId="1848CE55" w14:textId="77777777" w:rsidR="001E2442" w:rsidRPr="001D7FEB" w:rsidRDefault="001E2442" w:rsidP="00652C48">
            <w:r w:rsidRPr="001D7FEB">
              <w:t>The new Aged Care Act</w:t>
            </w:r>
          </w:p>
        </w:tc>
      </w:tr>
      <w:tr w:rsidR="001E2442" w:rsidRPr="001D7FEB" w14:paraId="7FC872A3" w14:textId="77777777" w:rsidTr="00652C48">
        <w:tc>
          <w:tcPr>
            <w:tcW w:w="1696" w:type="dxa"/>
          </w:tcPr>
          <w:p w14:paraId="40B8BA62" w14:textId="77777777" w:rsidR="001E2442" w:rsidRPr="001D7FEB" w:rsidRDefault="001E2442" w:rsidP="00652C48">
            <w:r w:rsidRPr="001D7FEB">
              <w:t>Health</w:t>
            </w:r>
          </w:p>
        </w:tc>
        <w:tc>
          <w:tcPr>
            <w:tcW w:w="7371" w:type="dxa"/>
          </w:tcPr>
          <w:p w14:paraId="09D30737" w14:textId="77777777" w:rsidR="001E2442" w:rsidRPr="001D7FEB" w:rsidRDefault="001E2442" w:rsidP="00652C48">
            <w:r w:rsidRPr="001D7FEB">
              <w:t>The Department of Health and Aged Care</w:t>
            </w:r>
          </w:p>
        </w:tc>
      </w:tr>
      <w:tr w:rsidR="001E2442" w:rsidRPr="001D7FEB" w14:paraId="56B7E731" w14:textId="77777777" w:rsidTr="00652C48">
        <w:tc>
          <w:tcPr>
            <w:tcW w:w="1696" w:type="dxa"/>
          </w:tcPr>
          <w:p w14:paraId="47E2D71E" w14:textId="3BCBDA8B" w:rsidR="001E2442" w:rsidRPr="001D7FEB" w:rsidRDefault="001E2442" w:rsidP="00652C48">
            <w:r w:rsidRPr="001E2442">
              <w:t>NSQHS</w:t>
            </w:r>
          </w:p>
        </w:tc>
        <w:tc>
          <w:tcPr>
            <w:tcW w:w="7371" w:type="dxa"/>
          </w:tcPr>
          <w:p w14:paraId="64637622" w14:textId="4021CC40" w:rsidR="001E2442" w:rsidRPr="001D7FEB" w:rsidRDefault="001E2442" w:rsidP="00652C48">
            <w:r>
              <w:t>National</w:t>
            </w:r>
            <w:r w:rsidR="00E46E1E">
              <w:t xml:space="preserve"> Safety and </w:t>
            </w:r>
            <w:r w:rsidRPr="001D7FEB">
              <w:t xml:space="preserve">Quality </w:t>
            </w:r>
            <w:r w:rsidR="00E46E1E">
              <w:t>Health</w:t>
            </w:r>
            <w:r w:rsidRPr="001D7FEB">
              <w:t xml:space="preserve"> Commission</w:t>
            </w:r>
          </w:p>
        </w:tc>
      </w:tr>
    </w:tbl>
    <w:p w14:paraId="5079F01F" w14:textId="77777777" w:rsidR="002E36FB" w:rsidRDefault="002E36FB" w:rsidP="00191315"/>
    <w:sectPr w:rsidR="002E36FB" w:rsidSect="0020036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C0EC4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0B652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15FE5"/>
    <w:multiLevelType w:val="multilevel"/>
    <w:tmpl w:val="3CD0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97FC8"/>
    <w:multiLevelType w:val="hybridMultilevel"/>
    <w:tmpl w:val="D4CC3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E97DA5"/>
    <w:multiLevelType w:val="hybridMultilevel"/>
    <w:tmpl w:val="1CBE1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770FB9"/>
    <w:multiLevelType w:val="hybridMultilevel"/>
    <w:tmpl w:val="D58AC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3E2E6A"/>
    <w:multiLevelType w:val="hybridMultilevel"/>
    <w:tmpl w:val="CF4C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97099A"/>
    <w:multiLevelType w:val="multilevel"/>
    <w:tmpl w:val="F2D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644725">
    <w:abstractNumId w:val="6"/>
  </w:num>
  <w:num w:numId="2" w16cid:durableId="684868187">
    <w:abstractNumId w:val="7"/>
  </w:num>
  <w:num w:numId="3" w16cid:durableId="729378694">
    <w:abstractNumId w:val="2"/>
  </w:num>
  <w:num w:numId="4" w16cid:durableId="1721057448">
    <w:abstractNumId w:val="3"/>
  </w:num>
  <w:num w:numId="5" w16cid:durableId="1987466147">
    <w:abstractNumId w:val="4"/>
  </w:num>
  <w:num w:numId="6" w16cid:durableId="712659605">
    <w:abstractNumId w:val="5"/>
  </w:num>
  <w:num w:numId="7" w16cid:durableId="901870483">
    <w:abstractNumId w:val="0"/>
  </w:num>
  <w:num w:numId="8" w16cid:durableId="147090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17"/>
    <w:rsid w:val="00006FA1"/>
    <w:rsid w:val="00007753"/>
    <w:rsid w:val="00020F0E"/>
    <w:rsid w:val="0004583D"/>
    <w:rsid w:val="00080412"/>
    <w:rsid w:val="000934C0"/>
    <w:rsid w:val="000964A7"/>
    <w:rsid w:val="0009779E"/>
    <w:rsid w:val="000978DE"/>
    <w:rsid w:val="000C1E9D"/>
    <w:rsid w:val="000E0274"/>
    <w:rsid w:val="000F3A7D"/>
    <w:rsid w:val="000F5F49"/>
    <w:rsid w:val="000F7531"/>
    <w:rsid w:val="00122757"/>
    <w:rsid w:val="00126BB2"/>
    <w:rsid w:val="0014333D"/>
    <w:rsid w:val="00157A76"/>
    <w:rsid w:val="00163CF2"/>
    <w:rsid w:val="00171E01"/>
    <w:rsid w:val="0017398B"/>
    <w:rsid w:val="0018550C"/>
    <w:rsid w:val="00191315"/>
    <w:rsid w:val="001B7888"/>
    <w:rsid w:val="001D24B9"/>
    <w:rsid w:val="001E2442"/>
    <w:rsid w:val="001E52B1"/>
    <w:rsid w:val="001E661A"/>
    <w:rsid w:val="001F4419"/>
    <w:rsid w:val="001F6D5D"/>
    <w:rsid w:val="00200365"/>
    <w:rsid w:val="002162FC"/>
    <w:rsid w:val="00246BA9"/>
    <w:rsid w:val="00253249"/>
    <w:rsid w:val="0025773E"/>
    <w:rsid w:val="00257E62"/>
    <w:rsid w:val="00264855"/>
    <w:rsid w:val="0027295B"/>
    <w:rsid w:val="00280050"/>
    <w:rsid w:val="00291F7E"/>
    <w:rsid w:val="00293D76"/>
    <w:rsid w:val="002A0F58"/>
    <w:rsid w:val="002A459F"/>
    <w:rsid w:val="002C7039"/>
    <w:rsid w:val="002C7B37"/>
    <w:rsid w:val="002E36FB"/>
    <w:rsid w:val="002F545F"/>
    <w:rsid w:val="00302CE5"/>
    <w:rsid w:val="00305CF2"/>
    <w:rsid w:val="00342F27"/>
    <w:rsid w:val="00343A91"/>
    <w:rsid w:val="00347AAA"/>
    <w:rsid w:val="0035272F"/>
    <w:rsid w:val="00355AF6"/>
    <w:rsid w:val="003A01DA"/>
    <w:rsid w:val="003A1DA5"/>
    <w:rsid w:val="003B0D2C"/>
    <w:rsid w:val="003B52EC"/>
    <w:rsid w:val="003B6113"/>
    <w:rsid w:val="003D16F8"/>
    <w:rsid w:val="003E4A46"/>
    <w:rsid w:val="003E4E80"/>
    <w:rsid w:val="003F3CE4"/>
    <w:rsid w:val="003F75C0"/>
    <w:rsid w:val="00402E12"/>
    <w:rsid w:val="00410F9D"/>
    <w:rsid w:val="00417D5D"/>
    <w:rsid w:val="00444889"/>
    <w:rsid w:val="0045604A"/>
    <w:rsid w:val="0046099D"/>
    <w:rsid w:val="00465CB8"/>
    <w:rsid w:val="0047458B"/>
    <w:rsid w:val="004808D0"/>
    <w:rsid w:val="004852B4"/>
    <w:rsid w:val="004D2042"/>
    <w:rsid w:val="004D56BC"/>
    <w:rsid w:val="004D6898"/>
    <w:rsid w:val="004D74D4"/>
    <w:rsid w:val="004F1A1A"/>
    <w:rsid w:val="005054B4"/>
    <w:rsid w:val="00541674"/>
    <w:rsid w:val="0055581B"/>
    <w:rsid w:val="005640E1"/>
    <w:rsid w:val="00574F80"/>
    <w:rsid w:val="00582D9E"/>
    <w:rsid w:val="0059503A"/>
    <w:rsid w:val="005A2318"/>
    <w:rsid w:val="005B4196"/>
    <w:rsid w:val="005B454E"/>
    <w:rsid w:val="005F564D"/>
    <w:rsid w:val="006275D4"/>
    <w:rsid w:val="0065115A"/>
    <w:rsid w:val="0066446D"/>
    <w:rsid w:val="00666AC1"/>
    <w:rsid w:val="006836CB"/>
    <w:rsid w:val="006909D8"/>
    <w:rsid w:val="00692BE6"/>
    <w:rsid w:val="006B3FF3"/>
    <w:rsid w:val="006B5679"/>
    <w:rsid w:val="006D0899"/>
    <w:rsid w:val="006F0325"/>
    <w:rsid w:val="007031E2"/>
    <w:rsid w:val="00710C17"/>
    <w:rsid w:val="00730E36"/>
    <w:rsid w:val="007513B2"/>
    <w:rsid w:val="0076257A"/>
    <w:rsid w:val="007965E9"/>
    <w:rsid w:val="007A6A17"/>
    <w:rsid w:val="007A7879"/>
    <w:rsid w:val="007B7ABB"/>
    <w:rsid w:val="007C07A0"/>
    <w:rsid w:val="007C1479"/>
    <w:rsid w:val="007D6E58"/>
    <w:rsid w:val="007E38A3"/>
    <w:rsid w:val="007E4FA5"/>
    <w:rsid w:val="007F76C5"/>
    <w:rsid w:val="00800FB0"/>
    <w:rsid w:val="00812B90"/>
    <w:rsid w:val="00823D85"/>
    <w:rsid w:val="008246AA"/>
    <w:rsid w:val="00825379"/>
    <w:rsid w:val="00827E44"/>
    <w:rsid w:val="00833FBB"/>
    <w:rsid w:val="00865F3A"/>
    <w:rsid w:val="008A773D"/>
    <w:rsid w:val="008C4C16"/>
    <w:rsid w:val="008E2195"/>
    <w:rsid w:val="008E3BE4"/>
    <w:rsid w:val="00901A88"/>
    <w:rsid w:val="009079A6"/>
    <w:rsid w:val="0095115A"/>
    <w:rsid w:val="00953799"/>
    <w:rsid w:val="0096562F"/>
    <w:rsid w:val="0098443C"/>
    <w:rsid w:val="00986ABA"/>
    <w:rsid w:val="009B4EBA"/>
    <w:rsid w:val="00A070E4"/>
    <w:rsid w:val="00A105D6"/>
    <w:rsid w:val="00A14911"/>
    <w:rsid w:val="00A24963"/>
    <w:rsid w:val="00A309D2"/>
    <w:rsid w:val="00A56A9A"/>
    <w:rsid w:val="00A6515E"/>
    <w:rsid w:val="00A83562"/>
    <w:rsid w:val="00AA3925"/>
    <w:rsid w:val="00AF73BC"/>
    <w:rsid w:val="00B0397B"/>
    <w:rsid w:val="00B22439"/>
    <w:rsid w:val="00B625B4"/>
    <w:rsid w:val="00B64850"/>
    <w:rsid w:val="00B714A3"/>
    <w:rsid w:val="00B931FE"/>
    <w:rsid w:val="00BA32D5"/>
    <w:rsid w:val="00BA60B1"/>
    <w:rsid w:val="00BB6F3C"/>
    <w:rsid w:val="00BF4AC2"/>
    <w:rsid w:val="00BF54E8"/>
    <w:rsid w:val="00BF7827"/>
    <w:rsid w:val="00C06B98"/>
    <w:rsid w:val="00C16F14"/>
    <w:rsid w:val="00C436B3"/>
    <w:rsid w:val="00C846FE"/>
    <w:rsid w:val="00CC3C69"/>
    <w:rsid w:val="00CE02BC"/>
    <w:rsid w:val="00CF2E0E"/>
    <w:rsid w:val="00D31E10"/>
    <w:rsid w:val="00D63A6B"/>
    <w:rsid w:val="00D739D0"/>
    <w:rsid w:val="00D8005D"/>
    <w:rsid w:val="00DE35EF"/>
    <w:rsid w:val="00DE65CF"/>
    <w:rsid w:val="00DE6C0C"/>
    <w:rsid w:val="00E02989"/>
    <w:rsid w:val="00E23343"/>
    <w:rsid w:val="00E245B0"/>
    <w:rsid w:val="00E24B09"/>
    <w:rsid w:val="00E36667"/>
    <w:rsid w:val="00E45891"/>
    <w:rsid w:val="00E46E1E"/>
    <w:rsid w:val="00E66382"/>
    <w:rsid w:val="00E77A9E"/>
    <w:rsid w:val="00E95CCA"/>
    <w:rsid w:val="00EA65C6"/>
    <w:rsid w:val="00EB46DA"/>
    <w:rsid w:val="00EC4264"/>
    <w:rsid w:val="00F10E3A"/>
    <w:rsid w:val="00F11BBC"/>
    <w:rsid w:val="00F14D6C"/>
    <w:rsid w:val="00F4051A"/>
    <w:rsid w:val="00F43CC5"/>
    <w:rsid w:val="00F44AB3"/>
    <w:rsid w:val="00F53561"/>
    <w:rsid w:val="00F6537A"/>
    <w:rsid w:val="00FA5AC6"/>
    <w:rsid w:val="00FA63CB"/>
    <w:rsid w:val="00FB3D3A"/>
    <w:rsid w:val="00FF5F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204E"/>
  <w15:chartTrackingRefBased/>
  <w15:docId w15:val="{5A76F370-2371-4F3F-8F6F-C3C61949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3A"/>
    <w:pPr>
      <w:spacing w:before="120" w:after="120" w:line="240" w:lineRule="auto"/>
    </w:pPr>
    <w:rPr>
      <w:rFonts w:asciiTheme="minorHAnsi" w:hAnsiTheme="minorHAnsi" w:cstheme="minorHAnsi"/>
      <w:kern w:val="0"/>
      <w:sz w:val="22"/>
      <w:szCs w:val="20"/>
      <w14:ligatures w14:val="none"/>
    </w:rPr>
  </w:style>
  <w:style w:type="paragraph" w:styleId="Heading1">
    <w:name w:val="heading 1"/>
    <w:basedOn w:val="Normal"/>
    <w:next w:val="Normal"/>
    <w:link w:val="Heading1Char"/>
    <w:uiPriority w:val="9"/>
    <w:qFormat/>
    <w:rsid w:val="00F10E3A"/>
    <w:pPr>
      <w:outlineLvl w:val="0"/>
    </w:pPr>
    <w:rPr>
      <w:b/>
      <w:bCs/>
      <w:color w:val="2F5496" w:themeColor="accent1" w:themeShade="BF"/>
      <w:sz w:val="32"/>
      <w:szCs w:val="28"/>
    </w:rPr>
  </w:style>
  <w:style w:type="paragraph" w:styleId="Heading2">
    <w:name w:val="heading 2"/>
    <w:basedOn w:val="Heading3"/>
    <w:next w:val="Normal"/>
    <w:link w:val="Heading2Char"/>
    <w:uiPriority w:val="9"/>
    <w:unhideWhenUsed/>
    <w:qFormat/>
    <w:rsid w:val="003A1DA5"/>
    <w:pPr>
      <w:outlineLvl w:val="1"/>
    </w:pPr>
  </w:style>
  <w:style w:type="paragraph" w:styleId="Heading3">
    <w:name w:val="heading 3"/>
    <w:basedOn w:val="Normal"/>
    <w:next w:val="Normal"/>
    <w:link w:val="Heading3Char"/>
    <w:uiPriority w:val="9"/>
    <w:unhideWhenUsed/>
    <w:qFormat/>
    <w:rsid w:val="00F10E3A"/>
    <w:pPr>
      <w:shd w:val="clear" w:color="auto" w:fill="D9E2F3" w:themeFill="accent1" w:themeFillTint="33"/>
      <w:spacing w:before="0" w:after="160" w:line="259"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E3A"/>
    <w:rPr>
      <w:rFonts w:asciiTheme="minorHAnsi" w:hAnsiTheme="minorHAnsi" w:cstheme="minorHAnsi"/>
      <w:b/>
      <w:bCs/>
      <w:color w:val="2F5496" w:themeColor="accent1" w:themeShade="BF"/>
      <w:kern w:val="0"/>
      <w:sz w:val="32"/>
      <w:szCs w:val="28"/>
      <w14:ligatures w14:val="none"/>
    </w:rPr>
  </w:style>
  <w:style w:type="character" w:styleId="Hyperlink">
    <w:name w:val="Hyperlink"/>
    <w:basedOn w:val="DefaultParagraphFont"/>
    <w:uiPriority w:val="99"/>
    <w:unhideWhenUsed/>
    <w:rsid w:val="00710C17"/>
    <w:rPr>
      <w:color w:val="0000FF"/>
      <w:u w:val="single"/>
    </w:rPr>
  </w:style>
  <w:style w:type="paragraph" w:styleId="TOC1">
    <w:name w:val="toc 1"/>
    <w:basedOn w:val="Normal"/>
    <w:next w:val="Normal"/>
    <w:autoRedefine/>
    <w:uiPriority w:val="39"/>
    <w:unhideWhenUsed/>
    <w:rsid w:val="00710C17"/>
    <w:pPr>
      <w:spacing w:after="100"/>
    </w:pPr>
  </w:style>
  <w:style w:type="character" w:customStyle="1" w:styleId="Heading2Char">
    <w:name w:val="Heading 2 Char"/>
    <w:basedOn w:val="DefaultParagraphFont"/>
    <w:link w:val="Heading2"/>
    <w:uiPriority w:val="9"/>
    <w:rsid w:val="003A1DA5"/>
    <w:rPr>
      <w:rFonts w:asciiTheme="minorHAnsi" w:hAnsiTheme="minorHAnsi" w:cstheme="minorHAnsi"/>
      <w:b/>
      <w:bCs/>
      <w:kern w:val="0"/>
      <w:shd w:val="clear" w:color="auto" w:fill="D9E2F3" w:themeFill="accent1" w:themeFillTint="33"/>
      <w14:ligatures w14:val="none"/>
    </w:rPr>
  </w:style>
  <w:style w:type="character" w:styleId="CommentReference">
    <w:name w:val="annotation reference"/>
    <w:basedOn w:val="DefaultParagraphFont"/>
    <w:uiPriority w:val="99"/>
    <w:semiHidden/>
    <w:unhideWhenUsed/>
    <w:rsid w:val="0035272F"/>
    <w:rPr>
      <w:sz w:val="16"/>
      <w:szCs w:val="16"/>
    </w:rPr>
  </w:style>
  <w:style w:type="paragraph" w:styleId="CommentText">
    <w:name w:val="annotation text"/>
    <w:basedOn w:val="Normal"/>
    <w:link w:val="CommentTextChar"/>
    <w:uiPriority w:val="99"/>
    <w:unhideWhenUsed/>
    <w:rsid w:val="0035272F"/>
    <w:rPr>
      <w:sz w:val="20"/>
    </w:rPr>
  </w:style>
  <w:style w:type="character" w:customStyle="1" w:styleId="CommentTextChar">
    <w:name w:val="Comment Text Char"/>
    <w:basedOn w:val="DefaultParagraphFont"/>
    <w:link w:val="CommentText"/>
    <w:uiPriority w:val="99"/>
    <w:rsid w:val="0035272F"/>
    <w:rPr>
      <w:rFonts w:asciiTheme="minorHAnsi" w:hAnsiTheme="minorHAns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272F"/>
    <w:rPr>
      <w:b/>
      <w:bCs/>
    </w:rPr>
  </w:style>
  <w:style w:type="character" w:customStyle="1" w:styleId="CommentSubjectChar">
    <w:name w:val="Comment Subject Char"/>
    <w:basedOn w:val="CommentTextChar"/>
    <w:link w:val="CommentSubject"/>
    <w:uiPriority w:val="99"/>
    <w:semiHidden/>
    <w:rsid w:val="0035272F"/>
    <w:rPr>
      <w:rFonts w:asciiTheme="minorHAnsi" w:hAnsiTheme="minorHAnsi" w:cstheme="minorHAnsi"/>
      <w:b/>
      <w:bCs/>
      <w:kern w:val="0"/>
      <w:sz w:val="20"/>
      <w:szCs w:val="20"/>
      <w14:ligatures w14:val="none"/>
    </w:rPr>
  </w:style>
  <w:style w:type="character" w:styleId="Strong">
    <w:name w:val="Strong"/>
    <w:basedOn w:val="DefaultParagraphFont"/>
    <w:uiPriority w:val="22"/>
    <w:qFormat/>
    <w:rsid w:val="00986ABA"/>
    <w:rPr>
      <w:b/>
      <w:bCs/>
    </w:rPr>
  </w:style>
  <w:style w:type="paragraph" w:styleId="ListParagraph">
    <w:name w:val="List Paragraph"/>
    <w:basedOn w:val="Normal"/>
    <w:uiPriority w:val="34"/>
    <w:qFormat/>
    <w:rsid w:val="00163CF2"/>
    <w:pPr>
      <w:ind w:left="720"/>
      <w:contextualSpacing/>
    </w:pPr>
  </w:style>
  <w:style w:type="table" w:styleId="TableGrid">
    <w:name w:val="Table Grid"/>
    <w:basedOn w:val="TableNormal"/>
    <w:uiPriority w:val="39"/>
    <w:rsid w:val="001E24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7827"/>
    <w:pPr>
      <w:spacing w:after="0" w:line="240" w:lineRule="auto"/>
    </w:pPr>
    <w:rPr>
      <w:rFonts w:asciiTheme="minorHAnsi" w:hAnsiTheme="minorHAnsi" w:cstheme="minorHAnsi"/>
      <w:kern w:val="0"/>
      <w:sz w:val="22"/>
      <w:szCs w:val="20"/>
      <w14:ligatures w14:val="none"/>
    </w:rPr>
  </w:style>
  <w:style w:type="character" w:styleId="UnresolvedMention">
    <w:name w:val="Unresolved Mention"/>
    <w:basedOn w:val="DefaultParagraphFont"/>
    <w:uiPriority w:val="99"/>
    <w:semiHidden/>
    <w:unhideWhenUsed/>
    <w:rsid w:val="000F3A7D"/>
    <w:rPr>
      <w:color w:val="605E5C"/>
      <w:shd w:val="clear" w:color="auto" w:fill="E1DFDD"/>
    </w:rPr>
  </w:style>
  <w:style w:type="character" w:styleId="FollowedHyperlink">
    <w:name w:val="FollowedHyperlink"/>
    <w:basedOn w:val="DefaultParagraphFont"/>
    <w:uiPriority w:val="99"/>
    <w:semiHidden/>
    <w:unhideWhenUsed/>
    <w:rsid w:val="000F3A7D"/>
    <w:rPr>
      <w:color w:val="954F72" w:themeColor="followedHyperlink"/>
      <w:u w:val="single"/>
    </w:rPr>
  </w:style>
  <w:style w:type="character" w:customStyle="1" w:styleId="Heading3Char">
    <w:name w:val="Heading 3 Char"/>
    <w:basedOn w:val="DefaultParagraphFont"/>
    <w:link w:val="Heading3"/>
    <w:uiPriority w:val="9"/>
    <w:rsid w:val="00F10E3A"/>
    <w:rPr>
      <w:rFonts w:asciiTheme="minorHAnsi" w:hAnsiTheme="minorHAnsi" w:cstheme="minorHAnsi"/>
      <w:b/>
      <w:bCs/>
      <w:kern w:val="0"/>
      <w:shd w:val="clear" w:color="auto" w:fill="D9E2F3" w:themeFill="accent1" w:themeFillTint="33"/>
      <w14:ligatures w14:val="none"/>
    </w:rPr>
  </w:style>
  <w:style w:type="paragraph" w:styleId="ListNumber">
    <w:name w:val="List Number"/>
    <w:basedOn w:val="Normal"/>
    <w:uiPriority w:val="99"/>
    <w:unhideWhenUsed/>
    <w:rsid w:val="00F10E3A"/>
    <w:pPr>
      <w:numPr>
        <w:numId w:val="7"/>
      </w:numPr>
      <w:contextualSpacing/>
    </w:pPr>
    <w:rPr>
      <w:b/>
    </w:rPr>
  </w:style>
  <w:style w:type="paragraph" w:styleId="ListBullet">
    <w:name w:val="List Bullet"/>
    <w:basedOn w:val="Normal"/>
    <w:uiPriority w:val="99"/>
    <w:unhideWhenUsed/>
    <w:rsid w:val="00F10E3A"/>
    <w:pPr>
      <w:numPr>
        <w:numId w:val="8"/>
      </w:numPr>
      <w:contextualSpacing/>
    </w:pPr>
  </w:style>
  <w:style w:type="paragraph" w:styleId="Title">
    <w:name w:val="Title"/>
    <w:next w:val="Normal"/>
    <w:link w:val="TitleChar"/>
    <w:uiPriority w:val="10"/>
    <w:qFormat/>
    <w:rsid w:val="00200365"/>
    <w:rPr>
      <w:rFonts w:asciiTheme="minorHAnsi" w:hAnsiTheme="minorHAnsi" w:cstheme="minorHAnsi"/>
      <w:b/>
      <w:bCs/>
      <w:color w:val="2F5496" w:themeColor="accent1" w:themeShade="BF"/>
      <w:kern w:val="0"/>
      <w:sz w:val="32"/>
      <w:szCs w:val="28"/>
      <w14:ligatures w14:val="none"/>
    </w:rPr>
  </w:style>
  <w:style w:type="character" w:customStyle="1" w:styleId="TitleChar">
    <w:name w:val="Title Char"/>
    <w:basedOn w:val="DefaultParagraphFont"/>
    <w:link w:val="Title"/>
    <w:uiPriority w:val="10"/>
    <w:rsid w:val="00200365"/>
    <w:rPr>
      <w:rFonts w:asciiTheme="minorHAnsi" w:hAnsiTheme="minorHAnsi" w:cstheme="minorHAnsi"/>
      <w:b/>
      <w:bCs/>
      <w:color w:val="2F5496" w:themeColor="accent1" w:themeShade="BF"/>
      <w:kern w:val="0"/>
      <w:sz w:val="32"/>
      <w:szCs w:val="28"/>
      <w14:ligatures w14:val="none"/>
    </w:rPr>
  </w:style>
  <w:style w:type="paragraph" w:styleId="TOCHeading">
    <w:name w:val="TOC Heading"/>
    <w:basedOn w:val="Heading1"/>
    <w:next w:val="Normal"/>
    <w:uiPriority w:val="39"/>
    <w:unhideWhenUsed/>
    <w:qFormat/>
    <w:rsid w:val="00200365"/>
    <w:pPr>
      <w:keepNext/>
      <w:keepLines/>
      <w:spacing w:before="240" w:after="0" w:line="259" w:lineRule="auto"/>
      <w:outlineLvl w:val="9"/>
    </w:pPr>
    <w:rPr>
      <w:rFonts w:asciiTheme="majorHAnsi" w:eastAsiaTheme="majorEastAsia" w:hAnsiTheme="majorHAnsi" w:cstheme="majorBidi"/>
      <w:bCs w:val="0"/>
      <w:sz w:val="28"/>
      <w:szCs w:val="32"/>
      <w:lang w:val="en-US"/>
    </w:rPr>
  </w:style>
  <w:style w:type="paragraph" w:styleId="TOC3">
    <w:name w:val="toc 3"/>
    <w:basedOn w:val="Normal"/>
    <w:next w:val="Normal"/>
    <w:autoRedefine/>
    <w:uiPriority w:val="39"/>
    <w:unhideWhenUsed/>
    <w:rsid w:val="002003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707">
      <w:bodyDiv w:val="1"/>
      <w:marLeft w:val="0"/>
      <w:marRight w:val="0"/>
      <w:marTop w:val="0"/>
      <w:marBottom w:val="0"/>
      <w:divBdr>
        <w:top w:val="none" w:sz="0" w:space="0" w:color="auto"/>
        <w:left w:val="none" w:sz="0" w:space="0" w:color="auto"/>
        <w:bottom w:val="none" w:sz="0" w:space="0" w:color="auto"/>
        <w:right w:val="none" w:sz="0" w:space="0" w:color="auto"/>
      </w:divBdr>
    </w:div>
    <w:div w:id="552277594">
      <w:bodyDiv w:val="1"/>
      <w:marLeft w:val="0"/>
      <w:marRight w:val="0"/>
      <w:marTop w:val="0"/>
      <w:marBottom w:val="0"/>
      <w:divBdr>
        <w:top w:val="none" w:sz="0" w:space="0" w:color="auto"/>
        <w:left w:val="none" w:sz="0" w:space="0" w:color="auto"/>
        <w:bottom w:val="none" w:sz="0" w:space="0" w:color="auto"/>
        <w:right w:val="none" w:sz="0" w:space="0" w:color="auto"/>
      </w:divBdr>
    </w:div>
    <w:div w:id="837966001">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432314121">
      <w:bodyDiv w:val="1"/>
      <w:marLeft w:val="0"/>
      <w:marRight w:val="0"/>
      <w:marTop w:val="0"/>
      <w:marBottom w:val="0"/>
      <w:divBdr>
        <w:top w:val="none" w:sz="0" w:space="0" w:color="auto"/>
        <w:left w:val="none" w:sz="0" w:space="0" w:color="auto"/>
        <w:bottom w:val="none" w:sz="0" w:space="0" w:color="auto"/>
        <w:right w:val="none" w:sz="0" w:space="0" w:color="auto"/>
      </w:divBdr>
    </w:div>
    <w:div w:id="1556238480">
      <w:bodyDiv w:val="1"/>
      <w:marLeft w:val="0"/>
      <w:marRight w:val="0"/>
      <w:marTop w:val="0"/>
      <w:marBottom w:val="0"/>
      <w:divBdr>
        <w:top w:val="none" w:sz="0" w:space="0" w:color="auto"/>
        <w:left w:val="none" w:sz="0" w:space="0" w:color="auto"/>
        <w:bottom w:val="none" w:sz="0" w:space="0" w:color="auto"/>
        <w:right w:val="none" w:sz="0" w:space="0" w:color="auto"/>
      </w:divBdr>
    </w:div>
    <w:div w:id="1876695805">
      <w:bodyDiv w:val="1"/>
      <w:marLeft w:val="0"/>
      <w:marRight w:val="0"/>
      <w:marTop w:val="0"/>
      <w:marBottom w:val="0"/>
      <w:divBdr>
        <w:top w:val="none" w:sz="0" w:space="0" w:color="auto"/>
        <w:left w:val="none" w:sz="0" w:space="0" w:color="auto"/>
        <w:bottom w:val="none" w:sz="0" w:space="0" w:color="auto"/>
        <w:right w:val="none" w:sz="0" w:space="0" w:color="auto"/>
      </w:divBdr>
    </w:div>
    <w:div w:id="1890727016">
      <w:bodyDiv w:val="1"/>
      <w:marLeft w:val="0"/>
      <w:marRight w:val="0"/>
      <w:marTop w:val="0"/>
      <w:marBottom w:val="0"/>
      <w:divBdr>
        <w:top w:val="none" w:sz="0" w:space="0" w:color="auto"/>
        <w:left w:val="none" w:sz="0" w:space="0" w:color="auto"/>
        <w:bottom w:val="none" w:sz="0" w:space="0" w:color="auto"/>
        <w:right w:val="none" w:sz="0" w:space="0" w:color="auto"/>
      </w:divBdr>
    </w:div>
    <w:div w:id="20355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ealth.gov.au/resources/publications/exposure-draft-aged-care-bill-2023?language=en" TargetMode="External"/><Relationship Id="rId4" Type="http://schemas.openxmlformats.org/officeDocument/2006/relationships/customXml" Target="../customXml/item4.xml"/><Relationship Id="rId9" Type="http://schemas.openxmlformats.org/officeDocument/2006/relationships/hyperlink" Target="https://www.health.gov.au/resources/publications/exposure-draft-aged-care-bill-2023?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3e3d46-dbf0-429e-a578-4ead2dab9a43" xsi:nil="true"/>
    <lcf76f155ced4ddcb4097134ff3c332f xmlns="2a2220af-7b06-4401-8589-40fd11788b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16" ma:contentTypeDescription="Create a new document." ma:contentTypeScope="" ma:versionID="f7139482894a3f5958a180b0931c8d34">
  <xsd:schema xmlns:xsd="http://www.w3.org/2001/XMLSchema" xmlns:xs="http://www.w3.org/2001/XMLSchema" xmlns:p="http://schemas.microsoft.com/office/2006/metadata/properties" xmlns:ns2="2a2220af-7b06-4401-8589-40fd11788b24" xmlns:ns3="0b3e3d46-dbf0-429e-a578-4ead2dab9a43" targetNamespace="http://schemas.microsoft.com/office/2006/metadata/properties" ma:root="true" ma:fieldsID="301ce210a468643f958a1917ef27fac2" ns2:_="" ns3:_="">
    <xsd:import namespace="2a2220af-7b06-4401-8589-40fd11788b24"/>
    <xsd:import namespace="0b3e3d46-dbf0-429e-a578-4ead2dab9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1493772-71ef-4dec-8287-d0ac424a6f3c}" ma:internalName="TaxCatchAll" ma:showField="CatchAllData" ma:web="0b3e3d46-dbf0-429e-a578-4ead2dab9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31D36-8FA9-4262-886C-4843A1A7D3B4}">
  <ds:schemaRefs>
    <ds:schemaRef ds:uri="http://schemas.microsoft.com/office/2006/metadata/properties"/>
    <ds:schemaRef ds:uri="http://schemas.microsoft.com/office/infopath/2007/PartnerControls"/>
    <ds:schemaRef ds:uri="0b3e3d46-dbf0-429e-a578-4ead2dab9a43"/>
    <ds:schemaRef ds:uri="2a2220af-7b06-4401-8589-40fd11788b24"/>
  </ds:schemaRefs>
</ds:datastoreItem>
</file>

<file path=customXml/itemProps2.xml><?xml version="1.0" encoding="utf-8"?>
<ds:datastoreItem xmlns:ds="http://schemas.openxmlformats.org/officeDocument/2006/customXml" ds:itemID="{C41AC0ED-1EAB-4A29-B941-A135DB437735}">
  <ds:schemaRefs>
    <ds:schemaRef ds:uri="http://schemas.openxmlformats.org/officeDocument/2006/bibliography"/>
  </ds:schemaRefs>
</ds:datastoreItem>
</file>

<file path=customXml/itemProps3.xml><?xml version="1.0" encoding="utf-8"?>
<ds:datastoreItem xmlns:ds="http://schemas.openxmlformats.org/officeDocument/2006/customXml" ds:itemID="{66B8F786-1BDD-4665-B588-C099B0FF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20af-7b06-4401-8589-40fd11788b24"/>
    <ds:schemaRef ds:uri="0b3e3d46-dbf0-429e-a578-4ead2dab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EAC3A-3C92-458C-A467-4FC17C905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Questions &amp; Answers – MPS webinar: Aged care reforms: impacts on the MPS program and providers – 29 July 2024</vt:lpstr>
    </vt:vector>
  </TitlesOfParts>
  <Company>Department of Health</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 MPS webinar: Aged care reforms: impacts on the MPS program and providers – 29 July 2024</dc:title>
  <dc:subject>Aged Care</dc:subject>
  <dc:creator>Australian Government Department of Health and Aged Care</dc:creator>
  <cp:keywords/>
  <dc:description/>
  <cp:lastModifiedBy>MASCHKE, Elvia</cp:lastModifiedBy>
  <cp:revision>5</cp:revision>
  <dcterms:created xsi:type="dcterms:W3CDTF">2024-10-14T05:21:00Z</dcterms:created>
  <dcterms:modified xsi:type="dcterms:W3CDTF">2024-10-14T06:06:00Z</dcterms:modified>
</cp:coreProperties>
</file>