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3329BA" w14:textId="77777777" w:rsidR="004D7764" w:rsidRPr="00087B36" w:rsidRDefault="004D7764" w:rsidP="00087B36">
      <w:pPr>
        <w:pStyle w:val="Heading1"/>
        <w:spacing w:before="0"/>
      </w:pPr>
      <w:bookmarkStart w:id="0" w:name="_Hlk163461193"/>
      <w:r w:rsidRPr="00087B36">
        <w:t>Use of Paxlovid (nirmatrelvir/ ritonavir) in residential aged care</w:t>
      </w:r>
    </w:p>
    <w:p w14:paraId="1DD49BDD" w14:textId="14651B81" w:rsidR="0007019F" w:rsidRPr="001F7243" w:rsidRDefault="0007019F" w:rsidP="0007019F">
      <w:pPr>
        <w:rPr>
          <w:color w:val="1E1544" w:themeColor="text1"/>
        </w:rPr>
      </w:pPr>
      <w:r w:rsidRPr="001F7243">
        <w:rPr>
          <w:color w:val="1E1544" w:themeColor="text1"/>
        </w:rPr>
        <w:t xml:space="preserve">This guide outlines the key considerations of </w:t>
      </w:r>
      <w:r w:rsidR="001D7F64">
        <w:rPr>
          <w:color w:val="1E1544" w:themeColor="text1"/>
        </w:rPr>
        <w:t>using</w:t>
      </w:r>
      <w:r w:rsidR="001D7F64" w:rsidRPr="001F7243">
        <w:rPr>
          <w:color w:val="1E1544" w:themeColor="text1"/>
        </w:rPr>
        <w:t xml:space="preserve"> </w:t>
      </w:r>
      <w:r w:rsidRPr="001F7243">
        <w:rPr>
          <w:color w:val="1E1544" w:themeColor="text1"/>
        </w:rPr>
        <w:t>Paxlovid (nirmatrelvir/ritonavir) in residential aged care clinical practice.</w:t>
      </w:r>
    </w:p>
    <w:p w14:paraId="006C3838" w14:textId="7C855992" w:rsidR="004D7764" w:rsidRPr="001F7243" w:rsidRDefault="0007019F" w:rsidP="004D7764">
      <w:pPr>
        <w:rPr>
          <w:color w:val="1E1544" w:themeColor="text1"/>
        </w:rPr>
      </w:pPr>
      <w:r w:rsidRPr="001F7243">
        <w:rPr>
          <w:color w:val="1E1544" w:themeColor="text1"/>
        </w:rPr>
        <w:t xml:space="preserve"> </w:t>
      </w:r>
      <w:r w:rsidR="00DB29FD" w:rsidRPr="001F7243">
        <w:rPr>
          <w:color w:val="1E1544" w:themeColor="text1"/>
        </w:rPr>
        <w:t>Paxlovid (nirmatrelvir/ritonavir)</w:t>
      </w:r>
      <w:r w:rsidRPr="001F7243">
        <w:rPr>
          <w:color w:val="1E1544" w:themeColor="text1"/>
        </w:rPr>
        <w:t xml:space="preserve"> </w:t>
      </w:r>
      <w:r w:rsidR="004D7764" w:rsidRPr="001F7243">
        <w:rPr>
          <w:color w:val="1E1544" w:themeColor="text1"/>
        </w:rPr>
        <w:t xml:space="preserve">can be effective in treating people with mild to moderate COVID-19 who have a high risk of progressing to severe disease, when started within </w:t>
      </w:r>
      <w:r w:rsidRPr="001F7243">
        <w:rPr>
          <w:color w:val="1E1544" w:themeColor="text1"/>
        </w:rPr>
        <w:t xml:space="preserve">five </w:t>
      </w:r>
      <w:r w:rsidR="004D7764" w:rsidRPr="001F7243">
        <w:rPr>
          <w:color w:val="1E1544" w:themeColor="text1"/>
        </w:rPr>
        <w:t>days of symptom onset.</w:t>
      </w:r>
    </w:p>
    <w:p w14:paraId="52B56208" w14:textId="22CA2DED" w:rsidR="004D7764" w:rsidRPr="001F7243" w:rsidRDefault="004D7764" w:rsidP="004D7764">
      <w:pPr>
        <w:rPr>
          <w:color w:val="1E1544" w:themeColor="text1"/>
        </w:rPr>
      </w:pPr>
      <w:r w:rsidRPr="001F7243">
        <w:rPr>
          <w:color w:val="1E1544" w:themeColor="text1"/>
        </w:rPr>
        <w:t>The drug must be prescribed by an authorised prescriber who has assessed the suitability of this treatment</w:t>
      </w:r>
      <w:r w:rsidR="0042284A">
        <w:rPr>
          <w:color w:val="1E1544" w:themeColor="text1"/>
        </w:rPr>
        <w:t xml:space="preserve"> for a resident</w:t>
      </w:r>
      <w:r w:rsidRPr="001F7243">
        <w:rPr>
          <w:color w:val="1E1544" w:themeColor="text1"/>
        </w:rPr>
        <w:t>, prior to administration.</w:t>
      </w:r>
    </w:p>
    <w:p w14:paraId="137EB4C3" w14:textId="77777777" w:rsidR="004D7764" w:rsidRPr="00AE3956" w:rsidRDefault="004D7764" w:rsidP="004D7764">
      <w:pPr>
        <w:pStyle w:val="Heading2"/>
      </w:pPr>
      <w:r w:rsidRPr="00AE3956">
        <w:t>Who is the medicine for?</w:t>
      </w:r>
    </w:p>
    <w:p w14:paraId="5808A19B" w14:textId="4150A88D" w:rsidR="004D7764" w:rsidRPr="00AB2B03" w:rsidRDefault="004D7764" w:rsidP="001F7243">
      <w:pPr>
        <w:rPr>
          <w:rFonts w:ascii="Times New Roman" w:hAnsi="Times New Roman"/>
          <w:lang w:eastAsia="en-AU"/>
        </w:rPr>
      </w:pPr>
      <w:r w:rsidRPr="0028065B">
        <w:rPr>
          <w:lang w:eastAsia="en-AU"/>
        </w:rPr>
        <w:t>Paxlovid (nirmatrelvir/ritonavir) can be considered for use</w:t>
      </w:r>
      <w:r w:rsidR="001F7243">
        <w:rPr>
          <w:lang w:eastAsia="en-AU"/>
        </w:rPr>
        <w:t xml:space="preserve"> </w:t>
      </w:r>
      <w:r w:rsidRPr="00AB2B03">
        <w:rPr>
          <w:lang w:eastAsia="en-AU"/>
        </w:rPr>
        <w:t>in COVID-19</w:t>
      </w:r>
      <w:r w:rsidR="007D4BAB">
        <w:rPr>
          <w:lang w:eastAsia="en-AU"/>
        </w:rPr>
        <w:t xml:space="preserve"> </w:t>
      </w:r>
      <w:r w:rsidRPr="00AB2B03">
        <w:rPr>
          <w:lang w:eastAsia="en-AU"/>
        </w:rPr>
        <w:t>positive adults:</w:t>
      </w:r>
    </w:p>
    <w:p w14:paraId="5E2C9498" w14:textId="71C84FCA" w:rsidR="004D7764" w:rsidRPr="00AB2B03" w:rsidRDefault="004D7764" w:rsidP="004D7764">
      <w:pPr>
        <w:pStyle w:val="ListBullet"/>
        <w:rPr>
          <w:color w:val="000000"/>
          <w:sz w:val="24"/>
          <w:lang w:eastAsia="en-AU"/>
        </w:rPr>
      </w:pPr>
      <w:r w:rsidRPr="00AB2B03">
        <w:rPr>
          <w:color w:val="000000"/>
          <w:sz w:val="24"/>
          <w:lang w:eastAsia="en-AU"/>
        </w:rPr>
        <w:t xml:space="preserve">with </w:t>
      </w:r>
      <w:hyperlink r:id="rId11" w:anchor="/guideline/L4Q5An/section/nV2P3n" w:history="1">
        <w:r w:rsidRPr="00AB2B03">
          <w:rPr>
            <w:rStyle w:val="Hyperlink"/>
            <w:sz w:val="24"/>
          </w:rPr>
          <w:t>mild-moderate COVID-19</w:t>
        </w:r>
      </w:hyperlink>
      <w:r w:rsidRPr="00AB2B03">
        <w:rPr>
          <w:color w:val="000000"/>
          <w:sz w:val="24"/>
          <w:lang w:eastAsia="en-AU"/>
        </w:rPr>
        <w:t xml:space="preserve"> and no need for supplemental oxygen due to COVID-19</w:t>
      </w:r>
    </w:p>
    <w:p w14:paraId="6F4D6A86" w14:textId="77777777" w:rsidR="004D7764" w:rsidRPr="00AB2B03" w:rsidRDefault="004D7764" w:rsidP="004D7764">
      <w:pPr>
        <w:pStyle w:val="ListBullet"/>
        <w:rPr>
          <w:rFonts w:cs="Arial"/>
          <w:color w:val="000000"/>
          <w:sz w:val="24"/>
          <w:lang w:eastAsia="en-AU"/>
        </w:rPr>
      </w:pPr>
      <w:r w:rsidRPr="00AB2B03">
        <w:rPr>
          <w:rFonts w:cs="Arial"/>
          <w:color w:val="000000"/>
          <w:sz w:val="24"/>
          <w:lang w:eastAsia="en-AU"/>
        </w:rPr>
        <w:t xml:space="preserve">with </w:t>
      </w:r>
      <w:hyperlink r:id="rId12" w:history="1">
        <w:r w:rsidRPr="00AB2B03">
          <w:rPr>
            <w:rStyle w:val="Hyperlink"/>
            <w:sz w:val="24"/>
          </w:rPr>
          <w:t>increased</w:t>
        </w:r>
        <w:r w:rsidRPr="00AB2B03">
          <w:rPr>
            <w:rFonts w:cs="Arial"/>
            <w:color w:val="0000FF"/>
            <w:sz w:val="24"/>
            <w:u w:val="single"/>
            <w:lang w:eastAsia="en-AU"/>
          </w:rPr>
          <w:t xml:space="preserve"> </w:t>
        </w:r>
        <w:r w:rsidRPr="00AB2B03">
          <w:rPr>
            <w:rStyle w:val="Hyperlink"/>
            <w:sz w:val="24"/>
          </w:rPr>
          <w:t>risk</w:t>
        </w:r>
      </w:hyperlink>
      <w:r w:rsidRPr="00AB2B03">
        <w:rPr>
          <w:rFonts w:cs="Arial"/>
          <w:color w:val="000000"/>
          <w:sz w:val="24"/>
          <w:lang w:eastAsia="en-AU"/>
        </w:rPr>
        <w:t xml:space="preserve"> of progression to hospitalisation or death</w:t>
      </w:r>
      <w:r w:rsidRPr="00AB2B03">
        <w:rPr>
          <w:rFonts w:ascii="Times New Roman" w:hAnsi="Times New Roman" w:cs="Arial"/>
          <w:color w:val="000000"/>
          <w:sz w:val="24"/>
          <w:lang w:eastAsia="en-AU"/>
        </w:rPr>
        <w:t xml:space="preserve">, </w:t>
      </w:r>
      <w:r w:rsidRPr="00AB2B03">
        <w:rPr>
          <w:color w:val="auto"/>
          <w:sz w:val="24"/>
          <w:lang w:eastAsia="en-AU"/>
        </w:rPr>
        <w:t>and</w:t>
      </w:r>
    </w:p>
    <w:p w14:paraId="07FC98AF" w14:textId="77777777" w:rsidR="004D7764" w:rsidRPr="00AB2B03" w:rsidRDefault="004D7764" w:rsidP="004D7764">
      <w:pPr>
        <w:pStyle w:val="ListBullet"/>
        <w:rPr>
          <w:rFonts w:ascii="Times New Roman" w:hAnsi="Times New Roman"/>
          <w:color w:val="auto"/>
          <w:sz w:val="24"/>
          <w:lang w:eastAsia="en-AU"/>
        </w:rPr>
      </w:pPr>
      <w:r w:rsidRPr="00AB2B03">
        <w:rPr>
          <w:color w:val="auto"/>
          <w:sz w:val="24"/>
          <w:lang w:eastAsia="en-AU"/>
        </w:rPr>
        <w:t xml:space="preserve">where treatment can be started quickly and no later than </w:t>
      </w:r>
      <w:r w:rsidR="0007019F">
        <w:rPr>
          <w:color w:val="auto"/>
          <w:sz w:val="24"/>
          <w:lang w:eastAsia="en-AU"/>
        </w:rPr>
        <w:t>five</w:t>
      </w:r>
      <w:r w:rsidRPr="00AB2B03">
        <w:rPr>
          <w:color w:val="auto"/>
          <w:sz w:val="24"/>
          <w:lang w:eastAsia="en-AU"/>
        </w:rPr>
        <w:t xml:space="preserve"> days after the onset of symptoms.</w:t>
      </w:r>
    </w:p>
    <w:p w14:paraId="007A2AC0" w14:textId="77777777" w:rsidR="004D7764" w:rsidRDefault="004D7764" w:rsidP="004D7764">
      <w:pPr>
        <w:pStyle w:val="Heading2"/>
        <w:rPr>
          <w:lang w:eastAsia="en-AU"/>
        </w:rPr>
      </w:pPr>
      <w:r>
        <w:rPr>
          <w:lang w:eastAsia="en-AU"/>
        </w:rPr>
        <w:t>Eligibility</w:t>
      </w:r>
    </w:p>
    <w:p w14:paraId="69C6AB90" w14:textId="2CA9DBAA" w:rsidR="004D7764" w:rsidRPr="00B868B9" w:rsidRDefault="004D7764" w:rsidP="004D7764">
      <w:bookmarkStart w:id="1" w:name="_Hlk95244968"/>
      <w:r>
        <w:t xml:space="preserve">If the above criteria are met and a </w:t>
      </w:r>
      <w:bookmarkStart w:id="2" w:name="_Int_qTkj7xce"/>
      <w:proofErr w:type="gramStart"/>
      <w:r>
        <w:t>resident tests</w:t>
      </w:r>
      <w:bookmarkEnd w:id="2"/>
      <w:proofErr w:type="gramEnd"/>
      <w:r>
        <w:t xml:space="preserve"> positive for COVID-19, they may be eligible for antiviral treatments if they are</w:t>
      </w:r>
      <w:bookmarkEnd w:id="1"/>
      <w:r>
        <w:t>:</w:t>
      </w:r>
    </w:p>
    <w:p w14:paraId="05B0ACC7" w14:textId="4E5EFFB0" w:rsidR="004D7764" w:rsidRPr="0077305B" w:rsidRDefault="004D7764" w:rsidP="004D7764">
      <w:pPr>
        <w:pStyle w:val="ListBullet"/>
        <w:rPr>
          <w:color w:val="auto"/>
          <w:sz w:val="24"/>
        </w:rPr>
      </w:pPr>
      <w:r w:rsidRPr="0077305B">
        <w:rPr>
          <w:color w:val="auto"/>
          <w:sz w:val="24"/>
        </w:rPr>
        <w:lastRenderedPageBreak/>
        <w:t>70 years and older, regardless of risk factors and with or without symptoms</w:t>
      </w:r>
      <w:r w:rsidR="00C660CB" w:rsidRPr="0077305B">
        <w:rPr>
          <w:color w:val="auto"/>
          <w:sz w:val="24"/>
        </w:rPr>
        <w:t>.</w:t>
      </w:r>
    </w:p>
    <w:p w14:paraId="65E0F7BA" w14:textId="40C189E9" w:rsidR="004D7764" w:rsidRPr="0077305B" w:rsidRDefault="004D7764" w:rsidP="004D7764">
      <w:pPr>
        <w:pStyle w:val="ListBullet"/>
        <w:rPr>
          <w:rFonts w:cs="Arial"/>
          <w:color w:val="auto"/>
          <w:sz w:val="24"/>
        </w:rPr>
      </w:pPr>
      <w:r w:rsidRPr="0077305B">
        <w:rPr>
          <w:color w:val="auto"/>
          <w:sz w:val="24"/>
        </w:rPr>
        <w:t xml:space="preserve">50 years or older </w:t>
      </w:r>
      <w:r w:rsidRPr="0077305B">
        <w:rPr>
          <w:rFonts w:cs="Arial"/>
          <w:color w:val="auto"/>
          <w:sz w:val="24"/>
        </w:rPr>
        <w:t xml:space="preserve">with </w:t>
      </w:r>
      <w:r w:rsidR="0007019F" w:rsidRPr="0077305B">
        <w:rPr>
          <w:rFonts w:cs="Arial"/>
          <w:color w:val="auto"/>
          <w:sz w:val="24"/>
        </w:rPr>
        <w:t xml:space="preserve">two </w:t>
      </w:r>
      <w:r w:rsidRPr="0077305B">
        <w:rPr>
          <w:rFonts w:cs="Arial"/>
          <w:color w:val="auto"/>
          <w:sz w:val="24"/>
        </w:rPr>
        <w:t>additional risk factors</w:t>
      </w:r>
      <w:r w:rsidR="00D56890" w:rsidRPr="0077305B">
        <w:rPr>
          <w:rFonts w:cs="Arial"/>
          <w:color w:val="auto"/>
          <w:sz w:val="24"/>
        </w:rPr>
        <w:t xml:space="preserve"> </w:t>
      </w:r>
      <w:r w:rsidR="00D56890" w:rsidRPr="0077305B">
        <w:rPr>
          <w:rFonts w:cs="Arial"/>
          <w:color w:val="313131"/>
          <w:sz w:val="24"/>
          <w:shd w:val="clear" w:color="auto" w:fill="FFFFFF"/>
        </w:rPr>
        <w:t>for developing severe disease</w:t>
      </w:r>
      <w:r w:rsidR="00C660CB" w:rsidRPr="0077305B">
        <w:rPr>
          <w:rFonts w:cs="Arial"/>
          <w:color w:val="313131"/>
          <w:sz w:val="24"/>
          <w:shd w:val="clear" w:color="auto" w:fill="FFFFFF"/>
        </w:rPr>
        <w:t>.</w:t>
      </w:r>
    </w:p>
    <w:p w14:paraId="028C8592" w14:textId="3A40275B" w:rsidR="004D7764" w:rsidRPr="0077305B" w:rsidRDefault="004D7764" w:rsidP="004D7764">
      <w:pPr>
        <w:pStyle w:val="ListBullet"/>
        <w:rPr>
          <w:rFonts w:cs="Arial"/>
          <w:color w:val="auto"/>
          <w:sz w:val="24"/>
        </w:rPr>
      </w:pPr>
      <w:r w:rsidRPr="0077305B">
        <w:rPr>
          <w:rFonts w:cs="Arial"/>
          <w:color w:val="auto"/>
          <w:sz w:val="24"/>
        </w:rPr>
        <w:t>Aboriginal or Torres Strait Islander, 30 years or older and with</w:t>
      </w:r>
      <w:r w:rsidR="0007019F" w:rsidRPr="0077305B">
        <w:rPr>
          <w:rFonts w:cs="Arial"/>
          <w:color w:val="auto"/>
          <w:sz w:val="24"/>
        </w:rPr>
        <w:t xml:space="preserve"> </w:t>
      </w:r>
      <w:r w:rsidR="00D56890" w:rsidRPr="0077305B">
        <w:rPr>
          <w:rFonts w:cs="Arial"/>
          <w:color w:val="auto"/>
          <w:sz w:val="24"/>
        </w:rPr>
        <w:t>one</w:t>
      </w:r>
      <w:r w:rsidRPr="0077305B">
        <w:rPr>
          <w:rFonts w:cs="Arial"/>
          <w:color w:val="auto"/>
          <w:sz w:val="24"/>
        </w:rPr>
        <w:t xml:space="preserve"> additional risk factor</w:t>
      </w:r>
      <w:r w:rsidR="00D56890" w:rsidRPr="0077305B">
        <w:rPr>
          <w:rFonts w:cs="Arial"/>
          <w:color w:val="auto"/>
          <w:sz w:val="24"/>
        </w:rPr>
        <w:t xml:space="preserve"> </w:t>
      </w:r>
      <w:r w:rsidR="00D56890" w:rsidRPr="0077305B">
        <w:rPr>
          <w:rFonts w:cs="Arial"/>
          <w:color w:val="313131"/>
          <w:sz w:val="24"/>
          <w:shd w:val="clear" w:color="auto" w:fill="FFFFFF"/>
        </w:rPr>
        <w:t>for developing severe disease</w:t>
      </w:r>
      <w:r w:rsidRPr="0077305B">
        <w:rPr>
          <w:rFonts w:cs="Arial"/>
          <w:color w:val="auto"/>
          <w:sz w:val="24"/>
        </w:rPr>
        <w:t>.</w:t>
      </w:r>
    </w:p>
    <w:p w14:paraId="35853436" w14:textId="5F8FB3C6" w:rsidR="00E75573" w:rsidRPr="0077305B" w:rsidRDefault="00E75573" w:rsidP="004D7764">
      <w:pPr>
        <w:pStyle w:val="ListBullet"/>
        <w:rPr>
          <w:rFonts w:cs="Arial"/>
          <w:color w:val="auto"/>
          <w:sz w:val="24"/>
        </w:rPr>
      </w:pPr>
      <w:r w:rsidRPr="0077305B">
        <w:rPr>
          <w:sz w:val="24"/>
        </w:rPr>
        <w:t>18 years of age or older, with moderate to severe immunocompromise</w:t>
      </w:r>
      <w:r w:rsidR="00346970" w:rsidRPr="0077305B">
        <w:rPr>
          <w:sz w:val="24"/>
        </w:rPr>
        <w:t xml:space="preserve">, or who have been previously hospitalised from COVID-19 </w:t>
      </w:r>
      <w:r w:rsidR="00731196" w:rsidRPr="0077305B">
        <w:rPr>
          <w:sz w:val="24"/>
        </w:rPr>
        <w:t xml:space="preserve">and </w:t>
      </w:r>
      <w:r w:rsidR="00346970" w:rsidRPr="0077305B">
        <w:rPr>
          <w:sz w:val="24"/>
        </w:rPr>
        <w:t>subsequently re-infected.</w:t>
      </w:r>
    </w:p>
    <w:p w14:paraId="63ECF433" w14:textId="77777777" w:rsidR="004D7764" w:rsidRPr="00AB2B03" w:rsidRDefault="004D7764" w:rsidP="004D7764">
      <w:pPr>
        <w:rPr>
          <w:b/>
          <w:bCs/>
        </w:rPr>
      </w:pPr>
      <w:r w:rsidRPr="00AB2B03">
        <w:rPr>
          <w:b/>
          <w:bCs/>
        </w:rPr>
        <w:t>Risk factors for these groups include:</w:t>
      </w:r>
    </w:p>
    <w:p w14:paraId="14613148" w14:textId="77777777" w:rsidR="004D7764" w:rsidRPr="00AB2B03" w:rsidRDefault="004D7764" w:rsidP="004D7764">
      <w:pPr>
        <w:pStyle w:val="ListBullet"/>
        <w:rPr>
          <w:rStyle w:val="Strong"/>
          <w:b w:val="0"/>
          <w:bCs w:val="0"/>
          <w:color w:val="auto"/>
          <w:sz w:val="24"/>
        </w:rPr>
      </w:pPr>
      <w:r w:rsidRPr="00AB2B03">
        <w:rPr>
          <w:rStyle w:val="Strong"/>
          <w:b w:val="0"/>
          <w:bCs w:val="0"/>
          <w:color w:val="auto"/>
          <w:sz w:val="24"/>
        </w:rPr>
        <w:t>living in residential aged care</w:t>
      </w:r>
    </w:p>
    <w:p w14:paraId="6FAC5F16" w14:textId="77777777" w:rsidR="004D7764" w:rsidRPr="00AB2B03" w:rsidRDefault="004D7764" w:rsidP="004D7764">
      <w:pPr>
        <w:pStyle w:val="ListBullet"/>
        <w:rPr>
          <w:color w:val="auto"/>
          <w:sz w:val="24"/>
        </w:rPr>
      </w:pPr>
      <w:r w:rsidRPr="00AB2B03">
        <w:rPr>
          <w:color w:val="auto"/>
          <w:sz w:val="24"/>
        </w:rPr>
        <w:t>living with disability with multiple conditions and/or frailty (but not limited to living in supported accommodation)</w:t>
      </w:r>
    </w:p>
    <w:p w14:paraId="42C8B738" w14:textId="4A32B1CA" w:rsidR="004D7764" w:rsidRPr="00AB2B03" w:rsidRDefault="004D7764" w:rsidP="004D7764">
      <w:pPr>
        <w:pStyle w:val="ListBullet"/>
        <w:rPr>
          <w:color w:val="auto"/>
          <w:sz w:val="24"/>
        </w:rPr>
      </w:pPr>
      <w:r w:rsidRPr="00AB2B03">
        <w:rPr>
          <w:color w:val="auto"/>
          <w:sz w:val="24"/>
        </w:rPr>
        <w:t xml:space="preserve">neurological conditions like stroke or dementia and demyelinating conditions </w:t>
      </w:r>
      <w:proofErr w:type="spellStart"/>
      <w:r w:rsidR="00214A2B" w:rsidRPr="00214A2B">
        <w:rPr>
          <w:color w:val="auto"/>
          <w:sz w:val="24"/>
        </w:rPr>
        <w:t>e.g</w:t>
      </w:r>
      <w:proofErr w:type="spellEnd"/>
      <w:r w:rsidR="00214A2B" w:rsidRPr="00214A2B">
        <w:rPr>
          <w:color w:val="auto"/>
          <w:sz w:val="24"/>
        </w:rPr>
        <w:t>,</w:t>
      </w:r>
      <w:r w:rsidRPr="00AB2B03">
        <w:rPr>
          <w:color w:val="auto"/>
          <w:sz w:val="24"/>
        </w:rPr>
        <w:t xml:space="preserve"> multiple sclerosis, Guillain-Barre Syndrome</w:t>
      </w:r>
    </w:p>
    <w:p w14:paraId="2929AC4C" w14:textId="77777777" w:rsidR="004D7764" w:rsidRPr="00AB2B03" w:rsidRDefault="004D7764" w:rsidP="004D7764">
      <w:pPr>
        <w:pStyle w:val="ListBullet"/>
        <w:rPr>
          <w:color w:val="auto"/>
          <w:sz w:val="24"/>
        </w:rPr>
      </w:pPr>
      <w:r w:rsidRPr="00AB2B03">
        <w:rPr>
          <w:color w:val="auto"/>
          <w:sz w:val="24"/>
        </w:rPr>
        <w:t>chronic respiratory conditions including COPD, moderate or severe asthma</w:t>
      </w:r>
    </w:p>
    <w:p w14:paraId="3EC3A7FE" w14:textId="77777777" w:rsidR="004D7764" w:rsidRPr="00AB2B03" w:rsidRDefault="004D7764" w:rsidP="004D7764">
      <w:pPr>
        <w:pStyle w:val="ListBullet"/>
        <w:rPr>
          <w:color w:val="auto"/>
          <w:sz w:val="24"/>
        </w:rPr>
      </w:pPr>
      <w:r w:rsidRPr="00AB2B03">
        <w:rPr>
          <w:color w:val="auto"/>
          <w:sz w:val="24"/>
        </w:rPr>
        <w:t>obesity or diabetes (type I or II requiring medication)</w:t>
      </w:r>
    </w:p>
    <w:p w14:paraId="73108094" w14:textId="77777777" w:rsidR="004D7764" w:rsidRPr="00AB2B03" w:rsidRDefault="004D7764" w:rsidP="004D7764">
      <w:pPr>
        <w:pStyle w:val="ListBullet"/>
        <w:rPr>
          <w:color w:val="auto"/>
          <w:sz w:val="24"/>
        </w:rPr>
      </w:pPr>
      <w:r w:rsidRPr="00AB2B03">
        <w:rPr>
          <w:color w:val="auto"/>
          <w:sz w:val="24"/>
        </w:rPr>
        <w:t>heart failure, coronary artery disease, cardiomyopathies</w:t>
      </w:r>
    </w:p>
    <w:p w14:paraId="5B21AEA4" w14:textId="77777777" w:rsidR="004D7764" w:rsidRPr="00AB2B03" w:rsidRDefault="004D7764" w:rsidP="004D7764">
      <w:pPr>
        <w:pStyle w:val="ListBullet"/>
        <w:rPr>
          <w:color w:val="auto"/>
          <w:sz w:val="24"/>
        </w:rPr>
      </w:pPr>
      <w:r w:rsidRPr="00AB2B03">
        <w:rPr>
          <w:color w:val="auto"/>
          <w:sz w:val="24"/>
        </w:rPr>
        <w:t>kidney failure or cirrhosis</w:t>
      </w:r>
    </w:p>
    <w:p w14:paraId="3635B39A" w14:textId="77777777" w:rsidR="004D7764" w:rsidRPr="00AB2B03" w:rsidRDefault="004D7764" w:rsidP="004D7764">
      <w:pPr>
        <w:pStyle w:val="ListBullet"/>
        <w:rPr>
          <w:color w:val="auto"/>
          <w:sz w:val="24"/>
        </w:rPr>
      </w:pPr>
      <w:r w:rsidRPr="00AB2B03">
        <w:rPr>
          <w:color w:val="auto"/>
          <w:sz w:val="24"/>
        </w:rPr>
        <w:t>living remotely with reduced access to higher level healthcare.</w:t>
      </w:r>
    </w:p>
    <w:p w14:paraId="4537F59C" w14:textId="4DF98F61" w:rsidR="004D7764" w:rsidRDefault="004D7764" w:rsidP="004D7764">
      <w:pPr>
        <w:pStyle w:val="Heading2"/>
        <w:rPr>
          <w:lang w:eastAsia="en-AU"/>
        </w:rPr>
      </w:pPr>
      <w:r w:rsidRPr="0028065B">
        <w:rPr>
          <w:lang w:eastAsia="en-AU"/>
        </w:rPr>
        <w:t xml:space="preserve">Alternative </w:t>
      </w:r>
      <w:r w:rsidRPr="00AE3956">
        <w:t>medications</w:t>
      </w:r>
    </w:p>
    <w:p w14:paraId="4A79B07D" w14:textId="0C616240" w:rsidR="004D7764" w:rsidRPr="000B7D0A" w:rsidRDefault="004D7764" w:rsidP="004D7764">
      <w:proofErr w:type="spellStart"/>
      <w:r w:rsidRPr="000B7D0A">
        <w:t>Lagevrio</w:t>
      </w:r>
      <w:proofErr w:type="spellEnd"/>
      <w:r w:rsidRPr="005C383F">
        <w:t>® (</w:t>
      </w:r>
      <w:proofErr w:type="spellStart"/>
      <w:r w:rsidRPr="000B7D0A">
        <w:t>molnupiravir</w:t>
      </w:r>
      <w:proofErr w:type="spellEnd"/>
      <w:r w:rsidRPr="000B7D0A">
        <w:t>)</w:t>
      </w:r>
      <w:r w:rsidR="00D56890">
        <w:t>,</w:t>
      </w:r>
      <w:r w:rsidRPr="000B7D0A">
        <w:t xml:space="preserve"> an orally administered </w:t>
      </w:r>
      <w:r w:rsidR="00ED6B63">
        <w:t xml:space="preserve">antiviral </w:t>
      </w:r>
      <w:r w:rsidR="00BF0448">
        <w:t>treatment</w:t>
      </w:r>
      <w:r w:rsidR="00E83896">
        <w:t>,</w:t>
      </w:r>
      <w:r w:rsidR="00BF0448">
        <w:t xml:space="preserve"> </w:t>
      </w:r>
      <w:r w:rsidR="00455474">
        <w:t xml:space="preserve">or </w:t>
      </w:r>
      <w:r w:rsidR="002E6BF3">
        <w:t>certain intravenously administered therapeutics</w:t>
      </w:r>
      <w:r w:rsidRPr="000B7D0A">
        <w:t xml:space="preserve">, may be alternatives where </w:t>
      </w:r>
      <w:r w:rsidRPr="005C383F">
        <w:t>Paxlovid</w:t>
      </w:r>
      <w:r>
        <w:t xml:space="preserve"> </w:t>
      </w:r>
      <w:r w:rsidRPr="005C383F">
        <w:t xml:space="preserve">(nirmatrelvir/ritonavir) </w:t>
      </w:r>
      <w:r w:rsidRPr="000B7D0A">
        <w:t xml:space="preserve">is not suitable or available. </w:t>
      </w:r>
    </w:p>
    <w:p w14:paraId="39747DC2" w14:textId="7AF9BD2A" w:rsidR="004D7764" w:rsidRPr="007B2A59" w:rsidRDefault="004D7764" w:rsidP="004D7764">
      <w:pPr>
        <w:pStyle w:val="Heading2"/>
      </w:pPr>
      <w:r w:rsidRPr="0536BD3A">
        <w:rPr>
          <w:lang w:eastAsia="en-AU"/>
        </w:rPr>
        <w:t xml:space="preserve">Clinical </w:t>
      </w:r>
      <w:r w:rsidR="5D6EE8EC" w:rsidRPr="0536BD3A">
        <w:rPr>
          <w:lang w:eastAsia="en-AU"/>
        </w:rPr>
        <w:t>c</w:t>
      </w:r>
      <w:r w:rsidR="00500757" w:rsidRPr="0536BD3A">
        <w:rPr>
          <w:lang w:eastAsia="en-AU"/>
        </w:rPr>
        <w:t>onsiderations</w:t>
      </w:r>
    </w:p>
    <w:p w14:paraId="450946DB" w14:textId="77777777" w:rsidR="004D7764" w:rsidRPr="007B2A59" w:rsidRDefault="004D7764" w:rsidP="004D7764">
      <w:pPr>
        <w:pStyle w:val="Heading3"/>
      </w:pPr>
      <w:r>
        <w:rPr>
          <w:lang w:eastAsia="en-AU"/>
        </w:rPr>
        <w:t>Side effects</w:t>
      </w:r>
    </w:p>
    <w:p w14:paraId="0FF00F10" w14:textId="19FDAF8C" w:rsidR="004D7764" w:rsidRPr="00326FF4" w:rsidRDefault="004D7764" w:rsidP="004D7764">
      <w:r w:rsidRPr="005C383F">
        <w:t xml:space="preserve">The most common side effects reported </w:t>
      </w:r>
      <w:r w:rsidR="00D56890">
        <w:t xml:space="preserve">for </w:t>
      </w:r>
      <w:r w:rsidRPr="005C383F">
        <w:t xml:space="preserve">Paxlovid (nirmatrelvir/ritonavir) </w:t>
      </w:r>
      <w:r w:rsidR="00D56890">
        <w:t>include</w:t>
      </w:r>
      <w:r w:rsidR="00D56890" w:rsidRPr="005C383F">
        <w:t xml:space="preserve"> </w:t>
      </w:r>
      <w:r w:rsidRPr="005C383F">
        <w:t xml:space="preserve">changes in taste; diarrhoea; vomiting; and headache. </w:t>
      </w:r>
    </w:p>
    <w:p w14:paraId="077E8194" w14:textId="77777777" w:rsidR="004D7764" w:rsidRDefault="004D7764" w:rsidP="004D7764">
      <w:r w:rsidRPr="00326FF4">
        <w:t xml:space="preserve">It is recommended that residents receiving Paxlovid (nirmatrelvir/ritonavir) be closely monitored for these </w:t>
      </w:r>
      <w:r w:rsidRPr="007B2A59">
        <w:t>side</w:t>
      </w:r>
      <w:r w:rsidRPr="00326FF4">
        <w:t xml:space="preserve"> effects.</w:t>
      </w:r>
    </w:p>
    <w:p w14:paraId="3888D461" w14:textId="3D38ACBB" w:rsidR="0022710E" w:rsidRDefault="0022710E" w:rsidP="004D7764">
      <w:pPr>
        <w:pStyle w:val="Heading2"/>
      </w:pPr>
      <w:r>
        <w:t xml:space="preserve">Interactions </w:t>
      </w:r>
    </w:p>
    <w:p w14:paraId="1E6B462E" w14:textId="229DCD35" w:rsidR="0022710E" w:rsidRPr="0022710E" w:rsidRDefault="004308A6" w:rsidP="00A07D71">
      <w:r>
        <w:t>Paxlovid interacts with many different medicines.</w:t>
      </w:r>
      <w:r w:rsidR="00A07D71">
        <w:t xml:space="preserve"> Prescribers and dispensers should </w:t>
      </w:r>
      <w:r w:rsidR="002C2DCD">
        <w:t xml:space="preserve">refer to the Paxlovid product information and </w:t>
      </w:r>
      <w:r w:rsidR="00A07D71">
        <w:t>carefully review a patient’s concomitant medications</w:t>
      </w:r>
      <w:r w:rsidR="002C2DCD">
        <w:t>,</w:t>
      </w:r>
      <w:r w:rsidR="00A07D71">
        <w:t xml:space="preserve"> </w:t>
      </w:r>
      <w:proofErr w:type="gramStart"/>
      <w:r w:rsidR="00A07D71">
        <w:t>including</w:t>
      </w:r>
      <w:r w:rsidR="002C2DCD">
        <w:t>:</w:t>
      </w:r>
      <w:proofErr w:type="gramEnd"/>
      <w:r w:rsidR="00A07D71">
        <w:t xml:space="preserve"> over-the-counter medications, herbal supplements, and recreational drug before prescribing or dispensing Paxlovid.</w:t>
      </w:r>
      <w:r>
        <w:t xml:space="preserve"> </w:t>
      </w:r>
    </w:p>
    <w:p w14:paraId="1B3DB70D" w14:textId="61955272" w:rsidR="004D7764" w:rsidRDefault="004D7764" w:rsidP="004D7764">
      <w:pPr>
        <w:pStyle w:val="Heading2"/>
      </w:pPr>
      <w:r w:rsidRPr="007B2A59">
        <w:lastRenderedPageBreak/>
        <w:t>Dose adjustment</w:t>
      </w:r>
    </w:p>
    <w:p w14:paraId="42F03ECE" w14:textId="3CCA0C8A" w:rsidR="007118D6" w:rsidRDefault="007118D6" w:rsidP="00A07D71">
      <w:r>
        <w:t xml:space="preserve">The prescriber should consider if risk of drug-drug interactions can be managed safely with additional monitoring and/or by temporarily withholding or adjusting the dose of the patient’s interacting medications. </w:t>
      </w:r>
    </w:p>
    <w:p w14:paraId="4D6014A5" w14:textId="3C8D191C" w:rsidR="00A07D71" w:rsidRPr="00A07D71" w:rsidRDefault="007118D6" w:rsidP="004958BE">
      <w:r>
        <w:t xml:space="preserve">As Paxlovid is more effective than </w:t>
      </w:r>
      <w:proofErr w:type="spellStart"/>
      <w:r>
        <w:t>Lagevrio</w:t>
      </w:r>
      <w:proofErr w:type="spellEnd"/>
      <w:r>
        <w:t xml:space="preserve">, the use of </w:t>
      </w:r>
      <w:proofErr w:type="spellStart"/>
      <w:r>
        <w:t>Lagevrio</w:t>
      </w:r>
      <w:proofErr w:type="spellEnd"/>
      <w:r>
        <w:t xml:space="preserve"> should be limited to situations where in the opinion of the prescriber, Paxlovid cannot be used due to contraindications. Further details are available at </w:t>
      </w:r>
      <w:hyperlink r:id="rId13" w:history="1">
        <w:r w:rsidRPr="007118D6">
          <w:rPr>
            <w:rStyle w:val="Hyperlink"/>
          </w:rPr>
          <w:t>Paxlovid PBS fact sheet</w:t>
        </w:r>
      </w:hyperlink>
      <w:r>
        <w:t xml:space="preserve">. </w:t>
      </w:r>
    </w:p>
    <w:p w14:paraId="29A42E9D" w14:textId="77777777" w:rsidR="004D7764" w:rsidRPr="007B1EC1" w:rsidRDefault="004D7764" w:rsidP="004D7764">
      <w:pPr>
        <w:pStyle w:val="Heading3"/>
        <w:rPr>
          <w:i/>
        </w:rPr>
      </w:pPr>
      <w:r w:rsidRPr="007B1EC1">
        <w:t>Renal impairment</w:t>
      </w:r>
    </w:p>
    <w:p w14:paraId="1A9CFC0D" w14:textId="77777777" w:rsidR="004D7764" w:rsidRPr="00AE3956" w:rsidRDefault="004D7764" w:rsidP="004D7764">
      <w:r w:rsidRPr="00E749AE">
        <w:t>Paxlovid (nirmatrelvir/ritonavir) is contraindicated in patients with severe renal impairment.</w:t>
      </w:r>
    </w:p>
    <w:p w14:paraId="137E4F59" w14:textId="77777777" w:rsidR="004D7764" w:rsidRPr="00AE3956" w:rsidRDefault="004D7764" w:rsidP="004D7764">
      <w:r w:rsidRPr="00483795">
        <w:t>The dosage</w:t>
      </w:r>
      <w:r w:rsidRPr="005C383F">
        <w:t>s</w:t>
      </w:r>
      <w:r w:rsidRPr="00483795">
        <w:t xml:space="preserve"> for </w:t>
      </w:r>
      <w:r w:rsidRPr="005C383F">
        <w:t>Paxlovid (nirmatrelvir/ritonavir)</w:t>
      </w:r>
      <w:r w:rsidRPr="00483795">
        <w:t xml:space="preserve"> </w:t>
      </w:r>
      <w:r>
        <w:t xml:space="preserve">in renal impairment </w:t>
      </w:r>
      <w:r w:rsidRPr="005C383F">
        <w:t>are</w:t>
      </w:r>
      <w:r w:rsidRPr="00483795">
        <w:t xml:space="preserve"> as follows:</w:t>
      </w:r>
    </w:p>
    <w:tbl>
      <w:tblPr>
        <w:tblStyle w:val="TableGrid"/>
        <w:tblW w:w="0" w:type="auto"/>
        <w:tblLook w:val="0020" w:firstRow="1" w:lastRow="0" w:firstColumn="0" w:lastColumn="0" w:noHBand="0" w:noVBand="0"/>
        <w:tblDescription w:val="This table list the dosages for Paxlovid (nirmatrelvir/ritonavir) in renal impairment "/>
      </w:tblPr>
      <w:tblGrid>
        <w:gridCol w:w="4820"/>
        <w:gridCol w:w="5384"/>
      </w:tblGrid>
      <w:tr w:rsidR="004D7764" w:rsidRPr="00AE3956" w14:paraId="15DAEDA0" w14:textId="77777777" w:rsidTr="004D7764">
        <w:trPr>
          <w:cnfStyle w:val="100000000000" w:firstRow="1" w:lastRow="0" w:firstColumn="0" w:lastColumn="0" w:oddVBand="0" w:evenVBand="0" w:oddHBand="0" w:evenHBand="0" w:firstRowFirstColumn="0" w:firstRowLastColumn="0" w:lastRowFirstColumn="0" w:lastRowLastColumn="0"/>
          <w:trHeight w:val="510"/>
        </w:trPr>
        <w:tc>
          <w:tcPr>
            <w:tcW w:w="0" w:type="auto"/>
          </w:tcPr>
          <w:p w14:paraId="6FB6CDE4" w14:textId="77777777" w:rsidR="004D7764" w:rsidRPr="00AE3956" w:rsidRDefault="004D7764" w:rsidP="001426A2">
            <w:r w:rsidRPr="00AE3956">
              <w:t>eGFR (estimated glomerular filtration rate)</w:t>
            </w:r>
          </w:p>
        </w:tc>
        <w:tc>
          <w:tcPr>
            <w:tcW w:w="0" w:type="auto"/>
          </w:tcPr>
          <w:p w14:paraId="53058562" w14:textId="77777777" w:rsidR="004D7764" w:rsidRPr="00AE3956" w:rsidRDefault="004D7764" w:rsidP="001426A2">
            <w:r w:rsidRPr="00AE3956">
              <w:t xml:space="preserve">Paxlovid ® (nirmatrelvir/ritonavir) dose </w:t>
            </w:r>
          </w:p>
        </w:tc>
      </w:tr>
      <w:tr w:rsidR="004D7764" w:rsidRPr="00AE3956" w14:paraId="618EFBB7" w14:textId="77777777" w:rsidTr="004D7764">
        <w:trPr>
          <w:trHeight w:val="403"/>
        </w:trPr>
        <w:tc>
          <w:tcPr>
            <w:tcW w:w="0" w:type="auto"/>
          </w:tcPr>
          <w:p w14:paraId="0ADAD19E" w14:textId="77777777" w:rsidR="004D7764" w:rsidRPr="00AE3956" w:rsidRDefault="004D7764" w:rsidP="001426A2">
            <w:r w:rsidRPr="00AE3956">
              <w:t xml:space="preserve">Greater than 60 mL/min (normal renal function or mild renal impairment) </w:t>
            </w:r>
          </w:p>
        </w:tc>
        <w:tc>
          <w:tcPr>
            <w:tcW w:w="0" w:type="auto"/>
          </w:tcPr>
          <w:p w14:paraId="07A8609C" w14:textId="77777777" w:rsidR="004D7764" w:rsidRPr="00AE3956" w:rsidRDefault="004D7764" w:rsidP="001426A2">
            <w:r w:rsidRPr="00AE3956">
              <w:t xml:space="preserve">300 mg nirmatrelvir with 100 mg ritonavir, taken twice daily for </w:t>
            </w:r>
            <w:r w:rsidR="0007019F">
              <w:t>five</w:t>
            </w:r>
            <w:r w:rsidR="0007019F" w:rsidRPr="00AE3956">
              <w:t xml:space="preserve"> </w:t>
            </w:r>
            <w:r w:rsidRPr="00AE3956">
              <w:t xml:space="preserve">days </w:t>
            </w:r>
          </w:p>
        </w:tc>
      </w:tr>
      <w:tr w:rsidR="004D7764" w:rsidRPr="00AE3956" w14:paraId="3D2354D2" w14:textId="77777777" w:rsidTr="004D7764">
        <w:trPr>
          <w:trHeight w:val="276"/>
        </w:trPr>
        <w:tc>
          <w:tcPr>
            <w:tcW w:w="0" w:type="auto"/>
          </w:tcPr>
          <w:p w14:paraId="455B7A6A" w14:textId="77777777" w:rsidR="004D7764" w:rsidRPr="00AE3956" w:rsidRDefault="004D7764" w:rsidP="001426A2">
            <w:r w:rsidRPr="00AE3956">
              <w:t>≥30 to &lt;60 mL/min (moderate renal impairment)</w:t>
            </w:r>
          </w:p>
        </w:tc>
        <w:tc>
          <w:tcPr>
            <w:tcW w:w="0" w:type="auto"/>
          </w:tcPr>
          <w:p w14:paraId="617413AA" w14:textId="77777777" w:rsidR="004D7764" w:rsidRPr="00AE3956" w:rsidRDefault="004D7764" w:rsidP="001426A2">
            <w:r w:rsidRPr="00AE3956">
              <w:t xml:space="preserve">150 mg nirmatrelvir with 100 mg ritonavir, taken twice daily for </w:t>
            </w:r>
            <w:r w:rsidR="0007019F">
              <w:t>five</w:t>
            </w:r>
            <w:r w:rsidRPr="00AE3956">
              <w:t xml:space="preserve"> days </w:t>
            </w:r>
          </w:p>
        </w:tc>
      </w:tr>
      <w:tr w:rsidR="004D7764" w:rsidRPr="00AE3956" w14:paraId="08158F8F" w14:textId="77777777" w:rsidTr="004D7764">
        <w:trPr>
          <w:trHeight w:val="277"/>
        </w:trPr>
        <w:tc>
          <w:tcPr>
            <w:tcW w:w="0" w:type="auto"/>
          </w:tcPr>
          <w:p w14:paraId="0F79E3FE" w14:textId="77777777" w:rsidR="004D7764" w:rsidRPr="00AE3956" w:rsidRDefault="004D7764" w:rsidP="001426A2">
            <w:r w:rsidRPr="00AE3956">
              <w:t>&lt;30 mL/min (severe renal impairment)</w:t>
            </w:r>
          </w:p>
        </w:tc>
        <w:tc>
          <w:tcPr>
            <w:tcW w:w="0" w:type="auto"/>
          </w:tcPr>
          <w:p w14:paraId="522C49BC" w14:textId="77777777" w:rsidR="004D7764" w:rsidRPr="00AE3956" w:rsidRDefault="004D7764" w:rsidP="001426A2">
            <w:r w:rsidRPr="00AE3956">
              <w:t>Paxlovid ® (nirmatrelvir/ritonavir) is not recommended</w:t>
            </w:r>
          </w:p>
        </w:tc>
      </w:tr>
    </w:tbl>
    <w:p w14:paraId="3E3127C2" w14:textId="77777777" w:rsidR="004D7764" w:rsidRPr="00AE3956" w:rsidRDefault="004D7764" w:rsidP="004D7764">
      <w:pPr>
        <w:spacing w:line="240" w:lineRule="auto"/>
      </w:pPr>
      <w:r w:rsidRPr="00AE3956">
        <w:t>Note: The daily blister card contains two separate parts (a ‘Morning Dose’ part and an ‘Evening Dose’ part).  Each part contains two tablets of nirmatrelvir and one tablet of ritonavir, corresponding to daily administration at the standard dose.</w:t>
      </w:r>
    </w:p>
    <w:p w14:paraId="7ECF09E6" w14:textId="77777777" w:rsidR="004D7764" w:rsidRPr="00AE3956" w:rsidRDefault="004D7764" w:rsidP="004D7764">
      <w:r w:rsidRPr="00AE3956">
        <w:t xml:space="preserve">Residents with </w:t>
      </w:r>
      <w:r w:rsidRPr="007B2A59">
        <w:rPr>
          <w:rStyle w:val="Strong"/>
        </w:rPr>
        <w:t>moderate renal impairment</w:t>
      </w:r>
      <w:r w:rsidRPr="00AE3956">
        <w:t xml:space="preserve"> and their clinical care team should be alerted to the fact that only one tablet of nirmatrelvir with the tablet of ritonavir should be taken every 12 hours.</w:t>
      </w:r>
    </w:p>
    <w:p w14:paraId="67BBC73F" w14:textId="77777777" w:rsidR="004D7764" w:rsidRPr="007B1EC1" w:rsidRDefault="004D7764" w:rsidP="004D7764">
      <w:pPr>
        <w:pStyle w:val="Heading3"/>
        <w:rPr>
          <w:i/>
        </w:rPr>
      </w:pPr>
      <w:r w:rsidRPr="007B1EC1">
        <w:t>Hepatic impairment</w:t>
      </w:r>
    </w:p>
    <w:p w14:paraId="29D79E1F" w14:textId="77777777" w:rsidR="004D7764" w:rsidRPr="00AE3956" w:rsidRDefault="004D7764" w:rsidP="004D7764">
      <w:r w:rsidRPr="00E749AE">
        <w:t>Paxlovid (nirmatrelvir/ritonavir) is contraindicated in patients with severe hepatic impairment</w:t>
      </w:r>
      <w:r w:rsidRPr="00AE3956">
        <w:t>.</w:t>
      </w:r>
    </w:p>
    <w:p w14:paraId="4FD9C3C2" w14:textId="77777777" w:rsidR="004D7764" w:rsidRPr="00AE3956" w:rsidRDefault="004D7764" w:rsidP="004D7764">
      <w:r w:rsidRPr="00AE3956">
        <w:t>Mild and</w:t>
      </w:r>
      <w:r w:rsidRPr="005C383F">
        <w:t xml:space="preserve"> Moderate - No dosage adjustment of </w:t>
      </w:r>
      <w:r w:rsidRPr="000B7D0A">
        <w:t>Paxlovid (nirmatrelvir/ritonavir)</w:t>
      </w:r>
      <w:r w:rsidRPr="005C383F">
        <w:t xml:space="preserve"> is needed for residents with either mild (Child-Pugh Class A) or moderate (Child-Pugh Class B) hepatic impairment.</w:t>
      </w:r>
    </w:p>
    <w:p w14:paraId="7037C1AA" w14:textId="77777777" w:rsidR="004D7764" w:rsidRPr="005C383F" w:rsidRDefault="004D7764" w:rsidP="004D7764">
      <w:r w:rsidRPr="005C383F">
        <w:t>Severe - No pharmacokinetic or safety data are available regarding the use of nirmatrelvir or ritonavir in subjects with severe hepatic impairment (Child-Pugh Class C), therefore, Paxlovid (nirmatrelvir/ritonavir) is contraindicated in residents with severe hepatic impairment.</w:t>
      </w:r>
    </w:p>
    <w:p w14:paraId="260D8EF2" w14:textId="77777777" w:rsidR="004D7764" w:rsidRPr="000B7D0A" w:rsidRDefault="004D7764" w:rsidP="004D7764">
      <w:pPr>
        <w:pStyle w:val="Heading2"/>
      </w:pPr>
      <w:r w:rsidRPr="000B7D0A">
        <w:lastRenderedPageBreak/>
        <w:t xml:space="preserve">Drug </w:t>
      </w:r>
      <w:r w:rsidRPr="00AE3956">
        <w:t>interactions</w:t>
      </w:r>
    </w:p>
    <w:p w14:paraId="71319AE0" w14:textId="77777777" w:rsidR="004D7764" w:rsidRPr="007B1EC1" w:rsidRDefault="004D7764" w:rsidP="004D7764">
      <w:pPr>
        <w:pStyle w:val="Heading3"/>
        <w:rPr>
          <w:i/>
        </w:rPr>
      </w:pPr>
      <w:r w:rsidRPr="007B1EC1">
        <w:t>Paxlovid (nirmatrelvir/ritonavir) has clinically important interactions with many drugs.</w:t>
      </w:r>
    </w:p>
    <w:p w14:paraId="170F6FB9" w14:textId="77777777" w:rsidR="004D7764" w:rsidRPr="00AB2B03" w:rsidRDefault="004D7764" w:rsidP="004D7764">
      <w:pPr>
        <w:rPr>
          <w:rStyle w:val="Hyperlink"/>
          <w:color w:val="auto"/>
          <w:u w:val="none"/>
        </w:rPr>
      </w:pPr>
      <w:r w:rsidRPr="005C383F">
        <w:t xml:space="preserve">Clinicians may wish to refer to the Product Information for more detailed information </w:t>
      </w:r>
      <w:r w:rsidR="0007019F">
        <w:t xml:space="preserve">– </w:t>
      </w:r>
      <w:hyperlink r:id="rId14" w:tgtFrame="_blank" w:history="1">
        <w:r w:rsidRPr="00AE3956">
          <w:rPr>
            <w:rStyle w:val="Hyperlink"/>
          </w:rPr>
          <w:t>TGA nirmatrelvir/ritonavir (Paxlovid) product information</w:t>
        </w:r>
      </w:hyperlink>
    </w:p>
    <w:p w14:paraId="463DD8DC" w14:textId="2E4FE1CD" w:rsidR="004D7764" w:rsidRPr="007B1EC1" w:rsidRDefault="004D7764" w:rsidP="0536BD3A">
      <w:pPr>
        <w:pStyle w:val="Heading3"/>
        <w:rPr>
          <w:i/>
          <w:iCs/>
        </w:rPr>
      </w:pPr>
      <w:r>
        <w:t xml:space="preserve">Paxlovid (nirmatrelvir/ritonavir) is contraindicated in patients using drugs that are highly dependent on CYP3A for </w:t>
      </w:r>
      <w:r w:rsidR="7F650DC4">
        <w:t>clearance,</w:t>
      </w:r>
      <w:r>
        <w:t xml:space="preserve"> and for which elevated concentrations are associated with serious and / or life-threatening reactions.</w:t>
      </w:r>
    </w:p>
    <w:p w14:paraId="4DB542CB" w14:textId="77777777" w:rsidR="004D7764" w:rsidRDefault="004D7764" w:rsidP="004D7764">
      <w:r w:rsidRPr="005C383F">
        <w:t>Paxlovid (</w:t>
      </w:r>
      <w:r w:rsidRPr="00AE3956">
        <w:t>nirmatrelvir</w:t>
      </w:r>
      <w:r w:rsidRPr="005C383F">
        <w:t>/ritonavir)</w:t>
      </w:r>
      <w:r>
        <w:t xml:space="preserve"> </w:t>
      </w:r>
      <w:r w:rsidRPr="005C383F">
        <w:t>is an inhibitor of CYP3A and may increase plasma concentrations of medicinal products that are primarily metabolised by CYP3A.</w:t>
      </w:r>
    </w:p>
    <w:p w14:paraId="3DD03B8A" w14:textId="77777777" w:rsidR="00E8484A" w:rsidRDefault="004D7764" w:rsidP="004D7764">
      <w:r w:rsidRPr="005C383F">
        <w:t>Medicinal products that are extensively metabolised by CYP3A and have high first pass metabolism appear to be the most susceptible to large increases in exposure when co-</w:t>
      </w:r>
    </w:p>
    <w:p w14:paraId="7888F625" w14:textId="77777777" w:rsidR="00E8484A" w:rsidRDefault="00E8484A" w:rsidP="004D7764"/>
    <w:p w14:paraId="3957E18D" w14:textId="77777777" w:rsidR="00087B36" w:rsidRDefault="004D7764" w:rsidP="004D7764">
      <w:r w:rsidRPr="005C383F">
        <w:t>administered with Paxlovid (nirmatrelvir/ritonavir).</w:t>
      </w:r>
    </w:p>
    <w:p w14:paraId="7B74BEA7" w14:textId="77777777" w:rsidR="00087B36" w:rsidRPr="00087B36" w:rsidRDefault="00087B36" w:rsidP="00087B36"/>
    <w:tbl>
      <w:tblPr>
        <w:tblStyle w:val="TableGrid"/>
        <w:tblpPr w:leftFromText="180" w:rightFromText="180" w:vertAnchor="text" w:horzAnchor="margin" w:tblpY="-343"/>
        <w:tblW w:w="0" w:type="auto"/>
        <w:tblLook w:val="04A0" w:firstRow="1" w:lastRow="0" w:firstColumn="1" w:lastColumn="0" w:noHBand="0" w:noVBand="1"/>
      </w:tblPr>
      <w:tblGrid>
        <w:gridCol w:w="5729"/>
        <w:gridCol w:w="4475"/>
      </w:tblGrid>
      <w:tr w:rsidR="00E8484A" w:rsidRPr="00E8484A" w14:paraId="06B2A580" w14:textId="77777777" w:rsidTr="00E8484A">
        <w:trPr>
          <w:cnfStyle w:val="100000000000" w:firstRow="1" w:lastRow="0" w:firstColumn="0" w:lastColumn="0" w:oddVBand="0" w:evenVBand="0" w:oddHBand="0" w:evenHBand="0" w:firstRowFirstColumn="0" w:firstRowLastColumn="0" w:lastRowFirstColumn="0" w:lastRowLastColumn="0"/>
          <w:trHeight w:val="567"/>
        </w:trPr>
        <w:tc>
          <w:tcPr>
            <w:tcW w:w="0" w:type="auto"/>
          </w:tcPr>
          <w:p w14:paraId="48C3041A" w14:textId="77777777" w:rsidR="00E8484A" w:rsidRPr="00E8484A" w:rsidRDefault="00E8484A" w:rsidP="00E8484A">
            <w:pPr>
              <w:tabs>
                <w:tab w:val="left" w:pos="1245"/>
              </w:tabs>
              <w:rPr>
                <w:b w:val="0"/>
              </w:rPr>
            </w:pPr>
            <w:r w:rsidRPr="00E8484A">
              <w:rPr>
                <w:b w:val="0"/>
              </w:rPr>
              <w:lastRenderedPageBreak/>
              <w:t>Medicinal product class</w:t>
            </w:r>
          </w:p>
        </w:tc>
        <w:tc>
          <w:tcPr>
            <w:tcW w:w="0" w:type="auto"/>
          </w:tcPr>
          <w:p w14:paraId="7C8147F6" w14:textId="77777777" w:rsidR="00E8484A" w:rsidRPr="00E8484A" w:rsidRDefault="00E8484A" w:rsidP="00E8484A">
            <w:pPr>
              <w:tabs>
                <w:tab w:val="left" w:pos="1245"/>
              </w:tabs>
              <w:rPr>
                <w:b w:val="0"/>
              </w:rPr>
            </w:pPr>
            <w:r w:rsidRPr="00E8484A">
              <w:rPr>
                <w:b w:val="0"/>
              </w:rPr>
              <w:t>Medicinal products within class</w:t>
            </w:r>
          </w:p>
        </w:tc>
      </w:tr>
      <w:tr w:rsidR="00E8484A" w:rsidRPr="00E8484A" w14:paraId="743B7BBA" w14:textId="77777777" w:rsidTr="00E8484A">
        <w:trPr>
          <w:trHeight w:val="567"/>
        </w:trPr>
        <w:tc>
          <w:tcPr>
            <w:tcW w:w="0" w:type="auto"/>
            <w:gridSpan w:val="2"/>
          </w:tcPr>
          <w:p w14:paraId="0E83E02B" w14:textId="77777777" w:rsidR="00E8484A" w:rsidRPr="00E8484A" w:rsidRDefault="00E8484A" w:rsidP="00E8484A">
            <w:pPr>
              <w:tabs>
                <w:tab w:val="left" w:pos="1245"/>
              </w:tabs>
              <w:rPr>
                <w:b/>
              </w:rPr>
            </w:pPr>
            <w:r w:rsidRPr="00E8484A">
              <w:rPr>
                <w:b/>
              </w:rPr>
              <w:t>Interactions that result in an increase or decrease in concentrations of concomitant medicine</w:t>
            </w:r>
          </w:p>
        </w:tc>
      </w:tr>
      <w:tr w:rsidR="00E8484A" w:rsidRPr="00E8484A" w14:paraId="5EAD139D" w14:textId="77777777" w:rsidTr="00E8484A">
        <w:tc>
          <w:tcPr>
            <w:tcW w:w="0" w:type="auto"/>
          </w:tcPr>
          <w:p w14:paraId="290691EC" w14:textId="77777777" w:rsidR="00E8484A" w:rsidRPr="00E8484A" w:rsidRDefault="00E8484A" w:rsidP="00E8484A">
            <w:pPr>
              <w:tabs>
                <w:tab w:val="left" w:pos="1245"/>
              </w:tabs>
            </w:pPr>
            <w:r w:rsidRPr="00E8484A">
              <w:t>Alpha 1-adrenoreceptor antagonist</w:t>
            </w:r>
          </w:p>
        </w:tc>
        <w:tc>
          <w:tcPr>
            <w:tcW w:w="0" w:type="auto"/>
          </w:tcPr>
          <w:p w14:paraId="7C18CE3E" w14:textId="77777777" w:rsidR="00E8484A" w:rsidRPr="00E8484A" w:rsidRDefault="00E8484A" w:rsidP="00E8484A">
            <w:pPr>
              <w:tabs>
                <w:tab w:val="left" w:pos="1245"/>
              </w:tabs>
            </w:pPr>
            <w:r w:rsidRPr="00E8484A">
              <w:t>alfuzosin</w:t>
            </w:r>
          </w:p>
        </w:tc>
      </w:tr>
      <w:tr w:rsidR="00E8484A" w:rsidRPr="00E8484A" w14:paraId="61435BBF" w14:textId="77777777" w:rsidTr="00E8484A">
        <w:tc>
          <w:tcPr>
            <w:tcW w:w="0" w:type="auto"/>
          </w:tcPr>
          <w:p w14:paraId="30D647E0" w14:textId="77777777" w:rsidR="00E8484A" w:rsidRPr="00E8484A" w:rsidRDefault="00E8484A" w:rsidP="00E8484A">
            <w:pPr>
              <w:tabs>
                <w:tab w:val="left" w:pos="1245"/>
              </w:tabs>
            </w:pPr>
            <w:r w:rsidRPr="00E8484A">
              <w:t>Antianginal</w:t>
            </w:r>
          </w:p>
        </w:tc>
        <w:tc>
          <w:tcPr>
            <w:tcW w:w="0" w:type="auto"/>
          </w:tcPr>
          <w:p w14:paraId="27902E0C" w14:textId="77777777" w:rsidR="00E8484A" w:rsidRPr="00E8484A" w:rsidRDefault="00E8484A" w:rsidP="00E8484A">
            <w:pPr>
              <w:tabs>
                <w:tab w:val="left" w:pos="1245"/>
              </w:tabs>
            </w:pPr>
            <w:r w:rsidRPr="00E8484A">
              <w:t>ranolazine</w:t>
            </w:r>
          </w:p>
        </w:tc>
      </w:tr>
      <w:tr w:rsidR="00E8484A" w:rsidRPr="00E8484A" w14:paraId="2AC4FF75" w14:textId="77777777" w:rsidTr="00E8484A">
        <w:tc>
          <w:tcPr>
            <w:tcW w:w="0" w:type="auto"/>
          </w:tcPr>
          <w:p w14:paraId="7023A2F9" w14:textId="77777777" w:rsidR="00E8484A" w:rsidRPr="00E8484A" w:rsidRDefault="00E8484A" w:rsidP="00E8484A">
            <w:pPr>
              <w:tabs>
                <w:tab w:val="left" w:pos="1245"/>
              </w:tabs>
            </w:pPr>
            <w:r w:rsidRPr="00E8484A">
              <w:t>Antiarrhythmics</w:t>
            </w:r>
          </w:p>
        </w:tc>
        <w:tc>
          <w:tcPr>
            <w:tcW w:w="0" w:type="auto"/>
          </w:tcPr>
          <w:p w14:paraId="22301C93" w14:textId="77777777" w:rsidR="00E8484A" w:rsidRPr="00E8484A" w:rsidRDefault="00E8484A" w:rsidP="00E8484A">
            <w:pPr>
              <w:tabs>
                <w:tab w:val="left" w:pos="1245"/>
              </w:tabs>
            </w:pPr>
            <w:r w:rsidRPr="00E8484A">
              <w:t>amiodarone, flecainide</w:t>
            </w:r>
          </w:p>
        </w:tc>
      </w:tr>
      <w:tr w:rsidR="00E8484A" w:rsidRPr="00E8484A" w14:paraId="119F4881" w14:textId="77777777" w:rsidTr="00E8484A">
        <w:tc>
          <w:tcPr>
            <w:tcW w:w="0" w:type="auto"/>
          </w:tcPr>
          <w:p w14:paraId="6288ECFD" w14:textId="77777777" w:rsidR="00E8484A" w:rsidRPr="00E8484A" w:rsidRDefault="00E8484A" w:rsidP="00E8484A">
            <w:pPr>
              <w:tabs>
                <w:tab w:val="left" w:pos="1245"/>
              </w:tabs>
            </w:pPr>
            <w:r w:rsidRPr="00E8484A">
              <w:t>Anticancer</w:t>
            </w:r>
          </w:p>
        </w:tc>
        <w:tc>
          <w:tcPr>
            <w:tcW w:w="0" w:type="auto"/>
          </w:tcPr>
          <w:p w14:paraId="39F89CAC" w14:textId="77777777" w:rsidR="00E8484A" w:rsidRPr="00E8484A" w:rsidRDefault="00E8484A" w:rsidP="00E8484A">
            <w:pPr>
              <w:tabs>
                <w:tab w:val="left" w:pos="1245"/>
              </w:tabs>
            </w:pPr>
            <w:r w:rsidRPr="00E8484A">
              <w:t xml:space="preserve">neratinib, </w:t>
            </w:r>
            <w:proofErr w:type="spellStart"/>
            <w:r w:rsidRPr="00E8484A">
              <w:t>venetoclax</w:t>
            </w:r>
            <w:proofErr w:type="spellEnd"/>
          </w:p>
        </w:tc>
      </w:tr>
      <w:tr w:rsidR="00E8484A" w:rsidRPr="00E8484A" w14:paraId="461F96E1" w14:textId="77777777" w:rsidTr="00E8484A">
        <w:tc>
          <w:tcPr>
            <w:tcW w:w="0" w:type="auto"/>
          </w:tcPr>
          <w:p w14:paraId="26AD446C" w14:textId="77777777" w:rsidR="00E8484A" w:rsidRPr="00E8484A" w:rsidRDefault="00E8484A" w:rsidP="00E8484A">
            <w:pPr>
              <w:tabs>
                <w:tab w:val="left" w:pos="1245"/>
              </w:tabs>
            </w:pPr>
            <w:r w:rsidRPr="00E8484A">
              <w:t>Anti-gout</w:t>
            </w:r>
          </w:p>
        </w:tc>
        <w:tc>
          <w:tcPr>
            <w:tcW w:w="0" w:type="auto"/>
          </w:tcPr>
          <w:p w14:paraId="6026A89E" w14:textId="77777777" w:rsidR="00E8484A" w:rsidRPr="00E8484A" w:rsidRDefault="00E8484A" w:rsidP="00E8484A">
            <w:pPr>
              <w:tabs>
                <w:tab w:val="left" w:pos="1245"/>
              </w:tabs>
            </w:pPr>
            <w:r w:rsidRPr="00E8484A">
              <w:t>colchicine</w:t>
            </w:r>
          </w:p>
        </w:tc>
      </w:tr>
      <w:tr w:rsidR="00E8484A" w:rsidRPr="00E8484A" w14:paraId="1861A47A" w14:textId="77777777" w:rsidTr="00E8484A">
        <w:tc>
          <w:tcPr>
            <w:tcW w:w="0" w:type="auto"/>
          </w:tcPr>
          <w:p w14:paraId="44EC1BA4" w14:textId="77777777" w:rsidR="00E8484A" w:rsidRPr="00E8484A" w:rsidRDefault="00E8484A" w:rsidP="00E8484A">
            <w:pPr>
              <w:tabs>
                <w:tab w:val="left" w:pos="1245"/>
              </w:tabs>
            </w:pPr>
            <w:r w:rsidRPr="00E8484A">
              <w:t>Antipsychotics</w:t>
            </w:r>
          </w:p>
        </w:tc>
        <w:tc>
          <w:tcPr>
            <w:tcW w:w="0" w:type="auto"/>
          </w:tcPr>
          <w:p w14:paraId="30ED3D9E" w14:textId="77777777" w:rsidR="00E8484A" w:rsidRPr="00E8484A" w:rsidRDefault="00E8484A" w:rsidP="00E8484A">
            <w:pPr>
              <w:tabs>
                <w:tab w:val="left" w:pos="1245"/>
              </w:tabs>
            </w:pPr>
            <w:r w:rsidRPr="00E8484A">
              <w:t>lurasidone, clozapine</w:t>
            </w:r>
          </w:p>
        </w:tc>
      </w:tr>
      <w:tr w:rsidR="00E8484A" w:rsidRPr="00E8484A" w14:paraId="3A3F24F5" w14:textId="77777777" w:rsidTr="00E8484A">
        <w:tc>
          <w:tcPr>
            <w:tcW w:w="0" w:type="auto"/>
          </w:tcPr>
          <w:p w14:paraId="74EF9A22" w14:textId="77777777" w:rsidR="00E8484A" w:rsidRPr="00E8484A" w:rsidRDefault="00E8484A" w:rsidP="00E8484A">
            <w:pPr>
              <w:tabs>
                <w:tab w:val="left" w:pos="1245"/>
              </w:tabs>
            </w:pPr>
            <w:r w:rsidRPr="00E8484A">
              <w:t>Ergot derivatives</w:t>
            </w:r>
          </w:p>
        </w:tc>
        <w:tc>
          <w:tcPr>
            <w:tcW w:w="0" w:type="auto"/>
          </w:tcPr>
          <w:p w14:paraId="26F904F0" w14:textId="77777777" w:rsidR="00E8484A" w:rsidRPr="00E8484A" w:rsidRDefault="00E8484A" w:rsidP="00E8484A">
            <w:pPr>
              <w:tabs>
                <w:tab w:val="left" w:pos="1245"/>
              </w:tabs>
            </w:pPr>
            <w:r w:rsidRPr="00E8484A">
              <w:t>ergometrine</w:t>
            </w:r>
          </w:p>
        </w:tc>
      </w:tr>
      <w:tr w:rsidR="00E8484A" w:rsidRPr="00E8484A" w14:paraId="1C85F5F5" w14:textId="77777777" w:rsidTr="00E8484A">
        <w:tc>
          <w:tcPr>
            <w:tcW w:w="0" w:type="auto"/>
          </w:tcPr>
          <w:p w14:paraId="2379A691" w14:textId="77777777" w:rsidR="00E8484A" w:rsidRPr="00E8484A" w:rsidRDefault="00E8484A" w:rsidP="00E8484A">
            <w:pPr>
              <w:tabs>
                <w:tab w:val="left" w:pos="1245"/>
              </w:tabs>
            </w:pPr>
            <w:r w:rsidRPr="00E8484A">
              <w:t>Lipid-modifying agents HMG-CoA reductase inhibitors</w:t>
            </w:r>
          </w:p>
        </w:tc>
        <w:tc>
          <w:tcPr>
            <w:tcW w:w="0" w:type="auto"/>
          </w:tcPr>
          <w:p w14:paraId="0CF7E12B" w14:textId="77777777" w:rsidR="00E8484A" w:rsidRPr="00E8484A" w:rsidRDefault="00E8484A" w:rsidP="00E8484A">
            <w:pPr>
              <w:tabs>
                <w:tab w:val="left" w:pos="1245"/>
              </w:tabs>
            </w:pPr>
            <w:r w:rsidRPr="00E8484A">
              <w:t>simvastatin</w:t>
            </w:r>
          </w:p>
        </w:tc>
      </w:tr>
      <w:tr w:rsidR="00E8484A" w:rsidRPr="00E8484A" w14:paraId="6E0833D2" w14:textId="77777777" w:rsidTr="00E8484A">
        <w:tc>
          <w:tcPr>
            <w:tcW w:w="0" w:type="auto"/>
          </w:tcPr>
          <w:p w14:paraId="5A39687B" w14:textId="77777777" w:rsidR="00E8484A" w:rsidRPr="00E8484A" w:rsidRDefault="00E8484A" w:rsidP="00E8484A">
            <w:pPr>
              <w:tabs>
                <w:tab w:val="left" w:pos="1245"/>
              </w:tabs>
            </w:pPr>
            <w:r w:rsidRPr="00E8484A">
              <w:t>Nonsteroidal anti-inflammatory drugs (NSAIDs)</w:t>
            </w:r>
          </w:p>
        </w:tc>
        <w:tc>
          <w:tcPr>
            <w:tcW w:w="0" w:type="auto"/>
          </w:tcPr>
          <w:p w14:paraId="676A2487" w14:textId="77777777" w:rsidR="00E8484A" w:rsidRPr="00E8484A" w:rsidRDefault="00E8484A" w:rsidP="00E8484A">
            <w:pPr>
              <w:tabs>
                <w:tab w:val="left" w:pos="1245"/>
              </w:tabs>
            </w:pPr>
            <w:r w:rsidRPr="00E8484A">
              <w:t>piroxicam</w:t>
            </w:r>
          </w:p>
        </w:tc>
      </w:tr>
      <w:tr w:rsidR="00E8484A" w:rsidRPr="00E8484A" w14:paraId="0812559F" w14:textId="77777777" w:rsidTr="00E8484A">
        <w:tc>
          <w:tcPr>
            <w:tcW w:w="0" w:type="auto"/>
          </w:tcPr>
          <w:p w14:paraId="4BB8E4E4" w14:textId="77777777" w:rsidR="00E8484A" w:rsidRPr="00E8484A" w:rsidRDefault="00E8484A" w:rsidP="00E8484A">
            <w:pPr>
              <w:tabs>
                <w:tab w:val="left" w:pos="1245"/>
              </w:tabs>
            </w:pPr>
            <w:r w:rsidRPr="00E8484A">
              <w:t>Opioid analgesic</w:t>
            </w:r>
          </w:p>
        </w:tc>
        <w:tc>
          <w:tcPr>
            <w:tcW w:w="0" w:type="auto"/>
          </w:tcPr>
          <w:p w14:paraId="0F31E45C" w14:textId="77777777" w:rsidR="00E8484A" w:rsidRPr="00E8484A" w:rsidRDefault="00E8484A" w:rsidP="00E8484A">
            <w:pPr>
              <w:tabs>
                <w:tab w:val="left" w:pos="1245"/>
              </w:tabs>
            </w:pPr>
            <w:r w:rsidRPr="00E8484A">
              <w:t>pethidine</w:t>
            </w:r>
          </w:p>
        </w:tc>
      </w:tr>
      <w:tr w:rsidR="00E8484A" w:rsidRPr="00E8484A" w14:paraId="13163CDF" w14:textId="77777777" w:rsidTr="00E8484A">
        <w:tc>
          <w:tcPr>
            <w:tcW w:w="0" w:type="auto"/>
          </w:tcPr>
          <w:p w14:paraId="426B7114" w14:textId="77777777" w:rsidR="00E8484A" w:rsidRPr="00E8484A" w:rsidRDefault="00E8484A" w:rsidP="00E8484A">
            <w:pPr>
              <w:tabs>
                <w:tab w:val="left" w:pos="1245"/>
              </w:tabs>
            </w:pPr>
            <w:r w:rsidRPr="00E8484A">
              <w:t>PDE5 inhibitor</w:t>
            </w:r>
          </w:p>
        </w:tc>
        <w:tc>
          <w:tcPr>
            <w:tcW w:w="0" w:type="auto"/>
          </w:tcPr>
          <w:p w14:paraId="2EDDEE93" w14:textId="77777777" w:rsidR="00E8484A" w:rsidRPr="00E8484A" w:rsidRDefault="00E8484A" w:rsidP="00E8484A">
            <w:pPr>
              <w:tabs>
                <w:tab w:val="left" w:pos="1245"/>
              </w:tabs>
            </w:pPr>
            <w:r w:rsidRPr="00E8484A">
              <w:t>avanafil, sildenafil, vardenafil, tadalafil</w:t>
            </w:r>
          </w:p>
        </w:tc>
      </w:tr>
      <w:tr w:rsidR="00E8484A" w:rsidRPr="00E8484A" w14:paraId="70F1186F" w14:textId="77777777" w:rsidTr="00E8484A">
        <w:tc>
          <w:tcPr>
            <w:tcW w:w="0" w:type="auto"/>
          </w:tcPr>
          <w:p w14:paraId="5729E4B8" w14:textId="77777777" w:rsidR="00E8484A" w:rsidRPr="00E8484A" w:rsidRDefault="00E8484A" w:rsidP="00E8484A">
            <w:pPr>
              <w:tabs>
                <w:tab w:val="left" w:pos="1245"/>
              </w:tabs>
            </w:pPr>
            <w:r w:rsidRPr="00E8484A">
              <w:t>Sedative/hypnotics</w:t>
            </w:r>
          </w:p>
        </w:tc>
        <w:tc>
          <w:tcPr>
            <w:tcW w:w="0" w:type="auto"/>
          </w:tcPr>
          <w:p w14:paraId="7D383909" w14:textId="77777777" w:rsidR="00E8484A" w:rsidRPr="00E8484A" w:rsidRDefault="00E8484A" w:rsidP="00E8484A">
            <w:pPr>
              <w:tabs>
                <w:tab w:val="left" w:pos="1245"/>
              </w:tabs>
            </w:pPr>
            <w:r w:rsidRPr="00E8484A">
              <w:t xml:space="preserve">diazepam </w:t>
            </w:r>
          </w:p>
        </w:tc>
      </w:tr>
      <w:tr w:rsidR="00E8484A" w:rsidRPr="00E8484A" w14:paraId="6EA44269" w14:textId="77777777" w:rsidTr="00E8484A">
        <w:trPr>
          <w:trHeight w:val="567"/>
        </w:trPr>
        <w:tc>
          <w:tcPr>
            <w:tcW w:w="0" w:type="auto"/>
            <w:gridSpan w:val="2"/>
          </w:tcPr>
          <w:p w14:paraId="6C43586D" w14:textId="77777777" w:rsidR="00E8484A" w:rsidRPr="00E8484A" w:rsidRDefault="00E8484A" w:rsidP="00E8484A">
            <w:pPr>
              <w:tabs>
                <w:tab w:val="left" w:pos="1245"/>
              </w:tabs>
              <w:rPr>
                <w:b/>
              </w:rPr>
            </w:pPr>
            <w:r w:rsidRPr="00E8484A">
              <w:rPr>
                <w:b/>
              </w:rPr>
              <w:t>Interactions that result in decrease in nirmatrelvir/ritonavir concentrations</w:t>
            </w:r>
          </w:p>
        </w:tc>
      </w:tr>
      <w:tr w:rsidR="00E8484A" w:rsidRPr="00E8484A" w14:paraId="111B938C" w14:textId="77777777" w:rsidTr="00E8484A">
        <w:tc>
          <w:tcPr>
            <w:tcW w:w="0" w:type="auto"/>
          </w:tcPr>
          <w:p w14:paraId="2E9496E1" w14:textId="77777777" w:rsidR="00E8484A" w:rsidRPr="00E8484A" w:rsidRDefault="00E8484A" w:rsidP="00E8484A">
            <w:pPr>
              <w:tabs>
                <w:tab w:val="left" w:pos="1245"/>
              </w:tabs>
            </w:pPr>
            <w:r w:rsidRPr="00E8484A">
              <w:t>Anticancer</w:t>
            </w:r>
          </w:p>
        </w:tc>
        <w:tc>
          <w:tcPr>
            <w:tcW w:w="0" w:type="auto"/>
          </w:tcPr>
          <w:p w14:paraId="156CFC66" w14:textId="77777777" w:rsidR="00E8484A" w:rsidRPr="00E8484A" w:rsidRDefault="00E8484A" w:rsidP="00E8484A">
            <w:pPr>
              <w:tabs>
                <w:tab w:val="left" w:pos="1245"/>
              </w:tabs>
            </w:pPr>
            <w:r w:rsidRPr="00E8484A">
              <w:t>apalutamide</w:t>
            </w:r>
          </w:p>
        </w:tc>
      </w:tr>
      <w:tr w:rsidR="00E8484A" w:rsidRPr="00E8484A" w14:paraId="7B4B340F" w14:textId="77777777" w:rsidTr="00E8484A">
        <w:tc>
          <w:tcPr>
            <w:tcW w:w="0" w:type="auto"/>
          </w:tcPr>
          <w:p w14:paraId="69F82811" w14:textId="77777777" w:rsidR="00E8484A" w:rsidRPr="00E8484A" w:rsidRDefault="00E8484A" w:rsidP="00E8484A">
            <w:pPr>
              <w:tabs>
                <w:tab w:val="left" w:pos="1245"/>
              </w:tabs>
            </w:pPr>
            <w:r w:rsidRPr="00E8484A">
              <w:t>Anticonvulsant</w:t>
            </w:r>
          </w:p>
        </w:tc>
        <w:tc>
          <w:tcPr>
            <w:tcW w:w="0" w:type="auto"/>
          </w:tcPr>
          <w:p w14:paraId="7025F594" w14:textId="77777777" w:rsidR="00E8484A" w:rsidRPr="00E8484A" w:rsidRDefault="00E8484A" w:rsidP="00E8484A">
            <w:pPr>
              <w:tabs>
                <w:tab w:val="left" w:pos="1245"/>
              </w:tabs>
            </w:pPr>
            <w:r w:rsidRPr="00E8484A">
              <w:t>carbamazepine, phenobarbital, phenytoin</w:t>
            </w:r>
          </w:p>
        </w:tc>
      </w:tr>
      <w:tr w:rsidR="00E8484A" w:rsidRPr="00E8484A" w14:paraId="204D7DFF" w14:textId="77777777" w:rsidTr="00E8484A">
        <w:tc>
          <w:tcPr>
            <w:tcW w:w="0" w:type="auto"/>
          </w:tcPr>
          <w:p w14:paraId="0F19290D" w14:textId="77777777" w:rsidR="00E8484A" w:rsidRPr="00E8484A" w:rsidRDefault="00E8484A" w:rsidP="00E8484A">
            <w:pPr>
              <w:tabs>
                <w:tab w:val="left" w:pos="1245"/>
              </w:tabs>
            </w:pPr>
            <w:proofErr w:type="spellStart"/>
            <w:r w:rsidRPr="00E8484A">
              <w:t>Antimycobacterials</w:t>
            </w:r>
            <w:proofErr w:type="spellEnd"/>
          </w:p>
        </w:tc>
        <w:tc>
          <w:tcPr>
            <w:tcW w:w="0" w:type="auto"/>
          </w:tcPr>
          <w:p w14:paraId="5348861A" w14:textId="77777777" w:rsidR="00E8484A" w:rsidRPr="00E8484A" w:rsidRDefault="00E8484A" w:rsidP="00E8484A">
            <w:pPr>
              <w:tabs>
                <w:tab w:val="left" w:pos="1245"/>
              </w:tabs>
            </w:pPr>
            <w:r w:rsidRPr="00E8484A">
              <w:t>rifampicin</w:t>
            </w:r>
          </w:p>
        </w:tc>
      </w:tr>
      <w:tr w:rsidR="00E8484A" w:rsidRPr="00E8484A" w14:paraId="53B6433E" w14:textId="77777777" w:rsidTr="00E8484A">
        <w:tc>
          <w:tcPr>
            <w:tcW w:w="0" w:type="auto"/>
          </w:tcPr>
          <w:p w14:paraId="57E75E5A" w14:textId="77777777" w:rsidR="00E8484A" w:rsidRPr="00E8484A" w:rsidRDefault="00E8484A" w:rsidP="00E8484A">
            <w:pPr>
              <w:tabs>
                <w:tab w:val="left" w:pos="1245"/>
              </w:tabs>
            </w:pPr>
            <w:r w:rsidRPr="00E8484A">
              <w:t>Herbal products</w:t>
            </w:r>
          </w:p>
        </w:tc>
        <w:tc>
          <w:tcPr>
            <w:tcW w:w="0" w:type="auto"/>
          </w:tcPr>
          <w:p w14:paraId="621B7DCE" w14:textId="77777777" w:rsidR="00E8484A" w:rsidRPr="00E8484A" w:rsidRDefault="00E8484A" w:rsidP="00E8484A">
            <w:pPr>
              <w:tabs>
                <w:tab w:val="left" w:pos="1245"/>
              </w:tabs>
            </w:pPr>
            <w:r w:rsidRPr="00E8484A">
              <w:t>St. John’s Wort (hypericum perforatum)</w:t>
            </w:r>
          </w:p>
        </w:tc>
      </w:tr>
    </w:tbl>
    <w:p w14:paraId="123E8196" w14:textId="77777777" w:rsidR="004D7764" w:rsidRPr="00AE3956" w:rsidRDefault="004D7764" w:rsidP="004D7764">
      <w:r w:rsidRPr="00AE3956">
        <w:rPr>
          <w:rStyle w:val="Strong"/>
        </w:rPr>
        <w:t>There are many further drugs that should be used with caution in patients on Paxlovid (nirmatrelvir/ritonavir)</w:t>
      </w:r>
      <w:r w:rsidRPr="00AE3956">
        <w:t xml:space="preserve"> </w:t>
      </w:r>
      <w:r w:rsidRPr="001C001A">
        <w:t>– please refer to the TGA’s Product Information (Section 4.4 Special warnings and precautions for use; and Section 4.5 Interactions with other medicines and other forms of interactions)</w:t>
      </w:r>
      <w:r>
        <w:t xml:space="preserve">. </w:t>
      </w:r>
    </w:p>
    <w:p w14:paraId="02FE05BA" w14:textId="77777777" w:rsidR="004D7764" w:rsidRDefault="004D7764" w:rsidP="004D7764">
      <w:r>
        <w:t xml:space="preserve">The Product Information’s Table 3 lists many drugs where caution is </w:t>
      </w:r>
      <w:proofErr w:type="gramStart"/>
      <w:r>
        <w:t>required,</w:t>
      </w:r>
      <w:r w:rsidR="00B868B9">
        <w:t xml:space="preserve"> </w:t>
      </w:r>
      <w:r>
        <w:t>and</w:t>
      </w:r>
      <w:proofErr w:type="gramEnd"/>
      <w:r>
        <w:t xml:space="preserve"> includes recommendations to mitigate risk for many specific drugs.  In some cases, the recommendation is to </w:t>
      </w:r>
      <w:r w:rsidRPr="007C6BD9">
        <w:t xml:space="preserve">avoid co-administration. </w:t>
      </w:r>
    </w:p>
    <w:p w14:paraId="662E66D1" w14:textId="77777777" w:rsidR="004D7764" w:rsidRPr="00B868B9" w:rsidRDefault="004D7764" w:rsidP="004D7764">
      <w:r w:rsidRPr="00B868B9">
        <w:t>The list includes:</w:t>
      </w:r>
    </w:p>
    <w:p w14:paraId="1D2B4D40" w14:textId="77777777" w:rsidR="004D7764" w:rsidRPr="00AB2B03" w:rsidRDefault="004D7764" w:rsidP="004D7764">
      <w:pPr>
        <w:pStyle w:val="ListBullet"/>
        <w:rPr>
          <w:color w:val="auto"/>
          <w:sz w:val="24"/>
        </w:rPr>
      </w:pPr>
      <w:r w:rsidRPr="00AB2B03">
        <w:rPr>
          <w:rStyle w:val="Strong"/>
          <w:color w:val="auto"/>
          <w:sz w:val="24"/>
        </w:rPr>
        <w:lastRenderedPageBreak/>
        <w:t>Fentanyl</w:t>
      </w:r>
      <w:r w:rsidRPr="00AB2B03">
        <w:rPr>
          <w:color w:val="auto"/>
          <w:sz w:val="24"/>
        </w:rPr>
        <w:t>, and </w:t>
      </w:r>
      <w:r w:rsidRPr="00AB2B03">
        <w:rPr>
          <w:rStyle w:val="Strong"/>
          <w:color w:val="auto"/>
          <w:sz w:val="24"/>
        </w:rPr>
        <w:t>Methadone</w:t>
      </w:r>
      <w:r w:rsidRPr="00AB2B03">
        <w:rPr>
          <w:color w:val="auto"/>
          <w:sz w:val="24"/>
        </w:rPr>
        <w:t>, medicine to treat pain</w:t>
      </w:r>
    </w:p>
    <w:p w14:paraId="213F5B41" w14:textId="77777777" w:rsidR="004D7764" w:rsidRPr="00AB2B03" w:rsidRDefault="004D7764" w:rsidP="004D7764">
      <w:pPr>
        <w:pStyle w:val="ListBullet"/>
        <w:rPr>
          <w:color w:val="auto"/>
          <w:sz w:val="24"/>
        </w:rPr>
      </w:pPr>
      <w:r w:rsidRPr="00AB2B03">
        <w:rPr>
          <w:rStyle w:val="Strong"/>
          <w:color w:val="auto"/>
          <w:sz w:val="24"/>
        </w:rPr>
        <w:t>Digoxin</w:t>
      </w:r>
      <w:r w:rsidRPr="00AB2B03">
        <w:rPr>
          <w:color w:val="auto"/>
          <w:sz w:val="24"/>
        </w:rPr>
        <w:t>, medicine to treat certain heart conditions</w:t>
      </w:r>
    </w:p>
    <w:p w14:paraId="169C9FA3" w14:textId="77777777" w:rsidR="004D7764" w:rsidRPr="00AB2B03" w:rsidRDefault="004D7764" w:rsidP="004D7764">
      <w:pPr>
        <w:pStyle w:val="ListBullet"/>
        <w:rPr>
          <w:color w:val="auto"/>
          <w:sz w:val="24"/>
        </w:rPr>
      </w:pPr>
      <w:r w:rsidRPr="00AB2B03">
        <w:rPr>
          <w:rStyle w:val="Strong"/>
          <w:color w:val="auto"/>
          <w:sz w:val="24"/>
        </w:rPr>
        <w:t>Lidocaine (lignocaine) (systemic),</w:t>
      </w:r>
      <w:r w:rsidRPr="00AB2B03">
        <w:rPr>
          <w:color w:val="auto"/>
          <w:sz w:val="24"/>
        </w:rPr>
        <w:t xml:space="preserve"> medicine to correct or change heart rhythm</w:t>
      </w:r>
    </w:p>
    <w:p w14:paraId="11A4ED96" w14:textId="77777777" w:rsidR="004D7764" w:rsidRPr="00AB2B03" w:rsidRDefault="004D7764" w:rsidP="004D7764">
      <w:pPr>
        <w:pStyle w:val="ListBullet"/>
        <w:rPr>
          <w:color w:val="auto"/>
          <w:sz w:val="24"/>
        </w:rPr>
      </w:pPr>
      <w:r w:rsidRPr="00AB2B03">
        <w:rPr>
          <w:rStyle w:val="Strong"/>
          <w:color w:val="auto"/>
          <w:sz w:val="24"/>
        </w:rPr>
        <w:t>Afatinib, Abemaciclib, Ceritinib, Dasatinib, Nilotinib, Encorafenib, Ibrutinib,</w:t>
      </w:r>
      <w:r w:rsidRPr="00AB2B03">
        <w:rPr>
          <w:rStyle w:val="Strong"/>
          <w:rFonts w:cs="Arial"/>
          <w:color w:val="auto"/>
          <w:sz w:val="24"/>
        </w:rPr>
        <w:t> </w:t>
      </w:r>
      <w:r w:rsidRPr="00AB2B03">
        <w:rPr>
          <w:rStyle w:val="Strong"/>
          <w:color w:val="auto"/>
          <w:sz w:val="24"/>
        </w:rPr>
        <w:t>Vinblasti</w:t>
      </w:r>
      <w:r w:rsidR="00B03A7B">
        <w:rPr>
          <w:rStyle w:val="Strong"/>
          <w:color w:val="auto"/>
          <w:sz w:val="24"/>
        </w:rPr>
        <w:t xml:space="preserve"> </w:t>
      </w:r>
      <w:r w:rsidRPr="00AB2B03">
        <w:rPr>
          <w:rStyle w:val="Strong"/>
          <w:color w:val="auto"/>
          <w:sz w:val="24"/>
        </w:rPr>
        <w:t>e</w:t>
      </w:r>
      <w:r w:rsidRPr="00AB2B03">
        <w:rPr>
          <w:color w:val="auto"/>
          <w:sz w:val="24"/>
        </w:rPr>
        <w:t>, and</w:t>
      </w:r>
      <w:r w:rsidRPr="00AB2B03">
        <w:rPr>
          <w:rStyle w:val="Strong"/>
          <w:rFonts w:cs="Arial"/>
          <w:color w:val="auto"/>
          <w:sz w:val="24"/>
        </w:rPr>
        <w:t xml:space="preserve"> </w:t>
      </w:r>
      <w:r w:rsidRPr="00AB2B03">
        <w:rPr>
          <w:rStyle w:val="Strong"/>
          <w:color w:val="auto"/>
          <w:sz w:val="24"/>
        </w:rPr>
        <w:t>Vincristine</w:t>
      </w:r>
      <w:r w:rsidRPr="00AB2B03">
        <w:rPr>
          <w:color w:val="auto"/>
          <w:sz w:val="24"/>
        </w:rPr>
        <w:t>, medicine to treat certain types of cancer </w:t>
      </w:r>
    </w:p>
    <w:p w14:paraId="7F3B3DE6" w14:textId="77777777" w:rsidR="004D7764" w:rsidRPr="00AB2B03" w:rsidRDefault="004D7764" w:rsidP="004D7764">
      <w:pPr>
        <w:pStyle w:val="ListBullet"/>
        <w:rPr>
          <w:color w:val="auto"/>
          <w:sz w:val="24"/>
        </w:rPr>
      </w:pPr>
      <w:r w:rsidRPr="00AB2B03">
        <w:rPr>
          <w:rStyle w:val="Strong"/>
          <w:color w:val="auto"/>
          <w:sz w:val="24"/>
        </w:rPr>
        <w:t>Haloperidol, Risperidone</w:t>
      </w:r>
      <w:r w:rsidRPr="00AB2B03">
        <w:rPr>
          <w:color w:val="auto"/>
          <w:sz w:val="24"/>
        </w:rPr>
        <w:t>, and </w:t>
      </w:r>
      <w:r w:rsidRPr="00AB2B03">
        <w:rPr>
          <w:rStyle w:val="Strong"/>
          <w:color w:val="auto"/>
          <w:sz w:val="24"/>
        </w:rPr>
        <w:t>Quetiapine</w:t>
      </w:r>
      <w:r w:rsidRPr="00AB2B03">
        <w:rPr>
          <w:color w:val="auto"/>
          <w:sz w:val="24"/>
        </w:rPr>
        <w:t>, medicine to treat certain mental and emotional conditions</w:t>
      </w:r>
    </w:p>
    <w:p w14:paraId="1EC2996B" w14:textId="77777777" w:rsidR="004D7764" w:rsidRPr="00AB2B03" w:rsidRDefault="004D7764" w:rsidP="004D7764">
      <w:pPr>
        <w:pStyle w:val="ListBullet"/>
        <w:rPr>
          <w:color w:val="auto"/>
          <w:sz w:val="24"/>
        </w:rPr>
      </w:pPr>
      <w:r w:rsidRPr="00AB2B03">
        <w:rPr>
          <w:rStyle w:val="Strong"/>
          <w:color w:val="auto"/>
          <w:sz w:val="24"/>
        </w:rPr>
        <w:t>Rivaroxaban</w:t>
      </w:r>
      <w:r w:rsidRPr="00AB2B03">
        <w:rPr>
          <w:color w:val="auto"/>
          <w:sz w:val="24"/>
        </w:rPr>
        <w:t>, and</w:t>
      </w:r>
      <w:r w:rsidRPr="00AB2B03">
        <w:rPr>
          <w:rStyle w:val="Strong"/>
          <w:rFonts w:cs="Arial"/>
          <w:color w:val="auto"/>
          <w:sz w:val="24"/>
        </w:rPr>
        <w:t> </w:t>
      </w:r>
      <w:r w:rsidRPr="00AB2B03">
        <w:rPr>
          <w:rStyle w:val="Strong"/>
          <w:color w:val="auto"/>
          <w:sz w:val="24"/>
        </w:rPr>
        <w:t>Warfarin</w:t>
      </w:r>
      <w:r w:rsidRPr="00AB2B03">
        <w:rPr>
          <w:color w:val="auto"/>
          <w:sz w:val="24"/>
        </w:rPr>
        <w:t>, medicine to treat or prevent blood clots</w:t>
      </w:r>
    </w:p>
    <w:p w14:paraId="2A8450E6" w14:textId="77777777" w:rsidR="004D7764" w:rsidRPr="00AB2B03" w:rsidRDefault="004D7764" w:rsidP="004D7764">
      <w:pPr>
        <w:pStyle w:val="ListBullet"/>
        <w:rPr>
          <w:color w:val="auto"/>
          <w:sz w:val="24"/>
        </w:rPr>
      </w:pPr>
      <w:r w:rsidRPr="00AB2B03">
        <w:rPr>
          <w:rStyle w:val="Strong"/>
          <w:color w:val="auto"/>
          <w:sz w:val="24"/>
        </w:rPr>
        <w:t>Lamotrigine</w:t>
      </w:r>
      <w:r w:rsidRPr="00AB2B03">
        <w:rPr>
          <w:color w:val="auto"/>
          <w:sz w:val="24"/>
        </w:rPr>
        <w:t>, medicine to prevent or treat convulsions, fits</w:t>
      </w:r>
    </w:p>
    <w:p w14:paraId="312055C8" w14:textId="77777777" w:rsidR="004D7764" w:rsidRPr="00AB2B03" w:rsidRDefault="004D7764" w:rsidP="004D7764">
      <w:pPr>
        <w:pStyle w:val="ListBullet"/>
        <w:rPr>
          <w:color w:val="auto"/>
          <w:sz w:val="24"/>
        </w:rPr>
      </w:pPr>
      <w:r w:rsidRPr="00AB2B03">
        <w:rPr>
          <w:rStyle w:val="Strong"/>
          <w:color w:val="auto"/>
          <w:sz w:val="24"/>
        </w:rPr>
        <w:t>Amitriptyline, Fluoxetine, Imipramine, Nortriptyline, Paroxetine</w:t>
      </w:r>
      <w:r w:rsidRPr="00AB2B03">
        <w:rPr>
          <w:color w:val="auto"/>
          <w:sz w:val="24"/>
        </w:rPr>
        <w:t>, and </w:t>
      </w:r>
      <w:r w:rsidRPr="00AB2B03">
        <w:rPr>
          <w:rStyle w:val="Strong"/>
          <w:color w:val="auto"/>
          <w:sz w:val="24"/>
        </w:rPr>
        <w:t>Sertraline</w:t>
      </w:r>
      <w:r w:rsidRPr="00AB2B03">
        <w:rPr>
          <w:color w:val="auto"/>
          <w:sz w:val="24"/>
        </w:rPr>
        <w:t>, medicine to treat depression</w:t>
      </w:r>
    </w:p>
    <w:p w14:paraId="4087A569" w14:textId="77777777" w:rsidR="004D7764" w:rsidRPr="00AB2B03" w:rsidRDefault="004D7764" w:rsidP="004D7764">
      <w:pPr>
        <w:pStyle w:val="ListBullet"/>
        <w:rPr>
          <w:color w:val="auto"/>
          <w:sz w:val="24"/>
        </w:rPr>
      </w:pPr>
      <w:r w:rsidRPr="00AB2B03">
        <w:rPr>
          <w:rStyle w:val="Strong"/>
          <w:color w:val="auto"/>
          <w:sz w:val="24"/>
        </w:rPr>
        <w:t>Loratadine</w:t>
      </w:r>
      <w:r w:rsidRPr="00AB2B03">
        <w:rPr>
          <w:color w:val="auto"/>
          <w:sz w:val="24"/>
        </w:rPr>
        <w:t>, medicine to treat allergies </w:t>
      </w:r>
    </w:p>
    <w:p w14:paraId="2EE17920" w14:textId="77777777" w:rsidR="004D7764" w:rsidRPr="00AB2B03" w:rsidRDefault="004D7764" w:rsidP="004D7764">
      <w:pPr>
        <w:pStyle w:val="ListBullet"/>
        <w:rPr>
          <w:color w:val="auto"/>
          <w:sz w:val="24"/>
        </w:rPr>
      </w:pPr>
      <w:r w:rsidRPr="00AB2B03">
        <w:rPr>
          <w:rStyle w:val="Strong"/>
          <w:color w:val="auto"/>
          <w:sz w:val="24"/>
        </w:rPr>
        <w:t>Atovaquone, Clarithromycin, Erythromycin, Rifabutin, Ketoconazole, </w:t>
      </w:r>
      <w:proofErr w:type="spellStart"/>
      <w:r w:rsidRPr="00AB2B03">
        <w:rPr>
          <w:rStyle w:val="Strong"/>
          <w:color w:val="auto"/>
          <w:sz w:val="24"/>
        </w:rPr>
        <w:t>Isavuconazoni</w:t>
      </w:r>
      <w:proofErr w:type="spellEnd"/>
      <w:r w:rsidR="00B03A7B">
        <w:rPr>
          <w:rStyle w:val="Strong"/>
          <w:color w:val="auto"/>
          <w:sz w:val="24"/>
        </w:rPr>
        <w:t xml:space="preserve"> </w:t>
      </w:r>
      <w:r w:rsidRPr="00AB2B03">
        <w:rPr>
          <w:rStyle w:val="Strong"/>
          <w:color w:val="auto"/>
          <w:sz w:val="24"/>
        </w:rPr>
        <w:t xml:space="preserve">m </w:t>
      </w:r>
      <w:proofErr w:type="spellStart"/>
      <w:r w:rsidRPr="00AB2B03">
        <w:rPr>
          <w:rStyle w:val="Strong"/>
          <w:color w:val="auto"/>
          <w:sz w:val="24"/>
        </w:rPr>
        <w:t>Sulfate</w:t>
      </w:r>
      <w:proofErr w:type="spellEnd"/>
      <w:r w:rsidRPr="00AB2B03">
        <w:rPr>
          <w:rStyle w:val="Strong"/>
          <w:color w:val="auto"/>
          <w:sz w:val="24"/>
        </w:rPr>
        <w:t>, Voriconazole</w:t>
      </w:r>
      <w:r w:rsidRPr="00AB2B03">
        <w:rPr>
          <w:color w:val="auto"/>
          <w:sz w:val="24"/>
        </w:rPr>
        <w:t>, and </w:t>
      </w:r>
      <w:r w:rsidRPr="00AB2B03">
        <w:rPr>
          <w:rStyle w:val="Strong"/>
          <w:color w:val="auto"/>
          <w:sz w:val="24"/>
        </w:rPr>
        <w:t>Itraconazole</w:t>
      </w:r>
      <w:r w:rsidRPr="00AB2B03">
        <w:rPr>
          <w:color w:val="auto"/>
          <w:sz w:val="24"/>
        </w:rPr>
        <w:t>, medicine to treat infections</w:t>
      </w:r>
    </w:p>
    <w:p w14:paraId="1AF07B26" w14:textId="77777777" w:rsidR="004D7764" w:rsidRPr="00AB2B03" w:rsidRDefault="004D7764" w:rsidP="004D7764">
      <w:pPr>
        <w:pStyle w:val="ListBullet"/>
        <w:rPr>
          <w:color w:val="auto"/>
          <w:sz w:val="24"/>
        </w:rPr>
      </w:pPr>
      <w:r w:rsidRPr="00AB2B03">
        <w:rPr>
          <w:rStyle w:val="Strong"/>
          <w:color w:val="auto"/>
          <w:sz w:val="24"/>
        </w:rPr>
        <w:t>Atazanavir, Darunavir, Efavirenz, Fosamprenavir, Maraviroc, Nevirapine, Saquinavir, Tipranavir, Raltegravir, Zidovudine, Bictegravir/Emtricitabine/Tenofovir</w:t>
      </w:r>
      <w:r w:rsidRPr="00AB2B03">
        <w:rPr>
          <w:color w:val="auto"/>
          <w:sz w:val="24"/>
        </w:rPr>
        <w:t>, medicine to treat HIV</w:t>
      </w:r>
    </w:p>
    <w:p w14:paraId="16B10EF7" w14:textId="77777777" w:rsidR="004D7764" w:rsidRPr="00AB2B03" w:rsidRDefault="004D7764" w:rsidP="004D7764">
      <w:pPr>
        <w:pStyle w:val="ListBullet"/>
        <w:rPr>
          <w:color w:val="auto"/>
          <w:sz w:val="24"/>
        </w:rPr>
      </w:pPr>
      <w:proofErr w:type="spellStart"/>
      <w:r w:rsidRPr="00AB2B03">
        <w:rPr>
          <w:rStyle w:val="Strong"/>
          <w:color w:val="auto"/>
          <w:sz w:val="24"/>
        </w:rPr>
        <w:t>Glecaprevir</w:t>
      </w:r>
      <w:proofErr w:type="spellEnd"/>
      <w:r w:rsidRPr="00AB2B03">
        <w:rPr>
          <w:rStyle w:val="Strong"/>
          <w:color w:val="auto"/>
          <w:sz w:val="24"/>
        </w:rPr>
        <w:t>/</w:t>
      </w:r>
      <w:proofErr w:type="spellStart"/>
      <w:r w:rsidRPr="00AB2B03">
        <w:rPr>
          <w:rStyle w:val="Strong"/>
          <w:color w:val="auto"/>
          <w:sz w:val="24"/>
        </w:rPr>
        <w:t>Pibrentasvir</w:t>
      </w:r>
      <w:proofErr w:type="spellEnd"/>
      <w:r w:rsidRPr="00AB2B03">
        <w:rPr>
          <w:rStyle w:val="Strong"/>
          <w:color w:val="auto"/>
          <w:sz w:val="24"/>
        </w:rPr>
        <w:t>, Sofosbuvir/</w:t>
      </w:r>
      <w:proofErr w:type="spellStart"/>
      <w:r w:rsidRPr="00AB2B03">
        <w:rPr>
          <w:rStyle w:val="Strong"/>
          <w:color w:val="auto"/>
          <w:sz w:val="24"/>
        </w:rPr>
        <w:t>Velpatasvir</w:t>
      </w:r>
      <w:proofErr w:type="spellEnd"/>
      <w:r w:rsidRPr="00AB2B03">
        <w:rPr>
          <w:rStyle w:val="Strong"/>
          <w:color w:val="auto"/>
          <w:sz w:val="24"/>
        </w:rPr>
        <w:t>/</w:t>
      </w:r>
      <w:proofErr w:type="spellStart"/>
      <w:r w:rsidRPr="00AB2B03">
        <w:rPr>
          <w:rStyle w:val="Strong"/>
          <w:color w:val="auto"/>
          <w:sz w:val="24"/>
        </w:rPr>
        <w:t>Voxilaprevir</w:t>
      </w:r>
      <w:proofErr w:type="spellEnd"/>
      <w:r w:rsidRPr="00AB2B03">
        <w:rPr>
          <w:color w:val="auto"/>
          <w:sz w:val="24"/>
        </w:rPr>
        <w:t>, medicine to treat hepatitis C</w:t>
      </w:r>
    </w:p>
    <w:p w14:paraId="2197C903" w14:textId="77777777" w:rsidR="004D7764" w:rsidRPr="00AB2B03" w:rsidRDefault="004D7764" w:rsidP="004D7764">
      <w:pPr>
        <w:pStyle w:val="ListBullet"/>
        <w:rPr>
          <w:color w:val="auto"/>
          <w:sz w:val="24"/>
        </w:rPr>
      </w:pPr>
      <w:r w:rsidRPr="00AB2B03">
        <w:rPr>
          <w:rStyle w:val="Strong"/>
          <w:color w:val="auto"/>
          <w:sz w:val="24"/>
        </w:rPr>
        <w:t>Salmeterol</w:t>
      </w:r>
      <w:r w:rsidRPr="00AB2B03">
        <w:rPr>
          <w:color w:val="auto"/>
          <w:sz w:val="24"/>
        </w:rPr>
        <w:t>, medicine to treat severe lung conditions, including asthma and chronic obstructive pulmonary disease (COPD)</w:t>
      </w:r>
    </w:p>
    <w:p w14:paraId="5707432B" w14:textId="77777777" w:rsidR="004D7764" w:rsidRPr="00AB2B03" w:rsidRDefault="004D7764" w:rsidP="004D7764">
      <w:pPr>
        <w:pStyle w:val="ListBullet"/>
        <w:rPr>
          <w:color w:val="auto"/>
          <w:sz w:val="24"/>
        </w:rPr>
      </w:pPr>
      <w:r w:rsidRPr="00AB2B03">
        <w:rPr>
          <w:rStyle w:val="Strong"/>
          <w:color w:val="auto"/>
          <w:sz w:val="24"/>
        </w:rPr>
        <w:t>Amlodipine, Diltiazem, Felodipine</w:t>
      </w:r>
      <w:r w:rsidRPr="00AB2B03">
        <w:rPr>
          <w:color w:val="auto"/>
          <w:sz w:val="24"/>
        </w:rPr>
        <w:t>, and </w:t>
      </w:r>
      <w:r w:rsidRPr="00AB2B03">
        <w:rPr>
          <w:rStyle w:val="Strong"/>
          <w:color w:val="auto"/>
          <w:sz w:val="24"/>
        </w:rPr>
        <w:t>Nifedipine</w:t>
      </w:r>
      <w:r w:rsidRPr="00AB2B03">
        <w:rPr>
          <w:color w:val="auto"/>
          <w:sz w:val="24"/>
        </w:rPr>
        <w:t>, medicine to treat angina or lower blood pressure</w:t>
      </w:r>
    </w:p>
    <w:p w14:paraId="4CA8A29C" w14:textId="77777777" w:rsidR="004D7764" w:rsidRPr="00AB2B03" w:rsidRDefault="004D7764" w:rsidP="004D7764">
      <w:pPr>
        <w:pStyle w:val="ListBullet"/>
        <w:rPr>
          <w:color w:val="auto"/>
          <w:sz w:val="24"/>
        </w:rPr>
      </w:pPr>
      <w:proofErr w:type="spellStart"/>
      <w:r w:rsidRPr="00AB2B03">
        <w:rPr>
          <w:rStyle w:val="Strong"/>
          <w:rFonts w:cs="Arial"/>
          <w:color w:val="auto"/>
          <w:sz w:val="24"/>
        </w:rPr>
        <w:t>Bosentan</w:t>
      </w:r>
      <w:proofErr w:type="spellEnd"/>
      <w:r w:rsidRPr="00AB2B03">
        <w:rPr>
          <w:color w:val="auto"/>
          <w:sz w:val="24"/>
        </w:rPr>
        <w:t>, and </w:t>
      </w:r>
      <w:proofErr w:type="spellStart"/>
      <w:r w:rsidRPr="00AB2B03">
        <w:rPr>
          <w:rStyle w:val="Strong"/>
          <w:rFonts w:cs="Arial"/>
          <w:color w:val="auto"/>
          <w:sz w:val="24"/>
        </w:rPr>
        <w:t>Riociguat</w:t>
      </w:r>
      <w:proofErr w:type="spellEnd"/>
      <w:r w:rsidRPr="00AB2B03">
        <w:rPr>
          <w:color w:val="auto"/>
          <w:sz w:val="24"/>
        </w:rPr>
        <w:t>, medicine to treat high blood pressure in the lungs</w:t>
      </w:r>
    </w:p>
    <w:p w14:paraId="7C731A47" w14:textId="77777777" w:rsidR="004D7764" w:rsidRPr="00AB2B03" w:rsidRDefault="004D7764" w:rsidP="004D7764">
      <w:pPr>
        <w:pStyle w:val="ListBullet"/>
        <w:rPr>
          <w:color w:val="auto"/>
          <w:sz w:val="24"/>
        </w:rPr>
      </w:pPr>
      <w:proofErr w:type="spellStart"/>
      <w:r w:rsidRPr="00AB2B03">
        <w:rPr>
          <w:rStyle w:val="Strong"/>
          <w:rFonts w:cs="Arial"/>
          <w:color w:val="auto"/>
          <w:sz w:val="24"/>
        </w:rPr>
        <w:t>Ethinylestradiol</w:t>
      </w:r>
      <w:proofErr w:type="spellEnd"/>
      <w:r w:rsidRPr="00AB2B03">
        <w:rPr>
          <w:color w:val="auto"/>
          <w:sz w:val="24"/>
        </w:rPr>
        <w:t>, medicine to treat hormone deficiency or for contraception</w:t>
      </w:r>
    </w:p>
    <w:p w14:paraId="66C40D4D" w14:textId="77777777" w:rsidR="004D7764" w:rsidRPr="00AB2B03" w:rsidRDefault="004D7764" w:rsidP="004D7764">
      <w:pPr>
        <w:pStyle w:val="ListBullet"/>
        <w:rPr>
          <w:color w:val="auto"/>
          <w:sz w:val="24"/>
        </w:rPr>
      </w:pPr>
      <w:r w:rsidRPr="00AB2B03">
        <w:rPr>
          <w:rStyle w:val="Strong"/>
          <w:rFonts w:cs="Arial"/>
          <w:color w:val="auto"/>
          <w:sz w:val="24"/>
        </w:rPr>
        <w:t>Ciclosporin</w:t>
      </w:r>
      <w:r w:rsidRPr="00AB2B03">
        <w:rPr>
          <w:color w:val="auto"/>
          <w:sz w:val="24"/>
        </w:rPr>
        <w:t>,</w:t>
      </w:r>
      <w:r w:rsidRPr="00AB2B03">
        <w:rPr>
          <w:rStyle w:val="Strong"/>
          <w:rFonts w:cs="Arial"/>
          <w:color w:val="auto"/>
          <w:sz w:val="24"/>
        </w:rPr>
        <w:t> </w:t>
      </w:r>
      <w:proofErr w:type="spellStart"/>
      <w:r w:rsidRPr="00AB2B03">
        <w:rPr>
          <w:rStyle w:val="Strong"/>
          <w:rFonts w:cs="Arial"/>
          <w:color w:val="auto"/>
          <w:sz w:val="24"/>
        </w:rPr>
        <w:t>Everolimus</w:t>
      </w:r>
      <w:proofErr w:type="spellEnd"/>
      <w:r w:rsidRPr="00AB2B03">
        <w:rPr>
          <w:color w:val="auto"/>
          <w:sz w:val="24"/>
        </w:rPr>
        <w:t xml:space="preserve">, </w:t>
      </w:r>
      <w:r w:rsidRPr="00AB2B03">
        <w:rPr>
          <w:rStyle w:val="Strong"/>
          <w:rFonts w:cs="Arial"/>
          <w:color w:val="auto"/>
          <w:sz w:val="24"/>
        </w:rPr>
        <w:t>Tacrolimus</w:t>
      </w:r>
      <w:r w:rsidRPr="00AB2B03">
        <w:rPr>
          <w:color w:val="auto"/>
          <w:sz w:val="24"/>
        </w:rPr>
        <w:t xml:space="preserve">, and </w:t>
      </w:r>
      <w:r w:rsidRPr="00AB2B03">
        <w:rPr>
          <w:rStyle w:val="Strong"/>
          <w:color w:val="auto"/>
          <w:sz w:val="24"/>
        </w:rPr>
        <w:t>Sirolimus</w:t>
      </w:r>
      <w:r w:rsidRPr="00AB2B03">
        <w:rPr>
          <w:color w:val="auto"/>
          <w:sz w:val="24"/>
        </w:rPr>
        <w:t>, medicine to suppress the immune system</w:t>
      </w:r>
    </w:p>
    <w:p w14:paraId="0A3F3864" w14:textId="77777777" w:rsidR="004D7764" w:rsidRPr="00AB2B03" w:rsidRDefault="004D7764" w:rsidP="004D7764">
      <w:pPr>
        <w:pStyle w:val="ListBullet"/>
        <w:rPr>
          <w:color w:val="auto"/>
          <w:sz w:val="24"/>
        </w:rPr>
      </w:pPr>
      <w:r w:rsidRPr="00AB2B03">
        <w:rPr>
          <w:rStyle w:val="Strong"/>
          <w:color w:val="auto"/>
          <w:sz w:val="24"/>
        </w:rPr>
        <w:t>Atorvastatin</w:t>
      </w:r>
      <w:r w:rsidRPr="00AB2B03">
        <w:rPr>
          <w:color w:val="auto"/>
          <w:sz w:val="24"/>
        </w:rPr>
        <w:t>, and </w:t>
      </w:r>
      <w:r w:rsidRPr="00AB2B03">
        <w:rPr>
          <w:rStyle w:val="Strong"/>
          <w:color w:val="auto"/>
          <w:sz w:val="24"/>
        </w:rPr>
        <w:t>Rosuvastatin</w:t>
      </w:r>
      <w:r w:rsidRPr="00AB2B03">
        <w:rPr>
          <w:color w:val="auto"/>
          <w:sz w:val="24"/>
        </w:rPr>
        <w:t>, medicine to lower cholesterol</w:t>
      </w:r>
    </w:p>
    <w:p w14:paraId="3662F9A5" w14:textId="77777777" w:rsidR="004D7764" w:rsidRPr="00AB2B03" w:rsidRDefault="004D7764" w:rsidP="004D7764">
      <w:pPr>
        <w:pStyle w:val="ListBullet"/>
        <w:rPr>
          <w:color w:val="auto"/>
          <w:sz w:val="24"/>
        </w:rPr>
      </w:pPr>
      <w:r w:rsidRPr="00AB2B03">
        <w:rPr>
          <w:rStyle w:val="Strong"/>
          <w:color w:val="auto"/>
          <w:sz w:val="24"/>
        </w:rPr>
        <w:t xml:space="preserve">Alprazolam, Midazolam (parenteral), </w:t>
      </w:r>
      <w:r w:rsidRPr="00AB2B03">
        <w:rPr>
          <w:color w:val="auto"/>
          <w:sz w:val="24"/>
        </w:rPr>
        <w:t>and </w:t>
      </w:r>
      <w:r w:rsidRPr="00AB2B03">
        <w:rPr>
          <w:rStyle w:val="Strong"/>
          <w:color w:val="auto"/>
          <w:sz w:val="24"/>
        </w:rPr>
        <w:t>Zolpidem</w:t>
      </w:r>
      <w:r w:rsidRPr="00AB2B03">
        <w:rPr>
          <w:color w:val="auto"/>
          <w:sz w:val="24"/>
        </w:rPr>
        <w:t>, medicine to help you sleep </w:t>
      </w:r>
    </w:p>
    <w:p w14:paraId="0E0FF3F4" w14:textId="77777777" w:rsidR="004D7764" w:rsidRPr="00AB2B03" w:rsidRDefault="004D7764" w:rsidP="004D7764">
      <w:pPr>
        <w:pStyle w:val="ListBullet"/>
        <w:rPr>
          <w:color w:val="auto"/>
          <w:sz w:val="24"/>
        </w:rPr>
      </w:pPr>
      <w:r w:rsidRPr="00AB2B03">
        <w:rPr>
          <w:rStyle w:val="Strong"/>
          <w:color w:val="auto"/>
          <w:sz w:val="24"/>
        </w:rPr>
        <w:t>Bupropion</w:t>
      </w:r>
      <w:r w:rsidRPr="00AB2B03">
        <w:rPr>
          <w:color w:val="auto"/>
          <w:sz w:val="24"/>
        </w:rPr>
        <w:t>, a medicine to assist in giving up smoking</w:t>
      </w:r>
    </w:p>
    <w:p w14:paraId="150E9649" w14:textId="77777777" w:rsidR="004D7764" w:rsidRDefault="004D7764" w:rsidP="00AB2B03">
      <w:pPr>
        <w:pStyle w:val="ListBullet"/>
      </w:pPr>
      <w:r w:rsidRPr="00AB2B03">
        <w:rPr>
          <w:rStyle w:val="Strong"/>
          <w:color w:val="auto"/>
          <w:sz w:val="24"/>
        </w:rPr>
        <w:t>Betamethasone, Budesonide, Dexamethasone, Prednisone, Methylprednisolone</w:t>
      </w:r>
      <w:r w:rsidRPr="00AB2B03">
        <w:rPr>
          <w:color w:val="auto"/>
          <w:sz w:val="24"/>
        </w:rPr>
        <w:t>, and </w:t>
      </w:r>
      <w:r w:rsidRPr="00AB2B03">
        <w:rPr>
          <w:rStyle w:val="Strong"/>
          <w:color w:val="auto"/>
          <w:sz w:val="24"/>
        </w:rPr>
        <w:t>Triamcinolone</w:t>
      </w:r>
      <w:r w:rsidRPr="00AB2B03">
        <w:rPr>
          <w:color w:val="auto"/>
          <w:sz w:val="24"/>
        </w:rPr>
        <w:t>, medicine to treat various inflammatory conditions</w:t>
      </w:r>
      <w:r w:rsidR="004D13EA">
        <w:rPr>
          <w:color w:val="auto"/>
          <w:sz w:val="24"/>
        </w:rPr>
        <w:t>.</w:t>
      </w:r>
    </w:p>
    <w:p w14:paraId="6BA81C4C" w14:textId="77777777" w:rsidR="00B868B9" w:rsidRPr="000B7D0A" w:rsidRDefault="00B868B9" w:rsidP="00B868B9">
      <w:pPr>
        <w:pStyle w:val="Heading2"/>
      </w:pPr>
      <w:r w:rsidRPr="000B7D0A">
        <w:t xml:space="preserve">Previous </w:t>
      </w:r>
      <w:r w:rsidRPr="00B868B9">
        <w:t>hypersensitivity</w:t>
      </w:r>
      <w:r w:rsidRPr="000B7D0A">
        <w:t xml:space="preserve"> and contraindications</w:t>
      </w:r>
    </w:p>
    <w:p w14:paraId="2B528F24" w14:textId="77777777" w:rsidR="00B868B9" w:rsidRPr="00AE3956" w:rsidRDefault="00B868B9" w:rsidP="00B868B9">
      <w:r w:rsidRPr="00CC59F2">
        <w:t>Paxlovid (nirmatrelvir/ritonavir) is contraindicated in patients with a history of clinically significant hypersensitivity to its active ingredients (nirmatrelvir and ritonavir) or excipients.</w:t>
      </w:r>
    </w:p>
    <w:p w14:paraId="194A118D" w14:textId="77777777" w:rsidR="00B868B9" w:rsidRDefault="00B868B9" w:rsidP="00B868B9">
      <w:r w:rsidRPr="00552AEE">
        <w:t xml:space="preserve">Prescribers and dispensers should carefully review a patient’s concomitant medications including over-the-counter medications, herbal supplements, and </w:t>
      </w:r>
      <w:r w:rsidRPr="00326FF4">
        <w:t>recreational</w:t>
      </w:r>
      <w:r w:rsidRPr="00552AEE">
        <w:t xml:space="preserve"> drug before prescribing or dispensing Paxlovid.</w:t>
      </w:r>
    </w:p>
    <w:p w14:paraId="49900DE9" w14:textId="77777777" w:rsidR="00B868B9" w:rsidRPr="000B7D0A" w:rsidRDefault="00B868B9" w:rsidP="00B868B9">
      <w:r>
        <w:lastRenderedPageBreak/>
        <w:t xml:space="preserve">There is a full list of excipients in the </w:t>
      </w:r>
      <w:hyperlink r:id="rId15" w:history="1">
        <w:r w:rsidRPr="00552AEE">
          <w:rPr>
            <w:rStyle w:val="Hyperlink"/>
            <w:rFonts w:cs="Arial"/>
          </w:rPr>
          <w:t>TGA Product Information’s Section 6.1</w:t>
        </w:r>
      </w:hyperlink>
      <w:r>
        <w:t>.</w:t>
      </w:r>
    </w:p>
    <w:p w14:paraId="36728C9F" w14:textId="77777777" w:rsidR="00B868B9" w:rsidRPr="000B7D0A" w:rsidRDefault="00B868B9" w:rsidP="00B868B9">
      <w:pPr>
        <w:pStyle w:val="Heading2"/>
      </w:pPr>
      <w:r w:rsidRPr="000B7D0A">
        <w:t>Swallowing</w:t>
      </w:r>
    </w:p>
    <w:p w14:paraId="63897598" w14:textId="77777777" w:rsidR="00B868B9" w:rsidRPr="00326FF4" w:rsidRDefault="00B868B9" w:rsidP="00B868B9">
      <w:r w:rsidRPr="005C383F">
        <w:t xml:space="preserve">The tablets should be swallowed whole and not chewed, broken, or crushed. </w:t>
      </w:r>
      <w:r w:rsidRPr="000B7D0A">
        <w:t xml:space="preserve">If the aged care </w:t>
      </w:r>
      <w:r w:rsidRPr="00326FF4">
        <w:t>resident</w:t>
      </w:r>
      <w:r w:rsidRPr="000B7D0A">
        <w:t xml:space="preserve"> cannot swallow tablets whole, consider other treatment options.</w:t>
      </w:r>
      <w:r w:rsidRPr="00326FF4">
        <w:t> </w:t>
      </w:r>
    </w:p>
    <w:p w14:paraId="2B712D26" w14:textId="49963CE1" w:rsidR="00B868B9" w:rsidRPr="00326FF4" w:rsidRDefault="5C02AB96" w:rsidP="00B868B9">
      <w:pPr>
        <w:rPr>
          <w:rFonts w:cs="Arial"/>
          <w:color w:val="000000"/>
        </w:rPr>
      </w:pPr>
      <w:r>
        <w:t>See the</w:t>
      </w:r>
      <w:r w:rsidRPr="28FCC969">
        <w:rPr>
          <w:rStyle w:val="Hyperlink"/>
        </w:rPr>
        <w:t xml:space="preserve"> </w:t>
      </w:r>
      <w:hyperlink r:id="rId16" w:anchor="Covid19" w:history="1">
        <w:hyperlink r:id="rId17" w:tgtFrame="_blank" w:history="1">
          <w:r w:rsidRPr="28FCC969">
            <w:rPr>
              <w:rStyle w:val="Hyperlink"/>
            </w:rPr>
            <w:t>PBS (Paxlovid) product information</w:t>
          </w:r>
        </w:hyperlink>
      </w:hyperlink>
      <w:r>
        <w:t xml:space="preserve"> fact sheet.</w:t>
      </w:r>
    </w:p>
    <w:p w14:paraId="2FDDD7FB" w14:textId="77777777" w:rsidR="00B868B9" w:rsidRPr="000B7D0A" w:rsidRDefault="00B868B9" w:rsidP="00B868B9">
      <w:pPr>
        <w:pStyle w:val="Heading2"/>
      </w:pPr>
      <w:r w:rsidRPr="000B7D0A">
        <w:t>Preparation for potential use of this medicine</w:t>
      </w:r>
    </w:p>
    <w:p w14:paraId="6CB39578" w14:textId="27AE3649" w:rsidR="00B868B9" w:rsidRPr="005C383F" w:rsidRDefault="00B868B9" w:rsidP="00B868B9">
      <w:pPr>
        <w:rPr>
          <w:sz w:val="18"/>
          <w:szCs w:val="18"/>
        </w:rPr>
      </w:pPr>
      <w:r w:rsidRPr="000B7D0A">
        <w:t xml:space="preserve">To facilitate speedy access to treatment, </w:t>
      </w:r>
      <w:r w:rsidR="004308A6">
        <w:t xml:space="preserve">residential </w:t>
      </w:r>
      <w:r w:rsidR="0007019F">
        <w:t>aged care homes</w:t>
      </w:r>
      <w:r w:rsidRPr="000B7D0A">
        <w:t xml:space="preserve"> are encouraged to pre-assess eligible residents, as per the advice above.</w:t>
      </w:r>
    </w:p>
    <w:p w14:paraId="4079FBE7" w14:textId="77777777" w:rsidR="00B868B9" w:rsidRPr="00AB2B03" w:rsidRDefault="00B868B9" w:rsidP="00B868B9">
      <w:pPr>
        <w:keepNext/>
      </w:pPr>
      <w:r w:rsidRPr="000B7D0A">
        <w:t>Pre-</w:t>
      </w:r>
      <w:r w:rsidRPr="00B868B9">
        <w:t>assessment activities should include:</w:t>
      </w:r>
    </w:p>
    <w:p w14:paraId="22C1A88F" w14:textId="61654A3C" w:rsidR="00B868B9" w:rsidRPr="00AB2B03" w:rsidRDefault="00B868B9" w:rsidP="00B868B9">
      <w:pPr>
        <w:pStyle w:val="ListBullet"/>
        <w:rPr>
          <w:color w:val="auto"/>
          <w:sz w:val="24"/>
        </w:rPr>
      </w:pPr>
      <w:r w:rsidRPr="00AB2B03">
        <w:rPr>
          <w:color w:val="auto"/>
          <w:sz w:val="24"/>
        </w:rPr>
        <w:t>discussing consent options for potential treatment with the resident and relevant decision-maker</w:t>
      </w:r>
      <w:r w:rsidR="00715F76">
        <w:rPr>
          <w:color w:val="auto"/>
          <w:sz w:val="24"/>
        </w:rPr>
        <w:t>s</w:t>
      </w:r>
    </w:p>
    <w:p w14:paraId="7A6C2F0B" w14:textId="05DDD716" w:rsidR="00B868B9" w:rsidRPr="00AB2B03" w:rsidRDefault="00B868B9" w:rsidP="00B868B9">
      <w:pPr>
        <w:pStyle w:val="ListBullet"/>
        <w:rPr>
          <w:color w:val="auto"/>
          <w:sz w:val="24"/>
        </w:rPr>
      </w:pPr>
      <w:r w:rsidRPr="00AB2B03">
        <w:rPr>
          <w:color w:val="auto"/>
          <w:sz w:val="24"/>
        </w:rPr>
        <w:t xml:space="preserve">identifying eligible residents in </w:t>
      </w:r>
      <w:r w:rsidR="0007019F">
        <w:rPr>
          <w:color w:val="auto"/>
          <w:sz w:val="24"/>
        </w:rPr>
        <w:t xml:space="preserve">the </w:t>
      </w:r>
      <w:r w:rsidR="00C660CB">
        <w:rPr>
          <w:color w:val="auto"/>
          <w:sz w:val="24"/>
        </w:rPr>
        <w:t xml:space="preserve">residential </w:t>
      </w:r>
      <w:r w:rsidRPr="00AB2B03">
        <w:rPr>
          <w:color w:val="auto"/>
          <w:sz w:val="24"/>
        </w:rPr>
        <w:t xml:space="preserve">aged care </w:t>
      </w:r>
      <w:r w:rsidR="0007019F">
        <w:rPr>
          <w:color w:val="auto"/>
          <w:sz w:val="24"/>
        </w:rPr>
        <w:t>home’s</w:t>
      </w:r>
      <w:r w:rsidRPr="00AB2B03">
        <w:rPr>
          <w:color w:val="auto"/>
          <w:sz w:val="24"/>
        </w:rPr>
        <w:t xml:space="preserve"> clinical management systems</w:t>
      </w:r>
    </w:p>
    <w:p w14:paraId="2355A292" w14:textId="1CAE33E3" w:rsidR="00B868B9" w:rsidRPr="00AB2B03" w:rsidRDefault="00B868B9" w:rsidP="00AB2B03">
      <w:pPr>
        <w:pStyle w:val="ListBullet"/>
        <w:rPr>
          <w:rFonts w:ascii="Times New Roman" w:hAnsi="Times New Roman"/>
        </w:rPr>
      </w:pPr>
      <w:r w:rsidRPr="00AB2B03">
        <w:rPr>
          <w:color w:val="auto"/>
          <w:sz w:val="24"/>
        </w:rPr>
        <w:t xml:space="preserve">discussing potential medicine administration with the resident’s </w:t>
      </w:r>
      <w:r w:rsidR="004308A6">
        <w:rPr>
          <w:color w:val="auto"/>
          <w:sz w:val="24"/>
        </w:rPr>
        <w:t>GP, nurse practitioner</w:t>
      </w:r>
      <w:r w:rsidRPr="00AB2B03">
        <w:rPr>
          <w:color w:val="auto"/>
          <w:sz w:val="24"/>
        </w:rPr>
        <w:t xml:space="preserve"> or clinical care staff. </w:t>
      </w:r>
    </w:p>
    <w:p w14:paraId="274A9255" w14:textId="77777777" w:rsidR="00B868B9" w:rsidRPr="000B7D0A" w:rsidRDefault="00B868B9" w:rsidP="00B868B9">
      <w:pPr>
        <w:pStyle w:val="Heading2"/>
      </w:pPr>
      <w:r w:rsidRPr="000B7D0A">
        <w:t>Accessing this treatment</w:t>
      </w:r>
    </w:p>
    <w:p w14:paraId="72DC91CE" w14:textId="1AD411CA" w:rsidR="00B868B9" w:rsidRPr="00326FF4" w:rsidRDefault="00B868B9" w:rsidP="00B868B9">
      <w:r w:rsidRPr="000B7D0A">
        <w:t xml:space="preserve">Paxlovid (nirmatrelvir/ritonavir) is a prescription only (S4) medicine which requires a prescription from an authorised prescriber is available through community </w:t>
      </w:r>
      <w:r w:rsidRPr="00326FF4">
        <w:t>pharmac</w:t>
      </w:r>
      <w:r w:rsidR="00C7355B">
        <w:t>ies</w:t>
      </w:r>
      <w:r w:rsidRPr="00326FF4">
        <w:t>.</w:t>
      </w:r>
    </w:p>
    <w:p w14:paraId="12D27E41" w14:textId="3D48A81A" w:rsidR="00B868B9" w:rsidRPr="00326FF4" w:rsidRDefault="00B868B9" w:rsidP="00B868B9">
      <w:r w:rsidRPr="00326FF4">
        <w:t xml:space="preserve">If </w:t>
      </w:r>
      <w:proofErr w:type="gramStart"/>
      <w:r w:rsidRPr="00326FF4">
        <w:t>a  resident</w:t>
      </w:r>
      <w:proofErr w:type="gramEnd"/>
      <w:r w:rsidRPr="00326FF4">
        <w:t xml:space="preserve"> is eligible for this treatment and is experiencing mild-moderate COVID-19</w:t>
      </w:r>
      <w:r w:rsidR="004308A6">
        <w:t xml:space="preserve"> symptoms</w:t>
      </w:r>
      <w:r w:rsidRPr="00326FF4">
        <w:t>, please contact the</w:t>
      </w:r>
      <w:r w:rsidR="004308A6">
        <w:t>ir</w:t>
      </w:r>
      <w:r w:rsidRPr="00326FF4">
        <w:t xml:space="preserve">  treating clinician </w:t>
      </w:r>
      <w:r w:rsidR="004308A6">
        <w:t xml:space="preserve">or health professional </w:t>
      </w:r>
      <w:r w:rsidRPr="00326FF4">
        <w:t>to arrange a clinical assessment as soon as possible.</w:t>
      </w:r>
    </w:p>
    <w:p w14:paraId="3042452D" w14:textId="074BEA5C" w:rsidR="00B868B9" w:rsidRPr="00A07D71" w:rsidRDefault="00B868B9" w:rsidP="00B868B9">
      <w:pPr>
        <w:rPr>
          <w:rFonts w:eastAsia="Calibri" w:cs="Arial"/>
        </w:rPr>
      </w:pPr>
      <w:r w:rsidRPr="00326FF4">
        <w:t xml:space="preserve">As with other antiviral treatments, such as the treatment for shingles or influenza, this medicine should be started as soon as possible. </w:t>
      </w:r>
      <w:r w:rsidR="00A07D71" w:rsidRPr="00D567B9">
        <w:rPr>
          <w:rFonts w:eastAsia="Calibri" w:cs="Arial"/>
        </w:rPr>
        <w:t xml:space="preserve">People aged 70 years or older, </w:t>
      </w:r>
      <w:r w:rsidR="00A07D71">
        <w:rPr>
          <w:rFonts w:eastAsia="Calibri" w:cs="Arial"/>
        </w:rPr>
        <w:t>wh</w:t>
      </w:r>
      <w:r w:rsidR="002C2DCD">
        <w:rPr>
          <w:rFonts w:eastAsia="Calibri" w:cs="Arial"/>
        </w:rPr>
        <w:t>o</w:t>
      </w:r>
      <w:r w:rsidR="00A07D71">
        <w:rPr>
          <w:rFonts w:eastAsia="Calibri" w:cs="Arial"/>
        </w:rPr>
        <w:t xml:space="preserve"> test positive</w:t>
      </w:r>
      <w:r w:rsidR="002C2DCD">
        <w:rPr>
          <w:rFonts w:eastAsia="Calibri" w:cs="Arial"/>
        </w:rPr>
        <w:t xml:space="preserve"> for COVID-</w:t>
      </w:r>
      <w:proofErr w:type="gramStart"/>
      <w:r w:rsidR="002C2DCD">
        <w:rPr>
          <w:rFonts w:eastAsia="Calibri" w:cs="Arial"/>
        </w:rPr>
        <w:t>19</w:t>
      </w:r>
      <w:r w:rsidR="00A07D71">
        <w:rPr>
          <w:rFonts w:eastAsia="Calibri" w:cs="Arial"/>
        </w:rPr>
        <w:t xml:space="preserve"> </w:t>
      </w:r>
      <w:r w:rsidR="002C2DCD">
        <w:rPr>
          <w:rFonts w:eastAsia="Calibri" w:cs="Arial"/>
        </w:rPr>
        <w:t xml:space="preserve"> </w:t>
      </w:r>
      <w:r w:rsidR="00A07D71" w:rsidRPr="00D567B9">
        <w:rPr>
          <w:rFonts w:eastAsia="Calibri" w:cs="Arial"/>
        </w:rPr>
        <w:t>can</w:t>
      </w:r>
      <w:proofErr w:type="gramEnd"/>
      <w:r w:rsidR="00A07D71" w:rsidRPr="00D567B9">
        <w:rPr>
          <w:rFonts w:eastAsia="Calibri" w:cs="Arial"/>
        </w:rPr>
        <w:t xml:space="preserve"> commence treatment with or without symptoms</w:t>
      </w:r>
      <w:r w:rsidR="002C2DCD">
        <w:rPr>
          <w:rFonts w:eastAsia="Calibri" w:cs="Arial"/>
        </w:rPr>
        <w:t>,</w:t>
      </w:r>
      <w:r w:rsidR="002C2DCD" w:rsidRPr="002C2DCD">
        <w:rPr>
          <w:rFonts w:eastAsia="Calibri" w:cs="Arial"/>
        </w:rPr>
        <w:t xml:space="preserve"> </w:t>
      </w:r>
      <w:r w:rsidR="002C2DCD" w:rsidRPr="00D567B9">
        <w:rPr>
          <w:rFonts w:eastAsia="Calibri" w:cs="Arial"/>
        </w:rPr>
        <w:t>regardless of risk factor</w:t>
      </w:r>
      <w:r w:rsidR="002C2DCD">
        <w:rPr>
          <w:rFonts w:eastAsia="Calibri" w:cs="Arial"/>
        </w:rPr>
        <w:t>s</w:t>
      </w:r>
      <w:r w:rsidR="00A07D71" w:rsidRPr="00D567B9">
        <w:rPr>
          <w:rFonts w:eastAsia="Calibri" w:cs="Arial"/>
        </w:rPr>
        <w:t>.</w:t>
      </w:r>
    </w:p>
    <w:p w14:paraId="7964A6B6" w14:textId="77777777" w:rsidR="00B868B9" w:rsidRPr="00326FF4" w:rsidRDefault="00B868B9" w:rsidP="00B868B9">
      <w:r w:rsidRPr="00326FF4">
        <w:t>Starting treatment</w:t>
      </w:r>
      <w:r w:rsidRPr="000B7D0A">
        <w:t xml:space="preserve"> beyond 5 days from onset of symptoms is not recommended.</w:t>
      </w:r>
      <w:r w:rsidRPr="00326FF4">
        <w:t> </w:t>
      </w:r>
    </w:p>
    <w:p w14:paraId="255C8C61" w14:textId="408738B9" w:rsidR="00B868B9" w:rsidRPr="00326FF4" w:rsidRDefault="00B868B9" w:rsidP="00B868B9">
      <w:r w:rsidRPr="000B7D0A">
        <w:t xml:space="preserve">Use </w:t>
      </w:r>
      <w:r w:rsidRPr="00326FF4">
        <w:t>your</w:t>
      </w:r>
      <w:r w:rsidRPr="000B7D0A">
        <w:t xml:space="preserve"> usual process to prepare for a clinical consultation. Where the resident’s usual </w:t>
      </w:r>
      <w:bookmarkStart w:id="3" w:name="_Hlk176422042"/>
      <w:r w:rsidRPr="000B7D0A">
        <w:t xml:space="preserve">treating clinician </w:t>
      </w:r>
      <w:bookmarkEnd w:id="3"/>
      <w:r w:rsidRPr="000B7D0A">
        <w:t xml:space="preserve">is not available, follow your </w:t>
      </w:r>
      <w:r w:rsidR="00C660CB">
        <w:t xml:space="preserve">residential aged care </w:t>
      </w:r>
      <w:r w:rsidR="0007019F">
        <w:t>home</w:t>
      </w:r>
      <w:r w:rsidRPr="000B7D0A">
        <w:t>’s process to source medical support.</w:t>
      </w:r>
    </w:p>
    <w:p w14:paraId="6A822D3E" w14:textId="77777777" w:rsidR="00B868B9" w:rsidRPr="000B7D0A" w:rsidRDefault="00B868B9" w:rsidP="00B868B9">
      <w:pPr>
        <w:pStyle w:val="Heading2"/>
      </w:pPr>
      <w:r w:rsidRPr="000B7D0A">
        <w:t>Medicine administration</w:t>
      </w:r>
    </w:p>
    <w:p w14:paraId="1F0E92B8" w14:textId="46D5E960" w:rsidR="00B868B9" w:rsidRPr="00326FF4" w:rsidRDefault="00B868B9" w:rsidP="00B868B9">
      <w:r w:rsidRPr="000B7D0A">
        <w:t xml:space="preserve">Once </w:t>
      </w:r>
      <w:r w:rsidRPr="00326FF4">
        <w:t>a resident is prescribed the relevant medicine, it should be used in a manner consistent with medicine regulation in your jurisdiction.</w:t>
      </w:r>
    </w:p>
    <w:p w14:paraId="0D1F659A" w14:textId="77777777" w:rsidR="00B868B9" w:rsidRPr="005C383F" w:rsidRDefault="00B868B9" w:rsidP="00B868B9">
      <w:r w:rsidRPr="00326FF4">
        <w:t>The re</w:t>
      </w:r>
      <w:r w:rsidRPr="005C383F">
        <w:t xml:space="preserve">commended dosage is 300 mg nirmatrelvir (two 150 mg tablets) with 100 mg ritonavir (one 100 mg tablet) taken together orally every 12 hours for </w:t>
      </w:r>
      <w:r w:rsidR="0007019F">
        <w:t>five</w:t>
      </w:r>
      <w:r w:rsidRPr="005C383F">
        <w:t xml:space="preserve"> days.</w:t>
      </w:r>
      <w:r>
        <w:t xml:space="preserve">  A lower dose is given to patients with moderate renal impairment (see above).</w:t>
      </w:r>
    </w:p>
    <w:p w14:paraId="088986BC" w14:textId="77777777" w:rsidR="00B868B9" w:rsidRPr="00326FF4" w:rsidRDefault="00B868B9" w:rsidP="00B868B9">
      <w:r w:rsidRPr="005C383F">
        <w:lastRenderedPageBreak/>
        <w:t>Paxlovid</w:t>
      </w:r>
      <w:r w:rsidRPr="000B7D0A">
        <w:t xml:space="preserve"> (nirmatrelvir/ritonavir)</w:t>
      </w:r>
      <w:r w:rsidRPr="005C383F">
        <w:t xml:space="preserve"> is supplied in a carton of 30 tablets in five PA/Al/PVC/Al blister cards marked as “Morning Dose” and “Evening Dose” for tablets to be taken each morning and each evening. It should be stored below 25 C. The tablets can be taken with or without food.</w:t>
      </w:r>
    </w:p>
    <w:p w14:paraId="1F02A035" w14:textId="77777777" w:rsidR="00B868B9" w:rsidRDefault="00B868B9" w:rsidP="00B868B9">
      <w:r w:rsidRPr="000B7D0A">
        <w:t xml:space="preserve">Please review </w:t>
      </w:r>
      <w:r w:rsidRPr="00326FF4">
        <w:t>the</w:t>
      </w:r>
      <w:r w:rsidRPr="000B7D0A">
        <w:t xml:space="preserve"> </w:t>
      </w:r>
      <w:hyperlink r:id="rId18" w:tgtFrame="_blank" w:history="1">
        <w:r w:rsidRPr="00AB2B03">
          <w:rPr>
            <w:rStyle w:val="Hyperlink"/>
          </w:rPr>
          <w:t>PBS nirmatrelvir/ritonavir (Paxlovid) product information</w:t>
        </w:r>
      </w:hyperlink>
      <w:r w:rsidRPr="000B7D0A">
        <w:t xml:space="preserve"> and discuss with the resident’s treating clinician to ensure that this medication is administered safely.</w:t>
      </w:r>
    </w:p>
    <w:p w14:paraId="42C8D6CA" w14:textId="77777777" w:rsidR="00B868B9" w:rsidRPr="00B868B9" w:rsidRDefault="00B868B9" w:rsidP="00AB2B03">
      <w:pPr>
        <w:pStyle w:val="Heading2"/>
      </w:pPr>
      <w:r w:rsidRPr="00B868B9">
        <w:t>Adverse events</w:t>
      </w:r>
    </w:p>
    <w:p w14:paraId="2DE4CC70" w14:textId="77777777" w:rsidR="00B868B9" w:rsidRPr="00B868B9" w:rsidRDefault="00B868B9" w:rsidP="00B868B9">
      <w:r w:rsidRPr="00B868B9">
        <w:t>Please ensure that all possible adverse reactions are reported using usual existing mechanisms.</w:t>
      </w:r>
    </w:p>
    <w:p w14:paraId="3D83C259" w14:textId="77777777" w:rsidR="00B868B9" w:rsidRPr="00B868B9" w:rsidRDefault="00B868B9" w:rsidP="00B868B9">
      <w:r w:rsidRPr="00B868B9">
        <w:t>Anyone can report an adverse event.</w:t>
      </w:r>
    </w:p>
    <w:p w14:paraId="02C3AC20" w14:textId="77777777" w:rsidR="00B868B9" w:rsidRPr="00B868B9" w:rsidRDefault="00B868B9" w:rsidP="00B868B9">
      <w:proofErr w:type="gramStart"/>
      <w:r w:rsidRPr="00B868B9">
        <w:t>In order to</w:t>
      </w:r>
      <w:proofErr w:type="gramEnd"/>
      <w:r w:rsidRPr="00B868B9">
        <w:t xml:space="preserve"> report an event online you will need the following information:</w:t>
      </w:r>
    </w:p>
    <w:p w14:paraId="27AEE84C" w14:textId="77777777" w:rsidR="00B868B9" w:rsidRPr="00B868B9" w:rsidRDefault="00B868B9" w:rsidP="00AB2B03">
      <w:pPr>
        <w:pStyle w:val="ListParagraph"/>
        <w:numPr>
          <w:ilvl w:val="0"/>
          <w:numId w:val="22"/>
        </w:numPr>
      </w:pPr>
      <w:r w:rsidRPr="00B868B9">
        <w:t>reporter details</w:t>
      </w:r>
    </w:p>
    <w:p w14:paraId="7C126694" w14:textId="77777777" w:rsidR="00B868B9" w:rsidRPr="00B868B9" w:rsidRDefault="00B868B9" w:rsidP="00AB2B03">
      <w:pPr>
        <w:pStyle w:val="ListParagraph"/>
        <w:numPr>
          <w:ilvl w:val="0"/>
          <w:numId w:val="22"/>
        </w:numPr>
      </w:pPr>
      <w:r w:rsidRPr="00B868B9">
        <w:t>resident details</w:t>
      </w:r>
    </w:p>
    <w:p w14:paraId="68F62ABB" w14:textId="77777777" w:rsidR="00B868B9" w:rsidRPr="00B868B9" w:rsidRDefault="00B868B9" w:rsidP="00AB2B03">
      <w:pPr>
        <w:pStyle w:val="ListParagraph"/>
        <w:numPr>
          <w:ilvl w:val="0"/>
          <w:numId w:val="22"/>
        </w:numPr>
      </w:pPr>
      <w:r w:rsidRPr="00B868B9">
        <w:t>medicine details</w:t>
      </w:r>
    </w:p>
    <w:p w14:paraId="46D24896" w14:textId="77777777" w:rsidR="00B868B9" w:rsidRPr="00B868B9" w:rsidRDefault="00B868B9" w:rsidP="00AB2B03">
      <w:pPr>
        <w:pStyle w:val="ListParagraph"/>
        <w:numPr>
          <w:ilvl w:val="0"/>
          <w:numId w:val="22"/>
        </w:numPr>
      </w:pPr>
      <w:r w:rsidRPr="00B868B9">
        <w:t>reaction details.</w:t>
      </w:r>
    </w:p>
    <w:p w14:paraId="0C37779D" w14:textId="77777777" w:rsidR="00422631" w:rsidRPr="001C4667" w:rsidRDefault="00B868B9" w:rsidP="001C4667">
      <w:r w:rsidRPr="00B868B9">
        <w:t xml:space="preserve">See the </w:t>
      </w:r>
      <w:hyperlink r:id="rId19" w:tgtFrame="_blank" w:history="1">
        <w:r w:rsidRPr="00B868B9">
          <w:rPr>
            <w:rStyle w:val="Hyperlink"/>
          </w:rPr>
          <w:t>TGA Adverse Event Management System privacy statement</w:t>
        </w:r>
      </w:hyperlink>
      <w:r w:rsidRPr="00B868B9">
        <w:t>.</w:t>
      </w:r>
      <w:bookmarkEnd w:id="0"/>
    </w:p>
    <w:sectPr w:rsidR="00422631" w:rsidRPr="001C4667" w:rsidSect="009346B6">
      <w:headerReference w:type="first" r:id="rId20"/>
      <w:pgSz w:w="11906" w:h="16838"/>
      <w:pgMar w:top="1440"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30CFA2" w14:textId="77777777" w:rsidR="00970FE2" w:rsidRDefault="00970FE2" w:rsidP="0076491B">
      <w:pPr>
        <w:spacing w:before="0" w:after="0" w:line="240" w:lineRule="auto"/>
      </w:pPr>
      <w:r>
        <w:separator/>
      </w:r>
    </w:p>
  </w:endnote>
  <w:endnote w:type="continuationSeparator" w:id="0">
    <w:p w14:paraId="2174DD5A" w14:textId="77777777" w:rsidR="00970FE2" w:rsidRDefault="00970FE2" w:rsidP="0076491B">
      <w:pPr>
        <w:spacing w:before="0" w:after="0" w:line="240" w:lineRule="auto"/>
      </w:pPr>
      <w:r>
        <w:continuationSeparator/>
      </w:r>
    </w:p>
  </w:endnote>
  <w:endnote w:type="continuationNotice" w:id="1">
    <w:p w14:paraId="45F79AC7" w14:textId="77777777" w:rsidR="00970FE2" w:rsidRDefault="00970FE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B6E132" w14:textId="77777777" w:rsidR="00970FE2" w:rsidRDefault="00970FE2" w:rsidP="0076491B">
      <w:pPr>
        <w:spacing w:before="0" w:after="0" w:line="240" w:lineRule="auto"/>
      </w:pPr>
      <w:r>
        <w:separator/>
      </w:r>
    </w:p>
  </w:footnote>
  <w:footnote w:type="continuationSeparator" w:id="0">
    <w:p w14:paraId="62AE2D27" w14:textId="77777777" w:rsidR="00970FE2" w:rsidRDefault="00970FE2" w:rsidP="0076491B">
      <w:pPr>
        <w:spacing w:before="0" w:after="0" w:line="240" w:lineRule="auto"/>
      </w:pPr>
      <w:r>
        <w:continuationSeparator/>
      </w:r>
    </w:p>
  </w:footnote>
  <w:footnote w:type="continuationNotice" w:id="1">
    <w:p w14:paraId="5DD92AE7" w14:textId="77777777" w:rsidR="00970FE2" w:rsidRDefault="00970FE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6EAF6" w14:textId="77777777" w:rsidR="0076491B" w:rsidRDefault="00087B36">
    <w:pPr>
      <w:pStyle w:val="Header"/>
    </w:pPr>
    <w:r>
      <w:rPr>
        <w:noProof/>
      </w:rPr>
      <w:drawing>
        <wp:anchor distT="0" distB="0" distL="114300" distR="114300" simplePos="0" relativeHeight="251658240" behindDoc="1" locked="0" layoutInCell="1" allowOverlap="1" wp14:anchorId="3AB4D75C" wp14:editId="0881FBB4">
          <wp:simplePos x="0" y="0"/>
          <wp:positionH relativeFrom="page">
            <wp:align>right</wp:align>
          </wp:positionH>
          <wp:positionV relativeFrom="paragraph">
            <wp:posOffset>-1394460</wp:posOffset>
          </wp:positionV>
          <wp:extent cx="7553325" cy="4391025"/>
          <wp:effectExtent l="0" t="0" r="9525" b="9525"/>
          <wp:wrapTight wrapText="bothSides">
            <wp:wrapPolygon edited="0">
              <wp:start x="0" y="0"/>
              <wp:lineTo x="0" y="21553"/>
              <wp:lineTo x="21573" y="21553"/>
              <wp:lineTo x="21573" y="0"/>
              <wp:lineTo x="0"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3325" cy="43910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680D6BC8" wp14:editId="656789BE">
          <wp:simplePos x="0" y="0"/>
          <wp:positionH relativeFrom="page">
            <wp:align>left</wp:align>
          </wp:positionH>
          <wp:positionV relativeFrom="paragraph">
            <wp:posOffset>-1403985</wp:posOffset>
          </wp:positionV>
          <wp:extent cx="7543800" cy="1576705"/>
          <wp:effectExtent l="0" t="0" r="0" b="4445"/>
          <wp:wrapTight wrapText="bothSides">
            <wp:wrapPolygon edited="0">
              <wp:start x="0" y="0"/>
              <wp:lineTo x="0" y="11222"/>
              <wp:lineTo x="21000" y="12527"/>
              <wp:lineTo x="21273" y="16702"/>
              <wp:lineTo x="21436" y="21400"/>
              <wp:lineTo x="21545" y="21400"/>
              <wp:lineTo x="21545" y="0"/>
              <wp:lineTo x="0" y="0"/>
            </wp:wrapPolygon>
          </wp:wrapTight>
          <wp:docPr id="2" name="Picture 2" descr="A black and purpl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and purple background"/>
                  <pic:cNvPicPr/>
                </pic:nvPicPr>
                <pic:blipFill>
                  <a:blip r:embed="rId2">
                    <a:extLst>
                      <a:ext uri="{28A0092B-C50C-407E-A947-70E740481C1C}">
                        <a14:useLocalDpi xmlns:a14="http://schemas.microsoft.com/office/drawing/2010/main" val="0"/>
                      </a:ext>
                    </a:extLst>
                  </a:blip>
                  <a:stretch>
                    <a:fillRect/>
                  </a:stretch>
                </pic:blipFill>
                <pic:spPr>
                  <a:xfrm>
                    <a:off x="0" y="0"/>
                    <a:ext cx="7577124" cy="1583889"/>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qTkj7xce" int2:invalidationBookmarkName="" int2:hashCode="zi/3vGcPwrceO7" int2:id="L7zFDuC2">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D0C9B"/>
    <w:multiLevelType w:val="hybridMultilevel"/>
    <w:tmpl w:val="CB484122"/>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363506"/>
    <w:multiLevelType w:val="hybridMultilevel"/>
    <w:tmpl w:val="9FEA7CEA"/>
    <w:lvl w:ilvl="0" w:tplc="B722292C">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9A6CFC"/>
    <w:multiLevelType w:val="hybridMultilevel"/>
    <w:tmpl w:val="F04C3AF0"/>
    <w:lvl w:ilvl="0" w:tplc="5770D766">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6" w15:restartNumberingAfterBreak="0">
    <w:nsid w:val="316478CD"/>
    <w:multiLevelType w:val="hybridMultilevel"/>
    <w:tmpl w:val="0276DAE8"/>
    <w:lvl w:ilvl="0" w:tplc="D11EFA4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B061057"/>
    <w:multiLevelType w:val="hybridMultilevel"/>
    <w:tmpl w:val="F9F266F8"/>
    <w:lvl w:ilvl="0" w:tplc="52A619C4">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EBA1844"/>
    <w:multiLevelType w:val="hybridMultilevel"/>
    <w:tmpl w:val="3CC48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882E49"/>
    <w:multiLevelType w:val="hybridMultilevel"/>
    <w:tmpl w:val="00FC372E"/>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482A2C4D"/>
    <w:multiLevelType w:val="hybridMultilevel"/>
    <w:tmpl w:val="9F4255D2"/>
    <w:lvl w:ilvl="0" w:tplc="0C090001">
      <w:start w:val="1"/>
      <w:numFmt w:val="bullet"/>
      <w:lvlText w:val=""/>
      <w:lvlJc w:val="left"/>
      <w:pPr>
        <w:ind w:left="1582" w:hanging="360"/>
      </w:pPr>
      <w:rPr>
        <w:rFonts w:ascii="Symbol" w:hAnsi="Symbol"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12" w15:restartNumberingAfterBreak="0">
    <w:nsid w:val="491D2983"/>
    <w:multiLevelType w:val="hybridMultilevel"/>
    <w:tmpl w:val="54605FE8"/>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F1D57B8"/>
    <w:multiLevelType w:val="hybridMultilevel"/>
    <w:tmpl w:val="CB54CEB0"/>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5A15A1"/>
    <w:multiLevelType w:val="hybridMultilevel"/>
    <w:tmpl w:val="D026C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8F509F4"/>
    <w:multiLevelType w:val="hybridMultilevel"/>
    <w:tmpl w:val="4BC65EB6"/>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59B95FCA"/>
    <w:multiLevelType w:val="hybridMultilevel"/>
    <w:tmpl w:val="140C4EAC"/>
    <w:lvl w:ilvl="0" w:tplc="C698354E">
      <w:numFmt w:val="bullet"/>
      <w:lvlText w:val="○"/>
      <w:lvlJc w:val="left"/>
      <w:pPr>
        <w:ind w:left="1582" w:hanging="720"/>
      </w:pPr>
      <w:rPr>
        <w:rFonts w:ascii="Arial" w:eastAsiaTheme="minorHAnsi" w:hAnsi="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7" w15:restartNumberingAfterBreak="0">
    <w:nsid w:val="65C57DFD"/>
    <w:multiLevelType w:val="hybridMultilevel"/>
    <w:tmpl w:val="521E9DF2"/>
    <w:lvl w:ilvl="0" w:tplc="FD900A08">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44157D"/>
    <w:multiLevelType w:val="hybridMultilevel"/>
    <w:tmpl w:val="01709A6E"/>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14631492">
    <w:abstractNumId w:val="20"/>
  </w:num>
  <w:num w:numId="2" w16cid:durableId="1223834388">
    <w:abstractNumId w:val="4"/>
  </w:num>
  <w:num w:numId="3" w16cid:durableId="2009792682">
    <w:abstractNumId w:val="18"/>
  </w:num>
  <w:num w:numId="4" w16cid:durableId="270017409">
    <w:abstractNumId w:val="19"/>
  </w:num>
  <w:num w:numId="5" w16cid:durableId="609119572">
    <w:abstractNumId w:val="9"/>
  </w:num>
  <w:num w:numId="6" w16cid:durableId="724988389">
    <w:abstractNumId w:val="3"/>
  </w:num>
  <w:num w:numId="7" w16cid:durableId="1350838756">
    <w:abstractNumId w:val="15"/>
  </w:num>
  <w:num w:numId="8" w16cid:durableId="2096513164">
    <w:abstractNumId w:val="13"/>
  </w:num>
  <w:num w:numId="9" w16cid:durableId="1968579597">
    <w:abstractNumId w:val="17"/>
  </w:num>
  <w:num w:numId="10" w16cid:durableId="490488067">
    <w:abstractNumId w:val="0"/>
  </w:num>
  <w:num w:numId="11" w16cid:durableId="706489915">
    <w:abstractNumId w:val="21"/>
  </w:num>
  <w:num w:numId="12" w16cid:durableId="923758774">
    <w:abstractNumId w:val="6"/>
  </w:num>
  <w:num w:numId="13" w16cid:durableId="1090546256">
    <w:abstractNumId w:val="12"/>
  </w:num>
  <w:num w:numId="14" w16cid:durableId="1904294047">
    <w:abstractNumId w:val="1"/>
  </w:num>
  <w:num w:numId="15" w16cid:durableId="626738803">
    <w:abstractNumId w:val="8"/>
  </w:num>
  <w:num w:numId="16" w16cid:durableId="153764825">
    <w:abstractNumId w:val="10"/>
  </w:num>
  <w:num w:numId="17" w16cid:durableId="1884440096">
    <w:abstractNumId w:val="16"/>
  </w:num>
  <w:num w:numId="18" w16cid:durableId="1388340513">
    <w:abstractNumId w:val="11"/>
  </w:num>
  <w:num w:numId="19" w16cid:durableId="1537889174">
    <w:abstractNumId w:val="5"/>
  </w:num>
  <w:num w:numId="20" w16cid:durableId="1416198463">
    <w:abstractNumId w:val="7"/>
  </w:num>
  <w:num w:numId="21" w16cid:durableId="1017735302">
    <w:abstractNumId w:val="2"/>
  </w:num>
  <w:num w:numId="22" w16cid:durableId="1147174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243"/>
    <w:rsid w:val="0002516D"/>
    <w:rsid w:val="0004409A"/>
    <w:rsid w:val="0004441F"/>
    <w:rsid w:val="0007019F"/>
    <w:rsid w:val="00073ACC"/>
    <w:rsid w:val="00075860"/>
    <w:rsid w:val="00087B36"/>
    <w:rsid w:val="00092D3D"/>
    <w:rsid w:val="000B04E2"/>
    <w:rsid w:val="000E789B"/>
    <w:rsid w:val="0012525A"/>
    <w:rsid w:val="00137E42"/>
    <w:rsid w:val="001426A2"/>
    <w:rsid w:val="0018537B"/>
    <w:rsid w:val="001C4667"/>
    <w:rsid w:val="001D7F64"/>
    <w:rsid w:val="001F7243"/>
    <w:rsid w:val="00214A2B"/>
    <w:rsid w:val="0022710E"/>
    <w:rsid w:val="0025166E"/>
    <w:rsid w:val="00275BED"/>
    <w:rsid w:val="002A01E6"/>
    <w:rsid w:val="002A13FC"/>
    <w:rsid w:val="002C2D46"/>
    <w:rsid w:val="002C2DCD"/>
    <w:rsid w:val="002E6BF3"/>
    <w:rsid w:val="00346970"/>
    <w:rsid w:val="00360B34"/>
    <w:rsid w:val="003619F4"/>
    <w:rsid w:val="00396785"/>
    <w:rsid w:val="003A0908"/>
    <w:rsid w:val="003A2387"/>
    <w:rsid w:val="003A77ED"/>
    <w:rsid w:val="003D4746"/>
    <w:rsid w:val="003E43BB"/>
    <w:rsid w:val="00417EB0"/>
    <w:rsid w:val="00422631"/>
    <w:rsid w:val="0042284A"/>
    <w:rsid w:val="004308A6"/>
    <w:rsid w:val="00437A47"/>
    <w:rsid w:val="00455474"/>
    <w:rsid w:val="004557A0"/>
    <w:rsid w:val="00472AE9"/>
    <w:rsid w:val="004753EF"/>
    <w:rsid w:val="00483E7A"/>
    <w:rsid w:val="004856CA"/>
    <w:rsid w:val="004958BE"/>
    <w:rsid w:val="004C11EB"/>
    <w:rsid w:val="004D13EA"/>
    <w:rsid w:val="004D7764"/>
    <w:rsid w:val="004F7E50"/>
    <w:rsid w:val="00500757"/>
    <w:rsid w:val="005035B6"/>
    <w:rsid w:val="005416D3"/>
    <w:rsid w:val="005471B2"/>
    <w:rsid w:val="005706A3"/>
    <w:rsid w:val="005E39BD"/>
    <w:rsid w:val="0060065C"/>
    <w:rsid w:val="00633DB4"/>
    <w:rsid w:val="00644503"/>
    <w:rsid w:val="00651488"/>
    <w:rsid w:val="006613FC"/>
    <w:rsid w:val="00677BC9"/>
    <w:rsid w:val="006971F3"/>
    <w:rsid w:val="00697712"/>
    <w:rsid w:val="006B60E3"/>
    <w:rsid w:val="006C07D3"/>
    <w:rsid w:val="00706BD1"/>
    <w:rsid w:val="007118D6"/>
    <w:rsid w:val="00715F76"/>
    <w:rsid w:val="00726939"/>
    <w:rsid w:val="00731196"/>
    <w:rsid w:val="00736B18"/>
    <w:rsid w:val="0076491B"/>
    <w:rsid w:val="00765D23"/>
    <w:rsid w:val="0077305B"/>
    <w:rsid w:val="0077534A"/>
    <w:rsid w:val="007901A6"/>
    <w:rsid w:val="00796808"/>
    <w:rsid w:val="007D4BAB"/>
    <w:rsid w:val="007E444A"/>
    <w:rsid w:val="008005CF"/>
    <w:rsid w:val="008771B3"/>
    <w:rsid w:val="008C534E"/>
    <w:rsid w:val="008F2C3B"/>
    <w:rsid w:val="008F467F"/>
    <w:rsid w:val="00902C48"/>
    <w:rsid w:val="009346B6"/>
    <w:rsid w:val="00970FE2"/>
    <w:rsid w:val="00975540"/>
    <w:rsid w:val="009B2828"/>
    <w:rsid w:val="00A07D71"/>
    <w:rsid w:val="00A1704D"/>
    <w:rsid w:val="00A366F9"/>
    <w:rsid w:val="00A402FF"/>
    <w:rsid w:val="00A77092"/>
    <w:rsid w:val="00A94FD1"/>
    <w:rsid w:val="00A96823"/>
    <w:rsid w:val="00AB2B03"/>
    <w:rsid w:val="00AC04A6"/>
    <w:rsid w:val="00AE1114"/>
    <w:rsid w:val="00AF3EEB"/>
    <w:rsid w:val="00B03A7B"/>
    <w:rsid w:val="00B47551"/>
    <w:rsid w:val="00B4798C"/>
    <w:rsid w:val="00B86616"/>
    <w:rsid w:val="00B868B9"/>
    <w:rsid w:val="00B97C5B"/>
    <w:rsid w:val="00BC2BB7"/>
    <w:rsid w:val="00BC3445"/>
    <w:rsid w:val="00BD1B88"/>
    <w:rsid w:val="00BD577C"/>
    <w:rsid w:val="00BE50FB"/>
    <w:rsid w:val="00BF0448"/>
    <w:rsid w:val="00C074CB"/>
    <w:rsid w:val="00C2319C"/>
    <w:rsid w:val="00C42E5A"/>
    <w:rsid w:val="00C46331"/>
    <w:rsid w:val="00C5584A"/>
    <w:rsid w:val="00C660CB"/>
    <w:rsid w:val="00C7355B"/>
    <w:rsid w:val="00C76B54"/>
    <w:rsid w:val="00C7732F"/>
    <w:rsid w:val="00C9187A"/>
    <w:rsid w:val="00CA0CFC"/>
    <w:rsid w:val="00CA3C55"/>
    <w:rsid w:val="00D4451D"/>
    <w:rsid w:val="00D56890"/>
    <w:rsid w:val="00D6018D"/>
    <w:rsid w:val="00D95166"/>
    <w:rsid w:val="00DB29FD"/>
    <w:rsid w:val="00DC4C18"/>
    <w:rsid w:val="00DC4FA7"/>
    <w:rsid w:val="00DE282B"/>
    <w:rsid w:val="00DF6144"/>
    <w:rsid w:val="00E75573"/>
    <w:rsid w:val="00E7717F"/>
    <w:rsid w:val="00E83896"/>
    <w:rsid w:val="00E8484A"/>
    <w:rsid w:val="00E91CEE"/>
    <w:rsid w:val="00EA1CA7"/>
    <w:rsid w:val="00ED6B63"/>
    <w:rsid w:val="00F11E00"/>
    <w:rsid w:val="00F623A5"/>
    <w:rsid w:val="00F747DB"/>
    <w:rsid w:val="00F76B45"/>
    <w:rsid w:val="00FA1D0F"/>
    <w:rsid w:val="00FB45B1"/>
    <w:rsid w:val="00FE1501"/>
    <w:rsid w:val="0536BD3A"/>
    <w:rsid w:val="28FCC969"/>
    <w:rsid w:val="39AF98CB"/>
    <w:rsid w:val="5C02AB96"/>
    <w:rsid w:val="5D6EE8EC"/>
    <w:rsid w:val="7F650DC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02DC36"/>
  <w15:chartTrackingRefBased/>
  <w15:docId w15:val="{E6AFFB2E-2CE5-4275-8486-9B2436C72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C48"/>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qFormat/>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paragraph" w:styleId="ListBullet">
    <w:name w:val="List Bullet"/>
    <w:basedOn w:val="Normal"/>
    <w:qFormat/>
    <w:rsid w:val="004D7764"/>
    <w:pPr>
      <w:numPr>
        <w:numId w:val="21"/>
      </w:numPr>
      <w:tabs>
        <w:tab w:val="left" w:pos="340"/>
        <w:tab w:val="left" w:pos="680"/>
      </w:tabs>
      <w:spacing w:before="60" w:after="60"/>
    </w:pPr>
    <w:rPr>
      <w:rFonts w:eastAsia="Times New Roman" w:cs="Times New Roman"/>
      <w:color w:val="1E1544" w:themeColor="text1"/>
      <w:sz w:val="22"/>
    </w:rPr>
  </w:style>
  <w:style w:type="character" w:styleId="Strong">
    <w:name w:val="Strong"/>
    <w:basedOn w:val="DefaultParagraphFont"/>
    <w:uiPriority w:val="22"/>
    <w:qFormat/>
    <w:rsid w:val="004D7764"/>
    <w:rPr>
      <w:b/>
      <w:bCs/>
    </w:rPr>
  </w:style>
  <w:style w:type="table" w:customStyle="1" w:styleId="TableGrid1">
    <w:name w:val="Table Grid1"/>
    <w:basedOn w:val="TableNormal"/>
    <w:next w:val="TableGrid"/>
    <w:uiPriority w:val="39"/>
    <w:rsid w:val="004D7764"/>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4"/>
      </w:rPr>
      <w:tblPr/>
      <w:tcPr>
        <w:shd w:val="clear" w:color="auto" w:fill="DBDBDB"/>
      </w:tcPr>
    </w:tblStylePr>
  </w:style>
  <w:style w:type="paragraph" w:styleId="Revision">
    <w:name w:val="Revision"/>
    <w:hidden/>
    <w:uiPriority w:val="99"/>
    <w:semiHidden/>
    <w:rsid w:val="004D7764"/>
    <w:rPr>
      <w:rFonts w:ascii="Arial" w:hAnsi="Arial"/>
    </w:rPr>
  </w:style>
  <w:style w:type="character" w:styleId="CommentReference">
    <w:name w:val="annotation reference"/>
    <w:basedOn w:val="DefaultParagraphFont"/>
    <w:uiPriority w:val="99"/>
    <w:semiHidden/>
    <w:unhideWhenUsed/>
    <w:rsid w:val="0007019F"/>
    <w:rPr>
      <w:sz w:val="16"/>
      <w:szCs w:val="16"/>
    </w:rPr>
  </w:style>
  <w:style w:type="paragraph" w:styleId="CommentText">
    <w:name w:val="annotation text"/>
    <w:basedOn w:val="Normal"/>
    <w:link w:val="CommentTextChar"/>
    <w:uiPriority w:val="99"/>
    <w:unhideWhenUsed/>
    <w:rsid w:val="0007019F"/>
    <w:pPr>
      <w:spacing w:line="240" w:lineRule="auto"/>
    </w:pPr>
    <w:rPr>
      <w:sz w:val="20"/>
      <w:szCs w:val="20"/>
    </w:rPr>
  </w:style>
  <w:style w:type="character" w:customStyle="1" w:styleId="CommentTextChar">
    <w:name w:val="Comment Text Char"/>
    <w:basedOn w:val="DefaultParagraphFont"/>
    <w:link w:val="CommentText"/>
    <w:uiPriority w:val="99"/>
    <w:rsid w:val="0007019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7019F"/>
    <w:rPr>
      <w:b/>
      <w:bCs/>
    </w:rPr>
  </w:style>
  <w:style w:type="character" w:customStyle="1" w:styleId="CommentSubjectChar">
    <w:name w:val="Comment Subject Char"/>
    <w:basedOn w:val="CommentTextChar"/>
    <w:link w:val="CommentSubject"/>
    <w:uiPriority w:val="99"/>
    <w:semiHidden/>
    <w:rsid w:val="0007019F"/>
    <w:rPr>
      <w:rFonts w:ascii="Arial" w:hAnsi="Arial"/>
      <w:b/>
      <w:bCs/>
      <w:sz w:val="20"/>
      <w:szCs w:val="20"/>
    </w:rPr>
  </w:style>
  <w:style w:type="character" w:styleId="FollowedHyperlink">
    <w:name w:val="FollowedHyperlink"/>
    <w:basedOn w:val="DefaultParagraphFont"/>
    <w:uiPriority w:val="99"/>
    <w:semiHidden/>
    <w:unhideWhenUsed/>
    <w:rsid w:val="001F7243"/>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688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bs.gov.au/publication/factsheets/covid-19-treatments/PBS-Factsheet-paxlovid-nirmatrelvir-and-ritonavir-June-2024.pdf" TargetMode="External"/><Relationship Id="rId18" Type="http://schemas.openxmlformats.org/officeDocument/2006/relationships/hyperlink" Target="https://www.pbs.gov.au/info/news/2022/04/paxlovid-nirmatrelvir-and-ritonavir-pbs-listin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covid19evidence.net.au/wp-content/uploads/FLOWCHART-12-DMT-FOR-ADULTS.pdf?=220208-13111" TargetMode="External"/><Relationship Id="rId17" Type="http://schemas.openxmlformats.org/officeDocument/2006/relationships/hyperlink" Target="https://www.pbs.gov.au/publication/factsheets/covid-19-treatments/PBS-Factsheet-paxlovid-nirmatrelvir-and-ritonavir-June-2024.pdf" TargetMode="External"/><Relationship Id="rId2" Type="http://schemas.openxmlformats.org/officeDocument/2006/relationships/customXml" Target="../customXml/item2.xml"/><Relationship Id="rId16" Type="http://schemas.openxmlformats.org/officeDocument/2006/relationships/hyperlink" Target="https://www.pbs.gov.au/browse/publication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pp.magicapp.org/" TargetMode="External"/><Relationship Id="rId5" Type="http://schemas.openxmlformats.org/officeDocument/2006/relationships/numbering" Target="numbering.xml"/><Relationship Id="rId15" Type="http://schemas.openxmlformats.org/officeDocument/2006/relationships/hyperlink" Target="https://www.ebs.tga.gov.au/ebs/picmi/picmirepository.nsf/pdf?OpenAgent&amp;id=CP-2022-PI-01049-1&amp;d=20220404172310101" TargetMode="Externa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https://aems.tga.gov.au/priva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ga.gov.au/sites/default/files/paxlovid-pi.pd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risa\AppData\Local\Microsoft\Windows\INetCache\Content.Outlook\23XA35JB\New%20template%20-%20Use%20of%20Paxlovid%20in%20residential%20aged%20care%20-%20Factsheet-%20comms%20edits.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ce55e6e-06dd-4e73-9374-e006fe8d8563" xsi:nil="true"/>
    <SharedWithUsers xmlns="1ce55e6e-06dd-4e73-9374-e006fe8d8563">
      <UserInfo>
        <DisplayName/>
        <AccountId xsi:nil="true"/>
        <AccountType/>
      </UserInfo>
    </SharedWithUsers>
    <lcf76f155ced4ddcb4097134ff3c332f xmlns="8d7b5d65-6a7b-4d29-8058-532dd865f99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D898DC2E225DB4FA7B52A411BC4AA76" ma:contentTypeVersion="11" ma:contentTypeDescription="Create a new document." ma:contentTypeScope="" ma:versionID="8b83218598e2d556a961d8465624d987">
  <xsd:schema xmlns:xsd="http://www.w3.org/2001/XMLSchema" xmlns:xs="http://www.w3.org/2001/XMLSchema" xmlns:p="http://schemas.microsoft.com/office/2006/metadata/properties" xmlns:ns2="8d7b5d65-6a7b-4d29-8058-532dd865f997" xmlns:ns3="1ce55e6e-06dd-4e73-9374-e006fe8d8563" targetNamespace="http://schemas.microsoft.com/office/2006/metadata/properties" ma:root="true" ma:fieldsID="47164b785d6e4eed1aec88d6128989e0" ns2:_="" ns3:_="">
    <xsd:import namespace="8d7b5d65-6a7b-4d29-8058-532dd865f997"/>
    <xsd:import namespace="1ce55e6e-06dd-4e73-9374-e006fe8d856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7b5d65-6a7b-4d29-8058-532dd865f9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e55e6e-06dd-4e73-9374-e006fe8d856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8a8c565-641c-498c-ab48-acb82e98b389}" ma:internalName="TaxCatchAll" ma:showField="CatchAllData" ma:web="1ce55e6e-06dd-4e73-9374-e006fe8d8563">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1ce55e6e-06dd-4e73-9374-e006fe8d8563"/>
    <ds:schemaRef ds:uri="8d7b5d65-6a7b-4d29-8058-532dd865f997"/>
  </ds:schemaRefs>
</ds:datastoreItem>
</file>

<file path=customXml/itemProps2.xml><?xml version="1.0" encoding="utf-8"?>
<ds:datastoreItem xmlns:ds="http://schemas.openxmlformats.org/officeDocument/2006/customXml" ds:itemID="{ADD3F438-FDBB-4183-B9E1-4D08663B30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7b5d65-6a7b-4d29-8058-532dd865f997"/>
    <ds:schemaRef ds:uri="1ce55e6e-06dd-4e73-9374-e006fe8d85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4.xml><?xml version="1.0" encoding="utf-8"?>
<ds:datastoreItem xmlns:ds="http://schemas.openxmlformats.org/officeDocument/2006/customXml" ds:itemID="{12482C8F-E0B2-481F-A178-9FE4AA0C5F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New template - Use of Paxlovid in residential aged care - Factsheet- comms edits.dotx</Template>
  <TotalTime>1</TotalTime>
  <Pages>8</Pages>
  <Words>1823</Words>
  <Characters>11945</Characters>
  <Application>Microsoft Office Word</Application>
  <DocSecurity>0</DocSecurity>
  <Lines>259</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 of Paxlovid (nirmatrelvir/ ritonavir) in residential aged care</dc:title>
  <dc:subject>Aged Care</dc:subject>
  <dc:creator>Australian Government, Department of Health and Aged Care</dc:creator>
  <cp:keywords>Aged Care, Senior Australians</cp:keywords>
  <dc:description/>
  <cp:lastModifiedBy>MASCHKE, Elvia</cp:lastModifiedBy>
  <cp:revision>3</cp:revision>
  <dcterms:created xsi:type="dcterms:W3CDTF">2024-10-28T23:41:00Z</dcterms:created>
  <dcterms:modified xsi:type="dcterms:W3CDTF">2024-10-28T23:42:00Z</dcterms:modified>
</cp:coreProperties>
</file>