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2F0BB" w14:textId="7F24D63F" w:rsidR="00865A27" w:rsidRPr="005C724E" w:rsidRDefault="00D01D5C" w:rsidP="52B4B880">
      <w:pPr>
        <w:pStyle w:val="Covertitle"/>
        <w:rPr>
          <w:rFonts w:cs="Segoe UI"/>
          <w:b/>
          <w:bCs/>
          <w:color w:val="00264D"/>
          <w:sz w:val="64"/>
          <w:szCs w:val="64"/>
        </w:rPr>
      </w:pPr>
      <w:r>
        <w:rPr>
          <w:noProof/>
        </w:rPr>
        <w:drawing>
          <wp:anchor distT="0" distB="0" distL="114300" distR="114300" simplePos="0" relativeHeight="251658252" behindDoc="1" locked="0" layoutInCell="1" allowOverlap="1" wp14:anchorId="48301D92" wp14:editId="551E51F3">
            <wp:simplePos x="0" y="0"/>
            <wp:positionH relativeFrom="page">
              <wp:posOffset>-23854</wp:posOffset>
            </wp:positionH>
            <wp:positionV relativeFrom="page">
              <wp:posOffset>-7951</wp:posOffset>
            </wp:positionV>
            <wp:extent cx="7598797" cy="10692387"/>
            <wp:effectExtent l="0" t="0" r="2540" b="0"/>
            <wp:wrapNone/>
            <wp:docPr id="503" name="Picture 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624216" cy="10728155"/>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bCs/>
            <w:color w:val="FFFFFF" w:themeColor="background1"/>
            <w:sz w:val="64"/>
            <w:szCs w:val="64"/>
          </w:rPr>
          <w:id w:val="803730555"/>
          <w:docPartObj>
            <w:docPartGallery w:val="Cover Pages"/>
            <w:docPartUnique/>
          </w:docPartObj>
        </w:sdtPr>
        <w:sdtEndPr>
          <w:rPr>
            <w:color w:val="00264D"/>
            <w:sz w:val="36"/>
            <w:szCs w:val="36"/>
          </w:rPr>
        </w:sdtEndPr>
        <w:sdtContent>
          <w:sdt>
            <w:sdtPr>
              <w:rPr>
                <w:rFonts w:cs="Segoe UI"/>
                <w:b/>
                <w:bCs/>
                <w:color w:val="FFFFFF" w:themeColor="background1"/>
                <w:sz w:val="64"/>
                <w:szCs w:val="64"/>
              </w:rPr>
              <w:alias w:val="Title"/>
              <w:tag w:val=""/>
              <w:id w:val="-1850469689"/>
              <w:dataBinding w:prefixMappings="xmlns:ns0='http://purl.org/dc/elements/1.1/' xmlns:ns1='http://schemas.openxmlformats.org/package/2006/metadata/core-properties' " w:xpath="/ns1:coreProperties[1]/ns0:title[1]" w:storeItemID="{6C3C8BC8-F283-45AE-878A-BAB7291924A1}"/>
              <w:text/>
            </w:sdtPr>
            <w:sdtContent>
              <w:r w:rsidR="00E57D32" w:rsidRPr="52B4B880">
                <w:rPr>
                  <w:rFonts w:cs="Segoe UI"/>
                  <w:b/>
                  <w:bCs/>
                  <w:color w:val="FFFFFF" w:themeColor="background1"/>
                  <w:sz w:val="64"/>
                  <w:szCs w:val="64"/>
                </w:rPr>
                <w:t>Baseline Evaluation of the Prostheses List Reforms</w:t>
              </w:r>
            </w:sdtContent>
          </w:sdt>
        </w:sdtContent>
      </w:sdt>
    </w:p>
    <w:p w14:paraId="7D6A22CD" w14:textId="173282D0" w:rsidR="00865A27" w:rsidRPr="00F75386" w:rsidRDefault="00000000">
      <w:pPr>
        <w:pStyle w:val="CoverPage-Client"/>
        <w:spacing w:before="360"/>
        <w:rPr>
          <w:rFonts w:cs="Segoe UI"/>
          <w:color w:val="F8981D" w:themeColor="accent3"/>
        </w:rPr>
      </w:pPr>
      <w:sdt>
        <w:sdtPr>
          <w:rPr>
            <w:rStyle w:val="CoverPage-ClientChar"/>
            <w:rFonts w:cs="Segoe UI"/>
            <w:color w:val="F8981D" w:themeColor="accent3"/>
          </w:rPr>
          <w:alias w:val="Subject"/>
          <w:tag w:val=""/>
          <w:id w:val="-1755584571"/>
          <w:dataBinding w:prefixMappings="xmlns:ns0='http://purl.org/dc/elements/1.1/' xmlns:ns1='http://schemas.openxmlformats.org/package/2006/metadata/core-properties' " w:xpath="/ns1:coreProperties[1]/ns0:subject[1]" w:storeItemID="{6C3C8BC8-F283-45AE-878A-BAB7291924A1}"/>
          <w:text/>
        </w:sdtPr>
        <w:sdtContent>
          <w:r w:rsidR="00956532">
            <w:rPr>
              <w:rStyle w:val="CoverPage-ClientChar"/>
              <w:rFonts w:cs="Segoe UI"/>
              <w:color w:val="F8981D" w:themeColor="accent3"/>
            </w:rPr>
            <w:t>Department of Health and Aged Care</w:t>
          </w:r>
        </w:sdtContent>
      </w:sdt>
    </w:p>
    <w:p w14:paraId="6BC60FD3" w14:textId="60D09D33" w:rsidR="00865A27" w:rsidRPr="00CB74D5" w:rsidRDefault="00000000">
      <w:pPr>
        <w:pStyle w:val="CoverPage-Date"/>
        <w:spacing w:before="240"/>
      </w:pPr>
      <w:sdt>
        <w:sdtPr>
          <w:rPr>
            <w:rStyle w:val="CoverPage-DateChar"/>
            <w:rFonts w:cs="Segoe UI"/>
            <w:color w:val="FFFFFF" w:themeColor="background1"/>
            <w:sz w:val="20"/>
            <w:szCs w:val="20"/>
          </w:rPr>
          <w:alias w:val="Publish Date"/>
          <w:tag w:val=""/>
          <w:id w:val="-443608997"/>
          <w:dataBinding w:prefixMappings="xmlns:ns0='http://schemas.microsoft.com/office/2006/coverPageProps' " w:xpath="/ns0:CoverPageProperties[1]/ns0:PublishDate[1]" w:storeItemID="{55AF091B-3C7A-41E3-B477-F2FDAA23CFDA}"/>
          <w:date w:fullDate="2024-04-29T00:00:00Z">
            <w:dateFormat w:val="d MMMM yyyy"/>
            <w:lid w:val="en-AU"/>
            <w:storeMappedDataAs w:val="dateTime"/>
            <w:calendar w:val="gregorian"/>
          </w:date>
        </w:sdtPr>
        <w:sdtEndPr>
          <w:rPr>
            <w:rStyle w:val="DefaultParagraphFont"/>
            <w:rFonts w:cs="Times New Roman"/>
            <w:sz w:val="24"/>
            <w:szCs w:val="19"/>
          </w:rPr>
        </w:sdtEndPr>
        <w:sdtContent>
          <w:r w:rsidR="00D7119F">
            <w:rPr>
              <w:rStyle w:val="CoverPage-DateChar"/>
              <w:rFonts w:cs="Segoe UI"/>
              <w:color w:val="FFFFFF" w:themeColor="background1"/>
              <w:sz w:val="20"/>
              <w:szCs w:val="20"/>
            </w:rPr>
            <w:t>29 April 2024</w:t>
          </w:r>
        </w:sdtContent>
      </w:sdt>
    </w:p>
    <w:p w14:paraId="285A0D83" w14:textId="3780C1ED" w:rsidR="00865A27" w:rsidRDefault="00865A27" w:rsidP="004A073F">
      <w:pPr>
        <w:sectPr w:rsidR="00865A27" w:rsidSect="00BA60DA">
          <w:headerReference w:type="default" r:id="rId13"/>
          <w:footerReference w:type="default" r:id="rId14"/>
          <w:headerReference w:type="first" r:id="rId15"/>
          <w:footerReference w:type="first" r:id="rId16"/>
          <w:pgSz w:w="11907" w:h="16839" w:code="9"/>
          <w:pgMar w:top="5670" w:right="1418" w:bottom="1701" w:left="1559" w:header="737" w:footer="567" w:gutter="0"/>
          <w:pgNumType w:start="0"/>
          <w:cols w:space="720"/>
          <w:titlePg/>
          <w:docGrid w:linePitch="360"/>
        </w:sectPr>
      </w:pPr>
    </w:p>
    <w:p w14:paraId="21C517CF" w14:textId="0DD6C4F5" w:rsidR="00C76C1E" w:rsidRDefault="00C76C1E" w:rsidP="00FB048B">
      <w:pPr>
        <w:pStyle w:val="NoSpacing"/>
      </w:pPr>
      <w:r>
        <w:rPr>
          <w:rFonts w:cs="Segoe UI Semibold"/>
          <w:i/>
          <w:noProof/>
          <w:sz w:val="16"/>
          <w:szCs w:val="16"/>
        </w:rPr>
        <w:lastRenderedPageBreak/>
        <w:drawing>
          <wp:anchor distT="0" distB="0" distL="114300" distR="114300" simplePos="0" relativeHeight="251658250" behindDoc="1" locked="0" layoutInCell="1" allowOverlap="1" wp14:anchorId="0CDA8A97" wp14:editId="073ABB89">
            <wp:simplePos x="0" y="0"/>
            <wp:positionH relativeFrom="page">
              <wp:align>center</wp:align>
            </wp:positionH>
            <wp:positionV relativeFrom="page">
              <wp:posOffset>112395</wp:posOffset>
            </wp:positionV>
            <wp:extent cx="7559907" cy="9608399"/>
            <wp:effectExtent l="0" t="0" r="3175" b="0"/>
            <wp:wrapNone/>
            <wp:docPr id="806" name="Picture 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59907" cy="9608399"/>
                    </a:xfrm>
                    <a:prstGeom prst="rect">
                      <a:avLst/>
                    </a:prstGeom>
                  </pic:spPr>
                </pic:pic>
              </a:graphicData>
            </a:graphic>
            <wp14:sizeRelH relativeFrom="margin">
              <wp14:pctWidth>0</wp14:pctWidth>
            </wp14:sizeRelH>
            <wp14:sizeRelV relativeFrom="margin">
              <wp14:pctHeight>0</wp14:pctHeight>
            </wp14:sizeRelV>
          </wp:anchor>
        </w:drawing>
      </w:r>
      <w:r w:rsidRPr="3787E91E">
        <w:rPr>
          <w:b/>
        </w:rPr>
        <w:t>Nous Group</w:t>
      </w:r>
      <w:r w:rsidRPr="3787E91E">
        <w:t xml:space="preserve"> acknowledges Aboriginal and Torres Strait Islander peoples as the First Australians and the Traditional Custodians of country throughout Australia. We pay our respect to Elders past, present and emerging, who maintain their culture, country and spiritual connection to the land, </w:t>
      </w:r>
      <w:proofErr w:type="gramStart"/>
      <w:r w:rsidRPr="3787E91E">
        <w:t>sea</w:t>
      </w:r>
      <w:proofErr w:type="gramEnd"/>
      <w:r w:rsidRPr="3787E91E">
        <w:t xml:space="preserve"> and community.</w:t>
      </w:r>
    </w:p>
    <w:p w14:paraId="212F230A" w14:textId="0E61AF24" w:rsidR="00C76C1E" w:rsidRDefault="00C76C1E" w:rsidP="00C76C1E">
      <w:pPr>
        <w:pBdr>
          <w:bottom w:val="single" w:sz="12" w:space="1" w:color="auto"/>
        </w:pBdr>
        <w:spacing w:before="480"/>
        <w:ind w:right="2267"/>
        <w:rPr>
          <w:sz w:val="18"/>
          <w:szCs w:val="18"/>
          <w:lang w:eastAsia="en-AU"/>
        </w:rPr>
      </w:pPr>
      <w:r w:rsidRPr="00E66F00">
        <w:rPr>
          <w:sz w:val="18"/>
          <w:szCs w:val="18"/>
          <w:lang w:eastAsia="en-AU"/>
        </w:rPr>
        <w:t>This artwork was developed by Marcus Lee Design to reflect Nous Group’s Reconciliation Action Plan and our aspirations for respectful and productive engagement with Aboriginal and Torres Strait Islander peoples and communities.</w:t>
      </w:r>
    </w:p>
    <w:p w14:paraId="285FEB02" w14:textId="77777777" w:rsidR="00C76C1E" w:rsidRPr="006C6932" w:rsidRDefault="00C76C1E" w:rsidP="00C76C1E">
      <w:pPr>
        <w:spacing w:before="1680" w:after="240"/>
        <w:ind w:right="-1"/>
        <w:rPr>
          <w:rFonts w:ascii="Segoe UI Semibold" w:hAnsi="Segoe UI Semibold" w:cs="Segoe UI Semibold"/>
          <w:i/>
          <w:sz w:val="16"/>
          <w:szCs w:val="16"/>
        </w:rPr>
      </w:pPr>
      <w:r w:rsidRPr="006C6932">
        <w:rPr>
          <w:rFonts w:ascii="Segoe UI Semibold" w:hAnsi="Segoe UI Semibold" w:cs="Segoe UI Semibold"/>
          <w:i/>
          <w:sz w:val="16"/>
          <w:szCs w:val="16"/>
        </w:rPr>
        <w:t>Disclaimer:</w:t>
      </w:r>
    </w:p>
    <w:p w14:paraId="02C7844C" w14:textId="0D587B42" w:rsidR="00C76C1E" w:rsidRPr="00130FFF" w:rsidRDefault="00C76C1E" w:rsidP="00C76C1E">
      <w:pPr>
        <w:ind w:right="-1"/>
        <w:rPr>
          <w:i/>
          <w:sz w:val="16"/>
          <w:szCs w:val="16"/>
        </w:rPr>
      </w:pPr>
      <w:r w:rsidRPr="00130FFF">
        <w:rPr>
          <w:i/>
          <w:sz w:val="16"/>
          <w:szCs w:val="16"/>
        </w:rPr>
        <w:t>Nous Group (</w:t>
      </w:r>
      <w:r w:rsidRPr="00130FFF">
        <w:rPr>
          <w:b/>
          <w:i/>
          <w:sz w:val="16"/>
          <w:szCs w:val="16"/>
        </w:rPr>
        <w:t>Nous</w:t>
      </w:r>
      <w:r w:rsidRPr="00130FFF">
        <w:rPr>
          <w:i/>
          <w:sz w:val="16"/>
          <w:szCs w:val="16"/>
        </w:rPr>
        <w:t xml:space="preserve">) has prepared this report for the benefit of </w:t>
      </w:r>
      <w:r w:rsidR="004F76D7">
        <w:rPr>
          <w:i/>
          <w:sz w:val="16"/>
          <w:szCs w:val="16"/>
        </w:rPr>
        <w:t>the Department</w:t>
      </w:r>
      <w:r>
        <w:rPr>
          <w:i/>
          <w:sz w:val="16"/>
          <w:szCs w:val="16"/>
        </w:rPr>
        <w:t xml:space="preserve"> of </w:t>
      </w:r>
      <w:r w:rsidR="004F76D7">
        <w:rPr>
          <w:i/>
          <w:sz w:val="16"/>
          <w:szCs w:val="16"/>
        </w:rPr>
        <w:t>Health and Aged Care</w:t>
      </w:r>
      <w:r w:rsidRPr="00130FFF">
        <w:rPr>
          <w:i/>
          <w:sz w:val="16"/>
          <w:szCs w:val="16"/>
        </w:rPr>
        <w:t xml:space="preserve"> (the </w:t>
      </w:r>
      <w:r w:rsidRPr="00130FFF">
        <w:rPr>
          <w:b/>
          <w:i/>
          <w:sz w:val="16"/>
          <w:szCs w:val="16"/>
        </w:rPr>
        <w:t>Client</w:t>
      </w:r>
      <w:r w:rsidRPr="00130FFF">
        <w:rPr>
          <w:i/>
          <w:sz w:val="16"/>
          <w:szCs w:val="16"/>
        </w:rPr>
        <w:t>).</w:t>
      </w:r>
    </w:p>
    <w:p w14:paraId="3B2AFF8C" w14:textId="77777777" w:rsidR="00C76C1E" w:rsidRPr="000970F6" w:rsidRDefault="00C76C1E" w:rsidP="00C76C1E">
      <w:pPr>
        <w:rPr>
          <w:i/>
          <w:sz w:val="16"/>
          <w:szCs w:val="16"/>
        </w:rPr>
      </w:pPr>
      <w:r w:rsidRPr="000970F6">
        <w:rPr>
          <w:i/>
          <w:sz w:val="16"/>
          <w:szCs w:val="16"/>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2F93E4BE" w14:textId="44A508F1" w:rsidR="00FB048B" w:rsidRDefault="00C76C1E" w:rsidP="00C76C1E">
      <w:pPr>
        <w:rPr>
          <w:i/>
          <w:sz w:val="16"/>
          <w:szCs w:val="16"/>
        </w:rPr>
      </w:pPr>
      <w:r w:rsidRPr="000970F6">
        <w:rPr>
          <w:i/>
          <w:sz w:val="16"/>
          <w:szCs w:val="16"/>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p>
    <w:p w14:paraId="7B9A7094" w14:textId="76DC7C0C" w:rsidR="00C76C1E" w:rsidRPr="00FB048B" w:rsidRDefault="00FB048B" w:rsidP="00FB048B">
      <w:r w:rsidRPr="00130FFF">
        <w:rPr>
          <w:noProof/>
          <w:sz w:val="16"/>
          <w:szCs w:val="16"/>
          <w:lang w:eastAsia="en-AU"/>
        </w:rPr>
        <mc:AlternateContent>
          <mc:Choice Requires="wps">
            <w:drawing>
              <wp:inline distT="0" distB="0" distL="0" distR="0" wp14:anchorId="038FC8AE" wp14:editId="3E12797A">
                <wp:extent cx="1720800" cy="313200"/>
                <wp:effectExtent l="0" t="0" r="0" b="0"/>
                <wp:docPr id="805" name="Text Box 805"/>
                <wp:cNvGraphicFramePr/>
                <a:graphic xmlns:a="http://schemas.openxmlformats.org/drawingml/2006/main">
                  <a:graphicData uri="http://schemas.microsoft.com/office/word/2010/wordprocessingShape">
                    <wps:wsp>
                      <wps:cNvSpPr txBox="1"/>
                      <wps:spPr>
                        <a:xfrm>
                          <a:off x="0" y="0"/>
                          <a:ext cx="1720800" cy="31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4EB88" w14:textId="77777777" w:rsidR="00FB048B" w:rsidRPr="00B8014F" w:rsidRDefault="00FB048B" w:rsidP="00FB048B">
                            <w:pPr>
                              <w:rPr>
                                <w:color w:val="808080" w:themeColor="background1" w:themeShade="80"/>
                              </w:rPr>
                            </w:pPr>
                            <w:r w:rsidRPr="00B8014F">
                              <w:rPr>
                                <w:color w:val="808080" w:themeColor="background1" w:themeShade="80"/>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inline>
            </w:drawing>
          </mc:Choice>
          <mc:Fallback>
            <w:pict>
              <v:shapetype w14:anchorId="038FC8AE" id="_x0000_t202" coordsize="21600,21600" o:spt="202" path="m,l,21600r21600,l21600,xe">
                <v:stroke joinstyle="miter"/>
                <v:path gradientshapeok="t" o:connecttype="rect"/>
              </v:shapetype>
              <v:shape id="Text Box 805" o:spid="_x0000_s1026" type="#_x0000_t202" style="width:135.5pt;height:2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" filled="f" stroked="f" strokeweight=".5pt">
                <v:textbox inset="0">
                  <w:txbxContent>
                    <w:p w14:paraId="0A54EB88" w14:textId="77777777" w:rsidR="00FB048B" w:rsidRPr="00B8014F" w:rsidRDefault="00FB048B" w:rsidP="00FB048B">
                      <w:pPr>
                        <w:rPr>
                          <w:color w:val="808080" w:themeColor="background1" w:themeShade="80"/>
                        </w:rPr>
                      </w:pPr>
                      <w:r w:rsidRPr="00B8014F">
                        <w:rPr>
                          <w:color w:val="808080" w:themeColor="background1" w:themeShade="80"/>
                        </w:rPr>
                        <w:t>© Nous Group</w:t>
                      </w:r>
                    </w:p>
                  </w:txbxContent>
                </v:textbox>
                <w10:anchorlock/>
              </v:shape>
            </w:pict>
          </mc:Fallback>
        </mc:AlternateContent>
      </w:r>
      <w:r w:rsidR="00C76C1E">
        <w:rPr>
          <w:i/>
          <w:sz w:val="16"/>
          <w:szCs w:val="16"/>
        </w:rPr>
        <w:br w:type="page"/>
      </w:r>
    </w:p>
    <w:p w14:paraId="5159DC40" w14:textId="101A3215" w:rsidR="00CF7BA0" w:rsidRPr="00760DDA" w:rsidRDefault="00CF7BA0" w:rsidP="00CF7BA0">
      <w:pPr>
        <w:pStyle w:val="ContentsHeading"/>
      </w:pPr>
      <w:r w:rsidRPr="00760DDA">
        <w:lastRenderedPageBreak/>
        <w:t>Contents</w:t>
      </w:r>
    </w:p>
    <w:p w14:paraId="0029BA40" w14:textId="3A5BC9B3" w:rsidR="008A3E68" w:rsidRDefault="00B128D0">
      <w:pPr>
        <w:pStyle w:val="TOC1"/>
        <w:rPr>
          <w:rFonts w:asciiTheme="minorHAnsi" w:eastAsiaTheme="minorEastAsia" w:hAnsiTheme="minorHAnsi"/>
          <w:noProof/>
          <w:kern w:val="2"/>
          <w:sz w:val="24"/>
          <w:szCs w:val="24"/>
          <w:lang w:eastAsia="en-AU"/>
          <w14:ligatures w14:val="standardContextual"/>
        </w:rPr>
      </w:pPr>
      <w:r>
        <w:rPr>
          <w:lang w:eastAsia="en-AU"/>
        </w:rPr>
        <w:fldChar w:fldCharType="begin"/>
      </w:r>
      <w:r>
        <w:rPr>
          <w:lang w:eastAsia="en-AU"/>
        </w:rPr>
        <w:instrText xml:space="preserve"> TOC \o "1-2" \h \z \u </w:instrText>
      </w:r>
      <w:r>
        <w:rPr>
          <w:lang w:eastAsia="en-AU"/>
        </w:rPr>
        <w:fldChar w:fldCharType="separate"/>
      </w:r>
      <w:hyperlink w:anchor="_Toc179453667" w:history="1">
        <w:r w:rsidR="008A3E68" w:rsidRPr="00074AC8">
          <w:rPr>
            <w:rStyle w:val="Hyperlink"/>
            <w:noProof/>
          </w:rPr>
          <w:t>List of Terms and Abbreviations</w:t>
        </w:r>
        <w:r w:rsidR="008A3E68">
          <w:rPr>
            <w:noProof/>
            <w:webHidden/>
          </w:rPr>
          <w:tab/>
        </w:r>
        <w:r w:rsidR="008A3E68">
          <w:rPr>
            <w:noProof/>
            <w:webHidden/>
          </w:rPr>
          <w:fldChar w:fldCharType="begin"/>
        </w:r>
        <w:r w:rsidR="008A3E68">
          <w:rPr>
            <w:noProof/>
            <w:webHidden/>
          </w:rPr>
          <w:instrText xml:space="preserve"> PAGEREF _Toc179453667 \h </w:instrText>
        </w:r>
        <w:r w:rsidR="008A3E68">
          <w:rPr>
            <w:noProof/>
            <w:webHidden/>
          </w:rPr>
        </w:r>
        <w:r w:rsidR="008A3E68">
          <w:rPr>
            <w:noProof/>
            <w:webHidden/>
          </w:rPr>
          <w:fldChar w:fldCharType="separate"/>
        </w:r>
        <w:r w:rsidR="008A3E68">
          <w:rPr>
            <w:noProof/>
            <w:webHidden/>
          </w:rPr>
          <w:t>1</w:t>
        </w:r>
        <w:r w:rsidR="008A3E68">
          <w:rPr>
            <w:noProof/>
            <w:webHidden/>
          </w:rPr>
          <w:fldChar w:fldCharType="end"/>
        </w:r>
      </w:hyperlink>
    </w:p>
    <w:p w14:paraId="5BDACA84" w14:textId="28CE0E95" w:rsidR="008A3E68" w:rsidRDefault="00000000">
      <w:pPr>
        <w:pStyle w:val="TOC1"/>
        <w:rPr>
          <w:rFonts w:asciiTheme="minorHAnsi" w:eastAsiaTheme="minorEastAsia" w:hAnsiTheme="minorHAnsi"/>
          <w:noProof/>
          <w:kern w:val="2"/>
          <w:sz w:val="24"/>
          <w:szCs w:val="24"/>
          <w:lang w:eastAsia="en-AU"/>
          <w14:ligatures w14:val="standardContextual"/>
        </w:rPr>
      </w:pPr>
      <w:hyperlink w:anchor="_Toc179453668" w:history="1">
        <w:r w:rsidR="008A3E68" w:rsidRPr="00074AC8">
          <w:rPr>
            <w:rStyle w:val="Hyperlink"/>
            <w:noProof/>
          </w:rPr>
          <w:t>Executive Summary</w:t>
        </w:r>
        <w:r w:rsidR="008A3E68">
          <w:rPr>
            <w:noProof/>
            <w:webHidden/>
          </w:rPr>
          <w:tab/>
        </w:r>
        <w:r w:rsidR="008A3E68">
          <w:rPr>
            <w:noProof/>
            <w:webHidden/>
          </w:rPr>
          <w:fldChar w:fldCharType="begin"/>
        </w:r>
        <w:r w:rsidR="008A3E68">
          <w:rPr>
            <w:noProof/>
            <w:webHidden/>
          </w:rPr>
          <w:instrText xml:space="preserve"> PAGEREF _Toc179453668 \h </w:instrText>
        </w:r>
        <w:r w:rsidR="008A3E68">
          <w:rPr>
            <w:noProof/>
            <w:webHidden/>
          </w:rPr>
        </w:r>
        <w:r w:rsidR="008A3E68">
          <w:rPr>
            <w:noProof/>
            <w:webHidden/>
          </w:rPr>
          <w:fldChar w:fldCharType="separate"/>
        </w:r>
        <w:r w:rsidR="008A3E68">
          <w:rPr>
            <w:noProof/>
            <w:webHidden/>
          </w:rPr>
          <w:t>2</w:t>
        </w:r>
        <w:r w:rsidR="008A3E68">
          <w:rPr>
            <w:noProof/>
            <w:webHidden/>
          </w:rPr>
          <w:fldChar w:fldCharType="end"/>
        </w:r>
      </w:hyperlink>
    </w:p>
    <w:p w14:paraId="73981CAB" w14:textId="48497390" w:rsidR="008A3E68" w:rsidRDefault="00000000">
      <w:pPr>
        <w:pStyle w:val="TOC1"/>
        <w:rPr>
          <w:rFonts w:asciiTheme="minorHAnsi" w:eastAsiaTheme="minorEastAsia" w:hAnsiTheme="minorHAnsi"/>
          <w:noProof/>
          <w:kern w:val="2"/>
          <w:sz w:val="24"/>
          <w:szCs w:val="24"/>
          <w:lang w:eastAsia="en-AU"/>
          <w14:ligatures w14:val="standardContextual"/>
        </w:rPr>
      </w:pPr>
      <w:hyperlink w:anchor="_Toc179453669" w:history="1">
        <w:r w:rsidR="008A3E68" w:rsidRPr="00074AC8">
          <w:rPr>
            <w:rStyle w:val="Hyperlink"/>
            <w:noProof/>
          </w:rPr>
          <w:t>1</w:t>
        </w:r>
        <w:r w:rsidR="008A3E68">
          <w:rPr>
            <w:rFonts w:asciiTheme="minorHAnsi" w:eastAsiaTheme="minorEastAsia" w:hAnsiTheme="minorHAnsi"/>
            <w:noProof/>
            <w:kern w:val="2"/>
            <w:sz w:val="24"/>
            <w:szCs w:val="24"/>
            <w:lang w:eastAsia="en-AU"/>
            <w14:ligatures w14:val="standardContextual"/>
          </w:rPr>
          <w:tab/>
        </w:r>
        <w:r w:rsidR="008A3E68" w:rsidRPr="00074AC8">
          <w:rPr>
            <w:rStyle w:val="Hyperlink"/>
            <w:noProof/>
          </w:rPr>
          <w:t>Introduction</w:t>
        </w:r>
        <w:r w:rsidR="008A3E68">
          <w:rPr>
            <w:noProof/>
            <w:webHidden/>
          </w:rPr>
          <w:tab/>
        </w:r>
        <w:r w:rsidR="008A3E68">
          <w:rPr>
            <w:noProof/>
            <w:webHidden/>
          </w:rPr>
          <w:fldChar w:fldCharType="begin"/>
        </w:r>
        <w:r w:rsidR="008A3E68">
          <w:rPr>
            <w:noProof/>
            <w:webHidden/>
          </w:rPr>
          <w:instrText xml:space="preserve"> PAGEREF _Toc179453669 \h </w:instrText>
        </w:r>
        <w:r w:rsidR="008A3E68">
          <w:rPr>
            <w:noProof/>
            <w:webHidden/>
          </w:rPr>
        </w:r>
        <w:r w:rsidR="008A3E68">
          <w:rPr>
            <w:noProof/>
            <w:webHidden/>
          </w:rPr>
          <w:fldChar w:fldCharType="separate"/>
        </w:r>
        <w:r w:rsidR="008A3E68">
          <w:rPr>
            <w:noProof/>
            <w:webHidden/>
          </w:rPr>
          <w:t>5</w:t>
        </w:r>
        <w:r w:rsidR="008A3E68">
          <w:rPr>
            <w:noProof/>
            <w:webHidden/>
          </w:rPr>
          <w:fldChar w:fldCharType="end"/>
        </w:r>
      </w:hyperlink>
    </w:p>
    <w:p w14:paraId="2D90B7DF" w14:textId="11C24B5F" w:rsidR="008A3E68" w:rsidRDefault="00000000">
      <w:pPr>
        <w:pStyle w:val="TOC2"/>
        <w:tabs>
          <w:tab w:val="left" w:pos="880"/>
          <w:tab w:val="right" w:leader="dot" w:pos="8920"/>
        </w:tabs>
        <w:rPr>
          <w:rFonts w:asciiTheme="minorHAnsi" w:eastAsiaTheme="minorEastAsia" w:hAnsiTheme="minorHAnsi"/>
          <w:noProof/>
          <w:kern w:val="2"/>
          <w:sz w:val="24"/>
          <w:szCs w:val="24"/>
          <w:lang w:eastAsia="en-AU"/>
          <w14:ligatures w14:val="standardContextual"/>
        </w:rPr>
      </w:pPr>
      <w:hyperlink w:anchor="_Toc179453670" w:history="1">
        <w:r w:rsidR="008A3E68" w:rsidRPr="00074AC8">
          <w:rPr>
            <w:rStyle w:val="Hyperlink"/>
            <w:noProof/>
          </w:rPr>
          <w:t>1.1</w:t>
        </w:r>
        <w:r w:rsidR="008A3E68">
          <w:rPr>
            <w:rFonts w:asciiTheme="minorHAnsi" w:eastAsiaTheme="minorEastAsia" w:hAnsiTheme="minorHAnsi"/>
            <w:noProof/>
            <w:kern w:val="2"/>
            <w:sz w:val="24"/>
            <w:szCs w:val="24"/>
            <w:lang w:eastAsia="en-AU"/>
            <w14:ligatures w14:val="standardContextual"/>
          </w:rPr>
          <w:tab/>
        </w:r>
        <w:r w:rsidR="008A3E68" w:rsidRPr="00074AC8">
          <w:rPr>
            <w:rStyle w:val="Hyperlink"/>
            <w:noProof/>
          </w:rPr>
          <w:t>The Prostheses List</w:t>
        </w:r>
        <w:r w:rsidR="008A3E68">
          <w:rPr>
            <w:noProof/>
            <w:webHidden/>
          </w:rPr>
          <w:tab/>
        </w:r>
        <w:r w:rsidR="008A3E68">
          <w:rPr>
            <w:noProof/>
            <w:webHidden/>
          </w:rPr>
          <w:fldChar w:fldCharType="begin"/>
        </w:r>
        <w:r w:rsidR="008A3E68">
          <w:rPr>
            <w:noProof/>
            <w:webHidden/>
          </w:rPr>
          <w:instrText xml:space="preserve"> PAGEREF _Toc179453670 \h </w:instrText>
        </w:r>
        <w:r w:rsidR="008A3E68">
          <w:rPr>
            <w:noProof/>
            <w:webHidden/>
          </w:rPr>
        </w:r>
        <w:r w:rsidR="008A3E68">
          <w:rPr>
            <w:noProof/>
            <w:webHidden/>
          </w:rPr>
          <w:fldChar w:fldCharType="separate"/>
        </w:r>
        <w:r w:rsidR="008A3E68">
          <w:rPr>
            <w:noProof/>
            <w:webHidden/>
          </w:rPr>
          <w:t>5</w:t>
        </w:r>
        <w:r w:rsidR="008A3E68">
          <w:rPr>
            <w:noProof/>
            <w:webHidden/>
          </w:rPr>
          <w:fldChar w:fldCharType="end"/>
        </w:r>
      </w:hyperlink>
    </w:p>
    <w:p w14:paraId="23EAA148" w14:textId="297BFCD9" w:rsidR="008A3E68" w:rsidRDefault="00000000">
      <w:pPr>
        <w:pStyle w:val="TOC2"/>
        <w:tabs>
          <w:tab w:val="left" w:pos="880"/>
          <w:tab w:val="right" w:leader="dot" w:pos="8920"/>
        </w:tabs>
        <w:rPr>
          <w:rFonts w:asciiTheme="minorHAnsi" w:eastAsiaTheme="minorEastAsia" w:hAnsiTheme="minorHAnsi"/>
          <w:noProof/>
          <w:kern w:val="2"/>
          <w:sz w:val="24"/>
          <w:szCs w:val="24"/>
          <w:lang w:eastAsia="en-AU"/>
          <w14:ligatures w14:val="standardContextual"/>
        </w:rPr>
      </w:pPr>
      <w:hyperlink w:anchor="_Toc179453671" w:history="1">
        <w:r w:rsidR="008A3E68" w:rsidRPr="00074AC8">
          <w:rPr>
            <w:rStyle w:val="Hyperlink"/>
            <w:noProof/>
          </w:rPr>
          <w:t>1.2</w:t>
        </w:r>
        <w:r w:rsidR="008A3E68">
          <w:rPr>
            <w:rFonts w:asciiTheme="minorHAnsi" w:eastAsiaTheme="minorEastAsia" w:hAnsiTheme="minorHAnsi"/>
            <w:noProof/>
            <w:kern w:val="2"/>
            <w:sz w:val="24"/>
            <w:szCs w:val="24"/>
            <w:lang w:eastAsia="en-AU"/>
            <w14:ligatures w14:val="standardContextual"/>
          </w:rPr>
          <w:tab/>
        </w:r>
        <w:r w:rsidR="008A3E68" w:rsidRPr="00074AC8">
          <w:rPr>
            <w:rStyle w:val="Hyperlink"/>
            <w:noProof/>
          </w:rPr>
          <w:t>The evaluation context</w:t>
        </w:r>
        <w:r w:rsidR="008A3E68">
          <w:rPr>
            <w:noProof/>
            <w:webHidden/>
          </w:rPr>
          <w:tab/>
        </w:r>
        <w:r w:rsidR="008A3E68">
          <w:rPr>
            <w:noProof/>
            <w:webHidden/>
          </w:rPr>
          <w:fldChar w:fldCharType="begin"/>
        </w:r>
        <w:r w:rsidR="008A3E68">
          <w:rPr>
            <w:noProof/>
            <w:webHidden/>
          </w:rPr>
          <w:instrText xml:space="preserve"> PAGEREF _Toc179453671 \h </w:instrText>
        </w:r>
        <w:r w:rsidR="008A3E68">
          <w:rPr>
            <w:noProof/>
            <w:webHidden/>
          </w:rPr>
        </w:r>
        <w:r w:rsidR="008A3E68">
          <w:rPr>
            <w:noProof/>
            <w:webHidden/>
          </w:rPr>
          <w:fldChar w:fldCharType="separate"/>
        </w:r>
        <w:r w:rsidR="008A3E68">
          <w:rPr>
            <w:noProof/>
            <w:webHidden/>
          </w:rPr>
          <w:t>6</w:t>
        </w:r>
        <w:r w:rsidR="008A3E68">
          <w:rPr>
            <w:noProof/>
            <w:webHidden/>
          </w:rPr>
          <w:fldChar w:fldCharType="end"/>
        </w:r>
      </w:hyperlink>
    </w:p>
    <w:p w14:paraId="7B3A14A1" w14:textId="4F367882" w:rsidR="008A3E68" w:rsidRDefault="00000000">
      <w:pPr>
        <w:pStyle w:val="TOC2"/>
        <w:tabs>
          <w:tab w:val="left" w:pos="880"/>
          <w:tab w:val="right" w:leader="dot" w:pos="8920"/>
        </w:tabs>
        <w:rPr>
          <w:rFonts w:asciiTheme="minorHAnsi" w:eastAsiaTheme="minorEastAsia" w:hAnsiTheme="minorHAnsi"/>
          <w:noProof/>
          <w:kern w:val="2"/>
          <w:sz w:val="24"/>
          <w:szCs w:val="24"/>
          <w:lang w:eastAsia="en-AU"/>
          <w14:ligatures w14:val="standardContextual"/>
        </w:rPr>
      </w:pPr>
      <w:hyperlink w:anchor="_Toc179453672" w:history="1">
        <w:r w:rsidR="008A3E68" w:rsidRPr="00074AC8">
          <w:rPr>
            <w:rStyle w:val="Hyperlink"/>
            <w:noProof/>
          </w:rPr>
          <w:t>1.3</w:t>
        </w:r>
        <w:r w:rsidR="008A3E68">
          <w:rPr>
            <w:rFonts w:asciiTheme="minorHAnsi" w:eastAsiaTheme="minorEastAsia" w:hAnsiTheme="minorHAnsi"/>
            <w:noProof/>
            <w:kern w:val="2"/>
            <w:sz w:val="24"/>
            <w:szCs w:val="24"/>
            <w:lang w:eastAsia="en-AU"/>
            <w14:ligatures w14:val="standardContextual"/>
          </w:rPr>
          <w:tab/>
        </w:r>
        <w:r w:rsidR="008A3E68" w:rsidRPr="00074AC8">
          <w:rPr>
            <w:rStyle w:val="Hyperlink"/>
            <w:noProof/>
          </w:rPr>
          <w:t>Purpose and contents of this baseline report</w:t>
        </w:r>
        <w:r w:rsidR="008A3E68">
          <w:rPr>
            <w:noProof/>
            <w:webHidden/>
          </w:rPr>
          <w:tab/>
        </w:r>
        <w:r w:rsidR="008A3E68">
          <w:rPr>
            <w:noProof/>
            <w:webHidden/>
          </w:rPr>
          <w:fldChar w:fldCharType="begin"/>
        </w:r>
        <w:r w:rsidR="008A3E68">
          <w:rPr>
            <w:noProof/>
            <w:webHidden/>
          </w:rPr>
          <w:instrText xml:space="preserve"> PAGEREF _Toc179453672 \h </w:instrText>
        </w:r>
        <w:r w:rsidR="008A3E68">
          <w:rPr>
            <w:noProof/>
            <w:webHidden/>
          </w:rPr>
        </w:r>
        <w:r w:rsidR="008A3E68">
          <w:rPr>
            <w:noProof/>
            <w:webHidden/>
          </w:rPr>
          <w:fldChar w:fldCharType="separate"/>
        </w:r>
        <w:r w:rsidR="008A3E68">
          <w:rPr>
            <w:noProof/>
            <w:webHidden/>
          </w:rPr>
          <w:t>6</w:t>
        </w:r>
        <w:r w:rsidR="008A3E68">
          <w:rPr>
            <w:noProof/>
            <w:webHidden/>
          </w:rPr>
          <w:fldChar w:fldCharType="end"/>
        </w:r>
      </w:hyperlink>
    </w:p>
    <w:p w14:paraId="7E365DA5" w14:textId="7EBE1837" w:rsidR="008A3E68" w:rsidRDefault="00000000">
      <w:pPr>
        <w:pStyle w:val="TOC1"/>
        <w:rPr>
          <w:rFonts w:asciiTheme="minorHAnsi" w:eastAsiaTheme="minorEastAsia" w:hAnsiTheme="minorHAnsi"/>
          <w:noProof/>
          <w:kern w:val="2"/>
          <w:sz w:val="24"/>
          <w:szCs w:val="24"/>
          <w:lang w:eastAsia="en-AU"/>
          <w14:ligatures w14:val="standardContextual"/>
        </w:rPr>
      </w:pPr>
      <w:hyperlink w:anchor="_Toc179453673" w:history="1">
        <w:r w:rsidR="008A3E68" w:rsidRPr="00074AC8">
          <w:rPr>
            <w:rStyle w:val="Hyperlink"/>
            <w:noProof/>
          </w:rPr>
          <w:t>2</w:t>
        </w:r>
        <w:r w:rsidR="008A3E68">
          <w:rPr>
            <w:rFonts w:asciiTheme="minorHAnsi" w:eastAsiaTheme="minorEastAsia" w:hAnsiTheme="minorHAnsi"/>
            <w:noProof/>
            <w:kern w:val="2"/>
            <w:sz w:val="24"/>
            <w:szCs w:val="24"/>
            <w:lang w:eastAsia="en-AU"/>
            <w14:ligatures w14:val="standardContextual"/>
          </w:rPr>
          <w:tab/>
        </w:r>
        <w:r w:rsidR="008A3E68" w:rsidRPr="00074AC8">
          <w:rPr>
            <w:rStyle w:val="Hyperlink"/>
            <w:noProof/>
          </w:rPr>
          <w:t>Overview of the PL reforms</w:t>
        </w:r>
        <w:r w:rsidR="008A3E68">
          <w:rPr>
            <w:noProof/>
            <w:webHidden/>
          </w:rPr>
          <w:tab/>
        </w:r>
        <w:r w:rsidR="008A3E68">
          <w:rPr>
            <w:noProof/>
            <w:webHidden/>
          </w:rPr>
          <w:fldChar w:fldCharType="begin"/>
        </w:r>
        <w:r w:rsidR="008A3E68">
          <w:rPr>
            <w:noProof/>
            <w:webHidden/>
          </w:rPr>
          <w:instrText xml:space="preserve"> PAGEREF _Toc179453673 \h </w:instrText>
        </w:r>
        <w:r w:rsidR="008A3E68">
          <w:rPr>
            <w:noProof/>
            <w:webHidden/>
          </w:rPr>
        </w:r>
        <w:r w:rsidR="008A3E68">
          <w:rPr>
            <w:noProof/>
            <w:webHidden/>
          </w:rPr>
          <w:fldChar w:fldCharType="separate"/>
        </w:r>
        <w:r w:rsidR="008A3E68">
          <w:rPr>
            <w:noProof/>
            <w:webHidden/>
          </w:rPr>
          <w:t>7</w:t>
        </w:r>
        <w:r w:rsidR="008A3E68">
          <w:rPr>
            <w:noProof/>
            <w:webHidden/>
          </w:rPr>
          <w:fldChar w:fldCharType="end"/>
        </w:r>
      </w:hyperlink>
    </w:p>
    <w:p w14:paraId="06B37835" w14:textId="1406312C" w:rsidR="008A3E68" w:rsidRDefault="00000000">
      <w:pPr>
        <w:pStyle w:val="TOC2"/>
        <w:tabs>
          <w:tab w:val="left" w:pos="880"/>
          <w:tab w:val="right" w:leader="dot" w:pos="8920"/>
        </w:tabs>
        <w:rPr>
          <w:rFonts w:asciiTheme="minorHAnsi" w:eastAsiaTheme="minorEastAsia" w:hAnsiTheme="minorHAnsi"/>
          <w:noProof/>
          <w:kern w:val="2"/>
          <w:sz w:val="24"/>
          <w:szCs w:val="24"/>
          <w:lang w:eastAsia="en-AU"/>
          <w14:ligatures w14:val="standardContextual"/>
        </w:rPr>
      </w:pPr>
      <w:hyperlink w:anchor="_Toc179453674" w:history="1">
        <w:r w:rsidR="008A3E68" w:rsidRPr="00074AC8">
          <w:rPr>
            <w:rStyle w:val="Hyperlink"/>
            <w:noProof/>
          </w:rPr>
          <w:t>2.1</w:t>
        </w:r>
        <w:r w:rsidR="008A3E68">
          <w:rPr>
            <w:rFonts w:asciiTheme="minorHAnsi" w:eastAsiaTheme="minorEastAsia" w:hAnsiTheme="minorHAnsi"/>
            <w:noProof/>
            <w:kern w:val="2"/>
            <w:sz w:val="24"/>
            <w:szCs w:val="24"/>
            <w:lang w:eastAsia="en-AU"/>
            <w14:ligatures w14:val="standardContextual"/>
          </w:rPr>
          <w:tab/>
        </w:r>
        <w:r w:rsidR="008A3E68" w:rsidRPr="00074AC8">
          <w:rPr>
            <w:rStyle w:val="Hyperlink"/>
            <w:noProof/>
          </w:rPr>
          <w:t>History of the PL prior to the reforms</w:t>
        </w:r>
        <w:r w:rsidR="008A3E68">
          <w:rPr>
            <w:noProof/>
            <w:webHidden/>
          </w:rPr>
          <w:tab/>
        </w:r>
        <w:r w:rsidR="008A3E68">
          <w:rPr>
            <w:noProof/>
            <w:webHidden/>
          </w:rPr>
          <w:fldChar w:fldCharType="begin"/>
        </w:r>
        <w:r w:rsidR="008A3E68">
          <w:rPr>
            <w:noProof/>
            <w:webHidden/>
          </w:rPr>
          <w:instrText xml:space="preserve"> PAGEREF _Toc179453674 \h </w:instrText>
        </w:r>
        <w:r w:rsidR="008A3E68">
          <w:rPr>
            <w:noProof/>
            <w:webHidden/>
          </w:rPr>
        </w:r>
        <w:r w:rsidR="008A3E68">
          <w:rPr>
            <w:noProof/>
            <w:webHidden/>
          </w:rPr>
          <w:fldChar w:fldCharType="separate"/>
        </w:r>
        <w:r w:rsidR="008A3E68">
          <w:rPr>
            <w:noProof/>
            <w:webHidden/>
          </w:rPr>
          <w:t>7</w:t>
        </w:r>
        <w:r w:rsidR="008A3E68">
          <w:rPr>
            <w:noProof/>
            <w:webHidden/>
          </w:rPr>
          <w:fldChar w:fldCharType="end"/>
        </w:r>
      </w:hyperlink>
    </w:p>
    <w:p w14:paraId="2E174712" w14:textId="5DE2026D" w:rsidR="008A3E68" w:rsidRDefault="00000000">
      <w:pPr>
        <w:pStyle w:val="TOC2"/>
        <w:tabs>
          <w:tab w:val="left" w:pos="880"/>
          <w:tab w:val="right" w:leader="dot" w:pos="8920"/>
        </w:tabs>
        <w:rPr>
          <w:rFonts w:asciiTheme="minorHAnsi" w:eastAsiaTheme="minorEastAsia" w:hAnsiTheme="minorHAnsi"/>
          <w:noProof/>
          <w:kern w:val="2"/>
          <w:sz w:val="24"/>
          <w:szCs w:val="24"/>
          <w:lang w:eastAsia="en-AU"/>
          <w14:ligatures w14:val="standardContextual"/>
        </w:rPr>
      </w:pPr>
      <w:hyperlink w:anchor="_Toc179453675" w:history="1">
        <w:r w:rsidR="008A3E68" w:rsidRPr="00074AC8">
          <w:rPr>
            <w:rStyle w:val="Hyperlink"/>
            <w:noProof/>
          </w:rPr>
          <w:t>2.2</w:t>
        </w:r>
        <w:r w:rsidR="008A3E68">
          <w:rPr>
            <w:rFonts w:asciiTheme="minorHAnsi" w:eastAsiaTheme="minorEastAsia" w:hAnsiTheme="minorHAnsi"/>
            <w:noProof/>
            <w:kern w:val="2"/>
            <w:sz w:val="24"/>
            <w:szCs w:val="24"/>
            <w:lang w:eastAsia="en-AU"/>
            <w14:ligatures w14:val="standardContextual"/>
          </w:rPr>
          <w:tab/>
        </w:r>
        <w:r w:rsidR="008A3E68" w:rsidRPr="00074AC8">
          <w:rPr>
            <w:rStyle w:val="Hyperlink"/>
            <w:noProof/>
          </w:rPr>
          <w:t>The impetus for the PL reforms</w:t>
        </w:r>
        <w:r w:rsidR="008A3E68">
          <w:rPr>
            <w:noProof/>
            <w:webHidden/>
          </w:rPr>
          <w:tab/>
        </w:r>
        <w:r w:rsidR="008A3E68">
          <w:rPr>
            <w:noProof/>
            <w:webHidden/>
          </w:rPr>
          <w:fldChar w:fldCharType="begin"/>
        </w:r>
        <w:r w:rsidR="008A3E68">
          <w:rPr>
            <w:noProof/>
            <w:webHidden/>
          </w:rPr>
          <w:instrText xml:space="preserve"> PAGEREF _Toc179453675 \h </w:instrText>
        </w:r>
        <w:r w:rsidR="008A3E68">
          <w:rPr>
            <w:noProof/>
            <w:webHidden/>
          </w:rPr>
        </w:r>
        <w:r w:rsidR="008A3E68">
          <w:rPr>
            <w:noProof/>
            <w:webHidden/>
          </w:rPr>
          <w:fldChar w:fldCharType="separate"/>
        </w:r>
        <w:r w:rsidR="008A3E68">
          <w:rPr>
            <w:noProof/>
            <w:webHidden/>
          </w:rPr>
          <w:t>8</w:t>
        </w:r>
        <w:r w:rsidR="008A3E68">
          <w:rPr>
            <w:noProof/>
            <w:webHidden/>
          </w:rPr>
          <w:fldChar w:fldCharType="end"/>
        </w:r>
      </w:hyperlink>
    </w:p>
    <w:p w14:paraId="4E0E51C2" w14:textId="1F40DF50" w:rsidR="008A3E68" w:rsidRDefault="00000000">
      <w:pPr>
        <w:pStyle w:val="TOC2"/>
        <w:tabs>
          <w:tab w:val="left" w:pos="880"/>
          <w:tab w:val="right" w:leader="dot" w:pos="8920"/>
        </w:tabs>
        <w:rPr>
          <w:rFonts w:asciiTheme="minorHAnsi" w:eastAsiaTheme="minorEastAsia" w:hAnsiTheme="minorHAnsi"/>
          <w:noProof/>
          <w:kern w:val="2"/>
          <w:sz w:val="24"/>
          <w:szCs w:val="24"/>
          <w:lang w:eastAsia="en-AU"/>
          <w14:ligatures w14:val="standardContextual"/>
        </w:rPr>
      </w:pPr>
      <w:hyperlink w:anchor="_Toc179453676" w:history="1">
        <w:r w:rsidR="008A3E68" w:rsidRPr="00074AC8">
          <w:rPr>
            <w:rStyle w:val="Hyperlink"/>
            <w:noProof/>
          </w:rPr>
          <w:t>2.3</w:t>
        </w:r>
        <w:r w:rsidR="008A3E68">
          <w:rPr>
            <w:rFonts w:asciiTheme="minorHAnsi" w:eastAsiaTheme="minorEastAsia" w:hAnsiTheme="minorHAnsi"/>
            <w:noProof/>
            <w:kern w:val="2"/>
            <w:sz w:val="24"/>
            <w:szCs w:val="24"/>
            <w:lang w:eastAsia="en-AU"/>
            <w14:ligatures w14:val="standardContextual"/>
          </w:rPr>
          <w:tab/>
        </w:r>
        <w:r w:rsidR="008A3E68" w:rsidRPr="00074AC8">
          <w:rPr>
            <w:rStyle w:val="Hyperlink"/>
            <w:noProof/>
          </w:rPr>
          <w:t>The objectives and projects of the reforms</w:t>
        </w:r>
        <w:r w:rsidR="008A3E68">
          <w:rPr>
            <w:noProof/>
            <w:webHidden/>
          </w:rPr>
          <w:tab/>
        </w:r>
        <w:r w:rsidR="008A3E68">
          <w:rPr>
            <w:noProof/>
            <w:webHidden/>
          </w:rPr>
          <w:fldChar w:fldCharType="begin"/>
        </w:r>
        <w:r w:rsidR="008A3E68">
          <w:rPr>
            <w:noProof/>
            <w:webHidden/>
          </w:rPr>
          <w:instrText xml:space="preserve"> PAGEREF _Toc179453676 \h </w:instrText>
        </w:r>
        <w:r w:rsidR="008A3E68">
          <w:rPr>
            <w:noProof/>
            <w:webHidden/>
          </w:rPr>
        </w:r>
        <w:r w:rsidR="008A3E68">
          <w:rPr>
            <w:noProof/>
            <w:webHidden/>
          </w:rPr>
          <w:fldChar w:fldCharType="separate"/>
        </w:r>
        <w:r w:rsidR="008A3E68">
          <w:rPr>
            <w:noProof/>
            <w:webHidden/>
          </w:rPr>
          <w:t>12</w:t>
        </w:r>
        <w:r w:rsidR="008A3E68">
          <w:rPr>
            <w:noProof/>
            <w:webHidden/>
          </w:rPr>
          <w:fldChar w:fldCharType="end"/>
        </w:r>
      </w:hyperlink>
    </w:p>
    <w:p w14:paraId="16635F9D" w14:textId="059DB09E" w:rsidR="008A3E68" w:rsidRDefault="00000000">
      <w:pPr>
        <w:pStyle w:val="TOC1"/>
        <w:rPr>
          <w:rFonts w:asciiTheme="minorHAnsi" w:eastAsiaTheme="minorEastAsia" w:hAnsiTheme="minorHAnsi"/>
          <w:noProof/>
          <w:kern w:val="2"/>
          <w:sz w:val="24"/>
          <w:szCs w:val="24"/>
          <w:lang w:eastAsia="en-AU"/>
          <w14:ligatures w14:val="standardContextual"/>
        </w:rPr>
      </w:pPr>
      <w:hyperlink w:anchor="_Toc179453677" w:history="1">
        <w:r w:rsidR="008A3E68" w:rsidRPr="00074AC8">
          <w:rPr>
            <w:rStyle w:val="Hyperlink"/>
            <w:noProof/>
          </w:rPr>
          <w:t>3</w:t>
        </w:r>
        <w:r w:rsidR="008A3E68">
          <w:rPr>
            <w:rFonts w:asciiTheme="minorHAnsi" w:eastAsiaTheme="minorEastAsia" w:hAnsiTheme="minorHAnsi"/>
            <w:noProof/>
            <w:kern w:val="2"/>
            <w:sz w:val="24"/>
            <w:szCs w:val="24"/>
            <w:lang w:eastAsia="en-AU"/>
            <w14:ligatures w14:val="standardContextual"/>
          </w:rPr>
          <w:tab/>
        </w:r>
        <w:r w:rsidR="008A3E68" w:rsidRPr="00074AC8">
          <w:rPr>
            <w:rStyle w:val="Hyperlink"/>
            <w:noProof/>
          </w:rPr>
          <w:t>Baseline of identified reform objectives</w:t>
        </w:r>
        <w:r w:rsidR="008A3E68">
          <w:rPr>
            <w:noProof/>
            <w:webHidden/>
          </w:rPr>
          <w:tab/>
        </w:r>
        <w:r w:rsidR="008A3E68">
          <w:rPr>
            <w:noProof/>
            <w:webHidden/>
          </w:rPr>
          <w:fldChar w:fldCharType="begin"/>
        </w:r>
        <w:r w:rsidR="008A3E68">
          <w:rPr>
            <w:noProof/>
            <w:webHidden/>
          </w:rPr>
          <w:instrText xml:space="preserve"> PAGEREF _Toc179453677 \h </w:instrText>
        </w:r>
        <w:r w:rsidR="008A3E68">
          <w:rPr>
            <w:noProof/>
            <w:webHidden/>
          </w:rPr>
        </w:r>
        <w:r w:rsidR="008A3E68">
          <w:rPr>
            <w:noProof/>
            <w:webHidden/>
          </w:rPr>
          <w:fldChar w:fldCharType="separate"/>
        </w:r>
        <w:r w:rsidR="008A3E68">
          <w:rPr>
            <w:noProof/>
            <w:webHidden/>
          </w:rPr>
          <w:t>14</w:t>
        </w:r>
        <w:r w:rsidR="008A3E68">
          <w:rPr>
            <w:noProof/>
            <w:webHidden/>
          </w:rPr>
          <w:fldChar w:fldCharType="end"/>
        </w:r>
      </w:hyperlink>
    </w:p>
    <w:p w14:paraId="7D57BF3B" w14:textId="71DED577" w:rsidR="008A3E68" w:rsidRDefault="00000000">
      <w:pPr>
        <w:pStyle w:val="TOC2"/>
        <w:tabs>
          <w:tab w:val="left" w:pos="880"/>
          <w:tab w:val="right" w:leader="dot" w:pos="8920"/>
        </w:tabs>
        <w:rPr>
          <w:rFonts w:asciiTheme="minorHAnsi" w:eastAsiaTheme="minorEastAsia" w:hAnsiTheme="minorHAnsi"/>
          <w:noProof/>
          <w:kern w:val="2"/>
          <w:sz w:val="24"/>
          <w:szCs w:val="24"/>
          <w:lang w:eastAsia="en-AU"/>
          <w14:ligatures w14:val="standardContextual"/>
        </w:rPr>
      </w:pPr>
      <w:hyperlink w:anchor="_Toc179453678" w:history="1">
        <w:r w:rsidR="008A3E68" w:rsidRPr="00074AC8">
          <w:rPr>
            <w:rStyle w:val="Hyperlink"/>
            <w:noProof/>
          </w:rPr>
          <w:t>3.1</w:t>
        </w:r>
        <w:r w:rsidR="008A3E68">
          <w:rPr>
            <w:rFonts w:asciiTheme="minorHAnsi" w:eastAsiaTheme="minorEastAsia" w:hAnsiTheme="minorHAnsi"/>
            <w:noProof/>
            <w:kern w:val="2"/>
            <w:sz w:val="24"/>
            <w:szCs w:val="24"/>
            <w:lang w:eastAsia="en-AU"/>
            <w14:ligatures w14:val="standardContextual"/>
          </w:rPr>
          <w:tab/>
        </w:r>
        <w:r w:rsidR="008A3E68" w:rsidRPr="00074AC8">
          <w:rPr>
            <w:rStyle w:val="Hyperlink"/>
            <w:noProof/>
          </w:rPr>
          <w:t>Objective 1: Improve the alignment of the scheduled benefits of the PL with the prices paid in more competitive markets</w:t>
        </w:r>
        <w:r w:rsidR="008A3E68">
          <w:rPr>
            <w:noProof/>
            <w:webHidden/>
          </w:rPr>
          <w:tab/>
        </w:r>
        <w:r w:rsidR="008A3E68">
          <w:rPr>
            <w:noProof/>
            <w:webHidden/>
          </w:rPr>
          <w:fldChar w:fldCharType="begin"/>
        </w:r>
        <w:r w:rsidR="008A3E68">
          <w:rPr>
            <w:noProof/>
            <w:webHidden/>
          </w:rPr>
          <w:instrText xml:space="preserve"> PAGEREF _Toc179453678 \h </w:instrText>
        </w:r>
        <w:r w:rsidR="008A3E68">
          <w:rPr>
            <w:noProof/>
            <w:webHidden/>
          </w:rPr>
        </w:r>
        <w:r w:rsidR="008A3E68">
          <w:rPr>
            <w:noProof/>
            <w:webHidden/>
          </w:rPr>
          <w:fldChar w:fldCharType="separate"/>
        </w:r>
        <w:r w:rsidR="008A3E68">
          <w:rPr>
            <w:noProof/>
            <w:webHidden/>
          </w:rPr>
          <w:t>15</w:t>
        </w:r>
        <w:r w:rsidR="008A3E68">
          <w:rPr>
            <w:noProof/>
            <w:webHidden/>
          </w:rPr>
          <w:fldChar w:fldCharType="end"/>
        </w:r>
      </w:hyperlink>
    </w:p>
    <w:p w14:paraId="2A50394A" w14:textId="084583BF" w:rsidR="008A3E68" w:rsidRDefault="00000000">
      <w:pPr>
        <w:pStyle w:val="TOC2"/>
        <w:tabs>
          <w:tab w:val="left" w:pos="880"/>
          <w:tab w:val="right" w:leader="dot" w:pos="8920"/>
        </w:tabs>
        <w:rPr>
          <w:rFonts w:asciiTheme="minorHAnsi" w:eastAsiaTheme="minorEastAsia" w:hAnsiTheme="minorHAnsi"/>
          <w:noProof/>
          <w:kern w:val="2"/>
          <w:sz w:val="24"/>
          <w:szCs w:val="24"/>
          <w:lang w:eastAsia="en-AU"/>
          <w14:ligatures w14:val="standardContextual"/>
        </w:rPr>
      </w:pPr>
      <w:hyperlink w:anchor="_Toc179453679" w:history="1">
        <w:r w:rsidR="008A3E68" w:rsidRPr="00074AC8">
          <w:rPr>
            <w:rStyle w:val="Hyperlink"/>
            <w:noProof/>
          </w:rPr>
          <w:t>3.2</w:t>
        </w:r>
        <w:r w:rsidR="008A3E68">
          <w:rPr>
            <w:rFonts w:asciiTheme="minorHAnsi" w:eastAsiaTheme="minorEastAsia" w:hAnsiTheme="minorHAnsi"/>
            <w:noProof/>
            <w:kern w:val="2"/>
            <w:sz w:val="24"/>
            <w:szCs w:val="24"/>
            <w:lang w:eastAsia="en-AU"/>
            <w14:ligatures w14:val="standardContextual"/>
          </w:rPr>
          <w:tab/>
        </w:r>
        <w:r w:rsidR="008A3E68" w:rsidRPr="00074AC8">
          <w:rPr>
            <w:rStyle w:val="Hyperlink"/>
            <w:noProof/>
          </w:rPr>
          <w:t>Objective 2: Maintain no additional out-of-pocket costs associated with the PL devices for consumers</w:t>
        </w:r>
        <w:r w:rsidR="008A3E68">
          <w:rPr>
            <w:noProof/>
            <w:webHidden/>
          </w:rPr>
          <w:tab/>
        </w:r>
        <w:r w:rsidR="008A3E68">
          <w:rPr>
            <w:noProof/>
            <w:webHidden/>
          </w:rPr>
          <w:fldChar w:fldCharType="begin"/>
        </w:r>
        <w:r w:rsidR="008A3E68">
          <w:rPr>
            <w:noProof/>
            <w:webHidden/>
          </w:rPr>
          <w:instrText xml:space="preserve"> PAGEREF _Toc179453679 \h </w:instrText>
        </w:r>
        <w:r w:rsidR="008A3E68">
          <w:rPr>
            <w:noProof/>
            <w:webHidden/>
          </w:rPr>
        </w:r>
        <w:r w:rsidR="008A3E68">
          <w:rPr>
            <w:noProof/>
            <w:webHidden/>
          </w:rPr>
          <w:fldChar w:fldCharType="separate"/>
        </w:r>
        <w:r w:rsidR="008A3E68">
          <w:rPr>
            <w:noProof/>
            <w:webHidden/>
          </w:rPr>
          <w:t>19</w:t>
        </w:r>
        <w:r w:rsidR="008A3E68">
          <w:rPr>
            <w:noProof/>
            <w:webHidden/>
          </w:rPr>
          <w:fldChar w:fldCharType="end"/>
        </w:r>
      </w:hyperlink>
    </w:p>
    <w:p w14:paraId="62B2934A" w14:textId="426DAD09" w:rsidR="008A3E68" w:rsidRDefault="00000000">
      <w:pPr>
        <w:pStyle w:val="TOC2"/>
        <w:tabs>
          <w:tab w:val="left" w:pos="880"/>
          <w:tab w:val="right" w:leader="dot" w:pos="8920"/>
        </w:tabs>
        <w:rPr>
          <w:rFonts w:asciiTheme="minorHAnsi" w:eastAsiaTheme="minorEastAsia" w:hAnsiTheme="minorHAnsi"/>
          <w:noProof/>
          <w:kern w:val="2"/>
          <w:sz w:val="24"/>
          <w:szCs w:val="24"/>
          <w:lang w:eastAsia="en-AU"/>
          <w14:ligatures w14:val="standardContextual"/>
        </w:rPr>
      </w:pPr>
      <w:hyperlink w:anchor="_Toc179453680" w:history="1">
        <w:r w:rsidR="008A3E68" w:rsidRPr="00074AC8">
          <w:rPr>
            <w:rStyle w:val="Hyperlink"/>
            <w:noProof/>
          </w:rPr>
          <w:t>3.3</w:t>
        </w:r>
        <w:r w:rsidR="008A3E68">
          <w:rPr>
            <w:rFonts w:asciiTheme="minorHAnsi" w:eastAsiaTheme="minorEastAsia" w:hAnsiTheme="minorHAnsi"/>
            <w:noProof/>
            <w:kern w:val="2"/>
            <w:sz w:val="24"/>
            <w:szCs w:val="24"/>
            <w:lang w:eastAsia="en-AU"/>
            <w14:ligatures w14:val="standardContextual"/>
          </w:rPr>
          <w:tab/>
        </w:r>
        <w:r w:rsidR="008A3E68" w:rsidRPr="00074AC8">
          <w:rPr>
            <w:rStyle w:val="Hyperlink"/>
            <w:noProof/>
          </w:rPr>
          <w:t>Objective 3: Maintain clinician choice of appropriate prostheses for their patients</w:t>
        </w:r>
        <w:r w:rsidR="008A3E68">
          <w:rPr>
            <w:noProof/>
            <w:webHidden/>
          </w:rPr>
          <w:tab/>
        </w:r>
        <w:r w:rsidR="008A3E68">
          <w:rPr>
            <w:noProof/>
            <w:webHidden/>
          </w:rPr>
          <w:fldChar w:fldCharType="begin"/>
        </w:r>
        <w:r w:rsidR="008A3E68">
          <w:rPr>
            <w:noProof/>
            <w:webHidden/>
          </w:rPr>
          <w:instrText xml:space="preserve"> PAGEREF _Toc179453680 \h </w:instrText>
        </w:r>
        <w:r w:rsidR="008A3E68">
          <w:rPr>
            <w:noProof/>
            <w:webHidden/>
          </w:rPr>
        </w:r>
        <w:r w:rsidR="008A3E68">
          <w:rPr>
            <w:noProof/>
            <w:webHidden/>
          </w:rPr>
          <w:fldChar w:fldCharType="separate"/>
        </w:r>
        <w:r w:rsidR="008A3E68">
          <w:rPr>
            <w:noProof/>
            <w:webHidden/>
          </w:rPr>
          <w:t>21</w:t>
        </w:r>
        <w:r w:rsidR="008A3E68">
          <w:rPr>
            <w:noProof/>
            <w:webHidden/>
          </w:rPr>
          <w:fldChar w:fldCharType="end"/>
        </w:r>
      </w:hyperlink>
    </w:p>
    <w:p w14:paraId="77C95BB1" w14:textId="5005D7F7" w:rsidR="008A3E68" w:rsidRDefault="00000000">
      <w:pPr>
        <w:pStyle w:val="TOC2"/>
        <w:tabs>
          <w:tab w:val="left" w:pos="880"/>
          <w:tab w:val="right" w:leader="dot" w:pos="8920"/>
        </w:tabs>
        <w:rPr>
          <w:rFonts w:asciiTheme="minorHAnsi" w:eastAsiaTheme="minorEastAsia" w:hAnsiTheme="minorHAnsi"/>
          <w:noProof/>
          <w:kern w:val="2"/>
          <w:sz w:val="24"/>
          <w:szCs w:val="24"/>
          <w:lang w:eastAsia="en-AU"/>
          <w14:ligatures w14:val="standardContextual"/>
        </w:rPr>
      </w:pPr>
      <w:hyperlink w:anchor="_Toc179453681" w:history="1">
        <w:r w:rsidR="008A3E68" w:rsidRPr="00074AC8">
          <w:rPr>
            <w:rStyle w:val="Hyperlink"/>
            <w:noProof/>
          </w:rPr>
          <w:t>3.4</w:t>
        </w:r>
        <w:r w:rsidR="008A3E68">
          <w:rPr>
            <w:rFonts w:asciiTheme="minorHAnsi" w:eastAsiaTheme="minorEastAsia" w:hAnsiTheme="minorHAnsi"/>
            <w:noProof/>
            <w:kern w:val="2"/>
            <w:sz w:val="24"/>
            <w:szCs w:val="24"/>
            <w:lang w:eastAsia="en-AU"/>
            <w14:ligatures w14:val="standardContextual"/>
          </w:rPr>
          <w:tab/>
        </w:r>
        <w:r w:rsidR="008A3E68" w:rsidRPr="00074AC8">
          <w:rPr>
            <w:rStyle w:val="Hyperlink"/>
            <w:noProof/>
          </w:rPr>
          <w:t>Objective 4: Improve the affordability and value of PHI for privately insured Australians</w:t>
        </w:r>
        <w:r w:rsidR="008A3E68">
          <w:rPr>
            <w:noProof/>
            <w:webHidden/>
          </w:rPr>
          <w:tab/>
        </w:r>
        <w:r w:rsidR="008A3E68">
          <w:rPr>
            <w:noProof/>
            <w:webHidden/>
          </w:rPr>
          <w:fldChar w:fldCharType="begin"/>
        </w:r>
        <w:r w:rsidR="008A3E68">
          <w:rPr>
            <w:noProof/>
            <w:webHidden/>
          </w:rPr>
          <w:instrText xml:space="preserve"> PAGEREF _Toc179453681 \h </w:instrText>
        </w:r>
        <w:r w:rsidR="008A3E68">
          <w:rPr>
            <w:noProof/>
            <w:webHidden/>
          </w:rPr>
        </w:r>
        <w:r w:rsidR="008A3E68">
          <w:rPr>
            <w:noProof/>
            <w:webHidden/>
          </w:rPr>
          <w:fldChar w:fldCharType="separate"/>
        </w:r>
        <w:r w:rsidR="008A3E68">
          <w:rPr>
            <w:noProof/>
            <w:webHidden/>
          </w:rPr>
          <w:t>23</w:t>
        </w:r>
        <w:r w:rsidR="008A3E68">
          <w:rPr>
            <w:noProof/>
            <w:webHidden/>
          </w:rPr>
          <w:fldChar w:fldCharType="end"/>
        </w:r>
      </w:hyperlink>
    </w:p>
    <w:p w14:paraId="02CF7F07" w14:textId="4860BE02" w:rsidR="008A3E68" w:rsidRDefault="00000000">
      <w:pPr>
        <w:pStyle w:val="TOC2"/>
        <w:tabs>
          <w:tab w:val="left" w:pos="880"/>
          <w:tab w:val="right" w:leader="dot" w:pos="8920"/>
        </w:tabs>
        <w:rPr>
          <w:rFonts w:asciiTheme="minorHAnsi" w:eastAsiaTheme="minorEastAsia" w:hAnsiTheme="minorHAnsi"/>
          <w:noProof/>
          <w:kern w:val="2"/>
          <w:sz w:val="24"/>
          <w:szCs w:val="24"/>
          <w:lang w:eastAsia="en-AU"/>
          <w14:ligatures w14:val="standardContextual"/>
        </w:rPr>
      </w:pPr>
      <w:hyperlink w:anchor="_Toc179453682" w:history="1">
        <w:r w:rsidR="008A3E68" w:rsidRPr="00074AC8">
          <w:rPr>
            <w:rStyle w:val="Hyperlink"/>
            <w:noProof/>
          </w:rPr>
          <w:t>3.5</w:t>
        </w:r>
        <w:r w:rsidR="008A3E68">
          <w:rPr>
            <w:rFonts w:asciiTheme="minorHAnsi" w:eastAsiaTheme="minorEastAsia" w:hAnsiTheme="minorHAnsi"/>
            <w:noProof/>
            <w:kern w:val="2"/>
            <w:sz w:val="24"/>
            <w:szCs w:val="24"/>
            <w:lang w:eastAsia="en-AU"/>
            <w14:ligatures w14:val="standardContextual"/>
          </w:rPr>
          <w:tab/>
        </w:r>
        <w:r w:rsidR="008A3E68" w:rsidRPr="00074AC8">
          <w:rPr>
            <w:rStyle w:val="Hyperlink"/>
            <w:noProof/>
          </w:rPr>
          <w:t>Objective 5: Clarify the purpose, definition and scope of the PL in legislation</w:t>
        </w:r>
        <w:r w:rsidR="008A3E68">
          <w:rPr>
            <w:noProof/>
            <w:webHidden/>
          </w:rPr>
          <w:tab/>
        </w:r>
        <w:r w:rsidR="008A3E68">
          <w:rPr>
            <w:noProof/>
            <w:webHidden/>
          </w:rPr>
          <w:fldChar w:fldCharType="begin"/>
        </w:r>
        <w:r w:rsidR="008A3E68">
          <w:rPr>
            <w:noProof/>
            <w:webHidden/>
          </w:rPr>
          <w:instrText xml:space="preserve"> PAGEREF _Toc179453682 \h </w:instrText>
        </w:r>
        <w:r w:rsidR="008A3E68">
          <w:rPr>
            <w:noProof/>
            <w:webHidden/>
          </w:rPr>
        </w:r>
        <w:r w:rsidR="008A3E68">
          <w:rPr>
            <w:noProof/>
            <w:webHidden/>
          </w:rPr>
          <w:fldChar w:fldCharType="separate"/>
        </w:r>
        <w:r w:rsidR="008A3E68">
          <w:rPr>
            <w:noProof/>
            <w:webHidden/>
          </w:rPr>
          <w:t>26</w:t>
        </w:r>
        <w:r w:rsidR="008A3E68">
          <w:rPr>
            <w:noProof/>
            <w:webHidden/>
          </w:rPr>
          <w:fldChar w:fldCharType="end"/>
        </w:r>
      </w:hyperlink>
    </w:p>
    <w:p w14:paraId="6D48EE68" w14:textId="11CA1312" w:rsidR="008A3E68" w:rsidRDefault="00000000">
      <w:pPr>
        <w:pStyle w:val="TOC2"/>
        <w:tabs>
          <w:tab w:val="left" w:pos="880"/>
          <w:tab w:val="right" w:leader="dot" w:pos="8920"/>
        </w:tabs>
        <w:rPr>
          <w:rFonts w:asciiTheme="minorHAnsi" w:eastAsiaTheme="minorEastAsia" w:hAnsiTheme="minorHAnsi"/>
          <w:noProof/>
          <w:kern w:val="2"/>
          <w:sz w:val="24"/>
          <w:szCs w:val="24"/>
          <w:lang w:eastAsia="en-AU"/>
          <w14:ligatures w14:val="standardContextual"/>
        </w:rPr>
      </w:pPr>
      <w:hyperlink w:anchor="_Toc179453683" w:history="1">
        <w:r w:rsidR="008A3E68" w:rsidRPr="00074AC8">
          <w:rPr>
            <w:rStyle w:val="Hyperlink"/>
            <w:noProof/>
          </w:rPr>
          <w:t>3.6</w:t>
        </w:r>
        <w:r w:rsidR="008A3E68">
          <w:rPr>
            <w:rFonts w:asciiTheme="minorHAnsi" w:eastAsiaTheme="minorEastAsia" w:hAnsiTheme="minorHAnsi"/>
            <w:noProof/>
            <w:kern w:val="2"/>
            <w:sz w:val="24"/>
            <w:szCs w:val="24"/>
            <w:lang w:eastAsia="en-AU"/>
            <w14:ligatures w14:val="standardContextual"/>
          </w:rPr>
          <w:tab/>
        </w:r>
        <w:r w:rsidR="008A3E68" w:rsidRPr="00074AC8">
          <w:rPr>
            <w:rStyle w:val="Hyperlink"/>
            <w:noProof/>
          </w:rPr>
          <w:t>Objective 6: Implement new PL assessment pathways aligned to Health Technology Assessment principles and streamline the application process through simple and robust IT infrastructure</w:t>
        </w:r>
        <w:r w:rsidR="008A3E68">
          <w:rPr>
            <w:noProof/>
            <w:webHidden/>
          </w:rPr>
          <w:tab/>
        </w:r>
        <w:r w:rsidR="008A3E68">
          <w:rPr>
            <w:noProof/>
            <w:webHidden/>
          </w:rPr>
          <w:fldChar w:fldCharType="begin"/>
        </w:r>
        <w:r w:rsidR="008A3E68">
          <w:rPr>
            <w:noProof/>
            <w:webHidden/>
          </w:rPr>
          <w:instrText xml:space="preserve"> PAGEREF _Toc179453683 \h </w:instrText>
        </w:r>
        <w:r w:rsidR="008A3E68">
          <w:rPr>
            <w:noProof/>
            <w:webHidden/>
          </w:rPr>
        </w:r>
        <w:r w:rsidR="008A3E68">
          <w:rPr>
            <w:noProof/>
            <w:webHidden/>
          </w:rPr>
          <w:fldChar w:fldCharType="separate"/>
        </w:r>
        <w:r w:rsidR="008A3E68">
          <w:rPr>
            <w:noProof/>
            <w:webHidden/>
          </w:rPr>
          <w:t>30</w:t>
        </w:r>
        <w:r w:rsidR="008A3E68">
          <w:rPr>
            <w:noProof/>
            <w:webHidden/>
          </w:rPr>
          <w:fldChar w:fldCharType="end"/>
        </w:r>
      </w:hyperlink>
    </w:p>
    <w:p w14:paraId="21EEF4D6" w14:textId="2CA144AF" w:rsidR="008A3E68" w:rsidRDefault="00000000">
      <w:pPr>
        <w:pStyle w:val="TOC2"/>
        <w:tabs>
          <w:tab w:val="left" w:pos="880"/>
          <w:tab w:val="right" w:leader="dot" w:pos="8920"/>
        </w:tabs>
        <w:rPr>
          <w:rFonts w:asciiTheme="minorHAnsi" w:eastAsiaTheme="minorEastAsia" w:hAnsiTheme="minorHAnsi"/>
          <w:noProof/>
          <w:kern w:val="2"/>
          <w:sz w:val="24"/>
          <w:szCs w:val="24"/>
          <w:lang w:eastAsia="en-AU"/>
          <w14:ligatures w14:val="standardContextual"/>
        </w:rPr>
      </w:pPr>
      <w:hyperlink w:anchor="_Toc179453684" w:history="1">
        <w:r w:rsidR="008A3E68" w:rsidRPr="00074AC8">
          <w:rPr>
            <w:rStyle w:val="Hyperlink"/>
            <w:noProof/>
          </w:rPr>
          <w:t>3.7</w:t>
        </w:r>
        <w:r w:rsidR="008A3E68">
          <w:rPr>
            <w:rFonts w:asciiTheme="minorHAnsi" w:eastAsiaTheme="minorEastAsia" w:hAnsiTheme="minorHAnsi"/>
            <w:noProof/>
            <w:kern w:val="2"/>
            <w:sz w:val="24"/>
            <w:szCs w:val="24"/>
            <w:lang w:eastAsia="en-AU"/>
            <w14:ligatures w14:val="standardContextual"/>
          </w:rPr>
          <w:tab/>
        </w:r>
        <w:r w:rsidR="008A3E68" w:rsidRPr="00074AC8">
          <w:rPr>
            <w:rStyle w:val="Hyperlink"/>
            <w:noProof/>
          </w:rPr>
          <w:t>Objective 7: Develop and implement PL listing reviews and PL compliance frameworks to safeguard the PL Reforms</w:t>
        </w:r>
        <w:r w:rsidR="008A3E68">
          <w:rPr>
            <w:noProof/>
            <w:webHidden/>
          </w:rPr>
          <w:tab/>
        </w:r>
        <w:r w:rsidR="008A3E68">
          <w:rPr>
            <w:noProof/>
            <w:webHidden/>
          </w:rPr>
          <w:fldChar w:fldCharType="begin"/>
        </w:r>
        <w:r w:rsidR="008A3E68">
          <w:rPr>
            <w:noProof/>
            <w:webHidden/>
          </w:rPr>
          <w:instrText xml:space="preserve"> PAGEREF _Toc179453684 \h </w:instrText>
        </w:r>
        <w:r w:rsidR="008A3E68">
          <w:rPr>
            <w:noProof/>
            <w:webHidden/>
          </w:rPr>
        </w:r>
        <w:r w:rsidR="008A3E68">
          <w:rPr>
            <w:noProof/>
            <w:webHidden/>
          </w:rPr>
          <w:fldChar w:fldCharType="separate"/>
        </w:r>
        <w:r w:rsidR="008A3E68">
          <w:rPr>
            <w:noProof/>
            <w:webHidden/>
          </w:rPr>
          <w:t>33</w:t>
        </w:r>
        <w:r w:rsidR="008A3E68">
          <w:rPr>
            <w:noProof/>
            <w:webHidden/>
          </w:rPr>
          <w:fldChar w:fldCharType="end"/>
        </w:r>
      </w:hyperlink>
    </w:p>
    <w:p w14:paraId="67337342" w14:textId="057D8668" w:rsidR="008A3E68" w:rsidRDefault="00000000">
      <w:pPr>
        <w:pStyle w:val="TOC2"/>
        <w:tabs>
          <w:tab w:val="left" w:pos="880"/>
          <w:tab w:val="right" w:leader="dot" w:pos="8920"/>
        </w:tabs>
        <w:rPr>
          <w:rFonts w:asciiTheme="minorHAnsi" w:eastAsiaTheme="minorEastAsia" w:hAnsiTheme="minorHAnsi"/>
          <w:noProof/>
          <w:kern w:val="2"/>
          <w:sz w:val="24"/>
          <w:szCs w:val="24"/>
          <w:lang w:eastAsia="en-AU"/>
          <w14:ligatures w14:val="standardContextual"/>
        </w:rPr>
      </w:pPr>
      <w:hyperlink w:anchor="_Toc179453685" w:history="1">
        <w:r w:rsidR="008A3E68" w:rsidRPr="00074AC8">
          <w:rPr>
            <w:rStyle w:val="Hyperlink"/>
            <w:noProof/>
          </w:rPr>
          <w:t>3.8</w:t>
        </w:r>
        <w:r w:rsidR="008A3E68">
          <w:rPr>
            <w:rFonts w:asciiTheme="minorHAnsi" w:eastAsiaTheme="minorEastAsia" w:hAnsiTheme="minorHAnsi"/>
            <w:noProof/>
            <w:kern w:val="2"/>
            <w:sz w:val="24"/>
            <w:szCs w:val="24"/>
            <w:lang w:eastAsia="en-AU"/>
            <w14:ligatures w14:val="standardContextual"/>
          </w:rPr>
          <w:tab/>
        </w:r>
        <w:r w:rsidR="008A3E68" w:rsidRPr="00074AC8">
          <w:rPr>
            <w:rStyle w:val="Hyperlink"/>
            <w:noProof/>
          </w:rPr>
          <w:t>Objective 8: Ensure ongoing financial sustainability of PL administration through effective and efficient cost recovery arrangements that are compliant with the Australian Government Charging Framework</w:t>
        </w:r>
        <w:r w:rsidR="008A3E68">
          <w:rPr>
            <w:noProof/>
            <w:webHidden/>
          </w:rPr>
          <w:tab/>
        </w:r>
        <w:r w:rsidR="008A3E68">
          <w:rPr>
            <w:noProof/>
            <w:webHidden/>
          </w:rPr>
          <w:fldChar w:fldCharType="begin"/>
        </w:r>
        <w:r w:rsidR="008A3E68">
          <w:rPr>
            <w:noProof/>
            <w:webHidden/>
          </w:rPr>
          <w:instrText xml:space="preserve"> PAGEREF _Toc179453685 \h </w:instrText>
        </w:r>
        <w:r w:rsidR="008A3E68">
          <w:rPr>
            <w:noProof/>
            <w:webHidden/>
          </w:rPr>
        </w:r>
        <w:r w:rsidR="008A3E68">
          <w:rPr>
            <w:noProof/>
            <w:webHidden/>
          </w:rPr>
          <w:fldChar w:fldCharType="separate"/>
        </w:r>
        <w:r w:rsidR="008A3E68">
          <w:rPr>
            <w:noProof/>
            <w:webHidden/>
          </w:rPr>
          <w:t>35</w:t>
        </w:r>
        <w:r w:rsidR="008A3E68">
          <w:rPr>
            <w:noProof/>
            <w:webHidden/>
          </w:rPr>
          <w:fldChar w:fldCharType="end"/>
        </w:r>
      </w:hyperlink>
    </w:p>
    <w:p w14:paraId="3BD989B0" w14:textId="3AC85F36" w:rsidR="008A3E68" w:rsidRDefault="00000000">
      <w:pPr>
        <w:pStyle w:val="TOC1"/>
        <w:tabs>
          <w:tab w:val="left" w:pos="1320"/>
        </w:tabs>
        <w:rPr>
          <w:rFonts w:asciiTheme="minorHAnsi" w:eastAsiaTheme="minorEastAsia" w:hAnsiTheme="minorHAnsi"/>
          <w:noProof/>
          <w:kern w:val="2"/>
          <w:sz w:val="24"/>
          <w:szCs w:val="24"/>
          <w:lang w:eastAsia="en-AU"/>
          <w14:ligatures w14:val="standardContextual"/>
        </w:rPr>
      </w:pPr>
      <w:hyperlink w:anchor="_Toc179453686" w:history="1">
        <w:r w:rsidR="008A3E68" w:rsidRPr="00074AC8">
          <w:rPr>
            <w:rStyle w:val="Hyperlink"/>
            <w:noProof/>
          </w:rPr>
          <w:t>Appendix A</w:t>
        </w:r>
        <w:r w:rsidR="008A3E68">
          <w:rPr>
            <w:rFonts w:asciiTheme="minorHAnsi" w:eastAsiaTheme="minorEastAsia" w:hAnsiTheme="minorHAnsi"/>
            <w:noProof/>
            <w:kern w:val="2"/>
            <w:sz w:val="24"/>
            <w:szCs w:val="24"/>
            <w:lang w:eastAsia="en-AU"/>
            <w14:ligatures w14:val="standardContextual"/>
          </w:rPr>
          <w:tab/>
        </w:r>
        <w:r w:rsidR="008A3E68" w:rsidRPr="00074AC8">
          <w:rPr>
            <w:rStyle w:val="Hyperlink"/>
            <w:noProof/>
          </w:rPr>
          <w:t>Overview of indicators and measures</w:t>
        </w:r>
        <w:r w:rsidR="008A3E68">
          <w:rPr>
            <w:noProof/>
            <w:webHidden/>
          </w:rPr>
          <w:tab/>
        </w:r>
        <w:r w:rsidR="008A3E68">
          <w:rPr>
            <w:noProof/>
            <w:webHidden/>
          </w:rPr>
          <w:fldChar w:fldCharType="begin"/>
        </w:r>
        <w:r w:rsidR="008A3E68">
          <w:rPr>
            <w:noProof/>
            <w:webHidden/>
          </w:rPr>
          <w:instrText xml:space="preserve"> PAGEREF _Toc179453686 \h </w:instrText>
        </w:r>
        <w:r w:rsidR="008A3E68">
          <w:rPr>
            <w:noProof/>
            <w:webHidden/>
          </w:rPr>
        </w:r>
        <w:r w:rsidR="008A3E68">
          <w:rPr>
            <w:noProof/>
            <w:webHidden/>
          </w:rPr>
          <w:fldChar w:fldCharType="separate"/>
        </w:r>
        <w:r w:rsidR="008A3E68">
          <w:rPr>
            <w:noProof/>
            <w:webHidden/>
          </w:rPr>
          <w:t>37</w:t>
        </w:r>
        <w:r w:rsidR="008A3E68">
          <w:rPr>
            <w:noProof/>
            <w:webHidden/>
          </w:rPr>
          <w:fldChar w:fldCharType="end"/>
        </w:r>
      </w:hyperlink>
    </w:p>
    <w:p w14:paraId="2383EF32" w14:textId="05B70C46" w:rsidR="008A3E68" w:rsidRDefault="00000000">
      <w:pPr>
        <w:pStyle w:val="TOC1"/>
        <w:tabs>
          <w:tab w:val="left" w:pos="1320"/>
        </w:tabs>
        <w:rPr>
          <w:rFonts w:asciiTheme="minorHAnsi" w:eastAsiaTheme="minorEastAsia" w:hAnsiTheme="minorHAnsi"/>
          <w:noProof/>
          <w:kern w:val="2"/>
          <w:sz w:val="24"/>
          <w:szCs w:val="24"/>
          <w:lang w:eastAsia="en-AU"/>
          <w14:ligatures w14:val="standardContextual"/>
        </w:rPr>
      </w:pPr>
      <w:hyperlink w:anchor="_Toc179453687" w:history="1">
        <w:r w:rsidR="008A3E68" w:rsidRPr="00074AC8">
          <w:rPr>
            <w:rStyle w:val="Hyperlink"/>
            <w:noProof/>
          </w:rPr>
          <w:t>Appendix B</w:t>
        </w:r>
        <w:r w:rsidR="008A3E68">
          <w:rPr>
            <w:rFonts w:asciiTheme="minorHAnsi" w:eastAsiaTheme="minorEastAsia" w:hAnsiTheme="minorHAnsi"/>
            <w:noProof/>
            <w:kern w:val="2"/>
            <w:sz w:val="24"/>
            <w:szCs w:val="24"/>
            <w:lang w:eastAsia="en-AU"/>
            <w14:ligatures w14:val="standardContextual"/>
          </w:rPr>
          <w:tab/>
        </w:r>
        <w:r w:rsidR="008A3E68" w:rsidRPr="00074AC8">
          <w:rPr>
            <w:rStyle w:val="Hyperlink"/>
            <w:noProof/>
          </w:rPr>
          <w:t>Measurement guides and baseline values</w:t>
        </w:r>
        <w:r w:rsidR="008A3E68">
          <w:rPr>
            <w:noProof/>
            <w:webHidden/>
          </w:rPr>
          <w:tab/>
        </w:r>
        <w:r w:rsidR="008A3E68">
          <w:rPr>
            <w:noProof/>
            <w:webHidden/>
          </w:rPr>
          <w:fldChar w:fldCharType="begin"/>
        </w:r>
        <w:r w:rsidR="008A3E68">
          <w:rPr>
            <w:noProof/>
            <w:webHidden/>
          </w:rPr>
          <w:instrText xml:space="preserve"> PAGEREF _Toc179453687 \h </w:instrText>
        </w:r>
        <w:r w:rsidR="008A3E68">
          <w:rPr>
            <w:noProof/>
            <w:webHidden/>
          </w:rPr>
        </w:r>
        <w:r w:rsidR="008A3E68">
          <w:rPr>
            <w:noProof/>
            <w:webHidden/>
          </w:rPr>
          <w:fldChar w:fldCharType="separate"/>
        </w:r>
        <w:r w:rsidR="008A3E68">
          <w:rPr>
            <w:noProof/>
            <w:webHidden/>
          </w:rPr>
          <w:t>39</w:t>
        </w:r>
        <w:r w:rsidR="008A3E68">
          <w:rPr>
            <w:noProof/>
            <w:webHidden/>
          </w:rPr>
          <w:fldChar w:fldCharType="end"/>
        </w:r>
      </w:hyperlink>
    </w:p>
    <w:p w14:paraId="177C04DE" w14:textId="2D51C2A5" w:rsidR="008A3E68" w:rsidRDefault="00000000">
      <w:pPr>
        <w:pStyle w:val="TOC2"/>
        <w:tabs>
          <w:tab w:val="right" w:leader="dot" w:pos="8920"/>
        </w:tabs>
        <w:rPr>
          <w:rFonts w:asciiTheme="minorHAnsi" w:eastAsiaTheme="minorEastAsia" w:hAnsiTheme="minorHAnsi"/>
          <w:noProof/>
          <w:kern w:val="2"/>
          <w:sz w:val="24"/>
          <w:szCs w:val="24"/>
          <w:lang w:eastAsia="en-AU"/>
          <w14:ligatures w14:val="standardContextual"/>
        </w:rPr>
      </w:pPr>
      <w:hyperlink w:anchor="_Toc179453688" w:history="1">
        <w:r w:rsidR="008A3E68" w:rsidRPr="00074AC8">
          <w:rPr>
            <w:rStyle w:val="Hyperlink"/>
            <w:noProof/>
          </w:rPr>
          <w:t>Indicator 1: Reduction in benefits</w:t>
        </w:r>
        <w:r w:rsidR="008A3E68">
          <w:rPr>
            <w:noProof/>
            <w:webHidden/>
          </w:rPr>
          <w:tab/>
        </w:r>
        <w:r w:rsidR="008A3E68">
          <w:rPr>
            <w:noProof/>
            <w:webHidden/>
          </w:rPr>
          <w:fldChar w:fldCharType="begin"/>
        </w:r>
        <w:r w:rsidR="008A3E68">
          <w:rPr>
            <w:noProof/>
            <w:webHidden/>
          </w:rPr>
          <w:instrText xml:space="preserve"> PAGEREF _Toc179453688 \h </w:instrText>
        </w:r>
        <w:r w:rsidR="008A3E68">
          <w:rPr>
            <w:noProof/>
            <w:webHidden/>
          </w:rPr>
        </w:r>
        <w:r w:rsidR="008A3E68">
          <w:rPr>
            <w:noProof/>
            <w:webHidden/>
          </w:rPr>
          <w:fldChar w:fldCharType="separate"/>
        </w:r>
        <w:r w:rsidR="008A3E68">
          <w:rPr>
            <w:noProof/>
            <w:webHidden/>
          </w:rPr>
          <w:t>39</w:t>
        </w:r>
        <w:r w:rsidR="008A3E68">
          <w:rPr>
            <w:noProof/>
            <w:webHidden/>
          </w:rPr>
          <w:fldChar w:fldCharType="end"/>
        </w:r>
      </w:hyperlink>
    </w:p>
    <w:p w14:paraId="0BD378DE" w14:textId="02019BE7" w:rsidR="008A3E68" w:rsidRDefault="00000000">
      <w:pPr>
        <w:pStyle w:val="TOC2"/>
        <w:tabs>
          <w:tab w:val="right" w:leader="dot" w:pos="8920"/>
        </w:tabs>
        <w:rPr>
          <w:rFonts w:asciiTheme="minorHAnsi" w:eastAsiaTheme="minorEastAsia" w:hAnsiTheme="minorHAnsi"/>
          <w:noProof/>
          <w:kern w:val="2"/>
          <w:sz w:val="24"/>
          <w:szCs w:val="24"/>
          <w:lang w:eastAsia="en-AU"/>
          <w14:ligatures w14:val="standardContextual"/>
        </w:rPr>
      </w:pPr>
      <w:hyperlink w:anchor="_Toc179453689" w:history="1">
        <w:r w:rsidR="008A3E68" w:rsidRPr="00074AC8">
          <w:rPr>
            <w:rStyle w:val="Hyperlink"/>
            <w:noProof/>
          </w:rPr>
          <w:t>Indicator 2: Change in the size of the gap between PL benefits and prices paid in more competitive markets</w:t>
        </w:r>
        <w:r w:rsidR="008A3E68">
          <w:rPr>
            <w:noProof/>
            <w:webHidden/>
          </w:rPr>
          <w:tab/>
        </w:r>
        <w:r w:rsidR="008A3E68">
          <w:rPr>
            <w:noProof/>
            <w:webHidden/>
          </w:rPr>
          <w:fldChar w:fldCharType="begin"/>
        </w:r>
        <w:r w:rsidR="008A3E68">
          <w:rPr>
            <w:noProof/>
            <w:webHidden/>
          </w:rPr>
          <w:instrText xml:space="preserve"> PAGEREF _Toc179453689 \h </w:instrText>
        </w:r>
        <w:r w:rsidR="008A3E68">
          <w:rPr>
            <w:noProof/>
            <w:webHidden/>
          </w:rPr>
        </w:r>
        <w:r w:rsidR="008A3E68">
          <w:rPr>
            <w:noProof/>
            <w:webHidden/>
          </w:rPr>
          <w:fldChar w:fldCharType="separate"/>
        </w:r>
        <w:r w:rsidR="008A3E68">
          <w:rPr>
            <w:noProof/>
            <w:webHidden/>
          </w:rPr>
          <w:t>41</w:t>
        </w:r>
        <w:r w:rsidR="008A3E68">
          <w:rPr>
            <w:noProof/>
            <w:webHidden/>
          </w:rPr>
          <w:fldChar w:fldCharType="end"/>
        </w:r>
      </w:hyperlink>
    </w:p>
    <w:p w14:paraId="4AD08350" w14:textId="29868021" w:rsidR="008A3E68" w:rsidRDefault="00000000">
      <w:pPr>
        <w:pStyle w:val="TOC2"/>
        <w:tabs>
          <w:tab w:val="right" w:leader="dot" w:pos="8920"/>
        </w:tabs>
        <w:rPr>
          <w:rFonts w:asciiTheme="minorHAnsi" w:eastAsiaTheme="minorEastAsia" w:hAnsiTheme="minorHAnsi"/>
          <w:noProof/>
          <w:kern w:val="2"/>
          <w:sz w:val="24"/>
          <w:szCs w:val="24"/>
          <w:lang w:eastAsia="en-AU"/>
          <w14:ligatures w14:val="standardContextual"/>
        </w:rPr>
      </w:pPr>
      <w:hyperlink w:anchor="_Toc179453690" w:history="1">
        <w:r w:rsidR="008A3E68" w:rsidRPr="00074AC8">
          <w:rPr>
            <w:rStyle w:val="Hyperlink"/>
            <w:noProof/>
          </w:rPr>
          <w:t>Indicator 3: Change in out-of-pocket expenses related to PL items</w:t>
        </w:r>
        <w:r w:rsidR="008A3E68">
          <w:rPr>
            <w:noProof/>
            <w:webHidden/>
          </w:rPr>
          <w:tab/>
        </w:r>
        <w:r w:rsidR="008A3E68">
          <w:rPr>
            <w:noProof/>
            <w:webHidden/>
          </w:rPr>
          <w:fldChar w:fldCharType="begin"/>
        </w:r>
        <w:r w:rsidR="008A3E68">
          <w:rPr>
            <w:noProof/>
            <w:webHidden/>
          </w:rPr>
          <w:instrText xml:space="preserve"> PAGEREF _Toc179453690 \h </w:instrText>
        </w:r>
        <w:r w:rsidR="008A3E68">
          <w:rPr>
            <w:noProof/>
            <w:webHidden/>
          </w:rPr>
        </w:r>
        <w:r w:rsidR="008A3E68">
          <w:rPr>
            <w:noProof/>
            <w:webHidden/>
          </w:rPr>
          <w:fldChar w:fldCharType="separate"/>
        </w:r>
        <w:r w:rsidR="008A3E68">
          <w:rPr>
            <w:noProof/>
            <w:webHidden/>
          </w:rPr>
          <w:t>48</w:t>
        </w:r>
        <w:r w:rsidR="008A3E68">
          <w:rPr>
            <w:noProof/>
            <w:webHidden/>
          </w:rPr>
          <w:fldChar w:fldCharType="end"/>
        </w:r>
      </w:hyperlink>
    </w:p>
    <w:p w14:paraId="3C4A636A" w14:textId="7ED90445" w:rsidR="008A3E68" w:rsidRDefault="00000000">
      <w:pPr>
        <w:pStyle w:val="TOC2"/>
        <w:tabs>
          <w:tab w:val="right" w:leader="dot" w:pos="8920"/>
        </w:tabs>
        <w:rPr>
          <w:rFonts w:asciiTheme="minorHAnsi" w:eastAsiaTheme="minorEastAsia" w:hAnsiTheme="minorHAnsi"/>
          <w:noProof/>
          <w:kern w:val="2"/>
          <w:sz w:val="24"/>
          <w:szCs w:val="24"/>
          <w:lang w:eastAsia="en-AU"/>
          <w14:ligatures w14:val="standardContextual"/>
        </w:rPr>
      </w:pPr>
      <w:hyperlink w:anchor="_Toc179453691" w:history="1">
        <w:r w:rsidR="008A3E68" w:rsidRPr="00074AC8">
          <w:rPr>
            <w:rStyle w:val="Hyperlink"/>
            <w:noProof/>
          </w:rPr>
          <w:t>Indicator 4: Change in clinician experience of choosing prostheses</w:t>
        </w:r>
        <w:r w:rsidR="008A3E68">
          <w:rPr>
            <w:noProof/>
            <w:webHidden/>
          </w:rPr>
          <w:tab/>
        </w:r>
        <w:r w:rsidR="008A3E68">
          <w:rPr>
            <w:noProof/>
            <w:webHidden/>
          </w:rPr>
          <w:fldChar w:fldCharType="begin"/>
        </w:r>
        <w:r w:rsidR="008A3E68">
          <w:rPr>
            <w:noProof/>
            <w:webHidden/>
          </w:rPr>
          <w:instrText xml:space="preserve"> PAGEREF _Toc179453691 \h </w:instrText>
        </w:r>
        <w:r w:rsidR="008A3E68">
          <w:rPr>
            <w:noProof/>
            <w:webHidden/>
          </w:rPr>
        </w:r>
        <w:r w:rsidR="008A3E68">
          <w:rPr>
            <w:noProof/>
            <w:webHidden/>
          </w:rPr>
          <w:fldChar w:fldCharType="separate"/>
        </w:r>
        <w:r w:rsidR="008A3E68">
          <w:rPr>
            <w:noProof/>
            <w:webHidden/>
          </w:rPr>
          <w:t>52</w:t>
        </w:r>
        <w:r w:rsidR="008A3E68">
          <w:rPr>
            <w:noProof/>
            <w:webHidden/>
          </w:rPr>
          <w:fldChar w:fldCharType="end"/>
        </w:r>
      </w:hyperlink>
    </w:p>
    <w:p w14:paraId="0CD49AB3" w14:textId="1FD44F6A" w:rsidR="008A3E68" w:rsidRDefault="00000000">
      <w:pPr>
        <w:pStyle w:val="TOC2"/>
        <w:tabs>
          <w:tab w:val="right" w:leader="dot" w:pos="8920"/>
        </w:tabs>
        <w:rPr>
          <w:rFonts w:asciiTheme="minorHAnsi" w:eastAsiaTheme="minorEastAsia" w:hAnsiTheme="minorHAnsi"/>
          <w:noProof/>
          <w:kern w:val="2"/>
          <w:sz w:val="24"/>
          <w:szCs w:val="24"/>
          <w:lang w:eastAsia="en-AU"/>
          <w14:ligatures w14:val="standardContextual"/>
        </w:rPr>
      </w:pPr>
      <w:hyperlink w:anchor="_Toc179453692" w:history="1">
        <w:r w:rsidR="008A3E68" w:rsidRPr="00074AC8">
          <w:rPr>
            <w:rStyle w:val="Hyperlink"/>
            <w:noProof/>
          </w:rPr>
          <w:t>Indicator 5: Change in utilisation of PL items</w:t>
        </w:r>
        <w:r w:rsidR="008A3E68">
          <w:rPr>
            <w:noProof/>
            <w:webHidden/>
          </w:rPr>
          <w:tab/>
        </w:r>
        <w:r w:rsidR="008A3E68">
          <w:rPr>
            <w:noProof/>
            <w:webHidden/>
          </w:rPr>
          <w:fldChar w:fldCharType="begin"/>
        </w:r>
        <w:r w:rsidR="008A3E68">
          <w:rPr>
            <w:noProof/>
            <w:webHidden/>
          </w:rPr>
          <w:instrText xml:space="preserve"> PAGEREF _Toc179453692 \h </w:instrText>
        </w:r>
        <w:r w:rsidR="008A3E68">
          <w:rPr>
            <w:noProof/>
            <w:webHidden/>
          </w:rPr>
        </w:r>
        <w:r w:rsidR="008A3E68">
          <w:rPr>
            <w:noProof/>
            <w:webHidden/>
          </w:rPr>
          <w:fldChar w:fldCharType="separate"/>
        </w:r>
        <w:r w:rsidR="008A3E68">
          <w:rPr>
            <w:noProof/>
            <w:webHidden/>
          </w:rPr>
          <w:t>53</w:t>
        </w:r>
        <w:r w:rsidR="008A3E68">
          <w:rPr>
            <w:noProof/>
            <w:webHidden/>
          </w:rPr>
          <w:fldChar w:fldCharType="end"/>
        </w:r>
      </w:hyperlink>
    </w:p>
    <w:p w14:paraId="533F798D" w14:textId="638C1C35" w:rsidR="008A3E68" w:rsidRDefault="00000000">
      <w:pPr>
        <w:pStyle w:val="TOC2"/>
        <w:tabs>
          <w:tab w:val="right" w:leader="dot" w:pos="8920"/>
        </w:tabs>
        <w:rPr>
          <w:rFonts w:asciiTheme="minorHAnsi" w:eastAsiaTheme="minorEastAsia" w:hAnsiTheme="minorHAnsi"/>
          <w:noProof/>
          <w:kern w:val="2"/>
          <w:sz w:val="24"/>
          <w:szCs w:val="24"/>
          <w:lang w:eastAsia="en-AU"/>
          <w14:ligatures w14:val="standardContextual"/>
        </w:rPr>
      </w:pPr>
      <w:hyperlink w:anchor="_Toc179453693" w:history="1">
        <w:r w:rsidR="008A3E68" w:rsidRPr="00074AC8">
          <w:rPr>
            <w:rStyle w:val="Hyperlink"/>
            <w:noProof/>
          </w:rPr>
          <w:t>Indicator 6: Change in PHI premium increases</w:t>
        </w:r>
        <w:r w:rsidR="008A3E68">
          <w:rPr>
            <w:noProof/>
            <w:webHidden/>
          </w:rPr>
          <w:tab/>
        </w:r>
        <w:r w:rsidR="008A3E68">
          <w:rPr>
            <w:noProof/>
            <w:webHidden/>
          </w:rPr>
          <w:fldChar w:fldCharType="begin"/>
        </w:r>
        <w:r w:rsidR="008A3E68">
          <w:rPr>
            <w:noProof/>
            <w:webHidden/>
          </w:rPr>
          <w:instrText xml:space="preserve"> PAGEREF _Toc179453693 \h </w:instrText>
        </w:r>
        <w:r w:rsidR="008A3E68">
          <w:rPr>
            <w:noProof/>
            <w:webHidden/>
          </w:rPr>
        </w:r>
        <w:r w:rsidR="008A3E68">
          <w:rPr>
            <w:noProof/>
            <w:webHidden/>
          </w:rPr>
          <w:fldChar w:fldCharType="separate"/>
        </w:r>
        <w:r w:rsidR="008A3E68">
          <w:rPr>
            <w:noProof/>
            <w:webHidden/>
          </w:rPr>
          <w:t>54</w:t>
        </w:r>
        <w:r w:rsidR="008A3E68">
          <w:rPr>
            <w:noProof/>
            <w:webHidden/>
          </w:rPr>
          <w:fldChar w:fldCharType="end"/>
        </w:r>
      </w:hyperlink>
    </w:p>
    <w:p w14:paraId="4526FCB9" w14:textId="4B756D07" w:rsidR="008A3E68" w:rsidRDefault="00000000">
      <w:pPr>
        <w:pStyle w:val="TOC2"/>
        <w:tabs>
          <w:tab w:val="right" w:leader="dot" w:pos="8920"/>
        </w:tabs>
        <w:rPr>
          <w:rFonts w:asciiTheme="minorHAnsi" w:eastAsiaTheme="minorEastAsia" w:hAnsiTheme="minorHAnsi"/>
          <w:noProof/>
          <w:kern w:val="2"/>
          <w:sz w:val="24"/>
          <w:szCs w:val="24"/>
          <w:lang w:eastAsia="en-AU"/>
          <w14:ligatures w14:val="standardContextual"/>
        </w:rPr>
      </w:pPr>
      <w:hyperlink w:anchor="_Toc179453694" w:history="1">
        <w:r w:rsidR="008A3E68" w:rsidRPr="00074AC8">
          <w:rPr>
            <w:rStyle w:val="Hyperlink"/>
            <w:noProof/>
          </w:rPr>
          <w:t>Indicator 7: Change in PHI coverage and for whom</w:t>
        </w:r>
        <w:r w:rsidR="008A3E68">
          <w:rPr>
            <w:noProof/>
            <w:webHidden/>
          </w:rPr>
          <w:tab/>
        </w:r>
        <w:r w:rsidR="008A3E68">
          <w:rPr>
            <w:noProof/>
            <w:webHidden/>
          </w:rPr>
          <w:fldChar w:fldCharType="begin"/>
        </w:r>
        <w:r w:rsidR="008A3E68">
          <w:rPr>
            <w:noProof/>
            <w:webHidden/>
          </w:rPr>
          <w:instrText xml:space="preserve"> PAGEREF _Toc179453694 \h </w:instrText>
        </w:r>
        <w:r w:rsidR="008A3E68">
          <w:rPr>
            <w:noProof/>
            <w:webHidden/>
          </w:rPr>
        </w:r>
        <w:r w:rsidR="008A3E68">
          <w:rPr>
            <w:noProof/>
            <w:webHidden/>
          </w:rPr>
          <w:fldChar w:fldCharType="separate"/>
        </w:r>
        <w:r w:rsidR="008A3E68">
          <w:rPr>
            <w:noProof/>
            <w:webHidden/>
          </w:rPr>
          <w:t>56</w:t>
        </w:r>
        <w:r w:rsidR="008A3E68">
          <w:rPr>
            <w:noProof/>
            <w:webHidden/>
          </w:rPr>
          <w:fldChar w:fldCharType="end"/>
        </w:r>
      </w:hyperlink>
    </w:p>
    <w:p w14:paraId="03BA31A2" w14:textId="1B81356A" w:rsidR="008A3E68" w:rsidRDefault="00000000">
      <w:pPr>
        <w:pStyle w:val="TOC2"/>
        <w:tabs>
          <w:tab w:val="right" w:leader="dot" w:pos="8920"/>
        </w:tabs>
        <w:rPr>
          <w:rFonts w:asciiTheme="minorHAnsi" w:eastAsiaTheme="minorEastAsia" w:hAnsiTheme="minorHAnsi"/>
          <w:noProof/>
          <w:kern w:val="2"/>
          <w:sz w:val="24"/>
          <w:szCs w:val="24"/>
          <w:lang w:eastAsia="en-AU"/>
          <w14:ligatures w14:val="standardContextual"/>
        </w:rPr>
      </w:pPr>
      <w:hyperlink w:anchor="_Toc179453695" w:history="1">
        <w:r w:rsidR="008A3E68" w:rsidRPr="00074AC8">
          <w:rPr>
            <w:rStyle w:val="Hyperlink"/>
            <w:noProof/>
          </w:rPr>
          <w:t>Indicator 8: Legislative changes to the PL</w:t>
        </w:r>
        <w:r w:rsidR="008A3E68">
          <w:rPr>
            <w:noProof/>
            <w:webHidden/>
          </w:rPr>
          <w:tab/>
        </w:r>
        <w:r w:rsidR="008A3E68">
          <w:rPr>
            <w:noProof/>
            <w:webHidden/>
          </w:rPr>
          <w:fldChar w:fldCharType="begin"/>
        </w:r>
        <w:r w:rsidR="008A3E68">
          <w:rPr>
            <w:noProof/>
            <w:webHidden/>
          </w:rPr>
          <w:instrText xml:space="preserve"> PAGEREF _Toc179453695 \h </w:instrText>
        </w:r>
        <w:r w:rsidR="008A3E68">
          <w:rPr>
            <w:noProof/>
            <w:webHidden/>
          </w:rPr>
        </w:r>
        <w:r w:rsidR="008A3E68">
          <w:rPr>
            <w:noProof/>
            <w:webHidden/>
          </w:rPr>
          <w:fldChar w:fldCharType="separate"/>
        </w:r>
        <w:r w:rsidR="008A3E68">
          <w:rPr>
            <w:noProof/>
            <w:webHidden/>
          </w:rPr>
          <w:t>60</w:t>
        </w:r>
        <w:r w:rsidR="008A3E68">
          <w:rPr>
            <w:noProof/>
            <w:webHidden/>
          </w:rPr>
          <w:fldChar w:fldCharType="end"/>
        </w:r>
      </w:hyperlink>
    </w:p>
    <w:p w14:paraId="190EC0F6" w14:textId="172EE38A" w:rsidR="008A3E68" w:rsidRDefault="00000000">
      <w:pPr>
        <w:pStyle w:val="TOC2"/>
        <w:tabs>
          <w:tab w:val="right" w:leader="dot" w:pos="8920"/>
        </w:tabs>
        <w:rPr>
          <w:rFonts w:asciiTheme="minorHAnsi" w:eastAsiaTheme="minorEastAsia" w:hAnsiTheme="minorHAnsi"/>
          <w:noProof/>
          <w:kern w:val="2"/>
          <w:sz w:val="24"/>
          <w:szCs w:val="24"/>
          <w:lang w:eastAsia="en-AU"/>
          <w14:ligatures w14:val="standardContextual"/>
        </w:rPr>
      </w:pPr>
      <w:hyperlink w:anchor="_Toc179453696" w:history="1">
        <w:r w:rsidR="008A3E68" w:rsidRPr="00074AC8">
          <w:rPr>
            <w:rStyle w:val="Hyperlink"/>
            <w:noProof/>
          </w:rPr>
          <w:t>Indicator 9: Implementation of PL regrouping</w:t>
        </w:r>
        <w:r w:rsidR="008A3E68">
          <w:rPr>
            <w:noProof/>
            <w:webHidden/>
          </w:rPr>
          <w:tab/>
        </w:r>
        <w:r w:rsidR="008A3E68">
          <w:rPr>
            <w:noProof/>
            <w:webHidden/>
          </w:rPr>
          <w:fldChar w:fldCharType="begin"/>
        </w:r>
        <w:r w:rsidR="008A3E68">
          <w:rPr>
            <w:noProof/>
            <w:webHidden/>
          </w:rPr>
          <w:instrText xml:space="preserve"> PAGEREF _Toc179453696 \h </w:instrText>
        </w:r>
        <w:r w:rsidR="008A3E68">
          <w:rPr>
            <w:noProof/>
            <w:webHidden/>
          </w:rPr>
        </w:r>
        <w:r w:rsidR="008A3E68">
          <w:rPr>
            <w:noProof/>
            <w:webHidden/>
          </w:rPr>
          <w:fldChar w:fldCharType="separate"/>
        </w:r>
        <w:r w:rsidR="008A3E68">
          <w:rPr>
            <w:noProof/>
            <w:webHidden/>
          </w:rPr>
          <w:t>61</w:t>
        </w:r>
        <w:r w:rsidR="008A3E68">
          <w:rPr>
            <w:noProof/>
            <w:webHidden/>
          </w:rPr>
          <w:fldChar w:fldCharType="end"/>
        </w:r>
      </w:hyperlink>
    </w:p>
    <w:p w14:paraId="660D5E2E" w14:textId="65746072" w:rsidR="008A3E68" w:rsidRDefault="00000000">
      <w:pPr>
        <w:pStyle w:val="TOC2"/>
        <w:tabs>
          <w:tab w:val="right" w:leader="dot" w:pos="8920"/>
        </w:tabs>
        <w:rPr>
          <w:rFonts w:asciiTheme="minorHAnsi" w:eastAsiaTheme="minorEastAsia" w:hAnsiTheme="minorHAnsi"/>
          <w:noProof/>
          <w:kern w:val="2"/>
          <w:sz w:val="24"/>
          <w:szCs w:val="24"/>
          <w:lang w:eastAsia="en-AU"/>
          <w14:ligatures w14:val="standardContextual"/>
        </w:rPr>
      </w:pPr>
      <w:hyperlink w:anchor="_Toc179453697" w:history="1">
        <w:r w:rsidR="008A3E68" w:rsidRPr="00074AC8">
          <w:rPr>
            <w:rStyle w:val="Hyperlink"/>
            <w:noProof/>
          </w:rPr>
          <w:t>Indicator 10: Implementation of changes to general use items</w:t>
        </w:r>
        <w:r w:rsidR="008A3E68">
          <w:rPr>
            <w:noProof/>
            <w:webHidden/>
          </w:rPr>
          <w:tab/>
        </w:r>
        <w:r w:rsidR="008A3E68">
          <w:rPr>
            <w:noProof/>
            <w:webHidden/>
          </w:rPr>
          <w:fldChar w:fldCharType="begin"/>
        </w:r>
        <w:r w:rsidR="008A3E68">
          <w:rPr>
            <w:noProof/>
            <w:webHidden/>
          </w:rPr>
          <w:instrText xml:space="preserve"> PAGEREF _Toc179453697 \h </w:instrText>
        </w:r>
        <w:r w:rsidR="008A3E68">
          <w:rPr>
            <w:noProof/>
            <w:webHidden/>
          </w:rPr>
        </w:r>
        <w:r w:rsidR="008A3E68">
          <w:rPr>
            <w:noProof/>
            <w:webHidden/>
          </w:rPr>
          <w:fldChar w:fldCharType="separate"/>
        </w:r>
        <w:r w:rsidR="008A3E68">
          <w:rPr>
            <w:noProof/>
            <w:webHidden/>
          </w:rPr>
          <w:t>64</w:t>
        </w:r>
        <w:r w:rsidR="008A3E68">
          <w:rPr>
            <w:noProof/>
            <w:webHidden/>
          </w:rPr>
          <w:fldChar w:fldCharType="end"/>
        </w:r>
      </w:hyperlink>
    </w:p>
    <w:p w14:paraId="29E2E91F" w14:textId="2FC5FF37" w:rsidR="008A3E68" w:rsidRDefault="00000000">
      <w:pPr>
        <w:pStyle w:val="TOC2"/>
        <w:tabs>
          <w:tab w:val="right" w:leader="dot" w:pos="8920"/>
        </w:tabs>
        <w:rPr>
          <w:rFonts w:asciiTheme="minorHAnsi" w:eastAsiaTheme="minorEastAsia" w:hAnsiTheme="minorHAnsi"/>
          <w:noProof/>
          <w:kern w:val="2"/>
          <w:sz w:val="24"/>
          <w:szCs w:val="24"/>
          <w:lang w:eastAsia="en-AU"/>
          <w14:ligatures w14:val="standardContextual"/>
        </w:rPr>
      </w:pPr>
      <w:hyperlink w:anchor="_Toc179453698" w:history="1">
        <w:r w:rsidR="008A3E68" w:rsidRPr="00074AC8">
          <w:rPr>
            <w:rStyle w:val="Hyperlink"/>
            <w:noProof/>
          </w:rPr>
          <w:t>Indicator 11: Assessment of legislative changes to the PL</w:t>
        </w:r>
        <w:r w:rsidR="008A3E68">
          <w:rPr>
            <w:noProof/>
            <w:webHidden/>
          </w:rPr>
          <w:tab/>
        </w:r>
        <w:r w:rsidR="008A3E68">
          <w:rPr>
            <w:noProof/>
            <w:webHidden/>
          </w:rPr>
          <w:fldChar w:fldCharType="begin"/>
        </w:r>
        <w:r w:rsidR="008A3E68">
          <w:rPr>
            <w:noProof/>
            <w:webHidden/>
          </w:rPr>
          <w:instrText xml:space="preserve"> PAGEREF _Toc179453698 \h </w:instrText>
        </w:r>
        <w:r w:rsidR="008A3E68">
          <w:rPr>
            <w:noProof/>
            <w:webHidden/>
          </w:rPr>
        </w:r>
        <w:r w:rsidR="008A3E68">
          <w:rPr>
            <w:noProof/>
            <w:webHidden/>
          </w:rPr>
          <w:fldChar w:fldCharType="separate"/>
        </w:r>
        <w:r w:rsidR="008A3E68">
          <w:rPr>
            <w:noProof/>
            <w:webHidden/>
          </w:rPr>
          <w:t>64</w:t>
        </w:r>
        <w:r w:rsidR="008A3E68">
          <w:rPr>
            <w:noProof/>
            <w:webHidden/>
          </w:rPr>
          <w:fldChar w:fldCharType="end"/>
        </w:r>
      </w:hyperlink>
    </w:p>
    <w:p w14:paraId="01161F03" w14:textId="45A0412F" w:rsidR="008A3E68" w:rsidRDefault="00000000">
      <w:pPr>
        <w:pStyle w:val="TOC2"/>
        <w:tabs>
          <w:tab w:val="right" w:leader="dot" w:pos="8920"/>
        </w:tabs>
        <w:rPr>
          <w:rFonts w:asciiTheme="minorHAnsi" w:eastAsiaTheme="minorEastAsia" w:hAnsiTheme="minorHAnsi"/>
          <w:noProof/>
          <w:kern w:val="2"/>
          <w:sz w:val="24"/>
          <w:szCs w:val="24"/>
          <w:lang w:eastAsia="en-AU"/>
          <w14:ligatures w14:val="standardContextual"/>
        </w:rPr>
      </w:pPr>
      <w:hyperlink w:anchor="_Toc179453699" w:history="1">
        <w:r w:rsidR="008A3E68" w:rsidRPr="00074AC8">
          <w:rPr>
            <w:rStyle w:val="Hyperlink"/>
            <w:noProof/>
          </w:rPr>
          <w:t>Indicator 12: Assessment of PL regrouping</w:t>
        </w:r>
        <w:r w:rsidR="008A3E68">
          <w:rPr>
            <w:noProof/>
            <w:webHidden/>
          </w:rPr>
          <w:tab/>
        </w:r>
        <w:r w:rsidR="008A3E68">
          <w:rPr>
            <w:noProof/>
            <w:webHidden/>
          </w:rPr>
          <w:fldChar w:fldCharType="begin"/>
        </w:r>
        <w:r w:rsidR="008A3E68">
          <w:rPr>
            <w:noProof/>
            <w:webHidden/>
          </w:rPr>
          <w:instrText xml:space="preserve"> PAGEREF _Toc179453699 \h </w:instrText>
        </w:r>
        <w:r w:rsidR="008A3E68">
          <w:rPr>
            <w:noProof/>
            <w:webHidden/>
          </w:rPr>
        </w:r>
        <w:r w:rsidR="008A3E68">
          <w:rPr>
            <w:noProof/>
            <w:webHidden/>
          </w:rPr>
          <w:fldChar w:fldCharType="separate"/>
        </w:r>
        <w:r w:rsidR="008A3E68">
          <w:rPr>
            <w:noProof/>
            <w:webHidden/>
          </w:rPr>
          <w:t>65</w:t>
        </w:r>
        <w:r w:rsidR="008A3E68">
          <w:rPr>
            <w:noProof/>
            <w:webHidden/>
          </w:rPr>
          <w:fldChar w:fldCharType="end"/>
        </w:r>
      </w:hyperlink>
    </w:p>
    <w:p w14:paraId="48B053E9" w14:textId="555E5AE6" w:rsidR="008A3E68" w:rsidRDefault="00000000">
      <w:pPr>
        <w:pStyle w:val="TOC2"/>
        <w:tabs>
          <w:tab w:val="right" w:leader="dot" w:pos="8920"/>
        </w:tabs>
        <w:rPr>
          <w:rFonts w:asciiTheme="minorHAnsi" w:eastAsiaTheme="minorEastAsia" w:hAnsiTheme="minorHAnsi"/>
          <w:noProof/>
          <w:kern w:val="2"/>
          <w:sz w:val="24"/>
          <w:szCs w:val="24"/>
          <w:lang w:eastAsia="en-AU"/>
          <w14:ligatures w14:val="standardContextual"/>
        </w:rPr>
      </w:pPr>
      <w:hyperlink w:anchor="_Toc179453700" w:history="1">
        <w:r w:rsidR="008A3E68" w:rsidRPr="00074AC8">
          <w:rPr>
            <w:rStyle w:val="Hyperlink"/>
            <w:noProof/>
          </w:rPr>
          <w:t>Indicator 13: Assessment of changes to general use items</w:t>
        </w:r>
        <w:r w:rsidR="008A3E68">
          <w:rPr>
            <w:noProof/>
            <w:webHidden/>
          </w:rPr>
          <w:tab/>
        </w:r>
        <w:r w:rsidR="008A3E68">
          <w:rPr>
            <w:noProof/>
            <w:webHidden/>
          </w:rPr>
          <w:fldChar w:fldCharType="begin"/>
        </w:r>
        <w:r w:rsidR="008A3E68">
          <w:rPr>
            <w:noProof/>
            <w:webHidden/>
          </w:rPr>
          <w:instrText xml:space="preserve"> PAGEREF _Toc179453700 \h </w:instrText>
        </w:r>
        <w:r w:rsidR="008A3E68">
          <w:rPr>
            <w:noProof/>
            <w:webHidden/>
          </w:rPr>
        </w:r>
        <w:r w:rsidR="008A3E68">
          <w:rPr>
            <w:noProof/>
            <w:webHidden/>
          </w:rPr>
          <w:fldChar w:fldCharType="separate"/>
        </w:r>
        <w:r w:rsidR="008A3E68">
          <w:rPr>
            <w:noProof/>
            <w:webHidden/>
          </w:rPr>
          <w:t>66</w:t>
        </w:r>
        <w:r w:rsidR="008A3E68">
          <w:rPr>
            <w:noProof/>
            <w:webHidden/>
          </w:rPr>
          <w:fldChar w:fldCharType="end"/>
        </w:r>
      </w:hyperlink>
    </w:p>
    <w:p w14:paraId="2F8FF6BA" w14:textId="338E22D9" w:rsidR="008A3E68" w:rsidRDefault="00000000">
      <w:pPr>
        <w:pStyle w:val="TOC2"/>
        <w:tabs>
          <w:tab w:val="right" w:leader="dot" w:pos="8920"/>
        </w:tabs>
        <w:rPr>
          <w:rFonts w:asciiTheme="minorHAnsi" w:eastAsiaTheme="minorEastAsia" w:hAnsiTheme="minorHAnsi"/>
          <w:noProof/>
          <w:kern w:val="2"/>
          <w:sz w:val="24"/>
          <w:szCs w:val="24"/>
          <w:lang w:eastAsia="en-AU"/>
          <w14:ligatures w14:val="standardContextual"/>
        </w:rPr>
      </w:pPr>
      <w:hyperlink w:anchor="_Toc179453701" w:history="1">
        <w:r w:rsidR="008A3E68" w:rsidRPr="00074AC8">
          <w:rPr>
            <w:rStyle w:val="Hyperlink"/>
            <w:noProof/>
          </w:rPr>
          <w:t>Indicator 14: Implementation of new assessment processes</w:t>
        </w:r>
        <w:r w:rsidR="008A3E68">
          <w:rPr>
            <w:noProof/>
            <w:webHidden/>
          </w:rPr>
          <w:tab/>
        </w:r>
        <w:r w:rsidR="008A3E68">
          <w:rPr>
            <w:noProof/>
            <w:webHidden/>
          </w:rPr>
          <w:fldChar w:fldCharType="begin"/>
        </w:r>
        <w:r w:rsidR="008A3E68">
          <w:rPr>
            <w:noProof/>
            <w:webHidden/>
          </w:rPr>
          <w:instrText xml:space="preserve"> PAGEREF _Toc179453701 \h </w:instrText>
        </w:r>
        <w:r w:rsidR="008A3E68">
          <w:rPr>
            <w:noProof/>
            <w:webHidden/>
          </w:rPr>
        </w:r>
        <w:r w:rsidR="008A3E68">
          <w:rPr>
            <w:noProof/>
            <w:webHidden/>
          </w:rPr>
          <w:fldChar w:fldCharType="separate"/>
        </w:r>
        <w:r w:rsidR="008A3E68">
          <w:rPr>
            <w:noProof/>
            <w:webHidden/>
          </w:rPr>
          <w:t>66</w:t>
        </w:r>
        <w:r w:rsidR="008A3E68">
          <w:rPr>
            <w:noProof/>
            <w:webHidden/>
          </w:rPr>
          <w:fldChar w:fldCharType="end"/>
        </w:r>
      </w:hyperlink>
    </w:p>
    <w:p w14:paraId="40F8FDC9" w14:textId="67EC1037" w:rsidR="008A3E68" w:rsidRDefault="00000000">
      <w:pPr>
        <w:pStyle w:val="TOC2"/>
        <w:tabs>
          <w:tab w:val="right" w:leader="dot" w:pos="8920"/>
        </w:tabs>
        <w:rPr>
          <w:rFonts w:asciiTheme="minorHAnsi" w:eastAsiaTheme="minorEastAsia" w:hAnsiTheme="minorHAnsi"/>
          <w:noProof/>
          <w:kern w:val="2"/>
          <w:sz w:val="24"/>
          <w:szCs w:val="24"/>
          <w:lang w:eastAsia="en-AU"/>
          <w14:ligatures w14:val="standardContextual"/>
        </w:rPr>
      </w:pPr>
      <w:hyperlink w:anchor="_Toc179453702" w:history="1">
        <w:r w:rsidR="008A3E68" w:rsidRPr="00074AC8">
          <w:rPr>
            <w:rStyle w:val="Hyperlink"/>
            <w:noProof/>
          </w:rPr>
          <w:t>Indicator 15: Assessment of new assessment processes</w:t>
        </w:r>
        <w:r w:rsidR="008A3E68">
          <w:rPr>
            <w:noProof/>
            <w:webHidden/>
          </w:rPr>
          <w:tab/>
        </w:r>
        <w:r w:rsidR="008A3E68">
          <w:rPr>
            <w:noProof/>
            <w:webHidden/>
          </w:rPr>
          <w:fldChar w:fldCharType="begin"/>
        </w:r>
        <w:r w:rsidR="008A3E68">
          <w:rPr>
            <w:noProof/>
            <w:webHidden/>
          </w:rPr>
          <w:instrText xml:space="preserve"> PAGEREF _Toc179453702 \h </w:instrText>
        </w:r>
        <w:r w:rsidR="008A3E68">
          <w:rPr>
            <w:noProof/>
            <w:webHidden/>
          </w:rPr>
        </w:r>
        <w:r w:rsidR="008A3E68">
          <w:rPr>
            <w:noProof/>
            <w:webHidden/>
          </w:rPr>
          <w:fldChar w:fldCharType="separate"/>
        </w:r>
        <w:r w:rsidR="008A3E68">
          <w:rPr>
            <w:noProof/>
            <w:webHidden/>
          </w:rPr>
          <w:t>67</w:t>
        </w:r>
        <w:r w:rsidR="008A3E68">
          <w:rPr>
            <w:noProof/>
            <w:webHidden/>
          </w:rPr>
          <w:fldChar w:fldCharType="end"/>
        </w:r>
      </w:hyperlink>
    </w:p>
    <w:p w14:paraId="2B2CD50C" w14:textId="77D7289D" w:rsidR="008A3E68" w:rsidRDefault="00000000">
      <w:pPr>
        <w:pStyle w:val="TOC2"/>
        <w:tabs>
          <w:tab w:val="right" w:leader="dot" w:pos="8920"/>
        </w:tabs>
        <w:rPr>
          <w:rFonts w:asciiTheme="minorHAnsi" w:eastAsiaTheme="minorEastAsia" w:hAnsiTheme="minorHAnsi"/>
          <w:noProof/>
          <w:kern w:val="2"/>
          <w:sz w:val="24"/>
          <w:szCs w:val="24"/>
          <w:lang w:eastAsia="en-AU"/>
          <w14:ligatures w14:val="standardContextual"/>
        </w:rPr>
      </w:pPr>
      <w:hyperlink w:anchor="_Toc179453703" w:history="1">
        <w:r w:rsidR="008A3E68" w:rsidRPr="00074AC8">
          <w:rPr>
            <w:rStyle w:val="Hyperlink"/>
            <w:noProof/>
          </w:rPr>
          <w:t>Indicator 16: Change in listing review and compliance frameworks</w:t>
        </w:r>
        <w:r w:rsidR="008A3E68">
          <w:rPr>
            <w:noProof/>
            <w:webHidden/>
          </w:rPr>
          <w:tab/>
        </w:r>
        <w:r w:rsidR="008A3E68">
          <w:rPr>
            <w:noProof/>
            <w:webHidden/>
          </w:rPr>
          <w:fldChar w:fldCharType="begin"/>
        </w:r>
        <w:r w:rsidR="008A3E68">
          <w:rPr>
            <w:noProof/>
            <w:webHidden/>
          </w:rPr>
          <w:instrText xml:space="preserve"> PAGEREF _Toc179453703 \h </w:instrText>
        </w:r>
        <w:r w:rsidR="008A3E68">
          <w:rPr>
            <w:noProof/>
            <w:webHidden/>
          </w:rPr>
        </w:r>
        <w:r w:rsidR="008A3E68">
          <w:rPr>
            <w:noProof/>
            <w:webHidden/>
          </w:rPr>
          <w:fldChar w:fldCharType="separate"/>
        </w:r>
        <w:r w:rsidR="008A3E68">
          <w:rPr>
            <w:noProof/>
            <w:webHidden/>
          </w:rPr>
          <w:t>69</w:t>
        </w:r>
        <w:r w:rsidR="008A3E68">
          <w:rPr>
            <w:noProof/>
            <w:webHidden/>
          </w:rPr>
          <w:fldChar w:fldCharType="end"/>
        </w:r>
      </w:hyperlink>
    </w:p>
    <w:p w14:paraId="71F5FCB5" w14:textId="0BC2D4AE" w:rsidR="008A3E68" w:rsidRDefault="00000000">
      <w:pPr>
        <w:pStyle w:val="TOC2"/>
        <w:tabs>
          <w:tab w:val="right" w:leader="dot" w:pos="8920"/>
        </w:tabs>
        <w:rPr>
          <w:rFonts w:asciiTheme="minorHAnsi" w:eastAsiaTheme="minorEastAsia" w:hAnsiTheme="minorHAnsi"/>
          <w:noProof/>
          <w:kern w:val="2"/>
          <w:sz w:val="24"/>
          <w:szCs w:val="24"/>
          <w:lang w:eastAsia="en-AU"/>
          <w14:ligatures w14:val="standardContextual"/>
        </w:rPr>
      </w:pPr>
      <w:hyperlink w:anchor="_Toc179453704" w:history="1">
        <w:r w:rsidR="008A3E68" w:rsidRPr="00074AC8">
          <w:rPr>
            <w:rStyle w:val="Hyperlink"/>
            <w:noProof/>
          </w:rPr>
          <w:t>Indicator 17: Assessment of listing review and compliance frameworks</w:t>
        </w:r>
        <w:r w:rsidR="008A3E68">
          <w:rPr>
            <w:noProof/>
            <w:webHidden/>
          </w:rPr>
          <w:tab/>
        </w:r>
        <w:r w:rsidR="008A3E68">
          <w:rPr>
            <w:noProof/>
            <w:webHidden/>
          </w:rPr>
          <w:fldChar w:fldCharType="begin"/>
        </w:r>
        <w:r w:rsidR="008A3E68">
          <w:rPr>
            <w:noProof/>
            <w:webHidden/>
          </w:rPr>
          <w:instrText xml:space="preserve"> PAGEREF _Toc179453704 \h </w:instrText>
        </w:r>
        <w:r w:rsidR="008A3E68">
          <w:rPr>
            <w:noProof/>
            <w:webHidden/>
          </w:rPr>
        </w:r>
        <w:r w:rsidR="008A3E68">
          <w:rPr>
            <w:noProof/>
            <w:webHidden/>
          </w:rPr>
          <w:fldChar w:fldCharType="separate"/>
        </w:r>
        <w:r w:rsidR="008A3E68">
          <w:rPr>
            <w:noProof/>
            <w:webHidden/>
          </w:rPr>
          <w:t>70</w:t>
        </w:r>
        <w:r w:rsidR="008A3E68">
          <w:rPr>
            <w:noProof/>
            <w:webHidden/>
          </w:rPr>
          <w:fldChar w:fldCharType="end"/>
        </w:r>
      </w:hyperlink>
    </w:p>
    <w:p w14:paraId="04EC934F" w14:textId="46923CEB" w:rsidR="008A3E68" w:rsidRDefault="00000000">
      <w:pPr>
        <w:pStyle w:val="TOC2"/>
        <w:tabs>
          <w:tab w:val="right" w:leader="dot" w:pos="8920"/>
        </w:tabs>
        <w:rPr>
          <w:rFonts w:asciiTheme="minorHAnsi" w:eastAsiaTheme="minorEastAsia" w:hAnsiTheme="minorHAnsi"/>
          <w:noProof/>
          <w:kern w:val="2"/>
          <w:sz w:val="24"/>
          <w:szCs w:val="24"/>
          <w:lang w:eastAsia="en-AU"/>
          <w14:ligatures w14:val="standardContextual"/>
        </w:rPr>
      </w:pPr>
      <w:hyperlink w:anchor="_Toc179453705" w:history="1">
        <w:r w:rsidR="008A3E68" w:rsidRPr="00074AC8">
          <w:rPr>
            <w:rStyle w:val="Hyperlink"/>
            <w:noProof/>
          </w:rPr>
          <w:t>Indicator 18: Implementation of cost recovery arrangements</w:t>
        </w:r>
        <w:r w:rsidR="008A3E68">
          <w:rPr>
            <w:noProof/>
            <w:webHidden/>
          </w:rPr>
          <w:tab/>
        </w:r>
        <w:r w:rsidR="008A3E68">
          <w:rPr>
            <w:noProof/>
            <w:webHidden/>
          </w:rPr>
          <w:fldChar w:fldCharType="begin"/>
        </w:r>
        <w:r w:rsidR="008A3E68">
          <w:rPr>
            <w:noProof/>
            <w:webHidden/>
          </w:rPr>
          <w:instrText xml:space="preserve"> PAGEREF _Toc179453705 \h </w:instrText>
        </w:r>
        <w:r w:rsidR="008A3E68">
          <w:rPr>
            <w:noProof/>
            <w:webHidden/>
          </w:rPr>
        </w:r>
        <w:r w:rsidR="008A3E68">
          <w:rPr>
            <w:noProof/>
            <w:webHidden/>
          </w:rPr>
          <w:fldChar w:fldCharType="separate"/>
        </w:r>
        <w:r w:rsidR="008A3E68">
          <w:rPr>
            <w:noProof/>
            <w:webHidden/>
          </w:rPr>
          <w:t>73</w:t>
        </w:r>
        <w:r w:rsidR="008A3E68">
          <w:rPr>
            <w:noProof/>
            <w:webHidden/>
          </w:rPr>
          <w:fldChar w:fldCharType="end"/>
        </w:r>
      </w:hyperlink>
    </w:p>
    <w:p w14:paraId="02DBF261" w14:textId="5FC91A7A" w:rsidR="008A3E68" w:rsidRDefault="00000000">
      <w:pPr>
        <w:pStyle w:val="TOC2"/>
        <w:tabs>
          <w:tab w:val="right" w:leader="dot" w:pos="8920"/>
        </w:tabs>
        <w:rPr>
          <w:rFonts w:asciiTheme="minorHAnsi" w:eastAsiaTheme="minorEastAsia" w:hAnsiTheme="minorHAnsi"/>
          <w:noProof/>
          <w:kern w:val="2"/>
          <w:sz w:val="24"/>
          <w:szCs w:val="24"/>
          <w:lang w:eastAsia="en-AU"/>
          <w14:ligatures w14:val="standardContextual"/>
        </w:rPr>
      </w:pPr>
      <w:hyperlink w:anchor="_Toc179453706" w:history="1">
        <w:r w:rsidR="008A3E68" w:rsidRPr="00074AC8">
          <w:rPr>
            <w:rStyle w:val="Hyperlink"/>
            <w:noProof/>
          </w:rPr>
          <w:t>Indicator 19: Financial sustainability of PL administration</w:t>
        </w:r>
        <w:r w:rsidR="008A3E68">
          <w:rPr>
            <w:noProof/>
            <w:webHidden/>
          </w:rPr>
          <w:tab/>
        </w:r>
        <w:r w:rsidR="008A3E68">
          <w:rPr>
            <w:noProof/>
            <w:webHidden/>
          </w:rPr>
          <w:fldChar w:fldCharType="begin"/>
        </w:r>
        <w:r w:rsidR="008A3E68">
          <w:rPr>
            <w:noProof/>
            <w:webHidden/>
          </w:rPr>
          <w:instrText xml:space="preserve"> PAGEREF _Toc179453706 \h </w:instrText>
        </w:r>
        <w:r w:rsidR="008A3E68">
          <w:rPr>
            <w:noProof/>
            <w:webHidden/>
          </w:rPr>
        </w:r>
        <w:r w:rsidR="008A3E68">
          <w:rPr>
            <w:noProof/>
            <w:webHidden/>
          </w:rPr>
          <w:fldChar w:fldCharType="separate"/>
        </w:r>
        <w:r w:rsidR="008A3E68">
          <w:rPr>
            <w:noProof/>
            <w:webHidden/>
          </w:rPr>
          <w:t>73</w:t>
        </w:r>
        <w:r w:rsidR="008A3E68">
          <w:rPr>
            <w:noProof/>
            <w:webHidden/>
          </w:rPr>
          <w:fldChar w:fldCharType="end"/>
        </w:r>
      </w:hyperlink>
    </w:p>
    <w:p w14:paraId="4AEE1AF3" w14:textId="6DF288FC" w:rsidR="008A3E68" w:rsidRDefault="00000000">
      <w:pPr>
        <w:pStyle w:val="TOC1"/>
        <w:tabs>
          <w:tab w:val="left" w:pos="1320"/>
        </w:tabs>
        <w:rPr>
          <w:rFonts w:asciiTheme="minorHAnsi" w:eastAsiaTheme="minorEastAsia" w:hAnsiTheme="minorHAnsi"/>
          <w:noProof/>
          <w:kern w:val="2"/>
          <w:sz w:val="24"/>
          <w:szCs w:val="24"/>
          <w:lang w:eastAsia="en-AU"/>
          <w14:ligatures w14:val="standardContextual"/>
        </w:rPr>
      </w:pPr>
      <w:hyperlink w:anchor="_Toc179453707" w:history="1">
        <w:r w:rsidR="008A3E68" w:rsidRPr="00074AC8">
          <w:rPr>
            <w:rStyle w:val="Hyperlink"/>
            <w:noProof/>
          </w:rPr>
          <w:t>Appendix C</w:t>
        </w:r>
        <w:r w:rsidR="008A3E68">
          <w:rPr>
            <w:rFonts w:asciiTheme="minorHAnsi" w:eastAsiaTheme="minorEastAsia" w:hAnsiTheme="minorHAnsi"/>
            <w:noProof/>
            <w:kern w:val="2"/>
            <w:sz w:val="24"/>
            <w:szCs w:val="24"/>
            <w:lang w:eastAsia="en-AU"/>
            <w14:ligatures w14:val="standardContextual"/>
          </w:rPr>
          <w:tab/>
        </w:r>
        <w:r w:rsidR="008A3E68" w:rsidRPr="00074AC8">
          <w:rPr>
            <w:rStyle w:val="Hyperlink"/>
            <w:noProof/>
          </w:rPr>
          <w:t>Mapping of objectives to reform projects and key evaluation sub-questions</w:t>
        </w:r>
        <w:r w:rsidR="008A3E68">
          <w:rPr>
            <w:noProof/>
            <w:webHidden/>
          </w:rPr>
          <w:tab/>
        </w:r>
        <w:r w:rsidR="008A3E68">
          <w:rPr>
            <w:noProof/>
            <w:webHidden/>
          </w:rPr>
          <w:fldChar w:fldCharType="begin"/>
        </w:r>
        <w:r w:rsidR="008A3E68">
          <w:rPr>
            <w:noProof/>
            <w:webHidden/>
          </w:rPr>
          <w:instrText xml:space="preserve"> PAGEREF _Toc179453707 \h </w:instrText>
        </w:r>
        <w:r w:rsidR="008A3E68">
          <w:rPr>
            <w:noProof/>
            <w:webHidden/>
          </w:rPr>
        </w:r>
        <w:r w:rsidR="008A3E68">
          <w:rPr>
            <w:noProof/>
            <w:webHidden/>
          </w:rPr>
          <w:fldChar w:fldCharType="separate"/>
        </w:r>
        <w:r w:rsidR="008A3E68">
          <w:rPr>
            <w:noProof/>
            <w:webHidden/>
          </w:rPr>
          <w:t>75</w:t>
        </w:r>
        <w:r w:rsidR="008A3E68">
          <w:rPr>
            <w:noProof/>
            <w:webHidden/>
          </w:rPr>
          <w:fldChar w:fldCharType="end"/>
        </w:r>
      </w:hyperlink>
    </w:p>
    <w:p w14:paraId="2B8CC076" w14:textId="7EEF580A" w:rsidR="008A3E68" w:rsidRDefault="00000000">
      <w:pPr>
        <w:pStyle w:val="TOC1"/>
        <w:tabs>
          <w:tab w:val="left" w:pos="1320"/>
        </w:tabs>
        <w:rPr>
          <w:rFonts w:asciiTheme="minorHAnsi" w:eastAsiaTheme="minorEastAsia" w:hAnsiTheme="minorHAnsi"/>
          <w:noProof/>
          <w:kern w:val="2"/>
          <w:sz w:val="24"/>
          <w:szCs w:val="24"/>
          <w:lang w:eastAsia="en-AU"/>
          <w14:ligatures w14:val="standardContextual"/>
        </w:rPr>
      </w:pPr>
      <w:hyperlink w:anchor="_Toc179453708" w:history="1">
        <w:r w:rsidR="008A3E68" w:rsidRPr="00074AC8">
          <w:rPr>
            <w:rStyle w:val="Hyperlink"/>
            <w:noProof/>
          </w:rPr>
          <w:t>Appendix D</w:t>
        </w:r>
        <w:r w:rsidR="008A3E68">
          <w:rPr>
            <w:rFonts w:asciiTheme="minorHAnsi" w:eastAsiaTheme="minorEastAsia" w:hAnsiTheme="minorHAnsi"/>
            <w:noProof/>
            <w:kern w:val="2"/>
            <w:sz w:val="24"/>
            <w:szCs w:val="24"/>
            <w:lang w:eastAsia="en-AU"/>
            <w14:ligatures w14:val="standardContextual"/>
          </w:rPr>
          <w:tab/>
        </w:r>
        <w:r w:rsidR="008A3E68" w:rsidRPr="00074AC8">
          <w:rPr>
            <w:rStyle w:val="Hyperlink"/>
            <w:noProof/>
          </w:rPr>
          <w:t>Method</w:t>
        </w:r>
        <w:r w:rsidR="008A3E68">
          <w:rPr>
            <w:noProof/>
            <w:webHidden/>
          </w:rPr>
          <w:tab/>
        </w:r>
        <w:r w:rsidR="008A3E68">
          <w:rPr>
            <w:noProof/>
            <w:webHidden/>
          </w:rPr>
          <w:fldChar w:fldCharType="begin"/>
        </w:r>
        <w:r w:rsidR="008A3E68">
          <w:rPr>
            <w:noProof/>
            <w:webHidden/>
          </w:rPr>
          <w:instrText xml:space="preserve"> PAGEREF _Toc179453708 \h </w:instrText>
        </w:r>
        <w:r w:rsidR="008A3E68">
          <w:rPr>
            <w:noProof/>
            <w:webHidden/>
          </w:rPr>
        </w:r>
        <w:r w:rsidR="008A3E68">
          <w:rPr>
            <w:noProof/>
            <w:webHidden/>
          </w:rPr>
          <w:fldChar w:fldCharType="separate"/>
        </w:r>
        <w:r w:rsidR="008A3E68">
          <w:rPr>
            <w:noProof/>
            <w:webHidden/>
          </w:rPr>
          <w:t>77</w:t>
        </w:r>
        <w:r w:rsidR="008A3E68">
          <w:rPr>
            <w:noProof/>
            <w:webHidden/>
          </w:rPr>
          <w:fldChar w:fldCharType="end"/>
        </w:r>
      </w:hyperlink>
    </w:p>
    <w:p w14:paraId="51C033BA" w14:textId="21A3DC8D" w:rsidR="008A3E68" w:rsidRDefault="00000000">
      <w:pPr>
        <w:pStyle w:val="TOC2"/>
        <w:tabs>
          <w:tab w:val="right" w:leader="dot" w:pos="8920"/>
        </w:tabs>
        <w:rPr>
          <w:rFonts w:asciiTheme="minorHAnsi" w:eastAsiaTheme="minorEastAsia" w:hAnsiTheme="minorHAnsi"/>
          <w:noProof/>
          <w:kern w:val="2"/>
          <w:sz w:val="24"/>
          <w:szCs w:val="24"/>
          <w:lang w:eastAsia="en-AU"/>
          <w14:ligatures w14:val="standardContextual"/>
        </w:rPr>
      </w:pPr>
      <w:hyperlink w:anchor="_Toc179453709" w:history="1">
        <w:r w:rsidR="008A3E68" w:rsidRPr="00074AC8">
          <w:rPr>
            <w:rStyle w:val="Hyperlink"/>
            <w:noProof/>
          </w:rPr>
          <w:t>Quantitative data collection and analysis</w:t>
        </w:r>
        <w:r w:rsidR="008A3E68">
          <w:rPr>
            <w:noProof/>
            <w:webHidden/>
          </w:rPr>
          <w:tab/>
        </w:r>
        <w:r w:rsidR="008A3E68">
          <w:rPr>
            <w:noProof/>
            <w:webHidden/>
          </w:rPr>
          <w:fldChar w:fldCharType="begin"/>
        </w:r>
        <w:r w:rsidR="008A3E68">
          <w:rPr>
            <w:noProof/>
            <w:webHidden/>
          </w:rPr>
          <w:instrText xml:space="preserve"> PAGEREF _Toc179453709 \h </w:instrText>
        </w:r>
        <w:r w:rsidR="008A3E68">
          <w:rPr>
            <w:noProof/>
            <w:webHidden/>
          </w:rPr>
        </w:r>
        <w:r w:rsidR="008A3E68">
          <w:rPr>
            <w:noProof/>
            <w:webHidden/>
          </w:rPr>
          <w:fldChar w:fldCharType="separate"/>
        </w:r>
        <w:r w:rsidR="008A3E68">
          <w:rPr>
            <w:noProof/>
            <w:webHidden/>
          </w:rPr>
          <w:t>77</w:t>
        </w:r>
        <w:r w:rsidR="008A3E68">
          <w:rPr>
            <w:noProof/>
            <w:webHidden/>
          </w:rPr>
          <w:fldChar w:fldCharType="end"/>
        </w:r>
      </w:hyperlink>
    </w:p>
    <w:p w14:paraId="558D3DA3" w14:textId="5BD9B14A" w:rsidR="008A3E68" w:rsidRDefault="00000000">
      <w:pPr>
        <w:pStyle w:val="TOC2"/>
        <w:tabs>
          <w:tab w:val="right" w:leader="dot" w:pos="8920"/>
        </w:tabs>
        <w:rPr>
          <w:rFonts w:asciiTheme="minorHAnsi" w:eastAsiaTheme="minorEastAsia" w:hAnsiTheme="minorHAnsi"/>
          <w:noProof/>
          <w:kern w:val="2"/>
          <w:sz w:val="24"/>
          <w:szCs w:val="24"/>
          <w:lang w:eastAsia="en-AU"/>
          <w14:ligatures w14:val="standardContextual"/>
        </w:rPr>
      </w:pPr>
      <w:hyperlink w:anchor="_Toc179453710" w:history="1">
        <w:r w:rsidR="008A3E68" w:rsidRPr="00074AC8">
          <w:rPr>
            <w:rStyle w:val="Hyperlink"/>
            <w:noProof/>
          </w:rPr>
          <w:t>Qualitative data collection and analysis</w:t>
        </w:r>
        <w:r w:rsidR="008A3E68">
          <w:rPr>
            <w:noProof/>
            <w:webHidden/>
          </w:rPr>
          <w:tab/>
        </w:r>
        <w:r w:rsidR="008A3E68">
          <w:rPr>
            <w:noProof/>
            <w:webHidden/>
          </w:rPr>
          <w:fldChar w:fldCharType="begin"/>
        </w:r>
        <w:r w:rsidR="008A3E68">
          <w:rPr>
            <w:noProof/>
            <w:webHidden/>
          </w:rPr>
          <w:instrText xml:space="preserve"> PAGEREF _Toc179453710 \h </w:instrText>
        </w:r>
        <w:r w:rsidR="008A3E68">
          <w:rPr>
            <w:noProof/>
            <w:webHidden/>
          </w:rPr>
        </w:r>
        <w:r w:rsidR="008A3E68">
          <w:rPr>
            <w:noProof/>
            <w:webHidden/>
          </w:rPr>
          <w:fldChar w:fldCharType="separate"/>
        </w:r>
        <w:r w:rsidR="008A3E68">
          <w:rPr>
            <w:noProof/>
            <w:webHidden/>
          </w:rPr>
          <w:t>85</w:t>
        </w:r>
        <w:r w:rsidR="008A3E68">
          <w:rPr>
            <w:noProof/>
            <w:webHidden/>
          </w:rPr>
          <w:fldChar w:fldCharType="end"/>
        </w:r>
      </w:hyperlink>
    </w:p>
    <w:p w14:paraId="2682729A" w14:textId="508C2FC4" w:rsidR="008A3E68" w:rsidRDefault="00000000">
      <w:pPr>
        <w:pStyle w:val="TOC1"/>
        <w:tabs>
          <w:tab w:val="left" w:pos="1320"/>
        </w:tabs>
        <w:rPr>
          <w:rFonts w:asciiTheme="minorHAnsi" w:eastAsiaTheme="minorEastAsia" w:hAnsiTheme="minorHAnsi"/>
          <w:noProof/>
          <w:kern w:val="2"/>
          <w:sz w:val="24"/>
          <w:szCs w:val="24"/>
          <w:lang w:eastAsia="en-AU"/>
          <w14:ligatures w14:val="standardContextual"/>
        </w:rPr>
      </w:pPr>
      <w:hyperlink w:anchor="_Toc179453711" w:history="1">
        <w:r w:rsidR="008A3E68" w:rsidRPr="00074AC8">
          <w:rPr>
            <w:rStyle w:val="Hyperlink"/>
            <w:noProof/>
          </w:rPr>
          <w:t>Appendix E</w:t>
        </w:r>
        <w:r w:rsidR="008A3E68">
          <w:rPr>
            <w:rFonts w:asciiTheme="minorHAnsi" w:eastAsiaTheme="minorEastAsia" w:hAnsiTheme="minorHAnsi"/>
            <w:noProof/>
            <w:kern w:val="2"/>
            <w:sz w:val="24"/>
            <w:szCs w:val="24"/>
            <w:lang w:eastAsia="en-AU"/>
            <w14:ligatures w14:val="standardContextual"/>
          </w:rPr>
          <w:tab/>
        </w:r>
        <w:r w:rsidR="008A3E68" w:rsidRPr="00074AC8">
          <w:rPr>
            <w:rStyle w:val="Hyperlink"/>
            <w:noProof/>
          </w:rPr>
          <w:t>Public benchmark approximation</w:t>
        </w:r>
        <w:r w:rsidR="008A3E68">
          <w:rPr>
            <w:noProof/>
            <w:webHidden/>
          </w:rPr>
          <w:tab/>
        </w:r>
        <w:r w:rsidR="008A3E68">
          <w:rPr>
            <w:noProof/>
            <w:webHidden/>
          </w:rPr>
          <w:fldChar w:fldCharType="begin"/>
        </w:r>
        <w:r w:rsidR="008A3E68">
          <w:rPr>
            <w:noProof/>
            <w:webHidden/>
          </w:rPr>
          <w:instrText xml:space="preserve"> PAGEREF _Toc179453711 \h </w:instrText>
        </w:r>
        <w:r w:rsidR="008A3E68">
          <w:rPr>
            <w:noProof/>
            <w:webHidden/>
          </w:rPr>
        </w:r>
        <w:r w:rsidR="008A3E68">
          <w:rPr>
            <w:noProof/>
            <w:webHidden/>
          </w:rPr>
          <w:fldChar w:fldCharType="separate"/>
        </w:r>
        <w:r w:rsidR="008A3E68">
          <w:rPr>
            <w:noProof/>
            <w:webHidden/>
          </w:rPr>
          <w:t>88</w:t>
        </w:r>
        <w:r w:rsidR="008A3E68">
          <w:rPr>
            <w:noProof/>
            <w:webHidden/>
          </w:rPr>
          <w:fldChar w:fldCharType="end"/>
        </w:r>
      </w:hyperlink>
    </w:p>
    <w:p w14:paraId="7573565C" w14:textId="04A114E7" w:rsidR="008A3E68" w:rsidRDefault="00000000">
      <w:pPr>
        <w:pStyle w:val="TOC1"/>
        <w:tabs>
          <w:tab w:val="left" w:pos="1320"/>
        </w:tabs>
        <w:rPr>
          <w:rFonts w:asciiTheme="minorHAnsi" w:eastAsiaTheme="minorEastAsia" w:hAnsiTheme="minorHAnsi"/>
          <w:noProof/>
          <w:kern w:val="2"/>
          <w:sz w:val="24"/>
          <w:szCs w:val="24"/>
          <w:lang w:eastAsia="en-AU"/>
          <w14:ligatures w14:val="standardContextual"/>
        </w:rPr>
      </w:pPr>
      <w:hyperlink w:anchor="_Toc179453712" w:history="1">
        <w:r w:rsidR="008A3E68" w:rsidRPr="00074AC8">
          <w:rPr>
            <w:rStyle w:val="Hyperlink"/>
            <w:noProof/>
          </w:rPr>
          <w:t>Appendix F</w:t>
        </w:r>
        <w:r w:rsidR="008A3E68">
          <w:rPr>
            <w:rFonts w:asciiTheme="minorHAnsi" w:eastAsiaTheme="minorEastAsia" w:hAnsiTheme="minorHAnsi"/>
            <w:noProof/>
            <w:kern w:val="2"/>
            <w:sz w:val="24"/>
            <w:szCs w:val="24"/>
            <w:lang w:eastAsia="en-AU"/>
            <w14:ligatures w14:val="standardContextual"/>
          </w:rPr>
          <w:tab/>
        </w:r>
        <w:r w:rsidR="008A3E68" w:rsidRPr="00074AC8">
          <w:rPr>
            <w:rStyle w:val="Hyperlink"/>
            <w:noProof/>
          </w:rPr>
          <w:t>Note on international comparisons</w:t>
        </w:r>
        <w:r w:rsidR="008A3E68">
          <w:rPr>
            <w:noProof/>
            <w:webHidden/>
          </w:rPr>
          <w:tab/>
        </w:r>
        <w:r w:rsidR="008A3E68">
          <w:rPr>
            <w:noProof/>
            <w:webHidden/>
          </w:rPr>
          <w:fldChar w:fldCharType="begin"/>
        </w:r>
        <w:r w:rsidR="008A3E68">
          <w:rPr>
            <w:noProof/>
            <w:webHidden/>
          </w:rPr>
          <w:instrText xml:space="preserve"> PAGEREF _Toc179453712 \h </w:instrText>
        </w:r>
        <w:r w:rsidR="008A3E68">
          <w:rPr>
            <w:noProof/>
            <w:webHidden/>
          </w:rPr>
        </w:r>
        <w:r w:rsidR="008A3E68">
          <w:rPr>
            <w:noProof/>
            <w:webHidden/>
          </w:rPr>
          <w:fldChar w:fldCharType="separate"/>
        </w:r>
        <w:r w:rsidR="008A3E68">
          <w:rPr>
            <w:noProof/>
            <w:webHidden/>
          </w:rPr>
          <w:t>89</w:t>
        </w:r>
        <w:r w:rsidR="008A3E68">
          <w:rPr>
            <w:noProof/>
            <w:webHidden/>
          </w:rPr>
          <w:fldChar w:fldCharType="end"/>
        </w:r>
      </w:hyperlink>
    </w:p>
    <w:p w14:paraId="64C4EE26" w14:textId="66BE9B13" w:rsidR="008A3E68" w:rsidRDefault="00000000">
      <w:pPr>
        <w:pStyle w:val="TOC1"/>
        <w:tabs>
          <w:tab w:val="left" w:pos="1320"/>
        </w:tabs>
        <w:rPr>
          <w:rFonts w:asciiTheme="minorHAnsi" w:eastAsiaTheme="minorEastAsia" w:hAnsiTheme="minorHAnsi"/>
          <w:noProof/>
          <w:kern w:val="2"/>
          <w:sz w:val="24"/>
          <w:szCs w:val="24"/>
          <w:lang w:eastAsia="en-AU"/>
          <w14:ligatures w14:val="standardContextual"/>
        </w:rPr>
      </w:pPr>
      <w:hyperlink w:anchor="_Toc179453713" w:history="1">
        <w:r w:rsidR="008A3E68" w:rsidRPr="00074AC8">
          <w:rPr>
            <w:rStyle w:val="Hyperlink"/>
            <w:noProof/>
          </w:rPr>
          <w:t>Appendix G</w:t>
        </w:r>
        <w:r w:rsidR="008A3E68">
          <w:rPr>
            <w:rFonts w:asciiTheme="minorHAnsi" w:eastAsiaTheme="minorEastAsia" w:hAnsiTheme="minorHAnsi"/>
            <w:noProof/>
            <w:kern w:val="2"/>
            <w:sz w:val="24"/>
            <w:szCs w:val="24"/>
            <w:lang w:eastAsia="en-AU"/>
            <w14:ligatures w14:val="standardContextual"/>
          </w:rPr>
          <w:tab/>
        </w:r>
        <w:r w:rsidR="008A3E68" w:rsidRPr="00074AC8">
          <w:rPr>
            <w:rStyle w:val="Hyperlink"/>
            <w:noProof/>
          </w:rPr>
          <w:t>Utilisation of PL items</w:t>
        </w:r>
        <w:r w:rsidR="008A3E68">
          <w:rPr>
            <w:noProof/>
            <w:webHidden/>
          </w:rPr>
          <w:tab/>
        </w:r>
        <w:r w:rsidR="008A3E68">
          <w:rPr>
            <w:noProof/>
            <w:webHidden/>
          </w:rPr>
          <w:fldChar w:fldCharType="begin"/>
        </w:r>
        <w:r w:rsidR="008A3E68">
          <w:rPr>
            <w:noProof/>
            <w:webHidden/>
          </w:rPr>
          <w:instrText xml:space="preserve"> PAGEREF _Toc179453713 \h </w:instrText>
        </w:r>
        <w:r w:rsidR="008A3E68">
          <w:rPr>
            <w:noProof/>
            <w:webHidden/>
          </w:rPr>
        </w:r>
        <w:r w:rsidR="008A3E68">
          <w:rPr>
            <w:noProof/>
            <w:webHidden/>
          </w:rPr>
          <w:fldChar w:fldCharType="separate"/>
        </w:r>
        <w:r w:rsidR="008A3E68">
          <w:rPr>
            <w:noProof/>
            <w:webHidden/>
          </w:rPr>
          <w:t>90</w:t>
        </w:r>
        <w:r w:rsidR="008A3E68">
          <w:rPr>
            <w:noProof/>
            <w:webHidden/>
          </w:rPr>
          <w:fldChar w:fldCharType="end"/>
        </w:r>
      </w:hyperlink>
    </w:p>
    <w:p w14:paraId="71F102D7" w14:textId="06B50271" w:rsidR="008A3E68" w:rsidRDefault="00000000">
      <w:pPr>
        <w:pStyle w:val="TOC1"/>
        <w:tabs>
          <w:tab w:val="left" w:pos="1320"/>
        </w:tabs>
        <w:rPr>
          <w:rFonts w:asciiTheme="minorHAnsi" w:eastAsiaTheme="minorEastAsia" w:hAnsiTheme="minorHAnsi"/>
          <w:noProof/>
          <w:kern w:val="2"/>
          <w:sz w:val="24"/>
          <w:szCs w:val="24"/>
          <w:lang w:eastAsia="en-AU"/>
          <w14:ligatures w14:val="standardContextual"/>
        </w:rPr>
      </w:pPr>
      <w:hyperlink w:anchor="_Toc179453714" w:history="1">
        <w:r w:rsidR="008A3E68" w:rsidRPr="00074AC8">
          <w:rPr>
            <w:rStyle w:val="Hyperlink"/>
            <w:noProof/>
          </w:rPr>
          <w:t>Appendix H</w:t>
        </w:r>
        <w:r w:rsidR="008A3E68">
          <w:rPr>
            <w:rFonts w:asciiTheme="minorHAnsi" w:eastAsiaTheme="minorEastAsia" w:hAnsiTheme="minorHAnsi"/>
            <w:noProof/>
            <w:kern w:val="2"/>
            <w:sz w:val="24"/>
            <w:szCs w:val="24"/>
            <w:lang w:eastAsia="en-AU"/>
            <w14:ligatures w14:val="standardContextual"/>
          </w:rPr>
          <w:tab/>
        </w:r>
        <w:r w:rsidR="008A3E68" w:rsidRPr="00074AC8">
          <w:rPr>
            <w:rStyle w:val="Hyperlink"/>
            <w:noProof/>
          </w:rPr>
          <w:t>HCP1 completeness rate</w:t>
        </w:r>
        <w:r w:rsidR="008A3E68">
          <w:rPr>
            <w:noProof/>
            <w:webHidden/>
          </w:rPr>
          <w:tab/>
        </w:r>
        <w:r w:rsidR="008A3E68">
          <w:rPr>
            <w:noProof/>
            <w:webHidden/>
          </w:rPr>
          <w:fldChar w:fldCharType="begin"/>
        </w:r>
        <w:r w:rsidR="008A3E68">
          <w:rPr>
            <w:noProof/>
            <w:webHidden/>
          </w:rPr>
          <w:instrText xml:space="preserve"> PAGEREF _Toc179453714 \h </w:instrText>
        </w:r>
        <w:r w:rsidR="008A3E68">
          <w:rPr>
            <w:noProof/>
            <w:webHidden/>
          </w:rPr>
        </w:r>
        <w:r w:rsidR="008A3E68">
          <w:rPr>
            <w:noProof/>
            <w:webHidden/>
          </w:rPr>
          <w:fldChar w:fldCharType="separate"/>
        </w:r>
        <w:r w:rsidR="008A3E68">
          <w:rPr>
            <w:noProof/>
            <w:webHidden/>
          </w:rPr>
          <w:t>91</w:t>
        </w:r>
        <w:r w:rsidR="008A3E68">
          <w:rPr>
            <w:noProof/>
            <w:webHidden/>
          </w:rPr>
          <w:fldChar w:fldCharType="end"/>
        </w:r>
      </w:hyperlink>
    </w:p>
    <w:p w14:paraId="4606E68B" w14:textId="4AB247B5" w:rsidR="008A3E68" w:rsidRDefault="00000000">
      <w:pPr>
        <w:pStyle w:val="TOC1"/>
        <w:tabs>
          <w:tab w:val="left" w:pos="1320"/>
        </w:tabs>
        <w:rPr>
          <w:rFonts w:asciiTheme="minorHAnsi" w:eastAsiaTheme="minorEastAsia" w:hAnsiTheme="minorHAnsi"/>
          <w:noProof/>
          <w:kern w:val="2"/>
          <w:sz w:val="24"/>
          <w:szCs w:val="24"/>
          <w:lang w:eastAsia="en-AU"/>
          <w14:ligatures w14:val="standardContextual"/>
        </w:rPr>
      </w:pPr>
      <w:hyperlink w:anchor="_Toc179453715" w:history="1">
        <w:r w:rsidR="008A3E68" w:rsidRPr="00074AC8">
          <w:rPr>
            <w:rStyle w:val="Hyperlink"/>
            <w:noProof/>
          </w:rPr>
          <w:t>Appendix I</w:t>
        </w:r>
        <w:r w:rsidR="008A3E68">
          <w:rPr>
            <w:rFonts w:asciiTheme="minorHAnsi" w:eastAsiaTheme="minorEastAsia" w:hAnsiTheme="minorHAnsi"/>
            <w:noProof/>
            <w:kern w:val="2"/>
            <w:sz w:val="24"/>
            <w:szCs w:val="24"/>
            <w:lang w:eastAsia="en-AU"/>
            <w14:ligatures w14:val="standardContextual"/>
          </w:rPr>
          <w:tab/>
        </w:r>
        <w:r w:rsidR="008A3E68" w:rsidRPr="00074AC8">
          <w:rPr>
            <w:rStyle w:val="Hyperlink"/>
            <w:noProof/>
          </w:rPr>
          <w:t>Prostheses List Reform Program Logic</w:t>
        </w:r>
        <w:r w:rsidR="008A3E68">
          <w:rPr>
            <w:noProof/>
            <w:webHidden/>
          </w:rPr>
          <w:tab/>
        </w:r>
        <w:r w:rsidR="008A3E68">
          <w:rPr>
            <w:noProof/>
            <w:webHidden/>
          </w:rPr>
          <w:fldChar w:fldCharType="begin"/>
        </w:r>
        <w:r w:rsidR="008A3E68">
          <w:rPr>
            <w:noProof/>
            <w:webHidden/>
          </w:rPr>
          <w:instrText xml:space="preserve"> PAGEREF _Toc179453715 \h </w:instrText>
        </w:r>
        <w:r w:rsidR="008A3E68">
          <w:rPr>
            <w:noProof/>
            <w:webHidden/>
          </w:rPr>
        </w:r>
        <w:r w:rsidR="008A3E68">
          <w:rPr>
            <w:noProof/>
            <w:webHidden/>
          </w:rPr>
          <w:fldChar w:fldCharType="separate"/>
        </w:r>
        <w:r w:rsidR="008A3E68">
          <w:rPr>
            <w:noProof/>
            <w:webHidden/>
          </w:rPr>
          <w:t>92</w:t>
        </w:r>
        <w:r w:rsidR="008A3E68">
          <w:rPr>
            <w:noProof/>
            <w:webHidden/>
          </w:rPr>
          <w:fldChar w:fldCharType="end"/>
        </w:r>
      </w:hyperlink>
    </w:p>
    <w:p w14:paraId="11C746D4" w14:textId="3D7D844F" w:rsidR="008A3E68" w:rsidRDefault="00000000">
      <w:pPr>
        <w:pStyle w:val="TOC1"/>
        <w:tabs>
          <w:tab w:val="left" w:pos="1320"/>
        </w:tabs>
        <w:rPr>
          <w:rFonts w:asciiTheme="minorHAnsi" w:eastAsiaTheme="minorEastAsia" w:hAnsiTheme="minorHAnsi"/>
          <w:noProof/>
          <w:kern w:val="2"/>
          <w:sz w:val="24"/>
          <w:szCs w:val="24"/>
          <w:lang w:eastAsia="en-AU"/>
          <w14:ligatures w14:val="standardContextual"/>
        </w:rPr>
      </w:pPr>
      <w:hyperlink w:anchor="_Toc179453716" w:history="1">
        <w:r w:rsidR="008A3E68" w:rsidRPr="00074AC8">
          <w:rPr>
            <w:rStyle w:val="Hyperlink"/>
            <w:noProof/>
          </w:rPr>
          <w:t>Appendix J</w:t>
        </w:r>
        <w:r w:rsidR="008A3E68">
          <w:rPr>
            <w:rFonts w:asciiTheme="minorHAnsi" w:eastAsiaTheme="minorEastAsia" w:hAnsiTheme="minorHAnsi"/>
            <w:noProof/>
            <w:kern w:val="2"/>
            <w:sz w:val="24"/>
            <w:szCs w:val="24"/>
            <w:lang w:eastAsia="en-AU"/>
            <w14:ligatures w14:val="standardContextual"/>
          </w:rPr>
          <w:tab/>
        </w:r>
        <w:r w:rsidR="008A3E68" w:rsidRPr="00074AC8">
          <w:rPr>
            <w:rStyle w:val="Hyperlink"/>
            <w:noProof/>
          </w:rPr>
          <w:t>Causal logic diagram</w:t>
        </w:r>
        <w:r w:rsidR="008A3E68">
          <w:rPr>
            <w:noProof/>
            <w:webHidden/>
          </w:rPr>
          <w:tab/>
        </w:r>
        <w:r w:rsidR="008A3E68">
          <w:rPr>
            <w:noProof/>
            <w:webHidden/>
          </w:rPr>
          <w:fldChar w:fldCharType="begin"/>
        </w:r>
        <w:r w:rsidR="008A3E68">
          <w:rPr>
            <w:noProof/>
            <w:webHidden/>
          </w:rPr>
          <w:instrText xml:space="preserve"> PAGEREF _Toc179453716 \h </w:instrText>
        </w:r>
        <w:r w:rsidR="008A3E68">
          <w:rPr>
            <w:noProof/>
            <w:webHidden/>
          </w:rPr>
        </w:r>
        <w:r w:rsidR="008A3E68">
          <w:rPr>
            <w:noProof/>
            <w:webHidden/>
          </w:rPr>
          <w:fldChar w:fldCharType="separate"/>
        </w:r>
        <w:r w:rsidR="008A3E68">
          <w:rPr>
            <w:noProof/>
            <w:webHidden/>
          </w:rPr>
          <w:t>93</w:t>
        </w:r>
        <w:r w:rsidR="008A3E68">
          <w:rPr>
            <w:noProof/>
            <w:webHidden/>
          </w:rPr>
          <w:fldChar w:fldCharType="end"/>
        </w:r>
      </w:hyperlink>
    </w:p>
    <w:p w14:paraId="24F4EECF" w14:textId="34833EA6" w:rsidR="008A3E68" w:rsidRDefault="00000000">
      <w:pPr>
        <w:pStyle w:val="TOC1"/>
        <w:tabs>
          <w:tab w:val="left" w:pos="1320"/>
        </w:tabs>
        <w:rPr>
          <w:rFonts w:asciiTheme="minorHAnsi" w:eastAsiaTheme="minorEastAsia" w:hAnsiTheme="minorHAnsi"/>
          <w:noProof/>
          <w:kern w:val="2"/>
          <w:sz w:val="24"/>
          <w:szCs w:val="24"/>
          <w:lang w:eastAsia="en-AU"/>
          <w14:ligatures w14:val="standardContextual"/>
        </w:rPr>
      </w:pPr>
      <w:hyperlink w:anchor="_Toc179453717" w:history="1">
        <w:r w:rsidR="008A3E68" w:rsidRPr="00074AC8">
          <w:rPr>
            <w:rStyle w:val="Hyperlink"/>
            <w:noProof/>
          </w:rPr>
          <w:t>Appendix K</w:t>
        </w:r>
        <w:r w:rsidR="008A3E68">
          <w:rPr>
            <w:rFonts w:asciiTheme="minorHAnsi" w:eastAsiaTheme="minorEastAsia" w:hAnsiTheme="minorHAnsi"/>
            <w:noProof/>
            <w:kern w:val="2"/>
            <w:sz w:val="24"/>
            <w:szCs w:val="24"/>
            <w:lang w:eastAsia="en-AU"/>
            <w14:ligatures w14:val="standardContextual"/>
          </w:rPr>
          <w:tab/>
        </w:r>
        <w:r w:rsidR="008A3E68" w:rsidRPr="00074AC8">
          <w:rPr>
            <w:rStyle w:val="Hyperlink"/>
            <w:noProof/>
          </w:rPr>
          <w:t>Baseline date of the evaluation</w:t>
        </w:r>
        <w:r w:rsidR="008A3E68">
          <w:rPr>
            <w:noProof/>
            <w:webHidden/>
          </w:rPr>
          <w:tab/>
        </w:r>
        <w:r w:rsidR="008A3E68">
          <w:rPr>
            <w:noProof/>
            <w:webHidden/>
          </w:rPr>
          <w:fldChar w:fldCharType="begin"/>
        </w:r>
        <w:r w:rsidR="008A3E68">
          <w:rPr>
            <w:noProof/>
            <w:webHidden/>
          </w:rPr>
          <w:instrText xml:space="preserve"> PAGEREF _Toc179453717 \h </w:instrText>
        </w:r>
        <w:r w:rsidR="008A3E68">
          <w:rPr>
            <w:noProof/>
            <w:webHidden/>
          </w:rPr>
        </w:r>
        <w:r w:rsidR="008A3E68">
          <w:rPr>
            <w:noProof/>
            <w:webHidden/>
          </w:rPr>
          <w:fldChar w:fldCharType="separate"/>
        </w:r>
        <w:r w:rsidR="008A3E68">
          <w:rPr>
            <w:noProof/>
            <w:webHidden/>
          </w:rPr>
          <w:t>94</w:t>
        </w:r>
        <w:r w:rsidR="008A3E68">
          <w:rPr>
            <w:noProof/>
            <w:webHidden/>
          </w:rPr>
          <w:fldChar w:fldCharType="end"/>
        </w:r>
      </w:hyperlink>
    </w:p>
    <w:p w14:paraId="49ABD503" w14:textId="04A7B343" w:rsidR="00347671" w:rsidRPr="00760DDA" w:rsidRDefault="00B128D0" w:rsidP="009254E6">
      <w:pPr>
        <w:rPr>
          <w:lang w:eastAsia="en-AU"/>
        </w:rPr>
      </w:pPr>
      <w:r>
        <w:rPr>
          <w:lang w:eastAsia="en-AU"/>
        </w:rPr>
        <w:fldChar w:fldCharType="end"/>
      </w:r>
    </w:p>
    <w:p w14:paraId="6017B0C6" w14:textId="77777777" w:rsidR="00347671" w:rsidRPr="00760DDA" w:rsidRDefault="00347671" w:rsidP="000D5CE3">
      <w:pPr>
        <w:rPr>
          <w:lang w:eastAsia="en-AU"/>
        </w:rPr>
        <w:sectPr w:rsidR="00347671" w:rsidRPr="00760DDA" w:rsidSect="00BA60DA">
          <w:headerReference w:type="default" r:id="rId18"/>
          <w:footerReference w:type="default" r:id="rId19"/>
          <w:pgSz w:w="11907" w:h="16839" w:code="9"/>
          <w:pgMar w:top="1418" w:right="1418" w:bottom="1701" w:left="1559" w:header="680" w:footer="680" w:gutter="0"/>
          <w:cols w:space="720"/>
          <w:docGrid w:linePitch="360"/>
        </w:sectPr>
      </w:pPr>
    </w:p>
    <w:p w14:paraId="63176A03" w14:textId="77777777" w:rsidR="00EC40A3" w:rsidRDefault="00EC40A3" w:rsidP="00EC40A3">
      <w:pPr>
        <w:pStyle w:val="Heading1"/>
        <w:numPr>
          <w:ilvl w:val="0"/>
          <w:numId w:val="0"/>
        </w:numPr>
        <w:ind w:left="432" w:hanging="432"/>
      </w:pPr>
      <w:bookmarkStart w:id="0" w:name="_Toc179453667"/>
      <w:r>
        <w:lastRenderedPageBreak/>
        <w:t>List of Terms and Abbreviations</w:t>
      </w:r>
      <w:bookmarkEnd w:id="0"/>
    </w:p>
    <w:tbl>
      <w:tblPr>
        <w:tblStyle w:val="NOUSSideHeader1"/>
        <w:tblW w:w="8931" w:type="dxa"/>
        <w:tblLook w:val="04A0" w:firstRow="1" w:lastRow="0" w:firstColumn="1" w:lastColumn="0" w:noHBand="0" w:noVBand="1"/>
      </w:tblPr>
      <w:tblGrid>
        <w:gridCol w:w="1843"/>
        <w:gridCol w:w="7088"/>
      </w:tblGrid>
      <w:tr w:rsidR="00C71BBB" w14:paraId="374BB830" w14:textId="77777777" w:rsidTr="3787E91E">
        <w:trPr>
          <w:cnfStyle w:val="100000000000" w:firstRow="1" w:lastRow="0" w:firstColumn="0" w:lastColumn="0" w:oddVBand="0" w:evenVBand="0" w:oddHBand="0" w:evenHBand="0" w:firstRowFirstColumn="0" w:firstRowLastColumn="0" w:lastRowFirstColumn="0" w:lastRowLastColumn="0"/>
        </w:trPr>
        <w:tc>
          <w:tcPr>
            <w:tcW w:w="1843" w:type="dxa"/>
          </w:tcPr>
          <w:p w14:paraId="37F8E43F" w14:textId="39395C40" w:rsidR="00E84796" w:rsidRDefault="00E84796" w:rsidP="00F122B3">
            <w:pPr>
              <w:pStyle w:val="TableNheader"/>
              <w:keepNext w:val="0"/>
              <w:keepLines/>
            </w:pPr>
            <w:r>
              <w:t>Term</w:t>
            </w:r>
          </w:p>
        </w:tc>
        <w:tc>
          <w:tcPr>
            <w:tcW w:w="7088" w:type="dxa"/>
          </w:tcPr>
          <w:p w14:paraId="6259185B" w14:textId="09267F28" w:rsidR="00E84796" w:rsidRDefault="0097688D" w:rsidP="00F122B3">
            <w:pPr>
              <w:pStyle w:val="TableNheader"/>
              <w:keepNext w:val="0"/>
              <w:keepLines/>
            </w:pPr>
            <w:r>
              <w:t>Definition</w:t>
            </w:r>
          </w:p>
        </w:tc>
      </w:tr>
      <w:tr w:rsidR="00B5565F" w14:paraId="473CFAB3" w14:textId="77777777" w:rsidTr="3787E91E">
        <w:trPr>
          <w:cnfStyle w:val="000000100000" w:firstRow="0" w:lastRow="0" w:firstColumn="0" w:lastColumn="0" w:oddVBand="0" w:evenVBand="0" w:oddHBand="1" w:evenHBand="0" w:firstRowFirstColumn="0" w:firstRowLastColumn="0" w:lastRowFirstColumn="0" w:lastRowLastColumn="0"/>
        </w:trPr>
        <w:tc>
          <w:tcPr>
            <w:tcW w:w="1843" w:type="dxa"/>
          </w:tcPr>
          <w:p w14:paraId="622493FD" w14:textId="4A107B69" w:rsidR="00B5565F" w:rsidRPr="00E66549" w:rsidRDefault="00B5565F" w:rsidP="00F122B3">
            <w:pPr>
              <w:pStyle w:val="TableNText"/>
              <w:keepNext w:val="0"/>
              <w:keepLines/>
              <w:rPr>
                <w:rFonts w:asciiTheme="majorHAnsi" w:hAnsiTheme="majorHAnsi" w:cstheme="majorHAnsi"/>
              </w:rPr>
            </w:pPr>
            <w:r w:rsidRPr="00E66549">
              <w:rPr>
                <w:rFonts w:asciiTheme="majorHAnsi" w:hAnsiTheme="majorHAnsi" w:cstheme="majorHAnsi"/>
              </w:rPr>
              <w:t>CAG</w:t>
            </w:r>
          </w:p>
        </w:tc>
        <w:tc>
          <w:tcPr>
            <w:tcW w:w="7088" w:type="dxa"/>
          </w:tcPr>
          <w:p w14:paraId="304E4F17" w14:textId="443D8B03" w:rsidR="00B5565F" w:rsidRDefault="00B5565F" w:rsidP="00F122B3">
            <w:pPr>
              <w:pStyle w:val="TableNText"/>
              <w:keepNext w:val="0"/>
              <w:keepLines/>
            </w:pPr>
            <w:r>
              <w:t>Clinical Advisory Group</w:t>
            </w:r>
          </w:p>
        </w:tc>
      </w:tr>
      <w:tr w:rsidR="00D87921" w14:paraId="2F000C82" w14:textId="77777777" w:rsidTr="3787E91E">
        <w:trPr>
          <w:cnfStyle w:val="000000010000" w:firstRow="0" w:lastRow="0" w:firstColumn="0" w:lastColumn="0" w:oddVBand="0" w:evenVBand="0" w:oddHBand="0" w:evenHBand="1" w:firstRowFirstColumn="0" w:firstRowLastColumn="0" w:lastRowFirstColumn="0" w:lastRowLastColumn="0"/>
        </w:trPr>
        <w:tc>
          <w:tcPr>
            <w:tcW w:w="1843" w:type="dxa"/>
          </w:tcPr>
          <w:p w14:paraId="48574D1D" w14:textId="10FB046A" w:rsidR="00D87921" w:rsidRPr="00E66549" w:rsidRDefault="00D87921" w:rsidP="00F122B3">
            <w:pPr>
              <w:pStyle w:val="TableNText"/>
              <w:keepNext w:val="0"/>
              <w:keepLines/>
              <w:rPr>
                <w:rFonts w:asciiTheme="majorHAnsi" w:hAnsiTheme="majorHAnsi" w:cstheme="majorHAnsi"/>
              </w:rPr>
            </w:pPr>
            <w:r w:rsidRPr="00E66549">
              <w:rPr>
                <w:rFonts w:asciiTheme="majorHAnsi" w:hAnsiTheme="majorHAnsi" w:cstheme="majorHAnsi"/>
              </w:rPr>
              <w:t>GUI</w:t>
            </w:r>
          </w:p>
        </w:tc>
        <w:tc>
          <w:tcPr>
            <w:tcW w:w="7088" w:type="dxa"/>
          </w:tcPr>
          <w:p w14:paraId="58361CE9" w14:textId="08E50677" w:rsidR="00D87921" w:rsidRDefault="00D87921" w:rsidP="00F122B3">
            <w:pPr>
              <w:pStyle w:val="TableNText"/>
              <w:keepNext w:val="0"/>
              <w:keepLines/>
            </w:pPr>
            <w:r>
              <w:t xml:space="preserve">General </w:t>
            </w:r>
            <w:r w:rsidR="00BD7AEA">
              <w:t>U</w:t>
            </w:r>
            <w:r>
              <w:t xml:space="preserve">se </w:t>
            </w:r>
            <w:r w:rsidR="00BD7AEA">
              <w:t>I</w:t>
            </w:r>
            <w:r>
              <w:t>tem</w:t>
            </w:r>
          </w:p>
        </w:tc>
      </w:tr>
      <w:tr w:rsidR="00E84796" w14:paraId="1A4A9D47" w14:textId="77777777" w:rsidTr="3787E91E">
        <w:trPr>
          <w:cnfStyle w:val="000000100000" w:firstRow="0" w:lastRow="0" w:firstColumn="0" w:lastColumn="0" w:oddVBand="0" w:evenVBand="0" w:oddHBand="1" w:evenHBand="0" w:firstRowFirstColumn="0" w:firstRowLastColumn="0" w:lastRowFirstColumn="0" w:lastRowLastColumn="0"/>
        </w:trPr>
        <w:tc>
          <w:tcPr>
            <w:tcW w:w="1843" w:type="dxa"/>
          </w:tcPr>
          <w:p w14:paraId="6EE5C826" w14:textId="40F700A8" w:rsidR="00E84796" w:rsidRPr="00E66549" w:rsidRDefault="00E12D22" w:rsidP="00F122B3">
            <w:pPr>
              <w:pStyle w:val="TableNText"/>
              <w:keepNext w:val="0"/>
              <w:keepLines/>
              <w:rPr>
                <w:rFonts w:asciiTheme="majorHAnsi" w:hAnsiTheme="majorHAnsi" w:cstheme="majorHAnsi"/>
              </w:rPr>
            </w:pPr>
            <w:r w:rsidRPr="00E66549">
              <w:rPr>
                <w:rFonts w:asciiTheme="majorHAnsi" w:hAnsiTheme="majorHAnsi" w:cstheme="majorHAnsi"/>
              </w:rPr>
              <w:t>IHACPA</w:t>
            </w:r>
          </w:p>
        </w:tc>
        <w:tc>
          <w:tcPr>
            <w:tcW w:w="7088" w:type="dxa"/>
          </w:tcPr>
          <w:p w14:paraId="3853CC2C" w14:textId="77777777" w:rsidR="00D86479" w:rsidRDefault="00E12D22" w:rsidP="00F122B3">
            <w:pPr>
              <w:pStyle w:val="TableNText"/>
              <w:keepNext w:val="0"/>
              <w:keepLines/>
            </w:pPr>
            <w:r>
              <w:t>Independent Hospital and Aged C</w:t>
            </w:r>
            <w:r w:rsidR="00BE31E3">
              <w:t>are Pricing Authority</w:t>
            </w:r>
            <w:r w:rsidR="003A1E2F">
              <w:t xml:space="preserve">. </w:t>
            </w:r>
          </w:p>
          <w:p w14:paraId="003C5B49" w14:textId="70B8E73C" w:rsidR="00E84796" w:rsidRDefault="00D86479" w:rsidP="00F122B3">
            <w:pPr>
              <w:pStyle w:val="TableNText"/>
              <w:keepNext w:val="0"/>
              <w:keepLines/>
            </w:pPr>
            <w:r>
              <w:t>Previously known as</w:t>
            </w:r>
            <w:r w:rsidR="003A1E2F">
              <w:t xml:space="preserve"> the Independent Hospital Pricing Authority or IHPA</w:t>
            </w:r>
            <w:r w:rsidR="00DC559B">
              <w:t>,</w:t>
            </w:r>
            <w:r w:rsidR="003A1E2F">
              <w:t xml:space="preserve"> however </w:t>
            </w:r>
            <w:r w:rsidR="00CF175A">
              <w:t>IHACPA is used through this report.</w:t>
            </w:r>
          </w:p>
        </w:tc>
      </w:tr>
      <w:tr w:rsidR="009213BB" w14:paraId="3DB748AC" w14:textId="77777777" w:rsidTr="3787E91E">
        <w:trPr>
          <w:cnfStyle w:val="000000010000" w:firstRow="0" w:lastRow="0" w:firstColumn="0" w:lastColumn="0" w:oddVBand="0" w:evenVBand="0" w:oddHBand="0" w:evenHBand="1" w:firstRowFirstColumn="0" w:firstRowLastColumn="0" w:lastRowFirstColumn="0" w:lastRowLastColumn="0"/>
        </w:trPr>
        <w:tc>
          <w:tcPr>
            <w:tcW w:w="1843" w:type="dxa"/>
          </w:tcPr>
          <w:p w14:paraId="1A4A54FF" w14:textId="3B6BB2BF" w:rsidR="009213BB" w:rsidRPr="00E66549" w:rsidRDefault="009213BB" w:rsidP="00F122B3">
            <w:pPr>
              <w:pStyle w:val="TableNText"/>
              <w:keepNext w:val="0"/>
              <w:keepLines/>
              <w:rPr>
                <w:rFonts w:asciiTheme="majorHAnsi" w:hAnsiTheme="majorHAnsi" w:cstheme="majorHAnsi"/>
              </w:rPr>
            </w:pPr>
            <w:r w:rsidRPr="00E66549">
              <w:rPr>
                <w:rFonts w:asciiTheme="majorHAnsi" w:hAnsiTheme="majorHAnsi" w:cstheme="majorHAnsi"/>
              </w:rPr>
              <w:t>KEQ</w:t>
            </w:r>
          </w:p>
        </w:tc>
        <w:tc>
          <w:tcPr>
            <w:tcW w:w="7088" w:type="dxa"/>
          </w:tcPr>
          <w:p w14:paraId="30AB7BC0" w14:textId="33BCDDE8" w:rsidR="009213BB" w:rsidRDefault="009213BB" w:rsidP="00F122B3">
            <w:pPr>
              <w:pStyle w:val="TableNText"/>
              <w:keepNext w:val="0"/>
              <w:keepLines/>
            </w:pPr>
            <w:r>
              <w:t>Key Evaluation Question</w:t>
            </w:r>
          </w:p>
        </w:tc>
      </w:tr>
      <w:tr w:rsidR="000D6B35" w14:paraId="48249AB3" w14:textId="77777777" w:rsidTr="3787E91E">
        <w:trPr>
          <w:cnfStyle w:val="000000100000" w:firstRow="0" w:lastRow="0" w:firstColumn="0" w:lastColumn="0" w:oddVBand="0" w:evenVBand="0" w:oddHBand="1" w:evenHBand="0" w:firstRowFirstColumn="0" w:firstRowLastColumn="0" w:lastRowFirstColumn="0" w:lastRowLastColumn="0"/>
        </w:trPr>
        <w:tc>
          <w:tcPr>
            <w:tcW w:w="1843" w:type="dxa"/>
          </w:tcPr>
          <w:p w14:paraId="76CAC942" w14:textId="357D4EE1" w:rsidR="000D6B35" w:rsidRPr="00E66549" w:rsidRDefault="000D6B35" w:rsidP="00F122B3">
            <w:pPr>
              <w:pStyle w:val="TableNText"/>
              <w:keepNext w:val="0"/>
              <w:keepLines/>
              <w:rPr>
                <w:rFonts w:asciiTheme="majorHAnsi" w:hAnsiTheme="majorHAnsi" w:cstheme="majorHAnsi"/>
              </w:rPr>
            </w:pPr>
            <w:r w:rsidRPr="00E66549">
              <w:rPr>
                <w:rFonts w:asciiTheme="majorHAnsi" w:hAnsiTheme="majorHAnsi" w:cstheme="majorHAnsi"/>
              </w:rPr>
              <w:t>MoU</w:t>
            </w:r>
          </w:p>
        </w:tc>
        <w:tc>
          <w:tcPr>
            <w:tcW w:w="7088" w:type="dxa"/>
          </w:tcPr>
          <w:p w14:paraId="5C97D71F" w14:textId="3F4FA815" w:rsidR="000D6B35" w:rsidRDefault="000D6B35" w:rsidP="00F122B3">
            <w:pPr>
              <w:pStyle w:val="TableNText"/>
              <w:keepNext w:val="0"/>
              <w:keepLines/>
            </w:pPr>
            <w:r>
              <w:t>Memorandum of Understanding</w:t>
            </w:r>
          </w:p>
        </w:tc>
      </w:tr>
      <w:tr w:rsidR="00323463" w14:paraId="2B9DB155" w14:textId="77777777" w:rsidTr="3787E91E">
        <w:trPr>
          <w:cnfStyle w:val="000000010000" w:firstRow="0" w:lastRow="0" w:firstColumn="0" w:lastColumn="0" w:oddVBand="0" w:evenVBand="0" w:oddHBand="0" w:evenHBand="1" w:firstRowFirstColumn="0" w:firstRowLastColumn="0" w:lastRowFirstColumn="0" w:lastRowLastColumn="0"/>
        </w:trPr>
        <w:tc>
          <w:tcPr>
            <w:tcW w:w="1843" w:type="dxa"/>
          </w:tcPr>
          <w:p w14:paraId="443B18A6" w14:textId="2B8D98AB" w:rsidR="00323463" w:rsidRPr="00E66549" w:rsidRDefault="00323463" w:rsidP="00F122B3">
            <w:pPr>
              <w:pStyle w:val="TableNText"/>
              <w:keepNext w:val="0"/>
              <w:keepLines/>
              <w:rPr>
                <w:rFonts w:asciiTheme="majorHAnsi" w:hAnsiTheme="majorHAnsi" w:cstheme="majorHAnsi"/>
              </w:rPr>
            </w:pPr>
            <w:r>
              <w:rPr>
                <w:rFonts w:asciiTheme="majorHAnsi" w:hAnsiTheme="majorHAnsi" w:cstheme="majorHAnsi"/>
              </w:rPr>
              <w:t>MSAC</w:t>
            </w:r>
          </w:p>
        </w:tc>
        <w:tc>
          <w:tcPr>
            <w:tcW w:w="7088" w:type="dxa"/>
          </w:tcPr>
          <w:p w14:paraId="2A2D6C3A" w14:textId="0E3B3226" w:rsidR="00323463" w:rsidRDefault="00323463" w:rsidP="00F122B3">
            <w:pPr>
              <w:pStyle w:val="TableNText"/>
              <w:keepNext w:val="0"/>
              <w:keepLines/>
            </w:pPr>
            <w:r w:rsidRPr="0C63581C">
              <w:t>Medical Services Advisory Committee</w:t>
            </w:r>
          </w:p>
        </w:tc>
      </w:tr>
      <w:tr w:rsidR="006E76F6" w14:paraId="5A6E0DE4" w14:textId="77777777" w:rsidTr="3787E91E">
        <w:trPr>
          <w:cnfStyle w:val="000000100000" w:firstRow="0" w:lastRow="0" w:firstColumn="0" w:lastColumn="0" w:oddVBand="0" w:evenVBand="0" w:oddHBand="1" w:evenHBand="0" w:firstRowFirstColumn="0" w:firstRowLastColumn="0" w:lastRowFirstColumn="0" w:lastRowLastColumn="0"/>
        </w:trPr>
        <w:tc>
          <w:tcPr>
            <w:tcW w:w="1843" w:type="dxa"/>
          </w:tcPr>
          <w:p w14:paraId="4E2C8839" w14:textId="2846EF02" w:rsidR="006E76F6" w:rsidRPr="00E66549" w:rsidRDefault="006E76F6" w:rsidP="00F122B3">
            <w:pPr>
              <w:pStyle w:val="TableNText"/>
              <w:keepNext w:val="0"/>
              <w:keepLines/>
              <w:rPr>
                <w:rFonts w:asciiTheme="majorHAnsi" w:hAnsiTheme="majorHAnsi" w:cstheme="majorHAnsi"/>
              </w:rPr>
            </w:pPr>
            <w:r w:rsidRPr="00E66549">
              <w:rPr>
                <w:rFonts w:asciiTheme="majorHAnsi" w:hAnsiTheme="majorHAnsi" w:cstheme="majorHAnsi"/>
              </w:rPr>
              <w:t>PHI</w:t>
            </w:r>
          </w:p>
        </w:tc>
        <w:tc>
          <w:tcPr>
            <w:tcW w:w="7088" w:type="dxa"/>
          </w:tcPr>
          <w:p w14:paraId="1D72DBFC" w14:textId="148E16AD" w:rsidR="006E76F6" w:rsidRDefault="006E76F6" w:rsidP="00F122B3">
            <w:pPr>
              <w:pStyle w:val="TableNText"/>
              <w:keepNext w:val="0"/>
              <w:keepLines/>
            </w:pPr>
            <w:r>
              <w:t>Private Health Insurance</w:t>
            </w:r>
          </w:p>
        </w:tc>
      </w:tr>
      <w:tr w:rsidR="00E84796" w14:paraId="576F1E1F" w14:textId="77777777" w:rsidTr="3787E91E">
        <w:trPr>
          <w:cnfStyle w:val="000000010000" w:firstRow="0" w:lastRow="0" w:firstColumn="0" w:lastColumn="0" w:oddVBand="0" w:evenVBand="0" w:oddHBand="0" w:evenHBand="1" w:firstRowFirstColumn="0" w:firstRowLastColumn="0" w:lastRowFirstColumn="0" w:lastRowLastColumn="0"/>
        </w:trPr>
        <w:tc>
          <w:tcPr>
            <w:tcW w:w="1843" w:type="dxa"/>
          </w:tcPr>
          <w:p w14:paraId="3B805C13" w14:textId="6826437E" w:rsidR="00E84796" w:rsidRPr="00E66549" w:rsidRDefault="00CF175A" w:rsidP="00F122B3">
            <w:pPr>
              <w:pStyle w:val="TableNText"/>
              <w:keepNext w:val="0"/>
              <w:keepLines/>
              <w:rPr>
                <w:rFonts w:asciiTheme="majorHAnsi" w:hAnsiTheme="majorHAnsi" w:cstheme="majorHAnsi"/>
              </w:rPr>
            </w:pPr>
            <w:r w:rsidRPr="00E66549">
              <w:rPr>
                <w:rFonts w:asciiTheme="majorHAnsi" w:hAnsiTheme="majorHAnsi" w:cstheme="majorHAnsi"/>
              </w:rPr>
              <w:t>PL</w:t>
            </w:r>
          </w:p>
        </w:tc>
        <w:tc>
          <w:tcPr>
            <w:tcW w:w="7088" w:type="dxa"/>
          </w:tcPr>
          <w:p w14:paraId="46590FFB" w14:textId="710D6571" w:rsidR="00E84796" w:rsidRDefault="00D86479" w:rsidP="3787E91E">
            <w:pPr>
              <w:pStyle w:val="TableNText"/>
              <w:keepNext w:val="0"/>
              <w:keepLines/>
            </w:pPr>
            <w:r w:rsidRPr="3787E91E">
              <w:t>Prostheses List.</w:t>
            </w:r>
            <w:r w:rsidR="00435CE0" w:rsidRPr="3787E91E">
              <w:t xml:space="preserve"> The PL </w:t>
            </w:r>
            <w:r w:rsidR="009F3B2D" w:rsidRPr="3787E91E">
              <w:t>h</w:t>
            </w:r>
            <w:r w:rsidRPr="3787E91E">
              <w:t xml:space="preserve">as been renamed to the Prescribed List of Medical Devices and Human Tissue </w:t>
            </w:r>
            <w:proofErr w:type="gramStart"/>
            <w:r w:rsidRPr="3787E91E">
              <w:t>Product</w:t>
            </w:r>
            <w:r w:rsidR="00DC559B" w:rsidRPr="3787E91E">
              <w:t>s,</w:t>
            </w:r>
            <w:proofErr w:type="gramEnd"/>
            <w:r w:rsidR="00DC559B" w:rsidRPr="3787E91E">
              <w:t xml:space="preserve"> however PL or Prostheses List is used through this report.</w:t>
            </w:r>
          </w:p>
        </w:tc>
      </w:tr>
      <w:tr w:rsidR="00B5565F" w14:paraId="78C7E94F" w14:textId="77777777" w:rsidTr="3787E91E">
        <w:trPr>
          <w:cnfStyle w:val="000000100000" w:firstRow="0" w:lastRow="0" w:firstColumn="0" w:lastColumn="0" w:oddVBand="0" w:evenVBand="0" w:oddHBand="1" w:evenHBand="0" w:firstRowFirstColumn="0" w:firstRowLastColumn="0" w:lastRowFirstColumn="0" w:lastRowLastColumn="0"/>
        </w:trPr>
        <w:tc>
          <w:tcPr>
            <w:tcW w:w="1843" w:type="dxa"/>
          </w:tcPr>
          <w:p w14:paraId="3F1E0578" w14:textId="080AC2DE" w:rsidR="00B5565F" w:rsidRPr="00E66549" w:rsidRDefault="00B5565F" w:rsidP="00F122B3">
            <w:pPr>
              <w:pStyle w:val="TableNText"/>
              <w:keepNext w:val="0"/>
              <w:keepLines/>
              <w:rPr>
                <w:rFonts w:asciiTheme="majorHAnsi" w:hAnsiTheme="majorHAnsi" w:cstheme="majorHAnsi"/>
              </w:rPr>
            </w:pPr>
            <w:r w:rsidRPr="00E66549">
              <w:rPr>
                <w:rFonts w:asciiTheme="majorHAnsi" w:hAnsiTheme="majorHAnsi" w:cstheme="majorHAnsi"/>
              </w:rPr>
              <w:t>PLAC</w:t>
            </w:r>
          </w:p>
        </w:tc>
        <w:tc>
          <w:tcPr>
            <w:tcW w:w="7088" w:type="dxa"/>
          </w:tcPr>
          <w:p w14:paraId="7DC48FA7" w14:textId="00852482" w:rsidR="00B5565F" w:rsidRPr="008D734F" w:rsidRDefault="00B5565F" w:rsidP="00F122B3">
            <w:pPr>
              <w:pStyle w:val="TableNText"/>
              <w:keepNext w:val="0"/>
              <w:keepLines/>
            </w:pPr>
            <w:r>
              <w:t>Prostheses List Advisory Committee</w:t>
            </w:r>
          </w:p>
        </w:tc>
      </w:tr>
      <w:tr w:rsidR="00457C89" w14:paraId="74796E4A" w14:textId="77777777" w:rsidTr="3787E91E">
        <w:trPr>
          <w:cnfStyle w:val="000000010000" w:firstRow="0" w:lastRow="0" w:firstColumn="0" w:lastColumn="0" w:oddVBand="0" w:evenVBand="0" w:oddHBand="0" w:evenHBand="1" w:firstRowFirstColumn="0" w:firstRowLastColumn="0" w:lastRowFirstColumn="0" w:lastRowLastColumn="0"/>
        </w:trPr>
        <w:tc>
          <w:tcPr>
            <w:tcW w:w="1843" w:type="dxa"/>
          </w:tcPr>
          <w:p w14:paraId="4AA95E94" w14:textId="7A7A193D" w:rsidR="00457C89" w:rsidRPr="00E66549" w:rsidRDefault="00457C89" w:rsidP="00F122B3">
            <w:pPr>
              <w:pStyle w:val="TableNText"/>
              <w:keepNext w:val="0"/>
              <w:keepLines/>
              <w:rPr>
                <w:rFonts w:asciiTheme="majorHAnsi" w:hAnsiTheme="majorHAnsi" w:cstheme="majorHAnsi"/>
              </w:rPr>
            </w:pPr>
            <w:r w:rsidRPr="00E66549">
              <w:rPr>
                <w:rFonts w:asciiTheme="majorHAnsi" w:hAnsiTheme="majorHAnsi" w:cstheme="majorHAnsi"/>
              </w:rPr>
              <w:t>PLRT</w:t>
            </w:r>
          </w:p>
        </w:tc>
        <w:tc>
          <w:tcPr>
            <w:tcW w:w="7088" w:type="dxa"/>
          </w:tcPr>
          <w:p w14:paraId="5E9E2835" w14:textId="0D051CB1" w:rsidR="00457C89" w:rsidRPr="008D734F" w:rsidRDefault="00457C89" w:rsidP="00F122B3">
            <w:pPr>
              <w:pStyle w:val="TableNText"/>
              <w:keepNext w:val="0"/>
              <w:keepLines/>
            </w:pPr>
            <w:r>
              <w:t>Prostheses List Reform Taskforce</w:t>
            </w:r>
          </w:p>
        </w:tc>
      </w:tr>
      <w:tr w:rsidR="00E84796" w14:paraId="5353AB4F" w14:textId="77777777" w:rsidTr="3787E91E">
        <w:trPr>
          <w:cnfStyle w:val="000000100000" w:firstRow="0" w:lastRow="0" w:firstColumn="0" w:lastColumn="0" w:oddVBand="0" w:evenVBand="0" w:oddHBand="1" w:evenHBand="0" w:firstRowFirstColumn="0" w:firstRowLastColumn="0" w:lastRowFirstColumn="0" w:lastRowLastColumn="0"/>
        </w:trPr>
        <w:tc>
          <w:tcPr>
            <w:tcW w:w="1843" w:type="dxa"/>
          </w:tcPr>
          <w:p w14:paraId="5CE37655" w14:textId="1F5D0B05" w:rsidR="00E84796" w:rsidRPr="00E66549" w:rsidRDefault="00CF175A" w:rsidP="00F122B3">
            <w:pPr>
              <w:pStyle w:val="TableNText"/>
              <w:keepNext w:val="0"/>
              <w:keepLines/>
              <w:rPr>
                <w:rFonts w:asciiTheme="majorHAnsi" w:hAnsiTheme="majorHAnsi" w:cstheme="majorHAnsi"/>
              </w:rPr>
            </w:pPr>
            <w:r w:rsidRPr="00E66549">
              <w:rPr>
                <w:rFonts w:asciiTheme="majorHAnsi" w:hAnsiTheme="majorHAnsi" w:cstheme="majorHAnsi"/>
              </w:rPr>
              <w:t>Prostheses</w:t>
            </w:r>
          </w:p>
        </w:tc>
        <w:tc>
          <w:tcPr>
            <w:tcW w:w="7088" w:type="dxa"/>
          </w:tcPr>
          <w:p w14:paraId="1D3F8A60" w14:textId="565D5C8F" w:rsidR="00E84796" w:rsidRDefault="00D86479" w:rsidP="3787E91E">
            <w:pPr>
              <w:pStyle w:val="TableNText"/>
              <w:keepNext w:val="0"/>
              <w:keepLines/>
            </w:pPr>
            <w:r w:rsidRPr="3787E91E">
              <w:t>The term ‘prostheses’ is used to mean surgically implanted prostheses, human tissue items and other medical devices</w:t>
            </w:r>
            <w:r w:rsidR="003A6ED6" w:rsidRPr="3787E91E">
              <w:t>, as listed on the PL</w:t>
            </w:r>
            <w:r w:rsidRPr="3787E91E">
              <w:t>. Unless otherwise specified, we use ‘prostheses’, ‘items’ and ‘devices’ in this report to describe the medical devices and human tissue products listed on the PL.</w:t>
            </w:r>
          </w:p>
        </w:tc>
      </w:tr>
    </w:tbl>
    <w:p w14:paraId="28E3C0B8" w14:textId="289E7C68" w:rsidR="00EC40A3" w:rsidRDefault="00EC40A3" w:rsidP="00EC40A3">
      <w:r>
        <w:br w:type="page"/>
      </w:r>
    </w:p>
    <w:p w14:paraId="5262CE04" w14:textId="1931FDEB" w:rsidR="00B2173A" w:rsidRDefault="00ED01A8" w:rsidP="000573A2">
      <w:pPr>
        <w:pStyle w:val="Heading1"/>
        <w:numPr>
          <w:ilvl w:val="0"/>
          <w:numId w:val="0"/>
        </w:numPr>
      </w:pPr>
      <w:bookmarkStart w:id="1" w:name="_Toc179453668"/>
      <w:r>
        <w:lastRenderedPageBreak/>
        <w:t>Executive Summary</w:t>
      </w:r>
      <w:bookmarkEnd w:id="1"/>
    </w:p>
    <w:p w14:paraId="43F4E82D" w14:textId="21B23EB6" w:rsidR="00181862" w:rsidRDefault="00CA46FE" w:rsidP="00CA46FE">
      <w:r w:rsidRPr="00202ACC">
        <w:t xml:space="preserve">The </w:t>
      </w:r>
      <w:r>
        <w:rPr>
          <w:lang w:eastAsia="en-AU"/>
        </w:rPr>
        <w:t xml:space="preserve">Prostheses List (PL) </w:t>
      </w:r>
      <w:r w:rsidR="00914F2A">
        <w:t>was</w:t>
      </w:r>
      <w:r w:rsidRPr="00202ACC">
        <w:t xml:space="preserve"> </w:t>
      </w:r>
      <w:r>
        <w:t xml:space="preserve">established in 1985 </w:t>
      </w:r>
      <w:r w:rsidR="00DC0E90">
        <w:t xml:space="preserve">to set </w:t>
      </w:r>
      <w:r w:rsidRPr="00202ACC">
        <w:t xml:space="preserve">minimum </w:t>
      </w:r>
      <w:r w:rsidR="00DC0E90">
        <w:t>benefit</w:t>
      </w:r>
      <w:r w:rsidR="005A1822">
        <w:t>s</w:t>
      </w:r>
      <w:r w:rsidRPr="00202ACC">
        <w:t xml:space="preserve"> </w:t>
      </w:r>
      <w:r w:rsidR="007419FE">
        <w:t>that</w:t>
      </w:r>
      <w:r w:rsidRPr="00202ACC">
        <w:t xml:space="preserve"> private health insurer</w:t>
      </w:r>
      <w:r w:rsidR="007419FE">
        <w:t>s</w:t>
      </w:r>
      <w:r w:rsidRPr="00202ACC">
        <w:t xml:space="preserve"> must pay </w:t>
      </w:r>
      <w:r w:rsidR="007419FE">
        <w:t>to</w:t>
      </w:r>
      <w:r w:rsidRPr="00202ACC">
        <w:t xml:space="preserve"> hospital</w:t>
      </w:r>
      <w:r w:rsidR="007419FE">
        <w:t xml:space="preserve">s </w:t>
      </w:r>
      <w:r w:rsidR="00FB1D6E">
        <w:t xml:space="preserve">for </w:t>
      </w:r>
      <w:r w:rsidRPr="00B14E0A">
        <w:rPr>
          <w:iCs/>
          <w:szCs w:val="19"/>
          <w:lang w:eastAsia="en-AU"/>
        </w:rPr>
        <w:t>surgically implanted</w:t>
      </w:r>
      <w:r>
        <w:rPr>
          <w:iCs/>
          <w:szCs w:val="19"/>
          <w:lang w:eastAsia="en-AU"/>
        </w:rPr>
        <w:t xml:space="preserve"> </w:t>
      </w:r>
      <w:r w:rsidR="00914538">
        <w:t>prostheses</w:t>
      </w:r>
      <w:r w:rsidR="00914538">
        <w:rPr>
          <w:rStyle w:val="FootnoteReference"/>
        </w:rPr>
        <w:footnoteReference w:id="2"/>
      </w:r>
      <w:r w:rsidRPr="00B14E0A">
        <w:rPr>
          <w:iCs/>
          <w:szCs w:val="19"/>
          <w:lang w:eastAsia="en-AU"/>
        </w:rPr>
        <w:t xml:space="preserve"> </w:t>
      </w:r>
      <w:r w:rsidR="00673692">
        <w:rPr>
          <w:iCs/>
          <w:szCs w:val="19"/>
          <w:lang w:eastAsia="en-AU"/>
        </w:rPr>
        <w:t>used in</w:t>
      </w:r>
      <w:r w:rsidRPr="00B14E0A">
        <w:rPr>
          <w:iCs/>
          <w:szCs w:val="19"/>
          <w:lang w:eastAsia="en-AU"/>
        </w:rPr>
        <w:t xml:space="preserve"> privately insured episodes of care.</w:t>
      </w:r>
      <w:r w:rsidR="00445509">
        <w:rPr>
          <w:iCs/>
          <w:szCs w:val="19"/>
          <w:lang w:eastAsia="en-AU"/>
        </w:rPr>
        <w:t xml:space="preserve"> Since its introduction, the PL has undergone </w:t>
      </w:r>
      <w:r w:rsidR="22639314" w:rsidRPr="234228C3">
        <w:rPr>
          <w:lang w:eastAsia="en-AU"/>
        </w:rPr>
        <w:t>several</w:t>
      </w:r>
      <w:r w:rsidR="00445509">
        <w:rPr>
          <w:iCs/>
          <w:szCs w:val="19"/>
          <w:lang w:eastAsia="en-AU"/>
        </w:rPr>
        <w:t xml:space="preserve"> reforms, </w:t>
      </w:r>
      <w:proofErr w:type="gramStart"/>
      <w:r w:rsidR="00130280">
        <w:rPr>
          <w:iCs/>
          <w:szCs w:val="19"/>
          <w:lang w:eastAsia="en-AU"/>
        </w:rPr>
        <w:t>reviews</w:t>
      </w:r>
      <w:proofErr w:type="gramEnd"/>
      <w:r w:rsidR="00130280">
        <w:rPr>
          <w:iCs/>
          <w:szCs w:val="19"/>
          <w:lang w:eastAsia="en-AU"/>
        </w:rPr>
        <w:t xml:space="preserve"> and changes. </w:t>
      </w:r>
      <w:r w:rsidR="00130280">
        <w:t>On 11 May</w:t>
      </w:r>
      <w:r w:rsidR="00130280" w:rsidRPr="00202ACC">
        <w:t xml:space="preserve"> 2021</w:t>
      </w:r>
      <w:r w:rsidR="00130280">
        <w:t>, a new set of reforms to the PL were announced in the Australian Federal Budget</w:t>
      </w:r>
      <w:r w:rsidR="00C26984">
        <w:t>, seeking to “reduce the cost of medical devices used in the private health sector and streamline access to new medical devices”</w:t>
      </w:r>
      <w:r w:rsidR="00C26984">
        <w:rPr>
          <w:rStyle w:val="FootnoteReference"/>
        </w:rPr>
        <w:footnoteReference w:id="3"/>
      </w:r>
      <w:r w:rsidR="00C26984">
        <w:t xml:space="preserve">. </w:t>
      </w:r>
    </w:p>
    <w:p w14:paraId="667C5B46" w14:textId="23DD4C17" w:rsidR="00181862" w:rsidRDefault="00DA710E" w:rsidP="00CA46FE">
      <w:r>
        <w:t xml:space="preserve">The purpose of this evaluation is to </w:t>
      </w:r>
      <w:r w:rsidR="00511723">
        <w:t>examine the way in which these reforms are implemented, the extent to which the</w:t>
      </w:r>
      <w:r w:rsidR="004934C6">
        <w:t xml:space="preserve"> reform activities achieve their intended outcomes, and </w:t>
      </w:r>
      <w:r w:rsidR="00F62A11">
        <w:t>to provide recommendations regarding future directions and considerations for the</w:t>
      </w:r>
      <w:r w:rsidR="00632031">
        <w:t xml:space="preserve"> PL.</w:t>
      </w:r>
      <w:r w:rsidR="009509F9">
        <w:t xml:space="preserve"> This baseline report establishes the opening position, prior to any reform activities, of the </w:t>
      </w:r>
      <w:r w:rsidR="002627E2">
        <w:t>relevant components of the PL.</w:t>
      </w:r>
    </w:p>
    <w:p w14:paraId="168CBBFC" w14:textId="38A9DB51" w:rsidR="000A2BE1" w:rsidRDefault="00B64905" w:rsidP="000A2BE1">
      <w:r>
        <w:t xml:space="preserve">Two key drivers sat behind </w:t>
      </w:r>
      <w:r w:rsidR="009F6C57">
        <w:t>the</w:t>
      </w:r>
      <w:r>
        <w:t xml:space="preserve"> introduction of the</w:t>
      </w:r>
      <w:r w:rsidR="007B18E6">
        <w:t>se</w:t>
      </w:r>
      <w:r>
        <w:t xml:space="preserve"> reforms</w:t>
      </w:r>
      <w:r w:rsidR="007B18E6">
        <w:t xml:space="preserve">. </w:t>
      </w:r>
      <w:r w:rsidR="0B27A70D">
        <w:t>Firstly, t</w:t>
      </w:r>
      <w:r w:rsidR="000A2BE1">
        <w:t xml:space="preserve">he reforms sought to reduce the cost of prostheses to insurers to alleviate upward pressure on private health insurance (PHI) premiums for consumers. Benefits relating to prostheses represented </w:t>
      </w:r>
      <w:r w:rsidR="4E845848">
        <w:t xml:space="preserve">approximately </w:t>
      </w:r>
      <w:r w:rsidR="000A2BE1" w:rsidRPr="009C4817">
        <w:t>14%</w:t>
      </w:r>
      <w:r w:rsidR="000A2BE1">
        <w:t xml:space="preserve"> of all PHI benefits paid </w:t>
      </w:r>
      <w:proofErr w:type="gramStart"/>
      <w:r w:rsidR="000A2BE1">
        <w:t xml:space="preserve">in </w:t>
      </w:r>
      <w:r w:rsidR="65A8E25A">
        <w:t xml:space="preserve"> </w:t>
      </w:r>
      <w:r w:rsidR="000A2BE1">
        <w:t>2019</w:t>
      </w:r>
      <w:proofErr w:type="gramEnd"/>
      <w:r w:rsidR="000A2BE1">
        <w:t>-20.</w:t>
      </w:r>
      <w:r w:rsidR="00394B04">
        <w:rPr>
          <w:rStyle w:val="FootnoteReference"/>
        </w:rPr>
        <w:footnoteReference w:id="4"/>
      </w:r>
      <w:r w:rsidR="000A2BE1">
        <w:t xml:space="preserve"> </w:t>
      </w:r>
      <w:r w:rsidR="000A2BE1">
        <w:rPr>
          <w:lang w:eastAsia="en-AU"/>
        </w:rPr>
        <w:t xml:space="preserve">PL benefits at this time </w:t>
      </w:r>
      <w:r w:rsidR="000A2BE1">
        <w:t xml:space="preserve">outweighed the prices of the same items in other systems, with the gap between the listed PL benefit and the price paid in the public system as high as </w:t>
      </w:r>
      <w:r w:rsidR="000A2BE1" w:rsidRPr="00C070A4">
        <w:t>145%</w:t>
      </w:r>
      <w:r w:rsidR="000A2BE1">
        <w:t xml:space="preserve"> for some devices.</w:t>
      </w:r>
      <w:r w:rsidR="00876DCF">
        <w:rPr>
          <w:rStyle w:val="FootnoteReference"/>
        </w:rPr>
        <w:footnoteReference w:id="5"/>
      </w:r>
    </w:p>
    <w:p w14:paraId="30147143" w14:textId="74068309" w:rsidR="000A2BE1" w:rsidRDefault="33C06280" w:rsidP="000A2BE1">
      <w:r>
        <w:t>Secondly, t</w:t>
      </w:r>
      <w:r w:rsidR="000A2BE1">
        <w:t xml:space="preserve">he PL reforms sought to address </w:t>
      </w:r>
      <w:r w:rsidR="3D5D22EF">
        <w:t>existing</w:t>
      </w:r>
      <w:r w:rsidR="000A2BE1">
        <w:t xml:space="preserve"> concerns </w:t>
      </w:r>
      <w:r w:rsidR="548EBA49">
        <w:t xml:space="preserve">expressed by </w:t>
      </w:r>
      <w:r w:rsidR="0EE00AF3">
        <w:t xml:space="preserve">a range </w:t>
      </w:r>
      <w:r w:rsidR="21708D36">
        <w:t xml:space="preserve">of </w:t>
      </w:r>
      <w:r w:rsidR="000A2BE1">
        <w:t>stakeholders</w:t>
      </w:r>
      <w:r w:rsidR="0A43DFBE">
        <w:t xml:space="preserve"> including a</w:t>
      </w:r>
      <w:r w:rsidR="000A2BE1">
        <w:t xml:space="preserve"> lack of clarity </w:t>
      </w:r>
      <w:r w:rsidR="77915C09">
        <w:t xml:space="preserve">regarding </w:t>
      </w:r>
      <w:r w:rsidR="0A43DFBE">
        <w:t>the</w:t>
      </w:r>
      <w:r w:rsidR="000A2BE1">
        <w:t xml:space="preserve"> purpose and structure of the PL, </w:t>
      </w:r>
      <w:r w:rsidR="589E1D7A">
        <w:t xml:space="preserve">a </w:t>
      </w:r>
      <w:r w:rsidR="0A43DFBE">
        <w:t>lack</w:t>
      </w:r>
      <w:r w:rsidR="000A2BE1">
        <w:t xml:space="preserve"> of formal compliance and post-listing mechanisms, </w:t>
      </w:r>
      <w:r w:rsidR="00A11C73">
        <w:t xml:space="preserve">and </w:t>
      </w:r>
      <w:r w:rsidR="566B0A92">
        <w:t xml:space="preserve">insufficient transparency </w:t>
      </w:r>
      <w:r w:rsidR="00D35954">
        <w:t>in</w:t>
      </w:r>
      <w:r w:rsidR="7C48AE68">
        <w:t xml:space="preserve"> decision</w:t>
      </w:r>
      <w:r w:rsidR="00D35954">
        <w:t>-</w:t>
      </w:r>
      <w:r w:rsidR="7C48AE68">
        <w:t xml:space="preserve">making </w:t>
      </w:r>
      <w:r w:rsidR="566B0A92">
        <w:t xml:space="preserve">and clinical </w:t>
      </w:r>
      <w:r w:rsidR="0A43DFBE">
        <w:t xml:space="preserve">governance. </w:t>
      </w:r>
      <w:r w:rsidR="2D5F6F54">
        <w:t xml:space="preserve">These concerns balanced reported strengths of the model including </w:t>
      </w:r>
      <w:r w:rsidR="000A2BE1">
        <w:t xml:space="preserve">the benefits </w:t>
      </w:r>
      <w:r w:rsidR="08DE1A31">
        <w:t xml:space="preserve">to consumers </w:t>
      </w:r>
      <w:r w:rsidR="000A2BE1">
        <w:t xml:space="preserve">of no-gap arrangements, clinician choice and guaranteed stable pricing. </w:t>
      </w:r>
    </w:p>
    <w:p w14:paraId="1B49F275" w14:textId="247AAC8C" w:rsidR="000A2BE1" w:rsidRDefault="000A2BE1" w:rsidP="000A2BE1">
      <w:r>
        <w:t xml:space="preserve">To respond to these two drivers and </w:t>
      </w:r>
      <w:r w:rsidR="279320B8">
        <w:t xml:space="preserve">implement the reform program announced on May 2021, </w:t>
      </w:r>
      <w:r w:rsidR="00A518EB">
        <w:t xml:space="preserve">the Department of </w:t>
      </w:r>
      <w:proofErr w:type="gramStart"/>
      <w:r w:rsidR="00A518EB">
        <w:t>Health</w:t>
      </w:r>
      <w:proofErr w:type="gramEnd"/>
      <w:r w:rsidR="00A518EB">
        <w:t xml:space="preserve"> and Aged Care </w:t>
      </w:r>
      <w:r w:rsidR="0074460C">
        <w:t xml:space="preserve">(the Department) </w:t>
      </w:r>
      <w:r w:rsidR="31708E20">
        <w:t>committed to</w:t>
      </w:r>
      <w:r w:rsidR="6F3F6872">
        <w:t xml:space="preserve"> </w:t>
      </w:r>
      <w:r>
        <w:t xml:space="preserve">nine </w:t>
      </w:r>
      <w:r w:rsidR="00EA2814">
        <w:t>key projects within the PL reforms</w:t>
      </w:r>
      <w:r>
        <w:t xml:space="preserve"> to undertake</w:t>
      </w:r>
      <w:r w:rsidR="00EA7894">
        <w:t xml:space="preserve"> </w:t>
      </w:r>
      <w:r w:rsidR="001B1594">
        <w:t xml:space="preserve">in partnership with the Independent Health and Aged Care Pricing Authority </w:t>
      </w:r>
      <w:r w:rsidR="0074460C">
        <w:t xml:space="preserve">(IHACPA) </w:t>
      </w:r>
      <w:r w:rsidR="007A23B2">
        <w:t xml:space="preserve">and </w:t>
      </w:r>
      <w:r w:rsidR="00EA7894">
        <w:t>in consultation with stakeholders</w:t>
      </w:r>
      <w:r>
        <w:t>. The</w:t>
      </w:r>
      <w:r w:rsidR="00E55F3C">
        <w:t xml:space="preserve"> projects within the PL reforms are:</w:t>
      </w:r>
    </w:p>
    <w:p w14:paraId="7EE7212E" w14:textId="77777777" w:rsidR="000A2BE1" w:rsidRDefault="000A2BE1" w:rsidP="00D519F2">
      <w:pPr>
        <w:pStyle w:val="NewListBulletPoint"/>
      </w:pPr>
      <w:r>
        <w:t>Reductions to listed benefit levels,</w:t>
      </w:r>
    </w:p>
    <w:p w14:paraId="03F0E823" w14:textId="32F68184" w:rsidR="000A2BE1" w:rsidRDefault="000A2BE1" w:rsidP="00D519F2">
      <w:pPr>
        <w:pStyle w:val="NewListBulletPoint"/>
      </w:pPr>
      <w:r w:rsidRPr="3787E91E">
        <w:t>Clarification</w:t>
      </w:r>
      <w:r w:rsidR="00920370" w:rsidRPr="3787E91E">
        <w:t xml:space="preserve"> of </w:t>
      </w:r>
      <w:r w:rsidR="00917C69" w:rsidRPr="3787E91E">
        <w:t xml:space="preserve">the PL’s </w:t>
      </w:r>
      <w:r w:rsidR="00920370" w:rsidRPr="3787E91E">
        <w:t xml:space="preserve">purpose, </w:t>
      </w:r>
      <w:proofErr w:type="gramStart"/>
      <w:r w:rsidR="00920370" w:rsidRPr="3787E91E">
        <w:t>definition</w:t>
      </w:r>
      <w:proofErr w:type="gramEnd"/>
      <w:r w:rsidR="00920370" w:rsidRPr="3787E91E">
        <w:t xml:space="preserve"> and </w:t>
      </w:r>
      <w:r w:rsidRPr="3787E91E">
        <w:t>scope,</w:t>
      </w:r>
    </w:p>
    <w:p w14:paraId="4C063518" w14:textId="308477C5" w:rsidR="000A2BE1" w:rsidRDefault="00824E27" w:rsidP="00D519F2">
      <w:pPr>
        <w:pStyle w:val="NewListBulletPoint"/>
      </w:pPr>
      <w:r>
        <w:t xml:space="preserve">Regrouping </w:t>
      </w:r>
      <w:r w:rsidR="0005237F">
        <w:t xml:space="preserve">of </w:t>
      </w:r>
      <w:r w:rsidR="00425290">
        <w:t>the items on the PL</w:t>
      </w:r>
      <w:r w:rsidR="003132AC">
        <w:t>,</w:t>
      </w:r>
    </w:p>
    <w:p w14:paraId="252FC445" w14:textId="77777777" w:rsidR="000A2BE1" w:rsidRDefault="000A2BE1" w:rsidP="00D519F2">
      <w:pPr>
        <w:pStyle w:val="NewListBulletPoint"/>
      </w:pPr>
      <w:r>
        <w:t>A review of the inclusion of General Use Items on the PL,</w:t>
      </w:r>
    </w:p>
    <w:p w14:paraId="348949C8" w14:textId="77777777" w:rsidR="000A2BE1" w:rsidRDefault="000A2BE1" w:rsidP="00D519F2">
      <w:pPr>
        <w:pStyle w:val="NewListBulletPoint"/>
      </w:pPr>
      <w:r>
        <w:t>Establishment of modernised assessment pathways,</w:t>
      </w:r>
    </w:p>
    <w:p w14:paraId="11E058C6" w14:textId="77777777" w:rsidR="000A2BE1" w:rsidRDefault="000A2BE1" w:rsidP="00D519F2">
      <w:pPr>
        <w:pStyle w:val="NewListBulletPoint"/>
      </w:pPr>
      <w:r>
        <w:t>Revised governance arrangements,</w:t>
      </w:r>
    </w:p>
    <w:p w14:paraId="66BA529C" w14:textId="77777777" w:rsidR="000A2BE1" w:rsidRDefault="000A2BE1" w:rsidP="00D519F2">
      <w:pPr>
        <w:pStyle w:val="NewListBulletPoint"/>
      </w:pPr>
      <w:r>
        <w:t>Formalisation of post-listing review functions and capabilities,</w:t>
      </w:r>
    </w:p>
    <w:p w14:paraId="15000ABC" w14:textId="77777777" w:rsidR="000A2BE1" w:rsidRDefault="000A2BE1" w:rsidP="00D519F2">
      <w:pPr>
        <w:pStyle w:val="NewListBulletPoint"/>
      </w:pPr>
      <w:r>
        <w:t>Establishment of a compliance strategy and associated functions, and</w:t>
      </w:r>
    </w:p>
    <w:p w14:paraId="3DA87C87" w14:textId="2DE9DB9B" w:rsidR="000A2BE1" w:rsidRDefault="000A2BE1" w:rsidP="00D519F2">
      <w:pPr>
        <w:pStyle w:val="NewListBulletPoint"/>
      </w:pPr>
      <w:r>
        <w:t>A review of the cost recovery fees associated with PL listings.</w:t>
      </w:r>
    </w:p>
    <w:p w14:paraId="2D00EB7A" w14:textId="02C54423" w:rsidR="00B2173A" w:rsidRPr="00B2173A" w:rsidRDefault="000A2BE1" w:rsidP="00CA46FE">
      <w:pPr>
        <w:sectPr w:rsidR="00B2173A" w:rsidRPr="00B2173A" w:rsidSect="00BA60DA">
          <w:headerReference w:type="default" r:id="rId20"/>
          <w:footerReference w:type="default" r:id="rId21"/>
          <w:pgSz w:w="11907" w:h="16839" w:code="9"/>
          <w:pgMar w:top="1418" w:right="1418" w:bottom="1701" w:left="1559" w:header="680" w:footer="680" w:gutter="0"/>
          <w:pgNumType w:start="1"/>
          <w:cols w:space="720"/>
          <w:docGrid w:linePitch="360"/>
        </w:sectPr>
      </w:pPr>
      <w:r>
        <w:t xml:space="preserve">These </w:t>
      </w:r>
      <w:r w:rsidR="006868CF">
        <w:t>projects</w:t>
      </w:r>
      <w:r>
        <w:t xml:space="preserve"> </w:t>
      </w:r>
      <w:r w:rsidR="00C13E7B">
        <w:t xml:space="preserve">within the PL reforms </w:t>
      </w:r>
      <w:r>
        <w:t xml:space="preserve">are intended to lead to the achievement of eight reform objectives. These objectives, their baseline state, the way in which the reforms intend to achieve them, and the way in which they will be evaluated over the course of the reform period are captured in </w:t>
      </w:r>
      <w:r>
        <w:fldChar w:fldCharType="begin"/>
      </w:r>
      <w:r>
        <w:instrText xml:space="preserve"> REF _Ref159507697 \h </w:instrText>
      </w:r>
      <w:r>
        <w:fldChar w:fldCharType="separate"/>
      </w:r>
      <w:r w:rsidR="00026714">
        <w:t xml:space="preserve">Table </w:t>
      </w:r>
      <w:r w:rsidR="00026714">
        <w:rPr>
          <w:noProof/>
        </w:rPr>
        <w:t>1</w:t>
      </w:r>
      <w:r>
        <w:fldChar w:fldCharType="end"/>
      </w:r>
      <w:r>
        <w:t xml:space="preserve"> below.</w:t>
      </w:r>
    </w:p>
    <w:p w14:paraId="6A1AA34F" w14:textId="407D59D6" w:rsidR="0093036F" w:rsidRDefault="0093036F" w:rsidP="00A868FB">
      <w:pPr>
        <w:pStyle w:val="Caption"/>
        <w:spacing w:before="240" w:after="120"/>
      </w:pPr>
      <w:bookmarkStart w:id="2" w:name="_Ref159507697"/>
      <w:r>
        <w:lastRenderedPageBreak/>
        <w:t xml:space="preserve">Table </w:t>
      </w:r>
      <w:r>
        <w:fldChar w:fldCharType="begin"/>
      </w:r>
      <w:r>
        <w:instrText xml:space="preserve"> SEQ Table \* ARABIC </w:instrText>
      </w:r>
      <w:r>
        <w:fldChar w:fldCharType="separate"/>
      </w:r>
      <w:r w:rsidR="00026714">
        <w:rPr>
          <w:noProof/>
        </w:rPr>
        <w:t>1</w:t>
      </w:r>
      <w:r>
        <w:fldChar w:fldCharType="end"/>
      </w:r>
      <w:bookmarkEnd w:id="2"/>
      <w:r>
        <w:t xml:space="preserve"> | Overview of reform objectives, the</w:t>
      </w:r>
      <w:r w:rsidR="00247211">
        <w:t xml:space="preserve"> ba</w:t>
      </w:r>
      <w:r w:rsidR="00A052F1">
        <w:t>seline state,</w:t>
      </w:r>
      <w:r>
        <w:t xml:space="preserve"> rationale, and how they are intended to be achieved and </w:t>
      </w:r>
      <w:proofErr w:type="gramStart"/>
      <w:r>
        <w:t>evaluated</w:t>
      </w:r>
      <w:proofErr w:type="gramEnd"/>
    </w:p>
    <w:tbl>
      <w:tblPr>
        <w:tblStyle w:val="NOUSSideHeader1"/>
        <w:tblW w:w="0" w:type="auto"/>
        <w:tblLook w:val="04A0" w:firstRow="1" w:lastRow="0" w:firstColumn="1" w:lastColumn="0" w:noHBand="0" w:noVBand="1"/>
      </w:tblPr>
      <w:tblGrid>
        <w:gridCol w:w="2742"/>
        <w:gridCol w:w="2742"/>
        <w:gridCol w:w="2742"/>
        <w:gridCol w:w="2742"/>
        <w:gridCol w:w="2742"/>
      </w:tblGrid>
      <w:tr w:rsidR="00C71BBB" w14:paraId="7C9A16B1" w14:textId="77777777" w:rsidTr="3787E91E">
        <w:trPr>
          <w:cnfStyle w:val="100000000000" w:firstRow="1" w:lastRow="0" w:firstColumn="0" w:lastColumn="0" w:oddVBand="0" w:evenVBand="0" w:oddHBand="0" w:evenHBand="0" w:firstRowFirstColumn="0" w:firstRowLastColumn="0" w:lastRowFirstColumn="0" w:lastRowLastColumn="0"/>
        </w:trPr>
        <w:tc>
          <w:tcPr>
            <w:tcW w:w="2742" w:type="dxa"/>
          </w:tcPr>
          <w:p w14:paraId="54926F6E" w14:textId="1E7881B9" w:rsidR="00105E61" w:rsidRDefault="00105E61" w:rsidP="0033586E">
            <w:pPr>
              <w:pStyle w:val="TableNheader"/>
              <w:keepNext w:val="0"/>
              <w:keepLines/>
            </w:pPr>
            <w:r>
              <w:t>Reform objective</w:t>
            </w:r>
          </w:p>
        </w:tc>
        <w:tc>
          <w:tcPr>
            <w:tcW w:w="2742" w:type="dxa"/>
          </w:tcPr>
          <w:p w14:paraId="10C9A26F" w14:textId="6E7651E5" w:rsidR="00105E61" w:rsidRDefault="00105E61" w:rsidP="0033586E">
            <w:pPr>
              <w:pStyle w:val="TableNheader"/>
              <w:keepNext w:val="0"/>
              <w:keepLines/>
            </w:pPr>
            <w:r>
              <w:t>Baseline state</w:t>
            </w:r>
          </w:p>
        </w:tc>
        <w:tc>
          <w:tcPr>
            <w:tcW w:w="2742" w:type="dxa"/>
          </w:tcPr>
          <w:p w14:paraId="22693D24" w14:textId="4C30BFAB" w:rsidR="00105E61" w:rsidRDefault="00105E61" w:rsidP="0033586E">
            <w:pPr>
              <w:pStyle w:val="TableNheader"/>
              <w:keepNext w:val="0"/>
              <w:keepLines/>
            </w:pPr>
            <w:r w:rsidRPr="00D26F5C">
              <w:t>Rationale for objective</w:t>
            </w:r>
          </w:p>
        </w:tc>
        <w:tc>
          <w:tcPr>
            <w:tcW w:w="2742" w:type="dxa"/>
          </w:tcPr>
          <w:p w14:paraId="3A5B4620" w14:textId="0535D82B" w:rsidR="00105E61" w:rsidRDefault="00105E61" w:rsidP="0033586E">
            <w:pPr>
              <w:pStyle w:val="TableNheader"/>
              <w:keepNext w:val="0"/>
              <w:keepLines/>
            </w:pPr>
            <w:r w:rsidRPr="00D26F5C">
              <w:t>How it is intended to be achieved</w:t>
            </w:r>
          </w:p>
        </w:tc>
        <w:tc>
          <w:tcPr>
            <w:tcW w:w="2742" w:type="dxa"/>
          </w:tcPr>
          <w:p w14:paraId="5A9E0E5E" w14:textId="7DB2A350" w:rsidR="00105E61" w:rsidRDefault="00105E61" w:rsidP="0033586E">
            <w:pPr>
              <w:pStyle w:val="TableNheader"/>
              <w:keepNext w:val="0"/>
              <w:keepLines/>
            </w:pPr>
            <w:r w:rsidRPr="00D26F5C">
              <w:t>How it will be evaluated</w:t>
            </w:r>
          </w:p>
        </w:tc>
      </w:tr>
      <w:tr w:rsidR="00DA3FE7" w14:paraId="71E067EA" w14:textId="77777777" w:rsidTr="3787E91E">
        <w:trPr>
          <w:cnfStyle w:val="000000100000" w:firstRow="0" w:lastRow="0" w:firstColumn="0" w:lastColumn="0" w:oddVBand="0" w:evenVBand="0" w:oddHBand="1" w:evenHBand="0" w:firstRowFirstColumn="0" w:firstRowLastColumn="0" w:lastRowFirstColumn="0" w:lastRowLastColumn="0"/>
        </w:trPr>
        <w:tc>
          <w:tcPr>
            <w:tcW w:w="2742" w:type="dxa"/>
          </w:tcPr>
          <w:p w14:paraId="3E658FBE" w14:textId="798EC93D" w:rsidR="00DA3FE7" w:rsidRPr="00DA3FE7" w:rsidRDefault="00DA3FE7" w:rsidP="0033586E">
            <w:pPr>
              <w:pStyle w:val="TableNText"/>
              <w:keepNext w:val="0"/>
              <w:keepLines/>
              <w:rPr>
                <w:rFonts w:asciiTheme="majorHAnsi" w:hAnsiTheme="majorHAnsi" w:cstheme="majorHAnsi"/>
              </w:rPr>
            </w:pPr>
            <w:r w:rsidRPr="00DA3FE7">
              <w:rPr>
                <w:rFonts w:asciiTheme="majorHAnsi" w:hAnsiTheme="majorHAnsi" w:cstheme="majorHAnsi"/>
              </w:rPr>
              <w:t>1. Improve the alignment of the scheduled benefits of the PL with the prices paid in more competitive markets</w:t>
            </w:r>
          </w:p>
        </w:tc>
        <w:tc>
          <w:tcPr>
            <w:tcW w:w="2742" w:type="dxa"/>
          </w:tcPr>
          <w:p w14:paraId="59484736" w14:textId="3BA399A8" w:rsidR="00DA3FE7" w:rsidRDefault="00DA3FE7" w:rsidP="0033586E">
            <w:pPr>
              <w:pStyle w:val="TableNText"/>
              <w:keepNext w:val="0"/>
              <w:keepLines/>
            </w:pPr>
            <w:r w:rsidRPr="00DA3FE7">
              <w:t>PL benefits are significantly higher than prices in comparable markets.</w:t>
            </w:r>
          </w:p>
        </w:tc>
        <w:tc>
          <w:tcPr>
            <w:tcW w:w="2742" w:type="dxa"/>
          </w:tcPr>
          <w:p w14:paraId="44E0BEA1" w14:textId="325CB61A" w:rsidR="00DA3FE7" w:rsidRDefault="004E6DD3" w:rsidP="0033586E">
            <w:pPr>
              <w:pStyle w:val="TableNText"/>
              <w:keepNext w:val="0"/>
              <w:keepLines/>
            </w:pPr>
            <w:r w:rsidRPr="004E6DD3">
              <w:t xml:space="preserve">High PL benefits </w:t>
            </w:r>
            <w:r w:rsidR="431162E3">
              <w:t xml:space="preserve">contribute to </w:t>
            </w:r>
            <w:r w:rsidRPr="004E6DD3">
              <w:t xml:space="preserve">PHI </w:t>
            </w:r>
            <w:r w:rsidR="68FAABDD">
              <w:t xml:space="preserve">costs and </w:t>
            </w:r>
            <w:r w:rsidR="00ABE18F">
              <w:t xml:space="preserve">issues of </w:t>
            </w:r>
            <w:r w:rsidR="25B2CE58">
              <w:t>affordability</w:t>
            </w:r>
            <w:r w:rsidRPr="004E6DD3">
              <w:t>.</w:t>
            </w:r>
          </w:p>
        </w:tc>
        <w:tc>
          <w:tcPr>
            <w:tcW w:w="2742" w:type="dxa"/>
          </w:tcPr>
          <w:p w14:paraId="7CFE026C" w14:textId="44412E80" w:rsidR="00DA3FE7" w:rsidRDefault="00A4716E" w:rsidP="0033586E">
            <w:pPr>
              <w:pStyle w:val="TableNText"/>
              <w:keepNext w:val="0"/>
              <w:keepLines/>
            </w:pPr>
            <w:r w:rsidRPr="00A4716E">
              <w:t>PL benefits to be reduced incrementally over reform period</w:t>
            </w:r>
            <w:r w:rsidR="006C7D63">
              <w:t xml:space="preserve"> in reference to </w:t>
            </w:r>
            <w:r w:rsidR="00D23D8B">
              <w:t xml:space="preserve">IHACPA’s </w:t>
            </w:r>
            <w:r w:rsidR="006C7D63">
              <w:t xml:space="preserve">public benchmark prices </w:t>
            </w:r>
            <w:r w:rsidR="00DD32BC">
              <w:t xml:space="preserve">(by </w:t>
            </w:r>
            <w:r w:rsidR="008D70C9">
              <w:t>8</w:t>
            </w:r>
            <w:r w:rsidR="00DD32BC">
              <w:t>0%</w:t>
            </w:r>
            <w:r w:rsidR="00B1100F">
              <w:t xml:space="preserve"> of </w:t>
            </w:r>
            <w:r w:rsidR="008D70C9">
              <w:t>the</w:t>
            </w:r>
            <w:r w:rsidR="00B1100F">
              <w:t xml:space="preserve"> gap</w:t>
            </w:r>
            <w:r w:rsidR="00DD32BC">
              <w:t xml:space="preserve"> </w:t>
            </w:r>
            <w:r w:rsidR="008D70C9">
              <w:t>or within a 7% floor</w:t>
            </w:r>
            <w:r w:rsidR="008D7367">
              <w:t xml:space="preserve"> for most items</w:t>
            </w:r>
            <w:r w:rsidR="00DD32BC">
              <w:t>)</w:t>
            </w:r>
            <w:r w:rsidRPr="00A4716E">
              <w:t>.</w:t>
            </w:r>
          </w:p>
        </w:tc>
        <w:tc>
          <w:tcPr>
            <w:tcW w:w="2742" w:type="dxa"/>
          </w:tcPr>
          <w:p w14:paraId="0A2E552E" w14:textId="13363B99" w:rsidR="00A4716E" w:rsidRDefault="00A4716E" w:rsidP="0033586E">
            <w:pPr>
              <w:pStyle w:val="TableNText"/>
              <w:keepNext w:val="0"/>
              <w:keepLines/>
            </w:pPr>
            <w:r>
              <w:t xml:space="preserve">Description of benefit reduction </w:t>
            </w:r>
            <w:r w:rsidR="08C779AA">
              <w:t>process</w:t>
            </w:r>
            <w:r>
              <w:t>.</w:t>
            </w:r>
          </w:p>
          <w:p w14:paraId="37AFE491" w14:textId="49448522" w:rsidR="00DA3FE7" w:rsidRDefault="00A4716E" w:rsidP="0033586E">
            <w:pPr>
              <w:pStyle w:val="TableNText"/>
              <w:keepNext w:val="0"/>
              <w:keepLines/>
            </w:pPr>
            <w:r>
              <w:t>Analysis of gap between PL benefits and public prices, and between PL benefits and international comparators.</w:t>
            </w:r>
          </w:p>
        </w:tc>
      </w:tr>
      <w:tr w:rsidR="00A4716E" w14:paraId="50D82AA3" w14:textId="77777777" w:rsidTr="3787E91E">
        <w:trPr>
          <w:cnfStyle w:val="000000010000" w:firstRow="0" w:lastRow="0" w:firstColumn="0" w:lastColumn="0" w:oddVBand="0" w:evenVBand="0" w:oddHBand="0" w:evenHBand="1" w:firstRowFirstColumn="0" w:firstRowLastColumn="0" w:lastRowFirstColumn="0" w:lastRowLastColumn="0"/>
        </w:trPr>
        <w:tc>
          <w:tcPr>
            <w:tcW w:w="2742" w:type="dxa"/>
          </w:tcPr>
          <w:p w14:paraId="48FF62A9" w14:textId="1DFA246D" w:rsidR="00A4716E" w:rsidRPr="00DA3FE7" w:rsidRDefault="00A4716E" w:rsidP="3787E91E">
            <w:pPr>
              <w:pStyle w:val="TableNText"/>
              <w:keepNext w:val="0"/>
              <w:keepLines/>
              <w:rPr>
                <w:rFonts w:asciiTheme="majorHAnsi" w:hAnsiTheme="majorHAnsi" w:cstheme="majorBidi"/>
              </w:rPr>
            </w:pPr>
            <w:r w:rsidRPr="3787E91E">
              <w:rPr>
                <w:rFonts w:asciiTheme="majorHAnsi" w:hAnsiTheme="majorHAnsi" w:cstheme="majorBidi"/>
              </w:rPr>
              <w:t>2. Maintain no additional out-of-pocket costs associated with the PL devices for consumers</w:t>
            </w:r>
          </w:p>
        </w:tc>
        <w:tc>
          <w:tcPr>
            <w:tcW w:w="2742" w:type="dxa"/>
          </w:tcPr>
          <w:p w14:paraId="0878C18B" w14:textId="2320C5D4" w:rsidR="00A4716E" w:rsidRDefault="00447E6F" w:rsidP="0033586E">
            <w:pPr>
              <w:pStyle w:val="TableNText"/>
              <w:keepNext w:val="0"/>
              <w:keepLines/>
            </w:pPr>
            <w:r>
              <w:t xml:space="preserve">Out-of-pocket </w:t>
            </w:r>
            <w:r w:rsidR="005F5D5B">
              <w:t>costs for devices are charged in &lt;1% of episodes</w:t>
            </w:r>
            <w:r w:rsidR="00A4716E" w:rsidRPr="0007003A">
              <w:t>.</w:t>
            </w:r>
          </w:p>
        </w:tc>
        <w:tc>
          <w:tcPr>
            <w:tcW w:w="2742" w:type="dxa"/>
          </w:tcPr>
          <w:p w14:paraId="1BA5A44D" w14:textId="56C8C3B1" w:rsidR="00A4716E" w:rsidRDefault="006D4DB5" w:rsidP="3787E91E">
            <w:pPr>
              <w:pStyle w:val="TableNText"/>
              <w:keepNext w:val="0"/>
              <w:keepLines/>
            </w:pPr>
            <w:r w:rsidRPr="3787E91E">
              <w:t>Minimising</w:t>
            </w:r>
            <w:r w:rsidR="00A4716E" w:rsidRPr="3787E91E">
              <w:t xml:space="preserve"> out-of-pocket expenses is </w:t>
            </w:r>
            <w:r w:rsidR="00982941" w:rsidRPr="3787E91E">
              <w:t xml:space="preserve">important for maintaining </w:t>
            </w:r>
            <w:r w:rsidR="00596B2C" w:rsidRPr="3787E91E">
              <w:t>access to devices</w:t>
            </w:r>
            <w:r w:rsidR="00A4716E" w:rsidRPr="3787E91E">
              <w:t>.</w:t>
            </w:r>
          </w:p>
        </w:tc>
        <w:tc>
          <w:tcPr>
            <w:tcW w:w="2742" w:type="dxa"/>
          </w:tcPr>
          <w:p w14:paraId="3C9CD74B" w14:textId="40396D9B" w:rsidR="00A4716E" w:rsidRDefault="009F26F2" w:rsidP="3787E91E">
            <w:pPr>
              <w:pStyle w:val="TableNText"/>
              <w:keepNext w:val="0"/>
              <w:keepLines/>
            </w:pPr>
            <w:r w:rsidRPr="3787E91E">
              <w:t>Maintaining minimal</w:t>
            </w:r>
            <w:r w:rsidR="00584264" w:rsidRPr="3787E91E">
              <w:t xml:space="preserve"> out-of-pocket costs establishes guardrails for the benefit reduction </w:t>
            </w:r>
            <w:r w:rsidR="00D95BD3" w:rsidRPr="3787E91E">
              <w:t>exercise</w:t>
            </w:r>
            <w:r w:rsidR="00682EF0" w:rsidRPr="3787E91E">
              <w:t xml:space="preserve"> and other policy decisions</w:t>
            </w:r>
            <w:r w:rsidR="00A4716E" w:rsidRPr="3787E91E">
              <w:t>.</w:t>
            </w:r>
          </w:p>
        </w:tc>
        <w:tc>
          <w:tcPr>
            <w:tcW w:w="2742" w:type="dxa"/>
          </w:tcPr>
          <w:p w14:paraId="67FC305C" w14:textId="21CD1ABE" w:rsidR="00A4716E" w:rsidRDefault="0009746A" w:rsidP="0033586E">
            <w:pPr>
              <w:pStyle w:val="TableNText"/>
              <w:keepNext w:val="0"/>
              <w:keepLines/>
            </w:pPr>
            <w:r w:rsidRPr="0009746A">
              <w:t>Analysis of out-of-pocket costs</w:t>
            </w:r>
            <w:r w:rsidR="004C73E6">
              <w:t xml:space="preserve"> for devices</w:t>
            </w:r>
            <w:r w:rsidRPr="0009746A">
              <w:t xml:space="preserve"> paid by consumers.</w:t>
            </w:r>
          </w:p>
        </w:tc>
      </w:tr>
      <w:tr w:rsidR="00A4716E" w14:paraId="07AC8A22" w14:textId="77777777" w:rsidTr="3787E91E">
        <w:trPr>
          <w:cnfStyle w:val="000000100000" w:firstRow="0" w:lastRow="0" w:firstColumn="0" w:lastColumn="0" w:oddVBand="0" w:evenVBand="0" w:oddHBand="1" w:evenHBand="0" w:firstRowFirstColumn="0" w:firstRowLastColumn="0" w:lastRowFirstColumn="0" w:lastRowLastColumn="0"/>
        </w:trPr>
        <w:tc>
          <w:tcPr>
            <w:tcW w:w="2742" w:type="dxa"/>
          </w:tcPr>
          <w:p w14:paraId="0FE89AAA" w14:textId="46092326" w:rsidR="00A4716E" w:rsidRPr="00DA3FE7" w:rsidRDefault="00A4716E" w:rsidP="3787E91E">
            <w:pPr>
              <w:pStyle w:val="TableNText"/>
              <w:keepNext w:val="0"/>
              <w:keepLines/>
              <w:rPr>
                <w:rFonts w:asciiTheme="majorHAnsi" w:hAnsiTheme="majorHAnsi" w:cstheme="majorBidi"/>
              </w:rPr>
            </w:pPr>
            <w:r w:rsidRPr="3787E91E">
              <w:rPr>
                <w:rFonts w:asciiTheme="majorHAnsi" w:hAnsiTheme="majorHAnsi" w:cstheme="majorBidi"/>
              </w:rPr>
              <w:t>3. Maintain clinician choice of appropriate prostheses for their patients</w:t>
            </w:r>
          </w:p>
        </w:tc>
        <w:tc>
          <w:tcPr>
            <w:tcW w:w="2742" w:type="dxa"/>
          </w:tcPr>
          <w:p w14:paraId="6982315D" w14:textId="5E1F6DA8" w:rsidR="00A4716E" w:rsidRDefault="00A4716E" w:rsidP="0033586E">
            <w:pPr>
              <w:pStyle w:val="TableNText"/>
              <w:keepNext w:val="0"/>
              <w:keepLines/>
            </w:pPr>
            <w:r w:rsidRPr="0007003A">
              <w:t xml:space="preserve">Clinicians have </w:t>
            </w:r>
            <w:r w:rsidR="0891D784">
              <w:t xml:space="preserve">a </w:t>
            </w:r>
            <w:r w:rsidRPr="0007003A">
              <w:t>choice of PL-listed items.</w:t>
            </w:r>
          </w:p>
        </w:tc>
        <w:tc>
          <w:tcPr>
            <w:tcW w:w="2742" w:type="dxa"/>
          </w:tcPr>
          <w:p w14:paraId="42ACB32C" w14:textId="1B21FCB1" w:rsidR="00A4716E" w:rsidRDefault="00A4716E" w:rsidP="0033586E">
            <w:pPr>
              <w:pStyle w:val="TableNText"/>
              <w:keepNext w:val="0"/>
              <w:keepLines/>
            </w:pPr>
            <w:r w:rsidRPr="00642C03">
              <w:t xml:space="preserve">Ensuring clinician choice is a core </w:t>
            </w:r>
            <w:r w:rsidR="529880B8">
              <w:t xml:space="preserve">principle </w:t>
            </w:r>
            <w:r w:rsidR="0A49B16B">
              <w:t>of</w:t>
            </w:r>
            <w:r w:rsidRPr="00642C03">
              <w:t xml:space="preserve"> the </w:t>
            </w:r>
            <w:r w:rsidR="0A49B16B">
              <w:t>PL</w:t>
            </w:r>
            <w:r w:rsidR="4709B071">
              <w:t xml:space="preserve"> design</w:t>
            </w:r>
            <w:r w:rsidRPr="00642C03">
              <w:t>.</w:t>
            </w:r>
          </w:p>
        </w:tc>
        <w:tc>
          <w:tcPr>
            <w:tcW w:w="2742" w:type="dxa"/>
          </w:tcPr>
          <w:p w14:paraId="76627885" w14:textId="0CC828D4" w:rsidR="00A4716E" w:rsidRDefault="00BA3867" w:rsidP="3787E91E">
            <w:pPr>
              <w:pStyle w:val="TableNText"/>
              <w:keepNext w:val="0"/>
              <w:keepLines/>
            </w:pPr>
            <w:r w:rsidRPr="3787E91E">
              <w:t>Maintain</w:t>
            </w:r>
            <w:r w:rsidR="00A4716E" w:rsidRPr="3787E91E">
              <w:t xml:space="preserve"> policy position enabling clinician choice</w:t>
            </w:r>
            <w:r w:rsidRPr="3787E91E">
              <w:t xml:space="preserve"> of appropriate prostheses.</w:t>
            </w:r>
          </w:p>
        </w:tc>
        <w:tc>
          <w:tcPr>
            <w:tcW w:w="2742" w:type="dxa"/>
          </w:tcPr>
          <w:p w14:paraId="41B4527A" w14:textId="77777777" w:rsidR="0009746A" w:rsidRDefault="0009746A" w:rsidP="0033586E">
            <w:pPr>
              <w:pStyle w:val="TableNText"/>
              <w:keepNext w:val="0"/>
              <w:keepLines/>
            </w:pPr>
            <w:r>
              <w:t>Clinician assessment of any changes in choice.</w:t>
            </w:r>
          </w:p>
          <w:p w14:paraId="3AB688D8" w14:textId="3DCCF6F3" w:rsidR="00A4716E" w:rsidRDefault="0009746A" w:rsidP="0033586E">
            <w:pPr>
              <w:pStyle w:val="TableNText"/>
              <w:keepNext w:val="0"/>
              <w:keepLines/>
            </w:pPr>
            <w:r>
              <w:t>Analysis of device utilisation.</w:t>
            </w:r>
          </w:p>
        </w:tc>
      </w:tr>
      <w:tr w:rsidR="00A4716E" w14:paraId="71576567" w14:textId="77777777" w:rsidTr="3787E91E">
        <w:trPr>
          <w:cnfStyle w:val="000000010000" w:firstRow="0" w:lastRow="0" w:firstColumn="0" w:lastColumn="0" w:oddVBand="0" w:evenVBand="0" w:oddHBand="0" w:evenHBand="1" w:firstRowFirstColumn="0" w:firstRowLastColumn="0" w:lastRowFirstColumn="0" w:lastRowLastColumn="0"/>
        </w:trPr>
        <w:tc>
          <w:tcPr>
            <w:tcW w:w="2742" w:type="dxa"/>
          </w:tcPr>
          <w:p w14:paraId="013BEEA8" w14:textId="25C9F090" w:rsidR="00A4716E" w:rsidRPr="00DA3FE7" w:rsidRDefault="00A4716E" w:rsidP="0033586E">
            <w:pPr>
              <w:pStyle w:val="TableNText"/>
              <w:keepNext w:val="0"/>
              <w:keepLines/>
              <w:rPr>
                <w:rFonts w:asciiTheme="majorHAnsi" w:hAnsiTheme="majorHAnsi" w:cstheme="majorHAnsi"/>
              </w:rPr>
            </w:pPr>
            <w:r w:rsidRPr="00DA3FE7">
              <w:rPr>
                <w:rFonts w:asciiTheme="majorHAnsi" w:hAnsiTheme="majorHAnsi" w:cstheme="majorHAnsi"/>
              </w:rPr>
              <w:t>4. Improve the affordability and value of PHI for privately insured Australians</w:t>
            </w:r>
          </w:p>
        </w:tc>
        <w:tc>
          <w:tcPr>
            <w:tcW w:w="2742" w:type="dxa"/>
          </w:tcPr>
          <w:p w14:paraId="733F4E43" w14:textId="2C671C2F" w:rsidR="00A4716E" w:rsidRDefault="00A4716E" w:rsidP="0033586E">
            <w:pPr>
              <w:pStyle w:val="TableNText"/>
              <w:keepNext w:val="0"/>
              <w:keepLines/>
            </w:pPr>
            <w:r w:rsidRPr="0007003A">
              <w:t>PHI affordability is currently an issue of concern, participation rates are decreasing and risk profiles increasing.</w:t>
            </w:r>
          </w:p>
        </w:tc>
        <w:tc>
          <w:tcPr>
            <w:tcW w:w="2742" w:type="dxa"/>
          </w:tcPr>
          <w:p w14:paraId="5EAA5920" w14:textId="0CDE3AD7" w:rsidR="00A4716E" w:rsidRDefault="00A4716E" w:rsidP="0033586E">
            <w:pPr>
              <w:pStyle w:val="TableNText"/>
              <w:keepNext w:val="0"/>
              <w:keepLines/>
            </w:pPr>
            <w:r w:rsidRPr="00642C03">
              <w:t>Low PHI participation places strain on the rest of the health system.</w:t>
            </w:r>
          </w:p>
        </w:tc>
        <w:tc>
          <w:tcPr>
            <w:tcW w:w="2742" w:type="dxa"/>
          </w:tcPr>
          <w:p w14:paraId="4829FE83" w14:textId="5AE3B9B1" w:rsidR="00A4716E" w:rsidRDefault="00A4716E" w:rsidP="3787E91E">
            <w:pPr>
              <w:pStyle w:val="TableNText"/>
              <w:keepNext w:val="0"/>
              <w:keepLines/>
            </w:pPr>
            <w:r w:rsidRPr="3787E91E">
              <w:t>Reduction in PL benefits while maintaining device availability</w:t>
            </w:r>
            <w:r w:rsidR="002F30C1" w:rsidRPr="3787E91E">
              <w:t xml:space="preserve"> and access</w:t>
            </w:r>
            <w:r w:rsidRPr="3787E91E">
              <w:t>.</w:t>
            </w:r>
          </w:p>
        </w:tc>
        <w:tc>
          <w:tcPr>
            <w:tcW w:w="2742" w:type="dxa"/>
          </w:tcPr>
          <w:p w14:paraId="084C407E" w14:textId="47D81B19" w:rsidR="0009746A" w:rsidRDefault="0009746A" w:rsidP="0033586E">
            <w:pPr>
              <w:pStyle w:val="TableNText"/>
              <w:keepNext w:val="0"/>
              <w:keepLines/>
            </w:pPr>
            <w:r>
              <w:t xml:space="preserve">Analysis of </w:t>
            </w:r>
            <w:r w:rsidR="44A8F6A7">
              <w:t xml:space="preserve">PL contribution to </w:t>
            </w:r>
            <w:r w:rsidR="1214D64D">
              <w:t>PHI</w:t>
            </w:r>
            <w:r>
              <w:t xml:space="preserve"> </w:t>
            </w:r>
            <w:r w:rsidR="00927600">
              <w:t>costs</w:t>
            </w:r>
            <w:r>
              <w:t>.</w:t>
            </w:r>
          </w:p>
          <w:p w14:paraId="0E15B1EC" w14:textId="292FC8E6" w:rsidR="00A4716E" w:rsidRDefault="0009746A" w:rsidP="0033586E">
            <w:pPr>
              <w:pStyle w:val="TableNText"/>
              <w:keepNext w:val="0"/>
              <w:keepLines/>
            </w:pPr>
            <w:r>
              <w:t>Analysis of PHI coverage rates.</w:t>
            </w:r>
          </w:p>
        </w:tc>
      </w:tr>
      <w:tr w:rsidR="004E6DD3" w14:paraId="68FED915" w14:textId="77777777" w:rsidTr="3787E91E">
        <w:trPr>
          <w:cnfStyle w:val="000000100000" w:firstRow="0" w:lastRow="0" w:firstColumn="0" w:lastColumn="0" w:oddVBand="0" w:evenVBand="0" w:oddHBand="1" w:evenHBand="0" w:firstRowFirstColumn="0" w:firstRowLastColumn="0" w:lastRowFirstColumn="0" w:lastRowLastColumn="0"/>
        </w:trPr>
        <w:tc>
          <w:tcPr>
            <w:tcW w:w="2742" w:type="dxa"/>
          </w:tcPr>
          <w:p w14:paraId="40DA02E0" w14:textId="2CD64DEE" w:rsidR="004E6DD3" w:rsidRPr="00DA3FE7" w:rsidRDefault="004E6DD3" w:rsidP="3787E91E">
            <w:pPr>
              <w:pStyle w:val="TableNText"/>
              <w:keepNext w:val="0"/>
              <w:keepLines/>
              <w:rPr>
                <w:rFonts w:asciiTheme="majorHAnsi" w:hAnsiTheme="majorHAnsi" w:cstheme="majorBidi"/>
              </w:rPr>
            </w:pPr>
            <w:r w:rsidRPr="3787E91E">
              <w:rPr>
                <w:rFonts w:asciiTheme="majorHAnsi" w:hAnsiTheme="majorHAnsi" w:cstheme="majorBidi"/>
              </w:rPr>
              <w:t xml:space="preserve">5. Clarify the purpose, </w:t>
            </w:r>
            <w:proofErr w:type="gramStart"/>
            <w:r w:rsidRPr="3787E91E">
              <w:rPr>
                <w:rFonts w:asciiTheme="majorHAnsi" w:hAnsiTheme="majorHAnsi" w:cstheme="majorBidi"/>
              </w:rPr>
              <w:t>definition</w:t>
            </w:r>
            <w:proofErr w:type="gramEnd"/>
            <w:r w:rsidRPr="3787E91E">
              <w:rPr>
                <w:rFonts w:asciiTheme="majorHAnsi" w:hAnsiTheme="majorHAnsi" w:cstheme="majorBidi"/>
              </w:rPr>
              <w:t xml:space="preserve"> and scope of the PL in legislation</w:t>
            </w:r>
          </w:p>
        </w:tc>
        <w:tc>
          <w:tcPr>
            <w:tcW w:w="2742" w:type="dxa"/>
          </w:tcPr>
          <w:p w14:paraId="4F227E53" w14:textId="77777777" w:rsidR="004E6DD3" w:rsidRDefault="004E6DD3" w:rsidP="0033586E">
            <w:pPr>
              <w:pStyle w:val="TableNText"/>
              <w:keepNext w:val="0"/>
              <w:keepLines/>
            </w:pPr>
            <w:r w:rsidRPr="0007003A">
              <w:t>Only high-level definition of PL in legislation.</w:t>
            </w:r>
          </w:p>
          <w:p w14:paraId="764358BF" w14:textId="1EC8FE33" w:rsidR="004E6DD3" w:rsidRDefault="003102E3" w:rsidP="0033586E">
            <w:pPr>
              <w:pStyle w:val="TableNText"/>
              <w:keepNext w:val="0"/>
              <w:keepLines/>
            </w:pPr>
            <w:r>
              <w:t>Expanding</w:t>
            </w:r>
            <w:r w:rsidR="004E6DD3" w:rsidRPr="0007003A">
              <w:t xml:space="preserve"> </w:t>
            </w:r>
            <w:r>
              <w:t xml:space="preserve">PL </w:t>
            </w:r>
            <w:r w:rsidR="004E6DD3" w:rsidRPr="0007003A">
              <w:t xml:space="preserve">scope </w:t>
            </w:r>
            <w:r w:rsidR="00FF78A3">
              <w:t>over time is seen as a major driver of costs</w:t>
            </w:r>
            <w:r w:rsidR="004E6DD3" w:rsidRPr="0007003A">
              <w:t>.</w:t>
            </w:r>
          </w:p>
          <w:p w14:paraId="06AD18EE" w14:textId="10B095A5" w:rsidR="004E6DD3" w:rsidRDefault="004E6DD3" w:rsidP="0033586E">
            <w:pPr>
              <w:pStyle w:val="TableNText"/>
              <w:keepNext w:val="0"/>
              <w:keepLines/>
            </w:pPr>
            <w:r w:rsidRPr="0007003A">
              <w:t>PL structure has become complex and difficult to navigate.</w:t>
            </w:r>
          </w:p>
        </w:tc>
        <w:tc>
          <w:tcPr>
            <w:tcW w:w="2742" w:type="dxa"/>
          </w:tcPr>
          <w:p w14:paraId="39A215DD" w14:textId="44840FDD" w:rsidR="004E6DD3" w:rsidRDefault="004E6DD3" w:rsidP="0033586E">
            <w:pPr>
              <w:pStyle w:val="TableNText"/>
              <w:keepNext w:val="0"/>
              <w:keepLines/>
            </w:pPr>
            <w:r w:rsidRPr="00642C03">
              <w:t>Lack of clarity and complex structure leads to reduced effectiveness and unwanted outcomes.</w:t>
            </w:r>
          </w:p>
        </w:tc>
        <w:tc>
          <w:tcPr>
            <w:tcW w:w="2742" w:type="dxa"/>
          </w:tcPr>
          <w:p w14:paraId="3A2F5EE4" w14:textId="77777777" w:rsidR="001D3EEE" w:rsidRDefault="001D3EEE" w:rsidP="3787E91E">
            <w:pPr>
              <w:pStyle w:val="TableNText"/>
              <w:keepNext w:val="0"/>
              <w:keepLines/>
            </w:pPr>
            <w:r w:rsidRPr="3787E91E">
              <w:t>Establishment of new legislation regarding the PL.</w:t>
            </w:r>
          </w:p>
          <w:p w14:paraId="46582F3D" w14:textId="77777777" w:rsidR="001D3EEE" w:rsidRDefault="001D3EEE" w:rsidP="0033586E">
            <w:pPr>
              <w:pStyle w:val="TableNText"/>
              <w:keepNext w:val="0"/>
              <w:keepLines/>
            </w:pPr>
            <w:r>
              <w:t>PL groups to be reviewed and restructured.</w:t>
            </w:r>
          </w:p>
          <w:p w14:paraId="1A2D89FE" w14:textId="40190BE8" w:rsidR="004E6DD3" w:rsidRDefault="001D3EEE" w:rsidP="3787E91E">
            <w:pPr>
              <w:pStyle w:val="TableNText"/>
              <w:keepNext w:val="0"/>
              <w:keepLines/>
            </w:pPr>
            <w:r w:rsidRPr="3787E91E">
              <w:t>General use items (GUIs) to be removed from the PL.</w:t>
            </w:r>
          </w:p>
        </w:tc>
        <w:tc>
          <w:tcPr>
            <w:tcW w:w="2742" w:type="dxa"/>
          </w:tcPr>
          <w:p w14:paraId="2A1AE4C3" w14:textId="77777777" w:rsidR="0009746A" w:rsidRDefault="0009746A" w:rsidP="0033586E">
            <w:pPr>
              <w:pStyle w:val="TableNText"/>
              <w:keepNext w:val="0"/>
              <w:keepLines/>
            </w:pPr>
            <w:r>
              <w:t>Description and review of new definitional documents.</w:t>
            </w:r>
          </w:p>
          <w:p w14:paraId="64C6D239" w14:textId="77777777" w:rsidR="0009746A" w:rsidRDefault="0009746A" w:rsidP="0033586E">
            <w:pPr>
              <w:pStyle w:val="TableNText"/>
              <w:keepNext w:val="0"/>
              <w:keepLines/>
            </w:pPr>
            <w:r>
              <w:t>Description and review of regrouping exercise.</w:t>
            </w:r>
          </w:p>
          <w:p w14:paraId="60138C6B" w14:textId="7574A44C" w:rsidR="004E6DD3" w:rsidRDefault="0009746A" w:rsidP="0033586E">
            <w:pPr>
              <w:pStyle w:val="TableNText"/>
              <w:keepNext w:val="0"/>
              <w:keepLines/>
            </w:pPr>
            <w:r>
              <w:t>Description and review of GUI removal</w:t>
            </w:r>
            <w:r w:rsidR="00F1417E">
              <w:t xml:space="preserve"> process</w:t>
            </w:r>
            <w:r>
              <w:t>.</w:t>
            </w:r>
          </w:p>
        </w:tc>
      </w:tr>
      <w:tr w:rsidR="004E6DD3" w14:paraId="40BDBE63" w14:textId="77777777" w:rsidTr="3787E91E">
        <w:trPr>
          <w:cnfStyle w:val="000000010000" w:firstRow="0" w:lastRow="0" w:firstColumn="0" w:lastColumn="0" w:oddVBand="0" w:evenVBand="0" w:oddHBand="0" w:evenHBand="1" w:firstRowFirstColumn="0" w:firstRowLastColumn="0" w:lastRowFirstColumn="0" w:lastRowLastColumn="0"/>
        </w:trPr>
        <w:tc>
          <w:tcPr>
            <w:tcW w:w="2742" w:type="dxa"/>
          </w:tcPr>
          <w:p w14:paraId="13DAF045" w14:textId="5A8A7C71" w:rsidR="004E6DD3" w:rsidRPr="00DA3FE7" w:rsidRDefault="004E6DD3" w:rsidP="0033586E">
            <w:pPr>
              <w:pStyle w:val="TableNText"/>
              <w:keepNext w:val="0"/>
              <w:keepLines/>
              <w:rPr>
                <w:rFonts w:asciiTheme="majorHAnsi" w:hAnsiTheme="majorHAnsi" w:cstheme="majorHAnsi"/>
              </w:rPr>
            </w:pPr>
            <w:r w:rsidRPr="00DA3FE7">
              <w:rPr>
                <w:rFonts w:asciiTheme="majorHAnsi" w:hAnsiTheme="majorHAnsi" w:cstheme="majorHAnsi"/>
              </w:rPr>
              <w:lastRenderedPageBreak/>
              <w:t>6. Implement new PL assessment pathways aligned to Health Technology Assessment principles and streamline the application process through simple and robust IT infrastructure</w:t>
            </w:r>
          </w:p>
        </w:tc>
        <w:tc>
          <w:tcPr>
            <w:tcW w:w="2742" w:type="dxa"/>
          </w:tcPr>
          <w:p w14:paraId="3B20D892" w14:textId="77777777" w:rsidR="004E6DD3" w:rsidRDefault="004E6DD3" w:rsidP="0033586E">
            <w:pPr>
              <w:pStyle w:val="TableNText"/>
              <w:keepNext w:val="0"/>
              <w:keepLines/>
            </w:pPr>
            <w:r w:rsidRPr="0007003A">
              <w:t>No distinct assessment pathways based on complexity.</w:t>
            </w:r>
          </w:p>
          <w:p w14:paraId="51404149" w14:textId="72DD316C" w:rsidR="004E6DD3" w:rsidRDefault="00F04796" w:rsidP="0033586E">
            <w:pPr>
              <w:pStyle w:val="TableNText"/>
              <w:keepNext w:val="0"/>
              <w:keepLines/>
            </w:pPr>
            <w:r>
              <w:t>A</w:t>
            </w:r>
            <w:r w:rsidR="64CEEA73">
              <w:t>ssessment</w:t>
            </w:r>
            <w:r w:rsidR="004E6DD3" w:rsidRPr="004E6DD3">
              <w:t xml:space="preserve"> process </w:t>
            </w:r>
            <w:r w:rsidR="3CA2FF63">
              <w:t>ha</w:t>
            </w:r>
            <w:r>
              <w:t xml:space="preserve">s </w:t>
            </w:r>
            <w:r w:rsidR="25B2CE58">
              <w:t>mixed</w:t>
            </w:r>
            <w:r w:rsidR="004E6DD3" w:rsidRPr="004E6DD3">
              <w:t xml:space="preserve"> alignment </w:t>
            </w:r>
            <w:r w:rsidR="433E7E97">
              <w:t>with</w:t>
            </w:r>
            <w:r w:rsidR="0DBB76EB">
              <w:t xml:space="preserve"> </w:t>
            </w:r>
            <w:r w:rsidR="25B2CE58">
              <w:t>HTA</w:t>
            </w:r>
            <w:r w:rsidR="004E6DD3" w:rsidRPr="004E6DD3">
              <w:t xml:space="preserve"> principles.</w:t>
            </w:r>
          </w:p>
        </w:tc>
        <w:tc>
          <w:tcPr>
            <w:tcW w:w="2742" w:type="dxa"/>
          </w:tcPr>
          <w:p w14:paraId="29156C88" w14:textId="19616F3F" w:rsidR="004E6DD3" w:rsidRDefault="004E6DD3" w:rsidP="3787E91E">
            <w:pPr>
              <w:pStyle w:val="TableNText"/>
              <w:keepNext w:val="0"/>
              <w:keepLines/>
            </w:pPr>
            <w:r w:rsidRPr="3787E91E">
              <w:t>Effective and efficient assessment crucial to maintain integrity of the PL.</w:t>
            </w:r>
          </w:p>
        </w:tc>
        <w:tc>
          <w:tcPr>
            <w:tcW w:w="2742" w:type="dxa"/>
          </w:tcPr>
          <w:p w14:paraId="1CF4955B" w14:textId="77777777" w:rsidR="001D3EEE" w:rsidRDefault="001D3EEE" w:rsidP="3787E91E">
            <w:pPr>
              <w:pStyle w:val="TableNText"/>
              <w:keepNext w:val="0"/>
              <w:keepLines/>
            </w:pPr>
            <w:r w:rsidRPr="3787E91E">
              <w:t>Multi-tiered application process to be established.</w:t>
            </w:r>
          </w:p>
          <w:p w14:paraId="35F15D2C" w14:textId="6E1293A1" w:rsidR="004E6DD3" w:rsidRDefault="001D3EEE" w:rsidP="0033586E">
            <w:pPr>
              <w:pStyle w:val="TableNText"/>
              <w:keepNext w:val="0"/>
              <w:keepLines/>
            </w:pPr>
            <w:r>
              <w:t>Changes to assessment governance processes.</w:t>
            </w:r>
          </w:p>
        </w:tc>
        <w:tc>
          <w:tcPr>
            <w:tcW w:w="2742" w:type="dxa"/>
          </w:tcPr>
          <w:p w14:paraId="391BDF18" w14:textId="77777777" w:rsidR="0009746A" w:rsidRDefault="0009746A" w:rsidP="0033586E">
            <w:pPr>
              <w:pStyle w:val="TableNText"/>
              <w:keepNext w:val="0"/>
              <w:keepLines/>
            </w:pPr>
            <w:r>
              <w:t>Description and review of new assessment processes.</w:t>
            </w:r>
          </w:p>
          <w:p w14:paraId="7D4A6D50" w14:textId="77777777" w:rsidR="0009746A" w:rsidRDefault="0009746A" w:rsidP="0033586E">
            <w:pPr>
              <w:pStyle w:val="TableNText"/>
              <w:keepNext w:val="0"/>
              <w:keepLines/>
            </w:pPr>
            <w:r>
              <w:t>Description and review of new governance processes.</w:t>
            </w:r>
          </w:p>
          <w:p w14:paraId="07902A91" w14:textId="2B508ED9" w:rsidR="004E6DD3" w:rsidRPr="0009746A" w:rsidRDefault="0009746A" w:rsidP="0033586E">
            <w:pPr>
              <w:pStyle w:val="TableNText"/>
              <w:keepNext w:val="0"/>
              <w:keepLines/>
              <w:rPr>
                <w:i/>
                <w:iCs/>
              </w:rPr>
            </w:pPr>
            <w:r w:rsidRPr="0009746A">
              <w:rPr>
                <w:i/>
                <w:iCs/>
              </w:rPr>
              <w:t>*Technology implementation not part of reforms.</w:t>
            </w:r>
          </w:p>
        </w:tc>
      </w:tr>
      <w:tr w:rsidR="004E6DD3" w14:paraId="50523A8F" w14:textId="77777777" w:rsidTr="3787E91E">
        <w:trPr>
          <w:cnfStyle w:val="000000100000" w:firstRow="0" w:lastRow="0" w:firstColumn="0" w:lastColumn="0" w:oddVBand="0" w:evenVBand="0" w:oddHBand="1" w:evenHBand="0" w:firstRowFirstColumn="0" w:firstRowLastColumn="0" w:lastRowFirstColumn="0" w:lastRowLastColumn="0"/>
        </w:trPr>
        <w:tc>
          <w:tcPr>
            <w:tcW w:w="2742" w:type="dxa"/>
          </w:tcPr>
          <w:p w14:paraId="2214AD2F" w14:textId="78FA3248" w:rsidR="004E6DD3" w:rsidRPr="00DA3FE7" w:rsidRDefault="004E6DD3" w:rsidP="0033586E">
            <w:pPr>
              <w:pStyle w:val="TableNText"/>
              <w:keepNext w:val="0"/>
              <w:keepLines/>
              <w:rPr>
                <w:rFonts w:asciiTheme="majorHAnsi" w:hAnsiTheme="majorHAnsi" w:cstheme="majorHAnsi"/>
              </w:rPr>
            </w:pPr>
            <w:r w:rsidRPr="00DA3FE7">
              <w:rPr>
                <w:rFonts w:asciiTheme="majorHAnsi" w:hAnsiTheme="majorHAnsi" w:cstheme="majorHAnsi"/>
              </w:rPr>
              <w:t>7. Develop and implement PL listing reviews and PL compliance frameworks to safeguard the PL Reform</w:t>
            </w:r>
          </w:p>
        </w:tc>
        <w:tc>
          <w:tcPr>
            <w:tcW w:w="2742" w:type="dxa"/>
          </w:tcPr>
          <w:p w14:paraId="09715E4B" w14:textId="77777777" w:rsidR="004E6DD3" w:rsidRDefault="004E6DD3" w:rsidP="0033586E">
            <w:pPr>
              <w:pStyle w:val="TableNText"/>
              <w:keepNext w:val="0"/>
              <w:keepLines/>
            </w:pPr>
            <w:r>
              <w:t>No formal compliance strategy.</w:t>
            </w:r>
          </w:p>
          <w:p w14:paraId="0E44A03F" w14:textId="5D3B0929" w:rsidR="004E6DD3" w:rsidRDefault="004E6DD3" w:rsidP="0033586E">
            <w:pPr>
              <w:pStyle w:val="TableNText"/>
              <w:keepNext w:val="0"/>
              <w:keepLines/>
            </w:pPr>
            <w:r>
              <w:t>No formal post-listing review framework.</w:t>
            </w:r>
          </w:p>
        </w:tc>
        <w:tc>
          <w:tcPr>
            <w:tcW w:w="2742" w:type="dxa"/>
          </w:tcPr>
          <w:p w14:paraId="003E26AF" w14:textId="77777777" w:rsidR="004E6DD3" w:rsidRDefault="004E6DD3" w:rsidP="0033586E">
            <w:pPr>
              <w:pStyle w:val="TableNText"/>
              <w:keepNext w:val="0"/>
              <w:keepLines/>
            </w:pPr>
            <w:r w:rsidRPr="00642C03">
              <w:t>Effective compliance crucial to safeguard the PL reform.</w:t>
            </w:r>
          </w:p>
          <w:p w14:paraId="79C43EE4" w14:textId="59C6FD03" w:rsidR="004E6DD3" w:rsidRDefault="004E6DD3" w:rsidP="3787E91E">
            <w:pPr>
              <w:pStyle w:val="TableNText"/>
              <w:keepNext w:val="0"/>
              <w:keepLines/>
            </w:pPr>
            <w:r w:rsidRPr="3787E91E">
              <w:t xml:space="preserve">Post-listing review mechanisms important </w:t>
            </w:r>
            <w:r w:rsidR="29E24295" w:rsidRPr="3787E91E">
              <w:t xml:space="preserve">to </w:t>
            </w:r>
            <w:r w:rsidR="25B2CE58" w:rsidRPr="3787E91E">
              <w:t>maint</w:t>
            </w:r>
            <w:r w:rsidR="4323D3EA" w:rsidRPr="3787E91E">
              <w:t>aining</w:t>
            </w:r>
            <w:r w:rsidR="53E9C498" w:rsidRPr="3787E91E">
              <w:t xml:space="preserve"> the</w:t>
            </w:r>
            <w:r w:rsidR="007F7844" w:rsidRPr="3787E91E">
              <w:t xml:space="preserve"> integrity</w:t>
            </w:r>
            <w:r w:rsidRPr="3787E91E">
              <w:t xml:space="preserve"> of the PL.</w:t>
            </w:r>
          </w:p>
        </w:tc>
        <w:tc>
          <w:tcPr>
            <w:tcW w:w="2742" w:type="dxa"/>
          </w:tcPr>
          <w:p w14:paraId="5CF4BD35" w14:textId="77777777" w:rsidR="001D3EEE" w:rsidRDefault="001D3EEE" w:rsidP="0033586E">
            <w:pPr>
              <w:pStyle w:val="TableNText"/>
              <w:keepNext w:val="0"/>
              <w:keepLines/>
            </w:pPr>
            <w:r>
              <w:t>Development of formal compliance strategy and associated functions.</w:t>
            </w:r>
          </w:p>
          <w:p w14:paraId="78AD9EE5" w14:textId="340B7FB5" w:rsidR="004E6DD3" w:rsidRDefault="001D3EEE" w:rsidP="0033586E">
            <w:pPr>
              <w:pStyle w:val="TableNText"/>
              <w:keepNext w:val="0"/>
              <w:keepLines/>
            </w:pPr>
            <w:r>
              <w:t>Development of post-listing review framework and completion of pilots.</w:t>
            </w:r>
          </w:p>
        </w:tc>
        <w:tc>
          <w:tcPr>
            <w:tcW w:w="2742" w:type="dxa"/>
          </w:tcPr>
          <w:p w14:paraId="72455EBF" w14:textId="79E7718F" w:rsidR="0009746A" w:rsidRDefault="0009746A" w:rsidP="0033586E">
            <w:pPr>
              <w:pStyle w:val="TableNText"/>
              <w:keepNext w:val="0"/>
              <w:keepLines/>
            </w:pPr>
            <w:r>
              <w:t>Assessment of compliance strategy</w:t>
            </w:r>
            <w:r w:rsidR="00B73D6E">
              <w:t xml:space="preserve"> and associated functions</w:t>
            </w:r>
            <w:r>
              <w:t>.</w:t>
            </w:r>
          </w:p>
          <w:p w14:paraId="37B5B0F3" w14:textId="6A50A7D7" w:rsidR="004E6DD3" w:rsidRDefault="0009746A" w:rsidP="0033586E">
            <w:pPr>
              <w:pStyle w:val="TableNText"/>
              <w:keepNext w:val="0"/>
              <w:keepLines/>
            </w:pPr>
            <w:r>
              <w:t>Assessment of post-listing review framework.</w:t>
            </w:r>
          </w:p>
        </w:tc>
      </w:tr>
      <w:tr w:rsidR="004E6DD3" w14:paraId="0F228968" w14:textId="77777777" w:rsidTr="3787E91E">
        <w:trPr>
          <w:cnfStyle w:val="000000010000" w:firstRow="0" w:lastRow="0" w:firstColumn="0" w:lastColumn="0" w:oddVBand="0" w:evenVBand="0" w:oddHBand="0" w:evenHBand="1" w:firstRowFirstColumn="0" w:firstRowLastColumn="0" w:lastRowFirstColumn="0" w:lastRowLastColumn="0"/>
        </w:trPr>
        <w:tc>
          <w:tcPr>
            <w:tcW w:w="2742" w:type="dxa"/>
          </w:tcPr>
          <w:p w14:paraId="4A3DC145" w14:textId="51134150" w:rsidR="004E6DD3" w:rsidRPr="00DA3FE7" w:rsidRDefault="004E6DD3" w:rsidP="0033586E">
            <w:pPr>
              <w:pStyle w:val="TableNText"/>
              <w:keepNext w:val="0"/>
              <w:keepLines/>
              <w:rPr>
                <w:rFonts w:asciiTheme="majorHAnsi" w:hAnsiTheme="majorHAnsi" w:cstheme="majorHAnsi"/>
              </w:rPr>
            </w:pPr>
            <w:r w:rsidRPr="00DA3FE7">
              <w:rPr>
                <w:rFonts w:asciiTheme="majorHAnsi" w:hAnsiTheme="majorHAnsi" w:cstheme="majorHAnsi"/>
              </w:rPr>
              <w:t>8. Ensure ongoing financial sustainability of PL administration through effective and efficient cost recovery arrangements that are compliant with the Australian Government Charging Framework</w:t>
            </w:r>
          </w:p>
        </w:tc>
        <w:tc>
          <w:tcPr>
            <w:tcW w:w="2742" w:type="dxa"/>
          </w:tcPr>
          <w:p w14:paraId="3E2C3DB9" w14:textId="22CEBD14" w:rsidR="004E6DD3" w:rsidRDefault="004E6DD3" w:rsidP="0033586E">
            <w:pPr>
              <w:pStyle w:val="TableNText"/>
              <w:keepNext w:val="0"/>
              <w:keepLines/>
            </w:pPr>
            <w:r w:rsidRPr="004E6DD3">
              <w:t>Historically established cost recovery arrangements are non-sustainable and misaligned with Australian Government Charging Framework.</w:t>
            </w:r>
          </w:p>
        </w:tc>
        <w:tc>
          <w:tcPr>
            <w:tcW w:w="2742" w:type="dxa"/>
          </w:tcPr>
          <w:p w14:paraId="4248AAE3" w14:textId="0F7BA596" w:rsidR="004E6DD3" w:rsidRDefault="004E6DD3" w:rsidP="0033586E">
            <w:pPr>
              <w:pStyle w:val="TableNText"/>
              <w:keepNext w:val="0"/>
              <w:keepLines/>
            </w:pPr>
            <w:r w:rsidRPr="004E6DD3">
              <w:t>PL administration should be cost-neutral to Government.</w:t>
            </w:r>
          </w:p>
        </w:tc>
        <w:tc>
          <w:tcPr>
            <w:tcW w:w="2742" w:type="dxa"/>
          </w:tcPr>
          <w:p w14:paraId="78D0A7A5" w14:textId="7AF156FA" w:rsidR="004E6DD3" w:rsidRDefault="001D3EEE" w:rsidP="0033586E">
            <w:pPr>
              <w:pStyle w:val="TableNText"/>
              <w:keepNext w:val="0"/>
              <w:keepLines/>
            </w:pPr>
            <w:r w:rsidRPr="001D3EEE">
              <w:t>Cost recovery arrangements to be revised.</w:t>
            </w:r>
          </w:p>
        </w:tc>
        <w:tc>
          <w:tcPr>
            <w:tcW w:w="2742" w:type="dxa"/>
          </w:tcPr>
          <w:p w14:paraId="3534BF90" w14:textId="77777777" w:rsidR="0009746A" w:rsidRDefault="0009746A" w:rsidP="0033586E">
            <w:pPr>
              <w:pStyle w:val="TableNText"/>
              <w:keepNext w:val="0"/>
              <w:keepLines/>
            </w:pPr>
            <w:r>
              <w:t>Description of change to administrative effort.</w:t>
            </w:r>
          </w:p>
          <w:p w14:paraId="43A5B4FB" w14:textId="77777777" w:rsidR="0009746A" w:rsidRDefault="0009746A" w:rsidP="0033586E">
            <w:pPr>
              <w:pStyle w:val="TableNText"/>
              <w:keepNext w:val="0"/>
              <w:keepLines/>
            </w:pPr>
            <w:r>
              <w:t>Analysis of impact of revised cost recovery arrangements.</w:t>
            </w:r>
          </w:p>
          <w:p w14:paraId="77BC5555" w14:textId="471CC777" w:rsidR="004E6DD3" w:rsidRPr="0009746A" w:rsidRDefault="0009746A" w:rsidP="3787E91E">
            <w:pPr>
              <w:pStyle w:val="TableNText"/>
              <w:keepNext w:val="0"/>
              <w:keepLines/>
              <w:rPr>
                <w:i/>
                <w:iCs/>
              </w:rPr>
            </w:pPr>
            <w:r w:rsidRPr="3787E91E">
              <w:rPr>
                <w:i/>
                <w:iCs/>
              </w:rPr>
              <w:t>*Financial sustainability of cost recovery arrangements to be established in separate review.</w:t>
            </w:r>
          </w:p>
        </w:tc>
      </w:tr>
    </w:tbl>
    <w:p w14:paraId="242DC1F1" w14:textId="77777777" w:rsidR="000A2F30" w:rsidRDefault="000A2F30" w:rsidP="000A2F30"/>
    <w:p w14:paraId="67E6E6CC" w14:textId="77777777" w:rsidR="000A2F30" w:rsidRDefault="000A2F30" w:rsidP="00AD4EB6">
      <w:pPr>
        <w:sectPr w:rsidR="000A2F30" w:rsidSect="00BA60DA">
          <w:pgSz w:w="16839" w:h="11907" w:orient="landscape" w:code="9"/>
          <w:pgMar w:top="1559" w:right="1418" w:bottom="1418" w:left="1701" w:header="680" w:footer="680" w:gutter="0"/>
          <w:cols w:space="720"/>
          <w:docGrid w:linePitch="360"/>
        </w:sectPr>
      </w:pPr>
    </w:p>
    <w:p w14:paraId="1DD89796" w14:textId="77777777" w:rsidR="00022453" w:rsidRDefault="00022453" w:rsidP="00022453">
      <w:pPr>
        <w:pStyle w:val="Heading1"/>
      </w:pPr>
      <w:bookmarkStart w:id="3" w:name="_Toc179453669"/>
      <w:r>
        <w:lastRenderedPageBreak/>
        <w:t>Introduction</w:t>
      </w:r>
      <w:bookmarkEnd w:id="3"/>
    </w:p>
    <w:p w14:paraId="193C1110" w14:textId="064A87A4" w:rsidR="00022453" w:rsidRPr="00202ACC" w:rsidRDefault="00022453" w:rsidP="00022453">
      <w:pPr>
        <w:pStyle w:val="Heading2"/>
      </w:pPr>
      <w:bookmarkStart w:id="4" w:name="_Toc179453670"/>
      <w:bookmarkStart w:id="5" w:name="_Toc160185015"/>
      <w:r w:rsidRPr="00202ACC">
        <w:t>The Prostheses List</w:t>
      </w:r>
      <w:bookmarkEnd w:id="4"/>
    </w:p>
    <w:p w14:paraId="306755CD" w14:textId="4EA546EE" w:rsidR="00022453" w:rsidRDefault="00202ACC" w:rsidP="00022453">
      <w:pPr>
        <w:rPr>
          <w:iCs/>
          <w:szCs w:val="19"/>
          <w:lang w:eastAsia="en-AU"/>
        </w:rPr>
      </w:pPr>
      <w:r w:rsidRPr="00202ACC">
        <w:t xml:space="preserve">The </w:t>
      </w:r>
      <w:r w:rsidR="00022453">
        <w:rPr>
          <w:lang w:eastAsia="en-AU"/>
        </w:rPr>
        <w:t xml:space="preserve">Prostheses List (PL) </w:t>
      </w:r>
      <w:r w:rsidR="00BF5A5C">
        <w:t>i</w:t>
      </w:r>
      <w:r w:rsidRPr="00202ACC">
        <w:t xml:space="preserve">s a schedule of </w:t>
      </w:r>
      <w:r w:rsidR="00A32021">
        <w:t>prostheses</w:t>
      </w:r>
      <w:r w:rsidR="00A32021">
        <w:rPr>
          <w:rStyle w:val="FootnoteReference"/>
        </w:rPr>
        <w:footnoteReference w:id="6"/>
      </w:r>
      <w:r w:rsidRPr="00202ACC">
        <w:t xml:space="preserve"> </w:t>
      </w:r>
      <w:r w:rsidR="00022453">
        <w:t xml:space="preserve">that sets </w:t>
      </w:r>
      <w:r w:rsidR="00022453" w:rsidRPr="00202ACC">
        <w:rPr>
          <w:lang w:eastAsia="en-AU"/>
        </w:rPr>
        <w:t xml:space="preserve">the </w:t>
      </w:r>
      <w:r w:rsidR="00022453" w:rsidRPr="00202ACC">
        <w:t xml:space="preserve">minimum price a private health insurer must pay a hospital for </w:t>
      </w:r>
      <w:r w:rsidR="00022453" w:rsidRPr="00B14E0A">
        <w:rPr>
          <w:iCs/>
          <w:szCs w:val="19"/>
          <w:lang w:eastAsia="en-AU"/>
        </w:rPr>
        <w:t xml:space="preserve">surgically implanted </w:t>
      </w:r>
      <w:r w:rsidR="00A32021">
        <w:rPr>
          <w:iCs/>
          <w:szCs w:val="19"/>
          <w:lang w:eastAsia="en-AU"/>
        </w:rPr>
        <w:t>devices</w:t>
      </w:r>
      <w:r w:rsidR="00022453" w:rsidRPr="00B14E0A">
        <w:rPr>
          <w:iCs/>
          <w:szCs w:val="19"/>
          <w:lang w:eastAsia="en-AU"/>
        </w:rPr>
        <w:t xml:space="preserve"> received by private patients in privately insured episodes of care.</w:t>
      </w:r>
    </w:p>
    <w:p w14:paraId="07535BCA" w14:textId="50D55F2C" w:rsidR="00022453" w:rsidRDefault="00022453" w:rsidP="00022453">
      <w:pPr>
        <w:rPr>
          <w:lang w:eastAsia="en-AU"/>
        </w:rPr>
      </w:pPr>
      <w:r>
        <w:rPr>
          <w:lang w:eastAsia="en-AU"/>
        </w:rPr>
        <w:t xml:space="preserve">The PL was introduced in 1985 </w:t>
      </w:r>
      <w:r w:rsidRPr="13512CF8">
        <w:rPr>
          <w:lang w:eastAsia="en-AU"/>
        </w:rPr>
        <w:t xml:space="preserve">under the </w:t>
      </w:r>
      <w:r w:rsidRPr="00CE7FD9">
        <w:rPr>
          <w:i/>
          <w:lang w:eastAsia="en-AU"/>
        </w:rPr>
        <w:t>Health Legislation Amendment Bill 1985</w:t>
      </w:r>
      <w:r w:rsidRPr="13512CF8">
        <w:rPr>
          <w:lang w:eastAsia="en-AU"/>
        </w:rPr>
        <w:t xml:space="preserve"> </w:t>
      </w:r>
      <w:r>
        <w:rPr>
          <w:lang w:eastAsia="en-AU"/>
        </w:rPr>
        <w:t>to regulate the benefits paid for prostheses for patients with private health insurance (PHI).</w:t>
      </w:r>
      <w:r w:rsidRPr="0088201A">
        <w:rPr>
          <w:rStyle w:val="FootnoteReference"/>
          <w:rFonts w:cs="Arial"/>
        </w:rPr>
        <w:footnoteReference w:id="7"/>
      </w:r>
      <w:r>
        <w:rPr>
          <w:lang w:eastAsia="en-AU"/>
        </w:rPr>
        <w:t xml:space="preserve"> By </w:t>
      </w:r>
      <w:r w:rsidR="00D964DD">
        <w:rPr>
          <w:lang w:eastAsia="en-AU"/>
        </w:rPr>
        <w:t xml:space="preserve">mandating payments and </w:t>
      </w:r>
      <w:r>
        <w:rPr>
          <w:lang w:eastAsia="en-AU"/>
        </w:rPr>
        <w:t xml:space="preserve">controlling </w:t>
      </w:r>
      <w:r w:rsidR="007401EF">
        <w:rPr>
          <w:lang w:eastAsia="en-AU"/>
        </w:rPr>
        <w:t>benefit</w:t>
      </w:r>
      <w:r w:rsidR="00D964DD">
        <w:rPr>
          <w:lang w:eastAsia="en-AU"/>
        </w:rPr>
        <w:t xml:space="preserve"> levels</w:t>
      </w:r>
      <w:r>
        <w:rPr>
          <w:lang w:eastAsia="en-AU"/>
        </w:rPr>
        <w:t xml:space="preserve"> for prostheses, the i</w:t>
      </w:r>
      <w:r w:rsidRPr="13512CF8">
        <w:rPr>
          <w:lang w:eastAsia="en-AU"/>
        </w:rPr>
        <w:t>ntroduction of the PL also aimed to make private health insurance attractive to patients</w:t>
      </w:r>
      <w:r w:rsidR="00752E2C">
        <w:t xml:space="preserve"> by </w:t>
      </w:r>
      <w:r w:rsidR="0020547F">
        <w:t xml:space="preserve">removing </w:t>
      </w:r>
      <w:r w:rsidR="00752E2C">
        <w:t>out</w:t>
      </w:r>
      <w:r w:rsidR="0020547F">
        <w:t>-of-pocket costs</w:t>
      </w:r>
      <w:r w:rsidRPr="13512CF8">
        <w:rPr>
          <w:lang w:eastAsia="en-AU"/>
        </w:rPr>
        <w:t>, thereby reducing public hospital waiting lists for procedures involving surgically implanted prostheses.</w:t>
      </w:r>
      <w:r w:rsidR="00AA0998">
        <w:rPr>
          <w:rStyle w:val="FootnoteReference"/>
          <w:lang w:eastAsia="en-AU"/>
        </w:rPr>
        <w:footnoteReference w:id="8"/>
      </w:r>
    </w:p>
    <w:p w14:paraId="47EBAA9F" w14:textId="65D6E2B9" w:rsidR="00B17977" w:rsidRPr="00EC1E74" w:rsidRDefault="00FD1663" w:rsidP="00022453">
      <w:r>
        <w:t>The Australian</w:t>
      </w:r>
      <w:r w:rsidRPr="00202ACC">
        <w:t xml:space="preserve"> </w:t>
      </w:r>
      <w:r w:rsidR="00A61B0E">
        <w:t>G</w:t>
      </w:r>
      <w:r w:rsidRPr="00202ACC">
        <w:t xml:space="preserve">overnment is responsible for maintaining </w:t>
      </w:r>
      <w:r>
        <w:t>the PL.</w:t>
      </w:r>
      <w:r w:rsidR="006F41AA">
        <w:t xml:space="preserve"> </w:t>
      </w:r>
      <w:r w:rsidR="001D0F4D">
        <w:t xml:space="preserve">Prior to </w:t>
      </w:r>
      <w:r w:rsidR="00FF5E96">
        <w:t xml:space="preserve">the </w:t>
      </w:r>
      <w:r w:rsidR="001D0F4D">
        <w:t>reforms</w:t>
      </w:r>
      <w:r w:rsidR="00215667">
        <w:t xml:space="preserve"> </w:t>
      </w:r>
      <w:r w:rsidR="00B74568">
        <w:t xml:space="preserve">being </w:t>
      </w:r>
      <w:r w:rsidR="00215667">
        <w:t>announced in</w:t>
      </w:r>
      <w:r w:rsidR="005D4DFB">
        <w:t xml:space="preserve"> May 2021</w:t>
      </w:r>
      <w:r w:rsidR="00B74568">
        <w:t>,</w:t>
      </w:r>
      <w:r w:rsidR="00FF5E96">
        <w:t xml:space="preserve"> t</w:t>
      </w:r>
      <w:r w:rsidR="006F41AA">
        <w:t>he Department of Health</w:t>
      </w:r>
      <w:r w:rsidR="00FF5E96">
        <w:t xml:space="preserve"> </w:t>
      </w:r>
      <w:r w:rsidR="005C4298">
        <w:t xml:space="preserve">and Aged Care </w:t>
      </w:r>
      <w:r w:rsidR="001B7928">
        <w:t xml:space="preserve">(the Department) </w:t>
      </w:r>
      <w:r w:rsidR="00932245">
        <w:t>process</w:t>
      </w:r>
      <w:r w:rsidR="0076460B">
        <w:t>ed</w:t>
      </w:r>
      <w:r w:rsidR="00932245">
        <w:t xml:space="preserve"> </w:t>
      </w:r>
      <w:r w:rsidR="0076460B">
        <w:t>medical device sponsors’ applications</w:t>
      </w:r>
      <w:r w:rsidR="000E78FC">
        <w:t xml:space="preserve"> (approvals, variations, deletions)</w:t>
      </w:r>
      <w:r w:rsidR="004B57A7">
        <w:t xml:space="preserve">; </w:t>
      </w:r>
      <w:r w:rsidR="007977E7">
        <w:t>support</w:t>
      </w:r>
      <w:r w:rsidR="0076460B">
        <w:t>ed Health Technology Assessment</w:t>
      </w:r>
      <w:r w:rsidR="003F6F3B">
        <w:t>s</w:t>
      </w:r>
      <w:r w:rsidR="0076460B">
        <w:t xml:space="preserve"> </w:t>
      </w:r>
      <w:r w:rsidR="00CD10F9">
        <w:t>undertaken</w:t>
      </w:r>
      <w:r w:rsidR="00144A69">
        <w:t xml:space="preserve"> by </w:t>
      </w:r>
      <w:r w:rsidR="00C869AF">
        <w:t>external consultants</w:t>
      </w:r>
      <w:r w:rsidR="00376982">
        <w:t>;</w:t>
      </w:r>
      <w:r w:rsidR="00C869AF">
        <w:t xml:space="preserve"> </w:t>
      </w:r>
      <w:r w:rsidR="00C405B3">
        <w:t xml:space="preserve">supported </w:t>
      </w:r>
      <w:r w:rsidR="00144A69">
        <w:t>the Prostheses List Advisory Committee (PLAC)</w:t>
      </w:r>
      <w:r w:rsidR="00370DD6">
        <w:t xml:space="preserve"> and its </w:t>
      </w:r>
      <w:r w:rsidR="008F7411">
        <w:t>sub</w:t>
      </w:r>
      <w:r w:rsidR="0014260E">
        <w:t xml:space="preserve">committees, the </w:t>
      </w:r>
      <w:r w:rsidR="00370DD6">
        <w:t>Clinical Advisory Groups (CAGs) and the Panel of Clinical Experts (the Panel)</w:t>
      </w:r>
      <w:r w:rsidR="00376982">
        <w:t>;</w:t>
      </w:r>
      <w:r w:rsidR="00144A69">
        <w:t xml:space="preserve"> and </w:t>
      </w:r>
      <w:r w:rsidR="0026510D">
        <w:t>perform</w:t>
      </w:r>
      <w:r w:rsidR="00370DD6">
        <w:t>ed othe</w:t>
      </w:r>
      <w:r w:rsidR="00144A69">
        <w:t>r administrative functions to maintain the PL</w:t>
      </w:r>
      <w:r w:rsidR="00370DD6">
        <w:t>.</w:t>
      </w:r>
    </w:p>
    <w:p w14:paraId="08CE4506" w14:textId="4F2E25BA" w:rsidR="00022453" w:rsidRDefault="00431387" w:rsidP="00022453">
      <w:pPr>
        <w:rPr>
          <w:szCs w:val="19"/>
          <w:lang w:eastAsia="en-AU"/>
        </w:rPr>
      </w:pPr>
      <w:r w:rsidRPr="00D377CF">
        <w:rPr>
          <w:szCs w:val="19"/>
          <w:lang w:eastAsia="en-AU"/>
        </w:rPr>
        <w:t xml:space="preserve">PL arrangements and its scope were set out in </w:t>
      </w:r>
      <w:r w:rsidRPr="00D377CF">
        <w:rPr>
          <w:i/>
          <w:szCs w:val="19"/>
          <w:lang w:eastAsia="en-AU"/>
        </w:rPr>
        <w:t xml:space="preserve">Division 72 of the Private Health Insurance Act 2007 </w:t>
      </w:r>
      <w:r w:rsidRPr="00BB4BEE">
        <w:rPr>
          <w:iCs/>
          <w:szCs w:val="19"/>
          <w:lang w:eastAsia="en-AU"/>
        </w:rPr>
        <w:t>and the</w:t>
      </w:r>
      <w:r w:rsidRPr="00D377CF">
        <w:rPr>
          <w:i/>
          <w:szCs w:val="19"/>
          <w:lang w:eastAsia="en-AU"/>
        </w:rPr>
        <w:t xml:space="preserve"> Private Health Insurance (Prostheses) Rules</w:t>
      </w:r>
      <w:r w:rsidR="00F631B4">
        <w:t xml:space="preserve">. </w:t>
      </w:r>
      <w:r w:rsidR="00F07F9E">
        <w:t xml:space="preserve">The </w:t>
      </w:r>
      <w:r w:rsidR="008C759E" w:rsidRPr="00D377CF">
        <w:rPr>
          <w:szCs w:val="19"/>
          <w:lang w:eastAsia="en-AU"/>
        </w:rPr>
        <w:t xml:space="preserve">PL </w:t>
      </w:r>
      <w:r w:rsidR="00BF5A5C">
        <w:rPr>
          <w:szCs w:val="19"/>
          <w:lang w:eastAsia="en-AU"/>
        </w:rPr>
        <w:t>i</w:t>
      </w:r>
      <w:r w:rsidR="008C759E" w:rsidRPr="00D377CF">
        <w:rPr>
          <w:szCs w:val="19"/>
          <w:lang w:eastAsia="en-AU"/>
        </w:rPr>
        <w:t>s the schedule to the Rules and was</w:t>
      </w:r>
      <w:r w:rsidR="0037483C">
        <w:rPr>
          <w:szCs w:val="19"/>
          <w:lang w:eastAsia="en-AU"/>
        </w:rPr>
        <w:t xml:space="preserve"> established</w:t>
      </w:r>
      <w:r w:rsidR="008C759E" w:rsidRPr="00D377CF">
        <w:rPr>
          <w:szCs w:val="19"/>
          <w:lang w:eastAsia="en-AU"/>
        </w:rPr>
        <w:t xml:space="preserve"> </w:t>
      </w:r>
      <w:r w:rsidR="0037483C">
        <w:rPr>
          <w:szCs w:val="19"/>
          <w:lang w:eastAsia="en-AU"/>
        </w:rPr>
        <w:t>with</w:t>
      </w:r>
      <w:r w:rsidR="008C759E" w:rsidRPr="00D377CF">
        <w:rPr>
          <w:szCs w:val="19"/>
          <w:lang w:eastAsia="en-AU"/>
        </w:rPr>
        <w:t xml:space="preserve"> three parts</w:t>
      </w:r>
      <w:r w:rsidR="006734B9">
        <w:rPr>
          <w:szCs w:val="19"/>
          <w:lang w:eastAsia="en-AU"/>
        </w:rPr>
        <w:t>:</w:t>
      </w:r>
    </w:p>
    <w:p w14:paraId="110D88B4" w14:textId="77777777" w:rsidR="005F75F1" w:rsidRPr="005F75F1" w:rsidRDefault="005F75F1" w:rsidP="005F75F1">
      <w:pPr>
        <w:pStyle w:val="Bullet"/>
      </w:pPr>
      <w:r w:rsidRPr="005F75F1">
        <w:rPr>
          <w:rFonts w:asciiTheme="majorHAnsi" w:hAnsiTheme="majorHAnsi" w:cstheme="majorHAnsi"/>
        </w:rPr>
        <w:t>Part A</w:t>
      </w:r>
      <w:r w:rsidRPr="005F75F1">
        <w:t xml:space="preserve"> – Prostheses that are used as part of hospital or hospital-substitute treatment where a Medicare benefit must be paid to the doctor for the procedure performed. The device must be surgically implanted, enable another device to be implanted or allow an implant to continue to function after surgery. </w:t>
      </w:r>
    </w:p>
    <w:p w14:paraId="4F4219D0" w14:textId="77777777" w:rsidR="005F75F1" w:rsidRPr="005F75F1" w:rsidRDefault="005F75F1" w:rsidP="005F75F1">
      <w:pPr>
        <w:pStyle w:val="Bullet"/>
      </w:pPr>
      <w:r w:rsidRPr="3787E91E">
        <w:rPr>
          <w:rFonts w:asciiTheme="majorHAnsi" w:hAnsiTheme="majorHAnsi" w:cstheme="majorBidi"/>
        </w:rPr>
        <w:t>Part B</w:t>
      </w:r>
      <w:r w:rsidRPr="3787E91E">
        <w:t xml:space="preserve"> – Human tissue products that are substantially derived from human tissue where the tissue has been subject to processing or treatments, and whose supply (however described, including trade, sell, give or gift) is governed by state or territory law. </w:t>
      </w:r>
    </w:p>
    <w:p w14:paraId="25831F2C" w14:textId="35E511C9" w:rsidR="006734B9" w:rsidRDefault="005F75F1" w:rsidP="005F75F1">
      <w:pPr>
        <w:pStyle w:val="Bullet"/>
      </w:pPr>
      <w:r w:rsidRPr="005F75F1">
        <w:rPr>
          <w:rFonts w:asciiTheme="majorHAnsi" w:hAnsiTheme="majorHAnsi" w:cstheme="majorHAnsi"/>
        </w:rPr>
        <w:t>Part C</w:t>
      </w:r>
      <w:r w:rsidRPr="005F75F1">
        <w:t xml:space="preserve"> – Medical devices that do not meet the criteria for Part A, but the Minister for Health considers suitable for benefit payments by private health insurers.</w:t>
      </w:r>
    </w:p>
    <w:p w14:paraId="7ECA8BD0" w14:textId="23053AAB" w:rsidR="007D3A51" w:rsidRPr="00D377CF" w:rsidRDefault="00AC161F" w:rsidP="007D3A51">
      <w:pPr>
        <w:rPr>
          <w:szCs w:val="19"/>
          <w:lang w:eastAsia="en-AU"/>
        </w:rPr>
      </w:pPr>
      <w:r>
        <w:t xml:space="preserve">The PL </w:t>
      </w:r>
      <w:r w:rsidR="00B14A63">
        <w:t>arr</w:t>
      </w:r>
      <w:r w:rsidR="00645178">
        <w:t xml:space="preserve">angements </w:t>
      </w:r>
      <w:r>
        <w:t>direct</w:t>
      </w:r>
      <w:r w:rsidR="00645178">
        <w:t>ed</w:t>
      </w:r>
      <w:r>
        <w:t xml:space="preserve"> </w:t>
      </w:r>
      <w:r w:rsidR="007A72E6">
        <w:t>private health insurers</w:t>
      </w:r>
      <w:r w:rsidR="00645178">
        <w:t xml:space="preserve"> </w:t>
      </w:r>
      <w:r w:rsidR="007D3A51" w:rsidRPr="00D377CF">
        <w:rPr>
          <w:szCs w:val="19"/>
          <w:lang w:eastAsia="en-AU"/>
        </w:rPr>
        <w:t xml:space="preserve">to pay a specified </w:t>
      </w:r>
      <w:r w:rsidR="007D3A51">
        <w:rPr>
          <w:szCs w:val="19"/>
          <w:lang w:eastAsia="en-AU"/>
        </w:rPr>
        <w:t>minimum</w:t>
      </w:r>
      <w:r w:rsidR="007D3A51" w:rsidRPr="00D377CF">
        <w:rPr>
          <w:szCs w:val="19"/>
          <w:lang w:eastAsia="en-AU"/>
        </w:rPr>
        <w:t xml:space="preserve"> benefit for a product if:</w:t>
      </w:r>
    </w:p>
    <w:p w14:paraId="3B62A512" w14:textId="04C22ACB" w:rsidR="007D3A51" w:rsidRPr="001D6352" w:rsidRDefault="007D3A51" w:rsidP="001D6352">
      <w:pPr>
        <w:pStyle w:val="Bullet"/>
      </w:pPr>
      <w:r w:rsidRPr="001D6352">
        <w:t xml:space="preserve">The product was on the </w:t>
      </w:r>
      <w:proofErr w:type="gramStart"/>
      <w:r w:rsidRPr="001D6352">
        <w:t>PL</w:t>
      </w:r>
      <w:r w:rsidR="452A6D7E" w:rsidRPr="001D6352">
        <w:t>;</w:t>
      </w:r>
      <w:proofErr w:type="gramEnd"/>
    </w:p>
    <w:p w14:paraId="52637CC7" w14:textId="533C06BA" w:rsidR="007D3A51" w:rsidRPr="001D6352" w:rsidRDefault="007D3A51" w:rsidP="001D6352">
      <w:pPr>
        <w:pStyle w:val="Bullet"/>
      </w:pPr>
      <w:r w:rsidRPr="001D6352">
        <w:t xml:space="preserve">The patient received the product as part of hospital treatment or hospital substitute </w:t>
      </w:r>
      <w:proofErr w:type="gramStart"/>
      <w:r w:rsidRPr="001D6352">
        <w:t>treatment</w:t>
      </w:r>
      <w:r w:rsidR="45E38870" w:rsidRPr="001D6352">
        <w:t>;</w:t>
      </w:r>
      <w:proofErr w:type="gramEnd"/>
    </w:p>
    <w:p w14:paraId="4DB6C4F2" w14:textId="369E191F" w:rsidR="007D3A51" w:rsidRPr="001D6352" w:rsidRDefault="007D3A51" w:rsidP="001D6352">
      <w:pPr>
        <w:pStyle w:val="Bullet"/>
      </w:pPr>
      <w:r w:rsidRPr="3787E91E">
        <w:t>The patient had appropriate health insurance to cover the treatment</w:t>
      </w:r>
      <w:r w:rsidR="293CC858" w:rsidRPr="3787E91E">
        <w:t>; and,</w:t>
      </w:r>
    </w:p>
    <w:p w14:paraId="07FA31AD" w14:textId="23904390" w:rsidR="00957A5E" w:rsidRPr="001D6352" w:rsidRDefault="007D3A51" w:rsidP="001D6352">
      <w:pPr>
        <w:pStyle w:val="Bullet"/>
      </w:pPr>
      <w:r w:rsidRPr="001D6352">
        <w:t xml:space="preserve">A Medicare benefit was payable for a service associated with the </w:t>
      </w:r>
      <w:r w:rsidR="00ED676A" w:rsidRPr="001D6352">
        <w:t>provision</w:t>
      </w:r>
      <w:r w:rsidRPr="001D6352">
        <w:t xml:space="preserve"> of the product.</w:t>
      </w:r>
    </w:p>
    <w:p w14:paraId="50F8A4D7" w14:textId="01CAB528" w:rsidR="00983FD4" w:rsidRDefault="00022453" w:rsidP="00022453">
      <w:pPr>
        <w:rPr>
          <w:lang w:eastAsia="en-AU"/>
        </w:rPr>
      </w:pPr>
      <w:r>
        <w:rPr>
          <w:lang w:eastAsia="en-AU"/>
        </w:rPr>
        <w:t xml:space="preserve">Since its introduction, the PL has undergone various </w:t>
      </w:r>
      <w:r w:rsidR="00123888">
        <w:rPr>
          <w:lang w:eastAsia="en-AU"/>
        </w:rPr>
        <w:t xml:space="preserve">modifications and reforms (see section </w:t>
      </w:r>
      <w:r w:rsidR="00957A5E">
        <w:rPr>
          <w:lang w:eastAsia="en-AU"/>
        </w:rPr>
        <w:fldChar w:fldCharType="begin"/>
      </w:r>
      <w:r w:rsidR="00957A5E">
        <w:rPr>
          <w:lang w:eastAsia="en-AU"/>
        </w:rPr>
        <w:instrText xml:space="preserve"> REF _Ref160452581 \r \h </w:instrText>
      </w:r>
      <w:r w:rsidR="00957A5E">
        <w:rPr>
          <w:lang w:eastAsia="en-AU"/>
        </w:rPr>
      </w:r>
      <w:r w:rsidR="00957A5E">
        <w:rPr>
          <w:lang w:eastAsia="en-AU"/>
        </w:rPr>
        <w:fldChar w:fldCharType="separate"/>
      </w:r>
      <w:r w:rsidR="00026714">
        <w:rPr>
          <w:lang w:eastAsia="en-AU"/>
        </w:rPr>
        <w:t>2</w:t>
      </w:r>
      <w:r w:rsidR="00957A5E">
        <w:rPr>
          <w:lang w:eastAsia="en-AU"/>
        </w:rPr>
        <w:fldChar w:fldCharType="end"/>
      </w:r>
      <w:r w:rsidR="000F248C">
        <w:rPr>
          <w:lang w:eastAsia="en-AU"/>
        </w:rPr>
        <w:t>)</w:t>
      </w:r>
      <w:r>
        <w:rPr>
          <w:lang w:eastAsia="en-AU"/>
        </w:rPr>
        <w:t>, but its purpose remains to “</w:t>
      </w:r>
      <w:r w:rsidRPr="008B67E9">
        <w:rPr>
          <w:lang w:eastAsia="en-AU"/>
        </w:rPr>
        <w:t>ensure that privately insured Australians have access to clinically effective prostheses that meet their health care needs.</w:t>
      </w:r>
      <w:r>
        <w:rPr>
          <w:lang w:eastAsia="en-AU"/>
        </w:rPr>
        <w:t>”</w:t>
      </w:r>
      <w:r>
        <w:rPr>
          <w:rStyle w:val="FootnoteReference"/>
          <w:lang w:eastAsia="en-AU"/>
        </w:rPr>
        <w:footnoteReference w:id="9"/>
      </w:r>
      <w:r>
        <w:rPr>
          <w:lang w:eastAsia="en-AU"/>
        </w:rPr>
        <w:t xml:space="preserve">  The PL continues to aim to provide privately insured patients with choice of prostheses recommended by their doctors, with no out-of-pocket expenses.</w:t>
      </w:r>
    </w:p>
    <w:p w14:paraId="5AFC3D6C" w14:textId="77777777" w:rsidR="00022453" w:rsidRPr="00202ACC" w:rsidRDefault="00022453" w:rsidP="00022453">
      <w:pPr>
        <w:pStyle w:val="Heading2"/>
      </w:pPr>
      <w:bookmarkStart w:id="6" w:name="_Toc179453671"/>
      <w:bookmarkEnd w:id="5"/>
      <w:r w:rsidRPr="00202ACC">
        <w:lastRenderedPageBreak/>
        <w:t>The evaluation context</w:t>
      </w:r>
      <w:bookmarkEnd w:id="6"/>
    </w:p>
    <w:p w14:paraId="19CD2CD5" w14:textId="79B219FF" w:rsidR="00202ACC" w:rsidRPr="00202ACC" w:rsidRDefault="00E6100F" w:rsidP="00022453">
      <w:r>
        <w:t xml:space="preserve">This evaluation focuses on the </w:t>
      </w:r>
      <w:r w:rsidR="00DB2EF0">
        <w:t xml:space="preserve">PL </w:t>
      </w:r>
      <w:r>
        <w:t xml:space="preserve">reforms </w:t>
      </w:r>
      <w:r w:rsidR="00DB2EF0">
        <w:t>announced on 11 May</w:t>
      </w:r>
      <w:r w:rsidR="00202ACC" w:rsidRPr="00202ACC">
        <w:t xml:space="preserve"> 2021</w:t>
      </w:r>
      <w:r w:rsidR="00BA02F5">
        <w:t xml:space="preserve"> a</w:t>
      </w:r>
      <w:r w:rsidR="00DB2EF0">
        <w:t xml:space="preserve">s </w:t>
      </w:r>
      <w:r w:rsidR="00B254D8">
        <w:t xml:space="preserve">part of the Australian Federal </w:t>
      </w:r>
      <w:r w:rsidR="00D07045">
        <w:t>Budget and</w:t>
      </w:r>
      <w:r w:rsidR="00BA02F5">
        <w:t xml:space="preserve"> running from 1 July 2021 to 30 June 2025</w:t>
      </w:r>
      <w:r w:rsidR="00B254D8">
        <w:t>.</w:t>
      </w:r>
      <w:r w:rsidR="00022453" w:rsidRPr="00202ACC">
        <w:t xml:space="preserve"> Evaluation of these reforms </w:t>
      </w:r>
      <w:r w:rsidR="0425A8E8">
        <w:t>will determine</w:t>
      </w:r>
      <w:r w:rsidR="00022453" w:rsidRPr="00202ACC">
        <w:t xml:space="preserve"> whether the reform</w:t>
      </w:r>
      <w:r w:rsidR="000A18DE">
        <w:t xml:space="preserve"> </w:t>
      </w:r>
      <w:r w:rsidR="000E6908">
        <w:t>program is</w:t>
      </w:r>
      <w:r w:rsidR="00F84861">
        <w:t xml:space="preserve"> being</w:t>
      </w:r>
      <w:r w:rsidR="00022453" w:rsidRPr="00202ACC">
        <w:t xml:space="preserve"> implemented as intended</w:t>
      </w:r>
      <w:r w:rsidR="4673BE82">
        <w:t>,</w:t>
      </w:r>
      <w:r w:rsidR="00170F76">
        <w:t xml:space="preserve"> </w:t>
      </w:r>
      <w:r w:rsidR="00022453" w:rsidRPr="00202ACC">
        <w:t xml:space="preserve">whether </w:t>
      </w:r>
      <w:r w:rsidR="000E6908">
        <w:t>it is</w:t>
      </w:r>
      <w:r w:rsidR="00022453" w:rsidRPr="00202ACC">
        <w:t xml:space="preserve"> delivering on </w:t>
      </w:r>
      <w:r w:rsidR="000E6908">
        <w:t>its</w:t>
      </w:r>
      <w:r w:rsidR="00022453" w:rsidRPr="00202ACC">
        <w:t xml:space="preserve"> intended objectives, and </w:t>
      </w:r>
      <w:r w:rsidR="796FF114">
        <w:t xml:space="preserve">provide </w:t>
      </w:r>
      <w:r w:rsidR="0091219B">
        <w:t>any</w:t>
      </w:r>
      <w:r w:rsidR="796FF114">
        <w:t xml:space="preserve"> insights </w:t>
      </w:r>
      <w:r w:rsidR="004B54C8">
        <w:t xml:space="preserve">to </w:t>
      </w:r>
      <w:r w:rsidR="34485F9A">
        <w:t xml:space="preserve">improve </w:t>
      </w:r>
      <w:r w:rsidR="004B54C8">
        <w:t>the reform program’s</w:t>
      </w:r>
      <w:r w:rsidR="34485F9A">
        <w:t xml:space="preserve"> impact</w:t>
      </w:r>
      <w:r w:rsidR="00022453" w:rsidRPr="00202ACC">
        <w:t>.</w:t>
      </w:r>
    </w:p>
    <w:p w14:paraId="7998C452" w14:textId="36C765CF" w:rsidR="00022453" w:rsidRPr="00202ACC" w:rsidRDefault="00022453" w:rsidP="00022453">
      <w:r w:rsidRPr="00202ACC">
        <w:t xml:space="preserve">Nous Group </w:t>
      </w:r>
      <w:r w:rsidR="00C05911">
        <w:t>(Nous)</w:t>
      </w:r>
      <w:r w:rsidRPr="00202ACC">
        <w:t xml:space="preserve"> was commissioned to undertake </w:t>
      </w:r>
      <w:r>
        <w:t>the</w:t>
      </w:r>
      <w:r w:rsidRPr="00202ACC">
        <w:t xml:space="preserve"> evaluation of the PL reforms. </w:t>
      </w:r>
      <w:r>
        <w:rPr>
          <w:lang w:eastAsia="en-AU"/>
        </w:rPr>
        <w:t>Nous is undertaking the evaluation from 202</w:t>
      </w:r>
      <w:r w:rsidR="00BA6EBA">
        <w:rPr>
          <w:lang w:eastAsia="en-AU"/>
        </w:rPr>
        <w:t>3</w:t>
      </w:r>
      <w:r>
        <w:rPr>
          <w:lang w:eastAsia="en-AU"/>
        </w:rPr>
        <w:t xml:space="preserve"> to 202</w:t>
      </w:r>
      <w:r w:rsidR="00BA6EBA">
        <w:rPr>
          <w:lang w:eastAsia="en-AU"/>
        </w:rPr>
        <w:t>6</w:t>
      </w:r>
      <w:r>
        <w:rPr>
          <w:lang w:eastAsia="en-AU"/>
        </w:rPr>
        <w:t xml:space="preserve"> in accordance with an evaluation framework that the Department developed in consultation with the PL</w:t>
      </w:r>
      <w:r w:rsidRPr="009E6E4A">
        <w:rPr>
          <w:lang w:eastAsia="en-AU"/>
        </w:rPr>
        <w:t xml:space="preserve"> Reform Taskforce Project Board</w:t>
      </w:r>
      <w:r>
        <w:rPr>
          <w:lang w:eastAsia="en-AU"/>
        </w:rPr>
        <w:t>.</w:t>
      </w:r>
      <w:r w:rsidRPr="002C6B6A">
        <w:t xml:space="preserve"> </w:t>
      </w:r>
      <w:r w:rsidR="000210F5">
        <w:t xml:space="preserve">The </w:t>
      </w:r>
      <w:r w:rsidR="005C102B">
        <w:t>framework informed the development</w:t>
      </w:r>
      <w:r w:rsidRPr="00202ACC">
        <w:t xml:space="preserve"> of the Evaluation Plan for the reforms and the Reform Program Logic Model</w:t>
      </w:r>
      <w:r w:rsidR="007F7B9A">
        <w:t xml:space="preserve"> (see </w:t>
      </w:r>
      <w:r w:rsidR="007F7B9A">
        <w:fldChar w:fldCharType="begin"/>
      </w:r>
      <w:r w:rsidR="007F7B9A">
        <w:instrText xml:space="preserve"> REF _Ref159935036 \r \h </w:instrText>
      </w:r>
      <w:r w:rsidR="007F7B9A">
        <w:fldChar w:fldCharType="separate"/>
      </w:r>
      <w:r w:rsidR="00026714">
        <w:t>Appendix I</w:t>
      </w:r>
      <w:r w:rsidR="007F7B9A">
        <w:fldChar w:fldCharType="end"/>
      </w:r>
      <w:r w:rsidR="007F7B9A">
        <w:t>).</w:t>
      </w:r>
    </w:p>
    <w:p w14:paraId="29D4F072" w14:textId="384005DF" w:rsidR="00022453" w:rsidRPr="00202ACC" w:rsidRDefault="00022453" w:rsidP="00022453">
      <w:pPr>
        <w:rPr>
          <w:lang w:eastAsia="en-AU"/>
        </w:rPr>
      </w:pPr>
      <w:r w:rsidRPr="00202ACC">
        <w:rPr>
          <w:lang w:eastAsia="en-AU"/>
        </w:rPr>
        <w:t xml:space="preserve">Changes to the reform program since </w:t>
      </w:r>
      <w:r w:rsidR="4F71920C" w:rsidRPr="203FD8A6">
        <w:rPr>
          <w:lang w:eastAsia="en-AU"/>
        </w:rPr>
        <w:t>May 2021</w:t>
      </w:r>
      <w:r w:rsidRPr="203FD8A6">
        <w:rPr>
          <w:lang w:eastAsia="en-AU"/>
        </w:rPr>
        <w:t xml:space="preserve"> </w:t>
      </w:r>
      <w:r w:rsidR="0FB3D629" w:rsidRPr="67B94275">
        <w:rPr>
          <w:lang w:eastAsia="en-AU"/>
        </w:rPr>
        <w:t>require revision to</w:t>
      </w:r>
      <w:r w:rsidRPr="00202ACC">
        <w:rPr>
          <w:lang w:eastAsia="en-AU"/>
        </w:rPr>
        <w:t xml:space="preserve"> the evaluation framework</w:t>
      </w:r>
      <w:r w:rsidR="59342E61" w:rsidRPr="30FC11A0">
        <w:rPr>
          <w:lang w:eastAsia="en-AU"/>
        </w:rPr>
        <w:t xml:space="preserve"> </w:t>
      </w:r>
      <w:r w:rsidR="59342E61" w:rsidRPr="4B57A4FC">
        <w:rPr>
          <w:lang w:eastAsia="en-AU"/>
        </w:rPr>
        <w:t>as below</w:t>
      </w:r>
      <w:r w:rsidR="59342E61">
        <w:t>:</w:t>
      </w:r>
      <w:r w:rsidR="59342E61" w:rsidRPr="4B57A4FC">
        <w:rPr>
          <w:lang w:eastAsia="en-AU"/>
        </w:rPr>
        <w:t xml:space="preserve"> </w:t>
      </w:r>
    </w:p>
    <w:p w14:paraId="69191FDA" w14:textId="2E6279EF" w:rsidR="00022453" w:rsidRPr="00202ACC" w:rsidRDefault="00022453" w:rsidP="00022453">
      <w:pPr>
        <w:pStyle w:val="Bullet"/>
      </w:pPr>
      <w:r w:rsidRPr="00202ACC">
        <w:t>The Reform Program Logic Model includes reference to the implementation of HPP as a reform activity</w:t>
      </w:r>
      <w:r w:rsidR="006A4A55">
        <w:t>. I</w:t>
      </w:r>
      <w:r w:rsidRPr="00202ACC">
        <w:t xml:space="preserve">t has since been clarified that this is a BAU activity </w:t>
      </w:r>
      <w:r w:rsidR="006A4A55">
        <w:t>and</w:t>
      </w:r>
      <w:r w:rsidRPr="00202ACC">
        <w:t xml:space="preserve"> not a part of the reform</w:t>
      </w:r>
      <w:r w:rsidR="00B85D28">
        <w:t>s</w:t>
      </w:r>
      <w:r w:rsidRPr="00202ACC">
        <w:t xml:space="preserve"> itself. </w:t>
      </w:r>
    </w:p>
    <w:p w14:paraId="03E7D141" w14:textId="7965D812" w:rsidR="00022453" w:rsidRPr="00202ACC" w:rsidRDefault="00022453" w:rsidP="068BB5A7">
      <w:pPr>
        <w:pStyle w:val="Bullet"/>
      </w:pPr>
      <w:r w:rsidRPr="3787E91E">
        <w:t xml:space="preserve">The Reform Program Logic Model includes an outcome (outcome 6) which is ‘Improving transparency of setting PL </w:t>
      </w:r>
      <w:proofErr w:type="gramStart"/>
      <w:r w:rsidRPr="3787E91E">
        <w:t>benefits’</w:t>
      </w:r>
      <w:proofErr w:type="gramEnd"/>
      <w:r w:rsidRPr="3787E91E">
        <w:t xml:space="preserve">. </w:t>
      </w:r>
      <w:r w:rsidR="00820299" w:rsidRPr="3787E91E">
        <w:t xml:space="preserve">While there are no </w:t>
      </w:r>
      <w:r w:rsidR="002E3948" w:rsidRPr="3787E91E">
        <w:t>projects</w:t>
      </w:r>
      <w:r w:rsidR="00FF409C" w:rsidRPr="3787E91E">
        <w:t xml:space="preserve"> </w:t>
      </w:r>
      <w:r w:rsidR="00BD3664" w:rsidRPr="3787E91E">
        <w:t xml:space="preserve">within the PL reforms </w:t>
      </w:r>
      <w:r w:rsidR="00FF409C" w:rsidRPr="3787E91E">
        <w:t>that</w:t>
      </w:r>
      <w:r w:rsidR="00750B23" w:rsidRPr="3787E91E">
        <w:t xml:space="preserve"> will</w:t>
      </w:r>
      <w:r w:rsidR="00FF409C" w:rsidRPr="3787E91E">
        <w:t xml:space="preserve"> specifically</w:t>
      </w:r>
      <w:r w:rsidR="00750B23" w:rsidRPr="3787E91E">
        <w:t xml:space="preserve"> affect the transparency of</w:t>
      </w:r>
      <w:r w:rsidR="00515C58" w:rsidRPr="3787E91E">
        <w:t xml:space="preserve"> benefit setting, </w:t>
      </w:r>
      <w:r w:rsidR="006E15F4" w:rsidRPr="3787E91E">
        <w:t xml:space="preserve">many </w:t>
      </w:r>
      <w:r w:rsidR="00ED1001" w:rsidRPr="3787E91E">
        <w:t xml:space="preserve">seek to increase clarity and </w:t>
      </w:r>
      <w:r w:rsidR="00825381" w:rsidRPr="3787E91E">
        <w:t>understanding of the PL</w:t>
      </w:r>
      <w:r w:rsidR="56852922" w:rsidRPr="3787E91E">
        <w:t>.</w:t>
      </w:r>
      <w:r w:rsidR="00825381" w:rsidRPr="3787E91E">
        <w:t xml:space="preserve"> Addition</w:t>
      </w:r>
      <w:r w:rsidR="00C2547E" w:rsidRPr="3787E91E">
        <w:t xml:space="preserve">ally, </w:t>
      </w:r>
      <w:r w:rsidR="00702BFB" w:rsidRPr="3787E91E">
        <w:t xml:space="preserve">undertaking the reforms in a transparent and </w:t>
      </w:r>
      <w:r w:rsidR="001B1F88" w:rsidRPr="3787E91E">
        <w:t xml:space="preserve">consultative manner is seen as essential to the success </w:t>
      </w:r>
      <w:r w:rsidR="00EC3CA9" w:rsidRPr="3787E91E">
        <w:t>of the reforms</w:t>
      </w:r>
      <w:r w:rsidR="00D229D5" w:rsidRPr="3787E91E">
        <w:t xml:space="preserve">. As such, the extent </w:t>
      </w:r>
      <w:r w:rsidR="00D32AAF" w:rsidRPr="3787E91E">
        <w:t xml:space="preserve">and </w:t>
      </w:r>
      <w:r w:rsidR="245029EA" w:rsidRPr="3787E91E">
        <w:t>way</w:t>
      </w:r>
      <w:r w:rsidR="00D32AAF" w:rsidRPr="3787E91E">
        <w:t xml:space="preserve"> stakeholders are engaged </w:t>
      </w:r>
      <w:r w:rsidR="00E0087F" w:rsidRPr="3787E91E">
        <w:t xml:space="preserve">in the reform </w:t>
      </w:r>
      <w:r w:rsidR="00BD3664" w:rsidRPr="3787E91E">
        <w:t>project</w:t>
      </w:r>
      <w:r w:rsidR="338C82C8" w:rsidRPr="3787E91E">
        <w:t xml:space="preserve">s </w:t>
      </w:r>
      <w:r w:rsidR="00E0087F" w:rsidRPr="3787E91E">
        <w:t>will be evaluated.</w:t>
      </w:r>
    </w:p>
    <w:p w14:paraId="6F536308" w14:textId="77777777" w:rsidR="00022453" w:rsidRPr="007869F9" w:rsidRDefault="00022453" w:rsidP="007869F9">
      <w:pPr>
        <w:pStyle w:val="Bullet"/>
      </w:pPr>
      <w:r w:rsidRPr="3787E91E">
        <w:t>A separate review has been established to determine the financial impacts of changes to cost recovery arrangements. The achievement of outcome 15 (‘Administration of the PL is cost neutral to the government’) will be determined by that review.</w:t>
      </w:r>
    </w:p>
    <w:p w14:paraId="6D0B217D" w14:textId="7B5FA28C" w:rsidR="00022453" w:rsidRPr="001C20CB" w:rsidRDefault="00022453" w:rsidP="00022453">
      <w:pPr>
        <w:rPr>
          <w:rFonts w:asciiTheme="majorHAnsi" w:hAnsiTheme="majorHAnsi" w:cstheme="majorHAnsi"/>
          <w:lang w:eastAsia="en-AU"/>
        </w:rPr>
      </w:pPr>
      <w:r w:rsidRPr="001C20CB">
        <w:rPr>
          <w:rFonts w:asciiTheme="majorHAnsi" w:hAnsiTheme="majorHAnsi" w:cstheme="majorHAnsi"/>
          <w:lang w:eastAsia="en-AU"/>
        </w:rPr>
        <w:t>There are three key evaluation questions (KEQs) for the evaluation:</w:t>
      </w:r>
    </w:p>
    <w:p w14:paraId="5F10B4B7" w14:textId="5E97F330" w:rsidR="00022453" w:rsidRPr="00FA6BF3" w:rsidRDefault="00022453" w:rsidP="00FA6BF3">
      <w:pPr>
        <w:pStyle w:val="NewListBulletPoint"/>
        <w:numPr>
          <w:ilvl w:val="0"/>
          <w:numId w:val="23"/>
        </w:numPr>
      </w:pPr>
      <w:r w:rsidRPr="00FA6BF3">
        <w:t xml:space="preserve">Is the PL Reform </w:t>
      </w:r>
      <w:r w:rsidR="00434B87" w:rsidRPr="00FA6BF3">
        <w:t>P</w:t>
      </w:r>
      <w:r w:rsidRPr="00FA6BF3">
        <w:t>rogram being implemented as intended?</w:t>
      </w:r>
    </w:p>
    <w:p w14:paraId="1EF1B782" w14:textId="2EBE5C8C" w:rsidR="00022453" w:rsidRPr="00FA6BF3" w:rsidRDefault="00022453" w:rsidP="00FA6BF3">
      <w:pPr>
        <w:pStyle w:val="NewListBulletPoint"/>
      </w:pPr>
      <w:r w:rsidRPr="00FA6BF3">
        <w:t xml:space="preserve">Is the PL Reform </w:t>
      </w:r>
      <w:r w:rsidR="00434B87" w:rsidRPr="00FA6BF3">
        <w:t>P</w:t>
      </w:r>
      <w:r w:rsidRPr="00FA6BF3">
        <w:t>rogram achieving the expected outcomes?</w:t>
      </w:r>
    </w:p>
    <w:p w14:paraId="3A19C6B3" w14:textId="77777777" w:rsidR="00022453" w:rsidRPr="00FA6BF3" w:rsidRDefault="00022453" w:rsidP="00FA6BF3">
      <w:pPr>
        <w:pStyle w:val="NewListBulletPoint"/>
      </w:pPr>
      <w:r w:rsidRPr="3787E91E">
        <w:t xml:space="preserve">What are the ongoing and future directions, </w:t>
      </w:r>
      <w:proofErr w:type="gramStart"/>
      <w:r w:rsidRPr="3787E91E">
        <w:t>opportunities</w:t>
      </w:r>
      <w:proofErr w:type="gramEnd"/>
      <w:r w:rsidRPr="3787E91E">
        <w:t xml:space="preserve"> and priorities for the PL Reform? </w:t>
      </w:r>
    </w:p>
    <w:p w14:paraId="49300E93" w14:textId="717CA5FD" w:rsidR="0086409C" w:rsidRDefault="00C850A8" w:rsidP="00022453">
      <w:pPr>
        <w:rPr>
          <w:lang w:eastAsia="en-AU"/>
        </w:rPr>
      </w:pPr>
      <w:r>
        <w:rPr>
          <w:lang w:eastAsia="en-AU"/>
        </w:rPr>
        <w:t xml:space="preserve">It should be noted that this is an evaluation of the specific set of reforms within </w:t>
      </w:r>
      <w:r w:rsidR="00A067B4">
        <w:rPr>
          <w:lang w:eastAsia="en-AU"/>
        </w:rPr>
        <w:t>the current</w:t>
      </w:r>
      <w:r w:rsidR="00434B87">
        <w:rPr>
          <w:lang w:eastAsia="en-AU"/>
        </w:rPr>
        <w:t xml:space="preserve"> PL</w:t>
      </w:r>
      <w:r w:rsidR="00A067B4">
        <w:rPr>
          <w:lang w:eastAsia="en-AU"/>
        </w:rPr>
        <w:t xml:space="preserve"> Reform </w:t>
      </w:r>
      <w:r w:rsidR="00434B87">
        <w:rPr>
          <w:lang w:eastAsia="en-AU"/>
        </w:rPr>
        <w:t>P</w:t>
      </w:r>
      <w:r w:rsidR="00A067B4">
        <w:rPr>
          <w:lang w:eastAsia="en-AU"/>
        </w:rPr>
        <w:t xml:space="preserve">rogram, and not an evaluation of the </w:t>
      </w:r>
      <w:r w:rsidR="00524307">
        <w:rPr>
          <w:lang w:eastAsia="en-AU"/>
        </w:rPr>
        <w:t>PL as a whole</w:t>
      </w:r>
      <w:r w:rsidR="00434B87">
        <w:rPr>
          <w:lang w:eastAsia="en-AU"/>
        </w:rPr>
        <w:t xml:space="preserve"> or</w:t>
      </w:r>
      <w:r w:rsidR="00524307">
        <w:rPr>
          <w:lang w:eastAsia="en-AU"/>
        </w:rPr>
        <w:t xml:space="preserve"> its suitability as a funding mechanism</w:t>
      </w:r>
      <w:r w:rsidR="00434B87">
        <w:rPr>
          <w:lang w:eastAsia="en-AU"/>
        </w:rPr>
        <w:t>.</w:t>
      </w:r>
    </w:p>
    <w:p w14:paraId="09E89E04" w14:textId="0D15A564" w:rsidR="00022453" w:rsidRDefault="00022453" w:rsidP="00022453">
      <w:pPr>
        <w:rPr>
          <w:lang w:eastAsia="en-AU"/>
        </w:rPr>
      </w:pPr>
      <w:r>
        <w:rPr>
          <w:lang w:eastAsia="en-AU"/>
        </w:rPr>
        <w:t xml:space="preserve">The evaluation is employing a mixed methods approach drawing on literature, documentation, stakeholder consultation and existing quantitative data. See </w:t>
      </w:r>
      <w:r>
        <w:rPr>
          <w:lang w:eastAsia="en-AU"/>
        </w:rPr>
        <w:fldChar w:fldCharType="begin"/>
      </w:r>
      <w:r>
        <w:rPr>
          <w:lang w:eastAsia="en-AU"/>
        </w:rPr>
        <w:instrText xml:space="preserve"> REF _Ref159834678 \r \h </w:instrText>
      </w:r>
      <w:r w:rsidR="00C2035E">
        <w:rPr>
          <w:lang w:eastAsia="en-AU"/>
        </w:rPr>
        <w:instrText xml:space="preserve"> \* MERGEFORMAT </w:instrText>
      </w:r>
      <w:r>
        <w:rPr>
          <w:lang w:eastAsia="en-AU"/>
        </w:rPr>
      </w:r>
      <w:r>
        <w:rPr>
          <w:lang w:eastAsia="en-AU"/>
        </w:rPr>
        <w:fldChar w:fldCharType="separate"/>
      </w:r>
      <w:r w:rsidR="00026714">
        <w:rPr>
          <w:lang w:eastAsia="en-AU"/>
        </w:rPr>
        <w:t>Appendix D</w:t>
      </w:r>
      <w:r>
        <w:rPr>
          <w:lang w:eastAsia="en-AU"/>
        </w:rPr>
        <w:fldChar w:fldCharType="end"/>
      </w:r>
      <w:r>
        <w:rPr>
          <w:lang w:eastAsia="en-AU"/>
        </w:rPr>
        <w:t xml:space="preserve"> for further detail</w:t>
      </w:r>
      <w:r w:rsidR="0086409C">
        <w:rPr>
          <w:lang w:eastAsia="en-AU"/>
        </w:rPr>
        <w:t xml:space="preserve"> regarding the evaluation methodology</w:t>
      </w:r>
      <w:r>
        <w:rPr>
          <w:lang w:eastAsia="en-AU"/>
        </w:rPr>
        <w:t>.</w:t>
      </w:r>
    </w:p>
    <w:p w14:paraId="3C02C2E4" w14:textId="77777777" w:rsidR="00022453" w:rsidRPr="00202ACC" w:rsidRDefault="00022453" w:rsidP="00022453">
      <w:pPr>
        <w:pStyle w:val="Heading2"/>
      </w:pPr>
      <w:bookmarkStart w:id="7" w:name="_Toc179453672"/>
      <w:r w:rsidRPr="00202ACC">
        <w:t>Purpose and contents of this baseline report</w:t>
      </w:r>
      <w:bookmarkEnd w:id="7"/>
    </w:p>
    <w:p w14:paraId="50FB6A96" w14:textId="77777777" w:rsidR="00022453" w:rsidRDefault="00202ACC" w:rsidP="00022453">
      <w:r w:rsidRPr="00202ACC">
        <w:t xml:space="preserve">This report establishes the baseline for </w:t>
      </w:r>
      <w:r w:rsidR="00022453" w:rsidRPr="00202ACC">
        <w:t>the</w:t>
      </w:r>
      <w:r w:rsidRPr="00202ACC">
        <w:t xml:space="preserve"> evaluation of the PL reforms</w:t>
      </w:r>
      <w:r w:rsidR="00022453" w:rsidRPr="00202ACC">
        <w:t>.</w:t>
      </w:r>
      <w:r w:rsidR="00022453" w:rsidRPr="00080B64">
        <w:t xml:space="preserve"> </w:t>
      </w:r>
    </w:p>
    <w:p w14:paraId="5834DA73" w14:textId="6BC77339" w:rsidR="00022453" w:rsidRPr="00202ACC" w:rsidRDefault="00022453" w:rsidP="00022453">
      <w:r w:rsidRPr="7EBCB10B">
        <w:rPr>
          <w:rFonts w:asciiTheme="majorHAnsi" w:hAnsiTheme="majorHAnsi" w:cstheme="majorBidi"/>
        </w:rPr>
        <w:t xml:space="preserve">Section </w:t>
      </w:r>
      <w:r w:rsidR="00BA59C4" w:rsidRPr="7EBCB10B">
        <w:rPr>
          <w:rFonts w:asciiTheme="majorHAnsi" w:hAnsiTheme="majorHAnsi" w:cstheme="majorBidi"/>
        </w:rPr>
        <w:fldChar w:fldCharType="begin"/>
      </w:r>
      <w:r w:rsidR="00BA59C4" w:rsidRPr="7EBCB10B">
        <w:rPr>
          <w:rFonts w:asciiTheme="majorHAnsi" w:hAnsiTheme="majorHAnsi" w:cstheme="majorBidi"/>
        </w:rPr>
        <w:instrText xml:space="preserve"> REF _Ref160452581 \r \h </w:instrText>
      </w:r>
      <w:r w:rsidR="00BA59C4" w:rsidRPr="7EBCB10B">
        <w:rPr>
          <w:rFonts w:asciiTheme="majorHAnsi" w:hAnsiTheme="majorHAnsi" w:cstheme="majorBidi"/>
        </w:rPr>
      </w:r>
      <w:r w:rsidR="00BA59C4" w:rsidRPr="7EBCB10B">
        <w:rPr>
          <w:rFonts w:asciiTheme="majorHAnsi" w:hAnsiTheme="majorHAnsi" w:cstheme="majorBidi"/>
        </w:rPr>
        <w:fldChar w:fldCharType="separate"/>
      </w:r>
      <w:r w:rsidR="00026714">
        <w:rPr>
          <w:rFonts w:asciiTheme="majorHAnsi" w:hAnsiTheme="majorHAnsi" w:cstheme="majorBidi"/>
        </w:rPr>
        <w:t>2</w:t>
      </w:r>
      <w:r w:rsidR="00BA59C4" w:rsidRPr="7EBCB10B">
        <w:rPr>
          <w:rFonts w:asciiTheme="majorHAnsi" w:hAnsiTheme="majorHAnsi" w:cstheme="majorBidi"/>
        </w:rPr>
        <w:fldChar w:fldCharType="end"/>
      </w:r>
      <w:r w:rsidRPr="00202ACC">
        <w:t xml:space="preserve"> </w:t>
      </w:r>
      <w:r>
        <w:t>provides an overview of</w:t>
      </w:r>
      <w:r w:rsidRPr="00202ACC">
        <w:t xml:space="preserve"> the reforms, establishing the rationale for the reforms and the issues they were intended to address.</w:t>
      </w:r>
      <w:r>
        <w:t xml:space="preserve"> It outlines the PL reform program, including its objectives and </w:t>
      </w:r>
      <w:r w:rsidR="682FA9FA">
        <w:t xml:space="preserve">related </w:t>
      </w:r>
      <w:r w:rsidR="00DC4AEF">
        <w:t>projects</w:t>
      </w:r>
      <w:r>
        <w:t xml:space="preserve">, to enable later assessment of its implementation and outcomes. </w:t>
      </w:r>
    </w:p>
    <w:p w14:paraId="7EAD656F" w14:textId="3CE69EAE" w:rsidR="00022453" w:rsidRDefault="00022453" w:rsidP="00022453">
      <w:pPr>
        <w:rPr>
          <w:lang w:eastAsia="en-AU"/>
        </w:rPr>
      </w:pPr>
      <w:r w:rsidRPr="5ECFD0C0">
        <w:rPr>
          <w:rFonts w:asciiTheme="majorHAnsi" w:hAnsiTheme="majorHAnsi" w:cstheme="majorBidi"/>
        </w:rPr>
        <w:t xml:space="preserve">Section </w:t>
      </w:r>
      <w:r w:rsidR="00BA59C4" w:rsidRPr="5ECFD0C0">
        <w:rPr>
          <w:rFonts w:asciiTheme="majorHAnsi" w:hAnsiTheme="majorHAnsi" w:cstheme="majorBidi"/>
        </w:rPr>
        <w:fldChar w:fldCharType="begin"/>
      </w:r>
      <w:r w:rsidR="00BA59C4" w:rsidRPr="5ECFD0C0">
        <w:rPr>
          <w:rFonts w:asciiTheme="majorHAnsi" w:hAnsiTheme="majorHAnsi" w:cstheme="majorBidi"/>
        </w:rPr>
        <w:instrText xml:space="preserve"> REF _Ref159871202 \r \h </w:instrText>
      </w:r>
      <w:r w:rsidR="00BA59C4" w:rsidRPr="5ECFD0C0">
        <w:rPr>
          <w:rFonts w:asciiTheme="majorHAnsi" w:hAnsiTheme="majorHAnsi" w:cstheme="majorBidi"/>
        </w:rPr>
      </w:r>
      <w:r w:rsidR="00BA59C4" w:rsidRPr="5ECFD0C0">
        <w:rPr>
          <w:rFonts w:asciiTheme="majorHAnsi" w:hAnsiTheme="majorHAnsi" w:cstheme="majorBidi"/>
        </w:rPr>
        <w:fldChar w:fldCharType="separate"/>
      </w:r>
      <w:r w:rsidR="00026714">
        <w:rPr>
          <w:rFonts w:asciiTheme="majorHAnsi" w:hAnsiTheme="majorHAnsi" w:cstheme="majorBidi"/>
        </w:rPr>
        <w:t>3</w:t>
      </w:r>
      <w:r w:rsidR="00BA59C4" w:rsidRPr="5ECFD0C0">
        <w:rPr>
          <w:rFonts w:asciiTheme="majorHAnsi" w:hAnsiTheme="majorHAnsi" w:cstheme="majorBidi"/>
        </w:rPr>
        <w:fldChar w:fldCharType="end"/>
      </w:r>
      <w:r w:rsidRPr="00202ACC">
        <w:t xml:space="preserve"> </w:t>
      </w:r>
      <w:r w:rsidR="00D2465C">
        <w:t xml:space="preserve">provides a </w:t>
      </w:r>
      <w:r w:rsidRPr="00202ACC">
        <w:t xml:space="preserve">baseline </w:t>
      </w:r>
      <w:r w:rsidR="00D2465C">
        <w:t xml:space="preserve">description </w:t>
      </w:r>
      <w:r w:rsidR="00CC6F4E">
        <w:t xml:space="preserve">of each </w:t>
      </w:r>
      <w:r w:rsidRPr="00202ACC">
        <w:t xml:space="preserve">of the </w:t>
      </w:r>
      <w:r w:rsidR="004D7DE7">
        <w:t>eight</w:t>
      </w:r>
      <w:r w:rsidRPr="00202ACC">
        <w:t xml:space="preserve"> </w:t>
      </w:r>
      <w:r w:rsidR="3F48851E" w:rsidRPr="00202ACC">
        <w:t xml:space="preserve">reform </w:t>
      </w:r>
      <w:r w:rsidR="00A34399">
        <w:t>o</w:t>
      </w:r>
      <w:r w:rsidRPr="00202ACC">
        <w:t xml:space="preserve">bjectives, incorporating the key </w:t>
      </w:r>
      <w:r w:rsidR="00DC4AEF">
        <w:t>projects within the PL reforms</w:t>
      </w:r>
      <w:r w:rsidRPr="00202ACC">
        <w:t xml:space="preserve"> against each objective. Most of the information used to describe the baseline is qualitative in nature. Quantitative data is used where relevant to measure the baseline</w:t>
      </w:r>
      <w:r w:rsidR="00404AEC">
        <w:t xml:space="preserve"> benefit levels</w:t>
      </w:r>
      <w:r w:rsidRPr="00202ACC">
        <w:t xml:space="preserve"> against which</w:t>
      </w:r>
      <w:r w:rsidR="00404AEC">
        <w:t xml:space="preserve"> the</w:t>
      </w:r>
      <w:r w:rsidRPr="00202ACC">
        <w:t xml:space="preserve"> reductions will be</w:t>
      </w:r>
      <w:r w:rsidR="00404AEC">
        <w:t xml:space="preserve"> evaluated</w:t>
      </w:r>
      <w:r w:rsidRPr="00202ACC">
        <w:t>.</w:t>
      </w:r>
      <w:r w:rsidR="00CC6F4E" w:rsidRPr="00CC6F4E">
        <w:rPr>
          <w:lang w:eastAsia="en-AU"/>
        </w:rPr>
        <w:t xml:space="preserve"> </w:t>
      </w:r>
      <w:r w:rsidR="00CC6F4E">
        <w:rPr>
          <w:lang w:eastAsia="en-AU"/>
        </w:rPr>
        <w:t xml:space="preserve">Section </w:t>
      </w:r>
      <w:r w:rsidR="00BA59C4">
        <w:rPr>
          <w:lang w:eastAsia="en-AU"/>
        </w:rPr>
        <w:fldChar w:fldCharType="begin"/>
      </w:r>
      <w:r w:rsidR="00BA59C4">
        <w:rPr>
          <w:lang w:eastAsia="en-AU"/>
        </w:rPr>
        <w:instrText xml:space="preserve"> REF _Ref159871202 \r \h </w:instrText>
      </w:r>
      <w:r w:rsidR="00BA59C4">
        <w:rPr>
          <w:lang w:eastAsia="en-AU"/>
        </w:rPr>
      </w:r>
      <w:r w:rsidR="00BA59C4">
        <w:rPr>
          <w:lang w:eastAsia="en-AU"/>
        </w:rPr>
        <w:fldChar w:fldCharType="separate"/>
      </w:r>
      <w:r w:rsidR="00026714">
        <w:rPr>
          <w:lang w:eastAsia="en-AU"/>
        </w:rPr>
        <w:t>3</w:t>
      </w:r>
      <w:r w:rsidR="00BA59C4">
        <w:rPr>
          <w:lang w:eastAsia="en-AU"/>
        </w:rPr>
        <w:fldChar w:fldCharType="end"/>
      </w:r>
      <w:r w:rsidR="00CC6F4E">
        <w:rPr>
          <w:lang w:eastAsia="en-AU"/>
        </w:rPr>
        <w:t xml:space="preserve"> also</w:t>
      </w:r>
      <w:r w:rsidR="00A34399">
        <w:rPr>
          <w:lang w:eastAsia="en-AU"/>
        </w:rPr>
        <w:t xml:space="preserve"> outlines</w:t>
      </w:r>
      <w:r w:rsidR="00CC6F4E">
        <w:rPr>
          <w:lang w:eastAsia="en-AU"/>
        </w:rPr>
        <w:t xml:space="preserve"> </w:t>
      </w:r>
      <w:r w:rsidR="00A34399">
        <w:rPr>
          <w:lang w:eastAsia="en-AU"/>
        </w:rPr>
        <w:t xml:space="preserve">how each objective </w:t>
      </w:r>
      <w:r w:rsidR="59D0E270">
        <w:rPr>
          <w:lang w:eastAsia="en-AU"/>
        </w:rPr>
        <w:t xml:space="preserve">and </w:t>
      </w:r>
      <w:r w:rsidR="00134540">
        <w:rPr>
          <w:lang w:eastAsia="en-AU"/>
        </w:rPr>
        <w:t>project</w:t>
      </w:r>
      <w:r w:rsidR="59D0E270">
        <w:rPr>
          <w:lang w:eastAsia="en-AU"/>
        </w:rPr>
        <w:t xml:space="preserve"> </w:t>
      </w:r>
      <w:r w:rsidR="00CC6F4E">
        <w:rPr>
          <w:lang w:eastAsia="en-AU"/>
        </w:rPr>
        <w:t>will be monitored</w:t>
      </w:r>
      <w:r w:rsidR="00A34399">
        <w:rPr>
          <w:lang w:eastAsia="en-AU"/>
        </w:rPr>
        <w:t xml:space="preserve"> and measured</w:t>
      </w:r>
      <w:r w:rsidR="00CC6F4E">
        <w:rPr>
          <w:lang w:eastAsia="en-AU"/>
        </w:rPr>
        <w:t xml:space="preserve"> throughout the evaluation</w:t>
      </w:r>
      <w:r w:rsidR="00A34399">
        <w:rPr>
          <w:lang w:eastAsia="en-AU"/>
        </w:rPr>
        <w:t>.</w:t>
      </w:r>
    </w:p>
    <w:p w14:paraId="7733233D" w14:textId="11DA4327" w:rsidR="00D31624" w:rsidRDefault="00BA59C4" w:rsidP="006A4A55">
      <w:r w:rsidRPr="2331B297">
        <w:rPr>
          <w:rFonts w:asciiTheme="majorHAnsi" w:hAnsiTheme="majorHAnsi" w:cstheme="majorBidi"/>
        </w:rPr>
        <w:fldChar w:fldCharType="begin"/>
      </w:r>
      <w:r w:rsidRPr="2331B297">
        <w:rPr>
          <w:rFonts w:asciiTheme="majorHAnsi" w:hAnsiTheme="majorHAnsi" w:cstheme="majorBidi"/>
        </w:rPr>
        <w:instrText xml:space="preserve"> REF _Ref159916596 \r \h  \* MERGEFORMAT </w:instrText>
      </w:r>
      <w:r w:rsidRPr="2331B297">
        <w:rPr>
          <w:rFonts w:asciiTheme="majorHAnsi" w:hAnsiTheme="majorHAnsi" w:cstheme="majorBidi"/>
        </w:rPr>
      </w:r>
      <w:r w:rsidRPr="2331B297">
        <w:rPr>
          <w:rFonts w:asciiTheme="majorHAnsi" w:hAnsiTheme="majorHAnsi" w:cstheme="majorBidi"/>
        </w:rPr>
        <w:fldChar w:fldCharType="separate"/>
      </w:r>
      <w:r w:rsidR="00026714">
        <w:rPr>
          <w:rFonts w:asciiTheme="majorHAnsi" w:hAnsiTheme="majorHAnsi" w:cstheme="majorBidi"/>
        </w:rPr>
        <w:t>Appendix A</w:t>
      </w:r>
      <w:r w:rsidRPr="2331B297">
        <w:rPr>
          <w:rFonts w:asciiTheme="majorHAnsi" w:hAnsiTheme="majorHAnsi" w:cstheme="majorBidi"/>
        </w:rPr>
        <w:fldChar w:fldCharType="end"/>
      </w:r>
      <w:r w:rsidR="00022453" w:rsidRPr="2331B297">
        <w:rPr>
          <w:rFonts w:asciiTheme="majorHAnsi" w:hAnsiTheme="majorHAnsi" w:cstheme="majorBidi"/>
        </w:rPr>
        <w:t xml:space="preserve"> </w:t>
      </w:r>
      <w:r w:rsidR="00022453" w:rsidRPr="2331B297">
        <w:rPr>
          <w:rFonts w:asciiTheme="minorHAnsi" w:hAnsiTheme="minorHAnsi"/>
        </w:rPr>
        <w:t>and</w:t>
      </w:r>
      <w:r w:rsidR="00022453" w:rsidRPr="2331B297">
        <w:rPr>
          <w:rFonts w:asciiTheme="majorHAnsi" w:hAnsiTheme="majorHAnsi" w:cstheme="majorBidi"/>
        </w:rPr>
        <w:t xml:space="preserve"> </w:t>
      </w:r>
      <w:r w:rsidRPr="2331B297">
        <w:rPr>
          <w:rFonts w:asciiTheme="majorHAnsi" w:hAnsiTheme="majorHAnsi" w:cstheme="majorBidi"/>
        </w:rPr>
        <w:fldChar w:fldCharType="begin"/>
      </w:r>
      <w:r w:rsidRPr="2331B297">
        <w:rPr>
          <w:rFonts w:asciiTheme="majorHAnsi" w:hAnsiTheme="majorHAnsi" w:cstheme="majorBidi"/>
        </w:rPr>
        <w:instrText xml:space="preserve"> REF _Ref159832999 \r \h  \* MERGEFORMAT </w:instrText>
      </w:r>
      <w:r w:rsidRPr="2331B297">
        <w:rPr>
          <w:rFonts w:asciiTheme="majorHAnsi" w:hAnsiTheme="majorHAnsi" w:cstheme="majorBidi"/>
        </w:rPr>
      </w:r>
      <w:r w:rsidRPr="2331B297">
        <w:rPr>
          <w:rFonts w:asciiTheme="majorHAnsi" w:hAnsiTheme="majorHAnsi" w:cstheme="majorBidi"/>
        </w:rPr>
        <w:fldChar w:fldCharType="separate"/>
      </w:r>
      <w:r w:rsidR="00026714">
        <w:rPr>
          <w:rFonts w:asciiTheme="majorHAnsi" w:hAnsiTheme="majorHAnsi" w:cstheme="majorBidi"/>
        </w:rPr>
        <w:t>Appendix B</w:t>
      </w:r>
      <w:r w:rsidRPr="2331B297">
        <w:rPr>
          <w:rFonts w:asciiTheme="majorHAnsi" w:hAnsiTheme="majorHAnsi" w:cstheme="majorBidi"/>
        </w:rPr>
        <w:fldChar w:fldCharType="end"/>
      </w:r>
      <w:r w:rsidR="00022453" w:rsidRPr="00202ACC">
        <w:t xml:space="preserve"> of this report describe the indicators and measures that will be used to evaluate the reforms over the </w:t>
      </w:r>
      <w:proofErr w:type="gramStart"/>
      <w:r w:rsidR="00022453">
        <w:t>3</w:t>
      </w:r>
      <w:r w:rsidR="00022453" w:rsidRPr="00202ACC">
        <w:t xml:space="preserve"> year</w:t>
      </w:r>
      <w:proofErr w:type="gramEnd"/>
      <w:r w:rsidR="00022453" w:rsidRPr="00202ACC">
        <w:t xml:space="preserve"> period.</w:t>
      </w:r>
      <w:r w:rsidR="00D31624">
        <w:br w:type="page"/>
      </w:r>
    </w:p>
    <w:p w14:paraId="6E2C2058" w14:textId="347492DE" w:rsidR="00551B86" w:rsidRDefault="00BD09A1" w:rsidP="00551B86">
      <w:pPr>
        <w:pStyle w:val="Heading1"/>
      </w:pPr>
      <w:bookmarkStart w:id="8" w:name="_Ref160452581"/>
      <w:bookmarkStart w:id="9" w:name="_Toc179453673"/>
      <w:r>
        <w:lastRenderedPageBreak/>
        <w:t>Overview of the PL reforms</w:t>
      </w:r>
      <w:bookmarkEnd w:id="8"/>
      <w:bookmarkEnd w:id="9"/>
      <w:r w:rsidR="00551B86" w:rsidRPr="00551B86">
        <w:t xml:space="preserve"> </w:t>
      </w:r>
    </w:p>
    <w:p w14:paraId="2DE1BC64" w14:textId="0C824E3D" w:rsidR="00551B86" w:rsidRDefault="00551B86" w:rsidP="00551B86">
      <w:r>
        <w:rPr>
          <w:lang w:eastAsia="en-AU"/>
        </w:rPr>
        <w:t xml:space="preserve">The Australian Government’s 2021-22 Budget committed $22 million over four years to </w:t>
      </w:r>
      <w:r w:rsidR="4B3A03CF">
        <w:rPr>
          <w:lang w:eastAsia="en-AU"/>
        </w:rPr>
        <w:t>a reform program designed to</w:t>
      </w:r>
      <w:r>
        <w:rPr>
          <w:lang w:eastAsia="en-AU"/>
        </w:rPr>
        <w:t xml:space="preserve"> reduce the cost of medical devices used in the private health sector and streamline access to new medical devices. </w:t>
      </w:r>
      <w:r w:rsidR="5383B79B">
        <w:rPr>
          <w:lang w:eastAsia="en-AU"/>
        </w:rPr>
        <w:t xml:space="preserve">Building on earlier reforms and benefit reductions, these </w:t>
      </w:r>
      <w:r>
        <w:rPr>
          <w:lang w:eastAsia="en-AU"/>
        </w:rPr>
        <w:t>reforms seek to</w:t>
      </w:r>
      <w:r w:rsidR="48EC1FD4">
        <w:rPr>
          <w:lang w:eastAsia="en-AU"/>
        </w:rPr>
        <w:t xml:space="preserve"> </w:t>
      </w:r>
      <w:r>
        <w:rPr>
          <w:lang w:eastAsia="en-AU"/>
        </w:rPr>
        <w:t xml:space="preserve">address several </w:t>
      </w:r>
      <w:r w:rsidRPr="00F90A55">
        <w:t xml:space="preserve">longstanding issues </w:t>
      </w:r>
      <w:proofErr w:type="spellStart"/>
      <w:r w:rsidRPr="00F90A55">
        <w:t>w</w:t>
      </w:r>
      <w:r w:rsidR="50BF3357" w:rsidRPr="00F90A55">
        <w:t>m</w:t>
      </w:r>
      <w:r w:rsidRPr="00F90A55">
        <w:t>ithin</w:t>
      </w:r>
      <w:proofErr w:type="spellEnd"/>
      <w:r w:rsidRPr="00F90A55">
        <w:t xml:space="preserve"> the Australian </w:t>
      </w:r>
      <w:r>
        <w:t xml:space="preserve">health </w:t>
      </w:r>
      <w:r w:rsidRPr="00F90A55">
        <w:t xml:space="preserve">system related to the </w:t>
      </w:r>
      <w:r>
        <w:t>cost</w:t>
      </w:r>
      <w:r w:rsidRPr="00F90A55">
        <w:t xml:space="preserve"> and accessibility of </w:t>
      </w:r>
      <w:r>
        <w:t>medical devices</w:t>
      </w:r>
      <w:r w:rsidRPr="00F90A55">
        <w:t xml:space="preserve">. </w:t>
      </w:r>
      <w:r>
        <w:t xml:space="preserve">Most significantly, </w:t>
      </w:r>
      <w:r w:rsidR="00B26C2D">
        <w:t>benefits</w:t>
      </w:r>
      <w:r>
        <w:t xml:space="preserve"> for prostheses in the private system </w:t>
      </w:r>
      <w:r w:rsidR="57368D53">
        <w:t>being higher than</w:t>
      </w:r>
      <w:r>
        <w:t xml:space="preserve"> the prices of the same items in the public system and internationally.</w:t>
      </w:r>
      <w:r w:rsidR="00C55619">
        <w:rPr>
          <w:rStyle w:val="FootnoteReference"/>
        </w:rPr>
        <w:footnoteReference w:id="10"/>
      </w:r>
      <w:r>
        <w:t xml:space="preserve"> In addition, the PL ha</w:t>
      </w:r>
      <w:r w:rsidR="71FF4187">
        <w:t>d</w:t>
      </w:r>
      <w:r>
        <w:t xml:space="preserve"> grown over time in its size and complexity with a lack of agreement </w:t>
      </w:r>
      <w:r w:rsidR="25C18354">
        <w:t>to</w:t>
      </w:r>
      <w:r>
        <w:t xml:space="preserve"> its </w:t>
      </w:r>
      <w:r w:rsidR="25C18354">
        <w:t xml:space="preserve">optimal </w:t>
      </w:r>
      <w:r>
        <w:t>purpose and scope.</w:t>
      </w:r>
      <w:r w:rsidR="002D2BFE">
        <w:rPr>
          <w:rStyle w:val="FootnoteReference"/>
        </w:rPr>
        <w:footnoteReference w:id="11"/>
      </w:r>
    </w:p>
    <w:p w14:paraId="48051BDF" w14:textId="62C7E3DF" w:rsidR="00551B86" w:rsidRDefault="00551B86" w:rsidP="00551B86">
      <w:r>
        <w:t>The reforms are being implemented by the Department in conjunction with the Independent Health and Aged Care Pricing Authority (IHACPA) and in collaboration with stakeholders</w:t>
      </w:r>
      <w:r w:rsidR="001F082C">
        <w:t>.</w:t>
      </w:r>
      <w:r>
        <w:rPr>
          <w:rStyle w:val="FootnoteReference"/>
        </w:rPr>
        <w:footnoteReference w:id="12"/>
      </w:r>
    </w:p>
    <w:p w14:paraId="1EA38251" w14:textId="77777777" w:rsidR="005C25DD" w:rsidRDefault="005C25DD" w:rsidP="005C25DD">
      <w:pPr>
        <w:rPr>
          <w:lang w:eastAsia="en-AU"/>
        </w:rPr>
      </w:pPr>
      <w:r>
        <w:rPr>
          <w:lang w:eastAsia="en-AU"/>
        </w:rPr>
        <w:t xml:space="preserve">This section provides an overview of the PL reforms, including: </w:t>
      </w:r>
    </w:p>
    <w:p w14:paraId="01CB291C" w14:textId="33CD6F22" w:rsidR="005C25DD" w:rsidRPr="0034027C" w:rsidRDefault="005C25DD" w:rsidP="0034027C">
      <w:pPr>
        <w:pStyle w:val="Bullet"/>
      </w:pPr>
      <w:r w:rsidRPr="0034027C">
        <w:t xml:space="preserve">historical background </w:t>
      </w:r>
      <w:r w:rsidR="003867F4" w:rsidRPr="0034027C">
        <w:t xml:space="preserve">to the </w:t>
      </w:r>
      <w:r w:rsidR="006519B7" w:rsidRPr="0034027C">
        <w:t>reforms</w:t>
      </w:r>
    </w:p>
    <w:p w14:paraId="6BEFF7EE" w14:textId="4E95BA93" w:rsidR="005C25DD" w:rsidRPr="0034027C" w:rsidRDefault="005C25DD" w:rsidP="0034027C">
      <w:pPr>
        <w:pStyle w:val="Bullet"/>
      </w:pPr>
      <w:r w:rsidRPr="0034027C">
        <w:t>impetu</w:t>
      </w:r>
      <w:r w:rsidR="006519B7" w:rsidRPr="0034027C">
        <w:t>s for the reforms</w:t>
      </w:r>
    </w:p>
    <w:p w14:paraId="7007509B" w14:textId="73D75B43" w:rsidR="005C25DD" w:rsidRPr="0034027C" w:rsidRDefault="00AD1131" w:rsidP="0034027C">
      <w:pPr>
        <w:pStyle w:val="Bullet"/>
      </w:pPr>
      <w:r w:rsidRPr="3787E91E">
        <w:t xml:space="preserve">the objectives and </w:t>
      </w:r>
      <w:r w:rsidR="00134540" w:rsidRPr="3787E91E">
        <w:t>projects</w:t>
      </w:r>
      <w:r w:rsidR="00B50EBD" w:rsidRPr="3787E91E">
        <w:t xml:space="preserve"> </w:t>
      </w:r>
      <w:r w:rsidR="005009E2" w:rsidRPr="3787E91E">
        <w:t>introduced by</w:t>
      </w:r>
      <w:r w:rsidR="00B50EBD" w:rsidRPr="3787E91E">
        <w:t xml:space="preserve"> the reforms</w:t>
      </w:r>
      <w:r w:rsidR="005C25DD" w:rsidRPr="3787E91E">
        <w:t xml:space="preserve">. </w:t>
      </w:r>
    </w:p>
    <w:p w14:paraId="330A6298" w14:textId="56E39F68" w:rsidR="00291169" w:rsidRDefault="00291169" w:rsidP="00C46C25">
      <w:r>
        <w:t xml:space="preserve">Further information on the </w:t>
      </w:r>
      <w:r w:rsidR="006B29DF">
        <w:t xml:space="preserve">detail of the reforms is </w:t>
      </w:r>
      <w:r w:rsidR="005A77E6">
        <w:t>set out</w:t>
      </w:r>
      <w:r w:rsidR="006B29DF">
        <w:t xml:space="preserve"> in </w:t>
      </w:r>
      <w:r w:rsidR="004B21DD">
        <w:t xml:space="preserve">section </w:t>
      </w:r>
      <w:r w:rsidR="004B21DD">
        <w:fldChar w:fldCharType="begin"/>
      </w:r>
      <w:r w:rsidR="004B21DD">
        <w:instrText xml:space="preserve"> REF _Ref159871202 \r \h </w:instrText>
      </w:r>
      <w:r w:rsidR="004B21DD">
        <w:fldChar w:fldCharType="separate"/>
      </w:r>
      <w:r w:rsidR="00026714">
        <w:t>3</w:t>
      </w:r>
      <w:r w:rsidR="004B21DD">
        <w:fldChar w:fldCharType="end"/>
      </w:r>
      <w:r w:rsidR="005A77E6">
        <w:t xml:space="preserve"> as it relates to each of the </w:t>
      </w:r>
      <w:r w:rsidR="001F082C">
        <w:t>o</w:t>
      </w:r>
      <w:r w:rsidR="005A77E6">
        <w:t xml:space="preserve">bjectives and </w:t>
      </w:r>
      <w:r w:rsidR="00134540">
        <w:t>projects</w:t>
      </w:r>
      <w:r w:rsidR="00C46C25">
        <w:t xml:space="preserve"> of the reforms.</w:t>
      </w:r>
    </w:p>
    <w:p w14:paraId="5752CA38" w14:textId="35B1FFB5" w:rsidR="00EF1A60" w:rsidRDefault="0084637B" w:rsidP="00D75857">
      <w:pPr>
        <w:pStyle w:val="Heading2"/>
      </w:pPr>
      <w:bookmarkStart w:id="10" w:name="_Ref160451713"/>
      <w:bookmarkStart w:id="11" w:name="_Toc179453674"/>
      <w:bookmarkStart w:id="12" w:name="_Ref159599599"/>
      <w:r>
        <w:t>History of the PL prior to the reforms</w:t>
      </w:r>
      <w:bookmarkEnd w:id="10"/>
      <w:bookmarkEnd w:id="11"/>
    </w:p>
    <w:p w14:paraId="215CD12C" w14:textId="268887B1" w:rsidR="00D747EE" w:rsidRPr="0070587D" w:rsidRDefault="00D747EE" w:rsidP="00BD3659">
      <w:pPr>
        <w:pStyle w:val="Heading4"/>
      </w:pPr>
      <w:r w:rsidRPr="0070587D">
        <w:t xml:space="preserve">Since its introduction, the PL has undergone various </w:t>
      </w:r>
      <w:r w:rsidR="00D76EB3" w:rsidRPr="0070587D">
        <w:t xml:space="preserve">modifications and </w:t>
      </w:r>
      <w:proofErr w:type="gramStart"/>
      <w:r w:rsidR="00D76EB3" w:rsidRPr="0070587D">
        <w:t>reviews</w:t>
      </w:r>
      <w:bookmarkEnd w:id="12"/>
      <w:proofErr w:type="gramEnd"/>
    </w:p>
    <w:p w14:paraId="4502DE43" w14:textId="20AF86FC" w:rsidR="000F7ACE" w:rsidRDefault="005D0296" w:rsidP="00D168B9">
      <w:pPr>
        <w:rPr>
          <w:lang w:eastAsia="en-AU"/>
        </w:rPr>
      </w:pPr>
      <w:r w:rsidRPr="005C0F9F">
        <w:rPr>
          <w:lang w:eastAsia="en-AU"/>
        </w:rPr>
        <w:t xml:space="preserve">In 1999, </w:t>
      </w:r>
      <w:r w:rsidR="008C34A3">
        <w:rPr>
          <w:lang w:eastAsia="en-AU"/>
        </w:rPr>
        <w:t xml:space="preserve">some </w:t>
      </w:r>
      <w:r w:rsidR="00B40A15">
        <w:rPr>
          <w:lang w:eastAsia="en-AU"/>
        </w:rPr>
        <w:t xml:space="preserve">fourteen years after the introduction of the PL, the </w:t>
      </w:r>
      <w:r w:rsidRPr="005C0F9F">
        <w:rPr>
          <w:lang w:eastAsia="en-AU"/>
        </w:rPr>
        <w:t xml:space="preserve">PL benefit amounts were deregulated in response to concerns from the private health industry about the rate at which benefit amounts </w:t>
      </w:r>
      <w:r>
        <w:rPr>
          <w:lang w:eastAsia="en-AU"/>
        </w:rPr>
        <w:t>were increasing</w:t>
      </w:r>
      <w:r w:rsidRPr="005C0F9F">
        <w:rPr>
          <w:lang w:eastAsia="en-AU"/>
        </w:rPr>
        <w:t>.</w:t>
      </w:r>
      <w:r>
        <w:rPr>
          <w:lang w:eastAsia="en-AU"/>
        </w:rPr>
        <w:t xml:space="preserve"> </w:t>
      </w:r>
      <w:r w:rsidR="00816BAC">
        <w:rPr>
          <w:lang w:eastAsia="en-AU"/>
        </w:rPr>
        <w:t>Under this new arrangement, private health insurers negotiated prices directly with device manufacturers, with the requirement th</w:t>
      </w:r>
      <w:r w:rsidR="00773ACD">
        <w:rPr>
          <w:lang w:eastAsia="en-AU"/>
        </w:rPr>
        <w:t>ere</w:t>
      </w:r>
      <w:r w:rsidR="00816BAC">
        <w:rPr>
          <w:lang w:eastAsia="en-AU"/>
        </w:rPr>
        <w:t xml:space="preserve"> be no </w:t>
      </w:r>
      <w:r w:rsidR="00773ACD">
        <w:rPr>
          <w:lang w:eastAsia="en-AU"/>
        </w:rPr>
        <w:t xml:space="preserve">out-of-pocket expenses </w:t>
      </w:r>
      <w:r w:rsidR="00816BAC">
        <w:rPr>
          <w:lang w:eastAsia="en-AU"/>
        </w:rPr>
        <w:t>pay</w:t>
      </w:r>
      <w:r w:rsidR="00773ACD">
        <w:rPr>
          <w:lang w:eastAsia="en-AU"/>
        </w:rPr>
        <w:t>able</w:t>
      </w:r>
      <w:r w:rsidR="00816BAC">
        <w:rPr>
          <w:lang w:eastAsia="en-AU"/>
        </w:rPr>
        <w:t xml:space="preserve"> </w:t>
      </w:r>
      <w:r w:rsidR="00773ACD">
        <w:rPr>
          <w:lang w:eastAsia="en-AU"/>
        </w:rPr>
        <w:t>by</w:t>
      </w:r>
      <w:r w:rsidR="00816BAC">
        <w:rPr>
          <w:lang w:eastAsia="en-AU"/>
        </w:rPr>
        <w:t xml:space="preserve"> patients. </w:t>
      </w:r>
    </w:p>
    <w:p w14:paraId="56C1441E" w14:textId="0A674255" w:rsidR="00D168B9" w:rsidRPr="00D168B9" w:rsidRDefault="00816BAC" w:rsidP="00D168B9">
      <w:pPr>
        <w:rPr>
          <w:lang w:eastAsia="en-AU"/>
        </w:rPr>
      </w:pPr>
      <w:r>
        <w:rPr>
          <w:lang w:eastAsia="en-AU"/>
        </w:rPr>
        <w:t xml:space="preserve">This led to a rapid increase in </w:t>
      </w:r>
      <w:r w:rsidR="00CD23D7">
        <w:rPr>
          <w:lang w:eastAsia="en-AU"/>
        </w:rPr>
        <w:t xml:space="preserve">the benefits paid for </w:t>
      </w:r>
      <w:r>
        <w:rPr>
          <w:lang w:eastAsia="en-AU"/>
        </w:rPr>
        <w:t>prostheses</w:t>
      </w:r>
      <w:r w:rsidR="00FF7AD0">
        <w:rPr>
          <w:lang w:eastAsia="en-AU"/>
        </w:rPr>
        <w:t xml:space="preserve">, </w:t>
      </w:r>
      <w:r w:rsidR="002E04AE">
        <w:rPr>
          <w:lang w:eastAsia="en-AU"/>
        </w:rPr>
        <w:t>many of</w:t>
      </w:r>
      <w:r w:rsidR="00FF7AD0">
        <w:rPr>
          <w:lang w:eastAsia="en-AU"/>
        </w:rPr>
        <w:t xml:space="preserve"> which almost doubled from </w:t>
      </w:r>
      <w:r w:rsidR="0304A011" w:rsidRPr="63D301EC">
        <w:rPr>
          <w:lang w:eastAsia="en-AU"/>
        </w:rPr>
        <w:t xml:space="preserve"> </w:t>
      </w:r>
      <w:r w:rsidR="0304A011" w:rsidRPr="6DBD14B9">
        <w:rPr>
          <w:lang w:eastAsia="en-AU"/>
        </w:rPr>
        <w:t xml:space="preserve">   </w:t>
      </w:r>
      <w:r w:rsidR="00FF7AD0">
        <w:rPr>
          <w:lang w:eastAsia="en-AU"/>
        </w:rPr>
        <w:t>2000-01 to 2002-03.</w:t>
      </w:r>
      <w:r w:rsidR="00030A8C" w:rsidRPr="0088201A">
        <w:rPr>
          <w:rStyle w:val="FootnoteReference"/>
          <w:rFonts w:cs="Arial"/>
        </w:rPr>
        <w:footnoteReference w:id="13"/>
      </w:r>
      <w:r w:rsidR="00030A8C">
        <w:rPr>
          <w:lang w:eastAsia="en-AU"/>
        </w:rPr>
        <w:t xml:space="preserve"> </w:t>
      </w:r>
      <w:r w:rsidR="005D0296" w:rsidRPr="005C0F9F">
        <w:rPr>
          <w:lang w:eastAsia="en-AU"/>
        </w:rPr>
        <w:t>In 2005, PL</w:t>
      </w:r>
      <w:r w:rsidR="005D0296">
        <w:rPr>
          <w:lang w:eastAsia="en-AU"/>
        </w:rPr>
        <w:t xml:space="preserve"> benefit amounts</w:t>
      </w:r>
      <w:r w:rsidR="005D0296" w:rsidRPr="005C0F9F">
        <w:rPr>
          <w:lang w:eastAsia="en-AU"/>
        </w:rPr>
        <w:t xml:space="preserve"> w</w:t>
      </w:r>
      <w:r w:rsidR="005D0296">
        <w:rPr>
          <w:lang w:eastAsia="en-AU"/>
        </w:rPr>
        <w:t>ere</w:t>
      </w:r>
      <w:r w:rsidR="005D0296" w:rsidRPr="005C0F9F">
        <w:rPr>
          <w:lang w:eastAsia="en-AU"/>
        </w:rPr>
        <w:t xml:space="preserve"> re</w:t>
      </w:r>
      <w:r w:rsidR="007E0FEF">
        <w:rPr>
          <w:lang w:eastAsia="en-AU"/>
        </w:rPr>
        <w:t>-</w:t>
      </w:r>
      <w:r w:rsidR="005D0296" w:rsidRPr="005C0F9F">
        <w:rPr>
          <w:lang w:eastAsia="en-AU"/>
        </w:rPr>
        <w:t xml:space="preserve">regulated, with arrangements put in place to ensure </w:t>
      </w:r>
      <w:r w:rsidR="005D0296">
        <w:rPr>
          <w:lang w:eastAsia="en-AU"/>
        </w:rPr>
        <w:t xml:space="preserve">independent clinical advice underpinned assessments of </w:t>
      </w:r>
      <w:r w:rsidR="005D0296" w:rsidRPr="005C0F9F">
        <w:rPr>
          <w:lang w:eastAsia="en-AU"/>
        </w:rPr>
        <w:t xml:space="preserve">the clinical effectiveness of </w:t>
      </w:r>
      <w:r w:rsidR="005D0296">
        <w:rPr>
          <w:lang w:eastAsia="en-AU"/>
        </w:rPr>
        <w:t>prostheses.</w:t>
      </w:r>
      <w:r w:rsidR="005D0296" w:rsidRPr="0088201A">
        <w:rPr>
          <w:rStyle w:val="FootnoteReference"/>
          <w:rFonts w:cs="Arial"/>
        </w:rPr>
        <w:footnoteReference w:id="14"/>
      </w:r>
    </w:p>
    <w:p w14:paraId="34DFDBDC" w14:textId="6535D5AA" w:rsidR="00E63ED0" w:rsidRDefault="008248E6" w:rsidP="00D168B9">
      <w:pPr>
        <w:rPr>
          <w:lang w:eastAsia="en-AU"/>
        </w:rPr>
      </w:pPr>
      <w:r>
        <w:rPr>
          <w:lang w:eastAsia="en-AU"/>
        </w:rPr>
        <w:t>Numerous</w:t>
      </w:r>
      <w:r w:rsidR="008E1461">
        <w:rPr>
          <w:lang w:eastAsia="en-AU"/>
        </w:rPr>
        <w:t xml:space="preserve"> subsequent</w:t>
      </w:r>
      <w:r w:rsidR="000C118F">
        <w:rPr>
          <w:lang w:eastAsia="en-AU"/>
        </w:rPr>
        <w:t xml:space="preserve"> reviews</w:t>
      </w:r>
      <w:r w:rsidR="00093AC4">
        <w:rPr>
          <w:lang w:eastAsia="en-AU"/>
        </w:rPr>
        <w:t xml:space="preserve"> </w:t>
      </w:r>
      <w:r w:rsidR="002574E8">
        <w:rPr>
          <w:lang w:eastAsia="en-AU"/>
        </w:rPr>
        <w:t>relevant</w:t>
      </w:r>
      <w:r w:rsidR="00B33A60">
        <w:rPr>
          <w:lang w:eastAsia="en-AU"/>
        </w:rPr>
        <w:t xml:space="preserve"> </w:t>
      </w:r>
      <w:r w:rsidR="00F635F9">
        <w:rPr>
          <w:lang w:eastAsia="en-AU"/>
        </w:rPr>
        <w:t xml:space="preserve">to </w:t>
      </w:r>
      <w:r>
        <w:rPr>
          <w:lang w:eastAsia="en-AU"/>
        </w:rPr>
        <w:t>the PL</w:t>
      </w:r>
      <w:r w:rsidR="008E6706">
        <w:rPr>
          <w:lang w:eastAsia="en-AU"/>
        </w:rPr>
        <w:t xml:space="preserve"> </w:t>
      </w:r>
      <w:r w:rsidR="00093AC4">
        <w:rPr>
          <w:lang w:eastAsia="en-AU"/>
        </w:rPr>
        <w:t>have</w:t>
      </w:r>
      <w:r w:rsidR="00EA0984">
        <w:rPr>
          <w:lang w:eastAsia="en-AU"/>
        </w:rPr>
        <w:t xml:space="preserve"> been conducted</w:t>
      </w:r>
      <w:r w:rsidR="00412F4C">
        <w:rPr>
          <w:lang w:eastAsia="en-AU"/>
        </w:rPr>
        <w:t xml:space="preserve"> </w:t>
      </w:r>
      <w:r w:rsidR="008E1461">
        <w:rPr>
          <w:lang w:eastAsia="en-AU"/>
        </w:rPr>
        <w:t>since then</w:t>
      </w:r>
      <w:r w:rsidR="00D549B7">
        <w:rPr>
          <w:lang w:eastAsia="en-AU"/>
        </w:rPr>
        <w:t xml:space="preserve">. These </w:t>
      </w:r>
      <w:r w:rsidR="00F635F9">
        <w:rPr>
          <w:lang w:eastAsia="en-AU"/>
        </w:rPr>
        <w:t>include</w:t>
      </w:r>
      <w:r w:rsidR="00D549B7">
        <w:rPr>
          <w:lang w:eastAsia="en-AU"/>
        </w:rPr>
        <w:t>:</w:t>
      </w:r>
    </w:p>
    <w:p w14:paraId="1C122BA9" w14:textId="77777777" w:rsidR="003D3ECC" w:rsidRPr="00922D51" w:rsidRDefault="003D3ECC" w:rsidP="00922D51">
      <w:pPr>
        <w:pStyle w:val="Bullet"/>
      </w:pPr>
      <w:r w:rsidRPr="00922D51">
        <w:t>Review of the Prostheses Listing Arrangements (2007)</w:t>
      </w:r>
    </w:p>
    <w:p w14:paraId="0021BCCD" w14:textId="77777777" w:rsidR="003D3ECC" w:rsidRPr="00922D51" w:rsidRDefault="003D3ECC" w:rsidP="00922D51">
      <w:pPr>
        <w:pStyle w:val="Bullet"/>
      </w:pPr>
      <w:r w:rsidRPr="00922D51">
        <w:t>Review of Health Technology Assessment in Australia (2009)</w:t>
      </w:r>
    </w:p>
    <w:p w14:paraId="2954C61D" w14:textId="77777777" w:rsidR="003D3ECC" w:rsidRPr="00922D51" w:rsidRDefault="003D3ECC" w:rsidP="00922D51">
      <w:pPr>
        <w:pStyle w:val="Bullet"/>
      </w:pPr>
      <w:r w:rsidRPr="00922D51">
        <w:t>Performance of Public and Private Hospital Systems Research Report (2009)</w:t>
      </w:r>
    </w:p>
    <w:p w14:paraId="3440FE82" w14:textId="77777777" w:rsidR="003D3ECC" w:rsidRPr="00922D51" w:rsidRDefault="003D3ECC" w:rsidP="00922D51">
      <w:pPr>
        <w:pStyle w:val="Bullet"/>
      </w:pPr>
      <w:r w:rsidRPr="00922D51">
        <w:t>Review of Medicines and Medical Device Regulation (2015)</w:t>
      </w:r>
    </w:p>
    <w:p w14:paraId="3C709D64" w14:textId="77777777" w:rsidR="003D3ECC" w:rsidRPr="00922D51" w:rsidRDefault="003D3ECC" w:rsidP="00922D51">
      <w:pPr>
        <w:pStyle w:val="Bullet"/>
      </w:pPr>
      <w:r w:rsidRPr="00922D51">
        <w:t>Industry Working Group on Private Health Insurance Prostheses Reform (2016)</w:t>
      </w:r>
    </w:p>
    <w:p w14:paraId="4752C8D7" w14:textId="77777777" w:rsidR="003D3ECC" w:rsidRPr="00922D51" w:rsidRDefault="003D3ECC" w:rsidP="00922D51">
      <w:pPr>
        <w:pStyle w:val="Bullet"/>
      </w:pPr>
      <w:r w:rsidRPr="00922D51">
        <w:t>Prostheses Benefit Setting Framework: Comparative analysis of benefit setting models (2017)</w:t>
      </w:r>
    </w:p>
    <w:p w14:paraId="05BAA5CF" w14:textId="77777777" w:rsidR="00FF7AD0" w:rsidRPr="00922D51" w:rsidRDefault="003D3ECC" w:rsidP="00922D51">
      <w:pPr>
        <w:pStyle w:val="Bullet"/>
      </w:pPr>
      <w:r w:rsidRPr="00922D51">
        <w:t>Senate Community Affairs Reference Committee: Price regulation associated with the PL Framework (2017)</w:t>
      </w:r>
    </w:p>
    <w:p w14:paraId="3961DFDD" w14:textId="77777777" w:rsidR="00BD6A00" w:rsidRPr="00922D51" w:rsidRDefault="00BD6A00" w:rsidP="00922D51">
      <w:pPr>
        <w:pStyle w:val="Bullet"/>
      </w:pPr>
      <w:r w:rsidRPr="00922D51">
        <w:t>Review of the General Miscellaneous Category of the PL (2020)</w:t>
      </w:r>
    </w:p>
    <w:p w14:paraId="43CEE981" w14:textId="77777777" w:rsidR="00BD6A00" w:rsidRPr="00922D51" w:rsidRDefault="00BD6A00" w:rsidP="00922D51">
      <w:pPr>
        <w:pStyle w:val="Bullet"/>
      </w:pPr>
      <w:r w:rsidRPr="00922D51">
        <w:lastRenderedPageBreak/>
        <w:t>Industry Working Group on Cardiac Technical Support Services (2020)</w:t>
      </w:r>
    </w:p>
    <w:p w14:paraId="64AB3252" w14:textId="29A8F79D" w:rsidR="00FF7AD0" w:rsidRPr="00922D51" w:rsidRDefault="002C4DDB" w:rsidP="00922D51">
      <w:pPr>
        <w:pStyle w:val="Bullet"/>
      </w:pPr>
      <w:r w:rsidRPr="00922D51">
        <w:t>Industry Working Group on Revised Benefit Setting and Review Framework (2020)</w:t>
      </w:r>
    </w:p>
    <w:p w14:paraId="1BB42EC1" w14:textId="7400EDAF" w:rsidR="00EC1365" w:rsidRPr="00922D51" w:rsidRDefault="002C4DDB" w:rsidP="00922D51">
      <w:pPr>
        <w:pStyle w:val="Bullet"/>
      </w:pPr>
      <w:r w:rsidRPr="00922D51">
        <w:t>Consultation paper titled “Options for Reforms and Improvements to the Prostheses List</w:t>
      </w:r>
      <w:r w:rsidR="007C4BAC" w:rsidRPr="00922D51">
        <w:t xml:space="preserve"> (2020).</w:t>
      </w:r>
    </w:p>
    <w:p w14:paraId="4BC17335" w14:textId="289CDBB7" w:rsidR="008D16C2" w:rsidRDefault="008D16C2" w:rsidP="00BD3659">
      <w:r w:rsidRPr="00BD3659">
        <w:t xml:space="preserve">The </w:t>
      </w:r>
      <w:r w:rsidR="007470B3" w:rsidRPr="00BD3659">
        <w:t>2016</w:t>
      </w:r>
      <w:r w:rsidRPr="00BD3659">
        <w:t xml:space="preserve"> Industry Working Group on Revised Benefit Setting and Review Framework</w:t>
      </w:r>
      <w:r>
        <w:t xml:space="preserve"> summarised the strengths of the existing PL framework </w:t>
      </w:r>
      <w:r w:rsidR="008C241A">
        <w:t xml:space="preserve">and identified </w:t>
      </w:r>
      <w:r w:rsidR="5EFC723C">
        <w:t>several</w:t>
      </w:r>
      <w:r w:rsidR="006441B6">
        <w:t xml:space="preserve"> issues (see </w:t>
      </w:r>
      <w:r w:rsidR="006441B6">
        <w:fldChar w:fldCharType="begin"/>
      </w:r>
      <w:r w:rsidR="006441B6">
        <w:instrText xml:space="preserve"> REF _Ref159598226 \h </w:instrText>
      </w:r>
      <w:r w:rsidR="00BD3659">
        <w:instrText xml:space="preserve"> \* MERGEFORMAT </w:instrText>
      </w:r>
      <w:r w:rsidR="006441B6">
        <w:fldChar w:fldCharType="separate"/>
      </w:r>
      <w:r w:rsidR="00026714">
        <w:t xml:space="preserve">Table </w:t>
      </w:r>
      <w:r w:rsidR="00026714">
        <w:rPr>
          <w:noProof/>
        </w:rPr>
        <w:t>2</w:t>
      </w:r>
      <w:r w:rsidR="006441B6">
        <w:fldChar w:fldCharType="end"/>
      </w:r>
      <w:r w:rsidR="006441B6">
        <w:t>).</w:t>
      </w:r>
      <w:r w:rsidR="00F32AD4">
        <w:rPr>
          <w:rStyle w:val="FootnoteReference"/>
        </w:rPr>
        <w:footnoteReference w:id="15"/>
      </w:r>
    </w:p>
    <w:p w14:paraId="58E9EA09" w14:textId="58C5DF6A" w:rsidR="006441B6" w:rsidRDefault="006441B6" w:rsidP="001F714D">
      <w:pPr>
        <w:pStyle w:val="Caption"/>
        <w:spacing w:before="240" w:after="120"/>
      </w:pPr>
      <w:bookmarkStart w:id="13" w:name="_Ref159598226"/>
      <w:r>
        <w:t xml:space="preserve">Table </w:t>
      </w:r>
      <w:r>
        <w:fldChar w:fldCharType="begin"/>
      </w:r>
      <w:r>
        <w:instrText xml:space="preserve"> SEQ Table \* ARABIC </w:instrText>
      </w:r>
      <w:r>
        <w:fldChar w:fldCharType="separate"/>
      </w:r>
      <w:r w:rsidR="00026714">
        <w:rPr>
          <w:noProof/>
        </w:rPr>
        <w:t>2</w:t>
      </w:r>
      <w:r>
        <w:fldChar w:fldCharType="end"/>
      </w:r>
      <w:bookmarkEnd w:id="13"/>
      <w:r>
        <w:t xml:space="preserve"> | Strengths and issues with the existing PL framework</w:t>
      </w:r>
    </w:p>
    <w:tbl>
      <w:tblPr>
        <w:tblStyle w:val="NOUSSideHeader1"/>
        <w:tblW w:w="0" w:type="auto"/>
        <w:tblLook w:val="04A0" w:firstRow="1" w:lastRow="0" w:firstColumn="1" w:lastColumn="0" w:noHBand="0" w:noVBand="1"/>
      </w:tblPr>
      <w:tblGrid>
        <w:gridCol w:w="4460"/>
        <w:gridCol w:w="4460"/>
      </w:tblGrid>
      <w:tr w:rsidR="00A60AE9" w14:paraId="5B1AE39F" w14:textId="77777777" w:rsidTr="3787E91E">
        <w:trPr>
          <w:cnfStyle w:val="100000000000" w:firstRow="1" w:lastRow="0" w:firstColumn="0" w:lastColumn="0" w:oddVBand="0" w:evenVBand="0" w:oddHBand="0" w:evenHBand="0" w:firstRowFirstColumn="0" w:firstRowLastColumn="0" w:lastRowFirstColumn="0" w:lastRowLastColumn="0"/>
        </w:trPr>
        <w:tc>
          <w:tcPr>
            <w:tcW w:w="4460" w:type="dxa"/>
          </w:tcPr>
          <w:p w14:paraId="7F1C6EB8" w14:textId="340532F0" w:rsidR="00A60AE9" w:rsidRDefault="00A60AE9" w:rsidP="00A60AE9">
            <w:pPr>
              <w:pStyle w:val="TableNheader"/>
            </w:pPr>
            <w:r>
              <w:t>Strengths of the existing PL framework</w:t>
            </w:r>
          </w:p>
        </w:tc>
        <w:tc>
          <w:tcPr>
            <w:tcW w:w="4460" w:type="dxa"/>
          </w:tcPr>
          <w:p w14:paraId="00D088C0" w14:textId="0295EA1D" w:rsidR="00A60AE9" w:rsidRDefault="00A60AE9" w:rsidP="00A60AE9">
            <w:pPr>
              <w:pStyle w:val="TableNheader"/>
            </w:pPr>
            <w:r>
              <w:t>Issues with the existing PL framework</w:t>
            </w:r>
          </w:p>
        </w:tc>
      </w:tr>
      <w:tr w:rsidR="00A60AE9" w14:paraId="63B8C46F" w14:textId="77777777" w:rsidTr="3787E91E">
        <w:trPr>
          <w:cnfStyle w:val="000000100000" w:firstRow="0" w:lastRow="0" w:firstColumn="0" w:lastColumn="0" w:oddVBand="0" w:evenVBand="0" w:oddHBand="1" w:evenHBand="0" w:firstRowFirstColumn="0" w:firstRowLastColumn="0" w:lastRowFirstColumn="0" w:lastRowLastColumn="0"/>
        </w:trPr>
        <w:tc>
          <w:tcPr>
            <w:tcW w:w="4460" w:type="dxa"/>
          </w:tcPr>
          <w:p w14:paraId="41C601AA" w14:textId="77777777" w:rsidR="00A60AE9" w:rsidRDefault="00A60AE9" w:rsidP="00A60AE9">
            <w:pPr>
              <w:pStyle w:val="TableNBullet"/>
            </w:pPr>
            <w:r w:rsidRPr="3787E91E">
              <w:rPr>
                <w:rFonts w:asciiTheme="majorHAnsi" w:hAnsiTheme="majorHAnsi" w:cstheme="majorBidi"/>
              </w:rPr>
              <w:t>Recognition of clinical differences</w:t>
            </w:r>
            <w:r w:rsidRPr="3787E91E">
              <w:rPr>
                <w:rFonts w:cstheme="minorBidi"/>
              </w:rPr>
              <w:t xml:space="preserve"> – </w:t>
            </w:r>
            <w:r w:rsidRPr="3787E91E">
              <w:t>enabling differentiation between product groups/sub-groups, incorporation of new technologies, and recognition of improvements in value.</w:t>
            </w:r>
          </w:p>
          <w:p w14:paraId="643AA79B" w14:textId="77777777" w:rsidR="00A60AE9" w:rsidRPr="005B4609" w:rsidRDefault="00A60AE9" w:rsidP="3787E91E">
            <w:pPr>
              <w:pStyle w:val="TableNBullet"/>
              <w:rPr>
                <w:rFonts w:asciiTheme="majorHAnsi" w:hAnsiTheme="majorHAnsi" w:cstheme="majorBidi"/>
              </w:rPr>
            </w:pPr>
            <w:r w:rsidRPr="3787E91E">
              <w:rPr>
                <w:rFonts w:asciiTheme="majorHAnsi" w:hAnsiTheme="majorHAnsi" w:cstheme="majorBidi"/>
              </w:rPr>
              <w:t>Patient choice of healthcare</w:t>
            </w:r>
            <w:r w:rsidRPr="3787E91E">
              <w:rPr>
                <w:rFonts w:cstheme="minorBidi"/>
              </w:rPr>
              <w:t xml:space="preserve"> – </w:t>
            </w:r>
            <w:r w:rsidRPr="3787E91E">
              <w:t xml:space="preserve">allowing doctors to choose the most appropriate prostheses on behalf of patients. </w:t>
            </w:r>
          </w:p>
          <w:p w14:paraId="393CBEC6" w14:textId="77777777" w:rsidR="00A60AE9" w:rsidRDefault="00A60AE9" w:rsidP="00A60AE9">
            <w:pPr>
              <w:pStyle w:val="TableNBullet"/>
            </w:pPr>
            <w:r w:rsidRPr="003C48AE">
              <w:rPr>
                <w:rFonts w:asciiTheme="majorHAnsi" w:hAnsiTheme="majorHAnsi" w:cstheme="majorHAnsi"/>
              </w:rPr>
              <w:t>Pricing transparency</w:t>
            </w:r>
            <w:r w:rsidRPr="00DB29F7">
              <w:rPr>
                <w:rFonts w:cstheme="minorBidi"/>
              </w:rPr>
              <w:t xml:space="preserve"> –</w:t>
            </w:r>
            <w:r>
              <w:t xml:space="preserve"> providing transparent pricing for prostheses listed on the PL. </w:t>
            </w:r>
          </w:p>
          <w:p w14:paraId="6A6F871F" w14:textId="77777777" w:rsidR="00A60AE9" w:rsidRDefault="00A60AE9" w:rsidP="00A60AE9">
            <w:pPr>
              <w:pStyle w:val="TableNBullet"/>
            </w:pPr>
            <w:r w:rsidRPr="003C48AE">
              <w:rPr>
                <w:rFonts w:asciiTheme="majorHAnsi" w:hAnsiTheme="majorHAnsi" w:cstheme="majorHAnsi"/>
              </w:rPr>
              <w:t>No</w:t>
            </w:r>
            <w:r>
              <w:t xml:space="preserve"> </w:t>
            </w:r>
            <w:r w:rsidRPr="003C48AE">
              <w:rPr>
                <w:rFonts w:asciiTheme="majorHAnsi" w:hAnsiTheme="majorHAnsi" w:cstheme="majorHAnsi"/>
              </w:rPr>
              <w:t>patient out-of-pocket expenses</w:t>
            </w:r>
            <w:r w:rsidRPr="00DB29F7">
              <w:rPr>
                <w:rFonts w:cstheme="minorBidi"/>
              </w:rPr>
              <w:t xml:space="preserve"> –</w:t>
            </w:r>
            <w:r>
              <w:t xml:space="preserve"> providing access to clinically useful prostheses with no out-of-pocket expenses.</w:t>
            </w:r>
          </w:p>
          <w:p w14:paraId="319B3B9B" w14:textId="7C84C48D" w:rsidR="00A60AE9" w:rsidRDefault="00A60AE9" w:rsidP="00A60AE9">
            <w:pPr>
              <w:pStyle w:val="TableNBullet"/>
            </w:pPr>
            <w:r w:rsidRPr="003C48AE">
              <w:rPr>
                <w:rFonts w:asciiTheme="majorHAnsi" w:hAnsiTheme="majorHAnsi" w:cstheme="majorHAnsi"/>
              </w:rPr>
              <w:t>Incorporation of expert clinical input</w:t>
            </w:r>
            <w:r w:rsidRPr="00DB29F7">
              <w:rPr>
                <w:rFonts w:cstheme="minorBidi"/>
              </w:rPr>
              <w:t xml:space="preserve"> –</w:t>
            </w:r>
            <w:r>
              <w:t xml:space="preserve"> considering independent clinical perspectives as part of the assessment process via Clinical Advisory Groups and the Panel of Clinical Experts.</w:t>
            </w:r>
          </w:p>
        </w:tc>
        <w:tc>
          <w:tcPr>
            <w:tcW w:w="4460" w:type="dxa"/>
          </w:tcPr>
          <w:p w14:paraId="77F035A0" w14:textId="77777777" w:rsidR="00A60AE9" w:rsidRPr="00A60AE9" w:rsidRDefault="00A60AE9" w:rsidP="00A60AE9">
            <w:pPr>
              <w:pStyle w:val="TableNBullet"/>
            </w:pPr>
            <w:r w:rsidRPr="00A60AE9">
              <w:rPr>
                <w:rFonts w:asciiTheme="majorHAnsi" w:hAnsiTheme="majorHAnsi" w:cstheme="majorHAnsi"/>
              </w:rPr>
              <w:t>Different pricing of prostheses between the private health sector and other markets</w:t>
            </w:r>
            <w:r w:rsidRPr="00A60AE9">
              <w:t xml:space="preserve"> – with minimum benefit amounts for prostheses listed on the PL in many cases exceeding prices paid in the public system and internationally.</w:t>
            </w:r>
          </w:p>
          <w:p w14:paraId="554633E9" w14:textId="64588153" w:rsidR="00A60AE9" w:rsidRPr="00A60AE9" w:rsidRDefault="00A60AE9" w:rsidP="00A60AE9">
            <w:pPr>
              <w:pStyle w:val="TableNBullet"/>
            </w:pPr>
            <w:r w:rsidRPr="3787E91E">
              <w:rPr>
                <w:rFonts w:asciiTheme="majorHAnsi" w:hAnsiTheme="majorHAnsi" w:cstheme="majorBidi"/>
              </w:rPr>
              <w:t>Complex arrangements for medical devices in the private sector</w:t>
            </w:r>
            <w:r w:rsidRPr="3787E91E">
              <w:t xml:space="preserve"> – with complexity existing at the level of the health system (e.g.</w:t>
            </w:r>
            <w:r w:rsidR="003311EC" w:rsidRPr="3787E91E">
              <w:t>,</w:t>
            </w:r>
            <w:r w:rsidRPr="3787E91E">
              <w:t xml:space="preserve"> multiple levels of government, private providers, insurers, and care pathways), patient (e.g.</w:t>
            </w:r>
            <w:r w:rsidR="003311EC" w:rsidRPr="3787E91E">
              <w:t>,</w:t>
            </w:r>
            <w:r w:rsidRPr="3787E91E">
              <w:t xml:space="preserve"> varying demographic characteristics, co-</w:t>
            </w:r>
            <w:proofErr w:type="gramStart"/>
            <w:r w:rsidRPr="3787E91E">
              <w:t>morbidities</w:t>
            </w:r>
            <w:proofErr w:type="gramEnd"/>
            <w:r w:rsidRPr="3787E91E">
              <w:t xml:space="preserve"> and treatment histories) and device (e.g.</w:t>
            </w:r>
            <w:r w:rsidR="003311EC" w:rsidRPr="3787E91E">
              <w:t>,</w:t>
            </w:r>
            <w:r w:rsidRPr="3787E91E">
              <w:t xml:space="preserve"> technical characteristics). </w:t>
            </w:r>
          </w:p>
          <w:p w14:paraId="014243FF" w14:textId="77777777" w:rsidR="00A60AE9" w:rsidRPr="00A60AE9" w:rsidRDefault="00A60AE9" w:rsidP="00A60AE9">
            <w:pPr>
              <w:pStyle w:val="TableNBullet"/>
            </w:pPr>
            <w:r w:rsidRPr="00A60AE9">
              <w:rPr>
                <w:rFonts w:asciiTheme="majorHAnsi" w:hAnsiTheme="majorHAnsi" w:cstheme="majorHAnsi"/>
              </w:rPr>
              <w:t>Lack of oversight</w:t>
            </w:r>
            <w:r w:rsidRPr="00A60AE9">
              <w:t xml:space="preserve"> – with no role for the Australian Government in compliance</w:t>
            </w:r>
          </w:p>
          <w:p w14:paraId="2B4A7D61" w14:textId="45952928" w:rsidR="00A60AE9" w:rsidRDefault="00A60AE9" w:rsidP="00A60AE9">
            <w:pPr>
              <w:pStyle w:val="TableNBullet"/>
            </w:pPr>
            <w:r w:rsidRPr="3787E91E">
              <w:rPr>
                <w:rFonts w:asciiTheme="majorHAnsi" w:hAnsiTheme="majorHAnsi" w:cstheme="majorBidi"/>
              </w:rPr>
              <w:t>Differing understandings of the purpose and scope of the PL</w:t>
            </w:r>
            <w:r w:rsidRPr="3787E91E">
              <w:t xml:space="preserve"> – with, for example, disagreement about the appropriateness of including various types of items.</w:t>
            </w:r>
          </w:p>
        </w:tc>
      </w:tr>
    </w:tbl>
    <w:p w14:paraId="1B7F76D0" w14:textId="77777777" w:rsidR="00BD3659" w:rsidRDefault="00BD3659" w:rsidP="00BD3659"/>
    <w:p w14:paraId="26B8C29F" w14:textId="62F2E671" w:rsidR="00084936" w:rsidRPr="006A1236" w:rsidRDefault="00F22E2C" w:rsidP="00BD3659">
      <w:pPr>
        <w:rPr>
          <w:rFonts w:cs="Arial"/>
        </w:rPr>
      </w:pPr>
      <w:r>
        <w:t xml:space="preserve">Also significant in the development of the PL </w:t>
      </w:r>
      <w:r w:rsidR="000D4256">
        <w:t>re</w:t>
      </w:r>
      <w:r>
        <w:t xml:space="preserve">forms was the </w:t>
      </w:r>
      <w:r w:rsidRPr="00BD3659">
        <w:t xml:space="preserve">Australian </w:t>
      </w:r>
      <w:r w:rsidR="00C6097E" w:rsidRPr="00BD3659">
        <w:t>Government’s</w:t>
      </w:r>
      <w:r w:rsidRPr="00BD3659">
        <w:t xml:space="preserve"> </w:t>
      </w:r>
      <w:r w:rsidR="00084936" w:rsidRPr="00BD3659">
        <w:t>2017 Strategic Agreement with the MTAA.</w:t>
      </w:r>
      <w:r w:rsidR="00084936" w:rsidRPr="006A1236">
        <w:rPr>
          <w:rFonts w:cs="Arial"/>
        </w:rPr>
        <w:t xml:space="preserve"> The purpose of the agreement was to</w:t>
      </w:r>
      <w:r w:rsidR="00084936">
        <w:rPr>
          <w:rFonts w:cs="Arial"/>
        </w:rPr>
        <w:t>:</w:t>
      </w:r>
      <w:r w:rsidR="00084936">
        <w:rPr>
          <w:rStyle w:val="FootnoteReference"/>
        </w:rPr>
        <w:footnoteReference w:id="16"/>
      </w:r>
    </w:p>
    <w:p w14:paraId="190F171F" w14:textId="77777777" w:rsidR="00084936" w:rsidRPr="00A651E4" w:rsidRDefault="00084936" w:rsidP="00A651E4">
      <w:pPr>
        <w:pStyle w:val="Bullet"/>
      </w:pPr>
      <w:r w:rsidRPr="00A651E4">
        <w:t>Promote the sustainability of privately insured health care by rebalancing the costs of medical devices to privately insured patients.</w:t>
      </w:r>
    </w:p>
    <w:p w14:paraId="72F6AD11" w14:textId="77777777" w:rsidR="00084936" w:rsidRPr="00A651E4" w:rsidRDefault="00084936" w:rsidP="00A651E4">
      <w:pPr>
        <w:pStyle w:val="Bullet"/>
      </w:pPr>
      <w:r w:rsidRPr="3787E91E">
        <w:t xml:space="preserve">Support a viable, </w:t>
      </w:r>
      <w:proofErr w:type="gramStart"/>
      <w:r w:rsidRPr="3787E91E">
        <w:t>innovative</w:t>
      </w:r>
      <w:proofErr w:type="gramEnd"/>
      <w:r w:rsidRPr="3787E91E">
        <w:t xml:space="preserve"> and diverse medical technology sector in Australia including local jobs.</w:t>
      </w:r>
    </w:p>
    <w:p w14:paraId="7C5A56D7" w14:textId="77777777" w:rsidR="00084936" w:rsidRPr="00A651E4" w:rsidRDefault="00084936" w:rsidP="00A651E4">
      <w:pPr>
        <w:pStyle w:val="Bullet"/>
      </w:pPr>
      <w:r w:rsidRPr="00A651E4">
        <w:t xml:space="preserve">Improve the value of PHI for consumers by reducing benefits for prostheses on the PL. </w:t>
      </w:r>
    </w:p>
    <w:p w14:paraId="4DCB3D56" w14:textId="52B2FBD1" w:rsidR="00292470" w:rsidRDefault="003C328D" w:rsidP="00BD3659">
      <w:r>
        <w:t xml:space="preserve">The Department has described this agreement as </w:t>
      </w:r>
      <w:r w:rsidR="00411CBC">
        <w:t xml:space="preserve">underpinning the current </w:t>
      </w:r>
      <w:r w:rsidR="002118C4">
        <w:t>PL reforms.</w:t>
      </w:r>
      <w:r w:rsidR="002118C4">
        <w:rPr>
          <w:rStyle w:val="FootnoteReference"/>
        </w:rPr>
        <w:footnoteReference w:id="17"/>
      </w:r>
    </w:p>
    <w:p w14:paraId="0350B7CD" w14:textId="77777777" w:rsidR="00B82A93" w:rsidRDefault="00292470" w:rsidP="00292470">
      <w:pPr>
        <w:pStyle w:val="Heading2"/>
      </w:pPr>
      <w:bookmarkStart w:id="14" w:name="_Toc179453675"/>
      <w:r>
        <w:t>The impetus for the PL reforms</w:t>
      </w:r>
      <w:bookmarkEnd w:id="14"/>
      <w:r>
        <w:t xml:space="preserve"> </w:t>
      </w:r>
    </w:p>
    <w:p w14:paraId="72DCE741" w14:textId="373702EA" w:rsidR="00F62C97" w:rsidRPr="00F62C97" w:rsidRDefault="00B82A93" w:rsidP="00F62C97">
      <w:pPr>
        <w:rPr>
          <w:lang w:eastAsia="en-AU"/>
        </w:rPr>
      </w:pPr>
      <w:r>
        <w:t xml:space="preserve">Two key drivers sat behind </w:t>
      </w:r>
      <w:r w:rsidR="003C2257">
        <w:t>introduction of the reforms in 20</w:t>
      </w:r>
      <w:r w:rsidR="00CF1940">
        <w:t>2</w:t>
      </w:r>
      <w:r w:rsidR="00155CB8">
        <w:t>1.</w:t>
      </w:r>
      <w:r w:rsidR="00BD12E8">
        <w:t xml:space="preserve"> These were the </w:t>
      </w:r>
      <w:r w:rsidR="005473EF" w:rsidRPr="00B82A93">
        <w:t>high costs of prostheses</w:t>
      </w:r>
      <w:r w:rsidR="00292470" w:rsidRPr="00B82A93">
        <w:t xml:space="preserve"> and growing stakeholder concerns</w:t>
      </w:r>
      <w:r w:rsidR="00BD12E8">
        <w:t xml:space="preserve">. </w:t>
      </w:r>
      <w:r w:rsidR="00F62C97">
        <w:rPr>
          <w:lang w:eastAsia="en-AU"/>
        </w:rPr>
        <w:t>These two drivers are discussed below.</w:t>
      </w:r>
    </w:p>
    <w:p w14:paraId="4A1E1E5C" w14:textId="10A5AB80" w:rsidR="007B2C2F" w:rsidRDefault="009B7A1B" w:rsidP="00C458D6">
      <w:pPr>
        <w:pStyle w:val="Heading4"/>
      </w:pPr>
      <w:r w:rsidRPr="3787E91E">
        <w:lastRenderedPageBreak/>
        <w:t xml:space="preserve">The </w:t>
      </w:r>
      <w:r w:rsidR="008E59A9" w:rsidRPr="3787E91E">
        <w:t xml:space="preserve">reforms sought to </w:t>
      </w:r>
      <w:r w:rsidR="00623673" w:rsidRPr="3787E91E">
        <w:t>reduce the cost of prostheses</w:t>
      </w:r>
      <w:r w:rsidR="003B568B" w:rsidRPr="3787E91E">
        <w:t xml:space="preserve"> to insurers</w:t>
      </w:r>
      <w:r w:rsidR="0062509F" w:rsidRPr="3787E91E">
        <w:t xml:space="preserve"> to </w:t>
      </w:r>
      <w:r w:rsidR="00C70203" w:rsidRPr="3787E91E">
        <w:t>alleviate</w:t>
      </w:r>
      <w:r w:rsidR="00876AAB" w:rsidRPr="3787E91E">
        <w:t xml:space="preserve"> upward</w:t>
      </w:r>
      <w:r w:rsidR="0062509F" w:rsidRPr="3787E91E">
        <w:t xml:space="preserve"> </w:t>
      </w:r>
      <w:r w:rsidR="00CE6B63" w:rsidRPr="3787E91E">
        <w:t>pressure on PHI premiums</w:t>
      </w:r>
      <w:r w:rsidR="003B568B" w:rsidRPr="3787E91E">
        <w:t xml:space="preserve"> for </w:t>
      </w:r>
      <w:proofErr w:type="gramStart"/>
      <w:r w:rsidR="003B568B" w:rsidRPr="3787E91E">
        <w:t>consumers</w:t>
      </w:r>
      <w:proofErr w:type="gramEnd"/>
    </w:p>
    <w:p w14:paraId="14FBA965" w14:textId="3AD4962F" w:rsidR="00D11384" w:rsidRDefault="00A34DD9" w:rsidP="00141A45">
      <w:r>
        <w:rPr>
          <w:lang w:eastAsia="en-AU"/>
        </w:rPr>
        <w:t xml:space="preserve">The cost of prostheses </w:t>
      </w:r>
      <w:r w:rsidR="00D11384">
        <w:rPr>
          <w:lang w:eastAsia="en-AU"/>
        </w:rPr>
        <w:t>was</w:t>
      </w:r>
      <w:r>
        <w:rPr>
          <w:lang w:eastAsia="en-AU"/>
        </w:rPr>
        <w:t xml:space="preserve"> identified as a </w:t>
      </w:r>
      <w:r w:rsidR="00652F80">
        <w:rPr>
          <w:lang w:eastAsia="en-AU"/>
        </w:rPr>
        <w:t>contributor to</w:t>
      </w:r>
      <w:r w:rsidR="00A46364">
        <w:rPr>
          <w:lang w:eastAsia="en-AU"/>
        </w:rPr>
        <w:t xml:space="preserve"> rising PHI premiums. </w:t>
      </w:r>
      <w:r w:rsidR="73359EC0">
        <w:rPr>
          <w:lang w:eastAsia="en-AU"/>
        </w:rPr>
        <w:t>I</w:t>
      </w:r>
      <w:r w:rsidR="00267629">
        <w:rPr>
          <w:lang w:eastAsia="en-AU"/>
        </w:rPr>
        <w:t xml:space="preserve">n 2019-20, </w:t>
      </w:r>
      <w:r w:rsidR="55F8C451">
        <w:rPr>
          <w:lang w:eastAsia="en-AU"/>
        </w:rPr>
        <w:t>for example</w:t>
      </w:r>
      <w:r w:rsidR="00267629">
        <w:rPr>
          <w:lang w:eastAsia="en-AU"/>
        </w:rPr>
        <w:t xml:space="preserve">, </w:t>
      </w:r>
      <w:r w:rsidR="0000148D">
        <w:rPr>
          <w:lang w:eastAsia="en-AU"/>
        </w:rPr>
        <w:t xml:space="preserve">over three million </w:t>
      </w:r>
      <w:r w:rsidR="00BD7975">
        <w:rPr>
          <w:lang w:eastAsia="en-AU"/>
        </w:rPr>
        <w:t>items</w:t>
      </w:r>
      <w:r w:rsidR="0000148D">
        <w:rPr>
          <w:lang w:eastAsia="en-AU"/>
        </w:rPr>
        <w:t xml:space="preserve"> </w:t>
      </w:r>
      <w:r w:rsidR="00A46ED6">
        <w:rPr>
          <w:lang w:eastAsia="en-AU"/>
        </w:rPr>
        <w:t xml:space="preserve">on the PL </w:t>
      </w:r>
      <w:r w:rsidR="0000148D">
        <w:rPr>
          <w:lang w:eastAsia="en-AU"/>
        </w:rPr>
        <w:t xml:space="preserve">were provided </w:t>
      </w:r>
      <w:r w:rsidR="00A46ED6">
        <w:rPr>
          <w:lang w:eastAsia="en-AU"/>
        </w:rPr>
        <w:t xml:space="preserve">at a cost to insurers of around $2.1 billion, </w:t>
      </w:r>
      <w:r w:rsidR="001D3ED9">
        <w:rPr>
          <w:lang w:eastAsia="en-AU"/>
        </w:rPr>
        <w:t xml:space="preserve">representing </w:t>
      </w:r>
      <w:r w:rsidR="00876DCF">
        <w:rPr>
          <w:lang w:eastAsia="en-AU"/>
        </w:rPr>
        <w:t xml:space="preserve">around </w:t>
      </w:r>
      <w:r w:rsidR="001D3ED9">
        <w:rPr>
          <w:lang w:eastAsia="en-AU"/>
        </w:rPr>
        <w:t>14</w:t>
      </w:r>
      <w:r w:rsidR="00952773">
        <w:rPr>
          <w:lang w:eastAsia="en-AU"/>
        </w:rPr>
        <w:t>%</w:t>
      </w:r>
      <w:r w:rsidR="001D3ED9">
        <w:rPr>
          <w:lang w:eastAsia="en-AU"/>
        </w:rPr>
        <w:t xml:space="preserve"> of the </w:t>
      </w:r>
      <w:r w:rsidR="00416D77">
        <w:rPr>
          <w:lang w:eastAsia="en-AU"/>
        </w:rPr>
        <w:t>PHI benefits paid that year.</w:t>
      </w:r>
      <w:r w:rsidR="00D546AB">
        <w:rPr>
          <w:rStyle w:val="FootnoteReference"/>
        </w:rPr>
        <w:footnoteReference w:id="18"/>
      </w:r>
      <w:r w:rsidR="002A3AAE">
        <w:rPr>
          <w:lang w:eastAsia="en-AU"/>
        </w:rPr>
        <w:t xml:space="preserve"> </w:t>
      </w:r>
      <w:r w:rsidR="0068096B">
        <w:rPr>
          <w:lang w:eastAsia="en-AU"/>
        </w:rPr>
        <w:t>PL</w:t>
      </w:r>
      <w:r w:rsidR="002C6E4B">
        <w:rPr>
          <w:lang w:eastAsia="en-AU"/>
        </w:rPr>
        <w:t xml:space="preserve"> </w:t>
      </w:r>
      <w:r w:rsidR="007F7758">
        <w:rPr>
          <w:lang w:eastAsia="en-AU"/>
        </w:rPr>
        <w:t>benefits</w:t>
      </w:r>
      <w:r w:rsidR="002C6E4B">
        <w:rPr>
          <w:lang w:eastAsia="en-AU"/>
        </w:rPr>
        <w:t xml:space="preserve"> </w:t>
      </w:r>
      <w:r w:rsidR="738262DE">
        <w:rPr>
          <w:lang w:eastAsia="en-AU"/>
        </w:rPr>
        <w:t xml:space="preserve">at this time </w:t>
      </w:r>
      <w:r w:rsidR="00152E14">
        <w:t>far outweigh</w:t>
      </w:r>
      <w:r w:rsidR="171699D9">
        <w:t>ed</w:t>
      </w:r>
      <w:r w:rsidR="00152E14">
        <w:t xml:space="preserve"> the prices of the same items in the public system and internationally</w:t>
      </w:r>
      <w:r w:rsidR="006521AC">
        <w:t xml:space="preserve">, </w:t>
      </w:r>
      <w:r w:rsidR="00C52323">
        <w:t>with this gap being as high as 145</w:t>
      </w:r>
      <w:r w:rsidR="008227F3">
        <w:t>%</w:t>
      </w:r>
      <w:r w:rsidR="00C52323">
        <w:t xml:space="preserve"> for some devices </w:t>
      </w:r>
      <w:r w:rsidR="00DD6022">
        <w:t>in 2019-20.</w:t>
      </w:r>
      <w:r w:rsidR="00D546AB">
        <w:rPr>
          <w:rStyle w:val="FootnoteReference"/>
        </w:rPr>
        <w:footnoteReference w:id="19"/>
      </w:r>
      <w:r w:rsidR="00652F80">
        <w:t xml:space="preserve"> </w:t>
      </w:r>
      <w:r w:rsidR="00A44137">
        <w:t xml:space="preserve">Measurement of the gap between PL items in the private sector and more competitive markets is set out in </w:t>
      </w:r>
      <w:r w:rsidR="007819E4">
        <w:t xml:space="preserve">section </w:t>
      </w:r>
      <w:r w:rsidR="007819E4">
        <w:fldChar w:fldCharType="begin"/>
      </w:r>
      <w:r w:rsidR="007819E4">
        <w:instrText xml:space="preserve"> REF _Ref159095636 \r \h </w:instrText>
      </w:r>
      <w:r w:rsidR="007819E4">
        <w:fldChar w:fldCharType="separate"/>
      </w:r>
      <w:r w:rsidR="00026714">
        <w:t>3.1</w:t>
      </w:r>
      <w:r w:rsidR="007819E4">
        <w:fldChar w:fldCharType="end"/>
      </w:r>
      <w:r w:rsidR="007819E4">
        <w:t>.</w:t>
      </w:r>
    </w:p>
    <w:p w14:paraId="2A8F7703" w14:textId="4B204E0E" w:rsidR="00EA2D9A" w:rsidRDefault="007819E4" w:rsidP="00141A45">
      <w:r>
        <w:t>High</w:t>
      </w:r>
      <w:r w:rsidR="003E0F75">
        <w:t xml:space="preserve"> prostheses </w:t>
      </w:r>
      <w:r w:rsidR="000D5D8D">
        <w:t>benefits</w:t>
      </w:r>
      <w:r w:rsidR="00652F80">
        <w:t xml:space="preserve"> </w:t>
      </w:r>
      <w:r w:rsidR="6F7FBD7D">
        <w:t>were</w:t>
      </w:r>
      <w:r w:rsidR="00652F80">
        <w:t xml:space="preserve"> one of several factors </w:t>
      </w:r>
      <w:r w:rsidR="002368A0">
        <w:t>threatening the long-term sustain</w:t>
      </w:r>
      <w:r w:rsidR="00623673">
        <w:t xml:space="preserve">ability of </w:t>
      </w:r>
      <w:r w:rsidR="005B4C10">
        <w:t xml:space="preserve">the PHI sector, along with </w:t>
      </w:r>
      <w:r w:rsidR="00141A45">
        <w:t>d</w:t>
      </w:r>
      <w:r w:rsidR="00EA2D9A">
        <w:t>eclining rates of participation in PHI</w:t>
      </w:r>
      <w:r w:rsidR="00141A45">
        <w:t xml:space="preserve"> (</w:t>
      </w:r>
      <w:r w:rsidR="00EA2D9A">
        <w:t>particularly among younger Australians</w:t>
      </w:r>
      <w:r w:rsidR="00141A45">
        <w:t>), i</w:t>
      </w:r>
      <w:r w:rsidR="00EA2D9A">
        <w:t>ncreasing use of health services</w:t>
      </w:r>
      <w:r w:rsidR="00141A45">
        <w:t xml:space="preserve"> (</w:t>
      </w:r>
      <w:r w:rsidR="00EA2D9A">
        <w:t>particularly among older Australians and people with chronic disease</w:t>
      </w:r>
      <w:r w:rsidR="00141A45">
        <w:t xml:space="preserve">) and </w:t>
      </w:r>
      <w:r w:rsidR="006C358B">
        <w:t xml:space="preserve">a resulting </w:t>
      </w:r>
      <w:r w:rsidR="002A3AAE">
        <w:t>worsening of the risk pool for PHI.</w:t>
      </w:r>
      <w:r w:rsidR="002A3AAE">
        <w:rPr>
          <w:rStyle w:val="FootnoteReference"/>
        </w:rPr>
        <w:footnoteReference w:id="20"/>
      </w:r>
    </w:p>
    <w:p w14:paraId="7887F4BC" w14:textId="557FC498" w:rsidR="005A1101" w:rsidRPr="005A1101" w:rsidRDefault="00C37298" w:rsidP="00C458D6">
      <w:pPr>
        <w:pStyle w:val="Heading4"/>
      </w:pPr>
      <w:r w:rsidRPr="3787E91E">
        <w:t xml:space="preserve">The PL reforms also sought to address a range of concerns from </w:t>
      </w:r>
      <w:proofErr w:type="gramStart"/>
      <w:r w:rsidR="00D82748" w:rsidRPr="3787E91E">
        <w:t>stakeholders</w:t>
      </w:r>
      <w:proofErr w:type="gramEnd"/>
      <w:r w:rsidRPr="3787E91E">
        <w:t xml:space="preserve"> </w:t>
      </w:r>
    </w:p>
    <w:p w14:paraId="78583C2A" w14:textId="77777777" w:rsidR="0045267B" w:rsidRPr="0045267B" w:rsidRDefault="007B2C2F" w:rsidP="0045267B">
      <w:pPr>
        <w:rPr>
          <w:szCs w:val="19"/>
          <w:lang w:eastAsia="en-AU"/>
        </w:rPr>
      </w:pPr>
      <w:r>
        <w:rPr>
          <w:szCs w:val="19"/>
          <w:lang w:eastAsia="en-AU"/>
        </w:rPr>
        <w:t>A range of stakeholders are involved in</w:t>
      </w:r>
      <w:r w:rsidRPr="00B20C84">
        <w:rPr>
          <w:szCs w:val="19"/>
          <w:lang w:eastAsia="en-AU"/>
        </w:rPr>
        <w:t xml:space="preserve"> the provision, acquisition, </w:t>
      </w:r>
      <w:proofErr w:type="gramStart"/>
      <w:r w:rsidRPr="00B20C84">
        <w:rPr>
          <w:szCs w:val="19"/>
          <w:lang w:eastAsia="en-AU"/>
        </w:rPr>
        <w:t>funding</w:t>
      </w:r>
      <w:proofErr w:type="gramEnd"/>
      <w:r w:rsidRPr="00B20C84">
        <w:rPr>
          <w:szCs w:val="19"/>
          <w:lang w:eastAsia="en-AU"/>
        </w:rPr>
        <w:t xml:space="preserve"> and receipt of medical devices</w:t>
      </w:r>
      <w:r>
        <w:rPr>
          <w:szCs w:val="19"/>
          <w:lang w:eastAsia="en-AU"/>
        </w:rPr>
        <w:t>. These include</w:t>
      </w:r>
      <w:r w:rsidRPr="00D377CF">
        <w:rPr>
          <w:szCs w:val="19"/>
          <w:lang w:eastAsia="en-AU"/>
        </w:rPr>
        <w:t xml:space="preserve"> the Department, private healthcare insurers,</w:t>
      </w:r>
      <w:r>
        <w:rPr>
          <w:lang w:eastAsia="en-AU"/>
        </w:rPr>
        <w:t xml:space="preserve"> </w:t>
      </w:r>
      <w:r w:rsidRPr="00D377CF">
        <w:rPr>
          <w:szCs w:val="19"/>
          <w:lang w:eastAsia="en-AU"/>
        </w:rPr>
        <w:t xml:space="preserve">private healthcare providers (i.e., private hospitals and day hospitals), medical </w:t>
      </w:r>
      <w:r w:rsidR="00CB5AE5">
        <w:rPr>
          <w:szCs w:val="19"/>
          <w:lang w:eastAsia="en-AU"/>
        </w:rPr>
        <w:t>technology companies</w:t>
      </w:r>
      <w:r w:rsidRPr="00D377CF">
        <w:rPr>
          <w:szCs w:val="19"/>
          <w:lang w:eastAsia="en-AU"/>
        </w:rPr>
        <w:t>, clinicians, and consumers.</w:t>
      </w:r>
      <w:r w:rsidR="0045267B" w:rsidRPr="0045267B">
        <w:rPr>
          <w:szCs w:val="19"/>
          <w:lang w:eastAsia="en-AU"/>
        </w:rPr>
        <w:t xml:space="preserve"> </w:t>
      </w:r>
    </w:p>
    <w:p w14:paraId="0EE4D790" w14:textId="0C425DF3" w:rsidR="009B3576" w:rsidRPr="00D377CF" w:rsidRDefault="739F9574" w:rsidP="3DEFDB6B">
      <w:pPr>
        <w:rPr>
          <w:lang w:eastAsia="en-AU"/>
        </w:rPr>
      </w:pPr>
      <w:r w:rsidRPr="3DEFDB6B">
        <w:rPr>
          <w:lang w:eastAsia="en-AU"/>
        </w:rPr>
        <w:t xml:space="preserve">These stakeholders have varied interests in the PL including many with a financial stake in the </w:t>
      </w:r>
      <w:r w:rsidR="0077329E">
        <w:rPr>
          <w:lang w:eastAsia="en-AU"/>
        </w:rPr>
        <w:t>outcomes</w:t>
      </w:r>
      <w:r w:rsidRPr="3DEFDB6B">
        <w:rPr>
          <w:lang w:eastAsia="en-AU"/>
        </w:rPr>
        <w:t xml:space="preserve"> of these reforms. Successful implementation of identified </w:t>
      </w:r>
      <w:r w:rsidR="003B4F1E">
        <w:rPr>
          <w:lang w:eastAsia="en-AU"/>
        </w:rPr>
        <w:t>projects</w:t>
      </w:r>
      <w:r w:rsidRPr="3DEFDB6B">
        <w:rPr>
          <w:lang w:eastAsia="en-AU"/>
        </w:rPr>
        <w:t xml:space="preserve"> in this context </w:t>
      </w:r>
      <w:r w:rsidR="00317C98">
        <w:rPr>
          <w:lang w:eastAsia="en-AU"/>
        </w:rPr>
        <w:t>is challenging</w:t>
      </w:r>
      <w:r w:rsidRPr="3DEFDB6B">
        <w:rPr>
          <w:lang w:eastAsia="en-AU"/>
        </w:rPr>
        <w:t xml:space="preserve"> and require</w:t>
      </w:r>
      <w:r w:rsidR="00A944D6">
        <w:rPr>
          <w:lang w:eastAsia="en-AU"/>
        </w:rPr>
        <w:t>s</w:t>
      </w:r>
      <w:r w:rsidRPr="3DEFDB6B">
        <w:rPr>
          <w:lang w:eastAsia="en-AU"/>
        </w:rPr>
        <w:t xml:space="preserve"> careful and deliberate engagement. Government has committed to progress this reform program with high levels of engagement and co-design with these stakeholder groups in response to this environment. </w:t>
      </w:r>
      <w:r w:rsidR="5DFA987C" w:rsidRPr="3DEFDB6B">
        <w:rPr>
          <w:lang w:eastAsia="en-AU"/>
        </w:rPr>
        <w:t xml:space="preserve">Stakeholder’s interactions with the </w:t>
      </w:r>
      <w:r w:rsidR="1451C713" w:rsidRPr="3DEFDB6B">
        <w:rPr>
          <w:lang w:eastAsia="en-AU"/>
        </w:rPr>
        <w:t xml:space="preserve">PL </w:t>
      </w:r>
      <w:r w:rsidR="12FCEB27" w:rsidRPr="3DEFDB6B">
        <w:rPr>
          <w:lang w:eastAsia="en-AU"/>
        </w:rPr>
        <w:t>a</w:t>
      </w:r>
      <w:r w:rsidR="5DFA987C" w:rsidRPr="3DEFDB6B">
        <w:rPr>
          <w:lang w:eastAsia="en-AU"/>
        </w:rPr>
        <w:t>re</w:t>
      </w:r>
      <w:r w:rsidR="12FCEB27" w:rsidRPr="3DEFDB6B">
        <w:rPr>
          <w:lang w:eastAsia="en-AU"/>
        </w:rPr>
        <w:t xml:space="preserve"> summarised in </w:t>
      </w:r>
      <w:r w:rsidR="00D56DE1" w:rsidRPr="3DEFDB6B">
        <w:rPr>
          <w:lang w:eastAsia="en-AU"/>
        </w:rPr>
        <w:fldChar w:fldCharType="begin"/>
      </w:r>
      <w:r w:rsidR="00D56DE1" w:rsidRPr="3DEFDB6B">
        <w:rPr>
          <w:lang w:eastAsia="en-AU"/>
        </w:rPr>
        <w:instrText xml:space="preserve"> REF _Ref159849615 \h </w:instrText>
      </w:r>
      <w:r w:rsidR="00D56DE1" w:rsidRPr="3DEFDB6B">
        <w:rPr>
          <w:lang w:eastAsia="en-AU"/>
        </w:rPr>
      </w:r>
      <w:r w:rsidR="00D56DE1" w:rsidRPr="3DEFDB6B">
        <w:rPr>
          <w:lang w:eastAsia="en-AU"/>
        </w:rPr>
        <w:fldChar w:fldCharType="separate"/>
      </w:r>
      <w:r w:rsidR="00026714">
        <w:t xml:space="preserve">Table </w:t>
      </w:r>
      <w:r w:rsidR="00026714">
        <w:rPr>
          <w:noProof/>
        </w:rPr>
        <w:t>3</w:t>
      </w:r>
      <w:r w:rsidR="00D56DE1" w:rsidRPr="3DEFDB6B">
        <w:rPr>
          <w:lang w:eastAsia="en-AU"/>
        </w:rPr>
        <w:fldChar w:fldCharType="end"/>
      </w:r>
      <w:r w:rsidR="37150D25" w:rsidRPr="3DEFDB6B">
        <w:rPr>
          <w:lang w:eastAsia="en-AU"/>
        </w:rPr>
        <w:t>.</w:t>
      </w:r>
    </w:p>
    <w:p w14:paraId="7C2E6E06" w14:textId="420007FA" w:rsidR="009B3576" w:rsidRDefault="009B3576" w:rsidP="001F714D">
      <w:pPr>
        <w:pStyle w:val="Caption"/>
        <w:spacing w:before="240" w:after="120"/>
      </w:pPr>
      <w:bookmarkStart w:id="15" w:name="_Ref159849615"/>
      <w:r>
        <w:t xml:space="preserve">Table </w:t>
      </w:r>
      <w:r>
        <w:fldChar w:fldCharType="begin"/>
      </w:r>
      <w:r>
        <w:instrText xml:space="preserve"> SEQ Table \* ARABIC </w:instrText>
      </w:r>
      <w:r>
        <w:fldChar w:fldCharType="separate"/>
      </w:r>
      <w:r w:rsidR="00026714">
        <w:rPr>
          <w:noProof/>
        </w:rPr>
        <w:t>3</w:t>
      </w:r>
      <w:r>
        <w:fldChar w:fldCharType="end"/>
      </w:r>
      <w:bookmarkEnd w:id="15"/>
      <w:r>
        <w:t xml:space="preserve"> | </w:t>
      </w:r>
      <w:r w:rsidR="00C86AE9">
        <w:t>Interaction</w:t>
      </w:r>
      <w:r w:rsidR="00BA29A8">
        <w:t xml:space="preserve"> </w:t>
      </w:r>
      <w:r>
        <w:t>of different stakeholder groups</w:t>
      </w:r>
      <w:r w:rsidR="00C86AE9">
        <w:t xml:space="preserve"> with the PL process</w:t>
      </w:r>
    </w:p>
    <w:tbl>
      <w:tblPr>
        <w:tblStyle w:val="TableGrid"/>
        <w:tblW w:w="5000" w:type="pct"/>
        <w:tblCellMar>
          <w:top w:w="57" w:type="dxa"/>
          <w:bottom w:w="57" w:type="dxa"/>
        </w:tblCellMar>
        <w:tblLook w:val="0620" w:firstRow="1" w:lastRow="0" w:firstColumn="0" w:lastColumn="0" w:noHBand="1" w:noVBand="1"/>
      </w:tblPr>
      <w:tblGrid>
        <w:gridCol w:w="989"/>
        <w:gridCol w:w="1416"/>
        <w:gridCol w:w="6515"/>
      </w:tblGrid>
      <w:tr w:rsidR="009B3576" w:rsidRPr="00042EC5" w14:paraId="5377F7F6" w14:textId="77777777" w:rsidTr="3787E91E">
        <w:trPr>
          <w:trHeight w:val="346"/>
        </w:trPr>
        <w:tc>
          <w:tcPr>
            <w:tcW w:w="1348" w:type="pct"/>
            <w:gridSpan w:val="2"/>
            <w:shd w:val="clear" w:color="auto" w:fill="E6E6E1" w:themeFill="accent5"/>
            <w:vAlign w:val="center"/>
          </w:tcPr>
          <w:p w14:paraId="1C3FDDA9" w14:textId="77777777" w:rsidR="009B3576" w:rsidRPr="00042EC5" w:rsidRDefault="009B3576" w:rsidP="00075D8C">
            <w:pPr>
              <w:spacing w:before="40" w:after="40"/>
              <w:rPr>
                <w:rFonts w:asciiTheme="majorHAnsi" w:hAnsiTheme="majorHAnsi" w:cstheme="majorHAnsi"/>
                <w:color w:val="00264D" w:themeColor="background2"/>
                <w:sz w:val="18"/>
                <w:szCs w:val="20"/>
                <w:lang w:eastAsia="en-AU"/>
              </w:rPr>
            </w:pPr>
            <w:r w:rsidRPr="00042EC5">
              <w:rPr>
                <w:rFonts w:asciiTheme="majorHAnsi" w:hAnsiTheme="majorHAnsi" w:cstheme="majorHAnsi"/>
                <w:color w:val="00264D" w:themeColor="background2"/>
                <w:sz w:val="18"/>
                <w:szCs w:val="20"/>
                <w:lang w:eastAsia="en-AU"/>
              </w:rPr>
              <w:t>Stakeholder group</w:t>
            </w:r>
          </w:p>
        </w:tc>
        <w:tc>
          <w:tcPr>
            <w:tcW w:w="3652" w:type="pct"/>
            <w:shd w:val="clear" w:color="auto" w:fill="E6E6E1" w:themeFill="accent5"/>
            <w:vAlign w:val="center"/>
          </w:tcPr>
          <w:p w14:paraId="59274B13" w14:textId="3DEAEA6E" w:rsidR="009B3576" w:rsidRPr="00042EC5" w:rsidRDefault="009B3576" w:rsidP="00075D8C">
            <w:pPr>
              <w:spacing w:before="40" w:after="40"/>
              <w:rPr>
                <w:rFonts w:asciiTheme="majorHAnsi" w:hAnsiTheme="majorHAnsi" w:cstheme="majorHAnsi"/>
                <w:color w:val="00264D" w:themeColor="background2"/>
                <w:sz w:val="18"/>
                <w:szCs w:val="20"/>
                <w:lang w:eastAsia="en-AU"/>
              </w:rPr>
            </w:pPr>
            <w:r w:rsidRPr="00042EC5">
              <w:rPr>
                <w:rFonts w:asciiTheme="majorHAnsi" w:hAnsiTheme="majorHAnsi" w:cstheme="majorHAnsi"/>
                <w:color w:val="00264D" w:themeColor="background2"/>
                <w:sz w:val="18"/>
                <w:szCs w:val="20"/>
                <w:lang w:eastAsia="en-AU"/>
              </w:rPr>
              <w:t xml:space="preserve">Baseline </w:t>
            </w:r>
            <w:r>
              <w:rPr>
                <w:rFonts w:asciiTheme="majorHAnsi" w:hAnsiTheme="majorHAnsi" w:cstheme="majorHAnsi"/>
                <w:color w:val="00264D" w:themeColor="background2"/>
                <w:sz w:val="18"/>
                <w:szCs w:val="20"/>
                <w:lang w:eastAsia="en-AU"/>
              </w:rPr>
              <w:t>interaction with</w:t>
            </w:r>
            <w:r w:rsidRPr="00042EC5">
              <w:rPr>
                <w:rFonts w:asciiTheme="majorHAnsi" w:hAnsiTheme="majorHAnsi" w:cstheme="majorHAnsi"/>
                <w:color w:val="00264D" w:themeColor="background2"/>
                <w:sz w:val="18"/>
                <w:szCs w:val="20"/>
                <w:lang w:eastAsia="en-AU"/>
              </w:rPr>
              <w:t xml:space="preserve"> the PL</w:t>
            </w:r>
          </w:p>
        </w:tc>
      </w:tr>
      <w:tr w:rsidR="009B3576" w:rsidRPr="002464FB" w14:paraId="2E64509F" w14:textId="77777777" w:rsidTr="3787E91E">
        <w:trPr>
          <w:trHeight w:val="236"/>
        </w:trPr>
        <w:tc>
          <w:tcPr>
            <w:tcW w:w="554" w:type="pct"/>
            <w:shd w:val="clear" w:color="auto" w:fill="00264D" w:themeFill="background2"/>
            <w:vAlign w:val="center"/>
          </w:tcPr>
          <w:p w14:paraId="3C706CF6" w14:textId="77777777" w:rsidR="009B3576" w:rsidRPr="002464FB" w:rsidRDefault="009B3576" w:rsidP="00075D8C">
            <w:pPr>
              <w:spacing w:before="40" w:after="40"/>
              <w:jc w:val="center"/>
              <w:rPr>
                <w:i/>
                <w:iCs/>
                <w:lang w:eastAsia="en-AU"/>
              </w:rPr>
            </w:pPr>
            <w:r w:rsidRPr="002464FB">
              <w:rPr>
                <w:i/>
                <w:iCs/>
                <w:noProof/>
                <w:lang w:eastAsia="en-AU"/>
              </w:rPr>
              <mc:AlternateContent>
                <mc:Choice Requires="wps">
                  <w:drawing>
                    <wp:inline distT="0" distB="0" distL="0" distR="0" wp14:anchorId="24712668" wp14:editId="6CB08D2D">
                      <wp:extent cx="356259" cy="306029"/>
                      <wp:effectExtent l="0" t="0" r="5715" b="0"/>
                      <wp:docPr id="135255361" name="Freeform: Shape 135255361" descr="An icon of a building with a flag on t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6259" cy="306029"/>
                              </a:xfrm>
                              <a:custGeom>
                                <a:avLst/>
                                <a:gdLst>
                                  <a:gd name="T0" fmla="*/ 190 w 213"/>
                                  <a:gd name="T1" fmla="*/ 157 h 183"/>
                                  <a:gd name="T2" fmla="*/ 186 w 213"/>
                                  <a:gd name="T3" fmla="*/ 143 h 183"/>
                                  <a:gd name="T4" fmla="*/ 140 w 213"/>
                                  <a:gd name="T5" fmla="*/ 110 h 183"/>
                                  <a:gd name="T6" fmla="*/ 137 w 213"/>
                                  <a:gd name="T7" fmla="*/ 67 h 183"/>
                                  <a:gd name="T8" fmla="*/ 134 w 213"/>
                                  <a:gd name="T9" fmla="*/ 112 h 183"/>
                                  <a:gd name="T10" fmla="*/ 170 w 213"/>
                                  <a:gd name="T11" fmla="*/ 143 h 183"/>
                                  <a:gd name="T12" fmla="*/ 123 w 213"/>
                                  <a:gd name="T13" fmla="*/ 116 h 183"/>
                                  <a:gd name="T14" fmla="*/ 120 w 213"/>
                                  <a:gd name="T15" fmla="*/ 55 h 183"/>
                                  <a:gd name="T16" fmla="*/ 116 w 213"/>
                                  <a:gd name="T17" fmla="*/ 88 h 183"/>
                                  <a:gd name="T18" fmla="*/ 106 w 213"/>
                                  <a:gd name="T19" fmla="*/ 8 h 183"/>
                                  <a:gd name="T20" fmla="*/ 93 w 213"/>
                                  <a:gd name="T21" fmla="*/ 0 h 183"/>
                                  <a:gd name="T22" fmla="*/ 79 w 213"/>
                                  <a:gd name="T23" fmla="*/ 8 h 183"/>
                                  <a:gd name="T24" fmla="*/ 69 w 213"/>
                                  <a:gd name="T25" fmla="*/ 12 h 183"/>
                                  <a:gd name="T26" fmla="*/ 58 w 213"/>
                                  <a:gd name="T27" fmla="*/ 6 h 183"/>
                                  <a:gd name="T28" fmla="*/ 56 w 213"/>
                                  <a:gd name="T29" fmla="*/ 30 h 183"/>
                                  <a:gd name="T30" fmla="*/ 69 w 213"/>
                                  <a:gd name="T31" fmla="*/ 39 h 183"/>
                                  <a:gd name="T32" fmla="*/ 95 w 213"/>
                                  <a:gd name="T33" fmla="*/ 29 h 183"/>
                                  <a:gd name="T34" fmla="*/ 100 w 213"/>
                                  <a:gd name="T35" fmla="*/ 35 h 183"/>
                                  <a:gd name="T36" fmla="*/ 100 w 213"/>
                                  <a:gd name="T37" fmla="*/ 88 h 183"/>
                                  <a:gd name="T38" fmla="*/ 90 w 213"/>
                                  <a:gd name="T39" fmla="*/ 59 h 183"/>
                                  <a:gd name="T40" fmla="*/ 83 w 213"/>
                                  <a:gd name="T41" fmla="*/ 59 h 183"/>
                                  <a:gd name="T42" fmla="*/ 50 w 213"/>
                                  <a:gd name="T43" fmla="*/ 143 h 183"/>
                                  <a:gd name="T44" fmla="*/ 71 w 213"/>
                                  <a:gd name="T45" fmla="*/ 114 h 183"/>
                                  <a:gd name="T46" fmla="*/ 72 w 213"/>
                                  <a:gd name="T47" fmla="*/ 71 h 183"/>
                                  <a:gd name="T48" fmla="*/ 66 w 213"/>
                                  <a:gd name="T49" fmla="*/ 71 h 183"/>
                                  <a:gd name="T50" fmla="*/ 26 w 213"/>
                                  <a:gd name="T51" fmla="*/ 143 h 183"/>
                                  <a:gd name="T52" fmla="*/ 17 w 213"/>
                                  <a:gd name="T53" fmla="*/ 146 h 183"/>
                                  <a:gd name="T54" fmla="*/ 3 w 213"/>
                                  <a:gd name="T55" fmla="*/ 157 h 183"/>
                                  <a:gd name="T56" fmla="*/ 3 w 213"/>
                                  <a:gd name="T57" fmla="*/ 163 h 183"/>
                                  <a:gd name="T58" fmla="*/ 23 w 213"/>
                                  <a:gd name="T59" fmla="*/ 160 h 183"/>
                                  <a:gd name="T60" fmla="*/ 23 w 213"/>
                                  <a:gd name="T61" fmla="*/ 149 h 183"/>
                                  <a:gd name="T62" fmla="*/ 90 w 213"/>
                                  <a:gd name="T63" fmla="*/ 180 h 183"/>
                                  <a:gd name="T64" fmla="*/ 113 w 213"/>
                                  <a:gd name="T65" fmla="*/ 183 h 183"/>
                                  <a:gd name="T66" fmla="*/ 124 w 213"/>
                                  <a:gd name="T67" fmla="*/ 149 h 183"/>
                                  <a:gd name="T68" fmla="*/ 183 w 213"/>
                                  <a:gd name="T69" fmla="*/ 160 h 183"/>
                                  <a:gd name="T70" fmla="*/ 187 w 213"/>
                                  <a:gd name="T71" fmla="*/ 163 h 183"/>
                                  <a:gd name="T72" fmla="*/ 210 w 213"/>
                                  <a:gd name="T73" fmla="*/ 163 h 183"/>
                                  <a:gd name="T74" fmla="*/ 210 w 213"/>
                                  <a:gd name="T75" fmla="*/ 157 h 183"/>
                                  <a:gd name="T76" fmla="*/ 88 w 213"/>
                                  <a:gd name="T77" fmla="*/ 145 h 183"/>
                                  <a:gd name="T78" fmla="*/ 60 w 213"/>
                                  <a:gd name="T79" fmla="*/ 143 h 183"/>
                                  <a:gd name="T80" fmla="*/ 90 w 213"/>
                                  <a:gd name="T81" fmla="*/ 117 h 183"/>
                                  <a:gd name="T82" fmla="*/ 100 w 213"/>
                                  <a:gd name="T83" fmla="*/ 94 h 183"/>
                                  <a:gd name="T84" fmla="*/ 103 w 213"/>
                                  <a:gd name="T85" fmla="*/ 122 h 183"/>
                                  <a:gd name="T86" fmla="*/ 106 w 213"/>
                                  <a:gd name="T87" fmla="*/ 94 h 183"/>
                                  <a:gd name="T88" fmla="*/ 116 w 213"/>
                                  <a:gd name="T89" fmla="*/ 117 h 183"/>
                                  <a:gd name="T90" fmla="*/ 146 w 213"/>
                                  <a:gd name="T91" fmla="*/ 143 h 183"/>
                                  <a:gd name="T92" fmla="*/ 119 w 213"/>
                                  <a:gd name="T93" fmla="*/ 145 h 183"/>
                                  <a:gd name="T94" fmla="*/ 96 w 213"/>
                                  <a:gd name="T95" fmla="*/ 176 h 183"/>
                                  <a:gd name="T96" fmla="*/ 69 w 213"/>
                                  <a:gd name="T97" fmla="*/ 32 h 183"/>
                                  <a:gd name="T98" fmla="*/ 63 w 213"/>
                                  <a:gd name="T99" fmla="*/ 29 h 183"/>
                                  <a:gd name="T100" fmla="*/ 63 w 213"/>
                                  <a:gd name="T101" fmla="*/ 17 h 183"/>
                                  <a:gd name="T102" fmla="*/ 83 w 213"/>
                                  <a:gd name="T103" fmla="*/ 13 h 183"/>
                                  <a:gd name="T104" fmla="*/ 93 w 213"/>
                                  <a:gd name="T105" fmla="*/ 7 h 183"/>
                                  <a:gd name="T106" fmla="*/ 100 w 213"/>
                                  <a:gd name="T107" fmla="*/ 9 h 183"/>
                                  <a:gd name="T108" fmla="*/ 99 w 213"/>
                                  <a:gd name="T109" fmla="*/ 23 h 183"/>
                                  <a:gd name="T110" fmla="*/ 81 w 213"/>
                                  <a:gd name="T111" fmla="*/ 29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13" h="183">
                                    <a:moveTo>
                                      <a:pt x="210" y="157"/>
                                    </a:moveTo>
                                    <a:cubicBezTo>
                                      <a:pt x="190" y="157"/>
                                      <a:pt x="190" y="157"/>
                                      <a:pt x="190" y="157"/>
                                    </a:cubicBezTo>
                                    <a:cubicBezTo>
                                      <a:pt x="190" y="146"/>
                                      <a:pt x="190" y="146"/>
                                      <a:pt x="190" y="146"/>
                                    </a:cubicBezTo>
                                    <a:cubicBezTo>
                                      <a:pt x="190" y="144"/>
                                      <a:pt x="188" y="143"/>
                                      <a:pt x="186" y="143"/>
                                    </a:cubicBezTo>
                                    <a:cubicBezTo>
                                      <a:pt x="181" y="143"/>
                                      <a:pt x="181" y="143"/>
                                      <a:pt x="181" y="143"/>
                                    </a:cubicBezTo>
                                    <a:cubicBezTo>
                                      <a:pt x="140" y="110"/>
                                      <a:pt x="140" y="110"/>
                                      <a:pt x="140" y="110"/>
                                    </a:cubicBezTo>
                                    <a:cubicBezTo>
                                      <a:pt x="140" y="71"/>
                                      <a:pt x="140" y="71"/>
                                      <a:pt x="140" y="71"/>
                                    </a:cubicBezTo>
                                    <a:cubicBezTo>
                                      <a:pt x="140" y="69"/>
                                      <a:pt x="139" y="67"/>
                                      <a:pt x="137" y="67"/>
                                    </a:cubicBezTo>
                                    <a:cubicBezTo>
                                      <a:pt x="135" y="67"/>
                                      <a:pt x="134" y="69"/>
                                      <a:pt x="134" y="71"/>
                                    </a:cubicBezTo>
                                    <a:cubicBezTo>
                                      <a:pt x="134" y="112"/>
                                      <a:pt x="134" y="112"/>
                                      <a:pt x="134" y="112"/>
                                    </a:cubicBezTo>
                                    <a:cubicBezTo>
                                      <a:pt x="134" y="113"/>
                                      <a:pt x="134" y="113"/>
                                      <a:pt x="135" y="114"/>
                                    </a:cubicBezTo>
                                    <a:cubicBezTo>
                                      <a:pt x="170" y="143"/>
                                      <a:pt x="170" y="143"/>
                                      <a:pt x="170" y="143"/>
                                    </a:cubicBezTo>
                                    <a:cubicBezTo>
                                      <a:pt x="156" y="143"/>
                                      <a:pt x="156" y="143"/>
                                      <a:pt x="156" y="143"/>
                                    </a:cubicBezTo>
                                    <a:cubicBezTo>
                                      <a:pt x="123" y="116"/>
                                      <a:pt x="123" y="116"/>
                                      <a:pt x="123" y="116"/>
                                    </a:cubicBezTo>
                                    <a:cubicBezTo>
                                      <a:pt x="123" y="59"/>
                                      <a:pt x="123" y="59"/>
                                      <a:pt x="123" y="59"/>
                                    </a:cubicBezTo>
                                    <a:cubicBezTo>
                                      <a:pt x="123" y="57"/>
                                      <a:pt x="122" y="55"/>
                                      <a:pt x="120" y="55"/>
                                    </a:cubicBezTo>
                                    <a:cubicBezTo>
                                      <a:pt x="118" y="55"/>
                                      <a:pt x="116" y="57"/>
                                      <a:pt x="116" y="59"/>
                                    </a:cubicBezTo>
                                    <a:cubicBezTo>
                                      <a:pt x="116" y="88"/>
                                      <a:pt x="116" y="88"/>
                                      <a:pt x="116" y="88"/>
                                    </a:cubicBezTo>
                                    <a:cubicBezTo>
                                      <a:pt x="106" y="88"/>
                                      <a:pt x="106" y="88"/>
                                      <a:pt x="106" y="88"/>
                                    </a:cubicBezTo>
                                    <a:cubicBezTo>
                                      <a:pt x="106" y="8"/>
                                      <a:pt x="106" y="8"/>
                                      <a:pt x="106" y="8"/>
                                    </a:cubicBezTo>
                                    <a:cubicBezTo>
                                      <a:pt x="106" y="7"/>
                                      <a:pt x="106" y="6"/>
                                      <a:pt x="106" y="6"/>
                                    </a:cubicBezTo>
                                    <a:cubicBezTo>
                                      <a:pt x="105" y="6"/>
                                      <a:pt x="100" y="0"/>
                                      <a:pt x="93" y="0"/>
                                    </a:cubicBezTo>
                                    <a:cubicBezTo>
                                      <a:pt x="86" y="0"/>
                                      <a:pt x="82" y="5"/>
                                      <a:pt x="79" y="7"/>
                                    </a:cubicBezTo>
                                    <a:cubicBezTo>
                                      <a:pt x="79" y="8"/>
                                      <a:pt x="79" y="8"/>
                                      <a:pt x="79" y="8"/>
                                    </a:cubicBezTo>
                                    <a:cubicBezTo>
                                      <a:pt x="79" y="8"/>
                                      <a:pt x="78" y="8"/>
                                      <a:pt x="78" y="9"/>
                                    </a:cubicBezTo>
                                    <a:cubicBezTo>
                                      <a:pt x="76" y="11"/>
                                      <a:pt x="73" y="12"/>
                                      <a:pt x="69" y="12"/>
                                    </a:cubicBezTo>
                                    <a:cubicBezTo>
                                      <a:pt x="67" y="12"/>
                                      <a:pt x="63" y="8"/>
                                      <a:pt x="62" y="7"/>
                                    </a:cubicBezTo>
                                    <a:cubicBezTo>
                                      <a:pt x="61" y="6"/>
                                      <a:pt x="60" y="5"/>
                                      <a:pt x="58" y="6"/>
                                    </a:cubicBezTo>
                                    <a:cubicBezTo>
                                      <a:pt x="57" y="6"/>
                                      <a:pt x="56" y="7"/>
                                      <a:pt x="56" y="9"/>
                                    </a:cubicBezTo>
                                    <a:cubicBezTo>
                                      <a:pt x="56" y="30"/>
                                      <a:pt x="56" y="30"/>
                                      <a:pt x="56" y="30"/>
                                    </a:cubicBezTo>
                                    <a:cubicBezTo>
                                      <a:pt x="56" y="31"/>
                                      <a:pt x="56" y="31"/>
                                      <a:pt x="56" y="31"/>
                                    </a:cubicBezTo>
                                    <a:cubicBezTo>
                                      <a:pt x="58" y="34"/>
                                      <a:pt x="61" y="39"/>
                                      <a:pt x="69" y="39"/>
                                    </a:cubicBezTo>
                                    <a:cubicBezTo>
                                      <a:pt x="75" y="39"/>
                                      <a:pt x="82" y="38"/>
                                      <a:pt x="86" y="32"/>
                                    </a:cubicBezTo>
                                    <a:cubicBezTo>
                                      <a:pt x="89" y="30"/>
                                      <a:pt x="90" y="29"/>
                                      <a:pt x="95" y="29"/>
                                    </a:cubicBezTo>
                                    <a:cubicBezTo>
                                      <a:pt x="97" y="29"/>
                                      <a:pt x="99" y="33"/>
                                      <a:pt x="99" y="34"/>
                                    </a:cubicBezTo>
                                    <a:cubicBezTo>
                                      <a:pt x="99" y="34"/>
                                      <a:pt x="100" y="35"/>
                                      <a:pt x="100" y="35"/>
                                    </a:cubicBezTo>
                                    <a:cubicBezTo>
                                      <a:pt x="100" y="35"/>
                                      <a:pt x="100" y="35"/>
                                      <a:pt x="100" y="35"/>
                                    </a:cubicBezTo>
                                    <a:cubicBezTo>
                                      <a:pt x="100" y="88"/>
                                      <a:pt x="100" y="88"/>
                                      <a:pt x="100" y="88"/>
                                    </a:cubicBezTo>
                                    <a:cubicBezTo>
                                      <a:pt x="90" y="88"/>
                                      <a:pt x="90" y="88"/>
                                      <a:pt x="90" y="88"/>
                                    </a:cubicBezTo>
                                    <a:cubicBezTo>
                                      <a:pt x="90" y="59"/>
                                      <a:pt x="90" y="59"/>
                                      <a:pt x="90" y="59"/>
                                    </a:cubicBezTo>
                                    <a:cubicBezTo>
                                      <a:pt x="90" y="57"/>
                                      <a:pt x="88" y="55"/>
                                      <a:pt x="87" y="55"/>
                                    </a:cubicBezTo>
                                    <a:cubicBezTo>
                                      <a:pt x="85" y="55"/>
                                      <a:pt x="83" y="57"/>
                                      <a:pt x="83" y="59"/>
                                    </a:cubicBezTo>
                                    <a:cubicBezTo>
                                      <a:pt x="83" y="116"/>
                                      <a:pt x="83" y="116"/>
                                      <a:pt x="83" y="116"/>
                                    </a:cubicBezTo>
                                    <a:cubicBezTo>
                                      <a:pt x="50" y="143"/>
                                      <a:pt x="50" y="143"/>
                                      <a:pt x="50" y="143"/>
                                    </a:cubicBezTo>
                                    <a:cubicBezTo>
                                      <a:pt x="36" y="143"/>
                                      <a:pt x="36" y="143"/>
                                      <a:pt x="36" y="143"/>
                                    </a:cubicBezTo>
                                    <a:cubicBezTo>
                                      <a:pt x="71" y="114"/>
                                      <a:pt x="71" y="114"/>
                                      <a:pt x="71" y="114"/>
                                    </a:cubicBezTo>
                                    <a:cubicBezTo>
                                      <a:pt x="72" y="113"/>
                                      <a:pt x="72" y="113"/>
                                      <a:pt x="72" y="112"/>
                                    </a:cubicBezTo>
                                    <a:cubicBezTo>
                                      <a:pt x="72" y="71"/>
                                      <a:pt x="72" y="71"/>
                                      <a:pt x="72" y="71"/>
                                    </a:cubicBezTo>
                                    <a:cubicBezTo>
                                      <a:pt x="72" y="69"/>
                                      <a:pt x="71" y="67"/>
                                      <a:pt x="69" y="67"/>
                                    </a:cubicBezTo>
                                    <a:cubicBezTo>
                                      <a:pt x="67" y="67"/>
                                      <a:pt x="66" y="69"/>
                                      <a:pt x="66" y="71"/>
                                    </a:cubicBezTo>
                                    <a:cubicBezTo>
                                      <a:pt x="66" y="110"/>
                                      <a:pt x="66" y="110"/>
                                      <a:pt x="66" y="110"/>
                                    </a:cubicBezTo>
                                    <a:cubicBezTo>
                                      <a:pt x="26" y="143"/>
                                      <a:pt x="26" y="143"/>
                                      <a:pt x="26" y="143"/>
                                    </a:cubicBezTo>
                                    <a:cubicBezTo>
                                      <a:pt x="20" y="143"/>
                                      <a:pt x="20" y="143"/>
                                      <a:pt x="20" y="143"/>
                                    </a:cubicBezTo>
                                    <a:cubicBezTo>
                                      <a:pt x="18" y="143"/>
                                      <a:pt x="17" y="144"/>
                                      <a:pt x="17" y="146"/>
                                    </a:cubicBezTo>
                                    <a:cubicBezTo>
                                      <a:pt x="17" y="157"/>
                                      <a:pt x="17" y="157"/>
                                      <a:pt x="17" y="157"/>
                                    </a:cubicBezTo>
                                    <a:cubicBezTo>
                                      <a:pt x="3" y="157"/>
                                      <a:pt x="3" y="157"/>
                                      <a:pt x="3" y="157"/>
                                    </a:cubicBezTo>
                                    <a:cubicBezTo>
                                      <a:pt x="1" y="157"/>
                                      <a:pt x="0" y="158"/>
                                      <a:pt x="0" y="160"/>
                                    </a:cubicBezTo>
                                    <a:cubicBezTo>
                                      <a:pt x="0" y="162"/>
                                      <a:pt x="1" y="163"/>
                                      <a:pt x="3" y="163"/>
                                    </a:cubicBezTo>
                                    <a:cubicBezTo>
                                      <a:pt x="20" y="163"/>
                                      <a:pt x="20" y="163"/>
                                      <a:pt x="20" y="163"/>
                                    </a:cubicBezTo>
                                    <a:cubicBezTo>
                                      <a:pt x="22" y="163"/>
                                      <a:pt x="23" y="162"/>
                                      <a:pt x="23" y="160"/>
                                    </a:cubicBezTo>
                                    <a:cubicBezTo>
                                      <a:pt x="23" y="160"/>
                                      <a:pt x="23" y="160"/>
                                      <a:pt x="23" y="160"/>
                                    </a:cubicBezTo>
                                    <a:cubicBezTo>
                                      <a:pt x="23" y="149"/>
                                      <a:pt x="23" y="149"/>
                                      <a:pt x="23" y="149"/>
                                    </a:cubicBezTo>
                                    <a:cubicBezTo>
                                      <a:pt x="82" y="149"/>
                                      <a:pt x="82" y="149"/>
                                      <a:pt x="82" y="149"/>
                                    </a:cubicBezTo>
                                    <a:cubicBezTo>
                                      <a:pt x="90" y="180"/>
                                      <a:pt x="90" y="180"/>
                                      <a:pt x="90" y="180"/>
                                    </a:cubicBezTo>
                                    <a:cubicBezTo>
                                      <a:pt x="90" y="182"/>
                                      <a:pt x="92" y="183"/>
                                      <a:pt x="93" y="183"/>
                                    </a:cubicBezTo>
                                    <a:cubicBezTo>
                                      <a:pt x="113" y="183"/>
                                      <a:pt x="113" y="183"/>
                                      <a:pt x="113" y="183"/>
                                    </a:cubicBezTo>
                                    <a:cubicBezTo>
                                      <a:pt x="115" y="183"/>
                                      <a:pt x="116" y="182"/>
                                      <a:pt x="116" y="180"/>
                                    </a:cubicBezTo>
                                    <a:cubicBezTo>
                                      <a:pt x="124" y="149"/>
                                      <a:pt x="124" y="149"/>
                                      <a:pt x="124" y="149"/>
                                    </a:cubicBezTo>
                                    <a:cubicBezTo>
                                      <a:pt x="183" y="149"/>
                                      <a:pt x="183" y="149"/>
                                      <a:pt x="183" y="149"/>
                                    </a:cubicBezTo>
                                    <a:cubicBezTo>
                                      <a:pt x="183" y="160"/>
                                      <a:pt x="183" y="160"/>
                                      <a:pt x="183" y="160"/>
                                    </a:cubicBezTo>
                                    <a:cubicBezTo>
                                      <a:pt x="183" y="162"/>
                                      <a:pt x="185" y="163"/>
                                      <a:pt x="186" y="163"/>
                                    </a:cubicBezTo>
                                    <a:cubicBezTo>
                                      <a:pt x="187" y="163"/>
                                      <a:pt x="187" y="163"/>
                                      <a:pt x="187" y="163"/>
                                    </a:cubicBezTo>
                                    <a:cubicBezTo>
                                      <a:pt x="187" y="163"/>
                                      <a:pt x="187" y="163"/>
                                      <a:pt x="187" y="163"/>
                                    </a:cubicBezTo>
                                    <a:cubicBezTo>
                                      <a:pt x="210" y="163"/>
                                      <a:pt x="210" y="163"/>
                                      <a:pt x="210" y="163"/>
                                    </a:cubicBezTo>
                                    <a:cubicBezTo>
                                      <a:pt x="212" y="163"/>
                                      <a:pt x="213" y="162"/>
                                      <a:pt x="213" y="160"/>
                                    </a:cubicBezTo>
                                    <a:cubicBezTo>
                                      <a:pt x="213" y="158"/>
                                      <a:pt x="212" y="157"/>
                                      <a:pt x="210" y="157"/>
                                    </a:cubicBezTo>
                                    <a:close/>
                                    <a:moveTo>
                                      <a:pt x="96" y="176"/>
                                    </a:moveTo>
                                    <a:cubicBezTo>
                                      <a:pt x="88" y="145"/>
                                      <a:pt x="88" y="145"/>
                                      <a:pt x="88" y="145"/>
                                    </a:cubicBezTo>
                                    <a:cubicBezTo>
                                      <a:pt x="87" y="144"/>
                                      <a:pt x="86" y="143"/>
                                      <a:pt x="84" y="143"/>
                                    </a:cubicBezTo>
                                    <a:cubicBezTo>
                                      <a:pt x="60" y="143"/>
                                      <a:pt x="60" y="143"/>
                                      <a:pt x="60" y="143"/>
                                    </a:cubicBezTo>
                                    <a:cubicBezTo>
                                      <a:pt x="89" y="120"/>
                                      <a:pt x="89" y="120"/>
                                      <a:pt x="89" y="120"/>
                                    </a:cubicBezTo>
                                    <a:cubicBezTo>
                                      <a:pt x="89" y="119"/>
                                      <a:pt x="90" y="118"/>
                                      <a:pt x="90" y="117"/>
                                    </a:cubicBezTo>
                                    <a:cubicBezTo>
                                      <a:pt x="90" y="94"/>
                                      <a:pt x="90" y="94"/>
                                      <a:pt x="90" y="94"/>
                                    </a:cubicBezTo>
                                    <a:cubicBezTo>
                                      <a:pt x="100" y="94"/>
                                      <a:pt x="100" y="94"/>
                                      <a:pt x="100" y="94"/>
                                    </a:cubicBezTo>
                                    <a:cubicBezTo>
                                      <a:pt x="100" y="119"/>
                                      <a:pt x="100" y="119"/>
                                      <a:pt x="100" y="119"/>
                                    </a:cubicBezTo>
                                    <a:cubicBezTo>
                                      <a:pt x="100" y="120"/>
                                      <a:pt x="101" y="122"/>
                                      <a:pt x="103" y="122"/>
                                    </a:cubicBezTo>
                                    <a:cubicBezTo>
                                      <a:pt x="105" y="122"/>
                                      <a:pt x="106" y="120"/>
                                      <a:pt x="106" y="119"/>
                                    </a:cubicBezTo>
                                    <a:cubicBezTo>
                                      <a:pt x="106" y="94"/>
                                      <a:pt x="106" y="94"/>
                                      <a:pt x="106" y="94"/>
                                    </a:cubicBezTo>
                                    <a:cubicBezTo>
                                      <a:pt x="116" y="94"/>
                                      <a:pt x="116" y="94"/>
                                      <a:pt x="116" y="94"/>
                                    </a:cubicBezTo>
                                    <a:cubicBezTo>
                                      <a:pt x="116" y="117"/>
                                      <a:pt x="116" y="117"/>
                                      <a:pt x="116" y="117"/>
                                    </a:cubicBezTo>
                                    <a:cubicBezTo>
                                      <a:pt x="116" y="118"/>
                                      <a:pt x="117" y="119"/>
                                      <a:pt x="118" y="120"/>
                                    </a:cubicBezTo>
                                    <a:cubicBezTo>
                                      <a:pt x="146" y="143"/>
                                      <a:pt x="146" y="143"/>
                                      <a:pt x="146" y="143"/>
                                    </a:cubicBezTo>
                                    <a:cubicBezTo>
                                      <a:pt x="122" y="143"/>
                                      <a:pt x="122" y="143"/>
                                      <a:pt x="122" y="143"/>
                                    </a:cubicBezTo>
                                    <a:cubicBezTo>
                                      <a:pt x="120" y="143"/>
                                      <a:pt x="119" y="144"/>
                                      <a:pt x="119" y="145"/>
                                    </a:cubicBezTo>
                                    <a:cubicBezTo>
                                      <a:pt x="111" y="176"/>
                                      <a:pt x="111" y="176"/>
                                      <a:pt x="111" y="176"/>
                                    </a:cubicBezTo>
                                    <a:lnTo>
                                      <a:pt x="96" y="176"/>
                                    </a:lnTo>
                                    <a:close/>
                                    <a:moveTo>
                                      <a:pt x="81" y="29"/>
                                    </a:moveTo>
                                    <a:cubicBezTo>
                                      <a:pt x="79" y="31"/>
                                      <a:pt x="75" y="32"/>
                                      <a:pt x="69" y="32"/>
                                    </a:cubicBezTo>
                                    <a:cubicBezTo>
                                      <a:pt x="65" y="32"/>
                                      <a:pt x="63" y="30"/>
                                      <a:pt x="63" y="29"/>
                                    </a:cubicBezTo>
                                    <a:cubicBezTo>
                                      <a:pt x="63" y="29"/>
                                      <a:pt x="63" y="29"/>
                                      <a:pt x="63" y="29"/>
                                    </a:cubicBezTo>
                                    <a:cubicBezTo>
                                      <a:pt x="63" y="16"/>
                                      <a:pt x="63" y="16"/>
                                      <a:pt x="63" y="16"/>
                                    </a:cubicBezTo>
                                    <a:cubicBezTo>
                                      <a:pt x="63" y="17"/>
                                      <a:pt x="63" y="17"/>
                                      <a:pt x="63" y="17"/>
                                    </a:cubicBezTo>
                                    <a:cubicBezTo>
                                      <a:pt x="65" y="18"/>
                                      <a:pt x="67" y="18"/>
                                      <a:pt x="69" y="18"/>
                                    </a:cubicBezTo>
                                    <a:cubicBezTo>
                                      <a:pt x="75" y="18"/>
                                      <a:pt x="79" y="17"/>
                                      <a:pt x="83" y="13"/>
                                    </a:cubicBezTo>
                                    <a:cubicBezTo>
                                      <a:pt x="83" y="13"/>
                                      <a:pt x="83" y="12"/>
                                      <a:pt x="84" y="12"/>
                                    </a:cubicBezTo>
                                    <a:cubicBezTo>
                                      <a:pt x="86" y="9"/>
                                      <a:pt x="89" y="7"/>
                                      <a:pt x="93" y="7"/>
                                    </a:cubicBezTo>
                                    <a:cubicBezTo>
                                      <a:pt x="96" y="7"/>
                                      <a:pt x="98" y="8"/>
                                      <a:pt x="100" y="9"/>
                                    </a:cubicBezTo>
                                    <a:cubicBezTo>
                                      <a:pt x="100" y="9"/>
                                      <a:pt x="100" y="9"/>
                                      <a:pt x="100" y="9"/>
                                    </a:cubicBezTo>
                                    <a:cubicBezTo>
                                      <a:pt x="100" y="24"/>
                                      <a:pt x="100" y="24"/>
                                      <a:pt x="100" y="24"/>
                                    </a:cubicBezTo>
                                    <a:cubicBezTo>
                                      <a:pt x="99" y="23"/>
                                      <a:pt x="99" y="23"/>
                                      <a:pt x="99" y="23"/>
                                    </a:cubicBezTo>
                                    <a:cubicBezTo>
                                      <a:pt x="98" y="23"/>
                                      <a:pt x="96" y="22"/>
                                      <a:pt x="95" y="22"/>
                                    </a:cubicBezTo>
                                    <a:cubicBezTo>
                                      <a:pt x="88" y="22"/>
                                      <a:pt x="85" y="24"/>
                                      <a:pt x="81" y="29"/>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xmlns:w16du="http://schemas.microsoft.com/office/word/2023/wordml/word16du">
                  <w:pict>
                    <v:shape w14:anchorId="11020D70" id="Freeform: Shape 135255361" o:spid="_x0000_s1026" alt="An icon of a building with a flag on top." style="width:28.05pt;height:24.1pt;visibility:visible;mso-wrap-style:square;mso-left-percent:-10001;mso-top-percent:-10001;mso-position-horizontal:absolute;mso-position-horizontal-relative:char;mso-position-vertical:absolute;mso-position-vertical-relative:line;mso-left-percent:-10001;mso-top-percent:-10001;v-text-anchor:top" coordsize="213,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" path="m210,157v-20,,-20,,-20,c190,146,190,146,190,146v,-2,-2,-3,-4,-3c181,143,181,143,181,143,140,110,140,110,140,110v,-39,,-39,,-39c140,69,139,67,137,67v-2,,-3,2,-3,4c134,112,134,112,134,112v,1,,1,1,2c170,143,170,143,170,143v-14,,-14,,-14,c123,116,123,116,123,116v,-57,,-57,,-57c123,57,122,55,120,55v-2,,-4,2,-4,4c116,88,116,88,116,88v-10,,-10,,-10,c106,8,106,8,106,8v,-1,,-2,,-2c105,6,100,,93,,86,,82,5,79,7v,1,,1,,1c79,8,78,8,78,9v-2,2,-5,3,-9,3c67,12,63,8,62,7,61,6,60,5,58,6v-1,,-2,1,-2,3c56,30,56,30,56,30v,1,,1,,1c58,34,61,39,69,39v6,,13,-1,17,-7c89,30,90,29,95,29v2,,4,4,4,5c99,34,100,35,100,35v,,,,,c100,88,100,88,100,88v-10,,-10,,-10,c90,59,90,59,90,59v,-2,-2,-4,-3,-4c85,55,83,57,83,59v,57,,57,,57c50,143,50,143,50,143v-14,,-14,,-14,c71,114,71,114,71,114v1,-1,1,-1,1,-2c72,71,72,71,72,71v,-2,-1,-4,-3,-4c67,67,66,69,66,71v,39,,39,,39c26,143,26,143,26,143v-6,,-6,,-6,c18,143,17,144,17,146v,11,,11,,11c3,157,3,157,3,157v-2,,-3,1,-3,3c,162,1,163,3,163v17,,17,,17,c22,163,23,162,23,160v,,,,,c23,149,23,149,23,149v59,,59,,59,c90,180,90,180,90,180v,2,2,3,3,3c113,183,113,183,113,183v2,,3,-1,3,-3c124,149,124,149,124,149v59,,59,,59,c183,160,183,160,183,160v,2,2,3,3,3c187,163,187,163,187,163v,,,,,c210,163,210,163,210,163v2,,3,-1,3,-3c213,158,212,157,210,157xm96,176c88,145,88,145,88,145v-1,-1,-2,-2,-4,-2c60,143,60,143,60,143,89,120,89,120,89,120v,-1,1,-2,1,-3c90,94,90,94,90,94v10,,10,,10,c100,119,100,119,100,119v,1,1,3,3,3c105,122,106,120,106,119v,-25,,-25,,-25c116,94,116,94,116,94v,23,,23,,23c116,118,117,119,118,120v28,23,28,23,28,23c122,143,122,143,122,143v-2,,-3,1,-3,2c111,176,111,176,111,176r-15,xm81,29v-2,2,-6,3,-12,3c65,32,63,30,63,29v,,,,,c63,16,63,16,63,16v,1,,1,,1c65,18,67,18,69,18v6,,10,-1,14,-5c83,13,83,12,84,12,86,9,89,7,93,7v3,,5,1,7,2c100,9,100,9,100,9v,15,,15,,15c99,23,99,23,99,23v-1,,-3,-1,-4,-1c88,22,85,24,81,29xe" fillcolor="white [3212]" stroked="f">
                      <v:path arrowok="t" o:connecttype="custom" o:connectlocs="317790,262549;311099,239137;234161,183952;229143,112043;224125,187296;284338,239137;205727,193986;200709,91976;194019,147161;177293,13378;155550,0;132134,13378;115408,20067;97009,10034;93664,50169;115408,65219;158895,48496;167258,58530;167258,147161;150532,98665;138824,98665;83629,239137;118753,190641;120426,118733;110390,118733;43487,239137;28434,244154;5018,262549;5018,272583;38469,267566;38469,249171;150532,301012;189001,306029;207400,249171;306082,267566;312772,272583;351241,272583;351241,262549;147187,242482;100355,239137;150532,195658;167258,157195;172275,204019;177293,157195;194019,195658;244196,239137;199037,242482;160567,294323;115408,53513;105372,48496;105372,28429;138824,21740;155550,11706;167258,15051;165585,38463;135479,48496" o:connectangles="0,0,0,0,0,0,0,0,0,0,0,0,0,0,0,0,0,0,0,0,0,0,0,0,0,0,0,0,0,0,0,0,0,0,0,0,0,0,0,0,0,0,0,0,0,0,0,0,0,0,0,0,0,0,0,0"/>
                      <o:lock v:ext="edit" aspectratio="t" verticies="t"/>
                      <w10:anchorlock/>
                    </v:shape>
                  </w:pict>
                </mc:Fallback>
              </mc:AlternateContent>
            </w:r>
          </w:p>
        </w:tc>
        <w:tc>
          <w:tcPr>
            <w:tcW w:w="794" w:type="pct"/>
            <w:shd w:val="clear" w:color="auto" w:fill="00264D" w:themeFill="background2"/>
            <w:vAlign w:val="center"/>
          </w:tcPr>
          <w:p w14:paraId="4010F5FB" w14:textId="77777777" w:rsidR="009B3576" w:rsidRPr="00042EC5" w:rsidRDefault="009B3576" w:rsidP="00075D8C">
            <w:pPr>
              <w:spacing w:before="40" w:after="40"/>
              <w:rPr>
                <w:rFonts w:asciiTheme="majorHAnsi" w:hAnsiTheme="majorHAnsi" w:cstheme="majorHAnsi"/>
                <w:sz w:val="18"/>
                <w:szCs w:val="20"/>
                <w:lang w:eastAsia="en-AU"/>
              </w:rPr>
            </w:pPr>
            <w:r w:rsidRPr="00042EC5">
              <w:rPr>
                <w:rFonts w:asciiTheme="majorHAnsi" w:hAnsiTheme="majorHAnsi" w:cstheme="majorHAnsi"/>
                <w:sz w:val="18"/>
                <w:szCs w:val="20"/>
                <w:lang w:eastAsia="en-AU"/>
              </w:rPr>
              <w:t xml:space="preserve">Department of Health </w:t>
            </w:r>
          </w:p>
        </w:tc>
        <w:tc>
          <w:tcPr>
            <w:tcW w:w="3652" w:type="pct"/>
          </w:tcPr>
          <w:p w14:paraId="65B96524" w14:textId="450AE0D6" w:rsidR="009B3576" w:rsidRDefault="009B3576" w:rsidP="00075D8C">
            <w:pPr>
              <w:pStyle w:val="TableNBullet"/>
            </w:pPr>
            <w:r w:rsidRPr="3787E91E">
              <w:t>The Department is responsible for regulating the PL.</w:t>
            </w:r>
          </w:p>
          <w:p w14:paraId="1469F072" w14:textId="274C94AA" w:rsidR="009B3576" w:rsidRDefault="009B3576" w:rsidP="00075D8C">
            <w:pPr>
              <w:pStyle w:val="TableNBullet"/>
            </w:pPr>
            <w:r>
              <w:t>The Department/Minister make decisions about which items should be listed on the PL, and their associated benefits, using the advice provided by the PLAC</w:t>
            </w:r>
            <w:r w:rsidR="00234C6B">
              <w:t>.</w:t>
            </w:r>
          </w:p>
          <w:p w14:paraId="3F39FB23" w14:textId="18A28E9D" w:rsidR="009B3576" w:rsidRPr="002464FB" w:rsidRDefault="009B3576" w:rsidP="00075D8C">
            <w:pPr>
              <w:pStyle w:val="TableNBullet"/>
            </w:pPr>
            <w:r>
              <w:t xml:space="preserve">The Department </w:t>
            </w:r>
            <w:r w:rsidR="00B24C45">
              <w:t xml:space="preserve">administers the PL, including </w:t>
            </w:r>
            <w:r w:rsidR="00B97A43">
              <w:t xml:space="preserve">coordinating assessment and listing processes, </w:t>
            </w:r>
            <w:r w:rsidR="00FF4DA1">
              <w:t xml:space="preserve">publishing the PL, and </w:t>
            </w:r>
            <w:r w:rsidR="00061D8F">
              <w:t>undertaking ongoing maintenance activities.</w:t>
            </w:r>
          </w:p>
        </w:tc>
      </w:tr>
      <w:tr w:rsidR="009B3576" w:rsidRPr="002464FB" w14:paraId="2F5637CE" w14:textId="77777777" w:rsidTr="3787E91E">
        <w:trPr>
          <w:trHeight w:val="236"/>
        </w:trPr>
        <w:tc>
          <w:tcPr>
            <w:tcW w:w="554" w:type="pct"/>
            <w:shd w:val="clear" w:color="auto" w:fill="00264D" w:themeFill="background2"/>
            <w:vAlign w:val="center"/>
          </w:tcPr>
          <w:p w14:paraId="5975B49C" w14:textId="77777777" w:rsidR="009B3576" w:rsidRPr="002464FB" w:rsidRDefault="009B3576" w:rsidP="00075D8C">
            <w:pPr>
              <w:spacing w:before="40" w:after="40"/>
              <w:jc w:val="center"/>
              <w:rPr>
                <w:i/>
                <w:iCs/>
                <w:lang w:eastAsia="en-AU"/>
              </w:rPr>
            </w:pPr>
            <w:r w:rsidRPr="002464FB">
              <w:rPr>
                <w:i/>
                <w:iCs/>
                <w:noProof/>
                <w:lang w:eastAsia="en-AU"/>
              </w:rPr>
              <w:drawing>
                <wp:inline distT="0" distB="0" distL="0" distR="0" wp14:anchorId="284E82AF" wp14:editId="32C5246E">
                  <wp:extent cx="298450" cy="323215"/>
                  <wp:effectExtent l="0" t="0" r="6350" b="635"/>
                  <wp:docPr id="1452367797" name="Picture 1452367797" descr="An icon of a person with a circle arou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67797" name="Picture 1452367797" descr="An icon of a person with a circle around the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450" cy="323215"/>
                          </a:xfrm>
                          <a:prstGeom prst="rect">
                            <a:avLst/>
                          </a:prstGeom>
                          <a:noFill/>
                        </pic:spPr>
                      </pic:pic>
                    </a:graphicData>
                  </a:graphic>
                </wp:inline>
              </w:drawing>
            </w:r>
          </w:p>
        </w:tc>
        <w:tc>
          <w:tcPr>
            <w:tcW w:w="794" w:type="pct"/>
            <w:shd w:val="clear" w:color="auto" w:fill="00264D" w:themeFill="background2"/>
            <w:vAlign w:val="center"/>
          </w:tcPr>
          <w:p w14:paraId="139E9E24" w14:textId="77777777" w:rsidR="009B3576" w:rsidRPr="00042EC5" w:rsidRDefault="009B3576" w:rsidP="00075D8C">
            <w:pPr>
              <w:spacing w:before="40" w:after="40"/>
              <w:rPr>
                <w:rFonts w:asciiTheme="majorHAnsi" w:hAnsiTheme="majorHAnsi" w:cstheme="majorHAnsi"/>
                <w:sz w:val="18"/>
                <w:szCs w:val="20"/>
                <w:lang w:eastAsia="en-AU"/>
              </w:rPr>
            </w:pPr>
            <w:r w:rsidRPr="00042EC5">
              <w:rPr>
                <w:rFonts w:asciiTheme="majorHAnsi" w:hAnsiTheme="majorHAnsi" w:cstheme="majorHAnsi"/>
                <w:sz w:val="18"/>
                <w:szCs w:val="20"/>
                <w:lang w:eastAsia="en-AU"/>
              </w:rPr>
              <w:t>Consumers</w:t>
            </w:r>
          </w:p>
        </w:tc>
        <w:tc>
          <w:tcPr>
            <w:tcW w:w="3652" w:type="pct"/>
          </w:tcPr>
          <w:p w14:paraId="472579E8" w14:textId="413EDE46" w:rsidR="009B3576" w:rsidRDefault="009B3576" w:rsidP="00075D8C">
            <w:pPr>
              <w:pStyle w:val="TableNBullet"/>
            </w:pPr>
            <w:r w:rsidRPr="3787E91E">
              <w:t xml:space="preserve">The PL provides a mechanism through which consumers with PHI can access PL products </w:t>
            </w:r>
            <w:r w:rsidR="00061D8F" w:rsidRPr="3787E91E">
              <w:t>with</w:t>
            </w:r>
            <w:r w:rsidRPr="3787E91E">
              <w:t xml:space="preserve"> no out-of-pocket expense</w:t>
            </w:r>
            <w:r w:rsidR="000A0C15" w:rsidRPr="3787E91E">
              <w:t>s</w:t>
            </w:r>
            <w:r w:rsidR="00234C6B" w:rsidRPr="3787E91E">
              <w:t>.</w:t>
            </w:r>
          </w:p>
          <w:p w14:paraId="03C2A748" w14:textId="073A60BC" w:rsidR="009B3576" w:rsidRDefault="009B3576" w:rsidP="00075D8C">
            <w:pPr>
              <w:pStyle w:val="TableNBullet"/>
            </w:pPr>
            <w:r w:rsidRPr="3787E91E">
              <w:t xml:space="preserve">The PL determines </w:t>
            </w:r>
            <w:r w:rsidR="00775977" w:rsidRPr="3787E91E">
              <w:t>which</w:t>
            </w:r>
            <w:r w:rsidRPr="3787E91E">
              <w:t xml:space="preserve"> medical devices and human tissue products consumers can access through the private health syste</w:t>
            </w:r>
            <w:r w:rsidR="00234C6B" w:rsidRPr="3787E91E">
              <w:t>m.</w:t>
            </w:r>
          </w:p>
          <w:p w14:paraId="5D981B25" w14:textId="0957B784" w:rsidR="009B3576" w:rsidRPr="002464FB" w:rsidRDefault="009B3576" w:rsidP="00075D8C">
            <w:pPr>
              <w:pStyle w:val="TableNBullet"/>
            </w:pPr>
            <w:r>
              <w:t>Despite not paying out-of-pocket costs, the cost of benefits for items listed on the PL is indirectly borne by consumers through their PHI premiums</w:t>
            </w:r>
            <w:r w:rsidR="00234C6B">
              <w:t>.</w:t>
            </w:r>
          </w:p>
        </w:tc>
      </w:tr>
      <w:tr w:rsidR="009B3576" w:rsidRPr="002464FB" w14:paraId="1A458444" w14:textId="77777777" w:rsidTr="3787E91E">
        <w:trPr>
          <w:trHeight w:val="510"/>
        </w:trPr>
        <w:tc>
          <w:tcPr>
            <w:tcW w:w="554" w:type="pct"/>
            <w:shd w:val="clear" w:color="auto" w:fill="00264D" w:themeFill="background2"/>
            <w:vAlign w:val="center"/>
          </w:tcPr>
          <w:p w14:paraId="19A799C1" w14:textId="77777777" w:rsidR="009B3576" w:rsidRPr="002464FB" w:rsidRDefault="009B3576" w:rsidP="00075D8C">
            <w:pPr>
              <w:spacing w:before="40" w:after="40"/>
              <w:jc w:val="center"/>
              <w:rPr>
                <w:i/>
                <w:iCs/>
                <w:lang w:eastAsia="en-AU"/>
              </w:rPr>
            </w:pPr>
            <w:r w:rsidRPr="002464FB">
              <w:rPr>
                <w:i/>
                <w:iCs/>
                <w:noProof/>
                <w:lang w:eastAsia="en-AU"/>
              </w:rPr>
              <mc:AlternateContent>
                <mc:Choice Requires="wps">
                  <w:drawing>
                    <wp:inline distT="0" distB="0" distL="0" distR="0" wp14:anchorId="5B3815C9" wp14:editId="52CCD176">
                      <wp:extent cx="320633" cy="314696"/>
                      <wp:effectExtent l="0" t="0" r="3810" b="9525"/>
                      <wp:docPr id="356428724" name="Freeform: Shape 356428724" descr="An icon of a healthcare professional."/>
                      <wp:cNvGraphicFramePr/>
                      <a:graphic xmlns:a="http://schemas.openxmlformats.org/drawingml/2006/main">
                        <a:graphicData uri="http://schemas.microsoft.com/office/word/2010/wordprocessingShape">
                          <wps:wsp>
                            <wps:cNvSpPr/>
                            <wps:spPr>
                              <a:xfrm>
                                <a:off x="0" y="0"/>
                                <a:ext cx="320633" cy="314696"/>
                              </a:xfrm>
                              <a:custGeom>
                                <a:avLst/>
                                <a:gdLst>
                                  <a:gd name="connsiteX0" fmla="*/ 519741 w 533891"/>
                                  <a:gd name="connsiteY0" fmla="*/ 423335 h 533972"/>
                                  <a:gd name="connsiteX1" fmla="*/ 457202 w 533891"/>
                                  <a:gd name="connsiteY1" fmla="*/ 346479 h 533972"/>
                                  <a:gd name="connsiteX2" fmla="*/ 341792 w 533891"/>
                                  <a:gd name="connsiteY2" fmla="*/ 302400 h 533972"/>
                                  <a:gd name="connsiteX3" fmla="*/ 341792 w 533891"/>
                                  <a:gd name="connsiteY3" fmla="*/ 284944 h 533972"/>
                                  <a:gd name="connsiteX4" fmla="*/ 384490 w 533891"/>
                                  <a:gd name="connsiteY4" fmla="*/ 192265 h 533972"/>
                                  <a:gd name="connsiteX5" fmla="*/ 384490 w 533891"/>
                                  <a:gd name="connsiteY5" fmla="*/ 139898 h 533972"/>
                                  <a:gd name="connsiteX6" fmla="*/ 405588 w 533891"/>
                                  <a:gd name="connsiteY6" fmla="*/ 34158 h 533972"/>
                                  <a:gd name="connsiteX7" fmla="*/ 399434 w 533891"/>
                                  <a:gd name="connsiteY7" fmla="*/ 22228 h 533972"/>
                                  <a:gd name="connsiteX8" fmla="*/ 266946 w 533891"/>
                                  <a:gd name="connsiteY8" fmla="*/ 0 h 533972"/>
                                  <a:gd name="connsiteX9" fmla="*/ 134457 w 533891"/>
                                  <a:gd name="connsiteY9" fmla="*/ 22228 h 533972"/>
                                  <a:gd name="connsiteX10" fmla="*/ 128304 w 533891"/>
                                  <a:gd name="connsiteY10" fmla="*/ 34158 h 533972"/>
                                  <a:gd name="connsiteX11" fmla="*/ 149402 w 533891"/>
                                  <a:gd name="connsiteY11" fmla="*/ 139898 h 533972"/>
                                  <a:gd name="connsiteX12" fmla="*/ 149402 w 533891"/>
                                  <a:gd name="connsiteY12" fmla="*/ 192265 h 533972"/>
                                  <a:gd name="connsiteX13" fmla="*/ 192099 w 533891"/>
                                  <a:gd name="connsiteY13" fmla="*/ 284944 h 533972"/>
                                  <a:gd name="connsiteX14" fmla="*/ 192099 w 533891"/>
                                  <a:gd name="connsiteY14" fmla="*/ 302400 h 533972"/>
                                  <a:gd name="connsiteX15" fmla="*/ 76941 w 533891"/>
                                  <a:gd name="connsiteY15" fmla="*/ 346479 h 533972"/>
                                  <a:gd name="connsiteX16" fmla="*/ 14150 w 533891"/>
                                  <a:gd name="connsiteY16" fmla="*/ 423335 h 533972"/>
                                  <a:gd name="connsiteX17" fmla="*/ 85 w 533891"/>
                                  <a:gd name="connsiteY17" fmla="*/ 521791 h 533972"/>
                                  <a:gd name="connsiteX18" fmla="*/ 2597 w 533891"/>
                                  <a:gd name="connsiteY18" fmla="*/ 530330 h 533972"/>
                                  <a:gd name="connsiteX19" fmla="*/ 10634 w 533891"/>
                                  <a:gd name="connsiteY19" fmla="*/ 533972 h 533972"/>
                                  <a:gd name="connsiteX20" fmla="*/ 523257 w 533891"/>
                                  <a:gd name="connsiteY20" fmla="*/ 533972 h 533972"/>
                                  <a:gd name="connsiteX21" fmla="*/ 531295 w 533891"/>
                                  <a:gd name="connsiteY21" fmla="*/ 530330 h 533972"/>
                                  <a:gd name="connsiteX22" fmla="*/ 533806 w 533891"/>
                                  <a:gd name="connsiteY22" fmla="*/ 521791 h 533972"/>
                                  <a:gd name="connsiteX23" fmla="*/ 519741 w 533891"/>
                                  <a:gd name="connsiteY23" fmla="*/ 423335 h 533972"/>
                                  <a:gd name="connsiteX24" fmla="*/ 151034 w 533891"/>
                                  <a:gd name="connsiteY24" fmla="*/ 38805 h 533972"/>
                                  <a:gd name="connsiteX25" fmla="*/ 266946 w 533891"/>
                                  <a:gd name="connsiteY25" fmla="*/ 21349 h 533972"/>
                                  <a:gd name="connsiteX26" fmla="*/ 382857 w 533891"/>
                                  <a:gd name="connsiteY26" fmla="*/ 38805 h 533972"/>
                                  <a:gd name="connsiteX27" fmla="*/ 365778 w 533891"/>
                                  <a:gd name="connsiteY27" fmla="*/ 123823 h 533972"/>
                                  <a:gd name="connsiteX28" fmla="*/ 266946 w 533891"/>
                                  <a:gd name="connsiteY28" fmla="*/ 106744 h 533972"/>
                                  <a:gd name="connsiteX29" fmla="*/ 168113 w 533891"/>
                                  <a:gd name="connsiteY29" fmla="*/ 123823 h 533972"/>
                                  <a:gd name="connsiteX30" fmla="*/ 151034 w 533891"/>
                                  <a:gd name="connsiteY30" fmla="*/ 38805 h 533972"/>
                                  <a:gd name="connsiteX31" fmla="*/ 170876 w 533891"/>
                                  <a:gd name="connsiteY31" fmla="*/ 192265 h 533972"/>
                                  <a:gd name="connsiteX32" fmla="*/ 170876 w 533891"/>
                                  <a:gd name="connsiteY32" fmla="*/ 145800 h 533972"/>
                                  <a:gd name="connsiteX33" fmla="*/ 266946 w 533891"/>
                                  <a:gd name="connsiteY33" fmla="*/ 128093 h 533972"/>
                                  <a:gd name="connsiteX34" fmla="*/ 363016 w 533891"/>
                                  <a:gd name="connsiteY34" fmla="*/ 145800 h 533972"/>
                                  <a:gd name="connsiteX35" fmla="*/ 363016 w 533891"/>
                                  <a:gd name="connsiteY35" fmla="*/ 192265 h 533972"/>
                                  <a:gd name="connsiteX36" fmla="*/ 323834 w 533891"/>
                                  <a:gd name="connsiteY36" fmla="*/ 272260 h 533972"/>
                                  <a:gd name="connsiteX37" fmla="*/ 320318 w 533891"/>
                                  <a:gd name="connsiteY37" fmla="*/ 280172 h 533972"/>
                                  <a:gd name="connsiteX38" fmla="*/ 320318 w 533891"/>
                                  <a:gd name="connsiteY38" fmla="*/ 306167 h 533972"/>
                                  <a:gd name="connsiteX39" fmla="*/ 266946 w 533891"/>
                                  <a:gd name="connsiteY39" fmla="*/ 377372 h 533972"/>
                                  <a:gd name="connsiteX40" fmla="*/ 213574 w 533891"/>
                                  <a:gd name="connsiteY40" fmla="*/ 306167 h 533972"/>
                                  <a:gd name="connsiteX41" fmla="*/ 213574 w 533891"/>
                                  <a:gd name="connsiteY41" fmla="*/ 280172 h 533972"/>
                                  <a:gd name="connsiteX42" fmla="*/ 210057 w 533891"/>
                                  <a:gd name="connsiteY42" fmla="*/ 272260 h 533972"/>
                                  <a:gd name="connsiteX43" fmla="*/ 170876 w 533891"/>
                                  <a:gd name="connsiteY43" fmla="*/ 192265 h 533972"/>
                                  <a:gd name="connsiteX44" fmla="*/ 22941 w 533891"/>
                                  <a:gd name="connsiteY44" fmla="*/ 512623 h 533972"/>
                                  <a:gd name="connsiteX45" fmla="*/ 35248 w 533891"/>
                                  <a:gd name="connsiteY45" fmla="*/ 426349 h 533972"/>
                                  <a:gd name="connsiteX46" fmla="*/ 84350 w 533891"/>
                                  <a:gd name="connsiteY46" fmla="*/ 366447 h 533972"/>
                                  <a:gd name="connsiteX47" fmla="*/ 199132 w 533891"/>
                                  <a:gd name="connsiteY47" fmla="*/ 322619 h 533972"/>
                                  <a:gd name="connsiteX48" fmla="*/ 258406 w 533891"/>
                                  <a:gd name="connsiteY48" fmla="*/ 401609 h 533972"/>
                                  <a:gd name="connsiteX49" fmla="*/ 266946 w 533891"/>
                                  <a:gd name="connsiteY49" fmla="*/ 405879 h 533972"/>
                                  <a:gd name="connsiteX50" fmla="*/ 275485 w 533891"/>
                                  <a:gd name="connsiteY50" fmla="*/ 401609 h 533972"/>
                                  <a:gd name="connsiteX51" fmla="*/ 334760 w 533891"/>
                                  <a:gd name="connsiteY51" fmla="*/ 322619 h 533972"/>
                                  <a:gd name="connsiteX52" fmla="*/ 449792 w 533891"/>
                                  <a:gd name="connsiteY52" fmla="*/ 366572 h 533972"/>
                                  <a:gd name="connsiteX53" fmla="*/ 498644 w 533891"/>
                                  <a:gd name="connsiteY53" fmla="*/ 426349 h 533972"/>
                                  <a:gd name="connsiteX54" fmla="*/ 510951 w 533891"/>
                                  <a:gd name="connsiteY54" fmla="*/ 512623 h 533972"/>
                                  <a:gd name="connsiteX55" fmla="*/ 22941 w 533891"/>
                                  <a:gd name="connsiteY55" fmla="*/ 512623 h 533972"/>
                                  <a:gd name="connsiteX56" fmla="*/ 413123 w 533891"/>
                                  <a:gd name="connsiteY56" fmla="*/ 407135 h 533972"/>
                                  <a:gd name="connsiteX57" fmla="*/ 398555 w 533891"/>
                                  <a:gd name="connsiteY57" fmla="*/ 407135 h 533972"/>
                                  <a:gd name="connsiteX58" fmla="*/ 398555 w 533891"/>
                                  <a:gd name="connsiteY58" fmla="*/ 392567 h 533972"/>
                                  <a:gd name="connsiteX59" fmla="*/ 388006 w 533891"/>
                                  <a:gd name="connsiteY59" fmla="*/ 381893 h 533972"/>
                                  <a:gd name="connsiteX60" fmla="*/ 360378 w 533891"/>
                                  <a:gd name="connsiteY60" fmla="*/ 381893 h 533972"/>
                                  <a:gd name="connsiteX61" fmla="*/ 349830 w 533891"/>
                                  <a:gd name="connsiteY61" fmla="*/ 392567 h 533972"/>
                                  <a:gd name="connsiteX62" fmla="*/ 349830 w 533891"/>
                                  <a:gd name="connsiteY62" fmla="*/ 407135 h 533972"/>
                                  <a:gd name="connsiteX63" fmla="*/ 335262 w 533891"/>
                                  <a:gd name="connsiteY63" fmla="*/ 407135 h 533972"/>
                                  <a:gd name="connsiteX64" fmla="*/ 324713 w 533891"/>
                                  <a:gd name="connsiteY64" fmla="*/ 417809 h 533972"/>
                                  <a:gd name="connsiteX65" fmla="*/ 324713 w 533891"/>
                                  <a:gd name="connsiteY65" fmla="*/ 445437 h 533972"/>
                                  <a:gd name="connsiteX66" fmla="*/ 335262 w 533891"/>
                                  <a:gd name="connsiteY66" fmla="*/ 456112 h 533972"/>
                                  <a:gd name="connsiteX67" fmla="*/ 349830 w 533891"/>
                                  <a:gd name="connsiteY67" fmla="*/ 456112 h 533972"/>
                                  <a:gd name="connsiteX68" fmla="*/ 349830 w 533891"/>
                                  <a:gd name="connsiteY68" fmla="*/ 470679 h 533972"/>
                                  <a:gd name="connsiteX69" fmla="*/ 360378 w 533891"/>
                                  <a:gd name="connsiteY69" fmla="*/ 481354 h 533972"/>
                                  <a:gd name="connsiteX70" fmla="*/ 388006 w 533891"/>
                                  <a:gd name="connsiteY70" fmla="*/ 481354 h 533972"/>
                                  <a:gd name="connsiteX71" fmla="*/ 398555 w 533891"/>
                                  <a:gd name="connsiteY71" fmla="*/ 470679 h 533972"/>
                                  <a:gd name="connsiteX72" fmla="*/ 398555 w 533891"/>
                                  <a:gd name="connsiteY72" fmla="*/ 456112 h 533972"/>
                                  <a:gd name="connsiteX73" fmla="*/ 413123 w 533891"/>
                                  <a:gd name="connsiteY73" fmla="*/ 456112 h 533972"/>
                                  <a:gd name="connsiteX74" fmla="*/ 423671 w 533891"/>
                                  <a:gd name="connsiteY74" fmla="*/ 445437 h 533972"/>
                                  <a:gd name="connsiteX75" fmla="*/ 423671 w 533891"/>
                                  <a:gd name="connsiteY75" fmla="*/ 417809 h 533972"/>
                                  <a:gd name="connsiteX76" fmla="*/ 413123 w 533891"/>
                                  <a:gd name="connsiteY76" fmla="*/ 407135 h 533972"/>
                                  <a:gd name="connsiteX77" fmla="*/ 407220 w 533891"/>
                                  <a:gd name="connsiteY77" fmla="*/ 435516 h 533972"/>
                                  <a:gd name="connsiteX78" fmla="*/ 390016 w 533891"/>
                                  <a:gd name="connsiteY78" fmla="*/ 435516 h 533972"/>
                                  <a:gd name="connsiteX79" fmla="*/ 377960 w 533891"/>
                                  <a:gd name="connsiteY79" fmla="*/ 447572 h 533972"/>
                                  <a:gd name="connsiteX80" fmla="*/ 377960 w 533891"/>
                                  <a:gd name="connsiteY80" fmla="*/ 464777 h 533972"/>
                                  <a:gd name="connsiteX81" fmla="*/ 370048 w 533891"/>
                                  <a:gd name="connsiteY81" fmla="*/ 464777 h 533972"/>
                                  <a:gd name="connsiteX82" fmla="*/ 370048 w 533891"/>
                                  <a:gd name="connsiteY82" fmla="*/ 447572 h 533972"/>
                                  <a:gd name="connsiteX83" fmla="*/ 357992 w 533891"/>
                                  <a:gd name="connsiteY83" fmla="*/ 435516 h 533972"/>
                                  <a:gd name="connsiteX84" fmla="*/ 340788 w 533891"/>
                                  <a:gd name="connsiteY84" fmla="*/ 435516 h 533972"/>
                                  <a:gd name="connsiteX85" fmla="*/ 340788 w 533891"/>
                                  <a:gd name="connsiteY85" fmla="*/ 427605 h 533972"/>
                                  <a:gd name="connsiteX86" fmla="*/ 357992 w 533891"/>
                                  <a:gd name="connsiteY86" fmla="*/ 427605 h 533972"/>
                                  <a:gd name="connsiteX87" fmla="*/ 370048 w 533891"/>
                                  <a:gd name="connsiteY87" fmla="*/ 415549 h 533972"/>
                                  <a:gd name="connsiteX88" fmla="*/ 370048 w 533891"/>
                                  <a:gd name="connsiteY88" fmla="*/ 398344 h 533972"/>
                                  <a:gd name="connsiteX89" fmla="*/ 377960 w 533891"/>
                                  <a:gd name="connsiteY89" fmla="*/ 398344 h 533972"/>
                                  <a:gd name="connsiteX90" fmla="*/ 377960 w 533891"/>
                                  <a:gd name="connsiteY90" fmla="*/ 415549 h 533972"/>
                                  <a:gd name="connsiteX91" fmla="*/ 390016 w 533891"/>
                                  <a:gd name="connsiteY91" fmla="*/ 427605 h 533972"/>
                                  <a:gd name="connsiteX92" fmla="*/ 407220 w 533891"/>
                                  <a:gd name="connsiteY92" fmla="*/ 427605 h 533972"/>
                                  <a:gd name="connsiteX93" fmla="*/ 407220 w 533891"/>
                                  <a:gd name="connsiteY93" fmla="*/ 435516 h 5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533891" h="533972">
                                    <a:moveTo>
                                      <a:pt x="519741" y="423335"/>
                                    </a:moveTo>
                                    <a:cubicBezTo>
                                      <a:pt x="514718" y="387921"/>
                                      <a:pt x="490606" y="358409"/>
                                      <a:pt x="457202" y="346479"/>
                                    </a:cubicBezTo>
                                    <a:lnTo>
                                      <a:pt x="341792" y="302400"/>
                                    </a:lnTo>
                                    <a:lnTo>
                                      <a:pt x="341792" y="284944"/>
                                    </a:lnTo>
                                    <a:cubicBezTo>
                                      <a:pt x="369043" y="258949"/>
                                      <a:pt x="384490" y="225419"/>
                                      <a:pt x="384490" y="192265"/>
                                    </a:cubicBezTo>
                                    <a:lnTo>
                                      <a:pt x="384490" y="139898"/>
                                    </a:lnTo>
                                    <a:lnTo>
                                      <a:pt x="405588" y="34158"/>
                                    </a:lnTo>
                                    <a:cubicBezTo>
                                      <a:pt x="406592" y="29260"/>
                                      <a:pt x="403955" y="24237"/>
                                      <a:pt x="399434" y="22228"/>
                                    </a:cubicBezTo>
                                    <a:cubicBezTo>
                                      <a:pt x="397299" y="21349"/>
                                      <a:pt x="347695" y="0"/>
                                      <a:pt x="266946" y="0"/>
                                    </a:cubicBezTo>
                                    <a:cubicBezTo>
                                      <a:pt x="186197" y="0"/>
                                      <a:pt x="136592" y="21349"/>
                                      <a:pt x="134457" y="22228"/>
                                    </a:cubicBezTo>
                                    <a:cubicBezTo>
                                      <a:pt x="129811" y="24237"/>
                                      <a:pt x="127299" y="29135"/>
                                      <a:pt x="128304" y="34158"/>
                                    </a:cubicBezTo>
                                    <a:lnTo>
                                      <a:pt x="149402" y="139898"/>
                                    </a:lnTo>
                                    <a:lnTo>
                                      <a:pt x="149402" y="192265"/>
                                    </a:lnTo>
                                    <a:cubicBezTo>
                                      <a:pt x="149402" y="225419"/>
                                      <a:pt x="164974" y="258949"/>
                                      <a:pt x="192099" y="284944"/>
                                    </a:cubicBezTo>
                                    <a:lnTo>
                                      <a:pt x="192099" y="302400"/>
                                    </a:lnTo>
                                    <a:lnTo>
                                      <a:pt x="76941" y="346479"/>
                                    </a:lnTo>
                                    <a:cubicBezTo>
                                      <a:pt x="43285" y="358535"/>
                                      <a:pt x="19174" y="387921"/>
                                      <a:pt x="14150" y="423335"/>
                                    </a:cubicBezTo>
                                    <a:lnTo>
                                      <a:pt x="85" y="521791"/>
                                    </a:lnTo>
                                    <a:cubicBezTo>
                                      <a:pt x="-292" y="524805"/>
                                      <a:pt x="588" y="527944"/>
                                      <a:pt x="2597" y="530330"/>
                                    </a:cubicBezTo>
                                    <a:cubicBezTo>
                                      <a:pt x="4606" y="532716"/>
                                      <a:pt x="7620" y="533972"/>
                                      <a:pt x="10634" y="533972"/>
                                    </a:cubicBezTo>
                                    <a:lnTo>
                                      <a:pt x="523257" y="533972"/>
                                    </a:lnTo>
                                    <a:cubicBezTo>
                                      <a:pt x="526397" y="533972"/>
                                      <a:pt x="529285" y="532591"/>
                                      <a:pt x="531295" y="530330"/>
                                    </a:cubicBezTo>
                                    <a:cubicBezTo>
                                      <a:pt x="533304" y="527944"/>
                                      <a:pt x="534183" y="524930"/>
                                      <a:pt x="533806" y="521791"/>
                                    </a:cubicBezTo>
                                    <a:lnTo>
                                      <a:pt x="519741" y="423335"/>
                                    </a:lnTo>
                                    <a:close/>
                                    <a:moveTo>
                                      <a:pt x="151034" y="38805"/>
                                    </a:moveTo>
                                    <a:cubicBezTo>
                                      <a:pt x="167611" y="33153"/>
                                      <a:pt x="208927" y="21349"/>
                                      <a:pt x="266946" y="21349"/>
                                    </a:cubicBezTo>
                                    <a:cubicBezTo>
                                      <a:pt x="324964" y="21349"/>
                                      <a:pt x="366281" y="33153"/>
                                      <a:pt x="382857" y="38805"/>
                                    </a:cubicBezTo>
                                    <a:lnTo>
                                      <a:pt x="365778" y="123823"/>
                                    </a:lnTo>
                                    <a:cubicBezTo>
                                      <a:pt x="348071" y="117167"/>
                                      <a:pt x="312783" y="106744"/>
                                      <a:pt x="266946" y="106744"/>
                                    </a:cubicBezTo>
                                    <a:cubicBezTo>
                                      <a:pt x="220983" y="106744"/>
                                      <a:pt x="185820" y="117167"/>
                                      <a:pt x="168113" y="123823"/>
                                    </a:cubicBezTo>
                                    <a:lnTo>
                                      <a:pt x="151034" y="38805"/>
                                    </a:lnTo>
                                    <a:close/>
                                    <a:moveTo>
                                      <a:pt x="170876" y="192265"/>
                                    </a:moveTo>
                                    <a:lnTo>
                                      <a:pt x="170876" y="145800"/>
                                    </a:lnTo>
                                    <a:cubicBezTo>
                                      <a:pt x="184188" y="140400"/>
                                      <a:pt x="219602" y="128093"/>
                                      <a:pt x="266946" y="128093"/>
                                    </a:cubicBezTo>
                                    <a:cubicBezTo>
                                      <a:pt x="314416" y="128093"/>
                                      <a:pt x="349704" y="140274"/>
                                      <a:pt x="363016" y="145800"/>
                                    </a:cubicBezTo>
                                    <a:lnTo>
                                      <a:pt x="363016" y="192265"/>
                                    </a:lnTo>
                                    <a:cubicBezTo>
                                      <a:pt x="363016" y="220772"/>
                                      <a:pt x="348699" y="249907"/>
                                      <a:pt x="323834" y="272260"/>
                                    </a:cubicBezTo>
                                    <a:cubicBezTo>
                                      <a:pt x="321574" y="274270"/>
                                      <a:pt x="320318" y="277158"/>
                                      <a:pt x="320318" y="280172"/>
                                    </a:cubicBezTo>
                                    <a:lnTo>
                                      <a:pt x="320318" y="306167"/>
                                    </a:lnTo>
                                    <a:lnTo>
                                      <a:pt x="266946" y="377372"/>
                                    </a:lnTo>
                                    <a:lnTo>
                                      <a:pt x="213574" y="306167"/>
                                    </a:lnTo>
                                    <a:lnTo>
                                      <a:pt x="213574" y="280172"/>
                                    </a:lnTo>
                                    <a:cubicBezTo>
                                      <a:pt x="213574" y="277158"/>
                                      <a:pt x="212318" y="274270"/>
                                      <a:pt x="210057" y="272260"/>
                                    </a:cubicBezTo>
                                    <a:cubicBezTo>
                                      <a:pt x="185067" y="249907"/>
                                      <a:pt x="170876" y="220772"/>
                                      <a:pt x="170876" y="192265"/>
                                    </a:cubicBezTo>
                                    <a:close/>
                                    <a:moveTo>
                                      <a:pt x="22941" y="512623"/>
                                    </a:moveTo>
                                    <a:lnTo>
                                      <a:pt x="35248" y="426349"/>
                                    </a:lnTo>
                                    <a:cubicBezTo>
                                      <a:pt x="39141" y="398847"/>
                                      <a:pt x="57853" y="375865"/>
                                      <a:pt x="84350" y="366447"/>
                                    </a:cubicBezTo>
                                    <a:lnTo>
                                      <a:pt x="199132" y="322619"/>
                                    </a:lnTo>
                                    <a:lnTo>
                                      <a:pt x="258406" y="401609"/>
                                    </a:lnTo>
                                    <a:cubicBezTo>
                                      <a:pt x="260416" y="404247"/>
                                      <a:pt x="263555" y="405879"/>
                                      <a:pt x="266946" y="405879"/>
                                    </a:cubicBezTo>
                                    <a:cubicBezTo>
                                      <a:pt x="270336" y="405879"/>
                                      <a:pt x="273476" y="404247"/>
                                      <a:pt x="275485" y="401609"/>
                                    </a:cubicBezTo>
                                    <a:lnTo>
                                      <a:pt x="334760" y="322619"/>
                                    </a:lnTo>
                                    <a:lnTo>
                                      <a:pt x="449792" y="366572"/>
                                    </a:lnTo>
                                    <a:cubicBezTo>
                                      <a:pt x="476039" y="375865"/>
                                      <a:pt x="494751" y="398847"/>
                                      <a:pt x="498644" y="426349"/>
                                    </a:cubicBezTo>
                                    <a:lnTo>
                                      <a:pt x="510951" y="512623"/>
                                    </a:lnTo>
                                    <a:lnTo>
                                      <a:pt x="22941" y="512623"/>
                                    </a:lnTo>
                                    <a:close/>
                                    <a:moveTo>
                                      <a:pt x="413123" y="407135"/>
                                    </a:moveTo>
                                    <a:lnTo>
                                      <a:pt x="398555" y="407135"/>
                                    </a:lnTo>
                                    <a:lnTo>
                                      <a:pt x="398555" y="392567"/>
                                    </a:lnTo>
                                    <a:cubicBezTo>
                                      <a:pt x="398555" y="386665"/>
                                      <a:pt x="393783" y="381893"/>
                                      <a:pt x="388006" y="381893"/>
                                    </a:cubicBezTo>
                                    <a:lnTo>
                                      <a:pt x="360378" y="381893"/>
                                    </a:lnTo>
                                    <a:cubicBezTo>
                                      <a:pt x="354476" y="381893"/>
                                      <a:pt x="349830" y="386665"/>
                                      <a:pt x="349830" y="392567"/>
                                    </a:cubicBezTo>
                                    <a:lnTo>
                                      <a:pt x="349830" y="407135"/>
                                    </a:lnTo>
                                    <a:lnTo>
                                      <a:pt x="335262" y="407135"/>
                                    </a:lnTo>
                                    <a:cubicBezTo>
                                      <a:pt x="329360" y="407135"/>
                                      <a:pt x="324713" y="411907"/>
                                      <a:pt x="324713" y="417809"/>
                                    </a:cubicBezTo>
                                    <a:lnTo>
                                      <a:pt x="324713" y="445437"/>
                                    </a:lnTo>
                                    <a:cubicBezTo>
                                      <a:pt x="324713" y="451340"/>
                                      <a:pt x="329485" y="456112"/>
                                      <a:pt x="335262" y="456112"/>
                                    </a:cubicBezTo>
                                    <a:lnTo>
                                      <a:pt x="349830" y="456112"/>
                                    </a:lnTo>
                                    <a:lnTo>
                                      <a:pt x="349830" y="470679"/>
                                    </a:lnTo>
                                    <a:cubicBezTo>
                                      <a:pt x="349830" y="476581"/>
                                      <a:pt x="354602" y="481354"/>
                                      <a:pt x="360378" y="481354"/>
                                    </a:cubicBezTo>
                                    <a:lnTo>
                                      <a:pt x="388006" y="481354"/>
                                    </a:lnTo>
                                    <a:cubicBezTo>
                                      <a:pt x="393909" y="481354"/>
                                      <a:pt x="398555" y="476581"/>
                                      <a:pt x="398555" y="470679"/>
                                    </a:cubicBezTo>
                                    <a:lnTo>
                                      <a:pt x="398555" y="456112"/>
                                    </a:lnTo>
                                    <a:lnTo>
                                      <a:pt x="413123" y="456112"/>
                                    </a:lnTo>
                                    <a:cubicBezTo>
                                      <a:pt x="419025" y="456112"/>
                                      <a:pt x="423671" y="451340"/>
                                      <a:pt x="423671" y="445437"/>
                                    </a:cubicBezTo>
                                    <a:lnTo>
                                      <a:pt x="423671" y="417809"/>
                                    </a:lnTo>
                                    <a:cubicBezTo>
                                      <a:pt x="423671" y="411907"/>
                                      <a:pt x="418899" y="407135"/>
                                      <a:pt x="413123" y="407135"/>
                                    </a:cubicBezTo>
                                    <a:close/>
                                    <a:moveTo>
                                      <a:pt x="407220" y="435516"/>
                                    </a:moveTo>
                                    <a:lnTo>
                                      <a:pt x="390016" y="435516"/>
                                    </a:lnTo>
                                    <a:cubicBezTo>
                                      <a:pt x="383360" y="435516"/>
                                      <a:pt x="377960" y="440916"/>
                                      <a:pt x="377960" y="447572"/>
                                    </a:cubicBezTo>
                                    <a:lnTo>
                                      <a:pt x="377960" y="464777"/>
                                    </a:lnTo>
                                    <a:lnTo>
                                      <a:pt x="370048" y="464777"/>
                                    </a:lnTo>
                                    <a:lnTo>
                                      <a:pt x="370048" y="447572"/>
                                    </a:lnTo>
                                    <a:cubicBezTo>
                                      <a:pt x="370048" y="440916"/>
                                      <a:pt x="364648" y="435516"/>
                                      <a:pt x="357992" y="435516"/>
                                    </a:cubicBezTo>
                                    <a:lnTo>
                                      <a:pt x="340788" y="435516"/>
                                    </a:lnTo>
                                    <a:lnTo>
                                      <a:pt x="340788" y="427605"/>
                                    </a:lnTo>
                                    <a:lnTo>
                                      <a:pt x="357992" y="427605"/>
                                    </a:lnTo>
                                    <a:cubicBezTo>
                                      <a:pt x="364648" y="427605"/>
                                      <a:pt x="370048" y="422205"/>
                                      <a:pt x="370048" y="415549"/>
                                    </a:cubicBezTo>
                                    <a:lnTo>
                                      <a:pt x="370048" y="398344"/>
                                    </a:lnTo>
                                    <a:lnTo>
                                      <a:pt x="377960" y="398344"/>
                                    </a:lnTo>
                                    <a:lnTo>
                                      <a:pt x="377960" y="415549"/>
                                    </a:lnTo>
                                    <a:cubicBezTo>
                                      <a:pt x="377960" y="422205"/>
                                      <a:pt x="383360" y="427605"/>
                                      <a:pt x="390016" y="427605"/>
                                    </a:cubicBezTo>
                                    <a:lnTo>
                                      <a:pt x="407220" y="427605"/>
                                    </a:lnTo>
                                    <a:lnTo>
                                      <a:pt x="407220" y="435516"/>
                                    </a:lnTo>
                                    <a:close/>
                                  </a:path>
                                </a:pathLst>
                              </a:custGeom>
                              <a:solidFill>
                                <a:schemeClr val="bg1"/>
                              </a:solidFill>
                              <a:ln w="12547" cap="flat">
                                <a:noFill/>
                                <a:prstDash val="solid"/>
                                <a:miter/>
                              </a:ln>
                            </wps:spPr>
                            <wps:bodyPr rtlCol="0" anchor="ctr"/>
                          </wps:wsp>
                        </a:graphicData>
                      </a:graphic>
                    </wp:inline>
                  </w:drawing>
                </mc:Choice>
                <mc:Fallback xmlns:w16du="http://schemas.microsoft.com/office/word/2023/wordml/word16du">
                  <w:pict>
                    <v:shape w14:anchorId="20961BD9" id="Freeform: Shape 356428724" o:spid="_x0000_s1026" alt="An icon of a healthcare professional." style="width:25.25pt;height:24.8pt;visibility:visible;mso-wrap-style:square;mso-left-percent:-10001;mso-top-percent:-10001;mso-position-horizontal:absolute;mso-position-horizontal-relative:char;mso-position-vertical:absolute;mso-position-vertical-relative:line;mso-left-percent:-10001;mso-top-percent:-10001;v-text-anchor:middle" coordsize="533891,53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" path="m519741,423335v-5023,-35414,-29135,-64926,-62539,-76856l341792,302400r,-17456c369043,258949,384490,225419,384490,192265r,-52367l405588,34158v1004,-4898,-1633,-9921,-6154,-11930c397299,21349,347695,,266946,,186197,,136592,21349,134457,22228v-4646,2009,-7158,6907,-6153,11930l149402,139898r,52367c149402,225419,164974,258949,192099,284944r,17456l76941,346479c43285,358535,19174,387921,14150,423335l85,521791v-377,3014,503,6153,2512,8539c4606,532716,7620,533972,10634,533972r512623,c526397,533972,529285,532591,531295,530330v2009,-2386,2888,-5400,2511,-8539l519741,423335xm151034,38805c167611,33153,208927,21349,266946,21349v58018,,99335,11804,115911,17456l365778,123823v-17707,-6656,-52995,-17079,-98832,-17079c220983,106744,185820,117167,168113,123823l151034,38805xm170876,192265r,-46465c184188,140400,219602,128093,266946,128093v47470,,82758,12181,96070,17707l363016,192265v,28507,-14317,57642,-39182,79995c321574,274270,320318,277158,320318,280172r,25995l266946,377372,213574,306167r,-25995c213574,277158,212318,274270,210057,272260,185067,249907,170876,220772,170876,192265xm22941,512623l35248,426349v3893,-27502,22605,-50484,49102,-59902l199132,322619r59274,78990c260416,404247,263555,405879,266946,405879v3390,,6530,-1632,8539,-4270l334760,322619r115032,43953c476039,375865,494751,398847,498644,426349r12307,86274l22941,512623xm413123,407135r-14568,l398555,392567v,-5902,-4772,-10674,-10549,-10674l360378,381893v-5902,,-10548,4772,-10548,10674l349830,407135r-14568,c329360,407135,324713,411907,324713,417809r,27628c324713,451340,329485,456112,335262,456112r14568,l349830,470679v,5902,4772,10675,10548,10675l388006,481354v5903,,10549,-4773,10549,-10675l398555,456112r14568,c419025,456112,423671,451340,423671,445437r,-27628c423671,411907,418899,407135,413123,407135xm407220,435516r-17204,c383360,435516,377960,440916,377960,447572r,17205l370048,464777r,-17205c370048,440916,364648,435516,357992,435516r-17204,l340788,427605r17204,c364648,427605,370048,422205,370048,415549r,-17205l377960,398344r,17205c377960,422205,383360,427605,390016,427605r17204,l407220,435516xe" fillcolor="white [3212]" stroked="f" strokeweight=".34853mm">
                      <v:stroke joinstyle="miter"/>
                      <v:path arrowok="t" o:connecttype="custom" o:connectlocs="312135,249492;274577,204197;205266,178219;205266,167932;230909,113311;230909,82449;243579,20131;239884,13100;160317,0;80749,13100;77054,20131;89725,82449;89725,113311;115367,167932;115367,178219;46208,204197;8498,249492;51,307517;1560,312550;6386,314696;314247,314696;319074,312550;320582,307517;312135,249492;90705,22870;160317,12582;229928,22870;219671,72975;160317,62909;100962,72975;90705,22870;102621,113311;102621,85927;160317,75492;218012,85927;218012,113311;194481,160456;192370,165119;192370,180439;160317,222404;128264,180439;128264,165119;126152,160456;102621,113311;13777,302114;21169,251268;50657,215965;119590,190135;155188,236688;160317,239204;165445,236688;201043,190135;270127,216039;299465,251268;306856,302114;13777,302114;248105,239945;239356,239945;239356,231359;233020,225068;216428,225068;210094,231359;210094,239945;201345,239945;195009,246235;195009,262518;201345,268809;210094,268809;210094,277394;216428,283686;233020,283686;239356,277394;239356,268809;248105,268809;254439,262518;254439,246235;248105,239945;244560,256671;234228,256671;226987,263776;226987,273916;222236,273916;222236,263776;214995,256671;204663,256671;204663,252009;214995,252009;222236,244903;222236,234764;226987,234764;226987,244903;234228,252009;244560,252009;244560,256671" o:connectangles="0,0,0,0,0,0,0,0,0,0,0,0,0,0,0,0,0,0,0,0,0,0,0,0,0,0,0,0,0,0,0,0,0,0,0,0,0,0,0,0,0,0,0,0,0,0,0,0,0,0,0,0,0,0,0,0,0,0,0,0,0,0,0,0,0,0,0,0,0,0,0,0,0,0,0,0,0,0,0,0,0,0,0,0,0,0,0,0,0,0,0,0,0,0"/>
                      <w10:anchorlock/>
                    </v:shape>
                  </w:pict>
                </mc:Fallback>
              </mc:AlternateContent>
            </w:r>
          </w:p>
        </w:tc>
        <w:tc>
          <w:tcPr>
            <w:tcW w:w="794" w:type="pct"/>
            <w:shd w:val="clear" w:color="auto" w:fill="00264D" w:themeFill="background2"/>
            <w:vAlign w:val="center"/>
          </w:tcPr>
          <w:p w14:paraId="4DC23244" w14:textId="77777777" w:rsidR="009B3576" w:rsidRPr="00042EC5" w:rsidRDefault="009B3576" w:rsidP="00075D8C">
            <w:pPr>
              <w:spacing w:before="40" w:after="40"/>
              <w:rPr>
                <w:rFonts w:asciiTheme="majorHAnsi" w:hAnsiTheme="majorHAnsi" w:cstheme="majorHAnsi"/>
                <w:sz w:val="18"/>
                <w:szCs w:val="20"/>
                <w:lang w:eastAsia="en-AU"/>
              </w:rPr>
            </w:pPr>
            <w:r w:rsidRPr="00042EC5">
              <w:rPr>
                <w:rFonts w:asciiTheme="majorHAnsi" w:hAnsiTheme="majorHAnsi" w:cstheme="majorHAnsi"/>
                <w:sz w:val="18"/>
                <w:szCs w:val="20"/>
                <w:lang w:eastAsia="en-AU"/>
              </w:rPr>
              <w:t>Private healthcare providers</w:t>
            </w:r>
          </w:p>
        </w:tc>
        <w:tc>
          <w:tcPr>
            <w:tcW w:w="3652" w:type="pct"/>
          </w:tcPr>
          <w:p w14:paraId="2E0F3A8A" w14:textId="052808A4" w:rsidR="009B3576" w:rsidRDefault="009B3576" w:rsidP="00075D8C">
            <w:pPr>
              <w:pStyle w:val="TableNBullet"/>
            </w:pPr>
            <w:r w:rsidRPr="3787E91E">
              <w:t>A PL listing removes the barrier of hospitals having to negotiate separate funding arrangements with insurers which provides hospitals more freedom to select products based on their clinical benefit without additional switching costs</w:t>
            </w:r>
            <w:r w:rsidR="00234C6B" w:rsidRPr="3787E91E">
              <w:t>.</w:t>
            </w:r>
          </w:p>
          <w:p w14:paraId="19457FD3" w14:textId="5EFFB14B" w:rsidR="009B3576" w:rsidRPr="00A2372F" w:rsidRDefault="009B3576" w:rsidP="00075D8C">
            <w:pPr>
              <w:pStyle w:val="TableNBullet"/>
            </w:pPr>
            <w:r w:rsidRPr="3787E91E">
              <w:t>Insurers are required to reimburse providers the benefit amount of a PL item, but there is no requirement for the price at which providers purchase the PL item from a supplier</w:t>
            </w:r>
            <w:r w:rsidR="00CB5AE5" w:rsidRPr="3787E91E">
              <w:t>. T</w:t>
            </w:r>
            <w:r w:rsidRPr="3787E91E">
              <w:t>his means that the full value of the PL benefit is shared between medical technology companies and providers based on their relative bargaining power</w:t>
            </w:r>
            <w:r w:rsidR="00234C6B" w:rsidRPr="3787E91E">
              <w:t>.</w:t>
            </w:r>
            <w:r w:rsidRPr="3787E91E">
              <w:t xml:space="preserve"> </w:t>
            </w:r>
          </w:p>
        </w:tc>
      </w:tr>
      <w:tr w:rsidR="009B3576" w:rsidRPr="002464FB" w14:paraId="739737DE" w14:textId="77777777" w:rsidTr="3787E91E">
        <w:trPr>
          <w:trHeight w:val="421"/>
        </w:trPr>
        <w:tc>
          <w:tcPr>
            <w:tcW w:w="554" w:type="pct"/>
            <w:shd w:val="clear" w:color="auto" w:fill="00264D" w:themeFill="background2"/>
            <w:vAlign w:val="center"/>
          </w:tcPr>
          <w:p w14:paraId="77EFEA89" w14:textId="77777777" w:rsidR="009B3576" w:rsidRPr="002464FB" w:rsidRDefault="009B3576" w:rsidP="00075D8C">
            <w:pPr>
              <w:spacing w:before="40" w:after="40"/>
              <w:jc w:val="center"/>
              <w:rPr>
                <w:i/>
                <w:iCs/>
                <w:lang w:eastAsia="en-AU"/>
              </w:rPr>
            </w:pPr>
            <w:r w:rsidRPr="002464FB">
              <w:rPr>
                <w:i/>
                <w:iCs/>
                <w:noProof/>
                <w:lang w:eastAsia="en-AU"/>
              </w:rPr>
              <w:lastRenderedPageBreak/>
              <mc:AlternateContent>
                <mc:Choice Requires="wps">
                  <w:drawing>
                    <wp:inline distT="0" distB="0" distL="0" distR="0" wp14:anchorId="10452F01" wp14:editId="52902575">
                      <wp:extent cx="292311" cy="292311"/>
                      <wp:effectExtent l="0" t="0" r="0" b="0"/>
                      <wp:docPr id="424324717" name="Freeform: Shape 424324717" descr="An icon of a medical cros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311" cy="292311"/>
                              </a:xfrm>
                              <a:custGeom>
                                <a:avLst/>
                                <a:gdLst>
                                  <a:gd name="T0" fmla="*/ 3 w 168"/>
                                  <a:gd name="T1" fmla="*/ 114 h 170"/>
                                  <a:gd name="T2" fmla="*/ 55 w 168"/>
                                  <a:gd name="T3" fmla="*/ 114 h 170"/>
                                  <a:gd name="T4" fmla="*/ 55 w 168"/>
                                  <a:gd name="T5" fmla="*/ 166 h 170"/>
                                  <a:gd name="T6" fmla="*/ 59 w 168"/>
                                  <a:gd name="T7" fmla="*/ 170 h 170"/>
                                  <a:gd name="T8" fmla="*/ 109 w 168"/>
                                  <a:gd name="T9" fmla="*/ 170 h 170"/>
                                  <a:gd name="T10" fmla="*/ 113 w 168"/>
                                  <a:gd name="T11" fmla="*/ 166 h 170"/>
                                  <a:gd name="T12" fmla="*/ 113 w 168"/>
                                  <a:gd name="T13" fmla="*/ 114 h 170"/>
                                  <a:gd name="T14" fmla="*/ 165 w 168"/>
                                  <a:gd name="T15" fmla="*/ 114 h 170"/>
                                  <a:gd name="T16" fmla="*/ 168 w 168"/>
                                  <a:gd name="T17" fmla="*/ 111 h 170"/>
                                  <a:gd name="T18" fmla="*/ 168 w 168"/>
                                  <a:gd name="T19" fmla="*/ 59 h 170"/>
                                  <a:gd name="T20" fmla="*/ 165 w 168"/>
                                  <a:gd name="T21" fmla="*/ 55 h 170"/>
                                  <a:gd name="T22" fmla="*/ 113 w 168"/>
                                  <a:gd name="T23" fmla="*/ 55 h 170"/>
                                  <a:gd name="T24" fmla="*/ 113 w 168"/>
                                  <a:gd name="T25" fmla="*/ 3 h 170"/>
                                  <a:gd name="T26" fmla="*/ 109 w 168"/>
                                  <a:gd name="T27" fmla="*/ 0 h 170"/>
                                  <a:gd name="T28" fmla="*/ 59 w 168"/>
                                  <a:gd name="T29" fmla="*/ 0 h 170"/>
                                  <a:gd name="T30" fmla="*/ 55 w 168"/>
                                  <a:gd name="T31" fmla="*/ 3 h 170"/>
                                  <a:gd name="T32" fmla="*/ 55 w 168"/>
                                  <a:gd name="T33" fmla="*/ 55 h 170"/>
                                  <a:gd name="T34" fmla="*/ 3 w 168"/>
                                  <a:gd name="T35" fmla="*/ 55 h 170"/>
                                  <a:gd name="T36" fmla="*/ 0 w 168"/>
                                  <a:gd name="T37" fmla="*/ 59 h 170"/>
                                  <a:gd name="T38" fmla="*/ 0 w 168"/>
                                  <a:gd name="T39" fmla="*/ 111 h 170"/>
                                  <a:gd name="T40" fmla="*/ 3 w 168"/>
                                  <a:gd name="T41" fmla="*/ 114 h 170"/>
                                  <a:gd name="T42" fmla="*/ 7 w 168"/>
                                  <a:gd name="T43" fmla="*/ 62 h 170"/>
                                  <a:gd name="T44" fmla="*/ 59 w 168"/>
                                  <a:gd name="T45" fmla="*/ 62 h 170"/>
                                  <a:gd name="T46" fmla="*/ 62 w 168"/>
                                  <a:gd name="T47" fmla="*/ 59 h 170"/>
                                  <a:gd name="T48" fmla="*/ 62 w 168"/>
                                  <a:gd name="T49" fmla="*/ 7 h 170"/>
                                  <a:gd name="T50" fmla="*/ 106 w 168"/>
                                  <a:gd name="T51" fmla="*/ 7 h 170"/>
                                  <a:gd name="T52" fmla="*/ 106 w 168"/>
                                  <a:gd name="T53" fmla="*/ 59 h 170"/>
                                  <a:gd name="T54" fmla="*/ 109 w 168"/>
                                  <a:gd name="T55" fmla="*/ 62 h 170"/>
                                  <a:gd name="T56" fmla="*/ 161 w 168"/>
                                  <a:gd name="T57" fmla="*/ 62 h 170"/>
                                  <a:gd name="T58" fmla="*/ 161 w 168"/>
                                  <a:gd name="T59" fmla="*/ 107 h 170"/>
                                  <a:gd name="T60" fmla="*/ 109 w 168"/>
                                  <a:gd name="T61" fmla="*/ 107 h 170"/>
                                  <a:gd name="T62" fmla="*/ 106 w 168"/>
                                  <a:gd name="T63" fmla="*/ 111 h 170"/>
                                  <a:gd name="T64" fmla="*/ 106 w 168"/>
                                  <a:gd name="T65" fmla="*/ 163 h 170"/>
                                  <a:gd name="T66" fmla="*/ 62 w 168"/>
                                  <a:gd name="T67" fmla="*/ 163 h 170"/>
                                  <a:gd name="T68" fmla="*/ 62 w 168"/>
                                  <a:gd name="T69" fmla="*/ 111 h 170"/>
                                  <a:gd name="T70" fmla="*/ 59 w 168"/>
                                  <a:gd name="T71" fmla="*/ 107 h 170"/>
                                  <a:gd name="T72" fmla="*/ 7 w 168"/>
                                  <a:gd name="T73" fmla="*/ 107 h 170"/>
                                  <a:gd name="T74" fmla="*/ 7 w 168"/>
                                  <a:gd name="T75" fmla="*/ 6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70">
                                    <a:moveTo>
                                      <a:pt x="3" y="114"/>
                                    </a:moveTo>
                                    <a:cubicBezTo>
                                      <a:pt x="3" y="114"/>
                                      <a:pt x="3" y="114"/>
                                      <a:pt x="55" y="114"/>
                                    </a:cubicBezTo>
                                    <a:cubicBezTo>
                                      <a:pt x="55" y="114"/>
                                      <a:pt x="55" y="114"/>
                                      <a:pt x="55" y="166"/>
                                    </a:cubicBezTo>
                                    <a:cubicBezTo>
                                      <a:pt x="55" y="168"/>
                                      <a:pt x="57" y="170"/>
                                      <a:pt x="59" y="170"/>
                                    </a:cubicBezTo>
                                    <a:cubicBezTo>
                                      <a:pt x="59" y="170"/>
                                      <a:pt x="59" y="170"/>
                                      <a:pt x="109" y="170"/>
                                    </a:cubicBezTo>
                                    <a:cubicBezTo>
                                      <a:pt x="111" y="170"/>
                                      <a:pt x="113" y="168"/>
                                      <a:pt x="113" y="166"/>
                                    </a:cubicBezTo>
                                    <a:cubicBezTo>
                                      <a:pt x="113" y="166"/>
                                      <a:pt x="113" y="166"/>
                                      <a:pt x="113" y="114"/>
                                    </a:cubicBezTo>
                                    <a:cubicBezTo>
                                      <a:pt x="113" y="114"/>
                                      <a:pt x="113" y="114"/>
                                      <a:pt x="165" y="114"/>
                                    </a:cubicBezTo>
                                    <a:cubicBezTo>
                                      <a:pt x="166" y="114"/>
                                      <a:pt x="168" y="113"/>
                                      <a:pt x="168" y="111"/>
                                    </a:cubicBezTo>
                                    <a:cubicBezTo>
                                      <a:pt x="168" y="111"/>
                                      <a:pt x="168" y="111"/>
                                      <a:pt x="168" y="59"/>
                                    </a:cubicBezTo>
                                    <a:cubicBezTo>
                                      <a:pt x="168" y="57"/>
                                      <a:pt x="166" y="55"/>
                                      <a:pt x="165" y="55"/>
                                    </a:cubicBezTo>
                                    <a:cubicBezTo>
                                      <a:pt x="165" y="55"/>
                                      <a:pt x="165" y="55"/>
                                      <a:pt x="113" y="55"/>
                                    </a:cubicBezTo>
                                    <a:cubicBezTo>
                                      <a:pt x="113" y="55"/>
                                      <a:pt x="113" y="55"/>
                                      <a:pt x="113" y="3"/>
                                    </a:cubicBezTo>
                                    <a:cubicBezTo>
                                      <a:pt x="113" y="1"/>
                                      <a:pt x="111" y="0"/>
                                      <a:pt x="109" y="0"/>
                                    </a:cubicBezTo>
                                    <a:cubicBezTo>
                                      <a:pt x="109" y="0"/>
                                      <a:pt x="109" y="0"/>
                                      <a:pt x="59" y="0"/>
                                    </a:cubicBezTo>
                                    <a:cubicBezTo>
                                      <a:pt x="57" y="0"/>
                                      <a:pt x="55" y="1"/>
                                      <a:pt x="55" y="3"/>
                                    </a:cubicBezTo>
                                    <a:cubicBezTo>
                                      <a:pt x="55" y="3"/>
                                      <a:pt x="55" y="3"/>
                                      <a:pt x="55" y="55"/>
                                    </a:cubicBezTo>
                                    <a:cubicBezTo>
                                      <a:pt x="55" y="55"/>
                                      <a:pt x="55" y="55"/>
                                      <a:pt x="3" y="55"/>
                                    </a:cubicBezTo>
                                    <a:cubicBezTo>
                                      <a:pt x="1" y="55"/>
                                      <a:pt x="0" y="57"/>
                                      <a:pt x="0" y="59"/>
                                    </a:cubicBezTo>
                                    <a:cubicBezTo>
                                      <a:pt x="0" y="59"/>
                                      <a:pt x="0" y="59"/>
                                      <a:pt x="0" y="111"/>
                                    </a:cubicBezTo>
                                    <a:cubicBezTo>
                                      <a:pt x="0" y="113"/>
                                      <a:pt x="1" y="114"/>
                                      <a:pt x="3" y="114"/>
                                    </a:cubicBezTo>
                                    <a:close/>
                                    <a:moveTo>
                                      <a:pt x="7" y="62"/>
                                    </a:moveTo>
                                    <a:cubicBezTo>
                                      <a:pt x="7" y="62"/>
                                      <a:pt x="7" y="62"/>
                                      <a:pt x="59" y="62"/>
                                    </a:cubicBezTo>
                                    <a:cubicBezTo>
                                      <a:pt x="60" y="62"/>
                                      <a:pt x="62" y="60"/>
                                      <a:pt x="62" y="59"/>
                                    </a:cubicBezTo>
                                    <a:cubicBezTo>
                                      <a:pt x="62" y="59"/>
                                      <a:pt x="62" y="59"/>
                                      <a:pt x="62" y="7"/>
                                    </a:cubicBezTo>
                                    <a:cubicBezTo>
                                      <a:pt x="62" y="7"/>
                                      <a:pt x="62" y="7"/>
                                      <a:pt x="106" y="7"/>
                                    </a:cubicBezTo>
                                    <a:cubicBezTo>
                                      <a:pt x="106" y="7"/>
                                      <a:pt x="106" y="7"/>
                                      <a:pt x="106" y="59"/>
                                    </a:cubicBezTo>
                                    <a:cubicBezTo>
                                      <a:pt x="106" y="60"/>
                                      <a:pt x="107" y="62"/>
                                      <a:pt x="109" y="62"/>
                                    </a:cubicBezTo>
                                    <a:cubicBezTo>
                                      <a:pt x="109" y="62"/>
                                      <a:pt x="109" y="62"/>
                                      <a:pt x="161" y="62"/>
                                    </a:cubicBezTo>
                                    <a:cubicBezTo>
                                      <a:pt x="161" y="62"/>
                                      <a:pt x="161" y="62"/>
                                      <a:pt x="161" y="107"/>
                                    </a:cubicBezTo>
                                    <a:cubicBezTo>
                                      <a:pt x="161" y="107"/>
                                      <a:pt x="161" y="107"/>
                                      <a:pt x="109" y="107"/>
                                    </a:cubicBezTo>
                                    <a:cubicBezTo>
                                      <a:pt x="107" y="107"/>
                                      <a:pt x="106" y="109"/>
                                      <a:pt x="106" y="111"/>
                                    </a:cubicBezTo>
                                    <a:cubicBezTo>
                                      <a:pt x="106" y="111"/>
                                      <a:pt x="106" y="111"/>
                                      <a:pt x="106" y="163"/>
                                    </a:cubicBezTo>
                                    <a:cubicBezTo>
                                      <a:pt x="106" y="163"/>
                                      <a:pt x="106" y="163"/>
                                      <a:pt x="62" y="163"/>
                                    </a:cubicBezTo>
                                    <a:cubicBezTo>
                                      <a:pt x="62" y="111"/>
                                      <a:pt x="62" y="111"/>
                                      <a:pt x="62" y="111"/>
                                    </a:cubicBezTo>
                                    <a:cubicBezTo>
                                      <a:pt x="62" y="109"/>
                                      <a:pt x="60" y="107"/>
                                      <a:pt x="59" y="107"/>
                                    </a:cubicBezTo>
                                    <a:cubicBezTo>
                                      <a:pt x="59" y="107"/>
                                      <a:pt x="59" y="107"/>
                                      <a:pt x="7" y="107"/>
                                    </a:cubicBezTo>
                                    <a:cubicBezTo>
                                      <a:pt x="7" y="107"/>
                                      <a:pt x="7" y="107"/>
                                      <a:pt x="7" y="62"/>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xmlns:w16du="http://schemas.microsoft.com/office/word/2023/wordml/word16du">
                  <w:pict>
                    <v:shape w14:anchorId="52A90A73" id="Freeform: Shape 424324717" o:spid="_x0000_s1026" alt="An icon of a medical cross." style="width:23pt;height:23pt;visibility:visible;mso-wrap-style:square;mso-left-percent:-10001;mso-top-percent:-10001;mso-position-horizontal:absolute;mso-position-horizontal-relative:char;mso-position-vertical:absolute;mso-position-vertical-relative:line;mso-left-percent:-10001;mso-top-percent:-10001;v-text-anchor:top" coordsize="16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" path="m3,114v,,,,52,c55,114,55,114,55,166v,2,2,4,4,4c59,170,59,170,109,170v2,,4,-2,4,-4c113,166,113,166,113,114v,,,,52,c166,114,168,113,168,111v,,,,,-52c168,57,166,55,165,55v,,,,-52,c113,55,113,55,113,3,113,1,111,,109,v,,,,-50,c57,,55,1,55,3v,,,,,52c55,55,55,55,3,55,1,55,,57,,59v,,,,,52c,113,1,114,3,114xm7,62v,,,,52,c60,62,62,60,62,59v,,,,,-52c62,7,62,7,106,7v,,,,,52c106,60,107,62,109,62v,,,,52,c161,62,161,62,161,107v,,,,-52,c107,107,106,109,106,111v,,,,,52c106,163,106,163,62,163v,-52,,-52,,-52c62,109,60,107,59,107v,,,,-52,c7,107,7,107,7,62xe" fillcolor="white [3212]" stroked="f">
                      <v:path arrowok="t" o:connecttype="custom" o:connectlocs="5220,196020;95697,196020;95697,285433;102657,292311;189654,292311;196614,285433;196614,196020;287091,196020;292311,190862;292311,101449;287091,94571;196614,94571;196614,5158;189654,0;102657,0;95697,5158;95697,94571;5220,94571;0,101449;0,190862;5220,196020;12180,106608;102657,106608;107877,101449;107877,12036;184434,12036;184434,101449;189654,106608;280131,106608;280131,183984;189654,183984;184434,190862;184434,280275;107877,280275;107877,190862;102657,183984;12180,183984;12180,106608" o:connectangles="0,0,0,0,0,0,0,0,0,0,0,0,0,0,0,0,0,0,0,0,0,0,0,0,0,0,0,0,0,0,0,0,0,0,0,0,0,0"/>
                      <o:lock v:ext="edit" aspectratio="t" verticies="t"/>
                      <w10:anchorlock/>
                    </v:shape>
                  </w:pict>
                </mc:Fallback>
              </mc:AlternateContent>
            </w:r>
          </w:p>
        </w:tc>
        <w:tc>
          <w:tcPr>
            <w:tcW w:w="794" w:type="pct"/>
            <w:shd w:val="clear" w:color="auto" w:fill="00264D" w:themeFill="background2"/>
            <w:vAlign w:val="center"/>
          </w:tcPr>
          <w:p w14:paraId="4A056EB3" w14:textId="77777777" w:rsidR="009B3576" w:rsidRPr="00042EC5" w:rsidRDefault="009B3576" w:rsidP="00075D8C">
            <w:pPr>
              <w:spacing w:before="40" w:after="40"/>
              <w:rPr>
                <w:rFonts w:asciiTheme="majorHAnsi" w:hAnsiTheme="majorHAnsi" w:cstheme="majorHAnsi"/>
                <w:sz w:val="18"/>
                <w:szCs w:val="20"/>
                <w:lang w:eastAsia="en-AU"/>
              </w:rPr>
            </w:pPr>
            <w:r w:rsidRPr="00042EC5">
              <w:rPr>
                <w:rFonts w:asciiTheme="majorHAnsi" w:hAnsiTheme="majorHAnsi" w:cstheme="majorHAnsi"/>
                <w:sz w:val="18"/>
                <w:szCs w:val="20"/>
                <w:lang w:eastAsia="en-AU"/>
              </w:rPr>
              <w:t>Private health insurance providers</w:t>
            </w:r>
          </w:p>
        </w:tc>
        <w:tc>
          <w:tcPr>
            <w:tcW w:w="3652" w:type="pct"/>
          </w:tcPr>
          <w:p w14:paraId="4D749647" w14:textId="47E1E3E0" w:rsidR="009B3576" w:rsidRDefault="009B3576" w:rsidP="00075D8C">
            <w:pPr>
              <w:pStyle w:val="TableNBullet"/>
            </w:pPr>
            <w:r>
              <w:t>Insurers review claims relating to PL listed devices</w:t>
            </w:r>
            <w:r w:rsidR="00234C6B">
              <w:t>.</w:t>
            </w:r>
          </w:p>
          <w:p w14:paraId="0CB6060D" w14:textId="18D72170" w:rsidR="009B3576" w:rsidRDefault="009B3576" w:rsidP="00075D8C">
            <w:pPr>
              <w:pStyle w:val="TableNBullet"/>
            </w:pPr>
            <w:r w:rsidRPr="3787E91E">
              <w:t>Private health insurers are required to pay prescribed benefits to private healthcare providers when a PL</w:t>
            </w:r>
            <w:r w:rsidR="00793D09" w:rsidRPr="3787E91E">
              <w:t>-</w:t>
            </w:r>
            <w:r w:rsidRPr="3787E91E">
              <w:t xml:space="preserve">listed </w:t>
            </w:r>
            <w:r w:rsidR="00793D09" w:rsidRPr="3787E91E">
              <w:t>item</w:t>
            </w:r>
            <w:r w:rsidRPr="3787E91E">
              <w:t xml:space="preserve"> is used for an insured patient</w:t>
            </w:r>
            <w:r w:rsidR="00234C6B" w:rsidRPr="3787E91E">
              <w:t>.</w:t>
            </w:r>
          </w:p>
          <w:p w14:paraId="3E12D58C" w14:textId="2116D6FA" w:rsidR="009B3576" w:rsidRPr="002464FB" w:rsidRDefault="009B3576" w:rsidP="00075D8C">
            <w:pPr>
              <w:pStyle w:val="TableNBullet"/>
            </w:pPr>
            <w:r>
              <w:t xml:space="preserve">While insurers directly bear the financial burden of having to pay PL benefits, this cost is </w:t>
            </w:r>
            <w:r w:rsidR="00640E6D">
              <w:t>indirectly borne by</w:t>
            </w:r>
            <w:r>
              <w:t xml:space="preserve"> consumers through PHI premiums</w:t>
            </w:r>
            <w:r w:rsidR="00CB5AE5">
              <w:t>.</w:t>
            </w:r>
          </w:p>
        </w:tc>
      </w:tr>
      <w:tr w:rsidR="009B3576" w:rsidRPr="002464FB" w14:paraId="15540436" w14:textId="77777777" w:rsidTr="3787E91E">
        <w:trPr>
          <w:trHeight w:val="857"/>
        </w:trPr>
        <w:tc>
          <w:tcPr>
            <w:tcW w:w="554" w:type="pct"/>
            <w:shd w:val="clear" w:color="auto" w:fill="00264D" w:themeFill="background2"/>
            <w:vAlign w:val="center"/>
          </w:tcPr>
          <w:p w14:paraId="0B4741F4" w14:textId="77777777" w:rsidR="009B3576" w:rsidRPr="002464FB" w:rsidRDefault="009B3576" w:rsidP="00075D8C">
            <w:pPr>
              <w:spacing w:before="40" w:after="40"/>
              <w:jc w:val="center"/>
              <w:rPr>
                <w:i/>
                <w:iCs/>
                <w:lang w:eastAsia="en-AU"/>
              </w:rPr>
            </w:pPr>
            <w:r w:rsidRPr="002464FB">
              <w:rPr>
                <w:i/>
                <w:iCs/>
                <w:noProof/>
                <w:lang w:eastAsia="en-AU"/>
              </w:rPr>
              <w:drawing>
                <wp:inline distT="0" distB="0" distL="0" distR="0" wp14:anchorId="44B36784" wp14:editId="5B8B21ED">
                  <wp:extent cx="309245" cy="336734"/>
                  <wp:effectExtent l="0" t="0" r="0" b="6350"/>
                  <wp:docPr id="500453965" name="Graphic 500453965" descr="An icon of a microscope.">
                    <a:extLst xmlns:a="http://schemas.openxmlformats.org/drawingml/2006/main">
                      <a:ext uri="{FF2B5EF4-FFF2-40B4-BE49-F238E27FC236}">
                        <a16:creationId xmlns:a16="http://schemas.microsoft.com/office/drawing/2014/main" id="{50353443-A9C9-4A55-9DDE-0A8CFA2D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53965" name="Graphic 500453965" descr="An icon of a microscope.">
                            <a:extLst>
                              <a:ext uri="{FF2B5EF4-FFF2-40B4-BE49-F238E27FC236}">
                                <a16:creationId xmlns:a16="http://schemas.microsoft.com/office/drawing/2014/main" id="{50353443-A9C9-4A55-9DDE-0A8CFA2D5132}"/>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319264" cy="347644"/>
                          </a:xfrm>
                          <a:prstGeom prst="rect">
                            <a:avLst/>
                          </a:prstGeom>
                        </pic:spPr>
                      </pic:pic>
                    </a:graphicData>
                  </a:graphic>
                </wp:inline>
              </w:drawing>
            </w:r>
          </w:p>
        </w:tc>
        <w:tc>
          <w:tcPr>
            <w:tcW w:w="794" w:type="pct"/>
            <w:shd w:val="clear" w:color="auto" w:fill="00264D" w:themeFill="background2"/>
            <w:vAlign w:val="center"/>
          </w:tcPr>
          <w:p w14:paraId="47B9DC52" w14:textId="77777777" w:rsidR="009B3576" w:rsidRPr="00042EC5" w:rsidRDefault="009B3576" w:rsidP="00075D8C">
            <w:pPr>
              <w:spacing w:before="40" w:after="40"/>
              <w:rPr>
                <w:rFonts w:asciiTheme="majorHAnsi" w:hAnsiTheme="majorHAnsi" w:cstheme="majorHAnsi"/>
                <w:sz w:val="18"/>
                <w:szCs w:val="20"/>
                <w:lang w:eastAsia="en-AU"/>
              </w:rPr>
            </w:pPr>
            <w:r w:rsidRPr="00042EC5">
              <w:rPr>
                <w:rFonts w:asciiTheme="majorHAnsi" w:hAnsiTheme="majorHAnsi" w:cstheme="majorHAnsi"/>
                <w:sz w:val="18"/>
                <w:szCs w:val="20"/>
                <w:lang w:eastAsia="en-AU"/>
              </w:rPr>
              <w:t>Medical technology companies</w:t>
            </w:r>
          </w:p>
        </w:tc>
        <w:tc>
          <w:tcPr>
            <w:tcW w:w="3652" w:type="pct"/>
          </w:tcPr>
          <w:p w14:paraId="1595AA2B" w14:textId="7896BFBF" w:rsidR="005E3591" w:rsidRDefault="008D3B55" w:rsidP="4E4B772B">
            <w:pPr>
              <w:pStyle w:val="TableNBullet"/>
              <w:numPr>
                <w:ilvl w:val="0"/>
                <w:numId w:val="0"/>
              </w:numPr>
            </w:pPr>
            <w:r w:rsidRPr="3787E91E">
              <w:t xml:space="preserve">Device sponsors apply to list billing codes (potentially comprising </w:t>
            </w:r>
            <w:r w:rsidR="28F2C37D" w:rsidRPr="3787E91E">
              <w:t>many</w:t>
            </w:r>
            <w:r w:rsidRPr="3787E91E">
              <w:t xml:space="preserve"> </w:t>
            </w:r>
            <w:r w:rsidR="00E944A8" w:rsidRPr="3787E91E">
              <w:t xml:space="preserve">individual devices with </w:t>
            </w:r>
            <w:r w:rsidR="005711AF" w:rsidRPr="3787E91E">
              <w:t xml:space="preserve">common clinical use) </w:t>
            </w:r>
            <w:r w:rsidR="00AE5BB5" w:rsidRPr="3787E91E">
              <w:t>on the PL.</w:t>
            </w:r>
          </w:p>
          <w:p w14:paraId="404615D9" w14:textId="04942703" w:rsidR="009B3576" w:rsidRDefault="009B3576" w:rsidP="00075D8C">
            <w:pPr>
              <w:pStyle w:val="TableNBullet"/>
            </w:pPr>
            <w:r>
              <w:t xml:space="preserve">The PL streamlines sponsors’ ability to supply products to the Australian </w:t>
            </w:r>
            <w:r w:rsidR="00A60869">
              <w:t xml:space="preserve">private </w:t>
            </w:r>
            <w:r>
              <w:t>health care system</w:t>
            </w:r>
            <w:r w:rsidR="00CB5AE5">
              <w:t>.</w:t>
            </w:r>
          </w:p>
          <w:p w14:paraId="45C246B1" w14:textId="624633D0" w:rsidR="009B3576" w:rsidRDefault="009B3576" w:rsidP="00075D8C">
            <w:pPr>
              <w:pStyle w:val="TableNBullet"/>
            </w:pPr>
            <w:r w:rsidRPr="3787E91E">
              <w:t>The PL provides a degree of pricing certainty for sponsors, which encourages the upfront investment required to enter Australian market</w:t>
            </w:r>
            <w:r w:rsidR="00CB5AE5" w:rsidRPr="3787E91E">
              <w:t>.</w:t>
            </w:r>
          </w:p>
          <w:p w14:paraId="5BC0FA6D" w14:textId="3A3EB04B" w:rsidR="009B3576" w:rsidRPr="002464FB" w:rsidRDefault="000E1F7F" w:rsidP="00075D8C">
            <w:pPr>
              <w:pStyle w:val="TableNBullet"/>
            </w:pPr>
            <w:r>
              <w:t xml:space="preserve">The </w:t>
            </w:r>
            <w:r w:rsidR="00340EE2">
              <w:t xml:space="preserve">PL </w:t>
            </w:r>
            <w:r>
              <w:t>benefit</w:t>
            </w:r>
            <w:r w:rsidR="00340EE2">
              <w:t xml:space="preserve">s are set at a level that promotes and supports </w:t>
            </w:r>
            <w:r w:rsidR="000A1D95">
              <w:t xml:space="preserve">medical technology innovation </w:t>
            </w:r>
            <w:r w:rsidR="006744BE">
              <w:t>in Australia</w:t>
            </w:r>
            <w:r w:rsidR="009353A9">
              <w:t>.</w:t>
            </w:r>
          </w:p>
        </w:tc>
      </w:tr>
      <w:tr w:rsidR="009B3576" w:rsidRPr="002464FB" w14:paraId="4B61F1E6" w14:textId="77777777" w:rsidTr="3787E91E">
        <w:trPr>
          <w:trHeight w:val="56"/>
        </w:trPr>
        <w:tc>
          <w:tcPr>
            <w:tcW w:w="554" w:type="pct"/>
            <w:shd w:val="clear" w:color="auto" w:fill="00264D" w:themeFill="background2"/>
            <w:vAlign w:val="center"/>
          </w:tcPr>
          <w:p w14:paraId="53325293" w14:textId="77777777" w:rsidR="009B3576" w:rsidRPr="002464FB" w:rsidRDefault="009B3576" w:rsidP="00075D8C">
            <w:pPr>
              <w:spacing w:before="40" w:after="40"/>
              <w:jc w:val="center"/>
              <w:rPr>
                <w:i/>
                <w:iCs/>
                <w:lang w:eastAsia="en-AU"/>
              </w:rPr>
            </w:pPr>
            <w:r w:rsidRPr="002464FB">
              <w:rPr>
                <w:i/>
                <w:iCs/>
                <w:noProof/>
                <w:lang w:eastAsia="en-AU"/>
              </w:rPr>
              <w:drawing>
                <wp:inline distT="0" distB="0" distL="0" distR="0" wp14:anchorId="09F82340" wp14:editId="032607B5">
                  <wp:extent cx="267970" cy="323215"/>
                  <wp:effectExtent l="0" t="0" r="0" b="635"/>
                  <wp:docPr id="584260458" name="Picture 584260458" descr="An icon of a clin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260458" name="Picture 584260458" descr="An icon of a clinici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794" w:type="pct"/>
            <w:shd w:val="clear" w:color="auto" w:fill="00264D" w:themeFill="background2"/>
            <w:vAlign w:val="center"/>
          </w:tcPr>
          <w:p w14:paraId="4C96ABC4" w14:textId="77777777" w:rsidR="009B3576" w:rsidRPr="00042EC5" w:rsidRDefault="009B3576" w:rsidP="00075D8C">
            <w:pPr>
              <w:spacing w:before="40" w:after="40"/>
              <w:rPr>
                <w:rFonts w:asciiTheme="majorHAnsi" w:hAnsiTheme="majorHAnsi" w:cstheme="majorHAnsi"/>
                <w:sz w:val="18"/>
                <w:szCs w:val="20"/>
                <w:lang w:eastAsia="en-AU"/>
              </w:rPr>
            </w:pPr>
            <w:r w:rsidRPr="00042EC5">
              <w:rPr>
                <w:rFonts w:asciiTheme="majorHAnsi" w:hAnsiTheme="majorHAnsi" w:cstheme="majorHAnsi"/>
                <w:sz w:val="18"/>
                <w:szCs w:val="20"/>
                <w:lang w:eastAsia="en-AU"/>
              </w:rPr>
              <w:t>Clinicians</w:t>
            </w:r>
          </w:p>
        </w:tc>
        <w:tc>
          <w:tcPr>
            <w:tcW w:w="3652" w:type="pct"/>
          </w:tcPr>
          <w:p w14:paraId="4B485A4A" w14:textId="6EE5BCED" w:rsidR="009B3576" w:rsidRDefault="009B3576" w:rsidP="4F283CD0">
            <w:pPr>
              <w:pStyle w:val="TableNBullet"/>
              <w:numPr>
                <w:ilvl w:val="0"/>
                <w:numId w:val="0"/>
              </w:numPr>
            </w:pPr>
            <w:r w:rsidRPr="002942D9">
              <w:t xml:space="preserve">Clinicians </w:t>
            </w:r>
            <w:r w:rsidR="5F4CE575">
              <w:t>can</w:t>
            </w:r>
            <w:r w:rsidR="00BF2B9E">
              <w:t xml:space="preserve"> select PL-listed items for use in privately funded episodes of care</w:t>
            </w:r>
            <w:r w:rsidR="00CB5AE5">
              <w:t>.</w:t>
            </w:r>
          </w:p>
          <w:p w14:paraId="31BCABCA" w14:textId="4ED9D610" w:rsidR="009B3576" w:rsidRDefault="009B3576" w:rsidP="00075D8C">
            <w:pPr>
              <w:pStyle w:val="TableNBullet"/>
            </w:pPr>
            <w:r w:rsidRPr="3787E91E">
              <w:t xml:space="preserve">The PL provides a mechanism through which access to medical devices and human tissue products is </w:t>
            </w:r>
            <w:r w:rsidR="006D6061" w:rsidRPr="3787E91E">
              <w:t>ensured</w:t>
            </w:r>
            <w:r w:rsidR="00CB5AE5" w:rsidRPr="3787E91E">
              <w:t>.</w:t>
            </w:r>
          </w:p>
          <w:p w14:paraId="2E17353B" w14:textId="2B0D813D" w:rsidR="009B3576" w:rsidRPr="002464FB" w:rsidRDefault="009B3576" w:rsidP="00075D8C">
            <w:pPr>
              <w:pStyle w:val="TableNBullet"/>
            </w:pPr>
            <w:r w:rsidRPr="001D75E4">
              <w:t>In some settings, the clinician is not financially involved in the supply and reimbursement arrangements</w:t>
            </w:r>
            <w:r w:rsidR="00181C55">
              <w:t>,</w:t>
            </w:r>
            <w:r>
              <w:t xml:space="preserve"> </w:t>
            </w:r>
            <w:r w:rsidR="00181C55">
              <w:t>however</w:t>
            </w:r>
            <w:r>
              <w:t xml:space="preserve"> i</w:t>
            </w:r>
            <w:r w:rsidRPr="001D75E4">
              <w:t xml:space="preserve">n other settings, the clinician might have </w:t>
            </w:r>
            <w:r w:rsidR="00793A64">
              <w:t xml:space="preserve">a degree of </w:t>
            </w:r>
            <w:r w:rsidRPr="001D75E4">
              <w:t>ownership of the clinic or practice, or otherwise have a</w:t>
            </w:r>
            <w:r>
              <w:t>n</w:t>
            </w:r>
            <w:r w:rsidRPr="001D75E4">
              <w:t xml:space="preserve"> interest in </w:t>
            </w:r>
            <w:r>
              <w:t>the</w:t>
            </w:r>
            <w:r w:rsidRPr="001D75E4">
              <w:t xml:space="preserve"> profitability of </w:t>
            </w:r>
            <w:r>
              <w:t>the</w:t>
            </w:r>
            <w:r w:rsidRPr="001D75E4">
              <w:t xml:space="preserve"> health services they provide</w:t>
            </w:r>
            <w:r w:rsidR="00CB5AE5">
              <w:t>.</w:t>
            </w:r>
          </w:p>
        </w:tc>
      </w:tr>
      <w:tr w:rsidR="009B3576" w:rsidRPr="002464FB" w14:paraId="5C32D062" w14:textId="77777777" w:rsidTr="3787E91E">
        <w:trPr>
          <w:trHeight w:val="757"/>
        </w:trPr>
        <w:tc>
          <w:tcPr>
            <w:tcW w:w="554" w:type="pct"/>
            <w:shd w:val="clear" w:color="auto" w:fill="00264D" w:themeFill="background2"/>
            <w:vAlign w:val="center"/>
          </w:tcPr>
          <w:p w14:paraId="0789D9C0" w14:textId="77777777" w:rsidR="009B3576" w:rsidRPr="002464FB" w:rsidRDefault="009B3576" w:rsidP="00075D8C">
            <w:pPr>
              <w:spacing w:before="40" w:after="40"/>
              <w:jc w:val="center"/>
              <w:rPr>
                <w:i/>
                <w:iCs/>
                <w:lang w:eastAsia="en-AU"/>
              </w:rPr>
            </w:pPr>
            <w:r w:rsidRPr="002464FB">
              <w:rPr>
                <w:i/>
                <w:iCs/>
                <w:noProof/>
                <w:lang w:eastAsia="en-AU"/>
              </w:rPr>
              <w:drawing>
                <wp:inline distT="0" distB="0" distL="0" distR="0" wp14:anchorId="64C84427" wp14:editId="5E68CFB4">
                  <wp:extent cx="365760" cy="286385"/>
                  <wp:effectExtent l="0" t="0" r="0" b="0"/>
                  <wp:docPr id="2086932839" name="Picture 2086932839" descr="An icon of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32839" name="Picture 2086932839" descr="An icon of a group of peop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 cy="286385"/>
                          </a:xfrm>
                          <a:prstGeom prst="rect">
                            <a:avLst/>
                          </a:prstGeom>
                          <a:noFill/>
                        </pic:spPr>
                      </pic:pic>
                    </a:graphicData>
                  </a:graphic>
                </wp:inline>
              </w:drawing>
            </w:r>
          </w:p>
        </w:tc>
        <w:tc>
          <w:tcPr>
            <w:tcW w:w="794" w:type="pct"/>
            <w:shd w:val="clear" w:color="auto" w:fill="00264D" w:themeFill="background2"/>
            <w:vAlign w:val="center"/>
          </w:tcPr>
          <w:p w14:paraId="4E736262" w14:textId="77777777" w:rsidR="009B3576" w:rsidRPr="00042EC5" w:rsidRDefault="009B3576" w:rsidP="00075D8C">
            <w:pPr>
              <w:spacing w:before="40" w:after="40"/>
              <w:rPr>
                <w:rFonts w:asciiTheme="majorHAnsi" w:hAnsiTheme="majorHAnsi" w:cstheme="majorHAnsi"/>
                <w:sz w:val="18"/>
                <w:szCs w:val="20"/>
                <w:lang w:eastAsia="en-AU"/>
              </w:rPr>
            </w:pPr>
            <w:r w:rsidRPr="00042EC5">
              <w:rPr>
                <w:rFonts w:asciiTheme="majorHAnsi" w:hAnsiTheme="majorHAnsi" w:cstheme="majorHAnsi"/>
                <w:sz w:val="18"/>
                <w:szCs w:val="20"/>
                <w:lang w:eastAsia="en-AU"/>
              </w:rPr>
              <w:t>Prostheses List Advisory Committee</w:t>
            </w:r>
          </w:p>
        </w:tc>
        <w:tc>
          <w:tcPr>
            <w:tcW w:w="3652" w:type="pct"/>
          </w:tcPr>
          <w:p w14:paraId="3B9215F4" w14:textId="1BDF3672" w:rsidR="009B3576" w:rsidRPr="00763AAA" w:rsidRDefault="009B3576" w:rsidP="3787E91E">
            <w:pPr>
              <w:pStyle w:val="TableNBullet"/>
              <w:rPr>
                <w:i/>
                <w:iCs/>
              </w:rPr>
            </w:pPr>
            <w:bookmarkStart w:id="16" w:name="_Hlk160368173"/>
            <w:r w:rsidRPr="3787E91E">
              <w:t>The PLAC exists to provide advice to the Department and Minister regarding the devices that should be listed on the PL, a</w:t>
            </w:r>
            <w:r w:rsidR="00B97976" w:rsidRPr="3787E91E">
              <w:t>nd</w:t>
            </w:r>
            <w:r w:rsidRPr="3787E91E">
              <w:t xml:space="preserve"> the </w:t>
            </w:r>
            <w:r w:rsidR="00B97976" w:rsidRPr="3787E91E">
              <w:t xml:space="preserve">appropriate </w:t>
            </w:r>
            <w:r w:rsidRPr="3787E91E">
              <w:t>benefit</w:t>
            </w:r>
            <w:r w:rsidR="0017175B" w:rsidRPr="3787E91E">
              <w:t xml:space="preserve"> </w:t>
            </w:r>
            <w:r w:rsidR="000E20F9" w:rsidRPr="3787E91E">
              <w:t>levels for them</w:t>
            </w:r>
            <w:r w:rsidR="003B5743" w:rsidRPr="3787E91E">
              <w:t>.</w:t>
            </w:r>
          </w:p>
          <w:p w14:paraId="1C895948" w14:textId="66555E10" w:rsidR="009B3576" w:rsidRPr="004F75AD" w:rsidRDefault="009B3576" w:rsidP="00075D8C">
            <w:pPr>
              <w:pStyle w:val="TableNBullet"/>
              <w:rPr>
                <w:i/>
                <w:iCs/>
              </w:rPr>
            </w:pPr>
            <w:r>
              <w:t>Clinical Advisory Groups (CAGs) are subcommittees of the PLAC that undertake health technology assessments and provide advice to the full PLAC</w:t>
            </w:r>
            <w:r w:rsidR="00BE599E">
              <w:t>.</w:t>
            </w:r>
            <w:bookmarkEnd w:id="16"/>
          </w:p>
        </w:tc>
      </w:tr>
    </w:tbl>
    <w:p w14:paraId="0DE46AE0" w14:textId="77777777" w:rsidR="0011671C" w:rsidRDefault="0011671C" w:rsidP="0011671C">
      <w:pPr>
        <w:rPr>
          <w:szCs w:val="19"/>
          <w:lang w:eastAsia="en-AU"/>
        </w:rPr>
      </w:pPr>
    </w:p>
    <w:p w14:paraId="6659A987" w14:textId="4B9EDFE7" w:rsidR="00F62C97" w:rsidRDefault="008E50CB" w:rsidP="00F62C97">
      <w:pPr>
        <w:rPr>
          <w:lang w:eastAsia="en-AU"/>
        </w:rPr>
      </w:pPr>
      <w:r w:rsidRPr="59647831">
        <w:rPr>
          <w:lang w:eastAsia="en-AU"/>
        </w:rPr>
        <w:t xml:space="preserve">These stakeholders have expressed </w:t>
      </w:r>
      <w:r w:rsidR="00F62C97">
        <w:rPr>
          <w:lang w:eastAsia="en-AU"/>
        </w:rPr>
        <w:t xml:space="preserve">a range of perspectives on the PL as it </w:t>
      </w:r>
      <w:r>
        <w:rPr>
          <w:lang w:eastAsia="en-AU"/>
        </w:rPr>
        <w:t>existed</w:t>
      </w:r>
      <w:r w:rsidR="00F62C97">
        <w:rPr>
          <w:lang w:eastAsia="en-AU"/>
        </w:rPr>
        <w:t xml:space="preserve"> prior to the reform program. </w:t>
      </w:r>
      <w:r w:rsidR="00C6097E">
        <w:rPr>
          <w:lang w:eastAsia="en-AU"/>
        </w:rPr>
        <w:t>This occurred through</w:t>
      </w:r>
      <w:r w:rsidR="00F62C97">
        <w:rPr>
          <w:lang w:eastAsia="en-AU"/>
        </w:rPr>
        <w:t xml:space="preserve"> formal responses to public consultation papers and inquiry processes </w:t>
      </w:r>
      <w:r w:rsidR="00C6097E">
        <w:rPr>
          <w:lang w:eastAsia="en-AU"/>
        </w:rPr>
        <w:t xml:space="preserve">(such as those listed in </w:t>
      </w:r>
      <w:r w:rsidR="008340FF">
        <w:rPr>
          <w:lang w:eastAsia="en-AU"/>
        </w:rPr>
        <w:t>s</w:t>
      </w:r>
      <w:r w:rsidR="00C6097E">
        <w:rPr>
          <w:lang w:eastAsia="en-AU"/>
        </w:rPr>
        <w:t xml:space="preserve">ection </w:t>
      </w:r>
      <w:r w:rsidR="00AB35B6">
        <w:rPr>
          <w:lang w:eastAsia="en-AU"/>
        </w:rPr>
        <w:fldChar w:fldCharType="begin"/>
      </w:r>
      <w:r w:rsidR="00AB35B6">
        <w:rPr>
          <w:lang w:eastAsia="en-AU"/>
        </w:rPr>
        <w:instrText xml:space="preserve"> REF _Ref160451713 \r \h </w:instrText>
      </w:r>
      <w:r w:rsidR="00AB35B6">
        <w:rPr>
          <w:lang w:eastAsia="en-AU"/>
        </w:rPr>
      </w:r>
      <w:r w:rsidR="00AB35B6">
        <w:rPr>
          <w:lang w:eastAsia="en-AU"/>
        </w:rPr>
        <w:fldChar w:fldCharType="separate"/>
      </w:r>
      <w:r w:rsidR="00026714">
        <w:rPr>
          <w:lang w:eastAsia="en-AU"/>
        </w:rPr>
        <w:t>2.1</w:t>
      </w:r>
      <w:r w:rsidR="00AB35B6">
        <w:rPr>
          <w:lang w:eastAsia="en-AU"/>
        </w:rPr>
        <w:fldChar w:fldCharType="end"/>
      </w:r>
      <w:r w:rsidR="00F62C97">
        <w:rPr>
          <w:lang w:eastAsia="en-AU"/>
        </w:rPr>
        <w:t xml:space="preserve">). As part of the development of </w:t>
      </w:r>
      <w:r w:rsidR="00414DDE">
        <w:rPr>
          <w:lang w:eastAsia="en-AU"/>
        </w:rPr>
        <w:t>this</w:t>
      </w:r>
      <w:r w:rsidR="00B42AB9">
        <w:rPr>
          <w:lang w:eastAsia="en-AU"/>
        </w:rPr>
        <w:t xml:space="preserve"> baseline</w:t>
      </w:r>
      <w:r w:rsidR="00F62C97">
        <w:rPr>
          <w:lang w:eastAsia="en-AU"/>
        </w:rPr>
        <w:t xml:space="preserve"> report, the evaluation team ha</w:t>
      </w:r>
      <w:r w:rsidR="00B42AB9">
        <w:rPr>
          <w:lang w:eastAsia="en-AU"/>
        </w:rPr>
        <w:t>s</w:t>
      </w:r>
      <w:r w:rsidR="00F62C97">
        <w:rPr>
          <w:lang w:eastAsia="en-AU"/>
        </w:rPr>
        <w:t xml:space="preserve"> reviewed these submissions</w:t>
      </w:r>
      <w:r w:rsidR="003D3215">
        <w:rPr>
          <w:lang w:eastAsia="en-AU"/>
        </w:rPr>
        <w:t xml:space="preserve"> </w:t>
      </w:r>
      <w:r w:rsidR="00B42AB9">
        <w:rPr>
          <w:lang w:eastAsia="en-AU"/>
        </w:rPr>
        <w:t>and spoken</w:t>
      </w:r>
      <w:r w:rsidR="00F62C97">
        <w:rPr>
          <w:lang w:eastAsia="en-AU"/>
        </w:rPr>
        <w:t xml:space="preserve"> directly to </w:t>
      </w:r>
      <w:r w:rsidR="003D3215">
        <w:rPr>
          <w:lang w:eastAsia="en-AU"/>
        </w:rPr>
        <w:t xml:space="preserve">representatives of each </w:t>
      </w:r>
      <w:r w:rsidR="00F62C97">
        <w:rPr>
          <w:lang w:eastAsia="en-AU"/>
        </w:rPr>
        <w:t xml:space="preserve">stakeholder group. </w:t>
      </w:r>
    </w:p>
    <w:p w14:paraId="18C97C6F" w14:textId="3647B4E2" w:rsidR="00055640" w:rsidRDefault="003D3215" w:rsidP="00055640">
      <w:pPr>
        <w:rPr>
          <w:lang w:eastAsia="en-AU"/>
        </w:rPr>
      </w:pPr>
      <w:r w:rsidRPr="00984C50">
        <w:rPr>
          <w:noProof/>
          <w:lang w:eastAsia="en-AU"/>
        </w:rPr>
        <mc:AlternateContent>
          <mc:Choice Requires="wps">
            <w:drawing>
              <wp:anchor distT="0" distB="0" distL="114300" distR="114300" simplePos="0" relativeHeight="251658262" behindDoc="0" locked="0" layoutInCell="1" allowOverlap="1" wp14:anchorId="0DB31492" wp14:editId="76F4A13C">
                <wp:simplePos x="0" y="0"/>
                <wp:positionH relativeFrom="margin">
                  <wp:align>left</wp:align>
                </wp:positionH>
                <wp:positionV relativeFrom="paragraph">
                  <wp:posOffset>4445</wp:posOffset>
                </wp:positionV>
                <wp:extent cx="2066925" cy="1245870"/>
                <wp:effectExtent l="0" t="0" r="9525" b="0"/>
                <wp:wrapSquare wrapText="bothSides"/>
                <wp:docPr id="507" name="Text Box 5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66925" cy="1245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F30895" w14:textId="77777777" w:rsidR="00F62C97" w:rsidRDefault="00F62C97" w:rsidP="00F62C97">
                            <w:pPr>
                              <w:pStyle w:val="Callout"/>
                              <w:rPr>
                                <w:i/>
                                <w:iCs/>
                                <w:color w:val="F25E21" w:themeColor="accent2"/>
                                <w:sz w:val="20"/>
                                <w:szCs w:val="20"/>
                              </w:rPr>
                            </w:pPr>
                            <w:r w:rsidRPr="007152F0">
                              <w:rPr>
                                <w:i/>
                                <w:iCs/>
                                <w:color w:val="F25E21" w:themeColor="accent2"/>
                                <w:sz w:val="20"/>
                                <w:szCs w:val="20"/>
                              </w:rPr>
                              <w:t>“</w:t>
                            </w:r>
                            <w:r>
                              <w:rPr>
                                <w:i/>
                                <w:iCs/>
                                <w:color w:val="F25E21" w:themeColor="accent2"/>
                                <w:sz w:val="20"/>
                                <w:szCs w:val="20"/>
                              </w:rPr>
                              <w:t>T</w:t>
                            </w:r>
                            <w:r w:rsidRPr="007152F0">
                              <w:rPr>
                                <w:i/>
                                <w:iCs/>
                                <w:color w:val="F25E21" w:themeColor="accent2"/>
                                <w:sz w:val="20"/>
                                <w:szCs w:val="20"/>
                              </w:rPr>
                              <w:t>here is general support for reform,</w:t>
                            </w:r>
                            <w:r>
                              <w:rPr>
                                <w:i/>
                                <w:iCs/>
                                <w:color w:val="F25E21" w:themeColor="accent2"/>
                                <w:sz w:val="20"/>
                                <w:szCs w:val="20"/>
                              </w:rPr>
                              <w:t xml:space="preserve"> [but]</w:t>
                            </w:r>
                            <w:r w:rsidRPr="007152F0">
                              <w:rPr>
                                <w:i/>
                                <w:iCs/>
                                <w:color w:val="F25E21" w:themeColor="accent2"/>
                                <w:sz w:val="20"/>
                                <w:szCs w:val="20"/>
                              </w:rPr>
                              <w:t xml:space="preserve"> there is little agreement on the areas that require reform and how this should be </w:t>
                            </w:r>
                            <w:proofErr w:type="gramStart"/>
                            <w:r w:rsidRPr="007152F0">
                              <w:rPr>
                                <w:i/>
                                <w:iCs/>
                                <w:color w:val="F25E21" w:themeColor="accent2"/>
                                <w:sz w:val="20"/>
                                <w:szCs w:val="20"/>
                              </w:rPr>
                              <w:t>achieved</w:t>
                            </w:r>
                            <w:r>
                              <w:rPr>
                                <w:i/>
                                <w:iCs/>
                                <w:color w:val="F25E21" w:themeColor="accent2"/>
                                <w:sz w:val="20"/>
                                <w:szCs w:val="20"/>
                              </w:rPr>
                              <w:t>”</w:t>
                            </w:r>
                            <w:proofErr w:type="gramEnd"/>
                            <w:r>
                              <w:rPr>
                                <w:i/>
                                <w:iCs/>
                                <w:color w:val="F25E21" w:themeColor="accent2"/>
                                <w:sz w:val="20"/>
                                <w:szCs w:val="20"/>
                              </w:rPr>
                              <w:t xml:space="preserve"> </w:t>
                            </w:r>
                          </w:p>
                          <w:p w14:paraId="4A9CF24D" w14:textId="77777777" w:rsidR="00F62C97" w:rsidRPr="002D12AB" w:rsidRDefault="00F62C97" w:rsidP="00F62C97">
                            <w:pPr>
                              <w:pStyle w:val="Callout"/>
                              <w:rPr>
                                <w:rFonts w:asciiTheme="minorHAnsi" w:hAnsiTheme="minorHAnsi" w:cstheme="minorHAnsi"/>
                                <w:b/>
                                <w:bCs/>
                                <w:color w:val="00264D" w:themeColor="background2"/>
                                <w:sz w:val="14"/>
                                <w:szCs w:val="14"/>
                              </w:rPr>
                            </w:pPr>
                            <w:r w:rsidRPr="002D12AB">
                              <w:rPr>
                                <w:rFonts w:asciiTheme="minorHAnsi" w:hAnsiTheme="minorHAnsi" w:cstheme="minorHAnsi"/>
                                <w:b/>
                                <w:bCs/>
                                <w:color w:val="00264D" w:themeColor="background2"/>
                                <w:sz w:val="14"/>
                                <w:szCs w:val="14"/>
                              </w:rPr>
                              <w:t>Report of the 2017 Senate Inquiry into the Prostheses List Framework</w:t>
                            </w:r>
                          </w:p>
                          <w:p w14:paraId="02085A54" w14:textId="77777777" w:rsidR="00F62C97" w:rsidRDefault="00F62C97" w:rsidP="00F62C97">
                            <w:pPr>
                              <w:pStyle w:val="Callout"/>
                              <w:rPr>
                                <w:color w:val="F25E21" w:themeColor="accent2"/>
                              </w:rPr>
                            </w:pPr>
                          </w:p>
                          <w:p w14:paraId="157E00A4" w14:textId="77777777" w:rsidR="00F62C97" w:rsidRPr="00885462" w:rsidRDefault="00F62C97" w:rsidP="00F62C97">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B31492" id="Text Box 507" o:spid="_x0000_s1027" type="#_x0000_t202" alt="&quot;&quot;" style="position:absolute;margin-left:0;margin-top:.35pt;width:162.75pt;height:98.1pt;z-index:2516582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" fillcolor="white [3201]" stroked="f" strokeweight=".5pt">
                <v:textbox inset="0,,1mm">
                  <w:txbxContent>
                    <w:p w14:paraId="14F30895" w14:textId="77777777" w:rsidR="00F62C97" w:rsidRDefault="00F62C97" w:rsidP="00F62C97">
                      <w:pPr>
                        <w:pStyle w:val="Callout"/>
                        <w:rPr>
                          <w:i/>
                          <w:iCs/>
                          <w:color w:val="F25E21" w:themeColor="accent2"/>
                          <w:sz w:val="20"/>
                          <w:szCs w:val="20"/>
                        </w:rPr>
                      </w:pPr>
                      <w:r w:rsidRPr="007152F0">
                        <w:rPr>
                          <w:i/>
                          <w:iCs/>
                          <w:color w:val="F25E21" w:themeColor="accent2"/>
                          <w:sz w:val="20"/>
                          <w:szCs w:val="20"/>
                        </w:rPr>
                        <w:t>“</w:t>
                      </w:r>
                      <w:r>
                        <w:rPr>
                          <w:i/>
                          <w:iCs/>
                          <w:color w:val="F25E21" w:themeColor="accent2"/>
                          <w:sz w:val="20"/>
                          <w:szCs w:val="20"/>
                        </w:rPr>
                        <w:t>T</w:t>
                      </w:r>
                      <w:r w:rsidRPr="007152F0">
                        <w:rPr>
                          <w:i/>
                          <w:iCs/>
                          <w:color w:val="F25E21" w:themeColor="accent2"/>
                          <w:sz w:val="20"/>
                          <w:szCs w:val="20"/>
                        </w:rPr>
                        <w:t>here is general support for reform,</w:t>
                      </w:r>
                      <w:r>
                        <w:rPr>
                          <w:i/>
                          <w:iCs/>
                          <w:color w:val="F25E21" w:themeColor="accent2"/>
                          <w:sz w:val="20"/>
                          <w:szCs w:val="20"/>
                        </w:rPr>
                        <w:t xml:space="preserve"> [but]</w:t>
                      </w:r>
                      <w:r w:rsidRPr="007152F0">
                        <w:rPr>
                          <w:i/>
                          <w:iCs/>
                          <w:color w:val="F25E21" w:themeColor="accent2"/>
                          <w:sz w:val="20"/>
                          <w:szCs w:val="20"/>
                        </w:rPr>
                        <w:t xml:space="preserve"> there is little agreement on the areas that require reform and how this should be </w:t>
                      </w:r>
                      <w:proofErr w:type="gramStart"/>
                      <w:r w:rsidRPr="007152F0">
                        <w:rPr>
                          <w:i/>
                          <w:iCs/>
                          <w:color w:val="F25E21" w:themeColor="accent2"/>
                          <w:sz w:val="20"/>
                          <w:szCs w:val="20"/>
                        </w:rPr>
                        <w:t>achieved</w:t>
                      </w:r>
                      <w:r>
                        <w:rPr>
                          <w:i/>
                          <w:iCs/>
                          <w:color w:val="F25E21" w:themeColor="accent2"/>
                          <w:sz w:val="20"/>
                          <w:szCs w:val="20"/>
                        </w:rPr>
                        <w:t>”</w:t>
                      </w:r>
                      <w:proofErr w:type="gramEnd"/>
                      <w:r>
                        <w:rPr>
                          <w:i/>
                          <w:iCs/>
                          <w:color w:val="F25E21" w:themeColor="accent2"/>
                          <w:sz w:val="20"/>
                          <w:szCs w:val="20"/>
                        </w:rPr>
                        <w:t xml:space="preserve"> </w:t>
                      </w:r>
                    </w:p>
                    <w:p w14:paraId="4A9CF24D" w14:textId="77777777" w:rsidR="00F62C97" w:rsidRPr="002D12AB" w:rsidRDefault="00F62C97" w:rsidP="00F62C97">
                      <w:pPr>
                        <w:pStyle w:val="Callout"/>
                        <w:rPr>
                          <w:rFonts w:asciiTheme="minorHAnsi" w:hAnsiTheme="minorHAnsi" w:cstheme="minorHAnsi"/>
                          <w:b/>
                          <w:bCs/>
                          <w:color w:val="00264D" w:themeColor="background2"/>
                          <w:sz w:val="14"/>
                          <w:szCs w:val="14"/>
                        </w:rPr>
                      </w:pPr>
                      <w:r w:rsidRPr="002D12AB">
                        <w:rPr>
                          <w:rFonts w:asciiTheme="minorHAnsi" w:hAnsiTheme="minorHAnsi" w:cstheme="minorHAnsi"/>
                          <w:b/>
                          <w:bCs/>
                          <w:color w:val="00264D" w:themeColor="background2"/>
                          <w:sz w:val="14"/>
                          <w:szCs w:val="14"/>
                        </w:rPr>
                        <w:t>Report of the 2017 Senate Inquiry into the Prostheses List Framework</w:t>
                      </w:r>
                    </w:p>
                    <w:p w14:paraId="02085A54" w14:textId="77777777" w:rsidR="00F62C97" w:rsidRDefault="00F62C97" w:rsidP="00F62C97">
                      <w:pPr>
                        <w:pStyle w:val="Callout"/>
                        <w:rPr>
                          <w:color w:val="F25E21" w:themeColor="accent2"/>
                        </w:rPr>
                      </w:pPr>
                    </w:p>
                    <w:p w14:paraId="157E00A4" w14:textId="77777777" w:rsidR="00F62C97" w:rsidRPr="00885462" w:rsidRDefault="00F62C97" w:rsidP="00F62C97">
                      <w:pPr>
                        <w:pStyle w:val="Callout"/>
                        <w:rPr>
                          <w:color w:val="F25E21" w:themeColor="accent2"/>
                        </w:rPr>
                      </w:pPr>
                    </w:p>
                  </w:txbxContent>
                </v:textbox>
                <w10:wrap type="square" anchorx="margin"/>
              </v:shape>
            </w:pict>
          </mc:Fallback>
        </mc:AlternateContent>
      </w:r>
      <w:r w:rsidR="00055640">
        <w:rPr>
          <w:lang w:eastAsia="en-AU"/>
        </w:rPr>
        <w:t xml:space="preserve">In general, all stakeholder groups were able to point to both positive and negative elements of the PL arrangements. </w:t>
      </w:r>
      <w:r w:rsidR="0794B106">
        <w:rPr>
          <w:lang w:eastAsia="en-AU"/>
        </w:rPr>
        <w:t>Proposed reform</w:t>
      </w:r>
      <w:r w:rsidR="00055640">
        <w:rPr>
          <w:lang w:eastAsia="en-AU"/>
        </w:rPr>
        <w:t xml:space="preserve"> arrangements were contentious, with strong support </w:t>
      </w:r>
      <w:r w:rsidR="69924E68">
        <w:rPr>
          <w:lang w:eastAsia="en-AU"/>
        </w:rPr>
        <w:t>and fierce criticism varying by stakeholder group depending on the prop</w:t>
      </w:r>
      <w:r w:rsidR="78305D67">
        <w:rPr>
          <w:lang w:eastAsia="en-AU"/>
        </w:rPr>
        <w:t>osed</w:t>
      </w:r>
      <w:r w:rsidR="69924E68">
        <w:rPr>
          <w:lang w:eastAsia="en-AU"/>
        </w:rPr>
        <w:t xml:space="preserve"> reform</w:t>
      </w:r>
      <w:r w:rsidR="00055640">
        <w:rPr>
          <w:lang w:eastAsia="en-AU"/>
        </w:rPr>
        <w:t>.</w:t>
      </w:r>
      <w:r w:rsidR="69924E68">
        <w:rPr>
          <w:lang w:eastAsia="en-AU"/>
        </w:rPr>
        <w:t xml:space="preserve"> </w:t>
      </w:r>
      <w:r w:rsidR="00055640">
        <w:rPr>
          <w:lang w:eastAsia="en-AU"/>
        </w:rPr>
        <w:t xml:space="preserve">A summary of written stakeholder statements summarising some of these different positions can be found in </w:t>
      </w:r>
      <w:r w:rsidR="00055640">
        <w:rPr>
          <w:lang w:eastAsia="en-AU"/>
        </w:rPr>
        <w:fldChar w:fldCharType="begin"/>
      </w:r>
      <w:r w:rsidR="00055640">
        <w:rPr>
          <w:lang w:eastAsia="en-AU"/>
        </w:rPr>
        <w:instrText xml:space="preserve"> REF _Ref150513686 \h </w:instrText>
      </w:r>
      <w:r w:rsidR="00055640">
        <w:rPr>
          <w:lang w:eastAsia="en-AU"/>
        </w:rPr>
      </w:r>
      <w:r w:rsidR="00055640">
        <w:rPr>
          <w:lang w:eastAsia="en-AU"/>
        </w:rPr>
        <w:fldChar w:fldCharType="separate"/>
      </w:r>
      <w:r w:rsidR="00026714">
        <w:t xml:space="preserve">Figure </w:t>
      </w:r>
      <w:r w:rsidR="00026714">
        <w:rPr>
          <w:noProof/>
        </w:rPr>
        <w:t>1</w:t>
      </w:r>
      <w:r w:rsidR="00055640">
        <w:rPr>
          <w:lang w:eastAsia="en-AU"/>
        </w:rPr>
        <w:fldChar w:fldCharType="end"/>
      </w:r>
      <w:r w:rsidR="00055640">
        <w:rPr>
          <w:lang w:eastAsia="en-AU"/>
        </w:rPr>
        <w:t xml:space="preserve">. </w:t>
      </w:r>
    </w:p>
    <w:p w14:paraId="04B76061" w14:textId="55A8A22B" w:rsidR="00055640" w:rsidRDefault="00055640" w:rsidP="00055640">
      <w:pPr>
        <w:rPr>
          <w:lang w:eastAsia="en-AU"/>
        </w:rPr>
      </w:pPr>
      <w:r>
        <w:rPr>
          <w:lang w:eastAsia="en-AU"/>
        </w:rPr>
        <w:t xml:space="preserve">Medical device companies were </w:t>
      </w:r>
      <w:r w:rsidR="00A054E0">
        <w:rPr>
          <w:lang w:eastAsia="en-AU"/>
        </w:rPr>
        <w:t>generall</w:t>
      </w:r>
      <w:r w:rsidR="00F62C97">
        <w:rPr>
          <w:lang w:eastAsia="en-AU"/>
        </w:rPr>
        <w:t>y</w:t>
      </w:r>
      <w:r>
        <w:rPr>
          <w:lang w:eastAsia="en-AU"/>
        </w:rPr>
        <w:t xml:space="preserve"> supportive of the overall pre-reform PL arrangements. </w:t>
      </w:r>
      <w:r w:rsidRPr="00505185">
        <w:rPr>
          <w:lang w:eastAsia="en-AU"/>
        </w:rPr>
        <w:t>In their submission to the 2017 Senate Inquiry into the Prostheses List Framework</w:t>
      </w:r>
      <w:r>
        <w:rPr>
          <w:lang w:eastAsia="en-AU"/>
        </w:rPr>
        <w:t xml:space="preserve">, the </w:t>
      </w:r>
      <w:r w:rsidR="00F95E46">
        <w:rPr>
          <w:lang w:eastAsia="en-AU"/>
        </w:rPr>
        <w:t>MTAA</w:t>
      </w:r>
      <w:r>
        <w:rPr>
          <w:lang w:eastAsia="en-AU"/>
        </w:rPr>
        <w:t xml:space="preserve"> (which represents the manufacturers and suppliers of medical technology) wrote that, “The introduction of the PL framework has successfully addressed the earlier policy failures relating to certainty, cost and inflation”. </w:t>
      </w:r>
    </w:p>
    <w:p w14:paraId="09F9299B" w14:textId="77C5FC2D" w:rsidR="00055640" w:rsidRPr="00F76109" w:rsidRDefault="00055640" w:rsidP="00055640">
      <w:pPr>
        <w:rPr>
          <w:lang w:eastAsia="en-AU"/>
        </w:rPr>
      </w:pPr>
      <w:r>
        <w:rPr>
          <w:lang w:eastAsia="en-AU"/>
        </w:rPr>
        <w:t xml:space="preserve">In contrast, private health insurers and consumer groups were highly critical of the way in which these arrangements had led to high device prices relative to the public sector and international comparators. In their submission to the 2017 Senate Inquiry into the Prostheses List Framework, Private Healthcare Australia (which represents insurers) wrote that, “While the PL may or may not have been useful at a point in the past, it has been on ‘set and forget’ for a long period of time and now is being gamed by providers”. </w:t>
      </w:r>
    </w:p>
    <w:p w14:paraId="2B7758C1" w14:textId="7762A0A0" w:rsidR="00055640" w:rsidRDefault="00055640" w:rsidP="001F714D">
      <w:pPr>
        <w:pStyle w:val="Caption"/>
        <w:spacing w:before="240" w:after="120"/>
      </w:pPr>
      <w:bookmarkStart w:id="17" w:name="_Ref150513686"/>
      <w:r>
        <w:lastRenderedPageBreak/>
        <w:t xml:space="preserve">Figure </w:t>
      </w:r>
      <w:r>
        <w:fldChar w:fldCharType="begin"/>
      </w:r>
      <w:r>
        <w:instrText xml:space="preserve"> SEQ Figure \* ARABIC </w:instrText>
      </w:r>
      <w:r>
        <w:fldChar w:fldCharType="separate"/>
      </w:r>
      <w:r w:rsidR="00026714">
        <w:rPr>
          <w:noProof/>
        </w:rPr>
        <w:t>1</w:t>
      </w:r>
      <w:r>
        <w:fldChar w:fldCharType="end"/>
      </w:r>
      <w:bookmarkEnd w:id="17"/>
      <w:r>
        <w:t xml:space="preserve"> | Stakeholder perspectives on the pre-reform </w:t>
      </w:r>
      <w:proofErr w:type="gramStart"/>
      <w:r>
        <w:t>PL</w:t>
      </w:r>
      <w:proofErr w:type="gramEnd"/>
    </w:p>
    <w:p w14:paraId="08FB7446" w14:textId="0153BDDF" w:rsidR="005A1101" w:rsidRDefault="003931CB" w:rsidP="009254E6">
      <w:r>
        <w:rPr>
          <w:noProof/>
        </w:rPr>
        <w:drawing>
          <wp:inline distT="0" distB="0" distL="0" distR="0" wp14:anchorId="68BBFCEB" wp14:editId="42690DB4">
            <wp:extent cx="5493226" cy="8048439"/>
            <wp:effectExtent l="0" t="0" r="0" b="0"/>
            <wp:docPr id="252429276" name="Picture 1" descr="A figure showing stakeholder perspectives on the pre-reform PL. Two quotes from consumers, private healthcare providers, private health insurance providers, medical technological companies illustrate what was working well and what wasn't working well with the pre-reform 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29276" name="Picture 1" descr="A figure showing stakeholder perspectives on the pre-reform PL. Two quotes from consumers, private healthcare providers, private health insurance providers, medical technological companies illustrate what was working well and what wasn't working well with the pre-reform PL."/>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93226" cy="8048439"/>
                    </a:xfrm>
                    <a:prstGeom prst="rect">
                      <a:avLst/>
                    </a:prstGeom>
                  </pic:spPr>
                </pic:pic>
              </a:graphicData>
            </a:graphic>
          </wp:inline>
        </w:drawing>
      </w:r>
    </w:p>
    <w:p w14:paraId="328CE83B" w14:textId="4B4682ED" w:rsidR="00870EF7" w:rsidRDefault="005371EB" w:rsidP="00F306EE">
      <w:pPr>
        <w:pStyle w:val="Heading2"/>
      </w:pPr>
      <w:bookmarkStart w:id="18" w:name="_Toc179453676"/>
      <w:r w:rsidRPr="3787E91E">
        <w:lastRenderedPageBreak/>
        <w:t xml:space="preserve">The </w:t>
      </w:r>
      <w:r w:rsidR="004B5485" w:rsidRPr="3787E91E">
        <w:t xml:space="preserve">objectives and </w:t>
      </w:r>
      <w:r w:rsidR="003B4F1E" w:rsidRPr="3787E91E">
        <w:t>projects</w:t>
      </w:r>
      <w:r w:rsidR="00870EF7" w:rsidRPr="3787E91E">
        <w:t xml:space="preserve"> of the reforms</w:t>
      </w:r>
      <w:bookmarkEnd w:id="18"/>
    </w:p>
    <w:p w14:paraId="349CC88D" w14:textId="54499999" w:rsidR="00024488" w:rsidRPr="001E70FA" w:rsidRDefault="001E70FA" w:rsidP="001E70FA">
      <w:pPr>
        <w:rPr>
          <w:lang w:eastAsia="en-AU"/>
        </w:rPr>
      </w:pPr>
      <w:r>
        <w:rPr>
          <w:lang w:eastAsia="en-AU"/>
        </w:rPr>
        <w:t>The PL reform</w:t>
      </w:r>
      <w:r w:rsidR="00024488">
        <w:rPr>
          <w:lang w:eastAsia="en-AU"/>
        </w:rPr>
        <w:t>s</w:t>
      </w:r>
      <w:r w:rsidR="000C180C" w:rsidRPr="005371EB">
        <w:t xml:space="preserve"> seek to</w:t>
      </w:r>
      <w:r w:rsidR="000C180C">
        <w:t xml:space="preserve"> modernise and improve the PL</w:t>
      </w:r>
      <w:r w:rsidR="002A3CFD">
        <w:t xml:space="preserve"> by reducing</w:t>
      </w:r>
      <w:r>
        <w:rPr>
          <w:lang w:eastAsia="en-AU"/>
        </w:rPr>
        <w:t xml:space="preserve"> the cost of medical devices used in the private health sector and streamlin</w:t>
      </w:r>
      <w:r w:rsidR="002A3CFD">
        <w:rPr>
          <w:lang w:eastAsia="en-AU"/>
        </w:rPr>
        <w:t>ing</w:t>
      </w:r>
      <w:r w:rsidR="00754346">
        <w:rPr>
          <w:lang w:eastAsia="en-AU"/>
        </w:rPr>
        <w:t xml:space="preserve"> </w:t>
      </w:r>
      <w:r>
        <w:rPr>
          <w:lang w:eastAsia="en-AU"/>
        </w:rPr>
        <w:t>access to new medical devices</w:t>
      </w:r>
      <w:r w:rsidR="00E83A2A">
        <w:rPr>
          <w:lang w:eastAsia="en-AU"/>
        </w:rPr>
        <w:t xml:space="preserve">, thereby </w:t>
      </w:r>
      <w:r w:rsidR="004C20F0">
        <w:rPr>
          <w:lang w:eastAsia="en-AU"/>
        </w:rPr>
        <w:t>improving</w:t>
      </w:r>
      <w:r>
        <w:rPr>
          <w:lang w:eastAsia="en-AU"/>
        </w:rPr>
        <w:t xml:space="preserve"> the affordability and value of PHI.</w:t>
      </w:r>
      <w:r w:rsidR="00754346">
        <w:rPr>
          <w:lang w:eastAsia="en-AU"/>
        </w:rPr>
        <w:t xml:space="preserve"> </w:t>
      </w:r>
      <w:r w:rsidR="00A677FD">
        <w:rPr>
          <w:lang w:eastAsia="en-AU"/>
        </w:rPr>
        <w:t>The reforms</w:t>
      </w:r>
      <w:r w:rsidR="00227995">
        <w:rPr>
          <w:lang w:eastAsia="en-AU"/>
        </w:rPr>
        <w:t xml:space="preserve"> seek to achieve this </w:t>
      </w:r>
      <w:r w:rsidR="000C180C">
        <w:t xml:space="preserve">through </w:t>
      </w:r>
      <w:r w:rsidR="000C180C" w:rsidRPr="005371EB">
        <w:t>eight objectives</w:t>
      </w:r>
      <w:r w:rsidR="00D55297">
        <w:t xml:space="preserve">, </w:t>
      </w:r>
      <w:r w:rsidR="00227995">
        <w:rPr>
          <w:lang w:eastAsia="en-AU"/>
        </w:rPr>
        <w:t xml:space="preserve">as shown in </w:t>
      </w:r>
      <w:r w:rsidR="00FC30C2" w:rsidRPr="00F603B6">
        <w:rPr>
          <w:lang w:eastAsia="en-AU"/>
        </w:rPr>
        <w:fldChar w:fldCharType="begin"/>
      </w:r>
      <w:r w:rsidR="00FC30C2" w:rsidRPr="00F603B6">
        <w:rPr>
          <w:lang w:eastAsia="en-AU"/>
        </w:rPr>
        <w:instrText xml:space="preserve"> REF _Ref159443932 \h </w:instrText>
      </w:r>
      <w:r w:rsidR="00F603B6">
        <w:rPr>
          <w:lang w:eastAsia="en-AU"/>
        </w:rPr>
        <w:instrText xml:space="preserve"> \* MERGEFORMAT </w:instrText>
      </w:r>
      <w:r w:rsidR="00FC30C2" w:rsidRPr="00F603B6">
        <w:rPr>
          <w:lang w:eastAsia="en-AU"/>
        </w:rPr>
      </w:r>
      <w:r w:rsidR="00FC30C2" w:rsidRPr="00F603B6">
        <w:rPr>
          <w:lang w:eastAsia="en-AU"/>
        </w:rPr>
        <w:fldChar w:fldCharType="separate"/>
      </w:r>
      <w:r w:rsidR="00026714" w:rsidRPr="00214F9C">
        <w:t xml:space="preserve">Figure </w:t>
      </w:r>
      <w:r w:rsidR="00026714">
        <w:rPr>
          <w:noProof/>
        </w:rPr>
        <w:t>2</w:t>
      </w:r>
      <w:r w:rsidR="00FC30C2" w:rsidRPr="00F603B6">
        <w:rPr>
          <w:lang w:eastAsia="en-AU"/>
        </w:rPr>
        <w:fldChar w:fldCharType="end"/>
      </w:r>
      <w:r w:rsidR="00227995">
        <w:rPr>
          <w:lang w:eastAsia="en-AU"/>
        </w:rPr>
        <w:t>.</w:t>
      </w:r>
    </w:p>
    <w:p w14:paraId="32D8C51F" w14:textId="4523CE46" w:rsidR="008B5FF6" w:rsidRPr="00214F9C" w:rsidRDefault="6CFF27D8" w:rsidP="001F714D">
      <w:pPr>
        <w:pStyle w:val="Caption"/>
        <w:spacing w:before="240" w:after="120"/>
        <w:rPr>
          <w:rFonts w:cs="Arial"/>
        </w:rPr>
      </w:pPr>
      <w:bookmarkStart w:id="19" w:name="_Ref159443932"/>
      <w:r w:rsidRPr="00214F9C">
        <w:t xml:space="preserve">Figure </w:t>
      </w:r>
      <w:r w:rsidR="008B5FF6" w:rsidRPr="00214F9C">
        <w:fldChar w:fldCharType="begin"/>
      </w:r>
      <w:r w:rsidR="008B5FF6" w:rsidRPr="00214F9C">
        <w:instrText xml:space="preserve"> SEQ Figure \* ARABIC </w:instrText>
      </w:r>
      <w:r w:rsidR="008B5FF6" w:rsidRPr="00214F9C">
        <w:fldChar w:fldCharType="separate"/>
      </w:r>
      <w:r w:rsidR="00026714">
        <w:rPr>
          <w:noProof/>
        </w:rPr>
        <w:t>2</w:t>
      </w:r>
      <w:r w:rsidR="008B5FF6" w:rsidRPr="00214F9C">
        <w:fldChar w:fldCharType="end"/>
      </w:r>
      <w:bookmarkEnd w:id="19"/>
      <w:r w:rsidRPr="00214F9C">
        <w:t xml:space="preserve"> | Eight objectives informing the PL </w:t>
      </w:r>
      <w:proofErr w:type="gramStart"/>
      <w:r w:rsidRPr="00214F9C">
        <w:t>reforms</w:t>
      </w:r>
      <w:proofErr w:type="gramEnd"/>
    </w:p>
    <w:p w14:paraId="51912486" w14:textId="10C36DA5" w:rsidR="000B5530" w:rsidRPr="00512097" w:rsidRDefault="00B77947" w:rsidP="00512097">
      <w:pPr>
        <w:rPr>
          <w:rFonts w:cs="Arial"/>
        </w:rPr>
      </w:pPr>
      <w:r w:rsidRPr="00F603B6">
        <w:rPr>
          <w:noProof/>
        </w:rPr>
        <w:drawing>
          <wp:inline distT="0" distB="0" distL="0" distR="0" wp14:anchorId="565FB231" wp14:editId="49851BD9">
            <wp:extent cx="5670000" cy="2877212"/>
            <wp:effectExtent l="0" t="0" r="6985" b="0"/>
            <wp:docPr id="346953662" name="Picture 1" descr="A figure showing the eight objectives informing the PL reforms. The objectives are 1. Improve the alignment of the scheduled benefits of the PL with the prices paid in more competitive markets; 2. Maintain no additional out-of-pocket costs associated with the PL devices for consumers; 3. Maintain clinician choice of appropriate prostheses for their patients; 4. Improve the affordability and value of PHI for privately insured Australians; 5. Clarify the purpose, definition and scope of the PL in legislation; 6. Implement new PL assessment pathways aligned to Health Technology Assessment principles and streamline the application process through simple and robust IT infrastructure; 7. Develop and implement PL listing reviews and PL compliance frameworks to safeguard the PL Reforms; 8. Ensure ongoing financial sustainability of PL administration through effective and efficient cost recovery arrangements that are compliant with the Australian Government Charging Framewo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53662" name="Picture 1" descr="A figure showing the eight objectives informing the PL reforms. The objectives are 1. Improve the alignment of the scheduled benefits of the PL with the prices paid in more competitive markets; 2. Maintain no additional out-of-pocket costs associated with the PL devices for consumers; 3. Maintain clinician choice of appropriate prostheses for their patients; 4. Improve the affordability and value of PHI for privately insured Australians; 5. Clarify the purpose, definition and scope of the PL in legislation; 6. Implement new PL assessment pathways aligned to Health Technology Assessment principles and streamline the application process through simple and robust IT infrastructure; 7. Develop and implement PL listing reviews and PL compliance frameworks to safeguard the PL Reforms; 8. Ensure ongoing financial sustainability of PL administration through effective and efficient cost recovery arrangements that are compliant with the Australian Government Charging Framework.&#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70000" cy="2877212"/>
                    </a:xfrm>
                    <a:prstGeom prst="rect">
                      <a:avLst/>
                    </a:prstGeom>
                    <a:noFill/>
                  </pic:spPr>
                </pic:pic>
              </a:graphicData>
            </a:graphic>
          </wp:inline>
        </w:drawing>
      </w:r>
    </w:p>
    <w:p w14:paraId="128E4807" w14:textId="1799C7DC" w:rsidR="008F2253" w:rsidRDefault="003E60AB" w:rsidP="00E679D7">
      <w:pPr>
        <w:spacing w:before="240"/>
        <w:rPr>
          <w:lang w:eastAsia="en-AU"/>
        </w:rPr>
      </w:pPr>
      <w:r w:rsidRPr="00F603B6">
        <w:rPr>
          <w:lang w:eastAsia="en-AU"/>
        </w:rPr>
        <w:t xml:space="preserve">To </w:t>
      </w:r>
      <w:r w:rsidR="000E781E" w:rsidRPr="00F603B6">
        <w:rPr>
          <w:lang w:eastAsia="en-AU"/>
        </w:rPr>
        <w:t xml:space="preserve">achieve these objectives </w:t>
      </w:r>
      <w:r w:rsidR="23FFD5A9" w:rsidRPr="00F603B6">
        <w:rPr>
          <w:lang w:eastAsia="en-AU"/>
        </w:rPr>
        <w:t xml:space="preserve">the Department has undertaken </w:t>
      </w:r>
      <w:r w:rsidR="325C7E59" w:rsidRPr="00F603B6">
        <w:rPr>
          <w:lang w:eastAsia="en-AU"/>
        </w:rPr>
        <w:t xml:space="preserve">a program of work. The </w:t>
      </w:r>
      <w:r w:rsidR="325C7E59">
        <w:rPr>
          <w:lang w:eastAsia="en-AU"/>
        </w:rPr>
        <w:t>activities underpin</w:t>
      </w:r>
      <w:r w:rsidR="51123E36">
        <w:rPr>
          <w:lang w:eastAsia="en-AU"/>
        </w:rPr>
        <w:t>ning</w:t>
      </w:r>
      <w:r w:rsidR="325C7E59">
        <w:rPr>
          <w:lang w:eastAsia="en-AU"/>
        </w:rPr>
        <w:t xml:space="preserve"> this program of work </w:t>
      </w:r>
      <w:r w:rsidR="63CFBD2D">
        <w:rPr>
          <w:lang w:eastAsia="en-AU"/>
        </w:rPr>
        <w:t>have been consolidated into</w:t>
      </w:r>
      <w:r w:rsidR="000E781E">
        <w:rPr>
          <w:lang w:eastAsia="en-AU"/>
        </w:rPr>
        <w:t xml:space="preserve"> </w:t>
      </w:r>
      <w:r w:rsidR="000E781E" w:rsidRPr="00F603B6">
        <w:rPr>
          <w:lang w:eastAsia="en-AU"/>
        </w:rPr>
        <w:t xml:space="preserve">nine </w:t>
      </w:r>
      <w:r w:rsidR="11FFDFA6">
        <w:rPr>
          <w:lang w:eastAsia="en-AU"/>
        </w:rPr>
        <w:t xml:space="preserve">thematic </w:t>
      </w:r>
      <w:r w:rsidR="00690999">
        <w:rPr>
          <w:lang w:eastAsia="en-AU"/>
        </w:rPr>
        <w:t>projects</w:t>
      </w:r>
      <w:r w:rsidR="00470047">
        <w:rPr>
          <w:lang w:eastAsia="en-AU"/>
        </w:rPr>
        <w:t xml:space="preserve"> </w:t>
      </w:r>
      <w:r w:rsidR="08F2F01E">
        <w:rPr>
          <w:lang w:eastAsia="en-AU"/>
        </w:rPr>
        <w:t xml:space="preserve">– see </w:t>
      </w:r>
      <w:r w:rsidR="00C857DE">
        <w:rPr>
          <w:lang w:eastAsia="en-AU"/>
        </w:rPr>
        <w:t>below</w:t>
      </w:r>
      <w:r w:rsidR="008F2253" w:rsidRPr="0D1F2523">
        <w:rPr>
          <w:lang w:eastAsia="en-AU"/>
        </w:rPr>
        <w:t>.</w:t>
      </w:r>
    </w:p>
    <w:p w14:paraId="285B6F15" w14:textId="5D8A29A8" w:rsidR="008F2253" w:rsidRPr="008F2253" w:rsidRDefault="008F2253" w:rsidP="001F714D">
      <w:pPr>
        <w:pStyle w:val="Caption"/>
        <w:spacing w:before="240" w:after="120"/>
        <w:rPr>
          <w:szCs w:val="19"/>
          <w:lang w:eastAsia="en-AU"/>
        </w:rPr>
      </w:pPr>
      <w:bookmarkStart w:id="20" w:name="_Ref159444352"/>
      <w:r>
        <w:t xml:space="preserve">Figure </w:t>
      </w:r>
      <w:r>
        <w:fldChar w:fldCharType="begin"/>
      </w:r>
      <w:r>
        <w:instrText xml:space="preserve"> SEQ Figure \* ARABIC </w:instrText>
      </w:r>
      <w:r>
        <w:fldChar w:fldCharType="separate"/>
      </w:r>
      <w:r w:rsidR="00026714">
        <w:rPr>
          <w:noProof/>
        </w:rPr>
        <w:t>3</w:t>
      </w:r>
      <w:r>
        <w:fldChar w:fldCharType="end"/>
      </w:r>
      <w:bookmarkEnd w:id="20"/>
      <w:r>
        <w:t xml:space="preserve"> | </w:t>
      </w:r>
      <w:r w:rsidR="00BD4F3F">
        <w:t>Projects</w:t>
      </w:r>
      <w:r>
        <w:t xml:space="preserve"> of the PL </w:t>
      </w:r>
      <w:proofErr w:type="gramStart"/>
      <w:r>
        <w:t>reform</w:t>
      </w:r>
      <w:r w:rsidR="00BD4F3F">
        <w:t>s</w:t>
      </w:r>
      <w:proofErr w:type="gramEnd"/>
    </w:p>
    <w:p w14:paraId="0F7953E6" w14:textId="064B0156" w:rsidR="00CB0514" w:rsidRDefault="0015332B" w:rsidP="000C4428">
      <w:pPr>
        <w:rPr>
          <w:lang w:eastAsia="en-AU"/>
        </w:rPr>
      </w:pPr>
      <w:r w:rsidRPr="0015332B">
        <w:rPr>
          <w:noProof/>
          <w:lang w:eastAsia="en-AU"/>
        </w:rPr>
        <w:drawing>
          <wp:inline distT="0" distB="0" distL="0" distR="0" wp14:anchorId="067EEDF4" wp14:editId="468B63C0">
            <wp:extent cx="5670550" cy="3126105"/>
            <wp:effectExtent l="0" t="0" r="6350" b="0"/>
            <wp:docPr id="614606441" name="Picture 1" descr="A figure showing the nine reform projects. The projects are 1. Benefits reductions; 2. Clarifying purpose, definition and scope; 3. Regrouping of the PL; 4. Review GUIs; 5. Modernised pathways; 6. Governance arrangements; 7. Post-listing reviews; 8. Compliance activities; 9. Cost recovery 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06441" name="Picture 1" descr="A figure showing the nine reform projects. The projects are 1. Benefits reductions; 2. Clarifying purpose, definition and scope; 3. Regrouping of the PL; 4. Review GUIs; 5. Modernised pathways; 6. Governance arrangements; 7. Post-listing reviews; 8. Compliance activities; 9. Cost recovery fees."/>
                    <pic:cNvPicPr/>
                  </pic:nvPicPr>
                  <pic:blipFill>
                    <a:blip r:embed="rId29"/>
                    <a:stretch>
                      <a:fillRect/>
                    </a:stretch>
                  </pic:blipFill>
                  <pic:spPr>
                    <a:xfrm>
                      <a:off x="0" y="0"/>
                      <a:ext cx="5670550" cy="3126105"/>
                    </a:xfrm>
                    <a:prstGeom prst="rect">
                      <a:avLst/>
                    </a:prstGeom>
                  </pic:spPr>
                </pic:pic>
              </a:graphicData>
            </a:graphic>
          </wp:inline>
        </w:drawing>
      </w:r>
    </w:p>
    <w:p w14:paraId="20168521" w14:textId="4F648225" w:rsidR="00A215F9" w:rsidRPr="0051190A" w:rsidRDefault="002F41D8" w:rsidP="000C4428">
      <w:pPr>
        <w:rPr>
          <w:lang w:eastAsia="en-AU"/>
        </w:rPr>
      </w:pPr>
      <w:r w:rsidRPr="008F2253">
        <w:rPr>
          <w:lang w:eastAsia="en-AU"/>
        </w:rPr>
        <w:t xml:space="preserve">The Department </w:t>
      </w:r>
      <w:r>
        <w:rPr>
          <w:lang w:eastAsia="en-AU"/>
        </w:rPr>
        <w:t xml:space="preserve">established </w:t>
      </w:r>
      <w:r w:rsidRPr="008F2253">
        <w:rPr>
          <w:lang w:eastAsia="en-AU"/>
        </w:rPr>
        <w:t>the PL Reform Taskforce (PLRT)</w:t>
      </w:r>
      <w:r>
        <w:rPr>
          <w:lang w:eastAsia="en-AU"/>
        </w:rPr>
        <w:t xml:space="preserve"> to implement </w:t>
      </w:r>
      <w:r w:rsidRPr="0BCC15EA">
        <w:rPr>
          <w:lang w:eastAsia="en-AU"/>
        </w:rPr>
        <w:t>these</w:t>
      </w:r>
      <w:r w:rsidR="0058781E">
        <w:rPr>
          <w:lang w:eastAsia="en-AU"/>
        </w:rPr>
        <w:t xml:space="preserve"> projects</w:t>
      </w:r>
      <w:r>
        <w:rPr>
          <w:lang w:eastAsia="en-AU"/>
        </w:rPr>
        <w:t>, in collaboration with existing PL teams</w:t>
      </w:r>
      <w:r w:rsidR="0051190A">
        <w:rPr>
          <w:lang w:eastAsia="en-AU"/>
        </w:rPr>
        <w:t>,</w:t>
      </w:r>
      <w:r>
        <w:rPr>
          <w:lang w:eastAsia="en-AU"/>
        </w:rPr>
        <w:t xml:space="preserve"> related groups in the Department</w:t>
      </w:r>
      <w:r w:rsidR="007569F8">
        <w:rPr>
          <w:lang w:eastAsia="en-AU"/>
        </w:rPr>
        <w:t>, IHACAP</w:t>
      </w:r>
      <w:r>
        <w:rPr>
          <w:lang w:eastAsia="en-AU"/>
        </w:rPr>
        <w:t xml:space="preserve"> and other stakeholder groups.</w:t>
      </w:r>
      <w:r w:rsidR="00AF39DB">
        <w:rPr>
          <w:lang w:eastAsia="en-AU"/>
        </w:rPr>
        <w:t xml:space="preserve"> As noted at the bottom of </w:t>
      </w:r>
      <w:r w:rsidR="005505AE">
        <w:rPr>
          <w:lang w:eastAsia="en-AU"/>
        </w:rPr>
        <w:t xml:space="preserve">Figure 3, to deliver these reform </w:t>
      </w:r>
      <w:r w:rsidR="0058781E">
        <w:rPr>
          <w:lang w:eastAsia="en-AU"/>
        </w:rPr>
        <w:t>projects</w:t>
      </w:r>
      <w:r w:rsidR="005505AE">
        <w:rPr>
          <w:lang w:eastAsia="en-AU"/>
        </w:rPr>
        <w:t xml:space="preserve">, each </w:t>
      </w:r>
      <w:r w:rsidR="00D31624">
        <w:rPr>
          <w:lang w:eastAsia="en-AU"/>
        </w:rPr>
        <w:t>one</w:t>
      </w:r>
      <w:r w:rsidR="005505AE">
        <w:rPr>
          <w:lang w:eastAsia="en-AU"/>
        </w:rPr>
        <w:t xml:space="preserve"> </w:t>
      </w:r>
      <w:r w:rsidR="53787E53" w:rsidRPr="5CDBCAC8">
        <w:rPr>
          <w:lang w:eastAsia="en-AU"/>
        </w:rPr>
        <w:t>requires</w:t>
      </w:r>
      <w:r w:rsidR="005505AE">
        <w:rPr>
          <w:lang w:eastAsia="en-AU"/>
        </w:rPr>
        <w:t xml:space="preserve"> </w:t>
      </w:r>
      <w:r w:rsidR="00DE6AB0">
        <w:rPr>
          <w:lang w:eastAsia="en-AU"/>
        </w:rPr>
        <w:t xml:space="preserve">effective and </w:t>
      </w:r>
      <w:r w:rsidR="00C639E3">
        <w:rPr>
          <w:lang w:eastAsia="en-AU"/>
        </w:rPr>
        <w:t xml:space="preserve">proactive </w:t>
      </w:r>
      <w:r w:rsidR="00C639E3">
        <w:rPr>
          <w:lang w:eastAsia="en-AU"/>
        </w:rPr>
        <w:lastRenderedPageBreak/>
        <w:t xml:space="preserve">engagement with all stakeholders in the sector. </w:t>
      </w:r>
      <w:r w:rsidR="0010262A">
        <w:rPr>
          <w:lang w:eastAsia="en-AU"/>
        </w:rPr>
        <w:t>The success of these reforms</w:t>
      </w:r>
      <w:r w:rsidR="006B7012">
        <w:rPr>
          <w:lang w:eastAsia="en-AU"/>
        </w:rPr>
        <w:t xml:space="preserve"> for all </w:t>
      </w:r>
      <w:r w:rsidR="6283E234" w:rsidRPr="5CDBCAC8">
        <w:rPr>
          <w:lang w:eastAsia="en-AU"/>
        </w:rPr>
        <w:t>parties'</w:t>
      </w:r>
      <w:r w:rsidR="006B7012">
        <w:rPr>
          <w:lang w:eastAsia="en-AU"/>
        </w:rPr>
        <w:t xml:space="preserve"> hinges on </w:t>
      </w:r>
      <w:r w:rsidR="00DB4857">
        <w:rPr>
          <w:lang w:eastAsia="en-AU"/>
        </w:rPr>
        <w:t xml:space="preserve">the reform </w:t>
      </w:r>
      <w:r w:rsidR="0058781E">
        <w:rPr>
          <w:lang w:eastAsia="en-AU"/>
        </w:rPr>
        <w:t>projects</w:t>
      </w:r>
      <w:r w:rsidR="00DB4857">
        <w:rPr>
          <w:lang w:eastAsia="en-AU"/>
        </w:rPr>
        <w:t xml:space="preserve"> being delivered in a transparent</w:t>
      </w:r>
      <w:r w:rsidR="00D75876">
        <w:rPr>
          <w:lang w:eastAsia="en-AU"/>
        </w:rPr>
        <w:t xml:space="preserve"> and responsive way. </w:t>
      </w:r>
      <w:r w:rsidR="4EBD9D72" w:rsidRPr="5CDBCAC8">
        <w:rPr>
          <w:lang w:eastAsia="en-AU"/>
        </w:rPr>
        <w:t>S</w:t>
      </w:r>
      <w:r w:rsidR="00D75876" w:rsidRPr="5CDBCAC8">
        <w:rPr>
          <w:lang w:eastAsia="en-AU"/>
        </w:rPr>
        <w:t>takeholder engagement is</w:t>
      </w:r>
      <w:r w:rsidR="03D11D0F" w:rsidRPr="7984F730">
        <w:rPr>
          <w:lang w:eastAsia="en-AU"/>
        </w:rPr>
        <w:t>,</w:t>
      </w:r>
      <w:r w:rsidR="00D75876" w:rsidRPr="5CDBCAC8">
        <w:rPr>
          <w:lang w:eastAsia="en-AU"/>
        </w:rPr>
        <w:t xml:space="preserve"> </w:t>
      </w:r>
      <w:r w:rsidR="4D7E25F5" w:rsidRPr="5CDBCAC8">
        <w:rPr>
          <w:lang w:eastAsia="en-AU"/>
        </w:rPr>
        <w:t>therefore,</w:t>
      </w:r>
      <w:r w:rsidR="00D75876">
        <w:rPr>
          <w:lang w:eastAsia="en-AU"/>
        </w:rPr>
        <w:t xml:space="preserve"> a crucial component of all </w:t>
      </w:r>
      <w:r w:rsidR="0058781E">
        <w:rPr>
          <w:lang w:eastAsia="en-AU"/>
        </w:rPr>
        <w:t>projects</w:t>
      </w:r>
      <w:r w:rsidR="00D75876">
        <w:rPr>
          <w:lang w:eastAsia="en-AU"/>
        </w:rPr>
        <w:t>, and</w:t>
      </w:r>
      <w:r w:rsidR="00F9422E">
        <w:rPr>
          <w:lang w:eastAsia="en-AU"/>
        </w:rPr>
        <w:t xml:space="preserve"> </w:t>
      </w:r>
      <w:r w:rsidR="00344467" w:rsidRPr="022EF3BA">
        <w:rPr>
          <w:lang w:eastAsia="en-AU"/>
        </w:rPr>
        <w:t>will</w:t>
      </w:r>
      <w:r w:rsidR="00344467">
        <w:rPr>
          <w:lang w:eastAsia="en-AU"/>
        </w:rPr>
        <w:t xml:space="preserve"> be reviewed across all components of the evaluation.</w:t>
      </w:r>
      <w:r w:rsidR="00A215F9">
        <w:br w:type="page"/>
      </w:r>
    </w:p>
    <w:p w14:paraId="26DB940F" w14:textId="6338016F" w:rsidR="00AD1202" w:rsidRDefault="6C463488" w:rsidP="00AD1202">
      <w:pPr>
        <w:pStyle w:val="Heading1"/>
      </w:pPr>
      <w:bookmarkStart w:id="21" w:name="_Ref159871202"/>
      <w:bookmarkStart w:id="22" w:name="_Toc179453677"/>
      <w:r w:rsidRPr="7D703D18">
        <w:lastRenderedPageBreak/>
        <w:t xml:space="preserve">Baseline of identified </w:t>
      </w:r>
      <w:r w:rsidR="00C34B0E" w:rsidRPr="7D703D18">
        <w:t xml:space="preserve">reform </w:t>
      </w:r>
      <w:proofErr w:type="gramStart"/>
      <w:r w:rsidR="00C34B0E" w:rsidRPr="7D703D18">
        <w:t>o</w:t>
      </w:r>
      <w:r w:rsidR="694CFCD8" w:rsidRPr="7D703D18">
        <w:t>bjectives</w:t>
      </w:r>
      <w:bookmarkEnd w:id="21"/>
      <w:bookmarkEnd w:id="22"/>
      <w:proofErr w:type="gramEnd"/>
    </w:p>
    <w:p w14:paraId="4FD2D950" w14:textId="5ED99EFD" w:rsidR="00AC68A3" w:rsidRDefault="00296282" w:rsidP="003D60CC">
      <w:pPr>
        <w:rPr>
          <w:lang w:eastAsia="en-AU"/>
        </w:rPr>
      </w:pPr>
      <w:r>
        <w:rPr>
          <w:lang w:eastAsia="en-AU"/>
        </w:rPr>
        <w:t xml:space="preserve">This section provides </w:t>
      </w:r>
      <w:r w:rsidR="00684684">
        <w:rPr>
          <w:lang w:eastAsia="en-AU"/>
        </w:rPr>
        <w:t xml:space="preserve">a detailed examination of each of the </w:t>
      </w:r>
      <w:r w:rsidR="000030F8">
        <w:rPr>
          <w:lang w:eastAsia="en-AU"/>
        </w:rPr>
        <w:t>eight</w:t>
      </w:r>
      <w:r w:rsidR="00684684">
        <w:rPr>
          <w:lang w:eastAsia="en-AU"/>
        </w:rPr>
        <w:t xml:space="preserve"> reform objectives, </w:t>
      </w:r>
      <w:r w:rsidR="000030F8">
        <w:rPr>
          <w:lang w:eastAsia="en-AU"/>
        </w:rPr>
        <w:t>outlining for each</w:t>
      </w:r>
      <w:r w:rsidR="0025232E">
        <w:rPr>
          <w:lang w:eastAsia="en-AU"/>
        </w:rPr>
        <w:t>:</w:t>
      </w:r>
    </w:p>
    <w:p w14:paraId="54E3D12A" w14:textId="5B2C4CC8" w:rsidR="0025232E" w:rsidRPr="0024395E" w:rsidRDefault="003608DE" w:rsidP="0024395E">
      <w:pPr>
        <w:pStyle w:val="Bullet"/>
      </w:pPr>
      <w:r w:rsidRPr="0024395E">
        <w:t xml:space="preserve">A description of the </w:t>
      </w:r>
      <w:r w:rsidR="00F751AD" w:rsidRPr="0024395E">
        <w:t xml:space="preserve">baseline position prior </w:t>
      </w:r>
      <w:r w:rsidR="00905303" w:rsidRPr="0024395E">
        <w:t>to reform</w:t>
      </w:r>
    </w:p>
    <w:p w14:paraId="2F713880" w14:textId="4D8A7B15" w:rsidR="00905303" w:rsidRPr="0024395E" w:rsidRDefault="00FC5785" w:rsidP="0024395E">
      <w:pPr>
        <w:pStyle w:val="Bullet"/>
      </w:pPr>
      <w:r w:rsidRPr="0024395E">
        <w:t>T</w:t>
      </w:r>
      <w:r w:rsidR="00905303" w:rsidRPr="0024395E">
        <w:t xml:space="preserve">he </w:t>
      </w:r>
      <w:r w:rsidR="00EC53A5" w:rsidRPr="0024395E">
        <w:t xml:space="preserve">rationale for </w:t>
      </w:r>
      <w:r w:rsidR="00B0782A" w:rsidRPr="0024395E">
        <w:t>a reform to that baseline state</w:t>
      </w:r>
    </w:p>
    <w:p w14:paraId="49855E99" w14:textId="5E01ABB4" w:rsidR="00370109" w:rsidRPr="0024395E" w:rsidRDefault="00FC5785" w:rsidP="0024395E">
      <w:pPr>
        <w:pStyle w:val="Bullet"/>
      </w:pPr>
      <w:r w:rsidRPr="0024395E">
        <w:t xml:space="preserve">The </w:t>
      </w:r>
      <w:r w:rsidR="00EC33A2" w:rsidRPr="0024395E">
        <w:t>reform</w:t>
      </w:r>
      <w:r w:rsidRPr="0024395E">
        <w:t xml:space="preserve"> </w:t>
      </w:r>
      <w:r w:rsidR="00C32BC1">
        <w:t>projects and other activities</w:t>
      </w:r>
      <w:r w:rsidR="005D663F" w:rsidRPr="0024395E">
        <w:t xml:space="preserve"> that </w:t>
      </w:r>
      <w:r w:rsidR="00365C75" w:rsidRPr="0024395E">
        <w:t>are intended to</w:t>
      </w:r>
      <w:r w:rsidR="004C2FFA" w:rsidRPr="0024395E">
        <w:t xml:space="preserve"> </w:t>
      </w:r>
      <w:r w:rsidR="00FB0386" w:rsidRPr="0024395E">
        <w:t xml:space="preserve">achieve the </w:t>
      </w:r>
      <w:proofErr w:type="gramStart"/>
      <w:r w:rsidR="00FB0386" w:rsidRPr="0024395E">
        <w:t>objective</w:t>
      </w:r>
      <w:proofErr w:type="gramEnd"/>
    </w:p>
    <w:p w14:paraId="18FAF7CD" w14:textId="77777777" w:rsidR="007A1556" w:rsidRPr="0024395E" w:rsidRDefault="005403B3" w:rsidP="0024395E">
      <w:pPr>
        <w:pStyle w:val="Bullet"/>
      </w:pPr>
      <w:r w:rsidRPr="3787E91E">
        <w:t xml:space="preserve">How the objective will be evaluated </w:t>
      </w:r>
      <w:r w:rsidR="00DC284A" w:rsidRPr="3787E91E">
        <w:t>across the reform period</w:t>
      </w:r>
      <w:r w:rsidR="0075627B" w:rsidRPr="3787E91E">
        <w:t>.</w:t>
      </w:r>
    </w:p>
    <w:p w14:paraId="63760230" w14:textId="2FCD0C8D" w:rsidR="00873B06" w:rsidRDefault="00F26CE7" w:rsidP="00CC30C0">
      <w:r>
        <w:t>Nous has</w:t>
      </w:r>
      <w:r w:rsidR="002D691F">
        <w:t xml:space="preserve"> set 10 May 2021 as the </w:t>
      </w:r>
      <w:r w:rsidR="00CC30C0">
        <w:t>overall baseline date for this evaluation</w:t>
      </w:r>
      <w:r>
        <w:t>. H</w:t>
      </w:r>
      <w:r w:rsidR="00C17431">
        <w:t>owever</w:t>
      </w:r>
      <w:r w:rsidR="003D5654">
        <w:t>,</w:t>
      </w:r>
      <w:r w:rsidR="00C17431">
        <w:t xml:space="preserve"> </w:t>
      </w:r>
      <w:r w:rsidR="002D691F">
        <w:t xml:space="preserve">we </w:t>
      </w:r>
      <w:r w:rsidR="003D5654">
        <w:t>have</w:t>
      </w:r>
      <w:r w:rsidR="002D691F">
        <w:t xml:space="preserve"> used </w:t>
      </w:r>
      <w:r w:rsidR="00E003A0">
        <w:t xml:space="preserve">discretion </w:t>
      </w:r>
      <w:r w:rsidR="00607A7F">
        <w:t>in some cases to determine the</w:t>
      </w:r>
      <w:r w:rsidR="00455FD2">
        <w:t xml:space="preserve"> </w:t>
      </w:r>
      <w:r w:rsidR="00B06EDA">
        <w:t>baseline date</w:t>
      </w:r>
      <w:r w:rsidR="00455FD2">
        <w:t xml:space="preserve"> </w:t>
      </w:r>
      <w:r w:rsidR="00796642">
        <w:t xml:space="preserve">for </w:t>
      </w:r>
      <w:r w:rsidR="00455FD2">
        <w:t xml:space="preserve">specific </w:t>
      </w:r>
      <w:r w:rsidR="00796642">
        <w:t>activities</w:t>
      </w:r>
      <w:r w:rsidR="00455FD2">
        <w:t xml:space="preserve"> (see </w:t>
      </w:r>
      <w:r w:rsidR="00EC3EC2" w:rsidRPr="00F13BFD">
        <w:rPr>
          <w:highlight w:val="yellow"/>
        </w:rPr>
        <w:fldChar w:fldCharType="begin"/>
      </w:r>
      <w:r w:rsidR="00EC3EC2">
        <w:instrText xml:space="preserve"> REF _Ref160187838 \r \h </w:instrText>
      </w:r>
      <w:r w:rsidR="00EC3EC2" w:rsidRPr="00F13BFD">
        <w:rPr>
          <w:highlight w:val="yellow"/>
        </w:rPr>
      </w:r>
      <w:r w:rsidR="00EC3EC2" w:rsidRPr="00F13BFD">
        <w:rPr>
          <w:highlight w:val="yellow"/>
        </w:rPr>
        <w:fldChar w:fldCharType="separate"/>
      </w:r>
      <w:r w:rsidR="00026714">
        <w:t>Appendix K</w:t>
      </w:r>
      <w:r w:rsidR="00EC3EC2" w:rsidRPr="00F13BFD">
        <w:rPr>
          <w:highlight w:val="yellow"/>
        </w:rPr>
        <w:fldChar w:fldCharType="end"/>
      </w:r>
      <w:r w:rsidR="00796642">
        <w:t xml:space="preserve"> for more detail</w:t>
      </w:r>
      <w:r w:rsidR="00455FD2">
        <w:t>).</w:t>
      </w:r>
      <w:r w:rsidR="007A1556">
        <w:t xml:space="preserve"> </w:t>
      </w:r>
      <w:r w:rsidR="007A1556">
        <w:fldChar w:fldCharType="begin"/>
      </w:r>
      <w:r w:rsidR="007A1556">
        <w:instrText xml:space="preserve"> REF _Ref159916596 \r \h </w:instrText>
      </w:r>
      <w:r w:rsidR="007A1556">
        <w:fldChar w:fldCharType="separate"/>
      </w:r>
      <w:r w:rsidR="00026714">
        <w:t>Appendix A</w:t>
      </w:r>
      <w:r w:rsidR="007A1556">
        <w:fldChar w:fldCharType="end"/>
      </w:r>
      <w:r w:rsidR="007A1556">
        <w:t xml:space="preserve"> contains a summary of the indicators and measures to be used, and </w:t>
      </w:r>
      <w:r w:rsidR="007A1556">
        <w:fldChar w:fldCharType="begin"/>
      </w:r>
      <w:r w:rsidR="007A1556">
        <w:instrText xml:space="preserve"> REF _Ref159832999 \r \h </w:instrText>
      </w:r>
      <w:r w:rsidR="007A1556">
        <w:fldChar w:fldCharType="separate"/>
      </w:r>
      <w:r w:rsidR="00026714">
        <w:t>Appendix B</w:t>
      </w:r>
      <w:r w:rsidR="007A1556">
        <w:fldChar w:fldCharType="end"/>
      </w:r>
      <w:r w:rsidR="007A1556">
        <w:t xml:space="preserve"> has a detailed examination of all indicators and measures.</w:t>
      </w:r>
    </w:p>
    <w:p w14:paraId="0E5A6389" w14:textId="2F8437D6" w:rsidR="001725B3" w:rsidRDefault="007D5AEE" w:rsidP="001F714D">
      <w:pPr>
        <w:pStyle w:val="Caption"/>
        <w:spacing w:before="240" w:after="120"/>
      </w:pPr>
      <w:r>
        <w:t xml:space="preserve">Figure </w:t>
      </w:r>
      <w:r>
        <w:fldChar w:fldCharType="begin"/>
      </w:r>
      <w:r>
        <w:instrText xml:space="preserve"> SEQ Figure \* ARABIC </w:instrText>
      </w:r>
      <w:r>
        <w:fldChar w:fldCharType="separate"/>
      </w:r>
      <w:r w:rsidR="00026714">
        <w:rPr>
          <w:noProof/>
        </w:rPr>
        <w:t>4</w:t>
      </w:r>
      <w:r>
        <w:fldChar w:fldCharType="end"/>
      </w:r>
      <w:r>
        <w:t xml:space="preserve"> | </w:t>
      </w:r>
      <w:r w:rsidR="00A5454E">
        <w:t>Refo</w:t>
      </w:r>
      <w:r w:rsidR="008261B9">
        <w:t xml:space="preserve">rm </w:t>
      </w:r>
      <w:r w:rsidR="00B8375D">
        <w:t>projects</w:t>
      </w:r>
      <w:r w:rsidR="00AE3ACF">
        <w:t xml:space="preserve"> intended to achieve </w:t>
      </w:r>
      <w:r w:rsidR="005E043D">
        <w:t xml:space="preserve">reform </w:t>
      </w:r>
      <w:proofErr w:type="gramStart"/>
      <w:r w:rsidR="005E043D">
        <w:t>objectives</w:t>
      </w:r>
      <w:proofErr w:type="gramEnd"/>
    </w:p>
    <w:p w14:paraId="424BD73B" w14:textId="30AD9B76" w:rsidR="00B86FB2" w:rsidRPr="00B86FB2" w:rsidRDefault="00E54802" w:rsidP="00B86FB2">
      <w:r w:rsidRPr="00E54802">
        <w:rPr>
          <w:noProof/>
        </w:rPr>
        <w:drawing>
          <wp:inline distT="0" distB="0" distL="0" distR="0" wp14:anchorId="0F31CD5F" wp14:editId="4718E149">
            <wp:extent cx="5334000" cy="5915184"/>
            <wp:effectExtent l="0" t="0" r="0" b="9525"/>
            <wp:docPr id="1464106230" name="Picture 1" descr="A diagram showing the reform objectives alongside the reform projects. Objective 1. Alignment of scheduled benefit reductions is connected to the Benefit reductions. Objective 2. Maintain no additional out-of-pocket costs is maintained through guardrails on benefit reductions. Objective 3. Maintain clinician choice is maintain baseline policy position. Objective 4. Affordability and value of PHI is achieved through objectives 1, 2 and 3. Objective 5. Purpose, definition and scope of the PL is connected to clarifying scope and definition in legislation, regrouping of the PL, and review general use items. Objective 6. PL assessment pathways is connected to modernised pathways and governance arrangements. Objective 7. PL listing reviews and PL compliance frameworks is connected to post-listing reviews and compliance activities. Objective 8. Financial sustainability is connected to cost recovery 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06230" name="Picture 1" descr="A diagram showing the reform objectives alongside the reform projects. Objective 1. Alignment of scheduled benefit reductions is connected to the Benefit reductions. Objective 2. Maintain no additional out-of-pocket costs is maintained through guardrails on benefit reductions. Objective 3. Maintain clinician choice is maintain baseline policy position. Objective 4. Affordability and value of PHI is achieved through objectives 1, 2 and 3. Objective 5. Purpose, definition and scope of the PL is connected to clarifying scope and definition in legislation, regrouping of the PL, and review general use items. Objective 6. PL assessment pathways is connected to modernised pathways and governance arrangements. Objective 7. PL listing reviews and PL compliance frameworks is connected to post-listing reviews and compliance activities. Objective 8. Financial sustainability is connected to cost recovery fees."/>
                    <pic:cNvPicPr/>
                  </pic:nvPicPr>
                  <pic:blipFill>
                    <a:blip r:embed="rId30"/>
                    <a:stretch>
                      <a:fillRect/>
                    </a:stretch>
                  </pic:blipFill>
                  <pic:spPr>
                    <a:xfrm>
                      <a:off x="0" y="0"/>
                      <a:ext cx="5341094" cy="5923051"/>
                    </a:xfrm>
                    <a:prstGeom prst="rect">
                      <a:avLst/>
                    </a:prstGeom>
                  </pic:spPr>
                </pic:pic>
              </a:graphicData>
            </a:graphic>
          </wp:inline>
        </w:drawing>
      </w:r>
    </w:p>
    <w:p w14:paraId="00BCD833" w14:textId="06C47F2F" w:rsidR="00795CEB" w:rsidRDefault="003769DF" w:rsidP="00795CEB">
      <w:pPr>
        <w:pStyle w:val="Heading2"/>
      </w:pPr>
      <w:bookmarkStart w:id="23" w:name="_Ref159095636"/>
      <w:bookmarkStart w:id="24" w:name="_Ref160185071"/>
      <w:bookmarkStart w:id="25" w:name="_Toc179453678"/>
      <w:r>
        <w:lastRenderedPageBreak/>
        <w:t xml:space="preserve">Objective </w:t>
      </w:r>
      <w:r w:rsidR="00782A98">
        <w:t>1</w:t>
      </w:r>
      <w:r w:rsidR="00C50B55">
        <w:t xml:space="preserve">: Improve the alignment of the scheduled benefits of the PL with the prices paid in more competitive </w:t>
      </w:r>
      <w:proofErr w:type="gramStart"/>
      <w:r w:rsidR="00C50B55">
        <w:t>markets</w:t>
      </w:r>
      <w:bookmarkEnd w:id="23"/>
      <w:bookmarkEnd w:id="24"/>
      <w:bookmarkEnd w:id="25"/>
      <w:proofErr w:type="gramEnd"/>
    </w:p>
    <w:p w14:paraId="1E14199F" w14:textId="4CFFBA13" w:rsidR="007E560F" w:rsidRDefault="000F0D95" w:rsidP="000F0D95">
      <w:pPr>
        <w:pStyle w:val="Caption"/>
        <w:rPr>
          <w:lang w:eastAsia="en-AU"/>
        </w:rPr>
      </w:pPr>
      <w:r>
        <w:t xml:space="preserve">Figure </w:t>
      </w:r>
      <w:r>
        <w:fldChar w:fldCharType="begin"/>
      </w:r>
      <w:r>
        <w:instrText xml:space="preserve"> SEQ Figure \* ARABIC </w:instrText>
      </w:r>
      <w:r>
        <w:fldChar w:fldCharType="separate"/>
      </w:r>
      <w:r w:rsidR="00026714">
        <w:rPr>
          <w:noProof/>
        </w:rPr>
        <w:t>5</w:t>
      </w:r>
      <w:r>
        <w:fldChar w:fldCharType="end"/>
      </w:r>
      <w:r>
        <w:t xml:space="preserve"> | Reform </w:t>
      </w:r>
      <w:r w:rsidR="00E54802">
        <w:t>projects</w:t>
      </w:r>
      <w:r>
        <w:t xml:space="preserve"> related to reform objective </w:t>
      </w:r>
      <w:proofErr w:type="gramStart"/>
      <w:r>
        <w:t>1</w:t>
      </w:r>
      <w:proofErr w:type="gramEnd"/>
    </w:p>
    <w:p w14:paraId="7C1911CB" w14:textId="39F969DA" w:rsidR="00D27FD4" w:rsidRPr="007E560F" w:rsidRDefault="00EA4322" w:rsidP="007E560F">
      <w:pPr>
        <w:rPr>
          <w:lang w:eastAsia="en-AU"/>
        </w:rPr>
      </w:pPr>
      <w:r w:rsidRPr="00EA4322">
        <w:rPr>
          <w:noProof/>
          <w:lang w:eastAsia="en-AU"/>
        </w:rPr>
        <w:drawing>
          <wp:inline distT="0" distB="0" distL="0" distR="0" wp14:anchorId="305E9A73" wp14:editId="2F7E98C8">
            <wp:extent cx="5670550" cy="1034415"/>
            <wp:effectExtent l="0" t="0" r="6350" b="0"/>
            <wp:docPr id="1613832358" name="Picture 1" descr="A figure showing that reform objective 1. Alignment of scheduled benefits is connected to benefit re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32358" name="Picture 1" descr="A figure showing that reform objective 1. Alignment of scheduled benefits is connected to benefit reductions."/>
                    <pic:cNvPicPr/>
                  </pic:nvPicPr>
                  <pic:blipFill>
                    <a:blip r:embed="rId31"/>
                    <a:stretch>
                      <a:fillRect/>
                    </a:stretch>
                  </pic:blipFill>
                  <pic:spPr>
                    <a:xfrm>
                      <a:off x="0" y="0"/>
                      <a:ext cx="5670550" cy="1034415"/>
                    </a:xfrm>
                    <a:prstGeom prst="rect">
                      <a:avLst/>
                    </a:prstGeom>
                  </pic:spPr>
                </pic:pic>
              </a:graphicData>
            </a:graphic>
          </wp:inline>
        </w:drawing>
      </w:r>
    </w:p>
    <w:p w14:paraId="631254F4" w14:textId="071DB931" w:rsidR="00C969B8" w:rsidRDefault="00C969B8" w:rsidP="00AB7FE4">
      <w:pPr>
        <w:pStyle w:val="Heading3"/>
        <w:spacing w:before="400"/>
      </w:pPr>
      <w:bookmarkStart w:id="26" w:name="_Ref160185843"/>
      <w:r>
        <w:t>Baseline position</w:t>
      </w:r>
      <w:bookmarkEnd w:id="26"/>
    </w:p>
    <w:p w14:paraId="411F4167" w14:textId="77777777" w:rsidR="00315B0D" w:rsidRDefault="00B04BD9" w:rsidP="3787E91E">
      <w:pPr>
        <w:pStyle w:val="Heading4"/>
        <w:rPr>
          <w:rFonts w:eastAsiaTheme="minorEastAsia"/>
        </w:rPr>
      </w:pPr>
      <w:r w:rsidRPr="3787E91E">
        <w:rPr>
          <w:rFonts w:eastAsiaTheme="minorEastAsia"/>
        </w:rPr>
        <w:t xml:space="preserve">PL benefits are </w:t>
      </w:r>
      <w:r w:rsidR="004C3408" w:rsidRPr="3787E91E">
        <w:rPr>
          <w:rFonts w:eastAsiaTheme="minorEastAsia"/>
        </w:rPr>
        <w:t xml:space="preserve">generally </w:t>
      </w:r>
      <w:r w:rsidRPr="3787E91E">
        <w:rPr>
          <w:rFonts w:eastAsiaTheme="minorEastAsia"/>
        </w:rPr>
        <w:t xml:space="preserve">higher </w:t>
      </w:r>
      <w:r w:rsidR="00231573" w:rsidRPr="3787E91E">
        <w:rPr>
          <w:rFonts w:eastAsiaTheme="minorEastAsia"/>
        </w:rPr>
        <w:t xml:space="preserve">than prices in the Australian public sector and </w:t>
      </w:r>
      <w:r w:rsidR="00DD57E8" w:rsidRPr="3787E91E">
        <w:rPr>
          <w:rFonts w:eastAsiaTheme="minorEastAsia"/>
        </w:rPr>
        <w:t xml:space="preserve">comparable international </w:t>
      </w:r>
      <w:proofErr w:type="gramStart"/>
      <w:r w:rsidR="00DD57E8" w:rsidRPr="3787E91E">
        <w:rPr>
          <w:rFonts w:eastAsiaTheme="minorEastAsia"/>
        </w:rPr>
        <w:t>markets</w:t>
      </w:r>
      <w:proofErr w:type="gramEnd"/>
    </w:p>
    <w:p w14:paraId="671CE38F" w14:textId="4E5ADC8D" w:rsidR="004C0A2B" w:rsidRDefault="00BA1C7B" w:rsidP="007869F9">
      <w:r w:rsidRPr="0BCC15EA">
        <w:t>In 2021, t</w:t>
      </w:r>
      <w:r w:rsidR="007B0EDE" w:rsidRPr="0BCC15EA">
        <w:t>he Department</w:t>
      </w:r>
      <w:r w:rsidR="00B53069" w:rsidRPr="0BCC15EA">
        <w:t xml:space="preserve"> </w:t>
      </w:r>
      <w:r w:rsidRPr="0BCC15EA">
        <w:t>stated that,</w:t>
      </w:r>
      <w:r w:rsidR="00674594" w:rsidRPr="0BCC15EA">
        <w:t xml:space="preserve"> </w:t>
      </w:r>
      <w:r w:rsidR="003E17A9" w:rsidRPr="0BCC15EA">
        <w:t>“</w:t>
      </w:r>
      <w:r w:rsidR="00004BC3" w:rsidRPr="0BCC15EA">
        <w:t xml:space="preserve">It is agreed </w:t>
      </w:r>
      <w:r w:rsidRPr="0BCC15EA">
        <w:t xml:space="preserve">by all stakeholders that prices paid in the public hospital sector in Australia </w:t>
      </w:r>
      <w:r w:rsidR="008B1E28" w:rsidRPr="0BCC15EA">
        <w:t xml:space="preserve">are, on average, lower than private hospital prices </w:t>
      </w:r>
      <w:r w:rsidR="00692624" w:rsidRPr="0BCC15EA">
        <w:t xml:space="preserve">and the PL benefits </w:t>
      </w:r>
      <w:r w:rsidR="003E17A9" w:rsidRPr="0BCC15EA">
        <w:t>paid by insurers”</w:t>
      </w:r>
      <w:r w:rsidR="00A23531" w:rsidRPr="0BCC15EA">
        <w:t>.</w:t>
      </w:r>
      <w:r w:rsidR="003E17A9" w:rsidRPr="0BCC15EA">
        <w:rPr>
          <w:rStyle w:val="FootnoteReference"/>
          <w:rFonts w:eastAsiaTheme="minorEastAsia"/>
        </w:rPr>
        <w:footnoteReference w:id="21"/>
      </w:r>
      <w:r w:rsidR="00711316" w:rsidRPr="0BCC15EA">
        <w:t xml:space="preserve"> </w:t>
      </w:r>
      <w:r w:rsidR="00364F6C">
        <w:t xml:space="preserve">Analysis undertaken by </w:t>
      </w:r>
      <w:r w:rsidR="00FE13A3" w:rsidRPr="0BCC15EA">
        <w:t>IH</w:t>
      </w:r>
      <w:r w:rsidR="00B5565F">
        <w:t>AC</w:t>
      </w:r>
      <w:r w:rsidR="00FE13A3" w:rsidRPr="0BCC15EA">
        <w:t xml:space="preserve">PA </w:t>
      </w:r>
      <w:r w:rsidR="0057498D">
        <w:t xml:space="preserve">at the time </w:t>
      </w:r>
      <w:r w:rsidR="0007697F" w:rsidRPr="0BCC15EA">
        <w:t xml:space="preserve">estimated this gap </w:t>
      </w:r>
      <w:r w:rsidR="004C5A25" w:rsidRPr="0BCC15EA">
        <w:t>to be</w:t>
      </w:r>
      <w:r w:rsidR="0007697F" w:rsidRPr="0BCC15EA">
        <w:t xml:space="preserve"> 130% </w:t>
      </w:r>
      <w:r w:rsidR="00144894" w:rsidRPr="0BCC15EA">
        <w:t>in 2017-18</w:t>
      </w:r>
      <w:r w:rsidR="00433B4B" w:rsidRPr="0BCC15EA">
        <w:t xml:space="preserve"> and </w:t>
      </w:r>
      <w:r w:rsidR="00107FB2" w:rsidRPr="0BCC15EA">
        <w:t>up to 145% for some devices in 2019-20</w:t>
      </w:r>
      <w:r w:rsidR="001F543C" w:rsidRPr="0BCC15EA">
        <w:t>.</w:t>
      </w:r>
      <w:r w:rsidR="004C5A25" w:rsidRPr="0BCC15EA">
        <w:rPr>
          <w:rStyle w:val="FootnoteReference"/>
          <w:rFonts w:eastAsiaTheme="minorEastAsia"/>
        </w:rPr>
        <w:footnoteReference w:id="22"/>
      </w:r>
      <w:r w:rsidR="0057252C">
        <w:t xml:space="preserve"> </w:t>
      </w:r>
      <w:r w:rsidR="00710E0F">
        <w:t xml:space="preserve">(See measure 2.2 in </w:t>
      </w:r>
      <w:r w:rsidR="00710E0F">
        <w:fldChar w:fldCharType="begin"/>
      </w:r>
      <w:r w:rsidR="00710E0F">
        <w:instrText xml:space="preserve"> REF _Ref159832999 \r \h </w:instrText>
      </w:r>
      <w:r w:rsidR="007869F9">
        <w:instrText xml:space="preserve"> \* MERGEFORMAT </w:instrText>
      </w:r>
      <w:r w:rsidR="00710E0F">
        <w:fldChar w:fldCharType="separate"/>
      </w:r>
      <w:r w:rsidR="00026714">
        <w:t>Appendix B</w:t>
      </w:r>
      <w:r w:rsidR="00710E0F">
        <w:fldChar w:fldCharType="end"/>
      </w:r>
      <w:r w:rsidR="00710E0F">
        <w:t xml:space="preserve"> for analysis on the </w:t>
      </w:r>
      <w:r w:rsidR="00FC0A29">
        <w:t>gap.)</w:t>
      </w:r>
    </w:p>
    <w:p w14:paraId="5A52C84E" w14:textId="78795BA2" w:rsidR="009C0D07" w:rsidRDefault="00A71B15" w:rsidP="007869F9">
      <w:r w:rsidRPr="0BCC15EA">
        <w:t xml:space="preserve">Stakeholders also generally agree that </w:t>
      </w:r>
      <w:r w:rsidR="000A308E" w:rsidRPr="0BCC15EA">
        <w:t xml:space="preserve">PL benefits are higher than </w:t>
      </w:r>
      <w:r w:rsidR="006E7611" w:rsidRPr="0BCC15EA">
        <w:t>comparable international markets,</w:t>
      </w:r>
      <w:r w:rsidRPr="0BCC15EA">
        <w:t xml:space="preserve"> </w:t>
      </w:r>
      <w:r w:rsidR="00A34383" w:rsidRPr="0BCC15EA">
        <w:t xml:space="preserve">though </w:t>
      </w:r>
      <w:r w:rsidR="00790F8B">
        <w:t>some</w:t>
      </w:r>
      <w:r w:rsidR="005B05CF" w:rsidRPr="0BCC15EA">
        <w:t xml:space="preserve"> dis</w:t>
      </w:r>
      <w:r w:rsidR="00790F8B">
        <w:t>pute</w:t>
      </w:r>
      <w:r w:rsidR="005B05CF" w:rsidRPr="0BCC15EA">
        <w:t xml:space="preserve"> </w:t>
      </w:r>
      <w:r w:rsidR="00FD3718" w:rsidRPr="0BCC15EA">
        <w:t>th</w:t>
      </w:r>
      <w:r w:rsidR="004B0FD2" w:rsidRPr="0BCC15EA">
        <w:t>e</w:t>
      </w:r>
      <w:r w:rsidR="00FD3718" w:rsidRPr="0BCC15EA">
        <w:t xml:space="preserve"> validity of this gap</w:t>
      </w:r>
      <w:r w:rsidR="002A2F3D">
        <w:t xml:space="preserve">, given the </w:t>
      </w:r>
      <w:r w:rsidR="00097466">
        <w:t>differences in health systems</w:t>
      </w:r>
      <w:r w:rsidR="009D29D1">
        <w:t xml:space="preserve"> across countries</w:t>
      </w:r>
      <w:r w:rsidR="005B05CF" w:rsidRPr="0BCC15EA">
        <w:t xml:space="preserve">. </w:t>
      </w:r>
      <w:r w:rsidR="00AB7E94" w:rsidRPr="0BCC15EA">
        <w:t>Analysis commissioned by Private Healthcare</w:t>
      </w:r>
      <w:r w:rsidR="00FC4F50" w:rsidRPr="0BCC15EA">
        <w:t xml:space="preserve"> </w:t>
      </w:r>
      <w:r w:rsidR="00C61616" w:rsidRPr="0BCC15EA">
        <w:t xml:space="preserve">Australia </w:t>
      </w:r>
      <w:r w:rsidR="00CC5104" w:rsidRPr="0BCC15EA">
        <w:t xml:space="preserve">comparing a sample of </w:t>
      </w:r>
      <w:r w:rsidR="007E16D7" w:rsidRPr="0BCC15EA">
        <w:t xml:space="preserve">some </w:t>
      </w:r>
      <w:r w:rsidR="003E131A">
        <w:t xml:space="preserve">of </w:t>
      </w:r>
      <w:r w:rsidR="007E16D7" w:rsidRPr="0BCC15EA">
        <w:t>the large</w:t>
      </w:r>
      <w:r w:rsidR="003A2ADA" w:rsidRPr="0BCC15EA">
        <w:t>st PL items by valu</w:t>
      </w:r>
      <w:r w:rsidR="00907FAB" w:rsidRPr="0BCC15EA">
        <w:t>e</w:t>
      </w:r>
      <w:r w:rsidR="006F29C5" w:rsidRPr="0BCC15EA">
        <w:t xml:space="preserve"> to the </w:t>
      </w:r>
      <w:r w:rsidR="009D5BF1" w:rsidRPr="0BCC15EA">
        <w:t xml:space="preserve">price of the same products </w:t>
      </w:r>
      <w:r w:rsidR="005627E3" w:rsidRPr="0BCC15EA">
        <w:t>overseas</w:t>
      </w:r>
      <w:r w:rsidR="00907FAB" w:rsidRPr="0BCC15EA">
        <w:t xml:space="preserve">, showed that </w:t>
      </w:r>
      <w:r w:rsidR="00C76E93" w:rsidRPr="0BCC15EA">
        <w:t xml:space="preserve">PL benefits </w:t>
      </w:r>
      <w:r w:rsidR="00A01F73" w:rsidRPr="0BCC15EA">
        <w:t xml:space="preserve">are </w:t>
      </w:r>
      <w:r w:rsidR="005627E3" w:rsidRPr="0BCC15EA">
        <w:t xml:space="preserve">on average </w:t>
      </w:r>
      <w:r w:rsidR="00303049" w:rsidRPr="0BCC15EA">
        <w:t>21.2%</w:t>
      </w:r>
      <w:r w:rsidR="00C324C9" w:rsidRPr="0BCC15EA">
        <w:t xml:space="preserve"> </w:t>
      </w:r>
      <w:r w:rsidR="007C316D" w:rsidRPr="0BCC15EA">
        <w:t>higher tha</w:t>
      </w:r>
      <w:r w:rsidR="005627E3" w:rsidRPr="0BCC15EA">
        <w:t>n t</w:t>
      </w:r>
      <w:r w:rsidR="00D4305F" w:rsidRPr="0BCC15EA">
        <w:t xml:space="preserve">he </w:t>
      </w:r>
      <w:r w:rsidR="005627E3" w:rsidRPr="0BCC15EA">
        <w:t>UK (</w:t>
      </w:r>
      <w:r w:rsidR="00631391" w:rsidRPr="0BCC15EA">
        <w:t xml:space="preserve">as </w:t>
      </w:r>
      <w:r w:rsidR="00E76FD9" w:rsidRPr="0BCC15EA">
        <w:t>priced by the</w:t>
      </w:r>
      <w:r w:rsidR="00631391" w:rsidRPr="0BCC15EA">
        <w:t xml:space="preserve"> National Health Service), </w:t>
      </w:r>
      <w:r w:rsidR="009A2598" w:rsidRPr="0BCC15EA">
        <w:t>36.7% higher than New Zealand</w:t>
      </w:r>
      <w:r w:rsidR="00E76FD9" w:rsidRPr="0BCC15EA">
        <w:t xml:space="preserve"> (as </w:t>
      </w:r>
      <w:r w:rsidR="002236F3" w:rsidRPr="0BCC15EA">
        <w:t>listed by</w:t>
      </w:r>
      <w:r w:rsidR="00E76FD9" w:rsidRPr="0BCC15EA">
        <w:t xml:space="preserve"> </w:t>
      </w:r>
      <w:proofErr w:type="spellStart"/>
      <w:r w:rsidR="00E76FD9" w:rsidRPr="0BCC15EA">
        <w:t>Pharmac</w:t>
      </w:r>
      <w:proofErr w:type="spellEnd"/>
      <w:r w:rsidR="00E76FD9" w:rsidRPr="0BCC15EA">
        <w:t>)</w:t>
      </w:r>
      <w:r w:rsidR="00783CA9" w:rsidRPr="0BCC15EA">
        <w:t xml:space="preserve"> and </w:t>
      </w:r>
      <w:r w:rsidR="00962EAB" w:rsidRPr="0BCC15EA">
        <w:t xml:space="preserve">38.4% higher than </w:t>
      </w:r>
      <w:r w:rsidR="00487E49" w:rsidRPr="0BCC15EA">
        <w:t>South Africa (</w:t>
      </w:r>
      <w:r w:rsidR="00A80E30" w:rsidRPr="0BCC15EA">
        <w:t>prices provided by Discovery Health</w:t>
      </w:r>
      <w:r w:rsidR="00487E49" w:rsidRPr="0BCC15EA">
        <w:t xml:space="preserve">, a private </w:t>
      </w:r>
      <w:r w:rsidR="000007E7" w:rsidRPr="0BCC15EA">
        <w:t>health insur</w:t>
      </w:r>
      <w:r w:rsidR="00A80E30" w:rsidRPr="0BCC15EA">
        <w:t>er)</w:t>
      </w:r>
      <w:r w:rsidR="001F543C" w:rsidRPr="0BCC15EA">
        <w:t>.</w:t>
      </w:r>
      <w:r w:rsidR="00FA75F1" w:rsidRPr="0BCC15EA">
        <w:rPr>
          <w:rStyle w:val="FootnoteTextChar"/>
          <w:rFonts w:eastAsiaTheme="minorEastAsia"/>
          <w:vertAlign w:val="superscript"/>
        </w:rPr>
        <w:footnoteReference w:id="23"/>
      </w:r>
      <w:r w:rsidR="006F1004" w:rsidRPr="0BCC15EA">
        <w:rPr>
          <w:rStyle w:val="FootnoteTextChar"/>
          <w:rFonts w:eastAsiaTheme="minorEastAsia"/>
          <w:vertAlign w:val="superscript"/>
        </w:rPr>
        <w:t>,</w:t>
      </w:r>
      <w:r w:rsidR="006F1004" w:rsidRPr="0BCC15EA">
        <w:rPr>
          <w:rStyle w:val="FootnoteReference"/>
          <w:rFonts w:eastAsiaTheme="minorEastAsia"/>
        </w:rPr>
        <w:footnoteReference w:id="24"/>
      </w:r>
      <w:r w:rsidR="00FA75F1" w:rsidRPr="0BCC15EA">
        <w:t xml:space="preserve"> </w:t>
      </w:r>
      <w:r w:rsidR="006527A1" w:rsidRPr="0BCC15EA">
        <w:t xml:space="preserve">Others have also </w:t>
      </w:r>
      <w:r w:rsidR="00000C76" w:rsidRPr="0BCC15EA">
        <w:t>pointed to</w:t>
      </w:r>
      <w:r w:rsidR="006527A1" w:rsidRPr="0BCC15EA">
        <w:t xml:space="preserve"> specific cases where </w:t>
      </w:r>
      <w:r w:rsidR="00000C76" w:rsidRPr="0BCC15EA">
        <w:t>PL benefits are s</w:t>
      </w:r>
      <w:r w:rsidR="00E06E61" w:rsidRPr="0BCC15EA">
        <w:t xml:space="preserve">ubstantially </w:t>
      </w:r>
      <w:r w:rsidR="00000C76" w:rsidRPr="0BCC15EA">
        <w:t xml:space="preserve">higher than </w:t>
      </w:r>
      <w:r w:rsidR="00B04777" w:rsidRPr="0BCC15EA">
        <w:t>the same product overseas</w:t>
      </w:r>
      <w:r w:rsidR="001F543C" w:rsidRPr="0BCC15EA">
        <w:t>.</w:t>
      </w:r>
      <w:r w:rsidR="003B3804" w:rsidRPr="0BCC15EA">
        <w:rPr>
          <w:rStyle w:val="FootnoteTextChar"/>
          <w:rFonts w:eastAsiaTheme="minorEastAsia"/>
          <w:vertAlign w:val="superscript"/>
        </w:rPr>
        <w:footnoteReference w:id="25"/>
      </w:r>
      <w:r w:rsidR="002212AB" w:rsidRPr="0BCC15EA">
        <w:rPr>
          <w:rStyle w:val="FootnoteTextChar"/>
          <w:rFonts w:eastAsiaTheme="minorEastAsia"/>
          <w:vertAlign w:val="superscript"/>
        </w:rPr>
        <w:t>,</w:t>
      </w:r>
      <w:r w:rsidR="00675662" w:rsidRPr="0BCC15EA">
        <w:rPr>
          <w:rStyle w:val="FootnoteTextChar"/>
          <w:rFonts w:eastAsiaTheme="minorEastAsia"/>
          <w:vertAlign w:val="superscript"/>
        </w:rPr>
        <w:footnoteReference w:id="26"/>
      </w:r>
      <w:r w:rsidR="001F543C" w:rsidRPr="0BCC15EA">
        <w:t xml:space="preserve"> </w:t>
      </w:r>
      <w:r w:rsidR="0047173D" w:rsidRPr="0BCC15EA">
        <w:t xml:space="preserve">However, some stakeholders propose that </w:t>
      </w:r>
      <w:r w:rsidR="00EE5E53" w:rsidRPr="0BCC15EA">
        <w:t xml:space="preserve">there </w:t>
      </w:r>
      <w:r w:rsidR="0047173D" w:rsidRPr="0BCC15EA">
        <w:t>are ge</w:t>
      </w:r>
      <w:r w:rsidR="002B46A1" w:rsidRPr="0BCC15EA">
        <w:t xml:space="preserve">nuine drivers of price differentials </w:t>
      </w:r>
      <w:r w:rsidR="00EE5E53" w:rsidRPr="0BCC15EA">
        <w:t>between</w:t>
      </w:r>
      <w:r w:rsidR="001323D8" w:rsidRPr="0BCC15EA">
        <w:t xml:space="preserve"> the</w:t>
      </w:r>
      <w:r w:rsidR="00D63C7D" w:rsidRPr="0BCC15EA">
        <w:t xml:space="preserve"> Australian private sector and international markets</w:t>
      </w:r>
      <w:r w:rsidR="001F543C" w:rsidRPr="0BCC15EA">
        <w:t>.</w:t>
      </w:r>
      <w:r w:rsidR="00FB0A24" w:rsidRPr="0BCC15EA">
        <w:rPr>
          <w:rStyle w:val="FootnoteReference"/>
          <w:rFonts w:eastAsiaTheme="minorEastAsia"/>
        </w:rPr>
        <w:footnoteReference w:id="27"/>
      </w:r>
    </w:p>
    <w:p w14:paraId="330F7ACA" w14:textId="18AC0889" w:rsidR="009D1D9B" w:rsidRDefault="009269DA" w:rsidP="008A4B86">
      <w:r w:rsidRPr="0BCC15EA">
        <w:rPr>
          <w:rFonts w:asciiTheme="minorHAnsi" w:hAnsiTheme="minorHAnsi"/>
        </w:rPr>
        <w:t>The Department has</w:t>
      </w:r>
      <w:r w:rsidR="00C8037D" w:rsidRPr="0BCC15EA">
        <w:rPr>
          <w:rFonts w:asciiTheme="minorHAnsi" w:hAnsiTheme="minorHAnsi"/>
        </w:rPr>
        <w:t xml:space="preserve"> </w:t>
      </w:r>
      <w:r w:rsidR="00197D76" w:rsidRPr="0BCC15EA">
        <w:rPr>
          <w:rFonts w:asciiTheme="minorHAnsi" w:hAnsiTheme="minorHAnsi"/>
        </w:rPr>
        <w:t xml:space="preserve">made efforts to address </w:t>
      </w:r>
      <w:r w:rsidR="00511F8C" w:rsidRPr="0BCC15EA">
        <w:rPr>
          <w:rFonts w:asciiTheme="minorHAnsi" w:hAnsiTheme="minorHAnsi"/>
        </w:rPr>
        <w:t>high PL benefits in the past</w:t>
      </w:r>
      <w:r w:rsidR="00D14754" w:rsidRPr="0BCC15EA">
        <w:rPr>
          <w:rFonts w:asciiTheme="minorHAnsi" w:hAnsiTheme="minorHAnsi"/>
        </w:rPr>
        <w:t xml:space="preserve">, however reductions </w:t>
      </w:r>
      <w:r w:rsidR="00C5246B" w:rsidRPr="0BCC15EA">
        <w:rPr>
          <w:rFonts w:asciiTheme="minorHAnsi" w:hAnsiTheme="minorHAnsi"/>
        </w:rPr>
        <w:t xml:space="preserve">have not </w:t>
      </w:r>
      <w:r w:rsidR="005940F9" w:rsidRPr="0BCC15EA">
        <w:rPr>
          <w:rFonts w:asciiTheme="minorHAnsi" w:hAnsiTheme="minorHAnsi"/>
        </w:rPr>
        <w:t xml:space="preserve">been commensurate </w:t>
      </w:r>
      <w:r w:rsidR="004D357F" w:rsidRPr="0BCC15EA">
        <w:rPr>
          <w:rFonts w:asciiTheme="minorHAnsi" w:hAnsiTheme="minorHAnsi"/>
        </w:rPr>
        <w:t xml:space="preserve">with the gap </w:t>
      </w:r>
      <w:r w:rsidR="0082513D" w:rsidRPr="0BCC15EA">
        <w:rPr>
          <w:rFonts w:asciiTheme="minorHAnsi" w:hAnsiTheme="minorHAnsi"/>
        </w:rPr>
        <w:t xml:space="preserve">between the PL and </w:t>
      </w:r>
      <w:r w:rsidR="004D357F" w:rsidRPr="0BCC15EA">
        <w:rPr>
          <w:rFonts w:asciiTheme="minorHAnsi" w:hAnsiTheme="minorHAnsi"/>
        </w:rPr>
        <w:t>more competitive markets</w:t>
      </w:r>
      <w:r w:rsidR="009A4B06" w:rsidRPr="0BCC15EA">
        <w:rPr>
          <w:rFonts w:asciiTheme="minorHAnsi" w:hAnsiTheme="minorHAnsi"/>
        </w:rPr>
        <w:t>.</w:t>
      </w:r>
      <w:r w:rsidR="0082513D" w:rsidRPr="0BCC15EA">
        <w:rPr>
          <w:rFonts w:asciiTheme="minorHAnsi" w:hAnsiTheme="minorHAnsi"/>
        </w:rPr>
        <w:t xml:space="preserve"> </w:t>
      </w:r>
      <w:r w:rsidR="0091072E">
        <w:rPr>
          <w:rFonts w:asciiTheme="minorHAnsi" w:hAnsiTheme="minorHAnsi"/>
        </w:rPr>
        <w:t>In February 2017, the Government reduced the minimum benefit a</w:t>
      </w:r>
      <w:r w:rsidR="00A06D71">
        <w:rPr>
          <w:rFonts w:asciiTheme="minorHAnsi" w:hAnsiTheme="minorHAnsi"/>
        </w:rPr>
        <w:t xml:space="preserve">mount paid for four categories of </w:t>
      </w:r>
      <w:r w:rsidR="00652E27">
        <w:rPr>
          <w:rFonts w:asciiTheme="minorHAnsi" w:hAnsiTheme="minorHAnsi"/>
        </w:rPr>
        <w:t>products</w:t>
      </w:r>
      <w:r w:rsidR="00A06D71">
        <w:rPr>
          <w:rFonts w:asciiTheme="minorHAnsi" w:hAnsiTheme="minorHAnsi"/>
        </w:rPr>
        <w:t xml:space="preserve"> on the PL</w:t>
      </w:r>
      <w:r w:rsidR="00652E27">
        <w:rPr>
          <w:rFonts w:asciiTheme="minorHAnsi" w:hAnsiTheme="minorHAnsi"/>
        </w:rPr>
        <w:t xml:space="preserve"> by between </w:t>
      </w:r>
      <w:r w:rsidR="00983CD2">
        <w:t>7.5</w:t>
      </w:r>
      <w:r w:rsidR="00685924">
        <w:t>% and 10%</w:t>
      </w:r>
      <w:r w:rsidR="008954F0">
        <w:t xml:space="preserve"> as recommended by an Industry </w:t>
      </w:r>
      <w:r w:rsidR="005C49C6">
        <w:t>Working Group</w:t>
      </w:r>
      <w:r w:rsidR="001F543C">
        <w:t>.</w:t>
      </w:r>
      <w:r w:rsidR="00AC634E" w:rsidRPr="0BCC15EA">
        <w:rPr>
          <w:rStyle w:val="FootnoteReference"/>
          <w:rFonts w:cstheme="minorBidi"/>
        </w:rPr>
        <w:footnoteReference w:id="28"/>
      </w:r>
      <w:r w:rsidR="007612D5">
        <w:t xml:space="preserve"> </w:t>
      </w:r>
      <w:r w:rsidR="008A4B86">
        <w:t>Most recently</w:t>
      </w:r>
      <w:r w:rsidR="007B2638">
        <w:t xml:space="preserve">, the Government </w:t>
      </w:r>
      <w:r w:rsidR="007B2638">
        <w:lastRenderedPageBreak/>
        <w:t xml:space="preserve">entered into an </w:t>
      </w:r>
      <w:r w:rsidR="001C570E">
        <w:t>A</w:t>
      </w:r>
      <w:r w:rsidR="007B2638">
        <w:t>greement with the</w:t>
      </w:r>
      <w:r w:rsidR="00E569B9">
        <w:t xml:space="preserve"> MTAA</w:t>
      </w:r>
      <w:r w:rsidR="007B2638">
        <w:t xml:space="preserve"> in October 2017</w:t>
      </w:r>
      <w:r w:rsidR="00E569B9">
        <w:t xml:space="preserve"> </w:t>
      </w:r>
      <w:r w:rsidR="007B2638">
        <w:t>that implemented a series of</w:t>
      </w:r>
      <w:r w:rsidR="0076422A">
        <w:t xml:space="preserve"> benefit </w:t>
      </w:r>
      <w:r w:rsidR="007F76E2">
        <w:t>reductions</w:t>
      </w:r>
      <w:r w:rsidR="00F82F5C">
        <w:t xml:space="preserve"> </w:t>
      </w:r>
      <w:r w:rsidR="007B2638">
        <w:t xml:space="preserve">across the PL </w:t>
      </w:r>
      <w:r w:rsidR="00F82F5C">
        <w:t xml:space="preserve">from </w:t>
      </w:r>
      <w:r w:rsidR="0079675B" w:rsidRPr="004733B4">
        <w:t xml:space="preserve">February 2018 </w:t>
      </w:r>
      <w:r w:rsidR="002F2005">
        <w:t>to</w:t>
      </w:r>
      <w:r w:rsidR="0079675B" w:rsidRPr="004733B4">
        <w:t xml:space="preserve"> February 2020</w:t>
      </w:r>
      <w:r w:rsidR="00F82F5C">
        <w:t>.</w:t>
      </w:r>
      <w:r w:rsidR="00F82F5C" w:rsidRPr="0BCC15EA">
        <w:rPr>
          <w:rStyle w:val="FootnoteTextChar"/>
          <w:rFonts w:eastAsiaTheme="minorEastAsia"/>
          <w:vertAlign w:val="superscript"/>
        </w:rPr>
        <w:footnoteReference w:id="29"/>
      </w:r>
      <w:r w:rsidR="0079675B" w:rsidRPr="0BCC15EA">
        <w:rPr>
          <w:rStyle w:val="FootnoteTextChar"/>
          <w:rFonts w:eastAsiaTheme="minorEastAsia"/>
          <w:vertAlign w:val="superscript"/>
        </w:rPr>
        <w:t>,</w:t>
      </w:r>
      <w:r w:rsidR="00F82F5C" w:rsidRPr="0BCC15EA">
        <w:rPr>
          <w:rStyle w:val="FootnoteReference"/>
          <w:rFonts w:cstheme="minorBidi"/>
        </w:rPr>
        <w:footnoteReference w:id="30"/>
      </w:r>
    </w:p>
    <w:p w14:paraId="3C2A5481" w14:textId="6E014451" w:rsidR="00EE0809" w:rsidRDefault="00C57DE8" w:rsidP="00EE0809">
      <w:r>
        <w:t xml:space="preserve">However, </w:t>
      </w:r>
      <w:r w:rsidR="002744BC">
        <w:t>at the time</w:t>
      </w:r>
      <w:r w:rsidR="004B475D">
        <w:t xml:space="preserve"> </w:t>
      </w:r>
      <w:r w:rsidR="00B7367C">
        <w:t>these</w:t>
      </w:r>
      <w:r w:rsidR="004B475D">
        <w:t xml:space="preserve"> </w:t>
      </w:r>
      <w:r w:rsidR="004E0AA5">
        <w:t xml:space="preserve">PL </w:t>
      </w:r>
      <w:r w:rsidR="004B475D">
        <w:t xml:space="preserve">reforms </w:t>
      </w:r>
      <w:r w:rsidR="004E0AA5">
        <w:t>were announced</w:t>
      </w:r>
      <w:r w:rsidR="004B475D">
        <w:t xml:space="preserve">, there </w:t>
      </w:r>
      <w:r w:rsidR="00E06E61">
        <w:t>remain</w:t>
      </w:r>
      <w:r w:rsidR="00F01BE2">
        <w:t>ed</w:t>
      </w:r>
      <w:r w:rsidR="004B475D">
        <w:t xml:space="preserve"> a </w:t>
      </w:r>
      <w:r w:rsidR="006305D9">
        <w:t>notable</w:t>
      </w:r>
      <w:r w:rsidR="004B475D">
        <w:t xml:space="preserve"> gap between PL benefits and </w:t>
      </w:r>
      <w:r w:rsidR="00D909AA">
        <w:t>prices in</w:t>
      </w:r>
      <w:r w:rsidR="00801C38">
        <w:t xml:space="preserve"> the public system</w:t>
      </w:r>
      <w:r w:rsidR="00D909AA">
        <w:t xml:space="preserve">. </w:t>
      </w:r>
      <w:r w:rsidR="00FB43EC">
        <w:t>The</w:t>
      </w:r>
      <w:r w:rsidR="001F5F1D">
        <w:t xml:space="preserve"> median gap</w:t>
      </w:r>
      <w:r w:rsidR="00E77ADF">
        <w:t xml:space="preserve"> between </w:t>
      </w:r>
      <w:r w:rsidR="00255D3C">
        <w:t xml:space="preserve">items on Part A of the </w:t>
      </w:r>
      <w:r w:rsidR="0081781E">
        <w:t>March 2022</w:t>
      </w:r>
      <w:r w:rsidR="00E77ADF">
        <w:t xml:space="preserve"> </w:t>
      </w:r>
      <w:r w:rsidR="00255D3C">
        <w:t xml:space="preserve">PL </w:t>
      </w:r>
      <w:r w:rsidR="00CA303C">
        <w:t xml:space="preserve">and </w:t>
      </w:r>
      <w:r w:rsidR="009B6D84">
        <w:t>public benchmark price</w:t>
      </w:r>
      <w:r w:rsidR="00B40091">
        <w:t>s</w:t>
      </w:r>
      <w:r w:rsidR="0087777F">
        <w:t xml:space="preserve"> </w:t>
      </w:r>
      <w:r w:rsidR="0081781E">
        <w:t>supplied</w:t>
      </w:r>
      <w:r w:rsidR="0087777F">
        <w:t xml:space="preserve"> by industry</w:t>
      </w:r>
      <w:r w:rsidR="00083630">
        <w:t xml:space="preserve"> in November 2021 </w:t>
      </w:r>
      <w:r w:rsidR="00B7367C">
        <w:t xml:space="preserve">was </w:t>
      </w:r>
      <w:r w:rsidR="000C7362">
        <w:t>2</w:t>
      </w:r>
      <w:r w:rsidR="00451539">
        <w:t>5</w:t>
      </w:r>
      <w:r w:rsidR="000C7362">
        <w:t>%</w:t>
      </w:r>
      <w:r w:rsidR="00255D3C">
        <w:t xml:space="preserve"> (excluding CIED items)</w:t>
      </w:r>
      <w:r w:rsidR="00370424">
        <w:t>.</w:t>
      </w:r>
      <w:r w:rsidR="00095792">
        <w:rPr>
          <w:rStyle w:val="FootnoteReference"/>
        </w:rPr>
        <w:footnoteReference w:id="31"/>
      </w:r>
      <w:r w:rsidR="009D1D9B">
        <w:t xml:space="preserve"> Further to this,</w:t>
      </w:r>
      <w:r w:rsidR="002E681E">
        <w:t xml:space="preserve"> </w:t>
      </w:r>
      <w:r w:rsidR="00E04A62">
        <w:fldChar w:fldCharType="begin"/>
      </w:r>
      <w:r w:rsidR="00E04A62">
        <w:instrText xml:space="preserve"> REF _Ref162017319 \h </w:instrText>
      </w:r>
      <w:r w:rsidR="00E04A62">
        <w:fldChar w:fldCharType="separate"/>
      </w:r>
      <w:r w:rsidR="00026714">
        <w:t xml:space="preserve">Figure </w:t>
      </w:r>
      <w:r w:rsidR="00026714">
        <w:rPr>
          <w:noProof/>
        </w:rPr>
        <w:t>6</w:t>
      </w:r>
      <w:r w:rsidR="00E04A62">
        <w:fldChar w:fldCharType="end"/>
      </w:r>
      <w:r w:rsidR="00EE0809">
        <w:t xml:space="preserve"> below shows the percentage gap between PL benefits </w:t>
      </w:r>
      <w:r w:rsidR="00BD004E">
        <w:t>and</w:t>
      </w:r>
      <w:r w:rsidR="00EE0809">
        <w:t xml:space="preserve"> public benchmark prices a</w:t>
      </w:r>
      <w:r w:rsidR="00BD004E">
        <w:t>t</w:t>
      </w:r>
      <w:r w:rsidR="00EE0809">
        <w:t xml:space="preserve"> baseline</w:t>
      </w:r>
      <w:r w:rsidR="002E681E">
        <w:t xml:space="preserve"> (see measure 2.</w:t>
      </w:r>
      <w:r w:rsidR="00802842">
        <w:t>2</w:t>
      </w:r>
      <w:r w:rsidR="002E681E">
        <w:t xml:space="preserve"> in </w:t>
      </w:r>
      <w:r w:rsidR="002E681E">
        <w:fldChar w:fldCharType="begin"/>
      </w:r>
      <w:r w:rsidR="002E681E">
        <w:instrText xml:space="preserve"> REF _Ref159832999 \r \h </w:instrText>
      </w:r>
      <w:r w:rsidR="002E681E">
        <w:fldChar w:fldCharType="separate"/>
      </w:r>
      <w:r w:rsidR="00026714">
        <w:t>Appendix B</w:t>
      </w:r>
      <w:r w:rsidR="002E681E">
        <w:fldChar w:fldCharType="end"/>
      </w:r>
      <w:r w:rsidR="006C23BD">
        <w:t xml:space="preserve"> for more detail).</w:t>
      </w:r>
    </w:p>
    <w:p w14:paraId="3EF8BD45" w14:textId="44DA2034" w:rsidR="00EE0809" w:rsidRDefault="00EE0809" w:rsidP="00EE0809">
      <w:pPr>
        <w:pStyle w:val="Caption"/>
        <w:spacing w:before="240" w:after="120"/>
      </w:pPr>
      <w:bookmarkStart w:id="27" w:name="_Ref162017319"/>
      <w:bookmarkStart w:id="28" w:name="_Ref160184685"/>
      <w:r>
        <w:t xml:space="preserve">Figure </w:t>
      </w:r>
      <w:r>
        <w:fldChar w:fldCharType="begin"/>
      </w:r>
      <w:r>
        <w:instrText xml:space="preserve"> SEQ Figure \* ARABIC </w:instrText>
      </w:r>
      <w:r>
        <w:fldChar w:fldCharType="separate"/>
      </w:r>
      <w:r w:rsidR="00026714">
        <w:rPr>
          <w:noProof/>
        </w:rPr>
        <w:t>6</w:t>
      </w:r>
      <w:r>
        <w:fldChar w:fldCharType="end"/>
      </w:r>
      <w:bookmarkEnd w:id="27"/>
      <w:r>
        <w:t xml:space="preserve"> | Percentage gap between PL benefits and public benchmark prices</w:t>
      </w:r>
      <w:r w:rsidR="00411E0F">
        <w:t xml:space="preserve"> (Part A, excluding CIED items)</w:t>
      </w:r>
      <w:r w:rsidRPr="004A5A59">
        <w:rPr>
          <w:vertAlign w:val="superscript"/>
        </w:rPr>
        <w:footnoteReference w:id="32"/>
      </w:r>
      <w:bookmarkEnd w:id="28"/>
    </w:p>
    <w:p w14:paraId="6781C2D3" w14:textId="411F6501" w:rsidR="00EE0809" w:rsidRDefault="00504193" w:rsidP="00EE0809">
      <w:r w:rsidRPr="00504193">
        <w:rPr>
          <w:noProof/>
        </w:rPr>
        <w:drawing>
          <wp:inline distT="0" distB="0" distL="0" distR="0" wp14:anchorId="6C729CBF" wp14:editId="24C390B3">
            <wp:extent cx="5670550" cy="3274060"/>
            <wp:effectExtent l="0" t="0" r="6350" b="2540"/>
            <wp:docPr id="2012248543" name="Picture 1" descr="A graph showing the percentage gap between PL benefits and public benchmark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48543" name="Picture 1" descr="A graph showing the percentage gap between PL benefits and public benchmark prices."/>
                    <pic:cNvPicPr/>
                  </pic:nvPicPr>
                  <pic:blipFill>
                    <a:blip r:embed="rId32"/>
                    <a:stretch>
                      <a:fillRect/>
                    </a:stretch>
                  </pic:blipFill>
                  <pic:spPr>
                    <a:xfrm>
                      <a:off x="0" y="0"/>
                      <a:ext cx="5670550" cy="3274060"/>
                    </a:xfrm>
                    <a:prstGeom prst="rect">
                      <a:avLst/>
                    </a:prstGeom>
                  </pic:spPr>
                </pic:pic>
              </a:graphicData>
            </a:graphic>
          </wp:inline>
        </w:drawing>
      </w:r>
    </w:p>
    <w:p w14:paraId="37ECA25F" w14:textId="4AE3A885" w:rsidR="00C57DE8" w:rsidRPr="00A23FB6" w:rsidRDefault="00C969B8" w:rsidP="00AB7FE4">
      <w:pPr>
        <w:pStyle w:val="Heading3"/>
        <w:spacing w:before="400"/>
      </w:pPr>
      <w:r>
        <w:t xml:space="preserve">Rationale for </w:t>
      </w:r>
      <w:r w:rsidR="00A23FB6">
        <w:t>reform</w:t>
      </w:r>
    </w:p>
    <w:p w14:paraId="305C4DAD" w14:textId="53979338" w:rsidR="000D09CF" w:rsidRPr="008D0095" w:rsidRDefault="00056BE8" w:rsidP="008D0095">
      <w:pPr>
        <w:pStyle w:val="Heading4"/>
        <w:rPr>
          <w:rFonts w:eastAsiaTheme="minorHAnsi" w:cstheme="minorBidi"/>
          <w:szCs w:val="22"/>
        </w:rPr>
      </w:pPr>
      <w:r>
        <w:rPr>
          <w:rFonts w:eastAsiaTheme="minorHAnsi" w:cstheme="minorBidi"/>
          <w:szCs w:val="22"/>
        </w:rPr>
        <w:t>PL benefits</w:t>
      </w:r>
      <w:r w:rsidR="003A5E27">
        <w:rPr>
          <w:rFonts w:eastAsiaTheme="minorHAnsi" w:cstheme="minorBidi"/>
          <w:szCs w:val="22"/>
        </w:rPr>
        <w:t xml:space="preserve"> that are </w:t>
      </w:r>
      <w:r w:rsidR="00057DB0">
        <w:rPr>
          <w:rFonts w:eastAsiaTheme="minorHAnsi" w:cstheme="minorBidi"/>
          <w:szCs w:val="22"/>
        </w:rPr>
        <w:t>set</w:t>
      </w:r>
      <w:r w:rsidR="003942D6">
        <w:rPr>
          <w:rFonts w:eastAsiaTheme="minorHAnsi" w:cstheme="minorBidi"/>
          <w:szCs w:val="22"/>
        </w:rPr>
        <w:t xml:space="preserve"> </w:t>
      </w:r>
      <w:r w:rsidR="00AA30E1">
        <w:rPr>
          <w:rFonts w:eastAsiaTheme="minorHAnsi" w:cstheme="minorBidi"/>
          <w:szCs w:val="22"/>
        </w:rPr>
        <w:t>above</w:t>
      </w:r>
      <w:r w:rsidR="00ED4BC7">
        <w:rPr>
          <w:rFonts w:eastAsiaTheme="minorHAnsi" w:cstheme="minorBidi"/>
          <w:szCs w:val="22"/>
        </w:rPr>
        <w:t xml:space="preserve"> competitive market </w:t>
      </w:r>
      <w:r w:rsidR="00F52604">
        <w:rPr>
          <w:rFonts w:eastAsiaTheme="minorHAnsi" w:cstheme="minorBidi"/>
          <w:szCs w:val="22"/>
        </w:rPr>
        <w:t>prices</w:t>
      </w:r>
      <w:r w:rsidR="003A5E27">
        <w:rPr>
          <w:rFonts w:eastAsiaTheme="minorHAnsi" w:cstheme="minorBidi"/>
          <w:szCs w:val="22"/>
        </w:rPr>
        <w:t xml:space="preserve"> </w:t>
      </w:r>
      <w:r w:rsidR="0055205D">
        <w:rPr>
          <w:rFonts w:eastAsiaTheme="minorHAnsi" w:cstheme="minorBidi"/>
          <w:szCs w:val="22"/>
        </w:rPr>
        <w:t>create a</w:t>
      </w:r>
      <w:r w:rsidR="00537A84">
        <w:rPr>
          <w:rFonts w:eastAsiaTheme="minorHAnsi" w:cstheme="minorBidi"/>
          <w:szCs w:val="22"/>
        </w:rPr>
        <w:t xml:space="preserve">n </w:t>
      </w:r>
      <w:r w:rsidR="00E678DD">
        <w:rPr>
          <w:rFonts w:eastAsiaTheme="minorHAnsi" w:cstheme="minorBidi"/>
          <w:szCs w:val="22"/>
        </w:rPr>
        <w:t xml:space="preserve">unnecessary </w:t>
      </w:r>
      <w:r w:rsidR="0055205D">
        <w:rPr>
          <w:rFonts w:eastAsiaTheme="minorHAnsi" w:cstheme="minorBidi"/>
          <w:szCs w:val="22"/>
        </w:rPr>
        <w:t xml:space="preserve">cost </w:t>
      </w:r>
      <w:r w:rsidR="00943AA5">
        <w:rPr>
          <w:rFonts w:eastAsiaTheme="minorHAnsi"/>
        </w:rPr>
        <w:t>to</w:t>
      </w:r>
      <w:r w:rsidR="00943AA5">
        <w:rPr>
          <w:rFonts w:eastAsiaTheme="minorHAnsi" w:cstheme="minorBidi"/>
          <w:szCs w:val="22"/>
        </w:rPr>
        <w:t xml:space="preserve"> the</w:t>
      </w:r>
      <w:r w:rsidR="0055205D">
        <w:rPr>
          <w:rFonts w:eastAsiaTheme="minorHAnsi" w:cstheme="minorBidi"/>
          <w:szCs w:val="22"/>
        </w:rPr>
        <w:t xml:space="preserve"> health system that is </w:t>
      </w:r>
      <w:r w:rsidR="00943AA5">
        <w:rPr>
          <w:rFonts w:eastAsiaTheme="minorHAnsi"/>
        </w:rPr>
        <w:t>borne</w:t>
      </w:r>
      <w:r w:rsidR="0055205D">
        <w:rPr>
          <w:rFonts w:eastAsiaTheme="minorHAnsi" w:cstheme="minorBidi"/>
          <w:szCs w:val="22"/>
        </w:rPr>
        <w:t xml:space="preserve"> by </w:t>
      </w:r>
      <w:proofErr w:type="gramStart"/>
      <w:r w:rsidR="00943AA5">
        <w:rPr>
          <w:rFonts w:eastAsiaTheme="minorHAnsi" w:cstheme="minorBidi"/>
          <w:szCs w:val="22"/>
        </w:rPr>
        <w:t>consumers</w:t>
      </w:r>
      <w:proofErr w:type="gramEnd"/>
    </w:p>
    <w:p w14:paraId="7EC179F4" w14:textId="2C4FF4B6" w:rsidR="00005496" w:rsidRDefault="00C65901" w:rsidP="00943AA5">
      <w:pPr>
        <w:rPr>
          <w:lang w:eastAsia="en-AU"/>
        </w:rPr>
      </w:pPr>
      <w:r>
        <w:rPr>
          <w:lang w:eastAsia="en-AU"/>
        </w:rPr>
        <w:t>The PL mechanism ensures that the cost to consumers via private health insur</w:t>
      </w:r>
      <w:r w:rsidR="007B36CA">
        <w:rPr>
          <w:lang w:eastAsia="en-AU"/>
        </w:rPr>
        <w:t>ance</w:t>
      </w:r>
      <w:r>
        <w:rPr>
          <w:lang w:eastAsia="en-AU"/>
        </w:rPr>
        <w:t xml:space="preserve"> premiums rem</w:t>
      </w:r>
      <w:r w:rsidR="004E0750">
        <w:rPr>
          <w:lang w:eastAsia="en-AU"/>
        </w:rPr>
        <w:t xml:space="preserve">ains fixed, even </w:t>
      </w:r>
      <w:r w:rsidR="00DB6ED2">
        <w:rPr>
          <w:lang w:eastAsia="en-AU"/>
        </w:rPr>
        <w:t xml:space="preserve">when a competitive </w:t>
      </w:r>
      <w:r w:rsidR="00301281">
        <w:rPr>
          <w:lang w:eastAsia="en-AU"/>
        </w:rPr>
        <w:t xml:space="preserve">market would dictate </w:t>
      </w:r>
      <w:r w:rsidR="00FA7CBF">
        <w:rPr>
          <w:lang w:eastAsia="en-AU"/>
        </w:rPr>
        <w:t>a lower cost</w:t>
      </w:r>
      <w:r w:rsidR="00A55657">
        <w:rPr>
          <w:lang w:eastAsia="en-AU"/>
        </w:rPr>
        <w:t xml:space="preserve"> (e.g.,</w:t>
      </w:r>
      <w:r w:rsidR="00F01E73">
        <w:rPr>
          <w:lang w:eastAsia="en-AU"/>
        </w:rPr>
        <w:t xml:space="preserve"> </w:t>
      </w:r>
      <w:r w:rsidR="00945ACB">
        <w:rPr>
          <w:lang w:eastAsia="en-AU"/>
        </w:rPr>
        <w:t xml:space="preserve">as indicated by </w:t>
      </w:r>
      <w:r w:rsidR="0021025D">
        <w:rPr>
          <w:lang w:eastAsia="en-AU"/>
        </w:rPr>
        <w:t>a</w:t>
      </w:r>
      <w:r w:rsidR="00F01E73">
        <w:rPr>
          <w:lang w:eastAsia="en-AU"/>
        </w:rPr>
        <w:t xml:space="preserve"> sponsor suppl</w:t>
      </w:r>
      <w:r w:rsidR="006250D8">
        <w:rPr>
          <w:lang w:eastAsia="en-AU"/>
        </w:rPr>
        <w:t>ying</w:t>
      </w:r>
      <w:r w:rsidR="00F01E73">
        <w:rPr>
          <w:lang w:eastAsia="en-AU"/>
        </w:rPr>
        <w:t xml:space="preserve"> </w:t>
      </w:r>
      <w:r w:rsidR="0021025D">
        <w:rPr>
          <w:lang w:eastAsia="en-AU"/>
        </w:rPr>
        <w:t>the same product t</w:t>
      </w:r>
      <w:r w:rsidR="0054590C">
        <w:rPr>
          <w:lang w:eastAsia="en-AU"/>
        </w:rPr>
        <w:t xml:space="preserve">o </w:t>
      </w:r>
      <w:r w:rsidR="006753BF">
        <w:rPr>
          <w:lang w:eastAsia="en-AU"/>
        </w:rPr>
        <w:t xml:space="preserve">the public sector at a price </w:t>
      </w:r>
      <w:r w:rsidR="007E1692">
        <w:rPr>
          <w:lang w:eastAsia="en-AU"/>
        </w:rPr>
        <w:t xml:space="preserve">significantly </w:t>
      </w:r>
      <w:r w:rsidR="00061F4D">
        <w:rPr>
          <w:lang w:eastAsia="en-AU"/>
        </w:rPr>
        <w:t>below the PL benefit).</w:t>
      </w:r>
      <w:r w:rsidR="008D0095">
        <w:rPr>
          <w:lang w:eastAsia="en-AU"/>
        </w:rPr>
        <w:t xml:space="preserve"> </w:t>
      </w:r>
      <w:r w:rsidR="00AA5636">
        <w:rPr>
          <w:lang w:eastAsia="en-AU"/>
        </w:rPr>
        <w:t xml:space="preserve">This contributes to </w:t>
      </w:r>
      <w:r w:rsidR="00373A21">
        <w:rPr>
          <w:lang w:eastAsia="en-AU"/>
        </w:rPr>
        <w:t>unnecessary</w:t>
      </w:r>
      <w:r w:rsidR="61A2EEAA">
        <w:rPr>
          <w:lang w:eastAsia="en-AU"/>
        </w:rPr>
        <w:t xml:space="preserve"> costs in the</w:t>
      </w:r>
      <w:r w:rsidR="00AA5636">
        <w:rPr>
          <w:lang w:eastAsia="en-AU"/>
        </w:rPr>
        <w:t xml:space="preserve"> PHI system (</w:t>
      </w:r>
      <w:r w:rsidR="000E21DF">
        <w:rPr>
          <w:lang w:eastAsia="en-AU"/>
        </w:rPr>
        <w:t xml:space="preserve">discussed </w:t>
      </w:r>
      <w:r w:rsidR="00AA5636">
        <w:rPr>
          <w:lang w:eastAsia="en-AU"/>
        </w:rPr>
        <w:t>further</w:t>
      </w:r>
      <w:r w:rsidR="000E21DF">
        <w:rPr>
          <w:lang w:eastAsia="en-AU"/>
        </w:rPr>
        <w:t xml:space="preserve"> in </w:t>
      </w:r>
      <w:r w:rsidR="009F74E9">
        <w:rPr>
          <w:lang w:eastAsia="en-AU"/>
        </w:rPr>
        <w:t xml:space="preserve">section </w:t>
      </w:r>
      <w:r w:rsidR="009F74E9">
        <w:rPr>
          <w:lang w:eastAsia="en-AU"/>
        </w:rPr>
        <w:fldChar w:fldCharType="begin"/>
      </w:r>
      <w:r w:rsidR="009F74E9">
        <w:rPr>
          <w:lang w:eastAsia="en-AU"/>
        </w:rPr>
        <w:instrText xml:space="preserve"> REF _Ref159872912 \r \h </w:instrText>
      </w:r>
      <w:r w:rsidR="009F74E9">
        <w:rPr>
          <w:lang w:eastAsia="en-AU"/>
        </w:rPr>
      </w:r>
      <w:r w:rsidR="009F74E9">
        <w:rPr>
          <w:lang w:eastAsia="en-AU"/>
        </w:rPr>
        <w:fldChar w:fldCharType="separate"/>
      </w:r>
      <w:r w:rsidR="00026714">
        <w:rPr>
          <w:lang w:eastAsia="en-AU"/>
        </w:rPr>
        <w:t>3.4</w:t>
      </w:r>
      <w:r w:rsidR="009F74E9">
        <w:rPr>
          <w:lang w:eastAsia="en-AU"/>
        </w:rPr>
        <w:fldChar w:fldCharType="end"/>
      </w:r>
      <w:r w:rsidR="00C10FF3">
        <w:rPr>
          <w:lang w:eastAsia="en-AU"/>
        </w:rPr>
        <w:t>).</w:t>
      </w:r>
    </w:p>
    <w:p w14:paraId="217F318A" w14:textId="41C3C1EF" w:rsidR="00931C33" w:rsidRPr="00943AA5" w:rsidRDefault="00697C88" w:rsidP="00943AA5">
      <w:pPr>
        <w:rPr>
          <w:lang w:eastAsia="en-AU"/>
        </w:rPr>
      </w:pPr>
      <w:r>
        <w:rPr>
          <w:lang w:eastAsia="en-AU"/>
        </w:rPr>
        <w:t>Private health insurers must pay the scheduled benefits for products listed on the PL to appropriately insured persons, however the price</w:t>
      </w:r>
      <w:r w:rsidR="00E16DA6">
        <w:rPr>
          <w:lang w:eastAsia="en-AU"/>
        </w:rPr>
        <w:t>s</w:t>
      </w:r>
      <w:r>
        <w:rPr>
          <w:lang w:eastAsia="en-AU"/>
        </w:rPr>
        <w:t xml:space="preserve"> </w:t>
      </w:r>
      <w:proofErr w:type="gramStart"/>
      <w:r w:rsidR="005E5080">
        <w:rPr>
          <w:lang w:eastAsia="en-AU"/>
        </w:rPr>
        <w:t>sponsors</w:t>
      </w:r>
      <w:proofErr w:type="gramEnd"/>
      <w:r w:rsidR="005E5080">
        <w:rPr>
          <w:lang w:eastAsia="en-AU"/>
        </w:rPr>
        <w:t xml:space="preserve"> </w:t>
      </w:r>
      <w:r w:rsidR="00122538">
        <w:rPr>
          <w:lang w:eastAsia="en-AU"/>
        </w:rPr>
        <w:t xml:space="preserve">supply products to </w:t>
      </w:r>
      <w:r>
        <w:rPr>
          <w:lang w:eastAsia="en-AU"/>
        </w:rPr>
        <w:t>private hospital</w:t>
      </w:r>
      <w:r w:rsidR="00122538">
        <w:rPr>
          <w:lang w:eastAsia="en-AU"/>
        </w:rPr>
        <w:t xml:space="preserve">s </w:t>
      </w:r>
      <w:r>
        <w:rPr>
          <w:lang w:eastAsia="en-AU"/>
        </w:rPr>
        <w:t>is not regulated.</w:t>
      </w:r>
      <w:r w:rsidRPr="00A1472B">
        <w:rPr>
          <w:rStyle w:val="FootnoteReference"/>
        </w:rPr>
        <w:footnoteReference w:id="33"/>
      </w:r>
      <w:r w:rsidR="00371EE2">
        <w:rPr>
          <w:lang w:eastAsia="en-AU"/>
        </w:rPr>
        <w:t xml:space="preserve"> Any </w:t>
      </w:r>
      <w:r>
        <w:rPr>
          <w:lang w:eastAsia="en-AU"/>
        </w:rPr>
        <w:t>surplus generated from cost-efficiencies over time is split solely between sponsors and private hospitals</w:t>
      </w:r>
      <w:r w:rsidR="00A536D5">
        <w:rPr>
          <w:lang w:eastAsia="en-AU"/>
        </w:rPr>
        <w:t xml:space="preserve">; </w:t>
      </w:r>
      <w:r w:rsidR="00371EE2">
        <w:rPr>
          <w:lang w:eastAsia="en-AU"/>
        </w:rPr>
        <w:t>it is not passed onto consumer</w:t>
      </w:r>
      <w:r w:rsidR="00A536D5">
        <w:rPr>
          <w:lang w:eastAsia="en-AU"/>
        </w:rPr>
        <w:t>s</w:t>
      </w:r>
      <w:r>
        <w:rPr>
          <w:lang w:eastAsia="en-AU"/>
        </w:rPr>
        <w:t xml:space="preserve">. </w:t>
      </w:r>
      <w:r w:rsidR="00DC663A">
        <w:rPr>
          <w:lang w:eastAsia="en-AU"/>
        </w:rPr>
        <w:t>This h</w:t>
      </w:r>
      <w:r w:rsidR="5EBF549F">
        <w:rPr>
          <w:lang w:eastAsia="en-AU"/>
        </w:rPr>
        <w:t>ad</w:t>
      </w:r>
      <w:r w:rsidR="00DC663A">
        <w:rPr>
          <w:lang w:eastAsia="en-AU"/>
        </w:rPr>
        <w:t xml:space="preserve"> raised concerns </w:t>
      </w:r>
      <w:r w:rsidR="520ECB38">
        <w:rPr>
          <w:lang w:eastAsia="en-AU"/>
        </w:rPr>
        <w:t>about</w:t>
      </w:r>
      <w:r w:rsidR="00DC663A">
        <w:rPr>
          <w:lang w:eastAsia="en-AU"/>
        </w:rPr>
        <w:t xml:space="preserve"> the extent </w:t>
      </w:r>
      <w:r w:rsidR="00F36BD2">
        <w:rPr>
          <w:lang w:eastAsia="en-AU"/>
        </w:rPr>
        <w:t xml:space="preserve">to which </w:t>
      </w:r>
      <w:r w:rsidR="005B4E32">
        <w:rPr>
          <w:lang w:eastAsia="en-AU"/>
        </w:rPr>
        <w:t xml:space="preserve">the Australian system </w:t>
      </w:r>
      <w:r w:rsidR="005C576F">
        <w:rPr>
          <w:lang w:eastAsia="en-AU"/>
        </w:rPr>
        <w:t>is</w:t>
      </w:r>
      <w:r w:rsidR="005B4E32">
        <w:rPr>
          <w:lang w:eastAsia="en-AU"/>
        </w:rPr>
        <w:t xml:space="preserve"> </w:t>
      </w:r>
      <w:r w:rsidR="000D51F0">
        <w:rPr>
          <w:lang w:eastAsia="en-AU"/>
        </w:rPr>
        <w:lastRenderedPageBreak/>
        <w:t xml:space="preserve">contributing to multinational </w:t>
      </w:r>
      <w:r w:rsidR="009758EC">
        <w:rPr>
          <w:lang w:eastAsia="en-AU"/>
        </w:rPr>
        <w:t>sponsors</w:t>
      </w:r>
      <w:r w:rsidR="00BB5182">
        <w:rPr>
          <w:lang w:eastAsia="en-AU"/>
        </w:rPr>
        <w:t xml:space="preserve">, </w:t>
      </w:r>
      <w:r w:rsidR="0011563F">
        <w:rPr>
          <w:lang w:eastAsia="en-AU"/>
        </w:rPr>
        <w:t xml:space="preserve">as </w:t>
      </w:r>
      <w:r w:rsidR="009758EC">
        <w:rPr>
          <w:lang w:eastAsia="en-AU"/>
        </w:rPr>
        <w:t xml:space="preserve">the </w:t>
      </w:r>
      <w:r w:rsidR="0047491B">
        <w:rPr>
          <w:lang w:eastAsia="en-AU"/>
        </w:rPr>
        <w:t xml:space="preserve">disparity in prices </w:t>
      </w:r>
      <w:r w:rsidR="0011563F">
        <w:t xml:space="preserve">could be </w:t>
      </w:r>
      <w:r w:rsidR="00931C33">
        <w:t>construed as “</w:t>
      </w:r>
      <w:r w:rsidR="00931C33" w:rsidRPr="003A1A04">
        <w:t>Australian consumers disproportionately subsidising the cost of technology innovation for other countries</w:t>
      </w:r>
      <w:r w:rsidR="00931C33" w:rsidRPr="00AD412B">
        <w:t>”</w:t>
      </w:r>
      <w:r w:rsidR="008B1982">
        <w:t>.</w:t>
      </w:r>
      <w:r w:rsidR="00931C33" w:rsidRPr="00AD412B">
        <w:rPr>
          <w:rStyle w:val="FootnoteReference"/>
        </w:rPr>
        <w:footnoteReference w:id="34"/>
      </w:r>
    </w:p>
    <w:p w14:paraId="67BEBACC" w14:textId="4E94C747" w:rsidR="00795CEB" w:rsidRDefault="00D23909" w:rsidP="00AB7FE4">
      <w:pPr>
        <w:pStyle w:val="Heading3"/>
        <w:spacing w:before="400"/>
      </w:pPr>
      <w:bookmarkStart w:id="29" w:name="_Ref158978167"/>
      <w:bookmarkStart w:id="30" w:name="_Ref158980254"/>
      <w:r>
        <w:t>How the reform</w:t>
      </w:r>
      <w:r w:rsidR="000D0BEF">
        <w:t>s</w:t>
      </w:r>
      <w:r>
        <w:t xml:space="preserve"> </w:t>
      </w:r>
      <w:r w:rsidR="00D74006">
        <w:t>intend to achieve this objective</w:t>
      </w:r>
      <w:bookmarkEnd w:id="29"/>
      <w:bookmarkEnd w:id="30"/>
    </w:p>
    <w:p w14:paraId="6EA1CD6E" w14:textId="31E3F0ED" w:rsidR="00660AB5" w:rsidRDefault="00660AB5" w:rsidP="00F349D8">
      <w:pPr>
        <w:pStyle w:val="Heading4"/>
      </w:pPr>
      <w:r w:rsidRPr="3787E91E">
        <w:t>The Department</w:t>
      </w:r>
      <w:r w:rsidR="00703086" w:rsidRPr="3787E91E">
        <w:t xml:space="preserve"> has committed to reducing benefits according to a process established </w:t>
      </w:r>
      <w:r w:rsidR="00FD0C3B" w:rsidRPr="3787E91E">
        <w:t xml:space="preserve">in consultation with </w:t>
      </w:r>
      <w:r w:rsidR="005F400D" w:rsidRPr="3787E91E">
        <w:t xml:space="preserve">IHACPA and </w:t>
      </w:r>
      <w:proofErr w:type="gramStart"/>
      <w:r w:rsidR="00FD0C3B" w:rsidRPr="3787E91E">
        <w:t>stakeholders</w:t>
      </w:r>
      <w:proofErr w:type="gramEnd"/>
      <w:r w:rsidR="00586E22" w:rsidRPr="3787E91E">
        <w:t xml:space="preserve"> </w:t>
      </w:r>
    </w:p>
    <w:p w14:paraId="1BFBA781" w14:textId="6BBFA1C6" w:rsidR="00EF2EA8" w:rsidRDefault="009A4BBC" w:rsidP="00FD0C3B">
      <w:pPr>
        <w:rPr>
          <w:lang w:eastAsia="en-AU"/>
        </w:rPr>
      </w:pPr>
      <w:r>
        <w:rPr>
          <w:lang w:eastAsia="en-AU"/>
        </w:rPr>
        <w:t xml:space="preserve">A </w:t>
      </w:r>
      <w:r w:rsidR="008C6A74">
        <w:rPr>
          <w:lang w:eastAsia="en-AU"/>
        </w:rPr>
        <w:t>M</w:t>
      </w:r>
      <w:r>
        <w:rPr>
          <w:lang w:eastAsia="en-AU"/>
        </w:rPr>
        <w:t xml:space="preserve">emorandum of </w:t>
      </w:r>
      <w:r w:rsidR="008C6A74">
        <w:rPr>
          <w:lang w:eastAsia="en-AU"/>
        </w:rPr>
        <w:t>U</w:t>
      </w:r>
      <w:r>
        <w:rPr>
          <w:lang w:eastAsia="en-AU"/>
        </w:rPr>
        <w:t>nderstanding (</w:t>
      </w:r>
      <w:r w:rsidR="008C6A74">
        <w:rPr>
          <w:lang w:eastAsia="en-AU"/>
        </w:rPr>
        <w:t xml:space="preserve">the </w:t>
      </w:r>
      <w:r>
        <w:rPr>
          <w:lang w:eastAsia="en-AU"/>
        </w:rPr>
        <w:t>M</w:t>
      </w:r>
      <w:r w:rsidR="00D66672">
        <w:rPr>
          <w:lang w:eastAsia="en-AU"/>
        </w:rPr>
        <w:t>o</w:t>
      </w:r>
      <w:r>
        <w:rPr>
          <w:lang w:eastAsia="en-AU"/>
        </w:rPr>
        <w:t xml:space="preserve">U) between </w:t>
      </w:r>
      <w:r w:rsidR="009B415C">
        <w:rPr>
          <w:lang w:eastAsia="en-AU"/>
        </w:rPr>
        <w:t xml:space="preserve">the Honourable Greg Hunt MP and the </w:t>
      </w:r>
      <w:r w:rsidR="00703EA0">
        <w:rPr>
          <w:lang w:eastAsia="en-AU"/>
        </w:rPr>
        <w:t xml:space="preserve">MTAA </w:t>
      </w:r>
      <w:r w:rsidR="00B7727D">
        <w:rPr>
          <w:lang w:eastAsia="en-AU"/>
        </w:rPr>
        <w:t xml:space="preserve">lists </w:t>
      </w:r>
      <w:r w:rsidR="000A22F2">
        <w:rPr>
          <w:lang w:eastAsia="en-AU"/>
        </w:rPr>
        <w:t xml:space="preserve">an agreed schedule of benefit reductions </w:t>
      </w:r>
      <w:r w:rsidR="009F6C71">
        <w:rPr>
          <w:lang w:eastAsia="en-AU"/>
        </w:rPr>
        <w:t xml:space="preserve">to occur between </w:t>
      </w:r>
      <w:r w:rsidR="009E3DF2">
        <w:rPr>
          <w:lang w:eastAsia="en-AU"/>
        </w:rPr>
        <w:t>1 July 2022 and 30 June 2025.</w:t>
      </w:r>
      <w:r w:rsidR="004E6C30" w:rsidRPr="0C63581C">
        <w:rPr>
          <w:rStyle w:val="FootnoteReference"/>
          <w:lang w:eastAsia="en-AU"/>
        </w:rPr>
        <w:footnoteReference w:id="35"/>
      </w:r>
      <w:r w:rsidR="00FA23E3">
        <w:rPr>
          <w:lang w:eastAsia="en-AU"/>
        </w:rPr>
        <w:t xml:space="preserve"> </w:t>
      </w:r>
      <w:r w:rsidR="00F061C9">
        <w:rPr>
          <w:lang w:eastAsia="en-AU"/>
        </w:rPr>
        <w:t>The M</w:t>
      </w:r>
      <w:r w:rsidR="00D66672">
        <w:rPr>
          <w:lang w:eastAsia="en-AU"/>
        </w:rPr>
        <w:t>o</w:t>
      </w:r>
      <w:r w:rsidR="00F061C9">
        <w:rPr>
          <w:lang w:eastAsia="en-AU"/>
        </w:rPr>
        <w:t>U</w:t>
      </w:r>
      <w:r w:rsidR="00DD126E">
        <w:rPr>
          <w:lang w:eastAsia="en-AU"/>
        </w:rPr>
        <w:t xml:space="preserve"> outlines </w:t>
      </w:r>
      <w:r w:rsidR="00D04B2A">
        <w:rPr>
          <w:lang w:eastAsia="en-AU"/>
        </w:rPr>
        <w:t xml:space="preserve">that </w:t>
      </w:r>
      <w:r w:rsidR="0086320E">
        <w:rPr>
          <w:lang w:eastAsia="en-AU"/>
        </w:rPr>
        <w:t xml:space="preserve">each </w:t>
      </w:r>
      <w:r w:rsidR="00D04B2A">
        <w:rPr>
          <w:lang w:eastAsia="en-AU"/>
        </w:rPr>
        <w:t>PL benefit</w:t>
      </w:r>
      <w:r w:rsidR="0086320E">
        <w:rPr>
          <w:lang w:eastAsia="en-AU"/>
        </w:rPr>
        <w:t xml:space="preserve"> group</w:t>
      </w:r>
      <w:r w:rsidR="00D04B2A">
        <w:rPr>
          <w:lang w:eastAsia="en-AU"/>
        </w:rPr>
        <w:t xml:space="preserve"> will be reduced </w:t>
      </w:r>
      <w:r w:rsidR="006539F3">
        <w:rPr>
          <w:lang w:eastAsia="en-AU"/>
        </w:rPr>
        <w:t>relative</w:t>
      </w:r>
      <w:r w:rsidR="006F6AD2">
        <w:rPr>
          <w:lang w:eastAsia="en-AU"/>
        </w:rPr>
        <w:t xml:space="preserve"> to </w:t>
      </w:r>
      <w:r w:rsidR="0096655B">
        <w:rPr>
          <w:lang w:eastAsia="en-AU"/>
        </w:rPr>
        <w:t xml:space="preserve">a </w:t>
      </w:r>
      <w:r w:rsidR="00A56A6A">
        <w:rPr>
          <w:lang w:eastAsia="en-AU"/>
        </w:rPr>
        <w:t>‘Weighted Average Pric</w:t>
      </w:r>
      <w:r w:rsidR="0096655B">
        <w:rPr>
          <w:lang w:eastAsia="en-AU"/>
        </w:rPr>
        <w:t>e</w:t>
      </w:r>
      <w:r w:rsidR="00A56A6A">
        <w:rPr>
          <w:lang w:eastAsia="en-AU"/>
        </w:rPr>
        <w:t>’</w:t>
      </w:r>
      <w:r w:rsidR="00B601CC">
        <w:rPr>
          <w:lang w:eastAsia="en-AU"/>
        </w:rPr>
        <w:t xml:space="preserve">—a </w:t>
      </w:r>
      <w:r w:rsidR="00F9342C">
        <w:rPr>
          <w:lang w:eastAsia="en-AU"/>
        </w:rPr>
        <w:t xml:space="preserve">relevant benchmark </w:t>
      </w:r>
      <w:r w:rsidR="0012586F">
        <w:rPr>
          <w:lang w:eastAsia="en-AU"/>
        </w:rPr>
        <w:t xml:space="preserve">price </w:t>
      </w:r>
      <w:r w:rsidR="000D462F">
        <w:rPr>
          <w:lang w:eastAsia="en-AU"/>
        </w:rPr>
        <w:t xml:space="preserve">in </w:t>
      </w:r>
      <w:r w:rsidR="00F70E67">
        <w:rPr>
          <w:lang w:eastAsia="en-AU"/>
        </w:rPr>
        <w:t>Australian public hospitals</w:t>
      </w:r>
      <w:r w:rsidR="000D5CAE">
        <w:rPr>
          <w:lang w:eastAsia="en-AU"/>
        </w:rPr>
        <w:t>.</w:t>
      </w:r>
      <w:r w:rsidR="00FC2486" w:rsidRPr="0C63581C">
        <w:rPr>
          <w:rStyle w:val="FootnoteReference"/>
          <w:lang w:eastAsia="en-AU"/>
        </w:rPr>
        <w:footnoteReference w:id="36"/>
      </w:r>
      <w:r w:rsidR="001238D7">
        <w:rPr>
          <w:lang w:eastAsia="en-AU"/>
        </w:rPr>
        <w:t xml:space="preserve"> </w:t>
      </w:r>
      <w:r w:rsidR="008C01AE">
        <w:rPr>
          <w:lang w:eastAsia="en-AU"/>
        </w:rPr>
        <w:t xml:space="preserve">All </w:t>
      </w:r>
      <w:r w:rsidR="00F968BB">
        <w:rPr>
          <w:lang w:eastAsia="en-AU"/>
        </w:rPr>
        <w:t xml:space="preserve">benefits </w:t>
      </w:r>
      <w:r w:rsidR="00DC057B">
        <w:rPr>
          <w:lang w:eastAsia="en-AU"/>
        </w:rPr>
        <w:t>that are</w:t>
      </w:r>
      <w:r w:rsidR="002F752D">
        <w:rPr>
          <w:lang w:eastAsia="en-AU"/>
        </w:rPr>
        <w:t xml:space="preserve"> at least 7% above the</w:t>
      </w:r>
      <w:r w:rsidR="004B42F1">
        <w:rPr>
          <w:lang w:eastAsia="en-AU"/>
        </w:rPr>
        <w:t xml:space="preserve">ir </w:t>
      </w:r>
      <w:r w:rsidR="002F752D">
        <w:rPr>
          <w:lang w:eastAsia="en-AU"/>
        </w:rPr>
        <w:t>public benchmark</w:t>
      </w:r>
      <w:r w:rsidR="00DC057B">
        <w:rPr>
          <w:lang w:eastAsia="en-AU"/>
        </w:rPr>
        <w:t xml:space="preserve"> will be reduced, </w:t>
      </w:r>
      <w:r w:rsidR="00D1633C">
        <w:rPr>
          <w:lang w:eastAsia="en-AU"/>
        </w:rPr>
        <w:t xml:space="preserve">but </w:t>
      </w:r>
      <w:r w:rsidR="007450AF">
        <w:rPr>
          <w:lang w:eastAsia="en-AU"/>
        </w:rPr>
        <w:t xml:space="preserve">they </w:t>
      </w:r>
      <w:r w:rsidR="003D6B2F">
        <w:rPr>
          <w:lang w:eastAsia="en-AU"/>
        </w:rPr>
        <w:t xml:space="preserve">will </w:t>
      </w:r>
      <w:r w:rsidR="00D40163">
        <w:rPr>
          <w:lang w:eastAsia="en-AU"/>
        </w:rPr>
        <w:t xml:space="preserve">not </w:t>
      </w:r>
      <w:r w:rsidR="00A60D52">
        <w:rPr>
          <w:lang w:eastAsia="en-AU"/>
        </w:rPr>
        <w:t xml:space="preserve">be reduced </w:t>
      </w:r>
      <w:r w:rsidR="00A33D7A">
        <w:rPr>
          <w:lang w:eastAsia="en-AU"/>
        </w:rPr>
        <w:t xml:space="preserve">any further than 7% above </w:t>
      </w:r>
      <w:r w:rsidR="006F029A">
        <w:rPr>
          <w:lang w:eastAsia="en-AU"/>
        </w:rPr>
        <w:t>their public benchmark.</w:t>
      </w:r>
    </w:p>
    <w:p w14:paraId="3619D479" w14:textId="4307818C" w:rsidR="00897E3A" w:rsidRDefault="00F87859" w:rsidP="00FD0C3B">
      <w:pPr>
        <w:rPr>
          <w:lang w:eastAsia="en-AU"/>
        </w:rPr>
      </w:pPr>
      <w:r>
        <w:rPr>
          <w:lang w:eastAsia="en-AU"/>
        </w:rPr>
        <w:t>With some exceptions,</w:t>
      </w:r>
      <w:r w:rsidR="00A41D00">
        <w:rPr>
          <w:lang w:eastAsia="en-AU"/>
        </w:rPr>
        <w:t xml:space="preserve"> </w:t>
      </w:r>
      <w:r w:rsidR="001B35D7">
        <w:rPr>
          <w:lang w:eastAsia="en-AU"/>
        </w:rPr>
        <w:t xml:space="preserve">PL items </w:t>
      </w:r>
      <w:r w:rsidR="00FC4DEB">
        <w:rPr>
          <w:lang w:eastAsia="en-AU"/>
        </w:rPr>
        <w:t xml:space="preserve">will be reduced by 80% </w:t>
      </w:r>
      <w:r w:rsidR="009A61A2">
        <w:rPr>
          <w:lang w:eastAsia="en-AU"/>
        </w:rPr>
        <w:t xml:space="preserve">of the </w:t>
      </w:r>
      <w:r w:rsidR="00301816">
        <w:rPr>
          <w:lang w:eastAsia="en-AU"/>
        </w:rPr>
        <w:t xml:space="preserve">gap between </w:t>
      </w:r>
      <w:r w:rsidR="00A6099C">
        <w:rPr>
          <w:lang w:eastAsia="en-AU"/>
        </w:rPr>
        <w:t xml:space="preserve">the </w:t>
      </w:r>
      <w:r w:rsidR="00F75347">
        <w:rPr>
          <w:lang w:eastAsia="en-AU"/>
        </w:rPr>
        <w:t xml:space="preserve">current benefit </w:t>
      </w:r>
      <w:r w:rsidR="00132284">
        <w:rPr>
          <w:lang w:eastAsia="en-AU"/>
        </w:rPr>
        <w:t xml:space="preserve">and the </w:t>
      </w:r>
      <w:r w:rsidR="00431E1D">
        <w:rPr>
          <w:lang w:eastAsia="en-AU"/>
        </w:rPr>
        <w:t>public benchmark</w:t>
      </w:r>
      <w:r w:rsidR="00785CA8">
        <w:rPr>
          <w:lang w:eastAsia="en-AU"/>
        </w:rPr>
        <w:t xml:space="preserve"> over three years.</w:t>
      </w:r>
      <w:r w:rsidR="00230112">
        <w:rPr>
          <w:lang w:eastAsia="en-AU"/>
        </w:rPr>
        <w:t xml:space="preserve"> The Department </w:t>
      </w:r>
      <w:r w:rsidR="00C8238A">
        <w:rPr>
          <w:lang w:eastAsia="en-AU"/>
        </w:rPr>
        <w:t xml:space="preserve">will </w:t>
      </w:r>
      <w:r w:rsidR="00230112">
        <w:rPr>
          <w:lang w:eastAsia="en-AU"/>
        </w:rPr>
        <w:t xml:space="preserve">reduce benefits by 40% of </w:t>
      </w:r>
      <w:r w:rsidR="00613250">
        <w:rPr>
          <w:lang w:eastAsia="en-AU"/>
        </w:rPr>
        <w:t xml:space="preserve">their respective gaps on 1 July </w:t>
      </w:r>
      <w:r w:rsidR="00702D06">
        <w:rPr>
          <w:lang w:eastAsia="en-AU"/>
        </w:rPr>
        <w:t xml:space="preserve">2022, </w:t>
      </w:r>
      <w:r w:rsidR="00D82EAC">
        <w:rPr>
          <w:lang w:eastAsia="en-AU"/>
        </w:rPr>
        <w:t xml:space="preserve">20% on </w:t>
      </w:r>
      <w:r w:rsidR="00DF209C">
        <w:rPr>
          <w:lang w:eastAsia="en-AU"/>
        </w:rPr>
        <w:t xml:space="preserve">1 July 2023 and </w:t>
      </w:r>
      <w:r w:rsidR="00687631">
        <w:rPr>
          <w:lang w:eastAsia="en-AU"/>
        </w:rPr>
        <w:t>20% on 1 July 2024.</w:t>
      </w:r>
      <w:r w:rsidR="00395BAE">
        <w:rPr>
          <w:lang w:eastAsia="en-AU"/>
        </w:rPr>
        <w:t xml:space="preserve"> </w:t>
      </w:r>
      <w:r w:rsidR="00293D3F">
        <w:rPr>
          <w:lang w:eastAsia="en-AU"/>
        </w:rPr>
        <w:t xml:space="preserve">No reductions are to occur </w:t>
      </w:r>
      <w:r w:rsidR="004B1975">
        <w:rPr>
          <w:lang w:eastAsia="en-AU"/>
        </w:rPr>
        <w:t>in FY2</w:t>
      </w:r>
      <w:r w:rsidR="007A43A7">
        <w:rPr>
          <w:lang w:eastAsia="en-AU"/>
        </w:rPr>
        <w:t xml:space="preserve">6, </w:t>
      </w:r>
      <w:r w:rsidR="00EE1E53">
        <w:rPr>
          <w:lang w:eastAsia="en-AU"/>
        </w:rPr>
        <w:t xml:space="preserve">with </w:t>
      </w:r>
      <w:r w:rsidR="001C5630">
        <w:rPr>
          <w:lang w:eastAsia="en-AU"/>
        </w:rPr>
        <w:t xml:space="preserve">the remaining </w:t>
      </w:r>
      <w:r w:rsidR="00093271" w:rsidRPr="00200EAC">
        <w:t xml:space="preserve">20% of </w:t>
      </w:r>
      <w:r w:rsidR="001C5630">
        <w:t xml:space="preserve">the </w:t>
      </w:r>
      <w:r w:rsidR="00040E05">
        <w:t>gap</w:t>
      </w:r>
      <w:r w:rsidR="00093271" w:rsidRPr="00200EAC">
        <w:t xml:space="preserve"> </w:t>
      </w:r>
      <w:r w:rsidR="006C05B6">
        <w:t>being</w:t>
      </w:r>
      <w:r w:rsidR="00093271" w:rsidRPr="00200EAC">
        <w:t xml:space="preserve"> retained </w:t>
      </w:r>
      <w:r w:rsidR="00093271">
        <w:t>as ‘</w:t>
      </w:r>
      <w:r w:rsidR="00CB73F3">
        <w:t>private adjustment factor’</w:t>
      </w:r>
      <w:r w:rsidR="001C5630">
        <w:t>.</w:t>
      </w:r>
      <w:r w:rsidR="004E6C30" w:rsidRPr="0C63581C">
        <w:rPr>
          <w:rStyle w:val="FootnoteReference"/>
          <w:lang w:eastAsia="en-AU"/>
        </w:rPr>
        <w:footnoteReference w:id="37"/>
      </w:r>
      <w:r w:rsidR="00A86D4F">
        <w:t xml:space="preserve"> The following product</w:t>
      </w:r>
      <w:r w:rsidR="004E6C30">
        <w:t>s are exceptions to this schedule of reductions:</w:t>
      </w:r>
    </w:p>
    <w:p w14:paraId="17A2B79F" w14:textId="2031CC3C" w:rsidR="00EF2EA8" w:rsidRPr="007869F9" w:rsidRDefault="003427BC" w:rsidP="007869F9">
      <w:pPr>
        <w:pStyle w:val="Bullet"/>
      </w:pPr>
      <w:r w:rsidRPr="3787E91E">
        <w:rPr>
          <w:rFonts w:asciiTheme="majorHAnsi" w:hAnsiTheme="majorHAnsi" w:cstheme="majorBidi"/>
        </w:rPr>
        <w:t>General use items (GUIs)</w:t>
      </w:r>
      <w:r w:rsidRPr="3787E91E">
        <w:t xml:space="preserve"> </w:t>
      </w:r>
      <w:r w:rsidR="009B7DC0" w:rsidRPr="3787E91E">
        <w:t>–</w:t>
      </w:r>
      <w:r w:rsidR="005A0962" w:rsidRPr="3787E91E">
        <w:t xml:space="preserve"> The Department will reduce the benefits of GUIs </w:t>
      </w:r>
      <w:r w:rsidR="002360D6" w:rsidRPr="3787E91E">
        <w:t xml:space="preserve">by 60% of the gap </w:t>
      </w:r>
      <w:r w:rsidR="0070643F" w:rsidRPr="3787E91E">
        <w:t xml:space="preserve">on 1 July 2022 and </w:t>
      </w:r>
      <w:r w:rsidR="00E80076" w:rsidRPr="3787E91E">
        <w:t xml:space="preserve">the remaining 40% </w:t>
      </w:r>
      <w:r w:rsidR="007C73AC" w:rsidRPr="3787E91E">
        <w:t>on 1 March 2023.</w:t>
      </w:r>
      <w:r w:rsidR="007E4E27" w:rsidRPr="3787E91E">
        <w:t xml:space="preserve"> </w:t>
      </w:r>
      <w:r w:rsidR="00EC7B24" w:rsidRPr="3787E91E">
        <w:t xml:space="preserve">GUIs </w:t>
      </w:r>
      <w:r w:rsidR="6A9B37BD" w:rsidRPr="3787E91E">
        <w:t xml:space="preserve">were </w:t>
      </w:r>
      <w:r w:rsidR="00420D22" w:rsidRPr="3787E91E">
        <w:t xml:space="preserve">to </w:t>
      </w:r>
      <w:r w:rsidR="004373F2" w:rsidRPr="3787E91E">
        <w:t xml:space="preserve">be removed from </w:t>
      </w:r>
      <w:r w:rsidR="007E4E27" w:rsidRPr="3787E91E">
        <w:t>the PL on 1 July 2023</w:t>
      </w:r>
      <w:r w:rsidR="002A4A38" w:rsidRPr="3787E91E">
        <w:t>,</w:t>
      </w:r>
      <w:r w:rsidR="00AE215C" w:rsidRPr="3787E91E">
        <w:rPr>
          <w:rStyle w:val="FootnoteReference"/>
          <w:rFonts w:eastAsiaTheme="minorEastAsia"/>
        </w:rPr>
        <w:footnoteReference w:id="38"/>
      </w:r>
      <w:r w:rsidR="002A4A38" w:rsidRPr="3787E91E">
        <w:rPr>
          <w:rStyle w:val="FootnoteReference"/>
          <w:rFonts w:eastAsiaTheme="minorEastAsia"/>
        </w:rPr>
        <w:t xml:space="preserve"> </w:t>
      </w:r>
      <w:r w:rsidR="00960963" w:rsidRPr="3787E91E">
        <w:t xml:space="preserve">at which point separate funding arrangements </w:t>
      </w:r>
      <w:r w:rsidR="00197F59" w:rsidRPr="3787E91E">
        <w:t>for these</w:t>
      </w:r>
      <w:r w:rsidR="009F1525" w:rsidRPr="3787E91E">
        <w:t xml:space="preserve"> are</w:t>
      </w:r>
      <w:r w:rsidR="00197F59" w:rsidRPr="3787E91E">
        <w:t xml:space="preserve"> intended to </w:t>
      </w:r>
      <w:r w:rsidR="00517719" w:rsidRPr="3787E91E">
        <w:t>be implemented.</w:t>
      </w:r>
    </w:p>
    <w:p w14:paraId="21E2FCE1" w14:textId="3F2E1FEF" w:rsidR="00517719" w:rsidRPr="007869F9" w:rsidRDefault="005D3F2D" w:rsidP="007869F9">
      <w:pPr>
        <w:pStyle w:val="Bullet"/>
      </w:pPr>
      <w:r w:rsidRPr="007869F9">
        <w:rPr>
          <w:rFonts w:asciiTheme="majorHAnsi" w:hAnsiTheme="majorHAnsi" w:cstheme="majorHAnsi"/>
        </w:rPr>
        <w:t>Cardiac Implantable Electronic Devices (CIEDs)</w:t>
      </w:r>
      <w:r w:rsidRPr="007869F9">
        <w:t xml:space="preserve"> </w:t>
      </w:r>
      <w:r w:rsidR="00340A83" w:rsidRPr="007869F9">
        <w:t>–</w:t>
      </w:r>
      <w:r w:rsidRPr="007869F9">
        <w:t xml:space="preserve"> </w:t>
      </w:r>
      <w:r w:rsidR="00340A83" w:rsidRPr="007869F9">
        <w:t>The Department w</w:t>
      </w:r>
      <w:r w:rsidR="0A402B14" w:rsidRPr="007869F9">
        <w:t xml:space="preserve">ould </w:t>
      </w:r>
      <w:r w:rsidR="00340A83" w:rsidRPr="007869F9">
        <w:t xml:space="preserve">defer </w:t>
      </w:r>
      <w:r w:rsidR="00352B09" w:rsidRPr="007869F9">
        <w:t xml:space="preserve">benefit reductions of CIEDs by one year </w:t>
      </w:r>
      <w:r w:rsidR="006C4EA3" w:rsidRPr="007869F9">
        <w:t xml:space="preserve">to allow for further </w:t>
      </w:r>
      <w:r w:rsidR="0046070E" w:rsidRPr="007869F9">
        <w:t>con</w:t>
      </w:r>
      <w:r w:rsidR="00482BD0" w:rsidRPr="007869F9">
        <w:t xml:space="preserve">sultation </w:t>
      </w:r>
      <w:r w:rsidR="003B6728" w:rsidRPr="007869F9">
        <w:t>o</w:t>
      </w:r>
      <w:r w:rsidR="00721FEF" w:rsidRPr="007869F9">
        <w:t>n</w:t>
      </w:r>
      <w:r w:rsidR="00366055" w:rsidRPr="007869F9">
        <w:t xml:space="preserve"> the value of</w:t>
      </w:r>
      <w:r w:rsidR="00721FEF" w:rsidRPr="007869F9">
        <w:t xml:space="preserve"> technical support services</w:t>
      </w:r>
      <w:r w:rsidR="009A21D4" w:rsidRPr="007869F9">
        <w:t>. These are</w:t>
      </w:r>
      <w:r w:rsidR="006B3AED" w:rsidRPr="007869F9">
        <w:t xml:space="preserve"> i</w:t>
      </w:r>
      <w:r w:rsidR="00366055" w:rsidRPr="007869F9">
        <w:t>ncluded in the benefit</w:t>
      </w:r>
      <w:r w:rsidR="006E511E" w:rsidRPr="007869F9">
        <w:t xml:space="preserve"> in a way that </w:t>
      </w:r>
      <w:r w:rsidR="00AB3D37" w:rsidRPr="007869F9">
        <w:t>is not easily comparable to public sector pricing.</w:t>
      </w:r>
      <w:r w:rsidR="00D47B8F" w:rsidRPr="007869F9">
        <w:t xml:space="preserve"> </w:t>
      </w:r>
      <w:r w:rsidR="00832977" w:rsidRPr="007869F9">
        <w:t xml:space="preserve">Commencing on </w:t>
      </w:r>
      <w:r w:rsidR="00890A68" w:rsidRPr="007869F9">
        <w:t xml:space="preserve">1 July 2023, </w:t>
      </w:r>
      <w:r w:rsidR="00A928C0" w:rsidRPr="007869F9">
        <w:t xml:space="preserve">the benefits of CIEDs will be reduced by 40% of the gap </w:t>
      </w:r>
      <w:r w:rsidR="0055550B" w:rsidRPr="007869F9">
        <w:t>(after accounting for the value of technical support services</w:t>
      </w:r>
      <w:r w:rsidR="000853BB" w:rsidRPr="007869F9">
        <w:t>)</w:t>
      </w:r>
      <w:r w:rsidR="00A928C0" w:rsidRPr="007869F9">
        <w:t xml:space="preserve"> and</w:t>
      </w:r>
      <w:r w:rsidR="00E221D0" w:rsidRPr="007869F9">
        <w:t xml:space="preserve"> then</w:t>
      </w:r>
      <w:r w:rsidR="00A928C0" w:rsidRPr="007869F9">
        <w:t xml:space="preserve"> continue</w:t>
      </w:r>
      <w:r w:rsidR="00055D9D" w:rsidRPr="007869F9">
        <w:t xml:space="preserve"> with the </w:t>
      </w:r>
      <w:r w:rsidR="00340D99" w:rsidRPr="007869F9">
        <w:t>standard reduction schedule</w:t>
      </w:r>
      <w:r w:rsidR="002B6744">
        <w:t>, one year delayed</w:t>
      </w:r>
      <w:r w:rsidR="00340D99" w:rsidRPr="007869F9">
        <w:t>.</w:t>
      </w:r>
    </w:p>
    <w:p w14:paraId="13A7DFF3" w14:textId="63593B24" w:rsidR="00EB6E2E" w:rsidRDefault="009724E7" w:rsidP="00EB6E2E">
      <w:pPr>
        <w:rPr>
          <w:rStyle w:val="FootnoteTextChar"/>
          <w:rFonts w:eastAsiaTheme="minorEastAsia"/>
          <w:vertAlign w:val="superscript"/>
        </w:rPr>
      </w:pPr>
      <w:r>
        <w:t>IH</w:t>
      </w:r>
      <w:r w:rsidR="00B5565F">
        <w:t>AC</w:t>
      </w:r>
      <w:r w:rsidR="00BD468E">
        <w:t>PA</w:t>
      </w:r>
      <w:r>
        <w:t xml:space="preserve"> was agreed to determine the public benchmark price for each PL benefit group. A first benchmarking exercise using FY21 data will inform the first and second rounds of reductions (1 July 2022 and 1 July 2023). A second exercise will use FY23 data to inform the </w:t>
      </w:r>
      <w:r w:rsidR="0027440E">
        <w:t>remaining</w:t>
      </w:r>
      <w:r>
        <w:t xml:space="preserve"> reductions (1 July 2024</w:t>
      </w:r>
      <w:r w:rsidR="004263CC">
        <w:t xml:space="preserve">, and </w:t>
      </w:r>
      <w:r w:rsidR="004263CC" w:rsidRPr="005807D7">
        <w:t>1 July 202</w:t>
      </w:r>
      <w:r w:rsidR="00B42C0D" w:rsidRPr="005807D7">
        <w:t>5</w:t>
      </w:r>
      <w:r w:rsidR="004263CC" w:rsidRPr="005807D7">
        <w:t xml:space="preserve"> for CIED</w:t>
      </w:r>
      <w:r w:rsidR="004263CC">
        <w:t xml:space="preserve"> items</w:t>
      </w:r>
      <w:r>
        <w:t xml:space="preserve">). The MoU stated </w:t>
      </w:r>
      <w:r w:rsidR="00BD468E">
        <w:t>IH</w:t>
      </w:r>
      <w:r w:rsidR="00B5565F">
        <w:t>AC</w:t>
      </w:r>
      <w:r w:rsidR="00BD468E">
        <w:t>PA</w:t>
      </w:r>
      <w:r>
        <w:t xml:space="preserve"> was to determine ‘the most appropriate data’ to use for benchmarking.</w:t>
      </w:r>
      <w:r w:rsidR="00FC2486" w:rsidRPr="0C63581C">
        <w:rPr>
          <w:rStyle w:val="FootnoteReference"/>
          <w:lang w:eastAsia="en-AU"/>
        </w:rPr>
        <w:footnoteReference w:id="39"/>
      </w:r>
      <w:r>
        <w:t xml:space="preserve"> Following a period of consultation with stakeholders, IHACPA published a methodology for determining the Weighted Average Prices using sponsor-supplied data collected by MTAA.</w:t>
      </w:r>
      <w:r w:rsidR="00FC2486">
        <w:rPr>
          <w:rStyle w:val="FootnoteReference"/>
        </w:rPr>
        <w:footnoteReference w:id="40"/>
      </w:r>
      <w:r w:rsidR="00FC2486" w:rsidRPr="0BCC15EA">
        <w:rPr>
          <w:rStyle w:val="FootnoteTextChar"/>
          <w:rFonts w:eastAsiaTheme="minorEastAsia"/>
          <w:vertAlign w:val="superscript"/>
        </w:rPr>
        <w:t>,</w:t>
      </w:r>
      <w:r w:rsidR="00FC2486">
        <w:rPr>
          <w:rStyle w:val="FootnoteReference"/>
        </w:rPr>
        <w:footnoteReference w:id="41"/>
      </w:r>
      <w:r w:rsidR="006F05F8">
        <w:rPr>
          <w:rStyle w:val="FootnoteTextChar"/>
          <w:rFonts w:eastAsiaTheme="minorEastAsia"/>
          <w:vertAlign w:val="superscript"/>
        </w:rPr>
        <w:t xml:space="preserve"> </w:t>
      </w:r>
      <w:r w:rsidR="00210023">
        <w:t xml:space="preserve"> T</w:t>
      </w:r>
      <w:r w:rsidR="006F05F8">
        <w:t>he</w:t>
      </w:r>
      <w:r w:rsidR="00210023">
        <w:t xml:space="preserve"> </w:t>
      </w:r>
      <w:r w:rsidR="00CC3750">
        <w:t xml:space="preserve">public benchmarking was to cover </w:t>
      </w:r>
      <w:r w:rsidR="009F246F">
        <w:t xml:space="preserve">all PL items except for human tissue products. </w:t>
      </w:r>
    </w:p>
    <w:p w14:paraId="6F67FF4C" w14:textId="384EFCE3" w:rsidR="00872960" w:rsidRDefault="00FA47CD" w:rsidP="00872960">
      <w:r>
        <w:fldChar w:fldCharType="begin"/>
      </w:r>
      <w:r>
        <w:instrText xml:space="preserve"> REF _Ref162017082 \h </w:instrText>
      </w:r>
      <w:r>
        <w:fldChar w:fldCharType="separate"/>
      </w:r>
      <w:r w:rsidR="00026714">
        <w:t xml:space="preserve">Figure </w:t>
      </w:r>
      <w:r w:rsidR="00026714">
        <w:rPr>
          <w:noProof/>
        </w:rPr>
        <w:t>7</w:t>
      </w:r>
      <w:r>
        <w:fldChar w:fldCharType="end"/>
      </w:r>
      <w:r w:rsidR="00872960">
        <w:t xml:space="preserve"> </w:t>
      </w:r>
      <w:r w:rsidR="007A6EA0">
        <w:t>overleaf</w:t>
      </w:r>
      <w:r w:rsidR="001512C6">
        <w:t xml:space="preserve"> </w:t>
      </w:r>
      <w:r w:rsidR="00872960">
        <w:t xml:space="preserve">shows the proportion of </w:t>
      </w:r>
      <w:r w:rsidR="006C09A4">
        <w:t xml:space="preserve">Part A </w:t>
      </w:r>
      <w:r w:rsidR="00872960">
        <w:t xml:space="preserve">PL items that would be subject to </w:t>
      </w:r>
      <w:r w:rsidR="00F15157">
        <w:t xml:space="preserve">reform </w:t>
      </w:r>
      <w:r w:rsidR="00872960">
        <w:t xml:space="preserve">reductions, not subject to </w:t>
      </w:r>
      <w:r w:rsidR="00F15157">
        <w:t xml:space="preserve">reform </w:t>
      </w:r>
      <w:r w:rsidR="00872960">
        <w:t>reductions and removed by July 2023.</w:t>
      </w:r>
    </w:p>
    <w:p w14:paraId="6996A91F" w14:textId="0F90DBBD" w:rsidR="00DA2642" w:rsidRDefault="00DA2642" w:rsidP="00DA2642">
      <w:pPr>
        <w:pStyle w:val="Caption"/>
        <w:spacing w:after="120"/>
      </w:pPr>
      <w:bookmarkStart w:id="31" w:name="_Ref162017082"/>
      <w:bookmarkStart w:id="32" w:name="_Ref160184683"/>
      <w:r>
        <w:lastRenderedPageBreak/>
        <w:t xml:space="preserve">Figure </w:t>
      </w:r>
      <w:r>
        <w:fldChar w:fldCharType="begin"/>
      </w:r>
      <w:r>
        <w:instrText xml:space="preserve"> SEQ Figure \* ARABIC </w:instrText>
      </w:r>
      <w:r>
        <w:fldChar w:fldCharType="separate"/>
      </w:r>
      <w:r w:rsidR="00026714">
        <w:rPr>
          <w:noProof/>
        </w:rPr>
        <w:t>7</w:t>
      </w:r>
      <w:r>
        <w:fldChar w:fldCharType="end"/>
      </w:r>
      <w:bookmarkEnd w:id="31"/>
      <w:r>
        <w:t xml:space="preserve"> | PL items subject to reductions</w:t>
      </w:r>
      <w:r w:rsidR="00E51BA8">
        <w:t xml:space="preserve"> (Part A, excluding CIED items)</w:t>
      </w:r>
      <w:r>
        <w:rPr>
          <w:rStyle w:val="FootnoteReference"/>
        </w:rPr>
        <w:footnoteReference w:id="42"/>
      </w:r>
      <w:bookmarkEnd w:id="32"/>
    </w:p>
    <w:p w14:paraId="53E2F3FC" w14:textId="390BC951" w:rsidR="00DA2642" w:rsidRDefault="00753F1D" w:rsidP="00DA2642">
      <w:r w:rsidRPr="00753F1D">
        <w:rPr>
          <w:noProof/>
        </w:rPr>
        <w:drawing>
          <wp:inline distT="0" distB="0" distL="0" distR="0" wp14:anchorId="25CE3F28" wp14:editId="7C704A32">
            <wp:extent cx="5670550" cy="2837815"/>
            <wp:effectExtent l="0" t="0" r="6350" b="635"/>
            <wp:docPr id="1164303081" name="Picture 1" descr="A graph showing the PL items subject to reductions, not subjected to reform reductions and to be removed by July 2023 for the 13 Part A PL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03081" name="Picture 1" descr="A graph showing the PL items subject to reductions, not subjected to reform reductions and to be removed by July 2023 for the 13 Part A PL categories."/>
                    <pic:cNvPicPr/>
                  </pic:nvPicPr>
                  <pic:blipFill>
                    <a:blip r:embed="rId33"/>
                    <a:stretch>
                      <a:fillRect/>
                    </a:stretch>
                  </pic:blipFill>
                  <pic:spPr>
                    <a:xfrm>
                      <a:off x="0" y="0"/>
                      <a:ext cx="5670550" cy="2837815"/>
                    </a:xfrm>
                    <a:prstGeom prst="rect">
                      <a:avLst/>
                    </a:prstGeom>
                  </pic:spPr>
                </pic:pic>
              </a:graphicData>
            </a:graphic>
          </wp:inline>
        </w:drawing>
      </w:r>
    </w:p>
    <w:p w14:paraId="48963673" w14:textId="03CE27D7" w:rsidR="00795CEB" w:rsidRDefault="005A397B" w:rsidP="00AB7FE4">
      <w:pPr>
        <w:pStyle w:val="Heading3"/>
        <w:spacing w:before="400"/>
      </w:pPr>
      <w:r>
        <w:t xml:space="preserve">How </w:t>
      </w:r>
      <w:r w:rsidR="00E66190">
        <w:t>this</w:t>
      </w:r>
      <w:r>
        <w:t xml:space="preserve"> </w:t>
      </w:r>
      <w:r w:rsidR="00F7027E">
        <w:t xml:space="preserve">will be </w:t>
      </w:r>
      <w:r w:rsidR="000A3EA8">
        <w:t>evaluated</w:t>
      </w:r>
    </w:p>
    <w:p w14:paraId="30442914" w14:textId="0B6F3076" w:rsidR="00220EDE" w:rsidRDefault="00FF13EA" w:rsidP="00220EDE">
      <w:pPr>
        <w:pStyle w:val="Heading4"/>
      </w:pPr>
      <w:r>
        <w:t xml:space="preserve">The reduction </w:t>
      </w:r>
      <w:r w:rsidR="003070F6">
        <w:t xml:space="preserve">in benefit levels and </w:t>
      </w:r>
      <w:r w:rsidR="005714BE">
        <w:t xml:space="preserve">resulting change in </w:t>
      </w:r>
      <w:r w:rsidR="00AC1737">
        <w:t xml:space="preserve">gap </w:t>
      </w:r>
      <w:r w:rsidR="00206DC7">
        <w:t xml:space="preserve">to </w:t>
      </w:r>
      <w:r w:rsidR="00803A3E">
        <w:t>other marke</w:t>
      </w:r>
      <w:r w:rsidR="00B65C5C">
        <w:t xml:space="preserve">ts will be tracked </w:t>
      </w:r>
      <w:proofErr w:type="gramStart"/>
      <w:r w:rsidR="00B65C5C">
        <w:t>directly</w:t>
      </w:r>
      <w:proofErr w:type="gramEnd"/>
    </w:p>
    <w:p w14:paraId="5C7EF02A" w14:textId="6A89EFCD" w:rsidR="0053262B" w:rsidRDefault="006459AA" w:rsidP="0098378A">
      <w:pPr>
        <w:rPr>
          <w:lang w:eastAsia="en-AU"/>
        </w:rPr>
      </w:pPr>
      <w:r w:rsidRPr="066275D0">
        <w:rPr>
          <w:lang w:eastAsia="en-AU"/>
        </w:rPr>
        <w:t>Th</w:t>
      </w:r>
      <w:r w:rsidR="00A23FB6" w:rsidRPr="066275D0">
        <w:rPr>
          <w:lang w:eastAsia="en-AU"/>
        </w:rPr>
        <w:t>e achievement of this objectiv</w:t>
      </w:r>
      <w:r w:rsidRPr="066275D0">
        <w:rPr>
          <w:lang w:eastAsia="en-AU"/>
        </w:rPr>
        <w:t>e</w:t>
      </w:r>
      <w:r w:rsidR="00A23FB6" w:rsidRPr="066275D0">
        <w:rPr>
          <w:lang w:eastAsia="en-AU"/>
        </w:rPr>
        <w:t xml:space="preserve"> will be evaluated through the review of two indicators. Indicator 1</w:t>
      </w:r>
      <w:r w:rsidR="005B4CAB" w:rsidRPr="066275D0">
        <w:rPr>
          <w:lang w:eastAsia="en-AU"/>
        </w:rPr>
        <w:t>,</w:t>
      </w:r>
      <w:r w:rsidR="00A23FB6" w:rsidRPr="066275D0">
        <w:rPr>
          <w:lang w:eastAsia="en-AU"/>
        </w:rPr>
        <w:t xml:space="preserve"> </w:t>
      </w:r>
      <w:r w:rsidR="00A23FB6" w:rsidRPr="066275D0">
        <w:rPr>
          <w:i/>
          <w:iCs/>
          <w:lang w:eastAsia="en-AU"/>
        </w:rPr>
        <w:t>Reduction in benefits</w:t>
      </w:r>
      <w:r w:rsidR="00A23FB6" w:rsidRPr="066275D0">
        <w:rPr>
          <w:lang w:eastAsia="en-AU"/>
        </w:rPr>
        <w:t xml:space="preserve">, will be used to provide evidence </w:t>
      </w:r>
      <w:r w:rsidR="0053262B" w:rsidRPr="066275D0">
        <w:rPr>
          <w:lang w:eastAsia="en-AU"/>
        </w:rPr>
        <w:t xml:space="preserve">that the activities that drive this objective have been completed. </w:t>
      </w:r>
      <w:r w:rsidR="004E6880" w:rsidRPr="066275D0">
        <w:rPr>
          <w:lang w:eastAsia="en-AU"/>
        </w:rPr>
        <w:t>T</w:t>
      </w:r>
      <w:r w:rsidR="00D55CA4" w:rsidRPr="066275D0">
        <w:rPr>
          <w:lang w:eastAsia="en-AU"/>
        </w:rPr>
        <w:t>his in</w:t>
      </w:r>
      <w:r w:rsidR="0053262B" w:rsidRPr="066275D0">
        <w:rPr>
          <w:lang w:eastAsia="en-AU"/>
        </w:rPr>
        <w:t xml:space="preserve">dicator </w:t>
      </w:r>
      <w:r w:rsidR="003767E3" w:rsidRPr="066275D0">
        <w:rPr>
          <w:lang w:eastAsia="en-AU"/>
        </w:rPr>
        <w:t>will directly</w:t>
      </w:r>
      <w:r w:rsidR="0053262B" w:rsidRPr="066275D0">
        <w:rPr>
          <w:lang w:eastAsia="en-AU"/>
        </w:rPr>
        <w:t xml:space="preserve"> </w:t>
      </w:r>
      <w:r w:rsidR="00D55CA4" w:rsidRPr="066275D0">
        <w:rPr>
          <w:lang w:eastAsia="en-AU"/>
        </w:rPr>
        <w:t>track the activities involved</w:t>
      </w:r>
      <w:r w:rsidR="004E6880" w:rsidRPr="066275D0">
        <w:rPr>
          <w:lang w:eastAsia="en-AU"/>
        </w:rPr>
        <w:t xml:space="preserve">, looking at both the </w:t>
      </w:r>
      <w:r w:rsidR="00754F33" w:rsidRPr="066275D0">
        <w:rPr>
          <w:lang w:eastAsia="en-AU"/>
        </w:rPr>
        <w:t>specific</w:t>
      </w:r>
      <w:r w:rsidR="003767E3" w:rsidRPr="066275D0">
        <w:rPr>
          <w:lang w:eastAsia="en-AU"/>
        </w:rPr>
        <w:t xml:space="preserve"> steps that have been taken </w:t>
      </w:r>
      <w:r w:rsidR="0524C4C7" w:rsidRPr="066275D0">
        <w:rPr>
          <w:lang w:eastAsia="en-AU"/>
        </w:rPr>
        <w:t>to</w:t>
      </w:r>
      <w:r w:rsidR="003767E3" w:rsidRPr="066275D0">
        <w:rPr>
          <w:lang w:eastAsia="en-AU"/>
        </w:rPr>
        <w:t xml:space="preserve"> </w:t>
      </w:r>
      <w:r w:rsidR="00CA7E88" w:rsidRPr="066275D0">
        <w:rPr>
          <w:lang w:eastAsia="en-AU"/>
        </w:rPr>
        <w:t>reduce the benefits, as well as the</w:t>
      </w:r>
      <w:r w:rsidR="00446DF4" w:rsidRPr="066275D0">
        <w:rPr>
          <w:lang w:eastAsia="en-AU"/>
        </w:rPr>
        <w:t xml:space="preserve"> resulting changes in benefit levels.</w:t>
      </w:r>
    </w:p>
    <w:p w14:paraId="63DB17AC" w14:textId="0D1F6E72" w:rsidR="00A23FB6" w:rsidRDefault="0053262B" w:rsidP="0098378A">
      <w:r>
        <w:rPr>
          <w:lang w:eastAsia="en-AU"/>
        </w:rPr>
        <w:t>Indicator 2</w:t>
      </w:r>
      <w:r w:rsidR="005B4CAB">
        <w:rPr>
          <w:lang w:eastAsia="en-AU"/>
        </w:rPr>
        <w:t>,</w:t>
      </w:r>
      <w:r>
        <w:rPr>
          <w:lang w:eastAsia="en-AU"/>
        </w:rPr>
        <w:t xml:space="preserve"> </w:t>
      </w:r>
      <w:r w:rsidRPr="00DE0370">
        <w:rPr>
          <w:i/>
        </w:rPr>
        <w:t xml:space="preserve">Change in the size </w:t>
      </w:r>
      <w:r w:rsidR="00A23FB6" w:rsidRPr="00DE0370">
        <w:rPr>
          <w:i/>
        </w:rPr>
        <w:t xml:space="preserve">of the </w:t>
      </w:r>
      <w:r w:rsidRPr="00DE0370">
        <w:rPr>
          <w:i/>
        </w:rPr>
        <w:t>gap between PL benefits and prices paid in more competitive markets</w:t>
      </w:r>
      <w:r>
        <w:t>, will be used to examine the extent to which the activities have caused the objective to be realised.</w:t>
      </w:r>
      <w:r w:rsidR="00A23FB6">
        <w:t xml:space="preserve"> </w:t>
      </w:r>
      <w:r w:rsidR="00FE25DB">
        <w:t xml:space="preserve">This indicator tracks the objective directly, looking at </w:t>
      </w:r>
      <w:r w:rsidR="00794016">
        <w:t xml:space="preserve">the changing level of alignment between PL benefits </w:t>
      </w:r>
      <w:r w:rsidR="000A674B">
        <w:t>and the public prices</w:t>
      </w:r>
      <w:r w:rsidR="00A119D0">
        <w:t>, and PL benefits and international markets.</w:t>
      </w:r>
    </w:p>
    <w:p w14:paraId="41A17369" w14:textId="6F41E459" w:rsidR="00847DFB" w:rsidRPr="005409EE" w:rsidRDefault="00F1450A" w:rsidP="00847DFB">
      <w:pPr>
        <w:rPr>
          <w:lang w:eastAsia="en-AU"/>
        </w:rPr>
      </w:pPr>
      <w:r>
        <w:t xml:space="preserve">See </w:t>
      </w:r>
      <w:r w:rsidR="000363AA">
        <w:fldChar w:fldCharType="begin"/>
      </w:r>
      <w:r w:rsidR="000363AA">
        <w:instrText xml:space="preserve"> REF _Ref159832999 \r \h </w:instrText>
      </w:r>
      <w:r w:rsidR="000363AA">
        <w:fldChar w:fldCharType="separate"/>
      </w:r>
      <w:r w:rsidR="00026714">
        <w:t>Appendix B</w:t>
      </w:r>
      <w:r w:rsidR="000363AA">
        <w:fldChar w:fldCharType="end"/>
      </w:r>
      <w:r>
        <w:t xml:space="preserve"> for a detailed description of these indicators</w:t>
      </w:r>
      <w:r w:rsidR="00C76E15">
        <w:t>, the component measures,</w:t>
      </w:r>
      <w:r>
        <w:t xml:space="preserve"> and the </w:t>
      </w:r>
      <w:r w:rsidR="00C76E15">
        <w:t>baseline data available for them.</w:t>
      </w:r>
    </w:p>
    <w:p w14:paraId="69D41927" w14:textId="3FB98A9A" w:rsidR="008B7F00" w:rsidRDefault="008B7F00" w:rsidP="00E52454">
      <w:pPr>
        <w:pStyle w:val="Heading2"/>
      </w:pPr>
      <w:bookmarkStart w:id="33" w:name="_Ref159168034"/>
      <w:bookmarkStart w:id="34" w:name="_Toc179453679"/>
      <w:r w:rsidRPr="3787E91E">
        <w:lastRenderedPageBreak/>
        <w:t xml:space="preserve">Objective </w:t>
      </w:r>
      <w:r w:rsidR="003D52CC" w:rsidRPr="3787E91E">
        <w:t>2</w:t>
      </w:r>
      <w:r w:rsidRPr="3787E91E">
        <w:t xml:space="preserve">: </w:t>
      </w:r>
      <w:r w:rsidR="00E52454" w:rsidRPr="3787E91E">
        <w:t xml:space="preserve">Maintain no additional out-of-pocket costs associated with the PL devices for </w:t>
      </w:r>
      <w:proofErr w:type="gramStart"/>
      <w:r w:rsidR="00E52454" w:rsidRPr="3787E91E">
        <w:t>consumers</w:t>
      </w:r>
      <w:bookmarkEnd w:id="33"/>
      <w:bookmarkEnd w:id="34"/>
      <w:proofErr w:type="gramEnd"/>
    </w:p>
    <w:p w14:paraId="0FE72538" w14:textId="11D2AC6C" w:rsidR="000F0D95" w:rsidRDefault="000F0D95" w:rsidP="000F0D95">
      <w:pPr>
        <w:pStyle w:val="Caption"/>
        <w:rPr>
          <w:lang w:eastAsia="en-AU"/>
        </w:rPr>
      </w:pPr>
      <w:r>
        <w:t xml:space="preserve">Figure </w:t>
      </w:r>
      <w:r>
        <w:fldChar w:fldCharType="begin"/>
      </w:r>
      <w:r>
        <w:instrText xml:space="preserve"> SEQ Figure \* ARABIC </w:instrText>
      </w:r>
      <w:r>
        <w:fldChar w:fldCharType="separate"/>
      </w:r>
      <w:r w:rsidR="00026714">
        <w:rPr>
          <w:noProof/>
        </w:rPr>
        <w:t>8</w:t>
      </w:r>
      <w:r>
        <w:fldChar w:fldCharType="end"/>
      </w:r>
      <w:r>
        <w:t xml:space="preserve"> | Reform </w:t>
      </w:r>
      <w:r w:rsidR="00EA4322">
        <w:t>projects</w:t>
      </w:r>
      <w:r>
        <w:t xml:space="preserve"> related to reform objective </w:t>
      </w:r>
      <w:proofErr w:type="gramStart"/>
      <w:r>
        <w:t>2</w:t>
      </w:r>
      <w:proofErr w:type="gramEnd"/>
    </w:p>
    <w:p w14:paraId="69D9D106" w14:textId="4A7A7FEF" w:rsidR="0001681C" w:rsidRPr="0001681C" w:rsidRDefault="005B600B" w:rsidP="0001681C">
      <w:pPr>
        <w:rPr>
          <w:lang w:eastAsia="en-AU"/>
        </w:rPr>
      </w:pPr>
      <w:r w:rsidRPr="005B600B">
        <w:rPr>
          <w:noProof/>
          <w:lang w:eastAsia="en-AU"/>
        </w:rPr>
        <w:drawing>
          <wp:inline distT="0" distB="0" distL="0" distR="0" wp14:anchorId="588AD814" wp14:editId="19E01E06">
            <wp:extent cx="5670550" cy="1453515"/>
            <wp:effectExtent l="0" t="0" r="6350" b="0"/>
            <wp:docPr id="813561773" name="Picture 1" descr="A figure showing reform objective 2. Maintain no additional out-of-pocket costs is maintained through guardrails on benefit reductions. Objective 2 is also connected with a dotted line to benefit re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61773" name="Picture 1" descr="A figure showing reform objective 2. Maintain no additional out-of-pocket costs is maintained through guardrails on benefit reductions. Objective 2 is also connected with a dotted line to benefit reductions."/>
                    <pic:cNvPicPr/>
                  </pic:nvPicPr>
                  <pic:blipFill>
                    <a:blip r:embed="rId34"/>
                    <a:stretch>
                      <a:fillRect/>
                    </a:stretch>
                  </pic:blipFill>
                  <pic:spPr>
                    <a:xfrm>
                      <a:off x="0" y="0"/>
                      <a:ext cx="5670550" cy="1453515"/>
                    </a:xfrm>
                    <a:prstGeom prst="rect">
                      <a:avLst/>
                    </a:prstGeom>
                  </pic:spPr>
                </pic:pic>
              </a:graphicData>
            </a:graphic>
          </wp:inline>
        </w:drawing>
      </w:r>
    </w:p>
    <w:p w14:paraId="5363839E" w14:textId="4898CE52" w:rsidR="003759B8" w:rsidRDefault="003759B8" w:rsidP="00AB7FE4">
      <w:pPr>
        <w:pStyle w:val="Heading3"/>
        <w:spacing w:before="400"/>
      </w:pPr>
      <w:r>
        <w:t>Baseline position</w:t>
      </w:r>
    </w:p>
    <w:p w14:paraId="140180C3" w14:textId="07DCB287" w:rsidR="004F47EF" w:rsidRDefault="0033624F" w:rsidP="004F47EF">
      <w:pPr>
        <w:pStyle w:val="Heading4"/>
      </w:pPr>
      <w:r>
        <w:t>T</w:t>
      </w:r>
      <w:r w:rsidR="004F47EF">
        <w:t xml:space="preserve">he PL </w:t>
      </w:r>
      <w:r>
        <w:t>was designed</w:t>
      </w:r>
      <w:r w:rsidR="00110C66">
        <w:t>, in part,</w:t>
      </w:r>
      <w:r>
        <w:t xml:space="preserve"> to act as a mechanism </w:t>
      </w:r>
      <w:r w:rsidR="00110C66">
        <w:t xml:space="preserve">to ensure that </w:t>
      </w:r>
      <w:r w:rsidR="004F47EF">
        <w:t>consumers</w:t>
      </w:r>
      <w:r w:rsidR="00110C66">
        <w:t xml:space="preserve"> experience no out-of-pocket costs associated with </w:t>
      </w:r>
      <w:proofErr w:type="gramStart"/>
      <w:r w:rsidR="00110C66">
        <w:t>devices</w:t>
      </w:r>
      <w:proofErr w:type="gramEnd"/>
    </w:p>
    <w:p w14:paraId="5DA3E362" w14:textId="1905D6C7" w:rsidR="005E4833" w:rsidRDefault="005E4833" w:rsidP="007869F9">
      <w:r>
        <w:t xml:space="preserve">From the outset, </w:t>
      </w:r>
      <w:r w:rsidR="001F683A">
        <w:t xml:space="preserve">PL policy was designed to </w:t>
      </w:r>
      <w:r w:rsidR="00AB7C28">
        <w:t xml:space="preserve">ensure that consumers with PHI </w:t>
      </w:r>
      <w:r w:rsidR="009C3F8F">
        <w:t xml:space="preserve">had guaranteed access to the most appropriate medical devices. </w:t>
      </w:r>
      <w:r w:rsidR="00A858A6">
        <w:t>P</w:t>
      </w:r>
      <w:r w:rsidR="00CF6B25">
        <w:t>reventing significant out-of-pocket costs being charged to consumers</w:t>
      </w:r>
      <w:r w:rsidR="00A858A6">
        <w:t xml:space="preserve"> is an important component of enabling this access,</w:t>
      </w:r>
      <w:r w:rsidR="00D62083">
        <w:t xml:space="preserve"> a</w:t>
      </w:r>
      <w:r w:rsidR="00DB39A9">
        <w:t>s individuals might otherwise have been un</w:t>
      </w:r>
      <w:r w:rsidR="00CF6B25">
        <w:t xml:space="preserve">able to afford these costs. </w:t>
      </w:r>
      <w:r w:rsidR="00525F1F">
        <w:t xml:space="preserve">The PL sought to </w:t>
      </w:r>
      <w:r w:rsidR="00156110">
        <w:t>ensure this by setting benefits that cover the full cost of the device</w:t>
      </w:r>
      <w:r w:rsidR="006504C4">
        <w:t xml:space="preserve">, and place </w:t>
      </w:r>
      <w:r w:rsidR="002317EC">
        <w:t xml:space="preserve">substantial </w:t>
      </w:r>
      <w:r w:rsidR="006504C4">
        <w:t xml:space="preserve">downward pressure on the </w:t>
      </w:r>
      <w:r w:rsidR="00E0286A">
        <w:t xml:space="preserve">costs </w:t>
      </w:r>
      <w:r w:rsidR="002317EC">
        <w:t>that would be charged to consumers.</w:t>
      </w:r>
      <w:r w:rsidR="00202976">
        <w:t xml:space="preserve"> </w:t>
      </w:r>
    </w:p>
    <w:p w14:paraId="2C734EC1" w14:textId="4D47501F" w:rsidR="00000965" w:rsidRDefault="00000965" w:rsidP="007869F9">
      <w:pPr>
        <w:rPr>
          <w:iCs/>
        </w:rPr>
      </w:pPr>
      <w:r w:rsidRPr="0BCC15EA">
        <w:t>Th</w:t>
      </w:r>
      <w:r w:rsidR="002D7D7E">
        <w:t>is</w:t>
      </w:r>
      <w:r w:rsidRPr="0BCC15EA">
        <w:t xml:space="preserve"> requirement for no additional out-of-pocket expenses for prostheses on</w:t>
      </w:r>
      <w:r>
        <w:rPr>
          <w:iCs/>
        </w:rPr>
        <w:t xml:space="preserve"> </w:t>
      </w:r>
      <w:r w:rsidRPr="0BCC15EA">
        <w:t>the PL was</w:t>
      </w:r>
      <w:r w:rsidR="002317EC">
        <w:t xml:space="preserve"> more</w:t>
      </w:r>
      <w:r w:rsidR="00525F1F">
        <w:t xml:space="preserve"> formally </w:t>
      </w:r>
      <w:r w:rsidR="002317EC">
        <w:t>noted</w:t>
      </w:r>
      <w:r w:rsidR="00525F1F">
        <w:t xml:space="preserve"> by </w:t>
      </w:r>
      <w:r w:rsidRPr="0BCC15EA">
        <w:t>the HTA Review in 2009</w:t>
      </w:r>
      <w:r>
        <w:rPr>
          <w:iCs/>
        </w:rPr>
        <w:t>.</w:t>
      </w:r>
      <w:r w:rsidRPr="0BCC15EA">
        <w:rPr>
          <w:rStyle w:val="FootnoteReference"/>
        </w:rPr>
        <w:footnoteReference w:id="43"/>
      </w:r>
      <w:r>
        <w:rPr>
          <w:iCs/>
        </w:rPr>
        <w:t xml:space="preserve"> </w:t>
      </w:r>
      <w:r w:rsidRPr="0BCC15EA">
        <w:t>Th</w:t>
      </w:r>
      <w:r w:rsidR="00C1054C">
        <w:t>is</w:t>
      </w:r>
      <w:r w:rsidRPr="0BCC15EA">
        <w:t xml:space="preserve"> </w:t>
      </w:r>
      <w:r w:rsidR="00C1054C">
        <w:t>r</w:t>
      </w:r>
      <w:r w:rsidRPr="0BCC15EA">
        <w:t xml:space="preserve">eview </w:t>
      </w:r>
      <w:r w:rsidR="00C1054C">
        <w:t>stated that</w:t>
      </w:r>
      <w:r>
        <w:rPr>
          <w:iCs/>
        </w:rPr>
        <w:t xml:space="preserve"> </w:t>
      </w:r>
      <w:r w:rsidRPr="00824316">
        <w:t>“</w:t>
      </w:r>
      <w:r w:rsidRPr="0BCC15EA">
        <w:t xml:space="preserve">the price that sponsors are allowed to charge for a </w:t>
      </w:r>
      <w:r w:rsidRPr="00824316">
        <w:t>product should be equal to the benefit that insurers are legally obliged to reimburse”</w:t>
      </w:r>
      <w:r w:rsidRPr="00824316">
        <w:rPr>
          <w:iCs/>
        </w:rPr>
        <w:t>.</w:t>
      </w:r>
      <w:r w:rsidRPr="0BCC15EA">
        <w:rPr>
          <w:rStyle w:val="FootnoteReference"/>
        </w:rPr>
        <w:footnoteReference w:id="44"/>
      </w:r>
      <w:r w:rsidR="002A2AFA" w:rsidRPr="002A2AFA">
        <w:t xml:space="preserve"> </w:t>
      </w:r>
      <w:r w:rsidR="002A2AFA">
        <w:t>There was, however, no legislative mechanism by which the PL could guarantee no out-of-pocket costs.</w:t>
      </w:r>
    </w:p>
    <w:p w14:paraId="303DAA86" w14:textId="19216318" w:rsidR="003759B8" w:rsidRPr="007403D8" w:rsidRDefault="00D85EBA" w:rsidP="007869F9">
      <w:pPr>
        <w:rPr>
          <w:iCs/>
        </w:rPr>
      </w:pPr>
      <w:r>
        <w:rPr>
          <w:iCs/>
        </w:rPr>
        <w:t xml:space="preserve">Evidence shows that the PL </w:t>
      </w:r>
      <w:r w:rsidR="670E081E" w:rsidRPr="5614867E">
        <w:t>prevents</w:t>
      </w:r>
      <w:r w:rsidR="00202976">
        <w:rPr>
          <w:iCs/>
        </w:rPr>
        <w:t xml:space="preserve"> out-of-pocket costs being charged to consumers</w:t>
      </w:r>
      <w:r w:rsidR="00FE0ABB">
        <w:rPr>
          <w:iCs/>
        </w:rPr>
        <w:t xml:space="preserve"> in </w:t>
      </w:r>
      <w:r w:rsidR="670E081E" w:rsidRPr="5614867E">
        <w:t>most cases.</w:t>
      </w:r>
      <w:r w:rsidR="00202976">
        <w:rPr>
          <w:iCs/>
        </w:rPr>
        <w:t xml:space="preserve"> </w:t>
      </w:r>
      <w:r w:rsidR="0077357E">
        <w:rPr>
          <w:iCs/>
        </w:rPr>
        <w:t xml:space="preserve">In 2021, </w:t>
      </w:r>
      <w:r w:rsidR="00062889">
        <w:rPr>
          <w:iCs/>
        </w:rPr>
        <w:t>at most</w:t>
      </w:r>
      <w:r w:rsidR="0077357E">
        <w:rPr>
          <w:iCs/>
        </w:rPr>
        <w:t xml:space="preserve"> </w:t>
      </w:r>
      <w:r w:rsidR="006E332E">
        <w:rPr>
          <w:iCs/>
        </w:rPr>
        <w:t>0.23</w:t>
      </w:r>
      <w:r w:rsidR="0077357E">
        <w:rPr>
          <w:iCs/>
        </w:rPr>
        <w:t xml:space="preserve">% of </w:t>
      </w:r>
      <w:r w:rsidR="00216BE3">
        <w:rPr>
          <w:iCs/>
        </w:rPr>
        <w:t>episodes involving a PL-listed item included a</w:t>
      </w:r>
      <w:r w:rsidR="00782BCB">
        <w:rPr>
          <w:iCs/>
        </w:rPr>
        <w:t xml:space="preserve">n out-of-pocket cost </w:t>
      </w:r>
      <w:r w:rsidR="0068784A">
        <w:rPr>
          <w:iCs/>
        </w:rPr>
        <w:t>to the consumer</w:t>
      </w:r>
      <w:r w:rsidR="00D000FE">
        <w:rPr>
          <w:rStyle w:val="FootnoteReference"/>
          <w:iCs/>
        </w:rPr>
        <w:footnoteReference w:id="45"/>
      </w:r>
      <w:r w:rsidR="0068784A">
        <w:rPr>
          <w:iCs/>
        </w:rPr>
        <w:t>.</w:t>
      </w:r>
      <w:r w:rsidR="00FE0ABB">
        <w:rPr>
          <w:iCs/>
        </w:rPr>
        <w:t xml:space="preserve"> </w:t>
      </w:r>
      <w:r w:rsidR="00AF0001">
        <w:rPr>
          <w:iCs/>
        </w:rPr>
        <w:t xml:space="preserve">In these </w:t>
      </w:r>
      <w:r w:rsidR="008B6757">
        <w:rPr>
          <w:iCs/>
        </w:rPr>
        <w:t>rare</w:t>
      </w:r>
      <w:r w:rsidR="00AF0001">
        <w:rPr>
          <w:iCs/>
        </w:rPr>
        <w:t xml:space="preserve"> cases w</w:t>
      </w:r>
      <w:r w:rsidR="00FE0ABB">
        <w:rPr>
          <w:iCs/>
        </w:rPr>
        <w:t>hen an out-of-pocket cost is charged, i</w:t>
      </w:r>
      <w:r w:rsidR="00DB058D">
        <w:rPr>
          <w:iCs/>
        </w:rPr>
        <w:t xml:space="preserve">t is </w:t>
      </w:r>
      <w:r w:rsidR="00335E8E">
        <w:rPr>
          <w:iCs/>
        </w:rPr>
        <w:t xml:space="preserve">often </w:t>
      </w:r>
      <w:r w:rsidR="001A23FB">
        <w:rPr>
          <w:iCs/>
        </w:rPr>
        <w:t>sizable</w:t>
      </w:r>
      <w:r w:rsidR="0096740A">
        <w:rPr>
          <w:iCs/>
        </w:rPr>
        <w:t>.</w:t>
      </w:r>
      <w:r w:rsidR="0068784A">
        <w:rPr>
          <w:iCs/>
        </w:rPr>
        <w:t xml:space="preserve"> </w:t>
      </w:r>
      <w:r w:rsidR="00AF0001">
        <w:rPr>
          <w:iCs/>
        </w:rPr>
        <w:t>In 2021 t</w:t>
      </w:r>
      <w:r w:rsidR="0068784A">
        <w:rPr>
          <w:iCs/>
        </w:rPr>
        <w:t xml:space="preserve">he average gap </w:t>
      </w:r>
      <w:r w:rsidR="00D04D95">
        <w:rPr>
          <w:iCs/>
        </w:rPr>
        <w:t>payment</w:t>
      </w:r>
      <w:r w:rsidR="00062889">
        <w:rPr>
          <w:rStyle w:val="FootnoteReference"/>
          <w:iCs/>
        </w:rPr>
        <w:footnoteReference w:id="46"/>
      </w:r>
      <w:r w:rsidR="00AF0001">
        <w:rPr>
          <w:iCs/>
        </w:rPr>
        <w:t xml:space="preserve"> (when one was charged)</w:t>
      </w:r>
      <w:r w:rsidR="00D04D95">
        <w:rPr>
          <w:iCs/>
        </w:rPr>
        <w:t xml:space="preserve"> was $</w:t>
      </w:r>
      <w:r w:rsidR="006E332E">
        <w:rPr>
          <w:iCs/>
        </w:rPr>
        <w:t>270</w:t>
      </w:r>
      <w:r w:rsidR="00627F25">
        <w:rPr>
          <w:iCs/>
        </w:rPr>
        <w:t>.</w:t>
      </w:r>
      <w:r w:rsidR="00733F47">
        <w:rPr>
          <w:iCs/>
        </w:rPr>
        <w:t xml:space="preserve"> See </w:t>
      </w:r>
      <w:r w:rsidR="00954F33">
        <w:rPr>
          <w:iCs/>
        </w:rPr>
        <w:fldChar w:fldCharType="begin"/>
      </w:r>
      <w:r w:rsidR="00954F33">
        <w:rPr>
          <w:iCs/>
        </w:rPr>
        <w:instrText xml:space="preserve"> REF _Ref159832999 \r \h </w:instrText>
      </w:r>
      <w:r w:rsidR="007869F9">
        <w:rPr>
          <w:iCs/>
        </w:rPr>
        <w:instrText xml:space="preserve"> \* MERGEFORMAT </w:instrText>
      </w:r>
      <w:r w:rsidR="00954F33">
        <w:rPr>
          <w:iCs/>
        </w:rPr>
      </w:r>
      <w:r w:rsidR="00954F33">
        <w:rPr>
          <w:iCs/>
        </w:rPr>
        <w:fldChar w:fldCharType="separate"/>
      </w:r>
      <w:r w:rsidR="00026714">
        <w:rPr>
          <w:iCs/>
        </w:rPr>
        <w:t>Appendix B</w:t>
      </w:r>
      <w:r w:rsidR="00954F33">
        <w:rPr>
          <w:iCs/>
        </w:rPr>
        <w:fldChar w:fldCharType="end"/>
      </w:r>
      <w:r w:rsidR="00954F33">
        <w:rPr>
          <w:iCs/>
        </w:rPr>
        <w:t xml:space="preserve"> (indicator 3)</w:t>
      </w:r>
      <w:r w:rsidR="00733F47">
        <w:rPr>
          <w:iCs/>
        </w:rPr>
        <w:t xml:space="preserve"> for a more detailed examination of baseline out-of-pocket costs.</w:t>
      </w:r>
    </w:p>
    <w:p w14:paraId="06DF87BD" w14:textId="52E00BBA" w:rsidR="00CF7DD8" w:rsidRDefault="003759B8" w:rsidP="00AB7FE4">
      <w:pPr>
        <w:pStyle w:val="Heading3"/>
        <w:spacing w:before="400"/>
      </w:pPr>
      <w:r>
        <w:t>Rationale for reform</w:t>
      </w:r>
    </w:p>
    <w:p w14:paraId="5E20293E" w14:textId="07749A4D" w:rsidR="00252DD2" w:rsidRDefault="00BE5B53" w:rsidP="00252DD2">
      <w:pPr>
        <w:pStyle w:val="Heading4"/>
      </w:pPr>
      <w:r w:rsidRPr="3787E91E">
        <w:t xml:space="preserve">This objective is </w:t>
      </w:r>
      <w:r w:rsidR="00883A81" w:rsidRPr="3787E91E">
        <w:t xml:space="preserve">important for maintaining a key feature of the PL and the benefit it </w:t>
      </w:r>
      <w:proofErr w:type="gramStart"/>
      <w:r w:rsidR="00883A81" w:rsidRPr="3787E91E">
        <w:t>provides</w:t>
      </w:r>
      <w:proofErr w:type="gramEnd"/>
    </w:p>
    <w:p w14:paraId="0B11CB59" w14:textId="58491E6A" w:rsidR="00DF3AAA" w:rsidRPr="002970D6" w:rsidRDefault="00D56565" w:rsidP="007869F9">
      <w:pPr>
        <w:rPr>
          <w:i/>
        </w:rPr>
      </w:pPr>
      <w:r>
        <w:t>E</w:t>
      </w:r>
      <w:r w:rsidR="000C24B1">
        <w:t>nsuring</w:t>
      </w:r>
      <w:r w:rsidR="00121FD3" w:rsidRPr="0BCC15EA">
        <w:t xml:space="preserve"> </w:t>
      </w:r>
      <w:r w:rsidR="000C24B1">
        <w:t>minimal</w:t>
      </w:r>
      <w:r w:rsidR="00121FD3" w:rsidRPr="0BCC15EA">
        <w:t xml:space="preserve"> out</w:t>
      </w:r>
      <w:r w:rsidR="00A05C3C" w:rsidRPr="0BCC15EA">
        <w:t>-of-pocket expenses</w:t>
      </w:r>
      <w:r w:rsidR="0067562E" w:rsidRPr="0BCC15EA">
        <w:t xml:space="preserve"> associated with items on the PL</w:t>
      </w:r>
      <w:r w:rsidR="000C24B1">
        <w:t xml:space="preserve"> is a key </w:t>
      </w:r>
      <w:r w:rsidR="002A7ADE">
        <w:t xml:space="preserve">component of the </w:t>
      </w:r>
      <w:r w:rsidR="004A5454">
        <w:t xml:space="preserve">policy’s </w:t>
      </w:r>
      <w:r w:rsidR="00ED401B">
        <w:t>purpose</w:t>
      </w:r>
      <w:r>
        <w:t>.</w:t>
      </w:r>
      <w:r w:rsidR="00ED401B">
        <w:t xml:space="preserve"> </w:t>
      </w:r>
      <w:r>
        <w:t>M</w:t>
      </w:r>
      <w:r w:rsidR="00146A96">
        <w:t xml:space="preserve">aintaining this </w:t>
      </w:r>
      <w:r w:rsidR="00C01322">
        <w:t xml:space="preserve">function </w:t>
      </w:r>
      <w:r w:rsidR="00F818FE">
        <w:t xml:space="preserve">throughout </w:t>
      </w:r>
      <w:r w:rsidR="00707236">
        <w:t>all changes</w:t>
      </w:r>
      <w:r w:rsidR="00840CEC">
        <w:t xml:space="preserve"> is </w:t>
      </w:r>
      <w:r w:rsidR="00707236">
        <w:t>important</w:t>
      </w:r>
      <w:r w:rsidR="00840CEC">
        <w:t xml:space="preserve"> </w:t>
      </w:r>
      <w:r w:rsidR="00707236">
        <w:t>for</w:t>
      </w:r>
      <w:r w:rsidR="00840CEC">
        <w:t xml:space="preserve"> ensuring that the PL’s benefit </w:t>
      </w:r>
      <w:r w:rsidR="00707236">
        <w:t>is not diminished through the reform process</w:t>
      </w:r>
      <w:r w:rsidR="0067562E" w:rsidRPr="0BCC15EA">
        <w:t>.</w:t>
      </w:r>
      <w:r w:rsidR="00E43F31">
        <w:rPr>
          <w:iCs/>
        </w:rPr>
        <w:t xml:space="preserve"> </w:t>
      </w:r>
      <w:r w:rsidR="001E62EB" w:rsidRPr="0BCC15EA">
        <w:t xml:space="preserve">This objective aligns closely with </w:t>
      </w:r>
      <w:r w:rsidR="001E62EB" w:rsidRPr="58AB7BF7">
        <w:rPr>
          <w:i/>
          <w:iCs/>
        </w:rPr>
        <w:t xml:space="preserve">Objective </w:t>
      </w:r>
      <w:r w:rsidR="002B4167">
        <w:rPr>
          <w:i/>
          <w:iCs/>
        </w:rPr>
        <w:t>3</w:t>
      </w:r>
      <w:r w:rsidR="001E62EB" w:rsidRPr="58AB7BF7">
        <w:rPr>
          <w:i/>
          <w:iCs/>
        </w:rPr>
        <w:t xml:space="preserve">: Maintain clinician choice of </w:t>
      </w:r>
      <w:r w:rsidR="00D544CA" w:rsidRPr="58AB7BF7">
        <w:rPr>
          <w:i/>
          <w:iCs/>
        </w:rPr>
        <w:t>appropriate prostheses for their patients</w:t>
      </w:r>
      <w:r w:rsidR="00707236">
        <w:rPr>
          <w:i/>
          <w:iCs/>
        </w:rPr>
        <w:t>,</w:t>
      </w:r>
      <w:r w:rsidR="00D544CA">
        <w:rPr>
          <w:iCs/>
        </w:rPr>
        <w:t xml:space="preserve"> </w:t>
      </w:r>
      <w:r w:rsidR="007278C7">
        <w:t>in aiming to ensure that the</w:t>
      </w:r>
      <w:r w:rsidR="00A364A4" w:rsidRPr="0BCC15EA">
        <w:t xml:space="preserve"> </w:t>
      </w:r>
      <w:r w:rsidR="002E54B2" w:rsidRPr="0BCC15EA">
        <w:t xml:space="preserve">PL </w:t>
      </w:r>
      <w:r w:rsidR="007278C7">
        <w:t>reforms</w:t>
      </w:r>
      <w:r w:rsidR="002E54B2" w:rsidRPr="0BCC15EA">
        <w:t xml:space="preserve"> </w:t>
      </w:r>
      <w:r w:rsidR="002E54B2" w:rsidRPr="0BCC15EA">
        <w:lastRenderedPageBreak/>
        <w:t xml:space="preserve">should not </w:t>
      </w:r>
      <w:r w:rsidR="00257A73">
        <w:t>negatively</w:t>
      </w:r>
      <w:r w:rsidR="002E54B2" w:rsidRPr="0BCC15EA">
        <w:t xml:space="preserve"> impact</w:t>
      </w:r>
      <w:r w:rsidR="00257A73">
        <w:t xml:space="preserve"> either</w:t>
      </w:r>
      <w:r w:rsidR="002E54B2" w:rsidRPr="0BCC15EA">
        <w:t xml:space="preserve"> the out-of-pocket costs </w:t>
      </w:r>
      <w:r w:rsidR="00201D2B" w:rsidRPr="0BCC15EA">
        <w:t>associated with PL items for</w:t>
      </w:r>
      <w:r w:rsidR="008900AA" w:rsidRPr="0BCC15EA">
        <w:t xml:space="preserve"> patients</w:t>
      </w:r>
      <w:r w:rsidR="00201D2B" w:rsidRPr="0BCC15EA">
        <w:t>, nor</w:t>
      </w:r>
      <w:r w:rsidR="008900AA" w:rsidRPr="0BCC15EA">
        <w:t xml:space="preserve"> a clinician’s choice of prostheses</w:t>
      </w:r>
      <w:r w:rsidR="008900AA">
        <w:rPr>
          <w:iCs/>
        </w:rPr>
        <w:t>.</w:t>
      </w:r>
      <w:r w:rsidR="008900AA" w:rsidRPr="0BCC15EA">
        <w:rPr>
          <w:rStyle w:val="FootnoteReference"/>
        </w:rPr>
        <w:footnoteReference w:id="47"/>
      </w:r>
    </w:p>
    <w:p w14:paraId="107C18A5" w14:textId="437EBB43" w:rsidR="008B7F00" w:rsidRDefault="008B7F00" w:rsidP="00AB7FE4">
      <w:pPr>
        <w:pStyle w:val="Heading3"/>
        <w:spacing w:before="400"/>
      </w:pPr>
      <w:r>
        <w:t>How the reform</w:t>
      </w:r>
      <w:r w:rsidR="002A2024">
        <w:t>s</w:t>
      </w:r>
      <w:r>
        <w:t xml:space="preserve"> intend to achieve this objective</w:t>
      </w:r>
    </w:p>
    <w:p w14:paraId="5CC4E753" w14:textId="22CCD39D" w:rsidR="00C25FE8" w:rsidRDefault="00C25FE8" w:rsidP="00C25FE8">
      <w:pPr>
        <w:pStyle w:val="Heading4"/>
      </w:pPr>
      <w:r>
        <w:t xml:space="preserve">This objective </w:t>
      </w:r>
      <w:r w:rsidR="00B50D70">
        <w:t xml:space="preserve">sets guardrails for the benefit reductions, as well as all other reform </w:t>
      </w:r>
      <w:r w:rsidR="002A2024">
        <w:t>projects</w:t>
      </w:r>
    </w:p>
    <w:p w14:paraId="7656713C" w14:textId="40EB8F5A" w:rsidR="006B4C07" w:rsidRDefault="00C436CC" w:rsidP="495A3DFA">
      <w:pPr>
        <w:rPr>
          <w:lang w:eastAsia="en-AU"/>
        </w:rPr>
      </w:pPr>
      <w:r>
        <w:rPr>
          <w:lang w:eastAsia="en-AU"/>
        </w:rPr>
        <w:t xml:space="preserve">No </w:t>
      </w:r>
      <w:r w:rsidR="00F444DB">
        <w:rPr>
          <w:lang w:eastAsia="en-AU"/>
        </w:rPr>
        <w:t>reform projects</w:t>
      </w:r>
      <w:r>
        <w:rPr>
          <w:lang w:eastAsia="en-AU"/>
        </w:rPr>
        <w:t xml:space="preserve"> </w:t>
      </w:r>
      <w:r w:rsidR="00DF04AD" w:rsidRPr="00DF04AD">
        <w:rPr>
          <w:lang w:eastAsia="en-AU"/>
        </w:rPr>
        <w:t>are being implemented solely for the purpose of</w:t>
      </w:r>
      <w:r w:rsidR="00154079">
        <w:rPr>
          <w:lang w:eastAsia="en-AU"/>
        </w:rPr>
        <w:t xml:space="preserve"> this objective</w:t>
      </w:r>
      <w:r w:rsidR="00DB64F4">
        <w:rPr>
          <w:lang w:eastAsia="en-AU"/>
        </w:rPr>
        <w:t>, rather</w:t>
      </w:r>
      <w:r w:rsidR="00154079">
        <w:rPr>
          <w:lang w:eastAsia="en-AU"/>
        </w:rPr>
        <w:t xml:space="preserve"> this objective </w:t>
      </w:r>
      <w:r w:rsidR="00671D1F">
        <w:rPr>
          <w:lang w:eastAsia="en-AU"/>
        </w:rPr>
        <w:t xml:space="preserve">stands as a policy </w:t>
      </w:r>
      <w:r w:rsidR="00D828E3">
        <w:rPr>
          <w:lang w:eastAsia="en-AU"/>
        </w:rPr>
        <w:t>goal</w:t>
      </w:r>
      <w:r w:rsidR="00627F4B">
        <w:rPr>
          <w:lang w:eastAsia="en-AU"/>
        </w:rPr>
        <w:t xml:space="preserve"> to be </w:t>
      </w:r>
      <w:r w:rsidR="00154079">
        <w:rPr>
          <w:lang w:eastAsia="en-AU"/>
        </w:rPr>
        <w:t>maintained</w:t>
      </w:r>
      <w:r w:rsidR="00D828E3">
        <w:rPr>
          <w:lang w:eastAsia="en-AU"/>
        </w:rPr>
        <w:t xml:space="preserve"> </w:t>
      </w:r>
      <w:r w:rsidR="00870355">
        <w:rPr>
          <w:lang w:eastAsia="en-AU"/>
        </w:rPr>
        <w:t>throughout</w:t>
      </w:r>
      <w:r w:rsidR="005E1323">
        <w:rPr>
          <w:lang w:eastAsia="en-AU"/>
        </w:rPr>
        <w:t xml:space="preserve"> </w:t>
      </w:r>
      <w:r w:rsidR="00DD2B2B">
        <w:rPr>
          <w:lang w:eastAsia="en-AU"/>
        </w:rPr>
        <w:t>the reforms</w:t>
      </w:r>
      <w:r w:rsidR="005E1323">
        <w:rPr>
          <w:lang w:eastAsia="en-AU"/>
        </w:rPr>
        <w:t>.</w:t>
      </w:r>
      <w:r w:rsidR="00F3796C">
        <w:rPr>
          <w:lang w:eastAsia="en-AU"/>
        </w:rPr>
        <w:t xml:space="preserve"> </w:t>
      </w:r>
      <w:r w:rsidR="00A852E1">
        <w:rPr>
          <w:lang w:eastAsia="en-AU"/>
        </w:rPr>
        <w:t xml:space="preserve">As the primary mechanism for </w:t>
      </w:r>
      <w:r w:rsidR="007F221A">
        <w:rPr>
          <w:lang w:eastAsia="en-AU"/>
        </w:rPr>
        <w:t>preventing out-of-pocket costs to consumers is</w:t>
      </w:r>
      <w:r w:rsidR="00C12227">
        <w:rPr>
          <w:lang w:eastAsia="en-AU"/>
        </w:rPr>
        <w:t xml:space="preserve"> through</w:t>
      </w:r>
      <w:r w:rsidR="007F221A">
        <w:rPr>
          <w:lang w:eastAsia="en-AU"/>
        </w:rPr>
        <w:t xml:space="preserve"> the </w:t>
      </w:r>
      <w:r w:rsidR="008134EC">
        <w:rPr>
          <w:lang w:eastAsia="en-AU"/>
        </w:rPr>
        <w:t>benefi</w:t>
      </w:r>
      <w:r w:rsidR="006F7547">
        <w:rPr>
          <w:lang w:eastAsia="en-AU"/>
        </w:rPr>
        <w:t>t</w:t>
      </w:r>
      <w:r w:rsidR="001F5939">
        <w:rPr>
          <w:lang w:eastAsia="en-AU"/>
        </w:rPr>
        <w:t>s</w:t>
      </w:r>
      <w:r w:rsidR="002B5349">
        <w:rPr>
          <w:lang w:eastAsia="en-AU"/>
        </w:rPr>
        <w:t xml:space="preserve"> being set at a </w:t>
      </w:r>
      <w:r w:rsidR="00C12227">
        <w:rPr>
          <w:lang w:eastAsia="en-AU"/>
        </w:rPr>
        <w:t xml:space="preserve">level that covers the full cost of the device, the </w:t>
      </w:r>
      <w:r w:rsidR="001F6B64">
        <w:rPr>
          <w:lang w:eastAsia="en-AU"/>
        </w:rPr>
        <w:t xml:space="preserve">main activity with the potential to impact out of pocket costs is the benefit reductions. </w:t>
      </w:r>
    </w:p>
    <w:p w14:paraId="514EEBFE" w14:textId="54BB8905" w:rsidR="00B139E7" w:rsidRDefault="00923BF0" w:rsidP="00C25FE8">
      <w:pPr>
        <w:rPr>
          <w:lang w:eastAsia="en-AU"/>
        </w:rPr>
      </w:pPr>
      <w:r>
        <w:rPr>
          <w:lang w:eastAsia="en-AU"/>
        </w:rPr>
        <w:t xml:space="preserve">The benefit </w:t>
      </w:r>
      <w:r w:rsidR="008E110C">
        <w:rPr>
          <w:lang w:eastAsia="en-AU"/>
        </w:rPr>
        <w:t>reduction exercise has been designed with the intention of ensuring that benefit levels remain at or above the price of the device (using the public benchmark as an indicator of this price).</w:t>
      </w:r>
      <w:r w:rsidR="00F3796C">
        <w:rPr>
          <w:lang w:eastAsia="en-AU"/>
        </w:rPr>
        <w:t xml:space="preserve"> </w:t>
      </w:r>
      <w:r w:rsidR="000E2ECD">
        <w:rPr>
          <w:lang w:eastAsia="en-AU"/>
        </w:rPr>
        <w:t>If benefits are reduced too much, private hospitals may consider out-of-pocket costs associated with prostheses</w:t>
      </w:r>
      <w:r w:rsidR="00E122CF">
        <w:rPr>
          <w:lang w:eastAsia="en-AU"/>
        </w:rPr>
        <w:t xml:space="preserve"> necessary for </w:t>
      </w:r>
      <w:r w:rsidR="00E97F1F">
        <w:rPr>
          <w:lang w:eastAsia="en-AU"/>
        </w:rPr>
        <w:t xml:space="preserve">covering costs and staying in business. As such, this objective </w:t>
      </w:r>
      <w:r w:rsidR="00BC78C7">
        <w:rPr>
          <w:lang w:eastAsia="en-AU"/>
        </w:rPr>
        <w:t>seeks to ensure</w:t>
      </w:r>
      <w:r w:rsidR="009829EC">
        <w:rPr>
          <w:lang w:eastAsia="en-AU"/>
        </w:rPr>
        <w:t xml:space="preserve"> that</w:t>
      </w:r>
      <w:r w:rsidR="00B643A0">
        <w:rPr>
          <w:lang w:eastAsia="en-AU"/>
        </w:rPr>
        <w:t xml:space="preserve"> </w:t>
      </w:r>
      <w:r w:rsidR="00EC2B4F">
        <w:rPr>
          <w:lang w:eastAsia="en-AU"/>
        </w:rPr>
        <w:t>improving the affordability and value of PHI (objective 4)</w:t>
      </w:r>
      <w:r w:rsidR="009829EC">
        <w:rPr>
          <w:lang w:eastAsia="en-AU"/>
        </w:rPr>
        <w:t xml:space="preserve"> results in a net saving to consumers</w:t>
      </w:r>
      <w:r w:rsidR="00C251F4">
        <w:rPr>
          <w:lang w:eastAsia="en-AU"/>
        </w:rPr>
        <w:t>, no</w:t>
      </w:r>
      <w:r w:rsidR="00BC78C7">
        <w:rPr>
          <w:lang w:eastAsia="en-AU"/>
        </w:rPr>
        <w:t xml:space="preserve">t just a shifting </w:t>
      </w:r>
      <w:r w:rsidR="00061ED5">
        <w:rPr>
          <w:lang w:eastAsia="en-AU"/>
        </w:rPr>
        <w:t>of costs from premiums to hospital bills.</w:t>
      </w:r>
    </w:p>
    <w:p w14:paraId="7905BE93" w14:textId="0D89A984" w:rsidR="006B4C07" w:rsidRDefault="007E2AD1" w:rsidP="00C25FE8">
      <w:pPr>
        <w:rPr>
          <w:lang w:eastAsia="en-AU"/>
        </w:rPr>
      </w:pPr>
      <w:r>
        <w:rPr>
          <w:lang w:eastAsia="en-AU"/>
        </w:rPr>
        <w:t xml:space="preserve">While </w:t>
      </w:r>
      <w:r w:rsidR="004A7E99">
        <w:rPr>
          <w:lang w:eastAsia="en-AU"/>
        </w:rPr>
        <w:t xml:space="preserve">it is not anticipated that other </w:t>
      </w:r>
      <w:r w:rsidR="00DA3AA7">
        <w:rPr>
          <w:lang w:eastAsia="en-AU"/>
        </w:rPr>
        <w:t xml:space="preserve">reform </w:t>
      </w:r>
      <w:r w:rsidR="00F444DB">
        <w:rPr>
          <w:lang w:eastAsia="en-AU"/>
        </w:rPr>
        <w:t>projects</w:t>
      </w:r>
      <w:r w:rsidR="00DA3AA7">
        <w:rPr>
          <w:lang w:eastAsia="en-AU"/>
        </w:rPr>
        <w:t xml:space="preserve"> will lead to </w:t>
      </w:r>
      <w:r w:rsidR="00326F97">
        <w:rPr>
          <w:lang w:eastAsia="en-AU"/>
        </w:rPr>
        <w:t>a change in out-of-pocket costs, t</w:t>
      </w:r>
      <w:r w:rsidR="004375AD">
        <w:rPr>
          <w:lang w:eastAsia="en-AU"/>
        </w:rPr>
        <w:t xml:space="preserve">he </w:t>
      </w:r>
      <w:r w:rsidR="009F396C" w:rsidRPr="008F2253">
        <w:rPr>
          <w:lang w:eastAsia="en-AU"/>
        </w:rPr>
        <w:t>PLRT</w:t>
      </w:r>
      <w:r w:rsidR="004375AD">
        <w:rPr>
          <w:lang w:eastAsia="en-AU"/>
        </w:rPr>
        <w:t xml:space="preserve"> have also indicated that they inten</w:t>
      </w:r>
      <w:r w:rsidR="008F34B0">
        <w:rPr>
          <w:lang w:eastAsia="en-AU"/>
        </w:rPr>
        <w:t xml:space="preserve">d to take explicit consideration of this objective in the planning of all other reform </w:t>
      </w:r>
      <w:r w:rsidR="00F444DB">
        <w:rPr>
          <w:lang w:eastAsia="en-AU"/>
        </w:rPr>
        <w:t>projects</w:t>
      </w:r>
      <w:r w:rsidR="00FD49AF">
        <w:rPr>
          <w:lang w:eastAsia="en-AU"/>
        </w:rPr>
        <w:t xml:space="preserve">. </w:t>
      </w:r>
      <w:r w:rsidR="009574FF">
        <w:rPr>
          <w:lang w:eastAsia="en-AU"/>
        </w:rPr>
        <w:t xml:space="preserve">If other </w:t>
      </w:r>
      <w:r w:rsidR="00305C69">
        <w:rPr>
          <w:lang w:eastAsia="en-AU"/>
        </w:rPr>
        <w:t>activities</w:t>
      </w:r>
      <w:r w:rsidR="00A731BF">
        <w:rPr>
          <w:lang w:eastAsia="en-AU"/>
        </w:rPr>
        <w:t xml:space="preserve"> are seen to have the potential to impact this, they will take steps to mitigate </w:t>
      </w:r>
      <w:r w:rsidR="00BA2885">
        <w:rPr>
          <w:lang w:eastAsia="en-AU"/>
        </w:rPr>
        <w:t xml:space="preserve">any impact, and </w:t>
      </w:r>
      <w:r w:rsidR="005B17C2">
        <w:rPr>
          <w:lang w:eastAsia="en-AU"/>
        </w:rPr>
        <w:t>these steps will be documented.</w:t>
      </w:r>
    </w:p>
    <w:p w14:paraId="1D76B344" w14:textId="6FF828D7" w:rsidR="008C41CF" w:rsidRDefault="003D0F9D" w:rsidP="00AB7FE4">
      <w:pPr>
        <w:pStyle w:val="Heading3"/>
        <w:spacing w:before="400"/>
      </w:pPr>
      <w:r>
        <w:t>How this will be evaluated</w:t>
      </w:r>
    </w:p>
    <w:p w14:paraId="3D882D0F" w14:textId="7F994E88" w:rsidR="00094D01" w:rsidRPr="00974105" w:rsidRDefault="006D5A18" w:rsidP="00094D01">
      <w:pPr>
        <w:pStyle w:val="Heading4"/>
      </w:pPr>
      <w:r w:rsidRPr="3787E91E">
        <w:t>Both the frequency and size of any out-of-pocket expenses will be monitored for any changes</w:t>
      </w:r>
    </w:p>
    <w:p w14:paraId="259EC370" w14:textId="3397547A" w:rsidR="001A5125" w:rsidRDefault="00FF1B13" w:rsidP="001A5125">
      <w:pPr>
        <w:rPr>
          <w:lang w:eastAsia="en-AU"/>
        </w:rPr>
      </w:pPr>
      <w:r>
        <w:rPr>
          <w:lang w:eastAsia="en-AU"/>
        </w:rPr>
        <w:t>I</w:t>
      </w:r>
      <w:r w:rsidR="001A5125" w:rsidRPr="001A5125">
        <w:rPr>
          <w:lang w:eastAsia="en-AU"/>
        </w:rPr>
        <w:t>ndicator</w:t>
      </w:r>
      <w:r>
        <w:rPr>
          <w:lang w:eastAsia="en-AU"/>
        </w:rPr>
        <w:t xml:space="preserve"> 3, </w:t>
      </w:r>
      <w:r>
        <w:rPr>
          <w:i/>
          <w:iCs/>
          <w:lang w:eastAsia="en-AU"/>
        </w:rPr>
        <w:t>Change in out-of-pocket ex</w:t>
      </w:r>
      <w:r w:rsidR="00B54111">
        <w:rPr>
          <w:i/>
          <w:iCs/>
          <w:lang w:eastAsia="en-AU"/>
        </w:rPr>
        <w:t>penses related to PL items,</w:t>
      </w:r>
      <w:r w:rsidR="001A5125" w:rsidRPr="001A5125">
        <w:rPr>
          <w:lang w:eastAsia="en-AU"/>
        </w:rPr>
        <w:t xml:space="preserve"> aims to track</w:t>
      </w:r>
      <w:r w:rsidR="00FF3DE9">
        <w:rPr>
          <w:lang w:eastAsia="en-AU"/>
        </w:rPr>
        <w:t xml:space="preserve"> the volume and size of </w:t>
      </w:r>
      <w:r w:rsidR="00BD35B7">
        <w:rPr>
          <w:lang w:eastAsia="en-AU"/>
        </w:rPr>
        <w:t>out-of-pocket expense</w:t>
      </w:r>
      <w:r w:rsidR="00FF3DE9">
        <w:rPr>
          <w:lang w:eastAsia="en-AU"/>
        </w:rPr>
        <w:t>s</w:t>
      </w:r>
      <w:r w:rsidR="001C4766">
        <w:rPr>
          <w:lang w:eastAsia="en-AU"/>
        </w:rPr>
        <w:t xml:space="preserve"> paid for PL items by appropriately insured Australians. </w:t>
      </w:r>
      <w:r w:rsidR="00A77E38">
        <w:rPr>
          <w:lang w:eastAsia="en-AU"/>
        </w:rPr>
        <w:t xml:space="preserve">If </w:t>
      </w:r>
      <w:r w:rsidR="00AB4977">
        <w:rPr>
          <w:lang w:eastAsia="en-AU"/>
        </w:rPr>
        <w:t>the PL reforms</w:t>
      </w:r>
      <w:r w:rsidR="00A77E38">
        <w:rPr>
          <w:lang w:eastAsia="en-AU"/>
        </w:rPr>
        <w:t xml:space="preserve"> </w:t>
      </w:r>
      <w:r w:rsidR="00AB4977">
        <w:rPr>
          <w:lang w:eastAsia="en-AU"/>
        </w:rPr>
        <w:t>are</w:t>
      </w:r>
      <w:r w:rsidR="00A77E38">
        <w:rPr>
          <w:lang w:eastAsia="en-AU"/>
        </w:rPr>
        <w:t xml:space="preserve"> achieving</w:t>
      </w:r>
      <w:r w:rsidR="006F4A3E">
        <w:rPr>
          <w:lang w:eastAsia="en-AU"/>
        </w:rPr>
        <w:t xml:space="preserve"> their</w:t>
      </w:r>
      <w:r w:rsidR="00A77E38">
        <w:rPr>
          <w:lang w:eastAsia="en-AU"/>
        </w:rPr>
        <w:t xml:space="preserve"> expected outcomes, we expect to see </w:t>
      </w:r>
      <w:r w:rsidR="0076012C">
        <w:rPr>
          <w:lang w:eastAsia="en-AU"/>
        </w:rPr>
        <w:t>out-</w:t>
      </w:r>
      <w:r w:rsidR="004E7907">
        <w:rPr>
          <w:lang w:eastAsia="en-AU"/>
        </w:rPr>
        <w:t>of-pocket expenses</w:t>
      </w:r>
      <w:r w:rsidR="00A77E38">
        <w:rPr>
          <w:lang w:eastAsia="en-AU"/>
        </w:rPr>
        <w:t xml:space="preserve"> remain constan</w:t>
      </w:r>
      <w:r w:rsidR="002554F8">
        <w:rPr>
          <w:lang w:eastAsia="en-AU"/>
        </w:rPr>
        <w:t>t, with very minimal</w:t>
      </w:r>
      <w:r w:rsidR="00621E34">
        <w:rPr>
          <w:lang w:eastAsia="en-AU"/>
        </w:rPr>
        <w:t>, if any,</w:t>
      </w:r>
      <w:r w:rsidR="002554F8">
        <w:rPr>
          <w:lang w:eastAsia="en-AU"/>
        </w:rPr>
        <w:t xml:space="preserve"> </w:t>
      </w:r>
      <w:r w:rsidR="00621E34">
        <w:rPr>
          <w:lang w:eastAsia="en-AU"/>
        </w:rPr>
        <w:t>change</w:t>
      </w:r>
      <w:r w:rsidR="002554F8">
        <w:rPr>
          <w:lang w:eastAsia="en-AU"/>
        </w:rPr>
        <w:t xml:space="preserve"> to the</w:t>
      </w:r>
      <w:r w:rsidR="004E7907">
        <w:rPr>
          <w:lang w:eastAsia="en-AU"/>
        </w:rPr>
        <w:t>ir</w:t>
      </w:r>
      <w:r w:rsidR="002554F8">
        <w:rPr>
          <w:lang w:eastAsia="en-AU"/>
        </w:rPr>
        <w:t xml:space="preserve"> </w:t>
      </w:r>
      <w:r w:rsidR="00621E34">
        <w:rPr>
          <w:lang w:eastAsia="en-AU"/>
        </w:rPr>
        <w:t>frequency</w:t>
      </w:r>
      <w:r w:rsidR="002554F8">
        <w:rPr>
          <w:lang w:eastAsia="en-AU"/>
        </w:rPr>
        <w:t xml:space="preserve"> </w:t>
      </w:r>
      <w:r w:rsidR="00621E34">
        <w:rPr>
          <w:lang w:eastAsia="en-AU"/>
        </w:rPr>
        <w:t>or their size</w:t>
      </w:r>
      <w:r w:rsidR="002554F8">
        <w:rPr>
          <w:lang w:eastAsia="en-AU"/>
        </w:rPr>
        <w:t>.</w:t>
      </w:r>
      <w:r w:rsidR="00E07500">
        <w:rPr>
          <w:lang w:eastAsia="en-AU"/>
        </w:rPr>
        <w:t xml:space="preserve"> </w:t>
      </w:r>
      <w:r w:rsidR="002554F8">
        <w:rPr>
          <w:lang w:eastAsia="en-AU"/>
        </w:rPr>
        <w:t>This indicator will therefore look at:</w:t>
      </w:r>
    </w:p>
    <w:p w14:paraId="6D7533D2" w14:textId="6D8E15FC" w:rsidR="00F15F62" w:rsidRDefault="002F7FB0" w:rsidP="00B022B7">
      <w:pPr>
        <w:pStyle w:val="NewListBulletPoint"/>
        <w:numPr>
          <w:ilvl w:val="0"/>
          <w:numId w:val="24"/>
        </w:numPr>
      </w:pPr>
      <w:r>
        <w:t xml:space="preserve">The prevalence of </w:t>
      </w:r>
      <w:r w:rsidR="00A24B52">
        <w:t>out-of-pocket expenses</w:t>
      </w:r>
      <w:r>
        <w:t xml:space="preserve"> </w:t>
      </w:r>
      <w:r w:rsidR="00257198">
        <w:t>for PL-listed items</w:t>
      </w:r>
    </w:p>
    <w:p w14:paraId="16A60ABE" w14:textId="6DC303C9" w:rsidR="00772CCC" w:rsidRPr="00C9204D" w:rsidRDefault="00257198" w:rsidP="00B022B7">
      <w:pPr>
        <w:pStyle w:val="NewListBulletPoint"/>
        <w:numPr>
          <w:ilvl w:val="0"/>
          <w:numId w:val="24"/>
        </w:numPr>
      </w:pPr>
      <w:r>
        <w:t xml:space="preserve">The average </w:t>
      </w:r>
      <w:r w:rsidR="00A24B52">
        <w:t>out-of-pocket expense</w:t>
      </w:r>
      <w:r>
        <w:t xml:space="preserve"> for PL-listed items</w:t>
      </w:r>
      <w:r w:rsidR="000B0E16">
        <w:t>.</w:t>
      </w:r>
    </w:p>
    <w:p w14:paraId="0A413BAA" w14:textId="2FC7A5F7" w:rsidR="005356B4" w:rsidRPr="005356B4" w:rsidRDefault="00C9541C" w:rsidP="005356B4">
      <w:pPr>
        <w:pStyle w:val="Heading2"/>
      </w:pPr>
      <w:bookmarkStart w:id="35" w:name="_Ref159168037"/>
      <w:bookmarkStart w:id="36" w:name="_Toc179453680"/>
      <w:r w:rsidRPr="3787E91E">
        <w:lastRenderedPageBreak/>
        <w:t xml:space="preserve">Objective </w:t>
      </w:r>
      <w:r w:rsidR="003D52CC" w:rsidRPr="3787E91E">
        <w:t>3</w:t>
      </w:r>
      <w:r w:rsidRPr="3787E91E">
        <w:t xml:space="preserve">: Maintain </w:t>
      </w:r>
      <w:r w:rsidR="005356B4" w:rsidRPr="3787E91E">
        <w:t xml:space="preserve">clinician choice of appropriate prostheses for their </w:t>
      </w:r>
      <w:proofErr w:type="gramStart"/>
      <w:r w:rsidR="005356B4" w:rsidRPr="3787E91E">
        <w:t>patients</w:t>
      </w:r>
      <w:bookmarkEnd w:id="35"/>
      <w:bookmarkEnd w:id="36"/>
      <w:proofErr w:type="gramEnd"/>
    </w:p>
    <w:p w14:paraId="3EB79C1A" w14:textId="283D9456" w:rsidR="00324C72" w:rsidRPr="00324C72" w:rsidRDefault="00324C72" w:rsidP="00324C72">
      <w:pPr>
        <w:pStyle w:val="Caption"/>
        <w:rPr>
          <w:lang w:eastAsia="en-AU"/>
        </w:rPr>
      </w:pPr>
      <w:r>
        <w:t xml:space="preserve">Figure </w:t>
      </w:r>
      <w:r>
        <w:fldChar w:fldCharType="begin"/>
      </w:r>
      <w:r>
        <w:instrText xml:space="preserve"> SEQ Figure \* ARABIC </w:instrText>
      </w:r>
      <w:r>
        <w:fldChar w:fldCharType="separate"/>
      </w:r>
      <w:r w:rsidR="00026714">
        <w:rPr>
          <w:noProof/>
        </w:rPr>
        <w:t>9</w:t>
      </w:r>
      <w:r>
        <w:fldChar w:fldCharType="end"/>
      </w:r>
      <w:r>
        <w:t xml:space="preserve"> | Reform </w:t>
      </w:r>
      <w:r w:rsidR="00C05F06">
        <w:t>projects</w:t>
      </w:r>
      <w:r>
        <w:t xml:space="preserve"> related to reform objective </w:t>
      </w:r>
      <w:proofErr w:type="gramStart"/>
      <w:r w:rsidR="00227CE1">
        <w:t>3</w:t>
      </w:r>
      <w:proofErr w:type="gramEnd"/>
    </w:p>
    <w:p w14:paraId="719EAE9C" w14:textId="74309337" w:rsidR="00A70DFA" w:rsidRPr="00A70DFA" w:rsidRDefault="00C05F06" w:rsidP="00A70DFA">
      <w:pPr>
        <w:rPr>
          <w:lang w:eastAsia="en-AU"/>
        </w:rPr>
      </w:pPr>
      <w:r w:rsidRPr="00C05F06">
        <w:rPr>
          <w:noProof/>
          <w:lang w:eastAsia="en-AU"/>
        </w:rPr>
        <w:drawing>
          <wp:inline distT="0" distB="0" distL="0" distR="0" wp14:anchorId="068C972D" wp14:editId="5907A116">
            <wp:extent cx="5670550" cy="1450975"/>
            <wp:effectExtent l="0" t="0" r="6350" b="0"/>
            <wp:docPr id="2044549995" name="Picture 1" descr="A figure showing reform objective 3. Maintain clinician choice is maintain baseline policy position. Objective 3 is also connected with a dotted line to benefit re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49995" name="Picture 1" descr="A figure showing reform objective 3. Maintain clinician choice is maintain baseline policy position. Objective 3 is also connected with a dotted line to benefit reductions."/>
                    <pic:cNvPicPr/>
                  </pic:nvPicPr>
                  <pic:blipFill>
                    <a:blip r:embed="rId35"/>
                    <a:stretch>
                      <a:fillRect/>
                    </a:stretch>
                  </pic:blipFill>
                  <pic:spPr>
                    <a:xfrm>
                      <a:off x="0" y="0"/>
                      <a:ext cx="5670550" cy="1450975"/>
                    </a:xfrm>
                    <a:prstGeom prst="rect">
                      <a:avLst/>
                    </a:prstGeom>
                  </pic:spPr>
                </pic:pic>
              </a:graphicData>
            </a:graphic>
          </wp:inline>
        </w:drawing>
      </w:r>
    </w:p>
    <w:p w14:paraId="4E767DAC" w14:textId="6975CD26" w:rsidR="00821F98" w:rsidRDefault="00821F98" w:rsidP="00AB7FE4">
      <w:pPr>
        <w:pStyle w:val="Heading3"/>
        <w:spacing w:before="400"/>
      </w:pPr>
      <w:bookmarkStart w:id="37" w:name="_Ref159091455"/>
      <w:r>
        <w:t>Baseline position</w:t>
      </w:r>
    </w:p>
    <w:p w14:paraId="064BB2E1" w14:textId="62F1CC36" w:rsidR="00821F98" w:rsidRDefault="00200D18" w:rsidP="00200D18">
      <w:pPr>
        <w:pStyle w:val="Heading4"/>
      </w:pPr>
      <w:r w:rsidRPr="3787E91E">
        <w:t xml:space="preserve">Ensuring access to the most appropriate medical devices is a key </w:t>
      </w:r>
      <w:r w:rsidR="003B0C98" w:rsidRPr="3787E91E">
        <w:t xml:space="preserve">feature of </w:t>
      </w:r>
      <w:r w:rsidR="00226399" w:rsidRPr="3787E91E">
        <w:t xml:space="preserve">the </w:t>
      </w:r>
      <w:proofErr w:type="gramStart"/>
      <w:r w:rsidR="00226399" w:rsidRPr="3787E91E">
        <w:t>PL</w:t>
      </w:r>
      <w:proofErr w:type="gramEnd"/>
    </w:p>
    <w:p w14:paraId="0D8A4112" w14:textId="0AF434CA" w:rsidR="00BC2C47" w:rsidRDefault="6DA5640A" w:rsidP="00226399">
      <w:r>
        <w:t>T</w:t>
      </w:r>
      <w:r w:rsidR="007077E1">
        <w:t>he PL was established to ensure that privately insured Australians c</w:t>
      </w:r>
      <w:r w:rsidR="009F31F9">
        <w:t>an</w:t>
      </w:r>
      <w:r w:rsidR="007077E1">
        <w:t xml:space="preserve"> access </w:t>
      </w:r>
      <w:r w:rsidR="006C00F8">
        <w:t>the</w:t>
      </w:r>
      <w:r w:rsidR="00C12C4D">
        <w:t xml:space="preserve"> medical devices that </w:t>
      </w:r>
      <w:r w:rsidR="009F31F9">
        <w:t>are</w:t>
      </w:r>
      <w:r w:rsidR="00781DAF">
        <w:t xml:space="preserve"> the most appropriate</w:t>
      </w:r>
      <w:r w:rsidR="00E72F4B">
        <w:t xml:space="preserve"> for </w:t>
      </w:r>
      <w:r w:rsidR="007305E5">
        <w:t>their needs</w:t>
      </w:r>
      <w:r w:rsidR="00F44634">
        <w:t xml:space="preserve">. </w:t>
      </w:r>
      <w:r w:rsidR="00A74309">
        <w:t>For</w:t>
      </w:r>
      <w:r w:rsidR="009B515B">
        <w:t xml:space="preserve"> this to be the case, it is essential that clinicians </w:t>
      </w:r>
      <w:r w:rsidR="00781DAF">
        <w:t>have freedom of choice to select the device that they deem to be clinically indicated.</w:t>
      </w:r>
      <w:r w:rsidR="008A1742">
        <w:t xml:space="preserve"> </w:t>
      </w:r>
      <w:r w:rsidR="00E9385D" w:rsidRPr="0BCC15EA">
        <w:t xml:space="preserve">The PL provides clinicians with </w:t>
      </w:r>
      <w:r w:rsidR="00C664B5">
        <w:t>this freedom of choice by</w:t>
      </w:r>
      <w:r w:rsidR="00BC2C47">
        <w:t>:</w:t>
      </w:r>
    </w:p>
    <w:p w14:paraId="04E8CCAE" w14:textId="779C45B9" w:rsidR="00732B3D" w:rsidRPr="00B022B7" w:rsidRDefault="00BC2C47" w:rsidP="00B022B7">
      <w:pPr>
        <w:pStyle w:val="Bullet"/>
      </w:pPr>
      <w:r w:rsidRPr="3787E91E">
        <w:t xml:space="preserve">Having </w:t>
      </w:r>
      <w:r w:rsidR="00E358E3" w:rsidRPr="3787E91E">
        <w:t xml:space="preserve">all devices </w:t>
      </w:r>
      <w:r w:rsidR="008C7F42" w:rsidRPr="3787E91E">
        <w:t>(</w:t>
      </w:r>
      <w:r w:rsidR="00E358E3" w:rsidRPr="3787E91E">
        <w:t xml:space="preserve">that are deemed to be </w:t>
      </w:r>
      <w:r w:rsidR="00732B3D" w:rsidRPr="3787E91E">
        <w:t>safe for use</w:t>
      </w:r>
      <w:r w:rsidR="008C7F42" w:rsidRPr="3787E91E">
        <w:t>)</w:t>
      </w:r>
      <w:r w:rsidR="00732B3D" w:rsidRPr="3787E91E">
        <w:t xml:space="preserve"> able to be listed on the PL,</w:t>
      </w:r>
      <w:r w:rsidR="00A02492" w:rsidRPr="3787E91E">
        <w:t xml:space="preserve"> and</w:t>
      </w:r>
    </w:p>
    <w:p w14:paraId="17434BD8" w14:textId="4CC2A7B9" w:rsidR="003944FA" w:rsidRPr="00B022B7" w:rsidRDefault="00732B3D" w:rsidP="00B022B7">
      <w:pPr>
        <w:pStyle w:val="Bullet"/>
      </w:pPr>
      <w:r w:rsidRPr="00B022B7">
        <w:t xml:space="preserve">Ensuring that </w:t>
      </w:r>
      <w:r w:rsidR="00DB1501" w:rsidRPr="00B022B7">
        <w:t xml:space="preserve">any device </w:t>
      </w:r>
      <w:r w:rsidR="00035ACB" w:rsidRPr="00B022B7">
        <w:t xml:space="preserve">listed on the PL </w:t>
      </w:r>
      <w:r w:rsidR="00DB1501" w:rsidRPr="00B022B7">
        <w:t>can be paid for</w:t>
      </w:r>
      <w:r w:rsidR="00AD76E0" w:rsidRPr="00B022B7">
        <w:t xml:space="preserve">, </w:t>
      </w:r>
      <w:r w:rsidR="00310E9A" w:rsidRPr="00B022B7">
        <w:t xml:space="preserve">as the </w:t>
      </w:r>
      <w:r w:rsidR="007C4BC3" w:rsidRPr="00B022B7">
        <w:t xml:space="preserve">scheduled benefit </w:t>
      </w:r>
      <w:r w:rsidR="009E64CC" w:rsidRPr="00B022B7">
        <w:t>will cover the device cost</w:t>
      </w:r>
      <w:r w:rsidR="00A02492" w:rsidRPr="00B022B7">
        <w:t>.</w:t>
      </w:r>
    </w:p>
    <w:p w14:paraId="79BABC36" w14:textId="3A98F0A0" w:rsidR="00226399" w:rsidRPr="00226399" w:rsidRDefault="00173052" w:rsidP="00226399">
      <w:r>
        <w:t xml:space="preserve">In total, if these hold, then </w:t>
      </w:r>
      <w:r w:rsidR="003B708D">
        <w:t xml:space="preserve">it logically follows that clinicians will have freedom of choice to select the device </w:t>
      </w:r>
      <w:r w:rsidR="007A5A98">
        <w:t xml:space="preserve">which is </w:t>
      </w:r>
      <w:r w:rsidR="00A93A85">
        <w:t>most clinically appropriate</w:t>
      </w:r>
      <w:r w:rsidR="007A5A98">
        <w:t>.</w:t>
      </w:r>
      <w:r w:rsidR="00E9385D" w:rsidRPr="0BCC15EA">
        <w:rPr>
          <w:rStyle w:val="FootnoteReference"/>
        </w:rPr>
        <w:footnoteReference w:id="48"/>
      </w:r>
    </w:p>
    <w:bookmarkEnd w:id="37"/>
    <w:p w14:paraId="67EAE6DB" w14:textId="4D0E1370" w:rsidR="0081051C" w:rsidRPr="00226399" w:rsidRDefault="0081051C" w:rsidP="00226399">
      <w:r w:rsidRPr="0081051C">
        <w:t xml:space="preserve">While the PL enables choice not to be constrained, there </w:t>
      </w:r>
      <w:r w:rsidR="00050A42" w:rsidRPr="0081051C">
        <w:t>remains</w:t>
      </w:r>
      <w:r w:rsidRPr="0081051C">
        <w:t xml:space="preserve"> influences on clinicians' selection of devices. Private hospitals, often in consultation with clinicians, enter supply arrangements with select sponsors, effectively making a subset of PL items available for clinicians to choose from. Consignment arrangements are commonplace in private hospitals, which further creates barriers to clinicians’ ability to choose any item listed on the PL. </w:t>
      </w:r>
    </w:p>
    <w:p w14:paraId="32C67331" w14:textId="21DA5F96" w:rsidR="0081051C" w:rsidRPr="00226399" w:rsidRDefault="0081051C" w:rsidP="00226399">
      <w:r w:rsidRPr="0081051C">
        <w:t>The PL</w:t>
      </w:r>
      <w:r w:rsidR="00DA4725">
        <w:t xml:space="preserve"> separates the payment of the cost of the device from the patient and clinician, removing</w:t>
      </w:r>
      <w:r w:rsidR="00763762">
        <w:t xml:space="preserve"> any</w:t>
      </w:r>
      <w:r w:rsidR="00DA4725">
        <w:t xml:space="preserve"> incentive to compromise on device selection for reasons of price. It</w:t>
      </w:r>
      <w:r w:rsidRPr="0081051C">
        <w:t xml:space="preserve"> does not</w:t>
      </w:r>
      <w:r w:rsidR="00DA4725">
        <w:t>, however,</w:t>
      </w:r>
      <w:r w:rsidRPr="0081051C">
        <w:t xml:space="preserve"> have a way to remove financial incentive from the procurement</w:t>
      </w:r>
      <w:r w:rsidR="00DA4725">
        <w:t xml:space="preserve"> and negotiation</w:t>
      </w:r>
      <w:r w:rsidRPr="0081051C">
        <w:t xml:space="preserve"> process</w:t>
      </w:r>
      <w:r w:rsidR="00DA4725">
        <w:t xml:space="preserve"> between private </w:t>
      </w:r>
      <w:r w:rsidR="00A02492">
        <w:t>practices and device suppliers</w:t>
      </w:r>
      <w:r w:rsidRPr="0081051C">
        <w:t>.</w:t>
      </w:r>
    </w:p>
    <w:p w14:paraId="54B44E67" w14:textId="1D0300FE" w:rsidR="00C9541C" w:rsidRDefault="00821F98" w:rsidP="00AB7FE4">
      <w:pPr>
        <w:pStyle w:val="Heading3"/>
        <w:spacing w:before="400"/>
      </w:pPr>
      <w:r>
        <w:t>Rationale for reform</w:t>
      </w:r>
    </w:p>
    <w:p w14:paraId="6B59F6B7" w14:textId="6577E8F3" w:rsidR="00A93A85" w:rsidRDefault="00E54662" w:rsidP="00A93A85">
      <w:pPr>
        <w:pStyle w:val="Heading4"/>
      </w:pPr>
      <w:r w:rsidRPr="3787E91E">
        <w:t xml:space="preserve">This objective is important to ensure that the PL continues to be able to </w:t>
      </w:r>
      <w:r w:rsidR="00BE5B53" w:rsidRPr="3787E91E">
        <w:t xml:space="preserve">fulfill its core </w:t>
      </w:r>
      <w:proofErr w:type="gramStart"/>
      <w:r w:rsidR="00BE5B53" w:rsidRPr="3787E91E">
        <w:t>function</w:t>
      </w:r>
      <w:proofErr w:type="gramEnd"/>
    </w:p>
    <w:p w14:paraId="76AA1F88" w14:textId="4EEF64DE" w:rsidR="00DA350E" w:rsidRPr="00DE5C44" w:rsidRDefault="009447F2" w:rsidP="00DE5C44">
      <w:proofErr w:type="gramStart"/>
      <w:r>
        <w:t>Similar to</w:t>
      </w:r>
      <w:proofErr w:type="gramEnd"/>
      <w:r>
        <w:t xml:space="preserve"> </w:t>
      </w:r>
      <w:r w:rsidR="00703F30">
        <w:t>o</w:t>
      </w:r>
      <w:r>
        <w:t>bjective 2, this objective is intended to ensure the preservation of an existing, and fundamental</w:t>
      </w:r>
      <w:r w:rsidR="009C090E">
        <w:t xml:space="preserve">, feature of the PL. </w:t>
      </w:r>
      <w:r w:rsidR="007D47F2">
        <w:t>Maintaining c</w:t>
      </w:r>
      <w:r w:rsidR="00603909">
        <w:t>linician choice of d</w:t>
      </w:r>
      <w:r w:rsidR="00AF2C7D">
        <w:t xml:space="preserve">evice is </w:t>
      </w:r>
      <w:r w:rsidR="007D47F2">
        <w:t xml:space="preserve">essential for ensuring that the PL reforms do not </w:t>
      </w:r>
      <w:r w:rsidR="007D47F2">
        <w:lastRenderedPageBreak/>
        <w:t xml:space="preserve">undermine the key </w:t>
      </w:r>
      <w:r w:rsidR="000E36DD">
        <w:t xml:space="preserve">functionality of the PL in </w:t>
      </w:r>
      <w:r w:rsidR="00F23E19">
        <w:t>providing privately insured Australians guaranteed access to appropriate medical devices.</w:t>
      </w:r>
      <w:r w:rsidR="00C02E0C" w:rsidRPr="0BCC15EA">
        <w:rPr>
          <w:rStyle w:val="FootnoteReference"/>
        </w:rPr>
        <w:footnoteReference w:id="49"/>
      </w:r>
    </w:p>
    <w:p w14:paraId="2430A973" w14:textId="53AB8027" w:rsidR="00C9541C" w:rsidRDefault="00C9541C" w:rsidP="00AB7FE4">
      <w:pPr>
        <w:pStyle w:val="Heading3"/>
        <w:spacing w:before="400"/>
      </w:pPr>
      <w:r>
        <w:t>How the reform</w:t>
      </w:r>
      <w:r w:rsidR="002A2024">
        <w:t>s</w:t>
      </w:r>
      <w:r>
        <w:t xml:space="preserve"> intend to achieve this objective</w:t>
      </w:r>
    </w:p>
    <w:p w14:paraId="42C626D8" w14:textId="376CFD5B" w:rsidR="00977C23" w:rsidRDefault="00167E1B" w:rsidP="00977C23">
      <w:pPr>
        <w:pStyle w:val="Heading4"/>
      </w:pPr>
      <w:r w:rsidRPr="3787E91E">
        <w:t xml:space="preserve">The implementation of </w:t>
      </w:r>
      <w:r w:rsidR="00592DA2" w:rsidRPr="3787E91E">
        <w:t>each project within the PL reforms</w:t>
      </w:r>
      <w:r w:rsidR="00C952CE" w:rsidRPr="3787E91E">
        <w:t xml:space="preserve"> is </w:t>
      </w:r>
      <w:r w:rsidR="00E47114" w:rsidRPr="3787E91E">
        <w:t xml:space="preserve">designed to not impact clinician choice of </w:t>
      </w:r>
      <w:proofErr w:type="gramStart"/>
      <w:r w:rsidR="00E47114" w:rsidRPr="3787E91E">
        <w:t>devices</w:t>
      </w:r>
      <w:proofErr w:type="gramEnd"/>
      <w:r w:rsidRPr="3787E91E">
        <w:t xml:space="preserve"> </w:t>
      </w:r>
      <w:r w:rsidR="00977C23" w:rsidRPr="3787E91E">
        <w:t xml:space="preserve"> </w:t>
      </w:r>
    </w:p>
    <w:p w14:paraId="70D3E3A1" w14:textId="5A85638B" w:rsidR="00AB7FE4" w:rsidRDefault="00977C23" w:rsidP="21E6455B">
      <w:pPr>
        <w:rPr>
          <w:lang w:eastAsia="en-AU"/>
        </w:rPr>
      </w:pPr>
      <w:r>
        <w:rPr>
          <w:lang w:eastAsia="en-AU"/>
        </w:rPr>
        <w:t>There are no</w:t>
      </w:r>
      <w:r w:rsidR="002C51AC">
        <w:rPr>
          <w:lang w:eastAsia="en-AU"/>
        </w:rPr>
        <w:t xml:space="preserve"> projects within the PL reforms</w:t>
      </w:r>
      <w:r w:rsidRPr="00DF04AD">
        <w:rPr>
          <w:lang w:eastAsia="en-AU"/>
        </w:rPr>
        <w:t xml:space="preserve"> that are being implemented solely for the purpose of this objective</w:t>
      </w:r>
      <w:r>
        <w:rPr>
          <w:lang w:eastAsia="en-AU"/>
        </w:rPr>
        <w:t>, rather this objective will be maintained as a matter o</w:t>
      </w:r>
      <w:r w:rsidR="005807D7">
        <w:rPr>
          <w:lang w:eastAsia="en-AU"/>
        </w:rPr>
        <w:t>f</w:t>
      </w:r>
      <w:r>
        <w:rPr>
          <w:lang w:eastAsia="en-AU"/>
        </w:rPr>
        <w:t xml:space="preserve"> priority throughout PL reform. </w:t>
      </w:r>
    </w:p>
    <w:p w14:paraId="3668A2CE" w14:textId="10F0615D" w:rsidR="00977C23" w:rsidRDefault="00B97C76" w:rsidP="21E6455B">
      <w:pPr>
        <w:rPr>
          <w:lang w:eastAsia="en-AU"/>
        </w:rPr>
      </w:pPr>
      <w:r>
        <w:rPr>
          <w:lang w:eastAsia="en-AU"/>
        </w:rPr>
        <w:t>The benefit reduction exercise has been designed with the intention that benefits remain at or above the</w:t>
      </w:r>
      <w:r w:rsidR="00DE01E6">
        <w:rPr>
          <w:lang w:eastAsia="en-AU"/>
        </w:rPr>
        <w:t xml:space="preserve"> price of the device</w:t>
      </w:r>
      <w:r w:rsidR="0020049A">
        <w:rPr>
          <w:lang w:eastAsia="en-AU"/>
        </w:rPr>
        <w:t xml:space="preserve">. </w:t>
      </w:r>
      <w:r w:rsidR="00EE16EA">
        <w:rPr>
          <w:lang w:eastAsia="en-AU"/>
        </w:rPr>
        <w:t xml:space="preserve">Provided this is maintained, and benefit levels are sufficient to cover the costs of the devices, there should be no impact on clinician choice from the reforms. </w:t>
      </w:r>
    </w:p>
    <w:p w14:paraId="46CCFB38" w14:textId="154A07F1" w:rsidR="00977C23" w:rsidRDefault="00222576" w:rsidP="00977C23">
      <w:pPr>
        <w:rPr>
          <w:lang w:eastAsia="en-AU"/>
        </w:rPr>
      </w:pPr>
      <w:r>
        <w:rPr>
          <w:lang w:eastAsia="en-AU"/>
        </w:rPr>
        <w:t xml:space="preserve">Other reform </w:t>
      </w:r>
      <w:r w:rsidR="00F444DB">
        <w:rPr>
          <w:lang w:eastAsia="en-AU"/>
        </w:rPr>
        <w:t>projects</w:t>
      </w:r>
      <w:r>
        <w:rPr>
          <w:lang w:eastAsia="en-AU"/>
        </w:rPr>
        <w:t>, notably the</w:t>
      </w:r>
      <w:r w:rsidR="00EE16EA">
        <w:rPr>
          <w:lang w:eastAsia="en-AU"/>
        </w:rPr>
        <w:t xml:space="preserve"> revised </w:t>
      </w:r>
      <w:r w:rsidR="00667AB7">
        <w:rPr>
          <w:lang w:eastAsia="en-AU"/>
        </w:rPr>
        <w:t>assessment processes</w:t>
      </w:r>
      <w:r w:rsidR="00C81C49">
        <w:rPr>
          <w:lang w:eastAsia="en-AU"/>
        </w:rPr>
        <w:t>,</w:t>
      </w:r>
      <w:r>
        <w:rPr>
          <w:lang w:eastAsia="en-AU"/>
        </w:rPr>
        <w:t xml:space="preserve"> re-structuring,</w:t>
      </w:r>
      <w:r w:rsidR="00C81C49">
        <w:rPr>
          <w:lang w:eastAsia="en-AU"/>
        </w:rPr>
        <w:t xml:space="preserve"> post-listing review</w:t>
      </w:r>
      <w:r w:rsidR="007869DD">
        <w:rPr>
          <w:lang w:eastAsia="en-AU"/>
        </w:rPr>
        <w:t>s</w:t>
      </w:r>
      <w:r w:rsidR="00C81C49">
        <w:rPr>
          <w:lang w:eastAsia="en-AU"/>
        </w:rPr>
        <w:t xml:space="preserve"> and compliance </w:t>
      </w:r>
      <w:r w:rsidR="007869DD">
        <w:rPr>
          <w:lang w:eastAsia="en-AU"/>
        </w:rPr>
        <w:t>frameworks</w:t>
      </w:r>
      <w:r w:rsidR="00667AB7">
        <w:rPr>
          <w:lang w:eastAsia="en-AU"/>
        </w:rPr>
        <w:t xml:space="preserve"> </w:t>
      </w:r>
      <w:r w:rsidR="00C81C49">
        <w:rPr>
          <w:lang w:eastAsia="en-AU"/>
        </w:rPr>
        <w:t>have been de</w:t>
      </w:r>
      <w:r w:rsidR="00B51009">
        <w:rPr>
          <w:lang w:eastAsia="en-AU"/>
        </w:rPr>
        <w:t>signed</w:t>
      </w:r>
      <w:r w:rsidR="00C81C49">
        <w:rPr>
          <w:lang w:eastAsia="en-AU"/>
        </w:rPr>
        <w:t xml:space="preserve"> with the intention that they do not reduce the </w:t>
      </w:r>
      <w:r w:rsidR="007869DD">
        <w:rPr>
          <w:lang w:eastAsia="en-AU"/>
        </w:rPr>
        <w:t xml:space="preserve">ability for </w:t>
      </w:r>
      <w:r w:rsidR="006D46E3">
        <w:rPr>
          <w:lang w:eastAsia="en-AU"/>
        </w:rPr>
        <w:t>appropriate devices to be listed on the PL.</w:t>
      </w:r>
      <w:r w:rsidR="00644C71">
        <w:rPr>
          <w:lang w:eastAsia="en-AU"/>
        </w:rPr>
        <w:t xml:space="preserve"> They are intended to</w:t>
      </w:r>
      <w:r w:rsidR="0002335B">
        <w:rPr>
          <w:lang w:eastAsia="en-AU"/>
        </w:rPr>
        <w:t xml:space="preserve"> only</w:t>
      </w:r>
      <w:r w:rsidR="00644C71">
        <w:rPr>
          <w:lang w:eastAsia="en-AU"/>
        </w:rPr>
        <w:t xml:space="preserve"> remove, or prevent the inclusion of, devices that ar</w:t>
      </w:r>
      <w:r w:rsidR="003E266C">
        <w:rPr>
          <w:lang w:eastAsia="en-AU"/>
        </w:rPr>
        <w:t xml:space="preserve">e inappropriate for </w:t>
      </w:r>
      <w:r w:rsidR="00D26721">
        <w:rPr>
          <w:lang w:eastAsia="en-AU"/>
        </w:rPr>
        <w:t>listing</w:t>
      </w:r>
      <w:r w:rsidR="003E266C">
        <w:rPr>
          <w:lang w:eastAsia="en-AU"/>
        </w:rPr>
        <w:t xml:space="preserve"> on the PL.</w:t>
      </w:r>
      <w:r w:rsidR="00D26721">
        <w:rPr>
          <w:lang w:eastAsia="en-AU"/>
        </w:rPr>
        <w:t xml:space="preserve"> The </w:t>
      </w:r>
      <w:r w:rsidR="009F396C" w:rsidRPr="008F2253">
        <w:rPr>
          <w:lang w:eastAsia="en-AU"/>
        </w:rPr>
        <w:t>PLRT</w:t>
      </w:r>
      <w:r w:rsidR="00D26721">
        <w:rPr>
          <w:lang w:eastAsia="en-AU"/>
        </w:rPr>
        <w:t xml:space="preserve"> have indicated that they will </w:t>
      </w:r>
      <w:r w:rsidR="009F0E0D">
        <w:rPr>
          <w:lang w:eastAsia="en-AU"/>
        </w:rPr>
        <w:t xml:space="preserve">take </w:t>
      </w:r>
      <w:r w:rsidR="00452CFF">
        <w:rPr>
          <w:lang w:eastAsia="en-AU"/>
        </w:rPr>
        <w:t xml:space="preserve">consideration of any impacts on clinician choice </w:t>
      </w:r>
      <w:r w:rsidR="00615A78">
        <w:rPr>
          <w:lang w:eastAsia="en-AU"/>
        </w:rPr>
        <w:t xml:space="preserve">into account in the implementation of all reform </w:t>
      </w:r>
      <w:r w:rsidR="00F444DB">
        <w:rPr>
          <w:lang w:eastAsia="en-AU"/>
        </w:rPr>
        <w:t>projects</w:t>
      </w:r>
      <w:r w:rsidR="00615A78">
        <w:rPr>
          <w:lang w:eastAsia="en-AU"/>
        </w:rPr>
        <w:t>.</w:t>
      </w:r>
    </w:p>
    <w:p w14:paraId="79E1670F" w14:textId="0FE9EBFF" w:rsidR="00C9541C" w:rsidRDefault="003D0F9D" w:rsidP="00AB7FE4">
      <w:pPr>
        <w:pStyle w:val="Heading3"/>
        <w:spacing w:before="400"/>
      </w:pPr>
      <w:r>
        <w:t>How this will be evaluated</w:t>
      </w:r>
    </w:p>
    <w:p w14:paraId="6D0A30AD" w14:textId="5BA79AA9" w:rsidR="00C9541C" w:rsidRPr="00974105" w:rsidRDefault="002A232A" w:rsidP="00C9541C">
      <w:pPr>
        <w:pStyle w:val="Heading4"/>
      </w:pPr>
      <w:r>
        <w:t>In addition to assessing any potential impacts on clinician choice resulting from</w:t>
      </w:r>
      <w:r w:rsidR="006A4A76">
        <w:t xml:space="preserve"> specific</w:t>
      </w:r>
      <w:r>
        <w:t xml:space="preserve"> </w:t>
      </w:r>
      <w:r w:rsidR="00EF3E39">
        <w:t xml:space="preserve">reform </w:t>
      </w:r>
      <w:r w:rsidR="00F444DB">
        <w:t>projects</w:t>
      </w:r>
      <w:r w:rsidR="00353057">
        <w:t xml:space="preserve">, </w:t>
      </w:r>
      <w:r w:rsidR="00117365">
        <w:t>broader</w:t>
      </w:r>
      <w:r w:rsidR="007B67EE">
        <w:t xml:space="preserve"> </w:t>
      </w:r>
      <w:r w:rsidR="0045449F">
        <w:t xml:space="preserve">qualitative and quantitative evidence for changes in </w:t>
      </w:r>
      <w:r w:rsidR="00D8783B">
        <w:t>selection</w:t>
      </w:r>
      <w:r w:rsidR="00D008E4">
        <w:t xml:space="preserve"> behaviour</w:t>
      </w:r>
      <w:r w:rsidR="00D8783B">
        <w:t xml:space="preserve"> will also be </w:t>
      </w:r>
      <w:proofErr w:type="gramStart"/>
      <w:r w:rsidR="00F122B3">
        <w:t>examined</w:t>
      </w:r>
      <w:proofErr w:type="gramEnd"/>
    </w:p>
    <w:p w14:paraId="4E2216A6" w14:textId="18E61EA9" w:rsidR="00F42FEE" w:rsidRDefault="00E704AB" w:rsidP="004104EF">
      <w:pPr>
        <w:rPr>
          <w:lang w:eastAsia="en-AU"/>
        </w:rPr>
      </w:pPr>
      <w:r>
        <w:rPr>
          <w:lang w:eastAsia="en-AU"/>
        </w:rPr>
        <w:t xml:space="preserve">Any </w:t>
      </w:r>
      <w:r w:rsidR="00A84C83">
        <w:rPr>
          <w:lang w:eastAsia="en-AU"/>
        </w:rPr>
        <w:t>potential impacts on c</w:t>
      </w:r>
      <w:r w:rsidR="00EA0FAD">
        <w:rPr>
          <w:lang w:eastAsia="en-AU"/>
        </w:rPr>
        <w:t>linician choice will be monitored by</w:t>
      </w:r>
      <w:r w:rsidR="00AB2EFB">
        <w:rPr>
          <w:lang w:eastAsia="en-AU"/>
        </w:rPr>
        <w:t xml:space="preserve"> reviewi</w:t>
      </w:r>
      <w:r w:rsidR="005A09FF">
        <w:rPr>
          <w:lang w:eastAsia="en-AU"/>
        </w:rPr>
        <w:t xml:space="preserve">ng the </w:t>
      </w:r>
      <w:r w:rsidR="00D657AD">
        <w:rPr>
          <w:lang w:eastAsia="en-AU"/>
        </w:rPr>
        <w:t xml:space="preserve">implementation and documentation of reform </w:t>
      </w:r>
      <w:r w:rsidR="00F444DB">
        <w:rPr>
          <w:lang w:eastAsia="en-AU"/>
        </w:rPr>
        <w:t>projects</w:t>
      </w:r>
      <w:r w:rsidR="00C71DA7">
        <w:rPr>
          <w:lang w:eastAsia="en-AU"/>
        </w:rPr>
        <w:t xml:space="preserve"> </w:t>
      </w:r>
      <w:r w:rsidR="006E569F">
        <w:rPr>
          <w:lang w:eastAsia="en-AU"/>
        </w:rPr>
        <w:t xml:space="preserve">and </w:t>
      </w:r>
      <w:r>
        <w:rPr>
          <w:lang w:eastAsia="en-AU"/>
        </w:rPr>
        <w:t xml:space="preserve">conducting consultations </w:t>
      </w:r>
      <w:r w:rsidR="00D657AD">
        <w:rPr>
          <w:lang w:eastAsia="en-AU"/>
        </w:rPr>
        <w:t>across the sector</w:t>
      </w:r>
      <w:r w:rsidR="000B3160">
        <w:rPr>
          <w:lang w:eastAsia="en-AU"/>
        </w:rPr>
        <w:t>.</w:t>
      </w:r>
      <w:r w:rsidR="00476ADC">
        <w:rPr>
          <w:lang w:eastAsia="en-AU"/>
        </w:rPr>
        <w:t xml:space="preserve"> </w:t>
      </w:r>
      <w:r w:rsidR="00F22F46">
        <w:rPr>
          <w:lang w:eastAsia="en-AU"/>
        </w:rPr>
        <w:t xml:space="preserve">Engaging with clinicians </w:t>
      </w:r>
      <w:r w:rsidR="002F1713">
        <w:rPr>
          <w:lang w:eastAsia="en-AU"/>
        </w:rPr>
        <w:t xml:space="preserve">directly is an important </w:t>
      </w:r>
      <w:r w:rsidR="005762E7">
        <w:rPr>
          <w:lang w:eastAsia="en-AU"/>
        </w:rPr>
        <w:t>aspect of this approach</w:t>
      </w:r>
      <w:r w:rsidR="003809B8">
        <w:rPr>
          <w:lang w:eastAsia="en-AU"/>
        </w:rPr>
        <w:t>,</w:t>
      </w:r>
      <w:r w:rsidR="005762E7">
        <w:rPr>
          <w:lang w:eastAsia="en-AU"/>
        </w:rPr>
        <w:t xml:space="preserve"> to understand their perce</w:t>
      </w:r>
      <w:r w:rsidR="00686FDA">
        <w:rPr>
          <w:lang w:eastAsia="en-AU"/>
        </w:rPr>
        <w:t>ptions of choice</w:t>
      </w:r>
      <w:r w:rsidR="003809B8">
        <w:rPr>
          <w:lang w:eastAsia="en-AU"/>
        </w:rPr>
        <w:t xml:space="preserve"> and how</w:t>
      </w:r>
      <w:r w:rsidR="006F622F">
        <w:rPr>
          <w:lang w:eastAsia="en-AU"/>
        </w:rPr>
        <w:t>, if at all,</w:t>
      </w:r>
      <w:r w:rsidR="00476ADC">
        <w:rPr>
          <w:lang w:eastAsia="en-AU"/>
        </w:rPr>
        <w:t xml:space="preserve"> this</w:t>
      </w:r>
      <w:r w:rsidR="004A7235">
        <w:rPr>
          <w:lang w:eastAsia="en-AU"/>
        </w:rPr>
        <w:t xml:space="preserve"> has changed</w:t>
      </w:r>
      <w:r w:rsidR="005762E7">
        <w:rPr>
          <w:lang w:eastAsia="en-AU"/>
        </w:rPr>
        <w:t>.</w:t>
      </w:r>
      <w:r w:rsidR="00F42FEE">
        <w:rPr>
          <w:lang w:eastAsia="en-AU"/>
        </w:rPr>
        <w:t xml:space="preserve"> </w:t>
      </w:r>
      <w:r w:rsidR="00CA189D">
        <w:rPr>
          <w:lang w:eastAsia="en-AU"/>
        </w:rPr>
        <w:t xml:space="preserve">While </w:t>
      </w:r>
      <w:r w:rsidR="0038600F">
        <w:rPr>
          <w:lang w:eastAsia="en-AU"/>
        </w:rPr>
        <w:t>evaluation of this objective</w:t>
      </w:r>
      <w:r w:rsidR="00F42FEE">
        <w:rPr>
          <w:lang w:eastAsia="en-AU"/>
        </w:rPr>
        <w:t xml:space="preserve"> will be driven primarily by qualitative evide</w:t>
      </w:r>
      <w:r w:rsidR="00BF4D9C">
        <w:rPr>
          <w:lang w:eastAsia="en-AU"/>
        </w:rPr>
        <w:t>nce</w:t>
      </w:r>
      <w:r w:rsidR="00295951">
        <w:rPr>
          <w:lang w:eastAsia="en-AU"/>
        </w:rPr>
        <w:t xml:space="preserve">, </w:t>
      </w:r>
      <w:r w:rsidR="00A13D8B">
        <w:rPr>
          <w:lang w:eastAsia="en-AU"/>
        </w:rPr>
        <w:t xml:space="preserve">we will </w:t>
      </w:r>
      <w:r w:rsidR="00E721B9">
        <w:rPr>
          <w:lang w:eastAsia="en-AU"/>
        </w:rPr>
        <w:t>consider using</w:t>
      </w:r>
      <w:r w:rsidR="00A3541B">
        <w:rPr>
          <w:lang w:eastAsia="en-AU"/>
        </w:rPr>
        <w:t xml:space="preserve"> utilisation </w:t>
      </w:r>
      <w:r w:rsidR="00E36D82">
        <w:rPr>
          <w:lang w:eastAsia="en-AU"/>
        </w:rPr>
        <w:t>data to supplemen</w:t>
      </w:r>
      <w:r w:rsidR="00DF3033">
        <w:rPr>
          <w:lang w:eastAsia="en-AU"/>
        </w:rPr>
        <w:t xml:space="preserve">t </w:t>
      </w:r>
      <w:r w:rsidR="00D2094C">
        <w:rPr>
          <w:lang w:eastAsia="en-AU"/>
        </w:rPr>
        <w:t>our analysis of</w:t>
      </w:r>
      <w:r w:rsidR="00DF3033">
        <w:rPr>
          <w:lang w:eastAsia="en-AU"/>
        </w:rPr>
        <w:t xml:space="preserve"> changes in clinician choice of </w:t>
      </w:r>
      <w:r w:rsidR="002E2526">
        <w:rPr>
          <w:lang w:eastAsia="en-AU"/>
        </w:rPr>
        <w:t>appropriate prostheses</w:t>
      </w:r>
      <w:r w:rsidR="00D2094C">
        <w:rPr>
          <w:lang w:eastAsia="en-AU"/>
        </w:rPr>
        <w:t xml:space="preserve">, or to trigger </w:t>
      </w:r>
      <w:r w:rsidR="00D6556B">
        <w:rPr>
          <w:lang w:eastAsia="en-AU"/>
        </w:rPr>
        <w:t>qualitative investigation.</w:t>
      </w:r>
    </w:p>
    <w:p w14:paraId="2044BDFA" w14:textId="3B606A7D" w:rsidR="004104EF" w:rsidRDefault="00531D52" w:rsidP="004104EF">
      <w:pPr>
        <w:rPr>
          <w:lang w:eastAsia="en-AU"/>
        </w:rPr>
      </w:pPr>
      <w:r>
        <w:rPr>
          <w:lang w:eastAsia="en-AU"/>
        </w:rPr>
        <w:t xml:space="preserve">Indicator </w:t>
      </w:r>
      <w:r w:rsidR="00287A6B">
        <w:rPr>
          <w:lang w:eastAsia="en-AU"/>
        </w:rPr>
        <w:t>4</w:t>
      </w:r>
      <w:r w:rsidR="00EA1C0C">
        <w:rPr>
          <w:lang w:eastAsia="en-AU"/>
        </w:rPr>
        <w:t xml:space="preserve"> will gather this qualitatively</w:t>
      </w:r>
      <w:r w:rsidR="00A3286E">
        <w:rPr>
          <w:lang w:eastAsia="en-AU"/>
        </w:rPr>
        <w:t xml:space="preserve"> directly</w:t>
      </w:r>
      <w:r w:rsidR="00EA1C0C">
        <w:rPr>
          <w:lang w:eastAsia="en-AU"/>
        </w:rPr>
        <w:t xml:space="preserve"> from clinicians</w:t>
      </w:r>
      <w:r w:rsidR="00A3286E">
        <w:rPr>
          <w:lang w:eastAsia="en-AU"/>
        </w:rPr>
        <w:t xml:space="preserve">, </w:t>
      </w:r>
      <w:r w:rsidR="008C0F04">
        <w:rPr>
          <w:lang w:eastAsia="en-AU"/>
        </w:rPr>
        <w:t xml:space="preserve">using consultation to </w:t>
      </w:r>
      <w:r w:rsidR="0049540C">
        <w:rPr>
          <w:lang w:eastAsia="en-AU"/>
        </w:rPr>
        <w:t>understand if th</w:t>
      </w:r>
      <w:r w:rsidR="00091494">
        <w:rPr>
          <w:lang w:eastAsia="en-AU"/>
        </w:rPr>
        <w:t xml:space="preserve">ey </w:t>
      </w:r>
      <w:r w:rsidR="001C60AA">
        <w:rPr>
          <w:lang w:eastAsia="en-AU"/>
        </w:rPr>
        <w:t>perceive there to have been any impact on their level of choice of devices.</w:t>
      </w:r>
      <w:r w:rsidR="00F42FEE">
        <w:rPr>
          <w:lang w:eastAsia="en-AU"/>
        </w:rPr>
        <w:t xml:space="preserve"> </w:t>
      </w:r>
      <w:r w:rsidR="006C15CB">
        <w:rPr>
          <w:lang w:eastAsia="en-AU"/>
        </w:rPr>
        <w:t>Indicator</w:t>
      </w:r>
      <w:r w:rsidR="001D3C07">
        <w:rPr>
          <w:lang w:eastAsia="en-AU"/>
        </w:rPr>
        <w:t xml:space="preserve"> </w:t>
      </w:r>
      <w:r w:rsidR="00287A6B">
        <w:rPr>
          <w:lang w:eastAsia="en-AU"/>
        </w:rPr>
        <w:t>5</w:t>
      </w:r>
      <w:r w:rsidR="001D3C07">
        <w:rPr>
          <w:lang w:eastAsia="en-AU"/>
        </w:rPr>
        <w:t xml:space="preserve"> will </w:t>
      </w:r>
      <w:r w:rsidR="004D37D9">
        <w:rPr>
          <w:lang w:eastAsia="en-AU"/>
        </w:rPr>
        <w:t>look at device utilisation</w:t>
      </w:r>
      <w:r w:rsidR="004040E4">
        <w:rPr>
          <w:lang w:eastAsia="en-AU"/>
        </w:rPr>
        <w:t xml:space="preserve">, particularly in places with substantial changes in benefit levels, to </w:t>
      </w:r>
      <w:r w:rsidR="003F4650">
        <w:rPr>
          <w:lang w:eastAsia="en-AU"/>
        </w:rPr>
        <w:t xml:space="preserve">assess whether there </w:t>
      </w:r>
      <w:r w:rsidR="000E455E">
        <w:rPr>
          <w:lang w:eastAsia="en-AU"/>
        </w:rPr>
        <w:t>are any notable, significant changes in utilisation (that cannot be otherwise explained).</w:t>
      </w:r>
      <w:r w:rsidR="006521AB">
        <w:rPr>
          <w:lang w:eastAsia="en-AU"/>
        </w:rPr>
        <w:t xml:space="preserve"> </w:t>
      </w:r>
      <w:r w:rsidR="00841EE1">
        <w:rPr>
          <w:lang w:eastAsia="en-AU"/>
        </w:rPr>
        <w:t>These indicators</w:t>
      </w:r>
      <w:r w:rsidR="00EA1C0C">
        <w:rPr>
          <w:lang w:eastAsia="en-AU"/>
        </w:rPr>
        <w:t xml:space="preserve"> </w:t>
      </w:r>
      <w:r w:rsidR="00E334F1">
        <w:rPr>
          <w:lang w:eastAsia="en-AU"/>
        </w:rPr>
        <w:t xml:space="preserve">are </w:t>
      </w:r>
      <w:r w:rsidR="00E677B2">
        <w:rPr>
          <w:lang w:eastAsia="en-AU"/>
        </w:rPr>
        <w:t xml:space="preserve">examined in more detail in </w:t>
      </w:r>
      <w:r w:rsidR="008733CD">
        <w:rPr>
          <w:lang w:eastAsia="en-AU"/>
        </w:rPr>
        <w:fldChar w:fldCharType="begin"/>
      </w:r>
      <w:r w:rsidR="008733CD">
        <w:rPr>
          <w:lang w:eastAsia="en-AU"/>
        </w:rPr>
        <w:instrText xml:space="preserve"> REF _Ref159832999 \r \h </w:instrText>
      </w:r>
      <w:r w:rsidR="008733CD">
        <w:rPr>
          <w:lang w:eastAsia="en-AU"/>
        </w:rPr>
      </w:r>
      <w:r w:rsidR="008733CD">
        <w:rPr>
          <w:lang w:eastAsia="en-AU"/>
        </w:rPr>
        <w:fldChar w:fldCharType="separate"/>
      </w:r>
      <w:r w:rsidR="00026714">
        <w:rPr>
          <w:lang w:eastAsia="en-AU"/>
        </w:rPr>
        <w:t>Appendix B</w:t>
      </w:r>
      <w:r w:rsidR="008733CD">
        <w:rPr>
          <w:lang w:eastAsia="en-AU"/>
        </w:rPr>
        <w:fldChar w:fldCharType="end"/>
      </w:r>
      <w:r w:rsidR="00E677B2">
        <w:rPr>
          <w:lang w:eastAsia="en-AU"/>
        </w:rPr>
        <w:t>.</w:t>
      </w:r>
    </w:p>
    <w:p w14:paraId="3638B5E5" w14:textId="3C436993" w:rsidR="004F46C6" w:rsidRPr="00353014" w:rsidRDefault="004F46C6" w:rsidP="004104EF">
      <w:pPr>
        <w:pStyle w:val="Heading2"/>
      </w:pPr>
      <w:bookmarkStart w:id="38" w:name="_Ref159872912"/>
      <w:bookmarkStart w:id="39" w:name="_Toc179453681"/>
      <w:bookmarkStart w:id="40" w:name="_Ref158977369"/>
      <w:r>
        <w:lastRenderedPageBreak/>
        <w:t xml:space="preserve">Objective 4: Improve the affordability and value of PHI for privately insured </w:t>
      </w:r>
      <w:proofErr w:type="gramStart"/>
      <w:r>
        <w:t>Australians</w:t>
      </w:r>
      <w:bookmarkEnd w:id="38"/>
      <w:bookmarkEnd w:id="39"/>
      <w:proofErr w:type="gramEnd"/>
    </w:p>
    <w:p w14:paraId="7465691F" w14:textId="0F383F85" w:rsidR="00227CE1" w:rsidRPr="00227CE1" w:rsidRDefault="00227CE1" w:rsidP="00227CE1">
      <w:pPr>
        <w:pStyle w:val="Caption"/>
        <w:rPr>
          <w:lang w:eastAsia="en-AU"/>
        </w:rPr>
      </w:pPr>
      <w:r>
        <w:t xml:space="preserve">Figure </w:t>
      </w:r>
      <w:r>
        <w:fldChar w:fldCharType="begin"/>
      </w:r>
      <w:r>
        <w:instrText xml:space="preserve"> SEQ Figure \* ARABIC </w:instrText>
      </w:r>
      <w:r>
        <w:fldChar w:fldCharType="separate"/>
      </w:r>
      <w:r w:rsidR="00026714">
        <w:rPr>
          <w:noProof/>
        </w:rPr>
        <w:t>10</w:t>
      </w:r>
      <w:r>
        <w:fldChar w:fldCharType="end"/>
      </w:r>
      <w:r>
        <w:t xml:space="preserve"> | Reform </w:t>
      </w:r>
      <w:r w:rsidR="008D714D">
        <w:t>projects</w:t>
      </w:r>
      <w:r>
        <w:t xml:space="preserve"> related to reform objective </w:t>
      </w:r>
      <w:proofErr w:type="gramStart"/>
      <w:r>
        <w:t>4</w:t>
      </w:r>
      <w:proofErr w:type="gramEnd"/>
    </w:p>
    <w:p w14:paraId="7F48BE86" w14:textId="6D5E462D" w:rsidR="003A3198" w:rsidRPr="003A3198" w:rsidRDefault="00052064" w:rsidP="003A3198">
      <w:pPr>
        <w:rPr>
          <w:lang w:eastAsia="en-AU"/>
        </w:rPr>
      </w:pPr>
      <w:r w:rsidRPr="00052064">
        <w:rPr>
          <w:noProof/>
          <w:lang w:eastAsia="en-AU"/>
        </w:rPr>
        <w:drawing>
          <wp:inline distT="0" distB="0" distL="0" distR="0" wp14:anchorId="54B72774" wp14:editId="22F705ED">
            <wp:extent cx="5670550" cy="1454785"/>
            <wp:effectExtent l="0" t="0" r="6350" b="0"/>
            <wp:docPr id="110633269" name="Picture 1" descr="A figure showing reform objective 4. Affordability and value of PHI is achieved through objectives 1, 2 and 3. Objective 4 is also connected with a dotted line to benefit re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3269" name="Picture 1" descr="A figure showing reform objective 4. Affordability and value of PHI is achieved through objectives 1, 2 and 3. Objective 4 is also connected with a dotted line to benefit reductions."/>
                    <pic:cNvPicPr/>
                  </pic:nvPicPr>
                  <pic:blipFill>
                    <a:blip r:embed="rId36"/>
                    <a:stretch>
                      <a:fillRect/>
                    </a:stretch>
                  </pic:blipFill>
                  <pic:spPr>
                    <a:xfrm>
                      <a:off x="0" y="0"/>
                      <a:ext cx="5670550" cy="1454785"/>
                    </a:xfrm>
                    <a:prstGeom prst="rect">
                      <a:avLst/>
                    </a:prstGeom>
                  </pic:spPr>
                </pic:pic>
              </a:graphicData>
            </a:graphic>
          </wp:inline>
        </w:drawing>
      </w:r>
    </w:p>
    <w:p w14:paraId="35F56C35" w14:textId="0DC935BC" w:rsidR="00941970" w:rsidRDefault="00941970" w:rsidP="00AB7FE4">
      <w:pPr>
        <w:pStyle w:val="Heading3"/>
        <w:spacing w:before="400"/>
      </w:pPr>
      <w:bookmarkStart w:id="41" w:name="_Ref160186147"/>
      <w:bookmarkStart w:id="42" w:name="_Ref158631731"/>
      <w:r>
        <w:t>Baseline position</w:t>
      </w:r>
      <w:bookmarkEnd w:id="41"/>
    </w:p>
    <w:p w14:paraId="6DFE6E84" w14:textId="19853D78" w:rsidR="00246A2A" w:rsidRDefault="00246A2A" w:rsidP="00246A2A">
      <w:pPr>
        <w:pStyle w:val="Heading4"/>
      </w:pPr>
      <w:r>
        <w:t xml:space="preserve">PHI </w:t>
      </w:r>
      <w:r w:rsidR="00287EF9">
        <w:t>prices</w:t>
      </w:r>
      <w:r w:rsidR="00722AF0">
        <w:t xml:space="preserve"> </w:t>
      </w:r>
      <w:r w:rsidR="00CD41B0">
        <w:t xml:space="preserve">have increased </w:t>
      </w:r>
      <w:r w:rsidR="00B64AD6">
        <w:t xml:space="preserve">consistently and significantly, leading to </w:t>
      </w:r>
      <w:r w:rsidR="00D37FB4">
        <w:t xml:space="preserve">overall reductions in participation </w:t>
      </w:r>
      <w:proofErr w:type="gramStart"/>
      <w:r w:rsidR="00D37FB4">
        <w:t>rates</w:t>
      </w:r>
      <w:proofErr w:type="gramEnd"/>
      <w:r w:rsidR="00D07FB5">
        <w:t xml:space="preserve"> </w:t>
      </w:r>
    </w:p>
    <w:p w14:paraId="54E2A79A" w14:textId="77777777" w:rsidR="00246A2A" w:rsidRPr="00FD2A66" w:rsidRDefault="00246A2A" w:rsidP="00246A2A">
      <w:r>
        <w:t xml:space="preserve">Private health insurance (PHI) </w:t>
      </w:r>
      <w:r>
        <w:rPr>
          <w:lang w:eastAsia="en-AU"/>
        </w:rPr>
        <w:t xml:space="preserve">enables </w:t>
      </w:r>
      <w:proofErr w:type="gramStart"/>
      <w:r w:rsidRPr="00BF3D0F">
        <w:rPr>
          <w:lang w:eastAsia="en-AU"/>
        </w:rPr>
        <w:t>privately</w:t>
      </w:r>
      <w:r>
        <w:rPr>
          <w:lang w:eastAsia="en-AU"/>
        </w:rPr>
        <w:t>-</w:t>
      </w:r>
      <w:r w:rsidRPr="00BF3D0F">
        <w:rPr>
          <w:lang w:eastAsia="en-AU"/>
        </w:rPr>
        <w:t>insured</w:t>
      </w:r>
      <w:proofErr w:type="gramEnd"/>
      <w:r w:rsidRPr="00BF3D0F">
        <w:rPr>
          <w:lang w:eastAsia="en-AU"/>
        </w:rPr>
        <w:t xml:space="preserve"> Australians </w:t>
      </w:r>
      <w:r>
        <w:rPr>
          <w:lang w:eastAsia="en-AU"/>
        </w:rPr>
        <w:t xml:space="preserve">to </w:t>
      </w:r>
      <w:r w:rsidRPr="00BF3D0F">
        <w:rPr>
          <w:lang w:eastAsia="en-AU"/>
        </w:rPr>
        <w:t>get quicker access to the care they need</w:t>
      </w:r>
      <w:r>
        <w:rPr>
          <w:lang w:eastAsia="en-AU"/>
        </w:rPr>
        <w:t xml:space="preserve"> and have more choice about how they receive it</w:t>
      </w:r>
      <w:r w:rsidRPr="00BF3D0F">
        <w:rPr>
          <w:lang w:eastAsia="en-AU"/>
        </w:rPr>
        <w:t>.</w:t>
      </w:r>
      <w:r w:rsidRPr="00BF3D0F">
        <w:rPr>
          <w:rStyle w:val="FootnoteReference"/>
          <w:lang w:eastAsia="en-AU"/>
        </w:rPr>
        <w:t xml:space="preserve"> </w:t>
      </w:r>
      <w:r w:rsidRPr="00BF3D0F">
        <w:rPr>
          <w:rStyle w:val="FootnoteReference"/>
          <w:lang w:eastAsia="en-AU"/>
        </w:rPr>
        <w:footnoteReference w:id="50"/>
      </w:r>
      <w:r>
        <w:rPr>
          <w:lang w:eastAsia="en-AU"/>
        </w:rPr>
        <w:t xml:space="preserve"> Consumers take up PHI policies to support their access to treatment and clinical expertise</w:t>
      </w:r>
      <w:r w:rsidRPr="58AB7BF7" w:rsidDel="00D37C53">
        <w:rPr>
          <w:lang w:eastAsia="en-AU"/>
        </w:rPr>
        <w:t xml:space="preserve"> that they may not otherwise </w:t>
      </w:r>
      <w:r>
        <w:rPr>
          <w:lang w:eastAsia="en-AU"/>
        </w:rPr>
        <w:t>have been</w:t>
      </w:r>
      <w:r w:rsidRPr="58AB7BF7" w:rsidDel="00D37C53">
        <w:rPr>
          <w:lang w:eastAsia="en-AU"/>
        </w:rPr>
        <w:t xml:space="preserve"> able to access</w:t>
      </w:r>
      <w:r>
        <w:rPr>
          <w:lang w:eastAsia="en-AU"/>
        </w:rPr>
        <w:t>,</w:t>
      </w:r>
      <w:r w:rsidRPr="58AB7BF7" w:rsidDel="00D37C53">
        <w:rPr>
          <w:lang w:eastAsia="en-AU"/>
        </w:rPr>
        <w:t xml:space="preserve"> or access in a timely way.</w:t>
      </w:r>
      <w:r>
        <w:rPr>
          <w:lang w:eastAsia="en-AU"/>
        </w:rPr>
        <w:t xml:space="preserve"> Government supports the role of PHI in the health system as, when it is operating efficiently, it can provide better welfare outcomes for individuals and society on aggregate.</w:t>
      </w:r>
      <w:r w:rsidRPr="007142B1">
        <w:rPr>
          <w:rStyle w:val="FootnoteReference"/>
          <w:lang w:eastAsia="en-AU"/>
        </w:rPr>
        <w:footnoteReference w:id="51"/>
      </w:r>
      <w:r>
        <w:rPr>
          <w:lang w:eastAsia="en-AU"/>
        </w:rPr>
        <w:t xml:space="preserve"> </w:t>
      </w:r>
    </w:p>
    <w:p w14:paraId="07DC559F" w14:textId="2AEB5B87" w:rsidR="00941970" w:rsidRDefault="00246A2A" w:rsidP="00246A2A">
      <w:pPr>
        <w:rPr>
          <w:lang w:eastAsia="en-AU"/>
        </w:rPr>
      </w:pPr>
      <w:r>
        <w:rPr>
          <w:lang w:eastAsia="en-AU"/>
        </w:rPr>
        <w:t>Rising medical costs and increased utilisation of private health services have put pressure on private health insurers, which is exacerbated by declining participation rates of PHI.</w:t>
      </w:r>
      <w:r>
        <w:rPr>
          <w:rStyle w:val="FootnoteReference"/>
          <w:lang w:eastAsia="en-AU"/>
        </w:rPr>
        <w:footnoteReference w:id="52"/>
      </w:r>
      <w:r w:rsidRPr="0BCC15EA">
        <w:rPr>
          <w:rStyle w:val="FootnoteTextChar"/>
          <w:rFonts w:eastAsiaTheme="minorEastAsia"/>
          <w:vertAlign w:val="superscript"/>
        </w:rPr>
        <w:t>,</w:t>
      </w:r>
      <w:r w:rsidR="00AB3A47">
        <w:rPr>
          <w:rStyle w:val="FootnoteTextChar"/>
          <w:rFonts w:eastAsiaTheme="minorEastAsia"/>
          <w:vertAlign w:val="superscript"/>
        </w:rPr>
        <w:t xml:space="preserve"> </w:t>
      </w:r>
      <w:r>
        <w:rPr>
          <w:rStyle w:val="FootnoteReference"/>
          <w:lang w:eastAsia="en-AU"/>
        </w:rPr>
        <w:footnoteReference w:id="53"/>
      </w:r>
      <w:r>
        <w:rPr>
          <w:lang w:eastAsia="en-AU"/>
        </w:rPr>
        <w:t xml:space="preserve"> </w:t>
      </w:r>
      <w:r w:rsidR="00A7650C">
        <w:rPr>
          <w:lang w:eastAsia="en-AU"/>
        </w:rPr>
        <w:t>An increasing proportion of</w:t>
      </w:r>
      <w:r w:rsidRPr="00FD6D0D" w:rsidDel="007C63D1">
        <w:rPr>
          <w:lang w:eastAsia="en-AU"/>
        </w:rPr>
        <w:t xml:space="preserve"> </w:t>
      </w:r>
      <w:r w:rsidRPr="00150475" w:rsidDel="007C63D1">
        <w:rPr>
          <w:lang w:eastAsia="en-AU"/>
        </w:rPr>
        <w:t xml:space="preserve">PHI </w:t>
      </w:r>
      <w:r w:rsidR="00A7650C">
        <w:rPr>
          <w:lang w:eastAsia="en-AU"/>
        </w:rPr>
        <w:t>policies are for</w:t>
      </w:r>
      <w:r w:rsidRPr="00150475" w:rsidDel="007C63D1">
        <w:rPr>
          <w:lang w:eastAsia="en-AU"/>
        </w:rPr>
        <w:t xml:space="preserve"> older </w:t>
      </w:r>
      <w:r w:rsidRPr="00FD6D0D" w:rsidDel="007C63D1">
        <w:rPr>
          <w:lang w:eastAsia="en-AU"/>
        </w:rPr>
        <w:t xml:space="preserve">Australians </w:t>
      </w:r>
      <w:r w:rsidRPr="00150475" w:rsidDel="007C63D1">
        <w:rPr>
          <w:lang w:eastAsia="en-AU"/>
        </w:rPr>
        <w:t>with more complex health needs</w:t>
      </w:r>
      <w:r w:rsidR="00A7650C">
        <w:rPr>
          <w:rStyle w:val="FootnoteReference"/>
          <w:lang w:eastAsia="en-AU"/>
        </w:rPr>
        <w:footnoteReference w:id="54"/>
      </w:r>
      <w:r w:rsidR="00C556AF">
        <w:rPr>
          <w:lang w:eastAsia="en-AU"/>
        </w:rPr>
        <w:t xml:space="preserve">, including higher-than-average </w:t>
      </w:r>
      <w:r w:rsidR="0042326E">
        <w:rPr>
          <w:lang w:eastAsia="en-AU"/>
        </w:rPr>
        <w:t>use of medical devices</w:t>
      </w:r>
      <w:r w:rsidR="0042326E">
        <w:rPr>
          <w:rStyle w:val="FootnoteReference"/>
          <w:lang w:eastAsia="en-AU"/>
        </w:rPr>
        <w:footnoteReference w:id="55"/>
      </w:r>
      <w:r w:rsidR="00F069D2">
        <w:rPr>
          <w:lang w:eastAsia="en-AU"/>
        </w:rPr>
        <w:t>. Th</w:t>
      </w:r>
      <w:r w:rsidR="002F28FA">
        <w:rPr>
          <w:lang w:eastAsia="en-AU"/>
        </w:rPr>
        <w:t xml:space="preserve">is drives further </w:t>
      </w:r>
      <w:r w:rsidR="008F6702">
        <w:rPr>
          <w:lang w:eastAsia="en-AU"/>
        </w:rPr>
        <w:t>cost pressures for private health insurers,</w:t>
      </w:r>
      <w:r w:rsidDel="007C63D1">
        <w:rPr>
          <w:lang w:eastAsia="en-AU"/>
        </w:rPr>
        <w:t xml:space="preserve"> resulting in</w:t>
      </w:r>
      <w:r w:rsidR="002620C3">
        <w:rPr>
          <w:lang w:eastAsia="en-AU"/>
        </w:rPr>
        <w:t xml:space="preserve"> substantial </w:t>
      </w:r>
      <w:r w:rsidDel="007C63D1">
        <w:rPr>
          <w:lang w:eastAsia="en-AU"/>
        </w:rPr>
        <w:t>annual premium increases.</w:t>
      </w:r>
      <w:r w:rsidR="00FB7931" w:rsidRPr="00AB3A47">
        <w:rPr>
          <w:rStyle w:val="FootnoteReference"/>
          <w:lang w:eastAsia="en-AU"/>
        </w:rPr>
        <w:footnoteReference w:id="56"/>
      </w:r>
      <w:r w:rsidDel="007C63D1">
        <w:rPr>
          <w:lang w:eastAsia="en-AU"/>
        </w:rPr>
        <w:t xml:space="preserve"> These high premiums can turn away a broader and increased membership base, challenging the sustainability of the PHI sector into the future.</w:t>
      </w:r>
      <w:r w:rsidDel="007C63D1">
        <w:rPr>
          <w:rStyle w:val="FootnoteReference"/>
          <w:lang w:eastAsia="en-AU"/>
        </w:rPr>
        <w:footnoteReference w:id="57"/>
      </w:r>
    </w:p>
    <w:p w14:paraId="0FD4D858" w14:textId="2C5AB884" w:rsidR="00573FEA" w:rsidRDefault="005C0E0F" w:rsidP="00246A2A">
      <w:pPr>
        <w:rPr>
          <w:lang w:eastAsia="en-AU"/>
        </w:rPr>
      </w:pPr>
      <w:r>
        <w:rPr>
          <w:lang w:eastAsia="en-AU"/>
        </w:rPr>
        <w:t xml:space="preserve">Expenditure on prostheses adds to </w:t>
      </w:r>
      <w:r w:rsidR="0080469C">
        <w:rPr>
          <w:lang w:eastAsia="en-AU"/>
        </w:rPr>
        <w:t>th</w:t>
      </w:r>
      <w:r w:rsidR="007541C3">
        <w:rPr>
          <w:lang w:eastAsia="en-AU"/>
        </w:rPr>
        <w:t>e pressure on private health insurers a</w:t>
      </w:r>
      <w:r w:rsidR="00D810C6">
        <w:rPr>
          <w:lang w:eastAsia="en-AU"/>
        </w:rPr>
        <w:t>s the total benefits paid for listed prostheses increas</w:t>
      </w:r>
      <w:r w:rsidR="00094CD7">
        <w:rPr>
          <w:lang w:eastAsia="en-AU"/>
        </w:rPr>
        <w:t>ed by 2.28%</w:t>
      </w:r>
      <w:r w:rsidR="00D810C6">
        <w:rPr>
          <w:lang w:eastAsia="en-AU"/>
        </w:rPr>
        <w:t xml:space="preserve"> year on year </w:t>
      </w:r>
      <w:r w:rsidR="00094CD7">
        <w:rPr>
          <w:lang w:eastAsia="en-AU"/>
        </w:rPr>
        <w:t>from FY16 to FY21</w:t>
      </w:r>
      <w:r w:rsidR="00D810C6">
        <w:rPr>
          <w:lang w:eastAsia="en-AU"/>
        </w:rPr>
        <w:t xml:space="preserve"> (</w:t>
      </w:r>
      <w:r w:rsidR="00180B21">
        <w:rPr>
          <w:lang w:eastAsia="en-AU"/>
        </w:rPr>
        <w:t xml:space="preserve">see </w:t>
      </w:r>
      <w:r w:rsidR="00180B21">
        <w:rPr>
          <w:lang w:eastAsia="en-AU"/>
        </w:rPr>
        <w:fldChar w:fldCharType="begin"/>
      </w:r>
      <w:r w:rsidR="00180B21">
        <w:rPr>
          <w:lang w:eastAsia="en-AU"/>
        </w:rPr>
        <w:instrText xml:space="preserve"> REF _Ref161911937 \h </w:instrText>
      </w:r>
      <w:r w:rsidR="00180B21">
        <w:rPr>
          <w:lang w:eastAsia="en-AU"/>
        </w:rPr>
      </w:r>
      <w:r w:rsidR="00180B21">
        <w:rPr>
          <w:lang w:eastAsia="en-AU"/>
        </w:rPr>
        <w:fldChar w:fldCharType="separate"/>
      </w:r>
      <w:r w:rsidR="00026714" w:rsidRPr="009A60BF">
        <w:t xml:space="preserve">Figure </w:t>
      </w:r>
      <w:r w:rsidR="00026714">
        <w:rPr>
          <w:noProof/>
        </w:rPr>
        <w:t>11</w:t>
      </w:r>
      <w:r w:rsidR="00180B21">
        <w:rPr>
          <w:lang w:eastAsia="en-AU"/>
        </w:rPr>
        <w:fldChar w:fldCharType="end"/>
      </w:r>
      <w:r w:rsidR="00180B21">
        <w:rPr>
          <w:lang w:eastAsia="en-AU"/>
        </w:rPr>
        <w:t xml:space="preserve"> overleaf). </w:t>
      </w:r>
      <w:r w:rsidR="00AE058C">
        <w:rPr>
          <w:lang w:eastAsia="en-AU"/>
        </w:rPr>
        <w:t>Between FY17 and FY20, however, p</w:t>
      </w:r>
      <w:r w:rsidR="007A400D">
        <w:rPr>
          <w:lang w:eastAsia="en-AU"/>
        </w:rPr>
        <w:t xml:space="preserve">rostheses benefits paid </w:t>
      </w:r>
      <w:r w:rsidR="0050510B">
        <w:rPr>
          <w:lang w:eastAsia="en-AU"/>
        </w:rPr>
        <w:t xml:space="preserve">by PHI </w:t>
      </w:r>
      <w:r w:rsidR="007A400D">
        <w:rPr>
          <w:lang w:eastAsia="en-AU"/>
        </w:rPr>
        <w:t>held steady</w:t>
      </w:r>
      <w:r w:rsidR="00DB5A1F">
        <w:rPr>
          <w:lang w:eastAsia="en-AU"/>
        </w:rPr>
        <w:t>,</w:t>
      </w:r>
      <w:r w:rsidR="00AE058C">
        <w:rPr>
          <w:lang w:eastAsia="en-AU"/>
        </w:rPr>
        <w:t xml:space="preserve"> coincid</w:t>
      </w:r>
      <w:r w:rsidR="00DB5A1F">
        <w:rPr>
          <w:lang w:eastAsia="en-AU"/>
        </w:rPr>
        <w:t>ing</w:t>
      </w:r>
      <w:r w:rsidR="00AE058C">
        <w:rPr>
          <w:lang w:eastAsia="en-AU"/>
        </w:rPr>
        <w:t xml:space="preserve"> </w:t>
      </w:r>
      <w:r w:rsidR="00D70966">
        <w:rPr>
          <w:lang w:eastAsia="en-AU"/>
        </w:rPr>
        <w:t>with benefit reduction</w:t>
      </w:r>
      <w:r w:rsidR="00CC4FA2">
        <w:rPr>
          <w:lang w:eastAsia="en-AU"/>
        </w:rPr>
        <w:t xml:space="preserve"> activities</w:t>
      </w:r>
      <w:r w:rsidR="00E65D26">
        <w:rPr>
          <w:lang w:eastAsia="en-AU"/>
        </w:rPr>
        <w:t xml:space="preserve"> </w:t>
      </w:r>
      <w:r w:rsidR="004F3FE0">
        <w:rPr>
          <w:lang w:eastAsia="en-AU"/>
        </w:rPr>
        <w:t>prior to the current PL reforms.</w:t>
      </w:r>
    </w:p>
    <w:p w14:paraId="3D379806" w14:textId="54580882" w:rsidR="007B6665" w:rsidRDefault="00573FEA" w:rsidP="00246A2A">
      <w:pPr>
        <w:rPr>
          <w:lang w:eastAsia="en-AU"/>
        </w:rPr>
      </w:pPr>
      <w:r>
        <w:rPr>
          <w:lang w:eastAsia="en-AU"/>
        </w:rPr>
        <w:t>It should be noted that m</w:t>
      </w:r>
      <w:r w:rsidR="00305CD3">
        <w:rPr>
          <w:lang w:eastAsia="en-AU"/>
        </w:rPr>
        <w:t>ultiple</w:t>
      </w:r>
      <w:r w:rsidR="00055F3B">
        <w:rPr>
          <w:lang w:eastAsia="en-AU"/>
        </w:rPr>
        <w:t xml:space="preserve"> drivers </w:t>
      </w:r>
      <w:r w:rsidR="00D3115C">
        <w:rPr>
          <w:lang w:eastAsia="en-AU"/>
        </w:rPr>
        <w:t>influence</w:t>
      </w:r>
      <w:r w:rsidR="00ED3044">
        <w:rPr>
          <w:lang w:eastAsia="en-AU"/>
        </w:rPr>
        <w:t xml:space="preserve"> prostheses</w:t>
      </w:r>
      <w:r w:rsidR="00055F3B">
        <w:rPr>
          <w:lang w:eastAsia="en-AU"/>
        </w:rPr>
        <w:t xml:space="preserve"> </w:t>
      </w:r>
      <w:r w:rsidR="00A91FAD">
        <w:rPr>
          <w:lang w:eastAsia="en-AU"/>
        </w:rPr>
        <w:t>utilisation and</w:t>
      </w:r>
      <w:r w:rsidR="00055F3B">
        <w:rPr>
          <w:lang w:eastAsia="en-AU"/>
        </w:rPr>
        <w:t xml:space="preserve"> expenditure</w:t>
      </w:r>
      <w:r w:rsidR="008F75CE">
        <w:rPr>
          <w:lang w:eastAsia="en-AU"/>
        </w:rPr>
        <w:t>. These include</w:t>
      </w:r>
      <w:r w:rsidR="00055F3B" w:rsidRPr="00055F3B">
        <w:rPr>
          <w:lang w:eastAsia="en-AU"/>
        </w:rPr>
        <w:t xml:space="preserve"> </w:t>
      </w:r>
      <w:r w:rsidR="00326437">
        <w:rPr>
          <w:lang w:eastAsia="en-AU"/>
        </w:rPr>
        <w:t>changes to the</w:t>
      </w:r>
      <w:r w:rsidR="00055F3B" w:rsidRPr="00055F3B">
        <w:rPr>
          <w:lang w:eastAsia="en-AU"/>
        </w:rPr>
        <w:t xml:space="preserve"> proportion of older PHI holders, </w:t>
      </w:r>
      <w:r w:rsidR="00FD4EB9">
        <w:rPr>
          <w:lang w:eastAsia="en-AU"/>
        </w:rPr>
        <w:t xml:space="preserve">changes to medical technology and advancements in the sector, </w:t>
      </w:r>
      <w:r w:rsidR="00C77571">
        <w:rPr>
          <w:lang w:eastAsia="en-AU"/>
        </w:rPr>
        <w:t>changes to</w:t>
      </w:r>
      <w:r w:rsidR="00055F3B" w:rsidRPr="00055F3B">
        <w:rPr>
          <w:lang w:eastAsia="en-AU"/>
        </w:rPr>
        <w:t xml:space="preserve"> the mix of products used</w:t>
      </w:r>
      <w:r w:rsidR="0061798F">
        <w:rPr>
          <w:lang w:eastAsia="en-AU"/>
        </w:rPr>
        <w:t>, and macroeconomic trends</w:t>
      </w:r>
      <w:r w:rsidR="00C77571">
        <w:rPr>
          <w:lang w:eastAsia="en-AU"/>
        </w:rPr>
        <w:t>.</w:t>
      </w:r>
    </w:p>
    <w:p w14:paraId="6A630D80" w14:textId="3B052B62" w:rsidR="001047C8" w:rsidRDefault="001047C8" w:rsidP="001047C8">
      <w:pPr>
        <w:pStyle w:val="Caption"/>
        <w:spacing w:before="240" w:after="120"/>
      </w:pPr>
      <w:bookmarkStart w:id="43" w:name="_Ref161911937"/>
      <w:r w:rsidRPr="009A60BF">
        <w:lastRenderedPageBreak/>
        <w:t xml:space="preserve">Figure </w:t>
      </w:r>
      <w:r w:rsidRPr="009A60BF">
        <w:fldChar w:fldCharType="begin"/>
      </w:r>
      <w:r w:rsidRPr="009A60BF">
        <w:instrText xml:space="preserve"> SEQ Figure \* ARABIC </w:instrText>
      </w:r>
      <w:r w:rsidRPr="009A60BF">
        <w:fldChar w:fldCharType="separate"/>
      </w:r>
      <w:r w:rsidR="00026714">
        <w:rPr>
          <w:noProof/>
        </w:rPr>
        <w:t>11</w:t>
      </w:r>
      <w:r w:rsidRPr="009A60BF">
        <w:fldChar w:fldCharType="end"/>
      </w:r>
      <w:bookmarkEnd w:id="43"/>
      <w:r w:rsidRPr="009A60BF">
        <w:t xml:space="preserve"> | To</w:t>
      </w:r>
      <w:r>
        <w:t>tal prostheses benefits paid ($'000)</w:t>
      </w:r>
      <w:r>
        <w:rPr>
          <w:rStyle w:val="FootnoteReference"/>
        </w:rPr>
        <w:footnoteReference w:id="58"/>
      </w:r>
    </w:p>
    <w:p w14:paraId="7509E201" w14:textId="75DA42C4" w:rsidR="001047C8" w:rsidRPr="005273DB" w:rsidRDefault="001047C8" w:rsidP="001047C8">
      <w:pPr>
        <w:rPr>
          <w:highlight w:val="yellow"/>
        </w:rPr>
      </w:pPr>
      <w:r w:rsidRPr="00560C63">
        <w:rPr>
          <w:noProof/>
        </w:rPr>
        <w:drawing>
          <wp:inline distT="0" distB="0" distL="0" distR="0" wp14:anchorId="17303FE5" wp14:editId="273CC80A">
            <wp:extent cx="5670550" cy="2823845"/>
            <wp:effectExtent l="0" t="0" r="6350" b="0"/>
            <wp:docPr id="672044730" name="Picture 1" descr="A graph showing the total benefits paid in thousands of dollars. An arrow connects FY16 to FY21, showing +2.28% 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44730" name="Picture 1" descr="A graph showing the total benefits paid in thousands of dollars. An arrow connects FY16 to FY21, showing +2.28% p/a."/>
                    <pic:cNvPicPr/>
                  </pic:nvPicPr>
                  <pic:blipFill>
                    <a:blip r:embed="rId37"/>
                    <a:stretch>
                      <a:fillRect/>
                    </a:stretch>
                  </pic:blipFill>
                  <pic:spPr>
                    <a:xfrm>
                      <a:off x="0" y="0"/>
                      <a:ext cx="5670550" cy="2823845"/>
                    </a:xfrm>
                    <a:prstGeom prst="rect">
                      <a:avLst/>
                    </a:prstGeom>
                  </pic:spPr>
                </pic:pic>
              </a:graphicData>
            </a:graphic>
          </wp:inline>
        </w:drawing>
      </w:r>
    </w:p>
    <w:p w14:paraId="2A016F9D" w14:textId="49203B3D" w:rsidR="0035463F" w:rsidRDefault="00133F42" w:rsidP="00246A2A">
      <w:pPr>
        <w:rPr>
          <w:lang w:eastAsia="en-AU"/>
        </w:rPr>
      </w:pPr>
      <w:r>
        <w:rPr>
          <w:lang w:eastAsia="en-AU"/>
        </w:rPr>
        <w:t xml:space="preserve">In the five years leading up to </w:t>
      </w:r>
      <w:r w:rsidR="00AB3A47">
        <w:rPr>
          <w:lang w:eastAsia="en-AU"/>
        </w:rPr>
        <w:t xml:space="preserve">baseline, PHI premiums increased by an average of </w:t>
      </w:r>
      <w:r w:rsidR="0096704C">
        <w:rPr>
          <w:lang w:eastAsia="en-AU"/>
        </w:rPr>
        <w:t>3.88</w:t>
      </w:r>
      <w:r w:rsidR="00AB3A47">
        <w:rPr>
          <w:lang w:eastAsia="en-AU"/>
        </w:rPr>
        <w:t>% annually</w:t>
      </w:r>
      <w:r w:rsidR="001C1A70">
        <w:rPr>
          <w:lang w:eastAsia="en-AU"/>
        </w:rPr>
        <w:t xml:space="preserve">, </w:t>
      </w:r>
      <w:r w:rsidR="003761A6">
        <w:rPr>
          <w:lang w:eastAsia="en-AU"/>
        </w:rPr>
        <w:t>2.</w:t>
      </w:r>
      <w:r w:rsidR="0096704C">
        <w:rPr>
          <w:lang w:eastAsia="en-AU"/>
        </w:rPr>
        <w:t xml:space="preserve">30 </w:t>
      </w:r>
      <w:r w:rsidR="003D48B9">
        <w:rPr>
          <w:lang w:eastAsia="en-AU"/>
        </w:rPr>
        <w:t xml:space="preserve">points above </w:t>
      </w:r>
      <w:r w:rsidR="00733EFA">
        <w:rPr>
          <w:lang w:eastAsia="en-AU"/>
        </w:rPr>
        <w:t xml:space="preserve">the </w:t>
      </w:r>
      <w:r w:rsidR="001F4335">
        <w:rPr>
          <w:lang w:eastAsia="en-AU"/>
        </w:rPr>
        <w:t>Consumer Price Index</w:t>
      </w:r>
      <w:r w:rsidR="00237DA1">
        <w:rPr>
          <w:lang w:eastAsia="en-AU"/>
        </w:rPr>
        <w:t>,</w:t>
      </w:r>
      <w:r w:rsidR="00403C15">
        <w:rPr>
          <w:lang w:eastAsia="en-AU"/>
        </w:rPr>
        <w:t xml:space="preserve"> which </w:t>
      </w:r>
      <w:r w:rsidR="00524A8B">
        <w:rPr>
          <w:lang w:eastAsia="en-AU"/>
        </w:rPr>
        <w:t>increased</w:t>
      </w:r>
      <w:r w:rsidR="003761A6">
        <w:rPr>
          <w:lang w:eastAsia="en-AU"/>
        </w:rPr>
        <w:t xml:space="preserve"> by</w:t>
      </w:r>
      <w:r w:rsidR="00524A8B">
        <w:rPr>
          <w:lang w:eastAsia="en-AU"/>
        </w:rPr>
        <w:t xml:space="preserve"> an average of </w:t>
      </w:r>
      <w:r w:rsidR="00D42112">
        <w:rPr>
          <w:lang w:eastAsia="en-AU"/>
        </w:rPr>
        <w:t>1.58% in the</w:t>
      </w:r>
      <w:r w:rsidR="00741568">
        <w:rPr>
          <w:lang w:eastAsia="en-AU"/>
        </w:rPr>
        <w:t xml:space="preserve"> same period</w:t>
      </w:r>
      <w:r w:rsidR="001F4335">
        <w:rPr>
          <w:lang w:eastAsia="en-AU"/>
        </w:rPr>
        <w:t xml:space="preserve">. </w:t>
      </w:r>
      <w:r w:rsidR="00237DA1">
        <w:rPr>
          <w:lang w:eastAsia="en-AU"/>
        </w:rPr>
        <w:t xml:space="preserve">However, </w:t>
      </w:r>
      <w:r w:rsidR="000E6792">
        <w:rPr>
          <w:lang w:eastAsia="en-AU"/>
        </w:rPr>
        <w:fldChar w:fldCharType="begin"/>
      </w:r>
      <w:r w:rsidR="000E6792">
        <w:rPr>
          <w:lang w:eastAsia="en-AU"/>
        </w:rPr>
        <w:instrText xml:space="preserve"> REF _Ref161919587 \h </w:instrText>
      </w:r>
      <w:r w:rsidR="000E6792">
        <w:rPr>
          <w:lang w:eastAsia="en-AU"/>
        </w:rPr>
      </w:r>
      <w:r w:rsidR="000E6792">
        <w:rPr>
          <w:lang w:eastAsia="en-AU"/>
        </w:rPr>
        <w:fldChar w:fldCharType="separate"/>
      </w:r>
      <w:r w:rsidR="00026714" w:rsidRPr="00F13D06">
        <w:t xml:space="preserve">Figure </w:t>
      </w:r>
      <w:r w:rsidR="00026714">
        <w:rPr>
          <w:noProof/>
        </w:rPr>
        <w:t>12</w:t>
      </w:r>
      <w:r w:rsidR="000E6792">
        <w:rPr>
          <w:lang w:eastAsia="en-AU"/>
        </w:rPr>
        <w:fldChar w:fldCharType="end"/>
      </w:r>
      <w:r w:rsidR="000E6792">
        <w:rPr>
          <w:lang w:eastAsia="en-AU"/>
        </w:rPr>
        <w:t xml:space="preserve"> shows that </w:t>
      </w:r>
      <w:r w:rsidR="00237DA1">
        <w:rPr>
          <w:lang w:eastAsia="en-AU"/>
        </w:rPr>
        <w:t xml:space="preserve">the rate of </w:t>
      </w:r>
      <w:r w:rsidR="00240E30" w:rsidRPr="00240E30">
        <w:rPr>
          <w:lang w:eastAsia="en-AU"/>
        </w:rPr>
        <w:t>annual premium increase</w:t>
      </w:r>
      <w:r w:rsidR="000E6792">
        <w:rPr>
          <w:lang w:eastAsia="en-AU"/>
        </w:rPr>
        <w:t xml:space="preserve">s </w:t>
      </w:r>
      <w:r w:rsidR="0035463F">
        <w:rPr>
          <w:lang w:eastAsia="en-AU"/>
        </w:rPr>
        <w:t>declined across this time.</w:t>
      </w:r>
    </w:p>
    <w:p w14:paraId="571B975E" w14:textId="12F11097" w:rsidR="00BE7C21" w:rsidRDefault="00741568" w:rsidP="00246A2A">
      <w:pPr>
        <w:rPr>
          <w:lang w:eastAsia="en-AU"/>
        </w:rPr>
      </w:pPr>
      <w:r>
        <w:rPr>
          <w:lang w:eastAsia="en-AU"/>
        </w:rPr>
        <w:t>Across this five-year period</w:t>
      </w:r>
      <w:r w:rsidR="001F4335">
        <w:rPr>
          <w:lang w:eastAsia="en-AU"/>
        </w:rPr>
        <w:t xml:space="preserve">, </w:t>
      </w:r>
      <w:r w:rsidR="00C7031D">
        <w:rPr>
          <w:lang w:eastAsia="en-AU"/>
        </w:rPr>
        <w:t>PHI participation</w:t>
      </w:r>
      <w:r w:rsidR="00062523">
        <w:rPr>
          <w:lang w:eastAsia="en-AU"/>
        </w:rPr>
        <w:t xml:space="preserve"> rate</w:t>
      </w:r>
      <w:r w:rsidR="00D874A3">
        <w:rPr>
          <w:lang w:eastAsia="en-AU"/>
        </w:rPr>
        <w:t>s</w:t>
      </w:r>
      <w:r w:rsidR="00C7031D">
        <w:rPr>
          <w:lang w:eastAsia="en-AU"/>
        </w:rPr>
        <w:t xml:space="preserve"> dropped </w:t>
      </w:r>
      <w:r w:rsidR="000974CE">
        <w:rPr>
          <w:lang w:eastAsia="en-AU"/>
        </w:rPr>
        <w:t>from 47</w:t>
      </w:r>
      <w:r w:rsidR="007276A3">
        <w:rPr>
          <w:lang w:eastAsia="en-AU"/>
        </w:rPr>
        <w:t>.01</w:t>
      </w:r>
      <w:r w:rsidR="00C7031D">
        <w:rPr>
          <w:lang w:eastAsia="en-AU"/>
        </w:rPr>
        <w:t>%</w:t>
      </w:r>
      <w:r w:rsidR="00034F3B">
        <w:rPr>
          <w:lang w:eastAsia="en-AU"/>
        </w:rPr>
        <w:t xml:space="preserve"> to 4</w:t>
      </w:r>
      <w:r w:rsidR="007276A3">
        <w:rPr>
          <w:lang w:eastAsia="en-AU"/>
        </w:rPr>
        <w:t>4.55</w:t>
      </w:r>
      <w:r w:rsidR="00034F3B">
        <w:rPr>
          <w:lang w:eastAsia="en-AU"/>
        </w:rPr>
        <w:t>%</w:t>
      </w:r>
      <w:r w:rsidR="007276A3">
        <w:rPr>
          <w:lang w:eastAsia="en-AU"/>
        </w:rPr>
        <w:t>, reaching a low of 43.</w:t>
      </w:r>
      <w:r w:rsidR="002714D7">
        <w:rPr>
          <w:lang w:eastAsia="en-AU"/>
        </w:rPr>
        <w:t>66% in June 2020.</w:t>
      </w:r>
      <w:r w:rsidR="0035463F">
        <w:rPr>
          <w:rStyle w:val="FootnoteReference"/>
          <w:lang w:eastAsia="en-AU"/>
        </w:rPr>
        <w:footnoteReference w:id="59"/>
      </w:r>
    </w:p>
    <w:p w14:paraId="031AF645" w14:textId="7258F6A0" w:rsidR="00133F42" w:rsidRPr="00061139" w:rsidRDefault="00BA7FC0" w:rsidP="00246A2A">
      <w:pPr>
        <w:rPr>
          <w:szCs w:val="19"/>
          <w:lang w:eastAsia="en-AU"/>
        </w:rPr>
      </w:pPr>
      <w:r>
        <w:rPr>
          <w:lang w:eastAsia="en-AU"/>
        </w:rPr>
        <w:t xml:space="preserve">Further detail about </w:t>
      </w:r>
      <w:r w:rsidR="0080464D">
        <w:rPr>
          <w:lang w:eastAsia="en-AU"/>
        </w:rPr>
        <w:t xml:space="preserve">PHI premiums and participation rates is captured in </w:t>
      </w:r>
      <w:r w:rsidR="00287A6B">
        <w:rPr>
          <w:lang w:eastAsia="en-AU"/>
        </w:rPr>
        <w:fldChar w:fldCharType="begin"/>
      </w:r>
      <w:r w:rsidR="00287A6B">
        <w:rPr>
          <w:lang w:eastAsia="en-AU"/>
        </w:rPr>
        <w:instrText xml:space="preserve"> REF _Ref159832999 \r \h </w:instrText>
      </w:r>
      <w:r w:rsidR="00287A6B">
        <w:rPr>
          <w:lang w:eastAsia="en-AU"/>
        </w:rPr>
      </w:r>
      <w:r w:rsidR="00287A6B">
        <w:rPr>
          <w:lang w:eastAsia="en-AU"/>
        </w:rPr>
        <w:fldChar w:fldCharType="separate"/>
      </w:r>
      <w:r w:rsidR="00026714">
        <w:rPr>
          <w:lang w:eastAsia="en-AU"/>
        </w:rPr>
        <w:t>Appendix B</w:t>
      </w:r>
      <w:r w:rsidR="00287A6B">
        <w:rPr>
          <w:lang w:eastAsia="en-AU"/>
        </w:rPr>
        <w:fldChar w:fldCharType="end"/>
      </w:r>
      <w:r w:rsidR="00234535">
        <w:rPr>
          <w:lang w:eastAsia="en-AU"/>
        </w:rPr>
        <w:t xml:space="preserve"> (Indicators </w:t>
      </w:r>
      <w:r w:rsidR="00982CC8">
        <w:rPr>
          <w:lang w:eastAsia="en-AU"/>
        </w:rPr>
        <w:t>6 and 7).</w:t>
      </w:r>
    </w:p>
    <w:p w14:paraId="79B46556" w14:textId="6C13748B" w:rsidR="00876556" w:rsidRDefault="00876556" w:rsidP="00876556">
      <w:pPr>
        <w:pStyle w:val="Caption"/>
        <w:spacing w:before="240" w:after="120"/>
      </w:pPr>
      <w:bookmarkStart w:id="44" w:name="_Ref161919587"/>
      <w:bookmarkEnd w:id="42"/>
      <w:r w:rsidRPr="00F13D06">
        <w:t xml:space="preserve">Figure </w:t>
      </w:r>
      <w:r w:rsidRPr="00F13D06">
        <w:fldChar w:fldCharType="begin"/>
      </w:r>
      <w:r w:rsidRPr="00E47DD3">
        <w:instrText xml:space="preserve"> SEQ Figure \* ARABIC </w:instrText>
      </w:r>
      <w:r w:rsidRPr="00F13D06">
        <w:fldChar w:fldCharType="separate"/>
      </w:r>
      <w:r w:rsidR="00026714">
        <w:rPr>
          <w:noProof/>
        </w:rPr>
        <w:t>12</w:t>
      </w:r>
      <w:r w:rsidRPr="00F13D06">
        <w:fldChar w:fldCharType="end"/>
      </w:r>
      <w:bookmarkEnd w:id="44"/>
      <w:r w:rsidRPr="00F13D06">
        <w:t xml:space="preserve"> | Average year-on-year insurance premium price changes (as % of prior year premiums)</w:t>
      </w:r>
      <w:r w:rsidRPr="00F13D06">
        <w:rPr>
          <w:vertAlign w:val="superscript"/>
        </w:rPr>
        <w:footnoteReference w:id="60"/>
      </w:r>
    </w:p>
    <w:p w14:paraId="18A08BC1" w14:textId="367D50A8" w:rsidR="00876556" w:rsidRDefault="00E76930" w:rsidP="00876556">
      <w:r>
        <w:rPr>
          <w:noProof/>
        </w:rPr>
        <w:drawing>
          <wp:inline distT="0" distB="0" distL="0" distR="0" wp14:anchorId="008BFD8C" wp14:editId="7B5757DD">
            <wp:extent cx="5670550" cy="2480945"/>
            <wp:effectExtent l="0" t="0" r="6350" b="0"/>
            <wp:docPr id="131053469" name="Picture 1" descr="A graph showing average year-on-year insurance premium price changes as % of prior year premiums. A line shows the average price changes from 2016 to 2021 is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3469" name="Picture 1" descr="A graph showing average year-on-year insurance premium price changes as % of prior year premiums. A line shows the average price changes from 2016 to 2021 is 3.8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70550" cy="2480945"/>
                    </a:xfrm>
                    <a:prstGeom prst="rect">
                      <a:avLst/>
                    </a:prstGeom>
                  </pic:spPr>
                </pic:pic>
              </a:graphicData>
            </a:graphic>
          </wp:inline>
        </w:drawing>
      </w:r>
    </w:p>
    <w:p w14:paraId="38A6D4E1" w14:textId="0041FC92" w:rsidR="004F46C6" w:rsidRDefault="00941970" w:rsidP="00032A28">
      <w:pPr>
        <w:pStyle w:val="Heading3"/>
        <w:spacing w:before="400"/>
      </w:pPr>
      <w:r>
        <w:lastRenderedPageBreak/>
        <w:t>Rationale for reform</w:t>
      </w:r>
    </w:p>
    <w:p w14:paraId="4E6E4435" w14:textId="752867C8" w:rsidR="004F46C6" w:rsidRDefault="004F46C6" w:rsidP="004F46C6">
      <w:pPr>
        <w:pStyle w:val="Heading4"/>
      </w:pPr>
      <w:r w:rsidRPr="3787E91E">
        <w:t xml:space="preserve">Reforms to the Prostheses List are part of a broader PHI reform agenda to incentivise uptake of PHI by increasing its affordability while maintaining its value for </w:t>
      </w:r>
      <w:proofErr w:type="gramStart"/>
      <w:r w:rsidRPr="3787E91E">
        <w:t>consumers</w:t>
      </w:r>
      <w:proofErr w:type="gramEnd"/>
    </w:p>
    <w:p w14:paraId="542336F7" w14:textId="5DF8FA84" w:rsidR="005F63BC" w:rsidRDefault="00D4371B" w:rsidP="004F46C6">
      <w:pPr>
        <w:rPr>
          <w:lang w:eastAsia="en-AU"/>
        </w:rPr>
      </w:pPr>
      <w:r>
        <w:rPr>
          <w:lang w:eastAsia="en-AU"/>
        </w:rPr>
        <w:t>The Australian Government determining to reduce</w:t>
      </w:r>
      <w:r w:rsidR="00E12180">
        <w:rPr>
          <w:lang w:eastAsia="en-AU"/>
        </w:rPr>
        <w:t xml:space="preserve"> PL benefits is part of a larger reform agenda to</w:t>
      </w:r>
      <w:r w:rsidR="00C90865">
        <w:rPr>
          <w:lang w:eastAsia="en-AU"/>
        </w:rPr>
        <w:t xml:space="preserve"> improve the affordability</w:t>
      </w:r>
      <w:r>
        <w:rPr>
          <w:lang w:eastAsia="en-AU"/>
        </w:rPr>
        <w:t xml:space="preserve"> of PHI</w:t>
      </w:r>
      <w:r w:rsidR="005F63BC">
        <w:rPr>
          <w:lang w:eastAsia="en-AU"/>
        </w:rPr>
        <w:t xml:space="preserve">. </w:t>
      </w:r>
      <w:r w:rsidR="005F63BC" w:rsidRPr="005F63BC">
        <w:rPr>
          <w:lang w:eastAsia="en-AU"/>
        </w:rPr>
        <w:t>It identified that the costs of prostheses in the private sector is a key driver of PHI premium levels, and reductions to these costs have the potential to support the overall sustainability of PHI</w:t>
      </w:r>
      <w:r w:rsidR="005F63BC">
        <w:rPr>
          <w:lang w:eastAsia="en-AU"/>
        </w:rPr>
        <w:t>.</w:t>
      </w:r>
      <w:r w:rsidR="005F63BC">
        <w:rPr>
          <w:rStyle w:val="FootnoteReference"/>
          <w:lang w:eastAsia="en-AU"/>
        </w:rPr>
        <w:footnoteReference w:id="61"/>
      </w:r>
      <w:r w:rsidR="00386201">
        <w:rPr>
          <w:lang w:eastAsia="en-AU"/>
        </w:rPr>
        <w:t xml:space="preserve"> </w:t>
      </w:r>
    </w:p>
    <w:p w14:paraId="0260DB7A" w14:textId="33E33C2A" w:rsidR="00FD50FA" w:rsidRDefault="004F46C6" w:rsidP="004F46C6">
      <w:pPr>
        <w:rPr>
          <w:lang w:eastAsia="en-AU"/>
        </w:rPr>
      </w:pPr>
      <w:r>
        <w:rPr>
          <w:lang w:eastAsia="en-AU"/>
        </w:rPr>
        <w:t>For this reform to result in increased uptake of PHI, measures to improve affordability must not reduce PHI’s value to consumers.</w:t>
      </w:r>
      <w:r w:rsidR="001235A5">
        <w:rPr>
          <w:lang w:eastAsia="en-AU"/>
        </w:rPr>
        <w:t xml:space="preserve"> </w:t>
      </w:r>
      <w:r w:rsidR="00F3161F">
        <w:rPr>
          <w:lang w:eastAsia="en-AU"/>
        </w:rPr>
        <w:t xml:space="preserve">This reform has identified two core functions </w:t>
      </w:r>
      <w:r w:rsidR="006052DB">
        <w:rPr>
          <w:lang w:eastAsia="en-AU"/>
        </w:rPr>
        <w:t xml:space="preserve">of the PL </w:t>
      </w:r>
      <w:r w:rsidR="00F04E04">
        <w:rPr>
          <w:lang w:eastAsia="en-AU"/>
        </w:rPr>
        <w:t xml:space="preserve">providing value to </w:t>
      </w:r>
      <w:proofErr w:type="gramStart"/>
      <w:r w:rsidR="00F04E04">
        <w:rPr>
          <w:lang w:eastAsia="en-AU"/>
        </w:rPr>
        <w:t>privately-insured</w:t>
      </w:r>
      <w:proofErr w:type="gramEnd"/>
      <w:r w:rsidR="00F04E04">
        <w:rPr>
          <w:lang w:eastAsia="en-AU"/>
        </w:rPr>
        <w:t xml:space="preserve"> Australians that ought to be maintained.</w:t>
      </w:r>
      <w:r w:rsidR="00AA44D7">
        <w:rPr>
          <w:lang w:eastAsia="en-AU"/>
        </w:rPr>
        <w:t xml:space="preserve"> </w:t>
      </w:r>
      <w:r w:rsidRPr="006C2B5C">
        <w:rPr>
          <w:lang w:eastAsia="en-AU"/>
        </w:rPr>
        <w:t xml:space="preserve">The first is that consumers do not need to pay additional out-of-pocket expenses related to </w:t>
      </w:r>
      <w:r w:rsidR="00AA57BD">
        <w:rPr>
          <w:lang w:eastAsia="en-AU"/>
        </w:rPr>
        <w:t>PL</w:t>
      </w:r>
      <w:r w:rsidRPr="006C2B5C">
        <w:rPr>
          <w:lang w:eastAsia="en-AU"/>
        </w:rPr>
        <w:t xml:space="preserve"> products, and the second is that the PL ensures that patients can receive the most clinically appropriate medical devices and human tissue products (as selected by their clinician).</w:t>
      </w:r>
    </w:p>
    <w:p w14:paraId="348C48D3" w14:textId="06938697" w:rsidR="004F46C6" w:rsidRDefault="004F46C6" w:rsidP="00032A28">
      <w:pPr>
        <w:pStyle w:val="Heading3"/>
        <w:spacing w:before="400"/>
      </w:pPr>
      <w:bookmarkStart w:id="45" w:name="_Ref158925193"/>
      <w:r>
        <w:t>How the reform</w:t>
      </w:r>
      <w:r w:rsidR="002A2024">
        <w:t>s</w:t>
      </w:r>
      <w:r>
        <w:t xml:space="preserve"> intend to achieve this objective</w:t>
      </w:r>
      <w:bookmarkEnd w:id="45"/>
    </w:p>
    <w:p w14:paraId="04D295EE" w14:textId="6FF8B4B0" w:rsidR="004F46C6" w:rsidRDefault="00B65D87" w:rsidP="004F46C6">
      <w:pPr>
        <w:pStyle w:val="Heading4"/>
      </w:pPr>
      <w:r w:rsidRPr="3787E91E">
        <w:t xml:space="preserve">Improved PHI affordability and value is expected to follow directly from the achievement of objectives 1, 2 and </w:t>
      </w:r>
      <w:proofErr w:type="gramStart"/>
      <w:r w:rsidRPr="3787E91E">
        <w:t>3</w:t>
      </w:r>
      <w:proofErr w:type="gramEnd"/>
    </w:p>
    <w:p w14:paraId="16EB4339" w14:textId="3605FC24" w:rsidR="004F46C6" w:rsidRDefault="004F46C6" w:rsidP="004F46C6">
      <w:pPr>
        <w:rPr>
          <w:lang w:eastAsia="en-AU"/>
        </w:rPr>
      </w:pPr>
      <w:r>
        <w:rPr>
          <w:lang w:eastAsia="en-AU"/>
        </w:rPr>
        <w:t xml:space="preserve">The achievement of objective </w:t>
      </w:r>
      <w:r w:rsidR="00E744F7">
        <w:rPr>
          <w:lang w:eastAsia="en-AU"/>
        </w:rPr>
        <w:t>1</w:t>
      </w:r>
      <w:r>
        <w:rPr>
          <w:lang w:eastAsia="en-AU"/>
        </w:rPr>
        <w:t xml:space="preserve">, which seeks to reduce the difference between PL benefits paid by PHI and prices in more competitive markets, should place downward pressure on premium growth. If insurers are paying lower benefits for devices, and demand for devices remains stable, then the costs to insurers per policy will decrease. </w:t>
      </w:r>
      <w:r w:rsidRPr="0087590F">
        <w:rPr>
          <w:lang w:eastAsia="en-AU"/>
        </w:rPr>
        <w:t>It is assumed that these savings would be passed on to consumers, at least in part, as private health insurers are subject to regulations and competitive scrutiny regarding the reasonableness of premium increases and the adequacy of benefits provided to policy holders</w:t>
      </w:r>
      <w:r>
        <w:rPr>
          <w:lang w:eastAsia="en-AU"/>
        </w:rPr>
        <w:t xml:space="preserve">. It is unlikely lower benefits will result in reduced premiums as prostheses are only one component of the costs incurred by insurers. However, if the logic of the reforms is sound, any subsequent increases in premiums could be expected to be smaller than they otherwise would have been without the reforms. </w:t>
      </w:r>
    </w:p>
    <w:p w14:paraId="358837D9" w14:textId="74C1E8A9" w:rsidR="004F46C6" w:rsidRPr="001C4A40" w:rsidRDefault="004F46C6" w:rsidP="004F46C6">
      <w:pPr>
        <w:rPr>
          <w:lang w:eastAsia="en-AU"/>
        </w:rPr>
      </w:pPr>
      <w:r>
        <w:rPr>
          <w:lang w:eastAsia="en-AU"/>
        </w:rPr>
        <w:t xml:space="preserve">While objective </w:t>
      </w:r>
      <w:r w:rsidR="00797B10">
        <w:rPr>
          <w:lang w:eastAsia="en-AU"/>
        </w:rPr>
        <w:t>1</w:t>
      </w:r>
      <w:r>
        <w:rPr>
          <w:lang w:eastAsia="en-AU"/>
        </w:rPr>
        <w:t xml:space="preserve"> addresses </w:t>
      </w:r>
      <w:r w:rsidRPr="005040E9">
        <w:rPr>
          <w:lang w:eastAsia="en-AU"/>
        </w:rPr>
        <w:t xml:space="preserve">the affordability of PHI, the achievement of objectives </w:t>
      </w:r>
      <w:r w:rsidR="00797B10">
        <w:rPr>
          <w:lang w:eastAsia="en-AU"/>
        </w:rPr>
        <w:t>2</w:t>
      </w:r>
      <w:r w:rsidRPr="005040E9">
        <w:rPr>
          <w:lang w:eastAsia="en-AU"/>
        </w:rPr>
        <w:t xml:space="preserve"> and </w:t>
      </w:r>
      <w:r w:rsidR="00C2046E">
        <w:rPr>
          <w:lang w:eastAsia="en-AU"/>
        </w:rPr>
        <w:t>3</w:t>
      </w:r>
      <w:r w:rsidRPr="005040E9">
        <w:rPr>
          <w:lang w:eastAsia="en-AU"/>
        </w:rPr>
        <w:t xml:space="preserve"> is intended to address its value.</w:t>
      </w:r>
      <w:r>
        <w:rPr>
          <w:lang w:eastAsia="en-AU"/>
        </w:rPr>
        <w:t xml:space="preserve"> The reform program has been structured to prevent increased PHI affordability being driven simply by diminishing its value. Objectives </w:t>
      </w:r>
      <w:r w:rsidR="00C2046E">
        <w:rPr>
          <w:lang w:eastAsia="en-AU"/>
        </w:rPr>
        <w:t>2</w:t>
      </w:r>
      <w:r>
        <w:rPr>
          <w:lang w:eastAsia="en-AU"/>
        </w:rPr>
        <w:t xml:space="preserve"> and </w:t>
      </w:r>
      <w:r w:rsidR="00C2046E">
        <w:rPr>
          <w:lang w:eastAsia="en-AU"/>
        </w:rPr>
        <w:t>3</w:t>
      </w:r>
      <w:r>
        <w:rPr>
          <w:lang w:eastAsia="en-AU"/>
        </w:rPr>
        <w:t xml:space="preserve"> aim to maintain the key functions of the PL in creating value for </w:t>
      </w:r>
      <w:proofErr w:type="gramStart"/>
      <w:r>
        <w:rPr>
          <w:lang w:eastAsia="en-AU"/>
        </w:rPr>
        <w:t>privately-insured</w:t>
      </w:r>
      <w:proofErr w:type="gramEnd"/>
      <w:r>
        <w:rPr>
          <w:lang w:eastAsia="en-AU"/>
        </w:rPr>
        <w:t xml:space="preserve"> customers through maintaining the absence of out-of-pocket costs and maintaining clinician choice. If these objectives are achieved, then PHI will continue to allow access to the same medical devices, and with no additional costs to consumers, representing at least a maintained level of value associated with PHI.</w:t>
      </w:r>
    </w:p>
    <w:p w14:paraId="45D33EC6" w14:textId="6841085A" w:rsidR="004F46C6" w:rsidRDefault="001D5357" w:rsidP="00032A28">
      <w:pPr>
        <w:pStyle w:val="Heading3"/>
        <w:spacing w:before="400"/>
      </w:pPr>
      <w:r>
        <w:t>How this will be evaluated</w:t>
      </w:r>
    </w:p>
    <w:p w14:paraId="24DEEE89" w14:textId="16DF2F47" w:rsidR="00C172A8" w:rsidRPr="00C172A8" w:rsidRDefault="003B6482" w:rsidP="00C172A8">
      <w:pPr>
        <w:pStyle w:val="Heading4"/>
      </w:pPr>
      <w:r w:rsidRPr="3787E91E">
        <w:t xml:space="preserve">Notable changes in </w:t>
      </w:r>
      <w:r w:rsidR="00120CA5" w:rsidRPr="3787E91E">
        <w:t>PHI pricing and coverage will be monitored, and evidence gathered to assess the</w:t>
      </w:r>
      <w:r w:rsidR="008828E5" w:rsidRPr="3787E91E">
        <w:t xml:space="preserve"> relative contribution of the PL reforms to any </w:t>
      </w:r>
      <w:proofErr w:type="gramStart"/>
      <w:r w:rsidR="008828E5" w:rsidRPr="3787E91E">
        <w:t>changes</w:t>
      </w:r>
      <w:proofErr w:type="gramEnd"/>
    </w:p>
    <w:p w14:paraId="2A1BE32B" w14:textId="0E775C74" w:rsidR="004F46C6" w:rsidRDefault="004F46C6" w:rsidP="004F46C6">
      <w:pPr>
        <w:rPr>
          <w:lang w:eastAsia="en-AU"/>
        </w:rPr>
      </w:pPr>
      <w:bookmarkStart w:id="46" w:name="_Hlk159266197"/>
      <w:r>
        <w:rPr>
          <w:lang w:eastAsia="en-AU"/>
        </w:rPr>
        <w:t xml:space="preserve">The achievement of this objective will be assessed through </w:t>
      </w:r>
      <w:r w:rsidR="00E77A1E">
        <w:rPr>
          <w:lang w:eastAsia="en-AU"/>
        </w:rPr>
        <w:t>looking at</w:t>
      </w:r>
      <w:r>
        <w:rPr>
          <w:lang w:eastAsia="en-AU"/>
        </w:rPr>
        <w:t>:</w:t>
      </w:r>
    </w:p>
    <w:p w14:paraId="4CFBBAF4" w14:textId="5EC60045" w:rsidR="004F46C6" w:rsidRPr="001C5269" w:rsidRDefault="004F46C6" w:rsidP="00662DDD">
      <w:pPr>
        <w:pStyle w:val="NewListBulletPoint"/>
        <w:numPr>
          <w:ilvl w:val="0"/>
          <w:numId w:val="19"/>
        </w:numPr>
      </w:pPr>
      <w:r w:rsidRPr="001C5269">
        <w:t xml:space="preserve">The change in PHI premium increases, which aims to track changes in </w:t>
      </w:r>
      <w:proofErr w:type="gramStart"/>
      <w:r w:rsidRPr="001C5269">
        <w:t>affordability</w:t>
      </w:r>
      <w:proofErr w:type="gramEnd"/>
    </w:p>
    <w:p w14:paraId="07F0ACA6" w14:textId="77777777" w:rsidR="004F46C6" w:rsidRPr="001C5269" w:rsidRDefault="004F46C6" w:rsidP="00D519F2">
      <w:pPr>
        <w:pStyle w:val="NewListBulletPoint"/>
      </w:pPr>
      <w:r w:rsidRPr="001C5269">
        <w:t xml:space="preserve">The change in PHI coverage and for whom, which aims to track changes in perceived </w:t>
      </w:r>
      <w:proofErr w:type="gramStart"/>
      <w:r w:rsidRPr="001C5269">
        <w:t>value</w:t>
      </w:r>
      <w:bookmarkEnd w:id="46"/>
      <w:proofErr w:type="gramEnd"/>
    </w:p>
    <w:p w14:paraId="79146FC2" w14:textId="37B077CC" w:rsidR="00E77A1E" w:rsidRPr="001C5269" w:rsidRDefault="00E77A1E" w:rsidP="00D519F2">
      <w:pPr>
        <w:pStyle w:val="NewListBulletPoint"/>
      </w:pPr>
      <w:r w:rsidRPr="001C5269">
        <w:t>Any evidence for the contribution of the PL reforms to changes to</w:t>
      </w:r>
      <w:r w:rsidR="007B61EA" w:rsidRPr="001C5269">
        <w:t xml:space="preserve"> points</w:t>
      </w:r>
      <w:r w:rsidRPr="001C5269">
        <w:t xml:space="preserve"> 1 or 2.</w:t>
      </w:r>
    </w:p>
    <w:p w14:paraId="0D82E3F6" w14:textId="361946E9" w:rsidR="007440C1" w:rsidRDefault="007440C1" w:rsidP="00D519F2">
      <w:r>
        <w:t xml:space="preserve">If PHI premiums increase by lower amounts than would have otherwise been expected, and there is reason to attribute that change to the </w:t>
      </w:r>
      <w:r w:rsidR="006F4A3E">
        <w:t xml:space="preserve">projects of the </w:t>
      </w:r>
      <w:r>
        <w:t>PL reform</w:t>
      </w:r>
      <w:r w:rsidR="006F4A3E">
        <w:t>s</w:t>
      </w:r>
      <w:r>
        <w:t xml:space="preserve">, then there is reason to believe that the first part </w:t>
      </w:r>
      <w:r>
        <w:lastRenderedPageBreak/>
        <w:t>of this objective, improving affordability, has been achieved. Similarly,</w:t>
      </w:r>
      <w:r w:rsidR="0066367E">
        <w:t xml:space="preserve"> if PHI coverage increases, this would indicate that consumers see PHI as more valuable</w:t>
      </w:r>
      <w:r w:rsidR="00AD45E6">
        <w:t xml:space="preserve"> relative to </w:t>
      </w:r>
      <w:r w:rsidR="00286CBF">
        <w:t>its</w:t>
      </w:r>
      <w:r w:rsidR="00AD45E6">
        <w:t xml:space="preserve"> cost.</w:t>
      </w:r>
    </w:p>
    <w:p w14:paraId="51F0978A" w14:textId="704FCBF9" w:rsidR="00F25DCA" w:rsidRDefault="00F25DCA" w:rsidP="00D519F2">
      <w:r>
        <w:t>Indicators</w:t>
      </w:r>
      <w:r w:rsidR="003442B5">
        <w:t xml:space="preserve"> 6 and 7, outlined in </w:t>
      </w:r>
      <w:r w:rsidR="0011133A">
        <w:fldChar w:fldCharType="begin"/>
      </w:r>
      <w:r w:rsidR="0011133A">
        <w:instrText xml:space="preserve"> REF _Ref159836628 \r \h </w:instrText>
      </w:r>
      <w:r w:rsidR="00D519F2">
        <w:instrText xml:space="preserve"> \* MERGEFORMAT </w:instrText>
      </w:r>
      <w:r w:rsidR="0011133A">
        <w:fldChar w:fldCharType="separate"/>
      </w:r>
      <w:r w:rsidR="00026714">
        <w:t>Appendix B</w:t>
      </w:r>
      <w:r w:rsidR="0011133A">
        <w:fldChar w:fldCharType="end"/>
      </w:r>
      <w:r w:rsidR="00AD45E6">
        <w:t xml:space="preserve">, </w:t>
      </w:r>
      <w:r w:rsidR="002A3824">
        <w:t xml:space="preserve">will be used to monitor these and </w:t>
      </w:r>
      <w:r w:rsidR="005A2295">
        <w:t>evaluate the PL reform program’s contribution.</w:t>
      </w:r>
    </w:p>
    <w:p w14:paraId="5C0D4AE1" w14:textId="52197B8C" w:rsidR="004F46C6" w:rsidRPr="005356B4" w:rsidRDefault="004F46C6" w:rsidP="004F46C6">
      <w:pPr>
        <w:pStyle w:val="Heading2"/>
      </w:pPr>
      <w:bookmarkStart w:id="47" w:name="_Toc179453682"/>
      <w:r w:rsidRPr="3787E91E">
        <w:t xml:space="preserve">Objective 5: Clarify the purpose, definition and scope of the PL in </w:t>
      </w:r>
      <w:proofErr w:type="gramStart"/>
      <w:r w:rsidRPr="3787E91E">
        <w:t>legislation</w:t>
      </w:r>
      <w:bookmarkEnd w:id="47"/>
      <w:proofErr w:type="gramEnd"/>
    </w:p>
    <w:p w14:paraId="75A7CC05" w14:textId="4FB1EBE9" w:rsidR="00614C3A" w:rsidRDefault="008E33B4" w:rsidP="004A020D">
      <w:pPr>
        <w:pStyle w:val="Caption"/>
        <w:rPr>
          <w:lang w:eastAsia="en-AU"/>
        </w:rPr>
      </w:pPr>
      <w:r>
        <w:t xml:space="preserve">Figure </w:t>
      </w:r>
      <w:r>
        <w:fldChar w:fldCharType="begin"/>
      </w:r>
      <w:r>
        <w:instrText xml:space="preserve"> SEQ Figure \* ARABIC </w:instrText>
      </w:r>
      <w:r>
        <w:fldChar w:fldCharType="separate"/>
      </w:r>
      <w:r w:rsidR="00026714">
        <w:rPr>
          <w:noProof/>
        </w:rPr>
        <w:t>13</w:t>
      </w:r>
      <w:r>
        <w:fldChar w:fldCharType="end"/>
      </w:r>
      <w:r>
        <w:t xml:space="preserve"> | Reform </w:t>
      </w:r>
      <w:r w:rsidR="008D714D">
        <w:t>projects</w:t>
      </w:r>
      <w:r>
        <w:t xml:space="preserve"> related to reform objective </w:t>
      </w:r>
      <w:proofErr w:type="gramStart"/>
      <w:r>
        <w:t>5</w:t>
      </w:r>
      <w:proofErr w:type="gramEnd"/>
    </w:p>
    <w:p w14:paraId="5AC9A249" w14:textId="464DF25F" w:rsidR="008E33B4" w:rsidRPr="00614C3A" w:rsidRDefault="00F727F6" w:rsidP="00614C3A">
      <w:pPr>
        <w:rPr>
          <w:lang w:eastAsia="en-AU"/>
        </w:rPr>
      </w:pPr>
      <w:r w:rsidRPr="00F727F6">
        <w:rPr>
          <w:noProof/>
          <w:lang w:eastAsia="en-AU"/>
        </w:rPr>
        <w:drawing>
          <wp:inline distT="0" distB="0" distL="0" distR="0" wp14:anchorId="3757FDF4" wp14:editId="167EDC67">
            <wp:extent cx="5670550" cy="1035050"/>
            <wp:effectExtent l="0" t="0" r="6350" b="0"/>
            <wp:docPr id="468360584" name="Picture 1" descr="A figure showing Objective 5. Purpose, definition and scope of the PL connected to three reform projects. The projects are clarifying the scope and definition in legislation, regrouping of the PL, and review general us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60584" name="Picture 1" descr="A figure showing Objective 5. Purpose, definition and scope of the PL connected to three reform projects. The projects are clarifying the scope and definition in legislation, regrouping of the PL, and review general use items."/>
                    <pic:cNvPicPr/>
                  </pic:nvPicPr>
                  <pic:blipFill>
                    <a:blip r:embed="rId39"/>
                    <a:stretch>
                      <a:fillRect/>
                    </a:stretch>
                  </pic:blipFill>
                  <pic:spPr>
                    <a:xfrm>
                      <a:off x="0" y="0"/>
                      <a:ext cx="5670550" cy="1035050"/>
                    </a:xfrm>
                    <a:prstGeom prst="rect">
                      <a:avLst/>
                    </a:prstGeom>
                  </pic:spPr>
                </pic:pic>
              </a:graphicData>
            </a:graphic>
          </wp:inline>
        </w:drawing>
      </w:r>
    </w:p>
    <w:p w14:paraId="04FE80B2" w14:textId="5FA45F97" w:rsidR="004F46C6" w:rsidRDefault="00AA72EE" w:rsidP="00032A28">
      <w:pPr>
        <w:pStyle w:val="Heading3"/>
        <w:spacing w:before="400"/>
      </w:pPr>
      <w:r>
        <w:t>Baseline position</w:t>
      </w:r>
    </w:p>
    <w:p w14:paraId="2B734415" w14:textId="3C30F663" w:rsidR="0006125A" w:rsidRDefault="0006125A" w:rsidP="0006125A">
      <w:pPr>
        <w:pStyle w:val="Heading4"/>
      </w:pPr>
      <w:r w:rsidRPr="3787E91E">
        <w:t xml:space="preserve">The arrangements of the PL were set in </w:t>
      </w:r>
      <w:proofErr w:type="gramStart"/>
      <w:r w:rsidRPr="3787E91E">
        <w:t>legislation</w:t>
      </w:r>
      <w:r w:rsidR="003077ED" w:rsidRPr="3787E91E">
        <w:t>,</w:t>
      </w:r>
      <w:proofErr w:type="gramEnd"/>
      <w:r w:rsidR="003077ED" w:rsidRPr="3787E91E">
        <w:t xml:space="preserve"> however </w:t>
      </w:r>
      <w:r w:rsidR="00632F2B" w:rsidRPr="3787E91E">
        <w:t xml:space="preserve">its purpose, </w:t>
      </w:r>
      <w:r w:rsidR="00295AAA" w:rsidRPr="3787E91E">
        <w:t xml:space="preserve">scope and definition were </w:t>
      </w:r>
      <w:r w:rsidR="00230C0C" w:rsidRPr="3787E91E">
        <w:t xml:space="preserve">outlined </w:t>
      </w:r>
      <w:r w:rsidR="002F4956" w:rsidRPr="3787E91E">
        <w:t xml:space="preserve">separately in </w:t>
      </w:r>
      <w:r w:rsidR="00110B3E" w:rsidRPr="3787E91E">
        <w:t>guidance documentation</w:t>
      </w:r>
      <w:r w:rsidR="00E55430" w:rsidRPr="3787E91E">
        <w:rPr>
          <w:rStyle w:val="FootnoteReference"/>
          <w:rFonts w:cs="Arial"/>
        </w:rPr>
        <w:footnoteReference w:id="62"/>
      </w:r>
      <w:r w:rsidR="00082096" w:rsidRPr="3787E91E">
        <w:t xml:space="preserve"> </w:t>
      </w:r>
    </w:p>
    <w:p w14:paraId="095AADF5" w14:textId="12843DA3" w:rsidR="00A321EB" w:rsidRDefault="00314590" w:rsidP="00C16671">
      <w:r w:rsidRPr="00314590">
        <w:t>Legislation is the mechanism that dictates private health insurers are to pay the PL benefit for PL items when used on appropriately insured persons.</w:t>
      </w:r>
      <w:r w:rsidRPr="00314590">
        <w:rPr>
          <w:szCs w:val="19"/>
          <w:lang w:eastAsia="en-AU"/>
        </w:rPr>
        <w:t xml:space="preserve"> </w:t>
      </w:r>
      <w:r w:rsidR="0006125A" w:rsidRPr="00D377CF">
        <w:rPr>
          <w:szCs w:val="19"/>
          <w:lang w:eastAsia="en-AU"/>
        </w:rPr>
        <w:t xml:space="preserve">At the baseline date (11 May </w:t>
      </w:r>
      <w:r w:rsidRPr="00314590">
        <w:rPr>
          <w:szCs w:val="19"/>
          <w:lang w:eastAsia="en-AU"/>
        </w:rPr>
        <w:t>2021</w:t>
      </w:r>
      <w:r w:rsidR="003D59AD">
        <w:rPr>
          <w:szCs w:val="19"/>
          <w:lang w:eastAsia="en-AU"/>
        </w:rPr>
        <w:t xml:space="preserve">), </w:t>
      </w:r>
      <w:r w:rsidR="00AA472B">
        <w:rPr>
          <w:szCs w:val="19"/>
          <w:lang w:eastAsia="en-AU"/>
        </w:rPr>
        <w:t>t</w:t>
      </w:r>
      <w:r w:rsidR="00627D12" w:rsidRPr="00627D12">
        <w:t xml:space="preserve">he PL was Schedule 1 of the </w:t>
      </w:r>
      <w:r w:rsidR="00627D12" w:rsidRPr="00AA472B">
        <w:rPr>
          <w:i/>
        </w:rPr>
        <w:t>Private Health Insurance (Prostheses) Rules</w:t>
      </w:r>
      <w:r w:rsidR="003D59AD">
        <w:t>.</w:t>
      </w:r>
      <w:r w:rsidR="00627D12" w:rsidRPr="00627D12">
        <w:t xml:space="preserve"> </w:t>
      </w:r>
      <w:r w:rsidR="003D59AD">
        <w:t>This was</w:t>
      </w:r>
      <w:r w:rsidR="00627D12" w:rsidRPr="00627D12">
        <w:t xml:space="preserve"> a legislative instrument made under the </w:t>
      </w:r>
      <w:r w:rsidR="00627D12" w:rsidRPr="00627D12">
        <w:rPr>
          <w:i/>
          <w:iCs/>
        </w:rPr>
        <w:t>Private Health Insurance Act 2007</w:t>
      </w:r>
      <w:r w:rsidR="00627D12" w:rsidRPr="00627D12">
        <w:t>.</w:t>
      </w:r>
      <w:r w:rsidR="0006125A" w:rsidRPr="00314590">
        <w:t xml:space="preserve"> </w:t>
      </w:r>
      <w:r w:rsidRPr="00314590">
        <w:t>This would legislate that private health insurers pay at least the minimum benefit accorded to each prosthesis listed on the PL.</w:t>
      </w:r>
      <w:r w:rsidRPr="00314590">
        <w:rPr>
          <w:rStyle w:val="FootnoteReference"/>
        </w:rPr>
        <w:footnoteReference w:id="63"/>
      </w:r>
    </w:p>
    <w:p w14:paraId="721DA2E1" w14:textId="45908994" w:rsidR="00C16671" w:rsidRDefault="00952BE2" w:rsidP="00C16671">
      <w:pPr>
        <w:rPr>
          <w:szCs w:val="19"/>
          <w:lang w:eastAsia="en-AU"/>
        </w:rPr>
      </w:pPr>
      <w:r>
        <w:rPr>
          <w:szCs w:val="19"/>
          <w:lang w:eastAsia="en-AU"/>
        </w:rPr>
        <w:t xml:space="preserve">Further detail about the </w:t>
      </w:r>
      <w:r w:rsidR="00AB05D0">
        <w:rPr>
          <w:szCs w:val="19"/>
          <w:lang w:eastAsia="en-AU"/>
        </w:rPr>
        <w:t xml:space="preserve">PL was </w:t>
      </w:r>
      <w:r w:rsidR="00ED2E8E">
        <w:rPr>
          <w:szCs w:val="19"/>
          <w:lang w:eastAsia="en-AU"/>
        </w:rPr>
        <w:t xml:space="preserve">expounded </w:t>
      </w:r>
      <w:r w:rsidR="00D23C75">
        <w:rPr>
          <w:szCs w:val="19"/>
          <w:lang w:eastAsia="en-AU"/>
        </w:rPr>
        <w:t xml:space="preserve">in the Prostheses List Guide </w:t>
      </w:r>
      <w:r w:rsidR="001C2BF7">
        <w:rPr>
          <w:szCs w:val="19"/>
          <w:lang w:eastAsia="en-AU"/>
        </w:rPr>
        <w:t xml:space="preserve">2017 </w:t>
      </w:r>
      <w:r w:rsidR="00D23C75">
        <w:rPr>
          <w:szCs w:val="19"/>
          <w:lang w:eastAsia="en-AU"/>
        </w:rPr>
        <w:t>(PL Guide)</w:t>
      </w:r>
      <w:r w:rsidR="00F7543B">
        <w:rPr>
          <w:szCs w:val="19"/>
          <w:lang w:eastAsia="en-AU"/>
        </w:rPr>
        <w:t>.</w:t>
      </w:r>
      <w:r w:rsidR="00D23C75">
        <w:rPr>
          <w:szCs w:val="19"/>
          <w:lang w:eastAsia="en-AU"/>
        </w:rPr>
        <w:t xml:space="preserve"> </w:t>
      </w:r>
      <w:r w:rsidR="00F7543B">
        <w:rPr>
          <w:szCs w:val="19"/>
          <w:lang w:eastAsia="en-AU"/>
        </w:rPr>
        <w:t>N</w:t>
      </w:r>
      <w:r w:rsidR="00D23C75">
        <w:rPr>
          <w:szCs w:val="19"/>
          <w:lang w:eastAsia="en-AU"/>
        </w:rPr>
        <w:t>otably</w:t>
      </w:r>
      <w:r w:rsidR="00F7543B">
        <w:rPr>
          <w:szCs w:val="19"/>
          <w:lang w:eastAsia="en-AU"/>
        </w:rPr>
        <w:t xml:space="preserve"> t</w:t>
      </w:r>
      <w:r w:rsidR="00C16671" w:rsidRPr="00243BC8">
        <w:rPr>
          <w:szCs w:val="19"/>
          <w:lang w:eastAsia="en-AU"/>
        </w:rPr>
        <w:t xml:space="preserve">he stated </w:t>
      </w:r>
      <w:r w:rsidR="00686F04">
        <w:rPr>
          <w:szCs w:val="19"/>
          <w:lang w:eastAsia="en-AU"/>
        </w:rPr>
        <w:t>purpose</w:t>
      </w:r>
      <w:r w:rsidR="00C16671" w:rsidRPr="00243BC8">
        <w:rPr>
          <w:szCs w:val="19"/>
          <w:lang w:eastAsia="en-AU"/>
        </w:rPr>
        <w:t xml:space="preserve"> of the PL</w:t>
      </w:r>
      <w:r w:rsidR="00420BC9">
        <w:rPr>
          <w:szCs w:val="19"/>
          <w:lang w:eastAsia="en-AU"/>
        </w:rPr>
        <w:t>,</w:t>
      </w:r>
      <w:r w:rsidR="00C16671" w:rsidRPr="00243BC8">
        <w:rPr>
          <w:szCs w:val="19"/>
          <w:lang w:eastAsia="en-AU"/>
        </w:rPr>
        <w:t xml:space="preserve"> to “ensure that privately insured Australians have access to clinically effective prostheses that meet their health care needs”</w:t>
      </w:r>
      <w:r w:rsidR="00C16671" w:rsidRPr="00243BC8">
        <w:rPr>
          <w:rStyle w:val="FootnoteReference"/>
          <w:szCs w:val="19"/>
          <w:lang w:eastAsia="en-AU"/>
        </w:rPr>
        <w:footnoteReference w:id="64"/>
      </w:r>
      <w:r w:rsidR="00C16671" w:rsidRPr="00243BC8">
        <w:rPr>
          <w:szCs w:val="19"/>
          <w:lang w:eastAsia="en-AU"/>
        </w:rPr>
        <w:t xml:space="preserve"> was not defined in</w:t>
      </w:r>
      <w:r w:rsidR="00F75CD2">
        <w:rPr>
          <w:szCs w:val="19"/>
          <w:lang w:eastAsia="en-AU"/>
        </w:rPr>
        <w:t xml:space="preserve"> this</w:t>
      </w:r>
      <w:r w:rsidR="00C16671" w:rsidRPr="00243BC8">
        <w:rPr>
          <w:szCs w:val="19"/>
          <w:lang w:eastAsia="en-AU"/>
        </w:rPr>
        <w:t xml:space="preserve"> legislation, rather it was stated in the </w:t>
      </w:r>
      <w:r w:rsidR="004C5759">
        <w:rPr>
          <w:szCs w:val="19"/>
          <w:lang w:eastAsia="en-AU"/>
        </w:rPr>
        <w:t>PL</w:t>
      </w:r>
      <w:r w:rsidR="00C16671" w:rsidRPr="00243BC8">
        <w:rPr>
          <w:szCs w:val="19"/>
          <w:lang w:eastAsia="en-AU"/>
        </w:rPr>
        <w:t xml:space="preserve"> Guide as the basis of decisions about device listings</w:t>
      </w:r>
      <w:r w:rsidR="005E16C5">
        <w:rPr>
          <w:szCs w:val="19"/>
          <w:lang w:eastAsia="en-AU"/>
        </w:rPr>
        <w:t>.</w:t>
      </w:r>
      <w:r w:rsidR="00C16671" w:rsidRPr="00243BC8">
        <w:rPr>
          <w:rStyle w:val="FootnoteReference"/>
          <w:szCs w:val="19"/>
          <w:lang w:eastAsia="en-AU"/>
        </w:rPr>
        <w:footnoteReference w:id="65"/>
      </w:r>
      <w:r w:rsidR="00C16671" w:rsidRPr="00243BC8">
        <w:rPr>
          <w:szCs w:val="19"/>
          <w:lang w:eastAsia="en-AU"/>
        </w:rPr>
        <w:t xml:space="preserve"> ​</w:t>
      </w:r>
    </w:p>
    <w:p w14:paraId="0007A4C9" w14:textId="18B8518F" w:rsidR="0006125A" w:rsidRPr="00D377CF" w:rsidRDefault="00DA3A11" w:rsidP="0006125A">
      <w:pPr>
        <w:rPr>
          <w:szCs w:val="19"/>
          <w:lang w:eastAsia="en-AU"/>
        </w:rPr>
      </w:pPr>
      <w:r>
        <w:t>Similarly, t</w:t>
      </w:r>
      <w:r w:rsidR="00B22457">
        <w:t xml:space="preserve">he PL </w:t>
      </w:r>
      <w:r w:rsidR="00902D70">
        <w:t>Guide</w:t>
      </w:r>
      <w:r w:rsidR="007C4596">
        <w:t xml:space="preserve"> provided the only available guidance regarding the</w:t>
      </w:r>
      <w:r w:rsidR="00842D57">
        <w:t xml:space="preserve"> scope of the PL, </w:t>
      </w:r>
      <w:r w:rsidR="00510867">
        <w:t>by articulating</w:t>
      </w:r>
      <w:r w:rsidR="00931FF0">
        <w:t xml:space="preserve"> </w:t>
      </w:r>
      <w:r w:rsidR="00AD59C2">
        <w:t xml:space="preserve">the criteria for listing </w:t>
      </w:r>
      <w:r w:rsidR="00386AC2">
        <w:t>products on the PL.</w:t>
      </w:r>
      <w:r w:rsidR="00083C29">
        <w:t xml:space="preserve"> This differed across the three parts of the PL</w:t>
      </w:r>
      <w:r w:rsidR="003810F7">
        <w:rPr>
          <w:szCs w:val="19"/>
          <w:lang w:eastAsia="en-AU"/>
        </w:rPr>
        <w:t>:</w:t>
      </w:r>
      <w:r w:rsidR="0006125A" w:rsidRPr="00D377CF">
        <w:rPr>
          <w:rStyle w:val="FootnoteReference"/>
          <w:szCs w:val="19"/>
          <w:lang w:eastAsia="en-AU"/>
        </w:rPr>
        <w:footnoteReference w:id="66"/>
      </w:r>
    </w:p>
    <w:p w14:paraId="61C3DC27" w14:textId="6892B98C" w:rsidR="00187ADA" w:rsidRDefault="0006125A" w:rsidP="0006125A">
      <w:pPr>
        <w:rPr>
          <w:szCs w:val="19"/>
          <w:lang w:eastAsia="en-AU"/>
        </w:rPr>
      </w:pPr>
      <w:r w:rsidRPr="00D377CF">
        <w:rPr>
          <w:rFonts w:asciiTheme="majorHAnsi" w:hAnsiTheme="majorHAnsi" w:cstheme="majorHAnsi"/>
          <w:szCs w:val="19"/>
          <w:lang w:eastAsia="en-AU"/>
        </w:rPr>
        <w:t>Part A</w:t>
      </w:r>
      <w:r w:rsidRPr="00D377CF">
        <w:rPr>
          <w:szCs w:val="19"/>
          <w:lang w:eastAsia="en-AU"/>
        </w:rPr>
        <w:t xml:space="preserve"> – </w:t>
      </w:r>
      <w:r w:rsidRPr="003810F7">
        <w:rPr>
          <w:szCs w:val="19"/>
          <w:lang w:eastAsia="en-AU"/>
        </w:rPr>
        <w:t xml:space="preserve">Prostheses that </w:t>
      </w:r>
      <w:r w:rsidR="006F07AB" w:rsidRPr="003810F7">
        <w:rPr>
          <w:szCs w:val="19"/>
          <w:lang w:eastAsia="en-AU"/>
        </w:rPr>
        <w:t xml:space="preserve">satisfy the criteria for listing agreed by </w:t>
      </w:r>
      <w:r w:rsidR="006F07AB" w:rsidRPr="009348F0">
        <w:rPr>
          <w:szCs w:val="19"/>
          <w:lang w:eastAsia="en-AU"/>
        </w:rPr>
        <w:t>PL</w:t>
      </w:r>
      <w:r w:rsidR="009348F0" w:rsidRPr="009348F0">
        <w:rPr>
          <w:szCs w:val="19"/>
          <w:lang w:eastAsia="en-AU"/>
        </w:rPr>
        <w:t xml:space="preserve"> </w:t>
      </w:r>
      <w:r w:rsidR="006F07AB" w:rsidRPr="009348F0">
        <w:rPr>
          <w:szCs w:val="19"/>
          <w:lang w:eastAsia="en-AU"/>
        </w:rPr>
        <w:t>A</w:t>
      </w:r>
      <w:r w:rsidR="009348F0" w:rsidRPr="009348F0">
        <w:rPr>
          <w:szCs w:val="19"/>
          <w:lang w:eastAsia="en-AU"/>
        </w:rPr>
        <w:t xml:space="preserve">dvisory </w:t>
      </w:r>
      <w:r w:rsidR="006F07AB" w:rsidRPr="009348F0">
        <w:rPr>
          <w:szCs w:val="19"/>
          <w:lang w:eastAsia="en-AU"/>
        </w:rPr>
        <w:t>C</w:t>
      </w:r>
      <w:r w:rsidR="009348F0" w:rsidRPr="009348F0">
        <w:rPr>
          <w:szCs w:val="19"/>
          <w:lang w:eastAsia="en-AU"/>
        </w:rPr>
        <w:t>ommittee</w:t>
      </w:r>
      <w:r w:rsidR="006F07AB" w:rsidRPr="003810F7">
        <w:rPr>
          <w:szCs w:val="19"/>
          <w:lang w:eastAsia="en-AU"/>
        </w:rPr>
        <w:t xml:space="preserve"> and approved by the Minister</w:t>
      </w:r>
      <w:r w:rsidR="003810F7">
        <w:rPr>
          <w:szCs w:val="19"/>
          <w:lang w:eastAsia="en-AU"/>
        </w:rPr>
        <w:t xml:space="preserve">. The listing criteria </w:t>
      </w:r>
      <w:r w:rsidR="00777572">
        <w:rPr>
          <w:szCs w:val="19"/>
          <w:lang w:eastAsia="en-AU"/>
        </w:rPr>
        <w:t xml:space="preserve">for Part A </w:t>
      </w:r>
      <w:r w:rsidR="003810F7">
        <w:rPr>
          <w:szCs w:val="19"/>
          <w:lang w:eastAsia="en-AU"/>
        </w:rPr>
        <w:t xml:space="preserve">is provided in the PL Guide, </w:t>
      </w:r>
      <w:r w:rsidR="00F129C7">
        <w:rPr>
          <w:szCs w:val="19"/>
          <w:lang w:eastAsia="en-AU"/>
        </w:rPr>
        <w:t xml:space="preserve">and narrows the scope to </w:t>
      </w:r>
      <w:proofErr w:type="gramStart"/>
      <w:r w:rsidR="00F129C7">
        <w:rPr>
          <w:szCs w:val="19"/>
          <w:lang w:eastAsia="en-AU"/>
        </w:rPr>
        <w:t>include</w:t>
      </w:r>
      <w:r w:rsidR="001B2422">
        <w:rPr>
          <w:szCs w:val="19"/>
          <w:lang w:eastAsia="en-AU"/>
        </w:rPr>
        <w:t>;</w:t>
      </w:r>
      <w:proofErr w:type="gramEnd"/>
      <w:r w:rsidR="003810F7">
        <w:rPr>
          <w:szCs w:val="19"/>
          <w:lang w:eastAsia="en-AU"/>
        </w:rPr>
        <w:t xml:space="preserve"> </w:t>
      </w:r>
    </w:p>
    <w:p w14:paraId="01D8DAC8" w14:textId="2927C249" w:rsidR="00A25E6B" w:rsidRPr="00901623" w:rsidRDefault="00441DC6" w:rsidP="00901623">
      <w:pPr>
        <w:pStyle w:val="Bullet"/>
      </w:pPr>
      <w:r w:rsidRPr="00901623">
        <w:t>Pro</w:t>
      </w:r>
      <w:r w:rsidR="000C09D0" w:rsidRPr="00901623">
        <w:t>stheses</w:t>
      </w:r>
      <w:r w:rsidRPr="00901623">
        <w:t xml:space="preserve"> entered and current on the Australian Register of Therapeutic Goods</w:t>
      </w:r>
      <w:r w:rsidR="00A87A81" w:rsidRPr="00901623">
        <w:t>.</w:t>
      </w:r>
    </w:p>
    <w:p w14:paraId="3DC7ECED" w14:textId="75553DD7" w:rsidR="00A25E6B" w:rsidRPr="00901623" w:rsidRDefault="000C09D0" w:rsidP="00901623">
      <w:pPr>
        <w:pStyle w:val="Bullet"/>
      </w:pPr>
      <w:r w:rsidRPr="00901623">
        <w:t>P</w:t>
      </w:r>
      <w:r w:rsidR="00A25E6B" w:rsidRPr="00901623">
        <w:t>rostheses that are used</w:t>
      </w:r>
      <w:r w:rsidR="00441DC6" w:rsidRPr="00901623">
        <w:t xml:space="preserve"> as part of hospital </w:t>
      </w:r>
      <w:r w:rsidR="00A25E6B" w:rsidRPr="00901623">
        <w:t>or hospital-substitute treatment where a Medicare benefit must be paid to the doctor for the procedure performed</w:t>
      </w:r>
      <w:r w:rsidR="00A87A81" w:rsidRPr="00901623">
        <w:t>.</w:t>
      </w:r>
    </w:p>
    <w:p w14:paraId="72A480CA" w14:textId="3F67A111" w:rsidR="00AE0F53" w:rsidRPr="00901623" w:rsidRDefault="000C09D0" w:rsidP="00901623">
      <w:pPr>
        <w:pStyle w:val="Bullet"/>
      </w:pPr>
      <w:r w:rsidRPr="00901623">
        <w:t>P</w:t>
      </w:r>
      <w:r w:rsidR="00AE0F53" w:rsidRPr="00901623">
        <w:t>rostheses that are surgically implanted, enable another device to be implanted or allow an implant to continue to function after surgery</w:t>
      </w:r>
      <w:r w:rsidR="00A87A81" w:rsidRPr="00901623">
        <w:t>.</w:t>
      </w:r>
    </w:p>
    <w:p w14:paraId="4D33C1C6" w14:textId="059AEBEF" w:rsidR="00187ADA" w:rsidRPr="00901623" w:rsidRDefault="00AE0F53" w:rsidP="00901623">
      <w:pPr>
        <w:pStyle w:val="Bullet"/>
      </w:pPr>
      <w:r w:rsidRPr="00901623">
        <w:t>Prostheses that have</w:t>
      </w:r>
      <w:r w:rsidR="00441DC6" w:rsidRPr="00901623">
        <w:t xml:space="preserve"> been compared to alternative products on the P</w:t>
      </w:r>
      <w:r w:rsidRPr="00901623">
        <w:t>L</w:t>
      </w:r>
      <w:r w:rsidR="00441DC6" w:rsidRPr="00901623">
        <w:t xml:space="preserve"> or alternative treatments</w:t>
      </w:r>
      <w:r w:rsidR="00A87A81" w:rsidRPr="00901623">
        <w:t>.</w:t>
      </w:r>
      <w:r w:rsidR="00441DC6" w:rsidRPr="00901623">
        <w:t xml:space="preserve"> </w:t>
      </w:r>
    </w:p>
    <w:p w14:paraId="5BFEFB86" w14:textId="2FC8C501" w:rsidR="0006125A" w:rsidRPr="00D377CF" w:rsidRDefault="0006125A" w:rsidP="0006125A">
      <w:pPr>
        <w:rPr>
          <w:szCs w:val="19"/>
          <w:lang w:eastAsia="en-AU"/>
        </w:rPr>
      </w:pPr>
      <w:r w:rsidRPr="00D377CF">
        <w:rPr>
          <w:rFonts w:asciiTheme="majorHAnsi" w:hAnsiTheme="majorHAnsi" w:cstheme="majorHAnsi"/>
          <w:szCs w:val="19"/>
          <w:lang w:eastAsia="en-AU"/>
        </w:rPr>
        <w:lastRenderedPageBreak/>
        <w:t>Part B</w:t>
      </w:r>
      <w:r w:rsidRPr="00D377CF">
        <w:rPr>
          <w:szCs w:val="19"/>
          <w:lang w:eastAsia="en-AU"/>
        </w:rPr>
        <w:t xml:space="preserve"> – </w:t>
      </w:r>
      <w:r>
        <w:t xml:space="preserve">Human tissue </w:t>
      </w:r>
      <w:r w:rsidR="007762DA">
        <w:t xml:space="preserve">(includes </w:t>
      </w:r>
      <w:r>
        <w:t xml:space="preserve">products that are substantially derived from human tissue where the tissue has been subject to processing or treatments, and whose supply </w:t>
      </w:r>
      <w:r w:rsidR="007762DA">
        <w:t>[</w:t>
      </w:r>
      <w:r>
        <w:t>however described, including trade, sell, give or gift</w:t>
      </w:r>
      <w:r w:rsidR="007762DA">
        <w:t>]</w:t>
      </w:r>
      <w:r>
        <w:t xml:space="preserve"> is governed by state or territory law</w:t>
      </w:r>
      <w:r w:rsidR="007762DA">
        <w:t>). Unless explicitly identified, human tissue products are not addressed in this guide.</w:t>
      </w:r>
    </w:p>
    <w:p w14:paraId="600422D6" w14:textId="465590F5" w:rsidR="0006125A" w:rsidRDefault="0006125A" w:rsidP="0006125A">
      <w:r w:rsidRPr="00D377CF">
        <w:rPr>
          <w:rFonts w:asciiTheme="majorHAnsi" w:hAnsiTheme="majorHAnsi" w:cstheme="majorHAnsi"/>
          <w:szCs w:val="19"/>
          <w:lang w:eastAsia="en-AU"/>
        </w:rPr>
        <w:t xml:space="preserve">Part C </w:t>
      </w:r>
      <w:r w:rsidRPr="00D377CF">
        <w:rPr>
          <w:szCs w:val="19"/>
          <w:lang w:eastAsia="en-AU"/>
        </w:rPr>
        <w:t xml:space="preserve">– Medical devices that do not meet the criteria for Part A, but the Minister for Health considers suitable for benefit payments by private health insurers. </w:t>
      </w:r>
      <w:r w:rsidR="00C36F1F">
        <w:rPr>
          <w:szCs w:val="19"/>
          <w:lang w:eastAsia="en-AU"/>
        </w:rPr>
        <w:t>T</w:t>
      </w:r>
      <w:r w:rsidR="006C75B2">
        <w:rPr>
          <w:szCs w:val="19"/>
          <w:lang w:eastAsia="en-AU"/>
        </w:rPr>
        <w:t xml:space="preserve">he listing criteria for Part C </w:t>
      </w:r>
      <w:r w:rsidR="006C75B2">
        <w:t xml:space="preserve">was confined in </w:t>
      </w:r>
      <w:r w:rsidR="006C75B2" w:rsidRPr="00627D12">
        <w:t xml:space="preserve">the </w:t>
      </w:r>
      <w:r w:rsidR="006C75B2" w:rsidRPr="00AA472B">
        <w:rPr>
          <w:i/>
          <w:iCs/>
        </w:rPr>
        <w:t>Private Health Insurance (Prostheses) Rule</w:t>
      </w:r>
      <w:r w:rsidR="006C75B2">
        <w:rPr>
          <w:i/>
          <w:iCs/>
        </w:rPr>
        <w:t>s</w:t>
      </w:r>
      <w:r w:rsidR="006C75B2">
        <w:t>.</w:t>
      </w:r>
      <w:r w:rsidR="00A43E3F">
        <w:t xml:space="preserve"> </w:t>
      </w:r>
      <w:r w:rsidR="00E3634C">
        <w:t xml:space="preserve">There was no defined process for listing </w:t>
      </w:r>
      <w:r w:rsidR="001375FE">
        <w:t xml:space="preserve">products covered under Part C. </w:t>
      </w:r>
    </w:p>
    <w:p w14:paraId="2EC4A004" w14:textId="04CF5C18" w:rsidR="002D5A01" w:rsidRPr="00D377CF" w:rsidRDefault="0049443E" w:rsidP="0006125A">
      <w:pPr>
        <w:rPr>
          <w:szCs w:val="19"/>
          <w:lang w:eastAsia="en-AU"/>
        </w:rPr>
      </w:pPr>
      <w:r w:rsidRPr="0049443E">
        <w:rPr>
          <w:szCs w:val="19"/>
          <w:lang w:eastAsia="en-AU"/>
        </w:rPr>
        <w:t xml:space="preserve">The Department has proposed the scope of the PL </w:t>
      </w:r>
      <w:r w:rsidR="008B0223">
        <w:rPr>
          <w:szCs w:val="19"/>
          <w:lang w:eastAsia="en-AU"/>
        </w:rPr>
        <w:t xml:space="preserve">be limited </w:t>
      </w:r>
      <w:r w:rsidR="00A93C9A">
        <w:rPr>
          <w:szCs w:val="19"/>
          <w:lang w:eastAsia="en-AU"/>
        </w:rPr>
        <w:t>specifically to</w:t>
      </w:r>
      <w:r w:rsidRPr="0049443E">
        <w:rPr>
          <w:szCs w:val="19"/>
          <w:lang w:eastAsia="en-AU"/>
        </w:rPr>
        <w:t xml:space="preserve"> high-cost implantable </w:t>
      </w:r>
      <w:r w:rsidR="006060BB">
        <w:rPr>
          <w:szCs w:val="19"/>
          <w:lang w:eastAsia="en-AU"/>
        </w:rPr>
        <w:t xml:space="preserve">medical devices where there is intention </w:t>
      </w:r>
      <w:r w:rsidR="00200800">
        <w:rPr>
          <w:szCs w:val="19"/>
          <w:lang w:eastAsia="en-AU"/>
        </w:rPr>
        <w:t xml:space="preserve">that the listed device be used in a procedure </w:t>
      </w:r>
      <w:r w:rsidR="00F92C65">
        <w:rPr>
          <w:szCs w:val="19"/>
          <w:lang w:eastAsia="en-AU"/>
        </w:rPr>
        <w:t>with a therapeutic purpose.</w:t>
      </w:r>
      <w:r w:rsidR="00F92C65">
        <w:rPr>
          <w:rStyle w:val="FootnoteReference"/>
          <w:lang w:eastAsia="en-AU"/>
        </w:rPr>
        <w:footnoteReference w:id="67"/>
      </w:r>
      <w:r w:rsidR="00200800">
        <w:rPr>
          <w:szCs w:val="19"/>
          <w:lang w:eastAsia="en-AU"/>
        </w:rPr>
        <w:t xml:space="preserve"> </w:t>
      </w:r>
      <w:r w:rsidR="00DB0871">
        <w:rPr>
          <w:szCs w:val="19"/>
          <w:lang w:eastAsia="en-AU"/>
        </w:rPr>
        <w:t>The MTAA</w:t>
      </w:r>
      <w:r w:rsidR="007F79C3">
        <w:rPr>
          <w:szCs w:val="19"/>
          <w:lang w:eastAsia="en-AU"/>
        </w:rPr>
        <w:t xml:space="preserve"> and APHA</w:t>
      </w:r>
      <w:r w:rsidR="00DB64AF">
        <w:rPr>
          <w:szCs w:val="19"/>
          <w:lang w:eastAsia="en-AU"/>
        </w:rPr>
        <w:t xml:space="preserve"> disagree with this proposal but agre</w:t>
      </w:r>
      <w:r w:rsidR="007F79C3">
        <w:rPr>
          <w:szCs w:val="19"/>
          <w:lang w:eastAsia="en-AU"/>
        </w:rPr>
        <w:t>e</w:t>
      </w:r>
      <w:r w:rsidR="00DB64AF">
        <w:rPr>
          <w:szCs w:val="19"/>
          <w:lang w:eastAsia="en-AU"/>
        </w:rPr>
        <w:t xml:space="preserve"> a discussion is warranted to </w:t>
      </w:r>
      <w:r w:rsidR="00C34FAA">
        <w:rPr>
          <w:szCs w:val="19"/>
          <w:lang w:eastAsia="en-AU"/>
        </w:rPr>
        <w:t>clarify the scope of the PL.</w:t>
      </w:r>
    </w:p>
    <w:p w14:paraId="2724662C" w14:textId="7B80FD0F" w:rsidR="00A10C5D" w:rsidRDefault="00A10C5D" w:rsidP="00A10C5D">
      <w:pPr>
        <w:pStyle w:val="Heading4"/>
      </w:pPr>
      <w:r>
        <w:t xml:space="preserve">The PL groups </w:t>
      </w:r>
      <w:r w:rsidRPr="00A50D9E">
        <w:t>listed</w:t>
      </w:r>
      <w:r>
        <w:t xml:space="preserve"> items according to similar product characteristics and clinical effectiveness</w:t>
      </w:r>
      <w:r w:rsidR="001901B2">
        <w:t xml:space="preserve"> but there were concerns </w:t>
      </w:r>
      <w:r w:rsidR="00886969">
        <w:t xml:space="preserve">about the level of </w:t>
      </w:r>
      <w:proofErr w:type="gramStart"/>
      <w:r w:rsidR="00886969">
        <w:t>complexity</w:t>
      </w:r>
      <w:proofErr w:type="gramEnd"/>
    </w:p>
    <w:p w14:paraId="62758818" w14:textId="57AA9C39" w:rsidR="00107FB5" w:rsidRDefault="00886969" w:rsidP="00A10C5D">
      <w:pPr>
        <w:rPr>
          <w:szCs w:val="19"/>
          <w:lang w:eastAsia="en-AU"/>
        </w:rPr>
      </w:pPr>
      <w:r w:rsidRPr="00D377CF">
        <w:rPr>
          <w:szCs w:val="19"/>
          <w:lang w:eastAsia="en-AU"/>
        </w:rPr>
        <w:t xml:space="preserve">Prostheses in </w:t>
      </w:r>
      <w:r>
        <w:rPr>
          <w:szCs w:val="19"/>
          <w:lang w:eastAsia="en-AU"/>
        </w:rPr>
        <w:t>benefit</w:t>
      </w:r>
      <w:r w:rsidRPr="00D377CF">
        <w:rPr>
          <w:szCs w:val="19"/>
          <w:lang w:eastAsia="en-AU"/>
        </w:rPr>
        <w:t xml:space="preserve"> groups that were assessed as having superior clinical outcomes to prostheses in comparator </w:t>
      </w:r>
      <w:r>
        <w:rPr>
          <w:szCs w:val="19"/>
          <w:lang w:eastAsia="en-AU"/>
        </w:rPr>
        <w:t>benefit</w:t>
      </w:r>
      <w:r w:rsidRPr="00D377CF">
        <w:rPr>
          <w:szCs w:val="19"/>
          <w:lang w:eastAsia="en-AU"/>
        </w:rPr>
        <w:t xml:space="preserve"> groups were assigned a higher benefit.</w:t>
      </w:r>
      <w:r w:rsidR="00A5048A">
        <w:rPr>
          <w:szCs w:val="19"/>
          <w:lang w:eastAsia="en-AU"/>
        </w:rPr>
        <w:t xml:space="preserve"> </w:t>
      </w:r>
      <w:r w:rsidR="00A10C5D" w:rsidRPr="00D377CF">
        <w:rPr>
          <w:szCs w:val="19"/>
          <w:lang w:eastAsia="en-AU"/>
        </w:rPr>
        <w:t xml:space="preserve">Part A of the PL was divided into 13 categories of prostheses. Each category was subsequently split into sub-categories, </w:t>
      </w:r>
      <w:proofErr w:type="gramStart"/>
      <w:r w:rsidR="00A10C5D" w:rsidRPr="00D377CF">
        <w:rPr>
          <w:szCs w:val="19"/>
          <w:lang w:eastAsia="en-AU"/>
        </w:rPr>
        <w:t>groups</w:t>
      </w:r>
      <w:proofErr w:type="gramEnd"/>
      <w:r w:rsidR="00A10C5D" w:rsidRPr="00D377CF">
        <w:rPr>
          <w:szCs w:val="19"/>
          <w:lang w:eastAsia="en-AU"/>
        </w:rPr>
        <w:t xml:space="preserve"> and sub-groups, which were identified numerically. Some prostheses also had suffixes that were descriptive text or letters to designate additional characteristics. All prostheses within a </w:t>
      </w:r>
      <w:r w:rsidR="00A10C5D">
        <w:rPr>
          <w:szCs w:val="19"/>
          <w:lang w:eastAsia="en-AU"/>
        </w:rPr>
        <w:t>benefit</w:t>
      </w:r>
      <w:r w:rsidR="00A10C5D" w:rsidRPr="00D377CF">
        <w:rPr>
          <w:szCs w:val="19"/>
          <w:lang w:eastAsia="en-AU"/>
        </w:rPr>
        <w:t xml:space="preserve"> group, that is, all items sharing a category, sub-category, group, sub-</w:t>
      </w:r>
      <w:proofErr w:type="gramStart"/>
      <w:r w:rsidR="00A10C5D" w:rsidRPr="00D377CF">
        <w:rPr>
          <w:szCs w:val="19"/>
          <w:lang w:eastAsia="en-AU"/>
        </w:rPr>
        <w:t>group</w:t>
      </w:r>
      <w:proofErr w:type="gramEnd"/>
      <w:r w:rsidR="00A10C5D" w:rsidRPr="00D377CF">
        <w:rPr>
          <w:szCs w:val="19"/>
          <w:lang w:eastAsia="en-AU"/>
        </w:rPr>
        <w:t xml:space="preserve"> and suffix, were assessed as having similar clinical effectiveness, and so were assigned the same benefit. Part C of the PL shared the same grouping structure as Part A, </w:t>
      </w:r>
      <w:r w:rsidR="008533A6">
        <w:rPr>
          <w:szCs w:val="19"/>
          <w:lang w:eastAsia="en-AU"/>
        </w:rPr>
        <w:t xml:space="preserve">while Part B had a separate grouping structure </w:t>
      </w:r>
      <w:r w:rsidR="00A10C5D" w:rsidRPr="00D377CF">
        <w:rPr>
          <w:szCs w:val="19"/>
          <w:lang w:eastAsia="en-AU"/>
        </w:rPr>
        <w:t>and benefit levels were set for individual products</w:t>
      </w:r>
      <w:r w:rsidR="00613FBC">
        <w:rPr>
          <w:szCs w:val="19"/>
          <w:lang w:eastAsia="en-AU"/>
        </w:rPr>
        <w:t xml:space="preserve"> (see </w:t>
      </w:r>
      <w:r w:rsidR="00613FBC">
        <w:rPr>
          <w:szCs w:val="19"/>
          <w:lang w:eastAsia="en-AU"/>
        </w:rPr>
        <w:fldChar w:fldCharType="begin"/>
      </w:r>
      <w:r w:rsidR="00613FBC">
        <w:rPr>
          <w:szCs w:val="19"/>
          <w:lang w:eastAsia="en-AU"/>
        </w:rPr>
        <w:instrText xml:space="preserve"> REF _Ref159832999 \r \h </w:instrText>
      </w:r>
      <w:r w:rsidR="00613FBC">
        <w:rPr>
          <w:szCs w:val="19"/>
          <w:lang w:eastAsia="en-AU"/>
        </w:rPr>
      </w:r>
      <w:r w:rsidR="00613FBC">
        <w:rPr>
          <w:szCs w:val="19"/>
          <w:lang w:eastAsia="en-AU"/>
        </w:rPr>
        <w:fldChar w:fldCharType="separate"/>
      </w:r>
      <w:r w:rsidR="00026714">
        <w:rPr>
          <w:szCs w:val="19"/>
          <w:lang w:eastAsia="en-AU"/>
        </w:rPr>
        <w:t>Appendix B</w:t>
      </w:r>
      <w:r w:rsidR="00613FBC">
        <w:rPr>
          <w:szCs w:val="19"/>
          <w:lang w:eastAsia="en-AU"/>
        </w:rPr>
        <w:fldChar w:fldCharType="end"/>
      </w:r>
      <w:r w:rsidR="00A2553A">
        <w:rPr>
          <w:szCs w:val="19"/>
          <w:lang w:eastAsia="en-AU"/>
        </w:rPr>
        <w:t>, indicator 9 for more detail)</w:t>
      </w:r>
      <w:r w:rsidR="00A10C5D" w:rsidRPr="00D377CF">
        <w:rPr>
          <w:szCs w:val="19"/>
          <w:lang w:eastAsia="en-AU"/>
        </w:rPr>
        <w:t>.</w:t>
      </w:r>
    </w:p>
    <w:p w14:paraId="61538E91" w14:textId="4DD6D169" w:rsidR="00AE5034" w:rsidRDefault="00D543F6" w:rsidP="00A10C5D">
      <w:pPr>
        <w:rPr>
          <w:szCs w:val="19"/>
          <w:lang w:eastAsia="en-AU"/>
        </w:rPr>
      </w:pPr>
      <w:r>
        <w:rPr>
          <w:szCs w:val="19"/>
          <w:lang w:eastAsia="en-AU"/>
        </w:rPr>
        <w:t>Over time, the PL</w:t>
      </w:r>
      <w:r w:rsidR="00B97F9E">
        <w:rPr>
          <w:szCs w:val="19"/>
          <w:lang w:eastAsia="en-AU"/>
        </w:rPr>
        <w:t xml:space="preserve"> has</w:t>
      </w:r>
      <w:r>
        <w:rPr>
          <w:szCs w:val="19"/>
          <w:lang w:eastAsia="en-AU"/>
        </w:rPr>
        <w:t xml:space="preserve"> increased in complexity, with the number of items increasing nearly tenfold from 1997 to</w:t>
      </w:r>
      <w:r w:rsidR="0019606E">
        <w:rPr>
          <w:szCs w:val="19"/>
          <w:lang w:eastAsia="en-AU"/>
        </w:rPr>
        <w:t xml:space="preserve"> the </w:t>
      </w:r>
      <w:r w:rsidR="00A852DF">
        <w:rPr>
          <w:szCs w:val="19"/>
          <w:lang w:eastAsia="en-AU"/>
        </w:rPr>
        <w:t>baseline</w:t>
      </w:r>
      <w:r w:rsidR="0019606E">
        <w:rPr>
          <w:szCs w:val="19"/>
          <w:lang w:eastAsia="en-AU"/>
        </w:rPr>
        <w:t xml:space="preserve"> year</w:t>
      </w:r>
      <w:r>
        <w:rPr>
          <w:szCs w:val="19"/>
          <w:lang w:eastAsia="en-AU"/>
        </w:rPr>
        <w:t xml:space="preserve"> of 2021.</w:t>
      </w:r>
      <w:r>
        <w:rPr>
          <w:rStyle w:val="FootnoteReference"/>
          <w:lang w:eastAsia="en-AU"/>
        </w:rPr>
        <w:footnoteReference w:id="68"/>
      </w:r>
      <w:r>
        <w:rPr>
          <w:szCs w:val="19"/>
          <w:lang w:eastAsia="en-AU"/>
        </w:rPr>
        <w:t xml:space="preserve"> </w:t>
      </w:r>
      <w:r w:rsidR="002F5D5E">
        <w:rPr>
          <w:szCs w:val="19"/>
          <w:lang w:eastAsia="en-AU"/>
        </w:rPr>
        <w:t>At baseline,</w:t>
      </w:r>
      <w:r w:rsidR="00A852DF">
        <w:rPr>
          <w:szCs w:val="19"/>
          <w:lang w:eastAsia="en-AU"/>
        </w:rPr>
        <w:t xml:space="preserve"> there were </w:t>
      </w:r>
      <w:r w:rsidR="00480F74">
        <w:rPr>
          <w:szCs w:val="19"/>
          <w:lang w:eastAsia="en-AU"/>
        </w:rPr>
        <w:t xml:space="preserve">10,902 </w:t>
      </w:r>
      <w:r w:rsidR="00A713E5">
        <w:rPr>
          <w:szCs w:val="19"/>
          <w:lang w:eastAsia="en-AU"/>
        </w:rPr>
        <w:t>billing codes</w:t>
      </w:r>
      <w:r w:rsidR="00480F74">
        <w:rPr>
          <w:szCs w:val="19"/>
          <w:lang w:eastAsia="en-AU"/>
        </w:rPr>
        <w:t xml:space="preserve"> listed on </w:t>
      </w:r>
      <w:r w:rsidR="00121F3E">
        <w:rPr>
          <w:szCs w:val="19"/>
          <w:lang w:eastAsia="en-AU"/>
        </w:rPr>
        <w:t xml:space="preserve">Parts A and C </w:t>
      </w:r>
      <w:r w:rsidR="00480F74">
        <w:rPr>
          <w:szCs w:val="19"/>
          <w:lang w:eastAsia="en-AU"/>
        </w:rPr>
        <w:t>of the PL</w:t>
      </w:r>
      <w:r w:rsidR="0015608D">
        <w:rPr>
          <w:szCs w:val="19"/>
          <w:lang w:eastAsia="en-AU"/>
        </w:rPr>
        <w:t>, and 759 on Part B</w:t>
      </w:r>
      <w:r w:rsidR="00480F74">
        <w:rPr>
          <w:szCs w:val="19"/>
          <w:lang w:eastAsia="en-AU"/>
        </w:rPr>
        <w:t>.</w:t>
      </w:r>
      <w:r w:rsidR="008C0269">
        <w:rPr>
          <w:rStyle w:val="FootnoteReference"/>
          <w:lang w:eastAsia="en-AU"/>
        </w:rPr>
        <w:footnoteReference w:id="69"/>
      </w:r>
      <w:r w:rsidR="00480F74">
        <w:rPr>
          <w:szCs w:val="19"/>
          <w:lang w:eastAsia="en-AU"/>
        </w:rPr>
        <w:t xml:space="preserve"> </w:t>
      </w:r>
      <w:r w:rsidR="00EF32B7">
        <w:rPr>
          <w:szCs w:val="19"/>
          <w:lang w:eastAsia="en-AU"/>
        </w:rPr>
        <w:t>Within</w:t>
      </w:r>
      <w:r w:rsidR="0015608D">
        <w:rPr>
          <w:szCs w:val="19"/>
          <w:lang w:eastAsia="en-AU"/>
        </w:rPr>
        <w:t xml:space="preserve"> Parts A and C, there </w:t>
      </w:r>
      <w:r w:rsidR="00A852DF">
        <w:rPr>
          <w:szCs w:val="19"/>
          <w:lang w:eastAsia="en-AU"/>
        </w:rPr>
        <w:t xml:space="preserve">were </w:t>
      </w:r>
      <w:r w:rsidR="00EF32B7">
        <w:rPr>
          <w:szCs w:val="19"/>
          <w:lang w:eastAsia="en-AU"/>
        </w:rPr>
        <w:t xml:space="preserve">a </w:t>
      </w:r>
      <w:r w:rsidR="00F806F2">
        <w:rPr>
          <w:szCs w:val="19"/>
          <w:lang w:eastAsia="en-AU"/>
        </w:rPr>
        <w:t xml:space="preserve">total of </w:t>
      </w:r>
      <w:r w:rsidR="00A852DF">
        <w:rPr>
          <w:szCs w:val="19"/>
          <w:lang w:eastAsia="en-AU"/>
        </w:rPr>
        <w:t>1,680 benefit groups</w:t>
      </w:r>
      <w:r w:rsidR="00123641">
        <w:rPr>
          <w:szCs w:val="19"/>
          <w:lang w:eastAsia="en-AU"/>
        </w:rPr>
        <w:t xml:space="preserve"> </w:t>
      </w:r>
      <w:r w:rsidR="0015608D">
        <w:rPr>
          <w:szCs w:val="19"/>
          <w:lang w:eastAsia="en-AU"/>
        </w:rPr>
        <w:t>with a</w:t>
      </w:r>
      <w:r w:rsidR="00941333">
        <w:rPr>
          <w:szCs w:val="19"/>
          <w:lang w:eastAsia="en-AU"/>
        </w:rPr>
        <w:t xml:space="preserve">n average of 6.49 </w:t>
      </w:r>
      <w:r w:rsidR="00F806F2">
        <w:rPr>
          <w:szCs w:val="19"/>
          <w:lang w:eastAsia="en-AU"/>
        </w:rPr>
        <w:t>billing codes</w:t>
      </w:r>
      <w:r w:rsidR="00245627">
        <w:rPr>
          <w:szCs w:val="19"/>
          <w:lang w:eastAsia="en-AU"/>
        </w:rPr>
        <w:t xml:space="preserve"> </w:t>
      </w:r>
      <w:r w:rsidR="0015608D">
        <w:rPr>
          <w:szCs w:val="19"/>
          <w:lang w:eastAsia="en-AU"/>
        </w:rPr>
        <w:t>in eac</w:t>
      </w:r>
      <w:r w:rsidR="00310039">
        <w:rPr>
          <w:szCs w:val="19"/>
          <w:lang w:eastAsia="en-AU"/>
        </w:rPr>
        <w:t>h</w:t>
      </w:r>
      <w:r w:rsidR="00FD32C5">
        <w:rPr>
          <w:szCs w:val="19"/>
          <w:lang w:eastAsia="en-AU"/>
        </w:rPr>
        <w:t>.</w:t>
      </w:r>
      <w:r w:rsidR="008C0269">
        <w:rPr>
          <w:rStyle w:val="FootnoteReference"/>
          <w:lang w:eastAsia="en-AU"/>
        </w:rPr>
        <w:footnoteReference w:id="70"/>
      </w:r>
      <w:r w:rsidR="00FD32C5">
        <w:rPr>
          <w:szCs w:val="19"/>
          <w:lang w:eastAsia="en-AU"/>
        </w:rPr>
        <w:t xml:space="preserve"> This </w:t>
      </w:r>
      <w:r w:rsidR="00310039">
        <w:rPr>
          <w:szCs w:val="19"/>
          <w:lang w:eastAsia="en-AU"/>
        </w:rPr>
        <w:t>highlight</w:t>
      </w:r>
      <w:r w:rsidR="00FD32C5">
        <w:rPr>
          <w:szCs w:val="19"/>
          <w:lang w:eastAsia="en-AU"/>
        </w:rPr>
        <w:t>s</w:t>
      </w:r>
      <w:r w:rsidR="00310039">
        <w:rPr>
          <w:szCs w:val="19"/>
          <w:lang w:eastAsia="en-AU"/>
        </w:rPr>
        <w:t xml:space="preserve"> the fine-grained structure of the PL</w:t>
      </w:r>
      <w:r w:rsidR="00FD32C5">
        <w:rPr>
          <w:szCs w:val="19"/>
          <w:lang w:eastAsia="en-AU"/>
        </w:rPr>
        <w:t>, where each benefit group holds (on average) just a small number of billing codes</w:t>
      </w:r>
      <w:r w:rsidR="0032474D">
        <w:rPr>
          <w:szCs w:val="19"/>
          <w:lang w:eastAsia="en-AU"/>
        </w:rPr>
        <w:t>.</w:t>
      </w:r>
      <w:r w:rsidR="00F90358">
        <w:rPr>
          <w:szCs w:val="19"/>
          <w:lang w:eastAsia="en-AU"/>
        </w:rPr>
        <w:t xml:space="preserve"> </w:t>
      </w:r>
      <w:r w:rsidR="0032474D">
        <w:rPr>
          <w:szCs w:val="19"/>
          <w:lang w:eastAsia="en-AU"/>
        </w:rPr>
        <w:t>S</w:t>
      </w:r>
      <w:r w:rsidR="00F90358">
        <w:rPr>
          <w:szCs w:val="19"/>
          <w:lang w:eastAsia="en-AU"/>
        </w:rPr>
        <w:t xml:space="preserve">ee </w:t>
      </w:r>
      <w:r w:rsidR="00927533">
        <w:rPr>
          <w:szCs w:val="19"/>
          <w:lang w:eastAsia="en-AU"/>
        </w:rPr>
        <w:fldChar w:fldCharType="begin"/>
      </w:r>
      <w:r w:rsidR="00927533">
        <w:rPr>
          <w:szCs w:val="19"/>
          <w:lang w:eastAsia="en-AU"/>
        </w:rPr>
        <w:instrText xml:space="preserve"> REF _Ref159832999 \n \h </w:instrText>
      </w:r>
      <w:r w:rsidR="00927533">
        <w:rPr>
          <w:szCs w:val="19"/>
          <w:lang w:eastAsia="en-AU"/>
        </w:rPr>
      </w:r>
      <w:r w:rsidR="00927533">
        <w:rPr>
          <w:szCs w:val="19"/>
          <w:lang w:eastAsia="en-AU"/>
        </w:rPr>
        <w:fldChar w:fldCharType="separate"/>
      </w:r>
      <w:r w:rsidR="00026714">
        <w:rPr>
          <w:szCs w:val="19"/>
          <w:lang w:eastAsia="en-AU"/>
        </w:rPr>
        <w:t>Appendix B</w:t>
      </w:r>
      <w:r w:rsidR="00927533">
        <w:rPr>
          <w:szCs w:val="19"/>
          <w:lang w:eastAsia="en-AU"/>
        </w:rPr>
        <w:fldChar w:fldCharType="end"/>
      </w:r>
      <w:r w:rsidR="00A32FED">
        <w:rPr>
          <w:szCs w:val="19"/>
          <w:lang w:eastAsia="en-AU"/>
        </w:rPr>
        <w:t xml:space="preserve">, </w:t>
      </w:r>
      <w:r w:rsidR="00EA467B">
        <w:rPr>
          <w:szCs w:val="19"/>
          <w:lang w:eastAsia="en-AU"/>
        </w:rPr>
        <w:t>m</w:t>
      </w:r>
      <w:r w:rsidR="00A32FED">
        <w:rPr>
          <w:szCs w:val="19"/>
          <w:lang w:eastAsia="en-AU"/>
        </w:rPr>
        <w:t>easure 9.2</w:t>
      </w:r>
      <w:r w:rsidR="00FE0974">
        <w:rPr>
          <w:szCs w:val="19"/>
          <w:lang w:eastAsia="en-AU"/>
        </w:rPr>
        <w:t xml:space="preserve"> for more detail</w:t>
      </w:r>
      <w:r w:rsidR="0032474D">
        <w:rPr>
          <w:szCs w:val="19"/>
          <w:lang w:eastAsia="en-AU"/>
        </w:rPr>
        <w:t xml:space="preserve"> regarding the </w:t>
      </w:r>
      <w:r w:rsidR="00F251EB">
        <w:rPr>
          <w:szCs w:val="19"/>
          <w:lang w:eastAsia="en-AU"/>
        </w:rPr>
        <w:t>number of benefit groups and billing codes listed on the PL at baseline.</w:t>
      </w:r>
    </w:p>
    <w:p w14:paraId="094D4A81" w14:textId="112D5CC3" w:rsidR="00941CC9" w:rsidRDefault="00941CC9" w:rsidP="00941CC9">
      <w:pPr>
        <w:pStyle w:val="Heading4"/>
      </w:pPr>
      <w:r>
        <w:t>There was growing concern that the PL’s scope was ill-defined, with many items</w:t>
      </w:r>
      <w:r w:rsidR="00C3172B">
        <w:t>, particularly in the General Miscellaneous category,</w:t>
      </w:r>
      <w:r>
        <w:t xml:space="preserve"> not according with </w:t>
      </w:r>
      <w:r w:rsidR="00C3172B">
        <w:t>the</w:t>
      </w:r>
      <w:r>
        <w:t xml:space="preserve"> </w:t>
      </w:r>
      <w:r w:rsidR="00DE7CC1">
        <w:t>original intent of the PL</w:t>
      </w:r>
      <w:r>
        <w:rPr>
          <w:rStyle w:val="FootnoteReference"/>
        </w:rPr>
        <w:footnoteReference w:id="71"/>
      </w:r>
    </w:p>
    <w:p w14:paraId="73FE3B42" w14:textId="5639DFC5" w:rsidR="00307744" w:rsidRDefault="00941CC9" w:rsidP="004F46C6">
      <w:r>
        <w:rPr>
          <w:szCs w:val="19"/>
          <w:lang w:eastAsia="en-AU"/>
        </w:rPr>
        <w:t>The Department noted the scope of the PL lacked specificity and there were no clear bounds of what could and could not be listed on the PL.</w:t>
      </w:r>
      <w:r>
        <w:rPr>
          <w:rStyle w:val="FootnoteReference"/>
          <w:lang w:eastAsia="en-AU"/>
        </w:rPr>
        <w:footnoteReference w:id="72"/>
      </w:r>
      <w:r>
        <w:rPr>
          <w:szCs w:val="19"/>
          <w:lang w:eastAsia="en-AU"/>
        </w:rPr>
        <w:t xml:space="preserve"> </w:t>
      </w:r>
      <w:r w:rsidR="001607D7">
        <w:rPr>
          <w:szCs w:val="19"/>
          <w:lang w:eastAsia="en-AU"/>
        </w:rPr>
        <w:t>T</w:t>
      </w:r>
      <w:r w:rsidR="003420D4">
        <w:rPr>
          <w:szCs w:val="19"/>
          <w:lang w:eastAsia="en-AU"/>
        </w:rPr>
        <w:t xml:space="preserve">he </w:t>
      </w:r>
      <w:r w:rsidR="00D777D9">
        <w:rPr>
          <w:szCs w:val="19"/>
          <w:lang w:eastAsia="en-AU"/>
        </w:rPr>
        <w:t xml:space="preserve">increasing complexity </w:t>
      </w:r>
      <w:r w:rsidR="00060324">
        <w:rPr>
          <w:szCs w:val="19"/>
          <w:lang w:eastAsia="en-AU"/>
        </w:rPr>
        <w:t xml:space="preserve">could be seen in </w:t>
      </w:r>
      <w:r w:rsidR="00DF575E">
        <w:rPr>
          <w:szCs w:val="19"/>
          <w:lang w:eastAsia="en-AU"/>
        </w:rPr>
        <w:t xml:space="preserve">the </w:t>
      </w:r>
      <w:r w:rsidR="00060324">
        <w:rPr>
          <w:szCs w:val="19"/>
          <w:lang w:eastAsia="en-AU"/>
        </w:rPr>
        <w:t>increase</w:t>
      </w:r>
      <w:r>
        <w:rPr>
          <w:szCs w:val="19"/>
          <w:lang w:eastAsia="en-AU"/>
        </w:rPr>
        <w:t xml:space="preserve"> </w:t>
      </w:r>
      <w:r w:rsidR="009A6F07">
        <w:rPr>
          <w:szCs w:val="19"/>
          <w:lang w:eastAsia="en-AU"/>
        </w:rPr>
        <w:t xml:space="preserve">in </w:t>
      </w:r>
      <w:r>
        <w:rPr>
          <w:szCs w:val="19"/>
          <w:lang w:eastAsia="en-AU"/>
        </w:rPr>
        <w:t xml:space="preserve">number of items </w:t>
      </w:r>
      <w:r w:rsidR="00060324">
        <w:rPr>
          <w:szCs w:val="19"/>
          <w:lang w:eastAsia="en-AU"/>
        </w:rPr>
        <w:t xml:space="preserve">and benefit groups over time. </w:t>
      </w:r>
      <w:r w:rsidR="00D60086">
        <w:rPr>
          <w:szCs w:val="19"/>
          <w:lang w:eastAsia="en-AU"/>
        </w:rPr>
        <w:t>This i</w:t>
      </w:r>
      <w:r w:rsidR="00AD6E64">
        <w:rPr>
          <w:szCs w:val="19"/>
          <w:lang w:eastAsia="en-AU"/>
        </w:rPr>
        <w:t>ncrease</w:t>
      </w:r>
      <w:r w:rsidR="00865434">
        <w:rPr>
          <w:szCs w:val="19"/>
          <w:lang w:eastAsia="en-AU"/>
        </w:rPr>
        <w:t xml:space="preserve"> reflec</w:t>
      </w:r>
      <w:r w:rsidR="00D60086">
        <w:rPr>
          <w:szCs w:val="19"/>
          <w:lang w:eastAsia="en-AU"/>
        </w:rPr>
        <w:t>ts</w:t>
      </w:r>
      <w:r>
        <w:rPr>
          <w:szCs w:val="19"/>
          <w:lang w:eastAsia="en-AU"/>
        </w:rPr>
        <w:t xml:space="preserve"> </w:t>
      </w:r>
      <w:r w:rsidR="007C511B">
        <w:rPr>
          <w:szCs w:val="19"/>
          <w:lang w:eastAsia="en-AU"/>
        </w:rPr>
        <w:t>the</w:t>
      </w:r>
      <w:r w:rsidR="00BD1F3D">
        <w:rPr>
          <w:szCs w:val="19"/>
          <w:lang w:eastAsia="en-AU"/>
        </w:rPr>
        <w:t xml:space="preserve"> </w:t>
      </w:r>
      <w:r w:rsidR="007C511B">
        <w:rPr>
          <w:szCs w:val="19"/>
          <w:lang w:eastAsia="en-AU"/>
        </w:rPr>
        <w:t>introduction</w:t>
      </w:r>
      <w:r>
        <w:rPr>
          <w:szCs w:val="19"/>
          <w:lang w:eastAsia="en-AU"/>
        </w:rPr>
        <w:t xml:space="preserve"> of</w:t>
      </w:r>
      <w:r w:rsidR="00D60086">
        <w:rPr>
          <w:szCs w:val="19"/>
          <w:lang w:eastAsia="en-AU"/>
        </w:rPr>
        <w:t xml:space="preserve"> new and</w:t>
      </w:r>
      <w:r>
        <w:rPr>
          <w:szCs w:val="19"/>
          <w:lang w:eastAsia="en-AU"/>
        </w:rPr>
        <w:t xml:space="preserve"> </w:t>
      </w:r>
      <w:r w:rsidR="001E40EB">
        <w:rPr>
          <w:szCs w:val="19"/>
          <w:lang w:eastAsia="en-AU"/>
        </w:rPr>
        <w:t>innovative</w:t>
      </w:r>
      <w:r>
        <w:rPr>
          <w:szCs w:val="19"/>
          <w:lang w:eastAsia="en-AU"/>
        </w:rPr>
        <w:t xml:space="preserve"> medical technology,</w:t>
      </w:r>
      <w:r w:rsidR="00D60086">
        <w:rPr>
          <w:szCs w:val="19"/>
          <w:lang w:eastAsia="en-AU"/>
        </w:rPr>
        <w:t xml:space="preserve"> however</w:t>
      </w:r>
      <w:r>
        <w:rPr>
          <w:szCs w:val="19"/>
          <w:lang w:eastAsia="en-AU"/>
        </w:rPr>
        <w:t xml:space="preserve"> </w:t>
      </w:r>
      <w:r w:rsidR="00643B14">
        <w:rPr>
          <w:szCs w:val="19"/>
          <w:lang w:eastAsia="en-AU"/>
        </w:rPr>
        <w:t xml:space="preserve">stakeholders </w:t>
      </w:r>
      <w:r w:rsidR="009546D7">
        <w:rPr>
          <w:szCs w:val="19"/>
          <w:lang w:eastAsia="en-AU"/>
        </w:rPr>
        <w:t>note</w:t>
      </w:r>
      <w:r>
        <w:rPr>
          <w:szCs w:val="19"/>
          <w:lang w:eastAsia="en-AU"/>
        </w:rPr>
        <w:t xml:space="preserve"> the </w:t>
      </w:r>
      <w:r w:rsidR="000F403C">
        <w:rPr>
          <w:szCs w:val="19"/>
          <w:lang w:eastAsia="en-AU"/>
        </w:rPr>
        <w:t xml:space="preserve">expansion of the PL </w:t>
      </w:r>
      <w:r w:rsidR="00C00667">
        <w:rPr>
          <w:szCs w:val="19"/>
          <w:lang w:eastAsia="en-AU"/>
        </w:rPr>
        <w:t>can</w:t>
      </w:r>
      <w:r w:rsidR="00D60086">
        <w:rPr>
          <w:szCs w:val="19"/>
          <w:lang w:eastAsia="en-AU"/>
        </w:rPr>
        <w:t xml:space="preserve"> also</w:t>
      </w:r>
      <w:r w:rsidR="00C00667">
        <w:rPr>
          <w:szCs w:val="19"/>
          <w:lang w:eastAsia="en-AU"/>
        </w:rPr>
        <w:t xml:space="preserve"> be attributed</w:t>
      </w:r>
      <w:r w:rsidR="000F403C">
        <w:rPr>
          <w:szCs w:val="19"/>
          <w:lang w:eastAsia="en-AU"/>
        </w:rPr>
        <w:t xml:space="preserve"> to</w:t>
      </w:r>
      <w:r>
        <w:rPr>
          <w:szCs w:val="19"/>
          <w:lang w:eastAsia="en-AU"/>
        </w:rPr>
        <w:t xml:space="preserve"> items ‘which could be better funded by other avenues, or are already funded through other means’ (explored further in section </w:t>
      </w:r>
      <w:r>
        <w:rPr>
          <w:szCs w:val="19"/>
          <w:lang w:eastAsia="en-AU"/>
        </w:rPr>
        <w:fldChar w:fldCharType="begin"/>
      </w:r>
      <w:r>
        <w:rPr>
          <w:szCs w:val="19"/>
          <w:lang w:eastAsia="en-AU"/>
        </w:rPr>
        <w:instrText xml:space="preserve"> REF _Ref160183359 \r \h </w:instrText>
      </w:r>
      <w:r>
        <w:rPr>
          <w:szCs w:val="19"/>
          <w:lang w:eastAsia="en-AU"/>
        </w:rPr>
      </w:r>
      <w:r>
        <w:rPr>
          <w:szCs w:val="19"/>
          <w:lang w:eastAsia="en-AU"/>
        </w:rPr>
        <w:fldChar w:fldCharType="separate"/>
      </w:r>
      <w:r w:rsidR="00026714">
        <w:rPr>
          <w:szCs w:val="19"/>
          <w:lang w:eastAsia="en-AU"/>
        </w:rPr>
        <w:t>3.5.2</w:t>
      </w:r>
      <w:r>
        <w:rPr>
          <w:szCs w:val="19"/>
          <w:lang w:eastAsia="en-AU"/>
        </w:rPr>
        <w:fldChar w:fldCharType="end"/>
      </w:r>
      <w:r>
        <w:rPr>
          <w:szCs w:val="19"/>
          <w:lang w:eastAsia="en-AU"/>
        </w:rPr>
        <w:t xml:space="preserve"> below).</w:t>
      </w:r>
      <w:r>
        <w:rPr>
          <w:rStyle w:val="FootnoteReference"/>
          <w:lang w:eastAsia="en-AU"/>
        </w:rPr>
        <w:footnoteReference w:id="73"/>
      </w:r>
      <w:r>
        <w:rPr>
          <w:szCs w:val="19"/>
          <w:lang w:eastAsia="en-AU"/>
        </w:rPr>
        <w:t xml:space="preserve"> At baseline, the PL included general use items (GUIs), which are items used in a broad range of surgeries</w:t>
      </w:r>
      <w:r w:rsidR="00D07290">
        <w:rPr>
          <w:szCs w:val="19"/>
          <w:lang w:eastAsia="en-AU"/>
        </w:rPr>
        <w:t>, not necessarily only surgeries involving prostheses.</w:t>
      </w:r>
    </w:p>
    <w:p w14:paraId="0F4F9C38" w14:textId="182D41E9" w:rsidR="00AA72EE" w:rsidRDefault="00AA72EE" w:rsidP="00032A28">
      <w:pPr>
        <w:pStyle w:val="Heading3"/>
        <w:spacing w:before="400"/>
      </w:pPr>
      <w:bookmarkStart w:id="48" w:name="_Ref160183359"/>
      <w:r>
        <w:lastRenderedPageBreak/>
        <w:t>Rationale for reform</w:t>
      </w:r>
      <w:bookmarkEnd w:id="48"/>
    </w:p>
    <w:p w14:paraId="3904701A" w14:textId="3F6AA33B" w:rsidR="004F46C6" w:rsidRPr="00CF4D76" w:rsidRDefault="00D2746E" w:rsidP="004F46C6">
      <w:pPr>
        <w:pStyle w:val="Heading4"/>
        <w:rPr>
          <w:i/>
        </w:rPr>
      </w:pPr>
      <w:r w:rsidRPr="00984C50">
        <w:rPr>
          <w:noProof/>
        </w:rPr>
        <mc:AlternateContent>
          <mc:Choice Requires="wps">
            <w:drawing>
              <wp:anchor distT="0" distB="0" distL="114300" distR="114300" simplePos="0" relativeHeight="251658256" behindDoc="0" locked="0" layoutInCell="1" allowOverlap="1" wp14:anchorId="1611A418" wp14:editId="59002E14">
                <wp:simplePos x="0" y="0"/>
                <wp:positionH relativeFrom="column">
                  <wp:posOffset>3975597</wp:posOffset>
                </wp:positionH>
                <wp:positionV relativeFrom="paragraph">
                  <wp:posOffset>488564</wp:posOffset>
                </wp:positionV>
                <wp:extent cx="1905000" cy="1490345"/>
                <wp:effectExtent l="0" t="0" r="0" b="0"/>
                <wp:wrapSquare wrapText="bothSides"/>
                <wp:docPr id="437999257" name="Text Box 4379992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05000" cy="1490345"/>
                        </a:xfrm>
                        <a:prstGeom prst="rect">
                          <a:avLst/>
                        </a:prstGeom>
                        <a:solidFill>
                          <a:sysClr val="window" lastClr="FFFFFF"/>
                        </a:solidFill>
                        <a:ln w="6350">
                          <a:noFill/>
                        </a:ln>
                        <a:effectLst/>
                      </wps:spPr>
                      <wps:txbx>
                        <w:txbxContent>
                          <w:p w14:paraId="2326FAAC" w14:textId="77777777" w:rsidR="004F46C6" w:rsidRDefault="004F46C6" w:rsidP="004F46C6">
                            <w:pPr>
                              <w:pStyle w:val="Callout"/>
                              <w:jc w:val="right"/>
                              <w:rPr>
                                <w:i/>
                                <w:iCs/>
                                <w:color w:val="F25E21" w:themeColor="accent2"/>
                                <w:sz w:val="20"/>
                                <w:szCs w:val="20"/>
                              </w:rPr>
                            </w:pPr>
                            <w:r w:rsidRPr="007152F0">
                              <w:rPr>
                                <w:i/>
                                <w:iCs/>
                                <w:color w:val="F25E21" w:themeColor="accent2"/>
                                <w:sz w:val="20"/>
                                <w:szCs w:val="20"/>
                              </w:rPr>
                              <w:t>“</w:t>
                            </w:r>
                            <w:r>
                              <w:rPr>
                                <w:i/>
                                <w:iCs/>
                                <w:color w:val="F25E21" w:themeColor="accent2"/>
                                <w:sz w:val="20"/>
                                <w:szCs w:val="20"/>
                              </w:rPr>
                              <w:t xml:space="preserve">Advances in technology mean that medical devices that are used in effective and clinically proven surgical procedures are not eligible for listing on the PL because they are not </w:t>
                            </w:r>
                            <w:proofErr w:type="gramStart"/>
                            <w:r>
                              <w:rPr>
                                <w:i/>
                                <w:iCs/>
                                <w:color w:val="F25E21" w:themeColor="accent2"/>
                                <w:sz w:val="20"/>
                                <w:szCs w:val="20"/>
                              </w:rPr>
                              <w:t>implanted”</w:t>
                            </w:r>
                            <w:proofErr w:type="gramEnd"/>
                            <w:r>
                              <w:rPr>
                                <w:i/>
                                <w:iCs/>
                                <w:color w:val="F25E21" w:themeColor="accent2"/>
                                <w:sz w:val="20"/>
                                <w:szCs w:val="20"/>
                              </w:rPr>
                              <w:t xml:space="preserve"> </w:t>
                            </w:r>
                          </w:p>
                          <w:p w14:paraId="296B64D7" w14:textId="77777777" w:rsidR="004F46C6" w:rsidRPr="002D12AB" w:rsidRDefault="004F46C6" w:rsidP="004F46C6">
                            <w:pPr>
                              <w:pStyle w:val="Callout"/>
                              <w:jc w:val="right"/>
                              <w:rPr>
                                <w:rFonts w:asciiTheme="minorHAnsi" w:hAnsiTheme="minorHAnsi" w:cstheme="minorHAnsi"/>
                                <w:b/>
                                <w:bCs/>
                                <w:color w:val="00264D" w:themeColor="background2"/>
                                <w:sz w:val="14"/>
                                <w:szCs w:val="14"/>
                              </w:rPr>
                            </w:pPr>
                            <w:r>
                              <w:rPr>
                                <w:rFonts w:asciiTheme="minorHAnsi" w:hAnsiTheme="minorHAnsi" w:cstheme="minorHAnsi"/>
                                <w:b/>
                                <w:bCs/>
                                <w:color w:val="00264D" w:themeColor="background2"/>
                                <w:sz w:val="14"/>
                                <w:szCs w:val="14"/>
                              </w:rPr>
                              <w:t>MTAA, 2017 Senate Submission</w:t>
                            </w:r>
                          </w:p>
                          <w:p w14:paraId="1808431B" w14:textId="77777777" w:rsidR="004F46C6" w:rsidRDefault="004F46C6" w:rsidP="004F46C6">
                            <w:pPr>
                              <w:pStyle w:val="Callout"/>
                              <w:jc w:val="right"/>
                              <w:rPr>
                                <w:i/>
                                <w:iCs/>
                                <w:color w:val="F25E21" w:themeColor="accent2"/>
                                <w:sz w:val="20"/>
                                <w:szCs w:val="20"/>
                              </w:rPr>
                            </w:pPr>
                            <w:r>
                              <w:rPr>
                                <w:i/>
                                <w:iCs/>
                                <w:color w:val="F25E21" w:themeColor="accent2"/>
                                <w:sz w:val="20"/>
                                <w:szCs w:val="20"/>
                              </w:rPr>
                              <w:t xml:space="preserve"> </w:t>
                            </w:r>
                          </w:p>
                          <w:p w14:paraId="100322BA" w14:textId="77777777" w:rsidR="004F46C6" w:rsidRPr="002D12AB" w:rsidRDefault="004F46C6" w:rsidP="004F46C6">
                            <w:pPr>
                              <w:pStyle w:val="Callout"/>
                              <w:jc w:val="right"/>
                              <w:rPr>
                                <w:rFonts w:asciiTheme="minorHAnsi" w:hAnsiTheme="minorHAnsi" w:cstheme="minorHAnsi"/>
                                <w:b/>
                                <w:bCs/>
                                <w:color w:val="00264D" w:themeColor="background2"/>
                                <w:sz w:val="14"/>
                                <w:szCs w:val="14"/>
                              </w:rPr>
                            </w:pPr>
                            <w:r>
                              <w:rPr>
                                <w:rFonts w:asciiTheme="minorHAnsi" w:hAnsiTheme="minorHAnsi" w:cstheme="minorHAnsi"/>
                                <w:b/>
                                <w:bCs/>
                                <w:color w:val="00264D" w:themeColor="background2"/>
                                <w:sz w:val="14"/>
                                <w:szCs w:val="14"/>
                              </w:rPr>
                              <w:t>MTAA, 2017 Senate Submission</w:t>
                            </w:r>
                          </w:p>
                          <w:p w14:paraId="6357EAB9" w14:textId="77777777" w:rsidR="004F46C6" w:rsidRDefault="004F46C6" w:rsidP="004F46C6">
                            <w:pPr>
                              <w:pStyle w:val="Callout"/>
                              <w:rPr>
                                <w:color w:val="F25E21" w:themeColor="accent2"/>
                              </w:rPr>
                            </w:pPr>
                          </w:p>
                          <w:p w14:paraId="3ED49B0A" w14:textId="77777777" w:rsidR="004F46C6" w:rsidRPr="00885462" w:rsidRDefault="004F46C6" w:rsidP="004F46C6">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11A418" id="Text Box 437999257" o:spid="_x0000_s1028" type="#_x0000_t202" alt="&quot;&quot;" style="position:absolute;margin-left:313.05pt;margin-top:38.45pt;width:150pt;height:117.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" fillcolor="window" stroked="f" strokeweight=".5pt">
                <v:textbox inset="0,,1mm">
                  <w:txbxContent>
                    <w:p w14:paraId="2326FAAC" w14:textId="77777777" w:rsidR="004F46C6" w:rsidRDefault="004F46C6" w:rsidP="004F46C6">
                      <w:pPr>
                        <w:pStyle w:val="Callout"/>
                        <w:jc w:val="right"/>
                        <w:rPr>
                          <w:i/>
                          <w:iCs/>
                          <w:color w:val="F25E21" w:themeColor="accent2"/>
                          <w:sz w:val="20"/>
                          <w:szCs w:val="20"/>
                        </w:rPr>
                      </w:pPr>
                      <w:r w:rsidRPr="007152F0">
                        <w:rPr>
                          <w:i/>
                          <w:iCs/>
                          <w:color w:val="F25E21" w:themeColor="accent2"/>
                          <w:sz w:val="20"/>
                          <w:szCs w:val="20"/>
                        </w:rPr>
                        <w:t>“</w:t>
                      </w:r>
                      <w:r>
                        <w:rPr>
                          <w:i/>
                          <w:iCs/>
                          <w:color w:val="F25E21" w:themeColor="accent2"/>
                          <w:sz w:val="20"/>
                          <w:szCs w:val="20"/>
                        </w:rPr>
                        <w:t xml:space="preserve">Advances in technology mean that medical devices that are used in effective and clinically proven surgical procedures are not eligible for listing on the PL because they are not </w:t>
                      </w:r>
                      <w:proofErr w:type="gramStart"/>
                      <w:r>
                        <w:rPr>
                          <w:i/>
                          <w:iCs/>
                          <w:color w:val="F25E21" w:themeColor="accent2"/>
                          <w:sz w:val="20"/>
                          <w:szCs w:val="20"/>
                        </w:rPr>
                        <w:t>implanted”</w:t>
                      </w:r>
                      <w:proofErr w:type="gramEnd"/>
                      <w:r>
                        <w:rPr>
                          <w:i/>
                          <w:iCs/>
                          <w:color w:val="F25E21" w:themeColor="accent2"/>
                          <w:sz w:val="20"/>
                          <w:szCs w:val="20"/>
                        </w:rPr>
                        <w:t xml:space="preserve"> </w:t>
                      </w:r>
                    </w:p>
                    <w:p w14:paraId="296B64D7" w14:textId="77777777" w:rsidR="004F46C6" w:rsidRPr="002D12AB" w:rsidRDefault="004F46C6" w:rsidP="004F46C6">
                      <w:pPr>
                        <w:pStyle w:val="Callout"/>
                        <w:jc w:val="right"/>
                        <w:rPr>
                          <w:rFonts w:asciiTheme="minorHAnsi" w:hAnsiTheme="minorHAnsi" w:cstheme="minorHAnsi"/>
                          <w:b/>
                          <w:bCs/>
                          <w:color w:val="00264D" w:themeColor="background2"/>
                          <w:sz w:val="14"/>
                          <w:szCs w:val="14"/>
                        </w:rPr>
                      </w:pPr>
                      <w:r>
                        <w:rPr>
                          <w:rFonts w:asciiTheme="minorHAnsi" w:hAnsiTheme="minorHAnsi" w:cstheme="minorHAnsi"/>
                          <w:b/>
                          <w:bCs/>
                          <w:color w:val="00264D" w:themeColor="background2"/>
                          <w:sz w:val="14"/>
                          <w:szCs w:val="14"/>
                        </w:rPr>
                        <w:t>MTAA, 2017 Senate Submission</w:t>
                      </w:r>
                    </w:p>
                    <w:p w14:paraId="1808431B" w14:textId="77777777" w:rsidR="004F46C6" w:rsidRDefault="004F46C6" w:rsidP="004F46C6">
                      <w:pPr>
                        <w:pStyle w:val="Callout"/>
                        <w:jc w:val="right"/>
                        <w:rPr>
                          <w:i/>
                          <w:iCs/>
                          <w:color w:val="F25E21" w:themeColor="accent2"/>
                          <w:sz w:val="20"/>
                          <w:szCs w:val="20"/>
                        </w:rPr>
                      </w:pPr>
                      <w:r>
                        <w:rPr>
                          <w:i/>
                          <w:iCs/>
                          <w:color w:val="F25E21" w:themeColor="accent2"/>
                          <w:sz w:val="20"/>
                          <w:szCs w:val="20"/>
                        </w:rPr>
                        <w:t xml:space="preserve"> </w:t>
                      </w:r>
                    </w:p>
                    <w:p w14:paraId="100322BA" w14:textId="77777777" w:rsidR="004F46C6" w:rsidRPr="002D12AB" w:rsidRDefault="004F46C6" w:rsidP="004F46C6">
                      <w:pPr>
                        <w:pStyle w:val="Callout"/>
                        <w:jc w:val="right"/>
                        <w:rPr>
                          <w:rFonts w:asciiTheme="minorHAnsi" w:hAnsiTheme="minorHAnsi" w:cstheme="minorHAnsi"/>
                          <w:b/>
                          <w:bCs/>
                          <w:color w:val="00264D" w:themeColor="background2"/>
                          <w:sz w:val="14"/>
                          <w:szCs w:val="14"/>
                        </w:rPr>
                      </w:pPr>
                      <w:r>
                        <w:rPr>
                          <w:rFonts w:asciiTheme="minorHAnsi" w:hAnsiTheme="minorHAnsi" w:cstheme="minorHAnsi"/>
                          <w:b/>
                          <w:bCs/>
                          <w:color w:val="00264D" w:themeColor="background2"/>
                          <w:sz w:val="14"/>
                          <w:szCs w:val="14"/>
                        </w:rPr>
                        <w:t>MTAA, 2017 Senate Submission</w:t>
                      </w:r>
                    </w:p>
                    <w:p w14:paraId="6357EAB9" w14:textId="77777777" w:rsidR="004F46C6" w:rsidRDefault="004F46C6" w:rsidP="004F46C6">
                      <w:pPr>
                        <w:pStyle w:val="Callout"/>
                        <w:rPr>
                          <w:color w:val="F25E21" w:themeColor="accent2"/>
                        </w:rPr>
                      </w:pPr>
                    </w:p>
                    <w:p w14:paraId="3ED49B0A" w14:textId="77777777" w:rsidR="004F46C6" w:rsidRPr="00885462" w:rsidRDefault="004F46C6" w:rsidP="004F46C6">
                      <w:pPr>
                        <w:pStyle w:val="Callout"/>
                        <w:rPr>
                          <w:color w:val="F25E21" w:themeColor="accent2"/>
                        </w:rPr>
                      </w:pPr>
                    </w:p>
                  </w:txbxContent>
                </v:textbox>
                <w10:wrap type="square"/>
              </v:shape>
            </w:pict>
          </mc:Fallback>
        </mc:AlternateContent>
      </w:r>
      <w:r w:rsidR="004F46C6" w:rsidRPr="00CF4D76">
        <w:t xml:space="preserve">Diverse stakeholder groups described problems associated with the PL lacking a clearly defined </w:t>
      </w:r>
      <w:proofErr w:type="gramStart"/>
      <w:r w:rsidR="004F46C6" w:rsidRPr="00CF4D76">
        <w:t>purpose</w:t>
      </w:r>
      <w:proofErr w:type="gramEnd"/>
      <w:r w:rsidR="004F46C6" w:rsidRPr="00CF4D76">
        <w:t xml:space="preserve"> </w:t>
      </w:r>
    </w:p>
    <w:p w14:paraId="0AFA3AB6" w14:textId="35EBB65A" w:rsidR="00D44958" w:rsidRDefault="6F9EE640" w:rsidP="007869F9">
      <w:r w:rsidRPr="1434E309">
        <w:t>T</w:t>
      </w:r>
      <w:r w:rsidR="004F46C6" w:rsidRPr="1434E309">
        <w:t>he</w:t>
      </w:r>
      <w:r w:rsidR="004F46C6" w:rsidRPr="0BCC15EA">
        <w:t xml:space="preserve"> purpose of the PL is not defined in legislation</w:t>
      </w:r>
      <w:r w:rsidR="5239BE15" w:rsidRPr="1434E309">
        <w:t xml:space="preserve"> and </w:t>
      </w:r>
      <w:r w:rsidR="004F46C6" w:rsidRPr="0BCC15EA">
        <w:t xml:space="preserve">stakeholders had </w:t>
      </w:r>
      <w:r w:rsidR="5952F863" w:rsidRPr="1434E309">
        <w:t>divergent</w:t>
      </w:r>
      <w:r w:rsidR="004F46C6" w:rsidRPr="0BCC15EA">
        <w:t xml:space="preserve"> views </w:t>
      </w:r>
      <w:r w:rsidR="1433DC19" w:rsidRPr="1434E309">
        <w:t>about</w:t>
      </w:r>
      <w:r w:rsidR="004F46C6" w:rsidRPr="0BCC15EA">
        <w:t xml:space="preserve"> the types of medical devices and human tissue products that should be listed on the PL</w:t>
      </w:r>
      <w:r w:rsidR="000F075F" w:rsidRPr="1434E309">
        <w:t>.</w:t>
      </w:r>
      <w:r w:rsidR="7ADCB19A" w:rsidRPr="1434E309">
        <w:t xml:space="preserve"> Given the PL impacts an array of stakeholders, it is important that its purpose scope is clear, to be certain in the value the PL provides to the private health sector.</w:t>
      </w:r>
    </w:p>
    <w:p w14:paraId="35A4A46A" w14:textId="5FE6B5DB" w:rsidR="00285C66" w:rsidRPr="00F2355D" w:rsidRDefault="00F1441D" w:rsidP="007869F9">
      <w:r>
        <w:t>M</w:t>
      </w:r>
      <w:r w:rsidR="0024138C" w:rsidRPr="0BCC15EA">
        <w:t>edical</w:t>
      </w:r>
      <w:r w:rsidR="004F46C6" w:rsidRPr="0BCC15EA">
        <w:t xml:space="preserve"> device companies</w:t>
      </w:r>
      <w:r w:rsidR="5120914C" w:rsidRPr="1434E309">
        <w:t xml:space="preserve"> argue</w:t>
      </w:r>
      <w:r>
        <w:t>, for example,</w:t>
      </w:r>
      <w:r w:rsidR="004F46C6" w:rsidRPr="0BCC15EA">
        <w:t xml:space="preserve"> </w:t>
      </w:r>
      <w:r w:rsidR="633AC470" w:rsidRPr="1434E309">
        <w:t>because</w:t>
      </w:r>
      <w:r w:rsidR="004F46C6" w:rsidRPr="0BCC15EA">
        <w:t xml:space="preserve"> the arrangements do not allow for the listing of non-implantable devices </w:t>
      </w:r>
      <w:r w:rsidR="7E7D4C21" w:rsidRPr="1434E309">
        <w:t>with</w:t>
      </w:r>
      <w:r w:rsidR="004F46C6" w:rsidRPr="0BCC15EA">
        <w:t xml:space="preserve"> a clear clinical benefit</w:t>
      </w:r>
      <w:r w:rsidR="4F25EB92" w:rsidRPr="1434E309">
        <w:t xml:space="preserve">, </w:t>
      </w:r>
      <w:r w:rsidR="6A765646" w:rsidRPr="1434E309">
        <w:t xml:space="preserve">that </w:t>
      </w:r>
      <w:r w:rsidR="4F25EB92" w:rsidRPr="1434E309">
        <w:t>this</w:t>
      </w:r>
      <w:r w:rsidR="004F46C6" w:rsidRPr="0BCC15EA">
        <w:t xml:space="preserve"> has limited patient access to more contemporary models of care.</w:t>
      </w:r>
      <w:r w:rsidR="004F46C6">
        <w:rPr>
          <w:rStyle w:val="FootnoteReference"/>
        </w:rPr>
        <w:footnoteReference w:id="74"/>
      </w:r>
      <w:r w:rsidR="004F46C6" w:rsidRPr="0BCC15EA">
        <w:t xml:space="preserve"> </w:t>
      </w:r>
    </w:p>
    <w:p w14:paraId="05A7ECBC" w14:textId="27D68617" w:rsidR="004F46C6" w:rsidRDefault="00B503A9" w:rsidP="004F46C6">
      <w:pPr>
        <w:pStyle w:val="Heading4"/>
      </w:pPr>
      <w:r w:rsidRPr="3787E91E">
        <w:t>The PL</w:t>
      </w:r>
      <w:r w:rsidR="004334AD" w:rsidRPr="3787E91E">
        <w:t>’s grouping structure, based on clinical use, created</w:t>
      </w:r>
      <w:r w:rsidR="00CD5387" w:rsidRPr="3787E91E">
        <w:t xml:space="preserve"> a</w:t>
      </w:r>
      <w:r w:rsidR="004334AD" w:rsidRPr="3787E91E">
        <w:t xml:space="preserve"> </w:t>
      </w:r>
      <w:r w:rsidR="008F3728" w:rsidRPr="3787E91E">
        <w:t xml:space="preserve">mechanism for </w:t>
      </w:r>
      <w:r w:rsidR="00CD5387" w:rsidRPr="3787E91E">
        <w:t xml:space="preserve">new groupings to </w:t>
      </w:r>
      <w:r w:rsidR="008519BF" w:rsidRPr="3787E91E">
        <w:t>proliferat</w:t>
      </w:r>
      <w:r w:rsidR="00CD5387" w:rsidRPr="3787E91E">
        <w:t>e</w:t>
      </w:r>
      <w:r w:rsidR="00843652" w:rsidRPr="3787E91E">
        <w:t xml:space="preserve"> and benefit levels to </w:t>
      </w:r>
      <w:proofErr w:type="gramStart"/>
      <w:r w:rsidR="00843652" w:rsidRPr="3787E91E">
        <w:t>escalate</w:t>
      </w:r>
      <w:proofErr w:type="gramEnd"/>
    </w:p>
    <w:p w14:paraId="288D514C" w14:textId="6918E697" w:rsidR="000C2455" w:rsidRDefault="00A053A8" w:rsidP="00ED405A">
      <w:pPr>
        <w:rPr>
          <w:lang w:eastAsia="en-AU"/>
        </w:rPr>
      </w:pPr>
      <w:r>
        <w:rPr>
          <w:lang w:eastAsia="en-AU"/>
        </w:rPr>
        <w:t xml:space="preserve">As noted, PL groups, and their associated benefit levels, are established based on product characteristics and clinical benefits. </w:t>
      </w:r>
      <w:r w:rsidR="006573C0">
        <w:rPr>
          <w:lang w:eastAsia="en-AU"/>
        </w:rPr>
        <w:t xml:space="preserve">Doing this has </w:t>
      </w:r>
      <w:r w:rsidR="00BD7638">
        <w:rPr>
          <w:lang w:eastAsia="en-AU"/>
        </w:rPr>
        <w:t>caused</w:t>
      </w:r>
      <w:r w:rsidR="006573C0">
        <w:rPr>
          <w:lang w:eastAsia="en-AU"/>
        </w:rPr>
        <w:t xml:space="preserve"> the </w:t>
      </w:r>
      <w:r w:rsidR="008F4213">
        <w:rPr>
          <w:lang w:eastAsia="en-AU"/>
        </w:rPr>
        <w:t>structure of the PL to grow</w:t>
      </w:r>
      <w:r w:rsidR="00C51A71">
        <w:rPr>
          <w:lang w:eastAsia="en-AU"/>
        </w:rPr>
        <w:t xml:space="preserve"> in complexity over time, as new groups are established</w:t>
      </w:r>
      <w:r w:rsidR="00356085">
        <w:rPr>
          <w:lang w:eastAsia="en-AU"/>
        </w:rPr>
        <w:t xml:space="preserve"> for any items with novel features. </w:t>
      </w:r>
      <w:r w:rsidR="002A4271">
        <w:rPr>
          <w:lang w:eastAsia="en-AU"/>
        </w:rPr>
        <w:t xml:space="preserve">Some stakeholders </w:t>
      </w:r>
      <w:r w:rsidR="003723EF">
        <w:rPr>
          <w:lang w:eastAsia="en-AU"/>
        </w:rPr>
        <w:t xml:space="preserve">have indicated that this has </w:t>
      </w:r>
      <w:r w:rsidR="00D15A2D">
        <w:rPr>
          <w:lang w:eastAsia="en-AU"/>
        </w:rPr>
        <w:t>resulted in</w:t>
      </w:r>
      <w:r w:rsidR="003723EF">
        <w:rPr>
          <w:lang w:eastAsia="en-AU"/>
        </w:rPr>
        <w:t xml:space="preserve"> a lack of clarity </w:t>
      </w:r>
      <w:r w:rsidR="00D15A2D">
        <w:rPr>
          <w:lang w:eastAsia="en-AU"/>
        </w:rPr>
        <w:t>due to</w:t>
      </w:r>
      <w:r w:rsidR="00564E91">
        <w:rPr>
          <w:lang w:eastAsia="en-AU"/>
        </w:rPr>
        <w:t xml:space="preserve"> shifting definitions </w:t>
      </w:r>
      <w:r w:rsidR="003350D3">
        <w:rPr>
          <w:lang w:eastAsia="en-AU"/>
        </w:rPr>
        <w:t xml:space="preserve">of the </w:t>
      </w:r>
      <w:r w:rsidR="0096596F">
        <w:rPr>
          <w:lang w:eastAsia="en-AU"/>
        </w:rPr>
        <w:t xml:space="preserve">PL </w:t>
      </w:r>
      <w:r w:rsidR="003350D3">
        <w:rPr>
          <w:lang w:eastAsia="en-AU"/>
        </w:rPr>
        <w:t>groups.</w:t>
      </w:r>
      <w:r w:rsidR="00360CC5">
        <w:rPr>
          <w:rStyle w:val="FootnoteReference"/>
          <w:lang w:eastAsia="en-AU"/>
        </w:rPr>
        <w:footnoteReference w:id="75"/>
      </w:r>
      <w:r w:rsidR="003350D3">
        <w:rPr>
          <w:lang w:eastAsia="en-AU"/>
        </w:rPr>
        <w:t xml:space="preserve"> </w:t>
      </w:r>
      <w:r w:rsidR="0096596F">
        <w:rPr>
          <w:lang w:eastAsia="en-AU"/>
        </w:rPr>
        <w:t xml:space="preserve">Other </w:t>
      </w:r>
      <w:r w:rsidR="06D418AB">
        <w:rPr>
          <w:lang w:eastAsia="en-AU"/>
        </w:rPr>
        <w:t>s</w:t>
      </w:r>
      <w:r w:rsidR="196A43E0">
        <w:rPr>
          <w:lang w:eastAsia="en-AU"/>
        </w:rPr>
        <w:t>takeholders</w:t>
      </w:r>
      <w:r w:rsidR="000907D9">
        <w:rPr>
          <w:lang w:eastAsia="en-AU"/>
        </w:rPr>
        <w:t xml:space="preserve"> have raised </w:t>
      </w:r>
      <w:r w:rsidR="00B66D15">
        <w:rPr>
          <w:lang w:eastAsia="en-AU"/>
        </w:rPr>
        <w:t>c</w:t>
      </w:r>
      <w:r w:rsidR="000907D9">
        <w:rPr>
          <w:lang w:eastAsia="en-AU"/>
        </w:rPr>
        <w:t xml:space="preserve">oncerns that this </w:t>
      </w:r>
      <w:r w:rsidR="009E7404">
        <w:rPr>
          <w:lang w:eastAsia="en-AU"/>
        </w:rPr>
        <w:t xml:space="preserve">has created a system </w:t>
      </w:r>
      <w:r w:rsidR="003D291D">
        <w:rPr>
          <w:lang w:eastAsia="en-AU"/>
        </w:rPr>
        <w:t>that can</w:t>
      </w:r>
      <w:r w:rsidR="009E7404">
        <w:rPr>
          <w:lang w:eastAsia="en-AU"/>
        </w:rPr>
        <w:t xml:space="preserve"> be </w:t>
      </w:r>
      <w:r w:rsidR="00B66D15">
        <w:rPr>
          <w:lang w:eastAsia="en-AU"/>
        </w:rPr>
        <w:t>‘gamed’</w:t>
      </w:r>
      <w:r w:rsidR="009E7404">
        <w:rPr>
          <w:lang w:eastAsia="en-AU"/>
        </w:rPr>
        <w:t xml:space="preserve"> by device sponsors, </w:t>
      </w:r>
      <w:r w:rsidR="003D291D">
        <w:rPr>
          <w:lang w:eastAsia="en-AU"/>
        </w:rPr>
        <w:t>by</w:t>
      </w:r>
      <w:r w:rsidR="00BB0BE6">
        <w:rPr>
          <w:lang w:eastAsia="en-AU"/>
        </w:rPr>
        <w:t xml:space="preserve"> </w:t>
      </w:r>
      <w:r w:rsidR="00A84B82">
        <w:rPr>
          <w:lang w:eastAsia="en-AU"/>
        </w:rPr>
        <w:t>target</w:t>
      </w:r>
      <w:r w:rsidR="003D291D">
        <w:rPr>
          <w:lang w:eastAsia="en-AU"/>
        </w:rPr>
        <w:t>ing</w:t>
      </w:r>
      <w:r w:rsidR="00A84B82">
        <w:rPr>
          <w:lang w:eastAsia="en-AU"/>
        </w:rPr>
        <w:t xml:space="preserve"> differential </w:t>
      </w:r>
      <w:r w:rsidR="004246A7">
        <w:rPr>
          <w:lang w:eastAsia="en-AU"/>
        </w:rPr>
        <w:t xml:space="preserve">benefits in a favourable way, or </w:t>
      </w:r>
      <w:r w:rsidR="001D4553">
        <w:rPr>
          <w:lang w:eastAsia="en-AU"/>
        </w:rPr>
        <w:t>applying</w:t>
      </w:r>
      <w:r w:rsidR="00173253">
        <w:rPr>
          <w:lang w:eastAsia="en-AU"/>
        </w:rPr>
        <w:t xml:space="preserve"> to list </w:t>
      </w:r>
      <w:r w:rsidR="00BF6421">
        <w:rPr>
          <w:lang w:eastAsia="en-AU"/>
        </w:rPr>
        <w:t xml:space="preserve">devices with small, incremental changes, </w:t>
      </w:r>
      <w:r w:rsidR="00602236">
        <w:rPr>
          <w:lang w:eastAsia="en-AU"/>
        </w:rPr>
        <w:t xml:space="preserve">resulting in </w:t>
      </w:r>
      <w:r w:rsidR="001D5460">
        <w:rPr>
          <w:lang w:eastAsia="en-AU"/>
        </w:rPr>
        <w:t>higher</w:t>
      </w:r>
      <w:r w:rsidR="00602236">
        <w:rPr>
          <w:lang w:eastAsia="en-AU"/>
        </w:rPr>
        <w:t xml:space="preserve"> benefit levels </w:t>
      </w:r>
      <w:r w:rsidR="001D5460">
        <w:rPr>
          <w:lang w:eastAsia="en-AU"/>
        </w:rPr>
        <w:t xml:space="preserve">without a corresponding uplift in clinical </w:t>
      </w:r>
      <w:r w:rsidR="00C12F28">
        <w:rPr>
          <w:lang w:eastAsia="en-AU"/>
        </w:rPr>
        <w:t>benefit</w:t>
      </w:r>
      <w:r w:rsidR="00590D16">
        <w:rPr>
          <w:lang w:eastAsia="en-AU"/>
        </w:rPr>
        <w:t>s</w:t>
      </w:r>
      <w:r w:rsidR="00FB2D8E">
        <w:rPr>
          <w:lang w:eastAsia="en-AU"/>
        </w:rPr>
        <w:t xml:space="preserve"> </w:t>
      </w:r>
      <w:r w:rsidR="00C12F28">
        <w:rPr>
          <w:lang w:eastAsia="en-AU"/>
        </w:rPr>
        <w:t>for consumers.</w:t>
      </w:r>
      <w:r w:rsidR="00B66D15">
        <w:rPr>
          <w:rStyle w:val="FootnoteReference"/>
          <w:lang w:eastAsia="en-AU"/>
        </w:rPr>
        <w:footnoteReference w:id="76"/>
      </w:r>
      <w:r w:rsidR="0009132B">
        <w:rPr>
          <w:lang w:eastAsia="en-AU"/>
        </w:rPr>
        <w:t xml:space="preserve"> </w:t>
      </w:r>
      <w:r w:rsidR="001C1B19">
        <w:rPr>
          <w:lang w:eastAsia="en-AU"/>
        </w:rPr>
        <w:t xml:space="preserve">While </w:t>
      </w:r>
      <w:r w:rsidR="00057DEE">
        <w:rPr>
          <w:lang w:eastAsia="en-AU"/>
        </w:rPr>
        <w:t>promoting and rewarding</w:t>
      </w:r>
      <w:r w:rsidR="001C1B19">
        <w:rPr>
          <w:lang w:eastAsia="en-AU"/>
        </w:rPr>
        <w:t xml:space="preserve"> clinical innovation is</w:t>
      </w:r>
      <w:r w:rsidR="00072031">
        <w:rPr>
          <w:lang w:eastAsia="en-AU"/>
        </w:rPr>
        <w:t xml:space="preserve"> </w:t>
      </w:r>
      <w:r w:rsidR="00A81607">
        <w:rPr>
          <w:lang w:eastAsia="en-AU"/>
        </w:rPr>
        <w:t xml:space="preserve">the </w:t>
      </w:r>
      <w:r w:rsidR="001C1B19">
        <w:rPr>
          <w:lang w:eastAsia="en-AU"/>
        </w:rPr>
        <w:t xml:space="preserve">intention, </w:t>
      </w:r>
      <w:r w:rsidR="00B014D4">
        <w:rPr>
          <w:lang w:eastAsia="en-AU"/>
        </w:rPr>
        <w:t xml:space="preserve">there are concerns the system </w:t>
      </w:r>
      <w:r w:rsidR="002116F6">
        <w:rPr>
          <w:lang w:eastAsia="en-AU"/>
        </w:rPr>
        <w:t xml:space="preserve">incentivises other </w:t>
      </w:r>
      <w:r w:rsidR="006576BD">
        <w:rPr>
          <w:lang w:eastAsia="en-AU"/>
        </w:rPr>
        <w:t>unintended listing behaviours, in which sponsors</w:t>
      </w:r>
      <w:r w:rsidR="00EC3427">
        <w:rPr>
          <w:lang w:eastAsia="en-AU"/>
        </w:rPr>
        <w:t xml:space="preserve"> have reason to list</w:t>
      </w:r>
      <w:r w:rsidR="00834743">
        <w:rPr>
          <w:lang w:eastAsia="en-AU"/>
        </w:rPr>
        <w:t xml:space="preserve"> items </w:t>
      </w:r>
      <w:r w:rsidR="0099761E">
        <w:rPr>
          <w:lang w:eastAsia="en-AU"/>
        </w:rPr>
        <w:t xml:space="preserve">to target </w:t>
      </w:r>
      <w:r w:rsidR="007245CF">
        <w:rPr>
          <w:lang w:eastAsia="en-AU"/>
        </w:rPr>
        <w:t xml:space="preserve">specific </w:t>
      </w:r>
      <w:r w:rsidR="00AF7A59">
        <w:rPr>
          <w:lang w:eastAsia="en-AU"/>
        </w:rPr>
        <w:t>benefit groups</w:t>
      </w:r>
      <w:r w:rsidR="001076F5">
        <w:rPr>
          <w:lang w:eastAsia="en-AU"/>
        </w:rPr>
        <w:t>.</w:t>
      </w:r>
    </w:p>
    <w:p w14:paraId="18A53E3B" w14:textId="5F2D627F" w:rsidR="00F2355D" w:rsidRDefault="00F2355D" w:rsidP="00F2355D">
      <w:pPr>
        <w:pStyle w:val="Heading4"/>
      </w:pPr>
      <w:r w:rsidRPr="3787E91E">
        <w:t xml:space="preserve">The lack of a clear scope has led to disagreement between stakeholders regarding the listing of certain item types, in particular consumable </w:t>
      </w:r>
      <w:proofErr w:type="gramStart"/>
      <w:r w:rsidRPr="3787E91E">
        <w:t>GUIs</w:t>
      </w:r>
      <w:proofErr w:type="gramEnd"/>
    </w:p>
    <w:p w14:paraId="16512CDC" w14:textId="64394B61" w:rsidR="00F2355D" w:rsidRPr="00D2746E" w:rsidRDefault="00F2355D" w:rsidP="007869F9">
      <w:r>
        <w:t>Stakeholder interpretations as to the scope of the PL varied greatly.</w:t>
      </w:r>
      <w:r>
        <w:rPr>
          <w:rStyle w:val="FootnoteReference"/>
        </w:rPr>
        <w:footnoteReference w:id="77"/>
      </w:r>
      <w:r>
        <w:t xml:space="preserve"> </w:t>
      </w:r>
      <w:r w:rsidRPr="00442941">
        <w:t>For instance, some stakeholders believed that</w:t>
      </w:r>
      <w:r>
        <w:t xml:space="preserve"> if</w:t>
      </w:r>
      <w:r w:rsidRPr="00442941">
        <w:t xml:space="preserve"> </w:t>
      </w:r>
      <w:r>
        <w:t xml:space="preserve">‘consumable’ </w:t>
      </w:r>
      <w:r w:rsidRPr="00442941">
        <w:t xml:space="preserve">items such as sutures and staples </w:t>
      </w:r>
      <w:r>
        <w:t>were</w:t>
      </w:r>
      <w:r w:rsidRPr="00442941">
        <w:t xml:space="preserve"> on the PL, </w:t>
      </w:r>
      <w:r>
        <w:t xml:space="preserve">then so should other </w:t>
      </w:r>
      <w:r w:rsidRPr="00D2746E">
        <w:t xml:space="preserve">‘consumable’ items such as the camera used for capsule endoscopy. Alternatively, other stakeholders </w:t>
      </w:r>
      <w:r w:rsidR="500F253E" w:rsidRPr="2F219218">
        <w:t>believe</w:t>
      </w:r>
      <w:r w:rsidRPr="00D2746E">
        <w:t xml:space="preserve"> staples and sutures should not be on the PL at all.</w:t>
      </w:r>
    </w:p>
    <w:p w14:paraId="4332BC14" w14:textId="05204F0A" w:rsidR="00F2355D" w:rsidRPr="00D2746E" w:rsidRDefault="00F2355D" w:rsidP="007869F9">
      <w:r>
        <w:t>Another</w:t>
      </w:r>
      <w:r w:rsidRPr="00D2746E">
        <w:t xml:space="preserve"> objection </w:t>
      </w:r>
      <w:r>
        <w:t>to the inclusion of consumable</w:t>
      </w:r>
      <w:r w:rsidRPr="00D2746E">
        <w:t xml:space="preserve"> items like staples and sutures</w:t>
      </w:r>
      <w:r>
        <w:t xml:space="preserve"> is that they </w:t>
      </w:r>
      <w:r w:rsidRPr="00D2746E">
        <w:t>are procured in groups rather than individually for a specific operation</w:t>
      </w:r>
      <w:r>
        <w:t>. It has been argued that these</w:t>
      </w:r>
      <w:r w:rsidRPr="00D2746E">
        <w:t xml:space="preserve"> are not suitable for funding via a mechanism like the PL, which associates a benefit to be paid with a specific episode of care.</w:t>
      </w:r>
      <w:r w:rsidR="00CD5FDF">
        <w:rPr>
          <w:rStyle w:val="FootnoteReference"/>
        </w:rPr>
        <w:footnoteReference w:id="78"/>
      </w:r>
    </w:p>
    <w:p w14:paraId="4A7C2BB3" w14:textId="6817F731" w:rsidR="00F2355D" w:rsidRPr="00064500" w:rsidRDefault="00F2355D" w:rsidP="00F2355D">
      <w:r w:rsidRPr="00D2746E">
        <w:t>An external review of the General Miscellaneous category on the PL was conducted in 2020</w:t>
      </w:r>
      <w:r w:rsidRPr="00D2746E">
        <w:rPr>
          <w:rStyle w:val="FootnoteReference"/>
        </w:rPr>
        <w:footnoteReference w:id="79"/>
      </w:r>
      <w:r w:rsidRPr="00D2746E">
        <w:t xml:space="preserve">, </w:t>
      </w:r>
      <w:r w:rsidR="5F7AA43C" w:rsidRPr="00D2746E">
        <w:t>resulting in</w:t>
      </w:r>
      <w:r w:rsidRPr="00D2746E">
        <w:t xml:space="preserve"> </w:t>
      </w:r>
      <w:r w:rsidR="5BB6A2C0" w:rsidRPr="00D2746E">
        <w:t>several</w:t>
      </w:r>
      <w:r w:rsidRPr="00D2746E">
        <w:t xml:space="preserve"> recommendations, including </w:t>
      </w:r>
      <w:r w:rsidR="00346639">
        <w:t xml:space="preserve">tightening </w:t>
      </w:r>
      <w:r w:rsidR="008F1724">
        <w:t xml:space="preserve">listing </w:t>
      </w:r>
      <w:proofErr w:type="gramStart"/>
      <w:r w:rsidR="008F1724">
        <w:t>criteria</w:t>
      </w:r>
      <w:proofErr w:type="gramEnd"/>
      <w:r w:rsidR="008F1724">
        <w:t xml:space="preserve"> and </w:t>
      </w:r>
      <w:r w:rsidRPr="00D2746E">
        <w:t xml:space="preserve">removing some miscellaneous items </w:t>
      </w:r>
      <w:r w:rsidR="00B33E29">
        <w:t>to be funded by an alternate</w:t>
      </w:r>
      <w:r w:rsidR="008F1724">
        <w:t xml:space="preserve"> mechanism</w:t>
      </w:r>
      <w:r w:rsidRPr="00D2746E">
        <w:t>. The review was initiated in response to concerns regarding the increasing utilisation of items in the General Miscellaneous category, and if these items met the appropriate listing criteria.</w:t>
      </w:r>
      <w:r w:rsidRPr="00D2746E">
        <w:rPr>
          <w:rStyle w:val="FootnoteReference"/>
        </w:rPr>
        <w:footnoteReference w:id="80"/>
      </w:r>
    </w:p>
    <w:p w14:paraId="61A0A4CB" w14:textId="45F2287A" w:rsidR="004F46C6" w:rsidRDefault="004F46C6" w:rsidP="00032A28">
      <w:pPr>
        <w:pStyle w:val="Heading3"/>
        <w:spacing w:before="400"/>
      </w:pPr>
      <w:bookmarkStart w:id="49" w:name="_Ref160188790"/>
      <w:r>
        <w:lastRenderedPageBreak/>
        <w:t>How the reform</w:t>
      </w:r>
      <w:r w:rsidR="002A2024">
        <w:t>s</w:t>
      </w:r>
      <w:r>
        <w:t xml:space="preserve"> intend to achieve this objective</w:t>
      </w:r>
      <w:bookmarkEnd w:id="49"/>
    </w:p>
    <w:p w14:paraId="6ADEF3A8" w14:textId="2FD120E4" w:rsidR="004F46C6" w:rsidRDefault="004F46C6" w:rsidP="004F46C6">
      <w:pPr>
        <w:pStyle w:val="Heading4"/>
        <w:rPr>
          <w:highlight w:val="yellow"/>
        </w:rPr>
      </w:pPr>
      <w:r>
        <w:t xml:space="preserve">The scope and definition of the PL </w:t>
      </w:r>
      <w:r w:rsidR="00EE68A2">
        <w:t>are</w:t>
      </w:r>
      <w:r>
        <w:t xml:space="preserve"> to be formalised through legislative </w:t>
      </w:r>
      <w:proofErr w:type="gramStart"/>
      <w:r>
        <w:t>change</w:t>
      </w:r>
      <w:proofErr w:type="gramEnd"/>
    </w:p>
    <w:p w14:paraId="0636742A" w14:textId="4DFB2766" w:rsidR="004F46C6" w:rsidRDefault="004F46C6" w:rsidP="007869F9">
      <w:r>
        <w:t xml:space="preserve">Given the lack of clarity regarding the precise scope, </w:t>
      </w:r>
      <w:r w:rsidR="009F7F0E">
        <w:t>definitions</w:t>
      </w:r>
      <w:r>
        <w:t xml:space="preserve"> and purpose of the PL, the reforms seek to define and formalise the PL in more detail. </w:t>
      </w:r>
      <w:r w:rsidRPr="00121D32">
        <w:t>The Government will consult with stakeholders</w:t>
      </w:r>
      <w:r>
        <w:t xml:space="preserve"> to </w:t>
      </w:r>
      <w:r w:rsidR="7E813271">
        <w:t>support consideration of</w:t>
      </w:r>
      <w:r>
        <w:t xml:space="preserve"> all perspectives </w:t>
      </w:r>
      <w:r w:rsidR="18DB6F0B">
        <w:t>o</w:t>
      </w:r>
      <w:r w:rsidR="3C994A97">
        <w:t>f</w:t>
      </w:r>
      <w:r>
        <w:t xml:space="preserve"> the PL’s function</w:t>
      </w:r>
      <w:r w:rsidR="003448B2">
        <w:t>,</w:t>
      </w:r>
      <w:r>
        <w:t xml:space="preserve"> </w:t>
      </w:r>
      <w:proofErr w:type="gramStart"/>
      <w:r>
        <w:t>role</w:t>
      </w:r>
      <w:proofErr w:type="gramEnd"/>
      <w:r>
        <w:t xml:space="preserve"> </w:t>
      </w:r>
      <w:r w:rsidR="003448B2">
        <w:t xml:space="preserve">and eligibility, </w:t>
      </w:r>
      <w:r>
        <w:t>a</w:t>
      </w:r>
      <w:r w:rsidR="00E29689">
        <w:t>nd</w:t>
      </w:r>
      <w:r w:rsidRPr="00121D32">
        <w:t xml:space="preserve"> how </w:t>
      </w:r>
      <w:r w:rsidR="00A951D5">
        <w:t xml:space="preserve">this </w:t>
      </w:r>
      <w:r w:rsidRPr="00121D32">
        <w:t>might be implemented in delegated legislation.</w:t>
      </w:r>
      <w:r w:rsidRPr="00121D32">
        <w:rPr>
          <w:rStyle w:val="FootnoteReference"/>
        </w:rPr>
        <w:footnoteReference w:id="81"/>
      </w:r>
      <w:r w:rsidRPr="00121D32">
        <w:t xml:space="preserve"> </w:t>
      </w:r>
    </w:p>
    <w:p w14:paraId="4EFC6B32" w14:textId="7DC7CA43" w:rsidR="004F46C6" w:rsidRPr="00B642F3" w:rsidRDefault="004F46C6" w:rsidP="004F46C6">
      <w:pPr>
        <w:pStyle w:val="Heading4"/>
      </w:pPr>
      <w:r>
        <w:t xml:space="preserve">A new grouping structure </w:t>
      </w:r>
      <w:r w:rsidR="00F8119B">
        <w:t>is</w:t>
      </w:r>
      <w:r>
        <w:t xml:space="preserve"> to be developed to </w:t>
      </w:r>
      <w:r w:rsidR="00CF658F">
        <w:t xml:space="preserve">better align items with similar </w:t>
      </w:r>
      <w:r w:rsidR="004E2BDE">
        <w:t xml:space="preserve">intended </w:t>
      </w:r>
      <w:proofErr w:type="gramStart"/>
      <w:r w:rsidR="004E2BDE">
        <w:t>use</w:t>
      </w:r>
      <w:proofErr w:type="gramEnd"/>
    </w:p>
    <w:p w14:paraId="44A94325" w14:textId="77777777" w:rsidR="004F46C6" w:rsidRDefault="004F46C6" w:rsidP="004F46C6">
      <w:pPr>
        <w:rPr>
          <w:szCs w:val="19"/>
          <w:lang w:eastAsia="en-AU"/>
        </w:rPr>
      </w:pPr>
      <w:r>
        <w:rPr>
          <w:szCs w:val="19"/>
          <w:lang w:eastAsia="en-AU"/>
        </w:rPr>
        <w:t>Given concerns that have been raised about both the complexity of the list, as well as the scrutiny regarding the connection between groups and clinical use, t</w:t>
      </w:r>
      <w:r w:rsidRPr="00200EAC">
        <w:rPr>
          <w:szCs w:val="19"/>
          <w:lang w:eastAsia="en-AU"/>
        </w:rPr>
        <w:t>he PL reforms in</w:t>
      </w:r>
      <w:r>
        <w:rPr>
          <w:szCs w:val="19"/>
          <w:lang w:eastAsia="en-AU"/>
        </w:rPr>
        <w:t>clude a comprehensive review and update to</w:t>
      </w:r>
      <w:r w:rsidRPr="00200EAC">
        <w:rPr>
          <w:szCs w:val="19"/>
          <w:lang w:eastAsia="en-AU"/>
        </w:rPr>
        <w:t xml:space="preserve"> the grouping structure of the PL</w:t>
      </w:r>
      <w:r>
        <w:rPr>
          <w:szCs w:val="19"/>
          <w:lang w:eastAsia="en-AU"/>
        </w:rPr>
        <w:t>. This regrouping aims to align the structure of the PL directly with clinical use of the device groups,</w:t>
      </w:r>
      <w:r w:rsidRPr="00200EAC">
        <w:rPr>
          <w:szCs w:val="19"/>
          <w:lang w:eastAsia="en-AU"/>
        </w:rPr>
        <w:t xml:space="preserve"> to streamline the list and make it simpler to navigate for insurers and hospitals.</w:t>
      </w:r>
    </w:p>
    <w:p w14:paraId="2C81AC79" w14:textId="7C4F071D" w:rsidR="004F46C6" w:rsidRDefault="004F46C6" w:rsidP="004F46C6">
      <w:pPr>
        <w:rPr>
          <w:lang w:eastAsia="en-AU"/>
        </w:rPr>
      </w:pPr>
      <w:r w:rsidRPr="1434E309">
        <w:rPr>
          <w:lang w:eastAsia="en-AU"/>
        </w:rPr>
        <w:t xml:space="preserve">It is important to note that the MoU </w:t>
      </w:r>
      <w:r w:rsidR="00994A59" w:rsidRPr="1434E309">
        <w:rPr>
          <w:lang w:eastAsia="en-AU"/>
        </w:rPr>
        <w:t xml:space="preserve">between the Minister and the MTAA </w:t>
      </w:r>
      <w:r w:rsidRPr="1434E309">
        <w:rPr>
          <w:lang w:eastAsia="en-AU"/>
        </w:rPr>
        <w:t xml:space="preserve">stipulates that the regrouping shall not be designed in a way that further reduces benefit levels for devices beyond the specific benefit reductions </w:t>
      </w:r>
      <w:r w:rsidR="53F9D7C7" w:rsidRPr="1434E309">
        <w:rPr>
          <w:lang w:eastAsia="en-AU"/>
        </w:rPr>
        <w:t>planned</w:t>
      </w:r>
      <w:r w:rsidRPr="1434E309">
        <w:rPr>
          <w:lang w:eastAsia="en-AU"/>
        </w:rPr>
        <w:t xml:space="preserve"> through other </w:t>
      </w:r>
      <w:r w:rsidR="00C05412">
        <w:rPr>
          <w:lang w:eastAsia="en-AU"/>
        </w:rPr>
        <w:t>projects</w:t>
      </w:r>
      <w:r w:rsidRPr="1434E309">
        <w:rPr>
          <w:lang w:eastAsia="en-AU"/>
        </w:rPr>
        <w:t xml:space="preserve"> of the reforms.</w:t>
      </w:r>
      <w:r w:rsidR="00AB3531">
        <w:rPr>
          <w:rStyle w:val="FootnoteReference"/>
          <w:rFonts w:cs="Segoe UI"/>
          <w:color w:val="313131"/>
          <w:shd w:val="clear" w:color="auto" w:fill="FFFFFF"/>
        </w:rPr>
        <w:footnoteReference w:id="82"/>
      </w:r>
    </w:p>
    <w:p w14:paraId="0AAC1D90" w14:textId="77777777" w:rsidR="00057DEE" w:rsidRDefault="00057DEE" w:rsidP="00057DEE">
      <w:pPr>
        <w:pStyle w:val="Heading4"/>
      </w:pPr>
      <w:r w:rsidRPr="3787E91E">
        <w:t xml:space="preserve">The inclusion of general use items (GUIs) on the PL will be reviewed, and alternative arrangements </w:t>
      </w:r>
      <w:proofErr w:type="gramStart"/>
      <w:r w:rsidRPr="3787E91E">
        <w:t>assessed</w:t>
      </w:r>
      <w:proofErr w:type="gramEnd"/>
    </w:p>
    <w:p w14:paraId="07F6DE0E" w14:textId="77777777" w:rsidR="00057DEE" w:rsidRDefault="00057DEE" w:rsidP="00057DEE">
      <w:pPr>
        <w:rPr>
          <w:szCs w:val="19"/>
        </w:rPr>
      </w:pPr>
      <w:r>
        <w:rPr>
          <w:szCs w:val="19"/>
        </w:rPr>
        <w:t>T</w:t>
      </w:r>
      <w:r w:rsidRPr="00200EAC">
        <w:rPr>
          <w:szCs w:val="19"/>
        </w:rPr>
        <w:t>here will be</w:t>
      </w:r>
      <w:r>
        <w:rPr>
          <w:szCs w:val="19"/>
        </w:rPr>
        <w:t xml:space="preserve"> explicit</w:t>
      </w:r>
      <w:r w:rsidRPr="00200EAC">
        <w:rPr>
          <w:szCs w:val="19"/>
        </w:rPr>
        <w:t xml:space="preserve"> changes to the listing of </w:t>
      </w:r>
      <w:r>
        <w:rPr>
          <w:szCs w:val="19"/>
        </w:rPr>
        <w:t>GUIs.</w:t>
      </w:r>
      <w:r w:rsidRPr="00200EAC">
        <w:rPr>
          <w:szCs w:val="19"/>
        </w:rPr>
        <w:t xml:space="preserve"> This category include</w:t>
      </w:r>
      <w:r>
        <w:rPr>
          <w:szCs w:val="19"/>
        </w:rPr>
        <w:t>s</w:t>
      </w:r>
      <w:r w:rsidRPr="00200EAC">
        <w:rPr>
          <w:szCs w:val="19"/>
        </w:rPr>
        <w:t xml:space="preserve"> items such as sponges, patches, staples, and sealants which are used across a broad range of surgeries.</w:t>
      </w:r>
    </w:p>
    <w:p w14:paraId="24B1702A" w14:textId="49B9BE85" w:rsidR="00057DEE" w:rsidRDefault="00057DEE" w:rsidP="00057DEE">
      <w:r>
        <w:t>These items were originally set to be removed completely from 1 March 2022; however</w:t>
      </w:r>
      <w:r w:rsidR="44518147">
        <w:t>,</w:t>
      </w:r>
      <w:r>
        <w:t xml:space="preserve"> this process was delayed </w:t>
      </w:r>
      <w:proofErr w:type="gramStart"/>
      <w:r>
        <w:t>to provide</w:t>
      </w:r>
      <w:proofErr w:type="gramEnd"/>
      <w:r>
        <w:t xml:space="preserve"> time for the Clinical Implementation Reference Group (CIRG) to review the potential impacts of the removal of these items.</w:t>
      </w:r>
      <w:r>
        <w:rPr>
          <w:rStyle w:val="FootnoteReference"/>
        </w:rPr>
        <w:footnoteReference w:id="83"/>
      </w:r>
    </w:p>
    <w:p w14:paraId="4628D41F" w14:textId="77777777" w:rsidR="00057DEE" w:rsidRPr="00200EAC" w:rsidRDefault="00057DEE" w:rsidP="00057DEE">
      <w:pPr>
        <w:rPr>
          <w:szCs w:val="19"/>
        </w:rPr>
      </w:pPr>
      <w:r>
        <w:rPr>
          <w:szCs w:val="19"/>
        </w:rPr>
        <w:t>In the interim,</w:t>
      </w:r>
      <w:r w:rsidRPr="00200EAC">
        <w:rPr>
          <w:szCs w:val="19"/>
        </w:rPr>
        <w:t xml:space="preserve"> a gradual reduction of the difference between the benefit and the public weighted average price</w:t>
      </w:r>
      <w:r>
        <w:rPr>
          <w:szCs w:val="19"/>
        </w:rPr>
        <w:t xml:space="preserve"> was to be put in place</w:t>
      </w:r>
      <w:r w:rsidRPr="00200EAC">
        <w:rPr>
          <w:szCs w:val="19"/>
        </w:rPr>
        <w:t>, followed by the eventual removal of the items from the PL</w:t>
      </w:r>
      <w:r>
        <w:rPr>
          <w:szCs w:val="19"/>
        </w:rPr>
        <w:t>.</w:t>
      </w:r>
      <w:r w:rsidRPr="00200EAC">
        <w:rPr>
          <w:szCs w:val="19"/>
        </w:rPr>
        <w:t xml:space="preserve"> The schedule of these changes is:  </w:t>
      </w:r>
    </w:p>
    <w:p w14:paraId="275E9370" w14:textId="77777777" w:rsidR="00057DEE" w:rsidRPr="00220950" w:rsidRDefault="00057DEE" w:rsidP="00220950">
      <w:pPr>
        <w:pStyle w:val="Bullet"/>
      </w:pPr>
      <w:r w:rsidRPr="00220950">
        <w:t>A reduction of 60% of the difference between the PL benefit and the weighted average price from 1 July 2022</w:t>
      </w:r>
    </w:p>
    <w:p w14:paraId="282BD661" w14:textId="77777777" w:rsidR="00220950" w:rsidRDefault="00057DEE" w:rsidP="00220950">
      <w:pPr>
        <w:pStyle w:val="Bullet"/>
      </w:pPr>
      <w:r w:rsidRPr="00220950">
        <w:t>A reduction of 40% of the difference between the PL benefit and the weighted average price from 1 March 2023</w:t>
      </w:r>
    </w:p>
    <w:p w14:paraId="7F1114D7" w14:textId="25ED7FBA" w:rsidR="00220950" w:rsidRPr="00200EAC" w:rsidRDefault="00057DEE" w:rsidP="00220950">
      <w:pPr>
        <w:pStyle w:val="Bullet"/>
      </w:pPr>
      <w:r w:rsidRPr="00220950">
        <w:t>The removal of GUIs from the PL from 1 July 2023</w:t>
      </w:r>
      <w:r w:rsidR="00220950">
        <w:t xml:space="preserve"> (</w:t>
      </w:r>
      <w:r w:rsidR="27698282" w:rsidRPr="00220950">
        <w:t>since revise</w:t>
      </w:r>
      <w:r w:rsidR="00220950">
        <w:t>d).</w:t>
      </w:r>
    </w:p>
    <w:p w14:paraId="4674D214" w14:textId="06DC6764" w:rsidR="00057DEE" w:rsidRPr="005F5EF3" w:rsidRDefault="00057DEE" w:rsidP="00057DEE">
      <w:pPr>
        <w:rPr>
          <w:szCs w:val="19"/>
          <w:lang w:eastAsia="en-AU"/>
        </w:rPr>
      </w:pPr>
      <w:r w:rsidRPr="0C63581C">
        <w:t xml:space="preserve">The Government has separately committed to ensuring that funding arrangements for these items are put in place, to be confirmed in an amendment to the </w:t>
      </w:r>
      <w:r>
        <w:rPr>
          <w:rFonts w:cs="Segoe UI"/>
          <w:color w:val="313131"/>
          <w:shd w:val="clear" w:color="auto" w:fill="FFFFFF"/>
        </w:rPr>
        <w:t>Private Health Insurance Act (Benefit Requirements) Rules 2011.</w:t>
      </w:r>
      <w:r>
        <w:rPr>
          <w:rStyle w:val="FootnoteReference"/>
          <w:rFonts w:cs="Segoe UI"/>
          <w:color w:val="313131"/>
          <w:shd w:val="clear" w:color="auto" w:fill="FFFFFF"/>
        </w:rPr>
        <w:footnoteReference w:id="84"/>
      </w:r>
    </w:p>
    <w:p w14:paraId="05C2631F" w14:textId="6C8DEA05" w:rsidR="004F46C6" w:rsidRDefault="00FD20DF" w:rsidP="00032A28">
      <w:pPr>
        <w:pStyle w:val="Heading3"/>
        <w:spacing w:before="400"/>
      </w:pPr>
      <w:r>
        <w:lastRenderedPageBreak/>
        <w:t>How this will be evaluated</w:t>
      </w:r>
    </w:p>
    <w:p w14:paraId="08AEF423" w14:textId="291ED794" w:rsidR="009E4E19" w:rsidRDefault="00630779" w:rsidP="004F46C6">
      <w:pPr>
        <w:pStyle w:val="Heading4"/>
      </w:pPr>
      <w:r>
        <w:t xml:space="preserve">Evidence of implementation, as well as stakeholder perspectives and </w:t>
      </w:r>
      <w:r w:rsidR="0088062C">
        <w:t xml:space="preserve">qualitative assessment will </w:t>
      </w:r>
      <w:r w:rsidR="007047C2">
        <w:t>be used to evaluate the</w:t>
      </w:r>
      <w:r w:rsidR="00585506">
        <w:t xml:space="preserve"> overall impacts of </w:t>
      </w:r>
      <w:r w:rsidR="00F25A9C">
        <w:t>definitional</w:t>
      </w:r>
      <w:r w:rsidR="007D16C4">
        <w:t xml:space="preserve"> and structural</w:t>
      </w:r>
      <w:r w:rsidR="00F25A9C">
        <w:t xml:space="preserve"> </w:t>
      </w:r>
      <w:proofErr w:type="gramStart"/>
      <w:r w:rsidR="00F25A9C">
        <w:t>changes</w:t>
      </w:r>
      <w:proofErr w:type="gramEnd"/>
    </w:p>
    <w:p w14:paraId="4B0DA349" w14:textId="77F85EE3" w:rsidR="00260930" w:rsidRDefault="00FF6EEC" w:rsidP="00260930">
      <w:pPr>
        <w:rPr>
          <w:lang w:eastAsia="en-AU"/>
        </w:rPr>
      </w:pPr>
      <w:r>
        <w:rPr>
          <w:lang w:eastAsia="en-AU"/>
        </w:rPr>
        <w:t>For each of the</w:t>
      </w:r>
      <w:r w:rsidR="0078588E">
        <w:rPr>
          <w:lang w:eastAsia="en-AU"/>
        </w:rPr>
        <w:t xml:space="preserve"> reform </w:t>
      </w:r>
      <w:r w:rsidR="00305C69">
        <w:rPr>
          <w:lang w:eastAsia="en-AU"/>
        </w:rPr>
        <w:t>projects</w:t>
      </w:r>
      <w:r w:rsidR="0078588E">
        <w:rPr>
          <w:lang w:eastAsia="en-AU"/>
        </w:rPr>
        <w:t xml:space="preserve"> that </w:t>
      </w:r>
      <w:r w:rsidR="006F24ED">
        <w:rPr>
          <w:lang w:eastAsia="en-AU"/>
        </w:rPr>
        <w:t>will drive this objective,</w:t>
      </w:r>
      <w:r w:rsidR="005449D3">
        <w:rPr>
          <w:lang w:eastAsia="en-AU"/>
        </w:rPr>
        <w:t xml:space="preserve"> </w:t>
      </w:r>
      <w:r w:rsidR="003001F0">
        <w:rPr>
          <w:lang w:eastAsia="en-AU"/>
        </w:rPr>
        <w:t xml:space="preserve">documentation and evidence </w:t>
      </w:r>
      <w:r w:rsidR="00653072">
        <w:rPr>
          <w:lang w:eastAsia="en-AU"/>
        </w:rPr>
        <w:t xml:space="preserve">of any changes and activities will be reviewed to establish </w:t>
      </w:r>
      <w:r w:rsidR="00D87342">
        <w:rPr>
          <w:lang w:eastAsia="en-AU"/>
        </w:rPr>
        <w:t xml:space="preserve">what has been done. Indicators 8, 9 and 10 will </w:t>
      </w:r>
      <w:r w:rsidR="00743422">
        <w:rPr>
          <w:lang w:eastAsia="en-AU"/>
        </w:rPr>
        <w:t xml:space="preserve">look at evidence of the implementation of any legislative changes, the PL regrouping, and </w:t>
      </w:r>
      <w:r w:rsidR="00486F87">
        <w:rPr>
          <w:lang w:eastAsia="en-AU"/>
        </w:rPr>
        <w:t>the removal of general use items</w:t>
      </w:r>
      <w:r w:rsidR="009D7CF3">
        <w:rPr>
          <w:lang w:eastAsia="en-AU"/>
        </w:rPr>
        <w:t>,</w:t>
      </w:r>
      <w:r w:rsidR="00486F87">
        <w:rPr>
          <w:lang w:eastAsia="en-AU"/>
        </w:rPr>
        <w:t xml:space="preserve"> respectively.</w:t>
      </w:r>
    </w:p>
    <w:p w14:paraId="3EF16DFB" w14:textId="77777777" w:rsidR="003D2B82" w:rsidRDefault="007B064E" w:rsidP="004378D3">
      <w:pPr>
        <w:rPr>
          <w:lang w:eastAsia="en-AU"/>
        </w:rPr>
      </w:pPr>
      <w:r>
        <w:rPr>
          <w:lang w:eastAsia="en-AU"/>
        </w:rPr>
        <w:t xml:space="preserve">In addition, </w:t>
      </w:r>
      <w:r w:rsidR="007024E9">
        <w:rPr>
          <w:lang w:eastAsia="en-AU"/>
        </w:rPr>
        <w:t xml:space="preserve">stakeholder perspectives on the degree to which these changes address concerns regarding the clarity and function of the PL, as well as any other </w:t>
      </w:r>
      <w:r w:rsidR="00AB6A82">
        <w:rPr>
          <w:lang w:eastAsia="en-AU"/>
        </w:rPr>
        <w:t xml:space="preserve">impacts of these activities, </w:t>
      </w:r>
      <w:r w:rsidR="00CC78F4">
        <w:rPr>
          <w:lang w:eastAsia="en-AU"/>
        </w:rPr>
        <w:t xml:space="preserve">will be gathered </w:t>
      </w:r>
      <w:r w:rsidR="00954FCD">
        <w:rPr>
          <w:lang w:eastAsia="en-AU"/>
        </w:rPr>
        <w:t xml:space="preserve">through </w:t>
      </w:r>
      <w:r w:rsidR="00AB7F28">
        <w:rPr>
          <w:lang w:eastAsia="en-AU"/>
        </w:rPr>
        <w:t>interviews</w:t>
      </w:r>
      <w:r w:rsidR="00954FCD">
        <w:rPr>
          <w:lang w:eastAsia="en-AU"/>
        </w:rPr>
        <w:t xml:space="preserve">. Indicators 11, 12 and 13 will </w:t>
      </w:r>
      <w:r w:rsidR="00E2282A">
        <w:rPr>
          <w:lang w:eastAsia="en-AU"/>
        </w:rPr>
        <w:t xml:space="preserve">provide assessment of these changes drawn qualitatively from </w:t>
      </w:r>
      <w:r w:rsidR="00AB7F28">
        <w:rPr>
          <w:lang w:eastAsia="en-AU"/>
        </w:rPr>
        <w:t>consultation and document reviews</w:t>
      </w:r>
      <w:r w:rsidR="002D6D34">
        <w:rPr>
          <w:lang w:eastAsia="en-AU"/>
        </w:rPr>
        <w:t>.</w:t>
      </w:r>
    </w:p>
    <w:p w14:paraId="161B5612" w14:textId="714725A6" w:rsidR="003D2B82" w:rsidRDefault="00A01792" w:rsidP="004378D3">
      <w:pPr>
        <w:rPr>
          <w:lang w:eastAsia="en-AU"/>
        </w:rPr>
      </w:pPr>
      <w:r>
        <w:rPr>
          <w:lang w:eastAsia="en-AU"/>
        </w:rPr>
        <w:t xml:space="preserve">It should be reiterated that this is not an evaluation of the broader suitability of the PL as a funding mechanism </w:t>
      </w:r>
      <w:r w:rsidR="00FE1025">
        <w:rPr>
          <w:lang w:eastAsia="en-AU"/>
        </w:rPr>
        <w:t>or</w:t>
      </w:r>
      <w:r>
        <w:rPr>
          <w:lang w:eastAsia="en-AU"/>
        </w:rPr>
        <w:t xml:space="preserve"> its impacts on the health </w:t>
      </w:r>
      <w:proofErr w:type="gramStart"/>
      <w:r>
        <w:rPr>
          <w:lang w:eastAsia="en-AU"/>
        </w:rPr>
        <w:t>system as a whole</w:t>
      </w:r>
      <w:proofErr w:type="gramEnd"/>
      <w:r>
        <w:rPr>
          <w:lang w:eastAsia="en-AU"/>
        </w:rPr>
        <w:t>.</w:t>
      </w:r>
      <w:r w:rsidR="000E24FE">
        <w:rPr>
          <w:lang w:eastAsia="en-AU"/>
        </w:rPr>
        <w:t xml:space="preserve"> Thi</w:t>
      </w:r>
      <w:r w:rsidR="00346B11">
        <w:rPr>
          <w:lang w:eastAsia="en-AU"/>
        </w:rPr>
        <w:t>s is an evaluation of</w:t>
      </w:r>
      <w:r w:rsidR="00577E3B">
        <w:rPr>
          <w:lang w:eastAsia="en-AU"/>
        </w:rPr>
        <w:t xml:space="preserve"> a specific</w:t>
      </w:r>
      <w:r w:rsidR="00346B11">
        <w:rPr>
          <w:lang w:eastAsia="en-AU"/>
        </w:rPr>
        <w:t xml:space="preserve"> </w:t>
      </w:r>
      <w:r w:rsidR="006F08CA">
        <w:rPr>
          <w:lang w:eastAsia="en-AU"/>
        </w:rPr>
        <w:t xml:space="preserve">set of reforms, and their impacts on the structures, </w:t>
      </w:r>
      <w:proofErr w:type="gramStart"/>
      <w:r w:rsidR="006F08CA">
        <w:rPr>
          <w:lang w:eastAsia="en-AU"/>
        </w:rPr>
        <w:t>functions</w:t>
      </w:r>
      <w:proofErr w:type="gramEnd"/>
      <w:r w:rsidR="006F08CA">
        <w:rPr>
          <w:lang w:eastAsia="en-AU"/>
        </w:rPr>
        <w:t xml:space="preserve"> and </w:t>
      </w:r>
      <w:r w:rsidR="00AF4E4A">
        <w:rPr>
          <w:lang w:eastAsia="en-AU"/>
        </w:rPr>
        <w:t>objectives of the PL.</w:t>
      </w:r>
      <w:r w:rsidR="00D775EA">
        <w:rPr>
          <w:lang w:eastAsia="en-AU"/>
        </w:rPr>
        <w:t xml:space="preserve"> Accordingly, this evaluation is not </w:t>
      </w:r>
      <w:r w:rsidR="77A30331" w:rsidRPr="1434E309">
        <w:rPr>
          <w:lang w:eastAsia="en-AU"/>
        </w:rPr>
        <w:t>intended</w:t>
      </w:r>
      <w:r w:rsidR="007746C2">
        <w:rPr>
          <w:lang w:eastAsia="en-AU"/>
        </w:rPr>
        <w:t xml:space="preserve"> to review </w:t>
      </w:r>
      <w:r w:rsidR="000D7003">
        <w:rPr>
          <w:lang w:eastAsia="en-AU"/>
        </w:rPr>
        <w:t>any mechanisms</w:t>
      </w:r>
      <w:r w:rsidR="00CE18E5">
        <w:rPr>
          <w:lang w:eastAsia="en-AU"/>
        </w:rPr>
        <w:t xml:space="preserve"> or agreements relating to the</w:t>
      </w:r>
      <w:r w:rsidR="00C23F89">
        <w:rPr>
          <w:lang w:eastAsia="en-AU"/>
        </w:rPr>
        <w:t xml:space="preserve"> funding</w:t>
      </w:r>
      <w:r w:rsidR="000D7003">
        <w:rPr>
          <w:lang w:eastAsia="en-AU"/>
        </w:rPr>
        <w:t xml:space="preserve"> of</w:t>
      </w:r>
      <w:r w:rsidR="00C23F89">
        <w:rPr>
          <w:lang w:eastAsia="en-AU"/>
        </w:rPr>
        <w:t xml:space="preserve"> </w:t>
      </w:r>
      <w:r w:rsidR="004821DC">
        <w:rPr>
          <w:lang w:eastAsia="en-AU"/>
        </w:rPr>
        <w:t xml:space="preserve">GUIs once they are removed from the list, and the broader health system impacts of </w:t>
      </w:r>
      <w:r w:rsidR="00EF3164">
        <w:rPr>
          <w:lang w:eastAsia="en-AU"/>
        </w:rPr>
        <w:t>these changes.</w:t>
      </w:r>
    </w:p>
    <w:p w14:paraId="4CD832BA" w14:textId="15EC9092" w:rsidR="003A3198" w:rsidRPr="00974105" w:rsidRDefault="002D6D34" w:rsidP="004378D3">
      <w:pPr>
        <w:rPr>
          <w:lang w:eastAsia="en-AU"/>
        </w:rPr>
      </w:pPr>
      <w:r>
        <w:rPr>
          <w:lang w:eastAsia="en-AU"/>
        </w:rPr>
        <w:t xml:space="preserve">See </w:t>
      </w:r>
      <w:r w:rsidR="00E83F71">
        <w:rPr>
          <w:lang w:eastAsia="en-AU"/>
        </w:rPr>
        <w:fldChar w:fldCharType="begin"/>
      </w:r>
      <w:r w:rsidR="00E83F71">
        <w:rPr>
          <w:lang w:eastAsia="en-AU"/>
        </w:rPr>
        <w:instrText xml:space="preserve"> REF _Ref159836628 \r \h </w:instrText>
      </w:r>
      <w:r w:rsidR="00E83F71">
        <w:rPr>
          <w:lang w:eastAsia="en-AU"/>
        </w:rPr>
      </w:r>
      <w:r w:rsidR="00E83F71">
        <w:rPr>
          <w:lang w:eastAsia="en-AU"/>
        </w:rPr>
        <w:fldChar w:fldCharType="separate"/>
      </w:r>
      <w:r w:rsidR="00026714">
        <w:rPr>
          <w:lang w:eastAsia="en-AU"/>
        </w:rPr>
        <w:t>Appendix B</w:t>
      </w:r>
      <w:r w:rsidR="00E83F71">
        <w:rPr>
          <w:lang w:eastAsia="en-AU"/>
        </w:rPr>
        <w:fldChar w:fldCharType="end"/>
      </w:r>
      <w:r>
        <w:rPr>
          <w:lang w:eastAsia="en-AU"/>
        </w:rPr>
        <w:t xml:space="preserve"> for more </w:t>
      </w:r>
      <w:r w:rsidR="005F3146">
        <w:rPr>
          <w:lang w:eastAsia="en-AU"/>
        </w:rPr>
        <w:t xml:space="preserve">information about each of the </w:t>
      </w:r>
      <w:r w:rsidR="009D2B77">
        <w:rPr>
          <w:lang w:eastAsia="en-AU"/>
        </w:rPr>
        <w:t xml:space="preserve">six indicators under this </w:t>
      </w:r>
      <w:r w:rsidR="004378D3">
        <w:rPr>
          <w:lang w:eastAsia="en-AU"/>
        </w:rPr>
        <w:t>objective.</w:t>
      </w:r>
    </w:p>
    <w:p w14:paraId="2D8A2335" w14:textId="63806CA9" w:rsidR="00FB5E15" w:rsidRPr="005356B4" w:rsidRDefault="00FB5E15" w:rsidP="00600CD7">
      <w:pPr>
        <w:pStyle w:val="Heading2"/>
        <w:keepLines/>
        <w:ind w:left="578" w:hanging="578"/>
      </w:pPr>
      <w:bookmarkStart w:id="50" w:name="_Toc179453683"/>
      <w:r w:rsidRPr="00AD24CC">
        <w:t xml:space="preserve">Objective </w:t>
      </w:r>
      <w:r w:rsidR="003D52CC">
        <w:t>6</w:t>
      </w:r>
      <w:r>
        <w:t xml:space="preserve">: </w:t>
      </w:r>
      <w:bookmarkStart w:id="51" w:name="_Hlk158888764"/>
      <w:r>
        <w:t xml:space="preserve">Implement new PL assessment pathways aligned to Health Technology Assessment principles and streamline the application process through simple and robust IT </w:t>
      </w:r>
      <w:proofErr w:type="gramStart"/>
      <w:r>
        <w:t>infrastructure</w:t>
      </w:r>
      <w:bookmarkEnd w:id="40"/>
      <w:bookmarkEnd w:id="50"/>
      <w:bookmarkEnd w:id="51"/>
      <w:proofErr w:type="gramEnd"/>
    </w:p>
    <w:p w14:paraId="192AE740" w14:textId="0C59DE5F" w:rsidR="004A020D" w:rsidRDefault="004A020D" w:rsidP="004A020D">
      <w:pPr>
        <w:pStyle w:val="Caption"/>
        <w:rPr>
          <w:lang w:eastAsia="en-AU"/>
        </w:rPr>
      </w:pPr>
      <w:r>
        <w:t xml:space="preserve">Figure </w:t>
      </w:r>
      <w:r>
        <w:fldChar w:fldCharType="begin"/>
      </w:r>
      <w:r>
        <w:instrText xml:space="preserve"> SEQ Figure \* ARABIC </w:instrText>
      </w:r>
      <w:r>
        <w:fldChar w:fldCharType="separate"/>
      </w:r>
      <w:r w:rsidR="00026714">
        <w:rPr>
          <w:noProof/>
        </w:rPr>
        <w:t>14</w:t>
      </w:r>
      <w:r>
        <w:fldChar w:fldCharType="end"/>
      </w:r>
      <w:r>
        <w:t xml:space="preserve"> | Reform </w:t>
      </w:r>
      <w:r w:rsidR="00F966D2">
        <w:t>projects</w:t>
      </w:r>
      <w:r>
        <w:t xml:space="preserve"> related to reform objective </w:t>
      </w:r>
      <w:proofErr w:type="gramStart"/>
      <w:r>
        <w:t>6</w:t>
      </w:r>
      <w:proofErr w:type="gramEnd"/>
    </w:p>
    <w:p w14:paraId="42C7CD30" w14:textId="644F51CF" w:rsidR="00443AFE" w:rsidRPr="00443AFE" w:rsidRDefault="00E52584" w:rsidP="00443AFE">
      <w:pPr>
        <w:rPr>
          <w:lang w:eastAsia="en-AU"/>
        </w:rPr>
      </w:pPr>
      <w:r w:rsidRPr="00E52584">
        <w:rPr>
          <w:noProof/>
          <w:lang w:eastAsia="en-AU"/>
        </w:rPr>
        <w:drawing>
          <wp:inline distT="0" distB="0" distL="0" distR="0" wp14:anchorId="520261C4" wp14:editId="5411B560">
            <wp:extent cx="5670550" cy="1030605"/>
            <wp:effectExtent l="0" t="0" r="6350" b="0"/>
            <wp:docPr id="1856583631" name="Picture 1" descr="A figure showing Objective 6. PL assessment pathways connected to two reform projects. The projects are modernised pathways and governance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83631" name="Picture 1" descr="A figure showing Objective 6. PL assessment pathways connected to two reform projects. The projects are modernised pathways and governance arrangements."/>
                    <pic:cNvPicPr/>
                  </pic:nvPicPr>
                  <pic:blipFill>
                    <a:blip r:embed="rId40"/>
                    <a:stretch>
                      <a:fillRect/>
                    </a:stretch>
                  </pic:blipFill>
                  <pic:spPr>
                    <a:xfrm>
                      <a:off x="0" y="0"/>
                      <a:ext cx="5670550" cy="1030605"/>
                    </a:xfrm>
                    <a:prstGeom prst="rect">
                      <a:avLst/>
                    </a:prstGeom>
                  </pic:spPr>
                </pic:pic>
              </a:graphicData>
            </a:graphic>
          </wp:inline>
        </w:drawing>
      </w:r>
    </w:p>
    <w:p w14:paraId="760DAB30" w14:textId="7DDF3C5C" w:rsidR="00ED20C7" w:rsidRDefault="00ED20C7" w:rsidP="00032A28">
      <w:pPr>
        <w:pStyle w:val="Heading3"/>
        <w:spacing w:before="400"/>
      </w:pPr>
      <w:r>
        <w:t>Baseline position</w:t>
      </w:r>
    </w:p>
    <w:p w14:paraId="36CD7C29" w14:textId="380CA40C" w:rsidR="006438FF" w:rsidRDefault="007D1EBF" w:rsidP="006438FF">
      <w:pPr>
        <w:pStyle w:val="Heading4"/>
      </w:pPr>
      <w:r w:rsidRPr="3787E91E">
        <w:t xml:space="preserve">Applications follow the same </w:t>
      </w:r>
      <w:r w:rsidR="009F7185" w:rsidRPr="3787E91E">
        <w:t xml:space="preserve">assessment processes </w:t>
      </w:r>
      <w:r w:rsidR="00D91510" w:rsidRPr="3787E91E">
        <w:t>regardless of their</w:t>
      </w:r>
      <w:r w:rsidR="00FE512B" w:rsidRPr="3787E91E">
        <w:t xml:space="preserve"> levels of complexity</w:t>
      </w:r>
      <w:r w:rsidR="00D91510" w:rsidRPr="3787E91E">
        <w:t xml:space="preserve">, and governance processes that are determined by their clinical </w:t>
      </w:r>
      <w:proofErr w:type="gramStart"/>
      <w:r w:rsidR="00D91510" w:rsidRPr="3787E91E">
        <w:t>use</w:t>
      </w:r>
      <w:proofErr w:type="gramEnd"/>
    </w:p>
    <w:p w14:paraId="259EE9A9" w14:textId="271D1236" w:rsidR="00FE512B" w:rsidRDefault="00FE512B" w:rsidP="00FE512B">
      <w:pPr>
        <w:rPr>
          <w:lang w:eastAsia="en-AU"/>
        </w:rPr>
      </w:pPr>
      <w:r w:rsidRPr="1C65F095" w:rsidDel="00596E8D">
        <w:rPr>
          <w:lang w:eastAsia="en-AU"/>
        </w:rPr>
        <w:t>M</w:t>
      </w:r>
      <w:r w:rsidRPr="1C65F095">
        <w:rPr>
          <w:lang w:eastAsia="en-AU"/>
        </w:rPr>
        <w:t>edical device sponsors appl</w:t>
      </w:r>
      <w:r w:rsidR="00013DEC">
        <w:rPr>
          <w:lang w:eastAsia="en-AU"/>
        </w:rPr>
        <w:t>y</w:t>
      </w:r>
      <w:r w:rsidRPr="1C65F095">
        <w:rPr>
          <w:lang w:eastAsia="en-AU"/>
        </w:rPr>
        <w:t xml:space="preserve"> to add billing codes to the PL, </w:t>
      </w:r>
      <w:r w:rsidR="002C0622">
        <w:rPr>
          <w:lang w:eastAsia="en-AU"/>
        </w:rPr>
        <w:t>to</w:t>
      </w:r>
      <w:r w:rsidRPr="1C65F095">
        <w:rPr>
          <w:lang w:eastAsia="en-AU"/>
        </w:rPr>
        <w:t xml:space="preserve"> allow for the items under these codes to be reimbursed by private health insurers.</w:t>
      </w:r>
      <w:r w:rsidRPr="1C65F095">
        <w:rPr>
          <w:rStyle w:val="FootnoteReference"/>
          <w:lang w:eastAsia="en-AU"/>
        </w:rPr>
        <w:footnoteReference w:id="85"/>
      </w:r>
      <w:r w:rsidRPr="1C65F095">
        <w:rPr>
          <w:lang w:eastAsia="en-AU"/>
        </w:rPr>
        <w:t xml:space="preserve"> The sponsor would apply to list new billing codes, or to vary, transfer or delete existing listings, through the Prostheses List Management System (PLMS). They would propose groupings (group, sub-group, suffix) for new and amended billing codes, and where applicable, also propose a benefit level.</w:t>
      </w:r>
    </w:p>
    <w:p w14:paraId="4A05AF5E" w14:textId="77777777" w:rsidR="00FE512B" w:rsidRPr="00D377CF" w:rsidRDefault="00FE512B" w:rsidP="00FE512B">
      <w:pPr>
        <w:rPr>
          <w:szCs w:val="19"/>
          <w:lang w:eastAsia="en-AU"/>
        </w:rPr>
      </w:pPr>
      <w:r w:rsidRPr="0C63581C">
        <w:rPr>
          <w:lang w:eastAsia="en-AU"/>
        </w:rPr>
        <w:lastRenderedPageBreak/>
        <w:t>Applications were reviewed via a process of clinical assessment by the relevant Clinical Advisory Group (CAG) or by the Panel of Clinical Experts (the Panel). The CAGs would meet to discuss applications put to them, and the Panel would assess applications to list products that did not fit into the clinical categories for which the CAGs were established.</w:t>
      </w:r>
      <w:r>
        <w:rPr>
          <w:rStyle w:val="FootnoteReference"/>
          <w:lang w:eastAsia="en-AU"/>
        </w:rPr>
        <w:footnoteReference w:id="86"/>
      </w:r>
    </w:p>
    <w:p w14:paraId="57257B1E" w14:textId="77777777" w:rsidR="00FE512B" w:rsidRPr="00D377CF" w:rsidRDefault="00FE512B" w:rsidP="00FE512B">
      <w:pPr>
        <w:rPr>
          <w:szCs w:val="19"/>
          <w:lang w:eastAsia="en-AU"/>
        </w:rPr>
      </w:pPr>
      <w:r w:rsidRPr="0C63581C">
        <w:rPr>
          <w:lang w:eastAsia="en-AU"/>
        </w:rPr>
        <w:t>Applications requesting an increased benefit, or the creation of a new group, sub-</w:t>
      </w:r>
      <w:proofErr w:type="gramStart"/>
      <w:r w:rsidRPr="0C63581C">
        <w:rPr>
          <w:lang w:eastAsia="en-AU"/>
        </w:rPr>
        <w:t>group</w:t>
      </w:r>
      <w:proofErr w:type="gramEnd"/>
      <w:r w:rsidRPr="0C63581C">
        <w:rPr>
          <w:lang w:eastAsia="en-AU"/>
        </w:rPr>
        <w:t xml:space="preserve"> or suffix, required an assessment of the clinical evidence and an economic evaluation. Items expected to have significant financial impact on the health system were referred to the Medical Services Advisory Committee (MSAC) for health technology assessment. MSAC would then provide advice to the Prostheses List Advisory Committee.</w:t>
      </w:r>
      <w:r w:rsidRPr="0C63581C">
        <w:rPr>
          <w:rStyle w:val="FootnoteReference"/>
          <w:lang w:eastAsia="en-AU"/>
        </w:rPr>
        <w:footnoteReference w:id="87"/>
      </w:r>
    </w:p>
    <w:p w14:paraId="02B93A13" w14:textId="4C123A59" w:rsidR="00ED20C7" w:rsidRPr="00EA2B94" w:rsidRDefault="00FE512B" w:rsidP="00ED20C7">
      <w:pPr>
        <w:rPr>
          <w:szCs w:val="19"/>
          <w:lang w:eastAsia="en-AU"/>
        </w:rPr>
      </w:pPr>
      <w:r w:rsidRPr="00D377CF">
        <w:rPr>
          <w:szCs w:val="19"/>
          <w:lang w:eastAsia="en-AU"/>
        </w:rPr>
        <w:t>The PL</w:t>
      </w:r>
      <w:r>
        <w:rPr>
          <w:szCs w:val="19"/>
          <w:lang w:eastAsia="en-AU"/>
        </w:rPr>
        <w:t>AC</w:t>
      </w:r>
      <w:r w:rsidRPr="00D377CF">
        <w:rPr>
          <w:szCs w:val="19"/>
          <w:lang w:eastAsia="en-AU"/>
        </w:rPr>
        <w:t xml:space="preserve"> would consider advice from clinicians, the </w:t>
      </w:r>
      <w:proofErr w:type="gramStart"/>
      <w:r w:rsidRPr="00D377CF">
        <w:rPr>
          <w:szCs w:val="19"/>
          <w:lang w:eastAsia="en-AU"/>
        </w:rPr>
        <w:t>CAGs</w:t>
      </w:r>
      <w:proofErr w:type="gramEnd"/>
      <w:r w:rsidRPr="00D377CF">
        <w:rPr>
          <w:szCs w:val="19"/>
          <w:lang w:eastAsia="en-AU"/>
        </w:rPr>
        <w:t xml:space="preserve"> and the Panel</w:t>
      </w:r>
      <w:r>
        <w:rPr>
          <w:szCs w:val="19"/>
          <w:lang w:eastAsia="en-AU"/>
        </w:rPr>
        <w:t xml:space="preserve"> in order to </w:t>
      </w:r>
      <w:r w:rsidRPr="00D377CF">
        <w:rPr>
          <w:szCs w:val="19"/>
          <w:lang w:eastAsia="en-AU"/>
        </w:rPr>
        <w:t xml:space="preserve">advise the Minister for Health on </w:t>
      </w:r>
      <w:r>
        <w:rPr>
          <w:szCs w:val="19"/>
          <w:lang w:eastAsia="en-AU"/>
        </w:rPr>
        <w:t xml:space="preserve">whether to proceed with proposed additions or changes to billing codes on the PL, and the </w:t>
      </w:r>
      <w:r w:rsidRPr="00D377CF">
        <w:rPr>
          <w:szCs w:val="19"/>
          <w:lang w:eastAsia="en-AU"/>
        </w:rPr>
        <w:t xml:space="preserve">appropriate benefit level for </w:t>
      </w:r>
      <w:r>
        <w:rPr>
          <w:szCs w:val="19"/>
          <w:lang w:eastAsia="en-AU"/>
        </w:rPr>
        <w:t>each where applicable</w:t>
      </w:r>
      <w:r w:rsidRPr="00D377CF">
        <w:rPr>
          <w:szCs w:val="19"/>
          <w:lang w:eastAsia="en-AU"/>
        </w:rPr>
        <w:t>. The Minister is ultimately responsible for determining whether to grant, or not to grant, each application, and for setting benefit levels, based on the information and advice provided to them.</w:t>
      </w:r>
    </w:p>
    <w:p w14:paraId="277568EB" w14:textId="32D8EF78" w:rsidR="00FB5E15" w:rsidRDefault="007A11A6" w:rsidP="00032A28">
      <w:pPr>
        <w:pStyle w:val="Heading3"/>
        <w:spacing w:before="400"/>
      </w:pPr>
      <w:r>
        <w:t>Rationale for reform</w:t>
      </w:r>
    </w:p>
    <w:p w14:paraId="75BDE7E4" w14:textId="5458989D" w:rsidR="00C35F76" w:rsidRDefault="00B31E19" w:rsidP="007D3693">
      <w:pPr>
        <w:pStyle w:val="Heading4"/>
      </w:pPr>
      <w:r>
        <w:t>Effective</w:t>
      </w:r>
      <w:r w:rsidR="00673456">
        <w:t xml:space="preserve"> and efficient</w:t>
      </w:r>
      <w:r>
        <w:t xml:space="preserve"> assessment is </w:t>
      </w:r>
      <w:r w:rsidR="005A66AC">
        <w:t xml:space="preserve">essential for ensuring the </w:t>
      </w:r>
      <w:r w:rsidR="00223237">
        <w:t>proper function</w:t>
      </w:r>
      <w:r w:rsidR="006469FB">
        <w:t>ing</w:t>
      </w:r>
      <w:r w:rsidR="005A66AC">
        <w:t xml:space="preserve"> of the </w:t>
      </w:r>
      <w:proofErr w:type="gramStart"/>
      <w:r w:rsidR="005A66AC">
        <w:t>PL</w:t>
      </w:r>
      <w:proofErr w:type="gramEnd"/>
    </w:p>
    <w:p w14:paraId="4786E44D" w14:textId="17F1D2B0" w:rsidR="002B5456" w:rsidRPr="00C17E75" w:rsidRDefault="00715745" w:rsidP="00C17E75">
      <w:pPr>
        <w:rPr>
          <w:lang w:eastAsia="en-AU"/>
        </w:rPr>
      </w:pPr>
      <w:r>
        <w:rPr>
          <w:lang w:eastAsia="en-AU"/>
        </w:rPr>
        <w:t xml:space="preserve">The assessment process is </w:t>
      </w:r>
      <w:r w:rsidR="00F02079">
        <w:rPr>
          <w:lang w:eastAsia="en-AU"/>
        </w:rPr>
        <w:t>the mechanism</w:t>
      </w:r>
      <w:r>
        <w:rPr>
          <w:lang w:eastAsia="en-AU"/>
        </w:rPr>
        <w:t xml:space="preserve"> for determining </w:t>
      </w:r>
      <w:r w:rsidR="00D66F78">
        <w:rPr>
          <w:lang w:eastAsia="en-AU"/>
        </w:rPr>
        <w:t>which</w:t>
      </w:r>
      <w:r>
        <w:rPr>
          <w:lang w:eastAsia="en-AU"/>
        </w:rPr>
        <w:t xml:space="preserve"> items are listed on the PL and the benefit level that will be applied to them. </w:t>
      </w:r>
      <w:r w:rsidR="00DD245C">
        <w:rPr>
          <w:lang w:eastAsia="en-AU"/>
        </w:rPr>
        <w:t xml:space="preserve">Performing this function </w:t>
      </w:r>
      <w:r w:rsidR="00F22828">
        <w:rPr>
          <w:lang w:eastAsia="en-AU"/>
        </w:rPr>
        <w:t>effectively</w:t>
      </w:r>
      <w:r w:rsidR="00385AF2">
        <w:rPr>
          <w:lang w:eastAsia="en-AU"/>
        </w:rPr>
        <w:t>,</w:t>
      </w:r>
      <w:r w:rsidR="0090541C">
        <w:rPr>
          <w:lang w:eastAsia="en-AU"/>
        </w:rPr>
        <w:t xml:space="preserve"> </w:t>
      </w:r>
      <w:r w:rsidR="00385AF2">
        <w:rPr>
          <w:lang w:eastAsia="en-AU"/>
        </w:rPr>
        <w:t>including</w:t>
      </w:r>
      <w:r w:rsidR="00DD245C">
        <w:rPr>
          <w:lang w:eastAsia="en-AU"/>
        </w:rPr>
        <w:t xml:space="preserve"> ensuring that </w:t>
      </w:r>
      <w:r w:rsidR="00EB5F34">
        <w:rPr>
          <w:lang w:eastAsia="en-AU"/>
        </w:rPr>
        <w:t>appropriate devices are listed a</w:t>
      </w:r>
      <w:r w:rsidR="00A03AF6">
        <w:rPr>
          <w:lang w:eastAsia="en-AU"/>
        </w:rPr>
        <w:t>nd a</w:t>
      </w:r>
      <w:r w:rsidR="00EB5F34">
        <w:rPr>
          <w:lang w:eastAsia="en-AU"/>
        </w:rPr>
        <w:t xml:space="preserve">t </w:t>
      </w:r>
      <w:r w:rsidR="00245D1E">
        <w:rPr>
          <w:lang w:eastAsia="en-AU"/>
        </w:rPr>
        <w:t xml:space="preserve">benefit levels that truly reflect their clinical </w:t>
      </w:r>
      <w:r w:rsidR="0064365F">
        <w:rPr>
          <w:lang w:eastAsia="en-AU"/>
        </w:rPr>
        <w:t>use</w:t>
      </w:r>
      <w:r w:rsidR="00385AF2">
        <w:rPr>
          <w:lang w:eastAsia="en-AU"/>
        </w:rPr>
        <w:t>,</w:t>
      </w:r>
      <w:r w:rsidR="00245D1E">
        <w:rPr>
          <w:lang w:eastAsia="en-AU"/>
        </w:rPr>
        <w:t xml:space="preserve"> </w:t>
      </w:r>
      <w:r w:rsidR="00565F44">
        <w:rPr>
          <w:lang w:eastAsia="en-AU"/>
        </w:rPr>
        <w:t>is</w:t>
      </w:r>
      <w:r w:rsidR="00A03AF6">
        <w:rPr>
          <w:lang w:eastAsia="en-AU"/>
        </w:rPr>
        <w:t xml:space="preserve"> </w:t>
      </w:r>
      <w:r w:rsidR="00AE3E6B">
        <w:rPr>
          <w:lang w:eastAsia="en-AU"/>
        </w:rPr>
        <w:t xml:space="preserve">crucial. </w:t>
      </w:r>
      <w:r w:rsidR="008D1772" w:rsidRPr="00C17E75">
        <w:rPr>
          <w:lang w:eastAsia="en-AU"/>
        </w:rPr>
        <w:t xml:space="preserve">If </w:t>
      </w:r>
      <w:r w:rsidR="0059574C" w:rsidRPr="00C17E75">
        <w:rPr>
          <w:lang w:eastAsia="en-AU"/>
        </w:rPr>
        <w:t xml:space="preserve">devices are listed </w:t>
      </w:r>
      <w:r w:rsidR="003C521F" w:rsidRPr="00C17E75">
        <w:rPr>
          <w:lang w:eastAsia="en-AU"/>
        </w:rPr>
        <w:t xml:space="preserve">with benefit levels that </w:t>
      </w:r>
      <w:r w:rsidR="0076261B">
        <w:rPr>
          <w:lang w:eastAsia="en-AU"/>
        </w:rPr>
        <w:t>are not</w:t>
      </w:r>
      <w:r w:rsidR="003C521F" w:rsidRPr="00C17E75">
        <w:rPr>
          <w:lang w:eastAsia="en-AU"/>
        </w:rPr>
        <w:t xml:space="preserve"> appropriate, this </w:t>
      </w:r>
      <w:r w:rsidR="00553B52" w:rsidRPr="00C17E75">
        <w:rPr>
          <w:lang w:eastAsia="en-AU"/>
        </w:rPr>
        <w:t>has the potential to</w:t>
      </w:r>
      <w:r w:rsidR="00EC1114" w:rsidRPr="00C17E75">
        <w:rPr>
          <w:lang w:eastAsia="en-AU"/>
        </w:rPr>
        <w:t xml:space="preserve"> undermine the </w:t>
      </w:r>
      <w:r w:rsidR="000D1F74" w:rsidRPr="00C17E75">
        <w:rPr>
          <w:lang w:eastAsia="en-AU"/>
        </w:rPr>
        <w:t>function of the PL</w:t>
      </w:r>
      <w:r w:rsidR="00AC4889">
        <w:rPr>
          <w:lang w:eastAsia="en-AU"/>
        </w:rPr>
        <w:t xml:space="preserve">, which is </w:t>
      </w:r>
      <w:r w:rsidR="00CA4DB1">
        <w:rPr>
          <w:lang w:eastAsia="en-AU"/>
        </w:rPr>
        <w:t>specifically designed</w:t>
      </w:r>
      <w:r w:rsidR="00553B52">
        <w:rPr>
          <w:lang w:eastAsia="en-AU"/>
        </w:rPr>
        <w:t xml:space="preserve"> to </w:t>
      </w:r>
      <w:r w:rsidR="00FD3E95">
        <w:rPr>
          <w:lang w:eastAsia="en-AU"/>
        </w:rPr>
        <w:t xml:space="preserve">have </w:t>
      </w:r>
      <w:r w:rsidR="005C254F">
        <w:rPr>
          <w:lang w:eastAsia="en-AU"/>
        </w:rPr>
        <w:t>benefit levels</w:t>
      </w:r>
      <w:r w:rsidR="00FD3E95">
        <w:rPr>
          <w:lang w:eastAsia="en-AU"/>
        </w:rPr>
        <w:t xml:space="preserve"> that </w:t>
      </w:r>
      <w:r w:rsidR="005C254F">
        <w:rPr>
          <w:lang w:eastAsia="en-AU"/>
        </w:rPr>
        <w:t>reflect clinical effectiveness.</w:t>
      </w:r>
    </w:p>
    <w:p w14:paraId="1D99CA4A" w14:textId="77777777" w:rsidR="00032A28" w:rsidRDefault="00772207" w:rsidP="007869F9">
      <w:r>
        <w:t>Efficien</w:t>
      </w:r>
      <w:r w:rsidR="00D15D96">
        <w:t xml:space="preserve">t </w:t>
      </w:r>
      <w:r w:rsidR="00CE3A6C">
        <w:t>assessment</w:t>
      </w:r>
      <w:r w:rsidR="00D15D96">
        <w:t xml:space="preserve"> processes are also important</w:t>
      </w:r>
      <w:r w:rsidR="0020447E">
        <w:t>. In</w:t>
      </w:r>
      <w:r w:rsidR="00FC02DB">
        <w:t>efficiencies could l</w:t>
      </w:r>
      <w:r w:rsidR="002E2EA0">
        <w:t xml:space="preserve">ead to </w:t>
      </w:r>
      <w:r w:rsidR="00D80BCB">
        <w:t xml:space="preserve">unnecessary costs </w:t>
      </w:r>
      <w:r w:rsidR="00D15D96">
        <w:t xml:space="preserve">for </w:t>
      </w:r>
      <w:r w:rsidR="00D80BCB">
        <w:t>government</w:t>
      </w:r>
      <w:r w:rsidR="00EE41D4">
        <w:t xml:space="preserve"> and</w:t>
      </w:r>
      <w:r w:rsidR="00044EBC">
        <w:t xml:space="preserve"> clinical advisors</w:t>
      </w:r>
      <w:r w:rsidR="00F607D3">
        <w:t xml:space="preserve"> </w:t>
      </w:r>
      <w:r w:rsidR="0020447E">
        <w:t>where</w:t>
      </w:r>
      <w:r w:rsidR="00F607D3">
        <w:t xml:space="preserve"> they are not resourced</w:t>
      </w:r>
      <w:r w:rsidR="0091363C">
        <w:t xml:space="preserve"> to </w:t>
      </w:r>
      <w:r w:rsidR="00F607D3">
        <w:t>assess</w:t>
      </w:r>
      <w:r w:rsidR="009771C3">
        <w:t xml:space="preserve"> device</w:t>
      </w:r>
      <w:r w:rsidR="00F273DF">
        <w:t>s</w:t>
      </w:r>
      <w:r w:rsidR="008524F3">
        <w:t xml:space="preserve"> </w:t>
      </w:r>
      <w:r w:rsidR="00BC060E">
        <w:t xml:space="preserve">in a manner commensurate to the </w:t>
      </w:r>
      <w:r w:rsidR="00DA1207">
        <w:t>complexity of the device</w:t>
      </w:r>
      <w:r w:rsidR="002755C5">
        <w:t xml:space="preserve">, rather assess all devices </w:t>
      </w:r>
      <w:r w:rsidR="00A36004">
        <w:t>similarly.</w:t>
      </w:r>
      <w:r w:rsidR="00EA2B94">
        <w:t xml:space="preserve"> </w:t>
      </w:r>
      <w:r w:rsidR="003913A9">
        <w:t>Inefficiencies also have the potential to</w:t>
      </w:r>
      <w:r w:rsidR="00EA2B94">
        <w:t xml:space="preserve"> </w:t>
      </w:r>
      <w:r w:rsidR="00C60923">
        <w:t>cause</w:t>
      </w:r>
      <w:r w:rsidR="006B45DA">
        <w:t xml:space="preserve"> </w:t>
      </w:r>
      <w:r w:rsidR="00A6490A">
        <w:t xml:space="preserve">additional </w:t>
      </w:r>
      <w:r w:rsidR="00C60923">
        <w:t>costs to device sponsors, and</w:t>
      </w:r>
      <w:r w:rsidR="00A6490A">
        <w:t xml:space="preserve"> </w:t>
      </w:r>
      <w:r w:rsidR="00B62223">
        <w:t xml:space="preserve">to </w:t>
      </w:r>
      <w:r w:rsidR="00B37C9E">
        <w:t xml:space="preserve">cause delays in </w:t>
      </w:r>
      <w:r w:rsidR="00425891">
        <w:t xml:space="preserve">devices being listed. </w:t>
      </w:r>
    </w:p>
    <w:p w14:paraId="6BAA6B6C" w14:textId="258FED92" w:rsidR="006B5367" w:rsidRPr="00C307CB" w:rsidRDefault="006310FB" w:rsidP="007869F9">
      <w:pPr>
        <w:rPr>
          <w:bCs/>
        </w:rPr>
      </w:pPr>
      <w:r>
        <w:t>Another</w:t>
      </w:r>
      <w:r w:rsidR="00A85232">
        <w:t xml:space="preserve"> component of </w:t>
      </w:r>
      <w:r w:rsidR="00D802A0">
        <w:t>efficienc</w:t>
      </w:r>
      <w:r w:rsidR="005B0A64">
        <w:t xml:space="preserve">y </w:t>
      </w:r>
      <w:r w:rsidR="00621EFB">
        <w:t>relates to</w:t>
      </w:r>
      <w:r w:rsidR="00001BA5">
        <w:t xml:space="preserve"> the</w:t>
      </w:r>
      <w:r w:rsidR="005B0A64">
        <w:t xml:space="preserve"> processes and technologies that are used to </w:t>
      </w:r>
      <w:r w:rsidR="00D733B6">
        <w:t xml:space="preserve">implement the </w:t>
      </w:r>
      <w:r w:rsidR="0014111B">
        <w:t xml:space="preserve">assessments. </w:t>
      </w:r>
      <w:r w:rsidR="00E92549">
        <w:t xml:space="preserve">IT infrastructure that </w:t>
      </w:r>
      <w:r w:rsidR="00EB3098">
        <w:t xml:space="preserve">makes the application and assessment process </w:t>
      </w:r>
      <w:r w:rsidR="00EB4A90">
        <w:t xml:space="preserve">more streamlined and </w:t>
      </w:r>
      <w:r w:rsidR="00BF3183">
        <w:t xml:space="preserve">sustainable </w:t>
      </w:r>
      <w:r w:rsidR="00B93753">
        <w:t>plays a key role in the overall efficiency of the process</w:t>
      </w:r>
      <w:r w:rsidR="0064239E">
        <w:t>.</w:t>
      </w:r>
    </w:p>
    <w:p w14:paraId="6C59A955" w14:textId="3807FC28" w:rsidR="00EA2B94" w:rsidRDefault="00EA2B94" w:rsidP="00EA2B94">
      <w:r>
        <w:t xml:space="preserve">The Department is guided by a set of Health Technology Assessment (HTA) principles that define the way that assessment processes like this should occur. The report </w:t>
      </w:r>
      <w:r w:rsidRPr="58AB7BF7">
        <w:rPr>
          <w:i/>
          <w:iCs/>
        </w:rPr>
        <w:t xml:space="preserve">Review of health technology assessment in Australia </w:t>
      </w:r>
      <w:r>
        <w:t>established the principles that should guide HTAs in Australia.</w:t>
      </w:r>
      <w:r>
        <w:rPr>
          <w:rStyle w:val="FootnoteReference"/>
        </w:rPr>
        <w:footnoteReference w:id="88"/>
      </w:r>
      <w:r>
        <w:t xml:space="preserve"> These principles are:</w:t>
      </w:r>
    </w:p>
    <w:p w14:paraId="46C21064" w14:textId="15AC8D72" w:rsidR="00EA2B94" w:rsidRDefault="006C4071" w:rsidP="00D71B4F">
      <w:pPr>
        <w:pStyle w:val="NewListBulletPoint"/>
        <w:numPr>
          <w:ilvl w:val="0"/>
          <w:numId w:val="25"/>
        </w:numPr>
      </w:pPr>
      <w:r>
        <w:t>S</w:t>
      </w:r>
      <w:r w:rsidR="00EA2B94">
        <w:t>ustainable</w:t>
      </w:r>
    </w:p>
    <w:p w14:paraId="1DFB93E3" w14:textId="2721E401" w:rsidR="00EA2B94" w:rsidRDefault="006C4071" w:rsidP="00A348DB">
      <w:pPr>
        <w:pStyle w:val="NewListBulletPoint"/>
      </w:pPr>
      <w:r w:rsidRPr="151298BC">
        <w:t>T</w:t>
      </w:r>
      <w:r w:rsidR="00EA2B94" w:rsidRPr="151298BC">
        <w:t xml:space="preserve">ransparent, </w:t>
      </w:r>
      <w:proofErr w:type="gramStart"/>
      <w:r w:rsidR="00EA2B94" w:rsidRPr="151298BC">
        <w:t>accountable</w:t>
      </w:r>
      <w:proofErr w:type="gramEnd"/>
      <w:r w:rsidR="00EA2B94" w:rsidRPr="151298BC">
        <w:t xml:space="preserve"> and independent</w:t>
      </w:r>
    </w:p>
    <w:p w14:paraId="576530D9" w14:textId="7C6632E0" w:rsidR="00EA2B94" w:rsidRDefault="006C4071" w:rsidP="00A348DB">
      <w:pPr>
        <w:pStyle w:val="NewListBulletPoint"/>
      </w:pPr>
      <w:r>
        <w:t>C</w:t>
      </w:r>
      <w:r w:rsidR="00EA2B94">
        <w:t>onsultative and reflective of Australian community values</w:t>
      </w:r>
    </w:p>
    <w:p w14:paraId="600FD650" w14:textId="522B098B" w:rsidR="00EA2B94" w:rsidRDefault="006C4071" w:rsidP="00A348DB">
      <w:pPr>
        <w:pStyle w:val="NewListBulletPoint"/>
      </w:pPr>
      <w:r>
        <w:t>A</w:t>
      </w:r>
      <w:r w:rsidR="00EA2B94">
        <w:t>dministratively efficient</w:t>
      </w:r>
    </w:p>
    <w:p w14:paraId="5A9DA0F7" w14:textId="778A710C" w:rsidR="00EA2B94" w:rsidRDefault="006C4071" w:rsidP="00A348DB">
      <w:pPr>
        <w:pStyle w:val="NewListBulletPoint"/>
      </w:pPr>
      <w:r>
        <w:t>F</w:t>
      </w:r>
      <w:r w:rsidR="00EA2B94">
        <w:t xml:space="preserve">lexible and fit for </w:t>
      </w:r>
      <w:proofErr w:type="gramStart"/>
      <w:r w:rsidR="00EA2B94">
        <w:t>purpose</w:t>
      </w:r>
      <w:proofErr w:type="gramEnd"/>
    </w:p>
    <w:p w14:paraId="6C34FEC4" w14:textId="01B67D64" w:rsidR="00EA2B94" w:rsidRDefault="006C4071" w:rsidP="151298BC">
      <w:pPr>
        <w:pStyle w:val="NewListBulletPoint"/>
      </w:pPr>
      <w:r w:rsidRPr="151298BC">
        <w:t>I</w:t>
      </w:r>
      <w:r w:rsidR="00EA2B94" w:rsidRPr="151298BC">
        <w:t>nformed by robust and relevant evidence.</w:t>
      </w:r>
      <w:r w:rsidR="00EA2B94" w:rsidRPr="151298BC">
        <w:rPr>
          <w:rStyle w:val="FootnoteReference"/>
        </w:rPr>
        <w:footnoteReference w:id="89"/>
      </w:r>
    </w:p>
    <w:p w14:paraId="6F93B88F" w14:textId="481E99A4" w:rsidR="00EA2B94" w:rsidRPr="005F4359" w:rsidRDefault="00EA2B94" w:rsidP="007869F9">
      <w:r>
        <w:t>These principles guide how HTAs should be undertaken to ensure they are effective and efficient, and avoid the potential negative outcomes discussed above.</w:t>
      </w:r>
    </w:p>
    <w:p w14:paraId="2B3EE8A4" w14:textId="2117618C" w:rsidR="00FB5E15" w:rsidRDefault="00FB5E15" w:rsidP="00032A28">
      <w:pPr>
        <w:pStyle w:val="Heading3"/>
        <w:spacing w:before="400"/>
      </w:pPr>
      <w:r>
        <w:lastRenderedPageBreak/>
        <w:t>How the reform</w:t>
      </w:r>
      <w:r w:rsidR="002A2024">
        <w:t>s</w:t>
      </w:r>
      <w:r>
        <w:t xml:space="preserve"> intend to achieve this objective</w:t>
      </w:r>
    </w:p>
    <w:p w14:paraId="76FDA3F1" w14:textId="5D5E446D" w:rsidR="0063120D" w:rsidRPr="00AC408E" w:rsidRDefault="00231AC6" w:rsidP="008E0F6D">
      <w:pPr>
        <w:pStyle w:val="Bullet"/>
        <w:numPr>
          <w:ilvl w:val="0"/>
          <w:numId w:val="0"/>
        </w:numPr>
        <w:rPr>
          <w:rStyle w:val="Heading4Char"/>
          <w:sz w:val="22"/>
          <w:szCs w:val="22"/>
        </w:rPr>
      </w:pPr>
      <w:r w:rsidRPr="00AC408E">
        <w:rPr>
          <w:rStyle w:val="Heading4Char"/>
          <w:sz w:val="22"/>
          <w:szCs w:val="22"/>
        </w:rPr>
        <w:t xml:space="preserve">The reforms seek to </w:t>
      </w:r>
      <w:r w:rsidR="00812F25">
        <w:rPr>
          <w:rStyle w:val="Heading4Char"/>
          <w:sz w:val="22"/>
          <w:szCs w:val="22"/>
        </w:rPr>
        <w:t xml:space="preserve">co-design and </w:t>
      </w:r>
      <w:r w:rsidR="007301DC">
        <w:rPr>
          <w:rStyle w:val="Heading4Char"/>
          <w:sz w:val="22"/>
          <w:szCs w:val="22"/>
        </w:rPr>
        <w:t>implement</w:t>
      </w:r>
      <w:r w:rsidR="00AC408E">
        <w:rPr>
          <w:rStyle w:val="Heading4Char"/>
          <w:sz w:val="22"/>
          <w:szCs w:val="22"/>
        </w:rPr>
        <w:t xml:space="preserve"> distinct</w:t>
      </w:r>
      <w:r w:rsidRPr="00AC408E">
        <w:rPr>
          <w:rStyle w:val="Heading4Char"/>
          <w:sz w:val="22"/>
          <w:szCs w:val="22"/>
        </w:rPr>
        <w:t xml:space="preserve"> PL assessment pathways</w:t>
      </w:r>
      <w:r w:rsidR="00CC66D2">
        <w:rPr>
          <w:rStyle w:val="Heading4Char"/>
          <w:sz w:val="22"/>
          <w:szCs w:val="22"/>
        </w:rPr>
        <w:t xml:space="preserve"> a</w:t>
      </w:r>
      <w:r w:rsidR="00B32918">
        <w:rPr>
          <w:rStyle w:val="Heading4Char"/>
          <w:sz w:val="22"/>
          <w:szCs w:val="22"/>
        </w:rPr>
        <w:t xml:space="preserve">nd review existing governance </w:t>
      </w:r>
      <w:proofErr w:type="gramStart"/>
      <w:r w:rsidR="00B32918">
        <w:rPr>
          <w:rStyle w:val="Heading4Char"/>
          <w:sz w:val="22"/>
          <w:szCs w:val="22"/>
        </w:rPr>
        <w:t>arrangements</w:t>
      </w:r>
      <w:proofErr w:type="gramEnd"/>
    </w:p>
    <w:p w14:paraId="449CCF48" w14:textId="7E976F5C" w:rsidR="00025944" w:rsidRDefault="00717BB1" w:rsidP="007869F9">
      <w:r>
        <w:t>Th</w:t>
      </w:r>
      <w:r w:rsidR="00CA5A4F">
        <w:t>e reform program incl</w:t>
      </w:r>
      <w:r w:rsidR="00781F02">
        <w:t xml:space="preserve">udes the review of two </w:t>
      </w:r>
      <w:r w:rsidR="0060226F">
        <w:t>key components of the assessment process</w:t>
      </w:r>
      <w:r w:rsidR="00657350">
        <w:t>:</w:t>
      </w:r>
      <w:r w:rsidR="0060226F">
        <w:t xml:space="preserve"> the pathways by which applications are submitted for assessment, and the governance processes that </w:t>
      </w:r>
      <w:r w:rsidR="00DE743F">
        <w:t>drive the assessment of medical devices.</w:t>
      </w:r>
      <w:r w:rsidR="002263C1">
        <w:t xml:space="preserve"> </w:t>
      </w:r>
      <w:r w:rsidR="00433B0D">
        <w:t>As part of this reform program, t</w:t>
      </w:r>
      <w:r w:rsidR="00540F27">
        <w:t xml:space="preserve">he </w:t>
      </w:r>
      <w:r w:rsidR="00433B0D">
        <w:t>D</w:t>
      </w:r>
      <w:r w:rsidR="00540F27">
        <w:t xml:space="preserve">epartment has committed to </w:t>
      </w:r>
      <w:r w:rsidR="00393E1E">
        <w:t>having</w:t>
      </w:r>
      <w:r w:rsidR="00540F27">
        <w:t xml:space="preserve"> independent reviews </w:t>
      </w:r>
      <w:r w:rsidR="00C437D5">
        <w:t>of</w:t>
      </w:r>
      <w:r w:rsidR="00540F27">
        <w:t xml:space="preserve"> each of these components, and </w:t>
      </w:r>
      <w:r w:rsidR="00125FFF">
        <w:t xml:space="preserve">following these, </w:t>
      </w:r>
      <w:r w:rsidR="00540F27">
        <w:t xml:space="preserve">implementing changes to </w:t>
      </w:r>
      <w:r w:rsidR="00433B0D">
        <w:t>each component</w:t>
      </w:r>
      <w:r w:rsidR="00006740">
        <w:t>,</w:t>
      </w:r>
      <w:r w:rsidR="00540F27">
        <w:t xml:space="preserve"> as </w:t>
      </w:r>
      <w:r w:rsidR="00433B0D">
        <w:t>necessary.</w:t>
      </w:r>
    </w:p>
    <w:p w14:paraId="56119C8A" w14:textId="55B6D5C0" w:rsidR="001D395C" w:rsidRPr="00200EAC" w:rsidRDefault="001D395C" w:rsidP="001D395C">
      <w:pPr>
        <w:rPr>
          <w:bCs/>
        </w:rPr>
      </w:pPr>
      <w:r w:rsidRPr="00200EAC">
        <w:t xml:space="preserve">The MoU </w:t>
      </w:r>
      <w:r w:rsidRPr="0BCC15EA">
        <w:t>outlines that</w:t>
      </w:r>
      <w:r w:rsidRPr="00200EAC">
        <w:t xml:space="preserve"> </w:t>
      </w:r>
      <w:r>
        <w:t>PL</w:t>
      </w:r>
      <w:r w:rsidRPr="00200EAC">
        <w:t xml:space="preserve"> listing pathways </w:t>
      </w:r>
      <w:r>
        <w:t>are to</w:t>
      </w:r>
      <w:r w:rsidRPr="00200EAC">
        <w:t xml:space="preserve"> be co-designed by </w:t>
      </w:r>
      <w:r>
        <w:t>the</w:t>
      </w:r>
      <w:r w:rsidRPr="00200EAC">
        <w:t xml:space="preserve"> MTAA and the Department, for approval by the Minister.</w:t>
      </w:r>
      <w:r>
        <w:rPr>
          <w:rStyle w:val="FootnoteReference"/>
        </w:rPr>
        <w:footnoteReference w:id="90"/>
      </w:r>
      <w:r w:rsidRPr="00200EAC">
        <w:rPr>
          <w:bCs/>
        </w:rPr>
        <w:t xml:space="preserve"> </w:t>
      </w:r>
      <w:r w:rsidRPr="0BCC15EA">
        <w:t xml:space="preserve">A co-design process </w:t>
      </w:r>
      <w:r w:rsidR="00B07D9B">
        <w:t>was</w:t>
      </w:r>
      <w:r w:rsidRPr="00200EAC">
        <w:rPr>
          <w:bCs/>
        </w:rPr>
        <w:t xml:space="preserve"> </w:t>
      </w:r>
      <w:r w:rsidRPr="0BCC15EA">
        <w:t>undertaken by Adelaide Health Technology Assessment from the School of Public Health at the University of Adelaide. This resulted in proposed pathways split into three tiers</w:t>
      </w:r>
      <w:r w:rsidRPr="00200EAC">
        <w:rPr>
          <w:bCs/>
        </w:rPr>
        <w:t>:</w:t>
      </w:r>
      <w:r w:rsidR="00B67867" w:rsidRPr="0BCC15EA">
        <w:rPr>
          <w:rStyle w:val="FootnoteReference"/>
        </w:rPr>
        <w:footnoteReference w:id="91"/>
      </w:r>
    </w:p>
    <w:p w14:paraId="7CAF4AE6" w14:textId="77777777" w:rsidR="001D395C" w:rsidRPr="00200EAC" w:rsidRDefault="001D395C" w:rsidP="00662DDD">
      <w:pPr>
        <w:pStyle w:val="NewListBulletPoint"/>
        <w:numPr>
          <w:ilvl w:val="0"/>
          <w:numId w:val="14"/>
        </w:numPr>
      </w:pPr>
      <w:r w:rsidRPr="00890210">
        <w:rPr>
          <w:rFonts w:asciiTheme="majorHAnsi" w:hAnsiTheme="majorHAnsi" w:cstheme="majorHAnsi"/>
        </w:rPr>
        <w:t>Tier 1: Departmental Assessment Pathway:</w:t>
      </w:r>
      <w:r>
        <w:rPr>
          <w:rFonts w:asciiTheme="majorHAnsi" w:hAnsiTheme="majorHAnsi" w:cstheme="majorHAnsi"/>
        </w:rPr>
        <w:t xml:space="preserve"> </w:t>
      </w:r>
      <w:r>
        <w:rPr>
          <w:lang w:val="en-US"/>
        </w:rPr>
        <w:t xml:space="preserve">Intended for </w:t>
      </w:r>
      <w:r w:rsidRPr="00890210">
        <w:rPr>
          <w:lang w:val="en-US"/>
        </w:rPr>
        <w:t xml:space="preserve">devices with an existing comparator already on the PL. A device taking this pathway is expected to share the existing market with the proposed comparator (or other interchangeable devices in the same PL benefit group).  </w:t>
      </w:r>
    </w:p>
    <w:p w14:paraId="6BD9418E" w14:textId="77777777" w:rsidR="001D395C" w:rsidRPr="00200EAC" w:rsidRDefault="001D395C" w:rsidP="00A348DB">
      <w:pPr>
        <w:pStyle w:val="NewListBulletPoint"/>
      </w:pPr>
      <w:r w:rsidRPr="00200EAC">
        <w:rPr>
          <w:rFonts w:asciiTheme="majorHAnsi" w:hAnsiTheme="majorHAnsi" w:cstheme="majorHAnsi"/>
        </w:rPr>
        <w:t xml:space="preserve">Tier 2: Clinical / Focused HTA Pathway: </w:t>
      </w:r>
      <w:r>
        <w:rPr>
          <w:lang w:val="en-US"/>
        </w:rPr>
        <w:t>I</w:t>
      </w:r>
      <w:r w:rsidRPr="00200EAC">
        <w:rPr>
          <w:lang w:val="en-US"/>
        </w:rPr>
        <w:t xml:space="preserve">ntended for applications that require external expert advice to perform a partial HTA </w:t>
      </w:r>
      <w:proofErr w:type="gramStart"/>
      <w:r w:rsidRPr="00200EAC">
        <w:rPr>
          <w:lang w:val="en-US"/>
        </w:rPr>
        <w:t>in regard to</w:t>
      </w:r>
      <w:proofErr w:type="gramEnd"/>
      <w:r w:rsidRPr="00200EAC">
        <w:rPr>
          <w:lang w:val="en-US"/>
        </w:rPr>
        <w:t xml:space="preserve"> the clinical aspects of the device and its use and in some cases cost-effectiveness.</w:t>
      </w:r>
    </w:p>
    <w:p w14:paraId="7E3D1EFC" w14:textId="5793E37E" w:rsidR="001D395C" w:rsidRDefault="001D395C" w:rsidP="00A348DB">
      <w:pPr>
        <w:pStyle w:val="NewListBulletPoint"/>
      </w:pPr>
      <w:r w:rsidRPr="00200EAC">
        <w:rPr>
          <w:rFonts w:asciiTheme="majorHAnsi" w:hAnsiTheme="majorHAnsi" w:cstheme="majorHAnsi"/>
        </w:rPr>
        <w:t xml:space="preserve">Tier 3: Full HTA Pathway: </w:t>
      </w:r>
      <w:r>
        <w:rPr>
          <w:lang w:val="en-US"/>
        </w:rPr>
        <w:t>Intended for novel devices requiring t</w:t>
      </w:r>
      <w:r w:rsidRPr="00200EAC">
        <w:rPr>
          <w:lang w:val="en-US"/>
        </w:rPr>
        <w:t xml:space="preserve">he provision of a new or amended MBS item number (if required), </w:t>
      </w:r>
      <w:r>
        <w:rPr>
          <w:lang w:val="en-US"/>
        </w:rPr>
        <w:t>and/or robust</w:t>
      </w:r>
      <w:r w:rsidRPr="00200EAC">
        <w:rPr>
          <w:lang w:val="en-US"/>
        </w:rPr>
        <w:t xml:space="preserve"> evidence to inform benefit setting for the subject device.</w:t>
      </w:r>
    </w:p>
    <w:p w14:paraId="7BB31387" w14:textId="7D989770" w:rsidR="00032A28" w:rsidRDefault="00FA556E" w:rsidP="007869F9">
      <w:r>
        <w:t xml:space="preserve">Establishing </w:t>
      </w:r>
      <w:r w:rsidR="00B34E15">
        <w:t>theses</w:t>
      </w:r>
      <w:r w:rsidR="001D395C">
        <w:t xml:space="preserve"> differential</w:t>
      </w:r>
      <w:r w:rsidR="00636A1F">
        <w:t xml:space="preserve"> pathways for assessment has the potential to increase the efficiency of the assessment process, by </w:t>
      </w:r>
      <w:r w:rsidR="001E2B98">
        <w:t xml:space="preserve">allowing </w:t>
      </w:r>
      <w:r w:rsidR="00393E1E">
        <w:t>resources</w:t>
      </w:r>
      <w:r w:rsidR="007F0845">
        <w:t xml:space="preserve"> to </w:t>
      </w:r>
      <w:r w:rsidR="003430EE">
        <w:t>be distributed across applications according to their relative complexity</w:t>
      </w:r>
      <w:r w:rsidR="00BF4EFC">
        <w:t>.</w:t>
      </w:r>
    </w:p>
    <w:p w14:paraId="324171EE" w14:textId="52FCBA51" w:rsidR="0044390F" w:rsidRPr="00BF7CF8" w:rsidRDefault="00E77F0C" w:rsidP="007869F9">
      <w:r>
        <w:t xml:space="preserve">Reviewing governance </w:t>
      </w:r>
      <w:r w:rsidR="00EC3E6A">
        <w:t>arrangements</w:t>
      </w:r>
      <w:r>
        <w:t xml:space="preserve"> </w:t>
      </w:r>
      <w:r w:rsidR="00C84793">
        <w:t>(</w:t>
      </w:r>
      <w:r w:rsidR="00556725">
        <w:t xml:space="preserve">the role, </w:t>
      </w:r>
      <w:proofErr w:type="gramStart"/>
      <w:r w:rsidR="00556725">
        <w:t>function</w:t>
      </w:r>
      <w:proofErr w:type="gramEnd"/>
      <w:r w:rsidR="00556725">
        <w:t xml:space="preserve"> and membership of the </w:t>
      </w:r>
      <w:r w:rsidR="00C84793">
        <w:t>PLAC</w:t>
      </w:r>
      <w:r w:rsidR="00845783">
        <w:t xml:space="preserve">, </w:t>
      </w:r>
      <w:r w:rsidR="00F26A3C">
        <w:t>and its subcommittees</w:t>
      </w:r>
      <w:r w:rsidR="00845783">
        <w:t>)</w:t>
      </w:r>
      <w:r>
        <w:t xml:space="preserve"> involved in the </w:t>
      </w:r>
      <w:r w:rsidR="00625ABD">
        <w:t>assessment of applications</w:t>
      </w:r>
      <w:r w:rsidR="00530252">
        <w:t xml:space="preserve"> </w:t>
      </w:r>
      <w:r w:rsidR="00895259">
        <w:t xml:space="preserve">has the potential to </w:t>
      </w:r>
      <w:r w:rsidR="001F20BF">
        <w:t xml:space="preserve">increase the effectiveness of the assessments, by encouraging the right level of clinical expertise to be brought to the consideration of </w:t>
      </w:r>
      <w:r w:rsidR="00EB116D">
        <w:t>each</w:t>
      </w:r>
      <w:r w:rsidR="00B71ED7">
        <w:t xml:space="preserve"> application and en</w:t>
      </w:r>
      <w:r w:rsidR="008F76C9">
        <w:t>hancing</w:t>
      </w:r>
      <w:r w:rsidR="00B71ED7">
        <w:t xml:space="preserve"> collaboration and </w:t>
      </w:r>
      <w:r w:rsidR="00A31DAC">
        <w:t>knowledge-sharing</w:t>
      </w:r>
      <w:r w:rsidR="00B71ED7">
        <w:t xml:space="preserve"> </w:t>
      </w:r>
      <w:r w:rsidR="007A6279">
        <w:t>within</w:t>
      </w:r>
      <w:r w:rsidR="00B71ED7">
        <w:t xml:space="preserve"> groups involved in the assessment process.</w:t>
      </w:r>
    </w:p>
    <w:p w14:paraId="7E9A425E" w14:textId="427A01F0" w:rsidR="0063120D" w:rsidRDefault="0063120D" w:rsidP="00AC408E">
      <w:pPr>
        <w:pStyle w:val="Heading4"/>
      </w:pPr>
      <w:r>
        <w:t xml:space="preserve">Concurrent </w:t>
      </w:r>
      <w:r w:rsidR="00AC408E">
        <w:t xml:space="preserve">implementation of </w:t>
      </w:r>
      <w:r w:rsidR="00714BC1">
        <w:t>new software i</w:t>
      </w:r>
      <w:r w:rsidR="007D43D5">
        <w:t xml:space="preserve">s not in scope for this </w:t>
      </w:r>
      <w:proofErr w:type="gramStart"/>
      <w:r w:rsidR="007D43D5">
        <w:t>evaluation</w:t>
      </w:r>
      <w:proofErr w:type="gramEnd"/>
    </w:p>
    <w:p w14:paraId="484EA20D" w14:textId="2DA56608" w:rsidR="001B20F2" w:rsidRPr="004D11EC" w:rsidRDefault="007D43D5" w:rsidP="007869F9">
      <w:r>
        <w:t xml:space="preserve">At the same time as the reform program is being undertaken, the software in which </w:t>
      </w:r>
      <w:r w:rsidR="009D5192">
        <w:t>the PL is managed (the Prostheses List Management System, or PLMS) is set to be replaced by new software</w:t>
      </w:r>
      <w:r w:rsidR="00B71016">
        <w:t xml:space="preserve"> (</w:t>
      </w:r>
      <w:r w:rsidR="009D5192">
        <w:t>Health Products Portal</w:t>
      </w:r>
      <w:r w:rsidR="00B71016">
        <w:t xml:space="preserve">, or </w:t>
      </w:r>
      <w:r w:rsidR="009D5192">
        <w:t xml:space="preserve">HPP). This is not being undertaken as a reform activity, but as </w:t>
      </w:r>
      <w:r w:rsidR="009649E9">
        <w:t xml:space="preserve">part of regular business improvement work. </w:t>
      </w:r>
      <w:r w:rsidR="001D68DC">
        <w:t xml:space="preserve">As such, </w:t>
      </w:r>
      <w:proofErr w:type="gramStart"/>
      <w:r w:rsidR="001D68DC">
        <w:t>it’s</w:t>
      </w:r>
      <w:proofErr w:type="gramEnd"/>
      <w:r w:rsidR="001D68DC">
        <w:t xml:space="preserve"> implementation is not </w:t>
      </w:r>
      <w:r w:rsidR="00A55B61">
        <w:t xml:space="preserve">in scope </w:t>
      </w:r>
      <w:r w:rsidR="00A55B61" w:rsidDel="001D3AB5">
        <w:t xml:space="preserve">for </w:t>
      </w:r>
      <w:r w:rsidR="00A55B61">
        <w:t xml:space="preserve">this evaluation. However, the </w:t>
      </w:r>
      <w:r w:rsidR="00D6492B">
        <w:t>resulting a</w:t>
      </w:r>
      <w:r w:rsidR="00F41910">
        <w:t>pplication and assessment process</w:t>
      </w:r>
      <w:r w:rsidR="00004E6D">
        <w:t>,</w:t>
      </w:r>
      <w:r w:rsidR="00953A60">
        <w:t xml:space="preserve"> taken as a whole, </w:t>
      </w:r>
      <w:r w:rsidR="00006600">
        <w:t xml:space="preserve">is to be </w:t>
      </w:r>
      <w:r w:rsidR="00B805E7">
        <w:t>evaluated</w:t>
      </w:r>
      <w:r w:rsidR="00630DEC">
        <w:t>. T</w:t>
      </w:r>
      <w:r w:rsidR="00006600">
        <w:t xml:space="preserve">his will include </w:t>
      </w:r>
      <w:r w:rsidR="001E59E3">
        <w:t xml:space="preserve">looking at the way </w:t>
      </w:r>
      <w:r w:rsidR="00E42CDD">
        <w:t>the technology used for the process support</w:t>
      </w:r>
      <w:r w:rsidR="00E55C68">
        <w:t>s</w:t>
      </w:r>
      <w:r w:rsidR="00E42CDD">
        <w:t xml:space="preserve"> or hinder</w:t>
      </w:r>
      <w:r w:rsidR="00E55C68">
        <w:t>s</w:t>
      </w:r>
      <w:r w:rsidR="00E42CDD">
        <w:t xml:space="preserve"> the process. In other words, this evaluation will not be assessing the</w:t>
      </w:r>
      <w:r w:rsidR="00E2708F">
        <w:t xml:space="preserve"> way in which </w:t>
      </w:r>
      <w:r w:rsidR="00EF17C5">
        <w:t xml:space="preserve">HPP has replaced PLMS, </w:t>
      </w:r>
      <w:r w:rsidR="00BA4752">
        <w:t xml:space="preserve">or the process </w:t>
      </w:r>
      <w:r w:rsidR="0022485F">
        <w:t xml:space="preserve">to </w:t>
      </w:r>
      <w:r w:rsidR="006D3F41">
        <w:t xml:space="preserve">make this transition, however it will take a holistic view of the </w:t>
      </w:r>
      <w:r w:rsidR="00F3232B">
        <w:t>application and assessment process as it exists at the end of the reforms</w:t>
      </w:r>
      <w:r w:rsidR="000873EB">
        <w:t>.</w:t>
      </w:r>
    </w:p>
    <w:p w14:paraId="1B448451" w14:textId="2A991D5A" w:rsidR="00FB5E15" w:rsidRDefault="00F00E90" w:rsidP="00032A28">
      <w:pPr>
        <w:pStyle w:val="Heading3"/>
        <w:spacing w:before="400"/>
      </w:pPr>
      <w:r>
        <w:t>How this will be evaluated</w:t>
      </w:r>
    </w:p>
    <w:p w14:paraId="724D0C2E" w14:textId="1F1371CB" w:rsidR="00233250" w:rsidRDefault="00FC435B" w:rsidP="00340F41">
      <w:pPr>
        <w:rPr>
          <w:lang w:eastAsia="en-AU"/>
        </w:rPr>
      </w:pPr>
      <w:r>
        <w:rPr>
          <w:lang w:eastAsia="en-AU"/>
        </w:rPr>
        <w:t xml:space="preserve">Implementation of this part of the </w:t>
      </w:r>
      <w:r w:rsidR="00DF28DF">
        <w:rPr>
          <w:lang w:eastAsia="en-AU"/>
        </w:rPr>
        <w:t xml:space="preserve">PL reforms </w:t>
      </w:r>
      <w:r>
        <w:rPr>
          <w:lang w:eastAsia="en-AU"/>
        </w:rPr>
        <w:t xml:space="preserve">will be evaluated </w:t>
      </w:r>
      <w:r w:rsidR="00C87E87">
        <w:rPr>
          <w:lang w:eastAsia="en-AU"/>
        </w:rPr>
        <w:t>by looking at</w:t>
      </w:r>
      <w:r w:rsidR="003E6D7D">
        <w:rPr>
          <w:lang w:eastAsia="en-AU"/>
        </w:rPr>
        <w:t xml:space="preserve"> all</w:t>
      </w:r>
      <w:r w:rsidR="004D5FDF">
        <w:rPr>
          <w:lang w:eastAsia="en-AU"/>
        </w:rPr>
        <w:t xml:space="preserve"> changes to</w:t>
      </w:r>
      <w:r w:rsidR="003E6D7D">
        <w:rPr>
          <w:lang w:eastAsia="en-AU"/>
        </w:rPr>
        <w:t xml:space="preserve"> </w:t>
      </w:r>
      <w:r w:rsidR="00995DF9">
        <w:rPr>
          <w:lang w:eastAsia="en-AU"/>
        </w:rPr>
        <w:t>assessment pathways</w:t>
      </w:r>
      <w:r w:rsidR="003E6D7D">
        <w:rPr>
          <w:lang w:eastAsia="en-AU"/>
        </w:rPr>
        <w:t xml:space="preserve"> and</w:t>
      </w:r>
      <w:r w:rsidR="008E7252">
        <w:rPr>
          <w:lang w:eastAsia="en-AU"/>
        </w:rPr>
        <w:t xml:space="preserve"> governance processes</w:t>
      </w:r>
      <w:r w:rsidR="004A083D">
        <w:rPr>
          <w:lang w:eastAsia="en-AU"/>
        </w:rPr>
        <w:t xml:space="preserve">. </w:t>
      </w:r>
      <w:r w:rsidR="00233250">
        <w:rPr>
          <w:lang w:eastAsia="en-AU"/>
        </w:rPr>
        <w:t>Th</w:t>
      </w:r>
      <w:r w:rsidR="004A083D">
        <w:rPr>
          <w:lang w:eastAsia="en-AU"/>
        </w:rPr>
        <w:t>es</w:t>
      </w:r>
      <w:r w:rsidR="00233250">
        <w:rPr>
          <w:lang w:eastAsia="en-AU"/>
        </w:rPr>
        <w:t xml:space="preserve">e will </w:t>
      </w:r>
      <w:r w:rsidR="008E2EA6">
        <w:rPr>
          <w:lang w:eastAsia="en-AU"/>
        </w:rPr>
        <w:t xml:space="preserve">describe the state and changes to </w:t>
      </w:r>
      <w:r w:rsidR="00143932">
        <w:rPr>
          <w:lang w:eastAsia="en-AU"/>
        </w:rPr>
        <w:t xml:space="preserve">the assessment processes that occur, </w:t>
      </w:r>
      <w:r w:rsidR="00080C04">
        <w:rPr>
          <w:lang w:eastAsia="en-AU"/>
        </w:rPr>
        <w:t xml:space="preserve">and how these changes are implemented. </w:t>
      </w:r>
      <w:r w:rsidR="006E2DEC">
        <w:rPr>
          <w:lang w:eastAsia="en-AU"/>
        </w:rPr>
        <w:t xml:space="preserve">Indicator 14, described in </w:t>
      </w:r>
      <w:r w:rsidR="00B67867">
        <w:rPr>
          <w:lang w:eastAsia="en-AU"/>
        </w:rPr>
        <w:fldChar w:fldCharType="begin"/>
      </w:r>
      <w:r w:rsidR="00B67867">
        <w:rPr>
          <w:lang w:eastAsia="en-AU"/>
        </w:rPr>
        <w:instrText xml:space="preserve"> REF _Ref159832999 \r \h </w:instrText>
      </w:r>
      <w:r w:rsidR="00B67867">
        <w:rPr>
          <w:lang w:eastAsia="en-AU"/>
        </w:rPr>
      </w:r>
      <w:r w:rsidR="00B67867">
        <w:rPr>
          <w:lang w:eastAsia="en-AU"/>
        </w:rPr>
        <w:fldChar w:fldCharType="separate"/>
      </w:r>
      <w:r w:rsidR="00026714">
        <w:rPr>
          <w:lang w:eastAsia="en-AU"/>
        </w:rPr>
        <w:t>Appendix B</w:t>
      </w:r>
      <w:r w:rsidR="00B67867">
        <w:rPr>
          <w:lang w:eastAsia="en-AU"/>
        </w:rPr>
        <w:fldChar w:fldCharType="end"/>
      </w:r>
      <w:r w:rsidR="006E2DEC">
        <w:rPr>
          <w:lang w:eastAsia="en-AU"/>
        </w:rPr>
        <w:t xml:space="preserve">, </w:t>
      </w:r>
      <w:r w:rsidR="005F4359">
        <w:rPr>
          <w:lang w:eastAsia="en-AU"/>
        </w:rPr>
        <w:t>captures these components.</w:t>
      </w:r>
    </w:p>
    <w:p w14:paraId="46C3DD2E" w14:textId="738B3007" w:rsidR="005B250F" w:rsidRPr="0072447A" w:rsidRDefault="00340F41" w:rsidP="00624DEB">
      <w:pPr>
        <w:rPr>
          <w:lang w:eastAsia="en-AU"/>
        </w:rPr>
      </w:pPr>
      <w:r>
        <w:rPr>
          <w:lang w:eastAsia="en-AU"/>
        </w:rPr>
        <w:lastRenderedPageBreak/>
        <w:t xml:space="preserve">In addition to these, </w:t>
      </w:r>
      <w:r w:rsidR="00EE7C10">
        <w:rPr>
          <w:lang w:eastAsia="en-AU"/>
        </w:rPr>
        <w:t>looking at the volume of applications processed through each assessment tier</w:t>
      </w:r>
      <w:r w:rsidR="00DB2A15">
        <w:rPr>
          <w:lang w:eastAsia="en-AU"/>
        </w:rPr>
        <w:t xml:space="preserve"> allo</w:t>
      </w:r>
      <w:r w:rsidR="00E60236">
        <w:rPr>
          <w:lang w:eastAsia="en-AU"/>
        </w:rPr>
        <w:t>ws</w:t>
      </w:r>
      <w:r w:rsidR="00B55A63">
        <w:rPr>
          <w:lang w:eastAsia="en-AU"/>
        </w:rPr>
        <w:t xml:space="preserve"> for a picture of the way in which the changes are being used post-implementation</w:t>
      </w:r>
      <w:r w:rsidR="0072447A">
        <w:rPr>
          <w:lang w:eastAsia="en-AU"/>
        </w:rPr>
        <w:t>. A</w:t>
      </w:r>
      <w:r>
        <w:rPr>
          <w:lang w:eastAsia="en-AU"/>
        </w:rPr>
        <w:t xml:space="preserve">n assessment of any change in alignment with HTA principles will </w:t>
      </w:r>
      <w:r w:rsidR="0072447A">
        <w:rPr>
          <w:lang w:eastAsia="en-AU"/>
        </w:rPr>
        <w:t xml:space="preserve">also </w:t>
      </w:r>
      <w:r>
        <w:rPr>
          <w:lang w:eastAsia="en-AU"/>
        </w:rPr>
        <w:t>be made qualitatively, through consultation with the department, device sponsors and other s</w:t>
      </w:r>
      <w:r w:rsidR="00091447">
        <w:rPr>
          <w:lang w:eastAsia="en-AU"/>
        </w:rPr>
        <w:t xml:space="preserve">takeholders. Indicator 15, described in </w:t>
      </w:r>
      <w:r w:rsidR="00B67867">
        <w:rPr>
          <w:lang w:eastAsia="en-AU"/>
        </w:rPr>
        <w:fldChar w:fldCharType="begin"/>
      </w:r>
      <w:r w:rsidR="00B67867">
        <w:rPr>
          <w:lang w:eastAsia="en-AU"/>
        </w:rPr>
        <w:instrText xml:space="preserve"> REF _Ref159832999 \r \h </w:instrText>
      </w:r>
      <w:r w:rsidR="00B67867">
        <w:rPr>
          <w:lang w:eastAsia="en-AU"/>
        </w:rPr>
      </w:r>
      <w:r w:rsidR="00B67867">
        <w:rPr>
          <w:lang w:eastAsia="en-AU"/>
        </w:rPr>
        <w:fldChar w:fldCharType="separate"/>
      </w:r>
      <w:r w:rsidR="00026714">
        <w:rPr>
          <w:lang w:eastAsia="en-AU"/>
        </w:rPr>
        <w:t>Appendix B</w:t>
      </w:r>
      <w:r w:rsidR="00B67867">
        <w:rPr>
          <w:lang w:eastAsia="en-AU"/>
        </w:rPr>
        <w:fldChar w:fldCharType="end"/>
      </w:r>
      <w:r w:rsidR="00091447">
        <w:rPr>
          <w:lang w:eastAsia="en-AU"/>
        </w:rPr>
        <w:t xml:space="preserve">, </w:t>
      </w:r>
      <w:r w:rsidR="006E2DEC">
        <w:rPr>
          <w:lang w:eastAsia="en-AU"/>
        </w:rPr>
        <w:t xml:space="preserve">will be used for </w:t>
      </w:r>
      <w:proofErr w:type="gramStart"/>
      <w:r w:rsidR="00D845DF">
        <w:rPr>
          <w:lang w:eastAsia="en-AU"/>
        </w:rPr>
        <w:t>both of these</w:t>
      </w:r>
      <w:proofErr w:type="gramEnd"/>
      <w:r w:rsidR="00D845DF">
        <w:rPr>
          <w:lang w:eastAsia="en-AU"/>
        </w:rPr>
        <w:t xml:space="preserve"> </w:t>
      </w:r>
      <w:r w:rsidR="0072447A">
        <w:rPr>
          <w:lang w:eastAsia="en-AU"/>
        </w:rPr>
        <w:t>measures.</w:t>
      </w:r>
    </w:p>
    <w:p w14:paraId="010E5348" w14:textId="6CBD257C" w:rsidR="00624DEB" w:rsidRPr="005356B4" w:rsidRDefault="00624DEB" w:rsidP="00624DEB">
      <w:pPr>
        <w:pStyle w:val="Heading2"/>
      </w:pPr>
      <w:bookmarkStart w:id="52" w:name="_Toc179453684"/>
      <w:r>
        <w:t xml:space="preserve">Objective </w:t>
      </w:r>
      <w:r w:rsidR="007633CC">
        <w:t>7</w:t>
      </w:r>
      <w:r>
        <w:t xml:space="preserve">: </w:t>
      </w:r>
      <w:r w:rsidR="007633CC">
        <w:t>Develop and implement PL listing reviews and PL compliance frameworks to safeguard the PL Reforms</w:t>
      </w:r>
      <w:bookmarkEnd w:id="52"/>
    </w:p>
    <w:p w14:paraId="6938764B" w14:textId="1591B67A" w:rsidR="00784E3F" w:rsidRDefault="00784E3F" w:rsidP="00784E3F">
      <w:pPr>
        <w:pStyle w:val="Caption"/>
      </w:pPr>
      <w:r>
        <w:t xml:space="preserve">Figure </w:t>
      </w:r>
      <w:r>
        <w:fldChar w:fldCharType="begin"/>
      </w:r>
      <w:r>
        <w:instrText xml:space="preserve"> SEQ Figure \* ARABIC </w:instrText>
      </w:r>
      <w:r>
        <w:fldChar w:fldCharType="separate"/>
      </w:r>
      <w:r w:rsidR="00026714">
        <w:rPr>
          <w:noProof/>
        </w:rPr>
        <w:t>15</w:t>
      </w:r>
      <w:r>
        <w:fldChar w:fldCharType="end"/>
      </w:r>
      <w:r>
        <w:t xml:space="preserve"> | Reform </w:t>
      </w:r>
      <w:r w:rsidR="00E52584">
        <w:t>projects</w:t>
      </w:r>
      <w:r>
        <w:t xml:space="preserve"> related to reform objective </w:t>
      </w:r>
      <w:proofErr w:type="gramStart"/>
      <w:r>
        <w:t>7</w:t>
      </w:r>
      <w:proofErr w:type="gramEnd"/>
    </w:p>
    <w:p w14:paraId="4184E737" w14:textId="30A6A117" w:rsidR="00784E3F" w:rsidRPr="00784E3F" w:rsidRDefault="009249B7" w:rsidP="00784E3F">
      <w:r w:rsidRPr="009249B7">
        <w:rPr>
          <w:noProof/>
        </w:rPr>
        <w:drawing>
          <wp:inline distT="0" distB="0" distL="0" distR="0" wp14:anchorId="037EB963" wp14:editId="5C61802D">
            <wp:extent cx="5670550" cy="1030605"/>
            <wp:effectExtent l="0" t="0" r="6350" b="0"/>
            <wp:docPr id="462301194" name="Picture 1" descr="A figure showing Objective 7. PL listing reviews and PL compliance frameworks connected to two reform projects. The projects are post-listing reviews and complianc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01194" name="Picture 1" descr="A figure showing Objective 7. PL listing reviews and PL compliance frameworks connected to two reform projects. The projects are post-listing reviews and compliance activities."/>
                    <pic:cNvPicPr/>
                  </pic:nvPicPr>
                  <pic:blipFill>
                    <a:blip r:embed="rId41"/>
                    <a:stretch>
                      <a:fillRect/>
                    </a:stretch>
                  </pic:blipFill>
                  <pic:spPr>
                    <a:xfrm>
                      <a:off x="0" y="0"/>
                      <a:ext cx="5670550" cy="1030605"/>
                    </a:xfrm>
                    <a:prstGeom prst="rect">
                      <a:avLst/>
                    </a:prstGeom>
                  </pic:spPr>
                </pic:pic>
              </a:graphicData>
            </a:graphic>
          </wp:inline>
        </w:drawing>
      </w:r>
    </w:p>
    <w:p w14:paraId="1D9D9041" w14:textId="172CF971" w:rsidR="00624DEB" w:rsidRDefault="007130BF" w:rsidP="00032A28">
      <w:pPr>
        <w:pStyle w:val="Heading3"/>
        <w:spacing w:before="400"/>
      </w:pPr>
      <w:r>
        <w:t xml:space="preserve">Baseline </w:t>
      </w:r>
      <w:r w:rsidR="00272A48">
        <w:t>position</w:t>
      </w:r>
    </w:p>
    <w:p w14:paraId="5CCA9EF9" w14:textId="71EA026F" w:rsidR="00715FE9" w:rsidRPr="00715FE9" w:rsidRDefault="00AA1622" w:rsidP="00715FE9">
      <w:pPr>
        <w:pStyle w:val="Heading4"/>
      </w:pPr>
      <w:r>
        <w:t xml:space="preserve">Post-listing reviews have been conducted on an ad-hoc basis as resourcing allowed, </w:t>
      </w:r>
      <w:r w:rsidR="00F702A2">
        <w:t>while</w:t>
      </w:r>
      <w:r>
        <w:t xml:space="preserve"> </w:t>
      </w:r>
      <w:r w:rsidR="00204E7F">
        <w:t xml:space="preserve">compliance requirements have been </w:t>
      </w:r>
      <w:r w:rsidR="00F702A2">
        <w:t xml:space="preserve">undefined without any formal compliance </w:t>
      </w:r>
      <w:proofErr w:type="gramStart"/>
      <w:r w:rsidR="00F702A2">
        <w:t>framework</w:t>
      </w:r>
      <w:proofErr w:type="gramEnd"/>
    </w:p>
    <w:p w14:paraId="4BE39DE5" w14:textId="47FF8005" w:rsidR="00272A48" w:rsidRPr="00272A48" w:rsidRDefault="00E9724B" w:rsidP="00272A48">
      <w:r>
        <w:rPr>
          <w:lang w:eastAsia="en-AU"/>
        </w:rPr>
        <w:t>The PL has no formally documented framework to outline the conditions tha</w:t>
      </w:r>
      <w:r w:rsidR="00893B6D">
        <w:rPr>
          <w:lang w:eastAsia="en-AU"/>
        </w:rPr>
        <w:t xml:space="preserve">t </w:t>
      </w:r>
      <w:r w:rsidR="0062135E">
        <w:rPr>
          <w:lang w:eastAsia="en-AU"/>
        </w:rPr>
        <w:t>sponsors</w:t>
      </w:r>
      <w:r w:rsidR="008F7628">
        <w:rPr>
          <w:lang w:eastAsia="en-AU"/>
        </w:rPr>
        <w:t xml:space="preserve"> and/or devices must meet </w:t>
      </w:r>
      <w:r w:rsidR="001E6640">
        <w:rPr>
          <w:lang w:eastAsia="en-AU"/>
        </w:rPr>
        <w:t>to</w:t>
      </w:r>
      <w:r w:rsidR="008F7628">
        <w:rPr>
          <w:lang w:eastAsia="en-AU"/>
        </w:rPr>
        <w:t xml:space="preserve"> maintain </w:t>
      </w:r>
      <w:r w:rsidR="00F422BC">
        <w:rPr>
          <w:lang w:eastAsia="en-AU"/>
        </w:rPr>
        <w:t xml:space="preserve">listing on the PL. </w:t>
      </w:r>
      <w:r w:rsidR="00A80A71">
        <w:rPr>
          <w:lang w:eastAsia="en-AU"/>
        </w:rPr>
        <w:t>T</w:t>
      </w:r>
      <w:r w:rsidR="00D73E01">
        <w:rPr>
          <w:lang w:eastAsia="en-AU"/>
        </w:rPr>
        <w:t xml:space="preserve">here have been </w:t>
      </w:r>
      <w:r w:rsidR="00EA02EA">
        <w:rPr>
          <w:lang w:eastAsia="en-AU"/>
        </w:rPr>
        <w:t>limited</w:t>
      </w:r>
      <w:r w:rsidR="005F63E2">
        <w:rPr>
          <w:lang w:eastAsia="en-AU"/>
        </w:rPr>
        <w:t xml:space="preserve"> occasions in which </w:t>
      </w:r>
      <w:r w:rsidR="00C31E84">
        <w:rPr>
          <w:lang w:eastAsia="en-AU"/>
        </w:rPr>
        <w:t>the</w:t>
      </w:r>
      <w:r w:rsidR="00B24286">
        <w:rPr>
          <w:lang w:eastAsia="en-AU"/>
        </w:rPr>
        <w:t xml:space="preserve"> continued listing</w:t>
      </w:r>
      <w:r w:rsidR="00C31E84">
        <w:rPr>
          <w:lang w:eastAsia="en-AU"/>
        </w:rPr>
        <w:t xml:space="preserve"> </w:t>
      </w:r>
      <w:r w:rsidR="000A3936">
        <w:rPr>
          <w:lang w:eastAsia="en-AU"/>
        </w:rPr>
        <w:t xml:space="preserve">of </w:t>
      </w:r>
      <w:r w:rsidR="00C31E84">
        <w:rPr>
          <w:lang w:eastAsia="en-AU"/>
        </w:rPr>
        <w:t xml:space="preserve">items </w:t>
      </w:r>
      <w:proofErr w:type="gramStart"/>
      <w:r w:rsidR="00C31E84">
        <w:rPr>
          <w:lang w:eastAsia="en-AU"/>
        </w:rPr>
        <w:t>ha</w:t>
      </w:r>
      <w:r w:rsidR="00083527">
        <w:rPr>
          <w:lang w:eastAsia="en-AU"/>
        </w:rPr>
        <w:t>ve</w:t>
      </w:r>
      <w:proofErr w:type="gramEnd"/>
      <w:r w:rsidR="00C31E84">
        <w:rPr>
          <w:lang w:eastAsia="en-AU"/>
        </w:rPr>
        <w:t xml:space="preserve"> been reviewed</w:t>
      </w:r>
      <w:r w:rsidR="006A0A56">
        <w:rPr>
          <w:lang w:eastAsia="en-AU"/>
        </w:rPr>
        <w:t>.</w:t>
      </w:r>
      <w:r w:rsidR="00C31E84">
        <w:rPr>
          <w:lang w:eastAsia="en-AU"/>
        </w:rPr>
        <w:t xml:space="preserve"> </w:t>
      </w:r>
      <w:r w:rsidR="006A0A56">
        <w:rPr>
          <w:lang w:eastAsia="en-AU"/>
        </w:rPr>
        <w:t>Each of these</w:t>
      </w:r>
      <w:r w:rsidR="00436607">
        <w:rPr>
          <w:lang w:eastAsia="en-AU"/>
        </w:rPr>
        <w:t xml:space="preserve"> occurr</w:t>
      </w:r>
      <w:r w:rsidR="006A0A56">
        <w:rPr>
          <w:lang w:eastAsia="en-AU"/>
        </w:rPr>
        <w:t>ed</w:t>
      </w:r>
      <w:r w:rsidR="00436607">
        <w:rPr>
          <w:lang w:eastAsia="en-AU"/>
        </w:rPr>
        <w:t xml:space="preserve"> </w:t>
      </w:r>
      <w:r w:rsidR="00C31E84">
        <w:rPr>
          <w:lang w:eastAsia="en-AU"/>
        </w:rPr>
        <w:t>in</w:t>
      </w:r>
      <w:r w:rsidR="00E70DA2">
        <w:rPr>
          <w:lang w:eastAsia="en-AU"/>
        </w:rPr>
        <w:t xml:space="preserve"> circumstances where </w:t>
      </w:r>
      <w:proofErr w:type="gramStart"/>
      <w:r w:rsidR="000806E8">
        <w:rPr>
          <w:lang w:eastAsia="en-AU"/>
        </w:rPr>
        <w:t>a number of</w:t>
      </w:r>
      <w:proofErr w:type="gramEnd"/>
      <w:r w:rsidR="000806E8">
        <w:rPr>
          <w:lang w:eastAsia="en-AU"/>
        </w:rPr>
        <w:t xml:space="preserve"> stakeholders had raised concerns</w:t>
      </w:r>
      <w:r w:rsidR="00A67D31">
        <w:rPr>
          <w:lang w:eastAsia="en-AU"/>
        </w:rPr>
        <w:t xml:space="preserve">, and where </w:t>
      </w:r>
      <w:r w:rsidR="001741DB">
        <w:rPr>
          <w:lang w:eastAsia="en-AU"/>
        </w:rPr>
        <w:t>the Department was able to allocate resources to undertake the review.</w:t>
      </w:r>
      <w:r w:rsidR="00A70B92">
        <w:rPr>
          <w:lang w:eastAsia="en-AU"/>
        </w:rPr>
        <w:t xml:space="preserve"> </w:t>
      </w:r>
      <w:r w:rsidR="002A1F4F">
        <w:rPr>
          <w:lang w:eastAsia="en-AU"/>
        </w:rPr>
        <w:t>There is no formal mechanism</w:t>
      </w:r>
      <w:r w:rsidR="00945C90">
        <w:rPr>
          <w:lang w:eastAsia="en-AU"/>
        </w:rPr>
        <w:t xml:space="preserve"> for these, and </w:t>
      </w:r>
      <w:r w:rsidR="006651E2">
        <w:rPr>
          <w:lang w:eastAsia="en-AU"/>
        </w:rPr>
        <w:t>no guidance regarding</w:t>
      </w:r>
      <w:r w:rsidR="00371023">
        <w:rPr>
          <w:lang w:eastAsia="en-AU"/>
        </w:rPr>
        <w:t xml:space="preserve"> the conditions under which they</w:t>
      </w:r>
      <w:r w:rsidR="0020020D">
        <w:rPr>
          <w:lang w:eastAsia="en-AU"/>
        </w:rPr>
        <w:t xml:space="preserve"> should be undertaken. </w:t>
      </w:r>
      <w:r w:rsidR="009B0CF9" w:rsidRPr="0C63581C">
        <w:rPr>
          <w:lang w:eastAsia="en-AU"/>
        </w:rPr>
        <w:t xml:space="preserve">Stakeholders </w:t>
      </w:r>
      <w:r w:rsidR="00161A81">
        <w:rPr>
          <w:lang w:eastAsia="en-AU"/>
        </w:rPr>
        <w:t xml:space="preserve">have suggested that for the most part, </w:t>
      </w:r>
      <w:r w:rsidR="00E466A2">
        <w:rPr>
          <w:lang w:eastAsia="en-AU"/>
        </w:rPr>
        <w:t>PL billing codes are</w:t>
      </w:r>
      <w:r w:rsidR="009B0CF9">
        <w:t xml:space="preserve"> ‘</w:t>
      </w:r>
      <w:r w:rsidR="009B0CF9" w:rsidRPr="00BF050A">
        <w:t>set and forget</w:t>
      </w:r>
      <w:r w:rsidR="009B0CF9">
        <w:t>’</w:t>
      </w:r>
      <w:r w:rsidR="009B0CF9" w:rsidRPr="00BF050A">
        <w:t>, with insufficient reviews to assess how technology and market condition</w:t>
      </w:r>
      <w:r w:rsidR="009B0CF9">
        <w:t>s</w:t>
      </w:r>
      <w:r w:rsidR="009B0CF9" w:rsidRPr="00BF050A">
        <w:t xml:space="preserve"> </w:t>
      </w:r>
      <w:r w:rsidR="009B0CF9">
        <w:t>changed after</w:t>
      </w:r>
      <w:r w:rsidR="009B0CF9" w:rsidRPr="00BF050A">
        <w:t xml:space="preserve"> the initial listing of a device</w:t>
      </w:r>
      <w:r w:rsidR="009B0CF9">
        <w:t xml:space="preserve"> or the creation of a benefit group</w:t>
      </w:r>
      <w:r w:rsidR="009B0CF9" w:rsidRPr="00BF050A">
        <w:t>.</w:t>
      </w:r>
      <w:r w:rsidR="009B0CF9">
        <w:rPr>
          <w:rStyle w:val="FootnoteReference"/>
        </w:rPr>
        <w:footnoteReference w:id="92"/>
      </w:r>
    </w:p>
    <w:p w14:paraId="08D5FF0E" w14:textId="5BB88A4C" w:rsidR="00272A48" w:rsidRPr="00272A48" w:rsidRDefault="00272A48" w:rsidP="00032A28">
      <w:pPr>
        <w:pStyle w:val="Heading3"/>
        <w:spacing w:before="400"/>
      </w:pPr>
      <w:r>
        <w:t>Rationale for reform</w:t>
      </w:r>
    </w:p>
    <w:p w14:paraId="323125A1" w14:textId="0D7E44AA" w:rsidR="00CD5420" w:rsidRDefault="00644A15" w:rsidP="00CD5420">
      <w:pPr>
        <w:pStyle w:val="Heading4"/>
      </w:pPr>
      <w:r w:rsidRPr="3787E91E">
        <w:t>To ensure the PL remains sustainable</w:t>
      </w:r>
      <w:r w:rsidR="00AA735E" w:rsidRPr="3787E91E">
        <w:t xml:space="preserve"> and</w:t>
      </w:r>
      <w:r w:rsidRPr="3787E91E">
        <w:t xml:space="preserve"> </w:t>
      </w:r>
      <w:r w:rsidR="59B62194" w:rsidRPr="3787E91E">
        <w:t>in line</w:t>
      </w:r>
      <w:r w:rsidR="000C207E" w:rsidRPr="3787E91E">
        <w:t xml:space="preserve"> with contemporary evidence</w:t>
      </w:r>
      <w:r w:rsidR="00AA735E" w:rsidRPr="3787E91E">
        <w:t xml:space="preserve">, </w:t>
      </w:r>
      <w:r w:rsidR="00BB5F0E" w:rsidRPr="3787E91E">
        <w:t xml:space="preserve">compliance requirements should be clear, and </w:t>
      </w:r>
      <w:r w:rsidR="00BC72F0" w:rsidRPr="3787E91E">
        <w:t xml:space="preserve">review mechanisms </w:t>
      </w:r>
      <w:proofErr w:type="gramStart"/>
      <w:r w:rsidR="00BC72F0" w:rsidRPr="3787E91E">
        <w:t>robust</w:t>
      </w:r>
      <w:proofErr w:type="gramEnd"/>
    </w:p>
    <w:p w14:paraId="7391481D" w14:textId="2F9BFA72" w:rsidR="00C06B16" w:rsidRDefault="00B10EF6" w:rsidP="00CD5420">
      <w:pPr>
        <w:rPr>
          <w:lang w:eastAsia="en-AU"/>
        </w:rPr>
      </w:pPr>
      <w:r>
        <w:rPr>
          <w:lang w:eastAsia="en-AU"/>
        </w:rPr>
        <w:t xml:space="preserve">The PL groupings reflect the clinical differences between products and the associated benefits reflect its relative value to the consumer. As new health technology is introduced over time, or new clinical </w:t>
      </w:r>
      <w:r w:rsidR="00891117">
        <w:rPr>
          <w:lang w:eastAsia="en-AU"/>
        </w:rPr>
        <w:t xml:space="preserve">practice or </w:t>
      </w:r>
      <w:r>
        <w:rPr>
          <w:lang w:eastAsia="en-AU"/>
        </w:rPr>
        <w:t>evidence</w:t>
      </w:r>
      <w:r w:rsidR="00B6003E">
        <w:rPr>
          <w:lang w:eastAsia="en-AU"/>
        </w:rPr>
        <w:t xml:space="preserve"> </w:t>
      </w:r>
      <w:r w:rsidR="00891117">
        <w:rPr>
          <w:lang w:eastAsia="en-AU"/>
        </w:rPr>
        <w:t>comes</w:t>
      </w:r>
      <w:r>
        <w:rPr>
          <w:lang w:eastAsia="en-AU"/>
        </w:rPr>
        <w:t xml:space="preserve"> to light, the value of previously listed products may </w:t>
      </w:r>
      <w:r w:rsidR="0009595C">
        <w:rPr>
          <w:lang w:eastAsia="en-AU"/>
        </w:rPr>
        <w:t>change</w:t>
      </w:r>
      <w:r w:rsidR="00C06B16">
        <w:rPr>
          <w:lang w:eastAsia="en-AU"/>
        </w:rPr>
        <w:t>.</w:t>
      </w:r>
      <w:r w:rsidR="004346C3">
        <w:rPr>
          <w:lang w:eastAsia="en-AU"/>
        </w:rPr>
        <w:t xml:space="preserve"> </w:t>
      </w:r>
      <w:r w:rsidR="00C06B16">
        <w:rPr>
          <w:lang w:eastAsia="en-AU"/>
        </w:rPr>
        <w:t xml:space="preserve">However, </w:t>
      </w:r>
      <w:r w:rsidR="00F54AAB">
        <w:rPr>
          <w:lang w:eastAsia="en-AU"/>
        </w:rPr>
        <w:t>products remain listed on the PL</w:t>
      </w:r>
      <w:r w:rsidR="001C09FC">
        <w:rPr>
          <w:lang w:eastAsia="en-AU"/>
        </w:rPr>
        <w:t xml:space="preserve"> indefinitely</w:t>
      </w:r>
      <w:r w:rsidR="00F54AAB">
        <w:rPr>
          <w:lang w:eastAsia="en-AU"/>
        </w:rPr>
        <w:t xml:space="preserve">, with the same </w:t>
      </w:r>
      <w:r w:rsidR="00780619">
        <w:rPr>
          <w:lang w:eastAsia="en-AU"/>
        </w:rPr>
        <w:t xml:space="preserve">benefit and </w:t>
      </w:r>
      <w:r w:rsidR="001148C5">
        <w:rPr>
          <w:lang w:eastAsia="en-AU"/>
        </w:rPr>
        <w:t>grouping</w:t>
      </w:r>
      <w:r w:rsidR="00780619">
        <w:rPr>
          <w:lang w:eastAsia="en-AU"/>
        </w:rPr>
        <w:t xml:space="preserve">, </w:t>
      </w:r>
      <w:r w:rsidR="0061711E">
        <w:rPr>
          <w:lang w:eastAsia="en-AU"/>
        </w:rPr>
        <w:t xml:space="preserve">unless </w:t>
      </w:r>
      <w:r w:rsidR="005E72DD">
        <w:rPr>
          <w:lang w:eastAsia="en-AU"/>
        </w:rPr>
        <w:t xml:space="preserve">one of three </w:t>
      </w:r>
      <w:r w:rsidR="001C09FC">
        <w:rPr>
          <w:lang w:eastAsia="en-AU"/>
        </w:rPr>
        <w:t>actions occur:</w:t>
      </w:r>
      <w:r w:rsidR="00931E70">
        <w:rPr>
          <w:lang w:eastAsia="en-AU"/>
        </w:rPr>
        <w:t xml:space="preserve"> </w:t>
      </w:r>
    </w:p>
    <w:p w14:paraId="5035B666" w14:textId="4D4D4B40" w:rsidR="00E853F6" w:rsidRDefault="00543329" w:rsidP="00D71B4F">
      <w:pPr>
        <w:pStyle w:val="NewListBulletPoint"/>
        <w:numPr>
          <w:ilvl w:val="0"/>
          <w:numId w:val="26"/>
        </w:numPr>
      </w:pPr>
      <w:r>
        <w:t>A</w:t>
      </w:r>
      <w:r w:rsidR="004E3535">
        <w:t xml:space="preserve"> sponsor </w:t>
      </w:r>
      <w:r w:rsidR="00182D71">
        <w:t xml:space="preserve">applies </w:t>
      </w:r>
      <w:r w:rsidR="005D5A45">
        <w:t xml:space="preserve">for </w:t>
      </w:r>
      <w:r w:rsidR="00BF015E">
        <w:t xml:space="preserve">a product </w:t>
      </w:r>
      <w:r w:rsidR="005D5A45">
        <w:t xml:space="preserve">to be removed </w:t>
      </w:r>
      <w:r w:rsidR="00CF0D77">
        <w:t>or amended</w:t>
      </w:r>
      <w:r w:rsidR="00B67867">
        <w:t>,</w:t>
      </w:r>
    </w:p>
    <w:p w14:paraId="7744293C" w14:textId="69F01586" w:rsidR="00D01D10" w:rsidRDefault="00543329" w:rsidP="006D155C">
      <w:pPr>
        <w:pStyle w:val="NewListBulletPoint"/>
      </w:pPr>
      <w:r>
        <w:t>A</w:t>
      </w:r>
      <w:r w:rsidR="00D01D10">
        <w:t xml:space="preserve"> regulatory matter triggers </w:t>
      </w:r>
      <w:r w:rsidR="00BF015E">
        <w:t>a product’s</w:t>
      </w:r>
      <w:r w:rsidR="00D01D10">
        <w:t xml:space="preserve"> removal (e.g., becomes no longer listed on the Australian Register of Therapeutic Goods)</w:t>
      </w:r>
      <w:r w:rsidR="00B67867">
        <w:t>, or</w:t>
      </w:r>
    </w:p>
    <w:p w14:paraId="62E22DC8" w14:textId="450BFBCA" w:rsidR="007E141D" w:rsidRDefault="00543329" w:rsidP="006D155C">
      <w:pPr>
        <w:pStyle w:val="NewListBulletPoint"/>
      </w:pPr>
      <w:r>
        <w:t>T</w:t>
      </w:r>
      <w:r w:rsidR="00CF0D77">
        <w:t xml:space="preserve">he Department </w:t>
      </w:r>
      <w:r w:rsidR="00070B86">
        <w:t>intervenes</w:t>
      </w:r>
      <w:r w:rsidR="00CF0D77">
        <w:t xml:space="preserve"> </w:t>
      </w:r>
      <w:r w:rsidR="00757BB0">
        <w:t>to remove or amend it</w:t>
      </w:r>
      <w:r w:rsidR="00070B86">
        <w:t>.</w:t>
      </w:r>
    </w:p>
    <w:p w14:paraId="083141EB" w14:textId="7D89E01D" w:rsidR="0035582A" w:rsidRDefault="000F3696" w:rsidP="008D27A2">
      <w:pPr>
        <w:rPr>
          <w:lang w:eastAsia="en-AU"/>
        </w:rPr>
      </w:pPr>
      <w:r>
        <w:rPr>
          <w:lang w:eastAsia="en-AU"/>
        </w:rPr>
        <w:lastRenderedPageBreak/>
        <w:t xml:space="preserve">That is, </w:t>
      </w:r>
      <w:r w:rsidR="002E5E8B">
        <w:rPr>
          <w:lang w:eastAsia="en-AU"/>
        </w:rPr>
        <w:t xml:space="preserve">in situations where </w:t>
      </w:r>
      <w:r w:rsidR="00FC39F6">
        <w:rPr>
          <w:lang w:eastAsia="en-AU"/>
        </w:rPr>
        <w:t xml:space="preserve">a sponsor is </w:t>
      </w:r>
      <w:r w:rsidR="001671C4">
        <w:rPr>
          <w:lang w:eastAsia="en-AU"/>
        </w:rPr>
        <w:t xml:space="preserve">willing to </w:t>
      </w:r>
      <w:r w:rsidR="004F150C">
        <w:rPr>
          <w:lang w:eastAsia="en-AU"/>
        </w:rPr>
        <w:t xml:space="preserve">continue supplying a product and the </w:t>
      </w:r>
      <w:r w:rsidR="0091150D">
        <w:rPr>
          <w:lang w:eastAsia="en-AU"/>
        </w:rPr>
        <w:t>Therapeutic Goods Administration</w:t>
      </w:r>
      <w:r w:rsidR="00F56B98">
        <w:rPr>
          <w:lang w:eastAsia="en-AU"/>
        </w:rPr>
        <w:t xml:space="preserve"> </w:t>
      </w:r>
      <w:r w:rsidR="00FC39F6">
        <w:rPr>
          <w:lang w:eastAsia="en-AU"/>
        </w:rPr>
        <w:t xml:space="preserve">continues </w:t>
      </w:r>
      <w:r w:rsidR="00F62CAF">
        <w:rPr>
          <w:lang w:eastAsia="en-AU"/>
        </w:rPr>
        <w:t>to deem it safe for</w:t>
      </w:r>
      <w:r w:rsidR="00FC39F6">
        <w:rPr>
          <w:lang w:eastAsia="en-AU"/>
        </w:rPr>
        <w:t xml:space="preserve"> supply, </w:t>
      </w:r>
      <w:r w:rsidR="00A61410">
        <w:rPr>
          <w:lang w:eastAsia="en-AU"/>
        </w:rPr>
        <w:t xml:space="preserve">it is </w:t>
      </w:r>
      <w:r w:rsidR="00800DDF">
        <w:rPr>
          <w:lang w:eastAsia="en-AU"/>
        </w:rPr>
        <w:t xml:space="preserve">the </w:t>
      </w:r>
      <w:r w:rsidR="00A61410">
        <w:rPr>
          <w:lang w:eastAsia="en-AU"/>
        </w:rPr>
        <w:t xml:space="preserve">responsibility of the </w:t>
      </w:r>
      <w:r w:rsidR="00206218">
        <w:rPr>
          <w:lang w:eastAsia="en-AU"/>
        </w:rPr>
        <w:t xml:space="preserve">Department </w:t>
      </w:r>
      <w:r w:rsidR="006325DE">
        <w:rPr>
          <w:lang w:eastAsia="en-AU"/>
        </w:rPr>
        <w:t xml:space="preserve">to determine </w:t>
      </w:r>
      <w:r w:rsidR="00C96D79">
        <w:rPr>
          <w:lang w:eastAsia="en-AU"/>
        </w:rPr>
        <w:t xml:space="preserve">whether </w:t>
      </w:r>
      <w:r w:rsidR="00FA3253">
        <w:rPr>
          <w:lang w:eastAsia="en-AU"/>
        </w:rPr>
        <w:t xml:space="preserve">the product </w:t>
      </w:r>
      <w:r w:rsidR="006C0FA2">
        <w:rPr>
          <w:lang w:eastAsia="en-AU"/>
        </w:rPr>
        <w:t>is still fit for purpose and</w:t>
      </w:r>
      <w:r w:rsidR="00C83884">
        <w:rPr>
          <w:lang w:eastAsia="en-AU"/>
        </w:rPr>
        <w:t xml:space="preserve"> has an appropriate benefit</w:t>
      </w:r>
      <w:r w:rsidR="00226C2E">
        <w:rPr>
          <w:lang w:eastAsia="en-AU"/>
        </w:rPr>
        <w:t>. This necessitates a robust post-listing review framework, and adequate capacity to enact it, to maintain the integrity of the PL funding mechanism and safeguard its value to the healthcare system.</w:t>
      </w:r>
    </w:p>
    <w:p w14:paraId="673C509A" w14:textId="0D22AF65" w:rsidR="00024280" w:rsidRDefault="00316FA7" w:rsidP="008D27A2">
      <w:r>
        <w:t>F</w:t>
      </w:r>
      <w:r w:rsidR="0089237D">
        <w:t xml:space="preserve">or the system to be sustainable and </w:t>
      </w:r>
      <w:r w:rsidR="004530B6">
        <w:t>robust</w:t>
      </w:r>
      <w:r w:rsidR="00660F65">
        <w:t xml:space="preserve">, there needs to be </w:t>
      </w:r>
      <w:r w:rsidR="00C14E7E">
        <w:t xml:space="preserve">a process to deal with </w:t>
      </w:r>
      <w:r w:rsidR="00F2158C">
        <w:t>any non-compliant behaviour</w:t>
      </w:r>
      <w:r w:rsidR="009C2D3A">
        <w:t xml:space="preserve">. </w:t>
      </w:r>
      <w:r w:rsidR="00995ADB">
        <w:rPr>
          <w:lang w:eastAsia="en-AU"/>
        </w:rPr>
        <w:t xml:space="preserve">The value </w:t>
      </w:r>
      <w:r w:rsidR="00442E45">
        <w:rPr>
          <w:lang w:eastAsia="en-AU"/>
        </w:rPr>
        <w:t xml:space="preserve">of the </w:t>
      </w:r>
      <w:r w:rsidR="001E49C3">
        <w:rPr>
          <w:lang w:eastAsia="en-AU"/>
        </w:rPr>
        <w:t xml:space="preserve">PL </w:t>
      </w:r>
      <w:r w:rsidR="00C34C18">
        <w:rPr>
          <w:lang w:eastAsia="en-AU"/>
        </w:rPr>
        <w:t>as a funding mechanism</w:t>
      </w:r>
      <w:r w:rsidR="001E49C3">
        <w:rPr>
          <w:lang w:eastAsia="en-AU"/>
        </w:rPr>
        <w:t xml:space="preserve"> relies </w:t>
      </w:r>
      <w:r w:rsidR="00B21615">
        <w:rPr>
          <w:lang w:eastAsia="en-AU"/>
        </w:rPr>
        <w:t xml:space="preserve">on </w:t>
      </w:r>
      <w:r w:rsidR="00222788">
        <w:rPr>
          <w:lang w:eastAsia="en-AU"/>
        </w:rPr>
        <w:t xml:space="preserve">sponsors, private hospitals </w:t>
      </w:r>
      <w:r w:rsidR="00390F30">
        <w:rPr>
          <w:lang w:eastAsia="en-AU"/>
        </w:rPr>
        <w:t>and private health insurers</w:t>
      </w:r>
      <w:r w:rsidR="00B21615">
        <w:rPr>
          <w:lang w:eastAsia="en-AU"/>
        </w:rPr>
        <w:t xml:space="preserve"> understanding and adhering </w:t>
      </w:r>
      <w:r w:rsidR="00F277FA">
        <w:rPr>
          <w:lang w:eastAsia="en-AU"/>
        </w:rPr>
        <w:t>to legislat</w:t>
      </w:r>
      <w:r w:rsidR="00C34C18">
        <w:rPr>
          <w:lang w:eastAsia="en-AU"/>
        </w:rPr>
        <w:t>ed rules and policy requirements that govern the settings of the PL</w:t>
      </w:r>
      <w:r w:rsidR="00611C1E">
        <w:rPr>
          <w:rStyle w:val="FootnoteReference"/>
          <w:lang w:eastAsia="en-AU"/>
        </w:rPr>
        <w:footnoteReference w:id="93"/>
      </w:r>
      <w:r w:rsidR="00C34C18">
        <w:rPr>
          <w:lang w:eastAsia="en-AU"/>
        </w:rPr>
        <w:t>.</w:t>
      </w:r>
      <w:r w:rsidR="00390F30">
        <w:rPr>
          <w:lang w:eastAsia="en-AU"/>
        </w:rPr>
        <w:t xml:space="preserve"> </w:t>
      </w:r>
      <w:r w:rsidR="00B15CB4">
        <w:rPr>
          <w:lang w:eastAsia="en-AU"/>
        </w:rPr>
        <w:t xml:space="preserve">As a result, </w:t>
      </w:r>
      <w:r w:rsidR="008E4075">
        <w:rPr>
          <w:lang w:eastAsia="en-AU"/>
        </w:rPr>
        <w:t xml:space="preserve">there is a need for the </w:t>
      </w:r>
      <w:r w:rsidR="00024221">
        <w:rPr>
          <w:lang w:eastAsia="en-AU"/>
        </w:rPr>
        <w:t xml:space="preserve">Department’s compliance </w:t>
      </w:r>
      <w:r w:rsidR="00540B2E">
        <w:rPr>
          <w:lang w:eastAsia="en-AU"/>
        </w:rPr>
        <w:t xml:space="preserve">and enforcement functions </w:t>
      </w:r>
      <w:r w:rsidR="00ED778C">
        <w:rPr>
          <w:lang w:eastAsia="en-AU"/>
        </w:rPr>
        <w:t xml:space="preserve">and obligations </w:t>
      </w:r>
      <w:r w:rsidR="008E4075">
        <w:rPr>
          <w:lang w:eastAsia="en-AU"/>
        </w:rPr>
        <w:t xml:space="preserve">to </w:t>
      </w:r>
      <w:r w:rsidR="003A3B49">
        <w:rPr>
          <w:lang w:eastAsia="en-AU"/>
        </w:rPr>
        <w:t>be well-defined</w:t>
      </w:r>
      <w:r w:rsidR="0006031D">
        <w:rPr>
          <w:lang w:eastAsia="en-AU"/>
        </w:rPr>
        <w:t>, and</w:t>
      </w:r>
      <w:r w:rsidR="003B3D46">
        <w:rPr>
          <w:lang w:eastAsia="en-AU"/>
        </w:rPr>
        <w:t xml:space="preserve"> supported with adequate </w:t>
      </w:r>
      <w:r w:rsidR="00943CB0">
        <w:rPr>
          <w:lang w:eastAsia="en-AU"/>
        </w:rPr>
        <w:t xml:space="preserve">Departmental capacity, </w:t>
      </w:r>
      <w:r w:rsidR="009F04F7">
        <w:rPr>
          <w:lang w:eastAsia="en-AU"/>
        </w:rPr>
        <w:t xml:space="preserve">to take </w:t>
      </w:r>
      <w:r w:rsidR="001F70F5">
        <w:rPr>
          <w:lang w:eastAsia="en-AU"/>
        </w:rPr>
        <w:t xml:space="preserve">the necessary steps to address non-compliance activities. This is important for </w:t>
      </w:r>
      <w:r w:rsidR="00224FF7">
        <w:rPr>
          <w:lang w:eastAsia="en-AU"/>
        </w:rPr>
        <w:t>ensur</w:t>
      </w:r>
      <w:r w:rsidR="001F70F5">
        <w:rPr>
          <w:lang w:eastAsia="en-AU"/>
        </w:rPr>
        <w:t>ing</w:t>
      </w:r>
      <w:r w:rsidR="00224FF7">
        <w:rPr>
          <w:lang w:eastAsia="en-AU"/>
        </w:rPr>
        <w:t xml:space="preserve"> </w:t>
      </w:r>
      <w:r w:rsidR="00A17F2B">
        <w:rPr>
          <w:lang w:eastAsia="en-AU"/>
        </w:rPr>
        <w:t xml:space="preserve">consumers with private health insurance </w:t>
      </w:r>
      <w:r w:rsidR="00FF5712">
        <w:rPr>
          <w:lang w:eastAsia="en-AU"/>
        </w:rPr>
        <w:t xml:space="preserve">can access </w:t>
      </w:r>
      <w:r w:rsidR="00494138">
        <w:rPr>
          <w:lang w:eastAsia="en-AU"/>
        </w:rPr>
        <w:t>clinically appropriate and cost-effective</w:t>
      </w:r>
      <w:r w:rsidR="004249C8">
        <w:rPr>
          <w:lang w:eastAsia="en-AU"/>
        </w:rPr>
        <w:t xml:space="preserve"> medical devices and human tissue products.</w:t>
      </w:r>
    </w:p>
    <w:p w14:paraId="40B3CFB4" w14:textId="181E5A7F" w:rsidR="00624DEB" w:rsidRDefault="00624DEB" w:rsidP="00032A28">
      <w:pPr>
        <w:pStyle w:val="Heading3"/>
        <w:spacing w:before="400"/>
      </w:pPr>
      <w:r>
        <w:t>How the reform</w:t>
      </w:r>
      <w:r w:rsidR="002A2024">
        <w:t>s</w:t>
      </w:r>
      <w:r>
        <w:t xml:space="preserve"> intend to achieve this objective</w:t>
      </w:r>
    </w:p>
    <w:p w14:paraId="3CD89260" w14:textId="40571CD9" w:rsidR="001543E4" w:rsidRDefault="001543E4" w:rsidP="00DC16D2">
      <w:pPr>
        <w:pStyle w:val="Heading4"/>
      </w:pPr>
      <w:r>
        <w:t xml:space="preserve">The Department will </w:t>
      </w:r>
      <w:r w:rsidR="009464DF">
        <w:t xml:space="preserve">develop formal compliance and </w:t>
      </w:r>
      <w:r w:rsidR="009C1B0C">
        <w:t>post-list</w:t>
      </w:r>
      <w:r w:rsidR="00546A60">
        <w:t>ing</w:t>
      </w:r>
      <w:r w:rsidR="009C1B0C">
        <w:t xml:space="preserve"> review</w:t>
      </w:r>
      <w:r w:rsidR="00C20100">
        <w:t xml:space="preserve"> </w:t>
      </w:r>
      <w:proofErr w:type="gramStart"/>
      <w:r w:rsidR="009464DF">
        <w:t>functions</w:t>
      </w:r>
      <w:proofErr w:type="gramEnd"/>
    </w:p>
    <w:p w14:paraId="73FB1633" w14:textId="77777777" w:rsidR="00767EA1" w:rsidRPr="004132F6" w:rsidRDefault="00AA376F" w:rsidP="00767EA1">
      <w:r>
        <w:rPr>
          <w:lang w:eastAsia="en-AU"/>
        </w:rPr>
        <w:t xml:space="preserve">As part of the reform program, the Department has committed to developing a formal compliance </w:t>
      </w:r>
      <w:r w:rsidR="009464DF">
        <w:rPr>
          <w:lang w:eastAsia="en-AU"/>
        </w:rPr>
        <w:t xml:space="preserve">strategy </w:t>
      </w:r>
      <w:r w:rsidR="004861C5">
        <w:rPr>
          <w:lang w:eastAsia="en-AU"/>
        </w:rPr>
        <w:t>and associated compliance mechanisms</w:t>
      </w:r>
      <w:r w:rsidR="00392724">
        <w:rPr>
          <w:lang w:eastAsia="en-AU"/>
        </w:rPr>
        <w:t>.</w:t>
      </w:r>
      <w:r w:rsidR="00C30AFD">
        <w:rPr>
          <w:lang w:eastAsia="en-AU"/>
        </w:rPr>
        <w:t xml:space="preserve"> </w:t>
      </w:r>
      <w:r w:rsidR="00767EA1" w:rsidRPr="004132F6">
        <w:t>There are four key areas of priority the Government seeks to ensure adequate compliance is established</w:t>
      </w:r>
      <w:r w:rsidR="00767EA1" w:rsidRPr="004132F6">
        <w:rPr>
          <w:rStyle w:val="FootnoteReference"/>
        </w:rPr>
        <w:footnoteReference w:id="94"/>
      </w:r>
      <w:r w:rsidR="00767EA1" w:rsidRPr="004132F6">
        <w:t>:</w:t>
      </w:r>
    </w:p>
    <w:p w14:paraId="028FA32F" w14:textId="77777777" w:rsidR="00767EA1" w:rsidRPr="004132F6" w:rsidRDefault="00767EA1" w:rsidP="00662DDD">
      <w:pPr>
        <w:pStyle w:val="NewListBulletPoint"/>
        <w:numPr>
          <w:ilvl w:val="0"/>
          <w:numId w:val="15"/>
        </w:numPr>
      </w:pPr>
      <w:r w:rsidRPr="3787E91E">
        <w:rPr>
          <w:rFonts w:asciiTheme="majorHAnsi" w:hAnsiTheme="majorHAnsi" w:cstheme="majorBidi"/>
        </w:rPr>
        <w:t>Benefit setting and claiming</w:t>
      </w:r>
      <w:r w:rsidRPr="3787E91E">
        <w:t xml:space="preserve"> – relative to more efficient markets.</w:t>
      </w:r>
    </w:p>
    <w:p w14:paraId="5B73F0E7" w14:textId="77777777" w:rsidR="00767EA1" w:rsidRPr="004132F6" w:rsidRDefault="00767EA1" w:rsidP="00A348DB">
      <w:pPr>
        <w:pStyle w:val="NewListBulletPoint"/>
      </w:pPr>
      <w:r w:rsidRPr="000211D1">
        <w:rPr>
          <w:rFonts w:asciiTheme="majorHAnsi" w:hAnsiTheme="majorHAnsi" w:cstheme="majorHAnsi"/>
        </w:rPr>
        <w:t>Scope and definition</w:t>
      </w:r>
      <w:r>
        <w:t xml:space="preserve"> – ensuring eligibility requirements are met.</w:t>
      </w:r>
    </w:p>
    <w:p w14:paraId="09EDBBEB" w14:textId="77777777" w:rsidR="00767EA1" w:rsidRPr="004132F6" w:rsidRDefault="00767EA1" w:rsidP="00A348DB">
      <w:pPr>
        <w:pStyle w:val="NewListBulletPoint"/>
      </w:pPr>
      <w:r w:rsidRPr="000211D1">
        <w:rPr>
          <w:rFonts w:asciiTheme="majorHAnsi" w:hAnsiTheme="majorHAnsi" w:cstheme="majorHAnsi"/>
        </w:rPr>
        <w:t>Consolidation of the PL</w:t>
      </w:r>
      <w:r>
        <w:t xml:space="preserve"> – simplified structure, aligned to clinical application.</w:t>
      </w:r>
    </w:p>
    <w:p w14:paraId="1D3BE777" w14:textId="6A754BB3" w:rsidR="00767EA1" w:rsidRDefault="00767EA1" w:rsidP="00A348DB">
      <w:pPr>
        <w:pStyle w:val="NewListBulletPoint"/>
      </w:pPr>
      <w:r w:rsidRPr="000211D1">
        <w:rPr>
          <w:rFonts w:asciiTheme="majorHAnsi" w:hAnsiTheme="majorHAnsi" w:cstheme="majorHAnsi"/>
        </w:rPr>
        <w:t>Listing conditions</w:t>
      </w:r>
      <w:r>
        <w:t xml:space="preserve"> – intended use and cost-effectiveness.</w:t>
      </w:r>
    </w:p>
    <w:p w14:paraId="333FC311" w14:textId="138CD4CF" w:rsidR="00767EA1" w:rsidRDefault="00C30AFD" w:rsidP="00767EA1">
      <w:pPr>
        <w:rPr>
          <w:lang w:eastAsia="en-AU"/>
        </w:rPr>
      </w:pPr>
      <w:r>
        <w:rPr>
          <w:lang w:eastAsia="en-AU"/>
        </w:rPr>
        <w:t xml:space="preserve">Additionally, the Department will develop </w:t>
      </w:r>
      <w:r w:rsidR="004861C5">
        <w:rPr>
          <w:lang w:eastAsia="en-AU"/>
        </w:rPr>
        <w:t xml:space="preserve">a post-listing review </w:t>
      </w:r>
      <w:r w:rsidR="0084535E">
        <w:rPr>
          <w:lang w:eastAsia="en-AU"/>
        </w:rPr>
        <w:t>framewor</w:t>
      </w:r>
      <w:r>
        <w:rPr>
          <w:lang w:eastAsia="en-AU"/>
        </w:rPr>
        <w:t xml:space="preserve">k, and </w:t>
      </w:r>
      <w:r w:rsidR="00FB6616">
        <w:rPr>
          <w:lang w:eastAsia="en-AU"/>
        </w:rPr>
        <w:t xml:space="preserve">conduct </w:t>
      </w:r>
      <w:r w:rsidR="0047386C">
        <w:rPr>
          <w:lang w:eastAsia="en-AU"/>
        </w:rPr>
        <w:t xml:space="preserve">four </w:t>
      </w:r>
      <w:r w:rsidR="00F02AC1">
        <w:rPr>
          <w:lang w:eastAsia="en-AU"/>
        </w:rPr>
        <w:t>pilot reviews</w:t>
      </w:r>
      <w:r w:rsidR="005F1EC4">
        <w:rPr>
          <w:lang w:eastAsia="en-AU"/>
        </w:rPr>
        <w:t xml:space="preserve"> to establish the function.</w:t>
      </w:r>
      <w:r w:rsidR="00767EA1" w:rsidRPr="00767EA1">
        <w:rPr>
          <w:lang w:eastAsia="en-AU"/>
        </w:rPr>
        <w:t xml:space="preserve"> </w:t>
      </w:r>
      <w:r w:rsidR="00767EA1">
        <w:rPr>
          <w:lang w:eastAsia="en-AU"/>
        </w:rPr>
        <w:t xml:space="preserve">These will be conducted using a </w:t>
      </w:r>
      <w:r w:rsidR="00767EA1" w:rsidRPr="00010741">
        <w:rPr>
          <w:lang w:eastAsia="en-AU"/>
        </w:rPr>
        <w:t xml:space="preserve">working version of the framework, </w:t>
      </w:r>
      <w:r w:rsidR="00767EA1">
        <w:rPr>
          <w:lang w:eastAsia="en-AU"/>
        </w:rPr>
        <w:t>and the Department intends for these trials to then inform its further development</w:t>
      </w:r>
      <w:r w:rsidR="00767EA1">
        <w:rPr>
          <w:rStyle w:val="FootnoteReference"/>
          <w:lang w:eastAsia="en-AU"/>
        </w:rPr>
        <w:footnoteReference w:id="95"/>
      </w:r>
      <w:r w:rsidR="00767EA1">
        <w:rPr>
          <w:lang w:eastAsia="en-AU"/>
        </w:rPr>
        <w:t>. The PLAC</w:t>
      </w:r>
      <w:r w:rsidR="009A5FFA">
        <w:rPr>
          <w:lang w:eastAsia="en-AU"/>
        </w:rPr>
        <w:t xml:space="preserve"> has</w:t>
      </w:r>
      <w:r w:rsidR="00767EA1">
        <w:rPr>
          <w:lang w:eastAsia="en-AU"/>
        </w:rPr>
        <w:t xml:space="preserve"> supported a trial of </w:t>
      </w:r>
      <w:r w:rsidR="00AF2F2D">
        <w:rPr>
          <w:lang w:eastAsia="en-AU"/>
        </w:rPr>
        <w:t xml:space="preserve">the </w:t>
      </w:r>
      <w:r w:rsidR="00767EA1">
        <w:rPr>
          <w:lang w:eastAsia="en-AU"/>
        </w:rPr>
        <w:t>post-listing review</w:t>
      </w:r>
      <w:r w:rsidR="00AF2F2D">
        <w:rPr>
          <w:lang w:eastAsia="en-AU"/>
        </w:rPr>
        <w:t xml:space="preserve"> process being conducted </w:t>
      </w:r>
      <w:r w:rsidR="00BA1E3C">
        <w:rPr>
          <w:lang w:eastAsia="en-AU"/>
        </w:rPr>
        <w:t xml:space="preserve">for </w:t>
      </w:r>
      <w:r w:rsidR="00767EA1">
        <w:rPr>
          <w:lang w:eastAsia="en-AU"/>
        </w:rPr>
        <w:t>products in four device types</w:t>
      </w:r>
      <w:r w:rsidR="00767EA1">
        <w:rPr>
          <w:rStyle w:val="FootnoteReference"/>
          <w:lang w:eastAsia="en-AU"/>
        </w:rPr>
        <w:footnoteReference w:id="96"/>
      </w:r>
      <w:r w:rsidR="00767EA1">
        <w:rPr>
          <w:lang w:eastAsia="en-AU"/>
        </w:rPr>
        <w:t>:</w:t>
      </w:r>
    </w:p>
    <w:p w14:paraId="302B36A6" w14:textId="5A3677C6" w:rsidR="00767EA1" w:rsidRPr="00D242F2" w:rsidRDefault="00767EA1" w:rsidP="00662DDD">
      <w:pPr>
        <w:pStyle w:val="NewListBulletPoint"/>
        <w:numPr>
          <w:ilvl w:val="0"/>
          <w:numId w:val="16"/>
        </w:numPr>
      </w:pPr>
      <w:r w:rsidRPr="00D242F2">
        <w:t>Surgical guides and bio</w:t>
      </w:r>
      <w:r w:rsidR="00286CBF">
        <w:t>-</w:t>
      </w:r>
      <w:r w:rsidRPr="00D242F2">
        <w:t>models</w:t>
      </w:r>
    </w:p>
    <w:p w14:paraId="04DC3F1F" w14:textId="77777777" w:rsidR="00767EA1" w:rsidRPr="00D242F2" w:rsidRDefault="00767EA1" w:rsidP="00A348DB">
      <w:pPr>
        <w:pStyle w:val="NewListBulletPoint"/>
      </w:pPr>
      <w:r w:rsidRPr="00D242F2">
        <w:t>Spinal cord stimulators</w:t>
      </w:r>
    </w:p>
    <w:p w14:paraId="0A3E6807" w14:textId="77777777" w:rsidR="008F366D" w:rsidRDefault="00767EA1" w:rsidP="00A348DB">
      <w:pPr>
        <w:pStyle w:val="NewListBulletPoint"/>
      </w:pPr>
      <w:r w:rsidRPr="00D242F2">
        <w:t>Metal-backed patellae</w:t>
      </w:r>
    </w:p>
    <w:p w14:paraId="22F9B5F1" w14:textId="370059FD" w:rsidR="003648ED" w:rsidRPr="004132F6" w:rsidRDefault="00767EA1" w:rsidP="00A348DB">
      <w:pPr>
        <w:pStyle w:val="NewListBulletPoint"/>
      </w:pPr>
      <w:proofErr w:type="spellStart"/>
      <w:r w:rsidRPr="3787E91E">
        <w:t>Urogynaecological</w:t>
      </w:r>
      <w:proofErr w:type="spellEnd"/>
      <w:r w:rsidRPr="3787E91E">
        <w:t xml:space="preserve"> mesh devices.</w:t>
      </w:r>
    </w:p>
    <w:p w14:paraId="4D33F34F" w14:textId="4A1D5D6A" w:rsidR="00624DEB" w:rsidRDefault="00F00E90" w:rsidP="00032A28">
      <w:pPr>
        <w:pStyle w:val="Heading3"/>
        <w:spacing w:before="400"/>
      </w:pPr>
      <w:r>
        <w:t>How this will be evaluated</w:t>
      </w:r>
    </w:p>
    <w:p w14:paraId="5D173477" w14:textId="44160318" w:rsidR="008F366D" w:rsidRDefault="000A7522" w:rsidP="000A7522">
      <w:pPr>
        <w:pStyle w:val="Heading4"/>
      </w:pPr>
      <w:r>
        <w:t xml:space="preserve">Review of </w:t>
      </w:r>
      <w:r w:rsidR="00F83AF7">
        <w:t>resulting strategies and frameworks, as well as consultation with stakeholders and experts</w:t>
      </w:r>
      <w:r w:rsidR="00BF2C54">
        <w:t>,</w:t>
      </w:r>
      <w:r w:rsidR="00F83AF7">
        <w:t xml:space="preserve"> will inform the evaluation of this </w:t>
      </w:r>
      <w:proofErr w:type="gramStart"/>
      <w:r w:rsidR="00F83AF7">
        <w:t>objective</w:t>
      </w:r>
      <w:proofErr w:type="gramEnd"/>
    </w:p>
    <w:p w14:paraId="70FFC1E8" w14:textId="5DECDC54" w:rsidR="00FC5493" w:rsidRDefault="002517C2" w:rsidP="00ED4E23">
      <w:pPr>
        <w:rPr>
          <w:lang w:eastAsia="en-AU"/>
        </w:rPr>
      </w:pPr>
      <w:r>
        <w:rPr>
          <w:lang w:eastAsia="en-AU"/>
        </w:rPr>
        <w:t xml:space="preserve">All evidence for the implementation of the compliance strategy and post-listing review framework will be reviewed, including the </w:t>
      </w:r>
      <w:r w:rsidR="008A5D9F">
        <w:rPr>
          <w:lang w:eastAsia="en-AU"/>
        </w:rPr>
        <w:t xml:space="preserve">formal documentation itself, as well as </w:t>
      </w:r>
      <w:r w:rsidR="00EA622D">
        <w:rPr>
          <w:lang w:eastAsia="en-AU"/>
        </w:rPr>
        <w:t xml:space="preserve">any evidence of compliance activities taken and </w:t>
      </w:r>
      <w:r w:rsidR="00D506CA">
        <w:rPr>
          <w:lang w:eastAsia="en-AU"/>
        </w:rPr>
        <w:t>outputs from post-listing reviews.</w:t>
      </w:r>
      <w:r w:rsidR="00D72A86">
        <w:rPr>
          <w:lang w:eastAsia="en-AU"/>
        </w:rPr>
        <w:t xml:space="preserve"> </w:t>
      </w:r>
      <w:r w:rsidR="000D68BE">
        <w:rPr>
          <w:lang w:eastAsia="en-AU"/>
        </w:rPr>
        <w:t>Stakeholder and expert opinions on these strategies, frameworks and processes will be gathered qualitatively</w:t>
      </w:r>
      <w:r w:rsidR="00D31920">
        <w:rPr>
          <w:lang w:eastAsia="en-AU"/>
        </w:rPr>
        <w:t xml:space="preserve">, through interviews with the Department, </w:t>
      </w:r>
      <w:proofErr w:type="gramStart"/>
      <w:r w:rsidR="00D31920">
        <w:rPr>
          <w:lang w:eastAsia="en-AU"/>
        </w:rPr>
        <w:t>sponsors</w:t>
      </w:r>
      <w:proofErr w:type="gramEnd"/>
      <w:r w:rsidR="00986B09">
        <w:rPr>
          <w:lang w:eastAsia="en-AU"/>
        </w:rPr>
        <w:t xml:space="preserve"> and other </w:t>
      </w:r>
      <w:r w:rsidR="00986B09">
        <w:rPr>
          <w:lang w:eastAsia="en-AU"/>
        </w:rPr>
        <w:lastRenderedPageBreak/>
        <w:t>expert groups.</w:t>
      </w:r>
      <w:r w:rsidR="0016621F">
        <w:rPr>
          <w:lang w:eastAsia="en-AU"/>
        </w:rPr>
        <w:t xml:space="preserve"> Indicator 16 </w:t>
      </w:r>
      <w:r w:rsidR="00675EFA">
        <w:rPr>
          <w:lang w:eastAsia="en-AU"/>
        </w:rPr>
        <w:t xml:space="preserve">will look at the </w:t>
      </w:r>
      <w:r w:rsidR="004B0969">
        <w:rPr>
          <w:lang w:eastAsia="en-AU"/>
        </w:rPr>
        <w:t>implementation of these activities, and Indicator 17</w:t>
      </w:r>
      <w:r w:rsidR="0096439F">
        <w:rPr>
          <w:lang w:eastAsia="en-AU"/>
        </w:rPr>
        <w:t xml:space="preserve"> will </w:t>
      </w:r>
      <w:r w:rsidR="008701B8">
        <w:rPr>
          <w:lang w:eastAsia="en-AU"/>
        </w:rPr>
        <w:t>provide an assessment of their effectiveness and impact</w:t>
      </w:r>
      <w:r w:rsidR="00764608">
        <w:rPr>
          <w:lang w:eastAsia="en-AU"/>
        </w:rPr>
        <w:t xml:space="preserve"> (see </w:t>
      </w:r>
      <w:r w:rsidR="00764608">
        <w:rPr>
          <w:lang w:eastAsia="en-AU"/>
        </w:rPr>
        <w:fldChar w:fldCharType="begin"/>
      </w:r>
      <w:r w:rsidR="00764608">
        <w:rPr>
          <w:lang w:eastAsia="en-AU"/>
        </w:rPr>
        <w:instrText xml:space="preserve"> REF _Ref159832999 \r \h </w:instrText>
      </w:r>
      <w:r w:rsidR="00764608">
        <w:rPr>
          <w:lang w:eastAsia="en-AU"/>
        </w:rPr>
      </w:r>
      <w:r w:rsidR="00764608">
        <w:rPr>
          <w:lang w:eastAsia="en-AU"/>
        </w:rPr>
        <w:fldChar w:fldCharType="separate"/>
      </w:r>
      <w:r w:rsidR="00026714">
        <w:rPr>
          <w:lang w:eastAsia="en-AU"/>
        </w:rPr>
        <w:t>Appendix B</w:t>
      </w:r>
      <w:r w:rsidR="00764608">
        <w:rPr>
          <w:lang w:eastAsia="en-AU"/>
        </w:rPr>
        <w:fldChar w:fldCharType="end"/>
      </w:r>
      <w:r w:rsidR="00764608">
        <w:rPr>
          <w:lang w:eastAsia="en-AU"/>
        </w:rPr>
        <w:t>)</w:t>
      </w:r>
      <w:r w:rsidR="008701B8">
        <w:rPr>
          <w:lang w:eastAsia="en-AU"/>
        </w:rPr>
        <w:t>.</w:t>
      </w:r>
    </w:p>
    <w:p w14:paraId="36B5C959" w14:textId="61EC28D7" w:rsidR="00624DEB" w:rsidRDefault="00624DEB" w:rsidP="00624DEB">
      <w:pPr>
        <w:pStyle w:val="Heading2"/>
      </w:pPr>
      <w:bookmarkStart w:id="53" w:name="_Ref159272547"/>
      <w:bookmarkStart w:id="54" w:name="_Ref159272550"/>
      <w:bookmarkStart w:id="55" w:name="_Toc179453685"/>
      <w:r>
        <w:t xml:space="preserve">Objective </w:t>
      </w:r>
      <w:r w:rsidR="0029503F">
        <w:t>8: Ensure ongoing financial sustainability of PL administration through effective and efficient cost recovery arrangements that are compliant with the Australian Government Charging Framework</w:t>
      </w:r>
      <w:bookmarkEnd w:id="53"/>
      <w:bookmarkEnd w:id="54"/>
      <w:bookmarkEnd w:id="55"/>
    </w:p>
    <w:p w14:paraId="55928729" w14:textId="6F99265A" w:rsidR="008E6210" w:rsidRDefault="008E6210" w:rsidP="008E6210">
      <w:pPr>
        <w:pStyle w:val="Caption"/>
      </w:pPr>
      <w:r>
        <w:t xml:space="preserve">Figure </w:t>
      </w:r>
      <w:r>
        <w:fldChar w:fldCharType="begin"/>
      </w:r>
      <w:r>
        <w:instrText xml:space="preserve"> SEQ Figure \* ARABIC </w:instrText>
      </w:r>
      <w:r>
        <w:fldChar w:fldCharType="separate"/>
      </w:r>
      <w:r w:rsidR="00026714">
        <w:rPr>
          <w:noProof/>
        </w:rPr>
        <w:t>16</w:t>
      </w:r>
      <w:r>
        <w:fldChar w:fldCharType="end"/>
      </w:r>
      <w:r>
        <w:t xml:space="preserve"> | Reform </w:t>
      </w:r>
      <w:r w:rsidR="009249B7">
        <w:t>projects</w:t>
      </w:r>
      <w:r>
        <w:t xml:space="preserve"> related to reform objective </w:t>
      </w:r>
      <w:proofErr w:type="gramStart"/>
      <w:r>
        <w:t>8</w:t>
      </w:r>
      <w:proofErr w:type="gramEnd"/>
    </w:p>
    <w:p w14:paraId="39D71A05" w14:textId="6F98FB6A" w:rsidR="00975730" w:rsidRDefault="00C05412" w:rsidP="00975730">
      <w:pPr>
        <w:rPr>
          <w:lang w:eastAsia="en-AU"/>
        </w:rPr>
      </w:pPr>
      <w:r w:rsidRPr="00C05412">
        <w:rPr>
          <w:noProof/>
          <w:lang w:eastAsia="en-AU"/>
        </w:rPr>
        <w:drawing>
          <wp:inline distT="0" distB="0" distL="0" distR="0" wp14:anchorId="5AF20C3D" wp14:editId="21CDE3A3">
            <wp:extent cx="5670550" cy="1036320"/>
            <wp:effectExtent l="0" t="0" r="6350" b="0"/>
            <wp:docPr id="1585480220" name="Picture 1" descr="A figure showing Objective 8. Financial sustainability connected to cost recovery 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80220" name="Picture 1" descr="A figure showing Objective 8. Financial sustainability connected to cost recovery fees."/>
                    <pic:cNvPicPr/>
                  </pic:nvPicPr>
                  <pic:blipFill>
                    <a:blip r:embed="rId42"/>
                    <a:stretch>
                      <a:fillRect/>
                    </a:stretch>
                  </pic:blipFill>
                  <pic:spPr>
                    <a:xfrm>
                      <a:off x="0" y="0"/>
                      <a:ext cx="5670550" cy="1036320"/>
                    </a:xfrm>
                    <a:prstGeom prst="rect">
                      <a:avLst/>
                    </a:prstGeom>
                  </pic:spPr>
                </pic:pic>
              </a:graphicData>
            </a:graphic>
          </wp:inline>
        </w:drawing>
      </w:r>
    </w:p>
    <w:p w14:paraId="6D9CCD57" w14:textId="5FE21C01" w:rsidR="00F4147C" w:rsidRDefault="00F4147C" w:rsidP="00032A28">
      <w:pPr>
        <w:pStyle w:val="Heading3"/>
        <w:spacing w:before="400"/>
      </w:pPr>
      <w:r>
        <w:t>Baseline position</w:t>
      </w:r>
    </w:p>
    <w:p w14:paraId="06C44704" w14:textId="05CE4176" w:rsidR="00F4147C" w:rsidRDefault="00F4147C" w:rsidP="00F4147C">
      <w:pPr>
        <w:pStyle w:val="Heading4"/>
      </w:pPr>
      <w:r>
        <w:t xml:space="preserve">The PL cost recovery arrangements </w:t>
      </w:r>
      <w:r w:rsidR="00566B88">
        <w:t>are outdated and</w:t>
      </w:r>
      <w:r>
        <w:t xml:space="preserve"> in breach of the Australian Government Charging Framework</w:t>
      </w:r>
    </w:p>
    <w:p w14:paraId="414786D2" w14:textId="2A43803C" w:rsidR="00566B88" w:rsidRDefault="00B96F2F" w:rsidP="00566B88">
      <w:pPr>
        <w:rPr>
          <w:szCs w:val="19"/>
          <w:lang w:eastAsia="en-AU"/>
        </w:rPr>
      </w:pPr>
      <w:r>
        <w:rPr>
          <w:lang w:eastAsia="en-AU"/>
        </w:rPr>
        <w:t xml:space="preserve">The schedule of fees </w:t>
      </w:r>
      <w:r w:rsidR="00687E4B">
        <w:rPr>
          <w:lang w:eastAsia="en-AU"/>
        </w:rPr>
        <w:t xml:space="preserve">that device sponsors pay to the Department </w:t>
      </w:r>
      <w:proofErr w:type="gramStart"/>
      <w:r w:rsidR="00687E4B">
        <w:rPr>
          <w:lang w:eastAsia="en-AU"/>
        </w:rPr>
        <w:t>in order to</w:t>
      </w:r>
      <w:proofErr w:type="gramEnd"/>
      <w:r w:rsidR="00687E4B">
        <w:rPr>
          <w:lang w:eastAsia="en-AU"/>
        </w:rPr>
        <w:t xml:space="preserve"> have a billing code listed on the PL is:</w:t>
      </w:r>
      <w:r w:rsidR="00566B88" w:rsidRPr="0C63581C">
        <w:rPr>
          <w:rStyle w:val="FootnoteReference"/>
          <w:lang w:eastAsia="en-AU"/>
        </w:rPr>
        <w:footnoteReference w:id="97"/>
      </w:r>
    </w:p>
    <w:p w14:paraId="700BF363" w14:textId="77777777" w:rsidR="00566B88" w:rsidRPr="004264A4" w:rsidRDefault="00566B88" w:rsidP="004264A4">
      <w:pPr>
        <w:pStyle w:val="Bullet"/>
      </w:pPr>
      <w:r w:rsidRPr="3787E91E">
        <w:rPr>
          <w:rFonts w:asciiTheme="majorHAnsi" w:hAnsiTheme="majorHAnsi" w:cstheme="majorBidi"/>
        </w:rPr>
        <w:t>Application fee</w:t>
      </w:r>
      <w:r w:rsidRPr="3787E91E">
        <w:t xml:space="preserve"> – $600 fee for each new application (excluding applications associated with amendments, deletions of listings, or duplications, expansions, </w:t>
      </w:r>
      <w:proofErr w:type="gramStart"/>
      <w:r w:rsidRPr="3787E91E">
        <w:t>compressions</w:t>
      </w:r>
      <w:proofErr w:type="gramEnd"/>
      <w:r w:rsidRPr="3787E91E">
        <w:t xml:space="preserve"> or transfers of existing billing codes.</w:t>
      </w:r>
    </w:p>
    <w:p w14:paraId="158519A6" w14:textId="0A02076F" w:rsidR="00566B88" w:rsidRPr="004264A4" w:rsidRDefault="00566B88" w:rsidP="004264A4">
      <w:pPr>
        <w:pStyle w:val="Bullet"/>
      </w:pPr>
      <w:r w:rsidRPr="3787E91E">
        <w:rPr>
          <w:rFonts w:asciiTheme="majorHAnsi" w:hAnsiTheme="majorHAnsi" w:cstheme="majorBidi"/>
        </w:rPr>
        <w:t>Initial listing fee</w:t>
      </w:r>
      <w:r w:rsidRPr="3787E91E">
        <w:t xml:space="preserve"> – $200 fee once the Minister grant</w:t>
      </w:r>
      <w:r w:rsidR="00332439" w:rsidRPr="3787E91E">
        <w:t>s</w:t>
      </w:r>
      <w:r w:rsidRPr="3787E91E">
        <w:t xml:space="preserve"> the application to list a product (excluding Part B items and products that were listed </w:t>
      </w:r>
      <w:proofErr w:type="gramStart"/>
      <w:r w:rsidRPr="3787E91E">
        <w:t>as a result of</w:t>
      </w:r>
      <w:proofErr w:type="gramEnd"/>
      <w:r w:rsidRPr="3787E91E">
        <w:t xml:space="preserve"> duplicating, expanding, transferring or compressing existing billing codes).</w:t>
      </w:r>
    </w:p>
    <w:p w14:paraId="4618D245" w14:textId="35B81330" w:rsidR="00566B88" w:rsidRPr="004264A4" w:rsidRDefault="00566B88" w:rsidP="004264A4">
      <w:pPr>
        <w:pStyle w:val="Bullet"/>
      </w:pPr>
      <w:r w:rsidRPr="3787E91E">
        <w:rPr>
          <w:rFonts w:asciiTheme="majorHAnsi" w:hAnsiTheme="majorHAnsi" w:cstheme="majorBidi"/>
        </w:rPr>
        <w:t>Ongoing listing fee</w:t>
      </w:r>
      <w:r w:rsidRPr="3787E91E">
        <w:t xml:space="preserve"> – $200 fee due 15 March and 15 September each year (excluding Part B items and products listed </w:t>
      </w:r>
      <w:proofErr w:type="gramStart"/>
      <w:r w:rsidRPr="3787E91E">
        <w:t>as a result of</w:t>
      </w:r>
      <w:proofErr w:type="gramEnd"/>
      <w:r w:rsidRPr="3787E91E">
        <w:t xml:space="preserve"> duplicating, expanding, transferring or compressing existing billing codes).</w:t>
      </w:r>
    </w:p>
    <w:p w14:paraId="2D112BA6" w14:textId="09449497" w:rsidR="00F4147C" w:rsidRPr="00D33B13" w:rsidRDefault="00F4147C" w:rsidP="00F4147C">
      <w:pPr>
        <w:rPr>
          <w:rFonts w:asciiTheme="minorHAnsi" w:eastAsiaTheme="minorEastAsia" w:hAnsiTheme="minorHAnsi"/>
          <w:sz w:val="14"/>
          <w:szCs w:val="14"/>
          <w:vertAlign w:val="superscript"/>
        </w:rPr>
      </w:pPr>
      <w:r w:rsidRPr="0BCC15EA">
        <w:rPr>
          <w:rFonts w:eastAsiaTheme="minorEastAsia"/>
        </w:rPr>
        <w:t>The</w:t>
      </w:r>
      <w:r w:rsidR="0064735A">
        <w:rPr>
          <w:rFonts w:eastAsiaTheme="minorEastAsia"/>
        </w:rPr>
        <w:t>se</w:t>
      </w:r>
      <w:r w:rsidRPr="0BCC15EA">
        <w:rPr>
          <w:rFonts w:eastAsiaTheme="minorEastAsia"/>
        </w:rPr>
        <w:t xml:space="preserve"> cost recovery arrangements</w:t>
      </w:r>
      <w:r w:rsidR="0064735A">
        <w:rPr>
          <w:rFonts w:eastAsiaTheme="minorEastAsia"/>
        </w:rPr>
        <w:t xml:space="preserve"> were established in 2009 and have</w:t>
      </w:r>
      <w:r w:rsidRPr="0BCC15EA">
        <w:rPr>
          <w:rFonts w:eastAsiaTheme="minorEastAsia"/>
        </w:rPr>
        <w:t xml:space="preserve"> remained unchanged since.</w:t>
      </w:r>
      <w:r w:rsidRPr="0BCC15EA">
        <w:rPr>
          <w:rStyle w:val="FootnoteReference"/>
          <w:rFonts w:eastAsiaTheme="minorEastAsia" w:cstheme="minorBidi"/>
        </w:rPr>
        <w:t xml:space="preserve"> </w:t>
      </w:r>
      <w:r w:rsidRPr="0BCC15EA">
        <w:rPr>
          <w:rStyle w:val="FootnoteReference"/>
          <w:rFonts w:eastAsiaTheme="minorEastAsia" w:cstheme="minorBidi"/>
        </w:rPr>
        <w:footnoteReference w:id="98"/>
      </w:r>
      <w:r w:rsidR="00D33B13">
        <w:rPr>
          <w:rFonts w:eastAsiaTheme="minorEastAsia"/>
        </w:rPr>
        <w:t xml:space="preserve"> The cost recovery arrangements do not align with</w:t>
      </w:r>
      <w:r w:rsidR="0064735A">
        <w:rPr>
          <w:rFonts w:eastAsiaTheme="minorEastAsia"/>
        </w:rPr>
        <w:t xml:space="preserve"> the Australian Government Charging Framework</w:t>
      </w:r>
      <w:r w:rsidR="00BD2A8F">
        <w:rPr>
          <w:rStyle w:val="FootnoteReference"/>
          <w:rFonts w:eastAsiaTheme="minorEastAsia"/>
        </w:rPr>
        <w:footnoteReference w:id="99"/>
      </w:r>
      <w:r w:rsidR="0064735A">
        <w:rPr>
          <w:rFonts w:eastAsiaTheme="minorEastAsia"/>
        </w:rPr>
        <w:t xml:space="preserve">, as they </w:t>
      </w:r>
      <w:r w:rsidR="00FB405A">
        <w:rPr>
          <w:rFonts w:eastAsiaTheme="minorEastAsia"/>
        </w:rPr>
        <w:t>are</w:t>
      </w:r>
      <w:r w:rsidR="0064735A">
        <w:rPr>
          <w:rFonts w:eastAsiaTheme="minorEastAsia"/>
        </w:rPr>
        <w:t xml:space="preserve"> not </w:t>
      </w:r>
      <w:r w:rsidR="00FB405A">
        <w:rPr>
          <w:rFonts w:eastAsiaTheme="minorEastAsia"/>
        </w:rPr>
        <w:t>commensurate to</w:t>
      </w:r>
      <w:r w:rsidR="0064735A">
        <w:rPr>
          <w:rFonts w:eastAsiaTheme="minorEastAsia"/>
        </w:rPr>
        <w:t xml:space="preserve"> the</w:t>
      </w:r>
      <w:r w:rsidR="003A678C">
        <w:rPr>
          <w:rFonts w:eastAsiaTheme="minorEastAsia"/>
        </w:rPr>
        <w:t xml:space="preserve"> </w:t>
      </w:r>
      <w:r w:rsidR="00FB405A">
        <w:rPr>
          <w:rFonts w:eastAsiaTheme="minorEastAsia"/>
        </w:rPr>
        <w:t>size and complexity</w:t>
      </w:r>
      <w:r w:rsidR="0064735A">
        <w:rPr>
          <w:rFonts w:eastAsiaTheme="minorEastAsia"/>
        </w:rPr>
        <w:t xml:space="preserve"> of the </w:t>
      </w:r>
      <w:r w:rsidR="00307053">
        <w:rPr>
          <w:rFonts w:eastAsiaTheme="minorEastAsia"/>
        </w:rPr>
        <w:t>Department’s administration activities associated with the PL</w:t>
      </w:r>
      <w:r w:rsidR="006031C7">
        <w:rPr>
          <w:rFonts w:eastAsiaTheme="minorEastAsia"/>
        </w:rPr>
        <w:t>.</w:t>
      </w:r>
    </w:p>
    <w:p w14:paraId="66716819" w14:textId="021B1CC5" w:rsidR="00837D01" w:rsidRPr="00566B88" w:rsidRDefault="00F4147C" w:rsidP="00837D01">
      <w:pPr>
        <w:pStyle w:val="Heading3"/>
      </w:pPr>
      <w:r>
        <w:lastRenderedPageBreak/>
        <w:t>Rationale for reform</w:t>
      </w:r>
      <w:r w:rsidR="00837D01" w:rsidRPr="0C63581C">
        <w:t xml:space="preserve"> </w:t>
      </w:r>
    </w:p>
    <w:p w14:paraId="5948DF0D" w14:textId="3570338B" w:rsidR="001841ED" w:rsidRPr="00475414" w:rsidRDefault="001841ED" w:rsidP="001841ED">
      <w:pPr>
        <w:pStyle w:val="Heading4"/>
      </w:pPr>
      <w:r w:rsidRPr="3787E91E">
        <w:t xml:space="preserve">The Department </w:t>
      </w:r>
      <w:r w:rsidR="00B35086" w:rsidRPr="3787E91E">
        <w:t xml:space="preserve">requires sustainable administration of the PL to support its activities in maintaining </w:t>
      </w:r>
      <w:proofErr w:type="gramStart"/>
      <w:r w:rsidR="00B35086" w:rsidRPr="3787E91E">
        <w:t>it</w:t>
      </w:r>
      <w:proofErr w:type="gramEnd"/>
    </w:p>
    <w:p w14:paraId="2D42CE3A" w14:textId="34E0D1D3" w:rsidR="00837D01" w:rsidRDefault="00837D01" w:rsidP="00837D01">
      <w:pPr>
        <w:rPr>
          <w:lang w:eastAsia="en-AU"/>
        </w:rPr>
      </w:pPr>
      <w:r w:rsidRPr="0C63581C">
        <w:rPr>
          <w:lang w:eastAsia="en-AU"/>
        </w:rPr>
        <w:t>The Department</w:t>
      </w:r>
      <w:r w:rsidR="00A13CD0" w:rsidRPr="0C63581C">
        <w:rPr>
          <w:lang w:eastAsia="en-AU"/>
        </w:rPr>
        <w:t xml:space="preserve"> has a range of responsibilities in maintaining the PL, the costs of which should be recovered through </w:t>
      </w:r>
      <w:r w:rsidR="00C169D8" w:rsidRPr="0C63581C">
        <w:rPr>
          <w:lang w:eastAsia="en-AU"/>
        </w:rPr>
        <w:t xml:space="preserve">cost recovery arrangements. </w:t>
      </w:r>
      <w:r w:rsidR="00EA23A3">
        <w:rPr>
          <w:lang w:eastAsia="en-AU"/>
        </w:rPr>
        <w:t>At baseline, the a</w:t>
      </w:r>
      <w:r w:rsidR="00D64536">
        <w:rPr>
          <w:lang w:eastAsia="en-AU"/>
        </w:rPr>
        <w:t>dministra</w:t>
      </w:r>
      <w:r w:rsidR="00EA23A3">
        <w:rPr>
          <w:lang w:eastAsia="en-AU"/>
        </w:rPr>
        <w:t>tive</w:t>
      </w:r>
      <w:r w:rsidRPr="0C63581C">
        <w:rPr>
          <w:lang w:eastAsia="en-AU"/>
        </w:rPr>
        <w:t xml:space="preserve"> functions of the Department included</w:t>
      </w:r>
      <w:r w:rsidR="00D64536">
        <w:rPr>
          <w:lang w:eastAsia="en-AU"/>
        </w:rPr>
        <w:t>:</w:t>
      </w:r>
    </w:p>
    <w:p w14:paraId="18A7BA92" w14:textId="75B8F563" w:rsidR="0052692F" w:rsidRPr="004264A4" w:rsidRDefault="006F57E0" w:rsidP="004264A4">
      <w:pPr>
        <w:pStyle w:val="Bullet"/>
      </w:pPr>
      <w:r w:rsidRPr="004264A4">
        <w:t xml:space="preserve">Update the PL three times a year and publish updates onto the Department </w:t>
      </w:r>
      <w:proofErr w:type="gramStart"/>
      <w:r w:rsidRPr="004264A4">
        <w:t>website</w:t>
      </w:r>
      <w:proofErr w:type="gramEnd"/>
    </w:p>
    <w:p w14:paraId="64D3691A" w14:textId="67D11972" w:rsidR="000225B3" w:rsidRPr="004264A4" w:rsidRDefault="006C1EF0" w:rsidP="004264A4">
      <w:pPr>
        <w:pStyle w:val="Bullet"/>
      </w:pPr>
      <w:r w:rsidRPr="004264A4">
        <w:t>Maintain and update the PL Guide</w:t>
      </w:r>
    </w:p>
    <w:p w14:paraId="75C361B7" w14:textId="67BAFF99" w:rsidR="00CF2838" w:rsidRPr="004264A4" w:rsidRDefault="00CF2838" w:rsidP="004264A4">
      <w:pPr>
        <w:pStyle w:val="Bullet"/>
      </w:pPr>
      <w:r w:rsidRPr="3787E91E">
        <w:t>Ad-hoc review of benefit levels (where stakeholders raised concerns and subsequent investigation by the PLAC or CAGs deemed it necessary)</w:t>
      </w:r>
    </w:p>
    <w:p w14:paraId="76EE5B10" w14:textId="77777777" w:rsidR="00837D01" w:rsidRPr="004264A4" w:rsidRDefault="00837D01" w:rsidP="004264A4">
      <w:pPr>
        <w:pStyle w:val="Bullet"/>
      </w:pPr>
      <w:r w:rsidRPr="004264A4">
        <w:t>Providing secretariat support to the PLAC, the CAGs and the Panel</w:t>
      </w:r>
    </w:p>
    <w:p w14:paraId="31286668" w14:textId="77777777" w:rsidR="00837D01" w:rsidRPr="004264A4" w:rsidRDefault="00837D01" w:rsidP="004264A4">
      <w:pPr>
        <w:pStyle w:val="Bullet"/>
      </w:pPr>
      <w:r w:rsidRPr="004264A4">
        <w:t>Undertaking (or commissioning) Health Technology Assessment</w:t>
      </w:r>
    </w:p>
    <w:p w14:paraId="75ED6557" w14:textId="77777777" w:rsidR="00837D01" w:rsidRPr="004264A4" w:rsidRDefault="00837D01" w:rsidP="004264A4">
      <w:pPr>
        <w:pStyle w:val="Bullet"/>
      </w:pPr>
      <w:r w:rsidRPr="004264A4">
        <w:t>Contributing to the development of policy on PHI funding of prostheses</w:t>
      </w:r>
    </w:p>
    <w:p w14:paraId="2F55B856" w14:textId="77777777" w:rsidR="00837D01" w:rsidRPr="004264A4" w:rsidRDefault="00837D01" w:rsidP="004264A4">
      <w:pPr>
        <w:pStyle w:val="Bullet"/>
      </w:pPr>
      <w:r w:rsidRPr="3787E91E">
        <w:t xml:space="preserve">Providing advice about legislation, regulation and other government programs, such as the Medicare Benefits Schedule (MBS) that affect the use and funding of </w:t>
      </w:r>
      <w:proofErr w:type="gramStart"/>
      <w:r w:rsidRPr="3787E91E">
        <w:t>prostheses</w:t>
      </w:r>
      <w:proofErr w:type="gramEnd"/>
    </w:p>
    <w:p w14:paraId="7515F74D" w14:textId="7FF1B82A" w:rsidR="00CA0616" w:rsidRPr="004264A4" w:rsidRDefault="00837D01" w:rsidP="004264A4">
      <w:pPr>
        <w:pStyle w:val="Bullet"/>
      </w:pPr>
      <w:r w:rsidRPr="004264A4">
        <w:t>Managing sponsors’ applications to list products and amend existing listings, including providing advice to sponsors about applications and amendments.</w:t>
      </w:r>
    </w:p>
    <w:p w14:paraId="071274C4" w14:textId="2B631E4F" w:rsidR="00624DEB" w:rsidRDefault="00624DEB" w:rsidP="00624DEB">
      <w:pPr>
        <w:pStyle w:val="Heading3"/>
      </w:pPr>
      <w:r>
        <w:t>How the reform</w:t>
      </w:r>
      <w:r w:rsidR="002A2024">
        <w:t>s</w:t>
      </w:r>
      <w:r>
        <w:t xml:space="preserve"> intend to achieve this objective</w:t>
      </w:r>
    </w:p>
    <w:p w14:paraId="5E6F54A2" w14:textId="2418AE30" w:rsidR="00B04619" w:rsidRDefault="00B0180D" w:rsidP="00B04619">
      <w:pPr>
        <w:pStyle w:val="Heading4"/>
      </w:pPr>
      <w:r>
        <w:t>Rationalised</w:t>
      </w:r>
      <w:r w:rsidR="00510BAB">
        <w:rPr>
          <w:rFonts w:eastAsiaTheme="minorEastAsia"/>
        </w:rPr>
        <w:t xml:space="preserve"> cost recovery arrangements </w:t>
      </w:r>
      <w:r w:rsidR="00B04619">
        <w:t xml:space="preserve">are to be </w:t>
      </w:r>
      <w:proofErr w:type="gramStart"/>
      <w:r w:rsidR="00870B51">
        <w:t>established</w:t>
      </w:r>
      <w:proofErr w:type="gramEnd"/>
    </w:p>
    <w:p w14:paraId="30736535" w14:textId="3A0B5379" w:rsidR="00510BAB" w:rsidRPr="00510BAB" w:rsidRDefault="00870B51" w:rsidP="00A348DB">
      <w:r>
        <w:t>The administrative costs</w:t>
      </w:r>
      <w:r w:rsidR="00ED59DB">
        <w:t xml:space="preserve"> required to manage and maintain the PL</w:t>
      </w:r>
      <w:r>
        <w:t xml:space="preserve"> </w:t>
      </w:r>
      <w:r w:rsidR="00ED59DB">
        <w:t>are to be reviewed in detail and n</w:t>
      </w:r>
      <w:r w:rsidR="00510BAB" w:rsidRPr="56115F26">
        <w:rPr>
          <w:rFonts w:eastAsiaTheme="minorEastAsia"/>
        </w:rPr>
        <w:t xml:space="preserve">ew cost recovery arrangements will be established that </w:t>
      </w:r>
      <w:r w:rsidR="00ED59DB">
        <w:rPr>
          <w:rFonts w:eastAsiaTheme="minorEastAsia"/>
        </w:rPr>
        <w:t>are appropriate for covering these costs</w:t>
      </w:r>
      <w:r w:rsidR="00510BAB" w:rsidRPr="56115F26">
        <w:rPr>
          <w:rFonts w:eastAsiaTheme="minorEastAsia"/>
        </w:rPr>
        <w:t xml:space="preserve">. The design of these new cost recovery arrangements </w:t>
      </w:r>
      <w:r w:rsidR="00ED59DB">
        <w:rPr>
          <w:rFonts w:eastAsiaTheme="minorEastAsia"/>
        </w:rPr>
        <w:t>is intended to</w:t>
      </w:r>
      <w:r w:rsidR="00510BAB" w:rsidRPr="56115F26">
        <w:rPr>
          <w:rFonts w:eastAsiaTheme="minorEastAsia"/>
        </w:rPr>
        <w:t xml:space="preserve"> ensure align</w:t>
      </w:r>
      <w:r w:rsidR="00ED59DB">
        <w:rPr>
          <w:rFonts w:eastAsiaTheme="minorEastAsia"/>
        </w:rPr>
        <w:t>ment</w:t>
      </w:r>
      <w:r w:rsidR="00510BAB" w:rsidRPr="56115F26">
        <w:rPr>
          <w:rFonts w:eastAsiaTheme="minorEastAsia"/>
        </w:rPr>
        <w:t xml:space="preserve"> to the Australian Government Charging Framework. It is expected that these arrangements will increase cost to industry associated with having devices listed on the PL.</w:t>
      </w:r>
    </w:p>
    <w:p w14:paraId="6A163B2C" w14:textId="6210567A" w:rsidR="00624DEB" w:rsidRDefault="00F00E90" w:rsidP="00624DEB">
      <w:pPr>
        <w:pStyle w:val="Heading3"/>
      </w:pPr>
      <w:r>
        <w:t>How this will be evaluated</w:t>
      </w:r>
    </w:p>
    <w:p w14:paraId="4C6903CA" w14:textId="5C99823A" w:rsidR="0088722B" w:rsidRDefault="006A0F3B" w:rsidP="001309CE">
      <w:pPr>
        <w:pStyle w:val="Heading4"/>
      </w:pPr>
      <w:r>
        <w:t xml:space="preserve">An independent review will be </w:t>
      </w:r>
      <w:r w:rsidR="00B358C6">
        <w:t>assessing t</w:t>
      </w:r>
      <w:r w:rsidR="0093507B">
        <w:t xml:space="preserve">he appropriateness of cost-recovery </w:t>
      </w:r>
      <w:proofErr w:type="gramStart"/>
      <w:r w:rsidR="0093507B">
        <w:t>arrangements</w:t>
      </w:r>
      <w:proofErr w:type="gramEnd"/>
    </w:p>
    <w:p w14:paraId="7683CD29" w14:textId="6D214443" w:rsidR="00C73CA1" w:rsidRPr="00272214" w:rsidRDefault="00EC4F94" w:rsidP="00272214">
      <w:pPr>
        <w:rPr>
          <w:lang w:eastAsia="en-AU"/>
        </w:rPr>
        <w:sectPr w:rsidR="00C73CA1" w:rsidRPr="00272214" w:rsidSect="00BA60DA">
          <w:pgSz w:w="11907" w:h="16839" w:code="9"/>
          <w:pgMar w:top="1418" w:right="1418" w:bottom="1701" w:left="1559" w:header="680" w:footer="680" w:gutter="0"/>
          <w:cols w:space="720"/>
          <w:docGrid w:linePitch="360"/>
        </w:sectPr>
      </w:pPr>
      <w:r>
        <w:rPr>
          <w:lang w:eastAsia="en-AU"/>
        </w:rPr>
        <w:t xml:space="preserve">The new cost recovery arrangements are </w:t>
      </w:r>
      <w:r w:rsidR="00316258">
        <w:rPr>
          <w:lang w:eastAsia="en-AU"/>
        </w:rPr>
        <w:t xml:space="preserve">the subject of a separate </w:t>
      </w:r>
      <w:r w:rsidR="002633E6">
        <w:rPr>
          <w:lang w:eastAsia="en-AU"/>
        </w:rPr>
        <w:t xml:space="preserve">external </w:t>
      </w:r>
      <w:r w:rsidR="00316258">
        <w:rPr>
          <w:lang w:eastAsia="en-AU"/>
        </w:rPr>
        <w:t>revie</w:t>
      </w:r>
      <w:r w:rsidR="002633E6">
        <w:rPr>
          <w:lang w:eastAsia="en-AU"/>
        </w:rPr>
        <w:t>w</w:t>
      </w:r>
      <w:r w:rsidR="00316258">
        <w:rPr>
          <w:lang w:eastAsia="en-AU"/>
        </w:rPr>
        <w:t xml:space="preserve"> intended specifically to </w:t>
      </w:r>
      <w:r w:rsidR="00967515">
        <w:rPr>
          <w:lang w:eastAsia="en-AU"/>
        </w:rPr>
        <w:t>determine whether they are sufficient and appropriate to cover the Department’s administrative costs and comply with the Australian Government Charging Framework.</w:t>
      </w:r>
      <w:r w:rsidR="00517826">
        <w:rPr>
          <w:lang w:eastAsia="en-AU"/>
        </w:rPr>
        <w:t xml:space="preserve"> </w:t>
      </w:r>
      <w:r w:rsidR="00CA4F2C">
        <w:rPr>
          <w:lang w:eastAsia="en-AU"/>
        </w:rPr>
        <w:t>As such, this evaluation w</w:t>
      </w:r>
      <w:r w:rsidR="000C7BFE">
        <w:rPr>
          <w:lang w:eastAsia="en-AU"/>
        </w:rPr>
        <w:t xml:space="preserve">ill leverage the findings of that review </w:t>
      </w:r>
      <w:proofErr w:type="gramStart"/>
      <w:r w:rsidR="00AD053D">
        <w:rPr>
          <w:lang w:eastAsia="en-AU"/>
        </w:rPr>
        <w:t>in order to</w:t>
      </w:r>
      <w:proofErr w:type="gramEnd"/>
      <w:r w:rsidR="00AD053D">
        <w:rPr>
          <w:lang w:eastAsia="en-AU"/>
        </w:rPr>
        <w:t xml:space="preserve"> evaluate the achievement of this objective. Indicator 18</w:t>
      </w:r>
      <w:r w:rsidR="00C01AFC">
        <w:rPr>
          <w:lang w:eastAsia="en-AU"/>
        </w:rPr>
        <w:t xml:space="preserve"> describes the </w:t>
      </w:r>
      <w:r w:rsidR="00613567">
        <w:rPr>
          <w:lang w:eastAsia="en-AU"/>
        </w:rPr>
        <w:t>new cost recovery arrangements and the way in which they are implemented, and Indicator 19 assesses the overall change in administrative</w:t>
      </w:r>
      <w:r w:rsidR="00ED74FB">
        <w:rPr>
          <w:lang w:eastAsia="en-AU"/>
        </w:rPr>
        <w:t xml:space="preserve"> </w:t>
      </w:r>
      <w:r w:rsidR="003869D5">
        <w:rPr>
          <w:lang w:eastAsia="en-AU"/>
        </w:rPr>
        <w:t xml:space="preserve">effort resulting from the reforms and </w:t>
      </w:r>
      <w:r w:rsidR="00BC6B0E">
        <w:rPr>
          <w:lang w:eastAsia="en-AU"/>
        </w:rPr>
        <w:t>leverages the external review and other</w:t>
      </w:r>
      <w:r w:rsidR="00795879">
        <w:rPr>
          <w:lang w:eastAsia="en-AU"/>
        </w:rPr>
        <w:t xml:space="preserve"> consultation with stakeholders in order to establish how appropriate and sustainable these </w:t>
      </w:r>
      <w:r w:rsidR="001E1FBB">
        <w:rPr>
          <w:lang w:eastAsia="en-AU"/>
        </w:rPr>
        <w:t>arrangements are</w:t>
      </w:r>
      <w:r w:rsidR="001C1789">
        <w:rPr>
          <w:lang w:eastAsia="en-AU"/>
        </w:rPr>
        <w:t xml:space="preserve"> (see </w:t>
      </w:r>
      <w:r w:rsidR="001C1789">
        <w:rPr>
          <w:lang w:eastAsia="en-AU"/>
        </w:rPr>
        <w:fldChar w:fldCharType="begin"/>
      </w:r>
      <w:r w:rsidR="001C1789">
        <w:rPr>
          <w:lang w:eastAsia="en-AU"/>
        </w:rPr>
        <w:instrText xml:space="preserve"> REF _Ref159832999 \r \h </w:instrText>
      </w:r>
      <w:r w:rsidR="001C1789">
        <w:rPr>
          <w:lang w:eastAsia="en-AU"/>
        </w:rPr>
      </w:r>
      <w:r w:rsidR="001C1789">
        <w:rPr>
          <w:lang w:eastAsia="en-AU"/>
        </w:rPr>
        <w:fldChar w:fldCharType="separate"/>
      </w:r>
      <w:r w:rsidR="00026714">
        <w:rPr>
          <w:lang w:eastAsia="en-AU"/>
        </w:rPr>
        <w:t>Appendix B</w:t>
      </w:r>
      <w:r w:rsidR="001C1789">
        <w:rPr>
          <w:lang w:eastAsia="en-AU"/>
        </w:rPr>
        <w:fldChar w:fldCharType="end"/>
      </w:r>
      <w:r w:rsidR="001C1789">
        <w:rPr>
          <w:lang w:eastAsia="en-AU"/>
        </w:rPr>
        <w:t>)</w:t>
      </w:r>
      <w:r w:rsidR="001E1FBB">
        <w:rPr>
          <w:lang w:eastAsia="en-AU"/>
        </w:rPr>
        <w:t>.</w:t>
      </w:r>
      <w:bookmarkStart w:id="56" w:name="_Toc157595517"/>
      <w:r w:rsidR="008A5F12">
        <w:rPr>
          <w:lang w:eastAsia="en-AU"/>
        </w:rPr>
        <w:br w:type="page"/>
      </w:r>
    </w:p>
    <w:p w14:paraId="60956753" w14:textId="03B0C56E" w:rsidR="00766FB3" w:rsidRPr="00545061" w:rsidRDefault="00766FB3" w:rsidP="00272214">
      <w:pPr>
        <w:pStyle w:val="xAppendixLevel1"/>
        <w:ind w:left="2268"/>
        <w:rPr>
          <w:sz w:val="34"/>
          <w:szCs w:val="34"/>
        </w:rPr>
      </w:pPr>
      <w:bookmarkStart w:id="57" w:name="_Ref159916596"/>
      <w:bookmarkStart w:id="58" w:name="_Toc179453686"/>
      <w:r w:rsidRPr="00545061">
        <w:rPr>
          <w:sz w:val="34"/>
          <w:szCs w:val="34"/>
        </w:rPr>
        <w:lastRenderedPageBreak/>
        <w:t>Overview of indicators</w:t>
      </w:r>
      <w:r w:rsidR="00DA6041" w:rsidRPr="00545061">
        <w:rPr>
          <w:sz w:val="34"/>
          <w:szCs w:val="34"/>
        </w:rPr>
        <w:t xml:space="preserve"> and </w:t>
      </w:r>
      <w:r w:rsidRPr="00545061">
        <w:rPr>
          <w:sz w:val="34"/>
          <w:szCs w:val="34"/>
        </w:rPr>
        <w:t>measures</w:t>
      </w:r>
      <w:bookmarkEnd w:id="57"/>
      <w:bookmarkEnd w:id="58"/>
    </w:p>
    <w:tbl>
      <w:tblPr>
        <w:tblStyle w:val="NOUSSideHeader1"/>
        <w:tblW w:w="0" w:type="auto"/>
        <w:tblLook w:val="04A0" w:firstRow="1" w:lastRow="0" w:firstColumn="1" w:lastColumn="0" w:noHBand="0" w:noVBand="1"/>
      </w:tblPr>
      <w:tblGrid>
        <w:gridCol w:w="2835"/>
        <w:gridCol w:w="851"/>
        <w:gridCol w:w="3544"/>
        <w:gridCol w:w="6490"/>
      </w:tblGrid>
      <w:tr w:rsidR="007845AC" w14:paraId="0C1F2BC3" w14:textId="77777777" w:rsidTr="3787E91E">
        <w:trPr>
          <w:cnfStyle w:val="100000000000" w:firstRow="1" w:lastRow="0" w:firstColumn="0" w:lastColumn="0" w:oddVBand="0" w:evenVBand="0" w:oddHBand="0" w:evenHBand="0" w:firstRowFirstColumn="0" w:firstRowLastColumn="0" w:lastRowFirstColumn="0" w:lastRowLastColumn="0"/>
        </w:trPr>
        <w:tc>
          <w:tcPr>
            <w:tcW w:w="2835" w:type="dxa"/>
          </w:tcPr>
          <w:p w14:paraId="761DD231" w14:textId="77777777" w:rsidR="00F12250" w:rsidRDefault="00F12250" w:rsidP="00E578DD">
            <w:pPr>
              <w:pStyle w:val="TableNheader"/>
              <w:keepNext w:val="0"/>
              <w:keepLines/>
              <w:spacing w:before="20" w:after="20"/>
            </w:pPr>
            <w:r>
              <w:t>Objective</w:t>
            </w:r>
          </w:p>
        </w:tc>
        <w:tc>
          <w:tcPr>
            <w:tcW w:w="851" w:type="dxa"/>
          </w:tcPr>
          <w:p w14:paraId="71159A5C" w14:textId="1F4EAE28" w:rsidR="00F12250" w:rsidRDefault="00F12250" w:rsidP="00E578DD">
            <w:pPr>
              <w:pStyle w:val="TableNheader"/>
              <w:keepNext w:val="0"/>
              <w:keepLines/>
              <w:spacing w:before="20" w:after="20"/>
              <w:jc w:val="center"/>
            </w:pPr>
            <w:r>
              <w:t>KEQ</w:t>
            </w:r>
          </w:p>
        </w:tc>
        <w:tc>
          <w:tcPr>
            <w:tcW w:w="3544" w:type="dxa"/>
          </w:tcPr>
          <w:p w14:paraId="6157DD7A" w14:textId="676CBC8C" w:rsidR="00F12250" w:rsidRDefault="00F12250" w:rsidP="00E578DD">
            <w:pPr>
              <w:pStyle w:val="TableNheader"/>
              <w:keepNext w:val="0"/>
              <w:keepLines/>
              <w:spacing w:before="20" w:after="20"/>
            </w:pPr>
            <w:r>
              <w:t>Indicators</w:t>
            </w:r>
          </w:p>
        </w:tc>
        <w:tc>
          <w:tcPr>
            <w:tcW w:w="6490" w:type="dxa"/>
          </w:tcPr>
          <w:p w14:paraId="64CF9F4D" w14:textId="77777777" w:rsidR="00F12250" w:rsidRDefault="00F12250" w:rsidP="00E578DD">
            <w:pPr>
              <w:pStyle w:val="TableNheader"/>
              <w:keepNext w:val="0"/>
              <w:keepLines/>
              <w:spacing w:before="20" w:after="20"/>
            </w:pPr>
            <w:r>
              <w:t>Key evaluation sub-questions</w:t>
            </w:r>
          </w:p>
        </w:tc>
      </w:tr>
      <w:tr w:rsidR="00375B83" w14:paraId="05D834DE" w14:textId="77777777" w:rsidTr="3787E91E">
        <w:trPr>
          <w:cnfStyle w:val="000000100000" w:firstRow="0" w:lastRow="0" w:firstColumn="0" w:lastColumn="0" w:oddVBand="0" w:evenVBand="0" w:oddHBand="1" w:evenHBand="0" w:firstRowFirstColumn="0" w:firstRowLastColumn="0" w:lastRowFirstColumn="0" w:lastRowLastColumn="0"/>
        </w:trPr>
        <w:tc>
          <w:tcPr>
            <w:tcW w:w="2835" w:type="dxa"/>
            <w:vMerge w:val="restart"/>
          </w:tcPr>
          <w:p w14:paraId="22DE82B3" w14:textId="77777777" w:rsidR="00375B83" w:rsidRDefault="00375B83" w:rsidP="00E578DD">
            <w:pPr>
              <w:pStyle w:val="TableNText"/>
              <w:keepNext w:val="0"/>
              <w:keepLines/>
              <w:spacing w:before="20" w:after="20"/>
              <w:rPr>
                <w:rFonts w:eastAsia="Segoe UI"/>
              </w:rPr>
            </w:pPr>
            <w:r>
              <w:rPr>
                <w:rFonts w:eastAsia="Segoe UI"/>
              </w:rPr>
              <w:t>1. Improve alignment of the scheduled benefits of the PL with the prices paid in more competitive markets such as the public hospital system and comparable international markets</w:t>
            </w:r>
          </w:p>
        </w:tc>
        <w:tc>
          <w:tcPr>
            <w:tcW w:w="851" w:type="dxa"/>
          </w:tcPr>
          <w:p w14:paraId="4D48E2F8" w14:textId="63F1C363" w:rsidR="00375B83" w:rsidRDefault="00375B83" w:rsidP="00E578DD">
            <w:pPr>
              <w:pStyle w:val="TableNText"/>
              <w:keepNext w:val="0"/>
              <w:keepLines/>
              <w:spacing w:before="20" w:after="20"/>
              <w:jc w:val="center"/>
            </w:pPr>
            <w:r>
              <w:t>1</w:t>
            </w:r>
          </w:p>
        </w:tc>
        <w:tc>
          <w:tcPr>
            <w:tcW w:w="3544" w:type="dxa"/>
          </w:tcPr>
          <w:p w14:paraId="4EEAA250" w14:textId="6061B457" w:rsidR="00375B83" w:rsidRPr="000573F8" w:rsidRDefault="00375B83" w:rsidP="00E578DD">
            <w:pPr>
              <w:pStyle w:val="TableNText"/>
              <w:keepLines/>
              <w:spacing w:before="20" w:after="20"/>
              <w:rPr>
                <w:rFonts w:eastAsia="Segoe UI"/>
                <w:i/>
                <w:iCs/>
              </w:rPr>
            </w:pPr>
            <w:r w:rsidRPr="002C0A43">
              <w:rPr>
                <w:rFonts w:asciiTheme="majorHAnsi" w:eastAsia="Segoe UI" w:hAnsiTheme="majorHAnsi" w:cstheme="majorHAnsi"/>
              </w:rPr>
              <w:t>Indicator 1</w:t>
            </w:r>
            <w:r>
              <w:rPr>
                <w:rFonts w:eastAsia="Segoe UI"/>
              </w:rPr>
              <w:t>: Reduction in benefits</w:t>
            </w:r>
          </w:p>
        </w:tc>
        <w:tc>
          <w:tcPr>
            <w:tcW w:w="6490" w:type="dxa"/>
          </w:tcPr>
          <w:p w14:paraId="10B70307" w14:textId="77777777" w:rsidR="00375B83" w:rsidRDefault="00375B83" w:rsidP="00E578DD">
            <w:pPr>
              <w:pStyle w:val="TableNBullet"/>
              <w:keepLines/>
              <w:spacing w:before="20" w:after="20"/>
              <w:rPr>
                <w:rFonts w:eastAsia="Segoe UI"/>
              </w:rPr>
            </w:pPr>
            <w:r w:rsidRPr="002C0A43">
              <w:rPr>
                <w:rFonts w:asciiTheme="majorHAnsi" w:eastAsia="Segoe UI" w:hAnsiTheme="majorHAnsi" w:cstheme="majorHAnsi"/>
                <w:color w:val="F25E21" w:themeColor="accent2"/>
              </w:rPr>
              <w:t>Measure 1.1</w:t>
            </w:r>
            <w:r>
              <w:rPr>
                <w:rFonts w:eastAsia="Segoe UI"/>
              </w:rPr>
              <w:t xml:space="preserve">: Change in PL </w:t>
            </w:r>
            <w:proofErr w:type="gramStart"/>
            <w:r>
              <w:rPr>
                <w:rFonts w:eastAsia="Segoe UI"/>
              </w:rPr>
              <w:t>benefits</w:t>
            </w:r>
            <w:proofErr w:type="gramEnd"/>
          </w:p>
          <w:p w14:paraId="00382B0D" w14:textId="69FFCD74" w:rsidR="00375B83" w:rsidRPr="004A0C1C" w:rsidRDefault="00375B83" w:rsidP="3787E91E">
            <w:pPr>
              <w:pStyle w:val="TableNBullet"/>
              <w:keepLines/>
              <w:spacing w:before="20" w:after="20"/>
              <w:rPr>
                <w:rFonts w:eastAsia="Segoe UI"/>
              </w:rPr>
            </w:pPr>
            <w:r w:rsidRPr="3787E91E">
              <w:rPr>
                <w:rFonts w:asciiTheme="majorHAnsi" w:eastAsia="Segoe UI" w:hAnsiTheme="majorHAnsi" w:cstheme="majorBidi"/>
                <w:color w:val="F25E21" w:themeColor="accent2"/>
              </w:rPr>
              <w:t>Measure 1.2</w:t>
            </w:r>
            <w:r w:rsidRPr="3787E91E">
              <w:rPr>
                <w:rFonts w:eastAsia="Segoe UI"/>
              </w:rPr>
              <w:t>: Benefit reduction methodology</w:t>
            </w:r>
          </w:p>
        </w:tc>
      </w:tr>
      <w:tr w:rsidR="00375B83" w14:paraId="3378B8E3" w14:textId="77777777" w:rsidTr="3787E91E">
        <w:trPr>
          <w:cnfStyle w:val="000000010000" w:firstRow="0" w:lastRow="0" w:firstColumn="0" w:lastColumn="0" w:oddVBand="0" w:evenVBand="0" w:oddHBand="0" w:evenHBand="1" w:firstRowFirstColumn="0" w:firstRowLastColumn="0" w:lastRowFirstColumn="0" w:lastRowLastColumn="0"/>
        </w:trPr>
        <w:tc>
          <w:tcPr>
            <w:tcW w:w="2835" w:type="dxa"/>
            <w:vMerge/>
          </w:tcPr>
          <w:p w14:paraId="757A3B18" w14:textId="77777777" w:rsidR="00375B83" w:rsidRDefault="00375B83" w:rsidP="00E578DD">
            <w:pPr>
              <w:pStyle w:val="TableNText"/>
              <w:keepNext w:val="0"/>
              <w:keepLines/>
              <w:spacing w:before="20" w:after="20"/>
              <w:rPr>
                <w:rFonts w:eastAsia="Segoe UI"/>
              </w:rPr>
            </w:pPr>
          </w:p>
        </w:tc>
        <w:tc>
          <w:tcPr>
            <w:tcW w:w="851" w:type="dxa"/>
          </w:tcPr>
          <w:p w14:paraId="6D39F26A" w14:textId="54064654" w:rsidR="00375B83" w:rsidRDefault="00375B83" w:rsidP="00E578DD">
            <w:pPr>
              <w:pStyle w:val="TableNText"/>
              <w:keepNext w:val="0"/>
              <w:keepLines/>
              <w:spacing w:before="20" w:after="20"/>
              <w:jc w:val="center"/>
            </w:pPr>
            <w:r>
              <w:t>2</w:t>
            </w:r>
          </w:p>
        </w:tc>
        <w:tc>
          <w:tcPr>
            <w:tcW w:w="3544" w:type="dxa"/>
          </w:tcPr>
          <w:p w14:paraId="6315BF85" w14:textId="578696BF" w:rsidR="00375B83" w:rsidRDefault="00375B83" w:rsidP="00E578DD">
            <w:pPr>
              <w:pStyle w:val="TableNText"/>
              <w:keepLines/>
              <w:spacing w:before="20" w:after="20"/>
            </w:pPr>
            <w:r w:rsidRPr="002C0A43">
              <w:rPr>
                <w:rFonts w:asciiTheme="majorHAnsi" w:eastAsia="Segoe UI" w:hAnsiTheme="majorHAnsi" w:cstheme="majorHAnsi"/>
              </w:rPr>
              <w:t>Indicator 2</w:t>
            </w:r>
            <w:r w:rsidRPr="001722B8">
              <w:rPr>
                <w:rFonts w:eastAsia="Segoe UI"/>
              </w:rPr>
              <w:t>: Change in the size of the gap between PL benefits and prices paid in more competitive markets</w:t>
            </w:r>
          </w:p>
        </w:tc>
        <w:tc>
          <w:tcPr>
            <w:tcW w:w="6490" w:type="dxa"/>
          </w:tcPr>
          <w:p w14:paraId="6B43DAD0" w14:textId="06AF9B2E" w:rsidR="00720568" w:rsidRPr="00720568" w:rsidRDefault="00720568" w:rsidP="00E578DD">
            <w:pPr>
              <w:pStyle w:val="TableNBullet"/>
              <w:keepLines/>
              <w:spacing w:before="20" w:after="20"/>
            </w:pPr>
            <w:r w:rsidRPr="002251DD">
              <w:rPr>
                <w:rFonts w:asciiTheme="majorHAnsi" w:hAnsiTheme="majorHAnsi" w:cstheme="majorHAnsi"/>
                <w:color w:val="F25E21" w:themeColor="accent2"/>
              </w:rPr>
              <w:t>Measure 2.1</w:t>
            </w:r>
            <w:r>
              <w:t xml:space="preserve">: </w:t>
            </w:r>
            <w:r w:rsidRPr="00720568">
              <w:t xml:space="preserve">Overall savings associated with benefit </w:t>
            </w:r>
            <w:proofErr w:type="gramStart"/>
            <w:r w:rsidRPr="00720568">
              <w:t>reductions</w:t>
            </w:r>
            <w:proofErr w:type="gramEnd"/>
          </w:p>
          <w:p w14:paraId="09F159D0" w14:textId="64F503E4" w:rsidR="00375B83" w:rsidRDefault="00375B83" w:rsidP="00E578DD">
            <w:pPr>
              <w:pStyle w:val="TableNBullet"/>
              <w:keepLines/>
              <w:spacing w:before="20" w:after="20"/>
            </w:pPr>
            <w:r w:rsidRPr="002251DD">
              <w:rPr>
                <w:rFonts w:asciiTheme="majorHAnsi" w:hAnsiTheme="majorHAnsi" w:cstheme="majorHAnsi"/>
                <w:color w:val="F25E21" w:themeColor="accent2"/>
              </w:rPr>
              <w:t>Measure 2.</w:t>
            </w:r>
            <w:r w:rsidR="00720568">
              <w:rPr>
                <w:rFonts w:asciiTheme="majorHAnsi" w:hAnsiTheme="majorHAnsi" w:cstheme="majorHAnsi"/>
                <w:color w:val="F25E21" w:themeColor="accent2"/>
              </w:rPr>
              <w:t>2</w:t>
            </w:r>
            <w:r>
              <w:t xml:space="preserve">: </w:t>
            </w:r>
            <w:r w:rsidRPr="007D04B8">
              <w:t>Gap between PL benefits and prices in Australian public hospitals</w:t>
            </w:r>
          </w:p>
          <w:p w14:paraId="11273F86" w14:textId="5D4BFF8E" w:rsidR="00375B83" w:rsidRDefault="00375B83" w:rsidP="00E578DD">
            <w:pPr>
              <w:pStyle w:val="TableNBullet"/>
              <w:keepLines/>
              <w:spacing w:before="20" w:after="20"/>
            </w:pPr>
            <w:r w:rsidRPr="3787E91E">
              <w:rPr>
                <w:rFonts w:asciiTheme="majorHAnsi" w:hAnsiTheme="majorHAnsi" w:cstheme="majorBidi"/>
                <w:color w:val="F25E21" w:themeColor="accent2"/>
              </w:rPr>
              <w:t>Measure 2.</w:t>
            </w:r>
            <w:r w:rsidR="00720568" w:rsidRPr="3787E91E">
              <w:rPr>
                <w:rFonts w:asciiTheme="majorHAnsi" w:hAnsiTheme="majorHAnsi" w:cstheme="majorBidi"/>
                <w:color w:val="F25E21" w:themeColor="accent2"/>
              </w:rPr>
              <w:t>3</w:t>
            </w:r>
            <w:r w:rsidRPr="3787E91E">
              <w:t xml:space="preserve">: Gap between PL benefits and prices on the </w:t>
            </w:r>
            <w:proofErr w:type="spellStart"/>
            <w:r w:rsidRPr="3787E91E">
              <w:t>Liste</w:t>
            </w:r>
            <w:proofErr w:type="spellEnd"/>
            <w:r w:rsidRPr="3787E91E">
              <w:t xml:space="preserve"> des </w:t>
            </w:r>
            <w:proofErr w:type="spellStart"/>
            <w:r w:rsidRPr="3787E91E">
              <w:t>Produits</w:t>
            </w:r>
            <w:proofErr w:type="spellEnd"/>
            <w:r w:rsidRPr="3787E91E">
              <w:t xml:space="preserve"> et </w:t>
            </w:r>
            <w:proofErr w:type="spellStart"/>
            <w:r w:rsidRPr="3787E91E">
              <w:t>Prestations</w:t>
            </w:r>
            <w:proofErr w:type="spellEnd"/>
            <w:r w:rsidRPr="3787E91E">
              <w:t xml:space="preserve"> (LPP) and </w:t>
            </w:r>
            <w:proofErr w:type="spellStart"/>
            <w:r w:rsidRPr="3787E91E">
              <w:t>Pharmac</w:t>
            </w:r>
            <w:proofErr w:type="spellEnd"/>
            <w:r w:rsidRPr="3787E91E">
              <w:t xml:space="preserve"> Hospital Medical Devices Schedule</w:t>
            </w:r>
          </w:p>
          <w:p w14:paraId="54614AA0" w14:textId="2687E20E" w:rsidR="00375B83" w:rsidRDefault="00375B83" w:rsidP="00E578DD">
            <w:pPr>
              <w:pStyle w:val="TableNBullet"/>
              <w:keepLines/>
              <w:spacing w:before="20" w:after="20"/>
            </w:pPr>
            <w:r w:rsidRPr="002251DD">
              <w:rPr>
                <w:rFonts w:asciiTheme="majorHAnsi" w:hAnsiTheme="majorHAnsi" w:cstheme="majorHAnsi"/>
                <w:color w:val="F25E21" w:themeColor="accent2"/>
              </w:rPr>
              <w:t>Measure 2.</w:t>
            </w:r>
            <w:r w:rsidR="00720568">
              <w:rPr>
                <w:rFonts w:asciiTheme="majorHAnsi" w:hAnsiTheme="majorHAnsi" w:cstheme="majorHAnsi"/>
                <w:color w:val="F25E21" w:themeColor="accent2"/>
              </w:rPr>
              <w:t>4</w:t>
            </w:r>
            <w:r w:rsidRPr="00B74582">
              <w:t>: Stakeholder perspectives on the gap between PL benefits and prices in more competitive markets</w:t>
            </w:r>
          </w:p>
        </w:tc>
      </w:tr>
      <w:tr w:rsidR="00375B83" w14:paraId="16340007" w14:textId="77777777" w:rsidTr="3787E91E">
        <w:trPr>
          <w:cnfStyle w:val="000000100000" w:firstRow="0" w:lastRow="0" w:firstColumn="0" w:lastColumn="0" w:oddVBand="0" w:evenVBand="0" w:oddHBand="1" w:evenHBand="0" w:firstRowFirstColumn="0" w:firstRowLastColumn="0" w:lastRowFirstColumn="0" w:lastRowLastColumn="0"/>
        </w:trPr>
        <w:tc>
          <w:tcPr>
            <w:tcW w:w="2835" w:type="dxa"/>
            <w:vMerge w:val="restart"/>
          </w:tcPr>
          <w:p w14:paraId="3959B15C" w14:textId="47C950D1" w:rsidR="00375B83" w:rsidRDefault="00375B83" w:rsidP="3787E91E">
            <w:pPr>
              <w:pStyle w:val="TableNText"/>
              <w:keepNext w:val="0"/>
              <w:keepLines/>
              <w:spacing w:before="20" w:after="20"/>
              <w:rPr>
                <w:rFonts w:eastAsia="Segoe UI"/>
              </w:rPr>
            </w:pPr>
            <w:r w:rsidRPr="3787E91E">
              <w:rPr>
                <w:rFonts w:eastAsia="Segoe UI"/>
              </w:rPr>
              <w:t>2. Maintain no additional out-of-pocket costs associated with the PL devices for consumers</w:t>
            </w:r>
          </w:p>
        </w:tc>
        <w:tc>
          <w:tcPr>
            <w:tcW w:w="851" w:type="dxa"/>
          </w:tcPr>
          <w:p w14:paraId="40F5E88B" w14:textId="10013ECA" w:rsidR="00375B83" w:rsidRDefault="00375B83" w:rsidP="00E578DD">
            <w:pPr>
              <w:pStyle w:val="TableNText"/>
              <w:keepNext w:val="0"/>
              <w:keepLines/>
              <w:spacing w:before="20" w:after="20"/>
              <w:jc w:val="center"/>
            </w:pPr>
            <w:r>
              <w:t>1</w:t>
            </w:r>
          </w:p>
        </w:tc>
        <w:tc>
          <w:tcPr>
            <w:tcW w:w="3544" w:type="dxa"/>
          </w:tcPr>
          <w:p w14:paraId="34E6F955" w14:textId="004A72CE" w:rsidR="00375B83" w:rsidRPr="00375B83" w:rsidRDefault="00375B83" w:rsidP="00E578DD">
            <w:pPr>
              <w:pStyle w:val="TableNText"/>
              <w:keepLines/>
              <w:spacing w:before="20" w:after="20"/>
              <w:rPr>
                <w:i/>
                <w:iCs/>
              </w:rPr>
            </w:pPr>
            <w:r w:rsidRPr="00375B83">
              <w:rPr>
                <w:i/>
                <w:iCs/>
              </w:rPr>
              <w:t>No activity directly associated</w:t>
            </w:r>
          </w:p>
        </w:tc>
        <w:tc>
          <w:tcPr>
            <w:tcW w:w="6490" w:type="dxa"/>
          </w:tcPr>
          <w:p w14:paraId="1BF80DBE" w14:textId="77777777" w:rsidR="00375B83" w:rsidRDefault="00375B83" w:rsidP="00E578DD">
            <w:pPr>
              <w:pStyle w:val="TableNBullet"/>
              <w:keepLines/>
              <w:numPr>
                <w:ilvl w:val="0"/>
                <w:numId w:val="0"/>
              </w:numPr>
              <w:spacing w:before="20" w:after="20"/>
            </w:pPr>
          </w:p>
        </w:tc>
      </w:tr>
      <w:tr w:rsidR="00375B83" w14:paraId="6CC864FD" w14:textId="77777777" w:rsidTr="3787E91E">
        <w:trPr>
          <w:cnfStyle w:val="000000010000" w:firstRow="0" w:lastRow="0" w:firstColumn="0" w:lastColumn="0" w:oddVBand="0" w:evenVBand="0" w:oddHBand="0" w:evenHBand="1" w:firstRowFirstColumn="0" w:firstRowLastColumn="0" w:lastRowFirstColumn="0" w:lastRowLastColumn="0"/>
        </w:trPr>
        <w:tc>
          <w:tcPr>
            <w:tcW w:w="2835" w:type="dxa"/>
            <w:vMerge/>
          </w:tcPr>
          <w:p w14:paraId="5270E365" w14:textId="7CD6640D" w:rsidR="00375B83" w:rsidRDefault="00375B83" w:rsidP="00E578DD">
            <w:pPr>
              <w:pStyle w:val="TableNText"/>
              <w:keepNext w:val="0"/>
              <w:keepLines/>
              <w:spacing w:before="20" w:after="20"/>
            </w:pPr>
          </w:p>
        </w:tc>
        <w:tc>
          <w:tcPr>
            <w:tcW w:w="851" w:type="dxa"/>
          </w:tcPr>
          <w:p w14:paraId="4FD06B20" w14:textId="1AD27712" w:rsidR="00375B83" w:rsidRDefault="00375B83" w:rsidP="00E578DD">
            <w:pPr>
              <w:pStyle w:val="TableNText"/>
              <w:keepNext w:val="0"/>
              <w:keepLines/>
              <w:spacing w:before="20" w:after="20"/>
              <w:jc w:val="center"/>
            </w:pPr>
            <w:r>
              <w:t>2</w:t>
            </w:r>
          </w:p>
        </w:tc>
        <w:tc>
          <w:tcPr>
            <w:tcW w:w="3544" w:type="dxa"/>
          </w:tcPr>
          <w:p w14:paraId="271B65AE" w14:textId="08071607" w:rsidR="00375B83" w:rsidRDefault="00375B83" w:rsidP="00E578DD">
            <w:pPr>
              <w:pStyle w:val="TableNText"/>
              <w:keepLines/>
              <w:spacing w:before="20" w:after="20"/>
            </w:pPr>
            <w:r w:rsidRPr="002C0A43">
              <w:rPr>
                <w:rFonts w:asciiTheme="majorHAnsi" w:hAnsiTheme="majorHAnsi" w:cstheme="majorHAnsi"/>
              </w:rPr>
              <w:t>Indicator 3</w:t>
            </w:r>
            <w:r w:rsidRPr="003B3A7E">
              <w:t>: Change in out-of-pocket expenses related to PL items</w:t>
            </w:r>
          </w:p>
        </w:tc>
        <w:tc>
          <w:tcPr>
            <w:tcW w:w="6490" w:type="dxa"/>
          </w:tcPr>
          <w:p w14:paraId="4F5994A3" w14:textId="4C571A2A" w:rsidR="00375B83" w:rsidRDefault="00375B83" w:rsidP="00E578DD">
            <w:pPr>
              <w:pStyle w:val="TableNBullet"/>
              <w:keepLines/>
              <w:spacing w:before="20" w:after="20"/>
            </w:pPr>
            <w:r w:rsidRPr="002C0A43">
              <w:rPr>
                <w:rFonts w:asciiTheme="majorHAnsi" w:hAnsiTheme="majorHAnsi" w:cstheme="majorHAnsi"/>
                <w:color w:val="F25E21" w:themeColor="accent2"/>
              </w:rPr>
              <w:t>Measure 3.1</w:t>
            </w:r>
            <w:r w:rsidRPr="00F53D21">
              <w:t xml:space="preserve">: </w:t>
            </w:r>
            <w:r w:rsidR="00347590">
              <w:t>P</w:t>
            </w:r>
            <w:r w:rsidRPr="00F53D21">
              <w:t>revalence of a gap payment for PL items</w:t>
            </w:r>
          </w:p>
          <w:p w14:paraId="09AA7EA0" w14:textId="42C601AD" w:rsidR="00375B83" w:rsidRDefault="00375B83" w:rsidP="00E578DD">
            <w:pPr>
              <w:pStyle w:val="TableNBullet"/>
              <w:keepLines/>
              <w:spacing w:before="20" w:after="20"/>
            </w:pPr>
            <w:r w:rsidRPr="002C0A43">
              <w:rPr>
                <w:rFonts w:asciiTheme="majorHAnsi" w:hAnsiTheme="majorHAnsi" w:cstheme="majorHAnsi"/>
                <w:color w:val="F25E21" w:themeColor="accent2"/>
              </w:rPr>
              <w:t>Measure 3.2</w:t>
            </w:r>
            <w:r w:rsidRPr="00375B83">
              <w:t xml:space="preserve">: </w:t>
            </w:r>
            <w:r w:rsidR="00347590">
              <w:t>A</w:t>
            </w:r>
            <w:r w:rsidRPr="00375B83">
              <w:t>verage gap payment for PL-listed items</w:t>
            </w:r>
          </w:p>
        </w:tc>
      </w:tr>
      <w:tr w:rsidR="00545A0B" w14:paraId="51ED2BC3" w14:textId="77777777" w:rsidTr="3787E91E">
        <w:trPr>
          <w:cnfStyle w:val="000000100000" w:firstRow="0" w:lastRow="0" w:firstColumn="0" w:lastColumn="0" w:oddVBand="0" w:evenVBand="0" w:oddHBand="1" w:evenHBand="0" w:firstRowFirstColumn="0" w:firstRowLastColumn="0" w:lastRowFirstColumn="0" w:lastRowLastColumn="0"/>
        </w:trPr>
        <w:tc>
          <w:tcPr>
            <w:tcW w:w="2835" w:type="dxa"/>
            <w:vMerge w:val="restart"/>
          </w:tcPr>
          <w:p w14:paraId="5ED725D6" w14:textId="77777777" w:rsidR="00545A0B" w:rsidRDefault="00545A0B" w:rsidP="3787E91E">
            <w:pPr>
              <w:pStyle w:val="TableNText"/>
              <w:keepNext w:val="0"/>
              <w:keepLines/>
              <w:spacing w:before="20" w:after="20"/>
              <w:rPr>
                <w:rFonts w:eastAsia="Segoe UI"/>
              </w:rPr>
            </w:pPr>
            <w:r w:rsidRPr="3787E91E">
              <w:rPr>
                <w:rFonts w:eastAsia="Segoe UI"/>
              </w:rPr>
              <w:t>3. Maintain clinician choice of appropriate prostheses for their patients</w:t>
            </w:r>
          </w:p>
        </w:tc>
        <w:tc>
          <w:tcPr>
            <w:tcW w:w="851" w:type="dxa"/>
          </w:tcPr>
          <w:p w14:paraId="7ED35A2E" w14:textId="57BA314C" w:rsidR="00545A0B" w:rsidRDefault="00545A0B" w:rsidP="00E578DD">
            <w:pPr>
              <w:pStyle w:val="TableNText"/>
              <w:keepNext w:val="0"/>
              <w:keepLines/>
              <w:spacing w:before="20" w:after="20"/>
              <w:jc w:val="center"/>
            </w:pPr>
            <w:r>
              <w:t>1</w:t>
            </w:r>
          </w:p>
        </w:tc>
        <w:tc>
          <w:tcPr>
            <w:tcW w:w="3544" w:type="dxa"/>
          </w:tcPr>
          <w:p w14:paraId="4C1E4949" w14:textId="1D022161" w:rsidR="00545A0B" w:rsidRPr="004A0C1C" w:rsidRDefault="00545A0B" w:rsidP="00E578DD">
            <w:pPr>
              <w:pStyle w:val="TableNText"/>
              <w:keepLines/>
              <w:spacing w:before="20" w:after="20"/>
              <w:rPr>
                <w:rFonts w:eastAsia="Segoe UI"/>
              </w:rPr>
            </w:pPr>
            <w:r w:rsidRPr="00375B83">
              <w:rPr>
                <w:i/>
                <w:iCs/>
              </w:rPr>
              <w:t>No activity directly associated</w:t>
            </w:r>
          </w:p>
        </w:tc>
        <w:tc>
          <w:tcPr>
            <w:tcW w:w="6490" w:type="dxa"/>
          </w:tcPr>
          <w:p w14:paraId="28800283" w14:textId="6E4A9797" w:rsidR="00545A0B" w:rsidRPr="004A0C1C" w:rsidRDefault="00545A0B" w:rsidP="00E578DD">
            <w:pPr>
              <w:pStyle w:val="TableNBullet"/>
              <w:keepLines/>
              <w:numPr>
                <w:ilvl w:val="0"/>
                <w:numId w:val="0"/>
              </w:numPr>
              <w:spacing w:before="20" w:after="20"/>
              <w:ind w:left="227" w:hanging="227"/>
              <w:rPr>
                <w:rFonts w:eastAsia="Segoe UI"/>
              </w:rPr>
            </w:pPr>
          </w:p>
        </w:tc>
      </w:tr>
      <w:tr w:rsidR="00545A0B" w14:paraId="6412BEE6" w14:textId="77777777" w:rsidTr="3787E91E">
        <w:trPr>
          <w:cnfStyle w:val="000000010000" w:firstRow="0" w:lastRow="0" w:firstColumn="0" w:lastColumn="0" w:oddVBand="0" w:evenVBand="0" w:oddHBand="0" w:evenHBand="1" w:firstRowFirstColumn="0" w:firstRowLastColumn="0" w:lastRowFirstColumn="0" w:lastRowLastColumn="0"/>
        </w:trPr>
        <w:tc>
          <w:tcPr>
            <w:tcW w:w="2835" w:type="dxa"/>
            <w:vMerge/>
          </w:tcPr>
          <w:p w14:paraId="71AD385D" w14:textId="77777777" w:rsidR="00545A0B" w:rsidRDefault="00545A0B" w:rsidP="00E578DD">
            <w:pPr>
              <w:pStyle w:val="TableNText"/>
              <w:keepNext w:val="0"/>
              <w:keepLines/>
              <w:spacing w:before="20" w:after="20"/>
              <w:rPr>
                <w:rFonts w:eastAsia="Segoe UI"/>
              </w:rPr>
            </w:pPr>
          </w:p>
        </w:tc>
        <w:tc>
          <w:tcPr>
            <w:tcW w:w="851" w:type="dxa"/>
            <w:vMerge w:val="restart"/>
          </w:tcPr>
          <w:p w14:paraId="1D5841EC" w14:textId="0C1D903A" w:rsidR="00545A0B" w:rsidRDefault="00545A0B" w:rsidP="00E578DD">
            <w:pPr>
              <w:pStyle w:val="TableNText"/>
              <w:keepNext w:val="0"/>
              <w:keepLines/>
              <w:spacing w:before="20" w:after="20"/>
              <w:jc w:val="center"/>
            </w:pPr>
            <w:r>
              <w:t>2</w:t>
            </w:r>
          </w:p>
        </w:tc>
        <w:tc>
          <w:tcPr>
            <w:tcW w:w="3544" w:type="dxa"/>
          </w:tcPr>
          <w:p w14:paraId="5DE5B135" w14:textId="2A11F18E" w:rsidR="00545A0B" w:rsidRPr="004A0C1C" w:rsidRDefault="00545A0B" w:rsidP="00E578DD">
            <w:pPr>
              <w:pStyle w:val="TableNText"/>
              <w:keepLines/>
              <w:spacing w:before="20" w:after="20"/>
              <w:rPr>
                <w:rFonts w:eastAsia="Segoe UI"/>
              </w:rPr>
            </w:pPr>
            <w:r w:rsidRPr="002C0A43">
              <w:rPr>
                <w:rFonts w:asciiTheme="majorHAnsi" w:eastAsia="Segoe UI" w:hAnsiTheme="majorHAnsi" w:cstheme="majorHAnsi"/>
              </w:rPr>
              <w:t>Indicator 4</w:t>
            </w:r>
            <w:r w:rsidRPr="00026471">
              <w:rPr>
                <w:rFonts w:eastAsia="Segoe UI"/>
              </w:rPr>
              <w:t>: Change in clinician experience of choosing prostheses</w:t>
            </w:r>
          </w:p>
        </w:tc>
        <w:tc>
          <w:tcPr>
            <w:tcW w:w="6490" w:type="dxa"/>
          </w:tcPr>
          <w:p w14:paraId="4FCC1A1E" w14:textId="62868762" w:rsidR="00545A0B" w:rsidRPr="00D747E2" w:rsidRDefault="00545A0B" w:rsidP="00E578DD">
            <w:pPr>
              <w:pStyle w:val="TableNBullet"/>
              <w:keepLines/>
              <w:spacing w:before="20" w:after="20"/>
              <w:rPr>
                <w:rFonts w:eastAsia="Segoe UI"/>
              </w:rPr>
            </w:pPr>
            <w:r w:rsidRPr="002C0A43">
              <w:rPr>
                <w:rFonts w:asciiTheme="majorHAnsi" w:eastAsia="Segoe UI" w:hAnsiTheme="majorHAnsi" w:cstheme="majorHAnsi"/>
                <w:color w:val="F25E21" w:themeColor="accent2"/>
              </w:rPr>
              <w:t>Measure 4.1</w:t>
            </w:r>
            <w:r w:rsidRPr="00CC6407">
              <w:rPr>
                <w:rFonts w:eastAsia="Segoe UI"/>
              </w:rPr>
              <w:t>: Clinician perspectives on the level of clinician choice</w:t>
            </w:r>
          </w:p>
        </w:tc>
      </w:tr>
      <w:tr w:rsidR="00545A0B" w14:paraId="69FD26C2" w14:textId="77777777" w:rsidTr="3787E91E">
        <w:trPr>
          <w:cnfStyle w:val="000000100000" w:firstRow="0" w:lastRow="0" w:firstColumn="0" w:lastColumn="0" w:oddVBand="0" w:evenVBand="0" w:oddHBand="1" w:evenHBand="0" w:firstRowFirstColumn="0" w:firstRowLastColumn="0" w:lastRowFirstColumn="0" w:lastRowLastColumn="0"/>
        </w:trPr>
        <w:tc>
          <w:tcPr>
            <w:tcW w:w="2835" w:type="dxa"/>
            <w:vMerge/>
          </w:tcPr>
          <w:p w14:paraId="3E325AC4" w14:textId="77777777" w:rsidR="00545A0B" w:rsidRDefault="00545A0B" w:rsidP="00E578DD">
            <w:pPr>
              <w:pStyle w:val="TableNText"/>
              <w:keepNext w:val="0"/>
              <w:keepLines/>
              <w:spacing w:before="20" w:after="20"/>
              <w:rPr>
                <w:rFonts w:eastAsia="Segoe UI"/>
              </w:rPr>
            </w:pPr>
          </w:p>
        </w:tc>
        <w:tc>
          <w:tcPr>
            <w:tcW w:w="851" w:type="dxa"/>
            <w:vMerge/>
          </w:tcPr>
          <w:p w14:paraId="2CD0E98C" w14:textId="77777777" w:rsidR="00545A0B" w:rsidRDefault="00545A0B" w:rsidP="00E578DD">
            <w:pPr>
              <w:pStyle w:val="TableNText"/>
              <w:keepNext w:val="0"/>
              <w:keepLines/>
              <w:spacing w:before="20" w:after="20"/>
              <w:jc w:val="center"/>
            </w:pPr>
          </w:p>
        </w:tc>
        <w:tc>
          <w:tcPr>
            <w:tcW w:w="3544" w:type="dxa"/>
          </w:tcPr>
          <w:p w14:paraId="659C5941" w14:textId="4EF1039B" w:rsidR="00545A0B" w:rsidRPr="004A0C1C" w:rsidRDefault="00545A0B" w:rsidP="00E578DD">
            <w:pPr>
              <w:pStyle w:val="TableNText"/>
              <w:keepLines/>
              <w:spacing w:before="20" w:after="20"/>
              <w:rPr>
                <w:rFonts w:eastAsia="Segoe UI"/>
              </w:rPr>
            </w:pPr>
            <w:r w:rsidRPr="002C0A43">
              <w:rPr>
                <w:rFonts w:asciiTheme="majorHAnsi" w:eastAsia="Segoe UI" w:hAnsiTheme="majorHAnsi" w:cstheme="majorHAnsi"/>
              </w:rPr>
              <w:t>Indicator 5</w:t>
            </w:r>
            <w:r w:rsidRPr="00877733">
              <w:rPr>
                <w:rFonts w:eastAsia="Segoe UI"/>
              </w:rPr>
              <w:t xml:space="preserve">: Change in utilisation of PL items  </w:t>
            </w:r>
          </w:p>
        </w:tc>
        <w:tc>
          <w:tcPr>
            <w:tcW w:w="6490" w:type="dxa"/>
          </w:tcPr>
          <w:p w14:paraId="3A18F1B3" w14:textId="5A1149DF" w:rsidR="00545A0B" w:rsidRPr="004A0C1C" w:rsidRDefault="00545A0B" w:rsidP="00E578DD">
            <w:pPr>
              <w:pStyle w:val="TableNBullet"/>
              <w:keepLines/>
              <w:spacing w:before="20" w:after="20"/>
              <w:rPr>
                <w:rFonts w:eastAsia="Segoe UI"/>
              </w:rPr>
            </w:pPr>
            <w:r w:rsidRPr="002C0A43">
              <w:rPr>
                <w:rFonts w:asciiTheme="majorHAnsi" w:eastAsia="Segoe UI" w:hAnsiTheme="majorHAnsi" w:cstheme="majorHAnsi"/>
                <w:color w:val="F25E21" w:themeColor="accent2"/>
              </w:rPr>
              <w:t>Measure 5.1</w:t>
            </w:r>
            <w:r w:rsidRPr="00D747E2">
              <w:rPr>
                <w:rFonts w:eastAsia="Segoe UI"/>
              </w:rPr>
              <w:t>: Utilisation of PL items</w:t>
            </w:r>
          </w:p>
        </w:tc>
      </w:tr>
      <w:tr w:rsidR="00C945B2" w14:paraId="0850EA64" w14:textId="77777777" w:rsidTr="3787E91E">
        <w:trPr>
          <w:cnfStyle w:val="000000010000" w:firstRow="0" w:lastRow="0" w:firstColumn="0" w:lastColumn="0" w:oddVBand="0" w:evenVBand="0" w:oddHBand="0" w:evenHBand="1" w:firstRowFirstColumn="0" w:firstRowLastColumn="0" w:lastRowFirstColumn="0" w:lastRowLastColumn="0"/>
        </w:trPr>
        <w:tc>
          <w:tcPr>
            <w:tcW w:w="2835" w:type="dxa"/>
            <w:vMerge w:val="restart"/>
          </w:tcPr>
          <w:p w14:paraId="2FC4CC4D" w14:textId="49CB835F" w:rsidR="00C945B2" w:rsidRDefault="00C945B2" w:rsidP="00E578DD">
            <w:pPr>
              <w:pStyle w:val="TableNText"/>
              <w:keepNext w:val="0"/>
              <w:keepLines/>
              <w:spacing w:before="20" w:after="20"/>
              <w:rPr>
                <w:rFonts w:eastAsia="Segoe UI"/>
              </w:rPr>
            </w:pPr>
            <w:r>
              <w:rPr>
                <w:rFonts w:eastAsia="Segoe UI"/>
              </w:rPr>
              <w:t>4. Improve the affordability and value of private health insurance for privately insured Australians</w:t>
            </w:r>
          </w:p>
        </w:tc>
        <w:tc>
          <w:tcPr>
            <w:tcW w:w="851" w:type="dxa"/>
          </w:tcPr>
          <w:p w14:paraId="2BDE6810" w14:textId="47DC01F9" w:rsidR="00C945B2" w:rsidRDefault="00C945B2" w:rsidP="00E578DD">
            <w:pPr>
              <w:pStyle w:val="TableNText"/>
              <w:keepNext w:val="0"/>
              <w:keepLines/>
              <w:spacing w:before="20" w:after="20"/>
              <w:jc w:val="center"/>
            </w:pPr>
            <w:r>
              <w:t>1</w:t>
            </w:r>
          </w:p>
        </w:tc>
        <w:tc>
          <w:tcPr>
            <w:tcW w:w="3544" w:type="dxa"/>
          </w:tcPr>
          <w:p w14:paraId="0E4AE93C" w14:textId="1243E0BF" w:rsidR="00C945B2" w:rsidRPr="004A0C1C" w:rsidRDefault="00C945B2" w:rsidP="00E578DD">
            <w:pPr>
              <w:pStyle w:val="TableNText"/>
              <w:keepLines/>
              <w:spacing w:before="20" w:after="20"/>
              <w:rPr>
                <w:rFonts w:eastAsia="Segoe UI"/>
              </w:rPr>
            </w:pPr>
            <w:r w:rsidRPr="00375B83">
              <w:rPr>
                <w:i/>
                <w:iCs/>
              </w:rPr>
              <w:t>No activity directly associated</w:t>
            </w:r>
          </w:p>
        </w:tc>
        <w:tc>
          <w:tcPr>
            <w:tcW w:w="6490" w:type="dxa"/>
          </w:tcPr>
          <w:p w14:paraId="6AE257D8" w14:textId="321B3686" w:rsidR="00C945B2" w:rsidRPr="004A0C1C" w:rsidRDefault="00C945B2" w:rsidP="00E578DD">
            <w:pPr>
              <w:pStyle w:val="TableNBullet"/>
              <w:keepLines/>
              <w:numPr>
                <w:ilvl w:val="0"/>
                <w:numId w:val="0"/>
              </w:numPr>
              <w:spacing w:before="20" w:after="20"/>
              <w:rPr>
                <w:rFonts w:eastAsia="Segoe UI"/>
              </w:rPr>
            </w:pPr>
          </w:p>
        </w:tc>
      </w:tr>
      <w:tr w:rsidR="00C945B2" w14:paraId="4C17CC10" w14:textId="77777777" w:rsidTr="3787E91E">
        <w:trPr>
          <w:cnfStyle w:val="000000100000" w:firstRow="0" w:lastRow="0" w:firstColumn="0" w:lastColumn="0" w:oddVBand="0" w:evenVBand="0" w:oddHBand="1" w:evenHBand="0" w:firstRowFirstColumn="0" w:firstRowLastColumn="0" w:lastRowFirstColumn="0" w:lastRowLastColumn="0"/>
        </w:trPr>
        <w:tc>
          <w:tcPr>
            <w:tcW w:w="2835" w:type="dxa"/>
            <w:vMerge/>
          </w:tcPr>
          <w:p w14:paraId="12B4BF52" w14:textId="740A4A26" w:rsidR="00C945B2" w:rsidRDefault="00C945B2" w:rsidP="00E578DD">
            <w:pPr>
              <w:pStyle w:val="TableNText"/>
              <w:keepNext w:val="0"/>
              <w:keepLines/>
              <w:spacing w:before="20" w:after="20"/>
              <w:rPr>
                <w:rFonts w:eastAsia="Segoe UI"/>
              </w:rPr>
            </w:pPr>
          </w:p>
        </w:tc>
        <w:tc>
          <w:tcPr>
            <w:tcW w:w="851" w:type="dxa"/>
            <w:vMerge w:val="restart"/>
          </w:tcPr>
          <w:p w14:paraId="3B1C5A59" w14:textId="5E447F6D" w:rsidR="00C945B2" w:rsidRDefault="00C945B2" w:rsidP="00E578DD">
            <w:pPr>
              <w:pStyle w:val="TableNText"/>
              <w:keepNext w:val="0"/>
              <w:keepLines/>
              <w:spacing w:before="20" w:after="20"/>
              <w:jc w:val="center"/>
            </w:pPr>
            <w:r>
              <w:t>2</w:t>
            </w:r>
          </w:p>
        </w:tc>
        <w:tc>
          <w:tcPr>
            <w:tcW w:w="3544" w:type="dxa"/>
          </w:tcPr>
          <w:p w14:paraId="74776795" w14:textId="3F070D56" w:rsidR="00C945B2" w:rsidRPr="004A0C1C" w:rsidRDefault="00C945B2" w:rsidP="00E578DD">
            <w:pPr>
              <w:pStyle w:val="TableNText"/>
              <w:keepLines/>
              <w:spacing w:before="20" w:after="20"/>
              <w:rPr>
                <w:rFonts w:eastAsia="Segoe UI"/>
              </w:rPr>
            </w:pPr>
            <w:r w:rsidRPr="002C0A43">
              <w:rPr>
                <w:rFonts w:asciiTheme="majorHAnsi" w:eastAsia="Segoe UI" w:hAnsiTheme="majorHAnsi" w:cstheme="majorHAnsi"/>
              </w:rPr>
              <w:t>Indicator 6</w:t>
            </w:r>
            <w:r w:rsidRPr="005B17F4">
              <w:rPr>
                <w:rFonts w:eastAsia="Segoe UI"/>
              </w:rPr>
              <w:t>: Change in PHI premium increases</w:t>
            </w:r>
          </w:p>
        </w:tc>
        <w:tc>
          <w:tcPr>
            <w:tcW w:w="6490" w:type="dxa"/>
          </w:tcPr>
          <w:p w14:paraId="54A6B5EB" w14:textId="77777777" w:rsidR="00C945B2" w:rsidRDefault="00C945B2" w:rsidP="00E578DD">
            <w:pPr>
              <w:pStyle w:val="TableNBullet"/>
              <w:keepLines/>
              <w:spacing w:before="20" w:after="20"/>
              <w:rPr>
                <w:rFonts w:eastAsia="Segoe UI"/>
              </w:rPr>
            </w:pPr>
            <w:r w:rsidRPr="002C0A43">
              <w:rPr>
                <w:rFonts w:asciiTheme="majorHAnsi" w:eastAsia="Segoe UI" w:hAnsiTheme="majorHAnsi" w:cstheme="majorHAnsi"/>
                <w:color w:val="F25E21" w:themeColor="accent2"/>
              </w:rPr>
              <w:t>Measure 6.1</w:t>
            </w:r>
            <w:r w:rsidRPr="006A37D9">
              <w:rPr>
                <w:rFonts w:eastAsia="Segoe UI"/>
              </w:rPr>
              <w:t>: PHI premium price changes over time</w:t>
            </w:r>
          </w:p>
          <w:p w14:paraId="3D9001CC" w14:textId="77777777" w:rsidR="00C945B2" w:rsidRDefault="00C945B2" w:rsidP="00E578DD">
            <w:pPr>
              <w:pStyle w:val="TableNBullet"/>
              <w:keepLines/>
              <w:spacing w:before="20" w:after="20"/>
              <w:rPr>
                <w:rFonts w:eastAsia="Segoe UI"/>
              </w:rPr>
            </w:pPr>
            <w:r w:rsidRPr="002C0A43">
              <w:rPr>
                <w:rFonts w:asciiTheme="majorHAnsi" w:eastAsia="Segoe UI" w:hAnsiTheme="majorHAnsi" w:cstheme="majorHAnsi"/>
                <w:color w:val="F25E21" w:themeColor="accent2"/>
              </w:rPr>
              <w:t>Measure 6.2</w:t>
            </w:r>
            <w:r w:rsidRPr="0040679D">
              <w:rPr>
                <w:rFonts w:eastAsia="Segoe UI"/>
              </w:rPr>
              <w:t xml:space="preserve">: Change in PHI premiums related to PL item </w:t>
            </w:r>
            <w:proofErr w:type="gramStart"/>
            <w:r w:rsidRPr="0040679D">
              <w:rPr>
                <w:rFonts w:eastAsia="Segoe UI"/>
              </w:rPr>
              <w:t>expenditure</w:t>
            </w:r>
            <w:proofErr w:type="gramEnd"/>
          </w:p>
          <w:p w14:paraId="2C6F7CE9" w14:textId="020DCE2D" w:rsidR="00C945B2" w:rsidRPr="004A0C1C" w:rsidRDefault="00C945B2" w:rsidP="00E578DD">
            <w:pPr>
              <w:pStyle w:val="TableNBullet"/>
              <w:keepLines/>
              <w:spacing w:before="20" w:after="20"/>
              <w:rPr>
                <w:rFonts w:eastAsia="Segoe UI"/>
              </w:rPr>
            </w:pPr>
            <w:r w:rsidRPr="002C0A43">
              <w:rPr>
                <w:rFonts w:asciiTheme="majorHAnsi" w:eastAsia="Segoe UI" w:hAnsiTheme="majorHAnsi" w:cstheme="majorHAnsi"/>
                <w:color w:val="F25E21" w:themeColor="accent2"/>
              </w:rPr>
              <w:t>Measure 6.3</w:t>
            </w:r>
            <w:r w:rsidRPr="004A0253">
              <w:rPr>
                <w:rFonts w:eastAsia="Segoe UI"/>
              </w:rPr>
              <w:t>: Stakeholder perspectives on the drivers of change in PHI premiums</w:t>
            </w:r>
          </w:p>
        </w:tc>
      </w:tr>
      <w:tr w:rsidR="00C945B2" w14:paraId="734B3579" w14:textId="77777777" w:rsidTr="3787E91E">
        <w:trPr>
          <w:cnfStyle w:val="000000010000" w:firstRow="0" w:lastRow="0" w:firstColumn="0" w:lastColumn="0" w:oddVBand="0" w:evenVBand="0" w:oddHBand="0" w:evenHBand="1" w:firstRowFirstColumn="0" w:firstRowLastColumn="0" w:lastRowFirstColumn="0" w:lastRowLastColumn="0"/>
        </w:trPr>
        <w:tc>
          <w:tcPr>
            <w:tcW w:w="2835" w:type="dxa"/>
            <w:vMerge/>
          </w:tcPr>
          <w:p w14:paraId="05DF9557" w14:textId="77777777" w:rsidR="00C945B2" w:rsidRDefault="00C945B2" w:rsidP="00E578DD">
            <w:pPr>
              <w:pStyle w:val="TableNText"/>
              <w:keepNext w:val="0"/>
              <w:keepLines/>
              <w:spacing w:before="20" w:after="20"/>
              <w:rPr>
                <w:rFonts w:eastAsia="Segoe UI"/>
              </w:rPr>
            </w:pPr>
          </w:p>
        </w:tc>
        <w:tc>
          <w:tcPr>
            <w:tcW w:w="851" w:type="dxa"/>
            <w:vMerge/>
          </w:tcPr>
          <w:p w14:paraId="6D70EE30" w14:textId="77777777" w:rsidR="00C945B2" w:rsidRDefault="00C945B2" w:rsidP="00E578DD">
            <w:pPr>
              <w:pStyle w:val="TableNText"/>
              <w:keepNext w:val="0"/>
              <w:keepLines/>
              <w:spacing w:before="20" w:after="20"/>
              <w:jc w:val="center"/>
            </w:pPr>
          </w:p>
        </w:tc>
        <w:tc>
          <w:tcPr>
            <w:tcW w:w="3544" w:type="dxa"/>
          </w:tcPr>
          <w:p w14:paraId="206EA17F" w14:textId="72B50810" w:rsidR="00C945B2" w:rsidRPr="004A0C1C" w:rsidRDefault="00C945B2" w:rsidP="00E578DD">
            <w:pPr>
              <w:pStyle w:val="TableNText"/>
              <w:keepLines/>
              <w:spacing w:before="20" w:after="20"/>
              <w:rPr>
                <w:rFonts w:eastAsia="Segoe UI"/>
              </w:rPr>
            </w:pPr>
            <w:r w:rsidRPr="002C0A43">
              <w:rPr>
                <w:rFonts w:asciiTheme="majorHAnsi" w:eastAsia="Segoe UI" w:hAnsiTheme="majorHAnsi" w:cstheme="majorHAnsi"/>
              </w:rPr>
              <w:t>Indicator 7</w:t>
            </w:r>
            <w:r w:rsidRPr="00C945B2">
              <w:rPr>
                <w:rFonts w:eastAsia="Segoe UI"/>
              </w:rPr>
              <w:t>: Change in PHI coverage and for whom</w:t>
            </w:r>
          </w:p>
        </w:tc>
        <w:tc>
          <w:tcPr>
            <w:tcW w:w="6490" w:type="dxa"/>
          </w:tcPr>
          <w:p w14:paraId="5766B376" w14:textId="77777777" w:rsidR="00C945B2" w:rsidRDefault="001C5201" w:rsidP="00E578DD">
            <w:pPr>
              <w:pStyle w:val="TableNBullet"/>
              <w:keepLines/>
              <w:spacing w:before="20" w:after="20"/>
              <w:rPr>
                <w:rFonts w:eastAsia="Segoe UI"/>
              </w:rPr>
            </w:pPr>
            <w:r w:rsidRPr="002C0A43">
              <w:rPr>
                <w:rFonts w:asciiTheme="majorHAnsi" w:eastAsia="Segoe UI" w:hAnsiTheme="majorHAnsi" w:cstheme="majorHAnsi"/>
                <w:color w:val="F25E21" w:themeColor="accent2"/>
              </w:rPr>
              <w:t>Measure 7.1</w:t>
            </w:r>
            <w:r w:rsidRPr="001C5201">
              <w:rPr>
                <w:rFonts w:eastAsia="Segoe UI"/>
              </w:rPr>
              <w:t>: PHI coverage by demographic group</w:t>
            </w:r>
          </w:p>
          <w:p w14:paraId="44548727" w14:textId="77777777" w:rsidR="001C5201" w:rsidRDefault="00E250C6" w:rsidP="00E578DD">
            <w:pPr>
              <w:pStyle w:val="TableNBullet"/>
              <w:keepLines/>
              <w:spacing w:before="20" w:after="20"/>
              <w:rPr>
                <w:rFonts w:eastAsia="Segoe UI"/>
              </w:rPr>
            </w:pPr>
            <w:r w:rsidRPr="002C0A43">
              <w:rPr>
                <w:rFonts w:asciiTheme="majorHAnsi" w:eastAsia="Segoe UI" w:hAnsiTheme="majorHAnsi" w:cstheme="majorHAnsi"/>
                <w:color w:val="F25E21" w:themeColor="accent2"/>
              </w:rPr>
              <w:t>Measure 7.2</w:t>
            </w:r>
            <w:r w:rsidRPr="00E250C6">
              <w:rPr>
                <w:rFonts w:eastAsia="Segoe UI"/>
              </w:rPr>
              <w:t>: Utilisation of PL items by privately insured patients</w:t>
            </w:r>
          </w:p>
          <w:p w14:paraId="4F365AEE" w14:textId="013197BB" w:rsidR="008117B8" w:rsidRPr="004A0C1C" w:rsidRDefault="008117B8" w:rsidP="00E578DD">
            <w:pPr>
              <w:pStyle w:val="TableNBullet"/>
              <w:keepLines/>
              <w:spacing w:before="20" w:after="20"/>
              <w:rPr>
                <w:rFonts w:eastAsia="Segoe UI"/>
              </w:rPr>
            </w:pPr>
            <w:r w:rsidRPr="002C0A43">
              <w:rPr>
                <w:rFonts w:asciiTheme="majorHAnsi" w:eastAsia="Segoe UI" w:hAnsiTheme="majorHAnsi" w:cstheme="majorHAnsi"/>
                <w:color w:val="F25E21" w:themeColor="accent2"/>
              </w:rPr>
              <w:t>Measure 7.3</w:t>
            </w:r>
            <w:r w:rsidRPr="008117B8">
              <w:rPr>
                <w:rFonts w:eastAsia="Segoe UI"/>
              </w:rPr>
              <w:t>: Stakeholder perspectives on the drivers of change in PHI coverage</w:t>
            </w:r>
          </w:p>
        </w:tc>
      </w:tr>
      <w:tr w:rsidR="00A83325" w14:paraId="42A08C56" w14:textId="77777777" w:rsidTr="3787E91E">
        <w:trPr>
          <w:cnfStyle w:val="000000100000" w:firstRow="0" w:lastRow="0" w:firstColumn="0" w:lastColumn="0" w:oddVBand="0" w:evenVBand="0" w:oddHBand="1" w:evenHBand="0" w:firstRowFirstColumn="0" w:firstRowLastColumn="0" w:lastRowFirstColumn="0" w:lastRowLastColumn="0"/>
        </w:trPr>
        <w:tc>
          <w:tcPr>
            <w:tcW w:w="2835" w:type="dxa"/>
            <w:vMerge w:val="restart"/>
          </w:tcPr>
          <w:p w14:paraId="47FC5E59" w14:textId="77777777" w:rsidR="00A83325" w:rsidRDefault="00A83325" w:rsidP="00E578DD">
            <w:pPr>
              <w:pStyle w:val="TableNText"/>
              <w:keepNext w:val="0"/>
              <w:keepLines/>
              <w:spacing w:before="20" w:after="20"/>
              <w:rPr>
                <w:rFonts w:eastAsia="Segoe UI"/>
              </w:rPr>
            </w:pPr>
            <w:r>
              <w:rPr>
                <w:rFonts w:eastAsia="Segoe UI"/>
              </w:rPr>
              <w:t>5. Clarify the purpose, definition, and scope of the PL in legislation</w:t>
            </w:r>
          </w:p>
        </w:tc>
        <w:tc>
          <w:tcPr>
            <w:tcW w:w="851" w:type="dxa"/>
            <w:vMerge w:val="restart"/>
          </w:tcPr>
          <w:p w14:paraId="3B15C529" w14:textId="616FA1EB" w:rsidR="00A83325" w:rsidRDefault="00A83325" w:rsidP="00E578DD">
            <w:pPr>
              <w:pStyle w:val="TableNText"/>
              <w:keepNext w:val="0"/>
              <w:keepLines/>
              <w:spacing w:before="20" w:after="20"/>
              <w:jc w:val="center"/>
            </w:pPr>
            <w:r>
              <w:t>1</w:t>
            </w:r>
          </w:p>
        </w:tc>
        <w:tc>
          <w:tcPr>
            <w:tcW w:w="3544" w:type="dxa"/>
          </w:tcPr>
          <w:p w14:paraId="6401CA26" w14:textId="263B35B5" w:rsidR="00A83325" w:rsidRPr="004A0C1C" w:rsidRDefault="00A83325" w:rsidP="00E578DD">
            <w:pPr>
              <w:pStyle w:val="TableNText"/>
              <w:keepLines/>
              <w:spacing w:before="20" w:after="20"/>
              <w:rPr>
                <w:rFonts w:eastAsia="Segoe UI"/>
              </w:rPr>
            </w:pPr>
            <w:r w:rsidRPr="002C0A43">
              <w:rPr>
                <w:rFonts w:asciiTheme="majorHAnsi" w:eastAsia="Segoe UI" w:hAnsiTheme="majorHAnsi" w:cstheme="majorHAnsi"/>
              </w:rPr>
              <w:t>Indicator 8</w:t>
            </w:r>
            <w:r w:rsidRPr="00C31B20">
              <w:rPr>
                <w:rFonts w:eastAsia="Segoe UI"/>
              </w:rPr>
              <w:t>: Legislative changes to the PL</w:t>
            </w:r>
          </w:p>
        </w:tc>
        <w:tc>
          <w:tcPr>
            <w:tcW w:w="6490" w:type="dxa"/>
          </w:tcPr>
          <w:p w14:paraId="3E9DB11D" w14:textId="2420236D" w:rsidR="00A83325" w:rsidRPr="004A0C1C" w:rsidRDefault="00A83325" w:rsidP="3787E91E">
            <w:pPr>
              <w:pStyle w:val="TableNBullet"/>
              <w:keepLines/>
              <w:spacing w:before="20" w:after="20"/>
              <w:rPr>
                <w:rFonts w:eastAsia="Segoe UI"/>
              </w:rPr>
            </w:pPr>
            <w:r w:rsidRPr="3787E91E">
              <w:rPr>
                <w:rFonts w:asciiTheme="majorHAnsi" w:eastAsia="Segoe UI" w:hAnsiTheme="majorHAnsi" w:cstheme="majorBidi"/>
                <w:color w:val="F25E21" w:themeColor="accent2"/>
              </w:rPr>
              <w:t>Measure 8.1</w:t>
            </w:r>
            <w:r w:rsidRPr="3787E91E">
              <w:rPr>
                <w:rFonts w:eastAsia="Segoe UI"/>
              </w:rPr>
              <w:t xml:space="preserve">: Description of the PL's purpose, </w:t>
            </w:r>
            <w:proofErr w:type="gramStart"/>
            <w:r w:rsidRPr="3787E91E">
              <w:rPr>
                <w:rFonts w:eastAsia="Segoe UI"/>
              </w:rPr>
              <w:t>definition</w:t>
            </w:r>
            <w:proofErr w:type="gramEnd"/>
            <w:r w:rsidRPr="3787E91E">
              <w:rPr>
                <w:rFonts w:eastAsia="Segoe UI"/>
              </w:rPr>
              <w:t xml:space="preserve"> and scope in legislation</w:t>
            </w:r>
          </w:p>
        </w:tc>
      </w:tr>
      <w:tr w:rsidR="00A83325" w14:paraId="37767BE5" w14:textId="77777777" w:rsidTr="3787E91E">
        <w:trPr>
          <w:cnfStyle w:val="000000010000" w:firstRow="0" w:lastRow="0" w:firstColumn="0" w:lastColumn="0" w:oddVBand="0" w:evenVBand="0" w:oddHBand="0" w:evenHBand="1" w:firstRowFirstColumn="0" w:firstRowLastColumn="0" w:lastRowFirstColumn="0" w:lastRowLastColumn="0"/>
        </w:trPr>
        <w:tc>
          <w:tcPr>
            <w:tcW w:w="2835" w:type="dxa"/>
            <w:vMerge/>
          </w:tcPr>
          <w:p w14:paraId="5835C220" w14:textId="77777777" w:rsidR="00A83325" w:rsidRPr="00983AE3" w:rsidRDefault="00A83325" w:rsidP="00E578DD">
            <w:pPr>
              <w:pStyle w:val="TableNText"/>
              <w:keepNext w:val="0"/>
              <w:keepLines/>
              <w:spacing w:before="20" w:after="20"/>
              <w:rPr>
                <w:rFonts w:eastAsia="Segoe UI"/>
              </w:rPr>
            </w:pPr>
          </w:p>
        </w:tc>
        <w:tc>
          <w:tcPr>
            <w:tcW w:w="851" w:type="dxa"/>
            <w:vMerge/>
          </w:tcPr>
          <w:p w14:paraId="2165296F" w14:textId="77777777" w:rsidR="00A83325" w:rsidRPr="00983AE3" w:rsidRDefault="00A83325" w:rsidP="00E578DD">
            <w:pPr>
              <w:pStyle w:val="TableNText"/>
              <w:keepNext w:val="0"/>
              <w:keepLines/>
              <w:spacing w:before="20" w:after="20"/>
              <w:jc w:val="center"/>
            </w:pPr>
          </w:p>
        </w:tc>
        <w:tc>
          <w:tcPr>
            <w:tcW w:w="3544" w:type="dxa"/>
          </w:tcPr>
          <w:p w14:paraId="40F338B4" w14:textId="2D4987BD" w:rsidR="00A83325" w:rsidRPr="00983AE3" w:rsidRDefault="00A83325" w:rsidP="00E578DD">
            <w:pPr>
              <w:pStyle w:val="TableNText"/>
              <w:keepLines/>
              <w:spacing w:before="20" w:after="20"/>
              <w:rPr>
                <w:rFonts w:eastAsia="Segoe UI"/>
              </w:rPr>
            </w:pPr>
            <w:r w:rsidRPr="002C0A43">
              <w:rPr>
                <w:rFonts w:asciiTheme="majorHAnsi" w:eastAsia="Segoe UI" w:hAnsiTheme="majorHAnsi" w:cstheme="majorHAnsi"/>
              </w:rPr>
              <w:t>Indicator 9</w:t>
            </w:r>
            <w:r w:rsidRPr="00983AE3">
              <w:rPr>
                <w:rFonts w:eastAsia="Segoe UI"/>
              </w:rPr>
              <w:t>: Implementation of PL regrouping</w:t>
            </w:r>
          </w:p>
        </w:tc>
        <w:tc>
          <w:tcPr>
            <w:tcW w:w="6490" w:type="dxa"/>
          </w:tcPr>
          <w:p w14:paraId="7AB4419E" w14:textId="77777777" w:rsidR="00A83325" w:rsidRDefault="00A83325" w:rsidP="00E578DD">
            <w:pPr>
              <w:pStyle w:val="TableNBullet"/>
              <w:keepLines/>
              <w:spacing w:before="20" w:after="20"/>
              <w:rPr>
                <w:rFonts w:eastAsia="Segoe UI"/>
              </w:rPr>
            </w:pPr>
            <w:r w:rsidRPr="002C0A43">
              <w:rPr>
                <w:rFonts w:asciiTheme="majorHAnsi" w:eastAsia="Segoe UI" w:hAnsiTheme="majorHAnsi" w:cstheme="majorHAnsi"/>
                <w:color w:val="F25E21" w:themeColor="accent2"/>
              </w:rPr>
              <w:t>Measure 9.1</w:t>
            </w:r>
            <w:r w:rsidRPr="00983AE3">
              <w:rPr>
                <w:rFonts w:eastAsia="Segoe UI"/>
              </w:rPr>
              <w:t xml:space="preserve">: Changes made to the PL grouping structure and PL item </w:t>
            </w:r>
            <w:proofErr w:type="gramStart"/>
            <w:r w:rsidRPr="00983AE3">
              <w:rPr>
                <w:rFonts w:eastAsia="Segoe UI"/>
              </w:rPr>
              <w:t>categorisation</w:t>
            </w:r>
            <w:proofErr w:type="gramEnd"/>
          </w:p>
          <w:p w14:paraId="4DD31FC4" w14:textId="70C36405" w:rsidR="00A83325" w:rsidRPr="00983AE3" w:rsidRDefault="00A83325" w:rsidP="00E578DD">
            <w:pPr>
              <w:pStyle w:val="TableNBullet"/>
              <w:keepLines/>
              <w:spacing w:before="20" w:after="20"/>
              <w:rPr>
                <w:rFonts w:eastAsia="Segoe UI"/>
              </w:rPr>
            </w:pPr>
            <w:r w:rsidRPr="002C0A43">
              <w:rPr>
                <w:rFonts w:asciiTheme="majorHAnsi" w:eastAsia="Segoe UI" w:hAnsiTheme="majorHAnsi" w:cstheme="majorHAnsi"/>
                <w:color w:val="F25E21" w:themeColor="accent2"/>
              </w:rPr>
              <w:t>Measure 9.2</w:t>
            </w:r>
            <w:r w:rsidRPr="00E3596B">
              <w:rPr>
                <w:rFonts w:eastAsia="Segoe UI"/>
              </w:rPr>
              <w:t>: Number of PL items and benefit groups</w:t>
            </w:r>
          </w:p>
        </w:tc>
      </w:tr>
      <w:tr w:rsidR="00A83325" w14:paraId="42D25960" w14:textId="77777777" w:rsidTr="3787E91E">
        <w:trPr>
          <w:cnfStyle w:val="000000100000" w:firstRow="0" w:lastRow="0" w:firstColumn="0" w:lastColumn="0" w:oddVBand="0" w:evenVBand="0" w:oddHBand="1" w:evenHBand="0" w:firstRowFirstColumn="0" w:firstRowLastColumn="0" w:lastRowFirstColumn="0" w:lastRowLastColumn="0"/>
        </w:trPr>
        <w:tc>
          <w:tcPr>
            <w:tcW w:w="2835" w:type="dxa"/>
            <w:vMerge/>
          </w:tcPr>
          <w:p w14:paraId="577BC3ED" w14:textId="77777777" w:rsidR="00A83325" w:rsidRPr="00983AE3" w:rsidRDefault="00A83325" w:rsidP="00E578DD">
            <w:pPr>
              <w:pStyle w:val="TableNText"/>
              <w:keepNext w:val="0"/>
              <w:keepLines/>
              <w:spacing w:before="20" w:after="20"/>
              <w:rPr>
                <w:rFonts w:eastAsia="Segoe UI"/>
              </w:rPr>
            </w:pPr>
          </w:p>
        </w:tc>
        <w:tc>
          <w:tcPr>
            <w:tcW w:w="851" w:type="dxa"/>
            <w:vMerge/>
          </w:tcPr>
          <w:p w14:paraId="42183CBB" w14:textId="77777777" w:rsidR="00A83325" w:rsidRPr="00983AE3" w:rsidRDefault="00A83325" w:rsidP="00E578DD">
            <w:pPr>
              <w:pStyle w:val="TableNText"/>
              <w:keepNext w:val="0"/>
              <w:keepLines/>
              <w:spacing w:before="20" w:after="20"/>
              <w:jc w:val="center"/>
            </w:pPr>
          </w:p>
        </w:tc>
        <w:tc>
          <w:tcPr>
            <w:tcW w:w="3544" w:type="dxa"/>
          </w:tcPr>
          <w:p w14:paraId="36DE9F69" w14:textId="2299D807" w:rsidR="00A83325" w:rsidRPr="00983AE3" w:rsidRDefault="00A83325" w:rsidP="3787E91E">
            <w:pPr>
              <w:pStyle w:val="TableNText"/>
              <w:keepLines/>
              <w:spacing w:before="20" w:after="20"/>
              <w:rPr>
                <w:rFonts w:eastAsia="Segoe UI"/>
              </w:rPr>
            </w:pPr>
            <w:r w:rsidRPr="3787E91E">
              <w:rPr>
                <w:rFonts w:asciiTheme="majorHAnsi" w:eastAsia="Segoe UI" w:hAnsiTheme="majorHAnsi" w:cstheme="majorBidi"/>
              </w:rPr>
              <w:t>Indicator 10</w:t>
            </w:r>
            <w:r w:rsidRPr="3787E91E">
              <w:rPr>
                <w:rFonts w:eastAsia="Segoe UI"/>
              </w:rPr>
              <w:t>: Implementation of changes to general use items</w:t>
            </w:r>
          </w:p>
        </w:tc>
        <w:tc>
          <w:tcPr>
            <w:tcW w:w="6490" w:type="dxa"/>
          </w:tcPr>
          <w:p w14:paraId="159651F1" w14:textId="297B1BCD" w:rsidR="00A83325" w:rsidRPr="00983AE3" w:rsidRDefault="00A83325" w:rsidP="3787E91E">
            <w:pPr>
              <w:pStyle w:val="TableNBullet"/>
              <w:keepLines/>
              <w:spacing w:before="20" w:after="20"/>
              <w:rPr>
                <w:rFonts w:eastAsia="Segoe UI"/>
              </w:rPr>
            </w:pPr>
            <w:r w:rsidRPr="3787E91E">
              <w:rPr>
                <w:rFonts w:asciiTheme="majorHAnsi" w:eastAsia="Segoe UI" w:hAnsiTheme="majorHAnsi" w:cstheme="majorBidi"/>
                <w:color w:val="F25E21" w:themeColor="accent2"/>
              </w:rPr>
              <w:t>Measure 10.1</w:t>
            </w:r>
            <w:r w:rsidRPr="3787E91E">
              <w:rPr>
                <w:rFonts w:eastAsia="Segoe UI"/>
              </w:rPr>
              <w:t>: Description of changes to general use items</w:t>
            </w:r>
          </w:p>
        </w:tc>
      </w:tr>
      <w:tr w:rsidR="00A83325" w14:paraId="491BEA56" w14:textId="77777777" w:rsidTr="3787E91E">
        <w:trPr>
          <w:cnfStyle w:val="000000010000" w:firstRow="0" w:lastRow="0" w:firstColumn="0" w:lastColumn="0" w:oddVBand="0" w:evenVBand="0" w:oddHBand="0" w:evenHBand="1" w:firstRowFirstColumn="0" w:firstRowLastColumn="0" w:lastRowFirstColumn="0" w:lastRowLastColumn="0"/>
        </w:trPr>
        <w:tc>
          <w:tcPr>
            <w:tcW w:w="2835" w:type="dxa"/>
            <w:vMerge/>
          </w:tcPr>
          <w:p w14:paraId="1ABB9503" w14:textId="77777777" w:rsidR="00A83325" w:rsidRPr="00983AE3" w:rsidRDefault="00A83325" w:rsidP="00E578DD">
            <w:pPr>
              <w:pStyle w:val="TableNText"/>
              <w:keepNext w:val="0"/>
              <w:keepLines/>
              <w:spacing w:before="20" w:after="20"/>
              <w:rPr>
                <w:rFonts w:eastAsia="Segoe UI"/>
              </w:rPr>
            </w:pPr>
          </w:p>
        </w:tc>
        <w:tc>
          <w:tcPr>
            <w:tcW w:w="851" w:type="dxa"/>
            <w:vMerge w:val="restart"/>
          </w:tcPr>
          <w:p w14:paraId="29506577" w14:textId="12A39D80" w:rsidR="00A83325" w:rsidRPr="00983AE3" w:rsidRDefault="00A83325" w:rsidP="00E578DD">
            <w:pPr>
              <w:pStyle w:val="TableNText"/>
              <w:keepNext w:val="0"/>
              <w:keepLines/>
              <w:spacing w:before="20" w:after="20"/>
              <w:jc w:val="center"/>
            </w:pPr>
            <w:r w:rsidRPr="00983AE3">
              <w:t>2</w:t>
            </w:r>
          </w:p>
        </w:tc>
        <w:tc>
          <w:tcPr>
            <w:tcW w:w="3544" w:type="dxa"/>
          </w:tcPr>
          <w:p w14:paraId="0C5143C0" w14:textId="69073364" w:rsidR="00A83325" w:rsidRPr="00983AE3" w:rsidRDefault="00A83325" w:rsidP="00E578DD">
            <w:pPr>
              <w:pStyle w:val="TableNText"/>
              <w:keepLines/>
              <w:spacing w:before="20" w:after="20"/>
              <w:rPr>
                <w:rFonts w:eastAsia="Segoe UI"/>
              </w:rPr>
            </w:pPr>
            <w:r w:rsidRPr="002C0A43">
              <w:rPr>
                <w:rFonts w:asciiTheme="majorHAnsi" w:eastAsia="Segoe UI" w:hAnsiTheme="majorHAnsi" w:cstheme="majorHAnsi"/>
              </w:rPr>
              <w:t>Indicator 11</w:t>
            </w:r>
            <w:r w:rsidRPr="0031301D">
              <w:rPr>
                <w:rFonts w:eastAsia="Segoe UI"/>
              </w:rPr>
              <w:t>: Assessment of legislative changes to the PL</w:t>
            </w:r>
          </w:p>
        </w:tc>
        <w:tc>
          <w:tcPr>
            <w:tcW w:w="6490" w:type="dxa"/>
          </w:tcPr>
          <w:p w14:paraId="24A0D519" w14:textId="2CF87C95" w:rsidR="00A83325" w:rsidRPr="00983AE3" w:rsidRDefault="00A83325" w:rsidP="3787E91E">
            <w:pPr>
              <w:pStyle w:val="TableNBullet"/>
              <w:keepLines/>
              <w:spacing w:before="20" w:after="20"/>
              <w:rPr>
                <w:rFonts w:eastAsia="Segoe UI"/>
              </w:rPr>
            </w:pPr>
            <w:r w:rsidRPr="3787E91E">
              <w:rPr>
                <w:rFonts w:asciiTheme="majorHAnsi" w:eastAsia="Segoe UI" w:hAnsiTheme="majorHAnsi" w:cstheme="majorBidi"/>
                <w:color w:val="F25E21" w:themeColor="accent2"/>
              </w:rPr>
              <w:t>Measure 11.1</w:t>
            </w:r>
            <w:r w:rsidRPr="3787E91E">
              <w:rPr>
                <w:rFonts w:eastAsia="Segoe UI"/>
              </w:rPr>
              <w:t xml:space="preserve">: Stakeholder perspectives on the level of clarity in the PL's purpose, </w:t>
            </w:r>
            <w:proofErr w:type="gramStart"/>
            <w:r w:rsidRPr="3787E91E">
              <w:rPr>
                <w:rFonts w:eastAsia="Segoe UI"/>
              </w:rPr>
              <w:t>definition</w:t>
            </w:r>
            <w:proofErr w:type="gramEnd"/>
            <w:r w:rsidRPr="3787E91E">
              <w:rPr>
                <w:rFonts w:eastAsia="Segoe UI"/>
              </w:rPr>
              <w:t xml:space="preserve"> and scope</w:t>
            </w:r>
          </w:p>
        </w:tc>
      </w:tr>
      <w:tr w:rsidR="00A83325" w14:paraId="59CB2DD3" w14:textId="77777777" w:rsidTr="3787E91E">
        <w:trPr>
          <w:cnfStyle w:val="000000100000" w:firstRow="0" w:lastRow="0" w:firstColumn="0" w:lastColumn="0" w:oddVBand="0" w:evenVBand="0" w:oddHBand="1" w:evenHBand="0" w:firstRowFirstColumn="0" w:firstRowLastColumn="0" w:lastRowFirstColumn="0" w:lastRowLastColumn="0"/>
        </w:trPr>
        <w:tc>
          <w:tcPr>
            <w:tcW w:w="2835" w:type="dxa"/>
            <w:vMerge/>
          </w:tcPr>
          <w:p w14:paraId="0F1D4807" w14:textId="77777777" w:rsidR="00A83325" w:rsidRPr="00983AE3" w:rsidRDefault="00A83325" w:rsidP="00E578DD">
            <w:pPr>
              <w:pStyle w:val="TableNText"/>
              <w:keepNext w:val="0"/>
              <w:keepLines/>
              <w:spacing w:before="20" w:after="20"/>
              <w:rPr>
                <w:rFonts w:eastAsia="Segoe UI"/>
              </w:rPr>
            </w:pPr>
          </w:p>
        </w:tc>
        <w:tc>
          <w:tcPr>
            <w:tcW w:w="851" w:type="dxa"/>
            <w:vMerge/>
          </w:tcPr>
          <w:p w14:paraId="7160F009" w14:textId="77777777" w:rsidR="00A83325" w:rsidRPr="00983AE3" w:rsidRDefault="00A83325" w:rsidP="00E578DD">
            <w:pPr>
              <w:pStyle w:val="TableNText"/>
              <w:keepNext w:val="0"/>
              <w:keepLines/>
              <w:spacing w:before="20" w:after="20"/>
              <w:jc w:val="center"/>
            </w:pPr>
          </w:p>
        </w:tc>
        <w:tc>
          <w:tcPr>
            <w:tcW w:w="3544" w:type="dxa"/>
          </w:tcPr>
          <w:p w14:paraId="2EE582A8" w14:textId="2848E347" w:rsidR="00A83325" w:rsidRPr="00983AE3" w:rsidRDefault="00A83325" w:rsidP="00E578DD">
            <w:pPr>
              <w:pStyle w:val="TableNText"/>
              <w:keepLines/>
              <w:spacing w:before="20" w:after="20"/>
              <w:rPr>
                <w:rFonts w:eastAsia="Segoe UI"/>
              </w:rPr>
            </w:pPr>
            <w:r w:rsidRPr="002C0A43">
              <w:rPr>
                <w:rFonts w:asciiTheme="majorHAnsi" w:eastAsia="Segoe UI" w:hAnsiTheme="majorHAnsi" w:cstheme="majorHAnsi"/>
              </w:rPr>
              <w:t>Indicator 12</w:t>
            </w:r>
            <w:r w:rsidRPr="000E7340">
              <w:rPr>
                <w:rFonts w:eastAsia="Segoe UI"/>
              </w:rPr>
              <w:t>: Assessment of PL regrouping</w:t>
            </w:r>
          </w:p>
        </w:tc>
        <w:tc>
          <w:tcPr>
            <w:tcW w:w="6490" w:type="dxa"/>
          </w:tcPr>
          <w:p w14:paraId="35D22466" w14:textId="4F463710" w:rsidR="00A83325" w:rsidRPr="00983AE3" w:rsidRDefault="00A83325" w:rsidP="00E578DD">
            <w:pPr>
              <w:pStyle w:val="TableNBullet"/>
              <w:keepLines/>
              <w:spacing w:before="20" w:after="20"/>
              <w:rPr>
                <w:rFonts w:eastAsia="Segoe UI"/>
              </w:rPr>
            </w:pPr>
            <w:r w:rsidRPr="002C0A43">
              <w:rPr>
                <w:rFonts w:asciiTheme="majorHAnsi" w:eastAsia="Segoe UI" w:hAnsiTheme="majorHAnsi" w:cstheme="majorHAnsi"/>
                <w:color w:val="F25E21" w:themeColor="accent2"/>
              </w:rPr>
              <w:t>Measure 12.1</w:t>
            </w:r>
            <w:r w:rsidRPr="00BE3590">
              <w:rPr>
                <w:rFonts w:eastAsia="Segoe UI"/>
              </w:rPr>
              <w:t>: Stakeholder perspectives on PL regrouping</w:t>
            </w:r>
          </w:p>
        </w:tc>
      </w:tr>
      <w:tr w:rsidR="00A83325" w14:paraId="771E5354" w14:textId="77777777" w:rsidTr="3787E91E">
        <w:trPr>
          <w:cnfStyle w:val="000000010000" w:firstRow="0" w:lastRow="0" w:firstColumn="0" w:lastColumn="0" w:oddVBand="0" w:evenVBand="0" w:oddHBand="0" w:evenHBand="1" w:firstRowFirstColumn="0" w:firstRowLastColumn="0" w:lastRowFirstColumn="0" w:lastRowLastColumn="0"/>
        </w:trPr>
        <w:tc>
          <w:tcPr>
            <w:tcW w:w="2835" w:type="dxa"/>
            <w:vMerge/>
          </w:tcPr>
          <w:p w14:paraId="62A9F083" w14:textId="77777777" w:rsidR="00A83325" w:rsidRPr="00983AE3" w:rsidRDefault="00A83325" w:rsidP="00E578DD">
            <w:pPr>
              <w:pStyle w:val="TableNText"/>
              <w:keepNext w:val="0"/>
              <w:keepLines/>
              <w:spacing w:before="20" w:after="20"/>
              <w:rPr>
                <w:rFonts w:eastAsia="Segoe UI"/>
              </w:rPr>
            </w:pPr>
          </w:p>
        </w:tc>
        <w:tc>
          <w:tcPr>
            <w:tcW w:w="851" w:type="dxa"/>
            <w:vMerge/>
          </w:tcPr>
          <w:p w14:paraId="2C7CAAE8" w14:textId="77777777" w:rsidR="00A83325" w:rsidRPr="00983AE3" w:rsidRDefault="00A83325" w:rsidP="00E578DD">
            <w:pPr>
              <w:pStyle w:val="TableNText"/>
              <w:keepNext w:val="0"/>
              <w:keepLines/>
              <w:spacing w:before="20" w:after="20"/>
              <w:jc w:val="center"/>
            </w:pPr>
          </w:p>
        </w:tc>
        <w:tc>
          <w:tcPr>
            <w:tcW w:w="3544" w:type="dxa"/>
          </w:tcPr>
          <w:p w14:paraId="45B54D8A" w14:textId="19546B30" w:rsidR="00A83325" w:rsidRPr="00983AE3" w:rsidRDefault="00A83325" w:rsidP="3787E91E">
            <w:pPr>
              <w:pStyle w:val="TableNText"/>
              <w:keepLines/>
              <w:spacing w:before="20" w:after="20"/>
              <w:rPr>
                <w:rFonts w:eastAsia="Segoe UI"/>
              </w:rPr>
            </w:pPr>
            <w:r w:rsidRPr="3787E91E">
              <w:rPr>
                <w:rFonts w:asciiTheme="majorHAnsi" w:eastAsia="Segoe UI" w:hAnsiTheme="majorHAnsi" w:cstheme="majorBidi"/>
              </w:rPr>
              <w:t>Indicator 13</w:t>
            </w:r>
            <w:r w:rsidRPr="3787E91E">
              <w:rPr>
                <w:rFonts w:eastAsia="Segoe UI"/>
              </w:rPr>
              <w:t>: Assessment of changes to general use items</w:t>
            </w:r>
          </w:p>
        </w:tc>
        <w:tc>
          <w:tcPr>
            <w:tcW w:w="6490" w:type="dxa"/>
          </w:tcPr>
          <w:p w14:paraId="576C7701" w14:textId="27500C32" w:rsidR="00A83325" w:rsidRPr="00983AE3" w:rsidRDefault="00A83325" w:rsidP="3787E91E">
            <w:pPr>
              <w:pStyle w:val="TableNBullet"/>
              <w:keepLines/>
              <w:spacing w:before="20" w:after="20"/>
              <w:rPr>
                <w:rFonts w:eastAsia="Segoe UI"/>
              </w:rPr>
            </w:pPr>
            <w:r w:rsidRPr="3787E91E">
              <w:rPr>
                <w:rFonts w:asciiTheme="majorHAnsi" w:eastAsia="Segoe UI" w:hAnsiTheme="majorHAnsi" w:cstheme="majorBidi"/>
                <w:color w:val="F25E21" w:themeColor="accent2"/>
              </w:rPr>
              <w:t>Measure 13.1</w:t>
            </w:r>
            <w:r w:rsidRPr="3787E91E">
              <w:rPr>
                <w:rFonts w:eastAsia="Segoe UI"/>
              </w:rPr>
              <w:t>: Stakeholder perspectives on changes to general use items</w:t>
            </w:r>
          </w:p>
        </w:tc>
      </w:tr>
      <w:tr w:rsidR="00B60431" w14:paraId="22011BFB" w14:textId="77777777" w:rsidTr="3787E91E">
        <w:trPr>
          <w:cnfStyle w:val="000000100000" w:firstRow="0" w:lastRow="0" w:firstColumn="0" w:lastColumn="0" w:oddVBand="0" w:evenVBand="0" w:oddHBand="1" w:evenHBand="0" w:firstRowFirstColumn="0" w:firstRowLastColumn="0" w:lastRowFirstColumn="0" w:lastRowLastColumn="0"/>
        </w:trPr>
        <w:tc>
          <w:tcPr>
            <w:tcW w:w="2835" w:type="dxa"/>
            <w:vMerge w:val="restart"/>
          </w:tcPr>
          <w:p w14:paraId="2434A12D" w14:textId="77777777" w:rsidR="00B60431" w:rsidRPr="00983AE3" w:rsidRDefault="00B60431" w:rsidP="00E578DD">
            <w:pPr>
              <w:pStyle w:val="TableNText"/>
              <w:keepNext w:val="0"/>
              <w:keepLines/>
              <w:spacing w:before="20" w:after="20"/>
              <w:rPr>
                <w:rFonts w:eastAsia="Segoe UI"/>
              </w:rPr>
            </w:pPr>
            <w:r w:rsidRPr="00983AE3">
              <w:rPr>
                <w:rFonts w:eastAsia="Segoe UI"/>
              </w:rPr>
              <w:t>6. Implement new PL assessment pathways aligned to Health Technology Assessment Policy Branch principles and streamline application process through simple and robust IT infrastructure</w:t>
            </w:r>
          </w:p>
        </w:tc>
        <w:tc>
          <w:tcPr>
            <w:tcW w:w="851" w:type="dxa"/>
          </w:tcPr>
          <w:p w14:paraId="3D84EB8E" w14:textId="10CC5AE8" w:rsidR="00B60431" w:rsidRPr="00983AE3" w:rsidRDefault="00B60431" w:rsidP="00E578DD">
            <w:pPr>
              <w:pStyle w:val="TableNText"/>
              <w:keepNext w:val="0"/>
              <w:keepLines/>
              <w:spacing w:before="20" w:after="20"/>
              <w:jc w:val="center"/>
            </w:pPr>
            <w:r>
              <w:t>1</w:t>
            </w:r>
          </w:p>
        </w:tc>
        <w:tc>
          <w:tcPr>
            <w:tcW w:w="3544" w:type="dxa"/>
          </w:tcPr>
          <w:p w14:paraId="0A70DA89" w14:textId="0FAECA57" w:rsidR="00B60431" w:rsidRPr="00983AE3" w:rsidRDefault="00B60431" w:rsidP="00E578DD">
            <w:pPr>
              <w:pStyle w:val="TableNText"/>
              <w:keepLines/>
              <w:spacing w:before="20" w:after="20"/>
              <w:rPr>
                <w:rFonts w:eastAsia="Segoe UI"/>
              </w:rPr>
            </w:pPr>
            <w:r w:rsidRPr="002C0A43">
              <w:rPr>
                <w:rFonts w:asciiTheme="majorHAnsi" w:eastAsia="Segoe UI" w:hAnsiTheme="majorHAnsi" w:cstheme="majorHAnsi"/>
              </w:rPr>
              <w:t>Indicator 14</w:t>
            </w:r>
            <w:r w:rsidRPr="00A77282">
              <w:rPr>
                <w:rFonts w:eastAsia="Segoe UI"/>
              </w:rPr>
              <w:t>: Implementation of new assessment processes</w:t>
            </w:r>
          </w:p>
        </w:tc>
        <w:tc>
          <w:tcPr>
            <w:tcW w:w="6490" w:type="dxa"/>
          </w:tcPr>
          <w:p w14:paraId="70444E3F" w14:textId="77777777" w:rsidR="00B60431" w:rsidRDefault="00B60431" w:rsidP="00E578DD">
            <w:pPr>
              <w:pStyle w:val="TableNBullet"/>
              <w:keepLines/>
              <w:spacing w:before="20" w:after="20"/>
              <w:rPr>
                <w:rFonts w:eastAsia="Segoe UI"/>
              </w:rPr>
            </w:pPr>
            <w:r w:rsidRPr="002C0A43">
              <w:rPr>
                <w:rFonts w:asciiTheme="majorHAnsi" w:eastAsia="Segoe UI" w:hAnsiTheme="majorHAnsi" w:cstheme="majorHAnsi"/>
                <w:color w:val="F25E21" w:themeColor="accent2"/>
              </w:rPr>
              <w:t>Measure 14.1</w:t>
            </w:r>
            <w:r w:rsidRPr="00CA1294">
              <w:rPr>
                <w:rFonts w:eastAsia="Segoe UI"/>
              </w:rPr>
              <w:t>: Description of assessment pathways</w:t>
            </w:r>
          </w:p>
          <w:p w14:paraId="6EE35357" w14:textId="41DC0FDA" w:rsidR="00B60431" w:rsidRPr="007E5097" w:rsidRDefault="00B60431" w:rsidP="00E578DD">
            <w:pPr>
              <w:pStyle w:val="TableNBullet"/>
              <w:keepLines/>
              <w:spacing w:before="20" w:after="20"/>
              <w:rPr>
                <w:rFonts w:eastAsia="Segoe UI"/>
              </w:rPr>
            </w:pPr>
            <w:r w:rsidRPr="002C0A43">
              <w:rPr>
                <w:rFonts w:asciiTheme="majorHAnsi" w:eastAsia="Segoe UI" w:hAnsiTheme="majorHAnsi" w:cstheme="majorHAnsi"/>
                <w:color w:val="F25E21" w:themeColor="accent2"/>
              </w:rPr>
              <w:t>Measure 14.2</w:t>
            </w:r>
            <w:r w:rsidRPr="00A51CC8">
              <w:rPr>
                <w:rFonts w:eastAsia="Segoe UI"/>
              </w:rPr>
              <w:t>: Description of governance processes</w:t>
            </w:r>
          </w:p>
        </w:tc>
      </w:tr>
      <w:tr w:rsidR="00B60431" w14:paraId="18BE0D44" w14:textId="77777777" w:rsidTr="3787E91E">
        <w:trPr>
          <w:cnfStyle w:val="000000010000" w:firstRow="0" w:lastRow="0" w:firstColumn="0" w:lastColumn="0" w:oddVBand="0" w:evenVBand="0" w:oddHBand="0" w:evenHBand="1" w:firstRowFirstColumn="0" w:firstRowLastColumn="0" w:lastRowFirstColumn="0" w:lastRowLastColumn="0"/>
          <w:trHeight w:val="664"/>
        </w:trPr>
        <w:tc>
          <w:tcPr>
            <w:tcW w:w="2835" w:type="dxa"/>
            <w:vMerge/>
          </w:tcPr>
          <w:p w14:paraId="3C80987D" w14:textId="77777777" w:rsidR="00B60431" w:rsidRPr="00983AE3" w:rsidRDefault="00B60431" w:rsidP="00E578DD">
            <w:pPr>
              <w:pStyle w:val="TableNText"/>
              <w:keepNext w:val="0"/>
              <w:keepLines/>
              <w:spacing w:before="20" w:after="20"/>
              <w:rPr>
                <w:rFonts w:eastAsia="Segoe UI"/>
              </w:rPr>
            </w:pPr>
          </w:p>
        </w:tc>
        <w:tc>
          <w:tcPr>
            <w:tcW w:w="851" w:type="dxa"/>
          </w:tcPr>
          <w:p w14:paraId="2C66BB45" w14:textId="0AC83826" w:rsidR="00B60431" w:rsidRPr="00983AE3" w:rsidRDefault="00B60431" w:rsidP="00E578DD">
            <w:pPr>
              <w:pStyle w:val="TableNText"/>
              <w:keepNext w:val="0"/>
              <w:keepLines/>
              <w:spacing w:before="20" w:after="20"/>
              <w:jc w:val="center"/>
            </w:pPr>
            <w:r>
              <w:t>2</w:t>
            </w:r>
          </w:p>
        </w:tc>
        <w:tc>
          <w:tcPr>
            <w:tcW w:w="3544" w:type="dxa"/>
          </w:tcPr>
          <w:p w14:paraId="7C2B00F5" w14:textId="4BB33555" w:rsidR="00B60431" w:rsidRPr="00983AE3" w:rsidRDefault="00B60431" w:rsidP="00E578DD">
            <w:pPr>
              <w:pStyle w:val="TableNText"/>
              <w:keepLines/>
              <w:spacing w:before="20" w:after="20"/>
              <w:rPr>
                <w:rFonts w:eastAsia="Segoe UI"/>
              </w:rPr>
            </w:pPr>
            <w:r w:rsidRPr="002C0A43">
              <w:rPr>
                <w:rFonts w:asciiTheme="majorHAnsi" w:eastAsia="Segoe UI" w:hAnsiTheme="majorHAnsi" w:cstheme="majorHAnsi"/>
              </w:rPr>
              <w:t>Indicator 15</w:t>
            </w:r>
            <w:r w:rsidRPr="00FB410A">
              <w:rPr>
                <w:rFonts w:eastAsia="Segoe UI"/>
              </w:rPr>
              <w:t>: Assessment of new assessment processes</w:t>
            </w:r>
          </w:p>
        </w:tc>
        <w:tc>
          <w:tcPr>
            <w:tcW w:w="6490" w:type="dxa"/>
          </w:tcPr>
          <w:p w14:paraId="633D8DD9" w14:textId="77777777" w:rsidR="00B60431" w:rsidRDefault="00B60431" w:rsidP="00E578DD">
            <w:pPr>
              <w:pStyle w:val="TableNBullet"/>
              <w:keepLines/>
              <w:spacing w:before="20" w:after="20"/>
              <w:rPr>
                <w:rFonts w:eastAsia="Segoe UI"/>
              </w:rPr>
            </w:pPr>
            <w:r w:rsidRPr="002C0A43">
              <w:rPr>
                <w:rFonts w:asciiTheme="majorHAnsi" w:eastAsia="Segoe UI" w:hAnsiTheme="majorHAnsi" w:cstheme="majorHAnsi"/>
                <w:color w:val="F25E21" w:themeColor="accent2"/>
              </w:rPr>
              <w:t>Measure 15.1</w:t>
            </w:r>
            <w:r w:rsidRPr="002C0A43">
              <w:rPr>
                <w:rFonts w:asciiTheme="minorHAnsi" w:eastAsia="Segoe UI" w:hAnsiTheme="minorHAnsi" w:cstheme="minorHAnsi"/>
              </w:rPr>
              <w:t>: Volume</w:t>
            </w:r>
            <w:r w:rsidRPr="002C0A43">
              <w:rPr>
                <w:rFonts w:eastAsia="Segoe UI"/>
              </w:rPr>
              <w:t xml:space="preserve"> </w:t>
            </w:r>
            <w:r w:rsidRPr="000C35CC">
              <w:rPr>
                <w:rFonts w:eastAsia="Segoe UI"/>
              </w:rPr>
              <w:t>of PL applications per tier</w:t>
            </w:r>
          </w:p>
          <w:p w14:paraId="18D0AE5E" w14:textId="30EA19D5" w:rsidR="00B60431" w:rsidRPr="00983AE3" w:rsidRDefault="00B60431" w:rsidP="00E578DD">
            <w:pPr>
              <w:pStyle w:val="TableNBullet"/>
              <w:keepLines/>
              <w:spacing w:before="20" w:after="20"/>
              <w:rPr>
                <w:rFonts w:eastAsia="Segoe UI"/>
              </w:rPr>
            </w:pPr>
            <w:r w:rsidRPr="002C0A43">
              <w:rPr>
                <w:rFonts w:asciiTheme="majorHAnsi" w:eastAsia="Segoe UI" w:hAnsiTheme="majorHAnsi" w:cstheme="majorHAnsi"/>
                <w:color w:val="F25E21" w:themeColor="accent2"/>
              </w:rPr>
              <w:t>Measure 15.2</w:t>
            </w:r>
            <w:r w:rsidRPr="00B60431">
              <w:rPr>
                <w:rFonts w:eastAsia="Segoe UI"/>
              </w:rPr>
              <w:t>: Stakeholder perspectives on the assessment pathways and listing process</w:t>
            </w:r>
          </w:p>
        </w:tc>
      </w:tr>
      <w:tr w:rsidR="007F4E03" w14:paraId="17F2E052" w14:textId="77777777" w:rsidTr="3787E91E">
        <w:trPr>
          <w:cnfStyle w:val="000000100000" w:firstRow="0" w:lastRow="0" w:firstColumn="0" w:lastColumn="0" w:oddVBand="0" w:evenVBand="0" w:oddHBand="1" w:evenHBand="0" w:firstRowFirstColumn="0" w:firstRowLastColumn="0" w:lastRowFirstColumn="0" w:lastRowLastColumn="0"/>
        </w:trPr>
        <w:tc>
          <w:tcPr>
            <w:tcW w:w="2835" w:type="dxa"/>
            <w:vMerge w:val="restart"/>
          </w:tcPr>
          <w:p w14:paraId="1F9B2AE7" w14:textId="77777777" w:rsidR="007F4E03" w:rsidRPr="00983AE3" w:rsidRDefault="007F4E03" w:rsidP="00E578DD">
            <w:pPr>
              <w:pStyle w:val="TableNText"/>
              <w:keepNext w:val="0"/>
              <w:keepLines/>
              <w:spacing w:before="20" w:after="20"/>
              <w:rPr>
                <w:rFonts w:eastAsia="Segoe UI"/>
              </w:rPr>
            </w:pPr>
            <w:r w:rsidRPr="00983AE3">
              <w:rPr>
                <w:rFonts w:eastAsia="Segoe UI"/>
              </w:rPr>
              <w:t>7. Develop and implement PL listing review and PL compliance frameworks to safeguard the PL reforms</w:t>
            </w:r>
          </w:p>
        </w:tc>
        <w:tc>
          <w:tcPr>
            <w:tcW w:w="851" w:type="dxa"/>
          </w:tcPr>
          <w:p w14:paraId="1EC994AB" w14:textId="0B9F6DD8" w:rsidR="007F4E03" w:rsidRPr="00983AE3" w:rsidRDefault="007F4E03" w:rsidP="00E578DD">
            <w:pPr>
              <w:pStyle w:val="TableNText"/>
              <w:keepNext w:val="0"/>
              <w:keepLines/>
              <w:spacing w:before="20" w:after="20"/>
              <w:jc w:val="center"/>
            </w:pPr>
            <w:r>
              <w:t>1</w:t>
            </w:r>
          </w:p>
        </w:tc>
        <w:tc>
          <w:tcPr>
            <w:tcW w:w="3544" w:type="dxa"/>
          </w:tcPr>
          <w:p w14:paraId="23C2D2A5" w14:textId="457AC6E3" w:rsidR="007F4E03" w:rsidRPr="00983AE3" w:rsidRDefault="007F4E03" w:rsidP="00E578DD">
            <w:pPr>
              <w:pStyle w:val="TableNText"/>
              <w:keepLines/>
              <w:spacing w:before="20" w:after="20"/>
              <w:rPr>
                <w:rFonts w:eastAsia="Segoe UI"/>
              </w:rPr>
            </w:pPr>
            <w:r w:rsidRPr="002C0A43">
              <w:rPr>
                <w:rFonts w:asciiTheme="majorHAnsi" w:eastAsia="Segoe UI" w:hAnsiTheme="majorHAnsi" w:cstheme="majorHAnsi"/>
              </w:rPr>
              <w:t>Indicator 16</w:t>
            </w:r>
            <w:r w:rsidRPr="000559D2">
              <w:rPr>
                <w:rFonts w:eastAsia="Segoe UI"/>
              </w:rPr>
              <w:t>: Change in listing review and compliance frameworks</w:t>
            </w:r>
          </w:p>
        </w:tc>
        <w:tc>
          <w:tcPr>
            <w:tcW w:w="6490" w:type="dxa"/>
          </w:tcPr>
          <w:p w14:paraId="6BEEA621" w14:textId="77777777" w:rsidR="007F4E03" w:rsidRDefault="007F4E03" w:rsidP="00E578DD">
            <w:pPr>
              <w:pStyle w:val="TableNBullet"/>
              <w:keepLines/>
              <w:spacing w:before="20" w:after="20"/>
              <w:rPr>
                <w:rFonts w:eastAsia="Segoe UI"/>
              </w:rPr>
            </w:pPr>
            <w:r w:rsidRPr="002C0A43">
              <w:rPr>
                <w:rFonts w:asciiTheme="majorHAnsi" w:eastAsia="Segoe UI" w:hAnsiTheme="majorHAnsi" w:cstheme="majorHAnsi"/>
                <w:color w:val="F25E21" w:themeColor="accent2"/>
              </w:rPr>
              <w:t>Measure 16.1</w:t>
            </w:r>
            <w:r w:rsidRPr="00BA3CCD">
              <w:rPr>
                <w:rFonts w:eastAsia="Segoe UI"/>
              </w:rPr>
              <w:t>: Description of post-listing review framework</w:t>
            </w:r>
          </w:p>
          <w:p w14:paraId="3659392A" w14:textId="5DC96AEA" w:rsidR="007F4E03" w:rsidRPr="00983AE3" w:rsidRDefault="007F4E03" w:rsidP="00E578DD">
            <w:pPr>
              <w:pStyle w:val="TableNBullet"/>
              <w:keepLines/>
              <w:spacing w:before="20" w:after="20"/>
              <w:rPr>
                <w:rFonts w:eastAsia="Segoe UI"/>
              </w:rPr>
            </w:pPr>
            <w:r w:rsidRPr="002C0A43">
              <w:rPr>
                <w:rFonts w:asciiTheme="majorHAnsi" w:eastAsia="Segoe UI" w:hAnsiTheme="majorHAnsi" w:cstheme="majorHAnsi"/>
                <w:color w:val="F25E21" w:themeColor="accent2"/>
              </w:rPr>
              <w:t>Measure 16.2</w:t>
            </w:r>
            <w:r w:rsidRPr="005E6C6E">
              <w:rPr>
                <w:rFonts w:eastAsia="Segoe UI"/>
              </w:rPr>
              <w:t>: Description of compliance strategy</w:t>
            </w:r>
          </w:p>
        </w:tc>
      </w:tr>
      <w:tr w:rsidR="007F4E03" w14:paraId="38F0B5D4" w14:textId="77777777" w:rsidTr="3787E91E">
        <w:trPr>
          <w:cnfStyle w:val="000000010000" w:firstRow="0" w:lastRow="0" w:firstColumn="0" w:lastColumn="0" w:oddVBand="0" w:evenVBand="0" w:oddHBand="0" w:evenHBand="1" w:firstRowFirstColumn="0" w:firstRowLastColumn="0" w:lastRowFirstColumn="0" w:lastRowLastColumn="0"/>
        </w:trPr>
        <w:tc>
          <w:tcPr>
            <w:tcW w:w="2835" w:type="dxa"/>
            <w:vMerge/>
          </w:tcPr>
          <w:p w14:paraId="15619492" w14:textId="77777777" w:rsidR="007F4E03" w:rsidRPr="00983AE3" w:rsidRDefault="007F4E03" w:rsidP="00E578DD">
            <w:pPr>
              <w:pStyle w:val="TableNText"/>
              <w:keepNext w:val="0"/>
              <w:keepLines/>
              <w:spacing w:before="20" w:after="20"/>
              <w:rPr>
                <w:rFonts w:eastAsia="Segoe UI"/>
              </w:rPr>
            </w:pPr>
          </w:p>
        </w:tc>
        <w:tc>
          <w:tcPr>
            <w:tcW w:w="851" w:type="dxa"/>
          </w:tcPr>
          <w:p w14:paraId="5B8D6A1F" w14:textId="7E45BDF9" w:rsidR="007F4E03" w:rsidRPr="00983AE3" w:rsidRDefault="007F4E03" w:rsidP="00E578DD">
            <w:pPr>
              <w:pStyle w:val="TableNText"/>
              <w:keepNext w:val="0"/>
              <w:keepLines/>
              <w:spacing w:before="20" w:after="20"/>
              <w:jc w:val="center"/>
              <w:rPr>
                <w:rFonts w:eastAsia="Segoe UI"/>
              </w:rPr>
            </w:pPr>
            <w:r>
              <w:rPr>
                <w:rFonts w:eastAsia="Segoe UI"/>
              </w:rPr>
              <w:t>2</w:t>
            </w:r>
          </w:p>
        </w:tc>
        <w:tc>
          <w:tcPr>
            <w:tcW w:w="3544" w:type="dxa"/>
          </w:tcPr>
          <w:p w14:paraId="5B2D133B" w14:textId="4AB9E313" w:rsidR="007F4E03" w:rsidRPr="00983AE3" w:rsidRDefault="007F4E03" w:rsidP="00E578DD">
            <w:pPr>
              <w:pStyle w:val="TableNText"/>
              <w:keepLines/>
              <w:spacing w:before="20" w:after="20"/>
              <w:rPr>
                <w:rFonts w:eastAsia="Segoe UI"/>
              </w:rPr>
            </w:pPr>
            <w:r w:rsidRPr="002C0A43">
              <w:rPr>
                <w:rFonts w:asciiTheme="majorHAnsi" w:eastAsia="Segoe UI" w:hAnsiTheme="majorHAnsi" w:cstheme="majorHAnsi"/>
              </w:rPr>
              <w:t>Indicator 17</w:t>
            </w:r>
            <w:r w:rsidRPr="0001189F">
              <w:rPr>
                <w:rFonts w:eastAsia="Segoe UI"/>
              </w:rPr>
              <w:t>: Assessment of listing review and compliance frameworks</w:t>
            </w:r>
          </w:p>
        </w:tc>
        <w:tc>
          <w:tcPr>
            <w:tcW w:w="6490" w:type="dxa"/>
          </w:tcPr>
          <w:p w14:paraId="4398B3E7" w14:textId="77777777" w:rsidR="007F4E03" w:rsidRDefault="007F4E03" w:rsidP="00E578DD">
            <w:pPr>
              <w:pStyle w:val="TableNBullet"/>
              <w:keepLines/>
              <w:spacing w:before="20" w:after="20"/>
              <w:rPr>
                <w:rFonts w:eastAsia="Segoe UI"/>
              </w:rPr>
            </w:pPr>
            <w:r w:rsidRPr="002C0A43">
              <w:rPr>
                <w:rFonts w:asciiTheme="majorHAnsi" w:eastAsia="Segoe UI" w:hAnsiTheme="majorHAnsi" w:cstheme="majorHAnsi"/>
                <w:color w:val="F25E21" w:themeColor="accent2"/>
              </w:rPr>
              <w:t>Measure 17.1</w:t>
            </w:r>
            <w:r w:rsidRPr="00CB6233">
              <w:rPr>
                <w:rFonts w:eastAsia="Segoe UI"/>
              </w:rPr>
              <w:t xml:space="preserve">: Description of post-listing reviews </w:t>
            </w:r>
            <w:proofErr w:type="gramStart"/>
            <w:r w:rsidRPr="00CB6233">
              <w:rPr>
                <w:rFonts w:eastAsia="Segoe UI"/>
              </w:rPr>
              <w:t>conducted</w:t>
            </w:r>
            <w:proofErr w:type="gramEnd"/>
          </w:p>
          <w:p w14:paraId="6803EF7A" w14:textId="77777777" w:rsidR="007F4E03" w:rsidRDefault="007F4E03" w:rsidP="00E578DD">
            <w:pPr>
              <w:pStyle w:val="TableNBullet"/>
              <w:keepLines/>
              <w:spacing w:before="20" w:after="20"/>
              <w:rPr>
                <w:rFonts w:eastAsia="Segoe UI"/>
              </w:rPr>
            </w:pPr>
            <w:r w:rsidRPr="002C0A43">
              <w:rPr>
                <w:rFonts w:asciiTheme="majorHAnsi" w:eastAsia="Segoe UI" w:hAnsiTheme="majorHAnsi" w:cstheme="majorHAnsi"/>
                <w:color w:val="F25E21" w:themeColor="accent2"/>
              </w:rPr>
              <w:t>Measure 17.2</w:t>
            </w:r>
            <w:r w:rsidRPr="007F4E03">
              <w:rPr>
                <w:rFonts w:eastAsia="Segoe UI"/>
              </w:rPr>
              <w:t>: Stakeholder perspectives on post-listing reviews</w:t>
            </w:r>
          </w:p>
          <w:p w14:paraId="305B9239" w14:textId="77777777" w:rsidR="00771234" w:rsidRDefault="00A3575A" w:rsidP="00E578DD">
            <w:pPr>
              <w:pStyle w:val="TableNBullet"/>
              <w:keepLines/>
              <w:spacing w:before="20" w:after="20"/>
              <w:rPr>
                <w:rFonts w:eastAsia="Segoe UI"/>
              </w:rPr>
            </w:pPr>
            <w:r w:rsidRPr="002C0A43">
              <w:rPr>
                <w:rFonts w:asciiTheme="majorHAnsi" w:eastAsia="Segoe UI" w:hAnsiTheme="majorHAnsi" w:cstheme="majorHAnsi"/>
                <w:color w:val="F25E21" w:themeColor="accent2"/>
              </w:rPr>
              <w:t>Measure 17.3</w:t>
            </w:r>
            <w:r w:rsidRPr="00A3575A">
              <w:rPr>
                <w:rFonts w:eastAsia="Segoe UI"/>
              </w:rPr>
              <w:t xml:space="preserve">: Description of compliance activities </w:t>
            </w:r>
            <w:proofErr w:type="gramStart"/>
            <w:r w:rsidRPr="00A3575A">
              <w:rPr>
                <w:rFonts w:eastAsia="Segoe UI"/>
              </w:rPr>
              <w:t>conducted</w:t>
            </w:r>
            <w:proofErr w:type="gramEnd"/>
          </w:p>
          <w:p w14:paraId="6B47B4D1" w14:textId="001DB6D5" w:rsidR="009D6B9E" w:rsidRPr="00983AE3" w:rsidRDefault="009D6B9E" w:rsidP="00E578DD">
            <w:pPr>
              <w:pStyle w:val="TableNBullet"/>
              <w:keepLines/>
              <w:spacing w:before="20" w:after="20"/>
              <w:rPr>
                <w:rFonts w:eastAsia="Segoe UI"/>
              </w:rPr>
            </w:pPr>
            <w:r w:rsidRPr="002C0A43">
              <w:rPr>
                <w:rFonts w:asciiTheme="majorHAnsi" w:eastAsia="Segoe UI" w:hAnsiTheme="majorHAnsi" w:cstheme="majorHAnsi"/>
                <w:color w:val="F25E21" w:themeColor="accent2"/>
              </w:rPr>
              <w:t>Measure 17.4</w:t>
            </w:r>
            <w:r w:rsidRPr="009D6B9E">
              <w:rPr>
                <w:rFonts w:eastAsia="Segoe UI"/>
              </w:rPr>
              <w:t>: Stakeholder perspectives on PL compliance</w:t>
            </w:r>
          </w:p>
        </w:tc>
      </w:tr>
      <w:tr w:rsidR="002C0A43" w14:paraId="35E38EB0" w14:textId="77777777" w:rsidTr="3787E91E">
        <w:trPr>
          <w:cnfStyle w:val="000000100000" w:firstRow="0" w:lastRow="0" w:firstColumn="0" w:lastColumn="0" w:oddVBand="0" w:evenVBand="0" w:oddHBand="1" w:evenHBand="0" w:firstRowFirstColumn="0" w:firstRowLastColumn="0" w:lastRowFirstColumn="0" w:lastRowLastColumn="0"/>
        </w:trPr>
        <w:tc>
          <w:tcPr>
            <w:tcW w:w="2835" w:type="dxa"/>
            <w:vMerge w:val="restart"/>
          </w:tcPr>
          <w:p w14:paraId="6A6A994C" w14:textId="6C1F662B" w:rsidR="002C0A43" w:rsidRPr="00983AE3" w:rsidRDefault="002C0A43" w:rsidP="00E578DD">
            <w:pPr>
              <w:pStyle w:val="TableNText"/>
              <w:keepNext w:val="0"/>
              <w:keepLines/>
              <w:spacing w:before="20" w:after="20"/>
              <w:rPr>
                <w:rFonts w:eastAsia="Segoe UI"/>
              </w:rPr>
            </w:pPr>
            <w:r w:rsidRPr="00983AE3">
              <w:rPr>
                <w:rFonts w:eastAsia="Segoe UI"/>
              </w:rPr>
              <w:t>8. Ensure ongoing financial sustainability of PL administration through effective and efficient cost recovery arrangements that are compliant with the AGCF</w:t>
            </w:r>
          </w:p>
        </w:tc>
        <w:tc>
          <w:tcPr>
            <w:tcW w:w="851" w:type="dxa"/>
          </w:tcPr>
          <w:p w14:paraId="1687E3C2" w14:textId="5495F6BC" w:rsidR="002C0A43" w:rsidRPr="00983AE3" w:rsidRDefault="002C0A43" w:rsidP="00E578DD">
            <w:pPr>
              <w:pStyle w:val="TableNText"/>
              <w:keepNext w:val="0"/>
              <w:keepLines/>
              <w:spacing w:before="20" w:after="20"/>
              <w:jc w:val="center"/>
              <w:rPr>
                <w:rFonts w:eastAsia="Segoe UI"/>
              </w:rPr>
            </w:pPr>
            <w:r>
              <w:rPr>
                <w:rFonts w:eastAsia="Segoe UI"/>
              </w:rPr>
              <w:t>1</w:t>
            </w:r>
          </w:p>
        </w:tc>
        <w:tc>
          <w:tcPr>
            <w:tcW w:w="3544" w:type="dxa"/>
          </w:tcPr>
          <w:p w14:paraId="76395992" w14:textId="71A00298" w:rsidR="002C0A43" w:rsidRPr="00983AE3" w:rsidRDefault="002C0A43" w:rsidP="00E578DD">
            <w:pPr>
              <w:pStyle w:val="TableNText"/>
              <w:keepLines/>
              <w:spacing w:before="20" w:after="20"/>
              <w:rPr>
                <w:rFonts w:eastAsia="Segoe UI"/>
              </w:rPr>
            </w:pPr>
            <w:r w:rsidRPr="002C0A43">
              <w:rPr>
                <w:rFonts w:asciiTheme="majorHAnsi" w:eastAsia="Segoe UI" w:hAnsiTheme="majorHAnsi" w:cstheme="majorHAnsi"/>
              </w:rPr>
              <w:t>Indicator 18</w:t>
            </w:r>
            <w:r w:rsidRPr="00E40C6C">
              <w:rPr>
                <w:rFonts w:eastAsia="Segoe UI"/>
              </w:rPr>
              <w:t>: Implementation of cost recovery arrangements</w:t>
            </w:r>
          </w:p>
        </w:tc>
        <w:tc>
          <w:tcPr>
            <w:tcW w:w="6490" w:type="dxa"/>
          </w:tcPr>
          <w:p w14:paraId="112E3CEA" w14:textId="19C2B7DD" w:rsidR="002C0A43" w:rsidRPr="00983AE3" w:rsidRDefault="002C0A43" w:rsidP="00E578DD">
            <w:pPr>
              <w:pStyle w:val="TableNBullet"/>
              <w:keepLines/>
              <w:spacing w:before="20" w:after="20"/>
              <w:rPr>
                <w:rFonts w:eastAsia="Segoe UI"/>
              </w:rPr>
            </w:pPr>
            <w:r w:rsidRPr="002C0A43">
              <w:rPr>
                <w:rFonts w:asciiTheme="majorHAnsi" w:eastAsia="Segoe UI" w:hAnsiTheme="majorHAnsi" w:cstheme="majorHAnsi"/>
                <w:color w:val="F25E21" w:themeColor="accent2"/>
              </w:rPr>
              <w:t>Measure 18.1</w:t>
            </w:r>
            <w:r w:rsidRPr="00CD3D0A">
              <w:rPr>
                <w:rFonts w:eastAsia="Segoe UI"/>
              </w:rPr>
              <w:t>: Description of cost recovery arrangements</w:t>
            </w:r>
          </w:p>
        </w:tc>
      </w:tr>
      <w:tr w:rsidR="002C0A43" w14:paraId="311E3FBC" w14:textId="77777777" w:rsidTr="3787E91E">
        <w:trPr>
          <w:cnfStyle w:val="000000010000" w:firstRow="0" w:lastRow="0" w:firstColumn="0" w:lastColumn="0" w:oddVBand="0" w:evenVBand="0" w:oddHBand="0" w:evenHBand="1" w:firstRowFirstColumn="0" w:firstRowLastColumn="0" w:lastRowFirstColumn="0" w:lastRowLastColumn="0"/>
        </w:trPr>
        <w:tc>
          <w:tcPr>
            <w:tcW w:w="2835" w:type="dxa"/>
            <w:vMerge/>
          </w:tcPr>
          <w:p w14:paraId="5B945805" w14:textId="01246410" w:rsidR="002C0A43" w:rsidRPr="00983AE3" w:rsidRDefault="002C0A43" w:rsidP="00E578DD">
            <w:pPr>
              <w:pStyle w:val="TableNText"/>
              <w:keepNext w:val="0"/>
              <w:keepLines/>
              <w:spacing w:before="20" w:after="20"/>
              <w:rPr>
                <w:rFonts w:eastAsia="Segoe UI"/>
              </w:rPr>
            </w:pPr>
          </w:p>
        </w:tc>
        <w:tc>
          <w:tcPr>
            <w:tcW w:w="851" w:type="dxa"/>
          </w:tcPr>
          <w:p w14:paraId="6501946D" w14:textId="18277F1D" w:rsidR="002C0A43" w:rsidRPr="00983AE3" w:rsidRDefault="002C0A43" w:rsidP="00E578DD">
            <w:pPr>
              <w:pStyle w:val="TableNText"/>
              <w:keepNext w:val="0"/>
              <w:keepLines/>
              <w:spacing w:before="20" w:after="20"/>
              <w:jc w:val="center"/>
              <w:rPr>
                <w:rFonts w:eastAsia="Segoe UI"/>
              </w:rPr>
            </w:pPr>
            <w:r>
              <w:rPr>
                <w:rFonts w:eastAsia="Segoe UI"/>
              </w:rPr>
              <w:t>2</w:t>
            </w:r>
          </w:p>
        </w:tc>
        <w:tc>
          <w:tcPr>
            <w:tcW w:w="3544" w:type="dxa"/>
          </w:tcPr>
          <w:p w14:paraId="6AE3DC94" w14:textId="459D9335" w:rsidR="002C0A43" w:rsidRPr="00983AE3" w:rsidRDefault="002C0A43" w:rsidP="00E578DD">
            <w:pPr>
              <w:pStyle w:val="TableNText"/>
              <w:keepLines/>
              <w:spacing w:before="20" w:after="20"/>
              <w:rPr>
                <w:rFonts w:eastAsia="Segoe UI"/>
              </w:rPr>
            </w:pPr>
            <w:r w:rsidRPr="002C0A43">
              <w:rPr>
                <w:rFonts w:asciiTheme="majorHAnsi" w:eastAsia="Segoe UI" w:hAnsiTheme="majorHAnsi" w:cstheme="majorHAnsi"/>
              </w:rPr>
              <w:t>Indicator 19</w:t>
            </w:r>
            <w:r w:rsidRPr="00B325C4">
              <w:rPr>
                <w:rFonts w:eastAsia="Segoe UI"/>
              </w:rPr>
              <w:t>: Financial sustainability of PL administration</w:t>
            </w:r>
          </w:p>
        </w:tc>
        <w:tc>
          <w:tcPr>
            <w:tcW w:w="6490" w:type="dxa"/>
          </w:tcPr>
          <w:p w14:paraId="2702D3B4" w14:textId="77777777" w:rsidR="002C0A43" w:rsidRDefault="002C0A43" w:rsidP="00E578DD">
            <w:pPr>
              <w:pStyle w:val="TableNBullet"/>
              <w:keepLines/>
              <w:spacing w:before="20" w:after="20"/>
              <w:rPr>
                <w:rFonts w:eastAsia="Segoe UI"/>
              </w:rPr>
            </w:pPr>
            <w:r w:rsidRPr="002C0A43">
              <w:rPr>
                <w:rFonts w:asciiTheme="majorHAnsi" w:eastAsia="Segoe UI" w:hAnsiTheme="majorHAnsi" w:cstheme="majorHAnsi"/>
                <w:color w:val="F25E21" w:themeColor="accent2"/>
              </w:rPr>
              <w:t>Measure 19.1</w:t>
            </w:r>
            <w:r w:rsidRPr="00F571E2">
              <w:rPr>
                <w:rFonts w:eastAsia="Segoe UI"/>
              </w:rPr>
              <w:t xml:space="preserve">: Change in PL administrative </w:t>
            </w:r>
            <w:proofErr w:type="gramStart"/>
            <w:r w:rsidRPr="00F571E2">
              <w:rPr>
                <w:rFonts w:eastAsia="Segoe UI"/>
              </w:rPr>
              <w:t>effort</w:t>
            </w:r>
            <w:proofErr w:type="gramEnd"/>
          </w:p>
          <w:p w14:paraId="08A806EC" w14:textId="121595AF" w:rsidR="002C0A43" w:rsidRPr="00983AE3" w:rsidRDefault="002C0A43" w:rsidP="00E578DD">
            <w:pPr>
              <w:pStyle w:val="TableNBullet"/>
              <w:keepLines/>
              <w:spacing w:before="20" w:after="20"/>
              <w:rPr>
                <w:rFonts w:eastAsia="Segoe UI"/>
              </w:rPr>
            </w:pPr>
            <w:r w:rsidRPr="002C0A43">
              <w:rPr>
                <w:rFonts w:asciiTheme="majorHAnsi" w:eastAsia="Segoe UI" w:hAnsiTheme="majorHAnsi" w:cstheme="majorHAnsi"/>
                <w:color w:val="F25E21" w:themeColor="accent2"/>
              </w:rPr>
              <w:t>Measure 19.2</w:t>
            </w:r>
            <w:r w:rsidRPr="00DB1EC0">
              <w:rPr>
                <w:rFonts w:eastAsia="Segoe UI"/>
              </w:rPr>
              <w:t>: Stakeholder perspectives on the financial sustainability of PL administration</w:t>
            </w:r>
          </w:p>
        </w:tc>
      </w:tr>
    </w:tbl>
    <w:p w14:paraId="2201A874" w14:textId="77777777" w:rsidR="00C73CA1" w:rsidRDefault="00C73CA1" w:rsidP="003C75EA">
      <w:pPr>
        <w:rPr>
          <w:lang w:eastAsia="en-AU"/>
        </w:rPr>
        <w:sectPr w:rsidR="00C73CA1" w:rsidSect="00BA60DA">
          <w:pgSz w:w="16839" w:h="11907" w:orient="landscape" w:code="9"/>
          <w:pgMar w:top="1559" w:right="1418" w:bottom="1418" w:left="1701" w:header="680" w:footer="680" w:gutter="0"/>
          <w:cols w:space="720"/>
          <w:docGrid w:linePitch="360"/>
        </w:sectPr>
      </w:pPr>
    </w:p>
    <w:p w14:paraId="0F8CF7A2" w14:textId="55C526A5" w:rsidR="00C73CA1" w:rsidRPr="00E578DD" w:rsidRDefault="008370DF" w:rsidP="00272214">
      <w:pPr>
        <w:pStyle w:val="xAppendixLevel1"/>
        <w:ind w:left="2268"/>
        <w:rPr>
          <w:sz w:val="34"/>
          <w:szCs w:val="34"/>
        </w:rPr>
      </w:pPr>
      <w:bookmarkStart w:id="59" w:name="_Ref159832999"/>
      <w:bookmarkStart w:id="60" w:name="_Ref159836628"/>
      <w:bookmarkStart w:id="61" w:name="_Toc179453687"/>
      <w:r w:rsidRPr="00E578DD">
        <w:rPr>
          <w:sz w:val="34"/>
          <w:szCs w:val="34"/>
        </w:rPr>
        <w:lastRenderedPageBreak/>
        <w:t>Measurement guides and baseline values</w:t>
      </w:r>
      <w:bookmarkEnd w:id="59"/>
      <w:bookmarkEnd w:id="60"/>
      <w:bookmarkEnd w:id="61"/>
    </w:p>
    <w:p w14:paraId="25411911" w14:textId="2C6F2E28" w:rsidR="009070A2" w:rsidRDefault="00C33A80" w:rsidP="00804CDF">
      <w:pPr>
        <w:pStyle w:val="Heading2"/>
        <w:numPr>
          <w:ilvl w:val="0"/>
          <w:numId w:val="0"/>
        </w:numPr>
      </w:pPr>
      <w:bookmarkStart w:id="62" w:name="_Toc179453688"/>
      <w:r>
        <w:t>Indicato</w:t>
      </w:r>
      <w:r w:rsidR="00650468">
        <w:t>r</w:t>
      </w:r>
      <w:r>
        <w:t xml:space="preserve"> 1: Reduction in benefits</w:t>
      </w:r>
      <w:bookmarkEnd w:id="62"/>
    </w:p>
    <w:p w14:paraId="55D6A590" w14:textId="77777777" w:rsidR="00D62A59" w:rsidRDefault="00D62A59" w:rsidP="009667DE">
      <w:pPr>
        <w:pStyle w:val="Heading4"/>
      </w:pPr>
      <w:r w:rsidRPr="0020314D">
        <w:rPr>
          <w:color w:val="F25E21" w:themeColor="accent2"/>
        </w:rPr>
        <w:t>Measure 1.1</w:t>
      </w:r>
      <w:r>
        <w:t xml:space="preserve">: Change in PL </w:t>
      </w:r>
      <w:proofErr w:type="gramStart"/>
      <w:r>
        <w:t>benefits</w:t>
      </w:r>
      <w:proofErr w:type="gramEnd"/>
    </w:p>
    <w:p w14:paraId="269A77CE" w14:textId="77777777" w:rsidR="00D62A59" w:rsidRDefault="00D62A59" w:rsidP="00E578DD">
      <w:pPr>
        <w:pStyle w:val="Heading6"/>
        <w:spacing w:before="120"/>
      </w:pPr>
      <w:r w:rsidRPr="004D1FFC">
        <w:t>Measurement guide</w:t>
      </w:r>
    </w:p>
    <w:p w14:paraId="0EF2E24B" w14:textId="551B712D" w:rsidR="00D62A59" w:rsidRDefault="00D62A59" w:rsidP="009667DE">
      <w:r>
        <w:t xml:space="preserve">This measure will track changes to PL benefits. If the reforms are being implemented as intended, all PL benefits of items eligible for reductions will occur as per the reduction schedule described in section </w:t>
      </w:r>
      <w:r>
        <w:fldChar w:fldCharType="begin"/>
      </w:r>
      <w:r>
        <w:instrText xml:space="preserve"> REF _Ref158980254 \r \h </w:instrText>
      </w:r>
      <w:r>
        <w:fldChar w:fldCharType="separate"/>
      </w:r>
      <w:r w:rsidR="00026714">
        <w:t>3.1.3</w:t>
      </w:r>
      <w:r>
        <w:fldChar w:fldCharType="end"/>
      </w:r>
      <w:r>
        <w:t>. This will be determined by comparing the benefits of benefits groups across the PL updates and showing the reduction. While the evaluation team does not have access to the public benchmark prices to do a product-by-product reconciliation, we have developed an approximation of these values that will enable us to determine at a higher level whether the benefit reductions have occurred as intended.</w:t>
      </w:r>
      <w:r w:rsidR="0074094B">
        <w:t xml:space="preserve"> Moreover, the Department has </w:t>
      </w:r>
      <w:r w:rsidR="008F4B38">
        <w:t xml:space="preserve">supplied a summary of the median </w:t>
      </w:r>
      <w:r w:rsidR="0074094B">
        <w:t xml:space="preserve">gap </w:t>
      </w:r>
      <w:r w:rsidR="008F4B38">
        <w:t>across PL categories (</w:t>
      </w:r>
      <w:r w:rsidR="00107B25">
        <w:t xml:space="preserve">see </w:t>
      </w:r>
      <w:r w:rsidR="008F4B38">
        <w:t xml:space="preserve">measure 2.2). </w:t>
      </w:r>
      <w:r w:rsidR="0074094B">
        <w:t xml:space="preserve"> </w:t>
      </w:r>
    </w:p>
    <w:p w14:paraId="16E02387" w14:textId="77777777" w:rsidR="00D62A59" w:rsidRDefault="00D62A59" w:rsidP="00E578DD">
      <w:pPr>
        <w:pStyle w:val="Heading6"/>
        <w:spacing w:before="120"/>
      </w:pPr>
      <w:r w:rsidRPr="004D1FFC">
        <w:t>Baseline value</w:t>
      </w:r>
    </w:p>
    <w:p w14:paraId="2FBFA213" w14:textId="4FD23A24" w:rsidR="00D62A59" w:rsidRDefault="00D62A59" w:rsidP="009667DE">
      <w:r>
        <w:t>The baseline value for this measure is the schedule of benefits for the 107</w:t>
      </w:r>
      <w:r w:rsidR="00231789">
        <w:t>19</w:t>
      </w:r>
      <w:r>
        <w:t xml:space="preserve"> billing codes on the </w:t>
      </w:r>
      <w:r w:rsidR="00231789">
        <w:t xml:space="preserve">March </w:t>
      </w:r>
      <w:r>
        <w:t>202</w:t>
      </w:r>
      <w:r w:rsidR="00231789">
        <w:t>2</w:t>
      </w:r>
      <w:r>
        <w:t xml:space="preserve"> PL</w:t>
      </w:r>
      <w:r w:rsidR="004257C5">
        <w:t xml:space="preserve"> (excluding Part B – human tissue products)</w:t>
      </w:r>
      <w:r>
        <w:t>.</w:t>
      </w:r>
      <w:r>
        <w:rPr>
          <w:rStyle w:val="FootnoteReference"/>
        </w:rPr>
        <w:footnoteReference w:id="100"/>
      </w:r>
      <w:r>
        <w:t xml:space="preserve"> These </w:t>
      </w:r>
      <w:r w:rsidR="00B62924">
        <w:t>billing codes</w:t>
      </w:r>
      <w:r>
        <w:t xml:space="preserve"> </w:t>
      </w:r>
      <w:r w:rsidR="00B62924">
        <w:t>map</w:t>
      </w:r>
      <w:r>
        <w:t xml:space="preserve"> </w:t>
      </w:r>
      <w:r w:rsidR="002E0A56">
        <w:t xml:space="preserve">to </w:t>
      </w:r>
      <w:r>
        <w:t>1665 benefit groups</w:t>
      </w:r>
      <w:r w:rsidR="00D45136">
        <w:rPr>
          <w:rStyle w:val="FootnoteReference"/>
        </w:rPr>
        <w:footnoteReference w:id="101"/>
      </w:r>
      <w:r w:rsidR="00B62924">
        <w:t xml:space="preserve"> from </w:t>
      </w:r>
      <w:r w:rsidR="00C76F80">
        <w:t>the November 2021</w:t>
      </w:r>
      <w:r w:rsidR="001D317B">
        <w:t xml:space="preserve"> PL</w:t>
      </w:r>
      <w:r>
        <w:t>,</w:t>
      </w:r>
      <w:r w:rsidR="007A069F">
        <w:t xml:space="preserve"> for</w:t>
      </w:r>
      <w:r>
        <w:t xml:space="preserve"> which </w:t>
      </w:r>
      <w:r w:rsidR="002274F3">
        <w:t>IHACPA</w:t>
      </w:r>
      <w:r>
        <w:t xml:space="preserve"> </w:t>
      </w:r>
      <w:r w:rsidR="002E0A56">
        <w:t>has</w:t>
      </w:r>
      <w:r w:rsidR="002274F3">
        <w:t xml:space="preserve"> </w:t>
      </w:r>
      <w:r>
        <w:t>determine</w:t>
      </w:r>
      <w:r w:rsidR="002274F3">
        <w:t>d</w:t>
      </w:r>
      <w:r>
        <w:t xml:space="preserve"> a national public benchmark </w:t>
      </w:r>
      <w:r w:rsidR="000D1D31">
        <w:t>price</w:t>
      </w:r>
      <w:r>
        <w:t xml:space="preserve"> </w:t>
      </w:r>
      <w:r w:rsidR="002C6024">
        <w:t>to aid the</w:t>
      </w:r>
      <w:r w:rsidR="009771DF">
        <w:t xml:space="preserve"> calculation of the</w:t>
      </w:r>
      <w:r w:rsidR="001D317B">
        <w:t xml:space="preserve"> benefit </w:t>
      </w:r>
      <w:r w:rsidR="009771DF">
        <w:t>reductions.</w:t>
      </w:r>
    </w:p>
    <w:p w14:paraId="65B976EF" w14:textId="10FBFAA9" w:rsidR="00D62A59" w:rsidRPr="000E5C21" w:rsidRDefault="00D62A59" w:rsidP="009667DE">
      <w:r>
        <w:fldChar w:fldCharType="begin"/>
      </w:r>
      <w:r>
        <w:instrText xml:space="preserve"> REF _Ref159320890 \h </w:instrText>
      </w:r>
      <w:r>
        <w:fldChar w:fldCharType="separate"/>
      </w:r>
      <w:r w:rsidR="00026714">
        <w:t xml:space="preserve">Table </w:t>
      </w:r>
      <w:r w:rsidR="00026714">
        <w:rPr>
          <w:noProof/>
        </w:rPr>
        <w:t>4</w:t>
      </w:r>
      <w:r>
        <w:fldChar w:fldCharType="end"/>
      </w:r>
      <w:r>
        <w:t xml:space="preserve"> below shows the benefit groups and items on </w:t>
      </w:r>
      <w:r w:rsidR="000A51B7">
        <w:t xml:space="preserve">Part A of </w:t>
      </w:r>
      <w:r>
        <w:t xml:space="preserve">the </w:t>
      </w:r>
      <w:r w:rsidR="000A51B7">
        <w:t>March</w:t>
      </w:r>
      <w:r>
        <w:t xml:space="preserve"> 202</w:t>
      </w:r>
      <w:r w:rsidR="000A51B7">
        <w:t>2</w:t>
      </w:r>
      <w:r>
        <w:t xml:space="preserve"> PL that were to be subject to reductions by July 2023. </w:t>
      </w:r>
      <w:r w:rsidR="0033652C">
        <w:t xml:space="preserve">This </w:t>
      </w:r>
      <w:r w:rsidR="00DB2F33">
        <w:t xml:space="preserve">complements </w:t>
      </w:r>
      <w:r w:rsidR="00463D7D">
        <w:fldChar w:fldCharType="begin"/>
      </w:r>
      <w:r w:rsidR="00463D7D">
        <w:instrText xml:space="preserve"> REF _Ref162017082 \h </w:instrText>
      </w:r>
      <w:r w:rsidR="00463D7D">
        <w:fldChar w:fldCharType="separate"/>
      </w:r>
      <w:r w:rsidR="00026714">
        <w:t xml:space="preserve">Figure </w:t>
      </w:r>
      <w:r w:rsidR="00026714">
        <w:rPr>
          <w:noProof/>
        </w:rPr>
        <w:t>7</w:t>
      </w:r>
      <w:r w:rsidR="00463D7D">
        <w:fldChar w:fldCharType="end"/>
      </w:r>
      <w:r w:rsidR="00DB2F33">
        <w:t xml:space="preserve"> (in section </w:t>
      </w:r>
      <w:r w:rsidR="000033FB">
        <w:fldChar w:fldCharType="begin"/>
      </w:r>
      <w:r w:rsidR="000033FB">
        <w:instrText xml:space="preserve"> REF _Ref158978167 \r \h </w:instrText>
      </w:r>
      <w:r w:rsidR="000033FB">
        <w:fldChar w:fldCharType="separate"/>
      </w:r>
      <w:r w:rsidR="00026714">
        <w:t>3.1.3</w:t>
      </w:r>
      <w:r w:rsidR="000033FB">
        <w:fldChar w:fldCharType="end"/>
      </w:r>
      <w:r w:rsidR="000033FB">
        <w:t>)</w:t>
      </w:r>
      <w:r w:rsidR="00DB2F33">
        <w:t>, which</w:t>
      </w:r>
      <w:r>
        <w:t xml:space="preserve"> shows the proportion of PL items that would be subject to </w:t>
      </w:r>
      <w:r w:rsidR="000A51B7">
        <w:t xml:space="preserve">reform </w:t>
      </w:r>
      <w:r>
        <w:t xml:space="preserve">reductions, not subject to </w:t>
      </w:r>
      <w:r w:rsidR="000A51B7">
        <w:t xml:space="preserve">reform </w:t>
      </w:r>
      <w:r>
        <w:t>reductions and removed by July 2023.</w:t>
      </w:r>
    </w:p>
    <w:p w14:paraId="1714AC55" w14:textId="49D1A217" w:rsidR="00D62A59" w:rsidRPr="00C72BED" w:rsidRDefault="00D62A59" w:rsidP="009667DE">
      <w:pPr>
        <w:pStyle w:val="Caption"/>
        <w:spacing w:before="240" w:after="120"/>
      </w:pPr>
      <w:bookmarkStart w:id="63" w:name="_Ref159320890"/>
      <w:r>
        <w:lastRenderedPageBreak/>
        <w:t xml:space="preserve">Table </w:t>
      </w:r>
      <w:r>
        <w:fldChar w:fldCharType="begin"/>
      </w:r>
      <w:r>
        <w:instrText xml:space="preserve"> SEQ Table \* ARABIC </w:instrText>
      </w:r>
      <w:r>
        <w:fldChar w:fldCharType="separate"/>
      </w:r>
      <w:r w:rsidR="00026714">
        <w:rPr>
          <w:noProof/>
        </w:rPr>
        <w:t>4</w:t>
      </w:r>
      <w:r>
        <w:fldChar w:fldCharType="end"/>
      </w:r>
      <w:bookmarkEnd w:id="63"/>
      <w:r>
        <w:t xml:space="preserve"> | Benefit groups subject to reductions</w:t>
      </w:r>
      <w:r w:rsidR="00313204">
        <w:t xml:space="preserve"> (Part A, excluding CIED items)</w:t>
      </w:r>
      <w:r w:rsidRPr="004A5A59">
        <w:rPr>
          <w:vertAlign w:val="superscript"/>
        </w:rPr>
        <w:footnoteReference w:id="102"/>
      </w:r>
    </w:p>
    <w:tbl>
      <w:tblPr>
        <w:tblStyle w:val="NOUS"/>
        <w:tblW w:w="8931" w:type="dxa"/>
        <w:tblLook w:val="04A0" w:firstRow="1" w:lastRow="0" w:firstColumn="1" w:lastColumn="0" w:noHBand="0" w:noVBand="1"/>
      </w:tblPr>
      <w:tblGrid>
        <w:gridCol w:w="2835"/>
        <w:gridCol w:w="3261"/>
        <w:gridCol w:w="2835"/>
      </w:tblGrid>
      <w:tr w:rsidR="00D62A59" w14:paraId="6864BB20" w14:textId="77777777">
        <w:trPr>
          <w:cnfStyle w:val="100000000000" w:firstRow="1" w:lastRow="0" w:firstColumn="0" w:lastColumn="0" w:oddVBand="0" w:evenVBand="0" w:oddHBand="0" w:evenHBand="0" w:firstRowFirstColumn="0" w:firstRowLastColumn="0" w:lastRowFirstColumn="0" w:lastRowLastColumn="0"/>
        </w:trPr>
        <w:tc>
          <w:tcPr>
            <w:tcW w:w="2835" w:type="dxa"/>
            <w:vAlign w:val="center"/>
          </w:tcPr>
          <w:p w14:paraId="0F23F5E0" w14:textId="77777777" w:rsidR="00D62A59" w:rsidRPr="0059516F" w:rsidRDefault="00D62A59" w:rsidP="009667DE">
            <w:pPr>
              <w:pStyle w:val="TableNheader"/>
              <w:outlineLvl w:val="3"/>
              <w:rPr>
                <w:b w:val="0"/>
                <w:bCs/>
              </w:rPr>
            </w:pPr>
            <w:r w:rsidRPr="0059516F">
              <w:rPr>
                <w:b w:val="0"/>
                <w:bCs/>
              </w:rPr>
              <w:t>Categories</w:t>
            </w:r>
          </w:p>
        </w:tc>
        <w:tc>
          <w:tcPr>
            <w:tcW w:w="3261" w:type="dxa"/>
            <w:vAlign w:val="center"/>
          </w:tcPr>
          <w:p w14:paraId="719C404E" w14:textId="77777777" w:rsidR="00D62A59" w:rsidRPr="0059516F" w:rsidRDefault="00D62A59" w:rsidP="009667DE">
            <w:pPr>
              <w:pStyle w:val="TableNheader"/>
              <w:jc w:val="center"/>
              <w:outlineLvl w:val="3"/>
              <w:rPr>
                <w:b w:val="0"/>
                <w:bCs/>
              </w:rPr>
            </w:pPr>
            <w:r w:rsidRPr="0059516F">
              <w:rPr>
                <w:b w:val="0"/>
                <w:bCs/>
              </w:rPr>
              <w:t>Benefits groups subject to reductions</w:t>
            </w:r>
          </w:p>
        </w:tc>
        <w:tc>
          <w:tcPr>
            <w:tcW w:w="2835" w:type="dxa"/>
            <w:vAlign w:val="center"/>
          </w:tcPr>
          <w:p w14:paraId="125BD771" w14:textId="77777777" w:rsidR="00D62A59" w:rsidRPr="0059516F" w:rsidRDefault="00D62A59" w:rsidP="009667DE">
            <w:pPr>
              <w:pStyle w:val="TableNheader"/>
              <w:jc w:val="center"/>
              <w:outlineLvl w:val="3"/>
              <w:rPr>
                <w:b w:val="0"/>
                <w:bCs/>
              </w:rPr>
            </w:pPr>
            <w:r w:rsidRPr="0059516F">
              <w:rPr>
                <w:b w:val="0"/>
                <w:bCs/>
              </w:rPr>
              <w:t>Items subject to reductions</w:t>
            </w:r>
          </w:p>
        </w:tc>
      </w:tr>
      <w:tr w:rsidR="00D62A59" w14:paraId="2B1C4F0D" w14:textId="77777777">
        <w:tc>
          <w:tcPr>
            <w:tcW w:w="2835" w:type="dxa"/>
          </w:tcPr>
          <w:p w14:paraId="7B6BB9DA" w14:textId="77777777" w:rsidR="00D62A59" w:rsidRPr="00E919F0" w:rsidRDefault="00D62A59" w:rsidP="009667DE">
            <w:pPr>
              <w:pStyle w:val="TableNText"/>
              <w:outlineLvl w:val="3"/>
              <w:rPr>
                <w:rFonts w:asciiTheme="majorHAnsi" w:hAnsiTheme="majorHAnsi" w:cstheme="majorHAnsi"/>
              </w:rPr>
            </w:pPr>
            <w:r w:rsidRPr="00E919F0">
              <w:rPr>
                <w:rFonts w:asciiTheme="majorHAnsi" w:hAnsiTheme="majorHAnsi" w:cstheme="majorHAnsi"/>
              </w:rPr>
              <w:t>01 - Ophthalmic</w:t>
            </w:r>
          </w:p>
        </w:tc>
        <w:tc>
          <w:tcPr>
            <w:tcW w:w="3261" w:type="dxa"/>
          </w:tcPr>
          <w:p w14:paraId="6EC5CA5E" w14:textId="6071C226" w:rsidR="00D62A59" w:rsidRDefault="00D62A59" w:rsidP="009667DE">
            <w:pPr>
              <w:pStyle w:val="TableNText"/>
              <w:jc w:val="center"/>
              <w:outlineLvl w:val="3"/>
            </w:pPr>
            <w:r w:rsidRPr="00262B7F">
              <w:t>26</w:t>
            </w:r>
          </w:p>
        </w:tc>
        <w:tc>
          <w:tcPr>
            <w:tcW w:w="2835" w:type="dxa"/>
          </w:tcPr>
          <w:p w14:paraId="34F160D3" w14:textId="27FD9ADC" w:rsidR="00D62A59" w:rsidRDefault="00A43F76" w:rsidP="009667DE">
            <w:pPr>
              <w:pStyle w:val="TableNText"/>
              <w:jc w:val="center"/>
              <w:outlineLvl w:val="3"/>
            </w:pPr>
            <w:r w:rsidRPr="00557B18">
              <w:t>148</w:t>
            </w:r>
          </w:p>
        </w:tc>
      </w:tr>
      <w:tr w:rsidR="00D62A59" w14:paraId="15AC1EF2" w14:textId="77777777">
        <w:tc>
          <w:tcPr>
            <w:tcW w:w="2835" w:type="dxa"/>
          </w:tcPr>
          <w:p w14:paraId="78117BBD" w14:textId="77777777" w:rsidR="00D62A59" w:rsidRPr="00E919F0" w:rsidRDefault="00D62A59" w:rsidP="009667DE">
            <w:pPr>
              <w:pStyle w:val="TableNText"/>
              <w:outlineLvl w:val="3"/>
              <w:rPr>
                <w:rFonts w:asciiTheme="majorHAnsi" w:hAnsiTheme="majorHAnsi" w:cstheme="majorHAnsi"/>
              </w:rPr>
            </w:pPr>
            <w:r w:rsidRPr="00E919F0">
              <w:rPr>
                <w:rFonts w:asciiTheme="majorHAnsi" w:hAnsiTheme="majorHAnsi" w:cstheme="majorHAnsi"/>
              </w:rPr>
              <w:t>02 - Ear, Nose &amp; Throat</w:t>
            </w:r>
          </w:p>
        </w:tc>
        <w:tc>
          <w:tcPr>
            <w:tcW w:w="3261" w:type="dxa"/>
          </w:tcPr>
          <w:p w14:paraId="51C4EF94" w14:textId="4E5D04BF" w:rsidR="00D62A59" w:rsidRDefault="00D62A59" w:rsidP="009667DE">
            <w:pPr>
              <w:pStyle w:val="TableNText"/>
              <w:jc w:val="center"/>
              <w:outlineLvl w:val="3"/>
            </w:pPr>
            <w:r w:rsidRPr="00262B7F">
              <w:t>6</w:t>
            </w:r>
          </w:p>
        </w:tc>
        <w:tc>
          <w:tcPr>
            <w:tcW w:w="2835" w:type="dxa"/>
          </w:tcPr>
          <w:p w14:paraId="0B27EC97" w14:textId="4E389157" w:rsidR="00D62A59" w:rsidRDefault="00A43F76" w:rsidP="009667DE">
            <w:pPr>
              <w:pStyle w:val="TableNText"/>
              <w:jc w:val="center"/>
              <w:outlineLvl w:val="3"/>
            </w:pPr>
            <w:r w:rsidRPr="00557B18">
              <w:t>25</w:t>
            </w:r>
          </w:p>
        </w:tc>
      </w:tr>
      <w:tr w:rsidR="00D62A59" w14:paraId="4603E40C" w14:textId="77777777">
        <w:tc>
          <w:tcPr>
            <w:tcW w:w="2835" w:type="dxa"/>
          </w:tcPr>
          <w:p w14:paraId="072BE556" w14:textId="77777777" w:rsidR="00D62A59" w:rsidRPr="00E919F0" w:rsidRDefault="00D62A59" w:rsidP="009667DE">
            <w:pPr>
              <w:pStyle w:val="TableNText"/>
              <w:outlineLvl w:val="3"/>
              <w:rPr>
                <w:rFonts w:asciiTheme="majorHAnsi" w:hAnsiTheme="majorHAnsi" w:cstheme="majorHAnsi"/>
              </w:rPr>
            </w:pPr>
            <w:r w:rsidRPr="00E919F0">
              <w:rPr>
                <w:rFonts w:asciiTheme="majorHAnsi" w:hAnsiTheme="majorHAnsi" w:cstheme="majorHAnsi"/>
              </w:rPr>
              <w:t>03 - General Miscellaneous</w:t>
            </w:r>
          </w:p>
        </w:tc>
        <w:tc>
          <w:tcPr>
            <w:tcW w:w="3261" w:type="dxa"/>
          </w:tcPr>
          <w:p w14:paraId="3A09C94B" w14:textId="2743DBDF" w:rsidR="00D62A59" w:rsidRDefault="00A43F76" w:rsidP="009667DE">
            <w:pPr>
              <w:pStyle w:val="TableNText"/>
              <w:jc w:val="center"/>
              <w:outlineLvl w:val="3"/>
            </w:pPr>
            <w:r w:rsidRPr="00557B18">
              <w:t>68</w:t>
            </w:r>
          </w:p>
        </w:tc>
        <w:tc>
          <w:tcPr>
            <w:tcW w:w="2835" w:type="dxa"/>
          </w:tcPr>
          <w:p w14:paraId="247C0CCD" w14:textId="2AD66632" w:rsidR="00D62A59" w:rsidRDefault="00A43F76" w:rsidP="009667DE">
            <w:pPr>
              <w:pStyle w:val="TableNText"/>
              <w:jc w:val="center"/>
              <w:outlineLvl w:val="3"/>
            </w:pPr>
            <w:r w:rsidRPr="00557B18">
              <w:t>238</w:t>
            </w:r>
          </w:p>
        </w:tc>
      </w:tr>
      <w:tr w:rsidR="00D62A59" w14:paraId="4458CC75" w14:textId="77777777">
        <w:tc>
          <w:tcPr>
            <w:tcW w:w="2835" w:type="dxa"/>
          </w:tcPr>
          <w:p w14:paraId="1E507674" w14:textId="77777777" w:rsidR="00D62A59" w:rsidRPr="00E919F0" w:rsidRDefault="00D62A59" w:rsidP="009667DE">
            <w:pPr>
              <w:pStyle w:val="TableNText"/>
              <w:outlineLvl w:val="3"/>
              <w:rPr>
                <w:rFonts w:asciiTheme="majorHAnsi" w:hAnsiTheme="majorHAnsi" w:cstheme="majorHAnsi"/>
              </w:rPr>
            </w:pPr>
            <w:r w:rsidRPr="00E919F0">
              <w:rPr>
                <w:rFonts w:asciiTheme="majorHAnsi" w:hAnsiTheme="majorHAnsi" w:cstheme="majorHAnsi"/>
              </w:rPr>
              <w:t>04 - Neurosurgical</w:t>
            </w:r>
          </w:p>
        </w:tc>
        <w:tc>
          <w:tcPr>
            <w:tcW w:w="3261" w:type="dxa"/>
          </w:tcPr>
          <w:p w14:paraId="0FDD0EAB" w14:textId="7BB20B34" w:rsidR="00D62A59" w:rsidRDefault="00A43F76" w:rsidP="009667DE">
            <w:pPr>
              <w:pStyle w:val="TableNText"/>
              <w:jc w:val="center"/>
              <w:outlineLvl w:val="3"/>
            </w:pPr>
            <w:r w:rsidRPr="00557B18">
              <w:t>25</w:t>
            </w:r>
          </w:p>
        </w:tc>
        <w:tc>
          <w:tcPr>
            <w:tcW w:w="2835" w:type="dxa"/>
          </w:tcPr>
          <w:p w14:paraId="2E887763" w14:textId="4F533953" w:rsidR="00D62A59" w:rsidRDefault="00A43F76" w:rsidP="009667DE">
            <w:pPr>
              <w:pStyle w:val="TableNText"/>
              <w:jc w:val="center"/>
              <w:outlineLvl w:val="3"/>
            </w:pPr>
            <w:r w:rsidRPr="00557B18">
              <w:t>96</w:t>
            </w:r>
          </w:p>
        </w:tc>
      </w:tr>
      <w:tr w:rsidR="00D62A59" w14:paraId="47B02A6F" w14:textId="77777777">
        <w:tc>
          <w:tcPr>
            <w:tcW w:w="2835" w:type="dxa"/>
          </w:tcPr>
          <w:p w14:paraId="1DA886E3" w14:textId="77777777" w:rsidR="00D62A59" w:rsidRPr="00E919F0" w:rsidRDefault="00D62A59" w:rsidP="009667DE">
            <w:pPr>
              <w:pStyle w:val="TableNText"/>
              <w:outlineLvl w:val="3"/>
              <w:rPr>
                <w:rFonts w:asciiTheme="majorHAnsi" w:hAnsiTheme="majorHAnsi" w:cstheme="majorHAnsi"/>
              </w:rPr>
            </w:pPr>
            <w:r w:rsidRPr="00E919F0">
              <w:rPr>
                <w:rFonts w:asciiTheme="majorHAnsi" w:hAnsiTheme="majorHAnsi" w:cstheme="majorHAnsi"/>
              </w:rPr>
              <w:t>05 - Urogenital</w:t>
            </w:r>
          </w:p>
        </w:tc>
        <w:tc>
          <w:tcPr>
            <w:tcW w:w="3261" w:type="dxa"/>
          </w:tcPr>
          <w:p w14:paraId="654B78E5" w14:textId="763795D6" w:rsidR="00D62A59" w:rsidRDefault="00A43F76" w:rsidP="009667DE">
            <w:pPr>
              <w:pStyle w:val="TableNText"/>
              <w:jc w:val="center"/>
              <w:outlineLvl w:val="3"/>
            </w:pPr>
            <w:r w:rsidRPr="00557B18">
              <w:t>11</w:t>
            </w:r>
          </w:p>
        </w:tc>
        <w:tc>
          <w:tcPr>
            <w:tcW w:w="2835" w:type="dxa"/>
          </w:tcPr>
          <w:p w14:paraId="1B69DF81" w14:textId="30708306" w:rsidR="00D62A59" w:rsidRDefault="00A43F76" w:rsidP="009667DE">
            <w:pPr>
              <w:pStyle w:val="TableNText"/>
              <w:jc w:val="center"/>
              <w:outlineLvl w:val="3"/>
            </w:pPr>
            <w:r w:rsidRPr="00557B18">
              <w:t>53</w:t>
            </w:r>
          </w:p>
        </w:tc>
      </w:tr>
      <w:tr w:rsidR="00D62A59" w14:paraId="78BAB3DB" w14:textId="77777777">
        <w:tc>
          <w:tcPr>
            <w:tcW w:w="2835" w:type="dxa"/>
          </w:tcPr>
          <w:p w14:paraId="4C58C49B" w14:textId="77777777" w:rsidR="00D62A59" w:rsidRPr="00E919F0" w:rsidRDefault="00D62A59" w:rsidP="009667DE">
            <w:pPr>
              <w:pStyle w:val="TableNText"/>
              <w:outlineLvl w:val="3"/>
              <w:rPr>
                <w:rFonts w:asciiTheme="majorHAnsi" w:hAnsiTheme="majorHAnsi" w:cstheme="majorHAnsi"/>
              </w:rPr>
            </w:pPr>
            <w:r w:rsidRPr="00E919F0">
              <w:rPr>
                <w:rFonts w:asciiTheme="majorHAnsi" w:hAnsiTheme="majorHAnsi" w:cstheme="majorHAnsi"/>
              </w:rPr>
              <w:t>06 - Specialist Orthopaedic</w:t>
            </w:r>
          </w:p>
        </w:tc>
        <w:tc>
          <w:tcPr>
            <w:tcW w:w="3261" w:type="dxa"/>
          </w:tcPr>
          <w:p w14:paraId="047B57D0" w14:textId="4F638EF2" w:rsidR="00D62A59" w:rsidRDefault="00A43F76" w:rsidP="009667DE">
            <w:pPr>
              <w:pStyle w:val="TableNText"/>
              <w:jc w:val="center"/>
              <w:outlineLvl w:val="3"/>
            </w:pPr>
            <w:r w:rsidRPr="00557B18">
              <w:t>177</w:t>
            </w:r>
          </w:p>
        </w:tc>
        <w:tc>
          <w:tcPr>
            <w:tcW w:w="2835" w:type="dxa"/>
          </w:tcPr>
          <w:p w14:paraId="0AE47073" w14:textId="0D7AE2D9" w:rsidR="00D62A59" w:rsidRDefault="00A43F76" w:rsidP="009667DE">
            <w:pPr>
              <w:pStyle w:val="TableNText"/>
              <w:jc w:val="center"/>
              <w:outlineLvl w:val="3"/>
            </w:pPr>
            <w:r w:rsidRPr="00557B18">
              <w:t>1757</w:t>
            </w:r>
          </w:p>
        </w:tc>
      </w:tr>
      <w:tr w:rsidR="00D62A59" w14:paraId="74713E20" w14:textId="77777777">
        <w:tc>
          <w:tcPr>
            <w:tcW w:w="2835" w:type="dxa"/>
          </w:tcPr>
          <w:p w14:paraId="2D92CEB9" w14:textId="77777777" w:rsidR="00D62A59" w:rsidRPr="00E919F0" w:rsidRDefault="00D62A59" w:rsidP="009667DE">
            <w:pPr>
              <w:pStyle w:val="TableNText"/>
              <w:outlineLvl w:val="3"/>
              <w:rPr>
                <w:rFonts w:asciiTheme="majorHAnsi" w:hAnsiTheme="majorHAnsi" w:cstheme="majorHAnsi"/>
              </w:rPr>
            </w:pPr>
            <w:r w:rsidRPr="00E919F0">
              <w:rPr>
                <w:rFonts w:asciiTheme="majorHAnsi" w:hAnsiTheme="majorHAnsi" w:cstheme="majorHAnsi"/>
              </w:rPr>
              <w:t>07 - Plastic and Reconstructive</w:t>
            </w:r>
          </w:p>
        </w:tc>
        <w:tc>
          <w:tcPr>
            <w:tcW w:w="3261" w:type="dxa"/>
          </w:tcPr>
          <w:p w14:paraId="741153EA" w14:textId="1F56396A" w:rsidR="00D62A59" w:rsidRDefault="00A43F76" w:rsidP="009667DE">
            <w:pPr>
              <w:pStyle w:val="TableNText"/>
              <w:jc w:val="center"/>
              <w:outlineLvl w:val="3"/>
            </w:pPr>
            <w:r w:rsidRPr="00557B18">
              <w:t>75</w:t>
            </w:r>
          </w:p>
        </w:tc>
        <w:tc>
          <w:tcPr>
            <w:tcW w:w="2835" w:type="dxa"/>
          </w:tcPr>
          <w:p w14:paraId="57CD2780" w14:textId="7DF30646" w:rsidR="00D62A59" w:rsidRDefault="00A43F76" w:rsidP="009667DE">
            <w:pPr>
              <w:pStyle w:val="TableNText"/>
              <w:jc w:val="center"/>
              <w:outlineLvl w:val="3"/>
            </w:pPr>
            <w:r w:rsidRPr="00557B18">
              <w:t>267</w:t>
            </w:r>
          </w:p>
        </w:tc>
      </w:tr>
      <w:tr w:rsidR="00D62A59" w14:paraId="11CD32A5" w14:textId="77777777">
        <w:tc>
          <w:tcPr>
            <w:tcW w:w="2835" w:type="dxa"/>
          </w:tcPr>
          <w:p w14:paraId="37694FA8" w14:textId="77777777" w:rsidR="00D62A59" w:rsidRPr="00E919F0" w:rsidRDefault="00D62A59" w:rsidP="009667DE">
            <w:pPr>
              <w:pStyle w:val="TableNText"/>
              <w:outlineLvl w:val="3"/>
              <w:rPr>
                <w:rFonts w:asciiTheme="majorHAnsi" w:hAnsiTheme="majorHAnsi" w:cstheme="majorHAnsi"/>
              </w:rPr>
            </w:pPr>
            <w:r w:rsidRPr="00E919F0">
              <w:rPr>
                <w:rFonts w:asciiTheme="majorHAnsi" w:hAnsiTheme="majorHAnsi" w:cstheme="majorHAnsi"/>
              </w:rPr>
              <w:t>08 - Cardiac</w:t>
            </w:r>
          </w:p>
        </w:tc>
        <w:tc>
          <w:tcPr>
            <w:tcW w:w="3261" w:type="dxa"/>
          </w:tcPr>
          <w:p w14:paraId="5E21A796" w14:textId="37FD9D16" w:rsidR="00D62A59" w:rsidRDefault="00A43F76" w:rsidP="009667DE">
            <w:pPr>
              <w:pStyle w:val="TableNText"/>
              <w:jc w:val="center"/>
              <w:outlineLvl w:val="3"/>
            </w:pPr>
            <w:r w:rsidRPr="00557B18">
              <w:t>3</w:t>
            </w:r>
          </w:p>
        </w:tc>
        <w:tc>
          <w:tcPr>
            <w:tcW w:w="2835" w:type="dxa"/>
          </w:tcPr>
          <w:p w14:paraId="4C27113D" w14:textId="29528CEB" w:rsidR="00D62A59" w:rsidRDefault="00A43F76" w:rsidP="009667DE">
            <w:pPr>
              <w:pStyle w:val="TableNText"/>
              <w:jc w:val="center"/>
              <w:outlineLvl w:val="3"/>
            </w:pPr>
            <w:r w:rsidRPr="00557B18">
              <w:t>21</w:t>
            </w:r>
          </w:p>
        </w:tc>
      </w:tr>
      <w:tr w:rsidR="00D62A59" w14:paraId="39373956" w14:textId="77777777">
        <w:tc>
          <w:tcPr>
            <w:tcW w:w="2835" w:type="dxa"/>
          </w:tcPr>
          <w:p w14:paraId="081CA37C" w14:textId="77777777" w:rsidR="00D62A59" w:rsidRPr="00E919F0" w:rsidRDefault="00D62A59" w:rsidP="009667DE">
            <w:pPr>
              <w:pStyle w:val="TableNText"/>
              <w:outlineLvl w:val="3"/>
              <w:rPr>
                <w:rFonts w:asciiTheme="majorHAnsi" w:hAnsiTheme="majorHAnsi" w:cstheme="majorHAnsi"/>
              </w:rPr>
            </w:pPr>
            <w:r w:rsidRPr="00E919F0">
              <w:rPr>
                <w:rFonts w:asciiTheme="majorHAnsi" w:hAnsiTheme="majorHAnsi" w:cstheme="majorHAnsi"/>
              </w:rPr>
              <w:t>09 - Cardiothoracic</w:t>
            </w:r>
          </w:p>
        </w:tc>
        <w:tc>
          <w:tcPr>
            <w:tcW w:w="3261" w:type="dxa"/>
          </w:tcPr>
          <w:p w14:paraId="4DB880B9" w14:textId="7234E534" w:rsidR="00D62A59" w:rsidRDefault="00D62A59" w:rsidP="009667DE">
            <w:pPr>
              <w:pStyle w:val="TableNText"/>
              <w:jc w:val="center"/>
              <w:outlineLvl w:val="3"/>
            </w:pPr>
            <w:r w:rsidRPr="00262B7F">
              <w:t>8</w:t>
            </w:r>
          </w:p>
        </w:tc>
        <w:tc>
          <w:tcPr>
            <w:tcW w:w="2835" w:type="dxa"/>
          </w:tcPr>
          <w:p w14:paraId="3A2F0748" w14:textId="1B4D76FC" w:rsidR="00D62A59" w:rsidRDefault="00A43F76" w:rsidP="009667DE">
            <w:pPr>
              <w:pStyle w:val="TableNText"/>
              <w:jc w:val="center"/>
              <w:outlineLvl w:val="3"/>
            </w:pPr>
            <w:r w:rsidRPr="00557B18">
              <w:t>20</w:t>
            </w:r>
          </w:p>
        </w:tc>
      </w:tr>
      <w:tr w:rsidR="00D62A59" w14:paraId="645E5EF3" w14:textId="77777777">
        <w:tc>
          <w:tcPr>
            <w:tcW w:w="2835" w:type="dxa"/>
          </w:tcPr>
          <w:p w14:paraId="169F6C77" w14:textId="77777777" w:rsidR="00D62A59" w:rsidRPr="00E919F0" w:rsidRDefault="00D62A59" w:rsidP="009667DE">
            <w:pPr>
              <w:pStyle w:val="TableNText"/>
              <w:outlineLvl w:val="3"/>
              <w:rPr>
                <w:rFonts w:asciiTheme="majorHAnsi" w:hAnsiTheme="majorHAnsi" w:cstheme="majorHAnsi"/>
              </w:rPr>
            </w:pPr>
            <w:r w:rsidRPr="00E919F0">
              <w:rPr>
                <w:rFonts w:asciiTheme="majorHAnsi" w:hAnsiTheme="majorHAnsi" w:cstheme="majorHAnsi"/>
              </w:rPr>
              <w:t>10 - Vascular</w:t>
            </w:r>
          </w:p>
        </w:tc>
        <w:tc>
          <w:tcPr>
            <w:tcW w:w="3261" w:type="dxa"/>
          </w:tcPr>
          <w:p w14:paraId="7D10CAFF" w14:textId="2771F105" w:rsidR="00D62A59" w:rsidRDefault="00A43F76" w:rsidP="009667DE">
            <w:pPr>
              <w:pStyle w:val="TableNText"/>
              <w:jc w:val="center"/>
              <w:outlineLvl w:val="3"/>
            </w:pPr>
            <w:r w:rsidRPr="00557B18">
              <w:t>37</w:t>
            </w:r>
          </w:p>
        </w:tc>
        <w:tc>
          <w:tcPr>
            <w:tcW w:w="2835" w:type="dxa"/>
          </w:tcPr>
          <w:p w14:paraId="08489A91" w14:textId="59A0132B" w:rsidR="00D62A59" w:rsidRDefault="00A43F76" w:rsidP="009667DE">
            <w:pPr>
              <w:pStyle w:val="TableNText"/>
              <w:jc w:val="center"/>
              <w:outlineLvl w:val="3"/>
            </w:pPr>
            <w:r w:rsidRPr="00557B18">
              <w:t>249</w:t>
            </w:r>
          </w:p>
        </w:tc>
      </w:tr>
      <w:tr w:rsidR="00D62A59" w14:paraId="606309A2" w14:textId="77777777">
        <w:tc>
          <w:tcPr>
            <w:tcW w:w="2835" w:type="dxa"/>
          </w:tcPr>
          <w:p w14:paraId="136D8BE9" w14:textId="77777777" w:rsidR="00D62A59" w:rsidRPr="00E919F0" w:rsidRDefault="00D62A59" w:rsidP="009667DE">
            <w:pPr>
              <w:pStyle w:val="TableNText"/>
              <w:outlineLvl w:val="3"/>
              <w:rPr>
                <w:rFonts w:asciiTheme="majorHAnsi" w:hAnsiTheme="majorHAnsi" w:cstheme="majorHAnsi"/>
              </w:rPr>
            </w:pPr>
            <w:r w:rsidRPr="00E919F0">
              <w:rPr>
                <w:rFonts w:asciiTheme="majorHAnsi" w:hAnsiTheme="majorHAnsi" w:cstheme="majorHAnsi"/>
              </w:rPr>
              <w:t>11 - Hip</w:t>
            </w:r>
          </w:p>
        </w:tc>
        <w:tc>
          <w:tcPr>
            <w:tcW w:w="3261" w:type="dxa"/>
          </w:tcPr>
          <w:p w14:paraId="6C9D383E" w14:textId="0A0992BF" w:rsidR="00D62A59" w:rsidRDefault="00A43F76" w:rsidP="009667DE">
            <w:pPr>
              <w:pStyle w:val="TableNText"/>
              <w:jc w:val="center"/>
              <w:outlineLvl w:val="3"/>
            </w:pPr>
            <w:r w:rsidRPr="00557B18">
              <w:t>44</w:t>
            </w:r>
          </w:p>
        </w:tc>
        <w:tc>
          <w:tcPr>
            <w:tcW w:w="2835" w:type="dxa"/>
          </w:tcPr>
          <w:p w14:paraId="6683911E" w14:textId="7CF7CCF4" w:rsidR="00D62A59" w:rsidRDefault="00A43F76" w:rsidP="009667DE">
            <w:pPr>
              <w:pStyle w:val="TableNText"/>
              <w:jc w:val="center"/>
              <w:outlineLvl w:val="3"/>
            </w:pPr>
            <w:r w:rsidRPr="00557B18">
              <w:t>422</w:t>
            </w:r>
          </w:p>
        </w:tc>
      </w:tr>
      <w:tr w:rsidR="00D62A59" w14:paraId="4F46C830" w14:textId="77777777">
        <w:tc>
          <w:tcPr>
            <w:tcW w:w="2835" w:type="dxa"/>
          </w:tcPr>
          <w:p w14:paraId="52756E9B" w14:textId="77777777" w:rsidR="00D62A59" w:rsidRPr="00E919F0" w:rsidRDefault="00D62A59" w:rsidP="009667DE">
            <w:pPr>
              <w:pStyle w:val="TableNText"/>
              <w:outlineLvl w:val="3"/>
              <w:rPr>
                <w:rFonts w:asciiTheme="majorHAnsi" w:hAnsiTheme="majorHAnsi" w:cstheme="majorHAnsi"/>
              </w:rPr>
            </w:pPr>
            <w:r w:rsidRPr="00E919F0">
              <w:rPr>
                <w:rFonts w:asciiTheme="majorHAnsi" w:hAnsiTheme="majorHAnsi" w:cstheme="majorHAnsi"/>
              </w:rPr>
              <w:t>12 - Knee</w:t>
            </w:r>
          </w:p>
        </w:tc>
        <w:tc>
          <w:tcPr>
            <w:tcW w:w="3261" w:type="dxa"/>
          </w:tcPr>
          <w:p w14:paraId="7E211994" w14:textId="19020B84" w:rsidR="00D62A59" w:rsidRDefault="00A43F76" w:rsidP="009667DE">
            <w:pPr>
              <w:pStyle w:val="TableNText"/>
              <w:jc w:val="center"/>
              <w:outlineLvl w:val="3"/>
            </w:pPr>
            <w:r w:rsidRPr="00557B18">
              <w:t>23</w:t>
            </w:r>
          </w:p>
        </w:tc>
        <w:tc>
          <w:tcPr>
            <w:tcW w:w="2835" w:type="dxa"/>
          </w:tcPr>
          <w:p w14:paraId="56DF4AD6" w14:textId="22D9F4A4" w:rsidR="00D62A59" w:rsidRDefault="00A43F76" w:rsidP="009667DE">
            <w:pPr>
              <w:pStyle w:val="TableNText"/>
              <w:jc w:val="center"/>
              <w:outlineLvl w:val="3"/>
            </w:pPr>
            <w:r w:rsidRPr="00557B18">
              <w:t>363</w:t>
            </w:r>
          </w:p>
        </w:tc>
      </w:tr>
      <w:tr w:rsidR="00D62A59" w14:paraId="6DBC85C6" w14:textId="77777777">
        <w:tc>
          <w:tcPr>
            <w:tcW w:w="2835" w:type="dxa"/>
          </w:tcPr>
          <w:p w14:paraId="697AA81C" w14:textId="77777777" w:rsidR="00D62A59" w:rsidRPr="00E919F0" w:rsidRDefault="00D62A59" w:rsidP="009667DE">
            <w:pPr>
              <w:pStyle w:val="TableNText"/>
              <w:outlineLvl w:val="3"/>
              <w:rPr>
                <w:rFonts w:asciiTheme="majorHAnsi" w:hAnsiTheme="majorHAnsi" w:cstheme="majorHAnsi"/>
              </w:rPr>
            </w:pPr>
            <w:r w:rsidRPr="00E919F0">
              <w:rPr>
                <w:rFonts w:asciiTheme="majorHAnsi" w:hAnsiTheme="majorHAnsi" w:cstheme="majorHAnsi"/>
              </w:rPr>
              <w:t>13 - Spinal</w:t>
            </w:r>
          </w:p>
        </w:tc>
        <w:tc>
          <w:tcPr>
            <w:tcW w:w="3261" w:type="dxa"/>
          </w:tcPr>
          <w:p w14:paraId="21902FBD" w14:textId="575910DA" w:rsidR="00D62A59" w:rsidRDefault="00D62A59" w:rsidP="009667DE">
            <w:pPr>
              <w:pStyle w:val="TableNText"/>
              <w:jc w:val="center"/>
              <w:outlineLvl w:val="3"/>
            </w:pPr>
            <w:r w:rsidRPr="00262B7F">
              <w:t>51</w:t>
            </w:r>
          </w:p>
        </w:tc>
        <w:tc>
          <w:tcPr>
            <w:tcW w:w="2835" w:type="dxa"/>
          </w:tcPr>
          <w:p w14:paraId="338418EA" w14:textId="063A9C18" w:rsidR="00D62A59" w:rsidRDefault="00A43F76" w:rsidP="009667DE">
            <w:pPr>
              <w:pStyle w:val="TableNText"/>
              <w:jc w:val="center"/>
              <w:outlineLvl w:val="3"/>
            </w:pPr>
            <w:r w:rsidRPr="00557B18">
              <w:t>1520</w:t>
            </w:r>
          </w:p>
        </w:tc>
      </w:tr>
      <w:tr w:rsidR="00D62A59" w14:paraId="0D43D958" w14:textId="77777777">
        <w:tc>
          <w:tcPr>
            <w:tcW w:w="2835" w:type="dxa"/>
          </w:tcPr>
          <w:p w14:paraId="7464E2AE" w14:textId="77777777" w:rsidR="00D62A59" w:rsidRPr="00E919F0" w:rsidRDefault="00D62A59" w:rsidP="009667DE">
            <w:pPr>
              <w:pStyle w:val="TableNText"/>
              <w:outlineLvl w:val="3"/>
              <w:rPr>
                <w:rFonts w:asciiTheme="majorHAnsi" w:hAnsiTheme="majorHAnsi" w:cstheme="majorHAnsi"/>
              </w:rPr>
            </w:pPr>
            <w:r w:rsidRPr="00E919F0">
              <w:rPr>
                <w:rFonts w:asciiTheme="majorHAnsi" w:hAnsiTheme="majorHAnsi" w:cstheme="majorHAnsi"/>
              </w:rPr>
              <w:t>Total</w:t>
            </w:r>
          </w:p>
        </w:tc>
        <w:tc>
          <w:tcPr>
            <w:tcW w:w="3261" w:type="dxa"/>
          </w:tcPr>
          <w:p w14:paraId="5D5920D3" w14:textId="69DCD7CC" w:rsidR="00D62A59" w:rsidRPr="00E919F0" w:rsidRDefault="00A43F76" w:rsidP="009667DE">
            <w:pPr>
              <w:pStyle w:val="TableNText"/>
              <w:jc w:val="center"/>
              <w:outlineLvl w:val="3"/>
              <w:rPr>
                <w:rFonts w:asciiTheme="majorHAnsi" w:hAnsiTheme="majorHAnsi" w:cstheme="majorHAnsi"/>
              </w:rPr>
            </w:pPr>
            <w:r w:rsidRPr="00557B18">
              <w:t>554</w:t>
            </w:r>
          </w:p>
        </w:tc>
        <w:tc>
          <w:tcPr>
            <w:tcW w:w="2835" w:type="dxa"/>
          </w:tcPr>
          <w:p w14:paraId="3F4D22FB" w14:textId="01CFFDB9" w:rsidR="00D62A59" w:rsidRPr="00E919F0" w:rsidRDefault="00A43F76" w:rsidP="009667DE">
            <w:pPr>
              <w:pStyle w:val="TableNText"/>
              <w:jc w:val="center"/>
              <w:outlineLvl w:val="3"/>
              <w:rPr>
                <w:rFonts w:asciiTheme="majorHAnsi" w:hAnsiTheme="majorHAnsi" w:cstheme="majorHAnsi"/>
              </w:rPr>
            </w:pPr>
            <w:r w:rsidRPr="00557B18">
              <w:t>5179</w:t>
            </w:r>
          </w:p>
        </w:tc>
      </w:tr>
    </w:tbl>
    <w:p w14:paraId="11D5C73A" w14:textId="77777777" w:rsidR="00D62A59" w:rsidRPr="00B0603D" w:rsidRDefault="00D62A59" w:rsidP="3787E91E">
      <w:pPr>
        <w:pStyle w:val="Heading4"/>
      </w:pPr>
      <w:r w:rsidRPr="3787E91E">
        <w:rPr>
          <w:color w:val="F25E21" w:themeColor="accent2"/>
        </w:rPr>
        <w:t>Measure 1.2</w:t>
      </w:r>
      <w:r w:rsidRPr="3787E91E">
        <w:t>: Benefit reduction methodology</w:t>
      </w:r>
    </w:p>
    <w:p w14:paraId="5148C08E" w14:textId="77777777" w:rsidR="00D62A59" w:rsidRDefault="00D62A59" w:rsidP="00E578DD">
      <w:pPr>
        <w:pStyle w:val="Heading6"/>
        <w:spacing w:before="120"/>
      </w:pPr>
      <w:r w:rsidRPr="004D1FFC">
        <w:t>Measurement guide</w:t>
      </w:r>
    </w:p>
    <w:p w14:paraId="6F0FE22C" w14:textId="01A5559F" w:rsidR="00D62A59" w:rsidRDefault="00D62A59" w:rsidP="00D62A59">
      <w:pPr>
        <w:rPr>
          <w:szCs w:val="19"/>
          <w:lang w:eastAsia="en-AU"/>
        </w:rPr>
      </w:pPr>
      <w:r>
        <w:rPr>
          <w:szCs w:val="19"/>
          <w:lang w:eastAsia="en-AU"/>
        </w:rPr>
        <w:t>This measure will look at the methodology by which the Department, with IHACPA, and in agreement with the MTAA, determined and applied the scheduled of reductions. This measure is an important complement to measure 1.1 (what reductions occurred) and measure 2.</w:t>
      </w:r>
      <w:r w:rsidR="00675E83">
        <w:rPr>
          <w:szCs w:val="19"/>
          <w:lang w:eastAsia="en-AU"/>
        </w:rPr>
        <w:t>2</w:t>
      </w:r>
      <w:r>
        <w:rPr>
          <w:szCs w:val="19"/>
          <w:lang w:eastAsia="en-AU"/>
        </w:rPr>
        <w:t xml:space="preserve"> (the extent to which the reductions closed the gap with prices in the public sector) as there could be unintended outcomes or limitations to certain approaches of applying benefit reductions. These could be present, and significant, and not be captured by looking at the overall changes in the aggregate. Looking at this measure will provide a more complete answer to whether this element of the reform program was implemented as intended.</w:t>
      </w:r>
    </w:p>
    <w:p w14:paraId="4F64A2FA" w14:textId="77777777" w:rsidR="00D62A59" w:rsidRDefault="00D62A59" w:rsidP="00D62A59">
      <w:pPr>
        <w:rPr>
          <w:szCs w:val="19"/>
          <w:lang w:eastAsia="en-AU"/>
        </w:rPr>
      </w:pPr>
      <w:r>
        <w:rPr>
          <w:szCs w:val="19"/>
          <w:lang w:eastAsia="en-AU"/>
        </w:rPr>
        <w:t>This assessment of the benefit reduction methodology will be predominantly a qualitative measure, reviewing consultation documentation and drawing upon stakeholder perspectives about the methodology. It will be guided by the following lines of enquiry:</w:t>
      </w:r>
    </w:p>
    <w:p w14:paraId="62CD275C" w14:textId="77777777" w:rsidR="00D62A59" w:rsidRPr="004264A4" w:rsidRDefault="00D62A59" w:rsidP="004264A4">
      <w:pPr>
        <w:pStyle w:val="Bullet"/>
      </w:pPr>
      <w:r w:rsidRPr="3787E91E">
        <w:t>Did the chosen reference pricing align with reform objectives? Did the benchmarking exercise produce reference prices that were reflective of a more competitive market?</w:t>
      </w:r>
    </w:p>
    <w:p w14:paraId="736BECC1" w14:textId="77777777" w:rsidR="00D62A59" w:rsidRPr="004264A4" w:rsidRDefault="00D62A59" w:rsidP="004264A4">
      <w:pPr>
        <w:pStyle w:val="Bullet"/>
      </w:pPr>
      <w:r w:rsidRPr="3787E91E">
        <w:t>Did the scope of products included in the reduction exercise align with reform objectives?</w:t>
      </w:r>
    </w:p>
    <w:p w14:paraId="0E669D61" w14:textId="77777777" w:rsidR="00D62A59" w:rsidRPr="004264A4" w:rsidRDefault="00D62A59" w:rsidP="004264A4">
      <w:pPr>
        <w:pStyle w:val="Bullet"/>
      </w:pPr>
      <w:r w:rsidRPr="3787E91E">
        <w:t>Did the chosen magnitude and phasing of benefit reductions align with reform objectives?</w:t>
      </w:r>
    </w:p>
    <w:p w14:paraId="11B0500F" w14:textId="77777777" w:rsidR="00D62A59" w:rsidRPr="004264A4" w:rsidRDefault="00D62A59" w:rsidP="004264A4">
      <w:pPr>
        <w:pStyle w:val="Bullet"/>
      </w:pPr>
      <w:r w:rsidRPr="3787E91E">
        <w:t>Did the applied reduction methodology (as opposed to the effects of reductions in general) change the competitive landscape or health system in any way?</w:t>
      </w:r>
    </w:p>
    <w:p w14:paraId="33FBFD4E" w14:textId="77777777" w:rsidR="00D62A59" w:rsidRPr="008935E5" w:rsidRDefault="00D62A59" w:rsidP="00D62A59">
      <w:pPr>
        <w:rPr>
          <w:szCs w:val="19"/>
          <w:lang w:eastAsia="en-AU"/>
        </w:rPr>
      </w:pPr>
      <w:r>
        <w:rPr>
          <w:szCs w:val="19"/>
          <w:lang w:eastAsia="en-AU"/>
        </w:rPr>
        <w:lastRenderedPageBreak/>
        <w:t>Whether they continued with the same methodology. Follow up stakeholder opinions about the methodology, how the methodology shifted behaviour (e.g., weighted average price: within a category, some sponsors are losers, some are winners as their products are more attractive to buyers).</w:t>
      </w:r>
    </w:p>
    <w:p w14:paraId="65317978" w14:textId="77777777" w:rsidR="00D62A59" w:rsidRDefault="00D62A59" w:rsidP="00E578DD">
      <w:pPr>
        <w:pStyle w:val="Heading6"/>
        <w:spacing w:before="120"/>
      </w:pPr>
      <w:r w:rsidRPr="004D1FFC">
        <w:t>Baseline value</w:t>
      </w:r>
    </w:p>
    <w:p w14:paraId="360DCC28" w14:textId="00123746" w:rsidR="00D62A59" w:rsidRDefault="00273CD9" w:rsidP="00D62A59">
      <w:r>
        <w:t>For th</w:t>
      </w:r>
      <w:r w:rsidR="001D0F80">
        <w:t xml:space="preserve">is measure, </w:t>
      </w:r>
      <w:r w:rsidR="00F902A0">
        <w:t xml:space="preserve">we treat the </w:t>
      </w:r>
      <w:r w:rsidR="00AA388C">
        <w:t xml:space="preserve">baseline value </w:t>
      </w:r>
      <w:r w:rsidR="007E310E">
        <w:t xml:space="preserve">as the </w:t>
      </w:r>
      <w:r w:rsidR="00D62A59">
        <w:t>benefit reduction methodology documented in the MoU between the Minister and the MTAA</w:t>
      </w:r>
      <w:r w:rsidR="00D62A59" w:rsidRPr="0C63581C">
        <w:rPr>
          <w:rStyle w:val="FootnoteReference"/>
          <w:lang w:eastAsia="en-AU"/>
        </w:rPr>
        <w:footnoteReference w:id="103"/>
      </w:r>
      <w:r w:rsidR="00D62A59">
        <w:t xml:space="preserve"> and in documents published by IHACPA</w:t>
      </w:r>
      <w:r w:rsidR="00D62A59">
        <w:rPr>
          <w:rStyle w:val="FootnoteReference"/>
        </w:rPr>
        <w:footnoteReference w:id="104"/>
      </w:r>
      <w:r w:rsidR="00D62A59" w:rsidRPr="0BCC15EA">
        <w:rPr>
          <w:rStyle w:val="FootnoteTextChar"/>
          <w:rFonts w:eastAsiaTheme="minorEastAsia"/>
          <w:vertAlign w:val="superscript"/>
        </w:rPr>
        <w:t>,</w:t>
      </w:r>
      <w:r w:rsidR="00D62A59">
        <w:rPr>
          <w:rStyle w:val="FootnoteReference"/>
        </w:rPr>
        <w:footnoteReference w:id="105"/>
      </w:r>
      <w:r w:rsidR="00D62A59">
        <w:t xml:space="preserve">. We have summarised the intended approach in section </w:t>
      </w:r>
      <w:r w:rsidR="00D62A59">
        <w:fldChar w:fldCharType="begin"/>
      </w:r>
      <w:r w:rsidR="00D62A59">
        <w:instrText xml:space="preserve"> REF _Ref158980254 \r \h </w:instrText>
      </w:r>
      <w:r w:rsidR="00D62A59">
        <w:fldChar w:fldCharType="separate"/>
      </w:r>
      <w:r w:rsidR="00026714">
        <w:t>3.1.3</w:t>
      </w:r>
      <w:r w:rsidR="00D62A59">
        <w:fldChar w:fldCharType="end"/>
      </w:r>
      <w:r w:rsidR="009667DE">
        <w:t>.</w:t>
      </w:r>
    </w:p>
    <w:p w14:paraId="18AEE9D5" w14:textId="79C5041D" w:rsidR="006512F7" w:rsidRPr="00974105" w:rsidRDefault="006512F7" w:rsidP="009667DE">
      <w:pPr>
        <w:pStyle w:val="Heading2"/>
        <w:numPr>
          <w:ilvl w:val="0"/>
          <w:numId w:val="0"/>
        </w:numPr>
      </w:pPr>
      <w:bookmarkStart w:id="64" w:name="_Toc179453689"/>
      <w:r w:rsidRPr="00974105">
        <w:t xml:space="preserve">Indicator </w:t>
      </w:r>
      <w:r>
        <w:t>2</w:t>
      </w:r>
      <w:r w:rsidRPr="00974105">
        <w:t xml:space="preserve">: </w:t>
      </w:r>
      <w:r w:rsidRPr="00A86CF9">
        <w:t>Change in the size of the gap between PL benefits</w:t>
      </w:r>
      <w:r w:rsidR="00312599">
        <w:t xml:space="preserve"> </w:t>
      </w:r>
      <w:r w:rsidRPr="00A86CF9">
        <w:t xml:space="preserve">and prices paid in more competitive </w:t>
      </w:r>
      <w:proofErr w:type="gramStart"/>
      <w:r w:rsidRPr="00A86CF9">
        <w:t>markets</w:t>
      </w:r>
      <w:bookmarkEnd w:id="64"/>
      <w:proofErr w:type="gramEnd"/>
    </w:p>
    <w:p w14:paraId="13EF35B0" w14:textId="5EF71D8B" w:rsidR="00DA3712" w:rsidRDefault="00436F8D" w:rsidP="00436F8D">
      <w:pPr>
        <w:pStyle w:val="Heading4"/>
        <w:spacing w:before="360"/>
      </w:pPr>
      <w:r w:rsidRPr="08EBE6C2">
        <w:rPr>
          <w:color w:val="F25E21" w:themeColor="accent2"/>
        </w:rPr>
        <w:t>Measure 2.</w:t>
      </w:r>
      <w:r w:rsidR="00C26FC6">
        <w:rPr>
          <w:color w:val="F25E21" w:themeColor="accent2"/>
        </w:rPr>
        <w:t>1</w:t>
      </w:r>
      <w:r>
        <w:t xml:space="preserve">: Overall savings </w:t>
      </w:r>
      <w:r w:rsidR="005416B8">
        <w:t xml:space="preserve">associated with benefit </w:t>
      </w:r>
      <w:proofErr w:type="gramStart"/>
      <w:r w:rsidR="005416B8">
        <w:t>reductions</w:t>
      </w:r>
      <w:proofErr w:type="gramEnd"/>
    </w:p>
    <w:p w14:paraId="38ACBE15" w14:textId="77777777" w:rsidR="006B5734" w:rsidRDefault="006B5734" w:rsidP="006B5734">
      <w:pPr>
        <w:pStyle w:val="Heading6"/>
        <w:spacing w:before="120"/>
      </w:pPr>
      <w:r w:rsidRPr="004D1FFC">
        <w:t>Measurement guide</w:t>
      </w:r>
    </w:p>
    <w:p w14:paraId="5C37FAFE" w14:textId="341A1367" w:rsidR="003E2508" w:rsidRDefault="00D63290" w:rsidP="006B5734">
      <w:r>
        <w:t xml:space="preserve">This measure will </w:t>
      </w:r>
      <w:r w:rsidR="007131B7">
        <w:t xml:space="preserve">calculate the </w:t>
      </w:r>
      <w:r w:rsidR="0062148B">
        <w:t xml:space="preserve">overall savings </w:t>
      </w:r>
      <w:r w:rsidR="00C4372F">
        <w:t>associated with the benefit reductions of this reform.</w:t>
      </w:r>
      <w:r w:rsidR="00757EB2">
        <w:t xml:space="preserve"> </w:t>
      </w:r>
      <w:r w:rsidR="00576F19">
        <w:t>I</w:t>
      </w:r>
      <w:r w:rsidR="003E2508">
        <w:t xml:space="preserve">t will be calculated </w:t>
      </w:r>
      <w:r w:rsidR="00063344">
        <w:t xml:space="preserve">by </w:t>
      </w:r>
      <w:r w:rsidR="004D570F">
        <w:t>aggregating</w:t>
      </w:r>
      <w:r w:rsidR="00063344">
        <w:t xml:space="preserve"> </w:t>
      </w:r>
      <w:r w:rsidR="00F74D17">
        <w:t xml:space="preserve">the </w:t>
      </w:r>
      <w:r w:rsidR="001B5593">
        <w:t xml:space="preserve">following for each PL device: </w:t>
      </w:r>
      <w:r w:rsidR="00B543E5">
        <w:t xml:space="preserve">current </w:t>
      </w:r>
      <w:r w:rsidR="00491F07">
        <w:t>u</w:t>
      </w:r>
      <w:r w:rsidR="00691A69">
        <w:t xml:space="preserve">tilisation volume </w:t>
      </w:r>
      <w:r w:rsidR="00DF366E">
        <w:t xml:space="preserve">multiplied </w:t>
      </w:r>
      <w:r w:rsidR="00691A69">
        <w:t xml:space="preserve">by the </w:t>
      </w:r>
      <w:r w:rsidR="005E5C88">
        <w:t xml:space="preserve">current </w:t>
      </w:r>
      <w:r w:rsidR="003647F1">
        <w:t xml:space="preserve">benefit </w:t>
      </w:r>
      <w:r w:rsidR="00547026">
        <w:t>level</w:t>
      </w:r>
      <w:r w:rsidR="003647F1">
        <w:t xml:space="preserve"> </w:t>
      </w:r>
      <w:r w:rsidR="003B062A">
        <w:t xml:space="preserve">less </w:t>
      </w:r>
      <w:r w:rsidR="00C85494">
        <w:t xml:space="preserve">the </w:t>
      </w:r>
      <w:r w:rsidR="00CC583D">
        <w:t xml:space="preserve">current </w:t>
      </w:r>
      <w:r w:rsidR="00106CD7">
        <w:t xml:space="preserve">utilisation </w:t>
      </w:r>
      <w:r w:rsidR="00DF366E">
        <w:t xml:space="preserve">volume </w:t>
      </w:r>
      <w:r w:rsidR="00BC48FE">
        <w:t xml:space="preserve">multiplied by the </w:t>
      </w:r>
      <w:r w:rsidR="003B062A">
        <w:t>baseline benefit level</w:t>
      </w:r>
      <w:r w:rsidR="00F74D17">
        <w:t>.</w:t>
      </w:r>
      <w:r w:rsidR="00273AC4">
        <w:t xml:space="preserve"> </w:t>
      </w:r>
      <w:r w:rsidR="003E2508">
        <w:t>It assume</w:t>
      </w:r>
      <w:r w:rsidR="00EB4702">
        <w:t>s</w:t>
      </w:r>
      <w:r w:rsidR="00DE044F">
        <w:t xml:space="preserve"> that utilisation </w:t>
      </w:r>
      <w:r w:rsidR="00C9166E">
        <w:t>i</w:t>
      </w:r>
      <w:r w:rsidR="00EA2A46">
        <w:t>s indepe</w:t>
      </w:r>
      <w:r w:rsidR="009D79B5">
        <w:t>ndent of benefits</w:t>
      </w:r>
      <w:r w:rsidR="00A23A72">
        <w:t xml:space="preserve">; that </w:t>
      </w:r>
      <w:r w:rsidR="00764EAD">
        <w:t xml:space="preserve">without the reforms, </w:t>
      </w:r>
      <w:r w:rsidR="00033F18">
        <w:t xml:space="preserve">consumers would have </w:t>
      </w:r>
      <w:r w:rsidR="005F34D0">
        <w:t xml:space="preserve">required </w:t>
      </w:r>
      <w:r w:rsidR="00A308FE">
        <w:t>the same volume of devices</w:t>
      </w:r>
      <w:r w:rsidR="008C1C38">
        <w:t xml:space="preserve"> and clinicians would have chosen</w:t>
      </w:r>
      <w:r w:rsidR="00C37D0B">
        <w:t xml:space="preserve"> </w:t>
      </w:r>
      <w:r w:rsidR="00CC2ED8">
        <w:t>devices in the same benefit groups</w:t>
      </w:r>
      <w:r w:rsidR="00C37D0B">
        <w:t xml:space="preserve"> to meet this demand.</w:t>
      </w:r>
      <w:r w:rsidR="00A34F8A">
        <w:t xml:space="preserve"> </w:t>
      </w:r>
      <w:r w:rsidR="00AD1CF9">
        <w:t xml:space="preserve">Utilisation </w:t>
      </w:r>
      <w:r w:rsidR="00F30043">
        <w:t xml:space="preserve">volumes for each </w:t>
      </w:r>
      <w:r w:rsidR="00CE176B">
        <w:t>PL billing code can by a</w:t>
      </w:r>
      <w:r w:rsidR="004E73F8">
        <w:t xml:space="preserve">ttained from </w:t>
      </w:r>
      <w:r w:rsidR="00CE176B" w:rsidRPr="0BCC15EA">
        <w:rPr>
          <w:rFonts w:asciiTheme="minorHAnsi" w:hAnsiTheme="minorHAnsi"/>
        </w:rPr>
        <w:t xml:space="preserve">Hospital </w:t>
      </w:r>
      <w:proofErr w:type="spellStart"/>
      <w:r w:rsidR="00CE176B" w:rsidRPr="0BCC15EA">
        <w:rPr>
          <w:rFonts w:asciiTheme="minorHAnsi" w:hAnsiTheme="minorHAnsi"/>
        </w:rPr>
        <w:t>Casemix</w:t>
      </w:r>
      <w:proofErr w:type="spellEnd"/>
      <w:r w:rsidR="00CE176B" w:rsidRPr="0BCC15EA">
        <w:rPr>
          <w:rFonts w:asciiTheme="minorHAnsi" w:hAnsiTheme="minorHAnsi"/>
        </w:rPr>
        <w:t xml:space="preserve"> Protocol (HCP)</w:t>
      </w:r>
      <w:r w:rsidR="004E73F8">
        <w:rPr>
          <w:rFonts w:asciiTheme="minorHAnsi" w:hAnsiTheme="minorHAnsi"/>
        </w:rPr>
        <w:t xml:space="preserve"> data.</w:t>
      </w:r>
    </w:p>
    <w:p w14:paraId="3E78F664" w14:textId="538F814E" w:rsidR="00436F8D" w:rsidRDefault="00B7243C" w:rsidP="00DA3712">
      <w:r>
        <w:t xml:space="preserve">This analysis will be done at the individual item </w:t>
      </w:r>
      <w:r w:rsidR="0043676C">
        <w:t>level</w:t>
      </w:r>
      <w:r w:rsidR="00640AD7">
        <w:t xml:space="preserve">, which </w:t>
      </w:r>
      <w:r w:rsidR="009C2948">
        <w:t>will enable the</w:t>
      </w:r>
      <w:r w:rsidR="00A3731E">
        <w:t xml:space="preserve"> evaluation team to </w:t>
      </w:r>
      <w:r w:rsidR="00A47FD5">
        <w:t>look at</w:t>
      </w:r>
      <w:r w:rsidR="00CC03B9">
        <w:t xml:space="preserve"> </w:t>
      </w:r>
      <w:r w:rsidR="00557E93">
        <w:t xml:space="preserve">total benefits and </w:t>
      </w:r>
      <w:r w:rsidR="00CC03B9">
        <w:t xml:space="preserve">savings associated with </w:t>
      </w:r>
      <w:r w:rsidR="00557E93">
        <w:t xml:space="preserve">subsets of </w:t>
      </w:r>
      <w:r w:rsidR="00BB6B26">
        <w:t>PL i</w:t>
      </w:r>
      <w:r w:rsidR="00557E93">
        <w:t>tems</w:t>
      </w:r>
      <w:r w:rsidR="00F73885">
        <w:t xml:space="preserve"> </w:t>
      </w:r>
      <w:r w:rsidR="00407A64">
        <w:t xml:space="preserve">and </w:t>
      </w:r>
      <w:r w:rsidR="00EE6630">
        <w:t xml:space="preserve">different </w:t>
      </w:r>
      <w:r w:rsidR="00717270">
        <w:t>reform scenarios.</w:t>
      </w:r>
      <w:r w:rsidR="00B77C4B">
        <w:t xml:space="preserve"> </w:t>
      </w:r>
      <w:r w:rsidR="00F9375B">
        <w:t xml:space="preserve">Some stakeholders have raised </w:t>
      </w:r>
      <w:r w:rsidR="002A53D9">
        <w:t xml:space="preserve">concerns </w:t>
      </w:r>
      <w:r w:rsidR="00D571BC">
        <w:t xml:space="preserve">about </w:t>
      </w:r>
      <w:r w:rsidR="005C4FC5">
        <w:t>the impact of deferring</w:t>
      </w:r>
      <w:r w:rsidR="00CD507E">
        <w:t xml:space="preserve"> </w:t>
      </w:r>
      <w:r w:rsidR="00A17E78">
        <w:t>reform processes</w:t>
      </w:r>
      <w:r w:rsidR="00B01373">
        <w:t xml:space="preserve">, </w:t>
      </w:r>
      <w:r w:rsidR="005C4FC5">
        <w:t>that this represents a cost to the health system that should be measured.</w:t>
      </w:r>
      <w:r w:rsidR="00094054" w:rsidRPr="00094054">
        <w:rPr>
          <w:rStyle w:val="FootnoteReference"/>
        </w:rPr>
        <w:t xml:space="preserve"> </w:t>
      </w:r>
      <w:r w:rsidR="00094054">
        <w:rPr>
          <w:rStyle w:val="FootnoteReference"/>
        </w:rPr>
        <w:footnoteReference w:id="106"/>
      </w:r>
      <w:r w:rsidR="00DC5E08">
        <w:t xml:space="preserve"> While a full economic analysis is</w:t>
      </w:r>
      <w:r w:rsidR="008D5255">
        <w:t xml:space="preserve"> not i</w:t>
      </w:r>
      <w:r w:rsidR="00DC5E08">
        <w:t>n scope</w:t>
      </w:r>
      <w:r w:rsidR="00996FC4">
        <w:t xml:space="preserve"> for the evaluation, </w:t>
      </w:r>
      <w:r w:rsidR="00EE3BDC">
        <w:t xml:space="preserve">and decisions </w:t>
      </w:r>
      <w:r w:rsidR="0017303A">
        <w:t xml:space="preserve">on the timing of </w:t>
      </w:r>
      <w:r w:rsidR="00633C88">
        <w:t>reform action</w:t>
      </w:r>
      <w:r w:rsidR="009B1A14">
        <w:t>s may have</w:t>
      </w:r>
      <w:r w:rsidR="00633C88">
        <w:t xml:space="preserve"> legitimacy</w:t>
      </w:r>
      <w:r w:rsidR="009856F2">
        <w:t xml:space="preserve"> and merit</w:t>
      </w:r>
      <w:r w:rsidR="00633C88">
        <w:t xml:space="preserve"> beyond </w:t>
      </w:r>
      <w:r w:rsidR="00581E17">
        <w:t xml:space="preserve">their </w:t>
      </w:r>
      <w:r w:rsidR="001F32E8">
        <w:t>impact</w:t>
      </w:r>
      <w:r w:rsidR="00AD1178">
        <w:t xml:space="preserve"> on</w:t>
      </w:r>
      <w:r w:rsidR="001F32E8">
        <w:t xml:space="preserve"> </w:t>
      </w:r>
      <w:r w:rsidR="00151E2C">
        <w:t>c</w:t>
      </w:r>
      <w:r w:rsidR="009B550B">
        <w:t>onsumer</w:t>
      </w:r>
      <w:r w:rsidR="00151E2C">
        <w:t xml:space="preserve"> net savings</w:t>
      </w:r>
      <w:r w:rsidR="0021774A">
        <w:t xml:space="preserve">, </w:t>
      </w:r>
      <w:r w:rsidR="00F0080B">
        <w:t xml:space="preserve">this measure will </w:t>
      </w:r>
      <w:r w:rsidR="0005292B">
        <w:t xml:space="preserve">also </w:t>
      </w:r>
      <w:r w:rsidR="00D558AA">
        <w:t>seek to outline</w:t>
      </w:r>
      <w:r w:rsidR="00DA7770">
        <w:t xml:space="preserve"> fo</w:t>
      </w:r>
      <w:r w:rsidR="00FE56C0">
        <w:t xml:space="preserve">rgone </w:t>
      </w:r>
      <w:r w:rsidR="00FD30FE">
        <w:t>s</w:t>
      </w:r>
      <w:r w:rsidR="00777221">
        <w:t xml:space="preserve">avings as a result of </w:t>
      </w:r>
      <w:r w:rsidR="00634632">
        <w:t xml:space="preserve">delayed </w:t>
      </w:r>
      <w:r w:rsidR="00381A97">
        <w:t>benefit reductions for certain devices.</w:t>
      </w:r>
    </w:p>
    <w:p w14:paraId="3543CC59" w14:textId="5B9721FB" w:rsidR="00C12605" w:rsidRDefault="00C12605" w:rsidP="00C12605">
      <w:pPr>
        <w:pStyle w:val="Heading6"/>
        <w:spacing w:before="120"/>
      </w:pPr>
      <w:r>
        <w:t>Baseline value</w:t>
      </w:r>
    </w:p>
    <w:p w14:paraId="0C63DD98" w14:textId="42D623BB" w:rsidR="004C7E57" w:rsidRDefault="00A44C6D" w:rsidP="00A44C6D">
      <w:r w:rsidRPr="00763D1F">
        <w:t>There is no baseline value for this measure, given that it will be used to retrospectively</w:t>
      </w:r>
      <w:r w:rsidR="008D3BAA">
        <w:t xml:space="preserve"> calculate savings </w:t>
      </w:r>
      <w:r w:rsidR="00B115F7">
        <w:t>based on</w:t>
      </w:r>
      <w:r w:rsidR="00EE2AD4">
        <w:t xml:space="preserve"> actual</w:t>
      </w:r>
      <w:r w:rsidR="00B115F7">
        <w:t xml:space="preserve"> </w:t>
      </w:r>
      <w:r w:rsidR="00736F26">
        <w:t>utilisation data</w:t>
      </w:r>
      <w:r w:rsidR="006C26E7">
        <w:t xml:space="preserve"> (rather than forecast savings using projected utilisation data).</w:t>
      </w:r>
    </w:p>
    <w:p w14:paraId="7575ECC5" w14:textId="3DA1049A" w:rsidR="00A44C6D" w:rsidRDefault="00DD6715" w:rsidP="00DA3712">
      <w:r>
        <w:t xml:space="preserve">IHACPA </w:t>
      </w:r>
      <w:r w:rsidR="0044068D">
        <w:t xml:space="preserve">estimated the </w:t>
      </w:r>
      <w:r w:rsidR="00891DCB">
        <w:t xml:space="preserve">projected benefits and savings associated with </w:t>
      </w:r>
      <w:r w:rsidR="005E50B9">
        <w:t>the PL</w:t>
      </w:r>
      <w:r w:rsidR="003526E9">
        <w:t xml:space="preserve"> reforms </w:t>
      </w:r>
      <w:r w:rsidR="005E50B9">
        <w:t>benefit reductions i</w:t>
      </w:r>
      <w:r w:rsidR="008047E4">
        <w:t>n October 2022.</w:t>
      </w:r>
      <w:r w:rsidR="00610687">
        <w:rPr>
          <w:rStyle w:val="FootnoteReference"/>
        </w:rPr>
        <w:footnoteReference w:id="107"/>
      </w:r>
      <w:r w:rsidR="008047E4">
        <w:t xml:space="preserve"> </w:t>
      </w:r>
      <w:r w:rsidR="005346F1">
        <w:t>It</w:t>
      </w:r>
      <w:r w:rsidR="00E56D33">
        <w:t xml:space="preserve"> </w:t>
      </w:r>
      <w:r w:rsidR="00A55111">
        <w:t xml:space="preserve">estimated the </w:t>
      </w:r>
      <w:r w:rsidR="00E3370C">
        <w:t xml:space="preserve">projected </w:t>
      </w:r>
      <w:r w:rsidR="00637005">
        <w:t xml:space="preserve">savings </w:t>
      </w:r>
      <w:r w:rsidR="00E3370C">
        <w:t>throughout</w:t>
      </w:r>
      <w:r w:rsidR="002B007B">
        <w:t xml:space="preserve"> the four-year reform period </w:t>
      </w:r>
      <w:r w:rsidR="000B003D">
        <w:t xml:space="preserve">to be </w:t>
      </w:r>
      <w:r w:rsidR="00372057">
        <w:t>$</w:t>
      </w:r>
      <w:r w:rsidR="00970C97">
        <w:t>873.4</w:t>
      </w:r>
      <w:r w:rsidR="00372057">
        <w:t xml:space="preserve"> million </w:t>
      </w:r>
      <w:r w:rsidR="00BD7189">
        <w:t>assuming a 3%</w:t>
      </w:r>
      <w:r w:rsidR="00D86B33">
        <w:t xml:space="preserve"> annual uti</w:t>
      </w:r>
      <w:r w:rsidR="0097595A">
        <w:t>lisation growth</w:t>
      </w:r>
      <w:r w:rsidR="00970C97">
        <w:t xml:space="preserve"> and $941.8 million assuming a 5% annual utilisation growth</w:t>
      </w:r>
      <w:r w:rsidR="00610687">
        <w:rPr>
          <w:rStyle w:val="FootnoteReference"/>
        </w:rPr>
        <w:footnoteReference w:id="108"/>
      </w:r>
      <w:r w:rsidR="00970C97">
        <w:t xml:space="preserve"> </w:t>
      </w:r>
      <w:r w:rsidR="00610687">
        <w:t xml:space="preserve">(noting that </w:t>
      </w:r>
      <w:r w:rsidR="006901FF">
        <w:t xml:space="preserve">the </w:t>
      </w:r>
      <w:r w:rsidR="007B4AB4">
        <w:rPr>
          <w:lang w:eastAsia="en-AU"/>
        </w:rPr>
        <w:t xml:space="preserve">compounded annual growth rate </w:t>
      </w:r>
      <w:r w:rsidR="006901FF">
        <w:rPr>
          <w:lang w:eastAsia="en-AU"/>
        </w:rPr>
        <w:t xml:space="preserve">of </w:t>
      </w:r>
      <w:r w:rsidR="00D56B39">
        <w:rPr>
          <w:lang w:eastAsia="en-AU"/>
        </w:rPr>
        <w:t xml:space="preserve">PL item utilisation </w:t>
      </w:r>
      <w:r w:rsidR="00FB47BC">
        <w:rPr>
          <w:lang w:eastAsia="en-AU"/>
        </w:rPr>
        <w:t xml:space="preserve">for the five years to </w:t>
      </w:r>
      <w:r w:rsidR="00C55B1D">
        <w:rPr>
          <w:lang w:eastAsia="en-AU"/>
        </w:rPr>
        <w:t xml:space="preserve">the </w:t>
      </w:r>
      <w:r w:rsidR="00FB47BC">
        <w:rPr>
          <w:lang w:eastAsia="en-AU"/>
        </w:rPr>
        <w:t>baseline</w:t>
      </w:r>
      <w:r w:rsidR="001420A1">
        <w:rPr>
          <w:lang w:eastAsia="en-AU"/>
        </w:rPr>
        <w:t xml:space="preserve"> year</w:t>
      </w:r>
      <w:r w:rsidR="00FB47BC">
        <w:rPr>
          <w:lang w:eastAsia="en-AU"/>
        </w:rPr>
        <w:t xml:space="preserve"> is </w:t>
      </w:r>
      <w:r w:rsidR="007B4AB4">
        <w:rPr>
          <w:lang w:eastAsia="en-AU"/>
        </w:rPr>
        <w:t>5.2%).</w:t>
      </w:r>
      <w:r w:rsidR="001D5F06">
        <w:rPr>
          <w:rStyle w:val="FootnoteReference"/>
          <w:lang w:eastAsia="en-AU"/>
        </w:rPr>
        <w:footnoteReference w:id="109"/>
      </w:r>
    </w:p>
    <w:p w14:paraId="58F55C65" w14:textId="1EB774F2" w:rsidR="00E81A85" w:rsidRDefault="00E81A85" w:rsidP="009667DE">
      <w:pPr>
        <w:pStyle w:val="Heading4"/>
      </w:pPr>
      <w:r w:rsidRPr="0BCC15EA">
        <w:rPr>
          <w:color w:val="F25E21" w:themeColor="accent2"/>
        </w:rPr>
        <w:lastRenderedPageBreak/>
        <w:t xml:space="preserve">Measure </w:t>
      </w:r>
      <w:r>
        <w:rPr>
          <w:color w:val="F25E21" w:themeColor="accent2"/>
        </w:rPr>
        <w:t>2</w:t>
      </w:r>
      <w:r w:rsidRPr="0BCC15EA">
        <w:rPr>
          <w:color w:val="F25E21" w:themeColor="accent2"/>
        </w:rPr>
        <w:t>.</w:t>
      </w:r>
      <w:r w:rsidR="00C26FC6">
        <w:rPr>
          <w:color w:val="F25E21" w:themeColor="accent2"/>
        </w:rPr>
        <w:t>2</w:t>
      </w:r>
      <w:r>
        <w:t>: Gap between PL benefits and prices in Australian public hospital</w:t>
      </w:r>
      <w:r w:rsidR="005C35D9">
        <w:t>s</w:t>
      </w:r>
    </w:p>
    <w:p w14:paraId="57E66BFA" w14:textId="77777777" w:rsidR="00E81A85" w:rsidRDefault="00E81A85" w:rsidP="00E578DD">
      <w:pPr>
        <w:pStyle w:val="Heading6"/>
        <w:spacing w:before="120"/>
      </w:pPr>
      <w:r w:rsidRPr="004D1FFC">
        <w:t>Measurement guide</w:t>
      </w:r>
    </w:p>
    <w:p w14:paraId="3DC93521" w14:textId="03F3A5D1" w:rsidR="00E81A85" w:rsidRDefault="00E81A85" w:rsidP="009667DE">
      <w:pPr>
        <w:rPr>
          <w:szCs w:val="19"/>
          <w:lang w:eastAsia="en-AU"/>
        </w:rPr>
      </w:pPr>
      <w:r w:rsidRPr="0BCC15EA">
        <w:rPr>
          <w:lang w:eastAsia="en-AU"/>
        </w:rPr>
        <w:t xml:space="preserve">This measure will track the gap between the PL benefits of </w:t>
      </w:r>
      <w:r w:rsidR="0064090A">
        <w:rPr>
          <w:lang w:eastAsia="en-AU"/>
        </w:rPr>
        <w:t>items</w:t>
      </w:r>
      <w:r w:rsidRPr="0BCC15EA">
        <w:rPr>
          <w:lang w:eastAsia="en-AU"/>
        </w:rPr>
        <w:t xml:space="preserve"> listed in Parts A, C and D of the schedule and the prices of th</w:t>
      </w:r>
      <w:r w:rsidR="004513CF">
        <w:rPr>
          <w:lang w:eastAsia="en-AU"/>
        </w:rPr>
        <w:t>e</w:t>
      </w:r>
      <w:r w:rsidRPr="0BCC15EA">
        <w:rPr>
          <w:lang w:eastAsia="en-AU"/>
        </w:rPr>
        <w:t xml:space="preserve"> </w:t>
      </w:r>
      <w:r w:rsidR="004513CF">
        <w:rPr>
          <w:lang w:eastAsia="en-AU"/>
        </w:rPr>
        <w:t>same</w:t>
      </w:r>
      <w:r w:rsidRPr="0BCC15EA">
        <w:rPr>
          <w:lang w:eastAsia="en-AU"/>
        </w:rPr>
        <w:t xml:space="preserve"> products in the Australian public system. </w:t>
      </w:r>
      <w:r w:rsidRPr="0C63581C">
        <w:rPr>
          <w:lang w:eastAsia="en-AU"/>
        </w:rPr>
        <w:t xml:space="preserve">If the reforms are achieving the objective of aligning scheduled benefits of the PL with the prices paid in more competitive markets, we would expect the percentage gap to decrease across </w:t>
      </w:r>
      <w:r w:rsidR="009875ED">
        <w:rPr>
          <w:lang w:eastAsia="en-AU"/>
        </w:rPr>
        <w:t>the</w:t>
      </w:r>
      <w:r w:rsidRPr="0C63581C">
        <w:rPr>
          <w:lang w:eastAsia="en-AU"/>
        </w:rPr>
        <w:t xml:space="preserve"> categories and benefit groups of the </w:t>
      </w:r>
      <w:r w:rsidR="000101C4">
        <w:rPr>
          <w:lang w:eastAsia="en-AU"/>
        </w:rPr>
        <w:t>PL</w:t>
      </w:r>
      <w:r w:rsidRPr="0C63581C">
        <w:rPr>
          <w:lang w:eastAsia="en-AU"/>
        </w:rPr>
        <w:t>.</w:t>
      </w:r>
    </w:p>
    <w:p w14:paraId="760F9FCD" w14:textId="2BE5A1ED" w:rsidR="00184F7C" w:rsidRDefault="00E81A85" w:rsidP="009667DE">
      <w:pPr>
        <w:rPr>
          <w:lang w:eastAsia="en-AU"/>
        </w:rPr>
      </w:pPr>
      <w:r w:rsidRPr="0BCC15EA">
        <w:rPr>
          <w:lang w:eastAsia="en-AU"/>
        </w:rPr>
        <w:t xml:space="preserve">The primary source of data for the Australian public system </w:t>
      </w:r>
      <w:r w:rsidR="00661FA2" w:rsidRPr="006A4084">
        <w:rPr>
          <w:lang w:eastAsia="en-AU"/>
        </w:rPr>
        <w:t xml:space="preserve">will be </w:t>
      </w:r>
      <w:r w:rsidR="00184F7C" w:rsidRPr="006A4084">
        <w:rPr>
          <w:lang w:eastAsia="en-AU"/>
        </w:rPr>
        <w:t>the</w:t>
      </w:r>
      <w:r w:rsidR="00F8181D" w:rsidRPr="006A4084">
        <w:rPr>
          <w:lang w:eastAsia="en-AU"/>
        </w:rPr>
        <w:t xml:space="preserve"> </w:t>
      </w:r>
      <w:r w:rsidR="00184F7C" w:rsidRPr="006A4084">
        <w:rPr>
          <w:lang w:eastAsia="en-AU"/>
        </w:rPr>
        <w:t>Weighted Average Prices</w:t>
      </w:r>
      <w:r w:rsidR="005D7803">
        <w:rPr>
          <w:lang w:eastAsia="en-AU"/>
        </w:rPr>
        <w:t xml:space="preserve"> </w:t>
      </w:r>
      <w:r w:rsidR="00F8181D" w:rsidRPr="006A4084">
        <w:rPr>
          <w:lang w:eastAsia="en-AU"/>
        </w:rPr>
        <w:t>from IHACPA’s public benchmarking exercise</w:t>
      </w:r>
      <w:r w:rsidR="008E464E" w:rsidRPr="006A4084">
        <w:rPr>
          <w:lang w:eastAsia="en-AU"/>
        </w:rPr>
        <w:t>s in 2021 and 2024.</w:t>
      </w:r>
      <w:r w:rsidR="00300192">
        <w:rPr>
          <w:lang w:eastAsia="en-AU"/>
        </w:rPr>
        <w:t xml:space="preserve"> </w:t>
      </w:r>
      <w:r w:rsidR="00354930">
        <w:rPr>
          <w:lang w:eastAsia="en-AU"/>
        </w:rPr>
        <w:t xml:space="preserve">Nous </w:t>
      </w:r>
      <w:r w:rsidR="00F74729">
        <w:rPr>
          <w:lang w:eastAsia="en-AU"/>
        </w:rPr>
        <w:t>does not</w:t>
      </w:r>
      <w:r w:rsidR="00B411AB">
        <w:rPr>
          <w:lang w:eastAsia="en-AU"/>
        </w:rPr>
        <w:t xml:space="preserve"> and will not</w:t>
      </w:r>
      <w:r w:rsidR="00F74729">
        <w:rPr>
          <w:lang w:eastAsia="en-AU"/>
        </w:rPr>
        <w:t xml:space="preserve"> have</w:t>
      </w:r>
      <w:r w:rsidR="00CC03DB">
        <w:rPr>
          <w:lang w:eastAsia="en-AU"/>
        </w:rPr>
        <w:t xml:space="preserve"> </w:t>
      </w:r>
      <w:r w:rsidR="00663379">
        <w:rPr>
          <w:lang w:eastAsia="en-AU"/>
        </w:rPr>
        <w:t xml:space="preserve">access to </w:t>
      </w:r>
      <w:r w:rsidR="005D7803">
        <w:rPr>
          <w:lang w:eastAsia="en-AU"/>
        </w:rPr>
        <w:t xml:space="preserve">the </w:t>
      </w:r>
      <w:r w:rsidR="00132C5D">
        <w:rPr>
          <w:lang w:eastAsia="en-AU"/>
        </w:rPr>
        <w:t xml:space="preserve">actual </w:t>
      </w:r>
      <w:r w:rsidR="003A45A2">
        <w:rPr>
          <w:lang w:eastAsia="en-AU"/>
        </w:rPr>
        <w:t xml:space="preserve">public benchmark </w:t>
      </w:r>
      <w:r w:rsidR="005D7803">
        <w:rPr>
          <w:lang w:eastAsia="en-AU"/>
        </w:rPr>
        <w:t>Weighted Average Price</w:t>
      </w:r>
      <w:r w:rsidR="00132C5D">
        <w:rPr>
          <w:lang w:eastAsia="en-AU"/>
        </w:rPr>
        <w:t xml:space="preserve"> </w:t>
      </w:r>
      <w:r w:rsidR="003A45A2">
        <w:rPr>
          <w:lang w:eastAsia="en-AU"/>
        </w:rPr>
        <w:t xml:space="preserve">for </w:t>
      </w:r>
      <w:r w:rsidR="00894A70">
        <w:rPr>
          <w:lang w:eastAsia="en-AU"/>
        </w:rPr>
        <w:t>each benefit</w:t>
      </w:r>
      <w:r w:rsidR="003A45A2">
        <w:rPr>
          <w:lang w:eastAsia="en-AU"/>
        </w:rPr>
        <w:t xml:space="preserve"> group</w:t>
      </w:r>
      <w:r w:rsidR="00B411AB">
        <w:rPr>
          <w:lang w:eastAsia="en-AU"/>
        </w:rPr>
        <w:t>.</w:t>
      </w:r>
      <w:r w:rsidR="00DF5910">
        <w:rPr>
          <w:lang w:eastAsia="en-AU"/>
        </w:rPr>
        <w:t xml:space="preserve"> I</w:t>
      </w:r>
      <w:r w:rsidR="004F695D">
        <w:rPr>
          <w:lang w:eastAsia="en-AU"/>
        </w:rPr>
        <w:t>nstead,</w:t>
      </w:r>
      <w:r w:rsidR="007423DD">
        <w:rPr>
          <w:lang w:eastAsia="en-AU"/>
        </w:rPr>
        <w:t xml:space="preserve"> the </w:t>
      </w:r>
      <w:r w:rsidR="007276EB">
        <w:rPr>
          <w:lang w:eastAsia="en-AU"/>
        </w:rPr>
        <w:t xml:space="preserve">gap between PL benefits and the </w:t>
      </w:r>
      <w:r w:rsidR="007423DD">
        <w:rPr>
          <w:lang w:eastAsia="en-AU"/>
        </w:rPr>
        <w:t>public benchmark</w:t>
      </w:r>
      <w:r w:rsidR="007276EB">
        <w:rPr>
          <w:lang w:eastAsia="en-AU"/>
        </w:rPr>
        <w:t xml:space="preserve"> prices</w:t>
      </w:r>
      <w:r w:rsidR="007423DD">
        <w:rPr>
          <w:lang w:eastAsia="en-AU"/>
        </w:rPr>
        <w:t xml:space="preserve"> will </w:t>
      </w:r>
      <w:r w:rsidR="000C4DAB">
        <w:rPr>
          <w:lang w:eastAsia="en-AU"/>
        </w:rPr>
        <w:t>come from two sources:</w:t>
      </w:r>
    </w:p>
    <w:p w14:paraId="3E55E994" w14:textId="13946D7F" w:rsidR="00D124D3" w:rsidRDefault="00413863" w:rsidP="004264A4">
      <w:pPr>
        <w:pStyle w:val="NewListBulletPoint"/>
        <w:numPr>
          <w:ilvl w:val="0"/>
          <w:numId w:val="27"/>
        </w:numPr>
      </w:pPr>
      <w:r>
        <w:t>The first source is an</w:t>
      </w:r>
      <w:r w:rsidR="007276EB">
        <w:t xml:space="preserve"> aggregated summary </w:t>
      </w:r>
      <w:r w:rsidR="00AA0279">
        <w:t xml:space="preserve">showing </w:t>
      </w:r>
      <w:r w:rsidR="007276EB">
        <w:t xml:space="preserve">the </w:t>
      </w:r>
      <w:r w:rsidR="00A653CC">
        <w:t xml:space="preserve">$ and % </w:t>
      </w:r>
      <w:r w:rsidR="007276EB">
        <w:t>median gap</w:t>
      </w:r>
      <w:r w:rsidR="00BF2F3A">
        <w:t xml:space="preserve"> </w:t>
      </w:r>
      <w:r w:rsidR="00AA0279">
        <w:t>for</w:t>
      </w:r>
      <w:r w:rsidR="00063AC1">
        <w:t xml:space="preserve"> </w:t>
      </w:r>
      <w:r w:rsidR="00AA0279">
        <w:t xml:space="preserve">benefit groups in </w:t>
      </w:r>
      <w:r w:rsidR="00CC4567">
        <w:t xml:space="preserve">each of the 13 </w:t>
      </w:r>
      <w:r w:rsidR="00063AC1">
        <w:t>categories</w:t>
      </w:r>
      <w:r w:rsidR="006D7401">
        <w:t>,</w:t>
      </w:r>
      <w:r w:rsidR="00CB0928">
        <w:t xml:space="preserve"> </w:t>
      </w:r>
      <w:r w:rsidR="00A637CD">
        <w:t xml:space="preserve">provided by the </w:t>
      </w:r>
      <w:r w:rsidR="00E071E5">
        <w:t xml:space="preserve">Department. </w:t>
      </w:r>
      <w:r w:rsidR="005315C3">
        <w:t xml:space="preserve">This summary </w:t>
      </w:r>
      <w:r w:rsidR="007D4781">
        <w:t>compares</w:t>
      </w:r>
      <w:r w:rsidR="00072CA7">
        <w:t xml:space="preserve"> </w:t>
      </w:r>
      <w:r w:rsidR="00CB0928">
        <w:t xml:space="preserve">Part A of the </w:t>
      </w:r>
      <w:r w:rsidR="00072CA7">
        <w:t>March 2022 PL</w:t>
      </w:r>
      <w:r w:rsidR="009E07D6">
        <w:t xml:space="preserve"> </w:t>
      </w:r>
      <w:r w:rsidR="00CB0928">
        <w:t>to the</w:t>
      </w:r>
      <w:r w:rsidR="00463256">
        <w:t xml:space="preserve"> November 2021</w:t>
      </w:r>
      <w:r w:rsidR="00CB0928">
        <w:t xml:space="preserve"> </w:t>
      </w:r>
      <w:r w:rsidR="008D697E">
        <w:t>public benchmark prices</w:t>
      </w:r>
      <w:r w:rsidR="00055B61">
        <w:t xml:space="preserve"> compiled by IHACPA</w:t>
      </w:r>
      <w:r w:rsidR="009E07D6">
        <w:t xml:space="preserve"> (excluding CIED items)</w:t>
      </w:r>
      <w:r w:rsidR="00463256">
        <w:t>.</w:t>
      </w:r>
      <w:r w:rsidR="00EE7C0B">
        <w:t xml:space="preserve"> The Department will update this summary</w:t>
      </w:r>
      <w:r w:rsidR="00476BCD">
        <w:t>, including using updated public benchmark</w:t>
      </w:r>
      <w:r w:rsidR="003109DC">
        <w:t xml:space="preserve"> prices when available, </w:t>
      </w:r>
      <w:r w:rsidR="0042589E">
        <w:t xml:space="preserve">for Nous to use </w:t>
      </w:r>
      <w:r w:rsidR="00DA3FD4">
        <w:t>in reporting</w:t>
      </w:r>
      <w:r w:rsidR="00EE7C0B">
        <w:t xml:space="preserve"> throughout the evaluation.</w:t>
      </w:r>
    </w:p>
    <w:p w14:paraId="06AFEE12" w14:textId="6E6D6BE6" w:rsidR="00E06C96" w:rsidRDefault="00DA3FD4" w:rsidP="00D519F2">
      <w:pPr>
        <w:pStyle w:val="NewListBulletPoint"/>
      </w:pPr>
      <w:r w:rsidRPr="3787E91E">
        <w:t xml:space="preserve">The second source is </w:t>
      </w:r>
      <w:r w:rsidR="004F3069" w:rsidRPr="3787E91E">
        <w:t xml:space="preserve">Nous </w:t>
      </w:r>
      <w:r w:rsidR="006E3FC9" w:rsidRPr="3787E91E">
        <w:t>estimat</w:t>
      </w:r>
      <w:r w:rsidR="004F3069" w:rsidRPr="3787E91E">
        <w:t xml:space="preserve">es </w:t>
      </w:r>
      <w:r w:rsidR="001867A9" w:rsidRPr="3787E91E">
        <w:t>of</w:t>
      </w:r>
      <w:r w:rsidR="006E3FC9" w:rsidRPr="3787E91E">
        <w:t xml:space="preserve"> </w:t>
      </w:r>
      <w:r w:rsidR="00876A68" w:rsidRPr="3787E91E">
        <w:t xml:space="preserve">the </w:t>
      </w:r>
      <w:r w:rsidR="00273FF4" w:rsidRPr="3787E91E">
        <w:t xml:space="preserve">gap </w:t>
      </w:r>
      <w:r w:rsidR="006E3FC9" w:rsidRPr="3787E91E">
        <w:t xml:space="preserve">for each of the 1665 billing groups in Parts A and C of the November 2021 PL </w:t>
      </w:r>
      <w:r w:rsidR="00876A68" w:rsidRPr="3787E91E">
        <w:t>using</w:t>
      </w:r>
      <w:r w:rsidR="00E81A85" w:rsidRPr="3787E91E">
        <w:t xml:space="preserve"> a close approximation</w:t>
      </w:r>
      <w:r w:rsidR="00E81A85" w:rsidRPr="3787E91E">
        <w:rPr>
          <w:rStyle w:val="FootnoteReference"/>
        </w:rPr>
        <w:footnoteReference w:id="110"/>
      </w:r>
      <w:r w:rsidR="00E81A85" w:rsidRPr="3787E91E">
        <w:t xml:space="preserve"> of the 2021 public benchmark prices</w:t>
      </w:r>
      <w:r w:rsidR="00420974" w:rsidRPr="3787E91E">
        <w:t xml:space="preserve">. </w:t>
      </w:r>
      <w:r w:rsidR="00CA12CC" w:rsidRPr="3787E91E">
        <w:t xml:space="preserve">We have </w:t>
      </w:r>
      <w:proofErr w:type="spellStart"/>
      <w:r w:rsidR="00CA12CC" w:rsidRPr="3787E91E">
        <w:t>backcalculated</w:t>
      </w:r>
      <w:proofErr w:type="spellEnd"/>
      <w:r w:rsidR="00CA12CC" w:rsidRPr="3787E91E">
        <w:t xml:space="preserve"> </w:t>
      </w:r>
      <w:r w:rsidR="00E33E36" w:rsidRPr="3787E91E">
        <w:t xml:space="preserve">an upper and lower </w:t>
      </w:r>
      <w:r w:rsidR="00277138" w:rsidRPr="3787E91E">
        <w:t>bound</w:t>
      </w:r>
      <w:r w:rsidR="00E33E36" w:rsidRPr="3787E91E">
        <w:t xml:space="preserve"> for each</w:t>
      </w:r>
      <w:r w:rsidR="00CA12CC" w:rsidRPr="3787E91E">
        <w:t xml:space="preserve"> </w:t>
      </w:r>
      <w:r w:rsidR="00E33E36" w:rsidRPr="3787E91E">
        <w:t xml:space="preserve">Weighted Average Price </w:t>
      </w:r>
      <w:r w:rsidR="00820EA5" w:rsidRPr="3787E91E">
        <w:t>using publicly available sources (</w:t>
      </w:r>
      <w:r w:rsidR="00E81A85" w:rsidRPr="3787E91E">
        <w:t xml:space="preserve">see </w:t>
      </w:r>
      <w:r w:rsidR="00E81A85" w:rsidRPr="0BCC15EA">
        <w:fldChar w:fldCharType="begin"/>
      </w:r>
      <w:r w:rsidR="00E81A85" w:rsidRPr="0BCC15EA">
        <w:instrText xml:space="preserve"> REF _Ref159327204 \r \h </w:instrText>
      </w:r>
      <w:r w:rsidR="00E81A85" w:rsidRPr="0BCC15EA">
        <w:fldChar w:fldCharType="separate"/>
      </w:r>
      <w:r w:rsidR="00026714" w:rsidRPr="3787E91E">
        <w:t>Appendix E</w:t>
      </w:r>
      <w:r w:rsidR="00E81A85" w:rsidRPr="0BCC15EA">
        <w:fldChar w:fldCharType="end"/>
      </w:r>
      <w:r w:rsidR="00E81A85" w:rsidRPr="3787E91E">
        <w:t xml:space="preserve"> for </w:t>
      </w:r>
      <w:r w:rsidR="00217CA8" w:rsidRPr="3787E91E">
        <w:t>Nous’</w:t>
      </w:r>
      <w:r w:rsidR="00E81A85" w:rsidRPr="3787E91E">
        <w:t xml:space="preserve"> approximation methodology). </w:t>
      </w:r>
      <w:r w:rsidR="008753F5" w:rsidRPr="3787E91E">
        <w:t xml:space="preserve">Due to the </w:t>
      </w:r>
      <w:r w:rsidR="00324130" w:rsidRPr="3787E91E">
        <w:t xml:space="preserve">nature of the </w:t>
      </w:r>
      <w:proofErr w:type="spellStart"/>
      <w:r w:rsidR="00324130" w:rsidRPr="3787E91E">
        <w:t>backcalculation</w:t>
      </w:r>
      <w:proofErr w:type="spellEnd"/>
      <w:r w:rsidR="00CB53CC" w:rsidRPr="3787E91E">
        <w:t xml:space="preserve"> methodology</w:t>
      </w:r>
      <w:r w:rsidR="008753F5" w:rsidRPr="3787E91E">
        <w:t xml:space="preserve">, we </w:t>
      </w:r>
      <w:r w:rsidR="004B4217" w:rsidRPr="3787E91E">
        <w:t xml:space="preserve">will not be able to </w:t>
      </w:r>
      <w:r w:rsidR="00324130" w:rsidRPr="3787E91E">
        <w:t>approximate</w:t>
      </w:r>
      <w:r w:rsidR="004B4217" w:rsidRPr="3787E91E">
        <w:t xml:space="preserve"> the updated public benchmark prices with the same degree of accuracy.</w:t>
      </w:r>
    </w:p>
    <w:p w14:paraId="2F25EF96" w14:textId="77777777" w:rsidR="00E81A85" w:rsidRPr="00541121" w:rsidRDefault="00E81A85" w:rsidP="00E578DD">
      <w:pPr>
        <w:pStyle w:val="Heading6"/>
        <w:spacing w:before="120"/>
      </w:pPr>
      <w:r w:rsidRPr="004D1FFC">
        <w:t>Baseline value</w:t>
      </w:r>
    </w:p>
    <w:p w14:paraId="5D6510DA" w14:textId="6E80A0F5" w:rsidR="00E81A85" w:rsidRPr="00C8344E" w:rsidRDefault="0084008B" w:rsidP="009667DE">
      <w:r>
        <w:t xml:space="preserve">As </w:t>
      </w:r>
      <w:r w:rsidR="00493F54">
        <w:t>shown</w:t>
      </w:r>
      <w:r>
        <w:t xml:space="preserve"> in </w:t>
      </w:r>
      <w:r w:rsidR="005F210D">
        <w:fldChar w:fldCharType="begin"/>
      </w:r>
      <w:r w:rsidR="005F210D">
        <w:instrText xml:space="preserve"> REF _Ref162017319 \h </w:instrText>
      </w:r>
      <w:r w:rsidR="005F210D">
        <w:fldChar w:fldCharType="separate"/>
      </w:r>
      <w:r w:rsidR="00026714">
        <w:t xml:space="preserve">Figure </w:t>
      </w:r>
      <w:r w:rsidR="00026714">
        <w:rPr>
          <w:noProof/>
        </w:rPr>
        <w:t>6</w:t>
      </w:r>
      <w:r w:rsidR="005F210D">
        <w:fldChar w:fldCharType="end"/>
      </w:r>
      <w:r>
        <w:t xml:space="preserve"> </w:t>
      </w:r>
      <w:r w:rsidR="00493F54">
        <w:t>in section</w:t>
      </w:r>
      <w:r w:rsidR="000033FB">
        <w:t xml:space="preserve"> </w:t>
      </w:r>
      <w:r w:rsidR="000033FB">
        <w:fldChar w:fldCharType="begin"/>
      </w:r>
      <w:r w:rsidR="000033FB">
        <w:instrText xml:space="preserve"> REF _Ref160185843 \r \h </w:instrText>
      </w:r>
      <w:r w:rsidR="000033FB">
        <w:fldChar w:fldCharType="separate"/>
      </w:r>
      <w:r w:rsidR="00026714">
        <w:t>3.1.1</w:t>
      </w:r>
      <w:r w:rsidR="000033FB">
        <w:fldChar w:fldCharType="end"/>
      </w:r>
      <w:r w:rsidR="00493F54">
        <w:t>,</w:t>
      </w:r>
      <w:r w:rsidR="00E81A85">
        <w:t xml:space="preserve"> the gap between PL benefits </w:t>
      </w:r>
      <w:r w:rsidR="006E6BD4">
        <w:t xml:space="preserve">and </w:t>
      </w:r>
      <w:r w:rsidR="00E81A85">
        <w:t xml:space="preserve">public benchmark prices </w:t>
      </w:r>
      <w:r w:rsidR="00E16A0D">
        <w:t xml:space="preserve">is significant in the aggregate but varies across </w:t>
      </w:r>
      <w:r w:rsidR="00B5061A">
        <w:t>items.</w:t>
      </w:r>
      <w:r w:rsidR="00E81A85">
        <w:t xml:space="preserve"> Around half of the items were not subject to reductions and so, were </w:t>
      </w:r>
      <w:r w:rsidR="00CB5CEC">
        <w:t>equal to or below</w:t>
      </w:r>
      <w:r w:rsidR="00E81A85">
        <w:t xml:space="preserve"> 7% of the public benchmark. The gap of the remaining items varied widely, as shown in the long tail in </w:t>
      </w:r>
      <w:r w:rsidR="005F210D">
        <w:fldChar w:fldCharType="begin"/>
      </w:r>
      <w:r w:rsidR="005F210D">
        <w:instrText xml:space="preserve"> REF _Ref162017319 \h </w:instrText>
      </w:r>
      <w:r w:rsidR="005F210D">
        <w:fldChar w:fldCharType="separate"/>
      </w:r>
      <w:r w:rsidR="00026714">
        <w:t xml:space="preserve">Figure </w:t>
      </w:r>
      <w:r w:rsidR="00026714">
        <w:rPr>
          <w:noProof/>
        </w:rPr>
        <w:t>6</w:t>
      </w:r>
      <w:r w:rsidR="005F210D">
        <w:fldChar w:fldCharType="end"/>
      </w:r>
      <w:r w:rsidR="00E81A85">
        <w:t xml:space="preserve">. </w:t>
      </w:r>
      <w:r w:rsidR="00E81A85" w:rsidRPr="0BCC15EA">
        <w:rPr>
          <w:lang w:eastAsia="en-AU"/>
        </w:rPr>
        <w:t xml:space="preserve">The </w:t>
      </w:r>
      <w:r w:rsidR="00016B56">
        <w:rPr>
          <w:lang w:eastAsia="en-AU"/>
        </w:rPr>
        <w:t>March</w:t>
      </w:r>
      <w:r w:rsidR="00E81A85" w:rsidRPr="0BCC15EA">
        <w:rPr>
          <w:lang w:eastAsia="en-AU"/>
        </w:rPr>
        <w:t xml:space="preserve"> 202</w:t>
      </w:r>
      <w:r w:rsidR="00016B56">
        <w:rPr>
          <w:lang w:eastAsia="en-AU"/>
        </w:rPr>
        <w:t>2</w:t>
      </w:r>
      <w:r w:rsidR="00E81A85" w:rsidRPr="0BCC15EA">
        <w:rPr>
          <w:lang w:eastAsia="en-AU"/>
        </w:rPr>
        <w:t xml:space="preserve"> PL </w:t>
      </w:r>
      <w:r w:rsidR="00D67F18">
        <w:rPr>
          <w:lang w:eastAsia="en-AU"/>
        </w:rPr>
        <w:t xml:space="preserve">was used </w:t>
      </w:r>
      <w:r w:rsidR="009D5C29">
        <w:rPr>
          <w:lang w:eastAsia="en-AU"/>
        </w:rPr>
        <w:t>as</w:t>
      </w:r>
      <w:r w:rsidR="00D67F18">
        <w:rPr>
          <w:lang w:eastAsia="en-AU"/>
        </w:rPr>
        <w:t xml:space="preserve"> </w:t>
      </w:r>
      <w:r w:rsidR="00E81A85" w:rsidRPr="0BCC15EA">
        <w:rPr>
          <w:lang w:eastAsia="en-AU"/>
        </w:rPr>
        <w:t xml:space="preserve">the baseline for this measure as it was </w:t>
      </w:r>
      <w:r w:rsidR="00312748">
        <w:rPr>
          <w:lang w:eastAsia="en-AU"/>
        </w:rPr>
        <w:t>the</w:t>
      </w:r>
      <w:r w:rsidR="00E81A85" w:rsidRPr="0BCC15EA">
        <w:rPr>
          <w:lang w:eastAsia="en-AU"/>
        </w:rPr>
        <w:t xml:space="preserve"> schedule used by IHACPA </w:t>
      </w:r>
      <w:r w:rsidR="009D5C29">
        <w:rPr>
          <w:lang w:eastAsia="en-AU"/>
        </w:rPr>
        <w:t>to calculate the first round of benefit reductions</w:t>
      </w:r>
      <w:r w:rsidR="003734C1">
        <w:rPr>
          <w:lang w:eastAsia="en-AU"/>
        </w:rPr>
        <w:t xml:space="preserve"> </w:t>
      </w:r>
      <w:r w:rsidR="00E81A85" w:rsidRPr="0BCC15EA">
        <w:rPr>
          <w:lang w:eastAsia="en-AU"/>
        </w:rPr>
        <w:t xml:space="preserve">for the </w:t>
      </w:r>
      <w:r w:rsidR="003734C1">
        <w:rPr>
          <w:lang w:eastAsia="en-AU"/>
        </w:rPr>
        <w:t>July 2022 PL</w:t>
      </w:r>
      <w:r w:rsidR="00E81A85" w:rsidRPr="0BCC15EA">
        <w:rPr>
          <w:lang w:eastAsia="en-AU"/>
        </w:rPr>
        <w:t>.</w:t>
      </w:r>
      <w:r w:rsidR="00D67F18">
        <w:rPr>
          <w:rStyle w:val="FootnoteReference"/>
          <w:lang w:eastAsia="en-AU"/>
        </w:rPr>
        <w:footnoteReference w:id="111"/>
      </w:r>
    </w:p>
    <w:p w14:paraId="1440DA02" w14:textId="5DECDF2C" w:rsidR="008C69B8" w:rsidRPr="000E5C21" w:rsidRDefault="001E2492" w:rsidP="009667DE">
      <w:r>
        <w:fldChar w:fldCharType="begin"/>
      </w:r>
      <w:r>
        <w:instrText xml:space="preserve"> REF _Ref159925513 \h </w:instrText>
      </w:r>
      <w:r>
        <w:fldChar w:fldCharType="separate"/>
      </w:r>
      <w:r w:rsidR="00026714">
        <w:t xml:space="preserve">Table </w:t>
      </w:r>
      <w:r w:rsidR="00026714">
        <w:rPr>
          <w:noProof/>
        </w:rPr>
        <w:t>5</w:t>
      </w:r>
      <w:r>
        <w:fldChar w:fldCharType="end"/>
      </w:r>
      <w:r w:rsidR="009667DE">
        <w:t xml:space="preserve"> </w:t>
      </w:r>
      <w:r w:rsidR="00E81A85">
        <w:t xml:space="preserve">shows the median dollar and percentage gap of </w:t>
      </w:r>
      <w:r w:rsidR="007D71AC">
        <w:t>Part A</w:t>
      </w:r>
      <w:r w:rsidR="00E81A85">
        <w:t xml:space="preserve"> items </w:t>
      </w:r>
      <w:r w:rsidR="007D71AC">
        <w:t>subject to reductions</w:t>
      </w:r>
      <w:r w:rsidR="009D7185">
        <w:t xml:space="preserve"> </w:t>
      </w:r>
      <w:r w:rsidR="00E81A85">
        <w:t xml:space="preserve">on the </w:t>
      </w:r>
      <w:r w:rsidR="00312748">
        <w:t xml:space="preserve">March </w:t>
      </w:r>
      <w:r w:rsidR="00E81A85">
        <w:t>202</w:t>
      </w:r>
      <w:r w:rsidR="00312748">
        <w:t>2</w:t>
      </w:r>
      <w:r w:rsidR="00E81A85">
        <w:t xml:space="preserve"> PL compared to the </w:t>
      </w:r>
      <w:r w:rsidR="00312748">
        <w:t>Novem</w:t>
      </w:r>
      <w:r w:rsidR="00DF62C5">
        <w:t xml:space="preserve">ber 2021 </w:t>
      </w:r>
      <w:r w:rsidR="00E81A85">
        <w:t>public benchmark prices</w:t>
      </w:r>
      <w:r w:rsidR="007D71AC">
        <w:t xml:space="preserve"> </w:t>
      </w:r>
      <w:r w:rsidR="00FB30D1">
        <w:t>(excluding CIED items)</w:t>
      </w:r>
      <w:r w:rsidR="00E81A85">
        <w:t xml:space="preserve">. The median gap is </w:t>
      </w:r>
      <w:r w:rsidR="00E81A85" w:rsidRPr="00681039">
        <w:t>$1</w:t>
      </w:r>
      <w:r w:rsidR="00681039" w:rsidRPr="00681039">
        <w:t>77</w:t>
      </w:r>
      <w:r w:rsidR="00E81A85" w:rsidRPr="00681039">
        <w:t xml:space="preserve"> and median gap percentage is 2</w:t>
      </w:r>
      <w:r w:rsidR="00681039" w:rsidRPr="00681039">
        <w:t>5</w:t>
      </w:r>
      <w:r w:rsidR="00E81A85" w:rsidRPr="00681039">
        <w:t>%.</w:t>
      </w:r>
    </w:p>
    <w:p w14:paraId="5B603B64" w14:textId="74233FDD" w:rsidR="00E81A85" w:rsidRPr="00600AEA" w:rsidRDefault="00E81A85" w:rsidP="001F714D">
      <w:pPr>
        <w:pStyle w:val="Caption"/>
        <w:spacing w:before="240" w:after="120"/>
      </w:pPr>
      <w:bookmarkStart w:id="65" w:name="_Ref159925513"/>
      <w:r>
        <w:lastRenderedPageBreak/>
        <w:t xml:space="preserve">Table </w:t>
      </w:r>
      <w:r>
        <w:fldChar w:fldCharType="begin"/>
      </w:r>
      <w:r>
        <w:instrText xml:space="preserve"> SEQ Table \* ARABIC </w:instrText>
      </w:r>
      <w:r>
        <w:fldChar w:fldCharType="separate"/>
      </w:r>
      <w:r w:rsidR="00026714">
        <w:rPr>
          <w:noProof/>
        </w:rPr>
        <w:t>5</w:t>
      </w:r>
      <w:r>
        <w:fldChar w:fldCharType="end"/>
      </w:r>
      <w:bookmarkEnd w:id="65"/>
      <w:r>
        <w:t xml:space="preserve"> | Gap between PL benefits and public benchmark prices of items subject to reductions</w:t>
      </w:r>
      <w:r w:rsidR="007D71AC">
        <w:t xml:space="preserve"> (Part A, excluding </w:t>
      </w:r>
      <w:r w:rsidR="001172B0">
        <w:t>CIED items)</w:t>
      </w:r>
      <w:r w:rsidRPr="004A5A59">
        <w:rPr>
          <w:vertAlign w:val="superscript"/>
        </w:rPr>
        <w:footnoteReference w:id="112"/>
      </w:r>
    </w:p>
    <w:tbl>
      <w:tblPr>
        <w:tblStyle w:val="NOUS"/>
        <w:tblW w:w="8931" w:type="dxa"/>
        <w:tblLook w:val="04A0" w:firstRow="1" w:lastRow="0" w:firstColumn="1" w:lastColumn="0" w:noHBand="0" w:noVBand="1"/>
      </w:tblPr>
      <w:tblGrid>
        <w:gridCol w:w="3402"/>
        <w:gridCol w:w="2764"/>
        <w:gridCol w:w="2765"/>
      </w:tblGrid>
      <w:tr w:rsidR="00E81A85" w14:paraId="6E87ED88" w14:textId="77777777">
        <w:trPr>
          <w:cnfStyle w:val="100000000000" w:firstRow="1" w:lastRow="0" w:firstColumn="0" w:lastColumn="0" w:oddVBand="0" w:evenVBand="0" w:oddHBand="0" w:evenHBand="0" w:firstRowFirstColumn="0" w:firstRowLastColumn="0" w:lastRowFirstColumn="0" w:lastRowLastColumn="0"/>
        </w:trPr>
        <w:tc>
          <w:tcPr>
            <w:tcW w:w="3402" w:type="dxa"/>
            <w:vAlign w:val="center"/>
          </w:tcPr>
          <w:p w14:paraId="15D362C4" w14:textId="77777777" w:rsidR="00E81A85" w:rsidRPr="0059516F" w:rsidRDefault="00E81A85" w:rsidP="009667DE">
            <w:pPr>
              <w:pStyle w:val="TableNheader"/>
              <w:outlineLvl w:val="3"/>
              <w:rPr>
                <w:b w:val="0"/>
                <w:bCs/>
              </w:rPr>
            </w:pPr>
            <w:r w:rsidRPr="0059516F">
              <w:rPr>
                <w:b w:val="0"/>
                <w:bCs/>
              </w:rPr>
              <w:t>Categories</w:t>
            </w:r>
          </w:p>
        </w:tc>
        <w:tc>
          <w:tcPr>
            <w:tcW w:w="2764" w:type="dxa"/>
            <w:vAlign w:val="center"/>
          </w:tcPr>
          <w:p w14:paraId="6980C135" w14:textId="77777777" w:rsidR="00E81A85" w:rsidRPr="0059516F" w:rsidRDefault="00E81A85" w:rsidP="009667DE">
            <w:pPr>
              <w:pStyle w:val="TableNheader"/>
              <w:jc w:val="center"/>
              <w:outlineLvl w:val="3"/>
              <w:rPr>
                <w:b w:val="0"/>
                <w:bCs/>
              </w:rPr>
            </w:pPr>
            <w:r w:rsidRPr="0059516F">
              <w:rPr>
                <w:b w:val="0"/>
                <w:bCs/>
              </w:rPr>
              <w:t>Median gap $</w:t>
            </w:r>
          </w:p>
        </w:tc>
        <w:tc>
          <w:tcPr>
            <w:tcW w:w="2765" w:type="dxa"/>
            <w:vAlign w:val="center"/>
          </w:tcPr>
          <w:p w14:paraId="0B80FD73" w14:textId="77777777" w:rsidR="00E81A85" w:rsidRPr="0059516F" w:rsidRDefault="00E81A85" w:rsidP="009667DE">
            <w:pPr>
              <w:pStyle w:val="TableNheader"/>
              <w:jc w:val="center"/>
              <w:outlineLvl w:val="3"/>
              <w:rPr>
                <w:b w:val="0"/>
                <w:bCs/>
              </w:rPr>
            </w:pPr>
            <w:r w:rsidRPr="0059516F">
              <w:rPr>
                <w:b w:val="0"/>
                <w:bCs/>
              </w:rPr>
              <w:t>Median gap %</w:t>
            </w:r>
          </w:p>
        </w:tc>
      </w:tr>
      <w:tr w:rsidR="00E81A85" w14:paraId="7CDCA335" w14:textId="77777777">
        <w:tc>
          <w:tcPr>
            <w:tcW w:w="3402" w:type="dxa"/>
          </w:tcPr>
          <w:p w14:paraId="6FB0628E" w14:textId="77777777" w:rsidR="00E81A85" w:rsidRPr="00E919F0" w:rsidRDefault="00E81A85" w:rsidP="009667DE">
            <w:pPr>
              <w:pStyle w:val="TableNText"/>
              <w:outlineLvl w:val="3"/>
              <w:rPr>
                <w:rFonts w:asciiTheme="majorHAnsi" w:hAnsiTheme="majorHAnsi" w:cstheme="majorHAnsi"/>
              </w:rPr>
            </w:pPr>
            <w:r w:rsidRPr="00E919F0">
              <w:rPr>
                <w:rFonts w:asciiTheme="majorHAnsi" w:hAnsiTheme="majorHAnsi" w:cstheme="majorHAnsi"/>
              </w:rPr>
              <w:t>01 - Ophthalmic</w:t>
            </w:r>
          </w:p>
        </w:tc>
        <w:tc>
          <w:tcPr>
            <w:tcW w:w="2764" w:type="dxa"/>
          </w:tcPr>
          <w:p w14:paraId="5CC1CE01" w14:textId="133D0162" w:rsidR="00E81A85" w:rsidRDefault="008F552D" w:rsidP="009667DE">
            <w:pPr>
              <w:pStyle w:val="TableNText"/>
              <w:jc w:val="center"/>
              <w:outlineLvl w:val="3"/>
            </w:pPr>
            <w:r w:rsidRPr="00AE7534">
              <w:t xml:space="preserve"> $58 </w:t>
            </w:r>
          </w:p>
        </w:tc>
        <w:tc>
          <w:tcPr>
            <w:tcW w:w="2765" w:type="dxa"/>
          </w:tcPr>
          <w:p w14:paraId="1208F646" w14:textId="69EFBE92" w:rsidR="00E81A85" w:rsidRDefault="008F552D" w:rsidP="009667DE">
            <w:pPr>
              <w:pStyle w:val="TableNText"/>
              <w:jc w:val="center"/>
              <w:outlineLvl w:val="3"/>
            </w:pPr>
            <w:r w:rsidRPr="00AE7534">
              <w:t>27</w:t>
            </w:r>
            <w:r w:rsidR="00E81A85" w:rsidRPr="00262B7F">
              <w:t>%</w:t>
            </w:r>
          </w:p>
        </w:tc>
      </w:tr>
      <w:tr w:rsidR="00E81A85" w14:paraId="516EB8FE" w14:textId="77777777">
        <w:tc>
          <w:tcPr>
            <w:tcW w:w="3402" w:type="dxa"/>
          </w:tcPr>
          <w:p w14:paraId="376E28E8" w14:textId="77777777" w:rsidR="00E81A85" w:rsidRPr="00E919F0" w:rsidRDefault="00E81A85" w:rsidP="009667DE">
            <w:pPr>
              <w:pStyle w:val="TableNText"/>
              <w:outlineLvl w:val="3"/>
              <w:rPr>
                <w:rFonts w:asciiTheme="majorHAnsi" w:hAnsiTheme="majorHAnsi" w:cstheme="majorHAnsi"/>
              </w:rPr>
            </w:pPr>
            <w:r w:rsidRPr="00E919F0">
              <w:rPr>
                <w:rFonts w:asciiTheme="majorHAnsi" w:hAnsiTheme="majorHAnsi" w:cstheme="majorHAnsi"/>
              </w:rPr>
              <w:t>02 - Ear, Nose &amp; Throat</w:t>
            </w:r>
          </w:p>
        </w:tc>
        <w:tc>
          <w:tcPr>
            <w:tcW w:w="2764" w:type="dxa"/>
          </w:tcPr>
          <w:p w14:paraId="1824217A" w14:textId="112318C9" w:rsidR="00E81A85" w:rsidRDefault="008F552D" w:rsidP="009667DE">
            <w:pPr>
              <w:pStyle w:val="TableNText"/>
              <w:jc w:val="center"/>
              <w:outlineLvl w:val="3"/>
            </w:pPr>
            <w:r w:rsidRPr="00AE7534">
              <w:t xml:space="preserve"> </w:t>
            </w:r>
            <w:r w:rsidR="00E81A85">
              <w:t>$</w:t>
            </w:r>
            <w:r w:rsidR="00E81A85" w:rsidRPr="00262B7F">
              <w:t>44</w:t>
            </w:r>
            <w:r w:rsidRPr="00AE7534">
              <w:t xml:space="preserve"> </w:t>
            </w:r>
          </w:p>
        </w:tc>
        <w:tc>
          <w:tcPr>
            <w:tcW w:w="2765" w:type="dxa"/>
          </w:tcPr>
          <w:p w14:paraId="3D250CF4" w14:textId="1D8F943D" w:rsidR="00E81A85" w:rsidRDefault="008F552D" w:rsidP="009667DE">
            <w:pPr>
              <w:pStyle w:val="TableNText"/>
              <w:jc w:val="center"/>
              <w:outlineLvl w:val="3"/>
            </w:pPr>
            <w:r w:rsidRPr="00AE7534">
              <w:t>18</w:t>
            </w:r>
            <w:r w:rsidR="00E81A85" w:rsidRPr="00262B7F">
              <w:t>%</w:t>
            </w:r>
          </w:p>
        </w:tc>
      </w:tr>
      <w:tr w:rsidR="00E81A85" w14:paraId="196867B3" w14:textId="77777777">
        <w:tc>
          <w:tcPr>
            <w:tcW w:w="3402" w:type="dxa"/>
          </w:tcPr>
          <w:p w14:paraId="1FBBC5A3" w14:textId="77777777" w:rsidR="00E81A85" w:rsidRPr="00E919F0" w:rsidRDefault="00E81A85" w:rsidP="009667DE">
            <w:pPr>
              <w:pStyle w:val="TableNText"/>
              <w:outlineLvl w:val="3"/>
              <w:rPr>
                <w:rFonts w:asciiTheme="majorHAnsi" w:hAnsiTheme="majorHAnsi" w:cstheme="majorHAnsi"/>
              </w:rPr>
            </w:pPr>
            <w:r w:rsidRPr="00E919F0">
              <w:rPr>
                <w:rFonts w:asciiTheme="majorHAnsi" w:hAnsiTheme="majorHAnsi" w:cstheme="majorHAnsi"/>
              </w:rPr>
              <w:t>03 - General Miscellaneous</w:t>
            </w:r>
          </w:p>
        </w:tc>
        <w:tc>
          <w:tcPr>
            <w:tcW w:w="2764" w:type="dxa"/>
          </w:tcPr>
          <w:p w14:paraId="0199BE22" w14:textId="52AA0620" w:rsidR="00E81A85" w:rsidRDefault="008F552D" w:rsidP="009667DE">
            <w:pPr>
              <w:pStyle w:val="TableNText"/>
              <w:jc w:val="center"/>
              <w:outlineLvl w:val="3"/>
            </w:pPr>
            <w:r w:rsidRPr="00AE7534">
              <w:t xml:space="preserve"> $29 </w:t>
            </w:r>
          </w:p>
        </w:tc>
        <w:tc>
          <w:tcPr>
            <w:tcW w:w="2765" w:type="dxa"/>
          </w:tcPr>
          <w:p w14:paraId="021FCF82" w14:textId="7A1169F2" w:rsidR="00E81A85" w:rsidRDefault="008F552D" w:rsidP="009667DE">
            <w:pPr>
              <w:pStyle w:val="TableNText"/>
              <w:jc w:val="center"/>
              <w:outlineLvl w:val="3"/>
            </w:pPr>
            <w:r w:rsidRPr="00AE7534">
              <w:t>12</w:t>
            </w:r>
            <w:r w:rsidR="00E81A85" w:rsidRPr="00262B7F">
              <w:t>%</w:t>
            </w:r>
          </w:p>
        </w:tc>
      </w:tr>
      <w:tr w:rsidR="00E81A85" w14:paraId="5C6E76ED" w14:textId="77777777">
        <w:tc>
          <w:tcPr>
            <w:tcW w:w="3402" w:type="dxa"/>
          </w:tcPr>
          <w:p w14:paraId="555F0937" w14:textId="77777777" w:rsidR="00E81A85" w:rsidRPr="00E919F0" w:rsidRDefault="00E81A85" w:rsidP="009667DE">
            <w:pPr>
              <w:pStyle w:val="TableNText"/>
              <w:outlineLvl w:val="3"/>
              <w:rPr>
                <w:rFonts w:asciiTheme="majorHAnsi" w:hAnsiTheme="majorHAnsi" w:cstheme="majorHAnsi"/>
              </w:rPr>
            </w:pPr>
            <w:r w:rsidRPr="00E919F0">
              <w:rPr>
                <w:rFonts w:asciiTheme="majorHAnsi" w:hAnsiTheme="majorHAnsi" w:cstheme="majorHAnsi"/>
              </w:rPr>
              <w:t>04 - Neurosurgical</w:t>
            </w:r>
          </w:p>
        </w:tc>
        <w:tc>
          <w:tcPr>
            <w:tcW w:w="2764" w:type="dxa"/>
          </w:tcPr>
          <w:p w14:paraId="39F1639A" w14:textId="55F76D5E" w:rsidR="00E81A85" w:rsidRDefault="008F552D" w:rsidP="009667DE">
            <w:pPr>
              <w:pStyle w:val="TableNText"/>
              <w:jc w:val="center"/>
              <w:outlineLvl w:val="3"/>
            </w:pPr>
            <w:r w:rsidRPr="00AE7534">
              <w:t xml:space="preserve"> $218 </w:t>
            </w:r>
          </w:p>
        </w:tc>
        <w:tc>
          <w:tcPr>
            <w:tcW w:w="2765" w:type="dxa"/>
          </w:tcPr>
          <w:p w14:paraId="7C86DA37" w14:textId="72E5300D" w:rsidR="00E81A85" w:rsidRDefault="00E81A85" w:rsidP="009667DE">
            <w:pPr>
              <w:pStyle w:val="TableNText"/>
              <w:jc w:val="center"/>
              <w:outlineLvl w:val="3"/>
            </w:pPr>
            <w:r w:rsidRPr="00262B7F">
              <w:t>21%</w:t>
            </w:r>
          </w:p>
        </w:tc>
      </w:tr>
      <w:tr w:rsidR="00E81A85" w14:paraId="62D8D57B" w14:textId="77777777">
        <w:tc>
          <w:tcPr>
            <w:tcW w:w="3402" w:type="dxa"/>
          </w:tcPr>
          <w:p w14:paraId="14D5412F" w14:textId="77777777" w:rsidR="00E81A85" w:rsidRPr="00E919F0" w:rsidRDefault="00E81A85" w:rsidP="009667DE">
            <w:pPr>
              <w:pStyle w:val="TableNText"/>
              <w:outlineLvl w:val="3"/>
              <w:rPr>
                <w:rFonts w:asciiTheme="majorHAnsi" w:hAnsiTheme="majorHAnsi" w:cstheme="majorHAnsi"/>
              </w:rPr>
            </w:pPr>
            <w:r w:rsidRPr="00E919F0">
              <w:rPr>
                <w:rFonts w:asciiTheme="majorHAnsi" w:hAnsiTheme="majorHAnsi" w:cstheme="majorHAnsi"/>
              </w:rPr>
              <w:t>05 - Urogenital</w:t>
            </w:r>
          </w:p>
        </w:tc>
        <w:tc>
          <w:tcPr>
            <w:tcW w:w="2764" w:type="dxa"/>
          </w:tcPr>
          <w:p w14:paraId="54326ECE" w14:textId="6096DF28" w:rsidR="00E81A85" w:rsidRDefault="008F552D" w:rsidP="009667DE">
            <w:pPr>
              <w:pStyle w:val="TableNText"/>
              <w:jc w:val="center"/>
              <w:outlineLvl w:val="3"/>
            </w:pPr>
            <w:r w:rsidRPr="00AE7534">
              <w:t xml:space="preserve"> $44 </w:t>
            </w:r>
          </w:p>
        </w:tc>
        <w:tc>
          <w:tcPr>
            <w:tcW w:w="2765" w:type="dxa"/>
          </w:tcPr>
          <w:p w14:paraId="2DD1C0A9" w14:textId="5B8B0A19" w:rsidR="00E81A85" w:rsidRDefault="00E81A85" w:rsidP="009667DE">
            <w:pPr>
              <w:pStyle w:val="TableNText"/>
              <w:jc w:val="center"/>
              <w:outlineLvl w:val="3"/>
            </w:pPr>
            <w:r w:rsidRPr="00262B7F">
              <w:t>31%</w:t>
            </w:r>
          </w:p>
        </w:tc>
      </w:tr>
      <w:tr w:rsidR="00E81A85" w14:paraId="4B3670B6" w14:textId="77777777">
        <w:tc>
          <w:tcPr>
            <w:tcW w:w="3402" w:type="dxa"/>
          </w:tcPr>
          <w:p w14:paraId="3382B177" w14:textId="77777777" w:rsidR="00E81A85" w:rsidRPr="00E919F0" w:rsidRDefault="00E81A85" w:rsidP="009667DE">
            <w:pPr>
              <w:pStyle w:val="TableNText"/>
              <w:outlineLvl w:val="3"/>
              <w:rPr>
                <w:rFonts w:asciiTheme="majorHAnsi" w:hAnsiTheme="majorHAnsi" w:cstheme="majorHAnsi"/>
              </w:rPr>
            </w:pPr>
            <w:r w:rsidRPr="00E919F0">
              <w:rPr>
                <w:rFonts w:asciiTheme="majorHAnsi" w:hAnsiTheme="majorHAnsi" w:cstheme="majorHAnsi"/>
              </w:rPr>
              <w:t>06 - Specialist Orthopaedic</w:t>
            </w:r>
          </w:p>
        </w:tc>
        <w:tc>
          <w:tcPr>
            <w:tcW w:w="2764" w:type="dxa"/>
          </w:tcPr>
          <w:p w14:paraId="37DEFDA5" w14:textId="66877C8C" w:rsidR="00E81A85" w:rsidRDefault="008F552D" w:rsidP="009667DE">
            <w:pPr>
              <w:pStyle w:val="TableNText"/>
              <w:jc w:val="center"/>
              <w:outlineLvl w:val="3"/>
            </w:pPr>
            <w:r w:rsidRPr="00AE7534">
              <w:t xml:space="preserve"> </w:t>
            </w:r>
            <w:r w:rsidR="00E81A85">
              <w:t>$</w:t>
            </w:r>
            <w:r w:rsidR="00E81A85" w:rsidRPr="00262B7F">
              <w:t>165</w:t>
            </w:r>
            <w:r w:rsidRPr="00AE7534">
              <w:t xml:space="preserve"> </w:t>
            </w:r>
          </w:p>
        </w:tc>
        <w:tc>
          <w:tcPr>
            <w:tcW w:w="2765" w:type="dxa"/>
          </w:tcPr>
          <w:p w14:paraId="00B56D80" w14:textId="08FB19A3" w:rsidR="00E81A85" w:rsidRDefault="008F552D" w:rsidP="009667DE">
            <w:pPr>
              <w:pStyle w:val="TableNText"/>
              <w:jc w:val="center"/>
              <w:outlineLvl w:val="3"/>
            </w:pPr>
            <w:r w:rsidRPr="00AE7534">
              <w:t>44</w:t>
            </w:r>
            <w:r w:rsidR="00E81A85" w:rsidRPr="00262B7F">
              <w:t>%</w:t>
            </w:r>
          </w:p>
        </w:tc>
      </w:tr>
      <w:tr w:rsidR="00E81A85" w14:paraId="1B8B6986" w14:textId="77777777">
        <w:tc>
          <w:tcPr>
            <w:tcW w:w="3402" w:type="dxa"/>
          </w:tcPr>
          <w:p w14:paraId="028ECC37" w14:textId="77777777" w:rsidR="00E81A85" w:rsidRPr="00E919F0" w:rsidRDefault="00E81A85" w:rsidP="009667DE">
            <w:pPr>
              <w:pStyle w:val="TableNText"/>
              <w:outlineLvl w:val="3"/>
              <w:rPr>
                <w:rFonts w:asciiTheme="majorHAnsi" w:hAnsiTheme="majorHAnsi" w:cstheme="majorHAnsi"/>
              </w:rPr>
            </w:pPr>
            <w:r w:rsidRPr="00E919F0">
              <w:rPr>
                <w:rFonts w:asciiTheme="majorHAnsi" w:hAnsiTheme="majorHAnsi" w:cstheme="majorHAnsi"/>
              </w:rPr>
              <w:t>07 - Plastic and Reconstructive</w:t>
            </w:r>
          </w:p>
        </w:tc>
        <w:tc>
          <w:tcPr>
            <w:tcW w:w="2764" w:type="dxa"/>
          </w:tcPr>
          <w:p w14:paraId="3B3D0D9B" w14:textId="130D75CD" w:rsidR="00E81A85" w:rsidRDefault="008F552D" w:rsidP="009667DE">
            <w:pPr>
              <w:pStyle w:val="TableNText"/>
              <w:jc w:val="center"/>
              <w:outlineLvl w:val="3"/>
            </w:pPr>
            <w:r w:rsidRPr="00AE7534">
              <w:t xml:space="preserve"> $140 </w:t>
            </w:r>
          </w:p>
        </w:tc>
        <w:tc>
          <w:tcPr>
            <w:tcW w:w="2765" w:type="dxa"/>
          </w:tcPr>
          <w:p w14:paraId="303FD2EC" w14:textId="1A77C736" w:rsidR="00E81A85" w:rsidRDefault="008F552D" w:rsidP="009667DE">
            <w:pPr>
              <w:pStyle w:val="TableNText"/>
              <w:jc w:val="center"/>
              <w:outlineLvl w:val="3"/>
            </w:pPr>
            <w:r w:rsidRPr="00AE7534">
              <w:t>28</w:t>
            </w:r>
            <w:r w:rsidR="00E81A85" w:rsidRPr="00262B7F">
              <w:t>%</w:t>
            </w:r>
          </w:p>
        </w:tc>
      </w:tr>
      <w:tr w:rsidR="00E81A85" w14:paraId="328D2F43" w14:textId="77777777">
        <w:tc>
          <w:tcPr>
            <w:tcW w:w="3402" w:type="dxa"/>
          </w:tcPr>
          <w:p w14:paraId="4E5BFF96" w14:textId="77777777" w:rsidR="00E81A85" w:rsidRPr="00E919F0" w:rsidRDefault="00E81A85" w:rsidP="009667DE">
            <w:pPr>
              <w:pStyle w:val="TableNText"/>
              <w:outlineLvl w:val="3"/>
              <w:rPr>
                <w:rFonts w:asciiTheme="majorHAnsi" w:hAnsiTheme="majorHAnsi" w:cstheme="majorHAnsi"/>
              </w:rPr>
            </w:pPr>
            <w:r w:rsidRPr="00E919F0">
              <w:rPr>
                <w:rFonts w:asciiTheme="majorHAnsi" w:hAnsiTheme="majorHAnsi" w:cstheme="majorHAnsi"/>
              </w:rPr>
              <w:t>08 - Cardiac</w:t>
            </w:r>
          </w:p>
        </w:tc>
        <w:tc>
          <w:tcPr>
            <w:tcW w:w="2764" w:type="dxa"/>
          </w:tcPr>
          <w:p w14:paraId="3A690964" w14:textId="67A41130" w:rsidR="00E81A85" w:rsidRDefault="008F552D" w:rsidP="009667DE">
            <w:pPr>
              <w:pStyle w:val="TableNText"/>
              <w:jc w:val="center"/>
              <w:outlineLvl w:val="3"/>
            </w:pPr>
            <w:r w:rsidRPr="00AE7534">
              <w:t xml:space="preserve"> $1,497</w:t>
            </w:r>
          </w:p>
        </w:tc>
        <w:tc>
          <w:tcPr>
            <w:tcW w:w="2765" w:type="dxa"/>
          </w:tcPr>
          <w:p w14:paraId="6A9A0A62" w14:textId="2F3CFD66" w:rsidR="00E81A85" w:rsidRDefault="00E81A85" w:rsidP="009667DE">
            <w:pPr>
              <w:pStyle w:val="TableNText"/>
              <w:jc w:val="center"/>
              <w:outlineLvl w:val="3"/>
            </w:pPr>
            <w:r w:rsidRPr="00262B7F">
              <w:t>187%</w:t>
            </w:r>
          </w:p>
        </w:tc>
      </w:tr>
      <w:tr w:rsidR="00E81A85" w14:paraId="42BA24C5" w14:textId="77777777">
        <w:tc>
          <w:tcPr>
            <w:tcW w:w="3402" w:type="dxa"/>
          </w:tcPr>
          <w:p w14:paraId="6D5AF920" w14:textId="77777777" w:rsidR="00E81A85" w:rsidRPr="00E919F0" w:rsidRDefault="00E81A85" w:rsidP="009667DE">
            <w:pPr>
              <w:pStyle w:val="TableNText"/>
              <w:outlineLvl w:val="3"/>
              <w:rPr>
                <w:rFonts w:asciiTheme="majorHAnsi" w:hAnsiTheme="majorHAnsi" w:cstheme="majorHAnsi"/>
              </w:rPr>
            </w:pPr>
            <w:r w:rsidRPr="00E919F0">
              <w:rPr>
                <w:rFonts w:asciiTheme="majorHAnsi" w:hAnsiTheme="majorHAnsi" w:cstheme="majorHAnsi"/>
              </w:rPr>
              <w:t>09 - Cardiothoracic</w:t>
            </w:r>
          </w:p>
        </w:tc>
        <w:tc>
          <w:tcPr>
            <w:tcW w:w="2764" w:type="dxa"/>
          </w:tcPr>
          <w:p w14:paraId="56142E05" w14:textId="7E14506B" w:rsidR="00E81A85" w:rsidRDefault="008F552D" w:rsidP="009667DE">
            <w:pPr>
              <w:pStyle w:val="TableNText"/>
              <w:jc w:val="center"/>
              <w:outlineLvl w:val="3"/>
            </w:pPr>
            <w:r w:rsidRPr="00AE7534">
              <w:t xml:space="preserve"> $656 </w:t>
            </w:r>
          </w:p>
        </w:tc>
        <w:tc>
          <w:tcPr>
            <w:tcW w:w="2765" w:type="dxa"/>
          </w:tcPr>
          <w:p w14:paraId="5F365726" w14:textId="6F009626" w:rsidR="00E81A85" w:rsidRDefault="00E81A85" w:rsidP="009667DE">
            <w:pPr>
              <w:pStyle w:val="TableNText"/>
              <w:jc w:val="center"/>
              <w:outlineLvl w:val="3"/>
            </w:pPr>
            <w:r w:rsidRPr="00262B7F">
              <w:t>23%</w:t>
            </w:r>
          </w:p>
        </w:tc>
      </w:tr>
      <w:tr w:rsidR="00E81A85" w14:paraId="79453640" w14:textId="77777777">
        <w:tc>
          <w:tcPr>
            <w:tcW w:w="3402" w:type="dxa"/>
          </w:tcPr>
          <w:p w14:paraId="7A217CD8" w14:textId="77777777" w:rsidR="00E81A85" w:rsidRPr="00E919F0" w:rsidRDefault="00E81A85" w:rsidP="009667DE">
            <w:pPr>
              <w:pStyle w:val="TableNText"/>
              <w:outlineLvl w:val="3"/>
              <w:rPr>
                <w:rFonts w:asciiTheme="majorHAnsi" w:hAnsiTheme="majorHAnsi" w:cstheme="majorHAnsi"/>
              </w:rPr>
            </w:pPr>
            <w:r w:rsidRPr="00E919F0">
              <w:rPr>
                <w:rFonts w:asciiTheme="majorHAnsi" w:hAnsiTheme="majorHAnsi" w:cstheme="majorHAnsi"/>
              </w:rPr>
              <w:t>10 - Vascular</w:t>
            </w:r>
          </w:p>
        </w:tc>
        <w:tc>
          <w:tcPr>
            <w:tcW w:w="2764" w:type="dxa"/>
          </w:tcPr>
          <w:p w14:paraId="71BF5E28" w14:textId="36AE5787" w:rsidR="00E81A85" w:rsidRDefault="008F552D" w:rsidP="009667DE">
            <w:pPr>
              <w:pStyle w:val="TableNText"/>
              <w:jc w:val="center"/>
              <w:outlineLvl w:val="3"/>
            </w:pPr>
            <w:r w:rsidRPr="00AE7534">
              <w:t xml:space="preserve"> $273 </w:t>
            </w:r>
          </w:p>
        </w:tc>
        <w:tc>
          <w:tcPr>
            <w:tcW w:w="2765" w:type="dxa"/>
          </w:tcPr>
          <w:p w14:paraId="558C0FC1" w14:textId="6B7F3755" w:rsidR="00E81A85" w:rsidRDefault="008F552D" w:rsidP="009667DE">
            <w:pPr>
              <w:pStyle w:val="TableNText"/>
              <w:jc w:val="center"/>
              <w:outlineLvl w:val="3"/>
            </w:pPr>
            <w:r w:rsidRPr="00AE7534">
              <w:t>45</w:t>
            </w:r>
            <w:r w:rsidR="00E81A85" w:rsidRPr="00262B7F">
              <w:t>%</w:t>
            </w:r>
          </w:p>
        </w:tc>
      </w:tr>
      <w:tr w:rsidR="00E81A85" w14:paraId="62336444" w14:textId="77777777">
        <w:tc>
          <w:tcPr>
            <w:tcW w:w="3402" w:type="dxa"/>
          </w:tcPr>
          <w:p w14:paraId="6F3F3EF7" w14:textId="77777777" w:rsidR="00E81A85" w:rsidRPr="00E919F0" w:rsidRDefault="00E81A85" w:rsidP="009667DE">
            <w:pPr>
              <w:pStyle w:val="TableNText"/>
              <w:outlineLvl w:val="3"/>
              <w:rPr>
                <w:rFonts w:asciiTheme="majorHAnsi" w:hAnsiTheme="majorHAnsi" w:cstheme="majorHAnsi"/>
              </w:rPr>
            </w:pPr>
            <w:r w:rsidRPr="00E919F0">
              <w:rPr>
                <w:rFonts w:asciiTheme="majorHAnsi" w:hAnsiTheme="majorHAnsi" w:cstheme="majorHAnsi"/>
              </w:rPr>
              <w:t>11 - Hip</w:t>
            </w:r>
          </w:p>
        </w:tc>
        <w:tc>
          <w:tcPr>
            <w:tcW w:w="2764" w:type="dxa"/>
          </w:tcPr>
          <w:p w14:paraId="685F8489" w14:textId="21596AED" w:rsidR="00E81A85" w:rsidRDefault="008F552D" w:rsidP="009667DE">
            <w:pPr>
              <w:pStyle w:val="TableNText"/>
              <w:jc w:val="center"/>
              <w:outlineLvl w:val="3"/>
            </w:pPr>
            <w:r w:rsidRPr="00AE7534">
              <w:t xml:space="preserve"> </w:t>
            </w:r>
            <w:r w:rsidR="00E81A85">
              <w:t>$</w:t>
            </w:r>
            <w:r w:rsidR="00E81A85" w:rsidRPr="00262B7F">
              <w:t>214</w:t>
            </w:r>
            <w:r w:rsidRPr="00AE7534">
              <w:t xml:space="preserve"> </w:t>
            </w:r>
          </w:p>
        </w:tc>
        <w:tc>
          <w:tcPr>
            <w:tcW w:w="2765" w:type="dxa"/>
          </w:tcPr>
          <w:p w14:paraId="336C70E2" w14:textId="6FAE06E3" w:rsidR="00E81A85" w:rsidRDefault="00E81A85" w:rsidP="009667DE">
            <w:pPr>
              <w:pStyle w:val="TableNText"/>
              <w:jc w:val="center"/>
              <w:outlineLvl w:val="3"/>
            </w:pPr>
            <w:r w:rsidRPr="00262B7F">
              <w:t>16%</w:t>
            </w:r>
          </w:p>
        </w:tc>
      </w:tr>
      <w:tr w:rsidR="00E81A85" w14:paraId="44F4E85F" w14:textId="77777777">
        <w:tc>
          <w:tcPr>
            <w:tcW w:w="3402" w:type="dxa"/>
          </w:tcPr>
          <w:p w14:paraId="689A808F" w14:textId="77777777" w:rsidR="00E81A85" w:rsidRPr="00E919F0" w:rsidRDefault="00E81A85" w:rsidP="009667DE">
            <w:pPr>
              <w:pStyle w:val="TableNText"/>
              <w:outlineLvl w:val="3"/>
              <w:rPr>
                <w:rFonts w:asciiTheme="majorHAnsi" w:hAnsiTheme="majorHAnsi" w:cstheme="majorHAnsi"/>
              </w:rPr>
            </w:pPr>
            <w:r w:rsidRPr="00E919F0">
              <w:rPr>
                <w:rFonts w:asciiTheme="majorHAnsi" w:hAnsiTheme="majorHAnsi" w:cstheme="majorHAnsi"/>
              </w:rPr>
              <w:t>12 - Knee</w:t>
            </w:r>
          </w:p>
        </w:tc>
        <w:tc>
          <w:tcPr>
            <w:tcW w:w="2764" w:type="dxa"/>
          </w:tcPr>
          <w:p w14:paraId="0A42D175" w14:textId="16AD80DC" w:rsidR="00E81A85" w:rsidRDefault="008F552D" w:rsidP="009667DE">
            <w:pPr>
              <w:pStyle w:val="TableNText"/>
              <w:jc w:val="center"/>
              <w:outlineLvl w:val="3"/>
            </w:pPr>
            <w:r w:rsidRPr="00AE7534">
              <w:t xml:space="preserve"> $232 </w:t>
            </w:r>
          </w:p>
        </w:tc>
        <w:tc>
          <w:tcPr>
            <w:tcW w:w="2765" w:type="dxa"/>
          </w:tcPr>
          <w:p w14:paraId="406A315F" w14:textId="2730B7D8" w:rsidR="00E81A85" w:rsidRDefault="00E81A85" w:rsidP="009667DE">
            <w:pPr>
              <w:pStyle w:val="TableNText"/>
              <w:jc w:val="center"/>
              <w:outlineLvl w:val="3"/>
            </w:pPr>
            <w:r w:rsidRPr="00262B7F">
              <w:t>10%</w:t>
            </w:r>
          </w:p>
        </w:tc>
      </w:tr>
      <w:tr w:rsidR="00E81A85" w14:paraId="381395E4" w14:textId="77777777">
        <w:tc>
          <w:tcPr>
            <w:tcW w:w="3402" w:type="dxa"/>
          </w:tcPr>
          <w:p w14:paraId="02835CB5" w14:textId="77777777" w:rsidR="00E81A85" w:rsidRPr="00E919F0" w:rsidRDefault="00E81A85" w:rsidP="009667DE">
            <w:pPr>
              <w:pStyle w:val="TableNText"/>
              <w:outlineLvl w:val="3"/>
              <w:rPr>
                <w:rFonts w:asciiTheme="majorHAnsi" w:hAnsiTheme="majorHAnsi" w:cstheme="majorHAnsi"/>
              </w:rPr>
            </w:pPr>
            <w:r w:rsidRPr="00E919F0">
              <w:rPr>
                <w:rFonts w:asciiTheme="majorHAnsi" w:hAnsiTheme="majorHAnsi" w:cstheme="majorHAnsi"/>
              </w:rPr>
              <w:t>13 - Spinal</w:t>
            </w:r>
          </w:p>
        </w:tc>
        <w:tc>
          <w:tcPr>
            <w:tcW w:w="2764" w:type="dxa"/>
          </w:tcPr>
          <w:p w14:paraId="04883737" w14:textId="743C85DF" w:rsidR="00E81A85" w:rsidRDefault="008F552D" w:rsidP="009667DE">
            <w:pPr>
              <w:pStyle w:val="TableNText"/>
              <w:jc w:val="center"/>
              <w:outlineLvl w:val="3"/>
            </w:pPr>
            <w:r w:rsidRPr="00AE7534">
              <w:t xml:space="preserve"> </w:t>
            </w:r>
            <w:r w:rsidR="00E81A85">
              <w:t>$</w:t>
            </w:r>
            <w:r w:rsidR="00E81A85" w:rsidRPr="00262B7F">
              <w:t>239</w:t>
            </w:r>
            <w:r w:rsidRPr="00AE7534">
              <w:t xml:space="preserve"> </w:t>
            </w:r>
          </w:p>
        </w:tc>
        <w:tc>
          <w:tcPr>
            <w:tcW w:w="2765" w:type="dxa"/>
          </w:tcPr>
          <w:p w14:paraId="78BAF9F1" w14:textId="09B1F0F1" w:rsidR="00E81A85" w:rsidRDefault="008F552D" w:rsidP="009667DE">
            <w:pPr>
              <w:pStyle w:val="TableNText"/>
              <w:jc w:val="center"/>
              <w:outlineLvl w:val="3"/>
            </w:pPr>
            <w:r w:rsidRPr="00AE7534">
              <w:t>18</w:t>
            </w:r>
            <w:r w:rsidR="00E81A85" w:rsidRPr="00262B7F">
              <w:t>%</w:t>
            </w:r>
          </w:p>
        </w:tc>
      </w:tr>
      <w:tr w:rsidR="00E81A85" w14:paraId="6099B1F7" w14:textId="77777777">
        <w:tc>
          <w:tcPr>
            <w:tcW w:w="3402" w:type="dxa"/>
          </w:tcPr>
          <w:p w14:paraId="626A266A" w14:textId="77777777" w:rsidR="00E81A85" w:rsidRPr="00E919F0" w:rsidRDefault="00E81A85" w:rsidP="009667DE">
            <w:pPr>
              <w:pStyle w:val="TableNText"/>
              <w:outlineLvl w:val="3"/>
              <w:rPr>
                <w:rFonts w:asciiTheme="majorHAnsi" w:hAnsiTheme="majorHAnsi" w:cstheme="majorHAnsi"/>
              </w:rPr>
            </w:pPr>
            <w:r w:rsidRPr="00E919F0">
              <w:rPr>
                <w:rFonts w:asciiTheme="majorHAnsi" w:hAnsiTheme="majorHAnsi" w:cstheme="majorHAnsi"/>
              </w:rPr>
              <w:t>Total</w:t>
            </w:r>
          </w:p>
        </w:tc>
        <w:tc>
          <w:tcPr>
            <w:tcW w:w="2764" w:type="dxa"/>
          </w:tcPr>
          <w:p w14:paraId="1D50A181" w14:textId="447BE950" w:rsidR="00E81A85" w:rsidRPr="00E919F0" w:rsidRDefault="008F552D" w:rsidP="009667DE">
            <w:pPr>
              <w:pStyle w:val="TableNText"/>
              <w:jc w:val="center"/>
              <w:outlineLvl w:val="3"/>
              <w:rPr>
                <w:rFonts w:asciiTheme="majorHAnsi" w:hAnsiTheme="majorHAnsi" w:cstheme="majorHAnsi"/>
              </w:rPr>
            </w:pPr>
            <w:r w:rsidRPr="008F552D">
              <w:rPr>
                <w:rFonts w:asciiTheme="majorHAnsi" w:hAnsiTheme="majorHAnsi" w:cstheme="majorHAnsi"/>
              </w:rPr>
              <w:t xml:space="preserve"> $177 </w:t>
            </w:r>
          </w:p>
        </w:tc>
        <w:tc>
          <w:tcPr>
            <w:tcW w:w="2765" w:type="dxa"/>
          </w:tcPr>
          <w:p w14:paraId="3950820B" w14:textId="388A92A3" w:rsidR="00E81A85" w:rsidRPr="00E919F0" w:rsidRDefault="008F552D" w:rsidP="009667DE">
            <w:pPr>
              <w:pStyle w:val="TableNText"/>
              <w:jc w:val="center"/>
              <w:outlineLvl w:val="3"/>
              <w:rPr>
                <w:rFonts w:asciiTheme="majorHAnsi" w:hAnsiTheme="majorHAnsi" w:cstheme="majorHAnsi"/>
              </w:rPr>
            </w:pPr>
            <w:r w:rsidRPr="008F552D">
              <w:rPr>
                <w:rFonts w:asciiTheme="majorHAnsi" w:hAnsiTheme="majorHAnsi" w:cstheme="majorHAnsi"/>
              </w:rPr>
              <w:t>25</w:t>
            </w:r>
            <w:r w:rsidR="00E81A85" w:rsidRPr="00E919F0">
              <w:rPr>
                <w:rFonts w:asciiTheme="majorHAnsi" w:hAnsiTheme="majorHAnsi" w:cstheme="majorHAnsi"/>
              </w:rPr>
              <w:t>%</w:t>
            </w:r>
          </w:p>
        </w:tc>
      </w:tr>
    </w:tbl>
    <w:p w14:paraId="5A30B3A1" w14:textId="77777777" w:rsidR="0009322E" w:rsidRDefault="0009322E" w:rsidP="0009322E"/>
    <w:p w14:paraId="2418C66A" w14:textId="497F974E" w:rsidR="007A3778" w:rsidRDefault="0082175E" w:rsidP="0009322E">
      <w:r>
        <w:t>We</w:t>
      </w:r>
      <w:r w:rsidR="00D01430">
        <w:t xml:space="preserve"> have not included </w:t>
      </w:r>
      <w:r w:rsidR="00D51937">
        <w:t xml:space="preserve">the gap </w:t>
      </w:r>
      <w:r w:rsidR="00846AEF">
        <w:t xml:space="preserve">of </w:t>
      </w:r>
      <w:r>
        <w:t>CIED</w:t>
      </w:r>
      <w:r w:rsidR="00846AEF">
        <w:t xml:space="preserve"> items </w:t>
      </w:r>
      <w:r w:rsidR="00D01430">
        <w:t xml:space="preserve">in the above </w:t>
      </w:r>
      <w:r w:rsidR="007E1474">
        <w:t>table</w:t>
      </w:r>
      <w:r>
        <w:t xml:space="preserve"> </w:t>
      </w:r>
      <w:r w:rsidR="00467B31">
        <w:t>or</w:t>
      </w:r>
      <w:r>
        <w:t xml:space="preserve"> other figures </w:t>
      </w:r>
      <w:r w:rsidR="00510470">
        <w:t>comparing PL benefits and comparable markets.</w:t>
      </w:r>
      <w:r w:rsidR="00EE243A">
        <w:t xml:space="preserve"> We note </w:t>
      </w:r>
      <w:r w:rsidR="005F6EAB">
        <w:t>the PL benefit</w:t>
      </w:r>
      <w:r w:rsidR="00B336C2">
        <w:t>s</w:t>
      </w:r>
      <w:r w:rsidR="005F6EAB">
        <w:t xml:space="preserve"> of CIED items ha</w:t>
      </w:r>
      <w:r w:rsidR="00B336C2">
        <w:t>ve</w:t>
      </w:r>
      <w:r w:rsidR="00BA6CFF">
        <w:t xml:space="preserve"> a significant service component</w:t>
      </w:r>
      <w:r w:rsidR="001C3B47">
        <w:t xml:space="preserve"> </w:t>
      </w:r>
      <w:r w:rsidR="003B1EB1">
        <w:t>that is not reflected in the public benchmark</w:t>
      </w:r>
      <w:r w:rsidR="00B336C2">
        <w:t xml:space="preserve"> prices</w:t>
      </w:r>
      <w:r w:rsidR="00E10A26">
        <w:t xml:space="preserve">, and </w:t>
      </w:r>
      <w:r w:rsidR="00982F79">
        <w:t xml:space="preserve">this distorts the </w:t>
      </w:r>
      <w:r w:rsidR="00DD11D8">
        <w:t xml:space="preserve">calculation of the </w:t>
      </w:r>
      <w:r w:rsidR="00982F79">
        <w:t>gap</w:t>
      </w:r>
      <w:r w:rsidR="00634575">
        <w:t xml:space="preserve">. </w:t>
      </w:r>
      <w:r w:rsidR="005B78CB" w:rsidRPr="00E24354">
        <w:t>MSAC is</w:t>
      </w:r>
      <w:r w:rsidR="005B78CB">
        <w:t xml:space="preserve"> engaging in ongoing work </w:t>
      </w:r>
      <w:r w:rsidR="0000264D">
        <w:t xml:space="preserve">to </w:t>
      </w:r>
      <w:r w:rsidR="000A1534">
        <w:t>establish the reasonable cost of CIED technical services</w:t>
      </w:r>
      <w:r w:rsidR="00F74E40">
        <w:t xml:space="preserve"> to inform </w:t>
      </w:r>
      <w:r w:rsidR="00FB7F03">
        <w:t xml:space="preserve">future </w:t>
      </w:r>
      <w:r w:rsidR="00EB6026">
        <w:t>CIED benefit reductions.</w:t>
      </w:r>
      <w:r w:rsidR="00600C65">
        <w:rPr>
          <w:rStyle w:val="FootnoteReference"/>
        </w:rPr>
        <w:footnoteReference w:id="113"/>
      </w:r>
    </w:p>
    <w:p w14:paraId="194FDC10" w14:textId="09D39F7F" w:rsidR="0009322E" w:rsidRDefault="0050613D" w:rsidP="0009322E">
      <w:r>
        <w:t>To</w:t>
      </w:r>
      <w:r w:rsidR="00263744">
        <w:t xml:space="preserve"> establish a baseline </w:t>
      </w:r>
      <w:r w:rsidR="00141758">
        <w:t xml:space="preserve">for these items, we have </w:t>
      </w:r>
      <w:r w:rsidR="00782DC1">
        <w:t>approximated</w:t>
      </w:r>
      <w:r w:rsidR="00141758">
        <w:t xml:space="preserve"> the gap using </w:t>
      </w:r>
      <w:r w:rsidR="00A707ED">
        <w:t>the Department’s estimate</w:t>
      </w:r>
      <w:r w:rsidR="00782DC1">
        <w:t xml:space="preserve"> of the value of the </w:t>
      </w:r>
      <w:r w:rsidR="004E75A2">
        <w:t xml:space="preserve">CIED </w:t>
      </w:r>
      <w:r w:rsidR="00782DC1">
        <w:t xml:space="preserve">device </w:t>
      </w:r>
      <w:r w:rsidR="004E75A2">
        <w:t xml:space="preserve">component </w:t>
      </w:r>
      <w:r w:rsidR="007A30F5">
        <w:t xml:space="preserve">used </w:t>
      </w:r>
      <w:r w:rsidR="00CE6B44">
        <w:t>for the July 2023 reductions.</w:t>
      </w:r>
      <w:r w:rsidR="00CE6B44">
        <w:rPr>
          <w:rStyle w:val="FootnoteReference"/>
        </w:rPr>
        <w:footnoteReference w:id="114"/>
      </w:r>
      <w:r w:rsidR="00A707ED">
        <w:t xml:space="preserve"> </w:t>
      </w:r>
      <w:r w:rsidR="00046832">
        <w:t xml:space="preserve">By </w:t>
      </w:r>
      <w:proofErr w:type="spellStart"/>
      <w:r w:rsidR="00004405">
        <w:t>backcalculating</w:t>
      </w:r>
      <w:proofErr w:type="spellEnd"/>
      <w:r w:rsidR="00004405">
        <w:t xml:space="preserve"> </w:t>
      </w:r>
      <w:r w:rsidR="005227DF">
        <w:t xml:space="preserve">the </w:t>
      </w:r>
      <w:r w:rsidR="00531D26">
        <w:t>public benchmark prices</w:t>
      </w:r>
      <w:r w:rsidR="009223AA">
        <w:t xml:space="preserve"> for the </w:t>
      </w:r>
      <w:r w:rsidR="00CE2C40">
        <w:t>226 o</w:t>
      </w:r>
      <w:r w:rsidR="00B24697">
        <w:t>ut of</w:t>
      </w:r>
      <w:r w:rsidR="00CE2C40">
        <w:t xml:space="preserve"> </w:t>
      </w:r>
      <w:r w:rsidR="00A97212">
        <w:t>259 CIED items on the November 2021 PL</w:t>
      </w:r>
      <w:r w:rsidR="00CE2C40">
        <w:t xml:space="preserve"> that were subject to reductions and were not removed by July 2023</w:t>
      </w:r>
      <w:r w:rsidR="00A97212">
        <w:t xml:space="preserve">, we estimate the </w:t>
      </w:r>
      <w:r w:rsidR="00C1528A">
        <w:t xml:space="preserve">median gap </w:t>
      </w:r>
      <w:r w:rsidR="00861AE7">
        <w:t xml:space="preserve">for these items </w:t>
      </w:r>
      <w:r w:rsidR="008E766F">
        <w:t xml:space="preserve">to be </w:t>
      </w:r>
      <w:r w:rsidR="00B72DED">
        <w:t>$1</w:t>
      </w:r>
      <w:r w:rsidR="006109B1">
        <w:t>9</w:t>
      </w:r>
      <w:r w:rsidR="002A1675">
        <w:t>,611</w:t>
      </w:r>
      <w:r w:rsidR="00B72DED">
        <w:t xml:space="preserve"> </w:t>
      </w:r>
      <w:r w:rsidR="00564DD0">
        <w:t>and the median gap %</w:t>
      </w:r>
      <w:r w:rsidR="0085667C">
        <w:t xml:space="preserve"> to be </w:t>
      </w:r>
      <w:r w:rsidR="003D72F8">
        <w:t>188%</w:t>
      </w:r>
      <w:r w:rsidR="00861AE7">
        <w:t>.</w:t>
      </w:r>
      <w:r w:rsidR="00781415">
        <w:rPr>
          <w:rStyle w:val="FootnoteReference"/>
        </w:rPr>
        <w:footnoteReference w:id="115"/>
      </w:r>
      <w:r w:rsidR="00081F06">
        <w:t xml:space="preserve"> The </w:t>
      </w:r>
      <w:r w:rsidR="00B72DED">
        <w:t>lower bound</w:t>
      </w:r>
      <w:r w:rsidR="00081F06">
        <w:t xml:space="preserve"> </w:t>
      </w:r>
      <w:r w:rsidR="00E825B0">
        <w:t>of the approximation is</w:t>
      </w:r>
      <w:r w:rsidR="00BB7BC8">
        <w:t xml:space="preserve"> $</w:t>
      </w:r>
      <w:r w:rsidR="002A1675">
        <w:t>17,557</w:t>
      </w:r>
      <w:r w:rsidR="004068F0">
        <w:t xml:space="preserve"> (</w:t>
      </w:r>
      <w:r w:rsidR="006D3F17">
        <w:t>144% gap) and the</w:t>
      </w:r>
      <w:r w:rsidR="002A1675">
        <w:t xml:space="preserve"> upper bound</w:t>
      </w:r>
      <w:r w:rsidR="006D3F17">
        <w:t xml:space="preserve"> is</w:t>
      </w:r>
      <w:r w:rsidR="002A1675">
        <w:t xml:space="preserve"> $21,655</w:t>
      </w:r>
      <w:r w:rsidR="006D3F17">
        <w:t xml:space="preserve"> (</w:t>
      </w:r>
      <w:r w:rsidR="0059308A">
        <w:t>235%</w:t>
      </w:r>
      <w:r w:rsidR="00861AE7">
        <w:t>).</w:t>
      </w:r>
    </w:p>
    <w:p w14:paraId="2B72277E" w14:textId="47531A9C" w:rsidR="00E81A85" w:rsidRDefault="00E81A85" w:rsidP="00E578DD">
      <w:pPr>
        <w:pStyle w:val="Heading4"/>
        <w:spacing w:before="360"/>
      </w:pPr>
      <w:r w:rsidRPr="3787E91E">
        <w:rPr>
          <w:color w:val="F25E21" w:themeColor="accent2"/>
        </w:rPr>
        <w:lastRenderedPageBreak/>
        <w:t>Measure 2.</w:t>
      </w:r>
      <w:r w:rsidR="00E2414C" w:rsidRPr="3787E91E">
        <w:rPr>
          <w:color w:val="F25E21" w:themeColor="accent2"/>
        </w:rPr>
        <w:t>3</w:t>
      </w:r>
      <w:r w:rsidRPr="3787E91E">
        <w:t xml:space="preserve">: </w:t>
      </w:r>
      <w:bookmarkStart w:id="66" w:name="_Hlk158981005"/>
      <w:r w:rsidRPr="3787E91E">
        <w:t xml:space="preserve">Gap between PL benefits and prices on the </w:t>
      </w:r>
      <w:proofErr w:type="spellStart"/>
      <w:r w:rsidRPr="3787E91E">
        <w:t>Liste</w:t>
      </w:r>
      <w:proofErr w:type="spellEnd"/>
      <w:r w:rsidRPr="3787E91E">
        <w:t xml:space="preserve"> des </w:t>
      </w:r>
      <w:proofErr w:type="spellStart"/>
      <w:r w:rsidRPr="3787E91E">
        <w:t>Produits</w:t>
      </w:r>
      <w:proofErr w:type="spellEnd"/>
      <w:r w:rsidRPr="3787E91E">
        <w:t xml:space="preserve"> et </w:t>
      </w:r>
      <w:proofErr w:type="spellStart"/>
      <w:r w:rsidRPr="3787E91E">
        <w:t>Prestations</w:t>
      </w:r>
      <w:proofErr w:type="spellEnd"/>
      <w:r w:rsidRPr="3787E91E">
        <w:t xml:space="preserve"> (LPP) and </w:t>
      </w:r>
      <w:proofErr w:type="spellStart"/>
      <w:r w:rsidRPr="3787E91E">
        <w:t>Pharmac</w:t>
      </w:r>
      <w:proofErr w:type="spellEnd"/>
      <w:r w:rsidRPr="3787E91E">
        <w:t xml:space="preserve"> Hospital Medical Devices Schedule</w:t>
      </w:r>
    </w:p>
    <w:bookmarkEnd w:id="66"/>
    <w:p w14:paraId="5561E1AB" w14:textId="77777777" w:rsidR="00E81A85" w:rsidRDefault="00E81A85" w:rsidP="00E578DD">
      <w:pPr>
        <w:pStyle w:val="Heading6"/>
        <w:spacing w:before="120"/>
      </w:pPr>
      <w:r w:rsidRPr="004D1FFC">
        <w:t>Measurement guide</w:t>
      </w:r>
    </w:p>
    <w:p w14:paraId="271B2F3F" w14:textId="0DF7C947" w:rsidR="00E81A85" w:rsidRPr="005627CB" w:rsidRDefault="00E81A85" w:rsidP="009667DE">
      <w:r w:rsidRPr="005627CB">
        <w:t xml:space="preserve">This measure </w:t>
      </w:r>
      <w:r w:rsidR="00D63C87">
        <w:t>compares PL benefits</w:t>
      </w:r>
      <w:r w:rsidRPr="005627CB">
        <w:t xml:space="preserve"> to prices in international markets</w:t>
      </w:r>
      <w:r w:rsidR="001344AB">
        <w:t xml:space="preserve">, </w:t>
      </w:r>
      <w:r w:rsidR="00C5280B">
        <w:t>based on</w:t>
      </w:r>
      <w:r w:rsidR="00791C17">
        <w:t xml:space="preserve"> </w:t>
      </w:r>
      <w:r w:rsidR="00C5280B">
        <w:t xml:space="preserve">objective 1, “Improve the </w:t>
      </w:r>
      <w:r>
        <w:t xml:space="preserve">alignment </w:t>
      </w:r>
      <w:r w:rsidR="00C5280B">
        <w:t xml:space="preserve">of the scheduled benefits of the PL </w:t>
      </w:r>
      <w:r>
        <w:t xml:space="preserve">with </w:t>
      </w:r>
      <w:r w:rsidR="00C5280B">
        <w:t xml:space="preserve">the </w:t>
      </w:r>
      <w:r w:rsidR="00C5280B" w:rsidRPr="00C13D2A">
        <w:rPr>
          <w:i/>
          <w:iCs/>
        </w:rPr>
        <w:t>prices paid in more</w:t>
      </w:r>
      <w:r w:rsidRPr="00C13D2A">
        <w:rPr>
          <w:i/>
        </w:rPr>
        <w:t xml:space="preserve"> competitive markets</w:t>
      </w:r>
      <w:r w:rsidR="00C5280B">
        <w:t>”.</w:t>
      </w:r>
      <w:r w:rsidRPr="005627CB">
        <w:t xml:space="preserve"> No markets are identical, and so this is not an exact comparator, but </w:t>
      </w:r>
      <w:r w:rsidR="00A05CAB">
        <w:t xml:space="preserve">this measure will seek </w:t>
      </w:r>
      <w:r w:rsidR="00C13D2A">
        <w:t>to</w:t>
      </w:r>
      <w:r w:rsidRPr="005627CB">
        <w:t xml:space="preserve"> demonstrate the comparative effect the reforms have on benefit levels.</w:t>
      </w:r>
    </w:p>
    <w:p w14:paraId="58F03A5C" w14:textId="7A3BF292" w:rsidR="00E81A85" w:rsidRPr="00387A54" w:rsidRDefault="00E81A85" w:rsidP="009667DE">
      <w:r w:rsidRPr="005627CB">
        <w:t xml:space="preserve">For the baseline, we have conducted three case studies showing the gap between PL benefits and prices on the </w:t>
      </w:r>
      <w:proofErr w:type="spellStart"/>
      <w:r w:rsidRPr="005627CB">
        <w:t>Liste</w:t>
      </w:r>
      <w:proofErr w:type="spellEnd"/>
      <w:r w:rsidRPr="005627CB">
        <w:t xml:space="preserve"> des </w:t>
      </w:r>
      <w:proofErr w:type="spellStart"/>
      <w:r w:rsidRPr="005627CB">
        <w:t>Produits</w:t>
      </w:r>
      <w:proofErr w:type="spellEnd"/>
      <w:r w:rsidRPr="005627CB">
        <w:t xml:space="preserve"> et </w:t>
      </w:r>
      <w:proofErr w:type="spellStart"/>
      <w:r w:rsidRPr="005627CB">
        <w:t>Prestations</w:t>
      </w:r>
      <w:proofErr w:type="spellEnd"/>
      <w:r w:rsidRPr="005627CB">
        <w:t xml:space="preserve"> (LPP)</w:t>
      </w:r>
      <w:r w:rsidRPr="005627CB">
        <w:rPr>
          <w:rStyle w:val="FootnoteReference"/>
        </w:rPr>
        <w:footnoteReference w:id="116"/>
      </w:r>
      <w:r w:rsidRPr="005627CB">
        <w:t xml:space="preserve"> and the </w:t>
      </w:r>
      <w:proofErr w:type="spellStart"/>
      <w:r w:rsidRPr="005627CB">
        <w:t>Pharmac</w:t>
      </w:r>
      <w:proofErr w:type="spellEnd"/>
      <w:r w:rsidRPr="005627CB">
        <w:t xml:space="preserve"> Hospital Medical Devices Schedule (</w:t>
      </w:r>
      <w:proofErr w:type="spellStart"/>
      <w:r w:rsidRPr="005627CB">
        <w:t>Pharmac</w:t>
      </w:r>
      <w:proofErr w:type="spellEnd"/>
      <w:r w:rsidRPr="005627CB">
        <w:t>)</w:t>
      </w:r>
      <w:r w:rsidRPr="005627CB">
        <w:rPr>
          <w:rStyle w:val="FootnoteReference"/>
        </w:rPr>
        <w:footnoteReference w:id="117"/>
      </w:r>
      <w:r w:rsidRPr="005627CB">
        <w:t>. The benefits/prices are compared from 2016 to 2021, and these will be measured and updated throughout the evaluation to give an indication of change, if any, in the gap between the PL and the comparable international markets for France and New Zealand. Additionally, we will continue to investigate the feasibility of including additional cases, and to test how representative these studies are of the broader markets.</w:t>
      </w:r>
    </w:p>
    <w:p w14:paraId="12FBB749" w14:textId="55612BA9" w:rsidR="00E81A85" w:rsidRPr="005627CB" w:rsidRDefault="00E81A85" w:rsidP="009667DE">
      <w:r w:rsidRPr="005627CB">
        <w:t>Given limitations in accessing and comparing products across these lists</w:t>
      </w:r>
      <w:r w:rsidRPr="005627CB">
        <w:rPr>
          <w:rStyle w:val="FootnoteReference"/>
        </w:rPr>
        <w:footnoteReference w:id="118"/>
      </w:r>
      <w:r w:rsidRPr="005627CB">
        <w:t>, as well as complexities as to how to interpret differences across markets (</w:t>
      </w:r>
      <w:r w:rsidR="009667DE">
        <w:t xml:space="preserve">explored in </w:t>
      </w:r>
      <w:r w:rsidR="002145A8">
        <w:fldChar w:fldCharType="begin"/>
      </w:r>
      <w:r w:rsidR="002145A8">
        <w:instrText xml:space="preserve"> REF _Ref159922784 \r \h </w:instrText>
      </w:r>
      <w:r w:rsidR="002145A8">
        <w:fldChar w:fldCharType="separate"/>
      </w:r>
      <w:r w:rsidR="00026714">
        <w:t>Appendix F</w:t>
      </w:r>
      <w:r w:rsidR="002145A8">
        <w:fldChar w:fldCharType="end"/>
      </w:r>
      <w:r w:rsidRPr="005627CB">
        <w:t>), we have chosen a case study approach to isolate the scenarios in which we can ensure a direct comparison, rather than perform a complete analysis comparing the markets, which would be confounded by these differences. Within the three PL benefit groups chosen as case studies, products were selected on the basis that we could find and confirm exact matches on both comparison lists</w:t>
      </w:r>
      <w:r w:rsidRPr="005627CB">
        <w:rPr>
          <w:rStyle w:val="FootnoteReference"/>
        </w:rPr>
        <w:footnoteReference w:id="119"/>
      </w:r>
      <w:r w:rsidRPr="005627CB">
        <w:t>.</w:t>
      </w:r>
    </w:p>
    <w:p w14:paraId="3DF99362" w14:textId="77777777" w:rsidR="00E81A85" w:rsidRPr="00541121" w:rsidRDefault="00E81A85" w:rsidP="00E578DD">
      <w:pPr>
        <w:pStyle w:val="Heading6"/>
        <w:spacing w:before="120"/>
      </w:pPr>
      <w:r w:rsidRPr="004D1FFC">
        <w:t>Baseline value</w:t>
      </w:r>
    </w:p>
    <w:p w14:paraId="2A97F65D" w14:textId="1728B76A" w:rsidR="00E81A85" w:rsidRPr="005627CB" w:rsidRDefault="00E81A85" w:rsidP="009667DE">
      <w:r w:rsidRPr="005627CB">
        <w:fldChar w:fldCharType="begin"/>
      </w:r>
      <w:r w:rsidRPr="005627CB">
        <w:instrText xml:space="preserve"> REF _Ref152854845 \h  \* MERGEFORMAT </w:instrText>
      </w:r>
      <w:r w:rsidRPr="005627CB">
        <w:fldChar w:fldCharType="separate"/>
      </w:r>
      <w:r w:rsidR="00026714" w:rsidRPr="005627CB">
        <w:t xml:space="preserve">Figure </w:t>
      </w:r>
      <w:r w:rsidR="00026714">
        <w:rPr>
          <w:noProof/>
        </w:rPr>
        <w:t>17</w:t>
      </w:r>
      <w:r w:rsidRPr="005627CB">
        <w:fldChar w:fldCharType="end"/>
      </w:r>
      <w:r w:rsidRPr="005627CB">
        <w:t xml:space="preserve"> below shows a comparison of four products from the 12.08.01 PL category at baseline. The PL benefit group is higher than the corresponding LPP price group, while the products on the </w:t>
      </w:r>
      <w:proofErr w:type="spellStart"/>
      <w:r w:rsidRPr="005627CB">
        <w:t>Pharmac</w:t>
      </w:r>
      <w:proofErr w:type="spellEnd"/>
      <w:r w:rsidRPr="005627CB">
        <w:t xml:space="preserve"> list are priced both above and below the PL level. </w:t>
      </w:r>
    </w:p>
    <w:p w14:paraId="22D30682" w14:textId="1572933B" w:rsidR="00E81A85" w:rsidRPr="005627CB" w:rsidRDefault="00E81A85" w:rsidP="009667DE">
      <w:pPr>
        <w:pStyle w:val="Caption"/>
        <w:spacing w:before="240" w:after="120"/>
      </w:pPr>
      <w:bookmarkStart w:id="67" w:name="_Ref152854845"/>
      <w:r w:rsidRPr="005627CB">
        <w:lastRenderedPageBreak/>
        <w:t xml:space="preserve">Figure </w:t>
      </w:r>
      <w:r w:rsidRPr="005627CB">
        <w:fldChar w:fldCharType="begin"/>
      </w:r>
      <w:r w:rsidRPr="0015124D">
        <w:instrText xml:space="preserve"> SEQ Figure \* ARABIC </w:instrText>
      </w:r>
      <w:r w:rsidRPr="005627CB">
        <w:fldChar w:fldCharType="separate"/>
      </w:r>
      <w:r w:rsidR="00026714">
        <w:rPr>
          <w:noProof/>
        </w:rPr>
        <w:t>17</w:t>
      </w:r>
      <w:r w:rsidRPr="005627CB">
        <w:fldChar w:fldCharType="end"/>
      </w:r>
      <w:bookmarkEnd w:id="67"/>
      <w:r w:rsidRPr="005627CB">
        <w:t xml:space="preserve"> | International case study 1 (knee implant) – Product comparison in 2021</w:t>
      </w:r>
      <w:r w:rsidRPr="005627CB">
        <w:rPr>
          <w:vertAlign w:val="superscript"/>
        </w:rPr>
        <w:footnoteReference w:id="120"/>
      </w:r>
    </w:p>
    <w:p w14:paraId="14AD6FF6" w14:textId="77777777" w:rsidR="00E81A85" w:rsidRPr="005627CB" w:rsidRDefault="00E81A85" w:rsidP="009667DE">
      <w:r w:rsidRPr="005627CB">
        <w:rPr>
          <w:noProof/>
          <w:lang w:eastAsia="en-AU"/>
        </w:rPr>
        <w:drawing>
          <wp:inline distT="0" distB="0" distL="0" distR="0" wp14:anchorId="66CE0A51" wp14:editId="37FC589C">
            <wp:extent cx="5670550" cy="2962275"/>
            <wp:effectExtent l="0" t="0" r="6350" b="9525"/>
            <wp:docPr id="2036881543" name="Picture 2036881543" descr="A graph showing prices of four products in international case study 1 for each of the PL, Pharmac and LPP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81543" name="Picture 2036881543" descr="A graph showing prices of four products in international case study 1 for each of the PL, Pharmac and LPP categories."/>
                    <pic:cNvPicPr/>
                  </pic:nvPicPr>
                  <pic:blipFill>
                    <a:blip r:embed="rId43"/>
                    <a:stretch>
                      <a:fillRect/>
                    </a:stretch>
                  </pic:blipFill>
                  <pic:spPr>
                    <a:xfrm>
                      <a:off x="0" y="0"/>
                      <a:ext cx="5670550" cy="2962275"/>
                    </a:xfrm>
                    <a:prstGeom prst="rect">
                      <a:avLst/>
                    </a:prstGeom>
                  </pic:spPr>
                </pic:pic>
              </a:graphicData>
            </a:graphic>
          </wp:inline>
        </w:drawing>
      </w:r>
    </w:p>
    <w:p w14:paraId="5CACF5D3" w14:textId="48036850" w:rsidR="00E81A85" w:rsidRPr="005627CB" w:rsidRDefault="00E81A85" w:rsidP="00E578DD">
      <w:pPr>
        <w:spacing w:before="360"/>
      </w:pPr>
      <w:r w:rsidRPr="005627CB">
        <w:fldChar w:fldCharType="begin"/>
      </w:r>
      <w:r w:rsidRPr="005627CB">
        <w:instrText xml:space="preserve"> REF _Ref152855058 \h  \* MERGEFORMAT </w:instrText>
      </w:r>
      <w:r w:rsidRPr="005627CB">
        <w:fldChar w:fldCharType="separate"/>
      </w:r>
      <w:r w:rsidR="00026714" w:rsidRPr="005627CB">
        <w:t xml:space="preserve">Figure </w:t>
      </w:r>
      <w:r w:rsidR="00026714">
        <w:rPr>
          <w:noProof/>
        </w:rPr>
        <w:t>18</w:t>
      </w:r>
      <w:r w:rsidRPr="005627CB">
        <w:fldChar w:fldCharType="end"/>
      </w:r>
      <w:r w:rsidRPr="005627CB">
        <w:t xml:space="preserve"> shows the benefit and pricing level history of these four knee implant products as a category. The PL benefit has reduced since 2016 – as has the LPP to a lesser extent. While the </w:t>
      </w:r>
      <w:proofErr w:type="spellStart"/>
      <w:r w:rsidRPr="005627CB">
        <w:t>Pharmac</w:t>
      </w:r>
      <w:proofErr w:type="spellEnd"/>
      <w:r w:rsidRPr="005627CB">
        <w:t xml:space="preserve"> series (median price) shows movement as products were introduced to the list, the price of each of the four constituent products have not changed since being introduced.</w:t>
      </w:r>
    </w:p>
    <w:p w14:paraId="725F881A" w14:textId="088E8363" w:rsidR="00E81A85" w:rsidRPr="005627CB" w:rsidRDefault="00E81A85" w:rsidP="009667DE">
      <w:pPr>
        <w:pStyle w:val="Caption"/>
        <w:spacing w:before="240" w:after="120"/>
      </w:pPr>
      <w:bookmarkStart w:id="68" w:name="_Ref152855058"/>
      <w:r w:rsidRPr="005627CB">
        <w:t xml:space="preserve">Figure </w:t>
      </w:r>
      <w:r w:rsidRPr="005627CB">
        <w:fldChar w:fldCharType="begin"/>
      </w:r>
      <w:r w:rsidRPr="0015124D">
        <w:instrText xml:space="preserve"> SEQ Figure \* ARABIC </w:instrText>
      </w:r>
      <w:r w:rsidRPr="005627CB">
        <w:fldChar w:fldCharType="separate"/>
      </w:r>
      <w:r w:rsidR="00026714">
        <w:rPr>
          <w:noProof/>
        </w:rPr>
        <w:t>18</w:t>
      </w:r>
      <w:r w:rsidRPr="005627CB">
        <w:fldChar w:fldCharType="end"/>
      </w:r>
      <w:bookmarkEnd w:id="68"/>
      <w:r w:rsidRPr="005627CB">
        <w:t xml:space="preserve"> | International case study 1 (knee implant) – Category comparison over time</w:t>
      </w:r>
      <w:r w:rsidRPr="005627CB">
        <w:rPr>
          <w:vertAlign w:val="superscript"/>
        </w:rPr>
        <w:footnoteReference w:id="121"/>
      </w:r>
    </w:p>
    <w:p w14:paraId="55F52F3A" w14:textId="77777777" w:rsidR="00E81A85" w:rsidRPr="005627CB" w:rsidRDefault="00E81A85" w:rsidP="009667DE">
      <w:r w:rsidRPr="005627CB">
        <w:rPr>
          <w:noProof/>
          <w:lang w:eastAsia="en-AU"/>
        </w:rPr>
        <w:drawing>
          <wp:inline distT="0" distB="0" distL="0" distR="0" wp14:anchorId="7550B4D1" wp14:editId="73BF23F2">
            <wp:extent cx="5670550" cy="2406650"/>
            <wp:effectExtent l="0" t="0" r="6350" b="0"/>
            <wp:docPr id="1138933341" name="Picture 1138933341" descr="A graph showing the price trend for the international case study 1 category for each of the PL, LPP and Phar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33341" name="Picture 1138933341" descr="A graph showing the price trend for the international case study 1 category for each of the PL, LPP and Pharmac."/>
                    <pic:cNvPicPr/>
                  </pic:nvPicPr>
                  <pic:blipFill>
                    <a:blip r:embed="rId44"/>
                    <a:stretch>
                      <a:fillRect/>
                    </a:stretch>
                  </pic:blipFill>
                  <pic:spPr>
                    <a:xfrm>
                      <a:off x="0" y="0"/>
                      <a:ext cx="5670550" cy="2406650"/>
                    </a:xfrm>
                    <a:prstGeom prst="rect">
                      <a:avLst/>
                    </a:prstGeom>
                  </pic:spPr>
                </pic:pic>
              </a:graphicData>
            </a:graphic>
          </wp:inline>
        </w:drawing>
      </w:r>
    </w:p>
    <w:p w14:paraId="36F30279" w14:textId="61D04F1B" w:rsidR="00E81A85" w:rsidRPr="005627CB" w:rsidRDefault="00E81A85" w:rsidP="00E578DD">
      <w:pPr>
        <w:spacing w:before="360"/>
      </w:pPr>
      <w:r w:rsidRPr="005627CB">
        <w:fldChar w:fldCharType="begin"/>
      </w:r>
      <w:r w:rsidRPr="005627CB">
        <w:instrText xml:space="preserve"> REF _Ref152855353 \h  \* MERGEFORMAT </w:instrText>
      </w:r>
      <w:r w:rsidRPr="005627CB">
        <w:fldChar w:fldCharType="separate"/>
      </w:r>
      <w:r w:rsidR="00026714" w:rsidRPr="005627CB">
        <w:t xml:space="preserve">Figure </w:t>
      </w:r>
      <w:r w:rsidR="00026714">
        <w:rPr>
          <w:noProof/>
        </w:rPr>
        <w:t>19</w:t>
      </w:r>
      <w:r w:rsidRPr="005627CB">
        <w:fldChar w:fldCharType="end"/>
      </w:r>
      <w:r w:rsidRPr="005627CB">
        <w:t xml:space="preserve"> introduces case study 2, six hip joint implants from the 11.02.02.05 PL benefit group. </w:t>
      </w:r>
      <w:proofErr w:type="gramStart"/>
      <w:r w:rsidRPr="005627CB">
        <w:t>Similar to</w:t>
      </w:r>
      <w:proofErr w:type="gramEnd"/>
      <w:r w:rsidRPr="005627CB">
        <w:t xml:space="preserve"> case study 1, the PL benefit is higher than the LPP and </w:t>
      </w:r>
      <w:proofErr w:type="spellStart"/>
      <w:r w:rsidRPr="005627CB">
        <w:t>Pharmac</w:t>
      </w:r>
      <w:proofErr w:type="spellEnd"/>
      <w:r w:rsidRPr="005627CB">
        <w:t xml:space="preserve"> category prices on average, though is lower than some </w:t>
      </w:r>
      <w:proofErr w:type="spellStart"/>
      <w:r w:rsidRPr="005627CB">
        <w:t>Pharmac</w:t>
      </w:r>
      <w:proofErr w:type="spellEnd"/>
      <w:r w:rsidRPr="005627CB">
        <w:t xml:space="preserve"> products.</w:t>
      </w:r>
    </w:p>
    <w:p w14:paraId="23B2A769" w14:textId="0DD2A8D8" w:rsidR="00E81A85" w:rsidRPr="005627CB" w:rsidRDefault="00E81A85" w:rsidP="009667DE">
      <w:pPr>
        <w:pStyle w:val="Caption"/>
        <w:spacing w:before="240" w:after="120"/>
      </w:pPr>
      <w:bookmarkStart w:id="69" w:name="_Ref152855353"/>
      <w:r w:rsidRPr="005627CB">
        <w:lastRenderedPageBreak/>
        <w:t xml:space="preserve">Figure </w:t>
      </w:r>
      <w:r w:rsidRPr="005627CB">
        <w:fldChar w:fldCharType="begin"/>
      </w:r>
      <w:r w:rsidRPr="0015124D">
        <w:instrText xml:space="preserve"> SEQ Figure \* ARABIC </w:instrText>
      </w:r>
      <w:r w:rsidRPr="005627CB">
        <w:fldChar w:fldCharType="separate"/>
      </w:r>
      <w:r w:rsidR="00026714">
        <w:rPr>
          <w:noProof/>
        </w:rPr>
        <w:t>19</w:t>
      </w:r>
      <w:r w:rsidRPr="005627CB">
        <w:fldChar w:fldCharType="end"/>
      </w:r>
      <w:bookmarkEnd w:id="69"/>
      <w:r w:rsidRPr="005627CB">
        <w:t xml:space="preserve"> | International case study 2 (hip joint implant) – Product comparison in 2021</w:t>
      </w:r>
      <w:r w:rsidRPr="005627CB">
        <w:rPr>
          <w:vertAlign w:val="superscript"/>
        </w:rPr>
        <w:footnoteReference w:id="122"/>
      </w:r>
    </w:p>
    <w:p w14:paraId="17CD3D9D" w14:textId="77777777" w:rsidR="00E81A85" w:rsidRPr="005627CB" w:rsidRDefault="00E81A85" w:rsidP="009667DE">
      <w:r w:rsidRPr="005627CB">
        <w:rPr>
          <w:noProof/>
        </w:rPr>
        <w:drawing>
          <wp:inline distT="0" distB="0" distL="0" distR="0" wp14:anchorId="0CF791F6" wp14:editId="0CE54C1F">
            <wp:extent cx="5670550" cy="2645410"/>
            <wp:effectExtent l="0" t="0" r="6350" b="2540"/>
            <wp:docPr id="2015297363" name="Picture 2015297363" descr="A graph showing prices of six products in international case study 2 for each of the PL, Pharmac and LPP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97363" name="Picture 2015297363" descr="A graph showing prices of six products in international case study 2 for each of the PL, Pharmac and LPP categories."/>
                    <pic:cNvPicPr/>
                  </pic:nvPicPr>
                  <pic:blipFill>
                    <a:blip r:embed="rId45"/>
                    <a:stretch>
                      <a:fillRect/>
                    </a:stretch>
                  </pic:blipFill>
                  <pic:spPr>
                    <a:xfrm>
                      <a:off x="0" y="0"/>
                      <a:ext cx="5670550" cy="2645410"/>
                    </a:xfrm>
                    <a:prstGeom prst="rect">
                      <a:avLst/>
                    </a:prstGeom>
                  </pic:spPr>
                </pic:pic>
              </a:graphicData>
            </a:graphic>
          </wp:inline>
        </w:drawing>
      </w:r>
    </w:p>
    <w:p w14:paraId="37C17B0A" w14:textId="6A37F16D" w:rsidR="00E81A85" w:rsidRPr="005627CB" w:rsidRDefault="00E81A85" w:rsidP="00E578DD">
      <w:pPr>
        <w:spacing w:before="360"/>
      </w:pPr>
      <w:r w:rsidRPr="005627CB">
        <w:fldChar w:fldCharType="begin"/>
      </w:r>
      <w:r w:rsidRPr="005627CB">
        <w:instrText xml:space="preserve"> REF _Ref152855532 \h  \* MERGEFORMAT </w:instrText>
      </w:r>
      <w:r w:rsidRPr="005627CB">
        <w:fldChar w:fldCharType="separate"/>
      </w:r>
      <w:r w:rsidR="00026714" w:rsidRPr="005627CB">
        <w:t xml:space="preserve">Figure </w:t>
      </w:r>
      <w:r w:rsidR="00026714">
        <w:t>20</w:t>
      </w:r>
      <w:r w:rsidRPr="005627CB">
        <w:fldChar w:fldCharType="end"/>
      </w:r>
      <w:r w:rsidRPr="005627CB">
        <w:t xml:space="preserve"> shows a similar benefit and pricing history to case study 1. A gradual decline in benefits/prices is mirrored across the PL and LPP, while individual products on the </w:t>
      </w:r>
      <w:proofErr w:type="spellStart"/>
      <w:r w:rsidRPr="005627CB">
        <w:t>Pharmac</w:t>
      </w:r>
      <w:proofErr w:type="spellEnd"/>
      <w:r w:rsidRPr="005627CB">
        <w:t xml:space="preserve"> list have not changed in price since their introduction, and the median has changed only through the addition of new products.</w:t>
      </w:r>
    </w:p>
    <w:p w14:paraId="149A01A8" w14:textId="1A22ACAC" w:rsidR="00E81A85" w:rsidRPr="005627CB" w:rsidRDefault="00E81A85" w:rsidP="009667DE">
      <w:pPr>
        <w:pStyle w:val="Caption"/>
        <w:spacing w:before="240" w:after="120"/>
      </w:pPr>
      <w:bookmarkStart w:id="70" w:name="_Ref152855532"/>
      <w:r w:rsidRPr="005627CB">
        <w:t xml:space="preserve">Figure </w:t>
      </w:r>
      <w:r w:rsidRPr="005627CB">
        <w:fldChar w:fldCharType="begin"/>
      </w:r>
      <w:r w:rsidRPr="0015124D">
        <w:instrText xml:space="preserve"> SEQ Figure \* ARABIC </w:instrText>
      </w:r>
      <w:r w:rsidRPr="005627CB">
        <w:fldChar w:fldCharType="separate"/>
      </w:r>
      <w:r w:rsidR="00026714">
        <w:rPr>
          <w:noProof/>
        </w:rPr>
        <w:t>20</w:t>
      </w:r>
      <w:r w:rsidRPr="005627CB">
        <w:fldChar w:fldCharType="end"/>
      </w:r>
      <w:bookmarkEnd w:id="70"/>
      <w:r w:rsidRPr="005627CB">
        <w:t xml:space="preserve"> | International case study 2 (hip joint implant) – Category comparison over time</w:t>
      </w:r>
      <w:r w:rsidRPr="005627CB">
        <w:rPr>
          <w:vertAlign w:val="superscript"/>
        </w:rPr>
        <w:footnoteReference w:id="123"/>
      </w:r>
    </w:p>
    <w:p w14:paraId="3745E4D4" w14:textId="12DF5F18" w:rsidR="00E81A85" w:rsidRDefault="00E81A85" w:rsidP="009667DE">
      <w:r w:rsidRPr="005627CB">
        <w:rPr>
          <w:noProof/>
        </w:rPr>
        <w:drawing>
          <wp:inline distT="0" distB="0" distL="0" distR="0" wp14:anchorId="7B5B34DF" wp14:editId="66C19DDA">
            <wp:extent cx="5670550" cy="2398395"/>
            <wp:effectExtent l="0" t="0" r="6350" b="1905"/>
            <wp:docPr id="1198511697" name="Picture 1198511697" descr="A graph showing the price trend for the international case study 2 category for each of the PL, LPP and Phar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11697" name="Picture 1198511697" descr="A graph showing the price trend for the international case study 2 category for each of the PL, LPP and Pharmac."/>
                    <pic:cNvPicPr/>
                  </pic:nvPicPr>
                  <pic:blipFill>
                    <a:blip r:embed="rId46"/>
                    <a:stretch>
                      <a:fillRect/>
                    </a:stretch>
                  </pic:blipFill>
                  <pic:spPr>
                    <a:xfrm>
                      <a:off x="0" y="0"/>
                      <a:ext cx="5670550" cy="2398395"/>
                    </a:xfrm>
                    <a:prstGeom prst="rect">
                      <a:avLst/>
                    </a:prstGeom>
                  </pic:spPr>
                </pic:pic>
              </a:graphicData>
            </a:graphic>
          </wp:inline>
        </w:drawing>
      </w:r>
    </w:p>
    <w:p w14:paraId="0F686BAA" w14:textId="67B3BF68" w:rsidR="00E81A85" w:rsidRPr="005627CB" w:rsidRDefault="00E81A85" w:rsidP="00E578DD">
      <w:pPr>
        <w:spacing w:before="360"/>
      </w:pPr>
      <w:r w:rsidRPr="005627CB">
        <w:t xml:space="preserve">Case study 3, in </w:t>
      </w:r>
      <w:r w:rsidRPr="005627CB">
        <w:fldChar w:fldCharType="begin"/>
      </w:r>
      <w:r w:rsidRPr="005627CB">
        <w:instrText xml:space="preserve"> REF _Ref152856095 \h  \* MERGEFORMAT </w:instrText>
      </w:r>
      <w:r w:rsidRPr="005627CB">
        <w:fldChar w:fldCharType="separate"/>
      </w:r>
      <w:r w:rsidR="00026714" w:rsidRPr="005627CB">
        <w:t xml:space="preserve">Figure </w:t>
      </w:r>
      <w:r w:rsidR="00026714">
        <w:t>21</w:t>
      </w:r>
      <w:r w:rsidRPr="005627CB">
        <w:fldChar w:fldCharType="end"/>
      </w:r>
      <w:r w:rsidRPr="005627CB">
        <w:t xml:space="preserve"> and </w:t>
      </w:r>
      <w:r w:rsidRPr="005627CB">
        <w:fldChar w:fldCharType="begin"/>
      </w:r>
      <w:r w:rsidRPr="005627CB">
        <w:instrText xml:space="preserve"> REF _Ref152927763 \h  \* MERGEFORMAT </w:instrText>
      </w:r>
      <w:r w:rsidRPr="005627CB">
        <w:fldChar w:fldCharType="separate"/>
      </w:r>
      <w:r w:rsidR="00026714" w:rsidRPr="0085359A">
        <w:t xml:space="preserve">Figure </w:t>
      </w:r>
      <w:r w:rsidR="00026714">
        <w:t>22</w:t>
      </w:r>
      <w:r w:rsidRPr="005627CB">
        <w:fldChar w:fldCharType="end"/>
      </w:r>
      <w:r w:rsidRPr="005627CB">
        <w:t xml:space="preserve"> below, relates to three products from the 13.10.01.02 PL category. Prices vary across the three </w:t>
      </w:r>
      <w:proofErr w:type="spellStart"/>
      <w:r w:rsidRPr="005627CB">
        <w:t>Pharmac</w:t>
      </w:r>
      <w:proofErr w:type="spellEnd"/>
      <w:r w:rsidRPr="005627CB">
        <w:t xml:space="preserve"> products, but all comparison products remain under the PL benefit.</w:t>
      </w:r>
    </w:p>
    <w:p w14:paraId="33F719A6" w14:textId="78C7032F" w:rsidR="00E81A85" w:rsidRPr="005627CB" w:rsidRDefault="00E81A85" w:rsidP="009667DE">
      <w:pPr>
        <w:pStyle w:val="Caption"/>
        <w:spacing w:before="240" w:after="120"/>
      </w:pPr>
      <w:bookmarkStart w:id="71" w:name="_Ref152856095"/>
      <w:r w:rsidRPr="005627CB">
        <w:lastRenderedPageBreak/>
        <w:t xml:space="preserve">Figure </w:t>
      </w:r>
      <w:r w:rsidRPr="005627CB">
        <w:fldChar w:fldCharType="begin"/>
      </w:r>
      <w:r w:rsidRPr="0015124D">
        <w:instrText xml:space="preserve"> SEQ Figure \* ARABIC </w:instrText>
      </w:r>
      <w:r w:rsidRPr="005627CB">
        <w:fldChar w:fldCharType="separate"/>
      </w:r>
      <w:r w:rsidR="00026714">
        <w:rPr>
          <w:noProof/>
        </w:rPr>
        <w:t>21</w:t>
      </w:r>
      <w:r w:rsidRPr="005627CB">
        <w:fldChar w:fldCharType="end"/>
      </w:r>
      <w:bookmarkEnd w:id="71"/>
      <w:r w:rsidRPr="005627CB">
        <w:t xml:space="preserve"> | International case study 3 (spinal fusion cage) – Product comparison in 2021</w:t>
      </w:r>
      <w:r w:rsidRPr="005627CB">
        <w:rPr>
          <w:vertAlign w:val="superscript"/>
        </w:rPr>
        <w:footnoteReference w:id="124"/>
      </w:r>
    </w:p>
    <w:p w14:paraId="299FB452" w14:textId="77777777" w:rsidR="00E81A85" w:rsidRPr="005627CB" w:rsidRDefault="00E81A85" w:rsidP="009667DE">
      <w:r w:rsidRPr="005627CB">
        <w:rPr>
          <w:noProof/>
        </w:rPr>
        <w:drawing>
          <wp:inline distT="0" distB="0" distL="0" distR="0" wp14:anchorId="57A087A9" wp14:editId="383EDB1F">
            <wp:extent cx="5670550" cy="3054350"/>
            <wp:effectExtent l="0" t="0" r="6350" b="0"/>
            <wp:docPr id="248473515" name="Picture 248473515" descr="A graph showing prices of three products in international case study 3 for each of the PL, Pharmac and LPP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73515" name="Picture 248473515" descr="A graph showing prices of three products in international case study 3 for each of the PL, Pharmac and LPP categories."/>
                    <pic:cNvPicPr/>
                  </pic:nvPicPr>
                  <pic:blipFill>
                    <a:blip r:embed="rId47"/>
                    <a:stretch>
                      <a:fillRect/>
                    </a:stretch>
                  </pic:blipFill>
                  <pic:spPr>
                    <a:xfrm>
                      <a:off x="0" y="0"/>
                      <a:ext cx="5670550" cy="3054350"/>
                    </a:xfrm>
                    <a:prstGeom prst="rect">
                      <a:avLst/>
                    </a:prstGeom>
                  </pic:spPr>
                </pic:pic>
              </a:graphicData>
            </a:graphic>
          </wp:inline>
        </w:drawing>
      </w:r>
    </w:p>
    <w:p w14:paraId="6ED57E69" w14:textId="77777777" w:rsidR="00E81A85" w:rsidRPr="005627CB" w:rsidRDefault="00E81A85" w:rsidP="00E578DD">
      <w:pPr>
        <w:spacing w:before="360"/>
      </w:pPr>
      <w:bookmarkStart w:id="72" w:name="_Ref152856167"/>
      <w:r w:rsidRPr="005627CB">
        <w:t xml:space="preserve">As with the other case studies, the PL benefit level has declined from 2016 to 2021. The </w:t>
      </w:r>
      <w:proofErr w:type="spellStart"/>
      <w:r w:rsidRPr="005627CB">
        <w:t>Pharmac</w:t>
      </w:r>
      <w:proofErr w:type="spellEnd"/>
      <w:r w:rsidRPr="005627CB">
        <w:t xml:space="preserve"> series (the median price of the case study products that were listed in that year) shows little movement. Pricing data for the LPP was not available prior to 2021 for the product category.</w:t>
      </w:r>
    </w:p>
    <w:p w14:paraId="0F5F6D12" w14:textId="5D043644" w:rsidR="00E81A85" w:rsidRPr="005627CB" w:rsidRDefault="00E81A85" w:rsidP="009667DE">
      <w:pPr>
        <w:pStyle w:val="Caption"/>
        <w:spacing w:before="240" w:after="120"/>
      </w:pPr>
      <w:bookmarkStart w:id="73" w:name="_Ref152927763"/>
      <w:r w:rsidRPr="0085359A">
        <w:t xml:space="preserve">Figure </w:t>
      </w:r>
      <w:r w:rsidRPr="0085359A">
        <w:fldChar w:fldCharType="begin"/>
      </w:r>
      <w:r w:rsidRPr="0085359A">
        <w:instrText xml:space="preserve"> SEQ Figure \* ARABIC </w:instrText>
      </w:r>
      <w:r w:rsidRPr="0085359A">
        <w:fldChar w:fldCharType="separate"/>
      </w:r>
      <w:r w:rsidR="00026714">
        <w:rPr>
          <w:noProof/>
        </w:rPr>
        <w:t>22</w:t>
      </w:r>
      <w:r w:rsidRPr="0085359A">
        <w:fldChar w:fldCharType="end"/>
      </w:r>
      <w:bookmarkEnd w:id="72"/>
      <w:bookmarkEnd w:id="73"/>
      <w:r w:rsidRPr="0085359A">
        <w:t xml:space="preserve"> | International</w:t>
      </w:r>
      <w:r w:rsidRPr="005627CB">
        <w:t xml:space="preserve"> case study 3 (spinal fusion cage) – Category comparison over time</w:t>
      </w:r>
      <w:r w:rsidRPr="005627CB">
        <w:rPr>
          <w:vertAlign w:val="superscript"/>
        </w:rPr>
        <w:footnoteReference w:id="125"/>
      </w:r>
    </w:p>
    <w:p w14:paraId="125A00AE" w14:textId="1EA451C0" w:rsidR="00E81A85" w:rsidRPr="00E578DD" w:rsidRDefault="00E81A85" w:rsidP="009667DE">
      <w:r w:rsidRPr="005627CB">
        <w:rPr>
          <w:noProof/>
        </w:rPr>
        <w:drawing>
          <wp:inline distT="0" distB="0" distL="0" distR="0" wp14:anchorId="2C29298A" wp14:editId="6116EB31">
            <wp:extent cx="5599745" cy="2276475"/>
            <wp:effectExtent l="0" t="0" r="1270" b="0"/>
            <wp:docPr id="525495714" name="Picture 525495714" descr="A graph showing the price trend for the international case study 2 category for each of the PL, LPP and Phar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95714" name="Picture 525495714" descr="A graph showing the price trend for the international case study 2 category for each of the PL, LPP and Pharmac."/>
                    <pic:cNvPicPr/>
                  </pic:nvPicPr>
                  <pic:blipFill>
                    <a:blip r:embed="rId48"/>
                    <a:stretch>
                      <a:fillRect/>
                    </a:stretch>
                  </pic:blipFill>
                  <pic:spPr>
                    <a:xfrm>
                      <a:off x="0" y="0"/>
                      <a:ext cx="5599745" cy="2276475"/>
                    </a:xfrm>
                    <a:prstGeom prst="rect">
                      <a:avLst/>
                    </a:prstGeom>
                  </pic:spPr>
                </pic:pic>
              </a:graphicData>
            </a:graphic>
          </wp:inline>
        </w:drawing>
      </w:r>
    </w:p>
    <w:p w14:paraId="21D8BFA5" w14:textId="39D56524" w:rsidR="00E81A85" w:rsidRPr="009667DE" w:rsidRDefault="00E81A85" w:rsidP="00E578DD">
      <w:pPr>
        <w:pStyle w:val="Heading4"/>
        <w:spacing w:before="360"/>
      </w:pPr>
      <w:r w:rsidRPr="009667DE">
        <w:rPr>
          <w:color w:val="F25E21" w:themeColor="accent2"/>
        </w:rPr>
        <w:t>Measure 2.</w:t>
      </w:r>
      <w:r w:rsidR="00E2414C">
        <w:rPr>
          <w:color w:val="F25E21" w:themeColor="accent2"/>
        </w:rPr>
        <w:t>4</w:t>
      </w:r>
      <w:r w:rsidRPr="009667DE">
        <w:t>: Stakeholder perspectives on the gap between PL benefits and prices in more competitive markets</w:t>
      </w:r>
    </w:p>
    <w:p w14:paraId="133CEBC5" w14:textId="77777777" w:rsidR="00E81A85" w:rsidRPr="00E578DD" w:rsidRDefault="00E81A85" w:rsidP="00E578DD">
      <w:pPr>
        <w:pStyle w:val="Heading6"/>
        <w:spacing w:before="120"/>
      </w:pPr>
      <w:r w:rsidRPr="00E578DD">
        <w:t>Measurement guide</w:t>
      </w:r>
    </w:p>
    <w:p w14:paraId="232D9B57" w14:textId="1DBB38C4" w:rsidR="00E81A85" w:rsidRDefault="00E81A85" w:rsidP="009667DE">
      <w:r>
        <w:t xml:space="preserve">This measure will look at stakeholder opinions on the alignment of PL benefits to more competitive markets such as the Australian public hospital system, and </w:t>
      </w:r>
      <w:proofErr w:type="spellStart"/>
      <w:r>
        <w:t>Pharmac</w:t>
      </w:r>
      <w:proofErr w:type="spellEnd"/>
      <w:r>
        <w:t xml:space="preserve"> and LPP. </w:t>
      </w:r>
      <w:r w:rsidR="009667DE">
        <w:t xml:space="preserve">This is to triangulate findings </w:t>
      </w:r>
      <w:r w:rsidR="009667DE">
        <w:lastRenderedPageBreak/>
        <w:t xml:space="preserve">from the previous two measures and seek to account for differences </w:t>
      </w:r>
      <w:r>
        <w:t>between the Australian private hospital market and other markets</w:t>
      </w:r>
      <w:r w:rsidR="009667DE">
        <w:t xml:space="preserve"> (as discussed in measure 2.2).</w:t>
      </w:r>
    </w:p>
    <w:p w14:paraId="27AD29FB" w14:textId="139182EF" w:rsidR="00E81A85" w:rsidRDefault="00E81A85" w:rsidP="009667DE">
      <w:r>
        <w:t>Discussions with stakeholders, as well as analysis of available stakeholder submissions and documentation, will inform this measure throughout the evaluation. We will use stakeholder consultation to explore changes to the case studies provided at baseline and identify other relevant case studies throughout the evaluation. They will continue to provide nuance to the differences being identified in the data between the Australian private hospital system and other competitive markets.</w:t>
      </w:r>
    </w:p>
    <w:p w14:paraId="39303FB3" w14:textId="77777777" w:rsidR="00E81A85" w:rsidRPr="00E578DD" w:rsidRDefault="00E81A85" w:rsidP="00E578DD">
      <w:pPr>
        <w:pStyle w:val="Heading6"/>
        <w:spacing w:before="120"/>
      </w:pPr>
      <w:r w:rsidRPr="00E578DD">
        <w:t>Baseline value</w:t>
      </w:r>
    </w:p>
    <w:p w14:paraId="4B2E14FE" w14:textId="79A9E9E4" w:rsidR="009667DE" w:rsidRDefault="009667DE" w:rsidP="009667DE">
      <w:r w:rsidRPr="00984C50">
        <w:rPr>
          <w:noProof/>
        </w:rPr>
        <mc:AlternateContent>
          <mc:Choice Requires="wps">
            <w:drawing>
              <wp:anchor distT="0" distB="0" distL="114300" distR="114300" simplePos="0" relativeHeight="251658257" behindDoc="0" locked="0" layoutInCell="1" allowOverlap="1" wp14:anchorId="15513188" wp14:editId="21DA7130">
                <wp:simplePos x="0" y="0"/>
                <wp:positionH relativeFrom="column">
                  <wp:posOffset>3495675</wp:posOffset>
                </wp:positionH>
                <wp:positionV relativeFrom="paragraph">
                  <wp:posOffset>516085</wp:posOffset>
                </wp:positionV>
                <wp:extent cx="2212975" cy="1477926"/>
                <wp:effectExtent l="0" t="0" r="0" b="8255"/>
                <wp:wrapSquare wrapText="bothSides"/>
                <wp:docPr id="619624518" name="Text Box 6196245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12975" cy="1477926"/>
                        </a:xfrm>
                        <a:prstGeom prst="rect">
                          <a:avLst/>
                        </a:prstGeom>
                        <a:solidFill>
                          <a:sysClr val="window" lastClr="FFFFFF"/>
                        </a:solidFill>
                        <a:ln w="6350">
                          <a:noFill/>
                        </a:ln>
                        <a:effectLst/>
                      </wps:spPr>
                      <wps:txbx>
                        <w:txbxContent>
                          <w:p w14:paraId="0F33F034" w14:textId="77777777" w:rsidR="00E81A85" w:rsidRDefault="00E81A85" w:rsidP="00E81A85">
                            <w:pPr>
                              <w:pStyle w:val="Callout"/>
                              <w:rPr>
                                <w:i/>
                                <w:iCs/>
                                <w:color w:val="F25E21" w:themeColor="accent2"/>
                                <w:sz w:val="20"/>
                                <w:szCs w:val="20"/>
                              </w:rPr>
                            </w:pPr>
                            <w:r w:rsidRPr="007152F0">
                              <w:rPr>
                                <w:i/>
                                <w:iCs/>
                                <w:color w:val="F25E21" w:themeColor="accent2"/>
                                <w:sz w:val="20"/>
                                <w:szCs w:val="20"/>
                              </w:rPr>
                              <w:t>“</w:t>
                            </w:r>
                            <w:r w:rsidRPr="00FF2F12">
                              <w:rPr>
                                <w:i/>
                                <w:iCs/>
                                <w:color w:val="F25E21" w:themeColor="accent2"/>
                                <w:sz w:val="20"/>
                                <w:szCs w:val="20"/>
                              </w:rPr>
                              <w:t>Both international and domestic weighted price benchmarks and comparisons suggest that the</w:t>
                            </w:r>
                            <w:r>
                              <w:rPr>
                                <w:i/>
                                <w:iCs/>
                                <w:color w:val="F25E21" w:themeColor="accent2"/>
                                <w:sz w:val="20"/>
                                <w:szCs w:val="20"/>
                              </w:rPr>
                              <w:t xml:space="preserve"> </w:t>
                            </w:r>
                            <w:r w:rsidRPr="00FF2F12">
                              <w:rPr>
                                <w:i/>
                                <w:iCs/>
                                <w:color w:val="F25E21" w:themeColor="accent2"/>
                                <w:sz w:val="20"/>
                                <w:szCs w:val="20"/>
                              </w:rPr>
                              <w:t>Australian private health system and its members are paying twice as much as they should on</w:t>
                            </w:r>
                            <w:r>
                              <w:rPr>
                                <w:i/>
                                <w:iCs/>
                                <w:color w:val="F25E21" w:themeColor="accent2"/>
                                <w:sz w:val="20"/>
                                <w:szCs w:val="20"/>
                              </w:rPr>
                              <w:t xml:space="preserve"> </w:t>
                            </w:r>
                            <w:r w:rsidRPr="00FF2F12">
                              <w:rPr>
                                <w:i/>
                                <w:iCs/>
                                <w:color w:val="F25E21" w:themeColor="accent2"/>
                                <w:sz w:val="20"/>
                                <w:szCs w:val="20"/>
                              </w:rPr>
                              <w:t xml:space="preserve">average for </w:t>
                            </w:r>
                            <w:proofErr w:type="gramStart"/>
                            <w:r w:rsidRPr="00FF2F12">
                              <w:rPr>
                                <w:i/>
                                <w:iCs/>
                                <w:color w:val="F25E21" w:themeColor="accent2"/>
                                <w:sz w:val="20"/>
                                <w:szCs w:val="20"/>
                              </w:rPr>
                              <w:t>prostheses</w:t>
                            </w:r>
                            <w:r>
                              <w:rPr>
                                <w:i/>
                                <w:iCs/>
                                <w:color w:val="F25E21" w:themeColor="accent2"/>
                                <w:sz w:val="20"/>
                                <w:szCs w:val="20"/>
                              </w:rPr>
                              <w:t>”</w:t>
                            </w:r>
                            <w:proofErr w:type="gramEnd"/>
                            <w:r>
                              <w:rPr>
                                <w:i/>
                                <w:iCs/>
                                <w:color w:val="F25E21" w:themeColor="accent2"/>
                                <w:sz w:val="20"/>
                                <w:szCs w:val="20"/>
                              </w:rPr>
                              <w:t xml:space="preserve"> </w:t>
                            </w:r>
                          </w:p>
                          <w:p w14:paraId="5692BD80" w14:textId="77777777" w:rsidR="00E81A85" w:rsidRPr="002D12AB" w:rsidRDefault="00E81A85" w:rsidP="00E81A85">
                            <w:pPr>
                              <w:pStyle w:val="Callout"/>
                              <w:rPr>
                                <w:rFonts w:asciiTheme="minorHAnsi" w:hAnsiTheme="minorHAnsi" w:cstheme="minorHAnsi"/>
                                <w:b/>
                                <w:bCs/>
                                <w:color w:val="00264D" w:themeColor="background2"/>
                                <w:sz w:val="14"/>
                                <w:szCs w:val="14"/>
                              </w:rPr>
                            </w:pPr>
                            <w:r>
                              <w:rPr>
                                <w:rFonts w:asciiTheme="minorHAnsi" w:hAnsiTheme="minorHAnsi" w:cstheme="minorHAnsi"/>
                                <w:b/>
                                <w:bCs/>
                                <w:color w:val="00264D" w:themeColor="background2"/>
                                <w:sz w:val="14"/>
                                <w:szCs w:val="14"/>
                              </w:rPr>
                              <w:t>PHA, 2017 Senate Submission</w:t>
                            </w:r>
                          </w:p>
                          <w:p w14:paraId="567CC3B2" w14:textId="77777777" w:rsidR="00E81A85" w:rsidRDefault="00E81A85" w:rsidP="00E81A85">
                            <w:pPr>
                              <w:pStyle w:val="Callout"/>
                              <w:rPr>
                                <w:color w:val="F25E21" w:themeColor="accent2"/>
                              </w:rPr>
                            </w:pPr>
                          </w:p>
                          <w:p w14:paraId="0B6C6899" w14:textId="77777777" w:rsidR="00E81A85" w:rsidRPr="00885462" w:rsidRDefault="00E81A85" w:rsidP="00E81A85">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513188" id="Text Box 619624518" o:spid="_x0000_s1029" type="#_x0000_t202" alt="&quot;&quot;" style="position:absolute;margin-left:275.25pt;margin-top:40.65pt;width:174.25pt;height:116.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" fillcolor="window" stroked="f" strokeweight=".5pt">
                <v:textbox inset="0,,1mm">
                  <w:txbxContent>
                    <w:p w14:paraId="0F33F034" w14:textId="77777777" w:rsidR="00E81A85" w:rsidRDefault="00E81A85" w:rsidP="00E81A85">
                      <w:pPr>
                        <w:pStyle w:val="Callout"/>
                        <w:rPr>
                          <w:i/>
                          <w:iCs/>
                          <w:color w:val="F25E21" w:themeColor="accent2"/>
                          <w:sz w:val="20"/>
                          <w:szCs w:val="20"/>
                        </w:rPr>
                      </w:pPr>
                      <w:r w:rsidRPr="007152F0">
                        <w:rPr>
                          <w:i/>
                          <w:iCs/>
                          <w:color w:val="F25E21" w:themeColor="accent2"/>
                          <w:sz w:val="20"/>
                          <w:szCs w:val="20"/>
                        </w:rPr>
                        <w:t>“</w:t>
                      </w:r>
                      <w:r w:rsidRPr="00FF2F12">
                        <w:rPr>
                          <w:i/>
                          <w:iCs/>
                          <w:color w:val="F25E21" w:themeColor="accent2"/>
                          <w:sz w:val="20"/>
                          <w:szCs w:val="20"/>
                        </w:rPr>
                        <w:t>Both international and domestic weighted price benchmarks and comparisons suggest that the</w:t>
                      </w:r>
                      <w:r>
                        <w:rPr>
                          <w:i/>
                          <w:iCs/>
                          <w:color w:val="F25E21" w:themeColor="accent2"/>
                          <w:sz w:val="20"/>
                          <w:szCs w:val="20"/>
                        </w:rPr>
                        <w:t xml:space="preserve"> </w:t>
                      </w:r>
                      <w:r w:rsidRPr="00FF2F12">
                        <w:rPr>
                          <w:i/>
                          <w:iCs/>
                          <w:color w:val="F25E21" w:themeColor="accent2"/>
                          <w:sz w:val="20"/>
                          <w:szCs w:val="20"/>
                        </w:rPr>
                        <w:t>Australian private health system and its members are paying twice as much as they should on</w:t>
                      </w:r>
                      <w:r>
                        <w:rPr>
                          <w:i/>
                          <w:iCs/>
                          <w:color w:val="F25E21" w:themeColor="accent2"/>
                          <w:sz w:val="20"/>
                          <w:szCs w:val="20"/>
                        </w:rPr>
                        <w:t xml:space="preserve"> </w:t>
                      </w:r>
                      <w:r w:rsidRPr="00FF2F12">
                        <w:rPr>
                          <w:i/>
                          <w:iCs/>
                          <w:color w:val="F25E21" w:themeColor="accent2"/>
                          <w:sz w:val="20"/>
                          <w:szCs w:val="20"/>
                        </w:rPr>
                        <w:t xml:space="preserve">average for </w:t>
                      </w:r>
                      <w:proofErr w:type="gramStart"/>
                      <w:r w:rsidRPr="00FF2F12">
                        <w:rPr>
                          <w:i/>
                          <w:iCs/>
                          <w:color w:val="F25E21" w:themeColor="accent2"/>
                          <w:sz w:val="20"/>
                          <w:szCs w:val="20"/>
                        </w:rPr>
                        <w:t>prostheses</w:t>
                      </w:r>
                      <w:r>
                        <w:rPr>
                          <w:i/>
                          <w:iCs/>
                          <w:color w:val="F25E21" w:themeColor="accent2"/>
                          <w:sz w:val="20"/>
                          <w:szCs w:val="20"/>
                        </w:rPr>
                        <w:t>”</w:t>
                      </w:r>
                      <w:proofErr w:type="gramEnd"/>
                      <w:r>
                        <w:rPr>
                          <w:i/>
                          <w:iCs/>
                          <w:color w:val="F25E21" w:themeColor="accent2"/>
                          <w:sz w:val="20"/>
                          <w:szCs w:val="20"/>
                        </w:rPr>
                        <w:t xml:space="preserve"> </w:t>
                      </w:r>
                    </w:p>
                    <w:p w14:paraId="5692BD80" w14:textId="77777777" w:rsidR="00E81A85" w:rsidRPr="002D12AB" w:rsidRDefault="00E81A85" w:rsidP="00E81A85">
                      <w:pPr>
                        <w:pStyle w:val="Callout"/>
                        <w:rPr>
                          <w:rFonts w:asciiTheme="minorHAnsi" w:hAnsiTheme="minorHAnsi" w:cstheme="minorHAnsi"/>
                          <w:b/>
                          <w:bCs/>
                          <w:color w:val="00264D" w:themeColor="background2"/>
                          <w:sz w:val="14"/>
                          <w:szCs w:val="14"/>
                        </w:rPr>
                      </w:pPr>
                      <w:r>
                        <w:rPr>
                          <w:rFonts w:asciiTheme="minorHAnsi" w:hAnsiTheme="minorHAnsi" w:cstheme="minorHAnsi"/>
                          <w:b/>
                          <w:bCs/>
                          <w:color w:val="00264D" w:themeColor="background2"/>
                          <w:sz w:val="14"/>
                          <w:szCs w:val="14"/>
                        </w:rPr>
                        <w:t>PHA, 2017 Senate Submission</w:t>
                      </w:r>
                    </w:p>
                    <w:p w14:paraId="567CC3B2" w14:textId="77777777" w:rsidR="00E81A85" w:rsidRDefault="00E81A85" w:rsidP="00E81A85">
                      <w:pPr>
                        <w:pStyle w:val="Callout"/>
                        <w:rPr>
                          <w:color w:val="F25E21" w:themeColor="accent2"/>
                        </w:rPr>
                      </w:pPr>
                    </w:p>
                    <w:p w14:paraId="0B6C6899" w14:textId="77777777" w:rsidR="00E81A85" w:rsidRPr="00885462" w:rsidRDefault="00E81A85" w:rsidP="00E81A85">
                      <w:pPr>
                        <w:pStyle w:val="Callout"/>
                        <w:rPr>
                          <w:color w:val="F25E21" w:themeColor="accent2"/>
                        </w:rPr>
                      </w:pPr>
                    </w:p>
                  </w:txbxContent>
                </v:textbox>
                <w10:wrap type="square"/>
              </v:shape>
            </w:pict>
          </mc:Fallback>
        </mc:AlternateContent>
      </w:r>
      <w:r>
        <w:t xml:space="preserve">Stakeholder perspectives on the </w:t>
      </w:r>
      <w:r w:rsidRPr="009667DE">
        <w:rPr>
          <w:i/>
          <w:iCs/>
        </w:rPr>
        <w:t>changing</w:t>
      </w:r>
      <w:r>
        <w:t xml:space="preserve"> gap between PL benefits and other markets post-reform is the focus of this measure. However, at baseline, stakeholder views on PL benefits relative to other markets is well established.</w:t>
      </w:r>
    </w:p>
    <w:p w14:paraId="26A9A604" w14:textId="77777777" w:rsidR="00C8192A" w:rsidRDefault="00E81A85" w:rsidP="009667DE">
      <w:pPr>
        <w:rPr>
          <w:rFonts w:asciiTheme="minorHAnsi" w:hAnsiTheme="minorHAnsi"/>
        </w:rPr>
      </w:pPr>
      <w:r w:rsidRPr="0BCC15EA">
        <w:rPr>
          <w:rFonts w:asciiTheme="minorHAnsi" w:hAnsiTheme="minorHAnsi"/>
        </w:rPr>
        <w:t>The most significant criticism of the pre-reform PL arrangements raised by stakeholders, particularly private health insurers</w:t>
      </w:r>
      <w:r>
        <w:rPr>
          <w:rStyle w:val="FootnoteReference"/>
        </w:rPr>
        <w:footnoteReference w:id="126"/>
      </w:r>
      <w:r w:rsidRPr="0BCC15EA">
        <w:rPr>
          <w:rFonts w:asciiTheme="minorHAnsi" w:hAnsiTheme="minorHAnsi"/>
        </w:rPr>
        <w:t xml:space="preserve"> and consumer groups,</w:t>
      </w:r>
      <w:r>
        <w:rPr>
          <w:rStyle w:val="FootnoteReference"/>
        </w:rPr>
        <w:footnoteReference w:id="127"/>
      </w:r>
      <w:r w:rsidRPr="0BCC15EA">
        <w:rPr>
          <w:rFonts w:asciiTheme="minorHAnsi" w:hAnsiTheme="minorHAnsi"/>
        </w:rPr>
        <w:t xml:space="preserve"> was that benefit levels were set well above the prices paid for prostheses in both the public sector and in other countries. While medical technology companies pointed to differences in the structure of these markets</w:t>
      </w:r>
      <w:r>
        <w:rPr>
          <w:rStyle w:val="FootnoteReference"/>
        </w:rPr>
        <w:footnoteReference w:id="128"/>
      </w:r>
      <w:r w:rsidRPr="0BCC15EA">
        <w:rPr>
          <w:rFonts w:asciiTheme="minorHAnsi" w:hAnsiTheme="minorHAnsi"/>
        </w:rPr>
        <w:t xml:space="preserve"> (due to regulatory differences between countries), and in the nature of the transactions (e.g., differences in the volume of devices purchased in the public and private sectors), </w:t>
      </w:r>
    </w:p>
    <w:p w14:paraId="2C923A33" w14:textId="0F2C0432" w:rsidR="009070A2" w:rsidRPr="009667DE" w:rsidRDefault="00E81A85" w:rsidP="009667DE">
      <w:r w:rsidRPr="0BCC15EA">
        <w:rPr>
          <w:rFonts w:asciiTheme="minorHAnsi" w:hAnsiTheme="minorHAnsi"/>
        </w:rPr>
        <w:t>private health insurers, clinicians,</w:t>
      </w:r>
      <w:r>
        <w:rPr>
          <w:rStyle w:val="FootnoteReference"/>
        </w:rPr>
        <w:footnoteReference w:id="129"/>
      </w:r>
      <w:r w:rsidRPr="0BCC15EA">
        <w:rPr>
          <w:rFonts w:asciiTheme="minorHAnsi" w:hAnsiTheme="minorHAnsi"/>
        </w:rPr>
        <w:t xml:space="preserve"> private healthcare providers and consumer groups have argued that these high prices have diminished the value that PHI offers to consumers. This is because higher prices for medical devices is passed onto consumers through higher PHI premiums.</w:t>
      </w:r>
      <w:r w:rsidRPr="00925B78">
        <w:rPr>
          <w:rStyle w:val="FootnoteReference"/>
        </w:rPr>
        <w:footnoteReference w:id="130"/>
      </w:r>
      <w:r w:rsidRPr="0BCC15EA">
        <w:rPr>
          <w:rFonts w:asciiTheme="minorHAnsi" w:hAnsiTheme="minorHAnsi"/>
        </w:rPr>
        <w:t xml:space="preserve"> </w:t>
      </w:r>
    </w:p>
    <w:p w14:paraId="5B9F3EE4" w14:textId="5F7F1DCE" w:rsidR="00EE4136" w:rsidRPr="00974105" w:rsidRDefault="00EE4136" w:rsidP="009667DE">
      <w:pPr>
        <w:pStyle w:val="Heading2"/>
        <w:numPr>
          <w:ilvl w:val="0"/>
          <w:numId w:val="0"/>
        </w:numPr>
      </w:pPr>
      <w:bookmarkStart w:id="74" w:name="_Toc179453690"/>
      <w:r w:rsidRPr="00974105">
        <w:t xml:space="preserve">Indicator </w:t>
      </w:r>
      <w:r>
        <w:t>3</w:t>
      </w:r>
      <w:r w:rsidRPr="00974105">
        <w:t xml:space="preserve">: </w:t>
      </w:r>
      <w:r w:rsidRPr="00C861C5">
        <w:t>Change in out-of-pocket expenses related to PL</w:t>
      </w:r>
      <w:r w:rsidR="00312599">
        <w:t xml:space="preserve"> </w:t>
      </w:r>
      <w:proofErr w:type="gramStart"/>
      <w:r w:rsidRPr="00C861C5">
        <w:t>items</w:t>
      </w:r>
      <w:bookmarkEnd w:id="74"/>
      <w:proofErr w:type="gramEnd"/>
    </w:p>
    <w:p w14:paraId="59FB5C45" w14:textId="746CF5A2" w:rsidR="00EE4136" w:rsidRDefault="00EE4136" w:rsidP="009667DE">
      <w:pPr>
        <w:pStyle w:val="Heading4"/>
      </w:pPr>
      <w:r w:rsidRPr="0BCC15EA">
        <w:rPr>
          <w:color w:val="F25E21" w:themeColor="accent2"/>
        </w:rPr>
        <w:t xml:space="preserve">Measure </w:t>
      </w:r>
      <w:r>
        <w:rPr>
          <w:color w:val="F25E21" w:themeColor="accent2"/>
        </w:rPr>
        <w:t>3</w:t>
      </w:r>
      <w:r w:rsidRPr="0BCC15EA">
        <w:rPr>
          <w:color w:val="F25E21" w:themeColor="accent2"/>
        </w:rPr>
        <w:t>.1</w:t>
      </w:r>
      <w:r>
        <w:t xml:space="preserve">: </w:t>
      </w:r>
      <w:r w:rsidR="00347590">
        <w:t>Prevalence</w:t>
      </w:r>
      <w:r>
        <w:t xml:space="preserve"> of a gap payment for PL items </w:t>
      </w:r>
    </w:p>
    <w:p w14:paraId="1B0FA17B" w14:textId="77777777" w:rsidR="00EE4136" w:rsidRPr="00E578DD" w:rsidRDefault="00EE4136" w:rsidP="00E578DD">
      <w:pPr>
        <w:pStyle w:val="Heading6"/>
        <w:spacing w:before="120"/>
      </w:pPr>
      <w:r w:rsidRPr="00E578DD">
        <w:t>Measurement guide</w:t>
      </w:r>
    </w:p>
    <w:p w14:paraId="41B29A10" w14:textId="47C231A9" w:rsidR="00EE4136" w:rsidRPr="003821AF" w:rsidRDefault="00EE4136" w:rsidP="007869F9">
      <w:r w:rsidRPr="0BCC15EA">
        <w:t xml:space="preserve">This measure will look at the </w:t>
      </w:r>
      <w:r w:rsidR="000F7E01">
        <w:t>absolute number, as well as the</w:t>
      </w:r>
      <w:r w:rsidRPr="0BCC15EA">
        <w:t xml:space="preserve"> share of PL-listed item </w:t>
      </w:r>
      <w:r w:rsidR="004C7E64">
        <w:t>uses</w:t>
      </w:r>
      <w:r w:rsidRPr="0BCC15EA">
        <w:t xml:space="preserve"> for which a gap payment is recorded. A gap payment occurs when the amount that a health provider charges for a device exceeds the benefit paid by the private health insurer for that device. The data </w:t>
      </w:r>
      <w:r w:rsidR="00230630">
        <w:t>for th</w:t>
      </w:r>
      <w:r w:rsidR="000F7E01">
        <w:t>e share of PL-listed items</w:t>
      </w:r>
      <w:r w:rsidR="00230630">
        <w:t xml:space="preserve"> is</w:t>
      </w:r>
      <w:r w:rsidRPr="0BCC15EA">
        <w:t xml:space="preserve"> obtained by dividing the number of items for which a gap is billed by the total number of items used. These data fields are available from the prosthesis table of the Hospital </w:t>
      </w:r>
      <w:proofErr w:type="spellStart"/>
      <w:r w:rsidRPr="0BCC15EA">
        <w:t>Casemix</w:t>
      </w:r>
      <w:proofErr w:type="spellEnd"/>
      <w:r w:rsidRPr="0BCC15EA">
        <w:t xml:space="preserve"> Protocol (HCP) dataset.</w:t>
      </w:r>
      <w:r w:rsidRPr="003821AF">
        <w:rPr>
          <w:rStyle w:val="FootnoteReference"/>
        </w:rPr>
        <w:footnoteReference w:id="131"/>
      </w:r>
      <w:r w:rsidRPr="0BCC15EA">
        <w:t xml:space="preserve"> There </w:t>
      </w:r>
      <w:r w:rsidR="002D3025">
        <w:t>is</w:t>
      </w:r>
      <w:r w:rsidRPr="0BCC15EA">
        <w:t xml:space="preserve"> a</w:t>
      </w:r>
      <w:r w:rsidR="005946E5">
        <w:t xml:space="preserve"> significant</w:t>
      </w:r>
      <w:r w:rsidRPr="0BCC15EA">
        <w:t xml:space="preserve"> number of cases in which very small gap payments are charged and so a fuzz factor has been applied so that gap payments are only counted when gaps are greater than $1.</w:t>
      </w:r>
    </w:p>
    <w:p w14:paraId="7BCD425B" w14:textId="507E13C2" w:rsidR="00EE4136" w:rsidRPr="007627EC" w:rsidRDefault="00EE4136" w:rsidP="007869F9">
      <w:r w:rsidRPr="00AA25B0">
        <w:t>It should be noted that the prevalence of gap payments may differ from the prevalence of out-of-pocket charges in some circumstances because it is possible that patients are compensated for the gap by a third party such as the Department of Veteran’s Affairs, workers’ compensation insurers, and third</w:t>
      </w:r>
      <w:r w:rsidR="0043329C" w:rsidRPr="00AA25B0">
        <w:t>-</w:t>
      </w:r>
      <w:r w:rsidRPr="00AA25B0">
        <w:t xml:space="preserve">party motor vehicle insurance providers. </w:t>
      </w:r>
      <w:r>
        <w:t xml:space="preserve">There are also quality </w:t>
      </w:r>
      <w:r w:rsidR="0090361F">
        <w:t xml:space="preserve">limitations </w:t>
      </w:r>
      <w:r w:rsidR="0043329C">
        <w:t>for</w:t>
      </w:r>
      <w:r w:rsidR="0090361F">
        <w:t xml:space="preserve"> the data </w:t>
      </w:r>
      <w:r>
        <w:t xml:space="preserve">in the </w:t>
      </w:r>
      <w:r w:rsidR="0090361F">
        <w:t>HCP</w:t>
      </w:r>
      <w:r>
        <w:t xml:space="preserve"> dataset </w:t>
      </w:r>
      <w:r w:rsidR="0090361F">
        <w:t>due to</w:t>
      </w:r>
      <w:r>
        <w:t xml:space="preserve"> </w:t>
      </w:r>
      <w:r>
        <w:lastRenderedPageBreak/>
        <w:t xml:space="preserve">unspecified billing codes, the </w:t>
      </w:r>
      <w:r w:rsidR="0090361F">
        <w:t>presence of cases in which</w:t>
      </w:r>
      <w:r>
        <w:t xml:space="preserve"> benefits </w:t>
      </w:r>
      <w:r w:rsidR="0090361F">
        <w:t>exceed</w:t>
      </w:r>
      <w:r>
        <w:t xml:space="preserve"> charges</w:t>
      </w:r>
      <w:r w:rsidR="0043329C">
        <w:t xml:space="preserve"> as well as</w:t>
      </w:r>
      <w:r>
        <w:t xml:space="preserve"> </w:t>
      </w:r>
      <w:r w:rsidR="0090361F">
        <w:t xml:space="preserve">cases in which there are </w:t>
      </w:r>
      <w:r>
        <w:t>missing charge and benefit amounts</w:t>
      </w:r>
      <w:r w:rsidR="0090361F">
        <w:t>. The HCP dataset is also</w:t>
      </w:r>
      <w:r>
        <w:t xml:space="preserve"> incomplete </w:t>
      </w:r>
      <w:r w:rsidR="0090361F">
        <w:t xml:space="preserve">in its </w:t>
      </w:r>
      <w:r>
        <w:t>coverage</w:t>
      </w:r>
      <w:r w:rsidR="0090361F">
        <w:t xml:space="preserve"> (</w:t>
      </w:r>
      <w:r w:rsidR="00A35850">
        <w:t xml:space="preserve">see </w:t>
      </w:r>
      <w:r w:rsidR="00F66310">
        <w:fldChar w:fldCharType="begin"/>
      </w:r>
      <w:r w:rsidR="00F66310">
        <w:instrText xml:space="preserve"> REF _Ref159921775 \r \h </w:instrText>
      </w:r>
      <w:r w:rsidR="007869F9">
        <w:instrText xml:space="preserve"> \* MERGEFORMAT </w:instrText>
      </w:r>
      <w:r w:rsidR="00F66310">
        <w:fldChar w:fldCharType="separate"/>
      </w:r>
      <w:r w:rsidR="00026714">
        <w:t>Appendix H</w:t>
      </w:r>
      <w:r w:rsidR="00F66310">
        <w:fldChar w:fldCharType="end"/>
      </w:r>
      <w:r w:rsidR="00F66310">
        <w:t>).</w:t>
      </w:r>
      <w:r>
        <w:t xml:space="preserve"> </w:t>
      </w:r>
      <w:r w:rsidRPr="00AA25B0">
        <w:t>Th</w:t>
      </w:r>
      <w:r>
        <w:t>ese</w:t>
      </w:r>
      <w:r w:rsidRPr="00AA25B0">
        <w:t xml:space="preserve"> limitation</w:t>
      </w:r>
      <w:r>
        <w:t>s</w:t>
      </w:r>
      <w:r w:rsidRPr="00AA25B0">
        <w:t xml:space="preserve"> will be </w:t>
      </w:r>
      <w:r w:rsidR="005946E5" w:rsidRPr="00AA25B0">
        <w:t>considered</w:t>
      </w:r>
      <w:r w:rsidRPr="00AA25B0">
        <w:t xml:space="preserve"> when analysing changes in this indicator over the course of the evaluation. </w:t>
      </w:r>
    </w:p>
    <w:p w14:paraId="0C77A881" w14:textId="77777777" w:rsidR="00EE4136" w:rsidRPr="00E578DD" w:rsidRDefault="00EE4136" w:rsidP="00E578DD">
      <w:pPr>
        <w:pStyle w:val="Heading6"/>
        <w:spacing w:before="120"/>
      </w:pPr>
      <w:r w:rsidRPr="00E578DD">
        <w:t>Baseline value</w:t>
      </w:r>
    </w:p>
    <w:p w14:paraId="658811B0" w14:textId="32B119AE" w:rsidR="00EE4136" w:rsidRPr="005953A9" w:rsidRDefault="00EE4136" w:rsidP="009667DE">
      <w:pPr>
        <w:rPr>
          <w:rFonts w:asciiTheme="minorHAnsi" w:hAnsiTheme="minorHAnsi" w:cstheme="minorHAnsi"/>
        </w:rPr>
      </w:pPr>
      <w:r w:rsidRPr="0BCC15EA">
        <w:rPr>
          <w:rFonts w:asciiTheme="minorHAnsi" w:hAnsiTheme="minorHAnsi"/>
        </w:rPr>
        <w:fldChar w:fldCharType="begin"/>
      </w:r>
      <w:r w:rsidRPr="0BCC15EA">
        <w:rPr>
          <w:rFonts w:asciiTheme="minorHAnsi" w:hAnsiTheme="minorHAnsi"/>
        </w:rPr>
        <w:instrText xml:space="preserve"> REF _Ref159323272 \h </w:instrText>
      </w:r>
      <w:r w:rsidRPr="0BCC15EA">
        <w:rPr>
          <w:rFonts w:asciiTheme="minorHAnsi" w:hAnsiTheme="minorHAnsi"/>
        </w:rPr>
      </w:r>
      <w:r w:rsidRPr="0BCC15EA">
        <w:rPr>
          <w:rFonts w:asciiTheme="minorHAnsi" w:hAnsiTheme="minorHAnsi"/>
        </w:rPr>
        <w:fldChar w:fldCharType="separate"/>
      </w:r>
      <w:r w:rsidR="00026714">
        <w:t xml:space="preserve">Figure </w:t>
      </w:r>
      <w:r w:rsidR="00026714">
        <w:rPr>
          <w:noProof/>
        </w:rPr>
        <w:t>23</w:t>
      </w:r>
      <w:r w:rsidRPr="0BCC15EA">
        <w:rPr>
          <w:rFonts w:asciiTheme="minorHAnsi" w:hAnsiTheme="minorHAnsi"/>
        </w:rPr>
        <w:fldChar w:fldCharType="end"/>
      </w:r>
      <w:r w:rsidRPr="0BCC15EA">
        <w:rPr>
          <w:rFonts w:asciiTheme="minorHAnsi" w:hAnsiTheme="minorHAnsi"/>
        </w:rPr>
        <w:t xml:space="preserve"> below shows that the prevalence of gap </w:t>
      </w:r>
      <w:r w:rsidR="0043050A">
        <w:rPr>
          <w:rFonts w:asciiTheme="minorHAnsi" w:hAnsiTheme="minorHAnsi"/>
        </w:rPr>
        <w:t>payments</w:t>
      </w:r>
      <w:r w:rsidRPr="0BCC15EA">
        <w:rPr>
          <w:rFonts w:asciiTheme="minorHAnsi" w:hAnsiTheme="minorHAnsi"/>
        </w:rPr>
        <w:t xml:space="preserve"> is very low</w:t>
      </w:r>
      <w:r w:rsidR="0043050A">
        <w:rPr>
          <w:rFonts w:asciiTheme="minorHAnsi" w:hAnsiTheme="minorHAnsi"/>
        </w:rPr>
        <w:t xml:space="preserve"> for devices on the PL</w:t>
      </w:r>
      <w:r w:rsidRPr="0BCC15EA">
        <w:rPr>
          <w:rFonts w:asciiTheme="minorHAnsi" w:hAnsiTheme="minorHAnsi"/>
        </w:rPr>
        <w:t>, reflecting the fact that the PL benefit has been sufficient to cover the cost of medical devices in over 99% cases.</w:t>
      </w:r>
      <w:r>
        <w:rPr>
          <w:rStyle w:val="FootnoteReference"/>
        </w:rPr>
        <w:footnoteReference w:id="132"/>
      </w:r>
      <w:r w:rsidRPr="0BCC15EA">
        <w:rPr>
          <w:rFonts w:asciiTheme="minorHAnsi" w:hAnsiTheme="minorHAnsi"/>
        </w:rPr>
        <w:t xml:space="preserve"> </w:t>
      </w:r>
      <w:r w:rsidR="006864E4">
        <w:rPr>
          <w:rFonts w:asciiTheme="minorHAnsi" w:hAnsiTheme="minorHAnsi"/>
        </w:rPr>
        <w:t xml:space="preserve">Gap payments have been consistently rare across financial years, </w:t>
      </w:r>
      <w:r w:rsidR="005350FD">
        <w:rPr>
          <w:rFonts w:asciiTheme="minorHAnsi" w:hAnsiTheme="minorHAnsi"/>
        </w:rPr>
        <w:t>however,</w:t>
      </w:r>
      <w:r w:rsidR="006864E4">
        <w:rPr>
          <w:rFonts w:asciiTheme="minorHAnsi" w:hAnsiTheme="minorHAnsi"/>
        </w:rPr>
        <w:t xml:space="preserve"> t</w:t>
      </w:r>
      <w:r w:rsidRPr="0BCC15EA">
        <w:rPr>
          <w:rFonts w:asciiTheme="minorHAnsi" w:hAnsiTheme="minorHAnsi"/>
        </w:rPr>
        <w:t>here has been fluctuation in the prevalence of gaps, with gap prevalence increasing from FY16 to FY18 and then falling from FY18 to FY21.</w:t>
      </w:r>
    </w:p>
    <w:p w14:paraId="76FED130" w14:textId="4F287371" w:rsidR="005F2600" w:rsidRDefault="005F2600" w:rsidP="005F2600">
      <w:pPr>
        <w:rPr>
          <w:lang w:eastAsia="en-AU"/>
        </w:rPr>
      </w:pPr>
      <w:r>
        <w:rPr>
          <w:lang w:eastAsia="en-AU"/>
        </w:rPr>
        <w:t>When analysed by category at baseline in FY21, significant differences between PL categories in the prevalence of gaps across different PL categories become evident</w:t>
      </w:r>
      <w:r w:rsidR="00923FE5">
        <w:rPr>
          <w:lang w:eastAsia="en-AU"/>
        </w:rPr>
        <w:t xml:space="preserve"> (as shown in </w:t>
      </w:r>
      <w:r w:rsidR="00923FE5">
        <w:rPr>
          <w:lang w:eastAsia="en-AU"/>
        </w:rPr>
        <w:fldChar w:fldCharType="begin"/>
      </w:r>
      <w:r w:rsidR="00923FE5">
        <w:rPr>
          <w:lang w:eastAsia="en-AU"/>
        </w:rPr>
        <w:instrText xml:space="preserve"> REF _Ref159862567 \h </w:instrText>
      </w:r>
      <w:r w:rsidR="00923FE5">
        <w:rPr>
          <w:lang w:eastAsia="en-AU"/>
        </w:rPr>
      </w:r>
      <w:r w:rsidR="00923FE5">
        <w:rPr>
          <w:lang w:eastAsia="en-AU"/>
        </w:rPr>
        <w:fldChar w:fldCharType="separate"/>
      </w:r>
      <w:r w:rsidR="00026714">
        <w:t xml:space="preserve">Table </w:t>
      </w:r>
      <w:r w:rsidR="00026714">
        <w:rPr>
          <w:noProof/>
        </w:rPr>
        <w:t>6</w:t>
      </w:r>
      <w:r w:rsidR="00923FE5">
        <w:rPr>
          <w:lang w:eastAsia="en-AU"/>
        </w:rPr>
        <w:fldChar w:fldCharType="end"/>
      </w:r>
      <w:r w:rsidR="00923FE5">
        <w:rPr>
          <w:lang w:eastAsia="en-AU"/>
        </w:rPr>
        <w:t>)</w:t>
      </w:r>
      <w:r>
        <w:rPr>
          <w:lang w:eastAsia="en-AU"/>
        </w:rPr>
        <w:t>. For example, the prevalence of a gap payment is comparatively high for cardiothoracic and cardiac devices, with prevalence rates of 2.</w:t>
      </w:r>
      <w:r w:rsidR="00005A63">
        <w:rPr>
          <w:lang w:eastAsia="en-AU"/>
        </w:rPr>
        <w:t>28</w:t>
      </w:r>
      <w:r>
        <w:rPr>
          <w:lang w:eastAsia="en-AU"/>
        </w:rPr>
        <w:t>% and 0.8</w:t>
      </w:r>
      <w:r w:rsidR="00005A63">
        <w:rPr>
          <w:lang w:eastAsia="en-AU"/>
        </w:rPr>
        <w:t>9</w:t>
      </w:r>
      <w:r>
        <w:rPr>
          <w:lang w:eastAsia="en-AU"/>
        </w:rPr>
        <w:t xml:space="preserve">% respectively. In contrast, gaps are very rare for hip devices (0.04% prevalence) and general miscellaneous items (0.05%). </w:t>
      </w:r>
    </w:p>
    <w:p w14:paraId="52B02557" w14:textId="37F1D574" w:rsidR="005F2600" w:rsidRPr="005953A9" w:rsidRDefault="005F2600" w:rsidP="005F2600">
      <w:pPr>
        <w:rPr>
          <w:rFonts w:asciiTheme="minorHAnsi" w:hAnsiTheme="minorHAnsi" w:cstheme="minorHAnsi"/>
        </w:rPr>
      </w:pPr>
      <w:r>
        <w:rPr>
          <w:lang w:eastAsia="en-AU"/>
        </w:rPr>
        <w:t>Over the course of the evaluation, trends in the prevalence of gap payments will be examined at the category level (and potentially at an even more disaggregated level if required) to ascertain if there is any evidence that the PL reforms have had an impact on this measure for any category of device. In particular, the evaluation will seek to look specifically at the items that have been most impacted by the reforms (i.e.</w:t>
      </w:r>
      <w:r w:rsidR="006274FF">
        <w:rPr>
          <w:lang w:eastAsia="en-AU"/>
        </w:rPr>
        <w:t>,</w:t>
      </w:r>
      <w:r>
        <w:rPr>
          <w:lang w:eastAsia="en-AU"/>
        </w:rPr>
        <w:t xml:space="preserve"> devices that have seen a benefit reduction) and examine whether these items have seen their gap prevalence change in ways that are different to the changes seen for items that have been less impacted by the reforms (i.e.</w:t>
      </w:r>
      <w:r w:rsidR="006274FF">
        <w:rPr>
          <w:lang w:eastAsia="en-AU"/>
        </w:rPr>
        <w:t>,</w:t>
      </w:r>
      <w:r>
        <w:rPr>
          <w:lang w:eastAsia="en-AU"/>
        </w:rPr>
        <w:t xml:space="preserve"> those items that have not seen a benefit reduction).</w:t>
      </w:r>
    </w:p>
    <w:p w14:paraId="301B68F3" w14:textId="01F3A430" w:rsidR="00EE4136" w:rsidRDefault="00EE4136" w:rsidP="009667DE">
      <w:pPr>
        <w:pStyle w:val="Caption"/>
        <w:spacing w:before="240" w:after="120"/>
      </w:pPr>
      <w:bookmarkStart w:id="75" w:name="_Ref159323272"/>
      <w:bookmarkStart w:id="76" w:name="_Ref159323267"/>
      <w:r>
        <w:t xml:space="preserve">Figure </w:t>
      </w:r>
      <w:r>
        <w:fldChar w:fldCharType="begin"/>
      </w:r>
      <w:r>
        <w:instrText xml:space="preserve"> SEQ Figure \* ARABIC </w:instrText>
      </w:r>
      <w:r>
        <w:fldChar w:fldCharType="separate"/>
      </w:r>
      <w:r w:rsidR="00026714">
        <w:rPr>
          <w:noProof/>
        </w:rPr>
        <w:t>23</w:t>
      </w:r>
      <w:r>
        <w:fldChar w:fldCharType="end"/>
      </w:r>
      <w:bookmarkEnd w:id="75"/>
      <w:r>
        <w:t xml:space="preserve"> | Prevalence of a gap payment for PL item billings</w:t>
      </w:r>
      <w:r w:rsidRPr="002F44AD">
        <w:rPr>
          <w:vertAlign w:val="superscript"/>
        </w:rPr>
        <w:footnoteReference w:id="133"/>
      </w:r>
      <w:bookmarkEnd w:id="76"/>
    </w:p>
    <w:p w14:paraId="26960E37" w14:textId="152EDF42" w:rsidR="00EE4136" w:rsidRDefault="005922C3" w:rsidP="009667DE">
      <w:pPr>
        <w:rPr>
          <w:b/>
          <w:bCs/>
          <w:lang w:eastAsia="en-AU"/>
        </w:rPr>
      </w:pPr>
      <w:r>
        <w:rPr>
          <w:b/>
          <w:bCs/>
          <w:noProof/>
          <w:lang w:eastAsia="en-AU"/>
        </w:rPr>
        <w:drawing>
          <wp:inline distT="0" distB="0" distL="0" distR="0" wp14:anchorId="003D7F5D" wp14:editId="02F808AB">
            <wp:extent cx="5631519" cy="2675522"/>
            <wp:effectExtent l="0" t="0" r="7620" b="0"/>
            <wp:docPr id="1729328756" name="Picture 1" descr="A graph of the prevalence of a gap payment for PL item billings where the gap is more than $1. FY21 shows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28756" name="Picture 1" descr="A graph of the prevalence of a gap payment for PL item billings where the gap is more than $1. FY21 shows 0.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52441" cy="2685462"/>
                    </a:xfrm>
                    <a:prstGeom prst="rect">
                      <a:avLst/>
                    </a:prstGeom>
                    <a:noFill/>
                  </pic:spPr>
                </pic:pic>
              </a:graphicData>
            </a:graphic>
          </wp:inline>
        </w:drawing>
      </w:r>
    </w:p>
    <w:p w14:paraId="3D6068B9" w14:textId="415A31F3" w:rsidR="008A5617" w:rsidRDefault="008A5617" w:rsidP="001F714D">
      <w:pPr>
        <w:pStyle w:val="Caption"/>
        <w:spacing w:after="120"/>
      </w:pPr>
      <w:bookmarkStart w:id="77" w:name="_Ref159862567"/>
      <w:r>
        <w:lastRenderedPageBreak/>
        <w:t xml:space="preserve">Table </w:t>
      </w:r>
      <w:r>
        <w:fldChar w:fldCharType="begin"/>
      </w:r>
      <w:r>
        <w:instrText xml:space="preserve"> SEQ Table \* ARABIC </w:instrText>
      </w:r>
      <w:r>
        <w:fldChar w:fldCharType="separate"/>
      </w:r>
      <w:r w:rsidR="00026714">
        <w:rPr>
          <w:noProof/>
        </w:rPr>
        <w:t>6</w:t>
      </w:r>
      <w:r>
        <w:fldChar w:fldCharType="end"/>
      </w:r>
      <w:bookmarkEnd w:id="77"/>
      <w:r>
        <w:t xml:space="preserve"> | Gap payment numbers and prevalence by PL category</w:t>
      </w:r>
      <w:r w:rsidR="004635C3">
        <w:t xml:space="preserve"> in FY21</w:t>
      </w:r>
      <w:r w:rsidR="0014277C">
        <w:rPr>
          <w:rStyle w:val="FootnoteReference"/>
        </w:rPr>
        <w:footnoteReference w:id="134"/>
      </w:r>
    </w:p>
    <w:tbl>
      <w:tblPr>
        <w:tblStyle w:val="NOUS"/>
        <w:tblW w:w="8919" w:type="dxa"/>
        <w:tblLook w:val="04A0" w:firstRow="1" w:lastRow="0" w:firstColumn="1" w:lastColumn="0" w:noHBand="0" w:noVBand="1"/>
      </w:tblPr>
      <w:tblGrid>
        <w:gridCol w:w="3544"/>
        <w:gridCol w:w="2687"/>
        <w:gridCol w:w="2688"/>
      </w:tblGrid>
      <w:tr w:rsidR="00EE4136" w14:paraId="042D9B81" w14:textId="77777777" w:rsidTr="00907CD0">
        <w:trPr>
          <w:cnfStyle w:val="100000000000" w:firstRow="1" w:lastRow="0" w:firstColumn="0" w:lastColumn="0" w:oddVBand="0" w:evenVBand="0" w:oddHBand="0" w:evenHBand="0" w:firstRowFirstColumn="0" w:firstRowLastColumn="0" w:lastRowFirstColumn="0" w:lastRowLastColumn="0"/>
          <w:trHeight w:val="297"/>
        </w:trPr>
        <w:tc>
          <w:tcPr>
            <w:tcW w:w="3544" w:type="dxa"/>
            <w:vAlign w:val="center"/>
          </w:tcPr>
          <w:p w14:paraId="11A5ADDE" w14:textId="77777777" w:rsidR="00EE4136" w:rsidRPr="0059516F" w:rsidRDefault="00EE4136" w:rsidP="009667DE">
            <w:pPr>
              <w:pStyle w:val="TableNheader"/>
              <w:outlineLvl w:val="3"/>
              <w:rPr>
                <w:b w:val="0"/>
                <w:bCs/>
              </w:rPr>
            </w:pPr>
            <w:r w:rsidRPr="0059516F">
              <w:rPr>
                <w:b w:val="0"/>
                <w:bCs/>
              </w:rPr>
              <w:t>Categories</w:t>
            </w:r>
          </w:p>
        </w:tc>
        <w:tc>
          <w:tcPr>
            <w:tcW w:w="2687" w:type="dxa"/>
            <w:vAlign w:val="center"/>
          </w:tcPr>
          <w:p w14:paraId="1C0BD386" w14:textId="0D221C6F" w:rsidR="00EE4136" w:rsidRPr="0059516F" w:rsidRDefault="004634EC" w:rsidP="00EA6059">
            <w:pPr>
              <w:pStyle w:val="TableNheader"/>
              <w:jc w:val="center"/>
              <w:outlineLvl w:val="3"/>
              <w:rPr>
                <w:b w:val="0"/>
                <w:bCs/>
              </w:rPr>
            </w:pPr>
            <w:r>
              <w:rPr>
                <w:b w:val="0"/>
                <w:bCs/>
              </w:rPr>
              <w:t># of gaps</w:t>
            </w:r>
          </w:p>
        </w:tc>
        <w:tc>
          <w:tcPr>
            <w:tcW w:w="2688" w:type="dxa"/>
            <w:vAlign w:val="center"/>
          </w:tcPr>
          <w:p w14:paraId="0CBE8629" w14:textId="31195054" w:rsidR="00EE4136" w:rsidRPr="0059516F" w:rsidRDefault="00EE4136" w:rsidP="00EA6059">
            <w:pPr>
              <w:pStyle w:val="TableNheader"/>
              <w:jc w:val="center"/>
              <w:outlineLvl w:val="3"/>
              <w:rPr>
                <w:b w:val="0"/>
                <w:bCs/>
              </w:rPr>
            </w:pPr>
            <w:r>
              <w:rPr>
                <w:b w:val="0"/>
                <w:bCs/>
              </w:rPr>
              <w:t xml:space="preserve">Prevalence </w:t>
            </w:r>
            <w:r w:rsidR="004634EC">
              <w:rPr>
                <w:b w:val="0"/>
                <w:bCs/>
              </w:rPr>
              <w:t>(</w:t>
            </w:r>
            <w:r>
              <w:rPr>
                <w:b w:val="0"/>
                <w:bCs/>
              </w:rPr>
              <w:t>% of total uses</w:t>
            </w:r>
            <w:r w:rsidR="004634EC">
              <w:rPr>
                <w:b w:val="0"/>
                <w:bCs/>
              </w:rPr>
              <w:t>)</w:t>
            </w:r>
          </w:p>
        </w:tc>
      </w:tr>
      <w:tr w:rsidR="00EE4136" w14:paraId="29A90315" w14:textId="77777777" w:rsidTr="00907CD0">
        <w:trPr>
          <w:trHeight w:val="288"/>
        </w:trPr>
        <w:tc>
          <w:tcPr>
            <w:tcW w:w="3544" w:type="dxa"/>
          </w:tcPr>
          <w:p w14:paraId="52686CA3" w14:textId="4E5494E1" w:rsidR="00EE4136" w:rsidRPr="00E919F0" w:rsidRDefault="00EE4136" w:rsidP="009667DE">
            <w:pPr>
              <w:pStyle w:val="TableNText"/>
              <w:outlineLvl w:val="3"/>
              <w:rPr>
                <w:rFonts w:asciiTheme="majorHAnsi" w:hAnsiTheme="majorHAnsi" w:cstheme="majorHAnsi"/>
              </w:rPr>
            </w:pPr>
            <w:r w:rsidRPr="00E919F0">
              <w:rPr>
                <w:rFonts w:asciiTheme="majorHAnsi" w:hAnsiTheme="majorHAnsi" w:cstheme="majorHAnsi"/>
              </w:rPr>
              <w:t>01 - Ophthalmic</w:t>
            </w:r>
            <w:r w:rsidR="00907CD0">
              <w:rPr>
                <w:rFonts w:asciiTheme="majorHAnsi" w:hAnsiTheme="majorHAnsi" w:cstheme="majorHAnsi"/>
              </w:rPr>
              <w:t xml:space="preserve"> (Part A and C)</w:t>
            </w:r>
          </w:p>
        </w:tc>
        <w:tc>
          <w:tcPr>
            <w:tcW w:w="2687" w:type="dxa"/>
            <w:vAlign w:val="center"/>
          </w:tcPr>
          <w:p w14:paraId="0B1C7951" w14:textId="77777777" w:rsidR="00EE4136" w:rsidRDefault="00EE4136" w:rsidP="00EA6059">
            <w:pPr>
              <w:pStyle w:val="TableNText"/>
              <w:jc w:val="center"/>
              <w:outlineLvl w:val="3"/>
            </w:pPr>
            <w:r>
              <w:t>1271</w:t>
            </w:r>
          </w:p>
        </w:tc>
        <w:tc>
          <w:tcPr>
            <w:tcW w:w="2688" w:type="dxa"/>
            <w:vAlign w:val="center"/>
          </w:tcPr>
          <w:p w14:paraId="5E66D292" w14:textId="77777777" w:rsidR="00EE4136" w:rsidRDefault="00EE4136" w:rsidP="00EA6059">
            <w:pPr>
              <w:pStyle w:val="TableNText"/>
              <w:jc w:val="center"/>
              <w:outlineLvl w:val="3"/>
            </w:pPr>
            <w:r>
              <w:t>0.36%</w:t>
            </w:r>
          </w:p>
        </w:tc>
      </w:tr>
      <w:tr w:rsidR="00EE4136" w14:paraId="29D3A089" w14:textId="77777777" w:rsidTr="00907CD0">
        <w:trPr>
          <w:trHeight w:val="288"/>
        </w:trPr>
        <w:tc>
          <w:tcPr>
            <w:tcW w:w="3544" w:type="dxa"/>
          </w:tcPr>
          <w:p w14:paraId="53E80083" w14:textId="44B5641D" w:rsidR="00EE4136" w:rsidRPr="00E919F0" w:rsidRDefault="00EE4136" w:rsidP="009667DE">
            <w:pPr>
              <w:pStyle w:val="TableNText"/>
              <w:outlineLvl w:val="3"/>
              <w:rPr>
                <w:rFonts w:asciiTheme="majorHAnsi" w:hAnsiTheme="majorHAnsi" w:cstheme="majorHAnsi"/>
              </w:rPr>
            </w:pPr>
            <w:r w:rsidRPr="00E919F0">
              <w:rPr>
                <w:rFonts w:asciiTheme="majorHAnsi" w:hAnsiTheme="majorHAnsi" w:cstheme="majorHAnsi"/>
              </w:rPr>
              <w:t>02 - Ear, Nose &amp; Throat</w:t>
            </w:r>
            <w:r w:rsidR="00907CD0">
              <w:rPr>
                <w:rFonts w:asciiTheme="majorHAnsi" w:hAnsiTheme="majorHAnsi" w:cstheme="majorHAnsi"/>
              </w:rPr>
              <w:t xml:space="preserve"> (Part A and C)</w:t>
            </w:r>
          </w:p>
        </w:tc>
        <w:tc>
          <w:tcPr>
            <w:tcW w:w="2687" w:type="dxa"/>
            <w:vAlign w:val="center"/>
          </w:tcPr>
          <w:p w14:paraId="06689129" w14:textId="77777777" w:rsidR="00EE4136" w:rsidRDefault="00EE4136" w:rsidP="00EA6059">
            <w:pPr>
              <w:pStyle w:val="TableNText"/>
              <w:jc w:val="center"/>
              <w:outlineLvl w:val="3"/>
            </w:pPr>
            <w:r>
              <w:t>25</w:t>
            </w:r>
          </w:p>
        </w:tc>
        <w:tc>
          <w:tcPr>
            <w:tcW w:w="2688" w:type="dxa"/>
            <w:vAlign w:val="center"/>
          </w:tcPr>
          <w:p w14:paraId="74959720" w14:textId="77777777" w:rsidR="00EE4136" w:rsidRDefault="00EE4136" w:rsidP="00EA6059">
            <w:pPr>
              <w:pStyle w:val="TableNText"/>
              <w:jc w:val="center"/>
              <w:outlineLvl w:val="3"/>
            </w:pPr>
            <w:r>
              <w:t>0.09%</w:t>
            </w:r>
          </w:p>
        </w:tc>
      </w:tr>
      <w:tr w:rsidR="00EE4136" w14:paraId="694472FB" w14:textId="77777777" w:rsidTr="00907CD0">
        <w:trPr>
          <w:trHeight w:val="288"/>
        </w:trPr>
        <w:tc>
          <w:tcPr>
            <w:tcW w:w="3544" w:type="dxa"/>
          </w:tcPr>
          <w:p w14:paraId="36C26FA0" w14:textId="79AF23E5" w:rsidR="00EE4136" w:rsidRPr="00E919F0" w:rsidRDefault="00EE4136" w:rsidP="009667DE">
            <w:pPr>
              <w:pStyle w:val="TableNText"/>
              <w:outlineLvl w:val="3"/>
              <w:rPr>
                <w:rFonts w:asciiTheme="majorHAnsi" w:hAnsiTheme="majorHAnsi" w:cstheme="majorHAnsi"/>
              </w:rPr>
            </w:pPr>
            <w:r w:rsidRPr="00E919F0">
              <w:rPr>
                <w:rFonts w:asciiTheme="majorHAnsi" w:hAnsiTheme="majorHAnsi" w:cstheme="majorHAnsi"/>
              </w:rPr>
              <w:t>03 - General Miscellaneous</w:t>
            </w:r>
            <w:r w:rsidR="00907CD0">
              <w:rPr>
                <w:rFonts w:asciiTheme="majorHAnsi" w:hAnsiTheme="majorHAnsi" w:cstheme="majorHAnsi"/>
              </w:rPr>
              <w:t xml:space="preserve"> (Part A and C)</w:t>
            </w:r>
          </w:p>
        </w:tc>
        <w:tc>
          <w:tcPr>
            <w:tcW w:w="2687" w:type="dxa"/>
            <w:vAlign w:val="center"/>
          </w:tcPr>
          <w:p w14:paraId="5C412E61" w14:textId="2504F268" w:rsidR="00EE4136" w:rsidRDefault="00EE4136" w:rsidP="00EA6059">
            <w:pPr>
              <w:pStyle w:val="TableNText"/>
              <w:jc w:val="center"/>
              <w:outlineLvl w:val="3"/>
            </w:pPr>
            <w:r>
              <w:t>53</w:t>
            </w:r>
            <w:r w:rsidR="005337FA">
              <w:t>4</w:t>
            </w:r>
          </w:p>
        </w:tc>
        <w:tc>
          <w:tcPr>
            <w:tcW w:w="2688" w:type="dxa"/>
            <w:vAlign w:val="center"/>
          </w:tcPr>
          <w:p w14:paraId="4B9D3699" w14:textId="77777777" w:rsidR="00EE4136" w:rsidRDefault="00EE4136" w:rsidP="00EA6059">
            <w:pPr>
              <w:pStyle w:val="TableNText"/>
              <w:jc w:val="center"/>
              <w:outlineLvl w:val="3"/>
            </w:pPr>
            <w:r>
              <w:t>0.05%</w:t>
            </w:r>
          </w:p>
        </w:tc>
      </w:tr>
      <w:tr w:rsidR="00EE4136" w14:paraId="4931ECA9" w14:textId="77777777" w:rsidTr="00907CD0">
        <w:trPr>
          <w:trHeight w:val="288"/>
        </w:trPr>
        <w:tc>
          <w:tcPr>
            <w:tcW w:w="3544" w:type="dxa"/>
          </w:tcPr>
          <w:p w14:paraId="01FBFA81" w14:textId="72F9FB79" w:rsidR="00EE4136" w:rsidRPr="00E919F0" w:rsidRDefault="00EE4136" w:rsidP="009667DE">
            <w:pPr>
              <w:pStyle w:val="TableNText"/>
              <w:outlineLvl w:val="3"/>
              <w:rPr>
                <w:rFonts w:asciiTheme="majorHAnsi" w:hAnsiTheme="majorHAnsi" w:cstheme="majorHAnsi"/>
              </w:rPr>
            </w:pPr>
            <w:r w:rsidRPr="00E919F0">
              <w:rPr>
                <w:rFonts w:asciiTheme="majorHAnsi" w:hAnsiTheme="majorHAnsi" w:cstheme="majorHAnsi"/>
              </w:rPr>
              <w:t>04 - Neurosurgical</w:t>
            </w:r>
            <w:r w:rsidR="00907CD0">
              <w:rPr>
                <w:rFonts w:asciiTheme="majorHAnsi" w:hAnsiTheme="majorHAnsi" w:cstheme="majorHAnsi"/>
              </w:rPr>
              <w:t xml:space="preserve"> (Part A and C)</w:t>
            </w:r>
          </w:p>
        </w:tc>
        <w:tc>
          <w:tcPr>
            <w:tcW w:w="2687" w:type="dxa"/>
            <w:vAlign w:val="center"/>
          </w:tcPr>
          <w:p w14:paraId="3AC5C8E2" w14:textId="77777777" w:rsidR="00EE4136" w:rsidRDefault="00EE4136" w:rsidP="00EA6059">
            <w:pPr>
              <w:pStyle w:val="TableNText"/>
              <w:jc w:val="center"/>
              <w:outlineLvl w:val="3"/>
            </w:pPr>
            <w:r>
              <w:t>36</w:t>
            </w:r>
          </w:p>
        </w:tc>
        <w:tc>
          <w:tcPr>
            <w:tcW w:w="2688" w:type="dxa"/>
            <w:vAlign w:val="center"/>
          </w:tcPr>
          <w:p w14:paraId="50B84B69" w14:textId="77777777" w:rsidR="00EE4136" w:rsidRDefault="00EE4136" w:rsidP="00EA6059">
            <w:pPr>
              <w:pStyle w:val="TableNText"/>
              <w:jc w:val="center"/>
              <w:outlineLvl w:val="3"/>
            </w:pPr>
            <w:r>
              <w:t>0.11%</w:t>
            </w:r>
          </w:p>
        </w:tc>
      </w:tr>
      <w:tr w:rsidR="00EE4136" w14:paraId="5ABE6D09" w14:textId="77777777" w:rsidTr="00907CD0">
        <w:trPr>
          <w:trHeight w:val="288"/>
        </w:trPr>
        <w:tc>
          <w:tcPr>
            <w:tcW w:w="3544" w:type="dxa"/>
          </w:tcPr>
          <w:p w14:paraId="1B50F05B" w14:textId="2DBB86F3" w:rsidR="00EE4136" w:rsidRPr="00E919F0" w:rsidRDefault="00EE4136" w:rsidP="009667DE">
            <w:pPr>
              <w:pStyle w:val="TableNText"/>
              <w:outlineLvl w:val="3"/>
              <w:rPr>
                <w:rFonts w:asciiTheme="majorHAnsi" w:hAnsiTheme="majorHAnsi" w:cstheme="majorHAnsi"/>
              </w:rPr>
            </w:pPr>
            <w:r w:rsidRPr="00E919F0">
              <w:rPr>
                <w:rFonts w:asciiTheme="majorHAnsi" w:hAnsiTheme="majorHAnsi" w:cstheme="majorHAnsi"/>
              </w:rPr>
              <w:t xml:space="preserve">05 </w:t>
            </w:r>
            <w:r w:rsidR="001F33C4">
              <w:rPr>
                <w:rFonts w:asciiTheme="majorHAnsi" w:hAnsiTheme="majorHAnsi" w:cstheme="majorHAnsi"/>
              </w:rPr>
              <w:t>-</w:t>
            </w:r>
            <w:r w:rsidRPr="00E919F0">
              <w:rPr>
                <w:rFonts w:asciiTheme="majorHAnsi" w:hAnsiTheme="majorHAnsi" w:cstheme="majorHAnsi"/>
              </w:rPr>
              <w:t xml:space="preserve"> Urogenital</w:t>
            </w:r>
            <w:r w:rsidR="00907CD0">
              <w:rPr>
                <w:rFonts w:asciiTheme="majorHAnsi" w:hAnsiTheme="majorHAnsi" w:cstheme="majorHAnsi"/>
              </w:rPr>
              <w:t xml:space="preserve"> (Part A and C)</w:t>
            </w:r>
          </w:p>
        </w:tc>
        <w:tc>
          <w:tcPr>
            <w:tcW w:w="2687" w:type="dxa"/>
            <w:vAlign w:val="center"/>
          </w:tcPr>
          <w:p w14:paraId="0B218830" w14:textId="77777777" w:rsidR="00EE4136" w:rsidRDefault="00EE4136" w:rsidP="00EA6059">
            <w:pPr>
              <w:pStyle w:val="TableNText"/>
              <w:jc w:val="center"/>
              <w:outlineLvl w:val="3"/>
            </w:pPr>
            <w:r>
              <w:t>105</w:t>
            </w:r>
          </w:p>
        </w:tc>
        <w:tc>
          <w:tcPr>
            <w:tcW w:w="2688" w:type="dxa"/>
            <w:vAlign w:val="center"/>
          </w:tcPr>
          <w:p w14:paraId="20724499" w14:textId="77777777" w:rsidR="00EE4136" w:rsidRDefault="00EE4136" w:rsidP="00EA6059">
            <w:pPr>
              <w:pStyle w:val="TableNText"/>
              <w:jc w:val="center"/>
              <w:outlineLvl w:val="3"/>
            </w:pPr>
            <w:r>
              <w:t>0.25%</w:t>
            </w:r>
          </w:p>
        </w:tc>
      </w:tr>
      <w:tr w:rsidR="00EE4136" w14:paraId="245DFF06" w14:textId="77777777" w:rsidTr="00907CD0">
        <w:trPr>
          <w:trHeight w:val="288"/>
        </w:trPr>
        <w:tc>
          <w:tcPr>
            <w:tcW w:w="3544" w:type="dxa"/>
          </w:tcPr>
          <w:p w14:paraId="5669C8BC" w14:textId="2072B7FC" w:rsidR="00EE4136" w:rsidRPr="00E919F0" w:rsidRDefault="00EE4136" w:rsidP="009667DE">
            <w:pPr>
              <w:pStyle w:val="TableNText"/>
              <w:outlineLvl w:val="3"/>
              <w:rPr>
                <w:rFonts w:asciiTheme="majorHAnsi" w:hAnsiTheme="majorHAnsi" w:cstheme="majorHAnsi"/>
              </w:rPr>
            </w:pPr>
            <w:r w:rsidRPr="00E919F0">
              <w:rPr>
                <w:rFonts w:asciiTheme="majorHAnsi" w:hAnsiTheme="majorHAnsi" w:cstheme="majorHAnsi"/>
              </w:rPr>
              <w:t xml:space="preserve">06 </w:t>
            </w:r>
            <w:r w:rsidR="001F33C4">
              <w:rPr>
                <w:rFonts w:asciiTheme="majorHAnsi" w:hAnsiTheme="majorHAnsi" w:cstheme="majorHAnsi"/>
              </w:rPr>
              <w:t>-</w:t>
            </w:r>
            <w:r w:rsidRPr="00E919F0">
              <w:rPr>
                <w:rFonts w:asciiTheme="majorHAnsi" w:hAnsiTheme="majorHAnsi" w:cstheme="majorHAnsi"/>
              </w:rPr>
              <w:t xml:space="preserve"> Specialist Orthopaedic</w:t>
            </w:r>
            <w:r w:rsidR="00907CD0">
              <w:rPr>
                <w:rFonts w:asciiTheme="majorHAnsi" w:hAnsiTheme="majorHAnsi" w:cstheme="majorHAnsi"/>
              </w:rPr>
              <w:t xml:space="preserve"> (Part A and C)</w:t>
            </w:r>
          </w:p>
        </w:tc>
        <w:tc>
          <w:tcPr>
            <w:tcW w:w="2687" w:type="dxa"/>
            <w:vAlign w:val="center"/>
          </w:tcPr>
          <w:p w14:paraId="3346C5AA" w14:textId="77777777" w:rsidR="00EE4136" w:rsidRDefault="00EE4136" w:rsidP="00EA6059">
            <w:pPr>
              <w:pStyle w:val="TableNText"/>
              <w:jc w:val="center"/>
              <w:outlineLvl w:val="3"/>
            </w:pPr>
            <w:r>
              <w:t>528</w:t>
            </w:r>
          </w:p>
        </w:tc>
        <w:tc>
          <w:tcPr>
            <w:tcW w:w="2688" w:type="dxa"/>
            <w:vAlign w:val="center"/>
          </w:tcPr>
          <w:p w14:paraId="3D19DDC7" w14:textId="77777777" w:rsidR="00EE4136" w:rsidRDefault="00EE4136" w:rsidP="00EA6059">
            <w:pPr>
              <w:pStyle w:val="TableNText"/>
              <w:jc w:val="center"/>
              <w:outlineLvl w:val="3"/>
            </w:pPr>
            <w:r>
              <w:t>0.09%</w:t>
            </w:r>
          </w:p>
        </w:tc>
      </w:tr>
      <w:tr w:rsidR="00EE4136" w14:paraId="6ED92A29" w14:textId="77777777" w:rsidTr="00907CD0">
        <w:trPr>
          <w:trHeight w:val="288"/>
        </w:trPr>
        <w:tc>
          <w:tcPr>
            <w:tcW w:w="3544" w:type="dxa"/>
          </w:tcPr>
          <w:p w14:paraId="450D59F4" w14:textId="330DAA3E" w:rsidR="00EE4136" w:rsidRPr="00E919F0" w:rsidRDefault="00EE4136" w:rsidP="009667DE">
            <w:pPr>
              <w:pStyle w:val="TableNText"/>
              <w:outlineLvl w:val="3"/>
              <w:rPr>
                <w:rFonts w:asciiTheme="majorHAnsi" w:hAnsiTheme="majorHAnsi" w:cstheme="majorHAnsi"/>
              </w:rPr>
            </w:pPr>
            <w:r w:rsidRPr="00E919F0">
              <w:rPr>
                <w:rFonts w:asciiTheme="majorHAnsi" w:hAnsiTheme="majorHAnsi" w:cstheme="majorHAnsi"/>
              </w:rPr>
              <w:t>07 - Plastic and Reconstructive</w:t>
            </w:r>
            <w:r w:rsidR="00907CD0">
              <w:rPr>
                <w:rFonts w:asciiTheme="majorHAnsi" w:hAnsiTheme="majorHAnsi" w:cstheme="majorHAnsi"/>
              </w:rPr>
              <w:t xml:space="preserve"> (Part A and C)</w:t>
            </w:r>
          </w:p>
        </w:tc>
        <w:tc>
          <w:tcPr>
            <w:tcW w:w="2687" w:type="dxa"/>
            <w:vAlign w:val="center"/>
          </w:tcPr>
          <w:p w14:paraId="2C40B823" w14:textId="77777777" w:rsidR="00EE4136" w:rsidRDefault="00EE4136" w:rsidP="00EA6059">
            <w:pPr>
              <w:pStyle w:val="TableNText"/>
              <w:jc w:val="center"/>
              <w:outlineLvl w:val="3"/>
            </w:pPr>
            <w:r>
              <w:t>267</w:t>
            </w:r>
          </w:p>
        </w:tc>
        <w:tc>
          <w:tcPr>
            <w:tcW w:w="2688" w:type="dxa"/>
            <w:vAlign w:val="center"/>
          </w:tcPr>
          <w:p w14:paraId="49E4F007" w14:textId="77777777" w:rsidR="00EE4136" w:rsidRDefault="00EE4136" w:rsidP="00EA6059">
            <w:pPr>
              <w:pStyle w:val="TableNText"/>
              <w:jc w:val="center"/>
              <w:outlineLvl w:val="3"/>
            </w:pPr>
            <w:r>
              <w:t>0.23%</w:t>
            </w:r>
          </w:p>
        </w:tc>
      </w:tr>
      <w:tr w:rsidR="00EE4136" w14:paraId="573BF00D" w14:textId="77777777" w:rsidTr="00907CD0">
        <w:trPr>
          <w:trHeight w:val="288"/>
        </w:trPr>
        <w:tc>
          <w:tcPr>
            <w:tcW w:w="3544" w:type="dxa"/>
          </w:tcPr>
          <w:p w14:paraId="1C335D22" w14:textId="3C8F5CE8" w:rsidR="00EE4136" w:rsidRPr="00E919F0" w:rsidRDefault="00EE4136" w:rsidP="009667DE">
            <w:pPr>
              <w:pStyle w:val="TableNText"/>
              <w:outlineLvl w:val="3"/>
              <w:rPr>
                <w:rFonts w:asciiTheme="majorHAnsi" w:hAnsiTheme="majorHAnsi" w:cstheme="majorHAnsi"/>
              </w:rPr>
            </w:pPr>
            <w:r w:rsidRPr="00E919F0">
              <w:rPr>
                <w:rFonts w:asciiTheme="majorHAnsi" w:hAnsiTheme="majorHAnsi" w:cstheme="majorHAnsi"/>
              </w:rPr>
              <w:t>08 - Cardiac</w:t>
            </w:r>
            <w:r w:rsidR="00907CD0">
              <w:rPr>
                <w:rFonts w:asciiTheme="majorHAnsi" w:hAnsiTheme="majorHAnsi" w:cstheme="majorHAnsi"/>
              </w:rPr>
              <w:t xml:space="preserve"> (Part A and C)</w:t>
            </w:r>
          </w:p>
        </w:tc>
        <w:tc>
          <w:tcPr>
            <w:tcW w:w="2687" w:type="dxa"/>
            <w:vAlign w:val="center"/>
          </w:tcPr>
          <w:p w14:paraId="7988AD1A" w14:textId="5DB18B63" w:rsidR="00EE4136" w:rsidRDefault="000B0A81" w:rsidP="00EA6059">
            <w:pPr>
              <w:pStyle w:val="TableNText"/>
              <w:jc w:val="center"/>
              <w:outlineLvl w:val="3"/>
            </w:pPr>
            <w:r>
              <w:t>1040</w:t>
            </w:r>
          </w:p>
        </w:tc>
        <w:tc>
          <w:tcPr>
            <w:tcW w:w="2688" w:type="dxa"/>
            <w:vAlign w:val="center"/>
          </w:tcPr>
          <w:p w14:paraId="0B65B0CA" w14:textId="00DFF601" w:rsidR="00EE4136" w:rsidRDefault="00EE4136" w:rsidP="00EA6059">
            <w:pPr>
              <w:pStyle w:val="TableNText"/>
              <w:jc w:val="center"/>
              <w:outlineLvl w:val="3"/>
            </w:pPr>
            <w:r>
              <w:t>0.8</w:t>
            </w:r>
            <w:r w:rsidR="00A30D04">
              <w:t>9</w:t>
            </w:r>
            <w:r>
              <w:t>%</w:t>
            </w:r>
          </w:p>
        </w:tc>
      </w:tr>
      <w:tr w:rsidR="00EE4136" w14:paraId="18BEB1BC" w14:textId="77777777" w:rsidTr="00907CD0">
        <w:trPr>
          <w:trHeight w:val="288"/>
        </w:trPr>
        <w:tc>
          <w:tcPr>
            <w:tcW w:w="3544" w:type="dxa"/>
          </w:tcPr>
          <w:p w14:paraId="3175052E" w14:textId="1538CE55" w:rsidR="00EE4136" w:rsidRPr="00E919F0" w:rsidRDefault="00EE4136" w:rsidP="009667DE">
            <w:pPr>
              <w:pStyle w:val="TableNText"/>
              <w:outlineLvl w:val="3"/>
              <w:rPr>
                <w:rFonts w:asciiTheme="majorHAnsi" w:hAnsiTheme="majorHAnsi" w:cstheme="majorHAnsi"/>
              </w:rPr>
            </w:pPr>
            <w:r w:rsidRPr="00E919F0">
              <w:rPr>
                <w:rFonts w:asciiTheme="majorHAnsi" w:hAnsiTheme="majorHAnsi" w:cstheme="majorHAnsi"/>
              </w:rPr>
              <w:t>09 - Cardiothoracic</w:t>
            </w:r>
            <w:r w:rsidR="00907CD0">
              <w:rPr>
                <w:rFonts w:asciiTheme="majorHAnsi" w:hAnsiTheme="majorHAnsi" w:cstheme="majorHAnsi"/>
              </w:rPr>
              <w:t xml:space="preserve"> (Part A and C)</w:t>
            </w:r>
          </w:p>
        </w:tc>
        <w:tc>
          <w:tcPr>
            <w:tcW w:w="2687" w:type="dxa"/>
            <w:vAlign w:val="center"/>
          </w:tcPr>
          <w:p w14:paraId="7154831C" w14:textId="77777777" w:rsidR="00EE4136" w:rsidRDefault="00EE4136" w:rsidP="00EA6059">
            <w:pPr>
              <w:pStyle w:val="TableNText"/>
              <w:jc w:val="center"/>
              <w:outlineLvl w:val="3"/>
            </w:pPr>
            <w:r>
              <w:t>201</w:t>
            </w:r>
          </w:p>
        </w:tc>
        <w:tc>
          <w:tcPr>
            <w:tcW w:w="2688" w:type="dxa"/>
            <w:vAlign w:val="center"/>
          </w:tcPr>
          <w:p w14:paraId="5236BB5D" w14:textId="27F64DCD" w:rsidR="00EE4136" w:rsidRDefault="00EE4136" w:rsidP="00EA6059">
            <w:pPr>
              <w:pStyle w:val="TableNText"/>
              <w:jc w:val="center"/>
              <w:outlineLvl w:val="3"/>
            </w:pPr>
            <w:r>
              <w:t>2.</w:t>
            </w:r>
            <w:r w:rsidR="00B05BB6">
              <w:t>28</w:t>
            </w:r>
            <w:r>
              <w:t>%</w:t>
            </w:r>
            <w:r w:rsidR="00296EDD">
              <w:rPr>
                <w:rStyle w:val="FootnoteReference"/>
              </w:rPr>
              <w:footnoteReference w:id="135"/>
            </w:r>
          </w:p>
        </w:tc>
      </w:tr>
      <w:tr w:rsidR="00EE4136" w14:paraId="12840361" w14:textId="77777777" w:rsidTr="00907CD0">
        <w:trPr>
          <w:trHeight w:val="297"/>
        </w:trPr>
        <w:tc>
          <w:tcPr>
            <w:tcW w:w="3544" w:type="dxa"/>
          </w:tcPr>
          <w:p w14:paraId="66B52FB1" w14:textId="06B056D6" w:rsidR="00EE4136" w:rsidRPr="00E919F0" w:rsidRDefault="00EE4136" w:rsidP="009667DE">
            <w:pPr>
              <w:pStyle w:val="TableNText"/>
              <w:outlineLvl w:val="3"/>
              <w:rPr>
                <w:rFonts w:asciiTheme="majorHAnsi" w:hAnsiTheme="majorHAnsi" w:cstheme="majorHAnsi"/>
              </w:rPr>
            </w:pPr>
            <w:r w:rsidRPr="00E919F0">
              <w:rPr>
                <w:rFonts w:asciiTheme="majorHAnsi" w:hAnsiTheme="majorHAnsi" w:cstheme="majorHAnsi"/>
              </w:rPr>
              <w:t>10 - Vascular</w:t>
            </w:r>
            <w:r w:rsidR="00907CD0">
              <w:rPr>
                <w:rFonts w:asciiTheme="majorHAnsi" w:hAnsiTheme="majorHAnsi" w:cstheme="majorHAnsi"/>
              </w:rPr>
              <w:t xml:space="preserve"> (Part A and C)</w:t>
            </w:r>
          </w:p>
        </w:tc>
        <w:tc>
          <w:tcPr>
            <w:tcW w:w="2687" w:type="dxa"/>
            <w:vAlign w:val="center"/>
          </w:tcPr>
          <w:p w14:paraId="4FF3948F" w14:textId="77777777" w:rsidR="00EE4136" w:rsidRDefault="00EE4136" w:rsidP="00EA6059">
            <w:pPr>
              <w:pStyle w:val="TableNText"/>
              <w:jc w:val="center"/>
              <w:outlineLvl w:val="3"/>
            </w:pPr>
            <w:r>
              <w:t>113</w:t>
            </w:r>
          </w:p>
        </w:tc>
        <w:tc>
          <w:tcPr>
            <w:tcW w:w="2688" w:type="dxa"/>
            <w:vAlign w:val="center"/>
          </w:tcPr>
          <w:p w14:paraId="4E970412" w14:textId="77777777" w:rsidR="00EE4136" w:rsidRDefault="00EE4136" w:rsidP="00EA6059">
            <w:pPr>
              <w:pStyle w:val="TableNText"/>
              <w:jc w:val="center"/>
              <w:outlineLvl w:val="3"/>
            </w:pPr>
            <w:r>
              <w:t>0.13%</w:t>
            </w:r>
          </w:p>
        </w:tc>
      </w:tr>
      <w:tr w:rsidR="00EE4136" w14:paraId="38042B85" w14:textId="77777777" w:rsidTr="00907CD0">
        <w:trPr>
          <w:trHeight w:val="288"/>
        </w:trPr>
        <w:tc>
          <w:tcPr>
            <w:tcW w:w="3544" w:type="dxa"/>
          </w:tcPr>
          <w:p w14:paraId="6D8255BC" w14:textId="3A238608" w:rsidR="00EE4136" w:rsidRPr="00E919F0" w:rsidRDefault="00907CD0" w:rsidP="009667DE">
            <w:pPr>
              <w:pStyle w:val="TableNText"/>
              <w:outlineLvl w:val="3"/>
              <w:rPr>
                <w:rFonts w:asciiTheme="majorHAnsi" w:hAnsiTheme="majorHAnsi" w:cstheme="majorHAnsi"/>
              </w:rPr>
            </w:pPr>
            <w:r w:rsidRPr="00E919F0">
              <w:rPr>
                <w:rFonts w:asciiTheme="majorHAnsi" w:hAnsiTheme="majorHAnsi" w:cstheme="majorHAnsi"/>
              </w:rPr>
              <w:t>11 - Hip</w:t>
            </w:r>
            <w:r>
              <w:rPr>
                <w:rFonts w:asciiTheme="majorHAnsi" w:hAnsiTheme="majorHAnsi" w:cstheme="majorHAnsi"/>
              </w:rPr>
              <w:t xml:space="preserve"> (Part A and C)</w:t>
            </w:r>
          </w:p>
        </w:tc>
        <w:tc>
          <w:tcPr>
            <w:tcW w:w="2687" w:type="dxa"/>
            <w:vAlign w:val="center"/>
          </w:tcPr>
          <w:p w14:paraId="3C2001A9" w14:textId="77777777" w:rsidR="00EE4136" w:rsidRDefault="00EE4136" w:rsidP="00EA6059">
            <w:pPr>
              <w:pStyle w:val="TableNText"/>
              <w:jc w:val="center"/>
              <w:outlineLvl w:val="3"/>
            </w:pPr>
            <w:r>
              <w:t>58</w:t>
            </w:r>
          </w:p>
        </w:tc>
        <w:tc>
          <w:tcPr>
            <w:tcW w:w="2688" w:type="dxa"/>
            <w:vAlign w:val="center"/>
          </w:tcPr>
          <w:p w14:paraId="32EC8DAE" w14:textId="77777777" w:rsidR="00EE4136" w:rsidRDefault="00EE4136" w:rsidP="00EA6059">
            <w:pPr>
              <w:pStyle w:val="TableNText"/>
              <w:jc w:val="center"/>
              <w:outlineLvl w:val="3"/>
            </w:pPr>
            <w:r>
              <w:t>0.04%</w:t>
            </w:r>
          </w:p>
        </w:tc>
      </w:tr>
      <w:tr w:rsidR="00EE4136" w14:paraId="6B040452" w14:textId="77777777" w:rsidTr="00907CD0">
        <w:trPr>
          <w:trHeight w:val="288"/>
        </w:trPr>
        <w:tc>
          <w:tcPr>
            <w:tcW w:w="3544" w:type="dxa"/>
          </w:tcPr>
          <w:p w14:paraId="130668F5" w14:textId="5FF1F6A4" w:rsidR="00EE4136" w:rsidRPr="00E919F0" w:rsidRDefault="00EE4136" w:rsidP="009667DE">
            <w:pPr>
              <w:pStyle w:val="TableNText"/>
              <w:outlineLvl w:val="3"/>
              <w:rPr>
                <w:rFonts w:asciiTheme="majorHAnsi" w:hAnsiTheme="majorHAnsi" w:cstheme="majorHAnsi"/>
              </w:rPr>
            </w:pPr>
            <w:r w:rsidRPr="00E919F0">
              <w:rPr>
                <w:rFonts w:asciiTheme="majorHAnsi" w:hAnsiTheme="majorHAnsi" w:cstheme="majorHAnsi"/>
              </w:rPr>
              <w:t>12 - Knee</w:t>
            </w:r>
            <w:r w:rsidR="00907CD0">
              <w:rPr>
                <w:rFonts w:asciiTheme="majorHAnsi" w:hAnsiTheme="majorHAnsi" w:cstheme="majorHAnsi"/>
              </w:rPr>
              <w:t xml:space="preserve"> (Part A and C)</w:t>
            </w:r>
          </w:p>
        </w:tc>
        <w:tc>
          <w:tcPr>
            <w:tcW w:w="2687" w:type="dxa"/>
            <w:vAlign w:val="center"/>
          </w:tcPr>
          <w:p w14:paraId="77F53819" w14:textId="77777777" w:rsidR="00EE4136" w:rsidRDefault="00EE4136" w:rsidP="00EA6059">
            <w:pPr>
              <w:pStyle w:val="TableNText"/>
              <w:jc w:val="center"/>
              <w:outlineLvl w:val="3"/>
            </w:pPr>
            <w:r>
              <w:t>119</w:t>
            </w:r>
          </w:p>
        </w:tc>
        <w:tc>
          <w:tcPr>
            <w:tcW w:w="2688" w:type="dxa"/>
            <w:vAlign w:val="center"/>
          </w:tcPr>
          <w:p w14:paraId="157600A9" w14:textId="77777777" w:rsidR="00EE4136" w:rsidRDefault="00EE4136" w:rsidP="00EA6059">
            <w:pPr>
              <w:pStyle w:val="TableNText"/>
              <w:jc w:val="center"/>
              <w:outlineLvl w:val="3"/>
            </w:pPr>
            <w:r>
              <w:t>0.08%</w:t>
            </w:r>
          </w:p>
        </w:tc>
      </w:tr>
      <w:tr w:rsidR="00EE4136" w14:paraId="6F650935" w14:textId="77777777" w:rsidTr="00907CD0">
        <w:trPr>
          <w:trHeight w:val="288"/>
        </w:trPr>
        <w:tc>
          <w:tcPr>
            <w:tcW w:w="3544" w:type="dxa"/>
          </w:tcPr>
          <w:p w14:paraId="1426AF15" w14:textId="0B63EC8B" w:rsidR="00EE4136" w:rsidRPr="00E919F0" w:rsidRDefault="00EE4136" w:rsidP="009667DE">
            <w:pPr>
              <w:pStyle w:val="TableNText"/>
              <w:outlineLvl w:val="3"/>
              <w:rPr>
                <w:rFonts w:asciiTheme="majorHAnsi" w:hAnsiTheme="majorHAnsi" w:cstheme="majorHAnsi"/>
              </w:rPr>
            </w:pPr>
            <w:r w:rsidRPr="00E919F0">
              <w:rPr>
                <w:rFonts w:asciiTheme="majorHAnsi" w:hAnsiTheme="majorHAnsi" w:cstheme="majorHAnsi"/>
              </w:rPr>
              <w:t>13 - Spinal</w:t>
            </w:r>
            <w:r w:rsidR="00907CD0">
              <w:rPr>
                <w:rFonts w:asciiTheme="majorHAnsi" w:hAnsiTheme="majorHAnsi" w:cstheme="majorHAnsi"/>
              </w:rPr>
              <w:t xml:space="preserve"> (Part A and C)</w:t>
            </w:r>
          </w:p>
        </w:tc>
        <w:tc>
          <w:tcPr>
            <w:tcW w:w="2687" w:type="dxa"/>
            <w:vAlign w:val="center"/>
          </w:tcPr>
          <w:p w14:paraId="2B1784AF" w14:textId="77777777" w:rsidR="00EE4136" w:rsidRDefault="00EE4136" w:rsidP="00EA6059">
            <w:pPr>
              <w:pStyle w:val="TableNText"/>
              <w:jc w:val="center"/>
              <w:outlineLvl w:val="3"/>
            </w:pPr>
            <w:r>
              <w:t>103</w:t>
            </w:r>
          </w:p>
        </w:tc>
        <w:tc>
          <w:tcPr>
            <w:tcW w:w="2688" w:type="dxa"/>
            <w:vAlign w:val="center"/>
          </w:tcPr>
          <w:p w14:paraId="4049EF10" w14:textId="77777777" w:rsidR="00EE4136" w:rsidRDefault="00EE4136" w:rsidP="00EA6059">
            <w:pPr>
              <w:pStyle w:val="TableNText"/>
              <w:jc w:val="center"/>
              <w:outlineLvl w:val="3"/>
            </w:pPr>
            <w:r>
              <w:t>0.07%</w:t>
            </w:r>
          </w:p>
        </w:tc>
      </w:tr>
      <w:tr w:rsidR="0012027F" w14:paraId="237C2F03" w14:textId="77777777" w:rsidTr="004B2A42">
        <w:trPr>
          <w:trHeight w:val="288"/>
        </w:trPr>
        <w:tc>
          <w:tcPr>
            <w:tcW w:w="3544" w:type="dxa"/>
            <w:shd w:val="clear" w:color="auto" w:fill="auto"/>
          </w:tcPr>
          <w:p w14:paraId="4FDFA118" w14:textId="38D5D341" w:rsidR="0012027F" w:rsidRPr="00CC6309" w:rsidRDefault="0012027F" w:rsidP="00EA6059">
            <w:pPr>
              <w:pStyle w:val="TableNText"/>
              <w:outlineLvl w:val="3"/>
              <w:rPr>
                <w:rFonts w:asciiTheme="majorHAnsi" w:hAnsiTheme="majorHAnsi" w:cstheme="majorHAnsi"/>
                <w:bCs/>
              </w:rPr>
            </w:pPr>
            <w:r w:rsidRPr="00CC6309">
              <w:rPr>
                <w:rFonts w:asciiTheme="majorHAnsi" w:hAnsiTheme="majorHAnsi" w:cstheme="majorHAnsi"/>
                <w:bCs/>
              </w:rPr>
              <w:t>Part B (all categories)</w:t>
            </w:r>
          </w:p>
        </w:tc>
        <w:tc>
          <w:tcPr>
            <w:tcW w:w="2687" w:type="dxa"/>
            <w:shd w:val="clear" w:color="auto" w:fill="auto"/>
            <w:vAlign w:val="center"/>
          </w:tcPr>
          <w:p w14:paraId="5133EE49" w14:textId="42A88403" w:rsidR="0012027F" w:rsidRDefault="0012027F" w:rsidP="00EA6059">
            <w:pPr>
              <w:pStyle w:val="TableNText"/>
              <w:jc w:val="center"/>
              <w:outlineLvl w:val="3"/>
            </w:pPr>
            <w:r>
              <w:t>14</w:t>
            </w:r>
          </w:p>
        </w:tc>
        <w:tc>
          <w:tcPr>
            <w:tcW w:w="2688" w:type="dxa"/>
            <w:shd w:val="clear" w:color="auto" w:fill="auto"/>
            <w:vAlign w:val="center"/>
          </w:tcPr>
          <w:p w14:paraId="504934D2" w14:textId="2AA79F36" w:rsidR="0012027F" w:rsidRDefault="004F7A5F" w:rsidP="00EA6059">
            <w:pPr>
              <w:pStyle w:val="TableNText"/>
              <w:jc w:val="center"/>
              <w:outlineLvl w:val="3"/>
            </w:pPr>
            <w:r>
              <w:t>0.06%</w:t>
            </w:r>
          </w:p>
        </w:tc>
      </w:tr>
    </w:tbl>
    <w:p w14:paraId="54979CD4" w14:textId="77777777" w:rsidR="00EE4136" w:rsidRPr="00227D93" w:rsidRDefault="00EE4136" w:rsidP="009667DE">
      <w:pPr>
        <w:rPr>
          <w:lang w:eastAsia="en-AU"/>
        </w:rPr>
      </w:pPr>
    </w:p>
    <w:p w14:paraId="576856D8" w14:textId="00695ED7" w:rsidR="00EE4136" w:rsidRPr="001C529B" w:rsidRDefault="00EE4136" w:rsidP="009667DE">
      <w:pPr>
        <w:pStyle w:val="Heading4"/>
      </w:pPr>
      <w:r w:rsidRPr="0BCC15EA">
        <w:rPr>
          <w:color w:val="F25E21" w:themeColor="accent2"/>
        </w:rPr>
        <w:t xml:space="preserve">Measure </w:t>
      </w:r>
      <w:r>
        <w:rPr>
          <w:color w:val="F25E21" w:themeColor="accent2"/>
        </w:rPr>
        <w:t>3</w:t>
      </w:r>
      <w:r w:rsidRPr="0BCC15EA">
        <w:rPr>
          <w:color w:val="F25E21" w:themeColor="accent2"/>
        </w:rPr>
        <w:t>.2</w:t>
      </w:r>
      <w:r>
        <w:t xml:space="preserve">: </w:t>
      </w:r>
      <w:r w:rsidR="0065380D">
        <w:t>Average</w:t>
      </w:r>
      <w:r>
        <w:t xml:space="preserve"> gap payment for PL</w:t>
      </w:r>
      <w:r w:rsidR="0065380D">
        <w:t xml:space="preserve"> </w:t>
      </w:r>
      <w:r>
        <w:t>listed items</w:t>
      </w:r>
    </w:p>
    <w:p w14:paraId="58D87089" w14:textId="77777777" w:rsidR="00EE4136" w:rsidRDefault="00EE4136" w:rsidP="00EA6059">
      <w:pPr>
        <w:pStyle w:val="Heading6"/>
        <w:spacing w:before="120"/>
      </w:pPr>
      <w:r>
        <w:t>Measurement guide</w:t>
      </w:r>
    </w:p>
    <w:p w14:paraId="12E67100" w14:textId="77777777" w:rsidR="00A411D6" w:rsidRDefault="00EE4136" w:rsidP="007025ED">
      <w:r w:rsidRPr="0BCC15EA">
        <w:t>This measure is calculated as the average difference between the PHI benefit paid for a PL-listed item, and the amount charged by hospitals</w:t>
      </w:r>
      <w:r w:rsidR="00C54137">
        <w:t>,</w:t>
      </w:r>
      <w:r w:rsidRPr="0BCC15EA">
        <w:t xml:space="preserve"> across all item </w:t>
      </w:r>
      <w:r w:rsidR="00C73B07">
        <w:t>usages</w:t>
      </w:r>
      <w:r w:rsidRPr="0BCC15EA">
        <w:t xml:space="preserve"> in which this difference is greater than $1. This measure can be obtained by filtering and aggregating billing-code level data, from the HCP dataset, for the charges and benefits associated with the utilisation of PL items (in cases in which an item is used more than once for a particular billing, the gap between benefits and charges is divided by the number of items used). </w:t>
      </w:r>
    </w:p>
    <w:p w14:paraId="6E02B0E7" w14:textId="3294D61A" w:rsidR="00EE4136" w:rsidRDefault="00EE4136" w:rsidP="007025ED">
      <w:r w:rsidRPr="0BCC15EA">
        <w:t xml:space="preserve">Analysis of this measure </w:t>
      </w:r>
      <w:r w:rsidR="0019679A">
        <w:t>in future stages of the evaluation</w:t>
      </w:r>
      <w:r w:rsidRPr="0BCC15EA">
        <w:t xml:space="preserve"> will need to account for the fact that it is subject to the same limitations as </w:t>
      </w:r>
      <w:r w:rsidRPr="009667DE">
        <w:t>measure 3.1</w:t>
      </w:r>
      <w:r w:rsidRPr="0BCC15EA">
        <w:t xml:space="preserve"> regarding the possibility of a third party covering a gap payment </w:t>
      </w:r>
      <w:r w:rsidR="00E17034">
        <w:t>(resulting in a gap being recorded even in a circumstance in which</w:t>
      </w:r>
      <w:r w:rsidRPr="0BCC15EA">
        <w:t xml:space="preserve"> there </w:t>
      </w:r>
      <w:r w:rsidR="00E17034" w:rsidRPr="0BCC15EA">
        <w:t>are</w:t>
      </w:r>
      <w:r w:rsidRPr="0BCC15EA">
        <w:t xml:space="preserve"> no out-of-pocket costs for patients</w:t>
      </w:r>
      <w:r w:rsidR="00E17034">
        <w:t>)</w:t>
      </w:r>
      <w:r w:rsidRPr="0BCC15EA">
        <w:t xml:space="preserve">. The data quality constraints present </w:t>
      </w:r>
      <w:r w:rsidRPr="009667DE">
        <w:t>for measure 3.1 will</w:t>
      </w:r>
      <w:r w:rsidRPr="0BCC15EA">
        <w:t xml:space="preserve"> also be considered when analysing changes in this measure. </w:t>
      </w:r>
      <w:r w:rsidR="00087EE4">
        <w:t>Values for</w:t>
      </w:r>
      <w:r w:rsidRPr="0BCC15EA">
        <w:t xml:space="preserve"> the average gap </w:t>
      </w:r>
      <w:r w:rsidR="00087EE4">
        <w:t>have</w:t>
      </w:r>
      <w:r w:rsidRPr="0BCC15EA">
        <w:t xml:space="preserve"> also been rounded in line with HCP requirements. </w:t>
      </w:r>
    </w:p>
    <w:p w14:paraId="0BE4EA53" w14:textId="69C7E688" w:rsidR="00EE4136" w:rsidRPr="00A62E73" w:rsidRDefault="00EE4136" w:rsidP="007025ED">
      <w:pPr>
        <w:rPr>
          <w:rFonts w:cstheme="minorHAnsi"/>
          <w:b/>
        </w:rPr>
      </w:pPr>
      <w:r w:rsidRPr="0028325E">
        <w:rPr>
          <w:rFonts w:cstheme="minorHAnsi"/>
        </w:rPr>
        <w:t xml:space="preserve">The selection of this measure reflects the fact that most of the time PL items do not incur a gap, and so the average overall gap for a particular category will be negligible (when </w:t>
      </w:r>
      <w:r w:rsidR="00345D41">
        <w:rPr>
          <w:rFonts w:cstheme="minorHAnsi"/>
        </w:rPr>
        <w:t>only</w:t>
      </w:r>
      <w:r w:rsidRPr="0028325E">
        <w:rPr>
          <w:rFonts w:cstheme="minorHAnsi"/>
        </w:rPr>
        <w:t xml:space="preserve"> gaps &lt;$1 are included). As a </w:t>
      </w:r>
      <w:r w:rsidRPr="0028325E">
        <w:rPr>
          <w:rFonts w:cstheme="minorHAnsi"/>
        </w:rPr>
        <w:lastRenderedPageBreak/>
        <w:t xml:space="preserve">result of this, the average gap across all PL listed items is indistinguishable from zero in the HCP1 dataset once rounding requirements are applied. This obscures the fact that, when a gap is charged (as in the small number of cases shown in </w:t>
      </w:r>
      <w:r w:rsidRPr="0028325E">
        <w:rPr>
          <w:rFonts w:cstheme="minorHAnsi"/>
          <w:b/>
        </w:rPr>
        <w:fldChar w:fldCharType="begin"/>
      </w:r>
      <w:r w:rsidRPr="0028325E">
        <w:rPr>
          <w:rFonts w:cstheme="minorHAnsi"/>
        </w:rPr>
        <w:instrText xml:space="preserve"> REF _Ref159323272 \h  \* MERGEFORMAT </w:instrText>
      </w:r>
      <w:r w:rsidRPr="0028325E">
        <w:rPr>
          <w:rFonts w:cstheme="minorHAnsi"/>
          <w:b/>
        </w:rPr>
      </w:r>
      <w:r w:rsidRPr="0028325E">
        <w:rPr>
          <w:rFonts w:cstheme="minorHAnsi"/>
          <w:b/>
        </w:rPr>
        <w:fldChar w:fldCharType="separate"/>
      </w:r>
      <w:r w:rsidR="00026714">
        <w:t>Figure 23</w:t>
      </w:r>
      <w:r w:rsidRPr="0028325E">
        <w:rPr>
          <w:rFonts w:cstheme="minorHAnsi"/>
          <w:b/>
        </w:rPr>
        <w:fldChar w:fldCharType="end"/>
      </w:r>
      <w:r w:rsidRPr="0028325E">
        <w:rPr>
          <w:rFonts w:cstheme="minorHAnsi"/>
        </w:rPr>
        <w:t xml:space="preserve">), patients can still be subjected to material out of pocket expenses. Average gaps are calculated in cases in which gaps are &gt; $1, as opposed to &gt; $0, because there are many cases in which very small gaps are charged. </w:t>
      </w:r>
      <w:r w:rsidRPr="0028325E">
        <w:t>Given that these payments are negligible, the data still provides an indication of the prevalence of material gaps between item benefits and charges.</w:t>
      </w:r>
      <w:r w:rsidR="00B177FA">
        <w:t xml:space="preserve"> </w:t>
      </w:r>
    </w:p>
    <w:p w14:paraId="5600282D" w14:textId="7687708A" w:rsidR="00B177FA" w:rsidRPr="0028325E" w:rsidRDefault="00B177FA" w:rsidP="007025ED">
      <w:pPr>
        <w:rPr>
          <w:b/>
        </w:rPr>
      </w:pPr>
      <w:r>
        <w:t xml:space="preserve">When analysing this measure, particular attention will be given to changes in the average gap payment for the subset of items that are </w:t>
      </w:r>
      <w:r w:rsidR="00C608C1">
        <w:t>subject to benefit reductions, as these are the items that are most likely to show a change that can reasonably be attributed to</w:t>
      </w:r>
      <w:r>
        <w:t xml:space="preserve"> </w:t>
      </w:r>
      <w:r w:rsidR="008032A8">
        <w:t>the PL reforms</w:t>
      </w:r>
      <w:r w:rsidR="000610EC">
        <w:t xml:space="preserve">. </w:t>
      </w:r>
      <w:r w:rsidR="00C608C1">
        <w:t>Changes in the average gap payment for other items will still be measured</w:t>
      </w:r>
      <w:r w:rsidR="005F2600">
        <w:t xml:space="preserve"> so that they can</w:t>
      </w:r>
      <w:r w:rsidR="00C608C1">
        <w:t xml:space="preserve"> be used as a point of comparison. </w:t>
      </w:r>
    </w:p>
    <w:p w14:paraId="67FE2388" w14:textId="77777777" w:rsidR="00EE4136" w:rsidRDefault="00EE4136" w:rsidP="00EA6059">
      <w:pPr>
        <w:pStyle w:val="Heading6"/>
        <w:spacing w:before="120"/>
      </w:pPr>
      <w:r w:rsidRPr="00AA2E32">
        <w:t>Baseline value</w:t>
      </w:r>
    </w:p>
    <w:p w14:paraId="4A057CA1" w14:textId="3320E0A4" w:rsidR="00EE4136" w:rsidRPr="005F2600" w:rsidRDefault="00EE4136" w:rsidP="00EE4136">
      <w:pPr>
        <w:rPr>
          <w:rFonts w:asciiTheme="minorHAnsi" w:hAnsiTheme="minorHAnsi" w:cstheme="minorHAnsi"/>
          <w:szCs w:val="19"/>
        </w:rPr>
      </w:pPr>
      <w:r w:rsidRPr="00AD5776">
        <w:rPr>
          <w:rFonts w:asciiTheme="majorHAnsi" w:hAnsiTheme="majorHAnsi" w:cstheme="majorHAnsi"/>
          <w:szCs w:val="19"/>
        </w:rPr>
        <w:fldChar w:fldCharType="begin"/>
      </w:r>
      <w:r w:rsidRPr="00AD5776">
        <w:rPr>
          <w:rFonts w:asciiTheme="majorHAnsi" w:hAnsiTheme="majorHAnsi" w:cstheme="majorHAnsi"/>
          <w:szCs w:val="19"/>
        </w:rPr>
        <w:instrText xml:space="preserve"> REF _Ref152862904 \h  \* MERGEFORMAT </w:instrText>
      </w:r>
      <w:r w:rsidRPr="00AD5776">
        <w:rPr>
          <w:rFonts w:asciiTheme="majorHAnsi" w:hAnsiTheme="majorHAnsi" w:cstheme="majorHAnsi"/>
          <w:szCs w:val="19"/>
        </w:rPr>
      </w:r>
      <w:r w:rsidRPr="00AD5776">
        <w:rPr>
          <w:rFonts w:asciiTheme="majorHAnsi" w:hAnsiTheme="majorHAnsi" w:cstheme="majorHAnsi"/>
          <w:szCs w:val="19"/>
        </w:rPr>
        <w:fldChar w:fldCharType="separate"/>
      </w:r>
      <w:r w:rsidR="00026714">
        <w:t xml:space="preserve">Figure </w:t>
      </w:r>
      <w:r w:rsidR="00026714">
        <w:rPr>
          <w:noProof/>
        </w:rPr>
        <w:t>24</w:t>
      </w:r>
      <w:r w:rsidRPr="00AD5776">
        <w:rPr>
          <w:rFonts w:asciiTheme="majorHAnsi" w:hAnsiTheme="majorHAnsi" w:cstheme="majorHAnsi"/>
          <w:szCs w:val="19"/>
        </w:rPr>
        <w:fldChar w:fldCharType="end"/>
      </w:r>
      <w:r w:rsidRPr="00AD5776">
        <w:rPr>
          <w:rFonts w:asciiTheme="majorHAnsi" w:hAnsiTheme="majorHAnsi" w:cstheme="majorHAnsi"/>
          <w:szCs w:val="19"/>
        </w:rPr>
        <w:t xml:space="preserve"> </w:t>
      </w:r>
      <w:r w:rsidRPr="00AD5776">
        <w:rPr>
          <w:rFonts w:asciiTheme="minorHAnsi" w:hAnsiTheme="minorHAnsi" w:cstheme="minorHAnsi"/>
          <w:szCs w:val="19"/>
        </w:rPr>
        <w:t xml:space="preserve">below shows how the average gap payment for different PL items has changed between FY16 and FY22. </w:t>
      </w:r>
      <w:r>
        <w:rPr>
          <w:rFonts w:asciiTheme="minorHAnsi" w:hAnsiTheme="minorHAnsi" w:cstheme="minorHAnsi"/>
          <w:szCs w:val="19"/>
        </w:rPr>
        <w:t xml:space="preserve">The figure shows that gap payments can impose a material financial burden on patients in the small number of cases in which they are present, with average gap payments (in cases in which a gap is present) being equal to $270 at baseline in FY21. Interestingly, the trend is the reverse of that shown in </w:t>
      </w:r>
      <w:r>
        <w:rPr>
          <w:rFonts w:asciiTheme="minorHAnsi" w:hAnsiTheme="minorHAnsi" w:cstheme="minorHAnsi"/>
          <w:szCs w:val="19"/>
        </w:rPr>
        <w:fldChar w:fldCharType="begin"/>
      </w:r>
      <w:r>
        <w:rPr>
          <w:rFonts w:asciiTheme="minorHAnsi" w:hAnsiTheme="minorHAnsi" w:cstheme="minorHAnsi"/>
          <w:szCs w:val="19"/>
        </w:rPr>
        <w:instrText xml:space="preserve"> REF _Ref159323272 \h </w:instrText>
      </w:r>
      <w:r>
        <w:rPr>
          <w:rFonts w:asciiTheme="minorHAnsi" w:hAnsiTheme="minorHAnsi" w:cstheme="minorHAnsi"/>
          <w:szCs w:val="19"/>
        </w:rPr>
      </w:r>
      <w:r>
        <w:rPr>
          <w:rFonts w:asciiTheme="minorHAnsi" w:hAnsiTheme="minorHAnsi" w:cstheme="minorHAnsi"/>
          <w:szCs w:val="19"/>
        </w:rPr>
        <w:fldChar w:fldCharType="separate"/>
      </w:r>
      <w:r w:rsidR="00026714">
        <w:t xml:space="preserve">Figure </w:t>
      </w:r>
      <w:r w:rsidR="00026714">
        <w:rPr>
          <w:noProof/>
        </w:rPr>
        <w:t>23</w:t>
      </w:r>
      <w:r>
        <w:rPr>
          <w:rFonts w:asciiTheme="minorHAnsi" w:hAnsiTheme="minorHAnsi" w:cstheme="minorHAnsi"/>
          <w:szCs w:val="19"/>
        </w:rPr>
        <w:fldChar w:fldCharType="end"/>
      </w:r>
      <w:r>
        <w:rPr>
          <w:rFonts w:asciiTheme="minorHAnsi" w:hAnsiTheme="minorHAnsi" w:cstheme="minorHAnsi"/>
          <w:szCs w:val="19"/>
        </w:rPr>
        <w:t xml:space="preserve"> with average gap payments falling between FY16 and FY18 and then rising between FY18 and FY21. This </w:t>
      </w:r>
      <w:r w:rsidR="005E27AC">
        <w:rPr>
          <w:rFonts w:asciiTheme="minorHAnsi" w:hAnsiTheme="minorHAnsi" w:cstheme="minorHAnsi"/>
          <w:szCs w:val="19"/>
        </w:rPr>
        <w:t>could</w:t>
      </w:r>
      <w:r>
        <w:rPr>
          <w:rFonts w:asciiTheme="minorHAnsi" w:hAnsiTheme="minorHAnsi" w:cstheme="minorHAnsi"/>
          <w:szCs w:val="19"/>
        </w:rPr>
        <w:t xml:space="preserve"> suggest that increases in the prevalence of gap payments generally involve a larger number of low value gaps that lower the average gap payment. </w:t>
      </w:r>
    </w:p>
    <w:p w14:paraId="65C589C7" w14:textId="59608917" w:rsidR="00923FE5" w:rsidRPr="005F2600" w:rsidRDefault="00A411D6" w:rsidP="00EE4136">
      <w:pPr>
        <w:rPr>
          <w:rFonts w:asciiTheme="minorHAnsi" w:hAnsiTheme="minorHAnsi" w:cstheme="minorHAnsi"/>
          <w:szCs w:val="19"/>
        </w:rPr>
      </w:pPr>
      <w:r>
        <w:rPr>
          <w:rFonts w:asciiTheme="minorHAnsi" w:hAnsiTheme="minorHAnsi" w:cstheme="minorHAnsi"/>
          <w:szCs w:val="19"/>
        </w:rPr>
        <w:t xml:space="preserve">Over the course of the evaluation changes in the average value of gap payments will be examined at the category level (and if needed at an even more granular level). </w:t>
      </w:r>
      <w:r w:rsidR="00923FE5">
        <w:rPr>
          <w:rFonts w:asciiTheme="minorHAnsi" w:hAnsiTheme="minorHAnsi" w:cstheme="minorHAnsi"/>
          <w:szCs w:val="19"/>
        </w:rPr>
        <w:fldChar w:fldCharType="begin"/>
      </w:r>
      <w:r w:rsidR="00923FE5">
        <w:rPr>
          <w:rFonts w:asciiTheme="minorHAnsi" w:hAnsiTheme="minorHAnsi" w:cstheme="minorHAnsi"/>
          <w:szCs w:val="19"/>
        </w:rPr>
        <w:instrText xml:space="preserve"> REF _Ref159862621 \h </w:instrText>
      </w:r>
      <w:r w:rsidR="00923FE5">
        <w:rPr>
          <w:rFonts w:asciiTheme="minorHAnsi" w:hAnsiTheme="minorHAnsi" w:cstheme="minorHAnsi"/>
          <w:szCs w:val="19"/>
        </w:rPr>
      </w:r>
      <w:r w:rsidR="00923FE5">
        <w:rPr>
          <w:rFonts w:asciiTheme="minorHAnsi" w:hAnsiTheme="minorHAnsi" w:cstheme="minorHAnsi"/>
          <w:szCs w:val="19"/>
        </w:rPr>
        <w:fldChar w:fldCharType="separate"/>
      </w:r>
      <w:r w:rsidR="00026714">
        <w:t xml:space="preserve">Table </w:t>
      </w:r>
      <w:r w:rsidR="00026714">
        <w:rPr>
          <w:noProof/>
        </w:rPr>
        <w:t>7</w:t>
      </w:r>
      <w:r w:rsidR="00923FE5">
        <w:rPr>
          <w:rFonts w:asciiTheme="minorHAnsi" w:hAnsiTheme="minorHAnsi" w:cstheme="minorHAnsi"/>
          <w:szCs w:val="19"/>
        </w:rPr>
        <w:fldChar w:fldCharType="end"/>
      </w:r>
      <w:r w:rsidR="00923FE5">
        <w:rPr>
          <w:rFonts w:asciiTheme="minorHAnsi" w:hAnsiTheme="minorHAnsi" w:cstheme="minorHAnsi"/>
          <w:szCs w:val="19"/>
        </w:rPr>
        <w:t xml:space="preserve"> shows that different categories of devices incur different levels of gap </w:t>
      </w:r>
      <w:r w:rsidR="005350FD">
        <w:rPr>
          <w:rFonts w:asciiTheme="minorHAnsi" w:hAnsiTheme="minorHAnsi" w:cstheme="minorHAnsi"/>
          <w:szCs w:val="19"/>
        </w:rPr>
        <w:t>payments when</w:t>
      </w:r>
      <w:r w:rsidR="00923FE5">
        <w:rPr>
          <w:rFonts w:asciiTheme="minorHAnsi" w:hAnsiTheme="minorHAnsi" w:cstheme="minorHAnsi"/>
          <w:szCs w:val="19"/>
        </w:rPr>
        <w:t xml:space="preserve"> gap payments are made. For instance, in the plastic and reconstructive category, </w:t>
      </w:r>
      <w:r w:rsidR="00BC5CF7">
        <w:rPr>
          <w:rFonts w:asciiTheme="minorHAnsi" w:hAnsiTheme="minorHAnsi" w:cstheme="minorHAnsi"/>
          <w:szCs w:val="19"/>
        </w:rPr>
        <w:t xml:space="preserve">average </w:t>
      </w:r>
      <w:r w:rsidR="00923FE5">
        <w:rPr>
          <w:rFonts w:asciiTheme="minorHAnsi" w:hAnsiTheme="minorHAnsi" w:cstheme="minorHAnsi"/>
          <w:szCs w:val="19"/>
        </w:rPr>
        <w:t>gap payments can be quite large</w:t>
      </w:r>
      <w:r w:rsidR="00BC5CF7">
        <w:rPr>
          <w:rFonts w:asciiTheme="minorHAnsi" w:hAnsiTheme="minorHAnsi" w:cstheme="minorHAnsi"/>
          <w:szCs w:val="19"/>
        </w:rPr>
        <w:t xml:space="preserve"> in absolute terms ($770) and as a percentage of the average value of benefits of items in th</w:t>
      </w:r>
      <w:r w:rsidR="000F7E01">
        <w:rPr>
          <w:rFonts w:asciiTheme="minorHAnsi" w:hAnsiTheme="minorHAnsi" w:cstheme="minorHAnsi"/>
          <w:szCs w:val="19"/>
        </w:rPr>
        <w:t>at category.</w:t>
      </w:r>
      <w:r w:rsidR="000743C4">
        <w:rPr>
          <w:rStyle w:val="FootnoteReference"/>
          <w:b/>
          <w:bCs/>
        </w:rPr>
        <w:footnoteReference w:id="136"/>
      </w:r>
      <w:r w:rsidR="000F7E01">
        <w:rPr>
          <w:rFonts w:asciiTheme="minorHAnsi" w:hAnsiTheme="minorHAnsi" w:cstheme="minorHAnsi"/>
          <w:szCs w:val="19"/>
        </w:rPr>
        <w:t xml:space="preserve"> </w:t>
      </w:r>
      <w:r w:rsidR="000743C4">
        <w:rPr>
          <w:rFonts w:asciiTheme="minorHAnsi" w:hAnsiTheme="minorHAnsi" w:cstheme="minorHAnsi"/>
          <w:szCs w:val="19"/>
        </w:rPr>
        <w:t xml:space="preserve">In contrast, the </w:t>
      </w:r>
      <w:r w:rsidR="00AC7C4E">
        <w:rPr>
          <w:rFonts w:asciiTheme="minorHAnsi" w:hAnsiTheme="minorHAnsi" w:cstheme="minorHAnsi"/>
          <w:szCs w:val="19"/>
        </w:rPr>
        <w:t xml:space="preserve">average gap when present in the ear, nose and throat category is only equal to </w:t>
      </w:r>
      <w:r w:rsidR="00B66CF6">
        <w:rPr>
          <w:rFonts w:asciiTheme="minorHAnsi" w:hAnsiTheme="minorHAnsi" w:cstheme="minorHAnsi"/>
          <w:szCs w:val="19"/>
        </w:rPr>
        <w:t xml:space="preserve">$50 in absolute terms, or 7.0% of the </w:t>
      </w:r>
      <w:r w:rsidR="00182CB3">
        <w:rPr>
          <w:rFonts w:asciiTheme="minorHAnsi" w:hAnsiTheme="minorHAnsi" w:cstheme="minorHAnsi"/>
          <w:szCs w:val="19"/>
        </w:rPr>
        <w:t xml:space="preserve">average value of benefits </w:t>
      </w:r>
      <w:r w:rsidR="001D7AE1">
        <w:rPr>
          <w:rFonts w:asciiTheme="minorHAnsi" w:hAnsiTheme="minorHAnsi" w:cstheme="minorHAnsi"/>
          <w:szCs w:val="19"/>
        </w:rPr>
        <w:t>paid for</w:t>
      </w:r>
      <w:r w:rsidR="00182CB3">
        <w:rPr>
          <w:rFonts w:asciiTheme="minorHAnsi" w:hAnsiTheme="minorHAnsi" w:cstheme="minorHAnsi"/>
          <w:szCs w:val="19"/>
        </w:rPr>
        <w:t xml:space="preserve"> items in that category.</w:t>
      </w:r>
    </w:p>
    <w:p w14:paraId="4F8B1550" w14:textId="1E96E049" w:rsidR="00EE4136" w:rsidRPr="00C218EA" w:rsidRDefault="00EE4136" w:rsidP="00EE4136">
      <w:pPr>
        <w:pStyle w:val="Caption"/>
        <w:spacing w:before="240" w:after="120"/>
      </w:pPr>
      <w:bookmarkStart w:id="78" w:name="_Ref152862904"/>
      <w:bookmarkStart w:id="79" w:name="_Ref152927812"/>
      <w:r>
        <w:t xml:space="preserve">Figure </w:t>
      </w:r>
      <w:r>
        <w:fldChar w:fldCharType="begin"/>
      </w:r>
      <w:r>
        <w:instrText xml:space="preserve"> SEQ Figure \* ARABIC </w:instrText>
      </w:r>
      <w:r>
        <w:fldChar w:fldCharType="separate"/>
      </w:r>
      <w:r w:rsidR="00026714">
        <w:rPr>
          <w:noProof/>
        </w:rPr>
        <w:t>24</w:t>
      </w:r>
      <w:r>
        <w:fldChar w:fldCharType="end"/>
      </w:r>
      <w:bookmarkEnd w:id="78"/>
      <w:bookmarkEnd w:id="79"/>
      <w:r>
        <w:t xml:space="preserve"> | Average gap payment for PL items, across episodes with a gap &gt; $1</w:t>
      </w:r>
      <w:r w:rsidRPr="002F44AD">
        <w:rPr>
          <w:vertAlign w:val="superscript"/>
        </w:rPr>
        <w:footnoteReference w:id="137"/>
      </w:r>
    </w:p>
    <w:p w14:paraId="25BD7C53" w14:textId="03701F23" w:rsidR="00EE4136" w:rsidRPr="00803449" w:rsidRDefault="00803449" w:rsidP="00EE4136">
      <w:r>
        <w:rPr>
          <w:noProof/>
        </w:rPr>
        <w:drawing>
          <wp:inline distT="0" distB="0" distL="0" distR="0" wp14:anchorId="412781B9" wp14:editId="378BCB1D">
            <wp:extent cx="5617028" cy="2668637"/>
            <wp:effectExtent l="0" t="0" r="3175" b="0"/>
            <wp:docPr id="564522948" name="Picture 3" descr="A graph of the average gap payment for PL item billings across episodes with a gap more than $1. FY21 shows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22948" name="Picture 3" descr="A graph of the average gap payment for PL item billings across episodes with a gap more than $1. FY21 shows $27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17028" cy="2668637"/>
                    </a:xfrm>
                    <a:prstGeom prst="rect">
                      <a:avLst/>
                    </a:prstGeom>
                    <a:noFill/>
                  </pic:spPr>
                </pic:pic>
              </a:graphicData>
            </a:graphic>
          </wp:inline>
        </w:drawing>
      </w:r>
    </w:p>
    <w:p w14:paraId="0CFBDB4A" w14:textId="45769F8A" w:rsidR="00B71195" w:rsidRDefault="00B71195" w:rsidP="001F714D">
      <w:pPr>
        <w:pStyle w:val="Caption"/>
        <w:spacing w:after="120"/>
      </w:pPr>
      <w:bookmarkStart w:id="80" w:name="_Ref159862621"/>
      <w:r>
        <w:lastRenderedPageBreak/>
        <w:t xml:space="preserve">Table </w:t>
      </w:r>
      <w:r>
        <w:fldChar w:fldCharType="begin"/>
      </w:r>
      <w:r>
        <w:instrText xml:space="preserve"> SEQ Table \* ARABIC </w:instrText>
      </w:r>
      <w:r>
        <w:fldChar w:fldCharType="separate"/>
      </w:r>
      <w:r w:rsidR="00026714">
        <w:rPr>
          <w:noProof/>
        </w:rPr>
        <w:t>7</w:t>
      </w:r>
      <w:r>
        <w:fldChar w:fldCharType="end"/>
      </w:r>
      <w:bookmarkEnd w:id="80"/>
      <w:r>
        <w:t xml:space="preserve"> | Average gap payments by PL category</w:t>
      </w:r>
      <w:r w:rsidR="00686253">
        <w:t xml:space="preserve"> in FY21</w:t>
      </w:r>
      <w:r w:rsidR="00BF52AF">
        <w:rPr>
          <w:rStyle w:val="FootnoteReference"/>
        </w:rPr>
        <w:footnoteReference w:id="138"/>
      </w:r>
    </w:p>
    <w:tbl>
      <w:tblPr>
        <w:tblStyle w:val="NOUS"/>
        <w:tblW w:w="8931" w:type="dxa"/>
        <w:tblLook w:val="04A0" w:firstRow="1" w:lastRow="0" w:firstColumn="1" w:lastColumn="0" w:noHBand="0" w:noVBand="1"/>
      </w:tblPr>
      <w:tblGrid>
        <w:gridCol w:w="3686"/>
        <w:gridCol w:w="2622"/>
        <w:gridCol w:w="2623"/>
      </w:tblGrid>
      <w:tr w:rsidR="00EE4136" w14:paraId="4AB2C60F" w14:textId="77777777" w:rsidTr="00160029">
        <w:trPr>
          <w:cnfStyle w:val="100000000000" w:firstRow="1" w:lastRow="0" w:firstColumn="0" w:lastColumn="0" w:oddVBand="0" w:evenVBand="0" w:oddHBand="0" w:evenHBand="0" w:firstRowFirstColumn="0" w:firstRowLastColumn="0" w:lastRowFirstColumn="0" w:lastRowLastColumn="0"/>
        </w:trPr>
        <w:tc>
          <w:tcPr>
            <w:tcW w:w="3686" w:type="dxa"/>
            <w:vAlign w:val="center"/>
          </w:tcPr>
          <w:p w14:paraId="715742F5" w14:textId="77777777" w:rsidR="00EE4136" w:rsidRPr="0059516F" w:rsidRDefault="00EE4136">
            <w:pPr>
              <w:pStyle w:val="TableNheader"/>
              <w:rPr>
                <w:b w:val="0"/>
                <w:bCs/>
              </w:rPr>
            </w:pPr>
            <w:r w:rsidRPr="0059516F">
              <w:rPr>
                <w:b w:val="0"/>
                <w:bCs/>
              </w:rPr>
              <w:t>Categories</w:t>
            </w:r>
          </w:p>
        </w:tc>
        <w:tc>
          <w:tcPr>
            <w:tcW w:w="2622" w:type="dxa"/>
            <w:vAlign w:val="center"/>
          </w:tcPr>
          <w:p w14:paraId="3BB0A3CB" w14:textId="77777777" w:rsidR="00EE4136" w:rsidRPr="0059516F" w:rsidRDefault="00EE4136" w:rsidP="00EA6059">
            <w:pPr>
              <w:pStyle w:val="TableNheader"/>
              <w:jc w:val="center"/>
              <w:rPr>
                <w:b w:val="0"/>
                <w:bCs/>
              </w:rPr>
            </w:pPr>
            <w:r>
              <w:rPr>
                <w:b w:val="0"/>
                <w:bCs/>
              </w:rPr>
              <w:t>Average gap when present ($)</w:t>
            </w:r>
          </w:p>
        </w:tc>
        <w:tc>
          <w:tcPr>
            <w:tcW w:w="2623" w:type="dxa"/>
            <w:vAlign w:val="center"/>
          </w:tcPr>
          <w:p w14:paraId="02888714" w14:textId="605FA3ED" w:rsidR="00EE4136" w:rsidRPr="0059516F" w:rsidRDefault="00EE4136" w:rsidP="00EA6059">
            <w:pPr>
              <w:pStyle w:val="TableNheader"/>
              <w:jc w:val="center"/>
              <w:rPr>
                <w:b w:val="0"/>
                <w:bCs/>
              </w:rPr>
            </w:pPr>
            <w:r>
              <w:rPr>
                <w:b w:val="0"/>
                <w:bCs/>
              </w:rPr>
              <w:t xml:space="preserve">Average gap as % of </w:t>
            </w:r>
            <w:r w:rsidR="005766AB">
              <w:rPr>
                <w:b w:val="0"/>
                <w:bCs/>
              </w:rPr>
              <w:t>average</w:t>
            </w:r>
            <w:r>
              <w:rPr>
                <w:b w:val="0"/>
                <w:bCs/>
              </w:rPr>
              <w:t xml:space="preserve"> benefit</w:t>
            </w:r>
            <w:r w:rsidR="005766AB">
              <w:rPr>
                <w:b w:val="0"/>
                <w:bCs/>
              </w:rPr>
              <w:t xml:space="preserve"> of items in category</w:t>
            </w:r>
          </w:p>
        </w:tc>
      </w:tr>
      <w:tr w:rsidR="00EE4136" w14:paraId="7E098739" w14:textId="77777777" w:rsidTr="00160029">
        <w:tc>
          <w:tcPr>
            <w:tcW w:w="3686" w:type="dxa"/>
          </w:tcPr>
          <w:p w14:paraId="2D0A9F1E" w14:textId="68CABBC5" w:rsidR="00EE4136" w:rsidRPr="00E919F0" w:rsidRDefault="00EE4136">
            <w:pPr>
              <w:pStyle w:val="TableNText"/>
              <w:rPr>
                <w:rFonts w:asciiTheme="majorHAnsi" w:hAnsiTheme="majorHAnsi" w:cstheme="majorHAnsi"/>
              </w:rPr>
            </w:pPr>
            <w:r w:rsidRPr="00E919F0">
              <w:rPr>
                <w:rFonts w:asciiTheme="majorHAnsi" w:hAnsiTheme="majorHAnsi" w:cstheme="majorHAnsi"/>
              </w:rPr>
              <w:t>01 - Ophthalmic</w:t>
            </w:r>
            <w:r w:rsidR="006E332E">
              <w:rPr>
                <w:rFonts w:asciiTheme="majorHAnsi" w:hAnsiTheme="majorHAnsi" w:cstheme="majorHAnsi"/>
              </w:rPr>
              <w:t xml:space="preserve"> (Part A</w:t>
            </w:r>
            <w:r w:rsidR="00160029">
              <w:rPr>
                <w:rFonts w:asciiTheme="majorHAnsi" w:hAnsiTheme="majorHAnsi" w:cstheme="majorHAnsi"/>
              </w:rPr>
              <w:t xml:space="preserve"> and C</w:t>
            </w:r>
            <w:r w:rsidR="006E332E">
              <w:rPr>
                <w:rFonts w:asciiTheme="majorHAnsi" w:hAnsiTheme="majorHAnsi" w:cstheme="majorHAnsi"/>
              </w:rPr>
              <w:t>)</w:t>
            </w:r>
          </w:p>
        </w:tc>
        <w:tc>
          <w:tcPr>
            <w:tcW w:w="2622" w:type="dxa"/>
            <w:vAlign w:val="center"/>
          </w:tcPr>
          <w:p w14:paraId="0B870736" w14:textId="094E4B8B" w:rsidR="00EE4136" w:rsidRDefault="005F2594" w:rsidP="00EA6059">
            <w:pPr>
              <w:pStyle w:val="TableNText"/>
              <w:jc w:val="center"/>
            </w:pPr>
            <w:r>
              <w:t>$100</w:t>
            </w:r>
          </w:p>
        </w:tc>
        <w:tc>
          <w:tcPr>
            <w:tcW w:w="2623" w:type="dxa"/>
            <w:vAlign w:val="center"/>
          </w:tcPr>
          <w:p w14:paraId="562C56C4" w14:textId="55AA0982" w:rsidR="00EE4136" w:rsidRDefault="005634A8" w:rsidP="00EA6059">
            <w:pPr>
              <w:pStyle w:val="TableNText"/>
              <w:jc w:val="center"/>
            </w:pPr>
            <w:r>
              <w:t>34.</w:t>
            </w:r>
            <w:r w:rsidR="00C806AB">
              <w:t>5</w:t>
            </w:r>
            <w:r w:rsidR="00621B14">
              <w:t>%</w:t>
            </w:r>
          </w:p>
        </w:tc>
      </w:tr>
      <w:tr w:rsidR="00EE4136" w14:paraId="3816772A" w14:textId="77777777" w:rsidTr="00160029">
        <w:tc>
          <w:tcPr>
            <w:tcW w:w="3686" w:type="dxa"/>
          </w:tcPr>
          <w:p w14:paraId="4E9596BC" w14:textId="4A3B095A" w:rsidR="00EE4136" w:rsidRPr="00E919F0" w:rsidRDefault="00EE4136">
            <w:pPr>
              <w:pStyle w:val="TableNText"/>
              <w:rPr>
                <w:rFonts w:asciiTheme="majorHAnsi" w:hAnsiTheme="majorHAnsi" w:cstheme="majorHAnsi"/>
              </w:rPr>
            </w:pPr>
            <w:r w:rsidRPr="00E919F0">
              <w:rPr>
                <w:rFonts w:asciiTheme="majorHAnsi" w:hAnsiTheme="majorHAnsi" w:cstheme="majorHAnsi"/>
              </w:rPr>
              <w:t>02 - Ear, Nose &amp; Throat</w:t>
            </w:r>
            <w:r w:rsidR="006E332E">
              <w:rPr>
                <w:rFonts w:asciiTheme="majorHAnsi" w:hAnsiTheme="majorHAnsi" w:cstheme="majorHAnsi"/>
              </w:rPr>
              <w:t xml:space="preserve"> (Part A</w:t>
            </w:r>
            <w:r w:rsidR="00160029">
              <w:rPr>
                <w:rFonts w:asciiTheme="majorHAnsi" w:hAnsiTheme="majorHAnsi" w:cstheme="majorHAnsi"/>
              </w:rPr>
              <w:t xml:space="preserve"> and C</w:t>
            </w:r>
            <w:r w:rsidR="006E332E">
              <w:rPr>
                <w:rFonts w:asciiTheme="majorHAnsi" w:hAnsiTheme="majorHAnsi" w:cstheme="majorHAnsi"/>
              </w:rPr>
              <w:t>)</w:t>
            </w:r>
          </w:p>
        </w:tc>
        <w:tc>
          <w:tcPr>
            <w:tcW w:w="2622" w:type="dxa"/>
            <w:vAlign w:val="center"/>
          </w:tcPr>
          <w:p w14:paraId="5BC47C0B" w14:textId="2C45C89F" w:rsidR="00EE4136" w:rsidRDefault="005F2594" w:rsidP="00EA6059">
            <w:pPr>
              <w:pStyle w:val="TableNText"/>
              <w:jc w:val="center"/>
            </w:pPr>
            <w:r>
              <w:t>$50</w:t>
            </w:r>
          </w:p>
        </w:tc>
        <w:tc>
          <w:tcPr>
            <w:tcW w:w="2623" w:type="dxa"/>
            <w:vAlign w:val="center"/>
          </w:tcPr>
          <w:p w14:paraId="1BD7925B" w14:textId="773BA96C" w:rsidR="00EE4136" w:rsidRDefault="00621B14" w:rsidP="00EA6059">
            <w:pPr>
              <w:pStyle w:val="TableNText"/>
              <w:jc w:val="center"/>
            </w:pPr>
            <w:r>
              <w:t>7.0%</w:t>
            </w:r>
          </w:p>
        </w:tc>
      </w:tr>
      <w:tr w:rsidR="00EE4136" w14:paraId="6ACE4EFB" w14:textId="77777777" w:rsidTr="00160029">
        <w:tc>
          <w:tcPr>
            <w:tcW w:w="3686" w:type="dxa"/>
          </w:tcPr>
          <w:p w14:paraId="50E65262" w14:textId="62380F07" w:rsidR="00EE4136" w:rsidRPr="00E919F0" w:rsidRDefault="00EE4136">
            <w:pPr>
              <w:pStyle w:val="TableNText"/>
              <w:rPr>
                <w:rFonts w:asciiTheme="majorHAnsi" w:hAnsiTheme="majorHAnsi" w:cstheme="majorHAnsi"/>
              </w:rPr>
            </w:pPr>
            <w:r w:rsidRPr="00E919F0">
              <w:rPr>
                <w:rFonts w:asciiTheme="majorHAnsi" w:hAnsiTheme="majorHAnsi" w:cstheme="majorHAnsi"/>
              </w:rPr>
              <w:t>03 - General Miscellaneous</w:t>
            </w:r>
            <w:r w:rsidR="006E332E">
              <w:rPr>
                <w:rFonts w:asciiTheme="majorHAnsi" w:hAnsiTheme="majorHAnsi" w:cstheme="majorHAnsi"/>
              </w:rPr>
              <w:t xml:space="preserve"> (Part A</w:t>
            </w:r>
            <w:r w:rsidR="00160029">
              <w:rPr>
                <w:rFonts w:asciiTheme="majorHAnsi" w:hAnsiTheme="majorHAnsi" w:cstheme="majorHAnsi"/>
              </w:rPr>
              <w:t xml:space="preserve"> and C</w:t>
            </w:r>
            <w:r w:rsidR="006E332E">
              <w:rPr>
                <w:rFonts w:asciiTheme="majorHAnsi" w:hAnsiTheme="majorHAnsi" w:cstheme="majorHAnsi"/>
              </w:rPr>
              <w:t>)</w:t>
            </w:r>
          </w:p>
        </w:tc>
        <w:tc>
          <w:tcPr>
            <w:tcW w:w="2622" w:type="dxa"/>
            <w:vAlign w:val="center"/>
          </w:tcPr>
          <w:p w14:paraId="2EF3686C" w14:textId="7A4388B2" w:rsidR="00EE4136" w:rsidRDefault="005F2594" w:rsidP="00EA6059">
            <w:pPr>
              <w:pStyle w:val="TableNText"/>
              <w:jc w:val="center"/>
            </w:pPr>
            <w:r>
              <w:t>$240</w:t>
            </w:r>
          </w:p>
        </w:tc>
        <w:tc>
          <w:tcPr>
            <w:tcW w:w="2623" w:type="dxa"/>
            <w:vAlign w:val="center"/>
          </w:tcPr>
          <w:p w14:paraId="4AF9C383" w14:textId="62E5FA46" w:rsidR="00EE4136" w:rsidRDefault="00621B14" w:rsidP="00EA6059">
            <w:pPr>
              <w:pStyle w:val="TableNText"/>
              <w:jc w:val="center"/>
            </w:pPr>
            <w:r>
              <w:t>104.</w:t>
            </w:r>
            <w:r w:rsidR="000B4538">
              <w:t>3</w:t>
            </w:r>
            <w:r>
              <w:t>%</w:t>
            </w:r>
          </w:p>
        </w:tc>
      </w:tr>
      <w:tr w:rsidR="00EE4136" w14:paraId="79C92987" w14:textId="77777777" w:rsidTr="00160029">
        <w:tc>
          <w:tcPr>
            <w:tcW w:w="3686" w:type="dxa"/>
          </w:tcPr>
          <w:p w14:paraId="07B8DD96" w14:textId="430D1A20" w:rsidR="00EE4136" w:rsidRPr="006E332E" w:rsidRDefault="00EE4136">
            <w:pPr>
              <w:pStyle w:val="TableNText"/>
            </w:pPr>
            <w:r w:rsidRPr="00E919F0">
              <w:rPr>
                <w:rFonts w:asciiTheme="majorHAnsi" w:hAnsiTheme="majorHAnsi" w:cstheme="majorHAnsi"/>
              </w:rPr>
              <w:t>04 - Neurosurgical</w:t>
            </w:r>
            <w:r w:rsidR="006E332E">
              <w:rPr>
                <w:rFonts w:asciiTheme="majorHAnsi" w:hAnsiTheme="majorHAnsi" w:cstheme="majorHAnsi"/>
              </w:rPr>
              <w:t xml:space="preserve"> (Part A</w:t>
            </w:r>
            <w:r w:rsidR="00160029">
              <w:rPr>
                <w:rFonts w:asciiTheme="majorHAnsi" w:hAnsiTheme="majorHAnsi" w:cstheme="majorHAnsi"/>
              </w:rPr>
              <w:t xml:space="preserve"> and C</w:t>
            </w:r>
            <w:r w:rsidR="006E332E">
              <w:rPr>
                <w:rFonts w:asciiTheme="majorHAnsi" w:hAnsiTheme="majorHAnsi" w:cstheme="majorHAnsi"/>
              </w:rPr>
              <w:t>)</w:t>
            </w:r>
          </w:p>
        </w:tc>
        <w:tc>
          <w:tcPr>
            <w:tcW w:w="2622" w:type="dxa"/>
            <w:vAlign w:val="center"/>
          </w:tcPr>
          <w:p w14:paraId="5A197445" w14:textId="4D589CC9" w:rsidR="00EE4136" w:rsidRDefault="005F2594" w:rsidP="00EA6059">
            <w:pPr>
              <w:pStyle w:val="TableNText"/>
              <w:jc w:val="center"/>
            </w:pPr>
            <w:r>
              <w:t>$1,600</w:t>
            </w:r>
          </w:p>
        </w:tc>
        <w:tc>
          <w:tcPr>
            <w:tcW w:w="2623" w:type="dxa"/>
            <w:vAlign w:val="center"/>
          </w:tcPr>
          <w:p w14:paraId="1D8E5E6C" w14:textId="6AE69AF0" w:rsidR="00EE4136" w:rsidRDefault="00621B14" w:rsidP="00EA6059">
            <w:pPr>
              <w:pStyle w:val="TableNText"/>
              <w:jc w:val="center"/>
            </w:pPr>
            <w:r>
              <w:t>69.</w:t>
            </w:r>
            <w:r w:rsidR="00C806AB">
              <w:t>6</w:t>
            </w:r>
            <w:r>
              <w:t>%</w:t>
            </w:r>
          </w:p>
        </w:tc>
      </w:tr>
      <w:tr w:rsidR="00EE4136" w14:paraId="48E620E7" w14:textId="77777777" w:rsidTr="00160029">
        <w:tc>
          <w:tcPr>
            <w:tcW w:w="3686" w:type="dxa"/>
          </w:tcPr>
          <w:p w14:paraId="354B0725" w14:textId="0313867F" w:rsidR="00EE4136" w:rsidRPr="006E332E" w:rsidRDefault="00EE4136">
            <w:pPr>
              <w:pStyle w:val="TableNText"/>
            </w:pPr>
            <w:r w:rsidRPr="00E919F0">
              <w:rPr>
                <w:rFonts w:asciiTheme="majorHAnsi" w:hAnsiTheme="majorHAnsi" w:cstheme="majorHAnsi"/>
              </w:rPr>
              <w:t xml:space="preserve">05 </w:t>
            </w:r>
            <w:r w:rsidR="00843466">
              <w:rPr>
                <w:rFonts w:asciiTheme="majorHAnsi" w:hAnsiTheme="majorHAnsi" w:cstheme="majorHAnsi"/>
              </w:rPr>
              <w:t>-</w:t>
            </w:r>
            <w:r w:rsidRPr="00E919F0">
              <w:rPr>
                <w:rFonts w:asciiTheme="majorHAnsi" w:hAnsiTheme="majorHAnsi" w:cstheme="majorHAnsi"/>
              </w:rPr>
              <w:t xml:space="preserve"> Urogenital</w:t>
            </w:r>
            <w:r w:rsidR="006E332E">
              <w:rPr>
                <w:rFonts w:asciiTheme="majorHAnsi" w:hAnsiTheme="majorHAnsi" w:cstheme="majorHAnsi"/>
              </w:rPr>
              <w:t xml:space="preserve"> (Part A</w:t>
            </w:r>
            <w:r w:rsidR="00160029">
              <w:rPr>
                <w:rFonts w:asciiTheme="majorHAnsi" w:hAnsiTheme="majorHAnsi" w:cstheme="majorHAnsi"/>
              </w:rPr>
              <w:t xml:space="preserve"> and C</w:t>
            </w:r>
            <w:r w:rsidR="006E332E">
              <w:rPr>
                <w:rFonts w:asciiTheme="majorHAnsi" w:hAnsiTheme="majorHAnsi" w:cstheme="majorHAnsi"/>
              </w:rPr>
              <w:t>)</w:t>
            </w:r>
          </w:p>
        </w:tc>
        <w:tc>
          <w:tcPr>
            <w:tcW w:w="2622" w:type="dxa"/>
            <w:vAlign w:val="center"/>
          </w:tcPr>
          <w:p w14:paraId="1A5DEDE3" w14:textId="0A4024E5" w:rsidR="00EE4136" w:rsidRDefault="006F1258" w:rsidP="00EA6059">
            <w:pPr>
              <w:pStyle w:val="TableNText"/>
              <w:jc w:val="center"/>
            </w:pPr>
            <w:r>
              <w:t>$180</w:t>
            </w:r>
          </w:p>
        </w:tc>
        <w:tc>
          <w:tcPr>
            <w:tcW w:w="2623" w:type="dxa"/>
            <w:vAlign w:val="center"/>
          </w:tcPr>
          <w:p w14:paraId="207BCFF8" w14:textId="4045D11A" w:rsidR="00EE4136" w:rsidRDefault="00621B14" w:rsidP="00EA6059">
            <w:pPr>
              <w:pStyle w:val="TableNText"/>
              <w:jc w:val="center"/>
            </w:pPr>
            <w:r>
              <w:t>21.</w:t>
            </w:r>
            <w:r w:rsidR="00C806AB">
              <w:t>7</w:t>
            </w:r>
            <w:r>
              <w:t>%</w:t>
            </w:r>
          </w:p>
        </w:tc>
      </w:tr>
      <w:tr w:rsidR="00EE4136" w14:paraId="6509FA55" w14:textId="77777777" w:rsidTr="00160029">
        <w:tc>
          <w:tcPr>
            <w:tcW w:w="3686" w:type="dxa"/>
          </w:tcPr>
          <w:p w14:paraId="3F892685" w14:textId="777DEE7D" w:rsidR="00EE4136" w:rsidRPr="00E919F0" w:rsidRDefault="00EE4136">
            <w:pPr>
              <w:pStyle w:val="TableNText"/>
              <w:rPr>
                <w:rFonts w:asciiTheme="majorHAnsi" w:hAnsiTheme="majorHAnsi" w:cstheme="majorHAnsi"/>
              </w:rPr>
            </w:pPr>
            <w:r w:rsidRPr="00E919F0">
              <w:rPr>
                <w:rFonts w:asciiTheme="majorHAnsi" w:hAnsiTheme="majorHAnsi" w:cstheme="majorHAnsi"/>
              </w:rPr>
              <w:t xml:space="preserve">06 </w:t>
            </w:r>
            <w:r w:rsidR="00843466">
              <w:rPr>
                <w:rFonts w:asciiTheme="majorHAnsi" w:hAnsiTheme="majorHAnsi" w:cstheme="majorHAnsi"/>
              </w:rPr>
              <w:t>-</w:t>
            </w:r>
            <w:r w:rsidRPr="00E919F0">
              <w:rPr>
                <w:rFonts w:asciiTheme="majorHAnsi" w:hAnsiTheme="majorHAnsi" w:cstheme="majorHAnsi"/>
              </w:rPr>
              <w:t xml:space="preserve"> Specialist Orthopaedic</w:t>
            </w:r>
            <w:r w:rsidR="006E332E">
              <w:rPr>
                <w:rFonts w:asciiTheme="majorHAnsi" w:hAnsiTheme="majorHAnsi" w:cstheme="majorHAnsi"/>
              </w:rPr>
              <w:t xml:space="preserve"> (Part A</w:t>
            </w:r>
            <w:r w:rsidR="00160029">
              <w:rPr>
                <w:rFonts w:asciiTheme="majorHAnsi" w:hAnsiTheme="majorHAnsi" w:cstheme="majorHAnsi"/>
              </w:rPr>
              <w:t xml:space="preserve"> and C</w:t>
            </w:r>
            <w:r w:rsidR="006E332E">
              <w:rPr>
                <w:rFonts w:asciiTheme="majorHAnsi" w:hAnsiTheme="majorHAnsi" w:cstheme="majorHAnsi"/>
              </w:rPr>
              <w:t>)</w:t>
            </w:r>
          </w:p>
        </w:tc>
        <w:tc>
          <w:tcPr>
            <w:tcW w:w="2622" w:type="dxa"/>
            <w:vAlign w:val="center"/>
          </w:tcPr>
          <w:p w14:paraId="0B9785AD" w14:textId="518C8565" w:rsidR="00EE4136" w:rsidRDefault="006F1258" w:rsidP="00EA6059">
            <w:pPr>
              <w:pStyle w:val="TableNText"/>
              <w:jc w:val="center"/>
            </w:pPr>
            <w:r>
              <w:t>$210</w:t>
            </w:r>
          </w:p>
        </w:tc>
        <w:tc>
          <w:tcPr>
            <w:tcW w:w="2623" w:type="dxa"/>
            <w:vAlign w:val="center"/>
          </w:tcPr>
          <w:p w14:paraId="4EEFEAA7" w14:textId="795C3823" w:rsidR="00EE4136" w:rsidRDefault="00D8283B" w:rsidP="00EA6059">
            <w:pPr>
              <w:pStyle w:val="TableNText"/>
              <w:jc w:val="center"/>
            </w:pPr>
            <w:r>
              <w:t>55.</w:t>
            </w:r>
            <w:r w:rsidR="00C806AB">
              <w:t>3</w:t>
            </w:r>
            <w:r>
              <w:t>%</w:t>
            </w:r>
          </w:p>
        </w:tc>
      </w:tr>
      <w:tr w:rsidR="00EE4136" w14:paraId="14941053" w14:textId="77777777" w:rsidTr="00160029">
        <w:tc>
          <w:tcPr>
            <w:tcW w:w="3686" w:type="dxa"/>
          </w:tcPr>
          <w:p w14:paraId="4AD57DC6" w14:textId="6C0F8725" w:rsidR="00EE4136" w:rsidRPr="00E919F0" w:rsidRDefault="00EE4136">
            <w:pPr>
              <w:pStyle w:val="TableNText"/>
              <w:rPr>
                <w:rFonts w:asciiTheme="majorHAnsi" w:hAnsiTheme="majorHAnsi" w:cstheme="majorHAnsi"/>
              </w:rPr>
            </w:pPr>
            <w:r w:rsidRPr="00E919F0">
              <w:rPr>
                <w:rFonts w:asciiTheme="majorHAnsi" w:hAnsiTheme="majorHAnsi" w:cstheme="majorHAnsi"/>
              </w:rPr>
              <w:t>07 - Plastic and Reconstructive</w:t>
            </w:r>
            <w:r w:rsidR="006E332E">
              <w:rPr>
                <w:rFonts w:asciiTheme="majorHAnsi" w:hAnsiTheme="majorHAnsi" w:cstheme="majorHAnsi"/>
              </w:rPr>
              <w:t xml:space="preserve"> (Part A</w:t>
            </w:r>
            <w:r w:rsidR="00160029">
              <w:rPr>
                <w:rFonts w:asciiTheme="majorHAnsi" w:hAnsiTheme="majorHAnsi" w:cstheme="majorHAnsi"/>
              </w:rPr>
              <w:t xml:space="preserve"> and C</w:t>
            </w:r>
            <w:r w:rsidR="006E332E">
              <w:rPr>
                <w:rFonts w:asciiTheme="majorHAnsi" w:hAnsiTheme="majorHAnsi" w:cstheme="majorHAnsi"/>
              </w:rPr>
              <w:t>)</w:t>
            </w:r>
          </w:p>
        </w:tc>
        <w:tc>
          <w:tcPr>
            <w:tcW w:w="2622" w:type="dxa"/>
            <w:vAlign w:val="center"/>
          </w:tcPr>
          <w:p w14:paraId="7B46E82C" w14:textId="0DE9C76D" w:rsidR="00EE4136" w:rsidRDefault="006F1258" w:rsidP="00EA6059">
            <w:pPr>
              <w:pStyle w:val="TableNText"/>
              <w:jc w:val="center"/>
            </w:pPr>
            <w:r>
              <w:t>$770</w:t>
            </w:r>
          </w:p>
        </w:tc>
        <w:tc>
          <w:tcPr>
            <w:tcW w:w="2623" w:type="dxa"/>
            <w:vAlign w:val="center"/>
          </w:tcPr>
          <w:p w14:paraId="6A45D89E" w14:textId="06C5ED71" w:rsidR="00EE4136" w:rsidRDefault="00D8283B" w:rsidP="00EA6059">
            <w:pPr>
              <w:pStyle w:val="TableNText"/>
              <w:jc w:val="center"/>
            </w:pPr>
            <w:r>
              <w:t>187.8%</w:t>
            </w:r>
          </w:p>
        </w:tc>
      </w:tr>
      <w:tr w:rsidR="00EE4136" w14:paraId="1E390AA2" w14:textId="77777777" w:rsidTr="00160029">
        <w:tc>
          <w:tcPr>
            <w:tcW w:w="3686" w:type="dxa"/>
          </w:tcPr>
          <w:p w14:paraId="0F42FB59" w14:textId="34FEB855" w:rsidR="00EE4136" w:rsidRPr="00E919F0" w:rsidRDefault="00EE4136">
            <w:pPr>
              <w:pStyle w:val="TableNText"/>
              <w:rPr>
                <w:rFonts w:asciiTheme="majorHAnsi" w:hAnsiTheme="majorHAnsi" w:cstheme="majorHAnsi"/>
              </w:rPr>
            </w:pPr>
            <w:r w:rsidRPr="00E919F0">
              <w:rPr>
                <w:rFonts w:asciiTheme="majorHAnsi" w:hAnsiTheme="majorHAnsi" w:cstheme="majorHAnsi"/>
              </w:rPr>
              <w:t>08 - Cardiac</w:t>
            </w:r>
            <w:r w:rsidR="006E332E">
              <w:rPr>
                <w:rFonts w:asciiTheme="majorHAnsi" w:hAnsiTheme="majorHAnsi" w:cstheme="majorHAnsi"/>
              </w:rPr>
              <w:t xml:space="preserve"> (Part A</w:t>
            </w:r>
            <w:r w:rsidR="00160029">
              <w:rPr>
                <w:rFonts w:asciiTheme="majorHAnsi" w:hAnsiTheme="majorHAnsi" w:cstheme="majorHAnsi"/>
              </w:rPr>
              <w:t xml:space="preserve"> and C</w:t>
            </w:r>
            <w:r w:rsidR="006E332E">
              <w:rPr>
                <w:rFonts w:asciiTheme="majorHAnsi" w:hAnsiTheme="majorHAnsi" w:cstheme="majorHAnsi"/>
              </w:rPr>
              <w:t>)</w:t>
            </w:r>
          </w:p>
        </w:tc>
        <w:tc>
          <w:tcPr>
            <w:tcW w:w="2622" w:type="dxa"/>
            <w:vAlign w:val="center"/>
          </w:tcPr>
          <w:p w14:paraId="17B14BD8" w14:textId="2B1A52DC" w:rsidR="00EE4136" w:rsidRDefault="006F1258" w:rsidP="00EA6059">
            <w:pPr>
              <w:pStyle w:val="TableNText"/>
              <w:jc w:val="center"/>
            </w:pPr>
            <w:r>
              <w:t>$</w:t>
            </w:r>
            <w:r w:rsidR="007D2A6C">
              <w:t>420</w:t>
            </w:r>
          </w:p>
        </w:tc>
        <w:tc>
          <w:tcPr>
            <w:tcW w:w="2623" w:type="dxa"/>
            <w:vAlign w:val="center"/>
          </w:tcPr>
          <w:p w14:paraId="07B74E07" w14:textId="754A27EC" w:rsidR="00EE4136" w:rsidRDefault="00074221" w:rsidP="00EA6059">
            <w:pPr>
              <w:pStyle w:val="TableNText"/>
              <w:jc w:val="center"/>
            </w:pPr>
            <w:r>
              <w:t>11.7</w:t>
            </w:r>
            <w:r w:rsidR="00D8283B">
              <w:t>%</w:t>
            </w:r>
          </w:p>
        </w:tc>
      </w:tr>
      <w:tr w:rsidR="00EE4136" w14:paraId="106B6BB2" w14:textId="77777777" w:rsidTr="00160029">
        <w:tc>
          <w:tcPr>
            <w:tcW w:w="3686" w:type="dxa"/>
          </w:tcPr>
          <w:p w14:paraId="0D59A326" w14:textId="28BC21CB" w:rsidR="00EE4136" w:rsidRPr="00E919F0" w:rsidRDefault="00EE4136">
            <w:pPr>
              <w:pStyle w:val="TableNText"/>
              <w:rPr>
                <w:rFonts w:asciiTheme="majorHAnsi" w:hAnsiTheme="majorHAnsi" w:cstheme="majorHAnsi"/>
              </w:rPr>
            </w:pPr>
            <w:r w:rsidRPr="00E919F0">
              <w:rPr>
                <w:rFonts w:asciiTheme="majorHAnsi" w:hAnsiTheme="majorHAnsi" w:cstheme="majorHAnsi"/>
              </w:rPr>
              <w:t>09 - Cardiothoracic</w:t>
            </w:r>
            <w:r w:rsidR="006E332E">
              <w:rPr>
                <w:rFonts w:asciiTheme="majorHAnsi" w:hAnsiTheme="majorHAnsi" w:cstheme="majorHAnsi"/>
              </w:rPr>
              <w:t xml:space="preserve"> (Part A</w:t>
            </w:r>
            <w:r w:rsidR="00160029">
              <w:rPr>
                <w:rFonts w:asciiTheme="majorHAnsi" w:hAnsiTheme="majorHAnsi" w:cstheme="majorHAnsi"/>
              </w:rPr>
              <w:t xml:space="preserve"> and C</w:t>
            </w:r>
            <w:r w:rsidR="006E332E">
              <w:rPr>
                <w:rFonts w:asciiTheme="majorHAnsi" w:hAnsiTheme="majorHAnsi" w:cstheme="majorHAnsi"/>
              </w:rPr>
              <w:t>)</w:t>
            </w:r>
          </w:p>
        </w:tc>
        <w:tc>
          <w:tcPr>
            <w:tcW w:w="2622" w:type="dxa"/>
            <w:vAlign w:val="center"/>
          </w:tcPr>
          <w:p w14:paraId="42D4A86B" w14:textId="1DF6B0E9" w:rsidR="00EE4136" w:rsidRDefault="006F1258" w:rsidP="00EA6059">
            <w:pPr>
              <w:pStyle w:val="TableNText"/>
              <w:jc w:val="center"/>
            </w:pPr>
            <w:r>
              <w:t>$1,100</w:t>
            </w:r>
          </w:p>
        </w:tc>
        <w:tc>
          <w:tcPr>
            <w:tcW w:w="2623" w:type="dxa"/>
            <w:vAlign w:val="center"/>
          </w:tcPr>
          <w:p w14:paraId="734DF2E0" w14:textId="0278126C" w:rsidR="00EE4136" w:rsidRDefault="00D8283B" w:rsidP="00EA6059">
            <w:pPr>
              <w:pStyle w:val="TableNText"/>
              <w:jc w:val="center"/>
            </w:pPr>
            <w:r>
              <w:t>4</w:t>
            </w:r>
            <w:r w:rsidR="007F50DA">
              <w:t>4.0</w:t>
            </w:r>
            <w:r>
              <w:t>%</w:t>
            </w:r>
          </w:p>
        </w:tc>
      </w:tr>
      <w:tr w:rsidR="00EE4136" w14:paraId="6966B480" w14:textId="77777777" w:rsidTr="00160029">
        <w:tc>
          <w:tcPr>
            <w:tcW w:w="3686" w:type="dxa"/>
          </w:tcPr>
          <w:p w14:paraId="040F49EF" w14:textId="10A46B80" w:rsidR="00EE4136" w:rsidRPr="00E919F0" w:rsidRDefault="00EE4136">
            <w:pPr>
              <w:pStyle w:val="TableNText"/>
              <w:rPr>
                <w:rFonts w:asciiTheme="majorHAnsi" w:hAnsiTheme="majorHAnsi" w:cstheme="majorHAnsi"/>
              </w:rPr>
            </w:pPr>
            <w:r w:rsidRPr="00E919F0">
              <w:rPr>
                <w:rFonts w:asciiTheme="majorHAnsi" w:hAnsiTheme="majorHAnsi" w:cstheme="majorHAnsi"/>
              </w:rPr>
              <w:t>10 - Vascular</w:t>
            </w:r>
            <w:r w:rsidR="006E332E">
              <w:rPr>
                <w:rFonts w:asciiTheme="majorHAnsi" w:hAnsiTheme="majorHAnsi" w:cstheme="majorHAnsi"/>
              </w:rPr>
              <w:t xml:space="preserve"> (Part A</w:t>
            </w:r>
            <w:r w:rsidR="00160029">
              <w:rPr>
                <w:rFonts w:asciiTheme="majorHAnsi" w:hAnsiTheme="majorHAnsi" w:cstheme="majorHAnsi"/>
              </w:rPr>
              <w:t xml:space="preserve"> and C</w:t>
            </w:r>
            <w:r w:rsidR="006E332E">
              <w:rPr>
                <w:rFonts w:asciiTheme="majorHAnsi" w:hAnsiTheme="majorHAnsi" w:cstheme="majorHAnsi"/>
              </w:rPr>
              <w:t>)</w:t>
            </w:r>
          </w:p>
        </w:tc>
        <w:tc>
          <w:tcPr>
            <w:tcW w:w="2622" w:type="dxa"/>
            <w:vAlign w:val="center"/>
          </w:tcPr>
          <w:p w14:paraId="59940720" w14:textId="150EC2CC" w:rsidR="00EE4136" w:rsidRDefault="006F1258" w:rsidP="00EA6059">
            <w:pPr>
              <w:pStyle w:val="TableNText"/>
              <w:jc w:val="center"/>
            </w:pPr>
            <w:r>
              <w:t>$530</w:t>
            </w:r>
          </w:p>
        </w:tc>
        <w:tc>
          <w:tcPr>
            <w:tcW w:w="2623" w:type="dxa"/>
            <w:vAlign w:val="center"/>
          </w:tcPr>
          <w:p w14:paraId="1EE24466" w14:textId="32F2E664" w:rsidR="00EE4136" w:rsidRDefault="00D8283B" w:rsidP="00EA6059">
            <w:pPr>
              <w:pStyle w:val="TableNText"/>
              <w:jc w:val="center"/>
            </w:pPr>
            <w:r>
              <w:t>75.</w:t>
            </w:r>
            <w:r w:rsidR="003D3EAC">
              <w:t>7%</w:t>
            </w:r>
          </w:p>
        </w:tc>
      </w:tr>
      <w:tr w:rsidR="00EE4136" w14:paraId="727DBC48" w14:textId="77777777" w:rsidTr="00160029">
        <w:tc>
          <w:tcPr>
            <w:tcW w:w="3686" w:type="dxa"/>
          </w:tcPr>
          <w:p w14:paraId="24277C3A" w14:textId="5084A18E" w:rsidR="00EE4136" w:rsidRPr="00E919F0" w:rsidRDefault="00EE4136">
            <w:pPr>
              <w:pStyle w:val="TableNText"/>
              <w:rPr>
                <w:rFonts w:asciiTheme="majorHAnsi" w:hAnsiTheme="majorHAnsi" w:cstheme="majorHAnsi"/>
              </w:rPr>
            </w:pPr>
            <w:r w:rsidRPr="00E919F0">
              <w:rPr>
                <w:rFonts w:asciiTheme="majorHAnsi" w:hAnsiTheme="majorHAnsi" w:cstheme="majorHAnsi"/>
              </w:rPr>
              <w:t>11 - Hip</w:t>
            </w:r>
            <w:r w:rsidR="006E332E">
              <w:rPr>
                <w:rFonts w:asciiTheme="majorHAnsi" w:hAnsiTheme="majorHAnsi" w:cstheme="majorHAnsi"/>
              </w:rPr>
              <w:t xml:space="preserve"> (Part A</w:t>
            </w:r>
            <w:r w:rsidR="00160029">
              <w:rPr>
                <w:rFonts w:asciiTheme="majorHAnsi" w:hAnsiTheme="majorHAnsi" w:cstheme="majorHAnsi"/>
              </w:rPr>
              <w:t xml:space="preserve"> and C</w:t>
            </w:r>
            <w:r w:rsidR="006E332E">
              <w:rPr>
                <w:rFonts w:asciiTheme="majorHAnsi" w:hAnsiTheme="majorHAnsi" w:cstheme="majorHAnsi"/>
              </w:rPr>
              <w:t>)</w:t>
            </w:r>
          </w:p>
        </w:tc>
        <w:tc>
          <w:tcPr>
            <w:tcW w:w="2622" w:type="dxa"/>
            <w:vAlign w:val="center"/>
          </w:tcPr>
          <w:p w14:paraId="19D57BDD" w14:textId="0ADB4D38" w:rsidR="00EE4136" w:rsidRDefault="006F1258" w:rsidP="00EA6059">
            <w:pPr>
              <w:pStyle w:val="TableNText"/>
              <w:jc w:val="center"/>
            </w:pPr>
            <w:r>
              <w:t>$850</w:t>
            </w:r>
          </w:p>
        </w:tc>
        <w:tc>
          <w:tcPr>
            <w:tcW w:w="2623" w:type="dxa"/>
            <w:vAlign w:val="center"/>
          </w:tcPr>
          <w:p w14:paraId="2DFD8901" w14:textId="2B7D5722" w:rsidR="00EE4136" w:rsidRDefault="003D3EAC" w:rsidP="00EA6059">
            <w:pPr>
              <w:pStyle w:val="TableNText"/>
              <w:jc w:val="center"/>
            </w:pPr>
            <w:r>
              <w:t>50.0%</w:t>
            </w:r>
          </w:p>
        </w:tc>
      </w:tr>
      <w:tr w:rsidR="00EE4136" w14:paraId="2D5C8748" w14:textId="77777777" w:rsidTr="00160029">
        <w:tc>
          <w:tcPr>
            <w:tcW w:w="3686" w:type="dxa"/>
          </w:tcPr>
          <w:p w14:paraId="5CAD1CF3" w14:textId="06552040" w:rsidR="00EE4136" w:rsidRPr="00E919F0" w:rsidRDefault="00EE4136">
            <w:pPr>
              <w:pStyle w:val="TableNText"/>
              <w:rPr>
                <w:rFonts w:asciiTheme="majorHAnsi" w:hAnsiTheme="majorHAnsi" w:cstheme="majorHAnsi"/>
              </w:rPr>
            </w:pPr>
            <w:r w:rsidRPr="00E919F0">
              <w:rPr>
                <w:rFonts w:asciiTheme="majorHAnsi" w:hAnsiTheme="majorHAnsi" w:cstheme="majorHAnsi"/>
              </w:rPr>
              <w:t>12 - Knee</w:t>
            </w:r>
            <w:r w:rsidR="006E332E">
              <w:rPr>
                <w:rFonts w:asciiTheme="majorHAnsi" w:hAnsiTheme="majorHAnsi" w:cstheme="majorHAnsi"/>
              </w:rPr>
              <w:t xml:space="preserve"> (Part A</w:t>
            </w:r>
            <w:r w:rsidR="00160029">
              <w:rPr>
                <w:rFonts w:asciiTheme="majorHAnsi" w:hAnsiTheme="majorHAnsi" w:cstheme="majorHAnsi"/>
              </w:rPr>
              <w:t xml:space="preserve"> and C</w:t>
            </w:r>
            <w:r w:rsidR="006E332E">
              <w:rPr>
                <w:rFonts w:asciiTheme="majorHAnsi" w:hAnsiTheme="majorHAnsi" w:cstheme="majorHAnsi"/>
              </w:rPr>
              <w:t>)</w:t>
            </w:r>
          </w:p>
        </w:tc>
        <w:tc>
          <w:tcPr>
            <w:tcW w:w="2622" w:type="dxa"/>
            <w:vAlign w:val="center"/>
          </w:tcPr>
          <w:p w14:paraId="783C8DC9" w14:textId="55829B47" w:rsidR="00EE4136" w:rsidRDefault="006F1258" w:rsidP="00EA6059">
            <w:pPr>
              <w:pStyle w:val="TableNText"/>
              <w:jc w:val="center"/>
            </w:pPr>
            <w:r>
              <w:t>$890</w:t>
            </w:r>
          </w:p>
        </w:tc>
        <w:tc>
          <w:tcPr>
            <w:tcW w:w="2623" w:type="dxa"/>
            <w:vAlign w:val="center"/>
          </w:tcPr>
          <w:p w14:paraId="46184D5B" w14:textId="7B744528" w:rsidR="00EE4136" w:rsidRDefault="003D3EAC" w:rsidP="00EA6059">
            <w:pPr>
              <w:pStyle w:val="TableNText"/>
              <w:jc w:val="center"/>
            </w:pPr>
            <w:r>
              <w:t>52.</w:t>
            </w:r>
            <w:r w:rsidR="00C806AB">
              <w:t>4</w:t>
            </w:r>
            <w:r>
              <w:t>%</w:t>
            </w:r>
          </w:p>
        </w:tc>
      </w:tr>
      <w:tr w:rsidR="00EE4136" w14:paraId="1DC34715" w14:textId="77777777" w:rsidTr="00160029">
        <w:tc>
          <w:tcPr>
            <w:tcW w:w="3686" w:type="dxa"/>
          </w:tcPr>
          <w:p w14:paraId="51BEAC39" w14:textId="55B874F3" w:rsidR="00EE4136" w:rsidRPr="006E332E" w:rsidRDefault="00EE4136">
            <w:pPr>
              <w:pStyle w:val="TableNText"/>
            </w:pPr>
            <w:r w:rsidRPr="00E919F0">
              <w:rPr>
                <w:rFonts w:asciiTheme="majorHAnsi" w:hAnsiTheme="majorHAnsi" w:cstheme="majorHAnsi"/>
              </w:rPr>
              <w:t>13 - Spinal</w:t>
            </w:r>
            <w:r w:rsidR="006E332E">
              <w:rPr>
                <w:rFonts w:asciiTheme="majorHAnsi" w:hAnsiTheme="majorHAnsi" w:cstheme="majorHAnsi"/>
              </w:rPr>
              <w:t xml:space="preserve"> (Part A</w:t>
            </w:r>
            <w:r w:rsidR="00160029">
              <w:rPr>
                <w:rFonts w:asciiTheme="majorHAnsi" w:hAnsiTheme="majorHAnsi" w:cstheme="majorHAnsi"/>
              </w:rPr>
              <w:t xml:space="preserve"> and C</w:t>
            </w:r>
            <w:r w:rsidR="006E332E">
              <w:rPr>
                <w:rFonts w:asciiTheme="majorHAnsi" w:hAnsiTheme="majorHAnsi" w:cstheme="majorHAnsi"/>
              </w:rPr>
              <w:t>)</w:t>
            </w:r>
          </w:p>
        </w:tc>
        <w:tc>
          <w:tcPr>
            <w:tcW w:w="2622" w:type="dxa"/>
            <w:vAlign w:val="center"/>
          </w:tcPr>
          <w:p w14:paraId="1AE1E319" w14:textId="30A36C00" w:rsidR="00EE4136" w:rsidRDefault="006F1258" w:rsidP="00EA6059">
            <w:pPr>
              <w:pStyle w:val="TableNText"/>
              <w:jc w:val="center"/>
            </w:pPr>
            <w:r>
              <w:t>$630</w:t>
            </w:r>
          </w:p>
        </w:tc>
        <w:tc>
          <w:tcPr>
            <w:tcW w:w="2623" w:type="dxa"/>
            <w:vAlign w:val="center"/>
          </w:tcPr>
          <w:p w14:paraId="66D1E822" w14:textId="368E179A" w:rsidR="00EE4136" w:rsidRDefault="003D3EAC" w:rsidP="00EA6059">
            <w:pPr>
              <w:pStyle w:val="TableNText"/>
              <w:jc w:val="center"/>
            </w:pPr>
            <w:r>
              <w:t>69.2</w:t>
            </w:r>
            <w:r w:rsidR="001F749F">
              <w:t>%</w:t>
            </w:r>
          </w:p>
        </w:tc>
      </w:tr>
      <w:tr w:rsidR="006E35AD" w14:paraId="7B18A971" w14:textId="77777777" w:rsidTr="00160029">
        <w:trPr>
          <w:trHeight w:val="18"/>
        </w:trPr>
        <w:tc>
          <w:tcPr>
            <w:tcW w:w="3686" w:type="dxa"/>
            <w:shd w:val="clear" w:color="auto" w:fill="FFFFFF" w:themeFill="background1"/>
          </w:tcPr>
          <w:p w14:paraId="386B3BA2" w14:textId="415434E7" w:rsidR="006E35AD" w:rsidRPr="004B74A0" w:rsidRDefault="006E35AD" w:rsidP="00EA6059">
            <w:pPr>
              <w:pStyle w:val="TableNText"/>
              <w:rPr>
                <w:rFonts w:asciiTheme="majorHAnsi" w:hAnsiTheme="majorHAnsi" w:cstheme="majorHAnsi"/>
              </w:rPr>
            </w:pPr>
            <w:r w:rsidRPr="004B74A0">
              <w:rPr>
                <w:rFonts w:asciiTheme="majorHAnsi" w:hAnsiTheme="majorHAnsi" w:cstheme="majorHAnsi"/>
              </w:rPr>
              <w:t>Part B (all categories)</w:t>
            </w:r>
          </w:p>
        </w:tc>
        <w:tc>
          <w:tcPr>
            <w:tcW w:w="2622" w:type="dxa"/>
            <w:shd w:val="clear" w:color="auto" w:fill="FFFFFF" w:themeFill="background1"/>
            <w:vAlign w:val="center"/>
          </w:tcPr>
          <w:p w14:paraId="04DB7B9E" w14:textId="6D6025EF" w:rsidR="006E35AD" w:rsidRDefault="007A20C1" w:rsidP="00EA6059">
            <w:pPr>
              <w:pStyle w:val="TableNText"/>
              <w:jc w:val="center"/>
            </w:pPr>
            <w:r>
              <w:t>$420</w:t>
            </w:r>
          </w:p>
        </w:tc>
        <w:tc>
          <w:tcPr>
            <w:tcW w:w="2623" w:type="dxa"/>
            <w:shd w:val="clear" w:color="auto" w:fill="FFFFFF" w:themeFill="background1"/>
            <w:vAlign w:val="center"/>
          </w:tcPr>
          <w:p w14:paraId="732204A2" w14:textId="0CF0D5D0" w:rsidR="006E35AD" w:rsidRDefault="00B91B54" w:rsidP="00EA6059">
            <w:pPr>
              <w:pStyle w:val="TableNText"/>
              <w:jc w:val="center"/>
            </w:pPr>
            <w:r>
              <w:t>1</w:t>
            </w:r>
            <w:r w:rsidR="00121356">
              <w:t>2</w:t>
            </w:r>
            <w:r>
              <w:t>.</w:t>
            </w:r>
            <w:r w:rsidR="00121356">
              <w:t>7</w:t>
            </w:r>
            <w:r>
              <w:t>%</w:t>
            </w:r>
          </w:p>
        </w:tc>
      </w:tr>
    </w:tbl>
    <w:p w14:paraId="33C01065" w14:textId="77777777" w:rsidR="009070A2" w:rsidRDefault="009070A2" w:rsidP="009070A2">
      <w:pPr>
        <w:rPr>
          <w:lang w:eastAsia="en-AU"/>
        </w:rPr>
      </w:pPr>
    </w:p>
    <w:p w14:paraId="5F79CB97" w14:textId="77777777" w:rsidR="00005237" w:rsidRPr="00974105" w:rsidRDefault="00005237" w:rsidP="009667DE">
      <w:pPr>
        <w:pStyle w:val="Heading2"/>
        <w:numPr>
          <w:ilvl w:val="0"/>
          <w:numId w:val="0"/>
        </w:numPr>
      </w:pPr>
      <w:bookmarkStart w:id="81" w:name="_Toc179453691"/>
      <w:r w:rsidRPr="00974105">
        <w:t xml:space="preserve">Indicator </w:t>
      </w:r>
      <w:r>
        <w:t>4</w:t>
      </w:r>
      <w:r w:rsidRPr="00974105">
        <w:t xml:space="preserve">: </w:t>
      </w:r>
      <w:r w:rsidRPr="00DE4EAF">
        <w:t xml:space="preserve">Change in clinician experience of choosing </w:t>
      </w:r>
      <w:proofErr w:type="gramStart"/>
      <w:r w:rsidRPr="00DE4EAF">
        <w:t>prostheses</w:t>
      </w:r>
      <w:bookmarkEnd w:id="81"/>
      <w:proofErr w:type="gramEnd"/>
    </w:p>
    <w:p w14:paraId="1CE7BC27" w14:textId="77777777" w:rsidR="002A6B14" w:rsidRDefault="002A6B14" w:rsidP="009667DE">
      <w:pPr>
        <w:pStyle w:val="Heading4"/>
      </w:pPr>
      <w:r w:rsidRPr="0BCC15EA">
        <w:rPr>
          <w:color w:val="F25E21" w:themeColor="accent2"/>
        </w:rPr>
        <w:t xml:space="preserve">Measure </w:t>
      </w:r>
      <w:r>
        <w:rPr>
          <w:color w:val="F25E21" w:themeColor="accent2"/>
        </w:rPr>
        <w:t>4</w:t>
      </w:r>
      <w:r w:rsidRPr="0BCC15EA">
        <w:rPr>
          <w:color w:val="F25E21" w:themeColor="accent2"/>
        </w:rPr>
        <w:t>.1</w:t>
      </w:r>
      <w:r>
        <w:t>: Clinician perspectives on the level of clinician choice</w:t>
      </w:r>
    </w:p>
    <w:p w14:paraId="0129EF1A" w14:textId="77777777" w:rsidR="002A6B14" w:rsidRPr="00EA6059" w:rsidRDefault="002A6B14" w:rsidP="00EA6059">
      <w:pPr>
        <w:pStyle w:val="Heading6"/>
        <w:spacing w:before="120"/>
      </w:pPr>
      <w:r w:rsidRPr="00EA6059">
        <w:t>Measurement guide</w:t>
      </w:r>
    </w:p>
    <w:p w14:paraId="59BDEC7D" w14:textId="27F118AB" w:rsidR="00AF1F34" w:rsidRDefault="009667DE" w:rsidP="009667DE">
      <w:r w:rsidRPr="004172BC">
        <w:t>This meas</w:t>
      </w:r>
      <w:r w:rsidR="00171E5C" w:rsidRPr="004172BC">
        <w:t>ure will</w:t>
      </w:r>
      <w:r w:rsidR="00171E5C">
        <w:t xml:space="preserve"> look at </w:t>
      </w:r>
      <w:r w:rsidR="00E222A7">
        <w:t>perspectives on the level of clinician choice</w:t>
      </w:r>
      <w:r w:rsidR="00535776">
        <w:t xml:space="preserve"> and examine any drivers and effect </w:t>
      </w:r>
      <w:r w:rsidR="00B45B7A">
        <w:t>of changes in perceived choice</w:t>
      </w:r>
      <w:r w:rsidR="00E222A7">
        <w:t xml:space="preserve">. </w:t>
      </w:r>
      <w:r w:rsidR="003068A5">
        <w:t xml:space="preserve">Fundamental to PL </w:t>
      </w:r>
      <w:r w:rsidR="00693673">
        <w:t xml:space="preserve">is that it enables clinicians </w:t>
      </w:r>
      <w:r w:rsidR="00630D61">
        <w:t xml:space="preserve">the </w:t>
      </w:r>
      <w:r w:rsidR="002A6B14">
        <w:t>choice of any listed prostheses on the PL</w:t>
      </w:r>
      <w:r w:rsidR="008F4F72">
        <w:t xml:space="preserve"> </w:t>
      </w:r>
      <w:r w:rsidR="00A96951">
        <w:t xml:space="preserve">as </w:t>
      </w:r>
      <w:r w:rsidR="002A6B14" w:rsidRPr="0BCC15EA">
        <w:t>it is guaranteed the private health insurer will pay the scheduled benefit and therefore cover the cost.</w:t>
      </w:r>
      <w:r w:rsidR="002A6B14" w:rsidRPr="0BCC15EA">
        <w:rPr>
          <w:rStyle w:val="FootnoteReference"/>
        </w:rPr>
        <w:footnoteReference w:id="139"/>
      </w:r>
      <w:r w:rsidR="002A6B14" w:rsidRPr="0BCC15EA">
        <w:t xml:space="preserve"> </w:t>
      </w:r>
      <w:r w:rsidR="00F5512D">
        <w:t xml:space="preserve">While </w:t>
      </w:r>
      <w:r w:rsidR="004E4965">
        <w:t xml:space="preserve">the reforms are not expected to change </w:t>
      </w:r>
      <w:r w:rsidR="00455B2E">
        <w:t xml:space="preserve">this important function, </w:t>
      </w:r>
      <w:r w:rsidR="006E7EA3">
        <w:t xml:space="preserve">the clinician </w:t>
      </w:r>
      <w:r w:rsidR="006E7EA3" w:rsidRPr="006E7EA3">
        <w:rPr>
          <w:i/>
          <w:iCs/>
        </w:rPr>
        <w:t>experience</w:t>
      </w:r>
      <w:r w:rsidR="006E7EA3">
        <w:t xml:space="preserve"> of choice may be affected</w:t>
      </w:r>
      <w:r w:rsidR="0074505A">
        <w:t xml:space="preserve">. </w:t>
      </w:r>
      <w:r w:rsidR="007E75F8">
        <w:t xml:space="preserve">This measure will document </w:t>
      </w:r>
      <w:r w:rsidR="00FD13F4">
        <w:t xml:space="preserve">clinician perspectives of whether they </w:t>
      </w:r>
      <w:proofErr w:type="gramStart"/>
      <w:r w:rsidR="00FD13F4">
        <w:t>are capable of obtaining</w:t>
      </w:r>
      <w:proofErr w:type="gramEnd"/>
      <w:r w:rsidR="00FD13F4">
        <w:t xml:space="preserve"> </w:t>
      </w:r>
      <w:r w:rsidR="00A64353">
        <w:t xml:space="preserve">the most appropriate </w:t>
      </w:r>
      <w:r w:rsidR="00FD13F4">
        <w:t>prostheses or human tissue product</w:t>
      </w:r>
      <w:r w:rsidR="0053405D">
        <w:t xml:space="preserve">, and </w:t>
      </w:r>
      <w:r w:rsidR="00F424DC">
        <w:t>what constraining factors impact this</w:t>
      </w:r>
      <w:r w:rsidR="009B1571">
        <w:t>.</w:t>
      </w:r>
      <w:r w:rsidR="00E00930">
        <w:t xml:space="preserve"> Important to this</w:t>
      </w:r>
      <w:r w:rsidR="00660ABC">
        <w:t xml:space="preserve"> measure </w:t>
      </w:r>
      <w:r w:rsidR="00AC77AA">
        <w:t>is separating</w:t>
      </w:r>
      <w:r w:rsidR="00E33996">
        <w:t xml:space="preserve"> what are </w:t>
      </w:r>
      <w:r w:rsidR="00CE2794">
        <w:t xml:space="preserve">existing </w:t>
      </w:r>
      <w:r w:rsidR="00F830C7">
        <w:t>attributes</w:t>
      </w:r>
      <w:r w:rsidR="00CE2794">
        <w:t xml:space="preserve"> of healthcare procurement</w:t>
      </w:r>
      <w:r w:rsidR="00D34075">
        <w:t xml:space="preserve"> (for example, </w:t>
      </w:r>
      <w:r w:rsidR="00EA3211">
        <w:t xml:space="preserve">the </w:t>
      </w:r>
      <w:r w:rsidR="00A27A0D">
        <w:t>influence</w:t>
      </w:r>
      <w:r w:rsidR="00EA3211">
        <w:t xml:space="preserve"> private hospitals</w:t>
      </w:r>
      <w:r w:rsidR="00B933E9">
        <w:t xml:space="preserve"> </w:t>
      </w:r>
      <w:r w:rsidR="00A27A0D">
        <w:t xml:space="preserve">have on </w:t>
      </w:r>
      <w:r w:rsidR="0054469F">
        <w:t xml:space="preserve">what </w:t>
      </w:r>
      <w:r w:rsidR="0085305B">
        <w:t>devices are</w:t>
      </w:r>
      <w:r w:rsidR="00963EE8">
        <w:t xml:space="preserve"> made available to their clinicians</w:t>
      </w:r>
      <w:r w:rsidR="0011046E">
        <w:t xml:space="preserve">) </w:t>
      </w:r>
      <w:r w:rsidR="008D4B46">
        <w:t>and what</w:t>
      </w:r>
      <w:r w:rsidR="00D717A4">
        <w:t xml:space="preserve"> </w:t>
      </w:r>
      <w:r w:rsidR="004843FC">
        <w:t xml:space="preserve">might be a change </w:t>
      </w:r>
      <w:r w:rsidR="000C6792">
        <w:t>that is attributable to PL reform.</w:t>
      </w:r>
    </w:p>
    <w:p w14:paraId="15162635" w14:textId="77777777" w:rsidR="002A6B14" w:rsidRPr="00EA6059" w:rsidRDefault="002A6B14" w:rsidP="00EA6059">
      <w:pPr>
        <w:pStyle w:val="Heading6"/>
        <w:spacing w:before="120"/>
      </w:pPr>
      <w:r w:rsidRPr="00EA6059">
        <w:lastRenderedPageBreak/>
        <w:t>Baseline value</w:t>
      </w:r>
    </w:p>
    <w:p w14:paraId="44BFDE1D" w14:textId="23682D75" w:rsidR="002A6B14" w:rsidRPr="00986A25" w:rsidRDefault="00EE69CA" w:rsidP="00986A25">
      <w:pPr>
        <w:rPr>
          <w:rFonts w:asciiTheme="minorHAnsi" w:hAnsiTheme="minorHAnsi" w:cstheme="minorHAnsi"/>
          <w:i/>
        </w:rPr>
      </w:pPr>
      <w:r w:rsidRPr="00984C50">
        <w:rPr>
          <w:noProof/>
        </w:rPr>
        <mc:AlternateContent>
          <mc:Choice Requires="wps">
            <w:drawing>
              <wp:anchor distT="0" distB="0" distL="114300" distR="114300" simplePos="0" relativeHeight="251658258" behindDoc="0" locked="0" layoutInCell="1" allowOverlap="1" wp14:anchorId="4E00F0A8" wp14:editId="5434F19D">
                <wp:simplePos x="0" y="0"/>
                <wp:positionH relativeFrom="column">
                  <wp:posOffset>3691255</wp:posOffset>
                </wp:positionH>
                <wp:positionV relativeFrom="paragraph">
                  <wp:posOffset>473217</wp:posOffset>
                </wp:positionV>
                <wp:extent cx="1952625" cy="1704975"/>
                <wp:effectExtent l="0" t="0" r="9525" b="9525"/>
                <wp:wrapSquare wrapText="bothSides"/>
                <wp:docPr id="964234608" name="Text Box 9642346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52625" cy="170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06F19" w14:textId="77777777" w:rsidR="002A6B14" w:rsidRDefault="002A6B14" w:rsidP="002A6B14">
                            <w:pPr>
                              <w:pStyle w:val="Callout"/>
                              <w:jc w:val="right"/>
                              <w:rPr>
                                <w:i/>
                                <w:iCs/>
                                <w:color w:val="F25E21" w:themeColor="accent2"/>
                                <w:sz w:val="20"/>
                                <w:szCs w:val="20"/>
                              </w:rPr>
                            </w:pPr>
                            <w:r w:rsidRPr="007152F0">
                              <w:rPr>
                                <w:i/>
                                <w:iCs/>
                                <w:color w:val="F25E21" w:themeColor="accent2"/>
                                <w:sz w:val="20"/>
                                <w:szCs w:val="20"/>
                              </w:rPr>
                              <w:t>“</w:t>
                            </w:r>
                            <w:r>
                              <w:rPr>
                                <w:i/>
                                <w:iCs/>
                                <w:color w:val="F25E21" w:themeColor="accent2"/>
                                <w:sz w:val="20"/>
                                <w:szCs w:val="20"/>
                              </w:rPr>
                              <w:t xml:space="preserve">The PL arrangements ensure that patients in the private sector have access to a greater range of prostheses, including those that represent more complex technologies than those offered in the public </w:t>
                            </w:r>
                            <w:proofErr w:type="gramStart"/>
                            <w:r>
                              <w:rPr>
                                <w:i/>
                                <w:iCs/>
                                <w:color w:val="F25E21" w:themeColor="accent2"/>
                                <w:sz w:val="20"/>
                                <w:szCs w:val="20"/>
                              </w:rPr>
                              <w:t>sector”</w:t>
                            </w:r>
                            <w:proofErr w:type="gramEnd"/>
                            <w:r>
                              <w:rPr>
                                <w:i/>
                                <w:iCs/>
                                <w:color w:val="F25E21" w:themeColor="accent2"/>
                                <w:sz w:val="20"/>
                                <w:szCs w:val="20"/>
                              </w:rPr>
                              <w:t xml:space="preserve"> </w:t>
                            </w:r>
                          </w:p>
                          <w:p w14:paraId="3BF2EDB8" w14:textId="77777777" w:rsidR="002A6B14" w:rsidRPr="002D12AB" w:rsidRDefault="002A6B14" w:rsidP="002A6B14">
                            <w:pPr>
                              <w:pStyle w:val="Callout"/>
                              <w:jc w:val="right"/>
                              <w:rPr>
                                <w:rFonts w:asciiTheme="minorHAnsi" w:hAnsiTheme="minorHAnsi" w:cstheme="minorHAnsi"/>
                                <w:b/>
                                <w:bCs/>
                                <w:color w:val="00264D" w:themeColor="background2"/>
                                <w:sz w:val="14"/>
                                <w:szCs w:val="14"/>
                              </w:rPr>
                            </w:pPr>
                            <w:r>
                              <w:rPr>
                                <w:rFonts w:asciiTheme="minorHAnsi" w:hAnsiTheme="minorHAnsi" w:cstheme="minorHAnsi"/>
                                <w:b/>
                                <w:bCs/>
                                <w:color w:val="00264D" w:themeColor="background2"/>
                                <w:sz w:val="14"/>
                                <w:szCs w:val="14"/>
                              </w:rPr>
                              <w:t>Medical Technology Association of Australia</w:t>
                            </w:r>
                          </w:p>
                          <w:p w14:paraId="71968B4D" w14:textId="77777777" w:rsidR="002A6B14" w:rsidRDefault="002A6B14" w:rsidP="002A6B14">
                            <w:pPr>
                              <w:pStyle w:val="Callout"/>
                              <w:rPr>
                                <w:color w:val="F25E21" w:themeColor="accent2"/>
                              </w:rPr>
                            </w:pPr>
                          </w:p>
                          <w:p w14:paraId="376AF28C" w14:textId="77777777" w:rsidR="002A6B14" w:rsidRPr="00885462" w:rsidRDefault="002A6B14" w:rsidP="002A6B14">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00F0A8" id="Text Box 964234608" o:spid="_x0000_s1030" type="#_x0000_t202" alt="&quot;&quot;" style="position:absolute;margin-left:290.65pt;margin-top:37.25pt;width:153.75pt;height:134.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" fillcolor="white [3201]" stroked="f" strokeweight=".5pt">
                <v:textbox inset="0,,1mm">
                  <w:txbxContent>
                    <w:p w14:paraId="4D406F19" w14:textId="77777777" w:rsidR="002A6B14" w:rsidRDefault="002A6B14" w:rsidP="002A6B14">
                      <w:pPr>
                        <w:pStyle w:val="Callout"/>
                        <w:jc w:val="right"/>
                        <w:rPr>
                          <w:i/>
                          <w:iCs/>
                          <w:color w:val="F25E21" w:themeColor="accent2"/>
                          <w:sz w:val="20"/>
                          <w:szCs w:val="20"/>
                        </w:rPr>
                      </w:pPr>
                      <w:r w:rsidRPr="007152F0">
                        <w:rPr>
                          <w:i/>
                          <w:iCs/>
                          <w:color w:val="F25E21" w:themeColor="accent2"/>
                          <w:sz w:val="20"/>
                          <w:szCs w:val="20"/>
                        </w:rPr>
                        <w:t>“</w:t>
                      </w:r>
                      <w:r>
                        <w:rPr>
                          <w:i/>
                          <w:iCs/>
                          <w:color w:val="F25E21" w:themeColor="accent2"/>
                          <w:sz w:val="20"/>
                          <w:szCs w:val="20"/>
                        </w:rPr>
                        <w:t xml:space="preserve">The PL arrangements ensure that patients in the private sector have access to a greater range of prostheses, including those that represent more complex technologies than those offered in the public </w:t>
                      </w:r>
                      <w:proofErr w:type="gramStart"/>
                      <w:r>
                        <w:rPr>
                          <w:i/>
                          <w:iCs/>
                          <w:color w:val="F25E21" w:themeColor="accent2"/>
                          <w:sz w:val="20"/>
                          <w:szCs w:val="20"/>
                        </w:rPr>
                        <w:t>sector”</w:t>
                      </w:r>
                      <w:proofErr w:type="gramEnd"/>
                      <w:r>
                        <w:rPr>
                          <w:i/>
                          <w:iCs/>
                          <w:color w:val="F25E21" w:themeColor="accent2"/>
                          <w:sz w:val="20"/>
                          <w:szCs w:val="20"/>
                        </w:rPr>
                        <w:t xml:space="preserve"> </w:t>
                      </w:r>
                    </w:p>
                    <w:p w14:paraId="3BF2EDB8" w14:textId="77777777" w:rsidR="002A6B14" w:rsidRPr="002D12AB" w:rsidRDefault="002A6B14" w:rsidP="002A6B14">
                      <w:pPr>
                        <w:pStyle w:val="Callout"/>
                        <w:jc w:val="right"/>
                        <w:rPr>
                          <w:rFonts w:asciiTheme="minorHAnsi" w:hAnsiTheme="minorHAnsi" w:cstheme="minorHAnsi"/>
                          <w:b/>
                          <w:bCs/>
                          <w:color w:val="00264D" w:themeColor="background2"/>
                          <w:sz w:val="14"/>
                          <w:szCs w:val="14"/>
                        </w:rPr>
                      </w:pPr>
                      <w:r>
                        <w:rPr>
                          <w:rFonts w:asciiTheme="minorHAnsi" w:hAnsiTheme="minorHAnsi" w:cstheme="minorHAnsi"/>
                          <w:b/>
                          <w:bCs/>
                          <w:color w:val="00264D" w:themeColor="background2"/>
                          <w:sz w:val="14"/>
                          <w:szCs w:val="14"/>
                        </w:rPr>
                        <w:t>Medical Technology Association of Australia</w:t>
                      </w:r>
                    </w:p>
                    <w:p w14:paraId="71968B4D" w14:textId="77777777" w:rsidR="002A6B14" w:rsidRDefault="002A6B14" w:rsidP="002A6B14">
                      <w:pPr>
                        <w:pStyle w:val="Callout"/>
                        <w:rPr>
                          <w:color w:val="F25E21" w:themeColor="accent2"/>
                        </w:rPr>
                      </w:pPr>
                    </w:p>
                    <w:p w14:paraId="376AF28C" w14:textId="77777777" w:rsidR="002A6B14" w:rsidRPr="00885462" w:rsidRDefault="002A6B14" w:rsidP="002A6B14">
                      <w:pPr>
                        <w:pStyle w:val="Callout"/>
                        <w:rPr>
                          <w:color w:val="F25E21" w:themeColor="accent2"/>
                        </w:rPr>
                      </w:pPr>
                    </w:p>
                  </w:txbxContent>
                </v:textbox>
                <w10:wrap type="square"/>
              </v:shape>
            </w:pict>
          </mc:Fallback>
        </mc:AlternateContent>
      </w:r>
      <w:r w:rsidR="00112AA2" w:rsidRPr="00112AA2">
        <w:rPr>
          <w:rFonts w:asciiTheme="minorHAnsi" w:hAnsiTheme="minorHAnsi" w:cstheme="minorHAnsi"/>
        </w:rPr>
        <w:t>At baseline, s</w:t>
      </w:r>
      <w:r w:rsidR="002A6B14" w:rsidRPr="00112AA2">
        <w:rPr>
          <w:rFonts w:asciiTheme="minorHAnsi" w:hAnsiTheme="minorHAnsi" w:cstheme="minorHAnsi"/>
        </w:rPr>
        <w:t>takeholders described how the PL arrangements helped secure patient access to</w:t>
      </w:r>
      <w:r w:rsidR="0004790D">
        <w:rPr>
          <w:rFonts w:asciiTheme="minorHAnsi" w:hAnsiTheme="minorHAnsi" w:cstheme="minorHAnsi"/>
        </w:rPr>
        <w:t xml:space="preserve"> appropriate </w:t>
      </w:r>
      <w:r w:rsidR="002A6B14" w:rsidRPr="00112AA2">
        <w:rPr>
          <w:rFonts w:asciiTheme="minorHAnsi" w:hAnsiTheme="minorHAnsi" w:cstheme="minorHAnsi"/>
        </w:rPr>
        <w:t>medical device</w:t>
      </w:r>
      <w:r w:rsidR="00986A25">
        <w:rPr>
          <w:rFonts w:asciiTheme="minorHAnsi" w:hAnsiTheme="minorHAnsi" w:cstheme="minorHAnsi"/>
        </w:rPr>
        <w:t xml:space="preserve">s. </w:t>
      </w:r>
      <w:r w:rsidR="002A6B14" w:rsidRPr="0BCC15EA">
        <w:rPr>
          <w:rFonts w:asciiTheme="minorHAnsi" w:hAnsiTheme="minorHAnsi"/>
        </w:rPr>
        <w:t>Diverse groups of stakeholders described how the PL arrangements mean that all privately insured patients have access to the medical devices and human tissue products listed on the PL if they are chosen for them by their clinician.</w:t>
      </w:r>
      <w:r w:rsidR="002A6B14">
        <w:rPr>
          <w:rStyle w:val="FootnoteReference"/>
        </w:rPr>
        <w:footnoteReference w:id="140"/>
      </w:r>
      <w:r w:rsidR="002A6B14" w:rsidRPr="0BCC15EA">
        <w:rPr>
          <w:rFonts w:asciiTheme="minorHAnsi" w:hAnsiTheme="minorHAnsi"/>
        </w:rPr>
        <w:t xml:space="preserve"> This is because private health insurers were required to pay the benefit for these devices when used in a procedure involving a patient that they insured. Under this arrangement, the PL separated the decision of which device to use (made by the clinician) from the payment (borne by the insurer). </w:t>
      </w:r>
    </w:p>
    <w:p w14:paraId="0FB8DBC0" w14:textId="77777777" w:rsidR="002A6B14" w:rsidRDefault="002A6B14" w:rsidP="007869F9">
      <w:pPr>
        <w:rPr>
          <w:rFonts w:cstheme="minorHAnsi"/>
        </w:rPr>
      </w:pPr>
      <w:r w:rsidRPr="0BCC15EA">
        <w:t>These arrangements meant that a surgeon was free to pick the device that is clinically most appropriate and/or effective, without the need to compromise based on financial concerns. Reflecting this, the MTAA argued that “The current arrangements for private hospitals do not incentivise surgeons to consider cost when determining which prostheses to use for their particular patient as the cost of PL prostheses is borne by the private health insurer”.</w:t>
      </w:r>
      <w:r>
        <w:rPr>
          <w:rStyle w:val="FootnoteReference"/>
        </w:rPr>
        <w:footnoteReference w:id="141"/>
      </w:r>
      <w:r w:rsidRPr="0BCC15EA">
        <w:t xml:space="preserve"> </w:t>
      </w:r>
    </w:p>
    <w:p w14:paraId="41D306BA" w14:textId="000EAE6F" w:rsidR="002A6B14" w:rsidRPr="00DC291F" w:rsidRDefault="002A6B14" w:rsidP="007869F9">
      <w:pPr>
        <w:rPr>
          <w:rFonts w:cstheme="minorHAnsi"/>
        </w:rPr>
      </w:pPr>
      <w:r w:rsidRPr="0BCC15EA">
        <w:t>The MTAA has argued that there was a greater variety of devices available on the PL for privately insured patients than were available for patients receiving care in the public system, meaning that devices could be selected based on the specific characteristics of a patient and their condition.</w:t>
      </w:r>
      <w:r>
        <w:rPr>
          <w:rStyle w:val="FootnoteReference"/>
        </w:rPr>
        <w:footnoteReference w:id="142"/>
      </w:r>
      <w:r w:rsidRPr="0BCC15EA">
        <w:t xml:space="preserve"> The corresponding suggestion is that, in the absence of the PL, private healthcare providers and clinicians would have additional requirements to negotiate and acquire devices on an individual basis, which would in practicality mean that in very few cases would the full range of PL-listed devices have been available to privately insured patients. As a result of this, stakeholders suggested that the greater access to devices, relative to the public system, is a key part of the value proposition of PHI.</w:t>
      </w:r>
    </w:p>
    <w:p w14:paraId="69903DC6" w14:textId="1890CF1A" w:rsidR="002A6B14" w:rsidRPr="008E7E75" w:rsidRDefault="002A6B14" w:rsidP="00476561">
      <w:pPr>
        <w:pStyle w:val="Heading2"/>
        <w:numPr>
          <w:ilvl w:val="0"/>
          <w:numId w:val="0"/>
        </w:numPr>
      </w:pPr>
      <w:bookmarkStart w:id="82" w:name="_Toc179453692"/>
      <w:r w:rsidRPr="008E7E75">
        <w:t xml:space="preserve">Indicator 5: Change in utilisation of PL </w:t>
      </w:r>
      <w:proofErr w:type="gramStart"/>
      <w:r w:rsidRPr="008E7E75">
        <w:t>items</w:t>
      </w:r>
      <w:bookmarkEnd w:id="82"/>
      <w:proofErr w:type="gramEnd"/>
    </w:p>
    <w:p w14:paraId="5D9ECCE3" w14:textId="77777777" w:rsidR="002A6B14" w:rsidRPr="00476561" w:rsidRDefault="002A6B14" w:rsidP="009667DE">
      <w:pPr>
        <w:pStyle w:val="Heading4"/>
      </w:pPr>
      <w:r w:rsidRPr="00476561">
        <w:rPr>
          <w:color w:val="F25E21" w:themeColor="accent2"/>
        </w:rPr>
        <w:t>Measure 5.1</w:t>
      </w:r>
      <w:r w:rsidRPr="00476561">
        <w:t>: Utilisation of PL items</w:t>
      </w:r>
    </w:p>
    <w:p w14:paraId="30271940" w14:textId="77777777" w:rsidR="002A6B14" w:rsidRPr="00EA6059" w:rsidRDefault="002A6B14" w:rsidP="00EA6059">
      <w:pPr>
        <w:pStyle w:val="Heading6"/>
        <w:spacing w:before="120"/>
      </w:pPr>
      <w:r w:rsidRPr="00EA6059">
        <w:t>Measurement guide</w:t>
      </w:r>
    </w:p>
    <w:p w14:paraId="0F67A8B3" w14:textId="6372CB5B" w:rsidR="00255F52" w:rsidRDefault="00590B0E" w:rsidP="002A6B14">
      <w:r w:rsidRPr="00476561">
        <w:t>Th</w:t>
      </w:r>
      <w:r w:rsidR="006F6879">
        <w:t xml:space="preserve">is measure will </w:t>
      </w:r>
      <w:r w:rsidR="00E21D45">
        <w:t>examine</w:t>
      </w:r>
      <w:r w:rsidR="00301166">
        <w:t xml:space="preserve"> the </w:t>
      </w:r>
      <w:r w:rsidR="00404B69">
        <w:t>volume of</w:t>
      </w:r>
      <w:r w:rsidR="00AD2D36">
        <w:t xml:space="preserve"> PL items </w:t>
      </w:r>
      <w:r w:rsidR="00404B69">
        <w:t>used by clinicians and funded by PHI</w:t>
      </w:r>
      <w:r w:rsidR="0090593A">
        <w:t xml:space="preserve">, </w:t>
      </w:r>
      <w:r w:rsidR="00527C1D">
        <w:t xml:space="preserve">in relation to </w:t>
      </w:r>
      <w:r w:rsidR="00801EBF">
        <w:t>building an evidence base for specific lines of enquiry.</w:t>
      </w:r>
      <w:r w:rsidR="00AD2D36">
        <w:t xml:space="preserve"> </w:t>
      </w:r>
      <w:r w:rsidR="00810292">
        <w:t xml:space="preserve">The </w:t>
      </w:r>
      <w:r w:rsidR="00C16E5A">
        <w:t>primary</w:t>
      </w:r>
      <w:r w:rsidR="006000B7">
        <w:t xml:space="preserve"> </w:t>
      </w:r>
      <w:r w:rsidR="003F6632">
        <w:t xml:space="preserve">research </w:t>
      </w:r>
      <w:r w:rsidR="00746A5C">
        <w:t>question</w:t>
      </w:r>
      <w:r w:rsidR="003A5105">
        <w:t xml:space="preserve"> this relates to</w:t>
      </w:r>
      <w:r w:rsidR="00746A5C">
        <w:t xml:space="preserve"> </w:t>
      </w:r>
      <w:r w:rsidR="007A70B4">
        <w:t xml:space="preserve">is </w:t>
      </w:r>
      <w:r w:rsidR="00EA18A2" w:rsidRPr="001F3DF7">
        <w:rPr>
          <w:i/>
        </w:rPr>
        <w:t>Have the reforms had any impact on the selection and utilisation of products, and has this change generated any changes in clinical outcomes?</w:t>
      </w:r>
      <w:r w:rsidR="00EA18A2">
        <w:t xml:space="preserve"> (</w:t>
      </w:r>
      <w:r w:rsidR="001F3DF7">
        <w:t>research sub-</w:t>
      </w:r>
      <w:r w:rsidR="00EA18A2">
        <w:t>question 2.4).</w:t>
      </w:r>
      <w:r w:rsidR="00EE09AB">
        <w:t xml:space="preserve"> </w:t>
      </w:r>
      <w:r w:rsidR="00D76B2C">
        <w:t>Where we observe any</w:t>
      </w:r>
      <w:r w:rsidR="00BA61F6">
        <w:t xml:space="preserve"> significant shift in </w:t>
      </w:r>
      <w:r w:rsidR="002C6640">
        <w:t xml:space="preserve">the </w:t>
      </w:r>
      <w:r w:rsidR="00BA61F6">
        <w:t>utilisation</w:t>
      </w:r>
      <w:r w:rsidR="004912EB">
        <w:t xml:space="preserve"> of a benefit group, </w:t>
      </w:r>
      <w:r w:rsidR="00F64CA5">
        <w:t xml:space="preserve">we will take a case study approach to </w:t>
      </w:r>
      <w:r w:rsidR="0066651B">
        <w:t xml:space="preserve">investigate </w:t>
      </w:r>
      <w:r w:rsidR="00016021">
        <w:t>whether</w:t>
      </w:r>
      <w:r w:rsidR="0066651B">
        <w:t xml:space="preserve"> this has resulted in </w:t>
      </w:r>
      <w:r w:rsidR="00016021">
        <w:t xml:space="preserve">a decline in </w:t>
      </w:r>
      <w:r w:rsidR="0066651B">
        <w:t>clinical outcomes.</w:t>
      </w:r>
      <w:r w:rsidR="00B11849">
        <w:t xml:space="preserve"> </w:t>
      </w:r>
      <w:r w:rsidR="005A6787">
        <w:t xml:space="preserve">Triggers to guide inclusion of case studies under this measure </w:t>
      </w:r>
      <w:r w:rsidR="00405703">
        <w:t>are:</w:t>
      </w:r>
    </w:p>
    <w:p w14:paraId="62CE467A" w14:textId="75B4D90D" w:rsidR="005A6787" w:rsidRDefault="008E260F" w:rsidP="00662DDD">
      <w:pPr>
        <w:pStyle w:val="NewListBulletPoint"/>
        <w:numPr>
          <w:ilvl w:val="0"/>
          <w:numId w:val="17"/>
        </w:numPr>
      </w:pPr>
      <w:r w:rsidRPr="3787E91E">
        <w:t>We</w:t>
      </w:r>
      <w:r w:rsidR="00506FD2" w:rsidRPr="3787E91E">
        <w:t xml:space="preserve"> observe </w:t>
      </w:r>
      <w:r w:rsidR="0047071B" w:rsidRPr="3787E91E">
        <w:t xml:space="preserve">in HCP data </w:t>
      </w:r>
      <w:r w:rsidR="007731C1" w:rsidRPr="3787E91E">
        <w:t>a</w:t>
      </w:r>
      <w:r w:rsidR="00506FD2" w:rsidRPr="3787E91E">
        <w:t xml:space="preserve"> 20% </w:t>
      </w:r>
      <w:r w:rsidR="00B617D2" w:rsidRPr="3787E91E">
        <w:t>change</w:t>
      </w:r>
      <w:r w:rsidR="00506FD2" w:rsidRPr="3787E91E">
        <w:t xml:space="preserve"> in utilisation of a </w:t>
      </w:r>
      <w:r w:rsidR="007731C1" w:rsidRPr="3787E91E">
        <w:t xml:space="preserve">benefit group </w:t>
      </w:r>
      <w:r w:rsidR="001E3B05" w:rsidRPr="3787E91E">
        <w:t xml:space="preserve">relative </w:t>
      </w:r>
      <w:r w:rsidR="00C57CE6" w:rsidRPr="3787E91E">
        <w:t>to the product category</w:t>
      </w:r>
      <w:r w:rsidR="00534F7B" w:rsidRPr="3787E91E">
        <w:t xml:space="preserve"> it belongs to</w:t>
      </w:r>
      <w:r w:rsidRPr="3787E91E">
        <w:t>.</w:t>
      </w:r>
    </w:p>
    <w:p w14:paraId="0C9DE629" w14:textId="11D172D6" w:rsidR="00F27CF3" w:rsidRDefault="00D74319" w:rsidP="00A348DB">
      <w:pPr>
        <w:pStyle w:val="NewListBulletPoint"/>
      </w:pPr>
      <w:r w:rsidRPr="3787E91E">
        <w:t>Stakeholders present to us</w:t>
      </w:r>
      <w:r w:rsidR="00B950C0" w:rsidRPr="3787E91E">
        <w:t xml:space="preserve"> </w:t>
      </w:r>
      <w:r w:rsidR="00444541" w:rsidRPr="3787E91E">
        <w:t xml:space="preserve">anecdotal evidence of </w:t>
      </w:r>
      <w:r w:rsidR="00150BD7" w:rsidRPr="3787E91E">
        <w:t xml:space="preserve">sub-optimal clinical outcomes </w:t>
      </w:r>
      <w:proofErr w:type="gramStart"/>
      <w:r w:rsidR="00150BD7" w:rsidRPr="3787E91E">
        <w:t xml:space="preserve">as a result </w:t>
      </w:r>
      <w:r w:rsidR="0054788D" w:rsidRPr="3787E91E">
        <w:t>of</w:t>
      </w:r>
      <w:proofErr w:type="gramEnd"/>
      <w:r w:rsidR="0054788D" w:rsidRPr="3787E91E">
        <w:t xml:space="preserve"> a change </w:t>
      </w:r>
      <w:r w:rsidR="00FD174C" w:rsidRPr="3787E91E">
        <w:t>in the selection and utilisation of products.</w:t>
      </w:r>
    </w:p>
    <w:p w14:paraId="7E22C1BD" w14:textId="031FBF23" w:rsidR="00255F52" w:rsidRDefault="00DA13E4" w:rsidP="002A6B14">
      <w:r>
        <w:t xml:space="preserve">Our approach to </w:t>
      </w:r>
      <w:r w:rsidR="004274F6">
        <w:t>developing these case studies</w:t>
      </w:r>
      <w:r w:rsidR="00A36765">
        <w:t xml:space="preserve"> will </w:t>
      </w:r>
      <w:r w:rsidR="004274F6">
        <w:t>be to</w:t>
      </w:r>
      <w:r w:rsidR="00A36765">
        <w:t xml:space="preserve"> consult with clinicians</w:t>
      </w:r>
      <w:r w:rsidR="004274F6">
        <w:t>, and</w:t>
      </w:r>
      <w:r w:rsidR="00A36765">
        <w:t xml:space="preserve"> other stakeholders </w:t>
      </w:r>
      <w:r w:rsidR="004274F6">
        <w:t>where appropriate</w:t>
      </w:r>
      <w:r w:rsidR="005B56E9">
        <w:t>. We will also use</w:t>
      </w:r>
      <w:r w:rsidR="00162CFD">
        <w:t xml:space="preserve"> HCP data</w:t>
      </w:r>
      <w:r w:rsidR="00643139">
        <w:t xml:space="preserve"> to </w:t>
      </w:r>
      <w:r w:rsidR="000A5AFA">
        <w:t>measur</w:t>
      </w:r>
      <w:r w:rsidR="00643139">
        <w:t>e</w:t>
      </w:r>
      <w:r w:rsidR="002C0786">
        <w:t xml:space="preserve"> any effect on clinical outcomes</w:t>
      </w:r>
      <w:r w:rsidR="00643139">
        <w:t xml:space="preserve"> for items</w:t>
      </w:r>
      <w:r w:rsidR="00926405">
        <w:t xml:space="preserve"> subject to investigation</w:t>
      </w:r>
      <w:r w:rsidR="002C0786">
        <w:t>.</w:t>
      </w:r>
      <w:r w:rsidR="009F3DD3">
        <w:t xml:space="preserve"> </w:t>
      </w:r>
      <w:r w:rsidR="00DF74EA">
        <w:t>We will look at the share of separations, using the PL items</w:t>
      </w:r>
      <w:r w:rsidR="00FD3E4F">
        <w:t xml:space="preserve"> </w:t>
      </w:r>
      <w:r w:rsidR="00634376">
        <w:t xml:space="preserve">in question, </w:t>
      </w:r>
      <w:r w:rsidR="009D7CF3">
        <w:t>which</w:t>
      </w:r>
      <w:r w:rsidR="00634376">
        <w:t xml:space="preserve"> involve </w:t>
      </w:r>
      <w:r w:rsidR="00C83270">
        <w:t xml:space="preserve">an ICU admission, </w:t>
      </w:r>
      <w:r w:rsidR="003A5409">
        <w:t xml:space="preserve">involve </w:t>
      </w:r>
      <w:r w:rsidR="00285DB2">
        <w:t xml:space="preserve">an </w:t>
      </w:r>
      <w:r w:rsidR="00C83270">
        <w:t xml:space="preserve">unplanned re-admission, </w:t>
      </w:r>
      <w:r w:rsidR="00285DB2">
        <w:t xml:space="preserve">involve an unplanned theatre visit, </w:t>
      </w:r>
      <w:r w:rsidR="00D051FF">
        <w:t>or</w:t>
      </w:r>
      <w:r w:rsidR="00285DB2">
        <w:t xml:space="preserve"> result in death.</w:t>
      </w:r>
      <w:r w:rsidR="00687FDD">
        <w:rPr>
          <w:rStyle w:val="FootnoteReference"/>
        </w:rPr>
        <w:footnoteReference w:id="143"/>
      </w:r>
      <w:r w:rsidR="000F06D1">
        <w:t xml:space="preserve"> </w:t>
      </w:r>
      <w:r w:rsidR="000F06D1">
        <w:lastRenderedPageBreak/>
        <w:t xml:space="preserve">We will consider how to use statistical analyses to help establish attribution of effects to the reforms, and where possible, triangulate with </w:t>
      </w:r>
      <w:r w:rsidR="00FC17B4">
        <w:t xml:space="preserve">expert </w:t>
      </w:r>
      <w:r w:rsidR="000F06D1">
        <w:t>stakeholder perspectives.</w:t>
      </w:r>
    </w:p>
    <w:p w14:paraId="02E472DF" w14:textId="7848AE18" w:rsidR="002A6B14" w:rsidRPr="004F69C0" w:rsidRDefault="00973A50" w:rsidP="002A6B14">
      <w:r>
        <w:t>Examining the utilisation of PL items, eit</w:t>
      </w:r>
      <w:r w:rsidR="001126E4">
        <w:t xml:space="preserve">her in the aggregate or </w:t>
      </w:r>
      <w:r w:rsidR="009F1539">
        <w:t>by</w:t>
      </w:r>
      <w:r w:rsidR="00C11184">
        <w:t xml:space="preserve"> targeting</w:t>
      </w:r>
      <w:r w:rsidR="009F1539">
        <w:t xml:space="preserve"> </w:t>
      </w:r>
      <w:r w:rsidR="00C11184">
        <w:t xml:space="preserve">certain benefit groups, may also be useful </w:t>
      </w:r>
      <w:r w:rsidR="00822D93">
        <w:t xml:space="preserve">for </w:t>
      </w:r>
      <w:r w:rsidR="004B41F3">
        <w:t>valid</w:t>
      </w:r>
      <w:r w:rsidR="001E4D5A">
        <w:t xml:space="preserve">ating other </w:t>
      </w:r>
      <w:r w:rsidR="00954140">
        <w:t>measurements</w:t>
      </w:r>
      <w:r w:rsidR="00351603">
        <w:t xml:space="preserve"> or </w:t>
      </w:r>
      <w:r w:rsidR="00954140">
        <w:t xml:space="preserve">for </w:t>
      </w:r>
      <w:r w:rsidR="009758C4">
        <w:t xml:space="preserve">observing </w:t>
      </w:r>
      <w:r w:rsidR="00624B6C">
        <w:t>unintended consequences.</w:t>
      </w:r>
      <w:r w:rsidR="00686DBE">
        <w:t xml:space="preserve"> </w:t>
      </w:r>
      <w:r w:rsidR="007F5FF3">
        <w:t>We will track PL utilisation over the course of the evaluation and includ</w:t>
      </w:r>
      <w:r w:rsidR="00301166">
        <w:t>e it in our analyse where appropriate.</w:t>
      </w:r>
    </w:p>
    <w:p w14:paraId="01A75430" w14:textId="67CF4E41" w:rsidR="00A70819" w:rsidRPr="00EA6059" w:rsidRDefault="002A6B14" w:rsidP="00EA6059">
      <w:pPr>
        <w:pStyle w:val="Heading6"/>
        <w:spacing w:before="120"/>
      </w:pPr>
      <w:r w:rsidRPr="00EA6059">
        <w:t>Baseline value</w:t>
      </w:r>
    </w:p>
    <w:p w14:paraId="41EBDBD2" w14:textId="057D4E3A" w:rsidR="00154B84" w:rsidRPr="00476561" w:rsidRDefault="00822E35" w:rsidP="00154B84">
      <w:r>
        <w:t>A baseline value is not relevant for this measure</w:t>
      </w:r>
      <w:r w:rsidR="005E4B14">
        <w:t xml:space="preserve"> as</w:t>
      </w:r>
      <w:r w:rsidR="005E4B14" w:rsidRPr="005E4B14">
        <w:t xml:space="preserve"> </w:t>
      </w:r>
      <w:r w:rsidR="005E4B14">
        <w:t xml:space="preserve">the </w:t>
      </w:r>
      <w:r w:rsidR="00F63788">
        <w:t xml:space="preserve">scope </w:t>
      </w:r>
      <w:r w:rsidR="00D009C5">
        <w:t>for</w:t>
      </w:r>
      <w:r w:rsidR="005E4B14">
        <w:t xml:space="preserve"> </w:t>
      </w:r>
      <w:r w:rsidR="006A01A5">
        <w:t xml:space="preserve">utilisation </w:t>
      </w:r>
      <w:r w:rsidR="005E4B14">
        <w:t>case stud</w:t>
      </w:r>
      <w:r w:rsidR="00F63788">
        <w:t>ies</w:t>
      </w:r>
      <w:r w:rsidR="005E4B14">
        <w:t xml:space="preserve"> </w:t>
      </w:r>
      <w:r w:rsidR="008A4DE0">
        <w:t>will</w:t>
      </w:r>
      <w:r w:rsidR="002C7678">
        <w:t xml:space="preserve"> be</w:t>
      </w:r>
      <w:r w:rsidR="005E4B14">
        <w:t xml:space="preserve"> determined</w:t>
      </w:r>
      <w:r w:rsidR="008A4DE0">
        <w:t xml:space="preserve"> </w:t>
      </w:r>
      <w:r w:rsidR="00D009C5">
        <w:t>at future reporting points</w:t>
      </w:r>
      <w:r w:rsidR="00795913">
        <w:t xml:space="preserve">. See </w:t>
      </w:r>
      <w:r w:rsidR="00795913">
        <w:fldChar w:fldCharType="begin"/>
      </w:r>
      <w:r w:rsidR="00795913">
        <w:instrText xml:space="preserve"> REF _Ref159599339 \r \h </w:instrText>
      </w:r>
      <w:r w:rsidR="00795913">
        <w:fldChar w:fldCharType="separate"/>
      </w:r>
      <w:r w:rsidR="00026714">
        <w:t>Appendix G</w:t>
      </w:r>
      <w:r w:rsidR="00795913">
        <w:fldChar w:fldCharType="end"/>
      </w:r>
      <w:r w:rsidR="00795913">
        <w:t xml:space="preserve"> for an overview of </w:t>
      </w:r>
      <w:r w:rsidR="003E1A63">
        <w:t>total</w:t>
      </w:r>
      <w:r w:rsidR="00795913">
        <w:t xml:space="preserve"> PL utilisation </w:t>
      </w:r>
      <w:r w:rsidR="003E1A63">
        <w:t>at baseline.</w:t>
      </w:r>
    </w:p>
    <w:p w14:paraId="71AE2124" w14:textId="77777777" w:rsidR="000B6CCF" w:rsidRDefault="000B6CCF" w:rsidP="009667DE">
      <w:pPr>
        <w:pStyle w:val="Heading2"/>
        <w:numPr>
          <w:ilvl w:val="0"/>
          <w:numId w:val="0"/>
        </w:numPr>
      </w:pPr>
      <w:bookmarkStart w:id="83" w:name="_Toc179453693"/>
      <w:r w:rsidRPr="00974105">
        <w:t xml:space="preserve">Indicator </w:t>
      </w:r>
      <w:r>
        <w:t>6</w:t>
      </w:r>
      <w:r w:rsidRPr="00974105">
        <w:t xml:space="preserve">: </w:t>
      </w:r>
      <w:r w:rsidRPr="00473752">
        <w:t xml:space="preserve">Change in PHI premium </w:t>
      </w:r>
      <w:proofErr w:type="gramStart"/>
      <w:r w:rsidRPr="00473752">
        <w:t>increases</w:t>
      </w:r>
      <w:bookmarkEnd w:id="83"/>
      <w:proofErr w:type="gramEnd"/>
    </w:p>
    <w:p w14:paraId="491D768F" w14:textId="77777777" w:rsidR="000B6CCF" w:rsidRDefault="000B6CCF" w:rsidP="009667DE">
      <w:pPr>
        <w:pStyle w:val="Heading4"/>
      </w:pPr>
      <w:r w:rsidRPr="0BCC15EA">
        <w:rPr>
          <w:color w:val="F25E21" w:themeColor="accent2"/>
        </w:rPr>
        <w:t xml:space="preserve">Measure </w:t>
      </w:r>
      <w:r>
        <w:rPr>
          <w:color w:val="F25E21" w:themeColor="accent2"/>
        </w:rPr>
        <w:t>6</w:t>
      </w:r>
      <w:r w:rsidRPr="0BCC15EA">
        <w:rPr>
          <w:color w:val="F25E21" w:themeColor="accent2"/>
        </w:rPr>
        <w:t>.1</w:t>
      </w:r>
      <w:r>
        <w:t>: PHI premium price changes over time</w:t>
      </w:r>
    </w:p>
    <w:p w14:paraId="0A5A377A" w14:textId="77777777" w:rsidR="000B6CCF" w:rsidRPr="00EA6059" w:rsidRDefault="000B6CCF" w:rsidP="00EA6059">
      <w:pPr>
        <w:pStyle w:val="Heading6"/>
        <w:spacing w:before="120"/>
      </w:pPr>
      <w:r w:rsidRPr="00EA6059">
        <w:t>Measurement guide</w:t>
      </w:r>
    </w:p>
    <w:p w14:paraId="420EE989" w14:textId="77777777" w:rsidR="000B6CCF" w:rsidRDefault="000B6CCF" w:rsidP="009667DE">
      <w:pPr>
        <w:rPr>
          <w:szCs w:val="19"/>
          <w:lang w:eastAsia="en-AU"/>
        </w:rPr>
      </w:pPr>
      <w:bookmarkStart w:id="84" w:name="_Ref152676487"/>
      <w:r w:rsidRPr="002C29D6">
        <w:rPr>
          <w:szCs w:val="19"/>
          <w:lang w:eastAsia="en-AU"/>
        </w:rPr>
        <w:t xml:space="preserve">This measure will </w:t>
      </w:r>
      <w:r>
        <w:rPr>
          <w:szCs w:val="19"/>
          <w:lang w:eastAsia="en-AU"/>
        </w:rPr>
        <w:t>look at</w:t>
      </w:r>
      <w:r w:rsidRPr="002C29D6">
        <w:rPr>
          <w:szCs w:val="19"/>
          <w:lang w:eastAsia="en-AU"/>
        </w:rPr>
        <w:t xml:space="preserve"> the</w:t>
      </w:r>
      <w:r>
        <w:rPr>
          <w:szCs w:val="19"/>
          <w:lang w:eastAsia="en-AU"/>
        </w:rPr>
        <w:t xml:space="preserve"> changes to</w:t>
      </w:r>
      <w:r w:rsidRPr="002C29D6">
        <w:rPr>
          <w:szCs w:val="19"/>
          <w:lang w:eastAsia="en-AU"/>
        </w:rPr>
        <w:t xml:space="preserve"> premiums that are charged for PHI. If the reforms are achieving the objective of improving affordability of PHI, we would expect premiums to increase at a </w:t>
      </w:r>
      <w:r>
        <w:rPr>
          <w:szCs w:val="19"/>
          <w:lang w:eastAsia="en-AU"/>
        </w:rPr>
        <w:t>lower</w:t>
      </w:r>
      <w:r w:rsidRPr="002C29D6">
        <w:rPr>
          <w:szCs w:val="19"/>
          <w:lang w:eastAsia="en-AU"/>
        </w:rPr>
        <w:t xml:space="preserve"> rate than they otherwise would have. While it is not possible to establish an exact counterfactual for this measure, significant changes compared to the historical trend, not otherwise explainable by other changes to PHI, will be notable. Other measures in this indicator will seek to establish the relevant contribution attributable to the PL reforms.</w:t>
      </w:r>
    </w:p>
    <w:p w14:paraId="2AA46082" w14:textId="7F172ED8" w:rsidR="00BC2339" w:rsidRDefault="00BC2339" w:rsidP="009667DE">
      <w:pPr>
        <w:rPr>
          <w:rFonts w:asciiTheme="majorHAnsi" w:hAnsiTheme="majorHAnsi" w:cstheme="majorBidi"/>
        </w:rPr>
      </w:pPr>
      <w:r w:rsidRPr="0C63581C">
        <w:rPr>
          <w:lang w:eastAsia="en-AU"/>
        </w:rPr>
        <w:t>Data for this measure is sourced from Department reports on historical premium changes</w:t>
      </w:r>
      <w:r w:rsidRPr="0C63581C">
        <w:rPr>
          <w:rStyle w:val="FootnoteReference"/>
          <w:lang w:eastAsia="en-AU"/>
        </w:rPr>
        <w:footnoteReference w:id="144"/>
      </w:r>
      <w:r w:rsidRPr="0C63581C">
        <w:rPr>
          <w:lang w:eastAsia="en-AU"/>
        </w:rPr>
        <w:t>, and Australian Prudential Regulation Authority (APRA) annual reports on the operations of private health insurers</w:t>
      </w:r>
      <w:r w:rsidRPr="0C63581C">
        <w:rPr>
          <w:rStyle w:val="FootnoteReference"/>
          <w:lang w:eastAsia="en-AU"/>
        </w:rPr>
        <w:footnoteReference w:id="145"/>
      </w:r>
      <w:r w:rsidRPr="0C63581C">
        <w:rPr>
          <w:lang w:eastAsia="en-AU"/>
        </w:rPr>
        <w:t>.</w:t>
      </w:r>
    </w:p>
    <w:p w14:paraId="5121F8AC" w14:textId="77777777" w:rsidR="000B6CCF" w:rsidRPr="00EA6059" w:rsidRDefault="000B6CCF" w:rsidP="00EA6059">
      <w:pPr>
        <w:pStyle w:val="Heading6"/>
        <w:spacing w:before="120"/>
      </w:pPr>
      <w:r w:rsidRPr="00EA6059">
        <w:t>Baseline value</w:t>
      </w:r>
    </w:p>
    <w:p w14:paraId="55543418" w14:textId="16A28BAF" w:rsidR="00876556" w:rsidRDefault="00EA676B" w:rsidP="00876556">
      <w:pPr>
        <w:rPr>
          <w:lang w:eastAsia="en-AU"/>
        </w:rPr>
      </w:pPr>
      <w:r>
        <w:rPr>
          <w:lang w:eastAsia="en-AU"/>
        </w:rPr>
        <w:t xml:space="preserve">In the </w:t>
      </w:r>
      <w:r w:rsidR="00E85A29">
        <w:rPr>
          <w:lang w:eastAsia="en-AU"/>
        </w:rPr>
        <w:t xml:space="preserve">years leading up to baseline, PHI </w:t>
      </w:r>
      <w:r w:rsidR="0003296C">
        <w:rPr>
          <w:lang w:eastAsia="en-AU"/>
        </w:rPr>
        <w:t xml:space="preserve">premiums </w:t>
      </w:r>
      <w:r w:rsidR="00E85A29">
        <w:rPr>
          <w:lang w:eastAsia="en-AU"/>
        </w:rPr>
        <w:t xml:space="preserve">increased </w:t>
      </w:r>
      <w:r w:rsidR="0003296C">
        <w:rPr>
          <w:lang w:eastAsia="en-AU"/>
        </w:rPr>
        <w:t>a</w:t>
      </w:r>
      <w:r w:rsidR="00EB4742">
        <w:rPr>
          <w:lang w:eastAsia="en-AU"/>
        </w:rPr>
        <w:t>t</w:t>
      </w:r>
      <w:r w:rsidR="00953D64">
        <w:rPr>
          <w:lang w:eastAsia="en-AU"/>
        </w:rPr>
        <w:t xml:space="preserve"> </w:t>
      </w:r>
      <w:r w:rsidR="00D73007">
        <w:rPr>
          <w:lang w:eastAsia="en-AU"/>
        </w:rPr>
        <w:t>a</w:t>
      </w:r>
      <w:r w:rsidR="00797176">
        <w:rPr>
          <w:lang w:eastAsia="en-AU"/>
        </w:rPr>
        <w:t xml:space="preserve"> </w:t>
      </w:r>
      <w:r w:rsidR="00953D64">
        <w:rPr>
          <w:lang w:eastAsia="en-AU"/>
        </w:rPr>
        <w:t>steadily</w:t>
      </w:r>
      <w:r w:rsidR="00797176">
        <w:rPr>
          <w:lang w:eastAsia="en-AU"/>
        </w:rPr>
        <w:t xml:space="preserve"> declin</w:t>
      </w:r>
      <w:r w:rsidR="00EB4742">
        <w:rPr>
          <w:lang w:eastAsia="en-AU"/>
        </w:rPr>
        <w:t>ing</w:t>
      </w:r>
      <w:r w:rsidR="00797176">
        <w:rPr>
          <w:lang w:eastAsia="en-AU"/>
        </w:rPr>
        <w:t xml:space="preserve"> rate</w:t>
      </w:r>
      <w:r w:rsidR="00FF0888">
        <w:rPr>
          <w:lang w:eastAsia="en-AU"/>
        </w:rPr>
        <w:t>.</w:t>
      </w:r>
      <w:r w:rsidR="0006469C">
        <w:rPr>
          <w:lang w:eastAsia="en-AU"/>
        </w:rPr>
        <w:t xml:space="preserve"> </w:t>
      </w:r>
      <w:r w:rsidR="00E743E7">
        <w:rPr>
          <w:lang w:eastAsia="en-AU"/>
        </w:rPr>
        <w:t>As</w:t>
      </w:r>
      <w:r w:rsidR="007B53EC">
        <w:rPr>
          <w:lang w:eastAsia="en-AU"/>
        </w:rPr>
        <w:t xml:space="preserve"> shown previously in </w:t>
      </w:r>
      <w:r w:rsidR="00BA33AF">
        <w:rPr>
          <w:lang w:eastAsia="en-AU"/>
        </w:rPr>
        <w:fldChar w:fldCharType="begin"/>
      </w:r>
      <w:r w:rsidR="00BA33AF">
        <w:rPr>
          <w:lang w:eastAsia="en-AU"/>
        </w:rPr>
        <w:instrText xml:space="preserve"> REF _Ref161919587 \h </w:instrText>
      </w:r>
      <w:r w:rsidR="00BA33AF">
        <w:rPr>
          <w:lang w:eastAsia="en-AU"/>
        </w:rPr>
      </w:r>
      <w:r w:rsidR="00BA33AF">
        <w:rPr>
          <w:lang w:eastAsia="en-AU"/>
        </w:rPr>
        <w:fldChar w:fldCharType="separate"/>
      </w:r>
      <w:r w:rsidR="00026714" w:rsidRPr="00F13D06">
        <w:t xml:space="preserve">Figure </w:t>
      </w:r>
      <w:r w:rsidR="00026714">
        <w:rPr>
          <w:noProof/>
        </w:rPr>
        <w:t>12</w:t>
      </w:r>
      <w:r w:rsidR="00BA33AF">
        <w:rPr>
          <w:lang w:eastAsia="en-AU"/>
        </w:rPr>
        <w:fldChar w:fldCharType="end"/>
      </w:r>
      <w:r w:rsidR="000B6CCF" w:rsidRPr="0C63581C">
        <w:rPr>
          <w:lang w:eastAsia="en-AU"/>
        </w:rPr>
        <w:t xml:space="preserve"> </w:t>
      </w:r>
      <w:r w:rsidR="007B53EC">
        <w:rPr>
          <w:lang w:eastAsia="en-AU"/>
        </w:rPr>
        <w:t xml:space="preserve">in section </w:t>
      </w:r>
      <w:r w:rsidR="007B53EC">
        <w:rPr>
          <w:lang w:eastAsia="en-AU"/>
        </w:rPr>
        <w:fldChar w:fldCharType="begin"/>
      </w:r>
      <w:r w:rsidR="007B53EC">
        <w:rPr>
          <w:lang w:eastAsia="en-AU"/>
        </w:rPr>
        <w:instrText xml:space="preserve"> REF _Ref160186147 \r \h </w:instrText>
      </w:r>
      <w:r w:rsidR="007B53EC">
        <w:rPr>
          <w:lang w:eastAsia="en-AU"/>
        </w:rPr>
      </w:r>
      <w:r w:rsidR="007B53EC">
        <w:rPr>
          <w:lang w:eastAsia="en-AU"/>
        </w:rPr>
        <w:fldChar w:fldCharType="separate"/>
      </w:r>
      <w:r w:rsidR="00026714">
        <w:rPr>
          <w:lang w:eastAsia="en-AU"/>
        </w:rPr>
        <w:t>3.4.1</w:t>
      </w:r>
      <w:r w:rsidR="007B53EC">
        <w:rPr>
          <w:lang w:eastAsia="en-AU"/>
        </w:rPr>
        <w:fldChar w:fldCharType="end"/>
      </w:r>
      <w:r w:rsidR="007B53EC">
        <w:rPr>
          <w:lang w:eastAsia="en-AU"/>
        </w:rPr>
        <w:t xml:space="preserve">, </w:t>
      </w:r>
      <w:r w:rsidR="000B6CCF" w:rsidRPr="0C63581C">
        <w:rPr>
          <w:lang w:eastAsia="en-AU"/>
        </w:rPr>
        <w:t xml:space="preserve">the year-on-year insurance premium price changes for the Australian PHI industry </w:t>
      </w:r>
      <w:r w:rsidR="00571FD0">
        <w:rPr>
          <w:lang w:eastAsia="en-AU"/>
        </w:rPr>
        <w:t>moved</w:t>
      </w:r>
      <w:r w:rsidR="000B6CCF" w:rsidRPr="0C63581C">
        <w:rPr>
          <w:lang w:eastAsia="en-AU"/>
        </w:rPr>
        <w:t xml:space="preserve"> from </w:t>
      </w:r>
      <w:r w:rsidR="00571FD0" w:rsidRPr="002C29D6">
        <w:rPr>
          <w:lang w:eastAsia="en-AU"/>
        </w:rPr>
        <w:t>5.59%</w:t>
      </w:r>
      <w:r w:rsidR="00571FD0">
        <w:rPr>
          <w:lang w:eastAsia="en-AU"/>
        </w:rPr>
        <w:t xml:space="preserve"> in</w:t>
      </w:r>
      <w:r w:rsidR="000B6CCF" w:rsidRPr="0C63581C">
        <w:rPr>
          <w:lang w:eastAsia="en-AU"/>
        </w:rPr>
        <w:t xml:space="preserve"> 2016 </w:t>
      </w:r>
      <w:r w:rsidR="00571FD0">
        <w:rPr>
          <w:lang w:eastAsia="en-AU"/>
        </w:rPr>
        <w:t>t</w:t>
      </w:r>
      <w:r w:rsidR="00571FD0" w:rsidRPr="002C29D6">
        <w:rPr>
          <w:lang w:eastAsia="en-AU"/>
        </w:rPr>
        <w:t xml:space="preserve">o 2.74% </w:t>
      </w:r>
      <w:r w:rsidR="00571FD0">
        <w:rPr>
          <w:lang w:eastAsia="en-AU"/>
        </w:rPr>
        <w:t>in</w:t>
      </w:r>
      <w:r w:rsidR="000B6CCF" w:rsidRPr="0C63581C">
        <w:rPr>
          <w:lang w:eastAsia="en-AU"/>
        </w:rPr>
        <w:t xml:space="preserve"> 2021.</w:t>
      </w:r>
      <w:r w:rsidR="006602D6">
        <w:rPr>
          <w:lang w:eastAsia="en-AU"/>
        </w:rPr>
        <w:t xml:space="preserve"> </w:t>
      </w:r>
    </w:p>
    <w:bookmarkEnd w:id="84"/>
    <w:p w14:paraId="767206D3" w14:textId="02A5236F" w:rsidR="000B6CCF" w:rsidRPr="008A1EFC" w:rsidRDefault="00691366" w:rsidP="009667DE">
      <w:pPr>
        <w:rPr>
          <w:lang w:eastAsia="en-AU"/>
        </w:rPr>
      </w:pPr>
      <w:r>
        <w:rPr>
          <w:lang w:eastAsia="en-AU"/>
        </w:rPr>
        <w:t>L</w:t>
      </w:r>
      <w:r w:rsidR="000B6CCF" w:rsidRPr="00750210">
        <w:rPr>
          <w:lang w:eastAsia="en-AU"/>
        </w:rPr>
        <w:t xml:space="preserve">ooking </w:t>
      </w:r>
      <w:r w:rsidR="000B6CCF" w:rsidRPr="00750210">
        <w:rPr>
          <w:rFonts w:asciiTheme="minorHAnsi" w:hAnsiTheme="minorHAnsi" w:cstheme="minorHAnsi"/>
        </w:rPr>
        <w:t>specifically</w:t>
      </w:r>
      <w:r w:rsidR="000B6CCF" w:rsidRPr="00750210">
        <w:rPr>
          <w:lang w:eastAsia="en-AU"/>
        </w:rPr>
        <w:t xml:space="preserve"> at Hospital Treatment (HT) policies (being those with the potential to include provision for prostheses)</w:t>
      </w:r>
      <w:r w:rsidR="000B6CCF">
        <w:rPr>
          <w:lang w:eastAsia="en-AU"/>
        </w:rPr>
        <w:t>,</w:t>
      </w:r>
      <w:r w:rsidR="000B6CCF" w:rsidRPr="00750210">
        <w:rPr>
          <w:lang w:eastAsia="en-AU"/>
        </w:rPr>
        <w:t xml:space="preserve"> the average premium revenue per policy and per person provides a direct view of the overall cost to consumers of relevant PHI policies. </w:t>
      </w:r>
      <w:r w:rsidR="000B6CCF">
        <w:fldChar w:fldCharType="begin"/>
      </w:r>
      <w:r w:rsidR="000B6CCF">
        <w:instrText xml:space="preserve"> REF _Ref159171981 \h </w:instrText>
      </w:r>
      <w:r w:rsidR="000B6CCF">
        <w:fldChar w:fldCharType="separate"/>
      </w:r>
      <w:r w:rsidR="00026714">
        <w:t xml:space="preserve">Figure </w:t>
      </w:r>
      <w:r w:rsidR="00026714">
        <w:rPr>
          <w:noProof/>
        </w:rPr>
        <w:t>25</w:t>
      </w:r>
      <w:r w:rsidR="000B6CCF">
        <w:fldChar w:fldCharType="end"/>
      </w:r>
      <w:r w:rsidR="000B6CCF">
        <w:t xml:space="preserve"> shows the same trend </w:t>
      </w:r>
      <w:r w:rsidR="000B6CCF">
        <w:rPr>
          <w:lang w:eastAsia="en-AU"/>
        </w:rPr>
        <w:t>as with premium prices, above, with a large premium revenue increase in FY16, and gradually smaller increases each year up to FY21.</w:t>
      </w:r>
    </w:p>
    <w:p w14:paraId="0F7CD0C1" w14:textId="488ABACE" w:rsidR="000B6CCF" w:rsidRDefault="000B6CCF" w:rsidP="00545061">
      <w:pPr>
        <w:pStyle w:val="Caption"/>
        <w:spacing w:before="240" w:after="120"/>
      </w:pPr>
      <w:bookmarkStart w:id="85" w:name="_Ref159171981"/>
      <w:r>
        <w:lastRenderedPageBreak/>
        <w:t xml:space="preserve">Figure </w:t>
      </w:r>
      <w:r>
        <w:fldChar w:fldCharType="begin"/>
      </w:r>
      <w:r>
        <w:instrText xml:space="preserve"> SEQ Figure \* ARABIC </w:instrText>
      </w:r>
      <w:r>
        <w:fldChar w:fldCharType="separate"/>
      </w:r>
      <w:r w:rsidR="00026714">
        <w:rPr>
          <w:noProof/>
        </w:rPr>
        <w:t>25</w:t>
      </w:r>
      <w:r>
        <w:fldChar w:fldCharType="end"/>
      </w:r>
      <w:bookmarkEnd w:id="85"/>
      <w:r>
        <w:t xml:space="preserve"> | Average year-on-year premium revenue changes for HT PHI (as % of prior year)</w:t>
      </w:r>
      <w:r>
        <w:rPr>
          <w:rStyle w:val="FootnoteReference"/>
        </w:rPr>
        <w:footnoteReference w:id="146"/>
      </w:r>
    </w:p>
    <w:p w14:paraId="42613895" w14:textId="77777777" w:rsidR="000B6CCF" w:rsidRPr="008A1EFC" w:rsidRDefault="000B6CCF" w:rsidP="009667DE">
      <w:r w:rsidRPr="00FF21EC">
        <w:rPr>
          <w:noProof/>
        </w:rPr>
        <w:drawing>
          <wp:inline distT="0" distB="0" distL="0" distR="0" wp14:anchorId="14B6D0FC" wp14:editId="4D8AC1D3">
            <wp:extent cx="5670550" cy="2915285"/>
            <wp:effectExtent l="0" t="0" r="6350" b="0"/>
            <wp:docPr id="609519079" name="Picture 1" descr="A graph of the average year-on-year HT premium revenue change per policy and HT premium revenue change per person. Both categories show a year-on-year decline from FY16 down to 1.24% and 0.94% respectively in FY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19079" name="Picture 1" descr="A graph of the average year-on-year HT premium revenue change per policy and HT premium revenue change per person. Both categories show a year-on-year decline from FY16 down to 1.24% and 0.94% respectively in FY21."/>
                    <pic:cNvPicPr/>
                  </pic:nvPicPr>
                  <pic:blipFill>
                    <a:blip r:embed="rId51"/>
                    <a:stretch>
                      <a:fillRect/>
                    </a:stretch>
                  </pic:blipFill>
                  <pic:spPr>
                    <a:xfrm>
                      <a:off x="0" y="0"/>
                      <a:ext cx="5670550" cy="2915285"/>
                    </a:xfrm>
                    <a:prstGeom prst="rect">
                      <a:avLst/>
                    </a:prstGeom>
                  </pic:spPr>
                </pic:pic>
              </a:graphicData>
            </a:graphic>
          </wp:inline>
        </w:drawing>
      </w:r>
    </w:p>
    <w:p w14:paraId="59F00850" w14:textId="77777777" w:rsidR="000B6CCF" w:rsidRPr="00135580" w:rsidRDefault="000B6CCF" w:rsidP="009667DE">
      <w:pPr>
        <w:pStyle w:val="Heading4"/>
      </w:pPr>
      <w:r w:rsidRPr="0BCC15EA">
        <w:rPr>
          <w:color w:val="F25E21" w:themeColor="accent2"/>
        </w:rPr>
        <w:t xml:space="preserve">Measure </w:t>
      </w:r>
      <w:r>
        <w:rPr>
          <w:color w:val="F25E21" w:themeColor="accent2"/>
        </w:rPr>
        <w:t>6</w:t>
      </w:r>
      <w:r w:rsidRPr="0BCC15EA">
        <w:rPr>
          <w:color w:val="F25E21" w:themeColor="accent2"/>
        </w:rPr>
        <w:t>.2</w:t>
      </w:r>
      <w:r>
        <w:t xml:space="preserve">: Change in PHI premiums related to PL item </w:t>
      </w:r>
      <w:proofErr w:type="gramStart"/>
      <w:r>
        <w:t>expenditure</w:t>
      </w:r>
      <w:proofErr w:type="gramEnd"/>
    </w:p>
    <w:p w14:paraId="687BB9E1" w14:textId="77777777" w:rsidR="000B6CCF" w:rsidRPr="00EA6059" w:rsidRDefault="000B6CCF" w:rsidP="00EA6059">
      <w:pPr>
        <w:pStyle w:val="Heading6"/>
        <w:spacing w:before="120"/>
      </w:pPr>
      <w:r w:rsidRPr="00EA6059">
        <w:t>Measurement guide</w:t>
      </w:r>
    </w:p>
    <w:p w14:paraId="6D96DE41" w14:textId="420D0EF0" w:rsidR="000B6CCF" w:rsidRDefault="000B6CCF" w:rsidP="009667DE">
      <w:pPr>
        <w:rPr>
          <w:lang w:eastAsia="en-AU"/>
        </w:rPr>
      </w:pPr>
      <w:r w:rsidRPr="003412B1">
        <w:rPr>
          <w:lang w:eastAsia="en-AU"/>
        </w:rPr>
        <w:t>This measure will look at the</w:t>
      </w:r>
      <w:r>
        <w:rPr>
          <w:lang w:eastAsia="en-AU"/>
        </w:rPr>
        <w:t xml:space="preserve"> total and</w:t>
      </w:r>
      <w:r w:rsidRPr="003412B1">
        <w:rPr>
          <w:lang w:eastAsia="en-AU"/>
        </w:rPr>
        <w:t xml:space="preserve"> proportion of health insurance benefits payments that are directly associated with payment for prostheses. This measure is important for isolating the impact of the PL reforms </w:t>
      </w:r>
      <w:r>
        <w:rPr>
          <w:lang w:eastAsia="en-AU"/>
        </w:rPr>
        <w:t xml:space="preserve">from other changes to PHI </w:t>
      </w:r>
      <w:r w:rsidRPr="003412B1">
        <w:rPr>
          <w:lang w:eastAsia="en-AU"/>
        </w:rPr>
        <w:t xml:space="preserve">that </w:t>
      </w:r>
      <w:r>
        <w:rPr>
          <w:lang w:eastAsia="en-AU"/>
        </w:rPr>
        <w:t xml:space="preserve">occur simultaneously. A reduction in the total benefits paid for prostheses is the main way in which the PL reforms seek to improve affordability. Looking at these also as a </w:t>
      </w:r>
      <w:r w:rsidRPr="003412B1">
        <w:rPr>
          <w:lang w:eastAsia="en-AU"/>
        </w:rPr>
        <w:t>proportion</w:t>
      </w:r>
      <w:r>
        <w:rPr>
          <w:lang w:eastAsia="en-AU"/>
        </w:rPr>
        <w:t xml:space="preserve"> of all benefit payments contextualises any changes that we see within any other changes to insurance benefit payments being made.</w:t>
      </w:r>
    </w:p>
    <w:p w14:paraId="4FD94492" w14:textId="77777777" w:rsidR="000B6CCF" w:rsidRPr="00135580" w:rsidRDefault="000B6CCF" w:rsidP="009667DE">
      <w:pPr>
        <w:rPr>
          <w:highlight w:val="yellow"/>
          <w:lang w:eastAsia="en-AU"/>
        </w:rPr>
      </w:pPr>
      <w:r w:rsidRPr="003412B1">
        <w:rPr>
          <w:lang w:eastAsia="en-AU"/>
        </w:rPr>
        <w:t>This will be used to quantify the extent to which other changes in PHI value and coverage can be attributed to the reforms.</w:t>
      </w:r>
      <w:r>
        <w:rPr>
          <w:lang w:eastAsia="en-AU"/>
        </w:rPr>
        <w:t xml:space="preserve"> The reform logic states that if the total benefits paid for prostheses decrease, we should expect to see more affordable premiums.</w:t>
      </w:r>
    </w:p>
    <w:p w14:paraId="5D2870AD" w14:textId="77777777" w:rsidR="000B6CCF" w:rsidRPr="00EA6059" w:rsidRDefault="000B6CCF" w:rsidP="00EA6059">
      <w:pPr>
        <w:pStyle w:val="Heading6"/>
        <w:spacing w:before="120"/>
      </w:pPr>
      <w:r w:rsidRPr="00EA6059">
        <w:t>Baseline value</w:t>
      </w:r>
    </w:p>
    <w:p w14:paraId="7D31B2EF" w14:textId="67753C64" w:rsidR="000B6CCF" w:rsidRPr="000F7E6D" w:rsidRDefault="000B6CCF" w:rsidP="009667DE">
      <w:pPr>
        <w:rPr>
          <w:lang w:eastAsia="en-AU"/>
        </w:rPr>
      </w:pPr>
      <w:r>
        <w:rPr>
          <w:lang w:eastAsia="en-AU"/>
        </w:rPr>
        <w:t>In FY21, private health insurers paid $</w:t>
      </w:r>
      <w:r w:rsidR="00560C63">
        <w:rPr>
          <w:lang w:eastAsia="en-AU"/>
        </w:rPr>
        <w:t>2</w:t>
      </w:r>
      <w:r>
        <w:rPr>
          <w:lang w:eastAsia="en-AU"/>
        </w:rPr>
        <w:t>.</w:t>
      </w:r>
      <w:r w:rsidR="00560C63">
        <w:rPr>
          <w:lang w:eastAsia="en-AU"/>
        </w:rPr>
        <w:t>23</w:t>
      </w:r>
      <w:r>
        <w:rPr>
          <w:lang w:eastAsia="en-AU"/>
        </w:rPr>
        <w:t xml:space="preserve"> billion in prostheses benefit payments.</w:t>
      </w:r>
      <w:r>
        <w:rPr>
          <w:rStyle w:val="FootnoteReference"/>
          <w:lang w:eastAsia="en-AU"/>
        </w:rPr>
        <w:footnoteReference w:id="147"/>
      </w:r>
      <w:r>
        <w:rPr>
          <w:lang w:eastAsia="en-AU"/>
        </w:rPr>
        <w:t xml:space="preserve"> </w:t>
      </w:r>
      <w:r w:rsidR="008B162C">
        <w:rPr>
          <w:lang w:eastAsia="en-AU"/>
        </w:rPr>
        <w:fldChar w:fldCharType="begin"/>
      </w:r>
      <w:r w:rsidR="008B162C">
        <w:rPr>
          <w:lang w:eastAsia="en-AU"/>
        </w:rPr>
        <w:instrText xml:space="preserve"> REF _Ref161911937 \h </w:instrText>
      </w:r>
      <w:r w:rsidR="008B162C">
        <w:rPr>
          <w:lang w:eastAsia="en-AU"/>
        </w:rPr>
      </w:r>
      <w:r w:rsidR="008B162C">
        <w:rPr>
          <w:lang w:eastAsia="en-AU"/>
        </w:rPr>
        <w:fldChar w:fldCharType="separate"/>
      </w:r>
      <w:r w:rsidR="00026714" w:rsidRPr="009A60BF">
        <w:t xml:space="preserve">Figure </w:t>
      </w:r>
      <w:r w:rsidR="00026714">
        <w:rPr>
          <w:noProof/>
        </w:rPr>
        <w:t>11</w:t>
      </w:r>
      <w:r w:rsidR="008B162C">
        <w:rPr>
          <w:lang w:eastAsia="en-AU"/>
        </w:rPr>
        <w:fldChar w:fldCharType="end"/>
      </w:r>
      <w:r>
        <w:rPr>
          <w:lang w:eastAsia="en-AU"/>
        </w:rPr>
        <w:t xml:space="preserve"> </w:t>
      </w:r>
      <w:r w:rsidR="00AF7067">
        <w:rPr>
          <w:lang w:eastAsia="en-AU"/>
        </w:rPr>
        <w:t xml:space="preserve">(in section </w:t>
      </w:r>
      <w:r w:rsidR="00AF7067">
        <w:rPr>
          <w:lang w:eastAsia="en-AU"/>
        </w:rPr>
        <w:fldChar w:fldCharType="begin"/>
      </w:r>
      <w:r w:rsidR="00AF7067">
        <w:rPr>
          <w:lang w:eastAsia="en-AU"/>
        </w:rPr>
        <w:instrText xml:space="preserve"> REF _Ref159872912 \r \h </w:instrText>
      </w:r>
      <w:r w:rsidR="00AF7067">
        <w:rPr>
          <w:lang w:eastAsia="en-AU"/>
        </w:rPr>
      </w:r>
      <w:r w:rsidR="00AF7067">
        <w:rPr>
          <w:lang w:eastAsia="en-AU"/>
        </w:rPr>
        <w:fldChar w:fldCharType="separate"/>
      </w:r>
      <w:r w:rsidR="00026714">
        <w:rPr>
          <w:lang w:eastAsia="en-AU"/>
        </w:rPr>
        <w:t>3.4</w:t>
      </w:r>
      <w:r w:rsidR="00AF7067">
        <w:rPr>
          <w:lang w:eastAsia="en-AU"/>
        </w:rPr>
        <w:fldChar w:fldCharType="end"/>
      </w:r>
      <w:r w:rsidR="00AF7067">
        <w:rPr>
          <w:lang w:eastAsia="en-AU"/>
        </w:rPr>
        <w:t>)</w:t>
      </w:r>
      <w:r>
        <w:rPr>
          <w:lang w:eastAsia="en-AU"/>
        </w:rPr>
        <w:t xml:space="preserve"> shows that this represents a 2.28% </w:t>
      </w:r>
      <w:r w:rsidR="00A66A47">
        <w:rPr>
          <w:lang w:eastAsia="en-AU"/>
        </w:rPr>
        <w:t>compound</w:t>
      </w:r>
      <w:r w:rsidR="00B078BF">
        <w:rPr>
          <w:lang w:eastAsia="en-AU"/>
        </w:rPr>
        <w:t>ing</w:t>
      </w:r>
      <w:r w:rsidR="00A66A47">
        <w:rPr>
          <w:lang w:eastAsia="en-AU"/>
        </w:rPr>
        <w:t xml:space="preserve"> </w:t>
      </w:r>
      <w:r>
        <w:rPr>
          <w:lang w:eastAsia="en-AU"/>
        </w:rPr>
        <w:t xml:space="preserve">annual </w:t>
      </w:r>
      <w:r w:rsidR="00A66A47">
        <w:rPr>
          <w:lang w:eastAsia="en-AU"/>
        </w:rPr>
        <w:t>growth rate</w:t>
      </w:r>
      <w:r>
        <w:rPr>
          <w:lang w:eastAsia="en-AU"/>
        </w:rPr>
        <w:t xml:space="preserve"> over the previous five years. </w:t>
      </w:r>
      <w:r>
        <w:rPr>
          <w:lang w:eastAsia="en-AU"/>
        </w:rPr>
        <w:fldChar w:fldCharType="begin"/>
      </w:r>
      <w:r>
        <w:rPr>
          <w:lang w:eastAsia="en-AU"/>
        </w:rPr>
        <w:instrText xml:space="preserve"> REF _Ref159181424 \h </w:instrText>
      </w:r>
      <w:r>
        <w:rPr>
          <w:lang w:eastAsia="en-AU"/>
        </w:rPr>
      </w:r>
      <w:r>
        <w:rPr>
          <w:lang w:eastAsia="en-AU"/>
        </w:rPr>
        <w:fldChar w:fldCharType="separate"/>
      </w:r>
      <w:r w:rsidR="00026714" w:rsidRPr="000628F2">
        <w:t xml:space="preserve">Figure </w:t>
      </w:r>
      <w:r w:rsidR="00026714">
        <w:rPr>
          <w:noProof/>
        </w:rPr>
        <w:t>26</w:t>
      </w:r>
      <w:r>
        <w:rPr>
          <w:lang w:eastAsia="en-AU"/>
        </w:rPr>
        <w:fldChar w:fldCharType="end"/>
      </w:r>
      <w:r>
        <w:rPr>
          <w:lang w:eastAsia="en-AU"/>
        </w:rPr>
        <w:t xml:space="preserve"> shows</w:t>
      </w:r>
      <w:r w:rsidRPr="00095224">
        <w:rPr>
          <w:lang w:eastAsia="en-AU"/>
        </w:rPr>
        <w:t xml:space="preserve"> that the proportion of prostheses benefits to total benefits has decreased gradually over the </w:t>
      </w:r>
      <w:r>
        <w:rPr>
          <w:lang w:eastAsia="en-AU"/>
        </w:rPr>
        <w:t>five</w:t>
      </w:r>
      <w:r w:rsidRPr="00095224">
        <w:rPr>
          <w:lang w:eastAsia="en-AU"/>
        </w:rPr>
        <w:t xml:space="preserve"> years leading up to the baseline, with a slight increase again in the baseline year. </w:t>
      </w:r>
      <w:r>
        <w:rPr>
          <w:lang w:eastAsia="en-AU"/>
        </w:rPr>
        <w:t xml:space="preserve">Across that time, however, the percentage contribution remained in the range of </w:t>
      </w:r>
      <w:r w:rsidR="003B70CF">
        <w:rPr>
          <w:lang w:eastAsia="en-AU"/>
        </w:rPr>
        <w:t>12.5</w:t>
      </w:r>
      <w:r>
        <w:rPr>
          <w:lang w:eastAsia="en-AU"/>
        </w:rPr>
        <w:t>-</w:t>
      </w:r>
      <w:r w:rsidR="003B70CF">
        <w:rPr>
          <w:lang w:eastAsia="en-AU"/>
        </w:rPr>
        <w:t>14.5</w:t>
      </w:r>
      <w:r>
        <w:rPr>
          <w:lang w:eastAsia="en-AU"/>
        </w:rPr>
        <w:t>%.</w:t>
      </w:r>
    </w:p>
    <w:p w14:paraId="76AA6C1D" w14:textId="78E78062" w:rsidR="000B6CCF" w:rsidRDefault="000B6CCF" w:rsidP="009667DE">
      <w:pPr>
        <w:pStyle w:val="Caption"/>
        <w:spacing w:before="240" w:after="120"/>
      </w:pPr>
      <w:bookmarkStart w:id="86" w:name="_Ref159181424"/>
      <w:r w:rsidRPr="000628F2">
        <w:lastRenderedPageBreak/>
        <w:t xml:space="preserve">Figure </w:t>
      </w:r>
      <w:r w:rsidRPr="000628F2">
        <w:fldChar w:fldCharType="begin"/>
      </w:r>
      <w:r w:rsidRPr="000628F2">
        <w:instrText xml:space="preserve"> SEQ Figure \* ARABIC </w:instrText>
      </w:r>
      <w:r w:rsidRPr="000628F2">
        <w:fldChar w:fldCharType="separate"/>
      </w:r>
      <w:r w:rsidR="00026714">
        <w:rPr>
          <w:noProof/>
        </w:rPr>
        <w:t>26</w:t>
      </w:r>
      <w:r w:rsidRPr="000628F2">
        <w:fldChar w:fldCharType="end"/>
      </w:r>
      <w:bookmarkEnd w:id="86"/>
      <w:r w:rsidRPr="000628F2">
        <w:t xml:space="preserve"> | Prostheses benefits paid as a percentage of total HT benefits</w:t>
      </w:r>
      <w:r w:rsidRPr="003B70CF">
        <w:rPr>
          <w:rStyle w:val="FootnoteReference"/>
        </w:rPr>
        <w:footnoteReference w:id="148"/>
      </w:r>
      <w:r w:rsidRPr="003B70CF">
        <w:rPr>
          <w:rStyle w:val="FootnoteReference"/>
        </w:rPr>
        <w:t>,</w:t>
      </w:r>
      <w:r w:rsidRPr="003B70CF">
        <w:rPr>
          <w:rStyle w:val="FootnoteReference"/>
        </w:rPr>
        <w:footnoteReference w:id="149"/>
      </w:r>
    </w:p>
    <w:p w14:paraId="030286F4" w14:textId="4A39FA85" w:rsidR="000B6CCF" w:rsidRPr="008456B0" w:rsidRDefault="00B5056F" w:rsidP="007869F9">
      <w:r w:rsidRPr="00B5056F">
        <w:rPr>
          <w:noProof/>
        </w:rPr>
        <w:drawing>
          <wp:inline distT="0" distB="0" distL="0" distR="0" wp14:anchorId="2D4C9B35" wp14:editId="744E39A9">
            <wp:extent cx="5670550" cy="2597785"/>
            <wp:effectExtent l="0" t="0" r="6350" b="0"/>
            <wp:docPr id="657047647" name="Picture 1" descr="A graph of prostheses benefits paid as a percentage of total HT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47647" name="Picture 1" descr="A graph of prostheses benefits paid as a percentage of total HT benefits."/>
                    <pic:cNvPicPr/>
                  </pic:nvPicPr>
                  <pic:blipFill>
                    <a:blip r:embed="rId52"/>
                    <a:stretch>
                      <a:fillRect/>
                    </a:stretch>
                  </pic:blipFill>
                  <pic:spPr>
                    <a:xfrm>
                      <a:off x="0" y="0"/>
                      <a:ext cx="5670550" cy="2597785"/>
                    </a:xfrm>
                    <a:prstGeom prst="rect">
                      <a:avLst/>
                    </a:prstGeom>
                  </pic:spPr>
                </pic:pic>
              </a:graphicData>
            </a:graphic>
          </wp:inline>
        </w:drawing>
      </w:r>
    </w:p>
    <w:p w14:paraId="0214A243" w14:textId="77777777" w:rsidR="000B6CCF" w:rsidRPr="00835A7D" w:rsidRDefault="000B6CCF" w:rsidP="00EA6059">
      <w:pPr>
        <w:pStyle w:val="Heading4"/>
        <w:spacing w:before="360"/>
      </w:pPr>
      <w:r w:rsidRPr="0BCC15EA">
        <w:rPr>
          <w:color w:val="F25E21" w:themeColor="accent2"/>
        </w:rPr>
        <w:t xml:space="preserve">Measure </w:t>
      </w:r>
      <w:r>
        <w:rPr>
          <w:color w:val="F25E21" w:themeColor="accent2"/>
        </w:rPr>
        <w:t>6</w:t>
      </w:r>
      <w:r w:rsidRPr="0BCC15EA">
        <w:rPr>
          <w:color w:val="F25E21" w:themeColor="accent2"/>
        </w:rPr>
        <w:t>.3</w:t>
      </w:r>
      <w:r>
        <w:t>: Stakeholder perspectives on the drivers of change in PHI premiums</w:t>
      </w:r>
    </w:p>
    <w:p w14:paraId="6CA1A6E0" w14:textId="77777777" w:rsidR="000B6CCF" w:rsidRPr="00EA6059" w:rsidRDefault="000B6CCF" w:rsidP="00EA6059">
      <w:pPr>
        <w:pStyle w:val="Heading6"/>
        <w:spacing w:before="120"/>
      </w:pPr>
      <w:r w:rsidRPr="00EA6059">
        <w:t>Measurement guide</w:t>
      </w:r>
    </w:p>
    <w:p w14:paraId="108BC49C" w14:textId="77777777" w:rsidR="000B6CCF" w:rsidRDefault="000B6CCF" w:rsidP="000B6CCF">
      <w:r>
        <w:t xml:space="preserve">A final source of evidence that the PL reforms have contributed to any reductions in PHI premiums (against the theoretical level they might otherwise have risen to) will be derived qualitatively from consultation with stakeholders. Regardless of whether we see any notable changes to measures 6.1 and 6.2, we will use consultation with experts in the Department and private health insurance industry to establish if the PL reforms are likely to have impacted PHI </w:t>
      </w:r>
      <w:proofErr w:type="gramStart"/>
      <w:r>
        <w:t>premiums in actuality</w:t>
      </w:r>
      <w:proofErr w:type="gramEnd"/>
      <w:r>
        <w:t>.</w:t>
      </w:r>
    </w:p>
    <w:p w14:paraId="5D0247FF" w14:textId="77777777" w:rsidR="000B6CCF" w:rsidRPr="00EA6059" w:rsidRDefault="000B6CCF" w:rsidP="00EA6059">
      <w:pPr>
        <w:pStyle w:val="Heading6"/>
        <w:spacing w:before="120"/>
      </w:pPr>
      <w:r w:rsidRPr="00EA6059">
        <w:t>Baseline value</w:t>
      </w:r>
    </w:p>
    <w:p w14:paraId="3B90EBBC" w14:textId="77777777" w:rsidR="000B6CCF" w:rsidRDefault="000B6CCF" w:rsidP="000B6CCF">
      <w:r>
        <w:t>There is no baseline value for this measure, given that it will be used to retrospectively assess the impact and contribution of the reform activities to any changes in PHI premiums. It should be noted, however, that early consultation has indicated some level of disagreement regarding the extent to which the reforms are likely to impact premiums.</w:t>
      </w:r>
    </w:p>
    <w:p w14:paraId="50B3A3B1" w14:textId="77777777" w:rsidR="0061025F" w:rsidRPr="00974105" w:rsidRDefault="0061025F" w:rsidP="009667DE">
      <w:pPr>
        <w:pStyle w:val="Heading2"/>
        <w:numPr>
          <w:ilvl w:val="0"/>
          <w:numId w:val="0"/>
        </w:numPr>
      </w:pPr>
      <w:bookmarkStart w:id="87" w:name="_Toc179453694"/>
      <w:r w:rsidRPr="00974105">
        <w:t xml:space="preserve">Indicator </w:t>
      </w:r>
      <w:r>
        <w:t>7</w:t>
      </w:r>
      <w:r w:rsidRPr="00974105">
        <w:t xml:space="preserve">: </w:t>
      </w:r>
      <w:r w:rsidRPr="002C3CC0">
        <w:t xml:space="preserve">Change in PHI coverage and for </w:t>
      </w:r>
      <w:proofErr w:type="gramStart"/>
      <w:r w:rsidRPr="002C3CC0">
        <w:t>whom</w:t>
      </w:r>
      <w:bookmarkEnd w:id="87"/>
      <w:proofErr w:type="gramEnd"/>
    </w:p>
    <w:p w14:paraId="772EEF6B" w14:textId="77777777" w:rsidR="0061025F" w:rsidRPr="00E7774E" w:rsidRDefault="0061025F" w:rsidP="009667DE">
      <w:pPr>
        <w:pStyle w:val="Heading4"/>
      </w:pPr>
      <w:r w:rsidRPr="0BCC15EA">
        <w:rPr>
          <w:color w:val="F25E21" w:themeColor="accent2"/>
        </w:rPr>
        <w:t xml:space="preserve">Measure </w:t>
      </w:r>
      <w:r>
        <w:rPr>
          <w:color w:val="F25E21" w:themeColor="accent2"/>
        </w:rPr>
        <w:t>7</w:t>
      </w:r>
      <w:r w:rsidRPr="0BCC15EA">
        <w:rPr>
          <w:color w:val="F25E21" w:themeColor="accent2"/>
        </w:rPr>
        <w:t>.1</w:t>
      </w:r>
      <w:r>
        <w:t>: PHI coverage by demographic group</w:t>
      </w:r>
    </w:p>
    <w:p w14:paraId="5EA3D1BB" w14:textId="77777777" w:rsidR="0061025F" w:rsidRPr="00EA6059" w:rsidRDefault="0061025F" w:rsidP="00EA6059">
      <w:pPr>
        <w:pStyle w:val="Heading6"/>
        <w:spacing w:before="120"/>
      </w:pPr>
      <w:r w:rsidRPr="00EA6059">
        <w:t>Measurement guide</w:t>
      </w:r>
    </w:p>
    <w:p w14:paraId="4DB1E87F" w14:textId="77777777" w:rsidR="0061025F" w:rsidRDefault="0061025F" w:rsidP="0061025F">
      <w:pPr>
        <w:rPr>
          <w:lang w:eastAsia="en-AU"/>
        </w:rPr>
      </w:pPr>
      <w:r w:rsidRPr="008A1268">
        <w:rPr>
          <w:lang w:eastAsia="en-AU"/>
        </w:rPr>
        <w:t xml:space="preserve">This measure will track the proportion and distribution of Australians </w:t>
      </w:r>
      <w:r>
        <w:rPr>
          <w:lang w:eastAsia="en-AU"/>
        </w:rPr>
        <w:t>covered by</w:t>
      </w:r>
      <w:r w:rsidRPr="008A1268">
        <w:rPr>
          <w:lang w:eastAsia="en-AU"/>
        </w:rPr>
        <w:t xml:space="preserve"> PHI policies. </w:t>
      </w:r>
      <w:r>
        <w:rPr>
          <w:lang w:eastAsia="en-AU"/>
        </w:rPr>
        <w:t>Coverage numbers will be used to indicate the extent to which consumer perceptions of the value of PHI changes. Demographic decomposition will be used to check the extent to which this occurs in groups with higher-than-average utilisation of prostheses, as coverage changes in these groups are more likely to be the result of the PL reforms.</w:t>
      </w:r>
    </w:p>
    <w:p w14:paraId="3D3129C0" w14:textId="77777777" w:rsidR="0061025F" w:rsidRDefault="0061025F" w:rsidP="0061025F">
      <w:pPr>
        <w:rPr>
          <w:lang w:eastAsia="en-AU"/>
        </w:rPr>
      </w:pPr>
      <w:r w:rsidRPr="008A1268">
        <w:rPr>
          <w:lang w:eastAsia="en-AU"/>
        </w:rPr>
        <w:t xml:space="preserve">We </w:t>
      </w:r>
      <w:proofErr w:type="gramStart"/>
      <w:r>
        <w:rPr>
          <w:lang w:eastAsia="en-AU"/>
        </w:rPr>
        <w:t>are able to</w:t>
      </w:r>
      <w:proofErr w:type="gramEnd"/>
      <w:r w:rsidRPr="008A1268">
        <w:rPr>
          <w:lang w:eastAsia="en-AU"/>
        </w:rPr>
        <w:t xml:space="preserve"> decompose this measure by age, gender and state,</w:t>
      </w:r>
      <w:r>
        <w:rPr>
          <w:lang w:eastAsia="en-AU"/>
        </w:rPr>
        <w:t xml:space="preserve"> however as measure 6.2 indicates no difference in prostheses use between males and females, we have not included a gender breakdown</w:t>
      </w:r>
      <w:r w:rsidRPr="008A1268">
        <w:rPr>
          <w:lang w:eastAsia="en-AU"/>
        </w:rPr>
        <w:t xml:space="preserve"> for th</w:t>
      </w:r>
      <w:r>
        <w:rPr>
          <w:lang w:eastAsia="en-AU"/>
        </w:rPr>
        <w:t>is measure.</w:t>
      </w:r>
    </w:p>
    <w:p w14:paraId="221B8DE2" w14:textId="77777777" w:rsidR="0061025F" w:rsidRDefault="0061025F" w:rsidP="0061025F">
      <w:pPr>
        <w:rPr>
          <w:highlight w:val="yellow"/>
          <w:lang w:eastAsia="en-AU"/>
        </w:rPr>
      </w:pPr>
      <w:r w:rsidRPr="008A1268">
        <w:rPr>
          <w:lang w:eastAsia="en-AU"/>
        </w:rPr>
        <w:lastRenderedPageBreak/>
        <w:t xml:space="preserve">For this baseline report we have included </w:t>
      </w:r>
      <w:r>
        <w:rPr>
          <w:lang w:eastAsia="en-AU"/>
        </w:rPr>
        <w:t>only</w:t>
      </w:r>
      <w:r w:rsidRPr="008A1268">
        <w:rPr>
          <w:lang w:eastAsia="en-AU"/>
        </w:rPr>
        <w:t xml:space="preserve"> measures specific to HT PHI policies as these are most relevant, however if subsequent analysis shows that including reference to other policy types or the distribution of different policy types, this will be added. </w:t>
      </w:r>
    </w:p>
    <w:p w14:paraId="161ED67E" w14:textId="77777777" w:rsidR="0061025F" w:rsidRPr="00EA6059" w:rsidRDefault="0061025F" w:rsidP="00EA6059">
      <w:pPr>
        <w:pStyle w:val="Heading6"/>
        <w:spacing w:before="120"/>
      </w:pPr>
      <w:r w:rsidRPr="00EA6059">
        <w:t>Baseline value</w:t>
      </w:r>
    </w:p>
    <w:p w14:paraId="38176CE0" w14:textId="7FA2FA8A" w:rsidR="0061025F" w:rsidRPr="007D20D4" w:rsidRDefault="0061025F" w:rsidP="0061025F">
      <w:pPr>
        <w:rPr>
          <w:lang w:eastAsia="en-AU"/>
        </w:rPr>
      </w:pPr>
      <w:r>
        <w:rPr>
          <w:lang w:eastAsia="en-AU"/>
        </w:rPr>
        <w:t xml:space="preserve">At baseline, 44.5% of Australians had HT PHI coverage. </w:t>
      </w:r>
      <w:r w:rsidRPr="007D20D4">
        <w:rPr>
          <w:lang w:eastAsia="en-AU"/>
        </w:rPr>
        <w:t>The level of coverage of the Australian population with HT PHI leading up to th</w:t>
      </w:r>
      <w:r>
        <w:rPr>
          <w:lang w:eastAsia="en-AU"/>
        </w:rPr>
        <w:t>is</w:t>
      </w:r>
      <w:r w:rsidRPr="007D20D4">
        <w:rPr>
          <w:lang w:eastAsia="en-AU"/>
        </w:rPr>
        <w:t xml:space="preserve"> baseline date is shown </w:t>
      </w:r>
      <w:r w:rsidRPr="007D20D4">
        <w:rPr>
          <w:lang w:eastAsia="en-AU"/>
        </w:rPr>
        <w:fldChar w:fldCharType="begin"/>
      </w:r>
      <w:r w:rsidRPr="007E4B6B">
        <w:rPr>
          <w:highlight w:val="yellow"/>
          <w:lang w:eastAsia="en-AU"/>
        </w:rPr>
        <w:instrText xml:space="preserve"> REF _Ref152693007 \h </w:instrText>
      </w:r>
      <w:r>
        <w:rPr>
          <w:highlight w:val="yellow"/>
          <w:lang w:eastAsia="en-AU"/>
        </w:rPr>
        <w:instrText xml:space="preserve"> \* MERGEFORMAT </w:instrText>
      </w:r>
      <w:r w:rsidRPr="007D20D4">
        <w:rPr>
          <w:lang w:eastAsia="en-AU"/>
        </w:rPr>
      </w:r>
      <w:r w:rsidRPr="007D20D4">
        <w:rPr>
          <w:lang w:eastAsia="en-AU"/>
        </w:rPr>
        <w:fldChar w:fldCharType="separate"/>
      </w:r>
      <w:r w:rsidR="00026714" w:rsidRPr="007D20D4">
        <w:t xml:space="preserve">Figure </w:t>
      </w:r>
      <w:r w:rsidR="00026714">
        <w:t>27</w:t>
      </w:r>
      <w:r w:rsidRPr="007D20D4">
        <w:rPr>
          <w:lang w:eastAsia="en-AU"/>
        </w:rPr>
        <w:fldChar w:fldCharType="end"/>
      </w:r>
      <w:r w:rsidRPr="007D20D4">
        <w:rPr>
          <w:lang w:eastAsia="en-AU"/>
        </w:rPr>
        <w:t xml:space="preserve"> below.</w:t>
      </w:r>
    </w:p>
    <w:p w14:paraId="75B8A3B0" w14:textId="489EC505" w:rsidR="0061025F" w:rsidRPr="007D20D4" w:rsidRDefault="0061025F" w:rsidP="0061025F">
      <w:pPr>
        <w:pStyle w:val="Caption"/>
        <w:spacing w:before="240" w:after="120"/>
      </w:pPr>
      <w:bookmarkStart w:id="88" w:name="_Ref152693007"/>
      <w:r w:rsidRPr="007D20D4">
        <w:t xml:space="preserve">Figure </w:t>
      </w:r>
      <w:r w:rsidRPr="005355AE">
        <w:fldChar w:fldCharType="begin"/>
      </w:r>
      <w:r w:rsidRPr="005355AE">
        <w:instrText xml:space="preserve"> SEQ Figure \* ARABIC </w:instrText>
      </w:r>
      <w:r w:rsidRPr="005355AE">
        <w:fldChar w:fldCharType="separate"/>
      </w:r>
      <w:r w:rsidR="00026714">
        <w:rPr>
          <w:noProof/>
        </w:rPr>
        <w:t>27</w:t>
      </w:r>
      <w:r w:rsidRPr="005355AE">
        <w:fldChar w:fldCharType="end"/>
      </w:r>
      <w:bookmarkEnd w:id="88"/>
      <w:r w:rsidRPr="005355AE">
        <w:t xml:space="preserve"> | P</w:t>
      </w:r>
      <w:r w:rsidRPr="007D20D4">
        <w:t>ercentage of Australian population with Hospital Treatment PHI</w:t>
      </w:r>
      <w:r w:rsidRPr="007D20D4">
        <w:rPr>
          <w:vertAlign w:val="superscript"/>
        </w:rPr>
        <w:footnoteReference w:id="150"/>
      </w:r>
    </w:p>
    <w:p w14:paraId="476CA0BB" w14:textId="77777777" w:rsidR="0061025F" w:rsidRPr="007D20D4" w:rsidRDefault="0061025F" w:rsidP="0061025F">
      <w:pPr>
        <w:rPr>
          <w:lang w:eastAsia="en-AU"/>
        </w:rPr>
      </w:pPr>
      <w:r w:rsidRPr="007D20D4">
        <w:rPr>
          <w:noProof/>
          <w:lang w:eastAsia="en-AU"/>
        </w:rPr>
        <w:drawing>
          <wp:inline distT="0" distB="0" distL="0" distR="0" wp14:anchorId="200A50B9" wp14:editId="1F076F57">
            <wp:extent cx="5636303" cy="2677795"/>
            <wp:effectExtent l="0" t="0" r="2540" b="8255"/>
            <wp:docPr id="1291409808" name="Picture 1291409808" descr="A graph of the percentage of the Australian population with Hospital Treatment PHI. The graph shows Jan-16 as 47.01% and Jul-21 as 44.55%. A call-out box shows the lowest coverage was in June 2020 at 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09808" name="Picture 1291409808" descr="A graph of the percentage of the Australian population with Hospital Treatment PHI. The graph shows Jan-16 as 47.01% and Jul-21 as 44.55%. A call-out box shows the lowest coverage was in June 2020 at 43.6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56800" cy="2687533"/>
                    </a:xfrm>
                    <a:prstGeom prst="rect">
                      <a:avLst/>
                    </a:prstGeom>
                    <a:noFill/>
                  </pic:spPr>
                </pic:pic>
              </a:graphicData>
            </a:graphic>
          </wp:inline>
        </w:drawing>
      </w:r>
    </w:p>
    <w:p w14:paraId="2D5F0146" w14:textId="0AD400D0" w:rsidR="0061025F" w:rsidRDefault="0061025F" w:rsidP="00EA6059">
      <w:pPr>
        <w:spacing w:before="360"/>
        <w:rPr>
          <w:lang w:eastAsia="en-AU"/>
        </w:rPr>
      </w:pPr>
      <w:r w:rsidRPr="007D20D4">
        <w:rPr>
          <w:lang w:eastAsia="en-AU"/>
        </w:rPr>
        <w:t xml:space="preserve">The </w:t>
      </w:r>
      <w:r w:rsidRPr="007D20D4">
        <w:rPr>
          <w:rFonts w:asciiTheme="minorHAnsi" w:hAnsiTheme="minorHAnsi" w:cstheme="minorHAnsi"/>
        </w:rPr>
        <w:t>decomposition</w:t>
      </w:r>
      <w:r w:rsidRPr="007D20D4">
        <w:rPr>
          <w:lang w:eastAsia="en-AU"/>
        </w:rPr>
        <w:t xml:space="preserve"> of this data by state and age groupings can be seen in </w:t>
      </w:r>
      <w:r w:rsidRPr="007D20D4">
        <w:rPr>
          <w:lang w:eastAsia="en-AU"/>
        </w:rPr>
        <w:fldChar w:fldCharType="begin"/>
      </w:r>
      <w:r w:rsidRPr="007E4B6B">
        <w:rPr>
          <w:highlight w:val="yellow"/>
          <w:lang w:eastAsia="en-AU"/>
        </w:rPr>
        <w:instrText xml:space="preserve"> REF _Ref152693381 \h </w:instrText>
      </w:r>
      <w:r>
        <w:rPr>
          <w:highlight w:val="yellow"/>
          <w:lang w:eastAsia="en-AU"/>
        </w:rPr>
        <w:instrText xml:space="preserve"> \* MERGEFORMAT </w:instrText>
      </w:r>
      <w:r w:rsidRPr="007D20D4">
        <w:rPr>
          <w:lang w:eastAsia="en-AU"/>
        </w:rPr>
      </w:r>
      <w:r w:rsidRPr="007D20D4">
        <w:rPr>
          <w:lang w:eastAsia="en-AU"/>
        </w:rPr>
        <w:fldChar w:fldCharType="separate"/>
      </w:r>
      <w:r w:rsidR="00026714">
        <w:t xml:space="preserve">Figure </w:t>
      </w:r>
      <w:r w:rsidR="00026714">
        <w:rPr>
          <w:noProof/>
        </w:rPr>
        <w:t>28</w:t>
      </w:r>
      <w:r w:rsidRPr="007D20D4">
        <w:rPr>
          <w:lang w:eastAsia="en-AU"/>
        </w:rPr>
        <w:fldChar w:fldCharType="end"/>
      </w:r>
      <w:r w:rsidRPr="007D20D4">
        <w:rPr>
          <w:lang w:eastAsia="en-AU"/>
        </w:rPr>
        <w:t xml:space="preserve"> and </w:t>
      </w:r>
      <w:r w:rsidRPr="007D20D4">
        <w:rPr>
          <w:lang w:eastAsia="en-AU"/>
        </w:rPr>
        <w:fldChar w:fldCharType="begin"/>
      </w:r>
      <w:r w:rsidRPr="007E4B6B">
        <w:rPr>
          <w:highlight w:val="yellow"/>
          <w:lang w:eastAsia="en-AU"/>
        </w:rPr>
        <w:instrText xml:space="preserve"> REF _Ref152838064 \h </w:instrText>
      </w:r>
      <w:r>
        <w:rPr>
          <w:highlight w:val="yellow"/>
          <w:lang w:eastAsia="en-AU"/>
        </w:rPr>
        <w:instrText xml:space="preserve"> \* MERGEFORMAT </w:instrText>
      </w:r>
      <w:r w:rsidRPr="007D20D4">
        <w:rPr>
          <w:lang w:eastAsia="en-AU"/>
        </w:rPr>
      </w:r>
      <w:r w:rsidRPr="007D20D4">
        <w:rPr>
          <w:lang w:eastAsia="en-AU"/>
        </w:rPr>
        <w:fldChar w:fldCharType="separate"/>
      </w:r>
      <w:r w:rsidR="00026714">
        <w:t xml:space="preserve">Figure </w:t>
      </w:r>
      <w:r w:rsidR="00026714">
        <w:rPr>
          <w:noProof/>
        </w:rPr>
        <w:t>29</w:t>
      </w:r>
      <w:r w:rsidRPr="007D20D4">
        <w:rPr>
          <w:lang w:eastAsia="en-AU"/>
        </w:rPr>
        <w:fldChar w:fldCharType="end"/>
      </w:r>
      <w:r w:rsidRPr="007D20D4">
        <w:rPr>
          <w:lang w:eastAsia="en-AU"/>
        </w:rPr>
        <w:t xml:space="preserve"> respectively.</w:t>
      </w:r>
    </w:p>
    <w:p w14:paraId="30C09E04" w14:textId="271053EE" w:rsidR="0061025F" w:rsidRPr="008B40BA" w:rsidRDefault="0061025F" w:rsidP="0061025F">
      <w:pPr>
        <w:pStyle w:val="Caption"/>
        <w:spacing w:before="240" w:after="120"/>
        <w:rPr>
          <w:vertAlign w:val="superscript"/>
        </w:rPr>
      </w:pPr>
      <w:bookmarkStart w:id="89" w:name="_Ref152693381"/>
      <w:r>
        <w:t xml:space="preserve">Figure </w:t>
      </w:r>
      <w:r>
        <w:fldChar w:fldCharType="begin"/>
      </w:r>
      <w:r>
        <w:instrText xml:space="preserve"> SEQ Figure \* ARABIC </w:instrText>
      </w:r>
      <w:r>
        <w:fldChar w:fldCharType="separate"/>
      </w:r>
      <w:r w:rsidR="00026714">
        <w:rPr>
          <w:noProof/>
        </w:rPr>
        <w:t>28</w:t>
      </w:r>
      <w:r>
        <w:fldChar w:fldCharType="end"/>
      </w:r>
      <w:bookmarkEnd w:id="89"/>
      <w:r>
        <w:t xml:space="preserve"> | Percentage of Australian population with Hospital Treatment PHI by state and territory</w:t>
      </w:r>
      <w:r w:rsidRPr="008B40BA">
        <w:rPr>
          <w:vertAlign w:val="superscript"/>
        </w:rPr>
        <w:footnoteReference w:id="151"/>
      </w:r>
    </w:p>
    <w:p w14:paraId="687AD325" w14:textId="77777777" w:rsidR="0061025F" w:rsidRDefault="0061025F" w:rsidP="0061025F">
      <w:r w:rsidRPr="00631C2E">
        <w:rPr>
          <w:noProof/>
        </w:rPr>
        <w:drawing>
          <wp:inline distT="0" distB="0" distL="0" distR="0" wp14:anchorId="6FCD42CF" wp14:editId="655F9B6A">
            <wp:extent cx="5670550" cy="2931795"/>
            <wp:effectExtent l="0" t="0" r="6350" b="1905"/>
            <wp:docPr id="2005219996" name="Picture 2005219996" descr="A graph of the percentage of Australian population with Hospital Treatment PHI by state and territory. WA is the highest in Jul-21 at 53% and NT is the lowest in Jul-21 a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19996" name="Picture 2005219996" descr="A graph of the percentage of Australian population with Hospital Treatment PHI by state and territory. WA is the highest in Jul-21 at 53% and NT is the lowest in Jul-21 at 39%."/>
                    <pic:cNvPicPr/>
                  </pic:nvPicPr>
                  <pic:blipFill>
                    <a:blip r:embed="rId54"/>
                    <a:stretch>
                      <a:fillRect/>
                    </a:stretch>
                  </pic:blipFill>
                  <pic:spPr>
                    <a:xfrm>
                      <a:off x="0" y="0"/>
                      <a:ext cx="5670550" cy="2931795"/>
                    </a:xfrm>
                    <a:prstGeom prst="rect">
                      <a:avLst/>
                    </a:prstGeom>
                  </pic:spPr>
                </pic:pic>
              </a:graphicData>
            </a:graphic>
          </wp:inline>
        </w:drawing>
      </w:r>
    </w:p>
    <w:p w14:paraId="4B032E86" w14:textId="623E44F6" w:rsidR="0061025F" w:rsidRDefault="0061025F" w:rsidP="00130575">
      <w:pPr>
        <w:pStyle w:val="Caption"/>
        <w:spacing w:before="240" w:after="120"/>
      </w:pPr>
      <w:bookmarkStart w:id="90" w:name="_Ref158922414"/>
      <w:bookmarkStart w:id="91" w:name="_Ref152838064"/>
      <w:bookmarkStart w:id="92" w:name="_Ref158922408"/>
      <w:r>
        <w:lastRenderedPageBreak/>
        <w:t>Figure</w:t>
      </w:r>
      <w:bookmarkEnd w:id="90"/>
      <w:r>
        <w:t xml:space="preserve"> </w:t>
      </w:r>
      <w:r>
        <w:fldChar w:fldCharType="begin"/>
      </w:r>
      <w:r>
        <w:instrText xml:space="preserve"> SEQ Figure \* ARABIC </w:instrText>
      </w:r>
      <w:r>
        <w:fldChar w:fldCharType="separate"/>
      </w:r>
      <w:r w:rsidR="00026714">
        <w:rPr>
          <w:noProof/>
        </w:rPr>
        <w:t>29</w:t>
      </w:r>
      <w:r>
        <w:fldChar w:fldCharType="end"/>
      </w:r>
      <w:bookmarkEnd w:id="91"/>
      <w:r>
        <w:t xml:space="preserve"> | </w:t>
      </w:r>
      <w:r w:rsidR="00AE5145" w:rsidRPr="002A0B6F">
        <w:t>Percentage</w:t>
      </w:r>
      <w:r>
        <w:t xml:space="preserve"> of </w:t>
      </w:r>
      <w:r w:rsidR="00AE5145" w:rsidRPr="002A0B6F">
        <w:t>Australian population</w:t>
      </w:r>
      <w:r>
        <w:t xml:space="preserve"> with Hospital Treatment PHI </w:t>
      </w:r>
      <w:r w:rsidR="00AE5145" w:rsidRPr="002A0B6F">
        <w:t>by age</w:t>
      </w:r>
      <w:r w:rsidRPr="002A0B6F">
        <w:rPr>
          <w:vertAlign w:val="superscript"/>
        </w:rPr>
        <w:footnoteReference w:id="152"/>
      </w:r>
      <w:r w:rsidR="00F07F91" w:rsidRPr="002A0B6F">
        <w:rPr>
          <w:vertAlign w:val="superscript"/>
        </w:rPr>
        <w:t>,</w:t>
      </w:r>
      <w:r w:rsidRPr="008B40BA">
        <w:rPr>
          <w:vertAlign w:val="superscript"/>
        </w:rPr>
        <w:footnoteReference w:id="153"/>
      </w:r>
      <w:bookmarkEnd w:id="92"/>
    </w:p>
    <w:p w14:paraId="7B92563B" w14:textId="7D286F39" w:rsidR="00F07F91" w:rsidRPr="00451079" w:rsidRDefault="00AE5145" w:rsidP="0061025F">
      <w:r w:rsidRPr="00AE5145">
        <w:rPr>
          <w:noProof/>
        </w:rPr>
        <w:drawing>
          <wp:inline distT="0" distB="0" distL="0" distR="0" wp14:anchorId="1C04294E" wp14:editId="3B6D987F">
            <wp:extent cx="5670550" cy="3212465"/>
            <wp:effectExtent l="0" t="0" r="6350" b="6985"/>
            <wp:docPr id="574597362" name="Picture 1" descr="A graph of the percentage of the Australian population with Hospital Treatment PHI by age, split out by different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97362" name="Picture 1" descr="A graph of the percentage of the Australian population with Hospital Treatment PHI by age, split out by different age groups."/>
                    <pic:cNvPicPr/>
                  </pic:nvPicPr>
                  <pic:blipFill>
                    <a:blip r:embed="rId55"/>
                    <a:stretch>
                      <a:fillRect/>
                    </a:stretch>
                  </pic:blipFill>
                  <pic:spPr>
                    <a:xfrm>
                      <a:off x="0" y="0"/>
                      <a:ext cx="5670550" cy="3212465"/>
                    </a:xfrm>
                    <a:prstGeom prst="rect">
                      <a:avLst/>
                    </a:prstGeom>
                  </pic:spPr>
                </pic:pic>
              </a:graphicData>
            </a:graphic>
          </wp:inline>
        </w:drawing>
      </w:r>
    </w:p>
    <w:p w14:paraId="68B56170" w14:textId="77777777" w:rsidR="0061025F" w:rsidRDefault="0061025F" w:rsidP="00545061">
      <w:pPr>
        <w:pStyle w:val="Heading4"/>
        <w:spacing w:before="360"/>
      </w:pPr>
      <w:r w:rsidRPr="0BCC15EA">
        <w:rPr>
          <w:color w:val="F25E21" w:themeColor="accent2"/>
        </w:rPr>
        <w:t xml:space="preserve">Measure </w:t>
      </w:r>
      <w:r>
        <w:rPr>
          <w:color w:val="F25E21" w:themeColor="accent2"/>
        </w:rPr>
        <w:t>7</w:t>
      </w:r>
      <w:r w:rsidRPr="0BCC15EA">
        <w:rPr>
          <w:color w:val="F25E21" w:themeColor="accent2"/>
        </w:rPr>
        <w:t>.2</w:t>
      </w:r>
      <w:r>
        <w:t>: Utilisation of PL items by privately insured patients</w:t>
      </w:r>
    </w:p>
    <w:p w14:paraId="1167E5AC" w14:textId="77777777" w:rsidR="0061025F" w:rsidRDefault="0061025F" w:rsidP="00545061">
      <w:pPr>
        <w:pStyle w:val="Heading6"/>
        <w:spacing w:before="120"/>
      </w:pPr>
      <w:r w:rsidRPr="004D1FFC">
        <w:t>Measurement guide</w:t>
      </w:r>
    </w:p>
    <w:p w14:paraId="59E2C51C" w14:textId="5C904D59" w:rsidR="0061025F" w:rsidRDefault="0061025F" w:rsidP="0061025F">
      <w:r>
        <w:t xml:space="preserve">This measure will look at PL item </w:t>
      </w:r>
      <w:r w:rsidR="00DB652F">
        <w:t>utilisation</w:t>
      </w:r>
      <w:r>
        <w:t xml:space="preserve"> by groups of PHI members, calculated as the number of PL items used divided by the total number of people with PHI coverage. This measure will help establish attribution of any changes in value to the reforms in two ways. First, any change to this measure might indicate a change in value (an increase in devices used might indicate that PHI is being used more frequently by those who are likely to need medical devices). Second, this measure allows us to understand which demographic groups are most likely to use PL items, which is used to inform our understanding of m</w:t>
      </w:r>
      <w:r w:rsidRPr="00272F3F">
        <w:t xml:space="preserve">easure </w:t>
      </w:r>
      <w:r w:rsidR="000971E8">
        <w:t>7</w:t>
      </w:r>
      <w:r w:rsidRPr="00272F3F">
        <w:t>.1.</w:t>
      </w:r>
    </w:p>
    <w:p w14:paraId="6BB0A3E7" w14:textId="77777777" w:rsidR="0061025F" w:rsidRPr="00545061" w:rsidRDefault="0061025F" w:rsidP="00545061">
      <w:pPr>
        <w:pStyle w:val="Heading6"/>
        <w:spacing w:before="120"/>
      </w:pPr>
      <w:r w:rsidRPr="00545061">
        <w:t>Baseline value</w:t>
      </w:r>
    </w:p>
    <w:p w14:paraId="728CC1DC" w14:textId="6FDA6AF2" w:rsidR="0061025F" w:rsidRDefault="0061025F" w:rsidP="0061025F">
      <w:r>
        <w:rPr>
          <w:highlight w:val="yellow"/>
        </w:rPr>
        <w:fldChar w:fldCharType="begin"/>
      </w:r>
      <w:r>
        <w:rPr>
          <w:highlight w:val="yellow"/>
        </w:rPr>
        <w:instrText xml:space="preserve"> REF _Ref158988190 \h </w:instrText>
      </w:r>
      <w:r>
        <w:rPr>
          <w:highlight w:val="yellow"/>
        </w:rPr>
      </w:r>
      <w:r>
        <w:rPr>
          <w:highlight w:val="yellow"/>
        </w:rPr>
        <w:fldChar w:fldCharType="separate"/>
      </w:r>
      <w:r w:rsidR="00026714">
        <w:t xml:space="preserve">Figure </w:t>
      </w:r>
      <w:r w:rsidR="00026714">
        <w:rPr>
          <w:noProof/>
        </w:rPr>
        <w:t>30</w:t>
      </w:r>
      <w:r>
        <w:rPr>
          <w:highlight w:val="yellow"/>
        </w:rPr>
        <w:fldChar w:fldCharType="end"/>
      </w:r>
      <w:r>
        <w:t xml:space="preserve"> below shows the number of PL items used per 1000 people with HT PHI coverage</w:t>
      </w:r>
      <w:r w:rsidR="000F6A74">
        <w:t>, broken down by PL category</w:t>
      </w:r>
      <w:r>
        <w:t xml:space="preserve">. Notably, the total number of items used increased by roughly 20% between FY17 and FY21. To explain this, </w:t>
      </w:r>
      <w:r w:rsidRPr="00FA0F1F">
        <w:fldChar w:fldCharType="begin"/>
      </w:r>
      <w:r w:rsidRPr="00FA0F1F">
        <w:instrText xml:space="preserve"> REF _Ref158990312 \h </w:instrText>
      </w:r>
      <w:r>
        <w:instrText xml:space="preserve"> \* MERGEFORMAT </w:instrText>
      </w:r>
      <w:r w:rsidRPr="00FA0F1F">
        <w:fldChar w:fldCharType="separate"/>
      </w:r>
      <w:r w:rsidR="00026714" w:rsidRPr="00414668">
        <w:t xml:space="preserve">Figure </w:t>
      </w:r>
      <w:r w:rsidR="00026714">
        <w:t>31</w:t>
      </w:r>
      <w:r w:rsidRPr="00FA0F1F">
        <w:fldChar w:fldCharType="end"/>
      </w:r>
      <w:r>
        <w:t xml:space="preserve"> shows </w:t>
      </w:r>
      <w:r w:rsidR="00292268">
        <w:t>an increase in prostheses utilisation</w:t>
      </w:r>
      <w:r w:rsidR="00DA2DFE">
        <w:t xml:space="preserve"> is driven by </w:t>
      </w:r>
      <w:r>
        <w:t>people over 65 years of age</w:t>
      </w:r>
      <w:r w:rsidR="00DA2DFE">
        <w:t xml:space="preserve">—though </w:t>
      </w:r>
      <w:r w:rsidR="00F96118">
        <w:t>all</w:t>
      </w:r>
      <w:r w:rsidR="00D933DC">
        <w:t xml:space="preserve"> </w:t>
      </w:r>
      <w:r w:rsidR="00DA2DFE">
        <w:t>age brackets</w:t>
      </w:r>
      <w:r w:rsidR="00F96118">
        <w:t xml:space="preserve"> have had increased utilisation to </w:t>
      </w:r>
      <w:r w:rsidR="00C133CE">
        <w:t xml:space="preserve">some </w:t>
      </w:r>
      <w:r w:rsidR="00F96118">
        <w:t>extent</w:t>
      </w:r>
      <w:r>
        <w:t>. In addition,</w:t>
      </w:r>
      <w:r w:rsidRPr="00FA0F1F">
        <w:t xml:space="preserve"> </w:t>
      </w:r>
      <w:r w:rsidRPr="00FA0F1F">
        <w:fldChar w:fldCharType="begin"/>
      </w:r>
      <w:r w:rsidRPr="00FA0F1F">
        <w:instrText xml:space="preserve"> REF _Ref152838064 \h </w:instrText>
      </w:r>
      <w:r>
        <w:instrText xml:space="preserve"> \* MERGEFORMAT </w:instrText>
      </w:r>
      <w:r w:rsidRPr="00FA0F1F">
        <w:fldChar w:fldCharType="separate"/>
      </w:r>
      <w:r w:rsidR="00026714">
        <w:t xml:space="preserve">Figure </w:t>
      </w:r>
      <w:r w:rsidR="00026714">
        <w:rPr>
          <w:noProof/>
        </w:rPr>
        <w:t>29</w:t>
      </w:r>
      <w:r w:rsidRPr="00FA0F1F">
        <w:fldChar w:fldCharType="end"/>
      </w:r>
      <w:r>
        <w:t xml:space="preserve"> shows that this age group is an increasingly large share of the total number of policies, increasing approximately 3 percentage points between 2016 and 2021. As a greater proportion of HT PHI policies are for people who have a significantly higher likelihood of using PL items, we would expect the item usage per member to increase.</w:t>
      </w:r>
    </w:p>
    <w:p w14:paraId="1CF61953" w14:textId="32494F9E" w:rsidR="0061025F" w:rsidRDefault="0061025F" w:rsidP="00130575">
      <w:pPr>
        <w:pStyle w:val="Caption"/>
        <w:spacing w:before="240" w:after="120"/>
      </w:pPr>
      <w:bookmarkStart w:id="93" w:name="_Ref158988190"/>
      <w:r>
        <w:lastRenderedPageBreak/>
        <w:t xml:space="preserve">Figure </w:t>
      </w:r>
      <w:r>
        <w:fldChar w:fldCharType="begin"/>
      </w:r>
      <w:r>
        <w:instrText xml:space="preserve"> SEQ Figure \* ARABIC </w:instrText>
      </w:r>
      <w:r>
        <w:fldChar w:fldCharType="separate"/>
      </w:r>
      <w:r w:rsidR="00026714">
        <w:rPr>
          <w:noProof/>
        </w:rPr>
        <w:t>30</w:t>
      </w:r>
      <w:r>
        <w:fldChar w:fldCharType="end"/>
      </w:r>
      <w:bookmarkEnd w:id="93"/>
      <w:r>
        <w:t xml:space="preserve"> | </w:t>
      </w:r>
      <w:r w:rsidR="005B1177">
        <w:t>Prostheses</w:t>
      </w:r>
      <w:r>
        <w:t xml:space="preserve"> </w:t>
      </w:r>
      <w:r w:rsidR="005B1177">
        <w:t>utilisation</w:t>
      </w:r>
      <w:r>
        <w:t xml:space="preserve"> per 1000 </w:t>
      </w:r>
      <w:r w:rsidR="005B1177">
        <w:t>HT</w:t>
      </w:r>
      <w:r>
        <w:t xml:space="preserve"> PHI members</w:t>
      </w:r>
      <w:r w:rsidR="00070487">
        <w:t xml:space="preserve"> by PL category</w:t>
      </w:r>
      <w:r w:rsidRPr="000628F2">
        <w:rPr>
          <w:vertAlign w:val="superscript"/>
        </w:rPr>
        <w:footnoteReference w:id="154"/>
      </w:r>
      <w:r w:rsidRPr="000628F2">
        <w:rPr>
          <w:vertAlign w:val="superscript"/>
        </w:rPr>
        <w:t>,</w:t>
      </w:r>
      <w:r w:rsidRPr="000628F2">
        <w:rPr>
          <w:vertAlign w:val="superscript"/>
        </w:rPr>
        <w:footnoteReference w:id="155"/>
      </w:r>
    </w:p>
    <w:p w14:paraId="28363722" w14:textId="77777777" w:rsidR="0061025F" w:rsidRPr="007457DD" w:rsidRDefault="0061025F" w:rsidP="0061025F">
      <w:r w:rsidRPr="00AB717F">
        <w:rPr>
          <w:noProof/>
        </w:rPr>
        <w:drawing>
          <wp:inline distT="0" distB="0" distL="0" distR="0" wp14:anchorId="2EF09C20" wp14:editId="24D7A502">
            <wp:extent cx="5670550" cy="2559050"/>
            <wp:effectExtent l="0" t="0" r="6350" b="0"/>
            <wp:docPr id="2046014728" name="Picture 2046014728" descr="A graph of prostheses utilisation per 1000 HT PHI members by PL category. This increases each year from 238 in FY17 to 290 in FY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14728" name="Picture 2046014728" descr="A graph of prostheses utilisation per 1000 HT PHI members by PL category. This increases each year from 238 in FY17 to 290 in FY21."/>
                    <pic:cNvPicPr/>
                  </pic:nvPicPr>
                  <pic:blipFill>
                    <a:blip r:embed="rId56"/>
                    <a:stretch>
                      <a:fillRect/>
                    </a:stretch>
                  </pic:blipFill>
                  <pic:spPr>
                    <a:xfrm>
                      <a:off x="0" y="0"/>
                      <a:ext cx="5670550" cy="2559050"/>
                    </a:xfrm>
                    <a:prstGeom prst="rect">
                      <a:avLst/>
                    </a:prstGeom>
                  </pic:spPr>
                </pic:pic>
              </a:graphicData>
            </a:graphic>
          </wp:inline>
        </w:drawing>
      </w:r>
    </w:p>
    <w:p w14:paraId="42EDCCBF" w14:textId="121D06EC" w:rsidR="0061025F" w:rsidRDefault="0061025F" w:rsidP="00545061">
      <w:pPr>
        <w:spacing w:before="360"/>
      </w:pPr>
      <w:r>
        <w:fldChar w:fldCharType="begin"/>
      </w:r>
      <w:r>
        <w:instrText xml:space="preserve"> REF _Ref158990312 \h </w:instrText>
      </w:r>
      <w:r>
        <w:fldChar w:fldCharType="separate"/>
      </w:r>
      <w:r w:rsidR="00026714" w:rsidRPr="00414668">
        <w:t xml:space="preserve">Figure </w:t>
      </w:r>
      <w:r w:rsidR="00026714">
        <w:rPr>
          <w:noProof/>
        </w:rPr>
        <w:t>31</w:t>
      </w:r>
      <w:r>
        <w:fldChar w:fldCharType="end"/>
      </w:r>
      <w:r>
        <w:t xml:space="preserve"> shows that there is significantly higher use of prostheses in people over 65, and to some extent in those between 50 and 64, than in any other age group. On this basis, changes in coverage detected in measure 7.1 that do not relate to these age groups are less likely to be driven by a perceived change in the value of PHI due to the PL reforms.</w:t>
      </w:r>
    </w:p>
    <w:p w14:paraId="37D49A79" w14:textId="44F87D1C" w:rsidR="0061025F" w:rsidRDefault="0061025F" w:rsidP="0061025F">
      <w:r>
        <w:fldChar w:fldCharType="begin"/>
      </w:r>
      <w:r>
        <w:instrText xml:space="preserve"> REF _Ref159152677 \h </w:instrText>
      </w:r>
      <w:r>
        <w:fldChar w:fldCharType="separate"/>
      </w:r>
      <w:r w:rsidR="00026714" w:rsidRPr="00414668">
        <w:t xml:space="preserve">Figure </w:t>
      </w:r>
      <w:r w:rsidR="00026714">
        <w:rPr>
          <w:noProof/>
        </w:rPr>
        <w:t>32</w:t>
      </w:r>
      <w:r>
        <w:fldChar w:fldCharType="end"/>
      </w:r>
      <w:r>
        <w:t xml:space="preserve"> shows that there is </w:t>
      </w:r>
      <w:r w:rsidR="00324482">
        <w:t>a</w:t>
      </w:r>
      <w:r>
        <w:t xml:space="preserve"> marginal difference in prostheses </w:t>
      </w:r>
      <w:r w:rsidR="00324482">
        <w:t>usage</w:t>
      </w:r>
      <w:r>
        <w:t xml:space="preserve"> by males and females, and for this reason we have not included this </w:t>
      </w:r>
      <w:r w:rsidRPr="00355FE3">
        <w:t>breakdown in measure 7.1.</w:t>
      </w:r>
    </w:p>
    <w:p w14:paraId="7236DAB0" w14:textId="27841063" w:rsidR="0061025F" w:rsidRPr="007457DD" w:rsidRDefault="0061025F" w:rsidP="00130575">
      <w:pPr>
        <w:pStyle w:val="Caption"/>
        <w:spacing w:before="240" w:after="120"/>
      </w:pPr>
      <w:bookmarkStart w:id="94" w:name="_Ref158990312"/>
      <w:r w:rsidRPr="00414668">
        <w:t xml:space="preserve">Figure </w:t>
      </w:r>
      <w:r w:rsidRPr="00414668">
        <w:fldChar w:fldCharType="begin"/>
      </w:r>
      <w:r w:rsidRPr="00414668">
        <w:instrText xml:space="preserve"> SEQ Figure \* ARABIC </w:instrText>
      </w:r>
      <w:r w:rsidRPr="00414668">
        <w:fldChar w:fldCharType="separate"/>
      </w:r>
      <w:r w:rsidR="00026714">
        <w:rPr>
          <w:noProof/>
        </w:rPr>
        <w:t>31</w:t>
      </w:r>
      <w:r w:rsidRPr="00414668">
        <w:fldChar w:fldCharType="end"/>
      </w:r>
      <w:bookmarkEnd w:id="94"/>
      <w:r w:rsidRPr="00414668">
        <w:t xml:space="preserve"> | </w:t>
      </w:r>
      <w:r w:rsidR="00D20AF2">
        <w:t>Average p</w:t>
      </w:r>
      <w:r w:rsidR="00631F8F">
        <w:t>rostheses utilisation per 1000 HT PHI members by age</w:t>
      </w:r>
      <w:r w:rsidRPr="000628F2">
        <w:rPr>
          <w:vertAlign w:val="superscript"/>
        </w:rPr>
        <w:footnoteReference w:id="156"/>
      </w:r>
      <w:r w:rsidRPr="000628F2">
        <w:rPr>
          <w:vertAlign w:val="superscript"/>
        </w:rPr>
        <w:t>,</w:t>
      </w:r>
      <w:r w:rsidRPr="000628F2">
        <w:rPr>
          <w:vertAlign w:val="superscript"/>
        </w:rPr>
        <w:footnoteReference w:id="157"/>
      </w:r>
    </w:p>
    <w:p w14:paraId="3D707DC3" w14:textId="26D12821" w:rsidR="0061025F" w:rsidRPr="00096BB0" w:rsidRDefault="00E24D4D" w:rsidP="0061025F">
      <w:r w:rsidRPr="00E24D4D">
        <w:rPr>
          <w:noProof/>
        </w:rPr>
        <w:drawing>
          <wp:inline distT="0" distB="0" distL="0" distR="0" wp14:anchorId="40FD38C7" wp14:editId="0806FF52">
            <wp:extent cx="5670550" cy="2909570"/>
            <wp:effectExtent l="0" t="0" r="6350" b="5080"/>
            <wp:docPr id="834042152" name="Picture 1" descr="A graph of average prostheses utilisation per 1000 HT PHI members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42152" name="Picture 1" descr="A graph of average prostheses utilisation per 1000 HT PHI members by age."/>
                    <pic:cNvPicPr/>
                  </pic:nvPicPr>
                  <pic:blipFill>
                    <a:blip r:embed="rId57"/>
                    <a:stretch>
                      <a:fillRect/>
                    </a:stretch>
                  </pic:blipFill>
                  <pic:spPr>
                    <a:xfrm>
                      <a:off x="0" y="0"/>
                      <a:ext cx="5670550" cy="2909570"/>
                    </a:xfrm>
                    <a:prstGeom prst="rect">
                      <a:avLst/>
                    </a:prstGeom>
                  </pic:spPr>
                </pic:pic>
              </a:graphicData>
            </a:graphic>
          </wp:inline>
        </w:drawing>
      </w:r>
    </w:p>
    <w:p w14:paraId="1F956401" w14:textId="6FDB1077" w:rsidR="0061025F" w:rsidRDefault="0061025F" w:rsidP="00130575">
      <w:pPr>
        <w:pStyle w:val="Caption"/>
        <w:spacing w:before="240" w:after="120"/>
      </w:pPr>
      <w:bookmarkStart w:id="95" w:name="_Ref159152677"/>
      <w:r w:rsidRPr="00414668">
        <w:lastRenderedPageBreak/>
        <w:t xml:space="preserve">Figure </w:t>
      </w:r>
      <w:r w:rsidRPr="00414668">
        <w:fldChar w:fldCharType="begin"/>
      </w:r>
      <w:r w:rsidRPr="00414668">
        <w:instrText xml:space="preserve"> SEQ Figure \* ARABIC </w:instrText>
      </w:r>
      <w:r w:rsidRPr="00414668">
        <w:fldChar w:fldCharType="separate"/>
      </w:r>
      <w:r w:rsidR="00026714">
        <w:rPr>
          <w:noProof/>
        </w:rPr>
        <w:t>32</w:t>
      </w:r>
      <w:r w:rsidRPr="00414668">
        <w:fldChar w:fldCharType="end"/>
      </w:r>
      <w:bookmarkEnd w:id="95"/>
      <w:r w:rsidRPr="00414668">
        <w:t xml:space="preserve"> | </w:t>
      </w:r>
      <w:r w:rsidR="004B2C11">
        <w:t>Average</w:t>
      </w:r>
      <w:r>
        <w:t xml:space="preserve"> p</w:t>
      </w:r>
      <w:r w:rsidRPr="00414668">
        <w:t>rostheses</w:t>
      </w:r>
      <w:r>
        <w:t xml:space="preserve"> </w:t>
      </w:r>
      <w:r w:rsidR="004B2C11">
        <w:t>utilisation per 1000 HT PHI members</w:t>
      </w:r>
      <w:r>
        <w:t xml:space="preserve"> by gender</w:t>
      </w:r>
      <w:r w:rsidRPr="000628F2">
        <w:rPr>
          <w:vertAlign w:val="superscript"/>
        </w:rPr>
        <w:footnoteReference w:id="158"/>
      </w:r>
      <w:r w:rsidRPr="000628F2">
        <w:rPr>
          <w:vertAlign w:val="superscript"/>
        </w:rPr>
        <w:t>,</w:t>
      </w:r>
      <w:r w:rsidRPr="000628F2">
        <w:rPr>
          <w:vertAlign w:val="superscript"/>
        </w:rPr>
        <w:footnoteReference w:id="159"/>
      </w:r>
    </w:p>
    <w:p w14:paraId="412A3CC0" w14:textId="7D9EFD8A" w:rsidR="0061025F" w:rsidRPr="007457DD" w:rsidRDefault="00173509" w:rsidP="0061025F">
      <w:r w:rsidRPr="00173509">
        <w:rPr>
          <w:noProof/>
        </w:rPr>
        <w:drawing>
          <wp:inline distT="0" distB="0" distL="0" distR="0" wp14:anchorId="4F601FC4" wp14:editId="7099C475">
            <wp:extent cx="5670550" cy="2837815"/>
            <wp:effectExtent l="0" t="0" r="6350" b="635"/>
            <wp:docPr id="1402648550" name="Picture 1" descr="A graph of average prostheses utilisation per 1000 HT PHI members by gender. In FY21, male is 301 and female is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48550" name="Picture 1" descr="A graph of average prostheses utilisation per 1000 HT PHI members by gender. In FY21, male is 301 and female is 280."/>
                    <pic:cNvPicPr/>
                  </pic:nvPicPr>
                  <pic:blipFill>
                    <a:blip r:embed="rId58"/>
                    <a:stretch>
                      <a:fillRect/>
                    </a:stretch>
                  </pic:blipFill>
                  <pic:spPr>
                    <a:xfrm>
                      <a:off x="0" y="0"/>
                      <a:ext cx="5670550" cy="2837815"/>
                    </a:xfrm>
                    <a:prstGeom prst="rect">
                      <a:avLst/>
                    </a:prstGeom>
                  </pic:spPr>
                </pic:pic>
              </a:graphicData>
            </a:graphic>
          </wp:inline>
        </w:drawing>
      </w:r>
    </w:p>
    <w:p w14:paraId="0C69690C" w14:textId="77777777" w:rsidR="0061025F" w:rsidRDefault="0061025F" w:rsidP="00545061">
      <w:pPr>
        <w:pStyle w:val="Heading4"/>
        <w:spacing w:before="360"/>
      </w:pPr>
      <w:r w:rsidRPr="0BCC15EA">
        <w:rPr>
          <w:color w:val="F25E21" w:themeColor="accent2"/>
        </w:rPr>
        <w:t xml:space="preserve">Measure </w:t>
      </w:r>
      <w:r>
        <w:rPr>
          <w:color w:val="F25E21" w:themeColor="accent2"/>
        </w:rPr>
        <w:t>7</w:t>
      </w:r>
      <w:r w:rsidRPr="0BCC15EA">
        <w:rPr>
          <w:color w:val="F25E21" w:themeColor="accent2"/>
        </w:rPr>
        <w:t>.3</w:t>
      </w:r>
      <w:r>
        <w:t>: Stakeholder perspectives on the drivers of change in PHI coverage</w:t>
      </w:r>
    </w:p>
    <w:p w14:paraId="42EF95ED" w14:textId="77777777" w:rsidR="0061025F" w:rsidRDefault="0061025F" w:rsidP="000F52EF">
      <w:pPr>
        <w:pStyle w:val="Heading6"/>
      </w:pPr>
      <w:r w:rsidRPr="004D1FFC">
        <w:t>Measurement guide</w:t>
      </w:r>
    </w:p>
    <w:p w14:paraId="7C577126" w14:textId="77777777" w:rsidR="0061025F" w:rsidRDefault="0061025F" w:rsidP="0061025F">
      <w:r>
        <w:t xml:space="preserve">A final source of evidence that the PL reforms have caused any change in perceived value of PHI will be derived qualitatively from consultation with stakeholders. Regardless of whether we see any notable changes </w:t>
      </w:r>
      <w:r w:rsidRPr="00763D1F">
        <w:t>to measures 7.1 and 7.2,</w:t>
      </w:r>
      <w:r>
        <w:t xml:space="preserve"> we will use consultation with experts in the Department, PHA and the consumers to assess whether there is </w:t>
      </w:r>
      <w:proofErr w:type="gramStart"/>
      <w:r>
        <w:t>in actuality any</w:t>
      </w:r>
      <w:proofErr w:type="gramEnd"/>
      <w:r>
        <w:t xml:space="preserve"> perceived change in value that can be attributed to the reforms.</w:t>
      </w:r>
    </w:p>
    <w:p w14:paraId="419CA6A8" w14:textId="77777777" w:rsidR="0061025F" w:rsidRPr="00763D1F" w:rsidRDefault="0061025F" w:rsidP="000F52EF">
      <w:pPr>
        <w:pStyle w:val="Heading6"/>
      </w:pPr>
      <w:r w:rsidRPr="00763D1F">
        <w:t>Baseline value</w:t>
      </w:r>
    </w:p>
    <w:p w14:paraId="441124E5" w14:textId="079C4067" w:rsidR="00A70819" w:rsidRPr="00860197" w:rsidRDefault="0061025F" w:rsidP="00A70819">
      <w:pPr>
        <w:rPr>
          <w:rFonts w:asciiTheme="majorHAnsi" w:hAnsiTheme="majorHAnsi" w:cstheme="majorHAnsi"/>
        </w:rPr>
      </w:pPr>
      <w:r>
        <w:t>There is no baseline value for this measure, given that it will be used to retrospectively assess the impact and contribution of the reform activities to any changes in value.</w:t>
      </w:r>
    </w:p>
    <w:p w14:paraId="5C89730F" w14:textId="77777777" w:rsidR="008A355C" w:rsidRDefault="008A355C" w:rsidP="009667DE">
      <w:pPr>
        <w:pStyle w:val="Heading2"/>
        <w:numPr>
          <w:ilvl w:val="0"/>
          <w:numId w:val="0"/>
        </w:numPr>
      </w:pPr>
      <w:bookmarkStart w:id="96" w:name="_Toc179453695"/>
      <w:r w:rsidRPr="00871750">
        <w:t xml:space="preserve">Indicator </w:t>
      </w:r>
      <w:r>
        <w:t>8</w:t>
      </w:r>
      <w:r w:rsidRPr="00871750">
        <w:t>: Legislative changes to the PL</w:t>
      </w:r>
      <w:bookmarkEnd w:id="96"/>
    </w:p>
    <w:p w14:paraId="5378C4F3" w14:textId="77777777" w:rsidR="00E75797" w:rsidRDefault="00E75797" w:rsidP="009667DE">
      <w:pPr>
        <w:pStyle w:val="Heading4"/>
      </w:pPr>
      <w:r w:rsidRPr="3787E91E">
        <w:rPr>
          <w:color w:val="F25E21" w:themeColor="accent2"/>
        </w:rPr>
        <w:t>Measure 8.1</w:t>
      </w:r>
      <w:r w:rsidRPr="3787E91E">
        <w:t xml:space="preserve">: Description of the PL's purpose, </w:t>
      </w:r>
      <w:proofErr w:type="gramStart"/>
      <w:r w:rsidRPr="3787E91E">
        <w:t>definition</w:t>
      </w:r>
      <w:proofErr w:type="gramEnd"/>
      <w:r w:rsidRPr="3787E91E">
        <w:t xml:space="preserve"> and scope in legislation</w:t>
      </w:r>
    </w:p>
    <w:p w14:paraId="5B287737" w14:textId="77777777" w:rsidR="00E75797" w:rsidRPr="00545061" w:rsidRDefault="00E75797" w:rsidP="00545061">
      <w:pPr>
        <w:pStyle w:val="Heading6"/>
        <w:spacing w:before="120"/>
      </w:pPr>
      <w:r w:rsidRPr="00545061">
        <w:t>Measurement guide</w:t>
      </w:r>
    </w:p>
    <w:p w14:paraId="3A726A1F" w14:textId="017E1CA4" w:rsidR="00E75797" w:rsidRDefault="00E75797" w:rsidP="00E75797">
      <w:r>
        <w:t xml:space="preserve">This measure will track if changes have been made to legislation </w:t>
      </w:r>
      <w:proofErr w:type="gramStart"/>
      <w:r>
        <w:t>in regard to</w:t>
      </w:r>
      <w:proofErr w:type="gramEnd"/>
      <w:r>
        <w:t xml:space="preserve"> the purpose, definition and scope of the PL.</w:t>
      </w:r>
      <w:r w:rsidR="008F2B34">
        <w:t xml:space="preserve"> Review of legislation and supporting </w:t>
      </w:r>
      <w:r w:rsidR="00B436C9">
        <w:t>documentation will inform this measure.</w:t>
      </w:r>
    </w:p>
    <w:p w14:paraId="525E0BBD" w14:textId="77777777" w:rsidR="00E75797" w:rsidRPr="00545061" w:rsidRDefault="00E75797" w:rsidP="00545061">
      <w:pPr>
        <w:pStyle w:val="Heading6"/>
        <w:spacing w:before="120"/>
      </w:pPr>
      <w:r w:rsidRPr="00545061">
        <w:t>Baseline value</w:t>
      </w:r>
    </w:p>
    <w:p w14:paraId="33C4FFBC" w14:textId="77777777" w:rsidR="00A632B4" w:rsidRDefault="00E75797" w:rsidP="00E75797">
      <w:pPr>
        <w:rPr>
          <w:lang w:eastAsia="en-AU"/>
        </w:rPr>
      </w:pPr>
      <w:r w:rsidRPr="0C63581C">
        <w:rPr>
          <w:lang w:eastAsia="en-AU"/>
        </w:rPr>
        <w:t>At the baseline date (11 May 2021), the stated role of the PL was to “ensure that privately insured Australians have access to clinically effective prostheses that meet their health care needs”.</w:t>
      </w:r>
      <w:r w:rsidRPr="0C63581C">
        <w:rPr>
          <w:rStyle w:val="FootnoteReference"/>
          <w:lang w:eastAsia="en-AU"/>
        </w:rPr>
        <w:footnoteReference w:id="160"/>
      </w:r>
      <w:r w:rsidRPr="0C63581C">
        <w:rPr>
          <w:lang w:eastAsia="en-AU"/>
        </w:rPr>
        <w:t xml:space="preserve"> </w:t>
      </w:r>
    </w:p>
    <w:p w14:paraId="7CF541C0" w14:textId="43767DCD" w:rsidR="00E75797" w:rsidRDefault="00E75797" w:rsidP="00E75797">
      <w:pPr>
        <w:rPr>
          <w:szCs w:val="19"/>
          <w:lang w:eastAsia="en-AU"/>
        </w:rPr>
      </w:pPr>
      <w:r w:rsidRPr="0C63581C">
        <w:rPr>
          <w:lang w:eastAsia="en-AU"/>
        </w:rPr>
        <w:lastRenderedPageBreak/>
        <w:t>This was not defined in legislation, rather it was stated in the Prostheses List Guide as the basis of decisions about device listings</w:t>
      </w:r>
      <w:r w:rsidRPr="0C63581C">
        <w:rPr>
          <w:rStyle w:val="FootnoteReference"/>
          <w:lang w:eastAsia="en-AU"/>
        </w:rPr>
        <w:footnoteReference w:id="161"/>
      </w:r>
      <w:r w:rsidRPr="0C63581C">
        <w:rPr>
          <w:lang w:eastAsia="en-AU"/>
        </w:rPr>
        <w:t xml:space="preserve">. ​ </w:t>
      </w:r>
    </w:p>
    <w:p w14:paraId="67E858C3" w14:textId="77777777" w:rsidR="00E75797" w:rsidRPr="00186057" w:rsidRDefault="00E75797" w:rsidP="00E75797">
      <w:pPr>
        <w:rPr>
          <w:szCs w:val="19"/>
          <w:lang w:eastAsia="en-AU"/>
        </w:rPr>
      </w:pPr>
      <w:r w:rsidRPr="0C63581C">
        <w:rPr>
          <w:lang w:eastAsia="en-AU"/>
        </w:rPr>
        <w:t xml:space="preserve">PL arrangements and its scope were set out in </w:t>
      </w:r>
      <w:r w:rsidRPr="58AB7BF7">
        <w:rPr>
          <w:i/>
          <w:iCs/>
          <w:lang w:eastAsia="en-AU"/>
        </w:rPr>
        <w:t>Division 72 of the Private Health Insurance Act 2007 and the Private Health Insurance (Prostheses) Rules</w:t>
      </w:r>
      <w:r w:rsidRPr="0C63581C">
        <w:rPr>
          <w:lang w:eastAsia="en-AU"/>
        </w:rPr>
        <w:t>. Items listed on the PL had to have had a therapeutic purpose and be implanted or remain in the body. The PL was the schedule to the Rules and was in three parts.</w:t>
      </w:r>
      <w:r w:rsidRPr="0C63581C">
        <w:rPr>
          <w:vertAlign w:val="superscript"/>
          <w:lang w:eastAsia="en-AU"/>
        </w:rPr>
        <w:footnoteReference w:id="162"/>
      </w:r>
    </w:p>
    <w:p w14:paraId="57A20DF9" w14:textId="77777777" w:rsidR="00E75797" w:rsidRPr="00283BA4" w:rsidRDefault="00E75797" w:rsidP="00283BA4">
      <w:pPr>
        <w:pStyle w:val="Bullet"/>
      </w:pPr>
      <w:r w:rsidRPr="00283BA4">
        <w:rPr>
          <w:rFonts w:asciiTheme="majorHAnsi" w:hAnsiTheme="majorHAnsi" w:cstheme="majorHAnsi"/>
        </w:rPr>
        <w:t>Part A</w:t>
      </w:r>
      <w:r w:rsidRPr="00283BA4">
        <w:t xml:space="preserve"> – Prostheses that are used as part of hospital or hospital-substitute treatment where a Medicare benefit must be paid to the doctor for the procedure performed. The device must be surgically implanted, enable another device to be implanted or allow an implant to continue to function after surgery. </w:t>
      </w:r>
    </w:p>
    <w:p w14:paraId="7EFF0130" w14:textId="77777777" w:rsidR="00E75797" w:rsidRPr="00283BA4" w:rsidRDefault="00E75797" w:rsidP="00283BA4">
      <w:pPr>
        <w:pStyle w:val="Bullet"/>
      </w:pPr>
      <w:r w:rsidRPr="3787E91E">
        <w:rPr>
          <w:rFonts w:asciiTheme="majorHAnsi" w:hAnsiTheme="majorHAnsi" w:cstheme="majorBidi"/>
        </w:rPr>
        <w:t>Part B</w:t>
      </w:r>
      <w:r w:rsidRPr="3787E91E">
        <w:t xml:space="preserve"> – Human tissue products that are substantially derived from human tissue where the tissue has been subject to processing or treatments, and whose supply (however described, including trade, sell, give or gift) is governed by state or territory law. </w:t>
      </w:r>
    </w:p>
    <w:p w14:paraId="17DD98AF" w14:textId="77777777" w:rsidR="00E75797" w:rsidRPr="00283BA4" w:rsidRDefault="00E75797" w:rsidP="00283BA4">
      <w:pPr>
        <w:pStyle w:val="Bullet"/>
      </w:pPr>
      <w:r w:rsidRPr="00283BA4">
        <w:rPr>
          <w:rFonts w:asciiTheme="majorHAnsi" w:hAnsiTheme="majorHAnsi" w:cstheme="majorHAnsi"/>
        </w:rPr>
        <w:t>Part C</w:t>
      </w:r>
      <w:r w:rsidRPr="00283BA4">
        <w:t xml:space="preserve"> – Medical devices that do not meet the criteria for Part A, but the Minister for Health considers suitable for benefit payments by private health insurers. </w:t>
      </w:r>
    </w:p>
    <w:p w14:paraId="20CB338E" w14:textId="27DA8B2A" w:rsidR="008A355C" w:rsidRPr="00E75797" w:rsidRDefault="00E75797" w:rsidP="008A355C">
      <w:pPr>
        <w:rPr>
          <w:rFonts w:cs="Arial"/>
          <w:szCs w:val="19"/>
        </w:rPr>
      </w:pPr>
      <w:r w:rsidRPr="0C63581C">
        <w:rPr>
          <w:rFonts w:cs="Arial"/>
        </w:rPr>
        <w:t>Prostheses referred to items that met the criteria to be listed on the PL. that is they were surgically implanted; or were essential to and specifically designed for an integral single-use aid for implanting such a product; or were critically important to the ongoing function of a surgically implanted product.</w:t>
      </w:r>
      <w:r>
        <w:rPr>
          <w:rStyle w:val="FootnoteReference"/>
        </w:rPr>
        <w:footnoteReference w:id="163"/>
      </w:r>
      <w:r w:rsidRPr="0C63581C">
        <w:rPr>
          <w:rFonts w:cs="Arial"/>
        </w:rPr>
        <w:t xml:space="preserve"> External prostheses were not included on the PL.</w:t>
      </w:r>
    </w:p>
    <w:p w14:paraId="200FE89C" w14:textId="77777777" w:rsidR="008A355C" w:rsidRPr="00871750" w:rsidRDefault="008A355C" w:rsidP="009667DE">
      <w:pPr>
        <w:pStyle w:val="Heading2"/>
        <w:numPr>
          <w:ilvl w:val="0"/>
          <w:numId w:val="0"/>
        </w:numPr>
      </w:pPr>
      <w:bookmarkStart w:id="97" w:name="_Toc179453696"/>
      <w:r w:rsidRPr="00871750">
        <w:t xml:space="preserve">Indicator </w:t>
      </w:r>
      <w:r>
        <w:t>9</w:t>
      </w:r>
      <w:r w:rsidRPr="00871750">
        <w:t xml:space="preserve">: </w:t>
      </w:r>
      <w:r>
        <w:t>Implementation of PL regrouping</w:t>
      </w:r>
      <w:bookmarkEnd w:id="97"/>
    </w:p>
    <w:p w14:paraId="5046FF1F" w14:textId="77777777" w:rsidR="0040690C" w:rsidRDefault="0040690C" w:rsidP="009667DE">
      <w:pPr>
        <w:pStyle w:val="Heading4"/>
      </w:pPr>
      <w:r w:rsidRPr="0BCC15EA">
        <w:rPr>
          <w:color w:val="F25E21" w:themeColor="accent2"/>
        </w:rPr>
        <w:t xml:space="preserve">Measure </w:t>
      </w:r>
      <w:r>
        <w:rPr>
          <w:color w:val="F25E21" w:themeColor="accent2"/>
        </w:rPr>
        <w:t>9</w:t>
      </w:r>
      <w:r w:rsidRPr="0BCC15EA">
        <w:rPr>
          <w:color w:val="F25E21" w:themeColor="accent2"/>
        </w:rPr>
        <w:t>.1</w:t>
      </w:r>
      <w:r>
        <w:t xml:space="preserve">: Changes made to the PL grouping structure and PL item </w:t>
      </w:r>
      <w:proofErr w:type="gramStart"/>
      <w:r>
        <w:t>categorisation</w:t>
      </w:r>
      <w:proofErr w:type="gramEnd"/>
    </w:p>
    <w:p w14:paraId="4EB62D1D" w14:textId="77777777" w:rsidR="0040690C" w:rsidRPr="00545061" w:rsidRDefault="0040690C" w:rsidP="00545061">
      <w:pPr>
        <w:pStyle w:val="Heading6"/>
        <w:spacing w:before="120"/>
      </w:pPr>
      <w:r w:rsidRPr="00545061">
        <w:t>Measurement guide</w:t>
      </w:r>
    </w:p>
    <w:p w14:paraId="6408002B" w14:textId="6D1E502C" w:rsidR="0065533F" w:rsidRPr="004236AE" w:rsidRDefault="004236AE" w:rsidP="0040690C">
      <w:r>
        <w:t xml:space="preserve">This measure will </w:t>
      </w:r>
      <w:r w:rsidR="00360321">
        <w:t xml:space="preserve">look at the changes made to the grouping structure of the PL and track where items have been re-categorised </w:t>
      </w:r>
      <w:r w:rsidR="00F218A8">
        <w:t xml:space="preserve">as part of a reform initiative. </w:t>
      </w:r>
      <w:r w:rsidR="006A72DF">
        <w:t xml:space="preserve">While legislation will </w:t>
      </w:r>
      <w:r w:rsidR="00822A43">
        <w:t>define the</w:t>
      </w:r>
      <w:r w:rsidR="006A72DF">
        <w:t xml:space="preserve"> purpose of the PL </w:t>
      </w:r>
      <w:r w:rsidR="00822A43">
        <w:t xml:space="preserve">and set bounds on </w:t>
      </w:r>
      <w:r w:rsidR="001D29E6">
        <w:t>its</w:t>
      </w:r>
      <w:r w:rsidR="00822A43">
        <w:t xml:space="preserve"> overarching scope,</w:t>
      </w:r>
      <w:r w:rsidR="001D29E6">
        <w:t xml:space="preserve"> looking </w:t>
      </w:r>
      <w:r w:rsidR="007024DB">
        <w:t xml:space="preserve">to the grouping structure </w:t>
      </w:r>
      <w:r w:rsidR="004B0FEB">
        <w:t>itself g</w:t>
      </w:r>
      <w:r w:rsidR="00DA1D67">
        <w:t>ives</w:t>
      </w:r>
      <w:r w:rsidR="004B0FEB">
        <w:t xml:space="preserve"> detail as </w:t>
      </w:r>
      <w:r w:rsidR="003464A6">
        <w:t xml:space="preserve">to what </w:t>
      </w:r>
      <w:r w:rsidR="004B0FEB">
        <w:t xml:space="preserve">products </w:t>
      </w:r>
      <w:r w:rsidR="00121AF5">
        <w:t>are funded through the P</w:t>
      </w:r>
      <w:r w:rsidR="006315FA">
        <w:t>L</w:t>
      </w:r>
      <w:r w:rsidR="00C47B42">
        <w:t xml:space="preserve">. It will further be used to show whether the </w:t>
      </w:r>
      <w:r w:rsidR="007D319B">
        <w:t>planned r</w:t>
      </w:r>
      <w:r w:rsidR="00C47B42">
        <w:t xml:space="preserve">egrouping exercise </w:t>
      </w:r>
      <w:r w:rsidR="007D319B">
        <w:t xml:space="preserve">as part of the reform </w:t>
      </w:r>
      <w:r w:rsidR="00C47B42">
        <w:t xml:space="preserve">has been implemented. </w:t>
      </w:r>
      <w:r w:rsidR="003D0772">
        <w:t>Comparative analysis</w:t>
      </w:r>
      <w:r w:rsidR="00AD5895">
        <w:t xml:space="preserve"> of schedule</w:t>
      </w:r>
      <w:r w:rsidR="003D0772">
        <w:t>s</w:t>
      </w:r>
      <w:r w:rsidR="00AD5895">
        <w:t xml:space="preserve"> of PL benefits will inform this measure</w:t>
      </w:r>
      <w:r w:rsidR="003D0772">
        <w:t xml:space="preserve">, supported by PHI circulars </w:t>
      </w:r>
      <w:r w:rsidR="00167501">
        <w:t>made available on the Department’s website</w:t>
      </w:r>
      <w:r w:rsidR="0043332A">
        <w:t>.</w:t>
      </w:r>
      <w:r w:rsidR="006B1DAD">
        <w:rPr>
          <w:rStyle w:val="FootnoteReference"/>
        </w:rPr>
        <w:footnoteReference w:id="164"/>
      </w:r>
    </w:p>
    <w:p w14:paraId="5FD75337" w14:textId="77777777" w:rsidR="0040690C" w:rsidRPr="00545061" w:rsidRDefault="0040690C" w:rsidP="00545061">
      <w:pPr>
        <w:pStyle w:val="Heading6"/>
        <w:spacing w:before="120"/>
      </w:pPr>
      <w:r w:rsidRPr="00545061">
        <w:t>Baseline value</w:t>
      </w:r>
    </w:p>
    <w:p w14:paraId="73E734A7" w14:textId="43B36113" w:rsidR="00C4791D" w:rsidRDefault="002D4EBC" w:rsidP="00C4791D">
      <w:r>
        <w:t xml:space="preserve">At baseline, </w:t>
      </w:r>
      <w:r w:rsidR="00C4791D">
        <w:t>Part A of the PL was divided into 13 categories of prostheses</w:t>
      </w:r>
      <w:r>
        <w:t xml:space="preserve"> (see </w:t>
      </w:r>
      <w:r>
        <w:fldChar w:fldCharType="begin"/>
      </w:r>
      <w:r>
        <w:instrText xml:space="preserve"> REF _Ref159579434 \h </w:instrText>
      </w:r>
      <w:r>
        <w:fldChar w:fldCharType="separate"/>
      </w:r>
      <w:r w:rsidR="00026714">
        <w:t xml:space="preserve">Table </w:t>
      </w:r>
      <w:r w:rsidR="00026714">
        <w:rPr>
          <w:noProof/>
        </w:rPr>
        <w:t>8</w:t>
      </w:r>
      <w:r>
        <w:fldChar w:fldCharType="end"/>
      </w:r>
      <w:r>
        <w:t xml:space="preserve"> below)</w:t>
      </w:r>
      <w:r w:rsidR="00C4791D">
        <w:t xml:space="preserve">. Each category was subsequently split into sub-categories, </w:t>
      </w:r>
      <w:proofErr w:type="gramStart"/>
      <w:r w:rsidR="00C4791D">
        <w:t>groups</w:t>
      </w:r>
      <w:proofErr w:type="gramEnd"/>
      <w:r w:rsidR="00C4791D">
        <w:t xml:space="preserve"> and sub-groups, which were identified numerically. Some prostheses also had suffixes that were descriptive text or letters to designate additional characteristics. All prostheses within a benefit group, that is, all items sharing a category, sub-category, group, sub-</w:t>
      </w:r>
      <w:proofErr w:type="gramStart"/>
      <w:r w:rsidR="00C4791D">
        <w:t>group</w:t>
      </w:r>
      <w:proofErr w:type="gramEnd"/>
      <w:r w:rsidR="00C4791D">
        <w:t xml:space="preserve"> and suffix, were assessed as having similar clinical effectiveness, and so were assigned the same benefit. Prostheses in benefit groups that were assessed as having superior clinical outcomes to prostheses in comparator benefit groups were assigned a higher benefit.</w:t>
      </w:r>
    </w:p>
    <w:p w14:paraId="28D5AA65" w14:textId="1A19C3A3" w:rsidR="008F5FD2" w:rsidRDefault="00C4791D" w:rsidP="0040690C">
      <w:r>
        <w:t>Part C of the PL shared the same grouping structure as Part A, but only had items in three of the 13 categories: Cardiac, Cardiothoracic and General Miscellaneous. Part B had a separate grouping structure, with four categories: Cardio-thoracic, Dermatologic, Ophthalmic and Orthopaedic. Part B did not feature benefit groups (categories were not split into sub-categories, groups, etc.) and benefit levels were set for individual products.</w:t>
      </w:r>
    </w:p>
    <w:p w14:paraId="1CECAE72" w14:textId="1F65B96F" w:rsidR="008F5FD2" w:rsidRPr="00541121" w:rsidRDefault="00784962" w:rsidP="0040690C">
      <w:r>
        <w:lastRenderedPageBreak/>
        <w:t>The measurement of PL items that have been re</w:t>
      </w:r>
      <w:r w:rsidR="004A0816">
        <w:t xml:space="preserve">-categorised as part of the reforms will use </w:t>
      </w:r>
      <w:r w:rsidR="006255AB">
        <w:t>the</w:t>
      </w:r>
      <w:r w:rsidR="004A0816">
        <w:t xml:space="preserve"> July 2021 PL</w:t>
      </w:r>
      <w:r w:rsidR="006255AB">
        <w:t xml:space="preserve"> as a baseline.</w:t>
      </w:r>
    </w:p>
    <w:p w14:paraId="395A472B" w14:textId="37E1CDD0" w:rsidR="0040690C" w:rsidRDefault="0040690C" w:rsidP="009667DE">
      <w:pPr>
        <w:pStyle w:val="Heading4"/>
      </w:pPr>
      <w:r w:rsidRPr="0BCC15EA">
        <w:rPr>
          <w:color w:val="F25E21" w:themeColor="accent2"/>
        </w:rPr>
        <w:t xml:space="preserve">Measure </w:t>
      </w:r>
      <w:r>
        <w:rPr>
          <w:color w:val="F25E21" w:themeColor="accent2"/>
        </w:rPr>
        <w:t>9</w:t>
      </w:r>
      <w:r w:rsidRPr="0BCC15EA">
        <w:rPr>
          <w:color w:val="F25E21" w:themeColor="accent2"/>
        </w:rPr>
        <w:t>.2</w:t>
      </w:r>
      <w:r>
        <w:t>: Number of PL items</w:t>
      </w:r>
      <w:r w:rsidR="002A349D">
        <w:rPr>
          <w:rStyle w:val="FootnoteReference"/>
        </w:rPr>
        <w:footnoteReference w:id="165"/>
      </w:r>
      <w:r>
        <w:t xml:space="preserve"> and benefit groups</w:t>
      </w:r>
    </w:p>
    <w:p w14:paraId="57690A52" w14:textId="77777777" w:rsidR="0040690C" w:rsidRPr="00046823" w:rsidRDefault="0040690C" w:rsidP="00545061">
      <w:pPr>
        <w:pStyle w:val="Heading6"/>
        <w:spacing w:before="120"/>
      </w:pPr>
      <w:r w:rsidRPr="00046823">
        <w:t>Measurement guide</w:t>
      </w:r>
    </w:p>
    <w:p w14:paraId="15D982AE" w14:textId="210DE560" w:rsidR="002E33BF" w:rsidRDefault="00046823" w:rsidP="0040690C">
      <w:r>
        <w:t>This measure will track the number of PL items (i.e., billing codes) and benefit groups</w:t>
      </w:r>
      <w:r w:rsidR="0089667E">
        <w:rPr>
          <w:rStyle w:val="FootnoteReference"/>
        </w:rPr>
        <w:footnoteReference w:id="166"/>
      </w:r>
      <w:r w:rsidR="00CF28EA">
        <w:t xml:space="preserve"> listed on the PL </w:t>
      </w:r>
      <w:r w:rsidR="009E6608">
        <w:t xml:space="preserve">throughout the evaluation. </w:t>
      </w:r>
      <w:r w:rsidR="00D96565">
        <w:t xml:space="preserve">It will also track the average number of PL items per benefit group. </w:t>
      </w:r>
      <w:r w:rsidR="002110E0">
        <w:rPr>
          <w:lang w:eastAsia="en-AU"/>
        </w:rPr>
        <w:t xml:space="preserve">Together </w:t>
      </w:r>
      <w:r w:rsidR="009E6608">
        <w:t xml:space="preserve">with measure 9.1, </w:t>
      </w:r>
      <w:r w:rsidR="007D319B">
        <w:t xml:space="preserve">this </w:t>
      </w:r>
      <w:r w:rsidR="00CF0413">
        <w:t>will be used to</w:t>
      </w:r>
      <w:r w:rsidR="00357312">
        <w:t xml:space="preserve"> </w:t>
      </w:r>
      <w:r w:rsidR="002E33BF">
        <w:rPr>
          <w:lang w:eastAsia="en-AU"/>
        </w:rPr>
        <w:t xml:space="preserve">assess the impact that the reforms have on the structure, </w:t>
      </w:r>
      <w:proofErr w:type="gramStart"/>
      <w:r w:rsidR="002E33BF">
        <w:rPr>
          <w:lang w:eastAsia="en-AU"/>
        </w:rPr>
        <w:t>complexity</w:t>
      </w:r>
      <w:proofErr w:type="gramEnd"/>
      <w:r w:rsidR="002E33BF">
        <w:rPr>
          <w:lang w:eastAsia="en-AU"/>
        </w:rPr>
        <w:t xml:space="preserve"> and consistency of the PL.</w:t>
      </w:r>
    </w:p>
    <w:p w14:paraId="54674B3C" w14:textId="77777777" w:rsidR="0040690C" w:rsidRPr="00541121" w:rsidRDefault="0040690C" w:rsidP="00545061">
      <w:pPr>
        <w:pStyle w:val="Heading6"/>
        <w:spacing w:before="120"/>
      </w:pPr>
      <w:r w:rsidRPr="004D1FFC">
        <w:t>Baseline value</w:t>
      </w:r>
    </w:p>
    <w:p w14:paraId="19BE1B22" w14:textId="5E780D46" w:rsidR="0040690C" w:rsidRDefault="0040690C" w:rsidP="0040690C">
      <w:pPr>
        <w:rPr>
          <w:lang w:eastAsia="en-AU"/>
        </w:rPr>
      </w:pPr>
      <w:bookmarkStart w:id="98" w:name="_Ref152840140"/>
      <w:r>
        <w:rPr>
          <w:lang w:eastAsia="en-AU"/>
        </w:rPr>
        <w:t xml:space="preserve">The total </w:t>
      </w:r>
      <w:r w:rsidR="00E64907">
        <w:rPr>
          <w:lang w:eastAsia="en-AU"/>
        </w:rPr>
        <w:t>number</w:t>
      </w:r>
      <w:r>
        <w:rPr>
          <w:lang w:eastAsia="en-AU"/>
        </w:rPr>
        <w:t xml:space="preserve"> of items per category at baseline are presented below in</w:t>
      </w:r>
      <w:r w:rsidR="009667DE">
        <w:rPr>
          <w:lang w:eastAsia="en-AU"/>
        </w:rPr>
        <w:t xml:space="preserve"> </w:t>
      </w:r>
      <w:r w:rsidR="009667DE">
        <w:rPr>
          <w:lang w:eastAsia="en-AU"/>
        </w:rPr>
        <w:fldChar w:fldCharType="begin"/>
      </w:r>
      <w:r w:rsidR="009667DE">
        <w:rPr>
          <w:lang w:eastAsia="en-AU"/>
        </w:rPr>
        <w:instrText xml:space="preserve"> REF _Ref159579434 \h </w:instrText>
      </w:r>
      <w:r w:rsidR="009667DE">
        <w:rPr>
          <w:lang w:eastAsia="en-AU"/>
        </w:rPr>
      </w:r>
      <w:r w:rsidR="009667DE">
        <w:rPr>
          <w:lang w:eastAsia="en-AU"/>
        </w:rPr>
        <w:fldChar w:fldCharType="separate"/>
      </w:r>
      <w:r w:rsidR="00026714">
        <w:t xml:space="preserve">Table </w:t>
      </w:r>
      <w:r w:rsidR="00026714">
        <w:rPr>
          <w:noProof/>
        </w:rPr>
        <w:t>8</w:t>
      </w:r>
      <w:r w:rsidR="009667DE">
        <w:rPr>
          <w:lang w:eastAsia="en-AU"/>
        </w:rPr>
        <w:fldChar w:fldCharType="end"/>
      </w:r>
      <w:r>
        <w:rPr>
          <w:lang w:eastAsia="en-AU"/>
        </w:rPr>
        <w:t xml:space="preserve">. </w:t>
      </w:r>
      <w:r>
        <w:t>Parts A and C are represented as separate to Part B given the nature of items in Part B (human tissue products) differ substantially in kind and in categories from those in Parts A and C (medical devices).</w:t>
      </w:r>
    </w:p>
    <w:p w14:paraId="2D23B521" w14:textId="04630B98" w:rsidR="0040690C" w:rsidRPr="008B40BA" w:rsidRDefault="0040690C" w:rsidP="0040690C">
      <w:pPr>
        <w:pStyle w:val="Caption"/>
        <w:spacing w:before="240" w:after="120"/>
        <w:rPr>
          <w:vertAlign w:val="superscript"/>
        </w:rPr>
      </w:pPr>
      <w:bookmarkStart w:id="99" w:name="_Ref159579434"/>
      <w:r>
        <w:t xml:space="preserve">Table </w:t>
      </w:r>
      <w:r>
        <w:fldChar w:fldCharType="begin"/>
      </w:r>
      <w:r>
        <w:instrText xml:space="preserve"> SEQ Table \* ARABIC </w:instrText>
      </w:r>
      <w:r>
        <w:fldChar w:fldCharType="separate"/>
      </w:r>
      <w:r w:rsidR="00026714">
        <w:rPr>
          <w:noProof/>
        </w:rPr>
        <w:t>8</w:t>
      </w:r>
      <w:r>
        <w:fldChar w:fldCharType="end"/>
      </w:r>
      <w:bookmarkEnd w:id="98"/>
      <w:bookmarkEnd w:id="99"/>
      <w:r>
        <w:t xml:space="preserve"> | Number of items per category in </w:t>
      </w:r>
      <w:r w:rsidR="00BE43A1">
        <w:t xml:space="preserve">the </w:t>
      </w:r>
      <w:r>
        <w:t>July 2021 PL</w:t>
      </w:r>
      <w:r w:rsidRPr="008B40BA">
        <w:rPr>
          <w:vertAlign w:val="superscript"/>
        </w:rPr>
        <w:footnoteReference w:id="167"/>
      </w:r>
    </w:p>
    <w:tbl>
      <w:tblPr>
        <w:tblStyle w:val="NOUS"/>
        <w:tblW w:w="0" w:type="auto"/>
        <w:tblLook w:val="04A0" w:firstRow="1" w:lastRow="0" w:firstColumn="1" w:lastColumn="0" w:noHBand="0" w:noVBand="1"/>
      </w:tblPr>
      <w:tblGrid>
        <w:gridCol w:w="709"/>
        <w:gridCol w:w="2594"/>
        <w:gridCol w:w="1420"/>
        <w:gridCol w:w="1401"/>
        <w:gridCol w:w="1401"/>
        <w:gridCol w:w="1405"/>
      </w:tblGrid>
      <w:tr w:rsidR="0040690C" w:rsidRPr="00686332" w14:paraId="566DB502" w14:textId="77777777" w:rsidTr="0076629F">
        <w:trPr>
          <w:cnfStyle w:val="100000000000" w:firstRow="1" w:lastRow="0" w:firstColumn="0" w:lastColumn="0" w:oddVBand="0" w:evenVBand="0" w:oddHBand="0" w:evenHBand="0" w:firstRowFirstColumn="0" w:firstRowLastColumn="0" w:lastRowFirstColumn="0" w:lastRowLastColumn="0"/>
          <w:trHeight w:val="162"/>
        </w:trPr>
        <w:tc>
          <w:tcPr>
            <w:tcW w:w="709" w:type="dxa"/>
          </w:tcPr>
          <w:p w14:paraId="4DE87B4B" w14:textId="77777777" w:rsidR="0040690C" w:rsidRPr="00686332" w:rsidRDefault="0040690C" w:rsidP="00545061">
            <w:pPr>
              <w:spacing w:before="40" w:after="40"/>
              <w:rPr>
                <w:rFonts w:asciiTheme="majorHAnsi" w:hAnsiTheme="majorHAnsi" w:cstheme="majorHAnsi"/>
                <w:b w:val="0"/>
                <w:bCs/>
                <w:sz w:val="18"/>
                <w:szCs w:val="18"/>
              </w:rPr>
            </w:pPr>
          </w:p>
        </w:tc>
        <w:tc>
          <w:tcPr>
            <w:tcW w:w="2594" w:type="dxa"/>
          </w:tcPr>
          <w:p w14:paraId="6ACED0F3" w14:textId="77777777" w:rsidR="0040690C" w:rsidRPr="006255AB" w:rsidRDefault="0040690C" w:rsidP="006255AB">
            <w:pPr>
              <w:pStyle w:val="TableNheader"/>
              <w:rPr>
                <w:b w:val="0"/>
              </w:rPr>
            </w:pPr>
            <w:r w:rsidRPr="006255AB">
              <w:rPr>
                <w:b w:val="0"/>
              </w:rPr>
              <w:t>Category</w:t>
            </w:r>
          </w:p>
        </w:tc>
        <w:tc>
          <w:tcPr>
            <w:tcW w:w="1420" w:type="dxa"/>
          </w:tcPr>
          <w:p w14:paraId="1B32D8EA" w14:textId="77777777" w:rsidR="0040690C" w:rsidRPr="006255AB" w:rsidRDefault="0040690C" w:rsidP="0076629F">
            <w:pPr>
              <w:pStyle w:val="TableNheader"/>
              <w:jc w:val="center"/>
              <w:rPr>
                <w:b w:val="0"/>
              </w:rPr>
            </w:pPr>
            <w:r w:rsidRPr="006255AB">
              <w:rPr>
                <w:b w:val="0"/>
              </w:rPr>
              <w:t>Part A</w:t>
            </w:r>
          </w:p>
        </w:tc>
        <w:tc>
          <w:tcPr>
            <w:tcW w:w="1401" w:type="dxa"/>
          </w:tcPr>
          <w:p w14:paraId="08B84C5F" w14:textId="77777777" w:rsidR="0040690C" w:rsidRPr="006255AB" w:rsidRDefault="0040690C" w:rsidP="0076629F">
            <w:pPr>
              <w:pStyle w:val="TableNheader"/>
              <w:jc w:val="center"/>
              <w:rPr>
                <w:b w:val="0"/>
              </w:rPr>
            </w:pPr>
            <w:r w:rsidRPr="006255AB">
              <w:rPr>
                <w:b w:val="0"/>
              </w:rPr>
              <w:t>Part B</w:t>
            </w:r>
          </w:p>
        </w:tc>
        <w:tc>
          <w:tcPr>
            <w:tcW w:w="1401" w:type="dxa"/>
          </w:tcPr>
          <w:p w14:paraId="2156974E" w14:textId="77777777" w:rsidR="0040690C" w:rsidRPr="006255AB" w:rsidRDefault="0040690C" w:rsidP="0076629F">
            <w:pPr>
              <w:pStyle w:val="TableNheader"/>
              <w:jc w:val="center"/>
              <w:rPr>
                <w:b w:val="0"/>
              </w:rPr>
            </w:pPr>
            <w:r w:rsidRPr="006255AB">
              <w:rPr>
                <w:b w:val="0"/>
              </w:rPr>
              <w:t>Part C</w:t>
            </w:r>
          </w:p>
        </w:tc>
        <w:tc>
          <w:tcPr>
            <w:tcW w:w="1405" w:type="dxa"/>
          </w:tcPr>
          <w:p w14:paraId="11F7470F" w14:textId="41BEF727" w:rsidR="0040690C" w:rsidRPr="006255AB" w:rsidRDefault="0076629F" w:rsidP="0076629F">
            <w:pPr>
              <w:pStyle w:val="TableNheader"/>
              <w:jc w:val="center"/>
              <w:rPr>
                <w:b w:val="0"/>
              </w:rPr>
            </w:pPr>
            <w:r>
              <w:rPr>
                <w:b w:val="0"/>
                <w:bCs/>
              </w:rPr>
              <w:t>Total</w:t>
            </w:r>
          </w:p>
        </w:tc>
      </w:tr>
      <w:tr w:rsidR="0040690C" w:rsidRPr="00686332" w14:paraId="55C382FF" w14:textId="77777777">
        <w:tc>
          <w:tcPr>
            <w:tcW w:w="709" w:type="dxa"/>
            <w:vMerge w:val="restart"/>
            <w:shd w:val="clear" w:color="auto" w:fill="F2F2F2" w:themeFill="background1" w:themeFillShade="F2"/>
            <w:textDirection w:val="btLr"/>
            <w:vAlign w:val="center"/>
          </w:tcPr>
          <w:p w14:paraId="49C5EE29" w14:textId="77777777" w:rsidR="0040690C" w:rsidRPr="00686332" w:rsidRDefault="0040690C" w:rsidP="006255AB">
            <w:pPr>
              <w:pStyle w:val="TableNheader"/>
              <w:jc w:val="center"/>
            </w:pPr>
            <w:r w:rsidRPr="00686332">
              <w:t>Parts A and C</w:t>
            </w:r>
          </w:p>
        </w:tc>
        <w:tc>
          <w:tcPr>
            <w:tcW w:w="2594" w:type="dxa"/>
          </w:tcPr>
          <w:p w14:paraId="494E6BF7" w14:textId="77777777" w:rsidR="0040690C" w:rsidRPr="008A311A" w:rsidRDefault="0040690C" w:rsidP="006255AB">
            <w:pPr>
              <w:pStyle w:val="TableNText"/>
              <w:rPr>
                <w:rFonts w:ascii="Segoe UI Semibold" w:hAnsi="Segoe UI Semibold" w:cs="Segoe UI Semibold"/>
              </w:rPr>
            </w:pPr>
            <w:r w:rsidRPr="008A311A">
              <w:rPr>
                <w:rFonts w:ascii="Segoe UI Semibold" w:hAnsi="Segoe UI Semibold" w:cs="Segoe UI Semibold"/>
              </w:rPr>
              <w:t>01 - Ophthalmic</w:t>
            </w:r>
          </w:p>
        </w:tc>
        <w:tc>
          <w:tcPr>
            <w:tcW w:w="1420" w:type="dxa"/>
          </w:tcPr>
          <w:p w14:paraId="6090D119" w14:textId="77777777" w:rsidR="0040690C" w:rsidRPr="00686332" w:rsidRDefault="0040690C" w:rsidP="0076629F">
            <w:pPr>
              <w:pStyle w:val="TableNText"/>
              <w:jc w:val="center"/>
            </w:pPr>
            <w:r w:rsidRPr="00686332">
              <w:t>330</w:t>
            </w:r>
          </w:p>
        </w:tc>
        <w:tc>
          <w:tcPr>
            <w:tcW w:w="1401" w:type="dxa"/>
          </w:tcPr>
          <w:p w14:paraId="2EB29B47" w14:textId="77777777" w:rsidR="0040690C" w:rsidRPr="00686332" w:rsidRDefault="0040690C" w:rsidP="0076629F">
            <w:pPr>
              <w:pStyle w:val="TableNText"/>
              <w:jc w:val="center"/>
            </w:pPr>
            <w:r w:rsidRPr="00686332">
              <w:t>-</w:t>
            </w:r>
          </w:p>
        </w:tc>
        <w:tc>
          <w:tcPr>
            <w:tcW w:w="1401" w:type="dxa"/>
          </w:tcPr>
          <w:p w14:paraId="14FBBB8D" w14:textId="77777777" w:rsidR="0040690C" w:rsidRPr="00686332" w:rsidRDefault="0040690C" w:rsidP="0076629F">
            <w:pPr>
              <w:pStyle w:val="TableNText"/>
              <w:jc w:val="center"/>
            </w:pPr>
            <w:r w:rsidRPr="00686332">
              <w:t>-</w:t>
            </w:r>
          </w:p>
        </w:tc>
        <w:tc>
          <w:tcPr>
            <w:tcW w:w="1405" w:type="dxa"/>
          </w:tcPr>
          <w:p w14:paraId="1856D203" w14:textId="77777777" w:rsidR="0040690C" w:rsidRPr="00686332" w:rsidRDefault="0040690C" w:rsidP="0076629F">
            <w:pPr>
              <w:pStyle w:val="TableNText"/>
              <w:jc w:val="center"/>
              <w:rPr>
                <w:rFonts w:ascii="Segoe UI Semibold" w:hAnsi="Segoe UI Semibold" w:cs="Segoe UI Semibold"/>
              </w:rPr>
            </w:pPr>
            <w:r w:rsidRPr="00686332">
              <w:rPr>
                <w:rFonts w:ascii="Segoe UI Semibold" w:hAnsi="Segoe UI Semibold" w:cs="Segoe UI Semibold"/>
              </w:rPr>
              <w:t>330</w:t>
            </w:r>
          </w:p>
        </w:tc>
      </w:tr>
      <w:tr w:rsidR="0040690C" w:rsidRPr="00686332" w14:paraId="438BBD46" w14:textId="77777777">
        <w:tc>
          <w:tcPr>
            <w:tcW w:w="709" w:type="dxa"/>
            <w:vMerge/>
            <w:shd w:val="clear" w:color="auto" w:fill="F2F2F2" w:themeFill="background1" w:themeFillShade="F2"/>
          </w:tcPr>
          <w:p w14:paraId="48855C89" w14:textId="77777777" w:rsidR="0040690C" w:rsidRPr="00686332" w:rsidRDefault="0040690C" w:rsidP="006255AB">
            <w:pPr>
              <w:pStyle w:val="TableNheader"/>
              <w:jc w:val="center"/>
            </w:pPr>
          </w:p>
        </w:tc>
        <w:tc>
          <w:tcPr>
            <w:tcW w:w="2594" w:type="dxa"/>
          </w:tcPr>
          <w:p w14:paraId="3F3BBCD3" w14:textId="77777777" w:rsidR="0040690C" w:rsidRPr="008A311A" w:rsidRDefault="0040690C" w:rsidP="006255AB">
            <w:pPr>
              <w:pStyle w:val="TableNText"/>
              <w:rPr>
                <w:rFonts w:ascii="Segoe UI Semibold" w:hAnsi="Segoe UI Semibold" w:cs="Segoe UI Semibold"/>
              </w:rPr>
            </w:pPr>
            <w:r w:rsidRPr="008A311A">
              <w:rPr>
                <w:rFonts w:ascii="Segoe UI Semibold" w:hAnsi="Segoe UI Semibold" w:cs="Segoe UI Semibold"/>
              </w:rPr>
              <w:t>02 - Ear, Nose &amp; Throat</w:t>
            </w:r>
          </w:p>
        </w:tc>
        <w:tc>
          <w:tcPr>
            <w:tcW w:w="1420" w:type="dxa"/>
          </w:tcPr>
          <w:p w14:paraId="71C7C84F" w14:textId="77777777" w:rsidR="0040690C" w:rsidRPr="00686332" w:rsidRDefault="0040690C" w:rsidP="0076629F">
            <w:pPr>
              <w:pStyle w:val="TableNText"/>
              <w:jc w:val="center"/>
            </w:pPr>
            <w:r w:rsidRPr="00686332">
              <w:t>165</w:t>
            </w:r>
          </w:p>
        </w:tc>
        <w:tc>
          <w:tcPr>
            <w:tcW w:w="1401" w:type="dxa"/>
          </w:tcPr>
          <w:p w14:paraId="185C80DA" w14:textId="77777777" w:rsidR="0040690C" w:rsidRPr="00686332" w:rsidRDefault="0040690C" w:rsidP="0076629F">
            <w:pPr>
              <w:pStyle w:val="TableNText"/>
              <w:jc w:val="center"/>
            </w:pPr>
            <w:r w:rsidRPr="00686332">
              <w:t>-</w:t>
            </w:r>
          </w:p>
        </w:tc>
        <w:tc>
          <w:tcPr>
            <w:tcW w:w="1401" w:type="dxa"/>
          </w:tcPr>
          <w:p w14:paraId="2FC7F24E" w14:textId="77777777" w:rsidR="0040690C" w:rsidRPr="00686332" w:rsidRDefault="0040690C" w:rsidP="0076629F">
            <w:pPr>
              <w:pStyle w:val="TableNText"/>
              <w:jc w:val="center"/>
            </w:pPr>
            <w:r w:rsidRPr="00686332">
              <w:t>-</w:t>
            </w:r>
          </w:p>
        </w:tc>
        <w:tc>
          <w:tcPr>
            <w:tcW w:w="1405" w:type="dxa"/>
          </w:tcPr>
          <w:p w14:paraId="24A75C46" w14:textId="77777777" w:rsidR="0040690C" w:rsidRPr="00686332" w:rsidRDefault="0040690C" w:rsidP="0076629F">
            <w:pPr>
              <w:pStyle w:val="TableNText"/>
              <w:jc w:val="center"/>
              <w:rPr>
                <w:rFonts w:ascii="Segoe UI Semibold" w:hAnsi="Segoe UI Semibold" w:cs="Segoe UI Semibold"/>
              </w:rPr>
            </w:pPr>
            <w:r w:rsidRPr="00686332">
              <w:rPr>
                <w:rFonts w:ascii="Segoe UI Semibold" w:hAnsi="Segoe UI Semibold" w:cs="Segoe UI Semibold"/>
              </w:rPr>
              <w:t>165</w:t>
            </w:r>
          </w:p>
        </w:tc>
      </w:tr>
      <w:tr w:rsidR="0040690C" w:rsidRPr="00686332" w14:paraId="2E8CBCFB" w14:textId="77777777">
        <w:tc>
          <w:tcPr>
            <w:tcW w:w="709" w:type="dxa"/>
            <w:vMerge/>
            <w:shd w:val="clear" w:color="auto" w:fill="F2F2F2" w:themeFill="background1" w:themeFillShade="F2"/>
          </w:tcPr>
          <w:p w14:paraId="62E90A15" w14:textId="77777777" w:rsidR="0040690C" w:rsidRPr="00686332" w:rsidRDefault="0040690C" w:rsidP="006255AB">
            <w:pPr>
              <w:pStyle w:val="TableNheader"/>
              <w:jc w:val="center"/>
            </w:pPr>
          </w:p>
        </w:tc>
        <w:tc>
          <w:tcPr>
            <w:tcW w:w="2594" w:type="dxa"/>
          </w:tcPr>
          <w:p w14:paraId="2134B7CC" w14:textId="77777777" w:rsidR="0040690C" w:rsidRPr="008A311A" w:rsidRDefault="0040690C" w:rsidP="006255AB">
            <w:pPr>
              <w:pStyle w:val="TableNText"/>
              <w:rPr>
                <w:rFonts w:ascii="Segoe UI Semibold" w:hAnsi="Segoe UI Semibold" w:cs="Segoe UI Semibold"/>
              </w:rPr>
            </w:pPr>
            <w:r w:rsidRPr="008A311A">
              <w:rPr>
                <w:rFonts w:ascii="Segoe UI Semibold" w:hAnsi="Segoe UI Semibold" w:cs="Segoe UI Semibold"/>
              </w:rPr>
              <w:t>03 - General Miscellaneous</w:t>
            </w:r>
          </w:p>
        </w:tc>
        <w:tc>
          <w:tcPr>
            <w:tcW w:w="1420" w:type="dxa"/>
          </w:tcPr>
          <w:p w14:paraId="7E7BE3B9" w14:textId="77777777" w:rsidR="0040690C" w:rsidRPr="00686332" w:rsidRDefault="0040690C" w:rsidP="0076629F">
            <w:pPr>
              <w:pStyle w:val="TableNText"/>
              <w:jc w:val="center"/>
            </w:pPr>
            <w:r w:rsidRPr="00686332">
              <w:t>825</w:t>
            </w:r>
          </w:p>
        </w:tc>
        <w:tc>
          <w:tcPr>
            <w:tcW w:w="1401" w:type="dxa"/>
          </w:tcPr>
          <w:p w14:paraId="71DC2F82" w14:textId="77777777" w:rsidR="0040690C" w:rsidRPr="00686332" w:rsidRDefault="0040690C" w:rsidP="0076629F">
            <w:pPr>
              <w:pStyle w:val="TableNText"/>
              <w:jc w:val="center"/>
            </w:pPr>
            <w:r w:rsidRPr="00686332">
              <w:t>-</w:t>
            </w:r>
          </w:p>
        </w:tc>
        <w:tc>
          <w:tcPr>
            <w:tcW w:w="1401" w:type="dxa"/>
          </w:tcPr>
          <w:p w14:paraId="27177F72" w14:textId="77777777" w:rsidR="0040690C" w:rsidRPr="00686332" w:rsidRDefault="0040690C" w:rsidP="0076629F">
            <w:pPr>
              <w:pStyle w:val="TableNText"/>
              <w:jc w:val="center"/>
            </w:pPr>
            <w:r w:rsidRPr="00686332">
              <w:t>10</w:t>
            </w:r>
          </w:p>
        </w:tc>
        <w:tc>
          <w:tcPr>
            <w:tcW w:w="1405" w:type="dxa"/>
          </w:tcPr>
          <w:p w14:paraId="4B80FD93" w14:textId="77777777" w:rsidR="0040690C" w:rsidRPr="00686332" w:rsidRDefault="0040690C" w:rsidP="0076629F">
            <w:pPr>
              <w:pStyle w:val="TableNText"/>
              <w:jc w:val="center"/>
              <w:rPr>
                <w:rFonts w:ascii="Segoe UI Semibold" w:hAnsi="Segoe UI Semibold" w:cs="Segoe UI Semibold"/>
              </w:rPr>
            </w:pPr>
            <w:r w:rsidRPr="00686332">
              <w:rPr>
                <w:rFonts w:ascii="Segoe UI Semibold" w:hAnsi="Segoe UI Semibold" w:cs="Segoe UI Semibold"/>
              </w:rPr>
              <w:t>835</w:t>
            </w:r>
          </w:p>
        </w:tc>
      </w:tr>
      <w:tr w:rsidR="0040690C" w:rsidRPr="00686332" w14:paraId="450F571A" w14:textId="77777777">
        <w:tc>
          <w:tcPr>
            <w:tcW w:w="709" w:type="dxa"/>
            <w:vMerge/>
            <w:shd w:val="clear" w:color="auto" w:fill="F2F2F2" w:themeFill="background1" w:themeFillShade="F2"/>
          </w:tcPr>
          <w:p w14:paraId="683AB515" w14:textId="77777777" w:rsidR="0040690C" w:rsidRPr="00686332" w:rsidRDefault="0040690C" w:rsidP="006255AB">
            <w:pPr>
              <w:pStyle w:val="TableNheader"/>
              <w:jc w:val="center"/>
            </w:pPr>
          </w:p>
        </w:tc>
        <w:tc>
          <w:tcPr>
            <w:tcW w:w="2594" w:type="dxa"/>
          </w:tcPr>
          <w:p w14:paraId="2F41E6E8" w14:textId="77777777" w:rsidR="0040690C" w:rsidRPr="008A311A" w:rsidRDefault="0040690C" w:rsidP="006255AB">
            <w:pPr>
              <w:pStyle w:val="TableNText"/>
              <w:rPr>
                <w:rFonts w:ascii="Segoe UI Semibold" w:hAnsi="Segoe UI Semibold" w:cs="Segoe UI Semibold"/>
              </w:rPr>
            </w:pPr>
            <w:r w:rsidRPr="008A311A">
              <w:rPr>
                <w:rFonts w:ascii="Segoe UI Semibold" w:hAnsi="Segoe UI Semibold" w:cs="Segoe UI Semibold"/>
              </w:rPr>
              <w:t>04 - Neurosurgical</w:t>
            </w:r>
          </w:p>
        </w:tc>
        <w:tc>
          <w:tcPr>
            <w:tcW w:w="1420" w:type="dxa"/>
          </w:tcPr>
          <w:p w14:paraId="0E442AED" w14:textId="77777777" w:rsidR="0040690C" w:rsidRPr="00686332" w:rsidRDefault="0040690C" w:rsidP="0076629F">
            <w:pPr>
              <w:pStyle w:val="TableNText"/>
              <w:jc w:val="center"/>
            </w:pPr>
            <w:r w:rsidRPr="00686332">
              <w:t>469</w:t>
            </w:r>
          </w:p>
        </w:tc>
        <w:tc>
          <w:tcPr>
            <w:tcW w:w="1401" w:type="dxa"/>
          </w:tcPr>
          <w:p w14:paraId="682F7500" w14:textId="77777777" w:rsidR="0040690C" w:rsidRPr="00686332" w:rsidRDefault="0040690C" w:rsidP="0076629F">
            <w:pPr>
              <w:pStyle w:val="TableNText"/>
              <w:jc w:val="center"/>
            </w:pPr>
            <w:r w:rsidRPr="00686332">
              <w:t>-</w:t>
            </w:r>
          </w:p>
        </w:tc>
        <w:tc>
          <w:tcPr>
            <w:tcW w:w="1401" w:type="dxa"/>
          </w:tcPr>
          <w:p w14:paraId="7FA875F6" w14:textId="77777777" w:rsidR="0040690C" w:rsidRPr="00686332" w:rsidRDefault="0040690C" w:rsidP="0076629F">
            <w:pPr>
              <w:pStyle w:val="TableNText"/>
              <w:jc w:val="center"/>
            </w:pPr>
            <w:r w:rsidRPr="00686332">
              <w:t>-</w:t>
            </w:r>
          </w:p>
        </w:tc>
        <w:tc>
          <w:tcPr>
            <w:tcW w:w="1405" w:type="dxa"/>
          </w:tcPr>
          <w:p w14:paraId="7CC24CF5" w14:textId="77777777" w:rsidR="0040690C" w:rsidRPr="00686332" w:rsidRDefault="0040690C" w:rsidP="0076629F">
            <w:pPr>
              <w:pStyle w:val="TableNText"/>
              <w:jc w:val="center"/>
              <w:rPr>
                <w:rFonts w:ascii="Segoe UI Semibold" w:hAnsi="Segoe UI Semibold" w:cs="Segoe UI Semibold"/>
              </w:rPr>
            </w:pPr>
            <w:r w:rsidRPr="00686332">
              <w:rPr>
                <w:rFonts w:ascii="Segoe UI Semibold" w:hAnsi="Segoe UI Semibold" w:cs="Segoe UI Semibold"/>
              </w:rPr>
              <w:t>469</w:t>
            </w:r>
          </w:p>
        </w:tc>
      </w:tr>
      <w:tr w:rsidR="0040690C" w:rsidRPr="00686332" w14:paraId="1DE4F627" w14:textId="77777777">
        <w:tc>
          <w:tcPr>
            <w:tcW w:w="709" w:type="dxa"/>
            <w:vMerge/>
            <w:shd w:val="clear" w:color="auto" w:fill="F2F2F2" w:themeFill="background1" w:themeFillShade="F2"/>
          </w:tcPr>
          <w:p w14:paraId="788D6346" w14:textId="77777777" w:rsidR="0040690C" w:rsidRPr="00686332" w:rsidRDefault="0040690C" w:rsidP="006255AB">
            <w:pPr>
              <w:pStyle w:val="TableNheader"/>
              <w:jc w:val="center"/>
            </w:pPr>
          </w:p>
        </w:tc>
        <w:tc>
          <w:tcPr>
            <w:tcW w:w="2594" w:type="dxa"/>
          </w:tcPr>
          <w:p w14:paraId="632664AC" w14:textId="77777777" w:rsidR="0040690C" w:rsidRPr="008A311A" w:rsidRDefault="0040690C" w:rsidP="006255AB">
            <w:pPr>
              <w:pStyle w:val="TableNText"/>
              <w:rPr>
                <w:rFonts w:ascii="Segoe UI Semibold" w:hAnsi="Segoe UI Semibold" w:cs="Segoe UI Semibold"/>
              </w:rPr>
            </w:pPr>
            <w:r w:rsidRPr="008A311A">
              <w:rPr>
                <w:rFonts w:ascii="Segoe UI Semibold" w:hAnsi="Segoe UI Semibold" w:cs="Segoe UI Semibold"/>
              </w:rPr>
              <w:t>05 - Urogenital</w:t>
            </w:r>
          </w:p>
        </w:tc>
        <w:tc>
          <w:tcPr>
            <w:tcW w:w="1420" w:type="dxa"/>
          </w:tcPr>
          <w:p w14:paraId="52F0F838" w14:textId="77777777" w:rsidR="0040690C" w:rsidRPr="00686332" w:rsidRDefault="0040690C" w:rsidP="0076629F">
            <w:pPr>
              <w:pStyle w:val="TableNText"/>
              <w:jc w:val="center"/>
            </w:pPr>
            <w:r w:rsidRPr="00686332">
              <w:t>168</w:t>
            </w:r>
          </w:p>
        </w:tc>
        <w:tc>
          <w:tcPr>
            <w:tcW w:w="1401" w:type="dxa"/>
          </w:tcPr>
          <w:p w14:paraId="016F5F1A" w14:textId="77777777" w:rsidR="0040690C" w:rsidRPr="00686332" w:rsidRDefault="0040690C" w:rsidP="0076629F">
            <w:pPr>
              <w:pStyle w:val="TableNText"/>
              <w:jc w:val="center"/>
            </w:pPr>
            <w:r w:rsidRPr="00686332">
              <w:t>-</w:t>
            </w:r>
          </w:p>
        </w:tc>
        <w:tc>
          <w:tcPr>
            <w:tcW w:w="1401" w:type="dxa"/>
          </w:tcPr>
          <w:p w14:paraId="28A02B5C" w14:textId="77777777" w:rsidR="0040690C" w:rsidRPr="00686332" w:rsidRDefault="0040690C" w:rsidP="0076629F">
            <w:pPr>
              <w:pStyle w:val="TableNText"/>
              <w:jc w:val="center"/>
            </w:pPr>
            <w:r w:rsidRPr="00686332">
              <w:t>-</w:t>
            </w:r>
          </w:p>
        </w:tc>
        <w:tc>
          <w:tcPr>
            <w:tcW w:w="1405" w:type="dxa"/>
          </w:tcPr>
          <w:p w14:paraId="23AC23C5" w14:textId="77777777" w:rsidR="0040690C" w:rsidRPr="00686332" w:rsidRDefault="0040690C" w:rsidP="0076629F">
            <w:pPr>
              <w:pStyle w:val="TableNText"/>
              <w:jc w:val="center"/>
              <w:rPr>
                <w:rFonts w:ascii="Segoe UI Semibold" w:hAnsi="Segoe UI Semibold" w:cs="Segoe UI Semibold"/>
              </w:rPr>
            </w:pPr>
            <w:r w:rsidRPr="00686332">
              <w:rPr>
                <w:rFonts w:ascii="Segoe UI Semibold" w:hAnsi="Segoe UI Semibold" w:cs="Segoe UI Semibold"/>
              </w:rPr>
              <w:t>168</w:t>
            </w:r>
          </w:p>
        </w:tc>
      </w:tr>
      <w:tr w:rsidR="0040690C" w:rsidRPr="00686332" w14:paraId="6BBA1398" w14:textId="77777777">
        <w:tc>
          <w:tcPr>
            <w:tcW w:w="709" w:type="dxa"/>
            <w:vMerge/>
            <w:shd w:val="clear" w:color="auto" w:fill="F2F2F2" w:themeFill="background1" w:themeFillShade="F2"/>
          </w:tcPr>
          <w:p w14:paraId="73C3ED20" w14:textId="77777777" w:rsidR="0040690C" w:rsidRPr="00686332" w:rsidRDefault="0040690C" w:rsidP="006255AB">
            <w:pPr>
              <w:pStyle w:val="TableNheader"/>
              <w:jc w:val="center"/>
            </w:pPr>
          </w:p>
        </w:tc>
        <w:tc>
          <w:tcPr>
            <w:tcW w:w="2594" w:type="dxa"/>
          </w:tcPr>
          <w:p w14:paraId="3E6CDA9A" w14:textId="77777777" w:rsidR="0040690C" w:rsidRPr="008A311A" w:rsidRDefault="0040690C" w:rsidP="006255AB">
            <w:pPr>
              <w:pStyle w:val="TableNText"/>
              <w:rPr>
                <w:rFonts w:ascii="Segoe UI Semibold" w:hAnsi="Segoe UI Semibold" w:cs="Segoe UI Semibold"/>
              </w:rPr>
            </w:pPr>
            <w:r w:rsidRPr="008A311A">
              <w:rPr>
                <w:rFonts w:ascii="Segoe UI Semibold" w:hAnsi="Segoe UI Semibold" w:cs="Segoe UI Semibold"/>
              </w:rPr>
              <w:t>06 - Specialist Orthopaedic</w:t>
            </w:r>
          </w:p>
        </w:tc>
        <w:tc>
          <w:tcPr>
            <w:tcW w:w="1420" w:type="dxa"/>
          </w:tcPr>
          <w:p w14:paraId="710B0C73" w14:textId="77777777" w:rsidR="0040690C" w:rsidRPr="00686332" w:rsidRDefault="0040690C" w:rsidP="0076629F">
            <w:pPr>
              <w:pStyle w:val="TableNText"/>
              <w:jc w:val="center"/>
            </w:pPr>
            <w:r w:rsidRPr="00686332">
              <w:t>3546</w:t>
            </w:r>
          </w:p>
        </w:tc>
        <w:tc>
          <w:tcPr>
            <w:tcW w:w="1401" w:type="dxa"/>
          </w:tcPr>
          <w:p w14:paraId="4FE9950F" w14:textId="77777777" w:rsidR="0040690C" w:rsidRPr="00686332" w:rsidRDefault="0040690C" w:rsidP="0076629F">
            <w:pPr>
              <w:pStyle w:val="TableNText"/>
              <w:jc w:val="center"/>
            </w:pPr>
            <w:r w:rsidRPr="00686332">
              <w:t>-</w:t>
            </w:r>
          </w:p>
        </w:tc>
        <w:tc>
          <w:tcPr>
            <w:tcW w:w="1401" w:type="dxa"/>
          </w:tcPr>
          <w:p w14:paraId="4F082EE6" w14:textId="77777777" w:rsidR="0040690C" w:rsidRPr="00686332" w:rsidRDefault="0040690C" w:rsidP="0076629F">
            <w:pPr>
              <w:pStyle w:val="TableNText"/>
              <w:jc w:val="center"/>
            </w:pPr>
            <w:r w:rsidRPr="00686332">
              <w:t>-</w:t>
            </w:r>
          </w:p>
        </w:tc>
        <w:tc>
          <w:tcPr>
            <w:tcW w:w="1405" w:type="dxa"/>
          </w:tcPr>
          <w:p w14:paraId="07FC0E37" w14:textId="77777777" w:rsidR="0040690C" w:rsidRPr="00686332" w:rsidRDefault="0040690C" w:rsidP="0076629F">
            <w:pPr>
              <w:pStyle w:val="TableNText"/>
              <w:jc w:val="center"/>
              <w:rPr>
                <w:rFonts w:ascii="Segoe UI Semibold" w:hAnsi="Segoe UI Semibold" w:cs="Segoe UI Semibold"/>
              </w:rPr>
            </w:pPr>
            <w:r w:rsidRPr="00686332">
              <w:rPr>
                <w:rFonts w:ascii="Segoe UI Semibold" w:hAnsi="Segoe UI Semibold" w:cs="Segoe UI Semibold"/>
              </w:rPr>
              <w:t>3546</w:t>
            </w:r>
          </w:p>
        </w:tc>
      </w:tr>
      <w:tr w:rsidR="0040690C" w:rsidRPr="00686332" w14:paraId="7E31BC6F" w14:textId="77777777">
        <w:tc>
          <w:tcPr>
            <w:tcW w:w="709" w:type="dxa"/>
            <w:vMerge/>
            <w:shd w:val="clear" w:color="auto" w:fill="F2F2F2" w:themeFill="background1" w:themeFillShade="F2"/>
          </w:tcPr>
          <w:p w14:paraId="5C8E9039" w14:textId="77777777" w:rsidR="0040690C" w:rsidRPr="00686332" w:rsidRDefault="0040690C" w:rsidP="006255AB">
            <w:pPr>
              <w:pStyle w:val="TableNheader"/>
              <w:jc w:val="center"/>
            </w:pPr>
          </w:p>
        </w:tc>
        <w:tc>
          <w:tcPr>
            <w:tcW w:w="2594" w:type="dxa"/>
          </w:tcPr>
          <w:p w14:paraId="643FCB06" w14:textId="77777777" w:rsidR="0040690C" w:rsidRPr="008A311A" w:rsidRDefault="0040690C" w:rsidP="006255AB">
            <w:pPr>
              <w:pStyle w:val="TableNText"/>
              <w:rPr>
                <w:rFonts w:ascii="Segoe UI Semibold" w:hAnsi="Segoe UI Semibold" w:cs="Segoe UI Semibold"/>
              </w:rPr>
            </w:pPr>
            <w:r w:rsidRPr="008A311A">
              <w:rPr>
                <w:rFonts w:ascii="Segoe UI Semibold" w:hAnsi="Segoe UI Semibold" w:cs="Segoe UI Semibold"/>
              </w:rPr>
              <w:t>07 - Plastic and Reconstructive</w:t>
            </w:r>
          </w:p>
        </w:tc>
        <w:tc>
          <w:tcPr>
            <w:tcW w:w="1420" w:type="dxa"/>
          </w:tcPr>
          <w:p w14:paraId="7E5C89BB" w14:textId="77777777" w:rsidR="0040690C" w:rsidRPr="00686332" w:rsidRDefault="0040690C" w:rsidP="0076629F">
            <w:pPr>
              <w:pStyle w:val="TableNText"/>
              <w:jc w:val="center"/>
            </w:pPr>
            <w:r w:rsidRPr="00686332">
              <w:t>708</w:t>
            </w:r>
          </w:p>
        </w:tc>
        <w:tc>
          <w:tcPr>
            <w:tcW w:w="1401" w:type="dxa"/>
          </w:tcPr>
          <w:p w14:paraId="3F1CC1FF" w14:textId="77777777" w:rsidR="0040690C" w:rsidRPr="00686332" w:rsidRDefault="0040690C" w:rsidP="0076629F">
            <w:pPr>
              <w:pStyle w:val="TableNText"/>
              <w:jc w:val="center"/>
            </w:pPr>
            <w:r w:rsidRPr="00686332">
              <w:t>-</w:t>
            </w:r>
          </w:p>
        </w:tc>
        <w:tc>
          <w:tcPr>
            <w:tcW w:w="1401" w:type="dxa"/>
          </w:tcPr>
          <w:p w14:paraId="4D4B1F3D" w14:textId="77777777" w:rsidR="0040690C" w:rsidRPr="00686332" w:rsidRDefault="0040690C" w:rsidP="0076629F">
            <w:pPr>
              <w:pStyle w:val="TableNText"/>
              <w:jc w:val="center"/>
            </w:pPr>
            <w:r w:rsidRPr="00686332">
              <w:t>-</w:t>
            </w:r>
          </w:p>
        </w:tc>
        <w:tc>
          <w:tcPr>
            <w:tcW w:w="1405" w:type="dxa"/>
          </w:tcPr>
          <w:p w14:paraId="55FA4B90" w14:textId="77777777" w:rsidR="0040690C" w:rsidRPr="00686332" w:rsidRDefault="0040690C" w:rsidP="0076629F">
            <w:pPr>
              <w:pStyle w:val="TableNText"/>
              <w:jc w:val="center"/>
              <w:rPr>
                <w:rFonts w:ascii="Segoe UI Semibold" w:hAnsi="Segoe UI Semibold" w:cs="Segoe UI Semibold"/>
              </w:rPr>
            </w:pPr>
            <w:r w:rsidRPr="00686332">
              <w:rPr>
                <w:rFonts w:ascii="Segoe UI Semibold" w:hAnsi="Segoe UI Semibold" w:cs="Segoe UI Semibold"/>
              </w:rPr>
              <w:t>708</w:t>
            </w:r>
          </w:p>
        </w:tc>
      </w:tr>
      <w:tr w:rsidR="0040690C" w:rsidRPr="00686332" w14:paraId="42D55D36" w14:textId="77777777">
        <w:tc>
          <w:tcPr>
            <w:tcW w:w="709" w:type="dxa"/>
            <w:vMerge/>
            <w:shd w:val="clear" w:color="auto" w:fill="F2F2F2" w:themeFill="background1" w:themeFillShade="F2"/>
          </w:tcPr>
          <w:p w14:paraId="5516E875" w14:textId="77777777" w:rsidR="0040690C" w:rsidRPr="00686332" w:rsidRDefault="0040690C" w:rsidP="006255AB">
            <w:pPr>
              <w:pStyle w:val="TableNheader"/>
              <w:jc w:val="center"/>
            </w:pPr>
          </w:p>
        </w:tc>
        <w:tc>
          <w:tcPr>
            <w:tcW w:w="2594" w:type="dxa"/>
          </w:tcPr>
          <w:p w14:paraId="6AE0AD56" w14:textId="77777777" w:rsidR="0040690C" w:rsidRPr="008A311A" w:rsidRDefault="0040690C" w:rsidP="006255AB">
            <w:pPr>
              <w:pStyle w:val="TableNText"/>
              <w:rPr>
                <w:rFonts w:ascii="Segoe UI Semibold" w:hAnsi="Segoe UI Semibold" w:cs="Segoe UI Semibold"/>
              </w:rPr>
            </w:pPr>
            <w:r w:rsidRPr="008A311A">
              <w:rPr>
                <w:rFonts w:ascii="Segoe UI Semibold" w:hAnsi="Segoe UI Semibold" w:cs="Segoe UI Semibold"/>
              </w:rPr>
              <w:t>08 - Cardiac</w:t>
            </w:r>
          </w:p>
        </w:tc>
        <w:tc>
          <w:tcPr>
            <w:tcW w:w="1420" w:type="dxa"/>
          </w:tcPr>
          <w:p w14:paraId="4866BE78" w14:textId="77777777" w:rsidR="0040690C" w:rsidRPr="00686332" w:rsidRDefault="0040690C" w:rsidP="0076629F">
            <w:pPr>
              <w:pStyle w:val="TableNText"/>
              <w:jc w:val="center"/>
            </w:pPr>
            <w:r w:rsidRPr="00686332">
              <w:t>334</w:t>
            </w:r>
          </w:p>
        </w:tc>
        <w:tc>
          <w:tcPr>
            <w:tcW w:w="1401" w:type="dxa"/>
          </w:tcPr>
          <w:p w14:paraId="28A5CFBF" w14:textId="77777777" w:rsidR="0040690C" w:rsidRPr="00686332" w:rsidRDefault="0040690C" w:rsidP="0076629F">
            <w:pPr>
              <w:pStyle w:val="TableNText"/>
              <w:jc w:val="center"/>
            </w:pPr>
            <w:r w:rsidRPr="00686332">
              <w:t>-</w:t>
            </w:r>
          </w:p>
        </w:tc>
        <w:tc>
          <w:tcPr>
            <w:tcW w:w="1401" w:type="dxa"/>
          </w:tcPr>
          <w:p w14:paraId="7C1F972B" w14:textId="77777777" w:rsidR="0040690C" w:rsidRPr="00686332" w:rsidRDefault="0040690C" w:rsidP="0076629F">
            <w:pPr>
              <w:pStyle w:val="TableNText"/>
              <w:jc w:val="center"/>
            </w:pPr>
            <w:r w:rsidRPr="00686332">
              <w:t>70</w:t>
            </w:r>
          </w:p>
        </w:tc>
        <w:tc>
          <w:tcPr>
            <w:tcW w:w="1405" w:type="dxa"/>
          </w:tcPr>
          <w:p w14:paraId="62F74315" w14:textId="77777777" w:rsidR="0040690C" w:rsidRPr="00686332" w:rsidRDefault="0040690C" w:rsidP="0076629F">
            <w:pPr>
              <w:pStyle w:val="TableNText"/>
              <w:jc w:val="center"/>
              <w:rPr>
                <w:rFonts w:ascii="Segoe UI Semibold" w:hAnsi="Segoe UI Semibold" w:cs="Segoe UI Semibold"/>
              </w:rPr>
            </w:pPr>
            <w:r w:rsidRPr="00686332">
              <w:rPr>
                <w:rFonts w:ascii="Segoe UI Semibold" w:hAnsi="Segoe UI Semibold" w:cs="Segoe UI Semibold"/>
              </w:rPr>
              <w:t>404</w:t>
            </w:r>
          </w:p>
        </w:tc>
      </w:tr>
      <w:tr w:rsidR="0040690C" w:rsidRPr="00686332" w14:paraId="093AB8BD" w14:textId="77777777">
        <w:tc>
          <w:tcPr>
            <w:tcW w:w="709" w:type="dxa"/>
            <w:vMerge/>
            <w:shd w:val="clear" w:color="auto" w:fill="F2F2F2" w:themeFill="background1" w:themeFillShade="F2"/>
          </w:tcPr>
          <w:p w14:paraId="0E65BFA1" w14:textId="77777777" w:rsidR="0040690C" w:rsidRPr="00686332" w:rsidRDefault="0040690C" w:rsidP="006255AB">
            <w:pPr>
              <w:pStyle w:val="TableNheader"/>
              <w:jc w:val="center"/>
            </w:pPr>
          </w:p>
        </w:tc>
        <w:tc>
          <w:tcPr>
            <w:tcW w:w="2594" w:type="dxa"/>
          </w:tcPr>
          <w:p w14:paraId="70754340" w14:textId="77777777" w:rsidR="0040690C" w:rsidRPr="008A311A" w:rsidRDefault="0040690C" w:rsidP="006255AB">
            <w:pPr>
              <w:pStyle w:val="TableNText"/>
              <w:rPr>
                <w:rFonts w:ascii="Segoe UI Semibold" w:hAnsi="Segoe UI Semibold" w:cs="Segoe UI Semibold"/>
              </w:rPr>
            </w:pPr>
            <w:r w:rsidRPr="008A311A">
              <w:rPr>
                <w:rFonts w:ascii="Segoe UI Semibold" w:hAnsi="Segoe UI Semibold" w:cs="Segoe UI Semibold"/>
              </w:rPr>
              <w:t>09 - Cardiothoracic</w:t>
            </w:r>
          </w:p>
        </w:tc>
        <w:tc>
          <w:tcPr>
            <w:tcW w:w="1420" w:type="dxa"/>
          </w:tcPr>
          <w:p w14:paraId="5DA1DE31" w14:textId="77777777" w:rsidR="0040690C" w:rsidRPr="00686332" w:rsidRDefault="0040690C" w:rsidP="0076629F">
            <w:pPr>
              <w:pStyle w:val="TableNText"/>
              <w:jc w:val="center"/>
            </w:pPr>
            <w:r w:rsidRPr="00686332">
              <w:t>101</w:t>
            </w:r>
          </w:p>
        </w:tc>
        <w:tc>
          <w:tcPr>
            <w:tcW w:w="1401" w:type="dxa"/>
          </w:tcPr>
          <w:p w14:paraId="25D5E607" w14:textId="77777777" w:rsidR="0040690C" w:rsidRPr="00686332" w:rsidRDefault="0040690C" w:rsidP="0076629F">
            <w:pPr>
              <w:pStyle w:val="TableNText"/>
              <w:jc w:val="center"/>
            </w:pPr>
            <w:r w:rsidRPr="00686332">
              <w:t>-</w:t>
            </w:r>
          </w:p>
        </w:tc>
        <w:tc>
          <w:tcPr>
            <w:tcW w:w="1401" w:type="dxa"/>
          </w:tcPr>
          <w:p w14:paraId="19E6676C" w14:textId="77777777" w:rsidR="0040690C" w:rsidRPr="00686332" w:rsidRDefault="0040690C" w:rsidP="0076629F">
            <w:pPr>
              <w:pStyle w:val="TableNText"/>
              <w:jc w:val="center"/>
            </w:pPr>
            <w:r w:rsidRPr="00686332">
              <w:t>12</w:t>
            </w:r>
          </w:p>
        </w:tc>
        <w:tc>
          <w:tcPr>
            <w:tcW w:w="1405" w:type="dxa"/>
          </w:tcPr>
          <w:p w14:paraId="371A5BA6" w14:textId="77777777" w:rsidR="0040690C" w:rsidRPr="00686332" w:rsidRDefault="0040690C" w:rsidP="0076629F">
            <w:pPr>
              <w:pStyle w:val="TableNText"/>
              <w:jc w:val="center"/>
              <w:rPr>
                <w:rFonts w:ascii="Segoe UI Semibold" w:hAnsi="Segoe UI Semibold" w:cs="Segoe UI Semibold"/>
              </w:rPr>
            </w:pPr>
            <w:r w:rsidRPr="00686332">
              <w:rPr>
                <w:rFonts w:ascii="Segoe UI Semibold" w:hAnsi="Segoe UI Semibold" w:cs="Segoe UI Semibold"/>
              </w:rPr>
              <w:t>113</w:t>
            </w:r>
          </w:p>
        </w:tc>
      </w:tr>
      <w:tr w:rsidR="0040690C" w:rsidRPr="00686332" w14:paraId="0C387A7D" w14:textId="77777777">
        <w:tc>
          <w:tcPr>
            <w:tcW w:w="709" w:type="dxa"/>
            <w:vMerge/>
            <w:shd w:val="clear" w:color="auto" w:fill="F2F2F2" w:themeFill="background1" w:themeFillShade="F2"/>
          </w:tcPr>
          <w:p w14:paraId="2CCDDE70" w14:textId="77777777" w:rsidR="0040690C" w:rsidRPr="00686332" w:rsidRDefault="0040690C" w:rsidP="006255AB">
            <w:pPr>
              <w:pStyle w:val="TableNheader"/>
              <w:jc w:val="center"/>
            </w:pPr>
          </w:p>
        </w:tc>
        <w:tc>
          <w:tcPr>
            <w:tcW w:w="2594" w:type="dxa"/>
          </w:tcPr>
          <w:p w14:paraId="70DB35DE" w14:textId="77777777" w:rsidR="0040690C" w:rsidRPr="008A311A" w:rsidRDefault="0040690C" w:rsidP="006255AB">
            <w:pPr>
              <w:pStyle w:val="TableNText"/>
              <w:rPr>
                <w:rFonts w:ascii="Segoe UI Semibold" w:hAnsi="Segoe UI Semibold" w:cs="Segoe UI Semibold"/>
              </w:rPr>
            </w:pPr>
            <w:r w:rsidRPr="008A311A">
              <w:rPr>
                <w:rFonts w:ascii="Segoe UI Semibold" w:hAnsi="Segoe UI Semibold" w:cs="Segoe UI Semibold"/>
              </w:rPr>
              <w:t>10 - Vascular</w:t>
            </w:r>
          </w:p>
        </w:tc>
        <w:tc>
          <w:tcPr>
            <w:tcW w:w="1420" w:type="dxa"/>
          </w:tcPr>
          <w:p w14:paraId="24AE74EB" w14:textId="77777777" w:rsidR="0040690C" w:rsidRPr="00686332" w:rsidRDefault="0040690C" w:rsidP="0076629F">
            <w:pPr>
              <w:pStyle w:val="TableNText"/>
              <w:jc w:val="center"/>
            </w:pPr>
            <w:r w:rsidRPr="00686332">
              <w:t>457</w:t>
            </w:r>
          </w:p>
        </w:tc>
        <w:tc>
          <w:tcPr>
            <w:tcW w:w="1401" w:type="dxa"/>
          </w:tcPr>
          <w:p w14:paraId="53C82B2B" w14:textId="77777777" w:rsidR="0040690C" w:rsidRPr="00686332" w:rsidRDefault="0040690C" w:rsidP="0076629F">
            <w:pPr>
              <w:pStyle w:val="TableNText"/>
              <w:jc w:val="center"/>
            </w:pPr>
            <w:r w:rsidRPr="00686332">
              <w:t>-</w:t>
            </w:r>
          </w:p>
        </w:tc>
        <w:tc>
          <w:tcPr>
            <w:tcW w:w="1401" w:type="dxa"/>
          </w:tcPr>
          <w:p w14:paraId="412CFB9E" w14:textId="77777777" w:rsidR="0040690C" w:rsidRPr="00686332" w:rsidRDefault="0040690C" w:rsidP="0076629F">
            <w:pPr>
              <w:pStyle w:val="TableNText"/>
              <w:jc w:val="center"/>
            </w:pPr>
            <w:r w:rsidRPr="00686332">
              <w:t>-</w:t>
            </w:r>
          </w:p>
        </w:tc>
        <w:tc>
          <w:tcPr>
            <w:tcW w:w="1405" w:type="dxa"/>
          </w:tcPr>
          <w:p w14:paraId="75BDC4EC" w14:textId="77777777" w:rsidR="0040690C" w:rsidRPr="00686332" w:rsidRDefault="0040690C" w:rsidP="0076629F">
            <w:pPr>
              <w:pStyle w:val="TableNText"/>
              <w:jc w:val="center"/>
              <w:rPr>
                <w:rFonts w:ascii="Segoe UI Semibold" w:hAnsi="Segoe UI Semibold" w:cs="Segoe UI Semibold"/>
              </w:rPr>
            </w:pPr>
            <w:r w:rsidRPr="00686332">
              <w:rPr>
                <w:rFonts w:ascii="Segoe UI Semibold" w:hAnsi="Segoe UI Semibold" w:cs="Segoe UI Semibold"/>
              </w:rPr>
              <w:t>457</w:t>
            </w:r>
          </w:p>
        </w:tc>
      </w:tr>
      <w:tr w:rsidR="0040690C" w:rsidRPr="00686332" w14:paraId="78300826" w14:textId="77777777">
        <w:tc>
          <w:tcPr>
            <w:tcW w:w="709" w:type="dxa"/>
            <w:vMerge/>
            <w:shd w:val="clear" w:color="auto" w:fill="F2F2F2" w:themeFill="background1" w:themeFillShade="F2"/>
          </w:tcPr>
          <w:p w14:paraId="6DBFBE7C" w14:textId="77777777" w:rsidR="0040690C" w:rsidRPr="00686332" w:rsidRDefault="0040690C" w:rsidP="006255AB">
            <w:pPr>
              <w:pStyle w:val="TableNheader"/>
              <w:jc w:val="center"/>
            </w:pPr>
          </w:p>
        </w:tc>
        <w:tc>
          <w:tcPr>
            <w:tcW w:w="2594" w:type="dxa"/>
          </w:tcPr>
          <w:p w14:paraId="6FFB9A46" w14:textId="77777777" w:rsidR="0040690C" w:rsidRPr="008A311A" w:rsidRDefault="0040690C" w:rsidP="006255AB">
            <w:pPr>
              <w:pStyle w:val="TableNText"/>
              <w:rPr>
                <w:rFonts w:ascii="Segoe UI Semibold" w:hAnsi="Segoe UI Semibold" w:cs="Segoe UI Semibold"/>
              </w:rPr>
            </w:pPr>
            <w:r w:rsidRPr="008A311A">
              <w:rPr>
                <w:rFonts w:ascii="Segoe UI Semibold" w:hAnsi="Segoe UI Semibold" w:cs="Segoe UI Semibold"/>
              </w:rPr>
              <w:t>11 - Hip</w:t>
            </w:r>
          </w:p>
        </w:tc>
        <w:tc>
          <w:tcPr>
            <w:tcW w:w="1420" w:type="dxa"/>
          </w:tcPr>
          <w:p w14:paraId="225A59C1" w14:textId="77777777" w:rsidR="0040690C" w:rsidRPr="00686332" w:rsidRDefault="0040690C" w:rsidP="0076629F">
            <w:pPr>
              <w:pStyle w:val="TableNText"/>
              <w:jc w:val="center"/>
            </w:pPr>
            <w:r w:rsidRPr="00686332">
              <w:t>804</w:t>
            </w:r>
          </w:p>
        </w:tc>
        <w:tc>
          <w:tcPr>
            <w:tcW w:w="1401" w:type="dxa"/>
          </w:tcPr>
          <w:p w14:paraId="7F32115C" w14:textId="77777777" w:rsidR="0040690C" w:rsidRPr="00686332" w:rsidRDefault="0040690C" w:rsidP="0076629F">
            <w:pPr>
              <w:pStyle w:val="TableNText"/>
              <w:jc w:val="center"/>
            </w:pPr>
            <w:r w:rsidRPr="00686332">
              <w:t>-</w:t>
            </w:r>
          </w:p>
        </w:tc>
        <w:tc>
          <w:tcPr>
            <w:tcW w:w="1401" w:type="dxa"/>
          </w:tcPr>
          <w:p w14:paraId="3ED0E4DE" w14:textId="77777777" w:rsidR="0040690C" w:rsidRPr="00686332" w:rsidRDefault="0040690C" w:rsidP="0076629F">
            <w:pPr>
              <w:pStyle w:val="TableNText"/>
              <w:jc w:val="center"/>
            </w:pPr>
            <w:r w:rsidRPr="00686332">
              <w:t>-</w:t>
            </w:r>
          </w:p>
        </w:tc>
        <w:tc>
          <w:tcPr>
            <w:tcW w:w="1405" w:type="dxa"/>
          </w:tcPr>
          <w:p w14:paraId="6EE8E898" w14:textId="77777777" w:rsidR="0040690C" w:rsidRPr="00686332" w:rsidRDefault="0040690C" w:rsidP="0076629F">
            <w:pPr>
              <w:pStyle w:val="TableNText"/>
              <w:jc w:val="center"/>
              <w:rPr>
                <w:rFonts w:ascii="Segoe UI Semibold" w:hAnsi="Segoe UI Semibold" w:cs="Segoe UI Semibold"/>
              </w:rPr>
            </w:pPr>
            <w:r w:rsidRPr="00686332">
              <w:rPr>
                <w:rFonts w:ascii="Segoe UI Semibold" w:hAnsi="Segoe UI Semibold" w:cs="Segoe UI Semibold"/>
              </w:rPr>
              <w:t>804</w:t>
            </w:r>
          </w:p>
        </w:tc>
      </w:tr>
      <w:tr w:rsidR="0040690C" w:rsidRPr="00686332" w14:paraId="5A430303" w14:textId="77777777">
        <w:tc>
          <w:tcPr>
            <w:tcW w:w="709" w:type="dxa"/>
            <w:vMerge/>
            <w:shd w:val="clear" w:color="auto" w:fill="F2F2F2" w:themeFill="background1" w:themeFillShade="F2"/>
          </w:tcPr>
          <w:p w14:paraId="65B5A099" w14:textId="77777777" w:rsidR="0040690C" w:rsidRPr="00686332" w:rsidRDefault="0040690C" w:rsidP="006255AB">
            <w:pPr>
              <w:pStyle w:val="TableNheader"/>
              <w:jc w:val="center"/>
            </w:pPr>
          </w:p>
        </w:tc>
        <w:tc>
          <w:tcPr>
            <w:tcW w:w="2594" w:type="dxa"/>
          </w:tcPr>
          <w:p w14:paraId="03DF0519" w14:textId="77777777" w:rsidR="0040690C" w:rsidRPr="008A311A" w:rsidRDefault="0040690C" w:rsidP="006255AB">
            <w:pPr>
              <w:pStyle w:val="TableNText"/>
              <w:rPr>
                <w:rFonts w:ascii="Segoe UI Semibold" w:hAnsi="Segoe UI Semibold" w:cs="Segoe UI Semibold"/>
              </w:rPr>
            </w:pPr>
            <w:r w:rsidRPr="008A311A">
              <w:rPr>
                <w:rFonts w:ascii="Segoe UI Semibold" w:hAnsi="Segoe UI Semibold" w:cs="Segoe UI Semibold"/>
              </w:rPr>
              <w:t>12 - Knee</w:t>
            </w:r>
          </w:p>
        </w:tc>
        <w:tc>
          <w:tcPr>
            <w:tcW w:w="1420" w:type="dxa"/>
          </w:tcPr>
          <w:p w14:paraId="1DD338B2" w14:textId="77777777" w:rsidR="0040690C" w:rsidRPr="00686332" w:rsidRDefault="0040690C" w:rsidP="0076629F">
            <w:pPr>
              <w:pStyle w:val="TableNText"/>
              <w:jc w:val="center"/>
            </w:pPr>
            <w:r w:rsidRPr="00686332">
              <w:t>858</w:t>
            </w:r>
          </w:p>
        </w:tc>
        <w:tc>
          <w:tcPr>
            <w:tcW w:w="1401" w:type="dxa"/>
          </w:tcPr>
          <w:p w14:paraId="4B32C95F" w14:textId="77777777" w:rsidR="0040690C" w:rsidRPr="00686332" w:rsidRDefault="0040690C" w:rsidP="0076629F">
            <w:pPr>
              <w:pStyle w:val="TableNText"/>
              <w:jc w:val="center"/>
            </w:pPr>
            <w:r w:rsidRPr="00686332">
              <w:t>-</w:t>
            </w:r>
          </w:p>
        </w:tc>
        <w:tc>
          <w:tcPr>
            <w:tcW w:w="1401" w:type="dxa"/>
          </w:tcPr>
          <w:p w14:paraId="76643101" w14:textId="77777777" w:rsidR="0040690C" w:rsidRPr="00686332" w:rsidRDefault="0040690C" w:rsidP="0076629F">
            <w:pPr>
              <w:pStyle w:val="TableNText"/>
              <w:jc w:val="center"/>
            </w:pPr>
            <w:r w:rsidRPr="00686332">
              <w:t>-</w:t>
            </w:r>
          </w:p>
        </w:tc>
        <w:tc>
          <w:tcPr>
            <w:tcW w:w="1405" w:type="dxa"/>
          </w:tcPr>
          <w:p w14:paraId="7CB8D7FD" w14:textId="77777777" w:rsidR="0040690C" w:rsidRPr="00686332" w:rsidRDefault="0040690C" w:rsidP="0076629F">
            <w:pPr>
              <w:pStyle w:val="TableNText"/>
              <w:jc w:val="center"/>
              <w:rPr>
                <w:rFonts w:ascii="Segoe UI Semibold" w:hAnsi="Segoe UI Semibold" w:cs="Segoe UI Semibold"/>
              </w:rPr>
            </w:pPr>
            <w:r w:rsidRPr="00686332">
              <w:rPr>
                <w:rFonts w:ascii="Segoe UI Semibold" w:hAnsi="Segoe UI Semibold" w:cs="Segoe UI Semibold"/>
              </w:rPr>
              <w:t>858</w:t>
            </w:r>
          </w:p>
        </w:tc>
      </w:tr>
      <w:tr w:rsidR="0040690C" w:rsidRPr="00686332" w14:paraId="081E301E" w14:textId="77777777">
        <w:tc>
          <w:tcPr>
            <w:tcW w:w="709" w:type="dxa"/>
            <w:vMerge/>
            <w:shd w:val="clear" w:color="auto" w:fill="F2F2F2" w:themeFill="background1" w:themeFillShade="F2"/>
          </w:tcPr>
          <w:p w14:paraId="57D77EE7" w14:textId="77777777" w:rsidR="0040690C" w:rsidRPr="00686332" w:rsidRDefault="0040690C" w:rsidP="006255AB">
            <w:pPr>
              <w:pStyle w:val="TableNheader"/>
              <w:jc w:val="center"/>
            </w:pPr>
          </w:p>
        </w:tc>
        <w:tc>
          <w:tcPr>
            <w:tcW w:w="2594" w:type="dxa"/>
          </w:tcPr>
          <w:p w14:paraId="012C4494" w14:textId="77777777" w:rsidR="0040690C" w:rsidRPr="008A311A" w:rsidRDefault="0040690C" w:rsidP="006255AB">
            <w:pPr>
              <w:pStyle w:val="TableNText"/>
              <w:rPr>
                <w:rFonts w:ascii="Segoe UI Semibold" w:hAnsi="Segoe UI Semibold" w:cs="Segoe UI Semibold"/>
              </w:rPr>
            </w:pPr>
            <w:r w:rsidRPr="008A311A">
              <w:rPr>
                <w:rFonts w:ascii="Segoe UI Semibold" w:hAnsi="Segoe UI Semibold" w:cs="Segoe UI Semibold"/>
              </w:rPr>
              <w:t>13 - Spinal</w:t>
            </w:r>
          </w:p>
        </w:tc>
        <w:tc>
          <w:tcPr>
            <w:tcW w:w="1420" w:type="dxa"/>
          </w:tcPr>
          <w:p w14:paraId="1A4FA162" w14:textId="77777777" w:rsidR="0040690C" w:rsidRPr="00686332" w:rsidRDefault="0040690C" w:rsidP="0076629F">
            <w:pPr>
              <w:pStyle w:val="TableNText"/>
              <w:jc w:val="center"/>
            </w:pPr>
            <w:r w:rsidRPr="00686332">
              <w:t>2045</w:t>
            </w:r>
          </w:p>
        </w:tc>
        <w:tc>
          <w:tcPr>
            <w:tcW w:w="1401" w:type="dxa"/>
          </w:tcPr>
          <w:p w14:paraId="7BEEE83E" w14:textId="77777777" w:rsidR="0040690C" w:rsidRPr="00686332" w:rsidRDefault="0040690C" w:rsidP="0076629F">
            <w:pPr>
              <w:pStyle w:val="TableNText"/>
              <w:jc w:val="center"/>
            </w:pPr>
            <w:r w:rsidRPr="00686332">
              <w:t>-</w:t>
            </w:r>
          </w:p>
        </w:tc>
        <w:tc>
          <w:tcPr>
            <w:tcW w:w="1401" w:type="dxa"/>
          </w:tcPr>
          <w:p w14:paraId="17508E58" w14:textId="77777777" w:rsidR="0040690C" w:rsidRPr="00686332" w:rsidRDefault="0040690C" w:rsidP="0076629F">
            <w:pPr>
              <w:pStyle w:val="TableNText"/>
              <w:jc w:val="center"/>
            </w:pPr>
            <w:r w:rsidRPr="00686332">
              <w:t>-</w:t>
            </w:r>
          </w:p>
        </w:tc>
        <w:tc>
          <w:tcPr>
            <w:tcW w:w="1405" w:type="dxa"/>
          </w:tcPr>
          <w:p w14:paraId="087192EC" w14:textId="77777777" w:rsidR="0040690C" w:rsidRPr="00686332" w:rsidRDefault="0040690C" w:rsidP="0076629F">
            <w:pPr>
              <w:pStyle w:val="TableNText"/>
              <w:jc w:val="center"/>
              <w:rPr>
                <w:rFonts w:ascii="Segoe UI Semibold" w:hAnsi="Segoe UI Semibold" w:cs="Segoe UI Semibold"/>
              </w:rPr>
            </w:pPr>
            <w:r w:rsidRPr="00686332">
              <w:rPr>
                <w:rFonts w:ascii="Segoe UI Semibold" w:hAnsi="Segoe UI Semibold" w:cs="Segoe UI Semibold"/>
              </w:rPr>
              <w:t>2045</w:t>
            </w:r>
          </w:p>
        </w:tc>
      </w:tr>
      <w:tr w:rsidR="0040690C" w:rsidRPr="00686332" w14:paraId="612FD895" w14:textId="77777777">
        <w:tc>
          <w:tcPr>
            <w:tcW w:w="709" w:type="dxa"/>
            <w:vMerge w:val="restart"/>
            <w:shd w:val="clear" w:color="auto" w:fill="F2F2F2" w:themeFill="background1" w:themeFillShade="F2"/>
            <w:textDirection w:val="btLr"/>
            <w:vAlign w:val="center"/>
          </w:tcPr>
          <w:p w14:paraId="0928B436" w14:textId="77777777" w:rsidR="0040690C" w:rsidRPr="00686332" w:rsidRDefault="0040690C" w:rsidP="006255AB">
            <w:pPr>
              <w:pStyle w:val="TableNheader"/>
              <w:jc w:val="center"/>
            </w:pPr>
            <w:r w:rsidRPr="00686332">
              <w:t>P</w:t>
            </w:r>
            <w:r>
              <w:t>art</w:t>
            </w:r>
            <w:r w:rsidRPr="00686332">
              <w:t xml:space="preserve"> B</w:t>
            </w:r>
          </w:p>
        </w:tc>
        <w:tc>
          <w:tcPr>
            <w:tcW w:w="2594" w:type="dxa"/>
          </w:tcPr>
          <w:p w14:paraId="79962FC4" w14:textId="77777777" w:rsidR="0040690C" w:rsidRPr="008A311A" w:rsidRDefault="0040690C" w:rsidP="006255AB">
            <w:pPr>
              <w:pStyle w:val="TableNText"/>
              <w:rPr>
                <w:rFonts w:ascii="Segoe UI Semibold" w:hAnsi="Segoe UI Semibold" w:cs="Segoe UI Semibold"/>
              </w:rPr>
            </w:pPr>
            <w:r w:rsidRPr="008A311A">
              <w:rPr>
                <w:rFonts w:ascii="Segoe UI Semibold" w:hAnsi="Segoe UI Semibold" w:cs="Segoe UI Semibold"/>
              </w:rPr>
              <w:t>01 - Cardio-thoracic</w:t>
            </w:r>
          </w:p>
        </w:tc>
        <w:tc>
          <w:tcPr>
            <w:tcW w:w="1420" w:type="dxa"/>
          </w:tcPr>
          <w:p w14:paraId="11B35C3B" w14:textId="77777777" w:rsidR="0040690C" w:rsidRPr="00686332" w:rsidRDefault="0040690C" w:rsidP="0076629F">
            <w:pPr>
              <w:pStyle w:val="TableNText"/>
              <w:jc w:val="center"/>
            </w:pPr>
            <w:r w:rsidRPr="00686332">
              <w:t>-</w:t>
            </w:r>
          </w:p>
        </w:tc>
        <w:tc>
          <w:tcPr>
            <w:tcW w:w="1401" w:type="dxa"/>
          </w:tcPr>
          <w:p w14:paraId="28E5F7CF" w14:textId="77777777" w:rsidR="0040690C" w:rsidRPr="00686332" w:rsidRDefault="0040690C" w:rsidP="0076629F">
            <w:pPr>
              <w:pStyle w:val="TableNText"/>
              <w:jc w:val="center"/>
            </w:pPr>
            <w:r w:rsidRPr="00686332">
              <w:t>18</w:t>
            </w:r>
          </w:p>
        </w:tc>
        <w:tc>
          <w:tcPr>
            <w:tcW w:w="1401" w:type="dxa"/>
          </w:tcPr>
          <w:p w14:paraId="196098C4" w14:textId="77777777" w:rsidR="0040690C" w:rsidRPr="00686332" w:rsidRDefault="0040690C" w:rsidP="0076629F">
            <w:pPr>
              <w:pStyle w:val="TableNText"/>
              <w:jc w:val="center"/>
            </w:pPr>
            <w:r w:rsidRPr="00686332">
              <w:t>-</w:t>
            </w:r>
          </w:p>
        </w:tc>
        <w:tc>
          <w:tcPr>
            <w:tcW w:w="1405" w:type="dxa"/>
          </w:tcPr>
          <w:p w14:paraId="29D16581" w14:textId="77777777" w:rsidR="0040690C" w:rsidRPr="00686332" w:rsidRDefault="0040690C" w:rsidP="0076629F">
            <w:pPr>
              <w:pStyle w:val="TableNText"/>
              <w:jc w:val="center"/>
              <w:rPr>
                <w:rFonts w:ascii="Segoe UI Semibold" w:hAnsi="Segoe UI Semibold" w:cs="Segoe UI Semibold"/>
              </w:rPr>
            </w:pPr>
            <w:r w:rsidRPr="00686332">
              <w:rPr>
                <w:rFonts w:ascii="Segoe UI Semibold" w:hAnsi="Segoe UI Semibold" w:cs="Segoe UI Semibold"/>
              </w:rPr>
              <w:t>18</w:t>
            </w:r>
          </w:p>
        </w:tc>
      </w:tr>
      <w:tr w:rsidR="0040690C" w:rsidRPr="00686332" w14:paraId="6F6137AD" w14:textId="77777777">
        <w:tc>
          <w:tcPr>
            <w:tcW w:w="709" w:type="dxa"/>
            <w:vMerge/>
            <w:shd w:val="clear" w:color="auto" w:fill="F2F2F2" w:themeFill="background1" w:themeFillShade="F2"/>
          </w:tcPr>
          <w:p w14:paraId="0394BA5A" w14:textId="77777777" w:rsidR="0040690C" w:rsidRPr="00686332" w:rsidRDefault="0040690C" w:rsidP="00545061">
            <w:pPr>
              <w:spacing w:before="40" w:after="40"/>
              <w:rPr>
                <w:sz w:val="18"/>
                <w:szCs w:val="18"/>
              </w:rPr>
            </w:pPr>
          </w:p>
        </w:tc>
        <w:tc>
          <w:tcPr>
            <w:tcW w:w="2594" w:type="dxa"/>
          </w:tcPr>
          <w:p w14:paraId="7BBDC996" w14:textId="77777777" w:rsidR="0040690C" w:rsidRPr="008A311A" w:rsidRDefault="0040690C" w:rsidP="006255AB">
            <w:pPr>
              <w:pStyle w:val="TableNText"/>
              <w:rPr>
                <w:rFonts w:ascii="Segoe UI Semibold" w:hAnsi="Segoe UI Semibold" w:cs="Segoe UI Semibold"/>
              </w:rPr>
            </w:pPr>
            <w:r w:rsidRPr="008A311A">
              <w:rPr>
                <w:rFonts w:ascii="Segoe UI Semibold" w:hAnsi="Segoe UI Semibold" w:cs="Segoe UI Semibold"/>
              </w:rPr>
              <w:t>02 - Ophthalmic</w:t>
            </w:r>
          </w:p>
        </w:tc>
        <w:tc>
          <w:tcPr>
            <w:tcW w:w="1420" w:type="dxa"/>
          </w:tcPr>
          <w:p w14:paraId="3AEB76DB" w14:textId="77777777" w:rsidR="0040690C" w:rsidRPr="00686332" w:rsidRDefault="0040690C" w:rsidP="0076629F">
            <w:pPr>
              <w:pStyle w:val="TableNText"/>
              <w:jc w:val="center"/>
            </w:pPr>
            <w:r w:rsidRPr="00686332">
              <w:t>-</w:t>
            </w:r>
          </w:p>
        </w:tc>
        <w:tc>
          <w:tcPr>
            <w:tcW w:w="1401" w:type="dxa"/>
          </w:tcPr>
          <w:p w14:paraId="763B70AB" w14:textId="77777777" w:rsidR="0040690C" w:rsidRPr="00686332" w:rsidRDefault="0040690C" w:rsidP="0076629F">
            <w:pPr>
              <w:pStyle w:val="TableNText"/>
              <w:jc w:val="center"/>
            </w:pPr>
            <w:r w:rsidRPr="00686332">
              <w:t>16</w:t>
            </w:r>
          </w:p>
        </w:tc>
        <w:tc>
          <w:tcPr>
            <w:tcW w:w="1401" w:type="dxa"/>
          </w:tcPr>
          <w:p w14:paraId="615E4A67" w14:textId="77777777" w:rsidR="0040690C" w:rsidRPr="00686332" w:rsidRDefault="0040690C" w:rsidP="0076629F">
            <w:pPr>
              <w:pStyle w:val="TableNText"/>
              <w:jc w:val="center"/>
            </w:pPr>
            <w:r w:rsidRPr="00686332">
              <w:t>-</w:t>
            </w:r>
          </w:p>
        </w:tc>
        <w:tc>
          <w:tcPr>
            <w:tcW w:w="1405" w:type="dxa"/>
          </w:tcPr>
          <w:p w14:paraId="79593C0A" w14:textId="77777777" w:rsidR="0040690C" w:rsidRPr="00686332" w:rsidRDefault="0040690C" w:rsidP="0076629F">
            <w:pPr>
              <w:pStyle w:val="TableNText"/>
              <w:jc w:val="center"/>
              <w:rPr>
                <w:rFonts w:ascii="Segoe UI Semibold" w:hAnsi="Segoe UI Semibold" w:cs="Segoe UI Semibold"/>
              </w:rPr>
            </w:pPr>
            <w:r w:rsidRPr="00686332">
              <w:rPr>
                <w:rFonts w:ascii="Segoe UI Semibold" w:hAnsi="Segoe UI Semibold" w:cs="Segoe UI Semibold"/>
              </w:rPr>
              <w:t>16</w:t>
            </w:r>
          </w:p>
        </w:tc>
      </w:tr>
      <w:tr w:rsidR="0040690C" w:rsidRPr="00686332" w14:paraId="70660964" w14:textId="77777777">
        <w:tc>
          <w:tcPr>
            <w:tcW w:w="709" w:type="dxa"/>
            <w:vMerge/>
            <w:shd w:val="clear" w:color="auto" w:fill="F2F2F2" w:themeFill="background1" w:themeFillShade="F2"/>
          </w:tcPr>
          <w:p w14:paraId="7FA1E559" w14:textId="77777777" w:rsidR="0040690C" w:rsidRPr="00686332" w:rsidRDefault="0040690C" w:rsidP="00545061">
            <w:pPr>
              <w:spacing w:before="40" w:after="40"/>
              <w:rPr>
                <w:sz w:val="18"/>
                <w:szCs w:val="18"/>
              </w:rPr>
            </w:pPr>
          </w:p>
        </w:tc>
        <w:tc>
          <w:tcPr>
            <w:tcW w:w="2594" w:type="dxa"/>
          </w:tcPr>
          <w:p w14:paraId="00E89121" w14:textId="77777777" w:rsidR="0040690C" w:rsidRPr="008A311A" w:rsidRDefault="0040690C" w:rsidP="006255AB">
            <w:pPr>
              <w:pStyle w:val="TableNText"/>
              <w:rPr>
                <w:rFonts w:ascii="Segoe UI Semibold" w:hAnsi="Segoe UI Semibold" w:cs="Segoe UI Semibold"/>
              </w:rPr>
            </w:pPr>
            <w:r w:rsidRPr="008A311A">
              <w:rPr>
                <w:rFonts w:ascii="Segoe UI Semibold" w:hAnsi="Segoe UI Semibold" w:cs="Segoe UI Semibold"/>
              </w:rPr>
              <w:t>03 - Orthopaedic</w:t>
            </w:r>
          </w:p>
        </w:tc>
        <w:tc>
          <w:tcPr>
            <w:tcW w:w="1420" w:type="dxa"/>
          </w:tcPr>
          <w:p w14:paraId="751453F6" w14:textId="77777777" w:rsidR="0040690C" w:rsidRPr="00686332" w:rsidRDefault="0040690C" w:rsidP="0076629F">
            <w:pPr>
              <w:pStyle w:val="TableNText"/>
              <w:jc w:val="center"/>
            </w:pPr>
            <w:r w:rsidRPr="00686332">
              <w:t>-</w:t>
            </w:r>
          </w:p>
        </w:tc>
        <w:tc>
          <w:tcPr>
            <w:tcW w:w="1401" w:type="dxa"/>
          </w:tcPr>
          <w:p w14:paraId="27E5EE52" w14:textId="77777777" w:rsidR="0040690C" w:rsidRPr="00686332" w:rsidRDefault="0040690C" w:rsidP="0076629F">
            <w:pPr>
              <w:pStyle w:val="TableNText"/>
              <w:jc w:val="center"/>
            </w:pPr>
            <w:r w:rsidRPr="00686332">
              <w:t>711</w:t>
            </w:r>
          </w:p>
        </w:tc>
        <w:tc>
          <w:tcPr>
            <w:tcW w:w="1401" w:type="dxa"/>
          </w:tcPr>
          <w:p w14:paraId="3AF478A9" w14:textId="77777777" w:rsidR="0040690C" w:rsidRPr="00686332" w:rsidRDefault="0040690C" w:rsidP="0076629F">
            <w:pPr>
              <w:pStyle w:val="TableNText"/>
              <w:jc w:val="center"/>
            </w:pPr>
            <w:r w:rsidRPr="00686332">
              <w:t>-</w:t>
            </w:r>
          </w:p>
        </w:tc>
        <w:tc>
          <w:tcPr>
            <w:tcW w:w="1405" w:type="dxa"/>
          </w:tcPr>
          <w:p w14:paraId="4FC5C010" w14:textId="77777777" w:rsidR="0040690C" w:rsidRPr="00686332" w:rsidRDefault="0040690C" w:rsidP="0076629F">
            <w:pPr>
              <w:pStyle w:val="TableNText"/>
              <w:jc w:val="center"/>
              <w:rPr>
                <w:rFonts w:ascii="Segoe UI Semibold" w:hAnsi="Segoe UI Semibold" w:cs="Segoe UI Semibold"/>
              </w:rPr>
            </w:pPr>
            <w:r w:rsidRPr="00686332">
              <w:rPr>
                <w:rFonts w:ascii="Segoe UI Semibold" w:hAnsi="Segoe UI Semibold" w:cs="Segoe UI Semibold"/>
              </w:rPr>
              <w:t>711</w:t>
            </w:r>
          </w:p>
        </w:tc>
      </w:tr>
      <w:tr w:rsidR="0040690C" w:rsidRPr="00686332" w14:paraId="2AEEE900" w14:textId="77777777">
        <w:tc>
          <w:tcPr>
            <w:tcW w:w="709" w:type="dxa"/>
            <w:vMerge/>
            <w:shd w:val="clear" w:color="auto" w:fill="F2F2F2" w:themeFill="background1" w:themeFillShade="F2"/>
          </w:tcPr>
          <w:p w14:paraId="15832A88" w14:textId="77777777" w:rsidR="0040690C" w:rsidRPr="00686332" w:rsidRDefault="0040690C" w:rsidP="00545061">
            <w:pPr>
              <w:spacing w:before="40" w:after="40"/>
              <w:rPr>
                <w:sz w:val="18"/>
                <w:szCs w:val="18"/>
              </w:rPr>
            </w:pPr>
          </w:p>
        </w:tc>
        <w:tc>
          <w:tcPr>
            <w:tcW w:w="2594" w:type="dxa"/>
          </w:tcPr>
          <w:p w14:paraId="640357C7" w14:textId="77777777" w:rsidR="0040690C" w:rsidRPr="008A311A" w:rsidRDefault="0040690C" w:rsidP="006255AB">
            <w:pPr>
              <w:pStyle w:val="TableNText"/>
              <w:rPr>
                <w:rFonts w:ascii="Segoe UI Semibold" w:hAnsi="Segoe UI Semibold" w:cs="Segoe UI Semibold"/>
              </w:rPr>
            </w:pPr>
            <w:r w:rsidRPr="008A311A">
              <w:rPr>
                <w:rFonts w:ascii="Segoe UI Semibold" w:hAnsi="Segoe UI Semibold" w:cs="Segoe UI Semibold"/>
              </w:rPr>
              <w:t>04 - Dermatologic</w:t>
            </w:r>
          </w:p>
        </w:tc>
        <w:tc>
          <w:tcPr>
            <w:tcW w:w="1420" w:type="dxa"/>
          </w:tcPr>
          <w:p w14:paraId="6F4B6C38" w14:textId="77777777" w:rsidR="0040690C" w:rsidRPr="00686332" w:rsidRDefault="0040690C" w:rsidP="0076629F">
            <w:pPr>
              <w:pStyle w:val="TableNText"/>
              <w:jc w:val="center"/>
            </w:pPr>
            <w:r w:rsidRPr="00686332">
              <w:t>-</w:t>
            </w:r>
          </w:p>
        </w:tc>
        <w:tc>
          <w:tcPr>
            <w:tcW w:w="1401" w:type="dxa"/>
          </w:tcPr>
          <w:p w14:paraId="3B839502" w14:textId="77777777" w:rsidR="0040690C" w:rsidRPr="00686332" w:rsidRDefault="0040690C" w:rsidP="0076629F">
            <w:pPr>
              <w:pStyle w:val="TableNText"/>
              <w:jc w:val="center"/>
            </w:pPr>
            <w:r w:rsidRPr="00686332">
              <w:t>14</w:t>
            </w:r>
          </w:p>
        </w:tc>
        <w:tc>
          <w:tcPr>
            <w:tcW w:w="1401" w:type="dxa"/>
          </w:tcPr>
          <w:p w14:paraId="41F84086" w14:textId="77777777" w:rsidR="0040690C" w:rsidRPr="00686332" w:rsidRDefault="0040690C" w:rsidP="0076629F">
            <w:pPr>
              <w:pStyle w:val="TableNText"/>
              <w:jc w:val="center"/>
            </w:pPr>
            <w:r w:rsidRPr="00686332">
              <w:t>-</w:t>
            </w:r>
          </w:p>
        </w:tc>
        <w:tc>
          <w:tcPr>
            <w:tcW w:w="1405" w:type="dxa"/>
          </w:tcPr>
          <w:p w14:paraId="6BD02380" w14:textId="77777777" w:rsidR="0040690C" w:rsidRPr="00686332" w:rsidRDefault="0040690C" w:rsidP="0076629F">
            <w:pPr>
              <w:pStyle w:val="TableNText"/>
              <w:jc w:val="center"/>
              <w:rPr>
                <w:rFonts w:ascii="Segoe UI Semibold" w:hAnsi="Segoe UI Semibold" w:cs="Segoe UI Semibold"/>
              </w:rPr>
            </w:pPr>
            <w:r w:rsidRPr="00686332">
              <w:rPr>
                <w:rFonts w:ascii="Segoe UI Semibold" w:hAnsi="Segoe UI Semibold" w:cs="Segoe UI Semibold"/>
              </w:rPr>
              <w:t>14</w:t>
            </w:r>
          </w:p>
        </w:tc>
      </w:tr>
    </w:tbl>
    <w:bookmarkStart w:id="100" w:name="_Ref152840517"/>
    <w:bookmarkStart w:id="101" w:name="_Ref152840549"/>
    <w:bookmarkStart w:id="102" w:name="_Ref152840599"/>
    <w:p w14:paraId="34BF9D9B" w14:textId="331020DA" w:rsidR="007D797F" w:rsidRDefault="007D797F" w:rsidP="00545061">
      <w:pPr>
        <w:spacing w:before="360"/>
      </w:pPr>
      <w:r>
        <w:lastRenderedPageBreak/>
        <w:fldChar w:fldCharType="begin"/>
      </w:r>
      <w:r>
        <w:instrText xml:space="preserve"> REF _Ref159845734 \h </w:instrText>
      </w:r>
      <w:r>
        <w:fldChar w:fldCharType="separate"/>
      </w:r>
      <w:r w:rsidR="00026714">
        <w:t xml:space="preserve">Figure </w:t>
      </w:r>
      <w:r w:rsidR="00026714">
        <w:rPr>
          <w:noProof/>
        </w:rPr>
        <w:t>33</w:t>
      </w:r>
      <w:r>
        <w:fldChar w:fldCharType="end"/>
      </w:r>
      <w:r>
        <w:t xml:space="preserve"> below </w:t>
      </w:r>
      <w:r w:rsidR="00725248">
        <w:t xml:space="preserve">shows </w:t>
      </w:r>
      <w:r w:rsidR="00127BD8">
        <w:t xml:space="preserve">a steady </w:t>
      </w:r>
      <w:r w:rsidR="00D732B1">
        <w:t>net increase</w:t>
      </w:r>
      <w:r w:rsidR="005F724F">
        <w:t xml:space="preserve"> of </w:t>
      </w:r>
      <w:r w:rsidR="007F5282">
        <w:t>1</w:t>
      </w:r>
      <w:r w:rsidR="00E12BB3">
        <w:t>.09</w:t>
      </w:r>
      <w:r w:rsidR="007F5282">
        <w:t xml:space="preserve">% </w:t>
      </w:r>
      <w:r w:rsidR="0006379C">
        <w:t>p/a</w:t>
      </w:r>
      <w:r w:rsidR="00D732B1">
        <w:t xml:space="preserve"> in the number of items </w:t>
      </w:r>
      <w:r w:rsidR="002B7954">
        <w:t xml:space="preserve">on Parts A and C of the PL </w:t>
      </w:r>
      <w:r w:rsidR="009E77FB">
        <w:t>from August 2012 to July 2021.</w:t>
      </w:r>
      <w:r w:rsidR="000D36F7">
        <w:t xml:space="preserve"> However, this </w:t>
      </w:r>
      <w:r w:rsidR="00ED4637">
        <w:t xml:space="preserve">trend </w:t>
      </w:r>
      <w:r w:rsidR="00D953D3">
        <w:t>has not</w:t>
      </w:r>
      <w:r w:rsidR="00355F5A">
        <w:t xml:space="preserve"> been </w:t>
      </w:r>
      <w:r w:rsidR="00084EB4">
        <w:t xml:space="preserve">consistent across </w:t>
      </w:r>
      <w:r w:rsidR="008D42E7">
        <w:t>the PL categories. For example</w:t>
      </w:r>
      <w:r w:rsidR="00F46D90">
        <w:t xml:space="preserve">, the </w:t>
      </w:r>
      <w:r w:rsidR="00B679F5">
        <w:t xml:space="preserve">number of items in the 13 – Spinal category </w:t>
      </w:r>
      <w:r w:rsidR="009237B9">
        <w:t xml:space="preserve">increased </w:t>
      </w:r>
      <w:r w:rsidR="00D66822">
        <w:t>from 1</w:t>
      </w:r>
      <w:r w:rsidR="00132DD1">
        <w:t>,</w:t>
      </w:r>
      <w:r w:rsidR="00D66822">
        <w:t>292 to 2</w:t>
      </w:r>
      <w:r w:rsidR="00132DD1">
        <w:t>,</w:t>
      </w:r>
      <w:r w:rsidR="00D66822">
        <w:t>045 (</w:t>
      </w:r>
      <w:r w:rsidR="001F7AE5">
        <w:t xml:space="preserve">+5.3% p/a) while </w:t>
      </w:r>
      <w:r w:rsidR="00E06457">
        <w:t>the</w:t>
      </w:r>
      <w:r w:rsidR="009237B9">
        <w:t xml:space="preserve"> number of items in the</w:t>
      </w:r>
      <w:r w:rsidR="00E06457">
        <w:t xml:space="preserve"> </w:t>
      </w:r>
      <w:r w:rsidR="005F7E3F">
        <w:t>11</w:t>
      </w:r>
      <w:r w:rsidR="00E06457">
        <w:t xml:space="preserve"> – Hip category dec</w:t>
      </w:r>
      <w:r w:rsidR="009237B9">
        <w:t>reased</w:t>
      </w:r>
      <w:r w:rsidR="00E06457">
        <w:t xml:space="preserve"> from </w:t>
      </w:r>
      <w:r w:rsidR="00374FD3">
        <w:t>1</w:t>
      </w:r>
      <w:r w:rsidR="00132DD1">
        <w:t>,</w:t>
      </w:r>
      <w:r w:rsidR="00374FD3">
        <w:t>143 to 804 (-3</w:t>
      </w:r>
      <w:r w:rsidR="007101A3">
        <w:t>.6% p/a)</w:t>
      </w:r>
      <w:r w:rsidR="009237B9">
        <w:t xml:space="preserve"> over the same </w:t>
      </w:r>
      <w:proofErr w:type="gramStart"/>
      <w:r w:rsidR="009237B9">
        <w:t>time period</w:t>
      </w:r>
      <w:proofErr w:type="gramEnd"/>
      <w:r w:rsidR="005C21C9">
        <w:rPr>
          <w:rStyle w:val="FootnoteReference"/>
        </w:rPr>
        <w:footnoteReference w:id="168"/>
      </w:r>
      <w:r w:rsidR="007101A3">
        <w:t>.</w:t>
      </w:r>
    </w:p>
    <w:p w14:paraId="4465DE43" w14:textId="7CE1BEE2" w:rsidR="0040690C" w:rsidRPr="00A17ABF" w:rsidRDefault="00BA4C62" w:rsidP="0040690C">
      <w:pPr>
        <w:pStyle w:val="Caption"/>
        <w:spacing w:before="240" w:after="120"/>
      </w:pPr>
      <w:bookmarkStart w:id="103" w:name="_Ref159845734"/>
      <w:r>
        <w:t xml:space="preserve">Figure </w:t>
      </w:r>
      <w:r>
        <w:fldChar w:fldCharType="begin"/>
      </w:r>
      <w:r>
        <w:instrText xml:space="preserve"> SEQ Figure \* ARABIC </w:instrText>
      </w:r>
      <w:r>
        <w:fldChar w:fldCharType="separate"/>
      </w:r>
      <w:r w:rsidR="00026714">
        <w:rPr>
          <w:noProof/>
        </w:rPr>
        <w:t>33</w:t>
      </w:r>
      <w:r>
        <w:fldChar w:fldCharType="end"/>
      </w:r>
      <w:bookmarkEnd w:id="103"/>
      <w:r>
        <w:t xml:space="preserve"> | Number of PL items</w:t>
      </w:r>
      <w:r w:rsidR="00BE43A1">
        <w:t xml:space="preserve"> over time</w:t>
      </w:r>
      <w:r w:rsidR="003C1E6A" w:rsidRPr="008B40BA">
        <w:rPr>
          <w:vertAlign w:val="superscript"/>
        </w:rPr>
        <w:footnoteReference w:id="169"/>
      </w:r>
      <w:bookmarkEnd w:id="100"/>
      <w:bookmarkEnd w:id="101"/>
      <w:bookmarkEnd w:id="102"/>
    </w:p>
    <w:p w14:paraId="28BF7F51" w14:textId="317FEAAA" w:rsidR="00E83A49" w:rsidRPr="00E83A49" w:rsidRDefault="007A48F5" w:rsidP="00E83A49">
      <w:r w:rsidRPr="007A48F5">
        <w:rPr>
          <w:noProof/>
        </w:rPr>
        <w:drawing>
          <wp:inline distT="0" distB="0" distL="0" distR="0" wp14:anchorId="135A40B2" wp14:editId="68ECC231">
            <wp:extent cx="5670550" cy="2733675"/>
            <wp:effectExtent l="0" t="0" r="6350" b="9525"/>
            <wp:docPr id="1878407633" name="Picture 1" descr="A graph of the number of PL items over time. The growth from Aug-12 to Jul-21 is +1.09% 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07633" name="Picture 1" descr="A graph of the number of PL items over time. The growth from Aug-12 to Jul-21 is +1.09% p/a."/>
                    <pic:cNvPicPr/>
                  </pic:nvPicPr>
                  <pic:blipFill>
                    <a:blip r:embed="rId59"/>
                    <a:stretch>
                      <a:fillRect/>
                    </a:stretch>
                  </pic:blipFill>
                  <pic:spPr>
                    <a:xfrm>
                      <a:off x="0" y="0"/>
                      <a:ext cx="5670550" cy="2733675"/>
                    </a:xfrm>
                    <a:prstGeom prst="rect">
                      <a:avLst/>
                    </a:prstGeom>
                  </pic:spPr>
                </pic:pic>
              </a:graphicData>
            </a:graphic>
          </wp:inline>
        </w:drawing>
      </w:r>
    </w:p>
    <w:p w14:paraId="5B5A8E27" w14:textId="3D83DBBB" w:rsidR="00B820BF" w:rsidRDefault="00252FE9" w:rsidP="00545061">
      <w:pPr>
        <w:spacing w:before="360"/>
        <w:rPr>
          <w:lang w:eastAsia="en-AU"/>
        </w:rPr>
      </w:pPr>
      <w:r>
        <w:rPr>
          <w:lang w:eastAsia="en-AU"/>
        </w:rPr>
        <w:t>At baseline, there were 1</w:t>
      </w:r>
      <w:r w:rsidR="00132DD1">
        <w:rPr>
          <w:lang w:eastAsia="en-AU"/>
        </w:rPr>
        <w:t>,</w:t>
      </w:r>
      <w:r>
        <w:rPr>
          <w:lang w:eastAsia="en-AU"/>
        </w:rPr>
        <w:t>680 benefit groups</w:t>
      </w:r>
      <w:r w:rsidR="00657CD7">
        <w:rPr>
          <w:lang w:eastAsia="en-AU"/>
        </w:rPr>
        <w:t xml:space="preserve"> in Parts A and C</w:t>
      </w:r>
      <w:r>
        <w:rPr>
          <w:lang w:eastAsia="en-AU"/>
        </w:rPr>
        <w:t xml:space="preserve">. </w:t>
      </w:r>
      <w:r w:rsidR="0040690C" w:rsidRPr="007A48F5">
        <w:rPr>
          <w:lang w:eastAsia="en-AU"/>
        </w:rPr>
        <w:fldChar w:fldCharType="begin"/>
      </w:r>
      <w:r w:rsidR="0040690C" w:rsidRPr="007A48F5">
        <w:rPr>
          <w:lang w:eastAsia="en-AU"/>
        </w:rPr>
        <w:instrText xml:space="preserve"> REF _Ref152841104 \h </w:instrText>
      </w:r>
      <w:r w:rsidR="007F3EB7" w:rsidRPr="007A48F5">
        <w:rPr>
          <w:lang w:eastAsia="en-AU"/>
        </w:rPr>
        <w:instrText xml:space="preserve"> \* MERGEFORMAT </w:instrText>
      </w:r>
      <w:r w:rsidR="0040690C" w:rsidRPr="007A48F5">
        <w:rPr>
          <w:lang w:eastAsia="en-AU"/>
        </w:rPr>
      </w:r>
      <w:r w:rsidR="0040690C" w:rsidRPr="007A48F5">
        <w:rPr>
          <w:lang w:eastAsia="en-AU"/>
        </w:rPr>
        <w:fldChar w:fldCharType="separate"/>
      </w:r>
      <w:r w:rsidR="00026714">
        <w:t xml:space="preserve">Figure </w:t>
      </w:r>
      <w:r w:rsidR="00026714">
        <w:rPr>
          <w:noProof/>
        </w:rPr>
        <w:t>34</w:t>
      </w:r>
      <w:r w:rsidR="0040690C" w:rsidRPr="007A48F5">
        <w:rPr>
          <w:lang w:eastAsia="en-AU"/>
        </w:rPr>
        <w:fldChar w:fldCharType="end"/>
      </w:r>
      <w:r w:rsidR="0040690C" w:rsidRPr="007A48F5">
        <w:rPr>
          <w:lang w:eastAsia="en-AU"/>
        </w:rPr>
        <w:t xml:space="preserve"> below shows</w:t>
      </w:r>
      <w:r w:rsidR="00114FB2">
        <w:rPr>
          <w:lang w:eastAsia="en-AU"/>
        </w:rPr>
        <w:t xml:space="preserve"> </w:t>
      </w:r>
      <w:r w:rsidR="00657CD7">
        <w:rPr>
          <w:lang w:eastAsia="en-AU"/>
        </w:rPr>
        <w:t xml:space="preserve">that </w:t>
      </w:r>
      <w:r w:rsidR="00F722CD">
        <w:rPr>
          <w:lang w:eastAsia="en-AU"/>
        </w:rPr>
        <w:t>for t</w:t>
      </w:r>
      <w:r w:rsidR="00B820BF">
        <w:rPr>
          <w:lang w:eastAsia="en-AU"/>
        </w:rPr>
        <w:t>he four years from August 2013, the number of benefit groups g</w:t>
      </w:r>
      <w:r w:rsidR="007D50B9">
        <w:rPr>
          <w:lang w:eastAsia="en-AU"/>
        </w:rPr>
        <w:t>rew</w:t>
      </w:r>
      <w:r w:rsidR="002B36B1">
        <w:rPr>
          <w:lang w:eastAsia="en-AU"/>
        </w:rPr>
        <w:t xml:space="preserve"> </w:t>
      </w:r>
      <w:r w:rsidR="007D50B9">
        <w:rPr>
          <w:lang w:eastAsia="en-AU"/>
        </w:rPr>
        <w:t xml:space="preserve">before </w:t>
      </w:r>
      <w:r w:rsidR="004F0674">
        <w:rPr>
          <w:lang w:eastAsia="en-AU"/>
        </w:rPr>
        <w:t>declin</w:t>
      </w:r>
      <w:r w:rsidR="00901F9E">
        <w:rPr>
          <w:lang w:eastAsia="en-AU"/>
        </w:rPr>
        <w:t>ing</w:t>
      </w:r>
      <w:r w:rsidR="004F0674">
        <w:rPr>
          <w:lang w:eastAsia="en-AU"/>
        </w:rPr>
        <w:t xml:space="preserve"> again</w:t>
      </w:r>
      <w:r w:rsidR="00901F9E">
        <w:rPr>
          <w:lang w:eastAsia="en-AU"/>
        </w:rPr>
        <w:t xml:space="preserve"> in the year</w:t>
      </w:r>
      <w:r w:rsidR="002B36B1">
        <w:rPr>
          <w:lang w:eastAsia="en-AU"/>
        </w:rPr>
        <w:t xml:space="preserve">s </w:t>
      </w:r>
      <w:r w:rsidR="00502DF1">
        <w:rPr>
          <w:lang w:eastAsia="en-AU"/>
        </w:rPr>
        <w:t>leading up</w:t>
      </w:r>
      <w:r w:rsidR="004F0674">
        <w:rPr>
          <w:lang w:eastAsia="en-AU"/>
        </w:rPr>
        <w:t xml:space="preserve"> to </w:t>
      </w:r>
      <w:r w:rsidR="00901F9E">
        <w:rPr>
          <w:lang w:eastAsia="en-AU"/>
        </w:rPr>
        <w:t>the July 2021 update.</w:t>
      </w:r>
      <w:r w:rsidR="007552C2">
        <w:rPr>
          <w:lang w:eastAsia="en-AU"/>
        </w:rPr>
        <w:t xml:space="preserve"> The number of benefit groups in August 2012 is</w:t>
      </w:r>
      <w:r w:rsidR="003F3AD6">
        <w:rPr>
          <w:lang w:eastAsia="en-AU"/>
        </w:rPr>
        <w:t xml:space="preserve"> inflated due </w:t>
      </w:r>
      <w:r w:rsidR="00170885">
        <w:rPr>
          <w:lang w:eastAsia="en-AU"/>
        </w:rPr>
        <w:t xml:space="preserve">labelling and categorisation errors that were corrected </w:t>
      </w:r>
      <w:r w:rsidR="00C245B1">
        <w:rPr>
          <w:lang w:eastAsia="en-AU"/>
        </w:rPr>
        <w:t>by August 20</w:t>
      </w:r>
      <w:r w:rsidR="00870C96">
        <w:rPr>
          <w:lang w:eastAsia="en-AU"/>
        </w:rPr>
        <w:t>1</w:t>
      </w:r>
      <w:r w:rsidR="00C245B1">
        <w:rPr>
          <w:lang w:eastAsia="en-AU"/>
        </w:rPr>
        <w:t>3.</w:t>
      </w:r>
    </w:p>
    <w:p w14:paraId="59C323E5" w14:textId="626538AF" w:rsidR="0040690C" w:rsidRPr="00BC7612" w:rsidRDefault="0040690C" w:rsidP="0040690C">
      <w:pPr>
        <w:pStyle w:val="Caption"/>
        <w:spacing w:before="240" w:after="120"/>
      </w:pPr>
      <w:bookmarkStart w:id="104" w:name="_Ref152841104"/>
      <w:r>
        <w:t xml:space="preserve">Figure </w:t>
      </w:r>
      <w:r>
        <w:fldChar w:fldCharType="begin"/>
      </w:r>
      <w:r>
        <w:instrText xml:space="preserve"> SEQ Figure \* ARABIC </w:instrText>
      </w:r>
      <w:r>
        <w:fldChar w:fldCharType="separate"/>
      </w:r>
      <w:r w:rsidR="00026714">
        <w:rPr>
          <w:noProof/>
        </w:rPr>
        <w:t>34</w:t>
      </w:r>
      <w:r>
        <w:fldChar w:fldCharType="end"/>
      </w:r>
      <w:bookmarkEnd w:id="104"/>
      <w:r>
        <w:t xml:space="preserve"> | Number of benefit groups </w:t>
      </w:r>
      <w:r w:rsidR="00BE43A1">
        <w:t>over time</w:t>
      </w:r>
      <w:r w:rsidRPr="008B40BA">
        <w:rPr>
          <w:vertAlign w:val="superscript"/>
        </w:rPr>
        <w:footnoteReference w:id="170"/>
      </w:r>
    </w:p>
    <w:p w14:paraId="2E450087" w14:textId="44FC8F82" w:rsidR="0040690C" w:rsidRDefault="00912AEF" w:rsidP="0040690C">
      <w:pPr>
        <w:rPr>
          <w:lang w:eastAsia="en-AU"/>
        </w:rPr>
      </w:pPr>
      <w:r w:rsidRPr="00912AEF">
        <w:rPr>
          <w:noProof/>
          <w:lang w:eastAsia="en-AU"/>
        </w:rPr>
        <w:drawing>
          <wp:inline distT="0" distB="0" distL="0" distR="0" wp14:anchorId="281A38C8" wp14:editId="2AADC7DB">
            <wp:extent cx="5670550" cy="2625725"/>
            <wp:effectExtent l="0" t="0" r="6350" b="3175"/>
            <wp:docPr id="834042305" name="Picture 1" descr="A graph of the number of benefit group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42305" name="Picture 1" descr="A graph of the number of benefit groups over time."/>
                    <pic:cNvPicPr/>
                  </pic:nvPicPr>
                  <pic:blipFill>
                    <a:blip r:embed="rId60"/>
                    <a:stretch>
                      <a:fillRect/>
                    </a:stretch>
                  </pic:blipFill>
                  <pic:spPr>
                    <a:xfrm>
                      <a:off x="0" y="0"/>
                      <a:ext cx="5670550" cy="2625725"/>
                    </a:xfrm>
                    <a:prstGeom prst="rect">
                      <a:avLst/>
                    </a:prstGeom>
                  </pic:spPr>
                </pic:pic>
              </a:graphicData>
            </a:graphic>
          </wp:inline>
        </w:drawing>
      </w:r>
    </w:p>
    <w:p w14:paraId="2C387669" w14:textId="3A9D8867" w:rsidR="0040690C" w:rsidRDefault="006F04C6" w:rsidP="0040690C">
      <w:pPr>
        <w:rPr>
          <w:lang w:eastAsia="en-AU"/>
        </w:rPr>
      </w:pPr>
      <w:r>
        <w:rPr>
          <w:lang w:eastAsia="en-AU"/>
        </w:rPr>
        <w:lastRenderedPageBreak/>
        <w:t xml:space="preserve">Consistent with </w:t>
      </w:r>
      <w:r>
        <w:rPr>
          <w:lang w:eastAsia="en-AU"/>
        </w:rPr>
        <w:fldChar w:fldCharType="begin"/>
      </w:r>
      <w:r>
        <w:rPr>
          <w:lang w:eastAsia="en-AU"/>
        </w:rPr>
        <w:instrText xml:space="preserve"> REF _Ref159845734 \h </w:instrText>
      </w:r>
      <w:r>
        <w:rPr>
          <w:lang w:eastAsia="en-AU"/>
        </w:rPr>
      </w:r>
      <w:r>
        <w:rPr>
          <w:lang w:eastAsia="en-AU"/>
        </w:rPr>
        <w:fldChar w:fldCharType="separate"/>
      </w:r>
      <w:r w:rsidR="00026714">
        <w:t xml:space="preserve">Figure </w:t>
      </w:r>
      <w:r w:rsidR="00026714">
        <w:rPr>
          <w:noProof/>
        </w:rPr>
        <w:t>33</w:t>
      </w:r>
      <w:r>
        <w:rPr>
          <w:lang w:eastAsia="en-AU"/>
        </w:rPr>
        <w:fldChar w:fldCharType="end"/>
      </w:r>
      <w:r>
        <w:rPr>
          <w:lang w:eastAsia="en-AU"/>
        </w:rPr>
        <w:t xml:space="preserve"> and </w:t>
      </w:r>
      <w:r>
        <w:rPr>
          <w:lang w:eastAsia="en-AU"/>
        </w:rPr>
        <w:fldChar w:fldCharType="begin"/>
      </w:r>
      <w:r>
        <w:rPr>
          <w:lang w:eastAsia="en-AU"/>
        </w:rPr>
        <w:instrText xml:space="preserve"> REF _Ref152841104 \h </w:instrText>
      </w:r>
      <w:r>
        <w:rPr>
          <w:lang w:eastAsia="en-AU"/>
        </w:rPr>
      </w:r>
      <w:r>
        <w:rPr>
          <w:lang w:eastAsia="en-AU"/>
        </w:rPr>
        <w:fldChar w:fldCharType="separate"/>
      </w:r>
      <w:r w:rsidR="00026714">
        <w:t xml:space="preserve">Figure </w:t>
      </w:r>
      <w:r w:rsidR="00026714">
        <w:rPr>
          <w:noProof/>
        </w:rPr>
        <w:t>34</w:t>
      </w:r>
      <w:r>
        <w:rPr>
          <w:lang w:eastAsia="en-AU"/>
        </w:rPr>
        <w:fldChar w:fldCharType="end"/>
      </w:r>
      <w:r>
        <w:rPr>
          <w:lang w:eastAsia="en-AU"/>
        </w:rPr>
        <w:t xml:space="preserve">, </w:t>
      </w:r>
      <w:r w:rsidR="000B78E9">
        <w:rPr>
          <w:lang w:eastAsia="en-AU"/>
        </w:rPr>
        <w:fldChar w:fldCharType="begin"/>
      </w:r>
      <w:r w:rsidR="000B78E9">
        <w:rPr>
          <w:lang w:eastAsia="en-AU"/>
        </w:rPr>
        <w:instrText xml:space="preserve"> REF _Ref159846991 \h </w:instrText>
      </w:r>
      <w:r w:rsidR="000B78E9">
        <w:rPr>
          <w:lang w:eastAsia="en-AU"/>
        </w:rPr>
      </w:r>
      <w:r w:rsidR="000B78E9">
        <w:rPr>
          <w:lang w:eastAsia="en-AU"/>
        </w:rPr>
        <w:fldChar w:fldCharType="separate"/>
      </w:r>
      <w:r w:rsidR="00026714">
        <w:t xml:space="preserve">Figure </w:t>
      </w:r>
      <w:r w:rsidR="00026714">
        <w:rPr>
          <w:noProof/>
        </w:rPr>
        <w:t>35</w:t>
      </w:r>
      <w:r w:rsidR="000B78E9">
        <w:rPr>
          <w:lang w:eastAsia="en-AU"/>
        </w:rPr>
        <w:fldChar w:fldCharType="end"/>
      </w:r>
      <w:r w:rsidR="000B78E9">
        <w:rPr>
          <w:lang w:eastAsia="en-AU"/>
        </w:rPr>
        <w:t xml:space="preserve"> </w:t>
      </w:r>
      <w:r w:rsidR="007856FE">
        <w:rPr>
          <w:lang w:eastAsia="en-AU"/>
        </w:rPr>
        <w:t xml:space="preserve">shows </w:t>
      </w:r>
      <w:r>
        <w:rPr>
          <w:lang w:eastAsia="en-AU"/>
        </w:rPr>
        <w:t>the average items per benefit group increase</w:t>
      </w:r>
      <w:r w:rsidR="007856FE">
        <w:rPr>
          <w:lang w:eastAsia="en-AU"/>
        </w:rPr>
        <w:t>d in the years leading up to baseline.</w:t>
      </w:r>
    </w:p>
    <w:p w14:paraId="5DF79F56" w14:textId="39933C42" w:rsidR="007856FE" w:rsidRDefault="007856FE" w:rsidP="00545061">
      <w:pPr>
        <w:pStyle w:val="Caption"/>
        <w:spacing w:before="240" w:after="120"/>
        <w:rPr>
          <w:lang w:eastAsia="en-AU"/>
        </w:rPr>
      </w:pPr>
      <w:bookmarkStart w:id="105" w:name="_Ref159846991"/>
      <w:r>
        <w:t xml:space="preserve">Figure </w:t>
      </w:r>
      <w:r>
        <w:fldChar w:fldCharType="begin"/>
      </w:r>
      <w:r>
        <w:instrText xml:space="preserve"> SEQ Figure \* ARABIC </w:instrText>
      </w:r>
      <w:r>
        <w:fldChar w:fldCharType="separate"/>
      </w:r>
      <w:r w:rsidR="00026714">
        <w:rPr>
          <w:noProof/>
        </w:rPr>
        <w:t>35</w:t>
      </w:r>
      <w:r>
        <w:fldChar w:fldCharType="end"/>
      </w:r>
      <w:bookmarkEnd w:id="105"/>
      <w:r>
        <w:t xml:space="preserve"> | Average items per benefit group</w:t>
      </w:r>
      <w:r w:rsidRPr="008B40BA">
        <w:rPr>
          <w:vertAlign w:val="superscript"/>
        </w:rPr>
        <w:footnoteReference w:id="171"/>
      </w:r>
    </w:p>
    <w:p w14:paraId="0D23757C" w14:textId="4534D5AE" w:rsidR="0040690C" w:rsidRDefault="000B78E9" w:rsidP="0040690C">
      <w:pPr>
        <w:rPr>
          <w:lang w:eastAsia="en-AU"/>
        </w:rPr>
      </w:pPr>
      <w:r w:rsidRPr="000B78E9">
        <w:rPr>
          <w:noProof/>
          <w:lang w:eastAsia="en-AU"/>
        </w:rPr>
        <w:drawing>
          <wp:inline distT="0" distB="0" distL="0" distR="0" wp14:anchorId="16F654A5" wp14:editId="68450E71">
            <wp:extent cx="5670550" cy="2861310"/>
            <wp:effectExtent l="0" t="0" r="6350" b="0"/>
            <wp:docPr id="1351129097" name="Picture 1" descr="A graph of average items per benefi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29097" name="Picture 1" descr="A graph of average items per benefit group."/>
                    <pic:cNvPicPr/>
                  </pic:nvPicPr>
                  <pic:blipFill>
                    <a:blip r:embed="rId61"/>
                    <a:stretch>
                      <a:fillRect/>
                    </a:stretch>
                  </pic:blipFill>
                  <pic:spPr>
                    <a:xfrm>
                      <a:off x="0" y="0"/>
                      <a:ext cx="5670550" cy="2861310"/>
                    </a:xfrm>
                    <a:prstGeom prst="rect">
                      <a:avLst/>
                    </a:prstGeom>
                  </pic:spPr>
                </pic:pic>
              </a:graphicData>
            </a:graphic>
          </wp:inline>
        </w:drawing>
      </w:r>
    </w:p>
    <w:p w14:paraId="29D82976" w14:textId="57E8B1AE" w:rsidR="00827292" w:rsidRPr="001826E2" w:rsidRDefault="00827292" w:rsidP="009667DE">
      <w:pPr>
        <w:pStyle w:val="Heading2"/>
        <w:numPr>
          <w:ilvl w:val="1"/>
          <w:numId w:val="0"/>
        </w:numPr>
      </w:pPr>
      <w:bookmarkStart w:id="106" w:name="_Toc179453697"/>
      <w:r w:rsidRPr="3787E91E">
        <w:t xml:space="preserve">Indicator 10: Implementation of changes to </w:t>
      </w:r>
      <w:r w:rsidR="009667DE" w:rsidRPr="3787E91E">
        <w:t>general use items</w:t>
      </w:r>
      <w:bookmarkEnd w:id="106"/>
    </w:p>
    <w:p w14:paraId="64BB519B" w14:textId="1DCF6143" w:rsidR="00827292" w:rsidRDefault="00827292" w:rsidP="009667DE">
      <w:pPr>
        <w:pStyle w:val="Heading4"/>
      </w:pPr>
      <w:r w:rsidRPr="3787E91E">
        <w:rPr>
          <w:color w:val="F25E21" w:themeColor="accent2"/>
        </w:rPr>
        <w:t>Measure 10.1</w:t>
      </w:r>
      <w:r w:rsidRPr="3787E91E">
        <w:t xml:space="preserve">: Description of changes to </w:t>
      </w:r>
      <w:r w:rsidR="009667DE" w:rsidRPr="3787E91E">
        <w:t>general use items</w:t>
      </w:r>
    </w:p>
    <w:p w14:paraId="01369AED" w14:textId="77777777" w:rsidR="00827292" w:rsidRDefault="00827292" w:rsidP="00545061">
      <w:pPr>
        <w:pStyle w:val="Heading6"/>
        <w:spacing w:before="120"/>
      </w:pPr>
      <w:r w:rsidRPr="004D1FFC">
        <w:t>Measurement guide</w:t>
      </w:r>
    </w:p>
    <w:p w14:paraId="38095AC6" w14:textId="230F5E6B" w:rsidR="00145792" w:rsidRPr="00FB7AB5" w:rsidRDefault="00785DD8" w:rsidP="00E0643D">
      <w:r>
        <w:t>This measure</w:t>
      </w:r>
      <w:r w:rsidR="008F7952">
        <w:t xml:space="preserve"> will look at </w:t>
      </w:r>
      <w:r w:rsidR="00BE5926">
        <w:t>the change</w:t>
      </w:r>
      <w:r w:rsidR="00FD3FCE">
        <w:t>s</w:t>
      </w:r>
      <w:r w:rsidR="00455FA0">
        <w:t xml:space="preserve"> to GUIs. </w:t>
      </w:r>
      <w:r w:rsidR="00E0643D">
        <w:t>It will</w:t>
      </w:r>
      <w:r w:rsidR="00DC3F12">
        <w:t xml:space="preserve"> </w:t>
      </w:r>
      <w:r w:rsidR="005E6D1F">
        <w:t>seek to describe whether GUIs were removed from the PL</w:t>
      </w:r>
      <w:r w:rsidR="005019EC">
        <w:t xml:space="preserve"> and</w:t>
      </w:r>
      <w:r w:rsidR="005E6D1F">
        <w:t xml:space="preserve"> what </w:t>
      </w:r>
      <w:r w:rsidR="002F6E48">
        <w:t>alternative arrangements were</w:t>
      </w:r>
      <w:r w:rsidR="00BA5139">
        <w:t xml:space="preserve"> put in place for the funding of these items as part of th</w:t>
      </w:r>
      <w:r w:rsidR="00A05A22">
        <w:t>e reform</w:t>
      </w:r>
      <w:r w:rsidR="00500796">
        <w:t>s</w:t>
      </w:r>
      <w:r w:rsidR="00A05A22">
        <w:t>.</w:t>
      </w:r>
    </w:p>
    <w:p w14:paraId="4EF14C19" w14:textId="77777777" w:rsidR="00827292" w:rsidRPr="00541121" w:rsidRDefault="00827292" w:rsidP="00545061">
      <w:pPr>
        <w:pStyle w:val="Heading6"/>
        <w:spacing w:before="120"/>
      </w:pPr>
      <w:r w:rsidRPr="004D1FFC">
        <w:t>Baseline value</w:t>
      </w:r>
    </w:p>
    <w:p w14:paraId="75870072" w14:textId="63E065C4" w:rsidR="009F7C5C" w:rsidRPr="001842E3" w:rsidRDefault="0065751E" w:rsidP="00827292">
      <w:r w:rsidRPr="001842E3">
        <w:t>In April 2022, t</w:t>
      </w:r>
      <w:r w:rsidR="006F7A93" w:rsidRPr="001842E3">
        <w:t xml:space="preserve">he Department identified </w:t>
      </w:r>
      <w:r w:rsidR="00DA43EA" w:rsidRPr="001842E3">
        <w:t>494 PL items</w:t>
      </w:r>
      <w:r w:rsidR="00E64507" w:rsidRPr="001842E3">
        <w:t xml:space="preserve"> </w:t>
      </w:r>
      <w:r w:rsidR="001244E8" w:rsidRPr="001842E3">
        <w:t xml:space="preserve">as GUIs </w:t>
      </w:r>
      <w:r w:rsidR="0020746D" w:rsidRPr="001842E3">
        <w:t>due for future removal</w:t>
      </w:r>
      <w:r w:rsidR="00BF2177" w:rsidRPr="001842E3">
        <w:t>.</w:t>
      </w:r>
      <w:r w:rsidR="006D2057" w:rsidRPr="001842E3">
        <w:rPr>
          <w:rStyle w:val="FootnoteReference"/>
        </w:rPr>
        <w:footnoteReference w:id="172"/>
      </w:r>
      <w:r w:rsidR="00BF2177" w:rsidRPr="001842E3">
        <w:t xml:space="preserve"> </w:t>
      </w:r>
      <w:r w:rsidR="00AE220B" w:rsidRPr="001842E3">
        <w:t xml:space="preserve">The majority of these items are </w:t>
      </w:r>
      <w:r w:rsidR="000F043B" w:rsidRPr="001842E3">
        <w:t xml:space="preserve">in the 03 – General Miscellaneous category </w:t>
      </w:r>
      <w:r w:rsidR="009668D8" w:rsidRPr="001842E3">
        <w:t>and some items are in the 04 – Neurosurgical and 10 – Vascular categories.</w:t>
      </w:r>
    </w:p>
    <w:p w14:paraId="2A0FC57B" w14:textId="77777777" w:rsidR="00C224BD" w:rsidRDefault="00C224BD" w:rsidP="009667DE">
      <w:pPr>
        <w:pStyle w:val="Heading2"/>
        <w:numPr>
          <w:ilvl w:val="0"/>
          <w:numId w:val="0"/>
        </w:numPr>
      </w:pPr>
      <w:bookmarkStart w:id="107" w:name="_Toc179453698"/>
      <w:r w:rsidRPr="0091668C">
        <w:t xml:space="preserve">Indicator </w:t>
      </w:r>
      <w:r>
        <w:t>11</w:t>
      </w:r>
      <w:r w:rsidRPr="0091668C">
        <w:t>: Assessment of legislative changes to the PL</w:t>
      </w:r>
      <w:bookmarkEnd w:id="107"/>
    </w:p>
    <w:p w14:paraId="5EEC1B0B" w14:textId="77777777" w:rsidR="00C224BD" w:rsidRDefault="00C224BD" w:rsidP="009667DE">
      <w:pPr>
        <w:pStyle w:val="Heading4"/>
      </w:pPr>
      <w:r w:rsidRPr="3787E91E">
        <w:rPr>
          <w:color w:val="F25E21" w:themeColor="accent2"/>
        </w:rPr>
        <w:t>Measure 11.1</w:t>
      </w:r>
      <w:r w:rsidRPr="3787E91E">
        <w:t xml:space="preserve">: Stakeholder perspectives on the level of clarity in the PL's purpose, </w:t>
      </w:r>
      <w:proofErr w:type="gramStart"/>
      <w:r w:rsidRPr="3787E91E">
        <w:t>definition</w:t>
      </w:r>
      <w:proofErr w:type="gramEnd"/>
      <w:r w:rsidRPr="3787E91E">
        <w:t xml:space="preserve"> and scope</w:t>
      </w:r>
    </w:p>
    <w:p w14:paraId="22D66863" w14:textId="77777777" w:rsidR="00C224BD" w:rsidRPr="00E6228F" w:rsidRDefault="00C224BD" w:rsidP="00545061">
      <w:pPr>
        <w:pStyle w:val="Heading6"/>
        <w:spacing w:before="120"/>
      </w:pPr>
      <w:r w:rsidRPr="00E6228F">
        <w:t>Measurement guide</w:t>
      </w:r>
    </w:p>
    <w:p w14:paraId="166F6D51" w14:textId="59FE06AA" w:rsidR="00C224BD" w:rsidRDefault="001F22D1" w:rsidP="009667DE">
      <w:r>
        <w:t xml:space="preserve">This measure will look at stakeholder opinions </w:t>
      </w:r>
      <w:r w:rsidR="00232DD8">
        <w:t xml:space="preserve">on the clarity </w:t>
      </w:r>
      <w:r w:rsidR="006F0FA1">
        <w:t xml:space="preserve">of </w:t>
      </w:r>
      <w:r w:rsidR="004711FA">
        <w:t xml:space="preserve">the </w:t>
      </w:r>
      <w:r w:rsidR="00FE4588">
        <w:t>PL</w:t>
      </w:r>
      <w:r w:rsidR="007A1BB5">
        <w:t>’s purpose</w:t>
      </w:r>
      <w:r w:rsidR="004711FA">
        <w:t>, definition and scope</w:t>
      </w:r>
      <w:r w:rsidR="0058195A">
        <w:t xml:space="preserve"> as defined in legislation.</w:t>
      </w:r>
      <w:r w:rsidR="00F942E5">
        <w:t xml:space="preserve"> Stakeholder consultations and analysis of available st</w:t>
      </w:r>
      <w:r w:rsidR="0023343B">
        <w:t xml:space="preserve">akeholder submissions and documentation </w:t>
      </w:r>
      <w:r w:rsidR="009951DB">
        <w:t>will inform this measure throughout the evaluation.</w:t>
      </w:r>
    </w:p>
    <w:p w14:paraId="4BC17D9D" w14:textId="4165E60C" w:rsidR="00C224BD" w:rsidRPr="00541121" w:rsidRDefault="00C224BD" w:rsidP="00545061">
      <w:pPr>
        <w:pStyle w:val="Heading6"/>
        <w:spacing w:before="120"/>
      </w:pPr>
      <w:r w:rsidRPr="004D1FFC">
        <w:lastRenderedPageBreak/>
        <w:t>Baseline value</w:t>
      </w:r>
    </w:p>
    <w:p w14:paraId="604171B3" w14:textId="73B11FB5" w:rsidR="00C224BD" w:rsidRPr="00906F7D" w:rsidRDefault="00475906" w:rsidP="00906F7D">
      <w:pPr>
        <w:rPr>
          <w:rFonts w:asciiTheme="minorHAnsi" w:hAnsiTheme="minorHAnsi" w:cstheme="minorHAnsi"/>
          <w:i/>
        </w:rPr>
      </w:pPr>
      <w:r w:rsidRPr="00984C50">
        <w:rPr>
          <w:noProof/>
        </w:rPr>
        <mc:AlternateContent>
          <mc:Choice Requires="wps">
            <w:drawing>
              <wp:anchor distT="0" distB="0" distL="114300" distR="114300" simplePos="0" relativeHeight="251658259" behindDoc="0" locked="0" layoutInCell="1" allowOverlap="1" wp14:anchorId="5B533837" wp14:editId="0E25F033">
                <wp:simplePos x="0" y="0"/>
                <wp:positionH relativeFrom="column">
                  <wp:posOffset>3713431</wp:posOffset>
                </wp:positionH>
                <wp:positionV relativeFrom="paragraph">
                  <wp:posOffset>221176</wp:posOffset>
                </wp:positionV>
                <wp:extent cx="1905000" cy="1490345"/>
                <wp:effectExtent l="0" t="0" r="0" b="0"/>
                <wp:wrapSquare wrapText="bothSides"/>
                <wp:docPr id="677578351" name="Text Box 6775783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05000" cy="1490345"/>
                        </a:xfrm>
                        <a:prstGeom prst="rect">
                          <a:avLst/>
                        </a:prstGeom>
                        <a:solidFill>
                          <a:sysClr val="window" lastClr="FFFFFF"/>
                        </a:solidFill>
                        <a:ln w="6350">
                          <a:noFill/>
                        </a:ln>
                        <a:effectLst/>
                      </wps:spPr>
                      <wps:txbx>
                        <w:txbxContent>
                          <w:p w14:paraId="49B3CF4C" w14:textId="77777777" w:rsidR="00C224BD" w:rsidRDefault="00C224BD" w:rsidP="00C224BD">
                            <w:pPr>
                              <w:pStyle w:val="Callout"/>
                              <w:jc w:val="right"/>
                              <w:rPr>
                                <w:i/>
                                <w:iCs/>
                                <w:color w:val="F25E21" w:themeColor="accent2"/>
                                <w:sz w:val="20"/>
                                <w:szCs w:val="20"/>
                              </w:rPr>
                            </w:pPr>
                            <w:r w:rsidRPr="007152F0">
                              <w:rPr>
                                <w:i/>
                                <w:iCs/>
                                <w:color w:val="F25E21" w:themeColor="accent2"/>
                                <w:sz w:val="20"/>
                                <w:szCs w:val="20"/>
                              </w:rPr>
                              <w:t>“</w:t>
                            </w:r>
                            <w:r>
                              <w:rPr>
                                <w:i/>
                                <w:iCs/>
                                <w:color w:val="F25E21" w:themeColor="accent2"/>
                                <w:sz w:val="20"/>
                                <w:szCs w:val="20"/>
                              </w:rPr>
                              <w:t xml:space="preserve">Advances in technology mean that medical devices that are used in effective and clinically proven surgical procedures are not eligible for listing on the PL because they are not </w:t>
                            </w:r>
                            <w:proofErr w:type="gramStart"/>
                            <w:r>
                              <w:rPr>
                                <w:i/>
                                <w:iCs/>
                                <w:color w:val="F25E21" w:themeColor="accent2"/>
                                <w:sz w:val="20"/>
                                <w:szCs w:val="20"/>
                              </w:rPr>
                              <w:t>implanted”</w:t>
                            </w:r>
                            <w:proofErr w:type="gramEnd"/>
                            <w:r>
                              <w:rPr>
                                <w:i/>
                                <w:iCs/>
                                <w:color w:val="F25E21" w:themeColor="accent2"/>
                                <w:sz w:val="20"/>
                                <w:szCs w:val="20"/>
                              </w:rPr>
                              <w:t xml:space="preserve"> </w:t>
                            </w:r>
                          </w:p>
                          <w:p w14:paraId="12246656" w14:textId="77777777" w:rsidR="00C224BD" w:rsidRPr="002D12AB" w:rsidRDefault="00C224BD" w:rsidP="00C224BD">
                            <w:pPr>
                              <w:pStyle w:val="Callout"/>
                              <w:jc w:val="right"/>
                              <w:rPr>
                                <w:rFonts w:asciiTheme="minorHAnsi" w:hAnsiTheme="minorHAnsi" w:cstheme="minorHAnsi"/>
                                <w:b/>
                                <w:bCs/>
                                <w:color w:val="00264D" w:themeColor="background2"/>
                                <w:sz w:val="14"/>
                                <w:szCs w:val="14"/>
                              </w:rPr>
                            </w:pPr>
                            <w:r>
                              <w:rPr>
                                <w:rFonts w:asciiTheme="minorHAnsi" w:hAnsiTheme="minorHAnsi" w:cstheme="minorHAnsi"/>
                                <w:b/>
                                <w:bCs/>
                                <w:color w:val="00264D" w:themeColor="background2"/>
                                <w:sz w:val="14"/>
                                <w:szCs w:val="14"/>
                              </w:rPr>
                              <w:t>MTAA, 2017 Senate Submission</w:t>
                            </w:r>
                          </w:p>
                          <w:p w14:paraId="1976AEE9" w14:textId="77777777" w:rsidR="00C224BD" w:rsidRDefault="00C224BD" w:rsidP="00C224BD">
                            <w:pPr>
                              <w:pStyle w:val="Callout"/>
                              <w:jc w:val="right"/>
                              <w:rPr>
                                <w:i/>
                                <w:iCs/>
                                <w:color w:val="F25E21" w:themeColor="accent2"/>
                                <w:sz w:val="20"/>
                                <w:szCs w:val="20"/>
                              </w:rPr>
                            </w:pPr>
                            <w:r>
                              <w:rPr>
                                <w:i/>
                                <w:iCs/>
                                <w:color w:val="F25E21" w:themeColor="accent2"/>
                                <w:sz w:val="20"/>
                                <w:szCs w:val="20"/>
                              </w:rPr>
                              <w:t xml:space="preserve"> </w:t>
                            </w:r>
                          </w:p>
                          <w:p w14:paraId="7920E6ED" w14:textId="77777777" w:rsidR="00C224BD" w:rsidRPr="002D12AB" w:rsidRDefault="00C224BD" w:rsidP="00C224BD">
                            <w:pPr>
                              <w:pStyle w:val="Callout"/>
                              <w:jc w:val="right"/>
                              <w:rPr>
                                <w:rFonts w:asciiTheme="minorHAnsi" w:hAnsiTheme="minorHAnsi" w:cstheme="minorHAnsi"/>
                                <w:b/>
                                <w:bCs/>
                                <w:color w:val="00264D" w:themeColor="background2"/>
                                <w:sz w:val="14"/>
                                <w:szCs w:val="14"/>
                              </w:rPr>
                            </w:pPr>
                            <w:r>
                              <w:rPr>
                                <w:rFonts w:asciiTheme="minorHAnsi" w:hAnsiTheme="minorHAnsi" w:cstheme="minorHAnsi"/>
                                <w:b/>
                                <w:bCs/>
                                <w:color w:val="00264D" w:themeColor="background2"/>
                                <w:sz w:val="14"/>
                                <w:szCs w:val="14"/>
                              </w:rPr>
                              <w:t>MTAA, 2017 Senate Submission</w:t>
                            </w:r>
                          </w:p>
                          <w:p w14:paraId="7E47FA78" w14:textId="77777777" w:rsidR="00C224BD" w:rsidRDefault="00C224BD" w:rsidP="00C224BD">
                            <w:pPr>
                              <w:pStyle w:val="Callout"/>
                              <w:rPr>
                                <w:color w:val="F25E21" w:themeColor="accent2"/>
                              </w:rPr>
                            </w:pPr>
                          </w:p>
                          <w:p w14:paraId="2A60CED9" w14:textId="77777777" w:rsidR="00C224BD" w:rsidRPr="00885462" w:rsidRDefault="00C224BD" w:rsidP="00C224BD">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533837" id="Text Box 677578351" o:spid="_x0000_s1031" type="#_x0000_t202" alt="&quot;&quot;" style="position:absolute;margin-left:292.4pt;margin-top:17.4pt;width:150pt;height:117.3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" fillcolor="window" stroked="f" strokeweight=".5pt">
                <v:textbox inset="0,,1mm">
                  <w:txbxContent>
                    <w:p w14:paraId="49B3CF4C" w14:textId="77777777" w:rsidR="00C224BD" w:rsidRDefault="00C224BD" w:rsidP="00C224BD">
                      <w:pPr>
                        <w:pStyle w:val="Callout"/>
                        <w:jc w:val="right"/>
                        <w:rPr>
                          <w:i/>
                          <w:iCs/>
                          <w:color w:val="F25E21" w:themeColor="accent2"/>
                          <w:sz w:val="20"/>
                          <w:szCs w:val="20"/>
                        </w:rPr>
                      </w:pPr>
                      <w:r w:rsidRPr="007152F0">
                        <w:rPr>
                          <w:i/>
                          <w:iCs/>
                          <w:color w:val="F25E21" w:themeColor="accent2"/>
                          <w:sz w:val="20"/>
                          <w:szCs w:val="20"/>
                        </w:rPr>
                        <w:t>“</w:t>
                      </w:r>
                      <w:r>
                        <w:rPr>
                          <w:i/>
                          <w:iCs/>
                          <w:color w:val="F25E21" w:themeColor="accent2"/>
                          <w:sz w:val="20"/>
                          <w:szCs w:val="20"/>
                        </w:rPr>
                        <w:t xml:space="preserve">Advances in technology mean that medical devices that are used in effective and clinically proven surgical procedures are not eligible for listing on the PL because they are not </w:t>
                      </w:r>
                      <w:proofErr w:type="gramStart"/>
                      <w:r>
                        <w:rPr>
                          <w:i/>
                          <w:iCs/>
                          <w:color w:val="F25E21" w:themeColor="accent2"/>
                          <w:sz w:val="20"/>
                          <w:szCs w:val="20"/>
                        </w:rPr>
                        <w:t>implanted”</w:t>
                      </w:r>
                      <w:proofErr w:type="gramEnd"/>
                      <w:r>
                        <w:rPr>
                          <w:i/>
                          <w:iCs/>
                          <w:color w:val="F25E21" w:themeColor="accent2"/>
                          <w:sz w:val="20"/>
                          <w:szCs w:val="20"/>
                        </w:rPr>
                        <w:t xml:space="preserve"> </w:t>
                      </w:r>
                    </w:p>
                    <w:p w14:paraId="12246656" w14:textId="77777777" w:rsidR="00C224BD" w:rsidRPr="002D12AB" w:rsidRDefault="00C224BD" w:rsidP="00C224BD">
                      <w:pPr>
                        <w:pStyle w:val="Callout"/>
                        <w:jc w:val="right"/>
                        <w:rPr>
                          <w:rFonts w:asciiTheme="minorHAnsi" w:hAnsiTheme="minorHAnsi" w:cstheme="minorHAnsi"/>
                          <w:b/>
                          <w:bCs/>
                          <w:color w:val="00264D" w:themeColor="background2"/>
                          <w:sz w:val="14"/>
                          <w:szCs w:val="14"/>
                        </w:rPr>
                      </w:pPr>
                      <w:r>
                        <w:rPr>
                          <w:rFonts w:asciiTheme="minorHAnsi" w:hAnsiTheme="minorHAnsi" w:cstheme="minorHAnsi"/>
                          <w:b/>
                          <w:bCs/>
                          <w:color w:val="00264D" w:themeColor="background2"/>
                          <w:sz w:val="14"/>
                          <w:szCs w:val="14"/>
                        </w:rPr>
                        <w:t>MTAA, 2017 Senate Submission</w:t>
                      </w:r>
                    </w:p>
                    <w:p w14:paraId="1976AEE9" w14:textId="77777777" w:rsidR="00C224BD" w:rsidRDefault="00C224BD" w:rsidP="00C224BD">
                      <w:pPr>
                        <w:pStyle w:val="Callout"/>
                        <w:jc w:val="right"/>
                        <w:rPr>
                          <w:i/>
                          <w:iCs/>
                          <w:color w:val="F25E21" w:themeColor="accent2"/>
                          <w:sz w:val="20"/>
                          <w:szCs w:val="20"/>
                        </w:rPr>
                      </w:pPr>
                      <w:r>
                        <w:rPr>
                          <w:i/>
                          <w:iCs/>
                          <w:color w:val="F25E21" w:themeColor="accent2"/>
                          <w:sz w:val="20"/>
                          <w:szCs w:val="20"/>
                        </w:rPr>
                        <w:t xml:space="preserve"> </w:t>
                      </w:r>
                    </w:p>
                    <w:p w14:paraId="7920E6ED" w14:textId="77777777" w:rsidR="00C224BD" w:rsidRPr="002D12AB" w:rsidRDefault="00C224BD" w:rsidP="00C224BD">
                      <w:pPr>
                        <w:pStyle w:val="Callout"/>
                        <w:jc w:val="right"/>
                        <w:rPr>
                          <w:rFonts w:asciiTheme="minorHAnsi" w:hAnsiTheme="minorHAnsi" w:cstheme="minorHAnsi"/>
                          <w:b/>
                          <w:bCs/>
                          <w:color w:val="00264D" w:themeColor="background2"/>
                          <w:sz w:val="14"/>
                          <w:szCs w:val="14"/>
                        </w:rPr>
                      </w:pPr>
                      <w:r>
                        <w:rPr>
                          <w:rFonts w:asciiTheme="minorHAnsi" w:hAnsiTheme="minorHAnsi" w:cstheme="minorHAnsi"/>
                          <w:b/>
                          <w:bCs/>
                          <w:color w:val="00264D" w:themeColor="background2"/>
                          <w:sz w:val="14"/>
                          <w:szCs w:val="14"/>
                        </w:rPr>
                        <w:t>MTAA, 2017 Senate Submission</w:t>
                      </w:r>
                    </w:p>
                    <w:p w14:paraId="7E47FA78" w14:textId="77777777" w:rsidR="00C224BD" w:rsidRDefault="00C224BD" w:rsidP="00C224BD">
                      <w:pPr>
                        <w:pStyle w:val="Callout"/>
                        <w:rPr>
                          <w:color w:val="F25E21" w:themeColor="accent2"/>
                        </w:rPr>
                      </w:pPr>
                    </w:p>
                    <w:p w14:paraId="2A60CED9" w14:textId="77777777" w:rsidR="00C224BD" w:rsidRPr="00885462" w:rsidRDefault="00C224BD" w:rsidP="00C224BD">
                      <w:pPr>
                        <w:pStyle w:val="Callout"/>
                        <w:rPr>
                          <w:color w:val="F25E21" w:themeColor="accent2"/>
                        </w:rPr>
                      </w:pPr>
                    </w:p>
                  </w:txbxContent>
                </v:textbox>
                <w10:wrap type="square"/>
              </v:shape>
            </w:pict>
          </mc:Fallback>
        </mc:AlternateContent>
      </w:r>
      <w:r w:rsidR="00C86261" w:rsidRPr="00C86261">
        <w:rPr>
          <w:rFonts w:asciiTheme="minorHAnsi" w:hAnsiTheme="minorHAnsi" w:cstheme="minorHAnsi"/>
        </w:rPr>
        <w:t>At baseline, d</w:t>
      </w:r>
      <w:r w:rsidR="00C224BD" w:rsidRPr="00C86261">
        <w:rPr>
          <w:rFonts w:asciiTheme="minorHAnsi" w:hAnsiTheme="minorHAnsi" w:cstheme="minorHAnsi"/>
        </w:rPr>
        <w:t>iverse stakeholder groups described problems associated with the PL lacking a clearly defined purpose and scope</w:t>
      </w:r>
      <w:r w:rsidR="00C86261" w:rsidRPr="00C86261">
        <w:rPr>
          <w:rFonts w:asciiTheme="minorHAnsi" w:hAnsiTheme="minorHAnsi" w:cstheme="minorHAnsi"/>
        </w:rPr>
        <w:t>.</w:t>
      </w:r>
      <w:r w:rsidR="00906F7D">
        <w:rPr>
          <w:rFonts w:asciiTheme="minorHAnsi" w:hAnsiTheme="minorHAnsi" w:cstheme="minorHAnsi"/>
        </w:rPr>
        <w:t xml:space="preserve"> </w:t>
      </w:r>
      <w:r w:rsidR="00C224BD" w:rsidRPr="0BCC15EA">
        <w:rPr>
          <w:rFonts w:asciiTheme="minorHAnsi" w:hAnsiTheme="minorHAnsi"/>
        </w:rPr>
        <w:t>Stakeholders noted that the purpose of the PL is not defined in legislation and different stakeholders had different views regarding the types of medical devices and human tissue products that should be listed on the PL. While some stakeholders believed that items such as sutures and staples should be included on the PL (as is the case pre-reform), others disagreed</w:t>
      </w:r>
      <w:r w:rsidR="00A92F2A">
        <w:rPr>
          <w:rStyle w:val="FootnoteReference"/>
        </w:rPr>
        <w:footnoteReference w:id="173"/>
      </w:r>
      <w:r w:rsidR="00C224BD" w:rsidRPr="0BCC15EA">
        <w:rPr>
          <w:rFonts w:asciiTheme="minorHAnsi" w:hAnsiTheme="minorHAnsi"/>
        </w:rPr>
        <w:t>. Medical device companies have also suggested that the fact that the arrangements do not allow for the listing of non-implantable devices that offer a clear clinical benefit has limited patient access to more contemporary models of care.</w:t>
      </w:r>
      <w:r w:rsidR="00C224BD">
        <w:rPr>
          <w:rStyle w:val="FootnoteReference"/>
        </w:rPr>
        <w:footnoteReference w:id="174"/>
      </w:r>
    </w:p>
    <w:p w14:paraId="3A17D8B3" w14:textId="77777777" w:rsidR="00C224BD" w:rsidRDefault="00C224BD" w:rsidP="009667DE">
      <w:pPr>
        <w:pStyle w:val="Heading2"/>
        <w:numPr>
          <w:ilvl w:val="0"/>
          <w:numId w:val="0"/>
        </w:numPr>
      </w:pPr>
      <w:bookmarkStart w:id="108" w:name="_Toc179453699"/>
      <w:r w:rsidRPr="0091668C">
        <w:t xml:space="preserve">Indicator </w:t>
      </w:r>
      <w:r>
        <w:t>12</w:t>
      </w:r>
      <w:r w:rsidRPr="0091668C">
        <w:t>: Assessment of PL regrouping</w:t>
      </w:r>
      <w:bookmarkEnd w:id="108"/>
    </w:p>
    <w:p w14:paraId="5206BD78" w14:textId="77777777" w:rsidR="00C224BD" w:rsidRDefault="00C224BD" w:rsidP="009667DE">
      <w:pPr>
        <w:pStyle w:val="Heading4"/>
      </w:pPr>
      <w:r w:rsidRPr="0BCC15EA">
        <w:rPr>
          <w:color w:val="F25E21" w:themeColor="accent2"/>
        </w:rPr>
        <w:t>Measure 1</w:t>
      </w:r>
      <w:r>
        <w:rPr>
          <w:color w:val="F25E21" w:themeColor="accent2"/>
        </w:rPr>
        <w:t>2</w:t>
      </w:r>
      <w:r w:rsidRPr="0BCC15EA">
        <w:rPr>
          <w:color w:val="F25E21" w:themeColor="accent2"/>
        </w:rPr>
        <w:t>.1</w:t>
      </w:r>
      <w:r>
        <w:t>: Stakeholder perspectives on PL regrouping</w:t>
      </w:r>
    </w:p>
    <w:p w14:paraId="679F8134" w14:textId="77777777" w:rsidR="00C224BD" w:rsidRPr="00F5216C" w:rsidRDefault="00C224BD" w:rsidP="00545061">
      <w:pPr>
        <w:pStyle w:val="Heading6"/>
        <w:spacing w:before="120"/>
      </w:pPr>
      <w:r w:rsidRPr="00F5216C">
        <w:t>Measurement guide</w:t>
      </w:r>
    </w:p>
    <w:p w14:paraId="6DED485F" w14:textId="1FA5EF76" w:rsidR="00144A1A" w:rsidRDefault="00C44C00" w:rsidP="00144A1A">
      <w:r>
        <w:t>This measure will look at stakeholder opinions on regrouping activities carried out during the reform</w:t>
      </w:r>
      <w:r w:rsidR="00500796">
        <w:t>s</w:t>
      </w:r>
      <w:r>
        <w:t>. I</w:t>
      </w:r>
      <w:r w:rsidR="00840236">
        <w:t xml:space="preserve">t will support other measures in </w:t>
      </w:r>
      <w:r w:rsidR="00554909">
        <w:t xml:space="preserve">evaluating </w:t>
      </w:r>
      <w:r w:rsidR="00B60E7C">
        <w:t>changes that have</w:t>
      </w:r>
      <w:r w:rsidR="006A6F5E">
        <w:t xml:space="preserve"> been made to the PL</w:t>
      </w:r>
      <w:r w:rsidR="003B5A68">
        <w:t xml:space="preserve">’s purpose, </w:t>
      </w:r>
      <w:proofErr w:type="gramStart"/>
      <w:r w:rsidR="003B5A68">
        <w:t>definition</w:t>
      </w:r>
      <w:proofErr w:type="gramEnd"/>
      <w:r w:rsidR="003B5A68">
        <w:t xml:space="preserve"> and scope.</w:t>
      </w:r>
      <w:r w:rsidR="007B41BB">
        <w:t xml:space="preserve"> </w:t>
      </w:r>
      <w:r w:rsidR="00554909">
        <w:t xml:space="preserve">It will assess </w:t>
      </w:r>
      <w:r w:rsidR="00C16871">
        <w:t xml:space="preserve">whether </w:t>
      </w:r>
      <w:r w:rsidR="00737F85">
        <w:t xml:space="preserve">the structure of the PL aligns </w:t>
      </w:r>
      <w:r w:rsidR="00072B36">
        <w:t xml:space="preserve">with the clinical use of </w:t>
      </w:r>
      <w:r w:rsidR="00EC66A3">
        <w:t xml:space="preserve">the device groups, </w:t>
      </w:r>
      <w:r w:rsidR="00A01DDA">
        <w:t xml:space="preserve">and whether the regrouping </w:t>
      </w:r>
      <w:r w:rsidR="00975D4D">
        <w:t xml:space="preserve">supports </w:t>
      </w:r>
      <w:r w:rsidR="008A6F22">
        <w:t>the easy navigation of the PL by its users.</w:t>
      </w:r>
      <w:r w:rsidR="00597CD3">
        <w:t xml:space="preserve"> </w:t>
      </w:r>
      <w:r w:rsidR="00F5216C" w:rsidRPr="00F5216C">
        <w:t>Stakeholder consultations and analysis of available stakeholder submissions and documentation will inform this measure throughout the evaluation.</w:t>
      </w:r>
    </w:p>
    <w:p w14:paraId="626512FB" w14:textId="77777777" w:rsidR="00C224BD" w:rsidRPr="00541121" w:rsidRDefault="00C224BD" w:rsidP="00545061">
      <w:pPr>
        <w:pStyle w:val="Heading6"/>
        <w:spacing w:before="120"/>
      </w:pPr>
      <w:r w:rsidRPr="004D1FFC">
        <w:t>Baseline value</w:t>
      </w:r>
    </w:p>
    <w:p w14:paraId="480E10B7" w14:textId="2917A07E" w:rsidR="00C224BD" w:rsidRPr="00455540" w:rsidRDefault="00C224BD" w:rsidP="00C224BD">
      <w:pPr>
        <w:rPr>
          <w:i/>
        </w:rPr>
      </w:pPr>
      <w:r w:rsidRPr="009667DE">
        <w:t>Stakeholders expressed concerns that the current system of benefit groups did not always accurately reflect clinical differences between products</w:t>
      </w:r>
      <w:r w:rsidR="004C6DBA">
        <w:t xml:space="preserve">. </w:t>
      </w:r>
      <w:r w:rsidR="00455540">
        <w:t>In</w:t>
      </w:r>
      <w:r>
        <w:t xml:space="preserve"> </w:t>
      </w:r>
      <w:r>
        <w:rPr>
          <w:lang w:eastAsia="en-AU"/>
        </w:rPr>
        <w:t xml:space="preserve">in interviews conducted by the evaluation team, </w:t>
      </w:r>
      <w:r w:rsidRPr="0061190F">
        <w:rPr>
          <w:lang w:eastAsia="en-AU"/>
        </w:rPr>
        <w:t xml:space="preserve">stakeholders expressed that </w:t>
      </w:r>
      <w:r>
        <w:rPr>
          <w:lang w:eastAsia="en-AU"/>
        </w:rPr>
        <w:t xml:space="preserve">this </w:t>
      </w:r>
      <w:r w:rsidR="0055615A">
        <w:rPr>
          <w:lang w:eastAsia="en-AU"/>
        </w:rPr>
        <w:t>function</w:t>
      </w:r>
      <w:r w:rsidR="00455540">
        <w:rPr>
          <w:lang w:eastAsia="en-AU"/>
        </w:rPr>
        <w:t xml:space="preserve"> of the PL </w:t>
      </w:r>
      <w:r>
        <w:rPr>
          <w:lang w:eastAsia="en-AU"/>
        </w:rPr>
        <w:t>was not</w:t>
      </w:r>
      <w:r w:rsidRPr="0061190F">
        <w:rPr>
          <w:lang w:eastAsia="en-AU"/>
        </w:rPr>
        <w:t xml:space="preserve"> </w:t>
      </w:r>
      <w:r>
        <w:rPr>
          <w:lang w:eastAsia="en-AU"/>
        </w:rPr>
        <w:t xml:space="preserve">always </w:t>
      </w:r>
      <w:r w:rsidRPr="0061190F">
        <w:rPr>
          <w:lang w:eastAsia="en-AU"/>
        </w:rPr>
        <w:t>working effectively or as intended</w:t>
      </w:r>
      <w:r>
        <w:rPr>
          <w:rStyle w:val="FootnoteReference"/>
          <w:lang w:eastAsia="en-AU"/>
        </w:rPr>
        <w:footnoteReference w:id="175"/>
      </w:r>
      <w:r w:rsidRPr="0061190F">
        <w:rPr>
          <w:lang w:eastAsia="en-AU"/>
        </w:rPr>
        <w:t xml:space="preserve">. Stakeholders claimed that </w:t>
      </w:r>
      <w:r>
        <w:rPr>
          <w:lang w:eastAsia="en-AU"/>
        </w:rPr>
        <w:t>benefit</w:t>
      </w:r>
      <w:r w:rsidRPr="0061190F">
        <w:rPr>
          <w:lang w:eastAsia="en-AU"/>
        </w:rPr>
        <w:t xml:space="preserve"> groups with higher benefit levels </w:t>
      </w:r>
      <w:r>
        <w:rPr>
          <w:lang w:eastAsia="en-AU"/>
        </w:rPr>
        <w:t>were</w:t>
      </w:r>
      <w:r w:rsidRPr="0061190F">
        <w:rPr>
          <w:lang w:eastAsia="en-AU"/>
        </w:rPr>
        <w:t xml:space="preserve"> not always clinically superior to comparable </w:t>
      </w:r>
      <w:r>
        <w:rPr>
          <w:lang w:eastAsia="en-AU"/>
        </w:rPr>
        <w:t>benefit</w:t>
      </w:r>
      <w:r w:rsidRPr="0061190F">
        <w:rPr>
          <w:lang w:eastAsia="en-AU"/>
        </w:rPr>
        <w:t xml:space="preserve"> groups with lower benefit levels</w:t>
      </w:r>
      <w:r>
        <w:rPr>
          <w:rStyle w:val="FootnoteReference"/>
          <w:lang w:eastAsia="en-AU"/>
        </w:rPr>
        <w:footnoteReference w:id="176"/>
      </w:r>
      <w:r w:rsidRPr="0061190F">
        <w:rPr>
          <w:lang w:eastAsia="en-AU"/>
        </w:rPr>
        <w:t>. Clinicians suggested that</w:t>
      </w:r>
      <w:r>
        <w:rPr>
          <w:lang w:eastAsia="en-AU"/>
        </w:rPr>
        <w:t>,</w:t>
      </w:r>
      <w:r w:rsidRPr="0061190F">
        <w:rPr>
          <w:lang w:eastAsia="en-AU"/>
        </w:rPr>
        <w:t xml:space="preserve"> in some cases, different benefits for clinically comparable </w:t>
      </w:r>
      <w:r>
        <w:rPr>
          <w:lang w:eastAsia="en-AU"/>
        </w:rPr>
        <w:t>benefit</w:t>
      </w:r>
      <w:r w:rsidRPr="0061190F">
        <w:rPr>
          <w:lang w:eastAsia="en-AU"/>
        </w:rPr>
        <w:t xml:space="preserve"> groups </w:t>
      </w:r>
      <w:r>
        <w:rPr>
          <w:lang w:eastAsia="en-AU"/>
        </w:rPr>
        <w:t xml:space="preserve">had </w:t>
      </w:r>
      <w:r w:rsidRPr="0061190F">
        <w:rPr>
          <w:lang w:eastAsia="en-AU"/>
        </w:rPr>
        <w:t>stemmed from benefit setting being based on advice from clinicians who had no first-hand knowledge of the device</w:t>
      </w:r>
      <w:r>
        <w:rPr>
          <w:lang w:eastAsia="en-AU"/>
        </w:rPr>
        <w:t xml:space="preserve"> type</w:t>
      </w:r>
      <w:r w:rsidRPr="0061190F">
        <w:rPr>
          <w:lang w:eastAsia="en-AU"/>
        </w:rPr>
        <w:t xml:space="preserve"> or had an unrelated specialty</w:t>
      </w:r>
      <w:r>
        <w:rPr>
          <w:rStyle w:val="FootnoteReference"/>
          <w:lang w:eastAsia="en-AU"/>
        </w:rPr>
        <w:footnoteReference w:id="177"/>
      </w:r>
      <w:r w:rsidRPr="0061190F">
        <w:rPr>
          <w:lang w:eastAsia="en-AU"/>
        </w:rPr>
        <w:t>.</w:t>
      </w:r>
    </w:p>
    <w:p w14:paraId="7DC907F9" w14:textId="0F309295" w:rsidR="00C224BD" w:rsidRPr="00C224BD" w:rsidRDefault="00C224BD" w:rsidP="00C224BD">
      <w:pPr>
        <w:rPr>
          <w:lang w:eastAsia="en-AU"/>
        </w:rPr>
      </w:pPr>
      <w:r w:rsidRPr="00984C50">
        <w:rPr>
          <w:noProof/>
        </w:rPr>
        <mc:AlternateContent>
          <mc:Choice Requires="wps">
            <w:drawing>
              <wp:anchor distT="0" distB="0" distL="114300" distR="114300" simplePos="0" relativeHeight="251658260" behindDoc="0" locked="0" layoutInCell="1" allowOverlap="1" wp14:anchorId="5563F734" wp14:editId="607C9809">
                <wp:simplePos x="0" y="0"/>
                <wp:positionH relativeFrom="column">
                  <wp:posOffset>3603534</wp:posOffset>
                </wp:positionH>
                <wp:positionV relativeFrom="paragraph">
                  <wp:posOffset>24947</wp:posOffset>
                </wp:positionV>
                <wp:extent cx="2062480" cy="1752600"/>
                <wp:effectExtent l="0" t="0" r="0" b="0"/>
                <wp:wrapSquare wrapText="bothSides"/>
                <wp:docPr id="1004474082" name="Text Box 10044740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62480" cy="1752600"/>
                        </a:xfrm>
                        <a:prstGeom prst="rect">
                          <a:avLst/>
                        </a:prstGeom>
                        <a:solidFill>
                          <a:sysClr val="window" lastClr="FFFFFF"/>
                        </a:solidFill>
                        <a:ln w="6350">
                          <a:noFill/>
                        </a:ln>
                        <a:effectLst/>
                      </wps:spPr>
                      <wps:txbx>
                        <w:txbxContent>
                          <w:p w14:paraId="2443DDC2" w14:textId="77777777" w:rsidR="00C224BD" w:rsidRPr="00871D12" w:rsidRDefault="00C224BD" w:rsidP="00C224BD">
                            <w:pPr>
                              <w:pStyle w:val="Callout"/>
                              <w:jc w:val="right"/>
                              <w:rPr>
                                <w:i/>
                                <w:iCs/>
                                <w:color w:val="F25E21" w:themeColor="accent2"/>
                                <w:sz w:val="20"/>
                                <w:szCs w:val="20"/>
                              </w:rPr>
                            </w:pPr>
                            <w:r w:rsidRPr="00871D12">
                              <w:rPr>
                                <w:i/>
                                <w:iCs/>
                                <w:color w:val="F25E21" w:themeColor="accent2"/>
                                <w:sz w:val="20"/>
                                <w:szCs w:val="20"/>
                              </w:rPr>
                              <w:t xml:space="preserve">“We are concerned that this gaming and resultant growing cost inefficiencies to insurers (and consumers) has continued to occur despite medical device makers’ pledge to promote the sustainability of private health </w:t>
                            </w:r>
                            <w:proofErr w:type="gramStart"/>
                            <w:r w:rsidRPr="00871D12">
                              <w:rPr>
                                <w:i/>
                                <w:iCs/>
                                <w:color w:val="F25E21" w:themeColor="accent2"/>
                                <w:sz w:val="20"/>
                                <w:szCs w:val="20"/>
                              </w:rPr>
                              <w:t>care”</w:t>
                            </w:r>
                            <w:proofErr w:type="gramEnd"/>
                            <w:r w:rsidRPr="00871D12">
                              <w:rPr>
                                <w:i/>
                                <w:iCs/>
                                <w:color w:val="F25E21" w:themeColor="accent2"/>
                                <w:sz w:val="20"/>
                                <w:szCs w:val="20"/>
                              </w:rPr>
                              <w:t xml:space="preserve"> </w:t>
                            </w:r>
                          </w:p>
                          <w:p w14:paraId="5A9F3085" w14:textId="77777777" w:rsidR="00C224BD" w:rsidRPr="00E76EDE" w:rsidRDefault="00C224BD" w:rsidP="00C224BD">
                            <w:pPr>
                              <w:pStyle w:val="Callout"/>
                              <w:jc w:val="right"/>
                              <w:rPr>
                                <w:rFonts w:asciiTheme="minorHAnsi" w:hAnsiTheme="minorHAnsi" w:cstheme="minorHAnsi"/>
                                <w:b/>
                                <w:bCs/>
                                <w:color w:val="00264D" w:themeColor="background2"/>
                                <w:sz w:val="14"/>
                                <w:szCs w:val="14"/>
                              </w:rPr>
                            </w:pPr>
                            <w:r w:rsidRPr="00871D12">
                              <w:rPr>
                                <w:rFonts w:asciiTheme="minorHAnsi" w:hAnsiTheme="minorHAnsi" w:cstheme="minorHAnsi"/>
                                <w:b/>
                                <w:bCs/>
                                <w:color w:val="00264D" w:themeColor="background2"/>
                                <w:sz w:val="14"/>
                                <w:szCs w:val="14"/>
                              </w:rPr>
                              <w:t xml:space="preserve">MHFA, Letter to </w:t>
                            </w:r>
                            <w:r>
                              <w:rPr>
                                <w:rFonts w:asciiTheme="minorHAnsi" w:hAnsiTheme="minorHAnsi" w:cstheme="minorHAnsi"/>
                                <w:b/>
                                <w:bCs/>
                                <w:color w:val="00264D" w:themeColor="background2"/>
                                <w:sz w:val="14"/>
                                <w:szCs w:val="14"/>
                              </w:rPr>
                              <w:t>the Department of Health, 2020</w:t>
                            </w:r>
                            <w:r w:rsidRPr="00871D12">
                              <w:rPr>
                                <w:rFonts w:asciiTheme="minorHAnsi" w:hAnsiTheme="minorHAnsi" w:cstheme="minorHAnsi"/>
                                <w:b/>
                                <w:bCs/>
                                <w:color w:val="00264D" w:themeColor="background2"/>
                                <w:sz w:val="14"/>
                                <w:szCs w:val="14"/>
                              </w:rPr>
                              <w:t xml:space="preserve"> </w:t>
                            </w:r>
                          </w:p>
                          <w:p w14:paraId="28153E60" w14:textId="77777777" w:rsidR="00C224BD" w:rsidRPr="00885462" w:rsidRDefault="00C224BD" w:rsidP="00C224BD">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63F734" id="Text Box 1004474082" o:spid="_x0000_s1032" type="#_x0000_t202" alt="&quot;&quot;" style="position:absolute;margin-left:283.75pt;margin-top:1.95pt;width:162.4pt;height:138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" fillcolor="window" stroked="f" strokeweight=".5pt">
                <v:textbox inset="0,,1mm">
                  <w:txbxContent>
                    <w:p w14:paraId="2443DDC2" w14:textId="77777777" w:rsidR="00C224BD" w:rsidRPr="00871D12" w:rsidRDefault="00C224BD" w:rsidP="00C224BD">
                      <w:pPr>
                        <w:pStyle w:val="Callout"/>
                        <w:jc w:val="right"/>
                        <w:rPr>
                          <w:i/>
                          <w:iCs/>
                          <w:color w:val="F25E21" w:themeColor="accent2"/>
                          <w:sz w:val="20"/>
                          <w:szCs w:val="20"/>
                        </w:rPr>
                      </w:pPr>
                      <w:r w:rsidRPr="00871D12">
                        <w:rPr>
                          <w:i/>
                          <w:iCs/>
                          <w:color w:val="F25E21" w:themeColor="accent2"/>
                          <w:sz w:val="20"/>
                          <w:szCs w:val="20"/>
                        </w:rPr>
                        <w:t xml:space="preserve">“We are concerned that this gaming and resultant growing cost inefficiencies to insurers (and consumers) has continued to occur despite medical device makers’ pledge to promote the sustainability of private health </w:t>
                      </w:r>
                      <w:proofErr w:type="gramStart"/>
                      <w:r w:rsidRPr="00871D12">
                        <w:rPr>
                          <w:i/>
                          <w:iCs/>
                          <w:color w:val="F25E21" w:themeColor="accent2"/>
                          <w:sz w:val="20"/>
                          <w:szCs w:val="20"/>
                        </w:rPr>
                        <w:t>care”</w:t>
                      </w:r>
                      <w:proofErr w:type="gramEnd"/>
                      <w:r w:rsidRPr="00871D12">
                        <w:rPr>
                          <w:i/>
                          <w:iCs/>
                          <w:color w:val="F25E21" w:themeColor="accent2"/>
                          <w:sz w:val="20"/>
                          <w:szCs w:val="20"/>
                        </w:rPr>
                        <w:t xml:space="preserve"> </w:t>
                      </w:r>
                    </w:p>
                    <w:p w14:paraId="5A9F3085" w14:textId="77777777" w:rsidR="00C224BD" w:rsidRPr="00E76EDE" w:rsidRDefault="00C224BD" w:rsidP="00C224BD">
                      <w:pPr>
                        <w:pStyle w:val="Callout"/>
                        <w:jc w:val="right"/>
                        <w:rPr>
                          <w:rFonts w:asciiTheme="minorHAnsi" w:hAnsiTheme="minorHAnsi" w:cstheme="minorHAnsi"/>
                          <w:b/>
                          <w:bCs/>
                          <w:color w:val="00264D" w:themeColor="background2"/>
                          <w:sz w:val="14"/>
                          <w:szCs w:val="14"/>
                        </w:rPr>
                      </w:pPr>
                      <w:r w:rsidRPr="00871D12">
                        <w:rPr>
                          <w:rFonts w:asciiTheme="minorHAnsi" w:hAnsiTheme="minorHAnsi" w:cstheme="minorHAnsi"/>
                          <w:b/>
                          <w:bCs/>
                          <w:color w:val="00264D" w:themeColor="background2"/>
                          <w:sz w:val="14"/>
                          <w:szCs w:val="14"/>
                        </w:rPr>
                        <w:t xml:space="preserve">MHFA, Letter to </w:t>
                      </w:r>
                      <w:r>
                        <w:rPr>
                          <w:rFonts w:asciiTheme="minorHAnsi" w:hAnsiTheme="minorHAnsi" w:cstheme="minorHAnsi"/>
                          <w:b/>
                          <w:bCs/>
                          <w:color w:val="00264D" w:themeColor="background2"/>
                          <w:sz w:val="14"/>
                          <w:szCs w:val="14"/>
                        </w:rPr>
                        <w:t>the Department of Health, 2020</w:t>
                      </w:r>
                      <w:r w:rsidRPr="00871D12">
                        <w:rPr>
                          <w:rFonts w:asciiTheme="minorHAnsi" w:hAnsiTheme="minorHAnsi" w:cstheme="minorHAnsi"/>
                          <w:b/>
                          <w:bCs/>
                          <w:color w:val="00264D" w:themeColor="background2"/>
                          <w:sz w:val="14"/>
                          <w:szCs w:val="14"/>
                        </w:rPr>
                        <w:t xml:space="preserve"> </w:t>
                      </w:r>
                    </w:p>
                    <w:p w14:paraId="28153E60" w14:textId="77777777" w:rsidR="00C224BD" w:rsidRPr="00885462" w:rsidRDefault="00C224BD" w:rsidP="00C224BD">
                      <w:pPr>
                        <w:pStyle w:val="Callout"/>
                        <w:rPr>
                          <w:color w:val="F25E21" w:themeColor="accent2"/>
                        </w:rPr>
                      </w:pPr>
                    </w:p>
                  </w:txbxContent>
                </v:textbox>
                <w10:wrap type="square"/>
              </v:shape>
            </w:pict>
          </mc:Fallback>
        </mc:AlternateContent>
      </w:r>
      <w:r w:rsidRPr="0061190F">
        <w:rPr>
          <w:lang w:eastAsia="en-AU"/>
        </w:rPr>
        <w:t xml:space="preserve">Where the relative benefit setting is poorly tied to meaningful clinical differences, the way in which medical device manufacturers are incentivised to innovate can be skewed away from </w:t>
      </w:r>
      <w:r>
        <w:rPr>
          <w:lang w:eastAsia="en-AU"/>
        </w:rPr>
        <w:t xml:space="preserve">solely </w:t>
      </w:r>
      <w:r w:rsidRPr="0061190F">
        <w:rPr>
          <w:lang w:eastAsia="en-AU"/>
        </w:rPr>
        <w:t>developing products that increase the clinical benefits of a procedure or surgery. This creat</w:t>
      </w:r>
      <w:r w:rsidR="006B55B9">
        <w:rPr>
          <w:lang w:eastAsia="en-AU"/>
        </w:rPr>
        <w:t>es</w:t>
      </w:r>
      <w:r w:rsidRPr="0061190F">
        <w:rPr>
          <w:lang w:eastAsia="en-AU"/>
        </w:rPr>
        <w:t xml:space="preserve"> unintended consequences further downstream as sponsors ma</w:t>
      </w:r>
      <w:r w:rsidR="006534CD">
        <w:rPr>
          <w:lang w:eastAsia="en-AU"/>
        </w:rPr>
        <w:t>ke</w:t>
      </w:r>
      <w:r w:rsidRPr="0061190F">
        <w:rPr>
          <w:lang w:eastAsia="en-AU"/>
        </w:rPr>
        <w:t xml:space="preserve"> strategic decisions a</w:t>
      </w:r>
      <w:r>
        <w:rPr>
          <w:lang w:eastAsia="en-AU"/>
        </w:rPr>
        <w:t>bout</w:t>
      </w:r>
      <w:r w:rsidRPr="0061190F">
        <w:rPr>
          <w:lang w:eastAsia="en-AU"/>
        </w:rPr>
        <w:t xml:space="preserve"> which products to sell. Multiple stakeholders described sponsors' ability to 'game the system' by exploiting differential benefit levels within similar product groupings</w:t>
      </w:r>
      <w:r w:rsidR="00894F9E">
        <w:rPr>
          <w:lang w:eastAsia="en-AU"/>
        </w:rPr>
        <w:t xml:space="preserve"> as a result </w:t>
      </w:r>
      <w:r w:rsidR="00EF7CE6">
        <w:rPr>
          <w:lang w:eastAsia="en-AU"/>
        </w:rPr>
        <w:t>ineffective grouping</w:t>
      </w:r>
      <w:r>
        <w:rPr>
          <w:rStyle w:val="FootnoteReference"/>
          <w:lang w:eastAsia="en-AU"/>
        </w:rPr>
        <w:footnoteReference w:id="178"/>
      </w:r>
      <w:r w:rsidRPr="0061190F">
        <w:rPr>
          <w:lang w:eastAsia="en-AU"/>
        </w:rPr>
        <w:t xml:space="preserve">. </w:t>
      </w:r>
      <w:proofErr w:type="gramStart"/>
      <w:r w:rsidR="00EF7CE6">
        <w:rPr>
          <w:lang w:eastAsia="en-AU"/>
        </w:rPr>
        <w:t>This views</w:t>
      </w:r>
      <w:proofErr w:type="gramEnd"/>
      <w:r w:rsidR="00EF7CE6">
        <w:rPr>
          <w:lang w:eastAsia="en-AU"/>
        </w:rPr>
        <w:t xml:space="preserve"> </w:t>
      </w:r>
      <w:r w:rsidR="00616DB0">
        <w:rPr>
          <w:lang w:eastAsia="en-AU"/>
        </w:rPr>
        <w:t>support the need for a review of the PL grouping structure.</w:t>
      </w:r>
    </w:p>
    <w:p w14:paraId="46C707F7" w14:textId="10405ED3" w:rsidR="008A355C" w:rsidRPr="008A355C" w:rsidRDefault="00C224BD" w:rsidP="009667DE">
      <w:pPr>
        <w:pStyle w:val="Heading2"/>
        <w:numPr>
          <w:ilvl w:val="1"/>
          <w:numId w:val="0"/>
        </w:numPr>
      </w:pPr>
      <w:bookmarkStart w:id="109" w:name="_Toc179453700"/>
      <w:r w:rsidRPr="3787E91E">
        <w:lastRenderedPageBreak/>
        <w:t xml:space="preserve">Indicator 13: Assessment of changes to </w:t>
      </w:r>
      <w:r w:rsidR="009667DE" w:rsidRPr="3787E91E">
        <w:t>g</w:t>
      </w:r>
      <w:r w:rsidRPr="3787E91E">
        <w:t xml:space="preserve">eneral </w:t>
      </w:r>
      <w:r w:rsidR="009667DE" w:rsidRPr="3787E91E">
        <w:t>u</w:t>
      </w:r>
      <w:r w:rsidRPr="3787E91E">
        <w:t xml:space="preserve">se </w:t>
      </w:r>
      <w:r w:rsidR="009667DE" w:rsidRPr="3787E91E">
        <w:t>i</w:t>
      </w:r>
      <w:r w:rsidRPr="3787E91E">
        <w:t>tems</w:t>
      </w:r>
      <w:bookmarkEnd w:id="109"/>
    </w:p>
    <w:p w14:paraId="55C874D2" w14:textId="2E89AE4C" w:rsidR="00AF326D" w:rsidRDefault="00AF326D" w:rsidP="009667DE">
      <w:pPr>
        <w:pStyle w:val="Heading4"/>
      </w:pPr>
      <w:r w:rsidRPr="3787E91E">
        <w:rPr>
          <w:color w:val="F25E21" w:themeColor="accent2"/>
        </w:rPr>
        <w:t>Measure 13.1</w:t>
      </w:r>
      <w:r w:rsidRPr="3787E91E">
        <w:t xml:space="preserve">: Stakeholder perspectives on changes to </w:t>
      </w:r>
      <w:r w:rsidR="009667DE" w:rsidRPr="3787E91E">
        <w:t>general use items</w:t>
      </w:r>
    </w:p>
    <w:p w14:paraId="06368831" w14:textId="4C95EE57" w:rsidR="00AF326D" w:rsidRPr="00EA5F33" w:rsidRDefault="00AF326D" w:rsidP="00545061">
      <w:pPr>
        <w:pStyle w:val="Heading6"/>
        <w:spacing w:before="120"/>
      </w:pPr>
      <w:r w:rsidRPr="00EA5F33">
        <w:t>Measurement guide</w:t>
      </w:r>
    </w:p>
    <w:p w14:paraId="1ED338B6" w14:textId="44DE6C25" w:rsidR="00E512F4" w:rsidRDefault="00153E2E" w:rsidP="009667DE">
      <w:r>
        <w:t xml:space="preserve">Following on </w:t>
      </w:r>
      <w:r w:rsidR="00F16F9C">
        <w:t>from</w:t>
      </w:r>
      <w:r w:rsidR="00850D0B">
        <w:t xml:space="preserve"> the</w:t>
      </w:r>
      <w:r w:rsidR="00F16F9C">
        <w:t xml:space="preserve"> description </w:t>
      </w:r>
      <w:r w:rsidR="00C63F98">
        <w:t xml:space="preserve">of changes to </w:t>
      </w:r>
      <w:r w:rsidR="006F5D02">
        <w:t xml:space="preserve">GUIs in measure </w:t>
      </w:r>
      <w:r w:rsidR="00B65144">
        <w:t xml:space="preserve">10.1, this measure will </w:t>
      </w:r>
      <w:r w:rsidR="00E121FF">
        <w:t>look at</w:t>
      </w:r>
      <w:r w:rsidR="00E92E4C">
        <w:t xml:space="preserve"> stakeholder </w:t>
      </w:r>
      <w:r w:rsidR="002F6160">
        <w:t xml:space="preserve">opinions </w:t>
      </w:r>
      <w:r w:rsidR="008348E2">
        <w:t>of change</w:t>
      </w:r>
      <w:r w:rsidR="00DC7EB7">
        <w:t>s</w:t>
      </w:r>
      <w:r w:rsidR="00F9474D">
        <w:t xml:space="preserve"> to GUI</w:t>
      </w:r>
      <w:r w:rsidR="00217B32">
        <w:t>s</w:t>
      </w:r>
      <w:r w:rsidR="00F9474D">
        <w:t>.</w:t>
      </w:r>
      <w:r w:rsidR="00266D6B">
        <w:t xml:space="preserve"> </w:t>
      </w:r>
      <w:r w:rsidR="00065035">
        <w:t xml:space="preserve">The </w:t>
      </w:r>
      <w:r w:rsidR="00683FCE">
        <w:t>assessment will involve documenting stakeholder perspectives on the removal</w:t>
      </w:r>
      <w:r w:rsidR="00217B32">
        <w:t xml:space="preserve"> </w:t>
      </w:r>
      <w:r w:rsidR="00915016">
        <w:t>of (or other actions towards) GUIs</w:t>
      </w:r>
      <w:r w:rsidR="003E5BE4">
        <w:t xml:space="preserve"> but will not </w:t>
      </w:r>
      <w:r w:rsidR="00083F50">
        <w:t xml:space="preserve">look </w:t>
      </w:r>
      <w:r w:rsidR="00307797">
        <w:t>closely at the broader health system impacts</w:t>
      </w:r>
      <w:r w:rsidR="0036672B">
        <w:t xml:space="preserve"> (external to the funding mechanism of the PL) o</w:t>
      </w:r>
      <w:r w:rsidR="00307797">
        <w:t>f such changes</w:t>
      </w:r>
      <w:r w:rsidR="00F15645">
        <w:t xml:space="preserve">. </w:t>
      </w:r>
      <w:r w:rsidR="00E512F4">
        <w:t>The data sources for this measure are Departmental documentation including consultation papers on the topic and stakeholder consultations.</w:t>
      </w:r>
    </w:p>
    <w:p w14:paraId="03B65970" w14:textId="2804FAC2" w:rsidR="00AF326D" w:rsidRPr="00541121" w:rsidRDefault="00AF326D" w:rsidP="00545061">
      <w:pPr>
        <w:pStyle w:val="Heading6"/>
        <w:spacing w:before="120"/>
      </w:pPr>
      <w:r w:rsidRPr="004D1FFC">
        <w:t>Baseline value</w:t>
      </w:r>
    </w:p>
    <w:p w14:paraId="3B31D5F4" w14:textId="0311EFAF" w:rsidR="00422D58" w:rsidRDefault="00AF326D" w:rsidP="00AF326D">
      <w:pPr>
        <w:rPr>
          <w:lang w:eastAsia="en-AU"/>
        </w:rPr>
      </w:pPr>
      <w:bookmarkStart w:id="110" w:name="_Hlk150446150"/>
      <w:r w:rsidRPr="0018450C">
        <w:rPr>
          <w:rFonts w:asciiTheme="minorHAnsi" w:hAnsiTheme="minorHAnsi" w:cstheme="minorHAnsi"/>
        </w:rPr>
        <w:t>S</w:t>
      </w:r>
      <w:r w:rsidR="00653989">
        <w:rPr>
          <w:rFonts w:asciiTheme="minorHAnsi" w:hAnsiTheme="minorHAnsi" w:cstheme="minorHAnsi"/>
        </w:rPr>
        <w:t>ome s</w:t>
      </w:r>
      <w:r w:rsidRPr="0018450C">
        <w:rPr>
          <w:rFonts w:asciiTheme="minorHAnsi" w:hAnsiTheme="minorHAnsi" w:cstheme="minorHAnsi"/>
        </w:rPr>
        <w:t>takeholders described how the PL created an environment where there was limited financial accountability or incentive for providers to consider the costs to the health system in the choice and utilisation of medical devices</w:t>
      </w:r>
      <w:bookmarkEnd w:id="110"/>
      <w:r w:rsidR="00A8556B">
        <w:rPr>
          <w:rFonts w:asciiTheme="minorHAnsi" w:hAnsiTheme="minorHAnsi" w:cstheme="minorHAnsi"/>
        </w:rPr>
        <w:t>.</w:t>
      </w:r>
      <w:r w:rsidR="00F727D5">
        <w:rPr>
          <w:rStyle w:val="FootnoteReference"/>
          <w:lang w:eastAsia="en-AU"/>
        </w:rPr>
        <w:footnoteReference w:id="179"/>
      </w:r>
      <w:r w:rsidR="00F66CF9">
        <w:rPr>
          <w:rFonts w:asciiTheme="minorHAnsi" w:hAnsiTheme="minorHAnsi" w:cstheme="minorHAnsi"/>
          <w:i/>
          <w:iCs/>
        </w:rPr>
        <w:t xml:space="preserve"> </w:t>
      </w:r>
      <w:r w:rsidR="00694779">
        <w:rPr>
          <w:rFonts w:asciiTheme="minorHAnsi" w:hAnsiTheme="minorHAnsi" w:cstheme="minorHAnsi"/>
        </w:rPr>
        <w:t>They</w:t>
      </w:r>
      <w:r>
        <w:rPr>
          <w:lang w:eastAsia="en-AU"/>
        </w:rPr>
        <w:t xml:space="preserve"> cited </w:t>
      </w:r>
      <w:r w:rsidR="00F66CF9">
        <w:rPr>
          <w:lang w:eastAsia="en-AU"/>
        </w:rPr>
        <w:t>GUIs</w:t>
      </w:r>
      <w:r>
        <w:rPr>
          <w:lang w:eastAsia="en-AU"/>
        </w:rPr>
        <w:t xml:space="preserve"> </w:t>
      </w:r>
      <w:proofErr w:type="gramStart"/>
      <w:r>
        <w:rPr>
          <w:lang w:eastAsia="en-AU"/>
        </w:rPr>
        <w:t>in particular as</w:t>
      </w:r>
      <w:proofErr w:type="gramEnd"/>
      <w:r>
        <w:rPr>
          <w:lang w:eastAsia="en-AU"/>
        </w:rPr>
        <w:t xml:space="preserve"> being conducive for this profit-</w:t>
      </w:r>
      <w:r w:rsidRPr="002B1979">
        <w:rPr>
          <w:lang w:eastAsia="en-AU"/>
        </w:rPr>
        <w:t>maximising activity</w:t>
      </w:r>
      <w:r>
        <w:rPr>
          <w:lang w:eastAsia="en-AU"/>
        </w:rPr>
        <w:t xml:space="preserve">. Stakeholders pointed to health system inefficiencies </w:t>
      </w:r>
      <w:proofErr w:type="gramStart"/>
      <w:r>
        <w:rPr>
          <w:lang w:eastAsia="en-AU"/>
        </w:rPr>
        <w:t>as a result of</w:t>
      </w:r>
      <w:proofErr w:type="gramEnd"/>
      <w:r>
        <w:rPr>
          <w:lang w:eastAsia="en-AU"/>
        </w:rPr>
        <w:t xml:space="preserve"> general-use items being over-utilised compared to the value they provided to consumers.</w:t>
      </w:r>
      <w:r w:rsidR="00694779">
        <w:rPr>
          <w:rStyle w:val="FootnoteReference"/>
          <w:lang w:eastAsia="en-AU"/>
        </w:rPr>
        <w:footnoteReference w:id="180"/>
      </w:r>
    </w:p>
    <w:p w14:paraId="4CC75DCA" w14:textId="5BD4F95E" w:rsidR="00AF326D" w:rsidRPr="00F66CF9" w:rsidRDefault="0001065C" w:rsidP="00AF326D">
      <w:pPr>
        <w:rPr>
          <w:rFonts w:asciiTheme="minorHAnsi" w:hAnsiTheme="minorHAnsi" w:cstheme="minorHAnsi"/>
          <w:i/>
        </w:rPr>
      </w:pPr>
      <w:r w:rsidRPr="003C61B9">
        <w:rPr>
          <w:lang w:eastAsia="en-AU"/>
        </w:rPr>
        <w:t>Other stakeholders</w:t>
      </w:r>
      <w:r w:rsidR="00173AC0" w:rsidRPr="003C61B9">
        <w:rPr>
          <w:lang w:eastAsia="en-AU"/>
        </w:rPr>
        <w:t xml:space="preserve"> have expressed concerns that </w:t>
      </w:r>
      <w:r w:rsidR="00E76A32" w:rsidRPr="003C61B9">
        <w:rPr>
          <w:lang w:eastAsia="en-AU"/>
        </w:rPr>
        <w:t xml:space="preserve">without alternative funding arrangements </w:t>
      </w:r>
      <w:r w:rsidR="002D1505" w:rsidRPr="003C61B9">
        <w:rPr>
          <w:lang w:eastAsia="en-AU"/>
        </w:rPr>
        <w:t xml:space="preserve">that facilitate continued, guaranteed access to these items at a reasonable price, the </w:t>
      </w:r>
      <w:r w:rsidR="00223C1B" w:rsidRPr="003C61B9">
        <w:rPr>
          <w:lang w:eastAsia="en-AU"/>
        </w:rPr>
        <w:t xml:space="preserve">cost to perform certain kinds of surgeries that rely on specific GUIs </w:t>
      </w:r>
      <w:r w:rsidR="00864F26" w:rsidRPr="003C61B9">
        <w:rPr>
          <w:lang w:eastAsia="en-AU"/>
        </w:rPr>
        <w:t xml:space="preserve">will </w:t>
      </w:r>
      <w:r w:rsidR="009612CB" w:rsidRPr="003C61B9">
        <w:rPr>
          <w:lang w:eastAsia="en-AU"/>
        </w:rPr>
        <w:t>significantly increase</w:t>
      </w:r>
      <w:r w:rsidR="009D0828" w:rsidRPr="003C61B9">
        <w:rPr>
          <w:lang w:eastAsia="en-AU"/>
        </w:rPr>
        <w:t>.</w:t>
      </w:r>
      <w:r w:rsidR="00DC7E64">
        <w:rPr>
          <w:rStyle w:val="FootnoteReference"/>
          <w:lang w:eastAsia="en-AU"/>
        </w:rPr>
        <w:footnoteReference w:id="181"/>
      </w:r>
      <w:r w:rsidR="009D0828" w:rsidRPr="003C61B9">
        <w:rPr>
          <w:lang w:eastAsia="en-AU"/>
        </w:rPr>
        <w:t xml:space="preserve"> Th</w:t>
      </w:r>
      <w:r w:rsidR="00F01243" w:rsidRPr="003C61B9">
        <w:rPr>
          <w:lang w:eastAsia="en-AU"/>
        </w:rPr>
        <w:t xml:space="preserve">ey emphasise that while the medical device itself might remain accessible </w:t>
      </w:r>
      <w:r w:rsidR="00954C05" w:rsidRPr="003C61B9">
        <w:rPr>
          <w:lang w:eastAsia="en-AU"/>
        </w:rPr>
        <w:t xml:space="preserve">to clinicians (and their patients by extension), </w:t>
      </w:r>
      <w:r w:rsidR="00406BFE" w:rsidRPr="003C61B9">
        <w:rPr>
          <w:lang w:eastAsia="en-AU"/>
        </w:rPr>
        <w:t>increased cost or difficulty in acquiring necessary GUIs might</w:t>
      </w:r>
      <w:r w:rsidR="000D2161" w:rsidRPr="003C61B9">
        <w:rPr>
          <w:lang w:eastAsia="en-AU"/>
        </w:rPr>
        <w:t xml:space="preserve"> re</w:t>
      </w:r>
      <w:r w:rsidR="005C7778" w:rsidRPr="003C61B9">
        <w:rPr>
          <w:lang w:eastAsia="en-AU"/>
        </w:rPr>
        <w:t xml:space="preserve">sult in </w:t>
      </w:r>
      <w:r w:rsidR="00A20AD2" w:rsidRPr="003C61B9">
        <w:rPr>
          <w:lang w:eastAsia="en-AU"/>
        </w:rPr>
        <w:t xml:space="preserve">certain procedures </w:t>
      </w:r>
      <w:r w:rsidR="00C12594" w:rsidRPr="003C61B9">
        <w:rPr>
          <w:lang w:eastAsia="en-AU"/>
        </w:rPr>
        <w:t xml:space="preserve">becoming prohibitively expensive or </w:t>
      </w:r>
      <w:r w:rsidR="000518A7" w:rsidRPr="003C61B9">
        <w:rPr>
          <w:lang w:eastAsia="en-AU"/>
        </w:rPr>
        <w:t>difficult to perform</w:t>
      </w:r>
      <w:r w:rsidR="002529E1" w:rsidRPr="003C61B9">
        <w:rPr>
          <w:lang w:eastAsia="en-AU"/>
        </w:rPr>
        <w:t>.</w:t>
      </w:r>
      <w:r w:rsidR="00427605">
        <w:rPr>
          <w:rStyle w:val="FootnoteReference"/>
          <w:lang w:eastAsia="en-AU"/>
        </w:rPr>
        <w:footnoteReference w:id="182"/>
      </w:r>
      <w:r w:rsidR="002529E1" w:rsidRPr="003C61B9">
        <w:rPr>
          <w:lang w:eastAsia="en-AU"/>
        </w:rPr>
        <w:t xml:space="preserve"> This would constitute an undermining of the purpose of the PL in ensuring that privately insured patients have access to the </w:t>
      </w:r>
      <w:r w:rsidR="00374A91" w:rsidRPr="003C61B9">
        <w:rPr>
          <w:lang w:eastAsia="en-AU"/>
        </w:rPr>
        <w:t>devices and procedures that are most appropriate.</w:t>
      </w:r>
      <w:r w:rsidR="00A209B6" w:rsidRPr="003C61B9">
        <w:rPr>
          <w:lang w:eastAsia="en-AU"/>
        </w:rPr>
        <w:t xml:space="preserve"> </w:t>
      </w:r>
      <w:r w:rsidR="004E63BF">
        <w:rPr>
          <w:lang w:eastAsia="en-AU"/>
        </w:rPr>
        <w:t>At baseline, no such alternative funding arrangements have been agreed to by all parties.</w:t>
      </w:r>
    </w:p>
    <w:p w14:paraId="48BDB0A1" w14:textId="77777777" w:rsidR="00486D46" w:rsidRDefault="00486D46" w:rsidP="009667DE">
      <w:pPr>
        <w:pStyle w:val="Heading2"/>
        <w:numPr>
          <w:ilvl w:val="0"/>
          <w:numId w:val="0"/>
        </w:numPr>
      </w:pPr>
      <w:bookmarkStart w:id="111" w:name="_Toc179453701"/>
      <w:r w:rsidRPr="00974105">
        <w:t xml:space="preserve">Indicator </w:t>
      </w:r>
      <w:r>
        <w:t>14</w:t>
      </w:r>
      <w:r w:rsidRPr="00974105">
        <w:t xml:space="preserve">: </w:t>
      </w:r>
      <w:r w:rsidRPr="0037030D">
        <w:t>Implementation of new assessment p</w:t>
      </w:r>
      <w:r>
        <w:t>rocesse</w:t>
      </w:r>
      <w:r w:rsidRPr="0037030D">
        <w:t>s</w:t>
      </w:r>
      <w:bookmarkEnd w:id="111"/>
    </w:p>
    <w:p w14:paraId="760DF991" w14:textId="77777777" w:rsidR="009641ED" w:rsidRDefault="009641ED" w:rsidP="009667DE">
      <w:pPr>
        <w:pStyle w:val="Heading4"/>
      </w:pPr>
      <w:r w:rsidRPr="0BCC15EA">
        <w:rPr>
          <w:color w:val="F25E21" w:themeColor="accent2"/>
        </w:rPr>
        <w:t xml:space="preserve">Measure </w:t>
      </w:r>
      <w:r>
        <w:rPr>
          <w:color w:val="F25E21" w:themeColor="accent2"/>
        </w:rPr>
        <w:t>14</w:t>
      </w:r>
      <w:r w:rsidRPr="0BCC15EA">
        <w:rPr>
          <w:color w:val="F25E21" w:themeColor="accent2"/>
        </w:rPr>
        <w:t>.1</w:t>
      </w:r>
      <w:r>
        <w:t>: Description of assessment pathways</w:t>
      </w:r>
    </w:p>
    <w:p w14:paraId="112C2072" w14:textId="77777777" w:rsidR="009641ED" w:rsidRDefault="009641ED" w:rsidP="00545061">
      <w:pPr>
        <w:pStyle w:val="Heading6"/>
        <w:spacing w:before="120"/>
      </w:pPr>
      <w:r w:rsidRPr="004D1FFC">
        <w:t>Measurement guide</w:t>
      </w:r>
    </w:p>
    <w:p w14:paraId="64E57720" w14:textId="3D7625D7" w:rsidR="009641ED" w:rsidRDefault="009641ED" w:rsidP="009667DE">
      <w:r>
        <w:t>This measure will describe the assessment pathways, how these change over time, and the steps that have been take</w:t>
      </w:r>
      <w:r w:rsidR="00A54062">
        <w:t>n</w:t>
      </w:r>
      <w:r>
        <w:t xml:space="preserve"> to change them.</w:t>
      </w:r>
    </w:p>
    <w:p w14:paraId="5217EBED" w14:textId="77777777" w:rsidR="009641ED" w:rsidRPr="00540F27" w:rsidRDefault="009641ED" w:rsidP="00545061">
      <w:pPr>
        <w:pStyle w:val="Heading6"/>
        <w:spacing w:before="120"/>
      </w:pPr>
      <w:r w:rsidRPr="004D1FFC">
        <w:t>Baseline value</w:t>
      </w:r>
    </w:p>
    <w:p w14:paraId="7AC2D31D" w14:textId="543AFBAB" w:rsidR="009641ED" w:rsidRDefault="009641ED" w:rsidP="009667DE">
      <w:pPr>
        <w:rPr>
          <w:lang w:eastAsia="en-AU"/>
        </w:rPr>
      </w:pPr>
      <w:r w:rsidRPr="1C65F095">
        <w:rPr>
          <w:lang w:eastAsia="en-AU"/>
        </w:rPr>
        <w:t xml:space="preserve">At baseline, </w:t>
      </w:r>
      <w:r>
        <w:rPr>
          <w:lang w:eastAsia="en-AU"/>
        </w:rPr>
        <w:t>t</w:t>
      </w:r>
      <w:r w:rsidRPr="58C7A269">
        <w:rPr>
          <w:lang w:eastAsia="en-AU"/>
        </w:rPr>
        <w:t>here were no distinct application pathways for different levels of complexity or kinds of devices</w:t>
      </w:r>
      <w:r>
        <w:rPr>
          <w:lang w:eastAsia="en-AU"/>
        </w:rPr>
        <w:t xml:space="preserve">. </w:t>
      </w:r>
      <w:r w:rsidR="009020EE">
        <w:rPr>
          <w:lang w:eastAsia="en-AU"/>
        </w:rPr>
        <w:t>Sponsors</w:t>
      </w:r>
      <w:r w:rsidRPr="1C65F095">
        <w:rPr>
          <w:lang w:eastAsia="en-AU"/>
        </w:rPr>
        <w:t xml:space="preserve"> appl</w:t>
      </w:r>
      <w:r w:rsidR="009020EE">
        <w:rPr>
          <w:lang w:eastAsia="en-AU"/>
        </w:rPr>
        <w:t>ied</w:t>
      </w:r>
      <w:r w:rsidRPr="1C65F095">
        <w:rPr>
          <w:lang w:eastAsia="en-AU"/>
        </w:rPr>
        <w:t xml:space="preserve"> to list new billing codes, or to vary, transfer or delete existing listings, through the Prostheses List Management System (PLMS). The</w:t>
      </w:r>
      <w:r w:rsidR="00DE5584">
        <w:rPr>
          <w:lang w:eastAsia="en-AU"/>
        </w:rPr>
        <w:t>y</w:t>
      </w:r>
      <w:r w:rsidRPr="1C65F095">
        <w:rPr>
          <w:lang w:eastAsia="en-AU"/>
        </w:rPr>
        <w:t xml:space="preserve"> propose</w:t>
      </w:r>
      <w:r w:rsidR="00DE5584">
        <w:rPr>
          <w:lang w:eastAsia="en-AU"/>
        </w:rPr>
        <w:t>d</w:t>
      </w:r>
      <w:r w:rsidRPr="1C65F095">
        <w:rPr>
          <w:lang w:eastAsia="en-AU"/>
        </w:rPr>
        <w:t xml:space="preserve"> groupings (group, sub-group, suffix) for new and amended billing codes, and where applicable, also propose a benefit level.</w:t>
      </w:r>
    </w:p>
    <w:p w14:paraId="1E5B1BE8" w14:textId="77777777" w:rsidR="009641ED" w:rsidRDefault="009641ED" w:rsidP="009667DE">
      <w:pPr>
        <w:pStyle w:val="Heading4"/>
      </w:pPr>
      <w:r w:rsidRPr="0BCC15EA">
        <w:rPr>
          <w:color w:val="F25E21" w:themeColor="accent2"/>
        </w:rPr>
        <w:t xml:space="preserve">Measure </w:t>
      </w:r>
      <w:r>
        <w:rPr>
          <w:color w:val="F25E21" w:themeColor="accent2"/>
        </w:rPr>
        <w:t>14</w:t>
      </w:r>
      <w:r w:rsidRPr="0BCC15EA">
        <w:rPr>
          <w:color w:val="F25E21" w:themeColor="accent2"/>
        </w:rPr>
        <w:t>.2</w:t>
      </w:r>
      <w:r>
        <w:t>: Description of governance processes</w:t>
      </w:r>
    </w:p>
    <w:p w14:paraId="284A5824" w14:textId="77777777" w:rsidR="009641ED" w:rsidRPr="00FB7AB5" w:rsidRDefault="009641ED" w:rsidP="00545061">
      <w:pPr>
        <w:pStyle w:val="Heading6"/>
        <w:spacing w:before="120"/>
      </w:pPr>
      <w:r w:rsidRPr="004D1FFC">
        <w:t>Measurement guide</w:t>
      </w:r>
    </w:p>
    <w:p w14:paraId="47243425" w14:textId="77777777" w:rsidR="009641ED" w:rsidRPr="001F1403" w:rsidRDefault="009641ED" w:rsidP="009667DE">
      <w:r>
        <w:t>This measure will describe the governance processes for assessments, how these change over time and the steps that have been taken to change them.</w:t>
      </w:r>
    </w:p>
    <w:p w14:paraId="52F14BD4" w14:textId="77777777" w:rsidR="009641ED" w:rsidRPr="00541121" w:rsidRDefault="009641ED" w:rsidP="00545061">
      <w:pPr>
        <w:pStyle w:val="Heading6"/>
        <w:spacing w:before="120"/>
      </w:pPr>
      <w:r w:rsidRPr="004D1FFC">
        <w:lastRenderedPageBreak/>
        <w:t>Baseline value</w:t>
      </w:r>
    </w:p>
    <w:p w14:paraId="2B64FB85" w14:textId="7DFCA9ED" w:rsidR="008A311A" w:rsidRPr="005F210D" w:rsidRDefault="00841BE8" w:rsidP="009667DE">
      <w:pPr>
        <w:rPr>
          <w:szCs w:val="19"/>
          <w:lang w:eastAsia="en-AU"/>
        </w:rPr>
      </w:pPr>
      <w:r w:rsidRPr="00D377CF">
        <w:rPr>
          <w:szCs w:val="19"/>
          <w:lang w:eastAsia="en-AU"/>
        </w:rPr>
        <w:t>The PL</w:t>
      </w:r>
      <w:r>
        <w:rPr>
          <w:szCs w:val="19"/>
          <w:lang w:eastAsia="en-AU"/>
        </w:rPr>
        <w:t>AC</w:t>
      </w:r>
      <w:r w:rsidRPr="00D377CF">
        <w:rPr>
          <w:szCs w:val="19"/>
          <w:lang w:eastAsia="en-AU"/>
        </w:rPr>
        <w:t xml:space="preserve"> conside</w:t>
      </w:r>
      <w:r>
        <w:rPr>
          <w:szCs w:val="19"/>
          <w:lang w:eastAsia="en-AU"/>
        </w:rPr>
        <w:t>red</w:t>
      </w:r>
      <w:r w:rsidRPr="00D377CF">
        <w:rPr>
          <w:szCs w:val="19"/>
          <w:lang w:eastAsia="en-AU"/>
        </w:rPr>
        <w:t xml:space="preserve"> advice from clinicians, </w:t>
      </w:r>
      <w:r w:rsidRPr="0C63581C">
        <w:rPr>
          <w:lang w:eastAsia="en-AU"/>
        </w:rPr>
        <w:t>Clinical Advisory Group</w:t>
      </w:r>
      <w:r>
        <w:rPr>
          <w:lang w:eastAsia="en-AU"/>
        </w:rPr>
        <w:t>s</w:t>
      </w:r>
      <w:r w:rsidRPr="0C63581C">
        <w:rPr>
          <w:lang w:eastAsia="en-AU"/>
        </w:rPr>
        <w:t xml:space="preserve"> (</w:t>
      </w:r>
      <w:r w:rsidRPr="00D377CF">
        <w:rPr>
          <w:szCs w:val="19"/>
          <w:lang w:eastAsia="en-AU"/>
        </w:rPr>
        <w:t>CAGs</w:t>
      </w:r>
      <w:r w:rsidRPr="0C63581C">
        <w:rPr>
          <w:lang w:eastAsia="en-AU"/>
        </w:rPr>
        <w:t>)</w:t>
      </w:r>
      <w:r w:rsidRPr="00D377CF">
        <w:rPr>
          <w:szCs w:val="19"/>
          <w:lang w:eastAsia="en-AU"/>
        </w:rPr>
        <w:t xml:space="preserve"> and </w:t>
      </w:r>
      <w:r>
        <w:rPr>
          <w:szCs w:val="19"/>
          <w:lang w:eastAsia="en-AU"/>
        </w:rPr>
        <w:t xml:space="preserve">a </w:t>
      </w:r>
      <w:r w:rsidRPr="0C63581C">
        <w:rPr>
          <w:lang w:eastAsia="en-AU"/>
        </w:rPr>
        <w:t>Panel of Clinical Experts (the Panel)</w:t>
      </w:r>
      <w:r>
        <w:rPr>
          <w:szCs w:val="19"/>
          <w:lang w:eastAsia="en-AU"/>
        </w:rPr>
        <w:t xml:space="preserve"> </w:t>
      </w:r>
      <w:proofErr w:type="gramStart"/>
      <w:r>
        <w:rPr>
          <w:szCs w:val="19"/>
          <w:lang w:eastAsia="en-AU"/>
        </w:rPr>
        <w:t>in order to</w:t>
      </w:r>
      <w:proofErr w:type="gramEnd"/>
      <w:r>
        <w:rPr>
          <w:szCs w:val="19"/>
          <w:lang w:eastAsia="en-AU"/>
        </w:rPr>
        <w:t xml:space="preserve"> </w:t>
      </w:r>
      <w:r w:rsidRPr="00D377CF">
        <w:rPr>
          <w:szCs w:val="19"/>
          <w:lang w:eastAsia="en-AU"/>
        </w:rPr>
        <w:t xml:space="preserve">advise the Minister for Health on </w:t>
      </w:r>
      <w:r>
        <w:rPr>
          <w:szCs w:val="19"/>
          <w:lang w:eastAsia="en-AU"/>
        </w:rPr>
        <w:t xml:space="preserve">whether to proceed with proposed additions or changes to billing codes on the PL, and the </w:t>
      </w:r>
      <w:r w:rsidRPr="00D377CF">
        <w:rPr>
          <w:szCs w:val="19"/>
          <w:lang w:eastAsia="en-AU"/>
        </w:rPr>
        <w:t xml:space="preserve">appropriate benefit level for </w:t>
      </w:r>
      <w:r>
        <w:rPr>
          <w:szCs w:val="19"/>
          <w:lang w:eastAsia="en-AU"/>
        </w:rPr>
        <w:t>each where applicable</w:t>
      </w:r>
      <w:r w:rsidRPr="00D377CF">
        <w:rPr>
          <w:szCs w:val="19"/>
          <w:lang w:eastAsia="en-AU"/>
        </w:rPr>
        <w:t xml:space="preserve">. The Minister </w:t>
      </w:r>
      <w:r>
        <w:rPr>
          <w:szCs w:val="19"/>
          <w:lang w:eastAsia="en-AU"/>
        </w:rPr>
        <w:t>was</w:t>
      </w:r>
      <w:r w:rsidRPr="00D377CF">
        <w:rPr>
          <w:szCs w:val="19"/>
          <w:lang w:eastAsia="en-AU"/>
        </w:rPr>
        <w:t xml:space="preserve"> ultimately responsible for determining whether to grant, or not to grant, each application, and for setting benefit levels, based on the information and advice provided to them.</w:t>
      </w:r>
    </w:p>
    <w:p w14:paraId="52734EB0" w14:textId="615CFA00" w:rsidR="009641ED" w:rsidRPr="00D377CF" w:rsidRDefault="009641ED" w:rsidP="009667DE">
      <w:pPr>
        <w:rPr>
          <w:szCs w:val="19"/>
          <w:lang w:eastAsia="en-AU"/>
        </w:rPr>
      </w:pPr>
      <w:r w:rsidRPr="0C63581C">
        <w:rPr>
          <w:lang w:eastAsia="en-AU"/>
        </w:rPr>
        <w:t>Applications were reviewed via a process of clinical assessment by the relevant CAG or by the Panel</w:t>
      </w:r>
      <w:r w:rsidR="00FA4D79">
        <w:rPr>
          <w:lang w:eastAsia="en-AU"/>
        </w:rPr>
        <w:t xml:space="preserve">. </w:t>
      </w:r>
      <w:r w:rsidRPr="0C63581C">
        <w:rPr>
          <w:lang w:eastAsia="en-AU"/>
        </w:rPr>
        <w:t xml:space="preserve">The CAGs </w:t>
      </w:r>
      <w:r w:rsidR="00986CCC">
        <w:rPr>
          <w:lang w:eastAsia="en-AU"/>
        </w:rPr>
        <w:t>met</w:t>
      </w:r>
      <w:r w:rsidRPr="0C63581C">
        <w:rPr>
          <w:lang w:eastAsia="en-AU"/>
        </w:rPr>
        <w:t xml:space="preserve"> to discuss applications put to them, and the Panel would assess applications to list products that did not fit into the clinical categories for which the CAGs were established.</w:t>
      </w:r>
      <w:r>
        <w:rPr>
          <w:rStyle w:val="FootnoteReference"/>
          <w:lang w:eastAsia="en-AU"/>
        </w:rPr>
        <w:footnoteReference w:id="183"/>
      </w:r>
      <w:r w:rsidR="00986CCC">
        <w:rPr>
          <w:szCs w:val="19"/>
          <w:lang w:eastAsia="en-AU"/>
        </w:rPr>
        <w:t xml:space="preserve"> </w:t>
      </w:r>
      <w:r w:rsidRPr="0C63581C">
        <w:rPr>
          <w:lang w:eastAsia="en-AU"/>
        </w:rPr>
        <w:t>Applications requesting an increased benefit, or the creation of a new group, sub-</w:t>
      </w:r>
      <w:proofErr w:type="gramStart"/>
      <w:r w:rsidRPr="0C63581C">
        <w:rPr>
          <w:lang w:eastAsia="en-AU"/>
        </w:rPr>
        <w:t>group</w:t>
      </w:r>
      <w:proofErr w:type="gramEnd"/>
      <w:r w:rsidRPr="0C63581C">
        <w:rPr>
          <w:lang w:eastAsia="en-AU"/>
        </w:rPr>
        <w:t xml:space="preserve"> or suffix, required an assessment of the clinical evidence and an economic evaluation. Items expected to have significant financial impact on the health system were referred to the Medical Services Advisory Committee (MSAC) for health technology assessment. MSAC would then provide advice to the Prostheses List Advisory Committee.</w:t>
      </w:r>
      <w:r w:rsidRPr="0C63581C">
        <w:rPr>
          <w:rStyle w:val="FootnoteReference"/>
          <w:lang w:eastAsia="en-AU"/>
        </w:rPr>
        <w:footnoteReference w:id="184"/>
      </w:r>
    </w:p>
    <w:p w14:paraId="5A29B506" w14:textId="77777777" w:rsidR="009641ED" w:rsidRPr="009814E5" w:rsidRDefault="009641ED" w:rsidP="009667DE">
      <w:pPr>
        <w:rPr>
          <w:lang w:eastAsia="en-AU"/>
        </w:rPr>
      </w:pPr>
      <w:r>
        <w:rPr>
          <w:szCs w:val="19"/>
          <w:lang w:eastAsia="en-AU"/>
        </w:rPr>
        <w:t xml:space="preserve">An external party reviewed </w:t>
      </w:r>
      <w:r w:rsidRPr="007343F3">
        <w:rPr>
          <w:szCs w:val="19"/>
          <w:lang w:eastAsia="en-AU"/>
        </w:rPr>
        <w:t xml:space="preserve">the governance structure </w:t>
      </w:r>
      <w:r>
        <w:rPr>
          <w:szCs w:val="19"/>
          <w:lang w:eastAsia="en-AU"/>
        </w:rPr>
        <w:t>in July 2021</w:t>
      </w:r>
      <w:r w:rsidRPr="007343F3">
        <w:rPr>
          <w:szCs w:val="19"/>
          <w:lang w:eastAsia="en-AU"/>
        </w:rPr>
        <w:t xml:space="preserve"> </w:t>
      </w:r>
      <w:r>
        <w:rPr>
          <w:szCs w:val="19"/>
          <w:lang w:eastAsia="en-AU"/>
        </w:rPr>
        <w:t>and</w:t>
      </w:r>
      <w:r w:rsidRPr="007343F3">
        <w:rPr>
          <w:szCs w:val="19"/>
          <w:lang w:eastAsia="en-AU"/>
        </w:rPr>
        <w:t xml:space="preserve"> provide</w:t>
      </w:r>
      <w:r>
        <w:rPr>
          <w:szCs w:val="19"/>
          <w:lang w:eastAsia="en-AU"/>
        </w:rPr>
        <w:t>d</w:t>
      </w:r>
      <w:r w:rsidRPr="007343F3">
        <w:rPr>
          <w:szCs w:val="19"/>
          <w:lang w:eastAsia="en-AU"/>
        </w:rPr>
        <w:t xml:space="preserve"> options and recommendations for the future governance of the PL</w:t>
      </w:r>
      <w:r>
        <w:rPr>
          <w:szCs w:val="19"/>
          <w:lang w:eastAsia="en-AU"/>
        </w:rPr>
        <w:t xml:space="preserve"> for the Department’s consideration</w:t>
      </w:r>
      <w:r w:rsidRPr="007343F3">
        <w:rPr>
          <w:szCs w:val="19"/>
          <w:lang w:eastAsia="en-AU"/>
        </w:rPr>
        <w:t>.</w:t>
      </w:r>
    </w:p>
    <w:p w14:paraId="302DDF64" w14:textId="0CB2C680" w:rsidR="00486D46" w:rsidRPr="00974105" w:rsidRDefault="00486D46" w:rsidP="009667DE">
      <w:pPr>
        <w:pStyle w:val="Heading2"/>
        <w:numPr>
          <w:ilvl w:val="0"/>
          <w:numId w:val="0"/>
        </w:numPr>
      </w:pPr>
      <w:bookmarkStart w:id="112" w:name="_Toc179453702"/>
      <w:r w:rsidRPr="00974105">
        <w:t xml:space="preserve">Indicator </w:t>
      </w:r>
      <w:r>
        <w:t>15</w:t>
      </w:r>
      <w:r w:rsidR="0021325A">
        <w:t>: Assessment</w:t>
      </w:r>
      <w:r w:rsidR="009641ED">
        <w:t xml:space="preserve"> of new assessment </w:t>
      </w:r>
      <w:r>
        <w:t>processes</w:t>
      </w:r>
      <w:bookmarkEnd w:id="112"/>
    </w:p>
    <w:p w14:paraId="58F43D3E" w14:textId="1D1CFC5B" w:rsidR="00565805" w:rsidRDefault="006C6403" w:rsidP="00565805">
      <w:pPr>
        <w:pStyle w:val="Heading4"/>
      </w:pPr>
      <w:r w:rsidRPr="0BCC15EA">
        <w:rPr>
          <w:color w:val="F25E21" w:themeColor="accent2"/>
        </w:rPr>
        <w:t xml:space="preserve">Measure </w:t>
      </w:r>
      <w:r>
        <w:rPr>
          <w:color w:val="F25E21" w:themeColor="accent2"/>
        </w:rPr>
        <w:t>15</w:t>
      </w:r>
      <w:r w:rsidRPr="0BCC15EA">
        <w:rPr>
          <w:color w:val="F25E21" w:themeColor="accent2"/>
        </w:rPr>
        <w:t>.</w:t>
      </w:r>
      <w:r w:rsidR="005A30DB">
        <w:rPr>
          <w:color w:val="F25E21" w:themeColor="accent2"/>
        </w:rPr>
        <w:t>1</w:t>
      </w:r>
      <w:r>
        <w:t xml:space="preserve">: </w:t>
      </w:r>
      <w:r w:rsidR="00565805">
        <w:t>Volume of PL applications per tier</w:t>
      </w:r>
    </w:p>
    <w:p w14:paraId="2CDE530F" w14:textId="77777777" w:rsidR="00565805" w:rsidRPr="00FB7AB5" w:rsidRDefault="00565805" w:rsidP="00545061">
      <w:pPr>
        <w:pStyle w:val="Heading6"/>
        <w:spacing w:before="120"/>
      </w:pPr>
      <w:bookmarkStart w:id="113" w:name="_Hlk158994188"/>
      <w:r w:rsidRPr="004D1FFC">
        <w:t>Measurement guide</w:t>
      </w:r>
      <w:bookmarkEnd w:id="113"/>
    </w:p>
    <w:p w14:paraId="682530A0" w14:textId="77777777" w:rsidR="00565805" w:rsidRPr="001F1403" w:rsidRDefault="00565805" w:rsidP="00565805">
      <w:r>
        <w:t>This measure will look at the number of applications that go through each tier of the new assessment process. This will be used to estimate the impact of the establishment of the tier system on the efficiency of the application process. Once the new three-tiered assessment process has been fully implemented, we will use a summary of applications data from HPP to inform this measure.</w:t>
      </w:r>
    </w:p>
    <w:p w14:paraId="75C76395" w14:textId="77777777" w:rsidR="00565805" w:rsidRPr="00541121" w:rsidRDefault="00565805" w:rsidP="00545061">
      <w:pPr>
        <w:pStyle w:val="Heading6"/>
        <w:spacing w:before="120"/>
      </w:pPr>
      <w:r w:rsidRPr="004D1FFC">
        <w:t>Baseline value</w:t>
      </w:r>
    </w:p>
    <w:p w14:paraId="2B182946" w14:textId="03E111F1" w:rsidR="00565805" w:rsidRPr="00565805" w:rsidRDefault="00565805" w:rsidP="00565805">
      <w:r>
        <w:t>The evaluation team has not been able to access PLMS applications data to establish a baseline volume of applications. As there were no tiers and applications proceeded through the same process at baseline, this does not represent a significant issue for the evaluation.</w:t>
      </w:r>
    </w:p>
    <w:p w14:paraId="63CDE26C" w14:textId="263E05A9" w:rsidR="006C6403" w:rsidRDefault="006C6403" w:rsidP="009667DE">
      <w:pPr>
        <w:pStyle w:val="Heading4"/>
      </w:pPr>
      <w:r w:rsidRPr="0BCC15EA">
        <w:rPr>
          <w:color w:val="F25E21" w:themeColor="accent2"/>
        </w:rPr>
        <w:t xml:space="preserve">Measure </w:t>
      </w:r>
      <w:r>
        <w:rPr>
          <w:color w:val="F25E21" w:themeColor="accent2"/>
        </w:rPr>
        <w:t>15</w:t>
      </w:r>
      <w:r w:rsidRPr="0BCC15EA">
        <w:rPr>
          <w:color w:val="F25E21" w:themeColor="accent2"/>
        </w:rPr>
        <w:t>.</w:t>
      </w:r>
      <w:r w:rsidR="00565805">
        <w:rPr>
          <w:color w:val="F25E21" w:themeColor="accent2"/>
        </w:rPr>
        <w:t>2</w:t>
      </w:r>
      <w:r>
        <w:t xml:space="preserve">: </w:t>
      </w:r>
      <w:bookmarkStart w:id="114" w:name="_Hlk159266972"/>
      <w:r>
        <w:t xml:space="preserve">Stakeholder perspectives on the assessment pathways and listing </w:t>
      </w:r>
      <w:proofErr w:type="gramStart"/>
      <w:r>
        <w:t>process</w:t>
      </w:r>
      <w:proofErr w:type="gramEnd"/>
    </w:p>
    <w:bookmarkEnd w:id="114"/>
    <w:p w14:paraId="6C743E7F" w14:textId="77777777" w:rsidR="006C6403" w:rsidRDefault="006C6403" w:rsidP="00545061">
      <w:pPr>
        <w:pStyle w:val="Heading6"/>
        <w:spacing w:before="120"/>
      </w:pPr>
      <w:r w:rsidRPr="004D1FFC">
        <w:t>Measurement guide</w:t>
      </w:r>
    </w:p>
    <w:p w14:paraId="484A4EAD" w14:textId="6B2C7766" w:rsidR="008D1BEA" w:rsidRDefault="002F1239" w:rsidP="006C6403">
      <w:r>
        <w:t xml:space="preserve">This measure will </w:t>
      </w:r>
      <w:r w:rsidR="007D2422">
        <w:t xml:space="preserve">look at stakeholder opinions </w:t>
      </w:r>
      <w:r w:rsidR="009442F6">
        <w:t>on the</w:t>
      </w:r>
      <w:r w:rsidR="00401190">
        <w:t xml:space="preserve"> assessment pathways and listing processes</w:t>
      </w:r>
      <w:r w:rsidR="001D235B">
        <w:t>. I</w:t>
      </w:r>
      <w:r w:rsidR="003031D6">
        <w:t xml:space="preserve">t </w:t>
      </w:r>
      <w:r w:rsidR="00CE397B">
        <w:t xml:space="preserve">will be used to </w:t>
      </w:r>
      <w:r w:rsidR="004B4F4E">
        <w:t xml:space="preserve">provide </w:t>
      </w:r>
      <w:r w:rsidR="00A902F1">
        <w:t xml:space="preserve">an </w:t>
      </w:r>
      <w:r w:rsidR="00043BD1">
        <w:t>assessment</w:t>
      </w:r>
      <w:r w:rsidR="001B35B9">
        <w:t xml:space="preserve"> </w:t>
      </w:r>
      <w:r>
        <w:t xml:space="preserve">of the extent to which the PL assessment processes described by </w:t>
      </w:r>
      <w:r w:rsidRPr="00D2556C">
        <w:t>measures 14.1 and 14.2 are</w:t>
      </w:r>
      <w:r>
        <w:t xml:space="preserve"> aligned to HTA principles.</w:t>
      </w:r>
      <w:r w:rsidR="00272DC1">
        <w:t xml:space="preserve"> It will also </w:t>
      </w:r>
      <w:r w:rsidR="00763782">
        <w:t>capture broader</w:t>
      </w:r>
      <w:r w:rsidR="00763782" w:rsidRPr="00763782">
        <w:rPr>
          <w:lang w:eastAsia="en-AU"/>
        </w:rPr>
        <w:t xml:space="preserve"> </w:t>
      </w:r>
      <w:r w:rsidR="00763782">
        <w:rPr>
          <w:lang w:eastAsia="en-AU"/>
        </w:rPr>
        <w:t>insights from stakeholders about the application process, assessment pathways and governance structures</w:t>
      </w:r>
      <w:r w:rsidR="002E6B88">
        <w:rPr>
          <w:lang w:eastAsia="en-AU"/>
        </w:rPr>
        <w:t xml:space="preserve"> that may be formative to the </w:t>
      </w:r>
      <w:r w:rsidR="00731BBB">
        <w:rPr>
          <w:lang w:eastAsia="en-AU"/>
        </w:rPr>
        <w:t>ongoing administration of the PL.</w:t>
      </w:r>
    </w:p>
    <w:p w14:paraId="08D4177B" w14:textId="7581D16F" w:rsidR="002F1239" w:rsidRPr="00E44B4F" w:rsidRDefault="00E457D4" w:rsidP="006C6403">
      <w:r>
        <w:t>This measure</w:t>
      </w:r>
      <w:r w:rsidR="002F1239">
        <w:t xml:space="preserve"> will draw from consultation with the Department</w:t>
      </w:r>
      <w:r w:rsidR="00272DC1">
        <w:t xml:space="preserve"> and key </w:t>
      </w:r>
      <w:r w:rsidR="002F1239">
        <w:t>stakeholder</w:t>
      </w:r>
      <w:r w:rsidR="00272DC1">
        <w:t xml:space="preserve"> groups, </w:t>
      </w:r>
      <w:r w:rsidR="002F1239">
        <w:t xml:space="preserve">and </w:t>
      </w:r>
      <w:r>
        <w:t>review of</w:t>
      </w:r>
      <w:r w:rsidR="002F1239">
        <w:t xml:space="preserve"> available documentation and processes. Notably, the Quality of Information and Guidance Industry Working Group</w:t>
      </w:r>
      <w:r w:rsidR="002F1239">
        <w:rPr>
          <w:lang w:eastAsia="en-AU"/>
        </w:rPr>
        <w:t xml:space="preserve"> (QIGIWG)</w:t>
      </w:r>
      <w:r w:rsidR="002F1239" w:rsidRPr="00154764">
        <w:rPr>
          <w:rStyle w:val="FootnoteReference"/>
          <w:lang w:eastAsia="en-AU"/>
        </w:rPr>
        <w:t xml:space="preserve"> </w:t>
      </w:r>
      <w:r w:rsidR="002F1239">
        <w:rPr>
          <w:rStyle w:val="FootnoteReference"/>
          <w:lang w:eastAsia="en-AU"/>
        </w:rPr>
        <w:footnoteReference w:id="185"/>
      </w:r>
      <w:r w:rsidR="002F1239">
        <w:rPr>
          <w:lang w:eastAsia="en-AU"/>
        </w:rPr>
        <w:t xml:space="preserve"> and </w:t>
      </w:r>
      <w:r w:rsidR="002F1239">
        <w:t>Benefit Setting &amp; Review Framework Industry Working Group (</w:t>
      </w:r>
      <w:r w:rsidR="002F1239">
        <w:rPr>
          <w:lang w:eastAsia="en-AU"/>
        </w:rPr>
        <w:t>BSRIWG)</w:t>
      </w:r>
      <w:r w:rsidR="002F1239" w:rsidRPr="00154764">
        <w:rPr>
          <w:rStyle w:val="FootnoteReference"/>
          <w:lang w:eastAsia="en-AU"/>
        </w:rPr>
        <w:t xml:space="preserve"> </w:t>
      </w:r>
      <w:r w:rsidR="002F1239">
        <w:rPr>
          <w:rStyle w:val="FootnoteReference"/>
          <w:lang w:eastAsia="en-AU"/>
        </w:rPr>
        <w:footnoteReference w:id="186"/>
      </w:r>
      <w:r w:rsidR="002F1239">
        <w:rPr>
          <w:lang w:eastAsia="en-AU"/>
        </w:rPr>
        <w:t xml:space="preserve"> have conducted their own analysis of the PL assessment process, the findings of which will be referenced.</w:t>
      </w:r>
      <w:r w:rsidR="008D1BEA">
        <w:rPr>
          <w:lang w:eastAsia="en-AU"/>
        </w:rPr>
        <w:t xml:space="preserve"> We will also</w:t>
      </w:r>
      <w:r w:rsidR="00C93DF2">
        <w:rPr>
          <w:lang w:eastAsia="en-AU"/>
        </w:rPr>
        <w:t xml:space="preserve"> capture </w:t>
      </w:r>
      <w:r w:rsidR="005D5708">
        <w:rPr>
          <w:lang w:eastAsia="en-AU"/>
        </w:rPr>
        <w:t xml:space="preserve">broader insights from stakeholders </w:t>
      </w:r>
      <w:r w:rsidR="007D382A">
        <w:rPr>
          <w:lang w:eastAsia="en-AU"/>
        </w:rPr>
        <w:t xml:space="preserve">about </w:t>
      </w:r>
      <w:r w:rsidR="003437C9">
        <w:rPr>
          <w:lang w:eastAsia="en-AU"/>
        </w:rPr>
        <w:t xml:space="preserve">the </w:t>
      </w:r>
      <w:r w:rsidR="00F60A05">
        <w:rPr>
          <w:lang w:eastAsia="en-AU"/>
        </w:rPr>
        <w:t>application process, assessment pathways and governance structures.</w:t>
      </w:r>
      <w:r w:rsidR="005E7A1F">
        <w:rPr>
          <w:lang w:eastAsia="en-AU"/>
        </w:rPr>
        <w:t xml:space="preserve"> We</w:t>
      </w:r>
      <w:r w:rsidR="00E44B4F">
        <w:t xml:space="preserve"> will also analyse feedback from any public consultation run by the Department regarding </w:t>
      </w:r>
      <w:r w:rsidR="008E04BE">
        <w:t>the application and assessment process.</w:t>
      </w:r>
    </w:p>
    <w:p w14:paraId="50C0716A" w14:textId="77777777" w:rsidR="006C6403" w:rsidRPr="00541121" w:rsidRDefault="006C6403" w:rsidP="00545061">
      <w:pPr>
        <w:pStyle w:val="Heading6"/>
        <w:spacing w:before="120"/>
      </w:pPr>
      <w:r w:rsidRPr="004D1FFC">
        <w:lastRenderedPageBreak/>
        <w:t>Baseline value</w:t>
      </w:r>
    </w:p>
    <w:p w14:paraId="01CBC53B" w14:textId="2BE16BA6" w:rsidR="006C6403" w:rsidRDefault="006C6403" w:rsidP="006C6403">
      <w:r w:rsidRPr="00984C50">
        <w:rPr>
          <w:noProof/>
        </w:rPr>
        <mc:AlternateContent>
          <mc:Choice Requires="wps">
            <w:drawing>
              <wp:anchor distT="0" distB="0" distL="114300" distR="114300" simplePos="0" relativeHeight="251658261" behindDoc="0" locked="0" layoutInCell="1" allowOverlap="1" wp14:anchorId="7F6B8E2E" wp14:editId="26E1845C">
                <wp:simplePos x="0" y="0"/>
                <wp:positionH relativeFrom="margin">
                  <wp:posOffset>3498215</wp:posOffset>
                </wp:positionH>
                <wp:positionV relativeFrom="paragraph">
                  <wp:posOffset>14974</wp:posOffset>
                </wp:positionV>
                <wp:extent cx="2212975" cy="1376680"/>
                <wp:effectExtent l="0" t="0" r="0" b="0"/>
                <wp:wrapSquare wrapText="bothSides"/>
                <wp:docPr id="244512298" name="Text Box 2445122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12975" cy="1376680"/>
                        </a:xfrm>
                        <a:prstGeom prst="rect">
                          <a:avLst/>
                        </a:prstGeom>
                        <a:solidFill>
                          <a:sysClr val="window" lastClr="FFFFFF"/>
                        </a:solidFill>
                        <a:ln w="6350">
                          <a:noFill/>
                        </a:ln>
                        <a:effectLst/>
                      </wps:spPr>
                      <wps:txbx>
                        <w:txbxContent>
                          <w:p w14:paraId="588C529A" w14:textId="77777777" w:rsidR="006C6403" w:rsidRDefault="006C6403" w:rsidP="006C6403">
                            <w:pPr>
                              <w:pStyle w:val="Callout"/>
                              <w:rPr>
                                <w:i/>
                                <w:iCs/>
                                <w:color w:val="F25E21" w:themeColor="accent2"/>
                                <w:sz w:val="20"/>
                                <w:szCs w:val="20"/>
                              </w:rPr>
                            </w:pPr>
                            <w:r w:rsidRPr="007152F0">
                              <w:rPr>
                                <w:i/>
                                <w:iCs/>
                                <w:color w:val="F25E21" w:themeColor="accent2"/>
                                <w:sz w:val="20"/>
                                <w:szCs w:val="20"/>
                              </w:rPr>
                              <w:t>“</w:t>
                            </w:r>
                            <w:r>
                              <w:rPr>
                                <w:i/>
                                <w:iCs/>
                                <w:color w:val="F25E21" w:themeColor="accent2"/>
                                <w:sz w:val="20"/>
                                <w:szCs w:val="20"/>
                              </w:rPr>
                              <w:t>Does the PLAC ha</w:t>
                            </w:r>
                            <w:r w:rsidRPr="00726F32">
                              <w:rPr>
                                <w:i/>
                                <w:iCs/>
                                <w:color w:val="F25E21" w:themeColor="accent2"/>
                                <w:sz w:val="20"/>
                                <w:szCs w:val="20"/>
                              </w:rPr>
                              <w:t>ve the right representations of clinicians, payers, hospitals, etcetera? Right governance? Do they have the right information they need? ... I'm not sure.</w:t>
                            </w:r>
                            <w:r>
                              <w:rPr>
                                <w:i/>
                                <w:iCs/>
                                <w:color w:val="F25E21" w:themeColor="accent2"/>
                                <w:sz w:val="20"/>
                                <w:szCs w:val="20"/>
                              </w:rPr>
                              <w:t xml:space="preserve">” </w:t>
                            </w:r>
                          </w:p>
                          <w:p w14:paraId="1A49D1DD" w14:textId="77777777" w:rsidR="006C6403" w:rsidRPr="002D12AB" w:rsidRDefault="006C6403" w:rsidP="006C6403">
                            <w:pPr>
                              <w:pStyle w:val="Callout"/>
                              <w:rPr>
                                <w:rFonts w:asciiTheme="minorHAnsi" w:hAnsiTheme="minorHAnsi" w:cstheme="minorHAnsi"/>
                                <w:b/>
                                <w:bCs/>
                                <w:color w:val="00264D" w:themeColor="background2"/>
                                <w:sz w:val="14"/>
                                <w:szCs w:val="14"/>
                              </w:rPr>
                            </w:pPr>
                            <w:r>
                              <w:rPr>
                                <w:rFonts w:asciiTheme="minorHAnsi" w:hAnsiTheme="minorHAnsi" w:cstheme="minorHAnsi"/>
                                <w:b/>
                                <w:bCs/>
                                <w:color w:val="00264D" w:themeColor="background2"/>
                                <w:sz w:val="14"/>
                                <w:szCs w:val="14"/>
                              </w:rPr>
                              <w:t>Stakeholder interview (clinician), 2023</w:t>
                            </w:r>
                          </w:p>
                          <w:p w14:paraId="1D04BEB0" w14:textId="77777777" w:rsidR="006C6403" w:rsidRDefault="006C6403" w:rsidP="006C6403">
                            <w:pPr>
                              <w:pStyle w:val="Callout"/>
                              <w:rPr>
                                <w:color w:val="F25E21" w:themeColor="accent2"/>
                              </w:rPr>
                            </w:pPr>
                          </w:p>
                          <w:p w14:paraId="5A1430A4" w14:textId="77777777" w:rsidR="006C6403" w:rsidRPr="00885462" w:rsidRDefault="006C6403" w:rsidP="006C6403">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6B8E2E" id="Text Box 244512298" o:spid="_x0000_s1033" type="#_x0000_t202" alt="&quot;&quot;" style="position:absolute;margin-left:275.45pt;margin-top:1.2pt;width:174.25pt;height:108.4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" fillcolor="window" stroked="f" strokeweight=".5pt">
                <v:textbox inset="0,,1mm">
                  <w:txbxContent>
                    <w:p w14:paraId="588C529A" w14:textId="77777777" w:rsidR="006C6403" w:rsidRDefault="006C6403" w:rsidP="006C6403">
                      <w:pPr>
                        <w:pStyle w:val="Callout"/>
                        <w:rPr>
                          <w:i/>
                          <w:iCs/>
                          <w:color w:val="F25E21" w:themeColor="accent2"/>
                          <w:sz w:val="20"/>
                          <w:szCs w:val="20"/>
                        </w:rPr>
                      </w:pPr>
                      <w:r w:rsidRPr="007152F0">
                        <w:rPr>
                          <w:i/>
                          <w:iCs/>
                          <w:color w:val="F25E21" w:themeColor="accent2"/>
                          <w:sz w:val="20"/>
                          <w:szCs w:val="20"/>
                        </w:rPr>
                        <w:t>“</w:t>
                      </w:r>
                      <w:r>
                        <w:rPr>
                          <w:i/>
                          <w:iCs/>
                          <w:color w:val="F25E21" w:themeColor="accent2"/>
                          <w:sz w:val="20"/>
                          <w:szCs w:val="20"/>
                        </w:rPr>
                        <w:t>Does the PLAC ha</w:t>
                      </w:r>
                      <w:r w:rsidRPr="00726F32">
                        <w:rPr>
                          <w:i/>
                          <w:iCs/>
                          <w:color w:val="F25E21" w:themeColor="accent2"/>
                          <w:sz w:val="20"/>
                          <w:szCs w:val="20"/>
                        </w:rPr>
                        <w:t>ve the right representations of clinicians, payers, hospitals, etcetera? Right governance? Do they have the right information they need? ... I'm not sure.</w:t>
                      </w:r>
                      <w:r>
                        <w:rPr>
                          <w:i/>
                          <w:iCs/>
                          <w:color w:val="F25E21" w:themeColor="accent2"/>
                          <w:sz w:val="20"/>
                          <w:szCs w:val="20"/>
                        </w:rPr>
                        <w:t xml:space="preserve">” </w:t>
                      </w:r>
                    </w:p>
                    <w:p w14:paraId="1A49D1DD" w14:textId="77777777" w:rsidR="006C6403" w:rsidRPr="002D12AB" w:rsidRDefault="006C6403" w:rsidP="006C6403">
                      <w:pPr>
                        <w:pStyle w:val="Callout"/>
                        <w:rPr>
                          <w:rFonts w:asciiTheme="minorHAnsi" w:hAnsiTheme="minorHAnsi" w:cstheme="minorHAnsi"/>
                          <w:b/>
                          <w:bCs/>
                          <w:color w:val="00264D" w:themeColor="background2"/>
                          <w:sz w:val="14"/>
                          <w:szCs w:val="14"/>
                        </w:rPr>
                      </w:pPr>
                      <w:r>
                        <w:rPr>
                          <w:rFonts w:asciiTheme="minorHAnsi" w:hAnsiTheme="minorHAnsi" w:cstheme="minorHAnsi"/>
                          <w:b/>
                          <w:bCs/>
                          <w:color w:val="00264D" w:themeColor="background2"/>
                          <w:sz w:val="14"/>
                          <w:szCs w:val="14"/>
                        </w:rPr>
                        <w:t>Stakeholder interview (clinician), 2023</w:t>
                      </w:r>
                    </w:p>
                    <w:p w14:paraId="1D04BEB0" w14:textId="77777777" w:rsidR="006C6403" w:rsidRDefault="006C6403" w:rsidP="006C6403">
                      <w:pPr>
                        <w:pStyle w:val="Callout"/>
                        <w:rPr>
                          <w:color w:val="F25E21" w:themeColor="accent2"/>
                        </w:rPr>
                      </w:pPr>
                    </w:p>
                    <w:p w14:paraId="5A1430A4" w14:textId="77777777" w:rsidR="006C6403" w:rsidRPr="00885462" w:rsidRDefault="006C6403" w:rsidP="006C6403">
                      <w:pPr>
                        <w:pStyle w:val="Callout"/>
                        <w:rPr>
                          <w:color w:val="F25E21" w:themeColor="accent2"/>
                        </w:rPr>
                      </w:pPr>
                    </w:p>
                  </w:txbxContent>
                </v:textbox>
                <w10:wrap type="square" anchorx="margin"/>
              </v:shape>
            </w:pict>
          </mc:Fallback>
        </mc:AlternateContent>
      </w:r>
      <w:r w:rsidRPr="00CF4D76">
        <w:t xml:space="preserve">Stakeholders </w:t>
      </w:r>
      <w:r>
        <w:t xml:space="preserve">have </w:t>
      </w:r>
      <w:r w:rsidRPr="00CF4D76">
        <w:t xml:space="preserve">argued that the </w:t>
      </w:r>
      <w:r w:rsidR="00947772">
        <w:t xml:space="preserve">assessment processes </w:t>
      </w:r>
      <w:r w:rsidR="000A5CB3">
        <w:t xml:space="preserve">and </w:t>
      </w:r>
      <w:r w:rsidRPr="00CF4D76">
        <w:t>Prostheses List Advisory Committee structure are insufficient</w:t>
      </w:r>
      <w:r>
        <w:t>. Consumer groups, clinicians and insurers have all argued that sponsors have excessive sway over the pre-listing review process and the advice provided through the PL Advisory Committee.</w:t>
      </w:r>
      <w:r>
        <w:rPr>
          <w:rStyle w:val="FootnoteReference"/>
        </w:rPr>
        <w:footnoteReference w:id="187"/>
      </w:r>
      <w:r>
        <w:t xml:space="preserve"> Clinician groups suggested that the representation of medical experts needed to be bolstered, while consumers suggested the same for consumer representation.</w:t>
      </w:r>
      <w:r>
        <w:rPr>
          <w:rStyle w:val="FootnoteReference"/>
        </w:rPr>
        <w:footnoteReference w:id="188"/>
      </w:r>
      <w:r>
        <w:t xml:space="preserve"> Clinicians have argued that the range of clinical expertise on the Committee does not accurately reflect the range of devices it assess. Insurers have argued that existing decision-making processes need to be more streamlined, more </w:t>
      </w:r>
      <w:r w:rsidRPr="00F15E70">
        <w:t>transparent</w:t>
      </w:r>
      <w:r>
        <w:t xml:space="preserve">, and better aligned to the principles of Health Technology Assessment (HTA). </w:t>
      </w:r>
    </w:p>
    <w:p w14:paraId="015A141F" w14:textId="0B7AC474" w:rsidR="006C6403" w:rsidRPr="0061190F" w:rsidRDefault="006C6403" w:rsidP="006C6403">
      <w:pPr>
        <w:rPr>
          <w:lang w:eastAsia="en-AU"/>
        </w:rPr>
      </w:pPr>
      <w:r>
        <w:t xml:space="preserve">Stakeholders have also expressed concerns that the current system of </w:t>
      </w:r>
      <w:r w:rsidR="00FD7782">
        <w:t>assigning</w:t>
      </w:r>
      <w:r w:rsidR="001431FF">
        <w:t xml:space="preserve"> groupings</w:t>
      </w:r>
      <w:r>
        <w:t xml:space="preserve"> and </w:t>
      </w:r>
      <w:r w:rsidR="00FD7782">
        <w:t>benefits</w:t>
      </w:r>
      <w:r w:rsidR="001239CE">
        <w:t xml:space="preserve"> </w:t>
      </w:r>
      <w:r>
        <w:t xml:space="preserve">does not always accurately reflect clinical differences between products. </w:t>
      </w:r>
      <w:r w:rsidRPr="0061190F">
        <w:rPr>
          <w:lang w:eastAsia="en-AU"/>
        </w:rPr>
        <w:t xml:space="preserve">While PL </w:t>
      </w:r>
      <w:r w:rsidR="001239CE">
        <w:rPr>
          <w:lang w:eastAsia="en-AU"/>
        </w:rPr>
        <w:t>benefit</w:t>
      </w:r>
      <w:r w:rsidRPr="0061190F">
        <w:rPr>
          <w:lang w:eastAsia="en-AU"/>
        </w:rPr>
        <w:t xml:space="preserve"> groups and associated benefit levels were developed to reflect clinical differences between products, stakeholders </w:t>
      </w:r>
      <w:r>
        <w:rPr>
          <w:lang w:eastAsia="en-AU"/>
        </w:rPr>
        <w:t>reported</w:t>
      </w:r>
      <w:r w:rsidRPr="0061190F">
        <w:rPr>
          <w:lang w:eastAsia="en-AU"/>
        </w:rPr>
        <w:t xml:space="preserve"> </w:t>
      </w:r>
      <w:r>
        <w:rPr>
          <w:lang w:eastAsia="en-AU"/>
        </w:rPr>
        <w:t>this was not</w:t>
      </w:r>
      <w:r w:rsidRPr="0061190F">
        <w:rPr>
          <w:lang w:eastAsia="en-AU"/>
        </w:rPr>
        <w:t xml:space="preserve"> </w:t>
      </w:r>
      <w:r>
        <w:rPr>
          <w:lang w:eastAsia="en-AU"/>
        </w:rPr>
        <w:t xml:space="preserve">always </w:t>
      </w:r>
      <w:r w:rsidRPr="0061190F">
        <w:rPr>
          <w:lang w:eastAsia="en-AU"/>
        </w:rPr>
        <w:t>working effectively or as intended</w:t>
      </w:r>
      <w:r>
        <w:rPr>
          <w:rStyle w:val="FootnoteReference"/>
          <w:lang w:eastAsia="en-AU"/>
        </w:rPr>
        <w:footnoteReference w:id="189"/>
      </w:r>
      <w:r w:rsidRPr="0061190F">
        <w:rPr>
          <w:lang w:eastAsia="en-AU"/>
        </w:rPr>
        <w:t>. Clinicians suggested that</w:t>
      </w:r>
      <w:r>
        <w:rPr>
          <w:lang w:eastAsia="en-AU"/>
        </w:rPr>
        <w:t>,</w:t>
      </w:r>
      <w:r w:rsidRPr="0061190F">
        <w:rPr>
          <w:lang w:eastAsia="en-AU"/>
        </w:rPr>
        <w:t xml:space="preserve"> in some cases, different benefits for clinically comparable price groups </w:t>
      </w:r>
      <w:r>
        <w:rPr>
          <w:lang w:eastAsia="en-AU"/>
        </w:rPr>
        <w:t xml:space="preserve">had </w:t>
      </w:r>
      <w:r w:rsidRPr="0061190F">
        <w:rPr>
          <w:lang w:eastAsia="en-AU"/>
        </w:rPr>
        <w:t>stemmed from benefit setting being based on advice from clinicians who had no first-hand knowledge of the device</w:t>
      </w:r>
      <w:r>
        <w:rPr>
          <w:lang w:eastAsia="en-AU"/>
        </w:rPr>
        <w:t xml:space="preserve"> type</w:t>
      </w:r>
      <w:r w:rsidRPr="0061190F">
        <w:rPr>
          <w:lang w:eastAsia="en-AU"/>
        </w:rPr>
        <w:t xml:space="preserve"> or had an unrelated specialty</w:t>
      </w:r>
      <w:r>
        <w:rPr>
          <w:rStyle w:val="FootnoteReference"/>
          <w:lang w:eastAsia="en-AU"/>
        </w:rPr>
        <w:footnoteReference w:id="190"/>
      </w:r>
      <w:r w:rsidRPr="0061190F">
        <w:rPr>
          <w:lang w:eastAsia="en-AU"/>
        </w:rPr>
        <w:t>.</w:t>
      </w:r>
      <w:r w:rsidR="00E62F14">
        <w:rPr>
          <w:lang w:eastAsia="en-AU"/>
        </w:rPr>
        <w:t xml:space="preserve"> </w:t>
      </w:r>
      <w:r w:rsidR="00E62F14" w:rsidRPr="0061190F">
        <w:rPr>
          <w:lang w:eastAsia="en-AU"/>
        </w:rPr>
        <w:t>Where relative benefit</w:t>
      </w:r>
      <w:r w:rsidR="00E62F14">
        <w:rPr>
          <w:lang w:eastAsia="en-AU"/>
        </w:rPr>
        <w:t>s</w:t>
      </w:r>
      <w:r w:rsidR="00E62F14" w:rsidRPr="0061190F">
        <w:rPr>
          <w:lang w:eastAsia="en-AU"/>
        </w:rPr>
        <w:t xml:space="preserve"> </w:t>
      </w:r>
      <w:r w:rsidR="00E62F14">
        <w:rPr>
          <w:lang w:eastAsia="en-AU"/>
        </w:rPr>
        <w:t xml:space="preserve">do not reflect </w:t>
      </w:r>
      <w:r w:rsidR="00E62F14" w:rsidRPr="0061190F">
        <w:rPr>
          <w:lang w:eastAsia="en-AU"/>
        </w:rPr>
        <w:t xml:space="preserve">clinical differences, the way in which medical device manufacturers are incentivised to innovate can be skewed away from </w:t>
      </w:r>
      <w:r w:rsidR="00E62F14">
        <w:rPr>
          <w:lang w:eastAsia="en-AU"/>
        </w:rPr>
        <w:t xml:space="preserve">solely </w:t>
      </w:r>
      <w:r w:rsidR="00E62F14" w:rsidRPr="0061190F">
        <w:rPr>
          <w:lang w:eastAsia="en-AU"/>
        </w:rPr>
        <w:t>developing products that increase the clinical benefits of a procedure or surgery.</w:t>
      </w:r>
    </w:p>
    <w:p w14:paraId="5B8F9A52" w14:textId="161CFBF5" w:rsidR="009205AB" w:rsidRDefault="009205AB" w:rsidP="009205AB">
      <w:r>
        <w:t>Further to these stakeholder view</w:t>
      </w:r>
      <w:r w:rsidR="00FD427C">
        <w:t>s</w:t>
      </w:r>
      <w:r>
        <w:t>, a summary of the</w:t>
      </w:r>
      <w:r w:rsidR="00FD427C">
        <w:t xml:space="preserve"> current state </w:t>
      </w:r>
      <w:r w:rsidR="00F74BC6">
        <w:t xml:space="preserve">as aligned to </w:t>
      </w:r>
      <w:r>
        <w:t xml:space="preserve">HTA principles </w:t>
      </w:r>
      <w:r w:rsidR="00BC3D4C">
        <w:t xml:space="preserve">is summarised in </w:t>
      </w:r>
      <w:r>
        <w:fldChar w:fldCharType="begin"/>
      </w:r>
      <w:r>
        <w:instrText xml:space="preserve"> REF _Ref158889348 \h </w:instrText>
      </w:r>
      <w:r>
        <w:fldChar w:fldCharType="separate"/>
      </w:r>
      <w:r w:rsidR="00026714">
        <w:t xml:space="preserve">Table </w:t>
      </w:r>
      <w:r w:rsidR="00026714">
        <w:rPr>
          <w:noProof/>
        </w:rPr>
        <w:t>9</w:t>
      </w:r>
      <w:r>
        <w:fldChar w:fldCharType="end"/>
      </w:r>
      <w:r>
        <w:t xml:space="preserve"> below.</w:t>
      </w:r>
    </w:p>
    <w:p w14:paraId="7460AE85" w14:textId="63812585" w:rsidR="00A90C3A" w:rsidRDefault="00A90C3A" w:rsidP="00545061">
      <w:pPr>
        <w:pStyle w:val="Caption"/>
        <w:spacing w:before="240" w:after="120"/>
      </w:pPr>
      <w:bookmarkStart w:id="115" w:name="_Ref158889348"/>
      <w:r>
        <w:t xml:space="preserve">Table </w:t>
      </w:r>
      <w:r>
        <w:fldChar w:fldCharType="begin"/>
      </w:r>
      <w:r>
        <w:instrText xml:space="preserve"> SEQ Table \* ARABIC </w:instrText>
      </w:r>
      <w:r>
        <w:fldChar w:fldCharType="separate"/>
      </w:r>
      <w:r w:rsidR="00026714">
        <w:rPr>
          <w:noProof/>
        </w:rPr>
        <w:t>9</w:t>
      </w:r>
      <w:r>
        <w:fldChar w:fldCharType="end"/>
      </w:r>
      <w:bookmarkEnd w:id="115"/>
      <w:r>
        <w:t xml:space="preserve"> | Baseline description of PL pathways as aligned to HTA </w:t>
      </w:r>
      <w:proofErr w:type="gramStart"/>
      <w:r>
        <w:t>principles</w:t>
      </w:r>
      <w:proofErr w:type="gramEnd"/>
    </w:p>
    <w:tbl>
      <w:tblPr>
        <w:tblStyle w:val="NOUS"/>
        <w:tblW w:w="0" w:type="auto"/>
        <w:tblLook w:val="04A0" w:firstRow="1" w:lastRow="0" w:firstColumn="1" w:lastColumn="0" w:noHBand="0" w:noVBand="1"/>
      </w:tblPr>
      <w:tblGrid>
        <w:gridCol w:w="2127"/>
        <w:gridCol w:w="6803"/>
      </w:tblGrid>
      <w:tr w:rsidR="00A90C3A" w14:paraId="6A959BB0" w14:textId="77777777" w:rsidTr="3787E91E">
        <w:trPr>
          <w:cnfStyle w:val="100000000000" w:firstRow="1" w:lastRow="0" w:firstColumn="0" w:lastColumn="0" w:oddVBand="0" w:evenVBand="0" w:oddHBand="0" w:evenHBand="0" w:firstRowFirstColumn="0" w:firstRowLastColumn="0" w:lastRowFirstColumn="0" w:lastRowLastColumn="0"/>
        </w:trPr>
        <w:tc>
          <w:tcPr>
            <w:tcW w:w="2127" w:type="dxa"/>
          </w:tcPr>
          <w:p w14:paraId="3C14104A" w14:textId="77777777" w:rsidR="00A90C3A" w:rsidRPr="00A34D13" w:rsidRDefault="00A90C3A">
            <w:pPr>
              <w:pStyle w:val="TableNheader"/>
              <w:keepNext w:val="0"/>
              <w:outlineLvl w:val="3"/>
              <w:rPr>
                <w:b w:val="0"/>
              </w:rPr>
            </w:pPr>
            <w:r w:rsidRPr="00A34D13">
              <w:rPr>
                <w:b w:val="0"/>
              </w:rPr>
              <w:t xml:space="preserve">Principle </w:t>
            </w:r>
          </w:p>
        </w:tc>
        <w:tc>
          <w:tcPr>
            <w:tcW w:w="6803" w:type="dxa"/>
          </w:tcPr>
          <w:p w14:paraId="68C1B6FB" w14:textId="77777777" w:rsidR="00A90C3A" w:rsidRPr="00A34D13" w:rsidRDefault="00A90C3A">
            <w:pPr>
              <w:pStyle w:val="TableNheader"/>
              <w:keepNext w:val="0"/>
              <w:outlineLvl w:val="3"/>
              <w:rPr>
                <w:b w:val="0"/>
              </w:rPr>
            </w:pPr>
            <w:r w:rsidRPr="00A34D13">
              <w:rPr>
                <w:b w:val="0"/>
              </w:rPr>
              <w:t xml:space="preserve">Baseline </w:t>
            </w:r>
            <w:r>
              <w:rPr>
                <w:b w:val="0"/>
              </w:rPr>
              <w:t>description</w:t>
            </w:r>
          </w:p>
        </w:tc>
      </w:tr>
      <w:tr w:rsidR="00A90C3A" w14:paraId="08FFB6C4" w14:textId="77777777" w:rsidTr="3787E91E">
        <w:tc>
          <w:tcPr>
            <w:tcW w:w="2127" w:type="dxa"/>
          </w:tcPr>
          <w:p w14:paraId="0882AD58" w14:textId="77777777" w:rsidR="00A90C3A" w:rsidRPr="008A311A" w:rsidRDefault="00A90C3A">
            <w:pPr>
              <w:pStyle w:val="TableNheader"/>
              <w:keepNext w:val="0"/>
              <w:outlineLvl w:val="3"/>
              <w:rPr>
                <w:color w:val="000000" w:themeColor="text1"/>
              </w:rPr>
            </w:pPr>
            <w:r w:rsidRPr="008A311A">
              <w:rPr>
                <w:color w:val="000000" w:themeColor="text1"/>
              </w:rPr>
              <w:t>Sustainable</w:t>
            </w:r>
          </w:p>
        </w:tc>
        <w:tc>
          <w:tcPr>
            <w:tcW w:w="6803" w:type="dxa"/>
          </w:tcPr>
          <w:p w14:paraId="1840CCDB" w14:textId="53206821" w:rsidR="00A90C3A" w:rsidRPr="006F1D35" w:rsidRDefault="00A90C3A" w:rsidP="3787E91E">
            <w:pPr>
              <w:pStyle w:val="TableNText"/>
              <w:outlineLvl w:val="3"/>
              <w:rPr>
                <w:i/>
                <w:iCs/>
              </w:rPr>
            </w:pPr>
            <w:r w:rsidRPr="3787E91E">
              <w:rPr>
                <w:i/>
                <w:iCs/>
              </w:rPr>
              <w:t>A formal review of the economic sustainability of the PL (and its components) is not in scope for this evaluation</w:t>
            </w:r>
            <w:r w:rsidR="00B7511B" w:rsidRPr="3787E91E">
              <w:rPr>
                <w:i/>
                <w:iCs/>
              </w:rPr>
              <w:t xml:space="preserve">. </w:t>
            </w:r>
            <w:r w:rsidR="00BA627C" w:rsidRPr="3787E91E">
              <w:rPr>
                <w:i/>
                <w:iCs/>
              </w:rPr>
              <w:t>Separate from this evaluation,</w:t>
            </w:r>
            <w:r w:rsidRPr="3787E91E">
              <w:rPr>
                <w:i/>
                <w:iCs/>
              </w:rPr>
              <w:t xml:space="preserve"> an independent review is being conducted of the cost recovery arrangements associated with the application process.</w:t>
            </w:r>
            <w:r w:rsidR="001838FA" w:rsidRPr="3787E91E">
              <w:rPr>
                <w:i/>
                <w:iCs/>
              </w:rPr>
              <w:t xml:space="preserve"> </w:t>
            </w:r>
            <w:r w:rsidR="00900168" w:rsidRPr="3787E91E">
              <w:rPr>
                <w:i/>
                <w:iCs/>
              </w:rPr>
              <w:t xml:space="preserve">The </w:t>
            </w:r>
            <w:r w:rsidRPr="3787E91E">
              <w:rPr>
                <w:i/>
                <w:iCs/>
              </w:rPr>
              <w:t xml:space="preserve">economic sustainability of the administration of the PL </w:t>
            </w:r>
            <w:r w:rsidR="009E3749" w:rsidRPr="3787E91E">
              <w:rPr>
                <w:i/>
                <w:iCs/>
              </w:rPr>
              <w:t>is an important consid</w:t>
            </w:r>
            <w:r w:rsidR="00891E53" w:rsidRPr="3787E91E">
              <w:rPr>
                <w:i/>
                <w:iCs/>
              </w:rPr>
              <w:t>er</w:t>
            </w:r>
            <w:r w:rsidR="007A7EBF" w:rsidRPr="3787E91E">
              <w:rPr>
                <w:i/>
                <w:iCs/>
              </w:rPr>
              <w:t>ation</w:t>
            </w:r>
            <w:r w:rsidR="00511B55" w:rsidRPr="3787E91E">
              <w:rPr>
                <w:i/>
                <w:iCs/>
              </w:rPr>
              <w:t xml:space="preserve">, and where </w:t>
            </w:r>
            <w:proofErr w:type="gramStart"/>
            <w:r w:rsidR="006D7EC8" w:rsidRPr="3787E91E">
              <w:rPr>
                <w:i/>
                <w:iCs/>
              </w:rPr>
              <w:t>stakeholders</w:t>
            </w:r>
            <w:proofErr w:type="gramEnd"/>
            <w:r w:rsidR="006D7EC8" w:rsidRPr="3787E91E">
              <w:rPr>
                <w:i/>
                <w:iCs/>
              </w:rPr>
              <w:t xml:space="preserve"> opinions about this surface, we </w:t>
            </w:r>
            <w:r w:rsidR="001B3678" w:rsidRPr="3787E91E">
              <w:rPr>
                <w:i/>
                <w:iCs/>
              </w:rPr>
              <w:t xml:space="preserve">will </w:t>
            </w:r>
            <w:r w:rsidR="00F07540" w:rsidRPr="3787E91E">
              <w:rPr>
                <w:i/>
                <w:iCs/>
              </w:rPr>
              <w:t>seek to</w:t>
            </w:r>
            <w:r w:rsidR="00703CD2" w:rsidRPr="3787E91E">
              <w:rPr>
                <w:i/>
                <w:iCs/>
              </w:rPr>
              <w:t xml:space="preserve"> document them</w:t>
            </w:r>
            <w:r w:rsidR="007A7EBF" w:rsidRPr="3787E91E">
              <w:rPr>
                <w:i/>
                <w:iCs/>
              </w:rPr>
              <w:t>.</w:t>
            </w:r>
          </w:p>
        </w:tc>
      </w:tr>
      <w:tr w:rsidR="00A90C3A" w14:paraId="02CFBEEC" w14:textId="77777777" w:rsidTr="3787E91E">
        <w:tc>
          <w:tcPr>
            <w:tcW w:w="2127" w:type="dxa"/>
          </w:tcPr>
          <w:p w14:paraId="55134270" w14:textId="77777777" w:rsidR="00A90C3A" w:rsidRPr="008A311A" w:rsidRDefault="00A90C3A" w:rsidP="3787E91E">
            <w:pPr>
              <w:pStyle w:val="TableNheader"/>
              <w:keepNext w:val="0"/>
              <w:outlineLvl w:val="3"/>
              <w:rPr>
                <w:color w:val="000000" w:themeColor="text1"/>
              </w:rPr>
            </w:pPr>
            <w:r w:rsidRPr="3787E91E">
              <w:rPr>
                <w:color w:val="000000" w:themeColor="text1"/>
              </w:rPr>
              <w:t xml:space="preserve">Transparent, </w:t>
            </w:r>
            <w:proofErr w:type="gramStart"/>
            <w:r w:rsidRPr="3787E91E">
              <w:rPr>
                <w:color w:val="000000" w:themeColor="text1"/>
              </w:rPr>
              <w:t>accountable</w:t>
            </w:r>
            <w:proofErr w:type="gramEnd"/>
            <w:r w:rsidRPr="3787E91E">
              <w:rPr>
                <w:color w:val="000000" w:themeColor="text1"/>
              </w:rPr>
              <w:t xml:space="preserve"> and independent</w:t>
            </w:r>
          </w:p>
        </w:tc>
        <w:tc>
          <w:tcPr>
            <w:tcW w:w="6803" w:type="dxa"/>
          </w:tcPr>
          <w:p w14:paraId="5EE8963B" w14:textId="77777777" w:rsidR="00A90C3A" w:rsidRDefault="00A90C3A" w:rsidP="00E05729">
            <w:pPr>
              <w:pStyle w:val="TableNBullet"/>
            </w:pPr>
            <w:r w:rsidRPr="3787E91E">
              <w:t xml:space="preserve">PLAC deliberations and recommendations are recorded and not published, however are subject to provisions of the </w:t>
            </w:r>
            <w:r w:rsidRPr="3787E91E">
              <w:rPr>
                <w:i/>
                <w:iCs/>
              </w:rPr>
              <w:t>Freedom of Information Act 1982</w:t>
            </w:r>
            <w:r w:rsidRPr="3787E91E">
              <w:t>.</w:t>
            </w:r>
            <w:r w:rsidRPr="3787E91E">
              <w:rPr>
                <w:rStyle w:val="FootnoteReference"/>
              </w:rPr>
              <w:footnoteReference w:id="191"/>
            </w:r>
            <w:r w:rsidRPr="3787E91E">
              <w:t xml:space="preserve"> A PLAC Communique is published after each meeting. The Minister’s decisions in amending the PL are published.</w:t>
            </w:r>
          </w:p>
          <w:p w14:paraId="1BD84395" w14:textId="77777777" w:rsidR="00A90C3A" w:rsidRDefault="00A90C3A" w:rsidP="00E05729">
            <w:pPr>
              <w:pStyle w:val="TableNBullet"/>
            </w:pPr>
            <w:r>
              <w:t>There are no formal mechanisms by which members of the CAGs, Panel or PLAC are accountable for the listing of devices on the PL. Ultimate responsibility for adjustments to the PL rests with the Minister.</w:t>
            </w:r>
          </w:p>
          <w:p w14:paraId="52A55F0E" w14:textId="77777777" w:rsidR="00A90C3A" w:rsidRDefault="00A90C3A" w:rsidP="00E05729">
            <w:pPr>
              <w:pStyle w:val="TableNBullet"/>
            </w:pPr>
            <w:r>
              <w:t xml:space="preserve">Advice from CAG, Panel and PLAC members is independent of the Department, however their recommendations do not need to be taken, and ultimate responsibility for adjustments to the PL rest with the Minister. </w:t>
            </w:r>
          </w:p>
          <w:p w14:paraId="2D3C7135" w14:textId="77777777" w:rsidR="00A90C3A" w:rsidRDefault="00A90C3A" w:rsidP="3787E91E">
            <w:pPr>
              <w:pStyle w:val="TableNBullet"/>
            </w:pPr>
            <w:r w:rsidRPr="3787E91E">
              <w:lastRenderedPageBreak/>
              <w:t xml:space="preserve">Members of the PLAC included stakeholders representing industry (medical technology, private </w:t>
            </w:r>
            <w:proofErr w:type="gramStart"/>
            <w:r w:rsidRPr="3787E91E">
              <w:t>hospitals</w:t>
            </w:r>
            <w:proofErr w:type="gramEnd"/>
            <w:r w:rsidRPr="3787E91E">
              <w:t xml:space="preserve"> and private health insurance) as invited guests which saw potential for real or perceived conflicts of interest.</w:t>
            </w:r>
            <w:r w:rsidRPr="3787E91E">
              <w:rPr>
                <w:rStyle w:val="FootnoteReference"/>
              </w:rPr>
              <w:footnoteReference w:id="192"/>
            </w:r>
          </w:p>
        </w:tc>
      </w:tr>
      <w:tr w:rsidR="00A90C3A" w14:paraId="2CAE06F2" w14:textId="77777777" w:rsidTr="3787E91E">
        <w:tc>
          <w:tcPr>
            <w:tcW w:w="2127" w:type="dxa"/>
          </w:tcPr>
          <w:p w14:paraId="76DC0DD7" w14:textId="77777777" w:rsidR="00A90C3A" w:rsidRPr="008A311A" w:rsidRDefault="00A90C3A">
            <w:pPr>
              <w:pStyle w:val="TableNheader"/>
              <w:keepNext w:val="0"/>
              <w:outlineLvl w:val="3"/>
              <w:rPr>
                <w:color w:val="000000" w:themeColor="text1"/>
              </w:rPr>
            </w:pPr>
            <w:r w:rsidRPr="008A311A">
              <w:rPr>
                <w:color w:val="000000" w:themeColor="text1"/>
              </w:rPr>
              <w:lastRenderedPageBreak/>
              <w:t>Consultative and reflective of Australian community values</w:t>
            </w:r>
          </w:p>
        </w:tc>
        <w:tc>
          <w:tcPr>
            <w:tcW w:w="6803" w:type="dxa"/>
          </w:tcPr>
          <w:p w14:paraId="730BF474" w14:textId="74EAF1BA" w:rsidR="00A90C3A" w:rsidRDefault="00A90C3A" w:rsidP="3787E91E">
            <w:pPr>
              <w:pStyle w:val="TableNBullet"/>
            </w:pPr>
            <w:r w:rsidRPr="3787E91E">
              <w:t>The CAGs, Panel and PLAC represent the extent to which the assessment process involves consultation. The Panel has been criticised for the fact that it does not formally convene to discuss applications.</w:t>
            </w:r>
            <w:r w:rsidR="00F777EC" w:rsidRPr="3787E91E">
              <w:rPr>
                <w:rStyle w:val="FootnoteReference"/>
              </w:rPr>
              <w:footnoteReference w:id="193"/>
            </w:r>
          </w:p>
        </w:tc>
      </w:tr>
      <w:tr w:rsidR="00A90C3A" w14:paraId="0DB906D6" w14:textId="77777777" w:rsidTr="3787E91E">
        <w:tc>
          <w:tcPr>
            <w:tcW w:w="2127" w:type="dxa"/>
          </w:tcPr>
          <w:p w14:paraId="2B4D2EAF" w14:textId="77777777" w:rsidR="00A90C3A" w:rsidRPr="008A311A" w:rsidRDefault="00A90C3A">
            <w:pPr>
              <w:pStyle w:val="TableNheader"/>
              <w:keepNext w:val="0"/>
              <w:outlineLvl w:val="3"/>
              <w:rPr>
                <w:color w:val="000000" w:themeColor="text1"/>
              </w:rPr>
            </w:pPr>
            <w:r w:rsidRPr="008A311A">
              <w:rPr>
                <w:color w:val="000000" w:themeColor="text1"/>
              </w:rPr>
              <w:t>Administratively efficient</w:t>
            </w:r>
          </w:p>
        </w:tc>
        <w:tc>
          <w:tcPr>
            <w:tcW w:w="6803" w:type="dxa"/>
          </w:tcPr>
          <w:p w14:paraId="4B04AEF7" w14:textId="272E51BE" w:rsidR="00A90C3A" w:rsidRDefault="00A90C3A" w:rsidP="3787E91E">
            <w:pPr>
              <w:pStyle w:val="TableNBullet"/>
            </w:pPr>
            <w:r w:rsidRPr="3787E91E">
              <w:t>The PLMS has been identified as putting an administrative burden on both sponsors and the Department. Both groups have suggested that it has become out-of-date as the PL has evolved over time.</w:t>
            </w:r>
            <w:r w:rsidR="00BB359A" w:rsidRPr="3787E91E">
              <w:rPr>
                <w:rStyle w:val="FootnoteReference"/>
              </w:rPr>
              <w:footnoteReference w:id="194"/>
            </w:r>
          </w:p>
        </w:tc>
      </w:tr>
      <w:tr w:rsidR="00A90C3A" w14:paraId="4FBE0250" w14:textId="77777777" w:rsidTr="3787E91E">
        <w:tc>
          <w:tcPr>
            <w:tcW w:w="2127" w:type="dxa"/>
          </w:tcPr>
          <w:p w14:paraId="0E47EFB3" w14:textId="77777777" w:rsidR="00A90C3A" w:rsidRPr="008A311A" w:rsidRDefault="00A90C3A">
            <w:pPr>
              <w:pStyle w:val="TableNheader"/>
              <w:keepNext w:val="0"/>
              <w:outlineLvl w:val="3"/>
              <w:rPr>
                <w:color w:val="000000" w:themeColor="text1"/>
              </w:rPr>
            </w:pPr>
            <w:r w:rsidRPr="008A311A">
              <w:rPr>
                <w:color w:val="000000" w:themeColor="text1"/>
              </w:rPr>
              <w:t>Flexible and fit for purpose</w:t>
            </w:r>
          </w:p>
        </w:tc>
        <w:tc>
          <w:tcPr>
            <w:tcW w:w="6803" w:type="dxa"/>
          </w:tcPr>
          <w:p w14:paraId="13559CBE" w14:textId="4DB5B5D6" w:rsidR="00A90C3A" w:rsidRDefault="00A90C3A" w:rsidP="001E4975">
            <w:pPr>
              <w:pStyle w:val="TableNBullet"/>
            </w:pPr>
            <w:r>
              <w:t>The PL assessment process does not take significant account of the level of complexity that each application requires, with all assessments undergoing the same overall process</w:t>
            </w:r>
            <w:r w:rsidR="003E186C">
              <w:t>. Whi</w:t>
            </w:r>
            <w:r w:rsidR="00C613AB">
              <w:t xml:space="preserve">le the administrative </w:t>
            </w:r>
            <w:r w:rsidR="00716B07">
              <w:t>burden of applications still v</w:t>
            </w:r>
            <w:r w:rsidR="008D39C2">
              <w:t xml:space="preserve">aries </w:t>
            </w:r>
            <w:r w:rsidR="00A102E9">
              <w:t>based on</w:t>
            </w:r>
            <w:r w:rsidR="008D39C2">
              <w:t xml:space="preserve"> </w:t>
            </w:r>
            <w:r w:rsidR="00B0000A">
              <w:t>their complexity, th</w:t>
            </w:r>
            <w:r w:rsidR="00A27F4A">
              <w:t xml:space="preserve">ere </w:t>
            </w:r>
            <w:r w:rsidR="00C30858">
              <w:t xml:space="preserve">is limited </w:t>
            </w:r>
            <w:r w:rsidR="00A67EF1">
              <w:t xml:space="preserve">flexibility </w:t>
            </w:r>
            <w:r w:rsidR="00BB47DC">
              <w:t xml:space="preserve">present </w:t>
            </w:r>
            <w:r w:rsidR="00A67EF1">
              <w:t>at the structural level</w:t>
            </w:r>
            <w:r w:rsidR="00B37E2A">
              <w:t>.</w:t>
            </w:r>
          </w:p>
          <w:p w14:paraId="7ABD6AFA" w14:textId="1854C3CF" w:rsidR="00DF6D0C" w:rsidRDefault="00DF6D0C" w:rsidP="001E4975">
            <w:pPr>
              <w:pStyle w:val="TableNBullet"/>
            </w:pPr>
            <w:r w:rsidRPr="3787E91E">
              <w:t xml:space="preserve">The PLAC </w:t>
            </w:r>
            <w:r w:rsidR="00C41C68" w:rsidRPr="3787E91E">
              <w:t>draws upon</w:t>
            </w:r>
            <w:r w:rsidRPr="3787E91E">
              <w:t xml:space="preserve"> </w:t>
            </w:r>
            <w:r w:rsidR="008E76D1" w:rsidRPr="3787E91E">
              <w:t xml:space="preserve">expert advice </w:t>
            </w:r>
            <w:r w:rsidR="00BB47DC" w:rsidRPr="3787E91E">
              <w:t>from</w:t>
            </w:r>
            <w:r w:rsidR="00B40023" w:rsidRPr="3787E91E">
              <w:t xml:space="preserve"> a </w:t>
            </w:r>
            <w:r w:rsidR="00F10E36" w:rsidRPr="3787E91E">
              <w:t>CAG</w:t>
            </w:r>
            <w:r w:rsidR="00B40023" w:rsidRPr="3787E91E">
              <w:t xml:space="preserve"> or</w:t>
            </w:r>
            <w:r w:rsidR="00F10E36" w:rsidRPr="3787E91E">
              <w:t xml:space="preserve"> Pane</w:t>
            </w:r>
            <w:r w:rsidR="00B40023" w:rsidRPr="3787E91E">
              <w:t>l based on the</w:t>
            </w:r>
            <w:r w:rsidR="00884C9A" w:rsidRPr="3787E91E">
              <w:t xml:space="preserve"> category of the device</w:t>
            </w:r>
            <w:r w:rsidR="00B40023" w:rsidRPr="3787E91E">
              <w:t xml:space="preserve"> </w:t>
            </w:r>
            <w:r w:rsidR="00C41C68" w:rsidRPr="3787E91E">
              <w:t xml:space="preserve">or associated </w:t>
            </w:r>
            <w:r w:rsidR="00B40023" w:rsidRPr="3787E91E">
              <w:t>special</w:t>
            </w:r>
            <w:r w:rsidR="00C41C68" w:rsidRPr="3787E91E">
              <w:t>ty.</w:t>
            </w:r>
            <w:r w:rsidR="00C22544" w:rsidRPr="3787E91E">
              <w:t xml:space="preserve"> </w:t>
            </w:r>
            <w:r w:rsidR="009231FF" w:rsidRPr="3787E91E">
              <w:t xml:space="preserve">Stakeholder have </w:t>
            </w:r>
            <w:r w:rsidR="008E2BDB" w:rsidRPr="3787E91E">
              <w:t xml:space="preserve">questioned whether </w:t>
            </w:r>
            <w:r w:rsidR="00351ABC" w:rsidRPr="3787E91E">
              <w:t xml:space="preserve">the right representation, </w:t>
            </w:r>
            <w:proofErr w:type="gramStart"/>
            <w:r w:rsidR="00351ABC" w:rsidRPr="3787E91E">
              <w:t>expertise</w:t>
            </w:r>
            <w:proofErr w:type="gramEnd"/>
            <w:r w:rsidR="00351ABC" w:rsidRPr="3787E91E">
              <w:t xml:space="preserve"> and information</w:t>
            </w:r>
            <w:r w:rsidR="00660B18" w:rsidRPr="3787E91E">
              <w:t xml:space="preserve"> </w:t>
            </w:r>
            <w:r w:rsidR="00665CF0" w:rsidRPr="3787E91E">
              <w:t xml:space="preserve">feeds </w:t>
            </w:r>
            <w:r w:rsidR="00404DA6" w:rsidRPr="3787E91E">
              <w:t>into these convening groups.</w:t>
            </w:r>
            <w:r w:rsidR="001E4975" w:rsidRPr="3787E91E">
              <w:rPr>
                <w:rStyle w:val="FootnoteReference"/>
              </w:rPr>
              <w:footnoteReference w:id="195"/>
            </w:r>
            <w:r w:rsidR="00EB3B09" w:rsidRPr="3787E91E">
              <w:t xml:space="preserve"> </w:t>
            </w:r>
          </w:p>
        </w:tc>
      </w:tr>
      <w:tr w:rsidR="00A90C3A" w14:paraId="540AF784" w14:textId="77777777" w:rsidTr="3787E91E">
        <w:tc>
          <w:tcPr>
            <w:tcW w:w="2127" w:type="dxa"/>
          </w:tcPr>
          <w:p w14:paraId="476B9CE4" w14:textId="77777777" w:rsidR="00A90C3A" w:rsidRPr="008A311A" w:rsidRDefault="00A90C3A">
            <w:pPr>
              <w:pStyle w:val="TableNheader"/>
              <w:keepNext w:val="0"/>
              <w:outlineLvl w:val="3"/>
              <w:rPr>
                <w:color w:val="000000" w:themeColor="text1"/>
              </w:rPr>
            </w:pPr>
            <w:r w:rsidRPr="008A311A">
              <w:rPr>
                <w:color w:val="000000" w:themeColor="text1"/>
              </w:rPr>
              <w:t>Informed by robust and relevant evidence</w:t>
            </w:r>
          </w:p>
        </w:tc>
        <w:tc>
          <w:tcPr>
            <w:tcW w:w="6803" w:type="dxa"/>
          </w:tcPr>
          <w:p w14:paraId="066EAAE7" w14:textId="77777777" w:rsidR="00A90C3A" w:rsidRDefault="00A90C3A" w:rsidP="00B66F43">
            <w:pPr>
              <w:pStyle w:val="TableNBullet"/>
            </w:pPr>
            <w:r w:rsidRPr="3787E91E">
              <w:t xml:space="preserve">The setting of benefits for billing codes on the PL is based on the available evidence, clinical </w:t>
            </w:r>
            <w:proofErr w:type="gramStart"/>
            <w:r w:rsidRPr="3787E91E">
              <w:t>advice</w:t>
            </w:r>
            <w:proofErr w:type="gramEnd"/>
            <w:r w:rsidRPr="3787E91E">
              <w:t xml:space="preserve"> and the collective judgement of the PLAC about relative cost and effectiveness. </w:t>
            </w:r>
          </w:p>
          <w:p w14:paraId="5E9F0BC0" w14:textId="77777777" w:rsidR="00A90C3A" w:rsidRDefault="00A90C3A" w:rsidP="3787E91E">
            <w:pPr>
              <w:pStyle w:val="TableNBullet"/>
            </w:pPr>
            <w:r w:rsidRPr="3787E91E">
              <w:t>Information provided in some PL applications is considered irrelevant and lacks synthesis of the evidence to enable committees to effectively assess the application, making the process inconsistent in quality and content.</w:t>
            </w:r>
            <w:r w:rsidRPr="3787E91E">
              <w:rPr>
                <w:rStyle w:val="FootnoteReference"/>
              </w:rPr>
              <w:footnoteReference w:id="196"/>
            </w:r>
          </w:p>
          <w:p w14:paraId="13592754" w14:textId="2849657E" w:rsidR="00A90C3A" w:rsidRDefault="00A90C3A" w:rsidP="3787E91E">
            <w:pPr>
              <w:pStyle w:val="TableNBullet"/>
            </w:pPr>
            <w:r w:rsidRPr="3787E91E">
              <w:t>The function of the Panel has also been criticised, with concerns raised that the lack of direct engagement and discussion with other members of the Panel reduces how robust the advice it provides is and means that the expertise of Panel-members is not fully leveraged.</w:t>
            </w:r>
            <w:r w:rsidR="003039D1" w:rsidRPr="3787E91E">
              <w:rPr>
                <w:rStyle w:val="FootnoteReference"/>
              </w:rPr>
              <w:footnoteReference w:id="197"/>
            </w:r>
          </w:p>
          <w:p w14:paraId="5E468FE4" w14:textId="41560FCF" w:rsidR="00A90C3A" w:rsidRDefault="00A90C3A" w:rsidP="00B66F43">
            <w:pPr>
              <w:pStyle w:val="TableNBullet"/>
            </w:pPr>
            <w:r w:rsidRPr="3787E91E">
              <w:t xml:space="preserve">There </w:t>
            </w:r>
            <w:r w:rsidR="00B66F43" w:rsidRPr="3787E91E">
              <w:t>is</w:t>
            </w:r>
            <w:r w:rsidRPr="3787E91E">
              <w:t xml:space="preserve">, in general, no formal assessment of comparative cost-effectiveness. There </w:t>
            </w:r>
            <w:r w:rsidR="00B66F43" w:rsidRPr="3787E91E">
              <w:t>are</w:t>
            </w:r>
            <w:r w:rsidRPr="3787E91E">
              <w:t xml:space="preserve"> occasions when the Medical Services Advisory Committee (who appraise new medical services proposed for public funding) provided advice to PLAC regarding a cost-effective price for a “first-in-class”</w:t>
            </w:r>
            <w:r w:rsidRPr="3787E91E">
              <w:rPr>
                <w:rStyle w:val="FootnoteReference"/>
              </w:rPr>
              <w:footnoteReference w:id="198"/>
            </w:r>
            <w:r w:rsidRPr="3787E91E">
              <w:t xml:space="preserve"> prostheses.</w:t>
            </w:r>
          </w:p>
        </w:tc>
      </w:tr>
    </w:tbl>
    <w:p w14:paraId="0A353088" w14:textId="77777777" w:rsidR="00CD4165" w:rsidRDefault="00CD4165" w:rsidP="009667DE">
      <w:pPr>
        <w:pStyle w:val="Heading2"/>
        <w:numPr>
          <w:ilvl w:val="0"/>
          <w:numId w:val="0"/>
        </w:numPr>
      </w:pPr>
      <w:bookmarkStart w:id="116" w:name="_Toc179453703"/>
      <w:r w:rsidRPr="00974105">
        <w:t xml:space="preserve">Indicator </w:t>
      </w:r>
      <w:r>
        <w:t>16</w:t>
      </w:r>
      <w:r w:rsidRPr="00974105">
        <w:t xml:space="preserve">: </w:t>
      </w:r>
      <w:r w:rsidRPr="00CF3AC0">
        <w:t xml:space="preserve">Change in listing review and compliance </w:t>
      </w:r>
      <w:proofErr w:type="gramStart"/>
      <w:r w:rsidRPr="00CF3AC0">
        <w:t>frameworks</w:t>
      </w:r>
      <w:bookmarkEnd w:id="116"/>
      <w:proofErr w:type="gramEnd"/>
    </w:p>
    <w:p w14:paraId="69F5BC72" w14:textId="77777777" w:rsidR="00EA5537" w:rsidRDefault="00EA5537" w:rsidP="009667DE">
      <w:pPr>
        <w:pStyle w:val="Heading4"/>
      </w:pPr>
      <w:r w:rsidRPr="0BCC15EA">
        <w:rPr>
          <w:color w:val="F25E21" w:themeColor="accent2"/>
        </w:rPr>
        <w:t>Measure 1</w:t>
      </w:r>
      <w:r>
        <w:rPr>
          <w:color w:val="F25E21" w:themeColor="accent2"/>
        </w:rPr>
        <w:t>6</w:t>
      </w:r>
      <w:r w:rsidRPr="0BCC15EA">
        <w:rPr>
          <w:color w:val="F25E21" w:themeColor="accent2"/>
        </w:rPr>
        <w:t>.1</w:t>
      </w:r>
      <w:r>
        <w:t>: Description of post-listing review framework</w:t>
      </w:r>
    </w:p>
    <w:p w14:paraId="134B5B1A" w14:textId="77777777" w:rsidR="00EA5537" w:rsidRDefault="00EA5537" w:rsidP="00545061">
      <w:pPr>
        <w:pStyle w:val="Heading6"/>
        <w:spacing w:before="120"/>
      </w:pPr>
      <w:r w:rsidRPr="004D1FFC">
        <w:t>Measurement guide</w:t>
      </w:r>
    </w:p>
    <w:p w14:paraId="4CF2A752" w14:textId="77777777" w:rsidR="00EA5537" w:rsidRPr="0003619E" w:rsidRDefault="00EA5537" w:rsidP="009667DE">
      <w:r w:rsidRPr="00EB6EC9">
        <w:t>This measure will describe</w:t>
      </w:r>
      <w:r>
        <w:t xml:space="preserve"> what post-listing review framework is in place and how it is being used. We note that at the time of writing, the Department has already published a working version of the framework</w:t>
      </w:r>
      <w:r>
        <w:rPr>
          <w:rStyle w:val="FootnoteReference"/>
        </w:rPr>
        <w:footnoteReference w:id="199"/>
      </w:r>
      <w:r>
        <w:t>. We will review this document and consult with the Department on its use.</w:t>
      </w:r>
    </w:p>
    <w:p w14:paraId="1409DB72" w14:textId="77777777" w:rsidR="00EA5537" w:rsidRDefault="00EA5537" w:rsidP="00545061">
      <w:pPr>
        <w:pStyle w:val="Heading6"/>
        <w:spacing w:before="120"/>
      </w:pPr>
      <w:r w:rsidRPr="004D1FFC">
        <w:lastRenderedPageBreak/>
        <w:t>Baseline value</w:t>
      </w:r>
    </w:p>
    <w:p w14:paraId="5934520B" w14:textId="71FE7CA3" w:rsidR="00EA5537" w:rsidRDefault="00EA5537" w:rsidP="009667DE">
      <w:pPr>
        <w:rPr>
          <w:szCs w:val="19"/>
          <w:lang w:eastAsia="en-AU"/>
        </w:rPr>
      </w:pPr>
      <w:r w:rsidRPr="0C63581C">
        <w:rPr>
          <w:lang w:eastAsia="en-AU"/>
        </w:rPr>
        <w:t>At baseline, there was no structured mechanism for regularly reviewing benefits paid for items listed on the PL</w:t>
      </w:r>
      <w:r w:rsidR="001A44A0">
        <w:rPr>
          <w:lang w:eastAsia="en-AU"/>
        </w:rPr>
        <w:t xml:space="preserve">, nor </w:t>
      </w:r>
      <w:r w:rsidR="00411396">
        <w:rPr>
          <w:lang w:eastAsia="en-AU"/>
        </w:rPr>
        <w:t>was there a</w:t>
      </w:r>
      <w:r w:rsidR="00FE05EB">
        <w:rPr>
          <w:lang w:eastAsia="en-AU"/>
        </w:rPr>
        <w:t xml:space="preserve"> </w:t>
      </w:r>
      <w:proofErr w:type="gramStart"/>
      <w:r w:rsidR="00604C31">
        <w:rPr>
          <w:lang w:eastAsia="en-AU"/>
        </w:rPr>
        <w:t>formal processes</w:t>
      </w:r>
      <w:proofErr w:type="gramEnd"/>
      <w:r w:rsidR="00604C31">
        <w:rPr>
          <w:lang w:eastAsia="en-AU"/>
        </w:rPr>
        <w:t xml:space="preserve"> </w:t>
      </w:r>
      <w:r w:rsidR="004D47AA">
        <w:rPr>
          <w:lang w:eastAsia="en-AU"/>
        </w:rPr>
        <w:t>for undertaking reviews</w:t>
      </w:r>
      <w:r w:rsidRPr="0C63581C">
        <w:rPr>
          <w:lang w:eastAsia="en-AU"/>
        </w:rPr>
        <w:t>. This meant, in general, the benefits of items were not reviewed once on the PL, except where stakeholders raised concerns or subsequent investigation by the PLAC or CAGs deemed it necessary. Such work was highly dependent on resource availability</w:t>
      </w:r>
      <w:r w:rsidR="00D33244">
        <w:rPr>
          <w:lang w:eastAsia="en-AU"/>
        </w:rPr>
        <w:t xml:space="preserve"> and </w:t>
      </w:r>
      <w:r w:rsidR="006F1BCD">
        <w:rPr>
          <w:lang w:eastAsia="en-AU"/>
        </w:rPr>
        <w:t>limited resources were available</w:t>
      </w:r>
      <w:r w:rsidR="006F1BCD" w:rsidRPr="0C63581C">
        <w:rPr>
          <w:rStyle w:val="FootnoteReference"/>
          <w:lang w:eastAsia="en-AU"/>
        </w:rPr>
        <w:footnoteReference w:id="200"/>
      </w:r>
      <w:r w:rsidR="006F1BCD">
        <w:rPr>
          <w:lang w:eastAsia="en-AU"/>
        </w:rPr>
        <w:t>.</w:t>
      </w:r>
    </w:p>
    <w:p w14:paraId="473C6196" w14:textId="77777777" w:rsidR="00EA5537" w:rsidRDefault="00EA5537" w:rsidP="009667DE">
      <w:pPr>
        <w:rPr>
          <w:szCs w:val="19"/>
          <w:lang w:eastAsia="en-AU"/>
        </w:rPr>
      </w:pPr>
      <w:r w:rsidRPr="0C63581C">
        <w:rPr>
          <w:lang w:eastAsia="en-AU"/>
        </w:rPr>
        <w:t>Moreover, any ad hoc listing reviews were paused during 2020 and 2021, as agreed between government and industry in response to the COVID-19 pandemic</w:t>
      </w:r>
      <w:r w:rsidRPr="0C63581C">
        <w:rPr>
          <w:rStyle w:val="FootnoteReference"/>
          <w:lang w:eastAsia="en-AU"/>
        </w:rPr>
        <w:footnoteReference w:id="201"/>
      </w:r>
      <w:r w:rsidRPr="0C63581C">
        <w:rPr>
          <w:lang w:eastAsia="en-AU"/>
        </w:rPr>
        <w:t>.</w:t>
      </w:r>
    </w:p>
    <w:p w14:paraId="72789F6A" w14:textId="77777777" w:rsidR="00EA5537" w:rsidRDefault="00EA5537" w:rsidP="009667DE">
      <w:pPr>
        <w:pStyle w:val="Heading4"/>
      </w:pPr>
      <w:r w:rsidRPr="0BCC15EA">
        <w:rPr>
          <w:color w:val="F25E21" w:themeColor="accent2"/>
        </w:rPr>
        <w:t>Measure 1</w:t>
      </w:r>
      <w:r>
        <w:rPr>
          <w:color w:val="F25E21" w:themeColor="accent2"/>
        </w:rPr>
        <w:t>6</w:t>
      </w:r>
      <w:r w:rsidRPr="0BCC15EA">
        <w:rPr>
          <w:color w:val="F25E21" w:themeColor="accent2"/>
        </w:rPr>
        <w:t>.2</w:t>
      </w:r>
      <w:r>
        <w:t>: Description of compliance strategy</w:t>
      </w:r>
    </w:p>
    <w:p w14:paraId="1888A33D" w14:textId="77777777" w:rsidR="00EA5537" w:rsidRDefault="00EA5537" w:rsidP="00545061">
      <w:pPr>
        <w:pStyle w:val="Heading6"/>
        <w:spacing w:before="120"/>
      </w:pPr>
      <w:r w:rsidRPr="004D1FFC">
        <w:t>Measurement guide</w:t>
      </w:r>
    </w:p>
    <w:p w14:paraId="4CEB2D35" w14:textId="77777777" w:rsidR="00EA5537" w:rsidRDefault="00EA5537" w:rsidP="00EA5537">
      <w:r>
        <w:t>This measure will describe the compliance strategy that the Department has adopted and its role in shaping compliance, assessment and enforcement functions supporting the PL. At the time of writing, the Department has already published its compliance strategy</w:t>
      </w:r>
      <w:r>
        <w:rPr>
          <w:rStyle w:val="FootnoteReference"/>
        </w:rPr>
        <w:footnoteReference w:id="202"/>
      </w:r>
      <w:r>
        <w:t>. We will review this document and consult with the Department on its use.</w:t>
      </w:r>
    </w:p>
    <w:p w14:paraId="7532201E" w14:textId="77777777" w:rsidR="00EA5537" w:rsidRPr="0053137D" w:rsidRDefault="00EA5537" w:rsidP="00EA5537">
      <w:r w:rsidRPr="00B85D7F">
        <w:t xml:space="preserve">At </w:t>
      </w:r>
      <w:r>
        <w:t>reform commencement, the Department noted that legislative change may be required to support a new compliance framework, allowing it to enact new compliance and enforcement functions</w:t>
      </w:r>
      <w:r>
        <w:rPr>
          <w:rStyle w:val="FootnoteReference"/>
        </w:rPr>
        <w:footnoteReference w:id="203"/>
      </w:r>
      <w:r>
        <w:t>. We will also consult with the Department about any broader reform activities that support the implementation of the new compliance strategy.</w:t>
      </w:r>
    </w:p>
    <w:p w14:paraId="1F07253F" w14:textId="77777777" w:rsidR="00EA5537" w:rsidRPr="00541121" w:rsidRDefault="00EA5537" w:rsidP="00545061">
      <w:pPr>
        <w:pStyle w:val="Heading6"/>
        <w:spacing w:before="120"/>
      </w:pPr>
      <w:r w:rsidRPr="004D1FFC">
        <w:t>Baseline value</w:t>
      </w:r>
    </w:p>
    <w:p w14:paraId="78F40ED3" w14:textId="159F95DA" w:rsidR="00CD4165" w:rsidRPr="00CD4165" w:rsidRDefault="00EA5537" w:rsidP="00CD4165">
      <w:r>
        <w:t>At baseline, the Department did not have a systematic or well-documented compliance approach. While action was taken in clear cases, there was only limited scope to investigate claims of stakeholders not using the PL as it was intended. There was also limited clarity in the Department’s enforcement functions for addressing illegal and non-compliant behaviour.</w:t>
      </w:r>
    </w:p>
    <w:p w14:paraId="35938C73" w14:textId="77777777" w:rsidR="00CD4165" w:rsidRPr="00974105" w:rsidRDefault="00CD4165" w:rsidP="009667DE">
      <w:pPr>
        <w:pStyle w:val="Heading2"/>
        <w:numPr>
          <w:ilvl w:val="0"/>
          <w:numId w:val="0"/>
        </w:numPr>
      </w:pPr>
      <w:bookmarkStart w:id="117" w:name="_Toc179453704"/>
      <w:r w:rsidRPr="00974105">
        <w:t xml:space="preserve">Indicator </w:t>
      </w:r>
      <w:r>
        <w:t>17</w:t>
      </w:r>
      <w:r w:rsidRPr="00974105">
        <w:t xml:space="preserve">: </w:t>
      </w:r>
      <w:r w:rsidRPr="004D36B6">
        <w:t>Assessment of listing review and compliance frameworks</w:t>
      </w:r>
      <w:bookmarkEnd w:id="117"/>
    </w:p>
    <w:p w14:paraId="22A0F7B8" w14:textId="77777777" w:rsidR="00323F62" w:rsidRDefault="00323F62" w:rsidP="009667DE">
      <w:pPr>
        <w:pStyle w:val="Heading4"/>
      </w:pPr>
      <w:r w:rsidRPr="0BCC15EA">
        <w:rPr>
          <w:color w:val="F25E21" w:themeColor="accent2"/>
        </w:rPr>
        <w:t>Measure 1</w:t>
      </w:r>
      <w:r>
        <w:rPr>
          <w:color w:val="F25E21" w:themeColor="accent2"/>
        </w:rPr>
        <w:t>7</w:t>
      </w:r>
      <w:r w:rsidRPr="0BCC15EA">
        <w:rPr>
          <w:color w:val="F25E21" w:themeColor="accent2"/>
        </w:rPr>
        <w:t>.1</w:t>
      </w:r>
      <w:r>
        <w:t xml:space="preserve">: Description of post-listing reviews </w:t>
      </w:r>
      <w:proofErr w:type="gramStart"/>
      <w:r>
        <w:t>conducted</w:t>
      </w:r>
      <w:proofErr w:type="gramEnd"/>
    </w:p>
    <w:p w14:paraId="144C0392" w14:textId="77777777" w:rsidR="00323F62" w:rsidRPr="004053A6" w:rsidRDefault="00323F62" w:rsidP="00545061">
      <w:pPr>
        <w:pStyle w:val="Heading6"/>
        <w:spacing w:before="120"/>
      </w:pPr>
      <w:r w:rsidRPr="004D1FFC">
        <w:t>Measurement guide</w:t>
      </w:r>
    </w:p>
    <w:p w14:paraId="4331B495" w14:textId="77777777" w:rsidR="00323F62" w:rsidRDefault="00323F62" w:rsidP="009667DE">
      <w:pPr>
        <w:rPr>
          <w:b/>
        </w:rPr>
      </w:pPr>
      <w:r w:rsidRPr="0BCC15EA">
        <w:t xml:space="preserve">This measure will track the post-listing reviews conducted, which will confirm the presence of the reviews and contribute to an understanding of their impact (where we might see changes in other measures </w:t>
      </w:r>
      <w:proofErr w:type="gramStart"/>
      <w:r w:rsidRPr="0BCC15EA">
        <w:t>as a result of</w:t>
      </w:r>
      <w:proofErr w:type="gramEnd"/>
      <w:r w:rsidRPr="0BCC15EA">
        <w:t xml:space="preserve"> these reviews occurring). It will also be used to understand the impact on PL administration that conducting these reviews incurs.</w:t>
      </w:r>
    </w:p>
    <w:p w14:paraId="64E988F9" w14:textId="62305201" w:rsidR="00323F62" w:rsidRPr="0054012B" w:rsidRDefault="00323F62" w:rsidP="009667DE">
      <w:pPr>
        <w:rPr>
          <w:lang w:eastAsia="en-AU"/>
        </w:rPr>
      </w:pPr>
      <w:r>
        <w:rPr>
          <w:lang w:eastAsia="en-AU"/>
        </w:rPr>
        <w:t>At baseline, the Department has indicated it will conduct four post-listing reviews to service as pilots for a new post-listing review framework</w:t>
      </w:r>
      <w:r w:rsidR="008115AE">
        <w:rPr>
          <w:rStyle w:val="FootnoteReference"/>
          <w:lang w:eastAsia="en-AU"/>
        </w:rPr>
        <w:footnoteReference w:id="204"/>
      </w:r>
      <w:r>
        <w:rPr>
          <w:lang w:eastAsia="en-AU"/>
        </w:rPr>
        <w:t>. We will focus on monitoring the progress of these four reviews, while also examining any additional post-listing reviews that might occur.</w:t>
      </w:r>
    </w:p>
    <w:p w14:paraId="6E38B848" w14:textId="77777777" w:rsidR="00323F62" w:rsidRDefault="00323F62" w:rsidP="00545061">
      <w:pPr>
        <w:pStyle w:val="Heading6"/>
        <w:spacing w:before="120"/>
      </w:pPr>
      <w:r w:rsidRPr="004D1FFC">
        <w:t>Baseline value</w:t>
      </w:r>
    </w:p>
    <w:p w14:paraId="11029DB7" w14:textId="77777777" w:rsidR="00323F62" w:rsidRPr="0054012B" w:rsidRDefault="00323F62" w:rsidP="009667DE">
      <w:r>
        <w:t>Post-listing reviews, as formalised and structured by a guiding framework, are to be newly developed and implemented through the reforms. As such, there is no baseline data for this measure.</w:t>
      </w:r>
    </w:p>
    <w:p w14:paraId="2C693D30" w14:textId="77777777" w:rsidR="00323F62" w:rsidRDefault="00323F62" w:rsidP="009667DE">
      <w:pPr>
        <w:pStyle w:val="Heading4"/>
      </w:pPr>
      <w:r w:rsidRPr="0BCC15EA">
        <w:rPr>
          <w:color w:val="F25E21" w:themeColor="accent2"/>
        </w:rPr>
        <w:lastRenderedPageBreak/>
        <w:t>Measure 1</w:t>
      </w:r>
      <w:r>
        <w:rPr>
          <w:color w:val="F25E21" w:themeColor="accent2"/>
        </w:rPr>
        <w:t>7</w:t>
      </w:r>
      <w:r w:rsidRPr="0BCC15EA">
        <w:rPr>
          <w:color w:val="F25E21" w:themeColor="accent2"/>
        </w:rPr>
        <w:t>.2</w:t>
      </w:r>
      <w:r>
        <w:t>: Stakeholder perspectives on post-listing reviews</w:t>
      </w:r>
    </w:p>
    <w:p w14:paraId="5C5D2DC2" w14:textId="77777777" w:rsidR="00323F62" w:rsidRDefault="00323F62" w:rsidP="00545061">
      <w:pPr>
        <w:pStyle w:val="Heading6"/>
        <w:spacing w:before="120"/>
      </w:pPr>
      <w:r w:rsidRPr="004D1FFC">
        <w:t>Measurement guide</w:t>
      </w:r>
    </w:p>
    <w:p w14:paraId="7DB144B6" w14:textId="77777777" w:rsidR="00323F62" w:rsidRDefault="00323F62" w:rsidP="009667DE">
      <w:r w:rsidRPr="00352C14">
        <w:t xml:space="preserve">This </w:t>
      </w:r>
      <w:r>
        <w:t xml:space="preserve">measure will outline stakeholder perspectives on post-listing reviews after the reform initiative has been implemented. We will consult with all key </w:t>
      </w:r>
      <w:proofErr w:type="gramStart"/>
      <w:r>
        <w:t>stakeholders</w:t>
      </w:r>
      <w:proofErr w:type="gramEnd"/>
      <w:r>
        <w:t xml:space="preserve"> groups about post-listing reviews throughout the evaluation period, with a focus on the perspectives of the Department and sponsors (those most directly affected by the process and outcome of post-listing reviews). Key lines of enquiry will be:</w:t>
      </w:r>
    </w:p>
    <w:p w14:paraId="14A60723" w14:textId="77777777" w:rsidR="00323F62" w:rsidRDefault="00323F62" w:rsidP="00662DDD">
      <w:pPr>
        <w:pStyle w:val="NewListBulletPoint"/>
        <w:numPr>
          <w:ilvl w:val="0"/>
          <w:numId w:val="18"/>
        </w:numPr>
      </w:pPr>
      <w:r w:rsidRPr="3787E91E">
        <w:t>Are the Department’s review efforts being focused on the right areas (i.e., addressing the most important issues first)?</w:t>
      </w:r>
    </w:p>
    <w:p w14:paraId="406C777F" w14:textId="77777777" w:rsidR="00323F62" w:rsidRDefault="00323F62" w:rsidP="00A348DB">
      <w:pPr>
        <w:pStyle w:val="NewListBulletPoint"/>
      </w:pPr>
      <w:r w:rsidRPr="3787E91E">
        <w:t>Is there enough post-listing review activity? Is there adequate Departmental capacity to implement the framework and meet the ongoing review requirements of the PL?</w:t>
      </w:r>
    </w:p>
    <w:p w14:paraId="1C311C4E" w14:textId="77777777" w:rsidR="00323F62" w:rsidRDefault="00323F62" w:rsidP="00A348DB">
      <w:pPr>
        <w:pStyle w:val="NewListBulletPoint"/>
      </w:pPr>
      <w:r>
        <w:t>What is the experience of sponsors engaging with post-listing reviews?</w:t>
      </w:r>
    </w:p>
    <w:p w14:paraId="231795A8" w14:textId="77777777" w:rsidR="00323F62" w:rsidRPr="00352C14" w:rsidRDefault="00323F62" w:rsidP="00A348DB">
      <w:pPr>
        <w:pStyle w:val="NewListBulletPoint"/>
      </w:pPr>
      <w:r>
        <w:t>How could post-listing reviews better safeguard the integrity of the PL?</w:t>
      </w:r>
    </w:p>
    <w:p w14:paraId="5AD52625" w14:textId="77777777" w:rsidR="00323F62" w:rsidRPr="00A20CE0" w:rsidRDefault="00323F62" w:rsidP="009667DE">
      <w:r>
        <w:t>The Department also already engaged with stakeholders about its working framework. We will review and incorporate these perspectives in this measure.</w:t>
      </w:r>
    </w:p>
    <w:p w14:paraId="3E254AA9" w14:textId="77777777" w:rsidR="00323F62" w:rsidRDefault="00323F62" w:rsidP="00545061">
      <w:pPr>
        <w:pStyle w:val="Heading6"/>
        <w:spacing w:before="120"/>
      </w:pPr>
      <w:r w:rsidRPr="004D1FFC">
        <w:t>Baseline value</w:t>
      </w:r>
    </w:p>
    <w:p w14:paraId="37ADFA7B" w14:textId="77777777" w:rsidR="00323F62" w:rsidRPr="0053137D" w:rsidRDefault="00323F62" w:rsidP="009667DE">
      <w:pPr>
        <w:rPr>
          <w:szCs w:val="19"/>
          <w:lang w:eastAsia="en-AU"/>
        </w:rPr>
      </w:pPr>
      <w:r w:rsidRPr="0C63581C">
        <w:rPr>
          <w:lang w:eastAsia="en-AU"/>
        </w:rPr>
        <w:t>Stakeholders pointed to insufficient post-listing review processes at baseline. Some saw benefits</w:t>
      </w:r>
      <w:r w:rsidRPr="00BF050A">
        <w:t xml:space="preserve"> </w:t>
      </w:r>
      <w:r>
        <w:t>as ‘</w:t>
      </w:r>
      <w:r w:rsidRPr="00BF050A">
        <w:t>set and forget</w:t>
      </w:r>
      <w:r>
        <w:t>’</w:t>
      </w:r>
      <w:r w:rsidRPr="00BF050A">
        <w:t>, with insufficient reviews to assess how technology and market condition</w:t>
      </w:r>
      <w:r>
        <w:t>s</w:t>
      </w:r>
      <w:r w:rsidRPr="00BF050A">
        <w:t xml:space="preserve"> </w:t>
      </w:r>
      <w:r>
        <w:t>changed after</w:t>
      </w:r>
      <w:r w:rsidRPr="00BF050A">
        <w:t xml:space="preserve"> the initial listing of a device</w:t>
      </w:r>
      <w:r>
        <w:t xml:space="preserve"> or the creation of a benefit group</w:t>
      </w:r>
      <w:r w:rsidRPr="00BF050A">
        <w:t>.</w:t>
      </w:r>
      <w:r>
        <w:rPr>
          <w:rStyle w:val="FootnoteReference"/>
        </w:rPr>
        <w:footnoteReference w:id="205"/>
      </w:r>
      <w:r>
        <w:t xml:space="preserve"> This had the potential to lead to benefits not continuing to reflect the actual cost of a device where these costs might go down, or how the relative value of a device might change given other procedures, technologies and devices that enter the market. If this were to occur, the benefit paid would exceed the actual value of the device, and not represent good market value.</w:t>
      </w:r>
      <w:r w:rsidRPr="0C63581C">
        <w:rPr>
          <w:lang w:eastAsia="en-AU"/>
        </w:rPr>
        <w:t xml:space="preserve"> This contrasted the public system that enabled more dynamic price setting in line with real-time costs for medical technology organisations and hospitals.</w:t>
      </w:r>
      <w:r w:rsidRPr="0C63581C">
        <w:rPr>
          <w:rStyle w:val="FootnoteReference"/>
          <w:lang w:eastAsia="en-AU"/>
        </w:rPr>
        <w:footnoteReference w:id="206"/>
      </w:r>
    </w:p>
    <w:p w14:paraId="286F064B" w14:textId="77777777" w:rsidR="00323F62" w:rsidRDefault="00323F62" w:rsidP="009667DE">
      <w:pPr>
        <w:pStyle w:val="Heading4"/>
      </w:pPr>
      <w:r w:rsidRPr="0BCC15EA">
        <w:rPr>
          <w:color w:val="F25E21" w:themeColor="accent2"/>
        </w:rPr>
        <w:t>Measure 1</w:t>
      </w:r>
      <w:r>
        <w:rPr>
          <w:color w:val="F25E21" w:themeColor="accent2"/>
        </w:rPr>
        <w:t>7</w:t>
      </w:r>
      <w:r w:rsidRPr="0BCC15EA">
        <w:rPr>
          <w:color w:val="F25E21" w:themeColor="accent2"/>
        </w:rPr>
        <w:t>.3</w:t>
      </w:r>
      <w:r>
        <w:t xml:space="preserve">: Description of compliance activities </w:t>
      </w:r>
      <w:proofErr w:type="gramStart"/>
      <w:r>
        <w:t>conducted</w:t>
      </w:r>
      <w:proofErr w:type="gramEnd"/>
    </w:p>
    <w:p w14:paraId="46513B45" w14:textId="77777777" w:rsidR="00323F62" w:rsidRDefault="00323F62" w:rsidP="00545061">
      <w:pPr>
        <w:pStyle w:val="Heading6"/>
        <w:spacing w:before="120"/>
      </w:pPr>
      <w:r w:rsidRPr="004D1FFC">
        <w:t>Measurement guide</w:t>
      </w:r>
    </w:p>
    <w:p w14:paraId="355B9F9B" w14:textId="77777777" w:rsidR="00323F62" w:rsidRPr="00320405" w:rsidRDefault="00323F62" w:rsidP="009667DE">
      <w:r>
        <w:t xml:space="preserve">This measure will track the compliance activities that have been conducted to confirm the compliance strategy is in effect and indicate whether it is contributing towards achieving its intended outcomes. While reviewing the compliance strategy and other Departmental documentation will frame this measure, there is a need to verify and document what compliance activity has </w:t>
      </w:r>
      <w:proofErr w:type="gramStart"/>
      <w:r>
        <w:t>actually occurred</w:t>
      </w:r>
      <w:proofErr w:type="gramEnd"/>
      <w:r>
        <w:t>.</w:t>
      </w:r>
    </w:p>
    <w:p w14:paraId="1706D979" w14:textId="07E76CBC" w:rsidR="00323F62" w:rsidRDefault="00445DA7" w:rsidP="009667DE">
      <w:r>
        <w:t xml:space="preserve">It may be difficult for </w:t>
      </w:r>
      <w:r w:rsidR="00323F62">
        <w:t>us to document the extent of what compliance activity has occurred. In conversations with the Department, we understand there to be no register of compliance-related actions or another mechanism by which they are formally recorded, say for example, in meeting minutes. As such, this measure will be a qualitative description of compliance activities that have been conducted using information gathered in consultation with the Department. We will consult with other stakeholders</w:t>
      </w:r>
      <w:r w:rsidR="00006740">
        <w:t>,</w:t>
      </w:r>
      <w:r w:rsidR="00323F62">
        <w:t xml:space="preserve"> as necessary.</w:t>
      </w:r>
    </w:p>
    <w:p w14:paraId="7CD1BA77" w14:textId="77777777" w:rsidR="00323F62" w:rsidRPr="00541121" w:rsidRDefault="00323F62" w:rsidP="00545061">
      <w:pPr>
        <w:pStyle w:val="Heading6"/>
        <w:spacing w:before="120"/>
      </w:pPr>
      <w:r w:rsidRPr="004D1FFC">
        <w:t>Baseline value</w:t>
      </w:r>
    </w:p>
    <w:p w14:paraId="14EB5A53" w14:textId="77777777" w:rsidR="00323F62" w:rsidRPr="00AB3B02" w:rsidRDefault="00323F62" w:rsidP="009667DE">
      <w:r>
        <w:t>A</w:t>
      </w:r>
      <w:r w:rsidRPr="00AB3B02">
        <w:t xml:space="preserve"> framework to formalise the Department’s compliance approach is to be newly developed through the reforms</w:t>
      </w:r>
      <w:r>
        <w:t xml:space="preserve">. Baseline compliance activities are not captured in policy documents or transparent to the sector. </w:t>
      </w:r>
    </w:p>
    <w:p w14:paraId="23F4D5A1" w14:textId="77777777" w:rsidR="00323F62" w:rsidRDefault="00323F62" w:rsidP="009667DE">
      <w:pPr>
        <w:pStyle w:val="Heading4"/>
      </w:pPr>
      <w:r w:rsidRPr="0BCC15EA">
        <w:rPr>
          <w:color w:val="F25E21" w:themeColor="accent2"/>
        </w:rPr>
        <w:lastRenderedPageBreak/>
        <w:t>Measure 1</w:t>
      </w:r>
      <w:r>
        <w:rPr>
          <w:color w:val="F25E21" w:themeColor="accent2"/>
        </w:rPr>
        <w:t>7</w:t>
      </w:r>
      <w:r w:rsidRPr="0BCC15EA">
        <w:rPr>
          <w:color w:val="F25E21" w:themeColor="accent2"/>
        </w:rPr>
        <w:t>.4</w:t>
      </w:r>
      <w:r>
        <w:t>: Stakeholder perspectives on PL compliance</w:t>
      </w:r>
    </w:p>
    <w:p w14:paraId="02B4532A" w14:textId="77777777" w:rsidR="00323F62" w:rsidRDefault="00323F62" w:rsidP="00545061">
      <w:pPr>
        <w:pStyle w:val="Heading6"/>
        <w:spacing w:before="120"/>
      </w:pPr>
      <w:r w:rsidRPr="004D1FFC">
        <w:t>Measurement guide</w:t>
      </w:r>
    </w:p>
    <w:p w14:paraId="5AE72548" w14:textId="0CA21AE4" w:rsidR="00323F62" w:rsidRDefault="00323F62" w:rsidP="00323F62">
      <w:r w:rsidRPr="007E290E">
        <w:t xml:space="preserve">This </w:t>
      </w:r>
      <w:r>
        <w:t xml:space="preserve">measure will add to measure 17.3 in evaluating the impact of PL compliance. Understanding stakeholder perspectives on the compliance activities enacted by the Department will help us understand how the compliance strategy is being implemented and to what extent it is contributing towards maintaining the integrity of the PL through addressing non-compliant </w:t>
      </w:r>
      <w:r w:rsidRPr="004264A4">
        <w:t xml:space="preserve">behaviour. </w:t>
      </w:r>
      <w:r w:rsidR="00B37EF4" w:rsidRPr="004264A4">
        <w:rPr>
          <w:lang w:eastAsia="en-AU"/>
        </w:rPr>
        <w:t xml:space="preserve">It may </w:t>
      </w:r>
      <w:r w:rsidR="004264A4">
        <w:rPr>
          <w:lang w:eastAsia="en-AU"/>
        </w:rPr>
        <w:t xml:space="preserve">also </w:t>
      </w:r>
      <w:r w:rsidR="00B37EF4" w:rsidRPr="004264A4">
        <w:rPr>
          <w:lang w:eastAsia="en-AU"/>
        </w:rPr>
        <w:t>include perspectives on the complexity or regulatory burden associated with its implementati</w:t>
      </w:r>
      <w:r w:rsidR="004264A4" w:rsidRPr="004264A4">
        <w:rPr>
          <w:lang w:eastAsia="en-AU"/>
        </w:rPr>
        <w:t>on</w:t>
      </w:r>
      <w:r w:rsidR="00B37EF4" w:rsidRPr="004264A4">
        <w:rPr>
          <w:lang w:eastAsia="en-AU"/>
        </w:rPr>
        <w:t xml:space="preserve">. </w:t>
      </w:r>
      <w:r w:rsidRPr="004264A4">
        <w:t>Key lines of enquiry will be:</w:t>
      </w:r>
    </w:p>
    <w:p w14:paraId="708E2FBF" w14:textId="77777777" w:rsidR="00323F62" w:rsidRPr="00EC0F0C" w:rsidRDefault="00323F62" w:rsidP="00EC0F0C">
      <w:pPr>
        <w:pStyle w:val="NewListBulletPoint"/>
        <w:numPr>
          <w:ilvl w:val="0"/>
          <w:numId w:val="22"/>
        </w:numPr>
      </w:pPr>
      <w:r w:rsidRPr="00EC0F0C">
        <w:t>How has the compliance strategy directed compliance action? Do the compliance activities that have occurred reflect the strategy the Department has adopted?</w:t>
      </w:r>
    </w:p>
    <w:p w14:paraId="19CA9525" w14:textId="77777777" w:rsidR="00323F62" w:rsidRPr="00EC0F0C" w:rsidRDefault="00323F62" w:rsidP="00EC0F0C">
      <w:pPr>
        <w:pStyle w:val="NewListBulletPoint"/>
      </w:pPr>
      <w:r w:rsidRPr="00EC0F0C">
        <w:t>Is there enough compliance activity? Is there adequate Department compacity to carry out its compliance and enforcement priorities?</w:t>
      </w:r>
    </w:p>
    <w:p w14:paraId="0BC86F81" w14:textId="77777777" w:rsidR="00323F62" w:rsidRPr="00EC0F0C" w:rsidRDefault="00323F62" w:rsidP="00EC0F0C">
      <w:pPr>
        <w:pStyle w:val="NewListBulletPoint"/>
      </w:pPr>
      <w:r w:rsidRPr="00EC0F0C">
        <w:t>Is PL compliance safeguarding the integrity of the PL in the areas of benefit setting and claiming, scope and definition, consolidation of the PL and listing conditions?</w:t>
      </w:r>
    </w:p>
    <w:p w14:paraId="7917AA5C" w14:textId="6B68D6D7" w:rsidR="00715CD2" w:rsidRPr="00EC0F0C" w:rsidRDefault="00B75998" w:rsidP="00EC0F0C">
      <w:pPr>
        <w:pStyle w:val="NewListBulletPoint"/>
      </w:pPr>
      <w:r w:rsidRPr="3787E91E">
        <w:t>Have</w:t>
      </w:r>
      <w:r w:rsidR="00861D81" w:rsidRPr="3787E91E">
        <w:t xml:space="preserve"> compliance </w:t>
      </w:r>
      <w:r w:rsidRPr="3787E91E">
        <w:t>activities</w:t>
      </w:r>
      <w:r w:rsidR="00861D81" w:rsidRPr="3787E91E">
        <w:t xml:space="preserve"> </w:t>
      </w:r>
      <w:r w:rsidRPr="3787E91E">
        <w:t>resulted in</w:t>
      </w:r>
      <w:r w:rsidR="00861D81" w:rsidRPr="3787E91E">
        <w:t xml:space="preserve"> additional regulatory burden</w:t>
      </w:r>
      <w:r w:rsidR="006B2F46" w:rsidRPr="3787E91E">
        <w:t xml:space="preserve"> </w:t>
      </w:r>
      <w:r w:rsidRPr="3787E91E">
        <w:t>for stakeholders?</w:t>
      </w:r>
      <w:r w:rsidR="008866AE" w:rsidRPr="3787E91E">
        <w:t xml:space="preserve"> If so, have these been reasonable?</w:t>
      </w:r>
    </w:p>
    <w:p w14:paraId="236A7125" w14:textId="77777777" w:rsidR="00323F62" w:rsidRPr="00EC0F0C" w:rsidRDefault="00323F62" w:rsidP="00EC0F0C">
      <w:pPr>
        <w:pStyle w:val="NewListBulletPoint"/>
      </w:pPr>
      <w:r w:rsidRPr="00EC0F0C">
        <w:t>How could PL compliance better safeguard the integrity of the PL?</w:t>
      </w:r>
    </w:p>
    <w:p w14:paraId="458364A5" w14:textId="77777777" w:rsidR="00323F62" w:rsidRDefault="00323F62" w:rsidP="00323F62">
      <w:r>
        <w:t xml:space="preserve">At the time of writing, the Department has already consulted with stakeholders about new data sharing and compliance powers, and again on further proposed measures for compliance, </w:t>
      </w:r>
      <w:proofErr w:type="gramStart"/>
      <w:r>
        <w:t>assurance</w:t>
      </w:r>
      <w:proofErr w:type="gramEnd"/>
      <w:r>
        <w:t xml:space="preserve"> and information sharing</w:t>
      </w:r>
      <w:r>
        <w:rPr>
          <w:rStyle w:val="FootnoteReference"/>
        </w:rPr>
        <w:footnoteReference w:id="207"/>
      </w:r>
      <w:r>
        <w:t>. This measure will also incorporate the perspectives shared in these consultations.</w:t>
      </w:r>
    </w:p>
    <w:p w14:paraId="5CB8DD5D" w14:textId="77777777" w:rsidR="00323F62" w:rsidRDefault="00323F62" w:rsidP="00545061">
      <w:pPr>
        <w:pStyle w:val="Heading6"/>
        <w:spacing w:before="120"/>
      </w:pPr>
      <w:r w:rsidRPr="004D1FFC">
        <w:t>Baseline value</w:t>
      </w:r>
    </w:p>
    <w:p w14:paraId="3B11274E" w14:textId="3AB1A53C" w:rsidR="00323F62" w:rsidRDefault="00323F62" w:rsidP="00323F62">
      <w:r>
        <w:t xml:space="preserve">Stakeholders expressed a limited understanding of the Department’s compliance activities and approach, beyond what occurs during listing and assessment processes. However, stakeholders from different groups </w:t>
      </w:r>
      <w:r w:rsidR="006B3A7A">
        <w:t>criticised</w:t>
      </w:r>
      <w:r>
        <w:t xml:space="preserve"> the behaviour of others in their interactions with the PL, which reflects an insufficiency in the Department’s compliance and enforcement functions.</w:t>
      </w:r>
    </w:p>
    <w:p w14:paraId="1C1DB21B" w14:textId="097B2CC2" w:rsidR="00323F62" w:rsidRDefault="00323F62" w:rsidP="00323F62">
      <w:pPr>
        <w:rPr>
          <w:lang w:eastAsia="en-AU"/>
        </w:rPr>
      </w:pPr>
      <w:r>
        <w:rPr>
          <w:lang w:eastAsia="en-AU"/>
        </w:rPr>
        <w:t>S</w:t>
      </w:r>
      <w:r w:rsidRPr="0061190F">
        <w:rPr>
          <w:lang w:eastAsia="en-AU"/>
        </w:rPr>
        <w:t>takeholders described sponsors' ability to 'game the system' by exploiting differential benefit levels within similar product groupings</w:t>
      </w:r>
      <w:r>
        <w:rPr>
          <w:rStyle w:val="FootnoteReference"/>
          <w:lang w:eastAsia="en-AU"/>
        </w:rPr>
        <w:footnoteReference w:id="208"/>
      </w:r>
      <w:r w:rsidRPr="0061190F">
        <w:rPr>
          <w:lang w:eastAsia="en-AU"/>
        </w:rPr>
        <w:t>. In these instances, the marginal cost of the more expensive product is associated with no, or a smaller amount of, marginal clinical benefit for the consumer.</w:t>
      </w:r>
      <w:r>
        <w:rPr>
          <w:lang w:eastAsia="en-AU"/>
        </w:rPr>
        <w:t xml:space="preserve"> Members Health Fund Alliance stated in 2020, </w:t>
      </w:r>
      <w:r w:rsidRPr="00033E4C">
        <w:rPr>
          <w:lang w:eastAsia="en-AU"/>
        </w:rPr>
        <w:t>“We are concerned that this gaming and resultant growing cost inefficiencies to insurers (and consumers) has continued to occur despite medical device makers’ pledge to promote the sustainability of private health care”</w:t>
      </w:r>
      <w:r>
        <w:rPr>
          <w:rStyle w:val="FootnoteReference"/>
          <w:lang w:eastAsia="en-AU"/>
        </w:rPr>
        <w:footnoteReference w:id="209"/>
      </w:r>
      <w:r>
        <w:rPr>
          <w:lang w:eastAsia="en-AU"/>
        </w:rPr>
        <w:t>. While arguably such claims would be better addressed proactively</w:t>
      </w:r>
      <w:r w:rsidR="0095562E">
        <w:rPr>
          <w:lang w:eastAsia="en-AU"/>
        </w:rPr>
        <w:t xml:space="preserve"> during </w:t>
      </w:r>
      <w:r w:rsidR="00E82F8E">
        <w:rPr>
          <w:lang w:eastAsia="en-AU"/>
        </w:rPr>
        <w:t xml:space="preserve">listing and </w:t>
      </w:r>
      <w:r>
        <w:rPr>
          <w:lang w:eastAsia="en-AU"/>
        </w:rPr>
        <w:t>assessment, it also reflects an ineffective compliance capability to reactively address these matters.</w:t>
      </w:r>
    </w:p>
    <w:p w14:paraId="68CD71EC" w14:textId="0FBF32C3" w:rsidR="00CD4165" w:rsidRPr="00CD4165" w:rsidRDefault="00323F62" w:rsidP="00CD4165">
      <w:pPr>
        <w:rPr>
          <w:lang w:eastAsia="en-AU"/>
        </w:rPr>
      </w:pPr>
      <w:r>
        <w:rPr>
          <w:lang w:eastAsia="en-AU"/>
        </w:rPr>
        <w:t xml:space="preserve">Stakeholders also reported a needless increase of costs throughout the health system </w:t>
      </w:r>
      <w:proofErr w:type="gramStart"/>
      <w:r>
        <w:rPr>
          <w:lang w:eastAsia="en-AU"/>
        </w:rPr>
        <w:t>as a result of</w:t>
      </w:r>
      <w:proofErr w:type="gramEnd"/>
      <w:r>
        <w:rPr>
          <w:lang w:eastAsia="en-AU"/>
        </w:rPr>
        <w:t xml:space="preserve"> non-compliant behaviour. Stakeholders pointed out that sponsors, private hospitals, and in some cases, clinicians, were ‘free’ to maximise profits by increasing the volume of PL-listed items used or otherwise influence a more profitable mix of PL items</w:t>
      </w:r>
      <w:r>
        <w:rPr>
          <w:rStyle w:val="FootnoteReference"/>
          <w:lang w:eastAsia="en-AU"/>
        </w:rPr>
        <w:footnoteReference w:id="210"/>
      </w:r>
      <w:r>
        <w:rPr>
          <w:lang w:eastAsia="en-AU"/>
        </w:rPr>
        <w:t>. A PHI stakeholder described providers purchasing ‘loan kits’ from sponsors—a bundle of items that providers could ‘unbundle’ and bill PHI for each of the individual item’s PL benefits</w:t>
      </w:r>
      <w:r>
        <w:rPr>
          <w:rStyle w:val="FootnoteReference"/>
          <w:lang w:eastAsia="en-AU"/>
        </w:rPr>
        <w:footnoteReference w:id="211"/>
      </w:r>
      <w:r>
        <w:rPr>
          <w:lang w:eastAsia="en-AU"/>
        </w:rPr>
        <w:t>. Another PHI stakeholder expressed sympathy for some private hospitals that had “grown dependant” on the profit from PL items, saying these items were cross-subsidising other hospital activity and it would be difficult to stop</w:t>
      </w:r>
      <w:r>
        <w:rPr>
          <w:rStyle w:val="FootnoteReference"/>
          <w:lang w:eastAsia="en-AU"/>
        </w:rPr>
        <w:footnoteReference w:id="212"/>
      </w:r>
      <w:r>
        <w:rPr>
          <w:lang w:eastAsia="en-AU"/>
        </w:rPr>
        <w:t>.</w:t>
      </w:r>
    </w:p>
    <w:p w14:paraId="02E558B9" w14:textId="77777777" w:rsidR="00323F62" w:rsidRDefault="00323F62" w:rsidP="008A311A">
      <w:pPr>
        <w:pStyle w:val="Heading2"/>
        <w:numPr>
          <w:ilvl w:val="0"/>
          <w:numId w:val="0"/>
        </w:numPr>
        <w:spacing w:before="460"/>
      </w:pPr>
      <w:bookmarkStart w:id="118" w:name="_Toc179453705"/>
      <w:r w:rsidRPr="00974105">
        <w:lastRenderedPageBreak/>
        <w:t xml:space="preserve">Indicator </w:t>
      </w:r>
      <w:r>
        <w:t>18</w:t>
      </w:r>
      <w:r w:rsidRPr="00974105">
        <w:t xml:space="preserve">: </w:t>
      </w:r>
      <w:r w:rsidRPr="001F5EA3">
        <w:t>Implementation of cost recovery arrangements</w:t>
      </w:r>
      <w:bookmarkEnd w:id="118"/>
    </w:p>
    <w:p w14:paraId="43E33F87" w14:textId="77777777" w:rsidR="006F74C7" w:rsidRDefault="006F74C7" w:rsidP="009667DE">
      <w:pPr>
        <w:pStyle w:val="Heading4"/>
      </w:pPr>
      <w:r w:rsidRPr="0BCC15EA">
        <w:rPr>
          <w:color w:val="F25E21" w:themeColor="accent2"/>
        </w:rPr>
        <w:t>Measure 1</w:t>
      </w:r>
      <w:r>
        <w:rPr>
          <w:color w:val="F25E21" w:themeColor="accent2"/>
        </w:rPr>
        <w:t>8</w:t>
      </w:r>
      <w:r w:rsidRPr="0BCC15EA">
        <w:rPr>
          <w:color w:val="F25E21" w:themeColor="accent2"/>
        </w:rPr>
        <w:t>.1</w:t>
      </w:r>
      <w:r>
        <w:t>: Description of cost recovery arrangements</w:t>
      </w:r>
    </w:p>
    <w:p w14:paraId="0008E800" w14:textId="77777777" w:rsidR="006F74C7" w:rsidRDefault="006F74C7" w:rsidP="00545061">
      <w:pPr>
        <w:pStyle w:val="Heading6"/>
        <w:spacing w:before="120"/>
      </w:pPr>
      <w:r w:rsidRPr="004D1FFC">
        <w:t>Measurement guide</w:t>
      </w:r>
    </w:p>
    <w:p w14:paraId="2383B01F" w14:textId="227F6F32" w:rsidR="00164FE4" w:rsidRDefault="009C2CC0" w:rsidP="009C2CC0">
      <w:r>
        <w:t xml:space="preserve">This measure will </w:t>
      </w:r>
      <w:r w:rsidR="00204C24">
        <w:t>look at the</w:t>
      </w:r>
      <w:r w:rsidR="00EE4BB2">
        <w:t xml:space="preserve"> </w:t>
      </w:r>
      <w:r>
        <w:t xml:space="preserve">cost recovery </w:t>
      </w:r>
      <w:r w:rsidR="00BF7E14">
        <w:t xml:space="preserve">arrangements of the PL and </w:t>
      </w:r>
      <w:r>
        <w:t>how these change over time</w:t>
      </w:r>
      <w:r w:rsidR="00BF7E14">
        <w:t>.</w:t>
      </w:r>
      <w:r w:rsidR="00EE4BB2">
        <w:t xml:space="preserve"> A</w:t>
      </w:r>
      <w:r w:rsidR="003451B6">
        <w:t xml:space="preserve">n assessment or measurement of the efficiency of the cost recovery model is out of scope for the </w:t>
      </w:r>
      <w:r w:rsidR="00455A19">
        <w:t>evaluation</w:t>
      </w:r>
      <w:r w:rsidR="00204C24">
        <w:t>, and as such</w:t>
      </w:r>
      <w:r w:rsidR="007E49D8">
        <w:t>, this will be a descriptive measure only.</w:t>
      </w:r>
    </w:p>
    <w:p w14:paraId="052F5681" w14:textId="77777777" w:rsidR="006F74C7" w:rsidRPr="00541121" w:rsidRDefault="006F74C7" w:rsidP="00545061">
      <w:pPr>
        <w:pStyle w:val="Heading6"/>
        <w:spacing w:before="120"/>
      </w:pPr>
      <w:r w:rsidRPr="004D1FFC">
        <w:t>Baseline value</w:t>
      </w:r>
    </w:p>
    <w:p w14:paraId="041645BE" w14:textId="76AA73CC" w:rsidR="006F74C7" w:rsidRDefault="006F6FE8" w:rsidP="006F74C7">
      <w:pPr>
        <w:rPr>
          <w:szCs w:val="19"/>
          <w:lang w:eastAsia="en-AU"/>
        </w:rPr>
      </w:pPr>
      <w:r>
        <w:rPr>
          <w:lang w:eastAsia="en-AU"/>
        </w:rPr>
        <w:t>At baseline, s</w:t>
      </w:r>
      <w:r w:rsidR="006F74C7" w:rsidRPr="0C63581C">
        <w:rPr>
          <w:lang w:eastAsia="en-AU"/>
        </w:rPr>
        <w:t>ponsors encounter fees throughout the listing process, which were paid to the Department and included:</w:t>
      </w:r>
      <w:r w:rsidR="006F74C7" w:rsidRPr="0C63581C">
        <w:rPr>
          <w:rStyle w:val="FootnoteReference"/>
          <w:lang w:eastAsia="en-AU"/>
        </w:rPr>
        <w:t xml:space="preserve"> </w:t>
      </w:r>
      <w:r w:rsidR="006F74C7" w:rsidRPr="0C63581C">
        <w:rPr>
          <w:rStyle w:val="FootnoteReference"/>
          <w:lang w:eastAsia="en-AU"/>
        </w:rPr>
        <w:footnoteReference w:id="213"/>
      </w:r>
    </w:p>
    <w:p w14:paraId="657E4A4F" w14:textId="77777777" w:rsidR="006F74C7" w:rsidRPr="00283BA4" w:rsidRDefault="006F74C7" w:rsidP="00283BA4">
      <w:pPr>
        <w:pStyle w:val="Bullet"/>
      </w:pPr>
      <w:r w:rsidRPr="3787E91E">
        <w:rPr>
          <w:rFonts w:asciiTheme="majorHAnsi" w:hAnsiTheme="majorHAnsi" w:cstheme="majorBidi"/>
        </w:rPr>
        <w:t>Application fee</w:t>
      </w:r>
      <w:r w:rsidRPr="3787E91E">
        <w:t xml:space="preserve"> – $600 fee for each new application (excluding applications associated with amendments, deletions of listings, or duplications, expansions, </w:t>
      </w:r>
      <w:proofErr w:type="gramStart"/>
      <w:r w:rsidRPr="3787E91E">
        <w:t>compressions</w:t>
      </w:r>
      <w:proofErr w:type="gramEnd"/>
      <w:r w:rsidRPr="3787E91E">
        <w:t xml:space="preserve"> or transfers of existing billing codes.</w:t>
      </w:r>
    </w:p>
    <w:p w14:paraId="38F5B30F" w14:textId="77777777" w:rsidR="006F74C7" w:rsidRPr="00283BA4" w:rsidRDefault="006F74C7" w:rsidP="00283BA4">
      <w:pPr>
        <w:pStyle w:val="Bullet"/>
      </w:pPr>
      <w:r w:rsidRPr="3787E91E">
        <w:rPr>
          <w:rFonts w:asciiTheme="majorHAnsi" w:hAnsiTheme="majorHAnsi" w:cstheme="majorBidi"/>
        </w:rPr>
        <w:t>Initial listing fee</w:t>
      </w:r>
      <w:r w:rsidRPr="3787E91E">
        <w:t xml:space="preserve"> – $200 fee once the Minister granted the application to list a product (excluding Part B items and products that were listed </w:t>
      </w:r>
      <w:proofErr w:type="gramStart"/>
      <w:r w:rsidRPr="3787E91E">
        <w:t>as a result of</w:t>
      </w:r>
      <w:proofErr w:type="gramEnd"/>
      <w:r w:rsidRPr="3787E91E">
        <w:t xml:space="preserve"> duplicating, expanding, transferring or compressing existing billing codes).</w:t>
      </w:r>
    </w:p>
    <w:p w14:paraId="6A72009B" w14:textId="492A234A" w:rsidR="00323F62" w:rsidRPr="00283BA4" w:rsidRDefault="006F74C7" w:rsidP="00283BA4">
      <w:pPr>
        <w:pStyle w:val="Bullet"/>
      </w:pPr>
      <w:r w:rsidRPr="3787E91E">
        <w:rPr>
          <w:rFonts w:asciiTheme="majorHAnsi" w:hAnsiTheme="majorHAnsi" w:cstheme="majorBidi"/>
        </w:rPr>
        <w:t>Ongoing listing fee</w:t>
      </w:r>
      <w:r w:rsidRPr="3787E91E">
        <w:t xml:space="preserve"> – $200 fee due 15 March and 15 September each year (excluding Part B items and products that were listed </w:t>
      </w:r>
      <w:proofErr w:type="gramStart"/>
      <w:r w:rsidRPr="3787E91E">
        <w:t>as a result of</w:t>
      </w:r>
      <w:proofErr w:type="gramEnd"/>
      <w:r w:rsidRPr="3787E91E">
        <w:t xml:space="preserve"> duplicating, expanding, transferring or compressing existing billing codes).</w:t>
      </w:r>
    </w:p>
    <w:p w14:paraId="33895865" w14:textId="77777777" w:rsidR="00323F62" w:rsidRPr="00974105" w:rsidRDefault="00323F62" w:rsidP="008A311A">
      <w:pPr>
        <w:pStyle w:val="Heading2"/>
        <w:numPr>
          <w:ilvl w:val="0"/>
          <w:numId w:val="0"/>
        </w:numPr>
        <w:spacing w:before="460"/>
      </w:pPr>
      <w:bookmarkStart w:id="119" w:name="_Toc179453706"/>
      <w:r w:rsidRPr="00974105">
        <w:t xml:space="preserve">Indicator </w:t>
      </w:r>
      <w:r>
        <w:t>19</w:t>
      </w:r>
      <w:r w:rsidRPr="00974105">
        <w:t xml:space="preserve">: </w:t>
      </w:r>
      <w:r>
        <w:t>Financial sustainability of PL administration</w:t>
      </w:r>
      <w:bookmarkEnd w:id="119"/>
    </w:p>
    <w:p w14:paraId="319F7662" w14:textId="28F78EAC" w:rsidR="00143B88" w:rsidRDefault="00143B88" w:rsidP="009667DE">
      <w:pPr>
        <w:pStyle w:val="Heading4"/>
      </w:pPr>
      <w:r w:rsidRPr="0BCC15EA">
        <w:rPr>
          <w:color w:val="F25E21" w:themeColor="accent2"/>
        </w:rPr>
        <w:t>Measure 1</w:t>
      </w:r>
      <w:r>
        <w:rPr>
          <w:color w:val="F25E21" w:themeColor="accent2"/>
        </w:rPr>
        <w:t>9</w:t>
      </w:r>
      <w:r w:rsidRPr="0BCC15EA">
        <w:rPr>
          <w:color w:val="F25E21" w:themeColor="accent2"/>
        </w:rPr>
        <w:t>.1</w:t>
      </w:r>
      <w:r>
        <w:t xml:space="preserve">: </w:t>
      </w:r>
      <w:r w:rsidR="00463E8F">
        <w:t>Change in</w:t>
      </w:r>
      <w:r>
        <w:t xml:space="preserve"> PL administrative </w:t>
      </w:r>
      <w:proofErr w:type="gramStart"/>
      <w:r w:rsidR="00463E8F">
        <w:t>effort</w:t>
      </w:r>
      <w:proofErr w:type="gramEnd"/>
    </w:p>
    <w:p w14:paraId="4D8D60EC" w14:textId="77777777" w:rsidR="00143B88" w:rsidRDefault="00143B88" w:rsidP="00545061">
      <w:pPr>
        <w:pStyle w:val="Heading6"/>
        <w:spacing w:before="120"/>
      </w:pPr>
      <w:r w:rsidRPr="004D1FFC">
        <w:t>Measurement guide</w:t>
      </w:r>
    </w:p>
    <w:p w14:paraId="4836AC61" w14:textId="708C970B" w:rsidR="002970FE" w:rsidRDefault="006F0C82" w:rsidP="009667DE">
      <w:r>
        <w:t xml:space="preserve">This measure will </w:t>
      </w:r>
      <w:r w:rsidR="00232AAB">
        <w:t xml:space="preserve">describe the administrative activity </w:t>
      </w:r>
      <w:r w:rsidR="00A52946">
        <w:t>required to maintain the PL</w:t>
      </w:r>
      <w:r w:rsidR="004478FC">
        <w:t xml:space="preserve"> and track changes in the level of effort </w:t>
      </w:r>
      <w:r w:rsidR="00C45272">
        <w:t>over the course of the evaluation.</w:t>
      </w:r>
      <w:r w:rsidR="00E31687">
        <w:t xml:space="preserve"> </w:t>
      </w:r>
      <w:r w:rsidR="00A1792A">
        <w:t xml:space="preserve">PL tasks and staffing estimates </w:t>
      </w:r>
      <w:r w:rsidR="00244CF1">
        <w:t xml:space="preserve">are </w:t>
      </w:r>
      <w:r w:rsidR="00970842">
        <w:t xml:space="preserve">made annually </w:t>
      </w:r>
      <w:r w:rsidR="00C57952">
        <w:t>by the Department</w:t>
      </w:r>
      <w:r w:rsidR="00684990">
        <w:t xml:space="preserve"> in support of</w:t>
      </w:r>
      <w:r w:rsidR="00AC4231">
        <w:t xml:space="preserve"> its charging framework</w:t>
      </w:r>
      <w:r w:rsidR="00C57952">
        <w:t xml:space="preserve">, and this data </w:t>
      </w:r>
      <w:r w:rsidR="00302146">
        <w:t xml:space="preserve">will be used to </w:t>
      </w:r>
      <w:r w:rsidR="00B86AD1">
        <w:t xml:space="preserve">quantitatively </w:t>
      </w:r>
      <w:r w:rsidR="00CE2EAD">
        <w:t>reflect changes in PL administrative effort.</w:t>
      </w:r>
      <w:r w:rsidR="002D73FB">
        <w:t xml:space="preserve"> Based on</w:t>
      </w:r>
      <w:r w:rsidR="00205612">
        <w:t xml:space="preserve"> the activities of the</w:t>
      </w:r>
      <w:r w:rsidR="00CD52B1">
        <w:t xml:space="preserve"> 2023-24 charging model, </w:t>
      </w:r>
      <w:r w:rsidR="009843F9">
        <w:t xml:space="preserve">the </w:t>
      </w:r>
      <w:r w:rsidR="00205612">
        <w:t xml:space="preserve">following categories of effort </w:t>
      </w:r>
      <w:r w:rsidR="009843F9">
        <w:t>will be tracked</w:t>
      </w:r>
      <w:r w:rsidR="0018418E">
        <w:t>:</w:t>
      </w:r>
    </w:p>
    <w:p w14:paraId="28FE575A" w14:textId="77777777" w:rsidR="00685F63" w:rsidRPr="00937CDE" w:rsidRDefault="00685F63" w:rsidP="00937CDE">
      <w:pPr>
        <w:pStyle w:val="Bullet"/>
      </w:pPr>
      <w:r w:rsidRPr="00937CDE">
        <w:t>General administration</w:t>
      </w:r>
    </w:p>
    <w:p w14:paraId="4069F355" w14:textId="77777777" w:rsidR="00685F63" w:rsidRPr="00937CDE" w:rsidRDefault="00685F63" w:rsidP="00937CDE">
      <w:pPr>
        <w:pStyle w:val="Bullet"/>
      </w:pPr>
      <w:r w:rsidRPr="00937CDE">
        <w:t>Department assessment</w:t>
      </w:r>
    </w:p>
    <w:p w14:paraId="3BA8E357" w14:textId="77777777" w:rsidR="00685F63" w:rsidRPr="00937CDE" w:rsidRDefault="00685F63" w:rsidP="00937CDE">
      <w:pPr>
        <w:pStyle w:val="Bullet"/>
      </w:pPr>
      <w:r w:rsidRPr="00937CDE">
        <w:t>Granting decision</w:t>
      </w:r>
    </w:p>
    <w:p w14:paraId="592643D1" w14:textId="77777777" w:rsidR="00685F63" w:rsidRPr="00937CDE" w:rsidRDefault="00685F63" w:rsidP="00937CDE">
      <w:pPr>
        <w:pStyle w:val="Bullet"/>
      </w:pPr>
      <w:r w:rsidRPr="00937CDE">
        <w:t>Prostheses Rules</w:t>
      </w:r>
    </w:p>
    <w:p w14:paraId="2C048025" w14:textId="77777777" w:rsidR="00685F63" w:rsidRPr="00937CDE" w:rsidRDefault="00685F63" w:rsidP="00937CDE">
      <w:pPr>
        <w:pStyle w:val="Bullet"/>
      </w:pPr>
      <w:r w:rsidRPr="00937CDE">
        <w:t>Invoicing</w:t>
      </w:r>
    </w:p>
    <w:p w14:paraId="43B4CF67" w14:textId="77777777" w:rsidR="00685F63" w:rsidRPr="00937CDE" w:rsidRDefault="00685F63" w:rsidP="00937CDE">
      <w:pPr>
        <w:pStyle w:val="Bullet"/>
      </w:pPr>
      <w:r w:rsidRPr="00937CDE">
        <w:t>Tier 2 assessment</w:t>
      </w:r>
    </w:p>
    <w:p w14:paraId="0A857298" w14:textId="77777777" w:rsidR="00685F63" w:rsidRPr="00937CDE" w:rsidRDefault="00685F63" w:rsidP="00937CDE">
      <w:pPr>
        <w:pStyle w:val="Bullet"/>
      </w:pPr>
      <w:r w:rsidRPr="00937CDE">
        <w:t>Tier 3 assessment</w:t>
      </w:r>
    </w:p>
    <w:p w14:paraId="3C89F255" w14:textId="77777777" w:rsidR="00685F63" w:rsidRPr="00937CDE" w:rsidRDefault="00685F63" w:rsidP="00937CDE">
      <w:pPr>
        <w:pStyle w:val="Bullet"/>
      </w:pPr>
      <w:r w:rsidRPr="00937CDE">
        <w:t>CAG meetings</w:t>
      </w:r>
    </w:p>
    <w:p w14:paraId="13227ACD" w14:textId="77777777" w:rsidR="00685F63" w:rsidRPr="00937CDE" w:rsidRDefault="00685F63" w:rsidP="00937CDE">
      <w:pPr>
        <w:pStyle w:val="Bullet"/>
      </w:pPr>
      <w:r w:rsidRPr="00937CDE">
        <w:t>PLAC meetings</w:t>
      </w:r>
    </w:p>
    <w:p w14:paraId="2CCDCEBC" w14:textId="77777777" w:rsidR="00685F63" w:rsidRPr="00937CDE" w:rsidRDefault="00685F63" w:rsidP="00937CDE">
      <w:pPr>
        <w:pStyle w:val="Bullet"/>
      </w:pPr>
      <w:r w:rsidRPr="00937CDE">
        <w:t>Deletions applications</w:t>
      </w:r>
    </w:p>
    <w:p w14:paraId="6E80C7FA" w14:textId="77777777" w:rsidR="00685F63" w:rsidRPr="00937CDE" w:rsidRDefault="00685F63" w:rsidP="00937CDE">
      <w:pPr>
        <w:pStyle w:val="Bullet"/>
      </w:pPr>
      <w:r w:rsidRPr="00937CDE">
        <w:t xml:space="preserve">Transfer </w:t>
      </w:r>
      <w:proofErr w:type="gramStart"/>
      <w:r w:rsidRPr="00937CDE">
        <w:t>applications</w:t>
      </w:r>
      <w:proofErr w:type="gramEnd"/>
    </w:p>
    <w:p w14:paraId="5D84BF2D" w14:textId="77777777" w:rsidR="00685F63" w:rsidRPr="00937CDE" w:rsidRDefault="00685F63" w:rsidP="00937CDE">
      <w:pPr>
        <w:pStyle w:val="Bullet"/>
      </w:pPr>
      <w:r w:rsidRPr="00937CDE">
        <w:lastRenderedPageBreak/>
        <w:t>Stakeholder engagement</w:t>
      </w:r>
    </w:p>
    <w:p w14:paraId="5DDFDC6B" w14:textId="1C9AD0EF" w:rsidR="00205612" w:rsidRPr="00937CDE" w:rsidRDefault="00685F63" w:rsidP="00937CDE">
      <w:pPr>
        <w:pStyle w:val="Bullet"/>
      </w:pPr>
      <w:r w:rsidRPr="00937CDE">
        <w:t>Compliance</w:t>
      </w:r>
      <w:r w:rsidR="00686A95" w:rsidRPr="00937CDE">
        <w:t>.</w:t>
      </w:r>
    </w:p>
    <w:p w14:paraId="079A351D" w14:textId="77777777" w:rsidR="00143B88" w:rsidRPr="00541121" w:rsidRDefault="00143B88" w:rsidP="00CC526E">
      <w:pPr>
        <w:pStyle w:val="Heading6"/>
        <w:spacing w:before="160"/>
      </w:pPr>
      <w:r w:rsidRPr="004D1FFC">
        <w:t>Baseline value</w:t>
      </w:r>
    </w:p>
    <w:p w14:paraId="4326157F" w14:textId="59E9178C" w:rsidR="00822A0A" w:rsidRPr="00541121" w:rsidRDefault="00822A0A" w:rsidP="009667DE">
      <w:r>
        <w:rPr>
          <w:rFonts w:eastAsiaTheme="minorEastAsia"/>
        </w:rPr>
        <w:t xml:space="preserve">As </w:t>
      </w:r>
      <w:r w:rsidR="0014445A">
        <w:rPr>
          <w:rFonts w:eastAsiaTheme="minorEastAsia"/>
        </w:rPr>
        <w:t>the baseline</w:t>
      </w:r>
      <w:r>
        <w:rPr>
          <w:rFonts w:eastAsiaTheme="minorEastAsia"/>
        </w:rPr>
        <w:t xml:space="preserve"> cost recovery framework </w:t>
      </w:r>
      <w:r w:rsidR="00EC09CD">
        <w:rPr>
          <w:rFonts w:eastAsiaTheme="minorEastAsia"/>
        </w:rPr>
        <w:t xml:space="preserve">was not aligned with </w:t>
      </w:r>
      <w:r>
        <w:rPr>
          <w:rFonts w:eastAsiaTheme="minorEastAsia"/>
        </w:rPr>
        <w:t>the Australian Government Charging Framework</w:t>
      </w:r>
      <w:r>
        <w:rPr>
          <w:rStyle w:val="FootnoteReference"/>
          <w:rFonts w:eastAsiaTheme="minorEastAsia"/>
        </w:rPr>
        <w:footnoteReference w:id="214"/>
      </w:r>
      <w:r>
        <w:rPr>
          <w:rFonts w:eastAsiaTheme="minorEastAsia"/>
        </w:rPr>
        <w:t>,</w:t>
      </w:r>
      <w:r w:rsidR="0014445A">
        <w:rPr>
          <w:rFonts w:eastAsiaTheme="minorEastAsia"/>
        </w:rPr>
        <w:t xml:space="preserve"> the evaluation team does not have </w:t>
      </w:r>
      <w:r w:rsidR="007033A5">
        <w:rPr>
          <w:rFonts w:eastAsiaTheme="minorEastAsia"/>
        </w:rPr>
        <w:t>activity-based estimates in the categories described above for the baseline year.</w:t>
      </w:r>
    </w:p>
    <w:p w14:paraId="535B07D9" w14:textId="77777777" w:rsidR="00143B88" w:rsidRDefault="00143B88" w:rsidP="009667DE">
      <w:pPr>
        <w:pStyle w:val="Heading4"/>
      </w:pPr>
      <w:r w:rsidRPr="0BCC15EA">
        <w:rPr>
          <w:color w:val="F25E21" w:themeColor="accent2"/>
        </w:rPr>
        <w:t>Measure 1</w:t>
      </w:r>
      <w:r>
        <w:rPr>
          <w:color w:val="F25E21" w:themeColor="accent2"/>
        </w:rPr>
        <w:t>9</w:t>
      </w:r>
      <w:r w:rsidRPr="0BCC15EA">
        <w:rPr>
          <w:color w:val="F25E21" w:themeColor="accent2"/>
        </w:rPr>
        <w:t>.2</w:t>
      </w:r>
      <w:r>
        <w:t>: Stakeholder perspectives on the financial sustainability of PL administration</w:t>
      </w:r>
    </w:p>
    <w:p w14:paraId="6648F7C1" w14:textId="77777777" w:rsidR="00143B88" w:rsidRDefault="00143B88" w:rsidP="00545061">
      <w:pPr>
        <w:pStyle w:val="Heading6"/>
        <w:spacing w:before="120"/>
      </w:pPr>
      <w:r w:rsidRPr="004D1FFC">
        <w:t>Measurement guide</w:t>
      </w:r>
    </w:p>
    <w:p w14:paraId="6C7131A7" w14:textId="4B2567D8" w:rsidR="008E5552" w:rsidRDefault="00D1349D" w:rsidP="00143B88">
      <w:r>
        <w:t>Th</w:t>
      </w:r>
      <w:r w:rsidR="00A92732">
        <w:t xml:space="preserve">is measure </w:t>
      </w:r>
      <w:r w:rsidR="001120B1">
        <w:t xml:space="preserve">will look at stakeholder opinions on </w:t>
      </w:r>
      <w:r w:rsidR="00777659">
        <w:t>the financial s</w:t>
      </w:r>
      <w:r w:rsidR="002A5B44">
        <w:t xml:space="preserve">ustainability of </w:t>
      </w:r>
      <w:r w:rsidR="00A469E4">
        <w:t>maintaining and administrating the</w:t>
      </w:r>
      <w:r w:rsidR="002A5B44">
        <w:t xml:space="preserve"> PL</w:t>
      </w:r>
      <w:r w:rsidR="00A469E4">
        <w:t>.</w:t>
      </w:r>
      <w:r w:rsidR="003375DC">
        <w:t xml:space="preserve"> </w:t>
      </w:r>
      <w:r w:rsidR="008E5552">
        <w:t>Th</w:t>
      </w:r>
      <w:r w:rsidR="00A83803">
        <w:t xml:space="preserve">is will involve consulting with </w:t>
      </w:r>
      <w:r w:rsidR="00BC1881">
        <w:t xml:space="preserve">the </w:t>
      </w:r>
      <w:r w:rsidR="008E5552">
        <w:t>Department</w:t>
      </w:r>
      <w:r w:rsidR="0076777B">
        <w:t xml:space="preserve"> </w:t>
      </w:r>
      <w:r w:rsidR="00962D79">
        <w:t>and</w:t>
      </w:r>
      <w:r w:rsidR="005A65B4">
        <w:t xml:space="preserve"> </w:t>
      </w:r>
      <w:r w:rsidR="00CA5634">
        <w:t xml:space="preserve">conducting a desktop review of appropriate documents. </w:t>
      </w:r>
      <w:r w:rsidR="00963A5A">
        <w:t xml:space="preserve">As </w:t>
      </w:r>
      <w:r w:rsidR="000E484B">
        <w:t xml:space="preserve">noted </w:t>
      </w:r>
      <w:r w:rsidR="00963A5A">
        <w:t xml:space="preserve">with measure 18.1, </w:t>
      </w:r>
      <w:r w:rsidR="00F60E23">
        <w:t>an assessment or measurement of the efficiency of the cost recovery model itself is out of scope for the evaluation</w:t>
      </w:r>
      <w:r w:rsidR="00EC12A0">
        <w:t xml:space="preserve">, </w:t>
      </w:r>
      <w:r w:rsidR="00DA29A4">
        <w:t>and as such, th</w:t>
      </w:r>
      <w:r w:rsidR="00FC186C">
        <w:t>is</w:t>
      </w:r>
      <w:r w:rsidR="00332917">
        <w:t xml:space="preserve"> </w:t>
      </w:r>
      <w:r w:rsidR="00766F0E">
        <w:t xml:space="preserve">measure will </w:t>
      </w:r>
      <w:r w:rsidR="007A4404">
        <w:t>note high-l</w:t>
      </w:r>
      <w:r w:rsidR="00952F3F">
        <w:t>evel findings</w:t>
      </w:r>
      <w:r w:rsidR="001C1842">
        <w:t xml:space="preserve"> of </w:t>
      </w:r>
      <w:r w:rsidR="00203A1C">
        <w:t xml:space="preserve">any </w:t>
      </w:r>
      <w:r w:rsidR="00285EC2">
        <w:t xml:space="preserve">external reviews into the cost recovery model and document </w:t>
      </w:r>
      <w:proofErr w:type="gramStart"/>
      <w:r w:rsidR="008145D6">
        <w:t>stakeholders</w:t>
      </w:r>
      <w:proofErr w:type="gramEnd"/>
      <w:r w:rsidR="008145D6">
        <w:t xml:space="preserve"> </w:t>
      </w:r>
      <w:r w:rsidR="006F3731">
        <w:t>views more broadly on the PL’s financial sustainability.</w:t>
      </w:r>
    </w:p>
    <w:p w14:paraId="28A1C45E" w14:textId="77777777" w:rsidR="00143B88" w:rsidRPr="00541121" w:rsidRDefault="00143B88" w:rsidP="00545061">
      <w:pPr>
        <w:pStyle w:val="Heading6"/>
        <w:spacing w:before="120"/>
      </w:pPr>
      <w:r w:rsidRPr="004D1FFC">
        <w:t>Baseline value</w:t>
      </w:r>
    </w:p>
    <w:p w14:paraId="75DB0269" w14:textId="3094BB01" w:rsidR="009070A2" w:rsidRPr="009070A2" w:rsidRDefault="008145D6" w:rsidP="009254E6">
      <w:pPr>
        <w:rPr>
          <w:lang w:eastAsia="en-AU"/>
        </w:rPr>
      </w:pPr>
      <w:r w:rsidRPr="00184582">
        <w:t>At baseline,</w:t>
      </w:r>
      <w:r w:rsidR="00E14AE8" w:rsidRPr="00184582">
        <w:t xml:space="preserve"> the</w:t>
      </w:r>
      <w:r w:rsidR="00E14AE8">
        <w:t xml:space="preserve"> Department noted its </w:t>
      </w:r>
      <w:r w:rsidR="00A755BD">
        <w:t xml:space="preserve">cost recovery arrangements had </w:t>
      </w:r>
      <w:r w:rsidR="00611DE2">
        <w:t xml:space="preserve">not changed </w:t>
      </w:r>
      <w:r w:rsidR="00261F90">
        <w:t xml:space="preserve">since 2009 </w:t>
      </w:r>
      <w:r w:rsidR="000012A9">
        <w:t xml:space="preserve">and its </w:t>
      </w:r>
      <w:r w:rsidR="0036148B">
        <w:t xml:space="preserve">application fees </w:t>
      </w:r>
      <w:r w:rsidR="00F946BD">
        <w:t>had been the same</w:t>
      </w:r>
      <w:r w:rsidR="0036148B">
        <w:t xml:space="preserve"> </w:t>
      </w:r>
      <w:r w:rsidR="00360AF4">
        <w:t>since 2007.</w:t>
      </w:r>
      <w:r w:rsidR="000F688A" w:rsidRPr="0BCC15EA">
        <w:rPr>
          <w:rStyle w:val="FootnoteReference"/>
          <w:rFonts w:eastAsiaTheme="minorEastAsia" w:cstheme="minorBidi"/>
        </w:rPr>
        <w:footnoteReference w:id="215"/>
      </w:r>
      <w:r w:rsidR="00DB5C88">
        <w:t xml:space="preserve"> </w:t>
      </w:r>
      <w:r w:rsidR="003B5505">
        <w:t>As noted, these arrangements did not align with the Australian Government Charging Framework</w:t>
      </w:r>
      <w:r w:rsidR="000604E8">
        <w:rPr>
          <w:rStyle w:val="FootnoteReference"/>
          <w:rFonts w:eastAsiaTheme="minorEastAsia"/>
        </w:rPr>
        <w:footnoteReference w:id="216"/>
      </w:r>
      <w:r w:rsidR="00F06F5C">
        <w:t>, as</w:t>
      </w:r>
      <w:r w:rsidR="00241013">
        <w:t xml:space="preserve"> </w:t>
      </w:r>
      <w:r w:rsidR="000604E8">
        <w:t xml:space="preserve">they were not </w:t>
      </w:r>
      <w:r w:rsidR="00845478">
        <w:rPr>
          <w:rFonts w:eastAsiaTheme="minorEastAsia"/>
        </w:rPr>
        <w:t>commensurate to the size and complexity of the Department’s administration activities associated with the PL.</w:t>
      </w:r>
      <w:r w:rsidR="00F06F5C">
        <w:rPr>
          <w:rFonts w:eastAsiaTheme="minorEastAsia"/>
        </w:rPr>
        <w:t xml:space="preserve"> With </w:t>
      </w:r>
      <w:r w:rsidR="00970E5C">
        <w:rPr>
          <w:rFonts w:eastAsiaTheme="minorEastAsia"/>
        </w:rPr>
        <w:t xml:space="preserve">expenses exceeding </w:t>
      </w:r>
      <w:r w:rsidR="00576964">
        <w:rPr>
          <w:rFonts w:eastAsiaTheme="minorEastAsia"/>
        </w:rPr>
        <w:t>recover</w:t>
      </w:r>
      <w:r w:rsidR="00F1292E">
        <w:rPr>
          <w:rFonts w:eastAsiaTheme="minorEastAsia"/>
        </w:rPr>
        <w:t>ed fees</w:t>
      </w:r>
      <w:r w:rsidR="00011A12">
        <w:rPr>
          <w:rFonts w:eastAsiaTheme="minorEastAsia"/>
        </w:rPr>
        <w:t xml:space="preserve"> by millions of dollars</w:t>
      </w:r>
      <w:r w:rsidR="000A5D2F">
        <w:rPr>
          <w:rStyle w:val="FootnoteReference"/>
          <w:rFonts w:eastAsiaTheme="minorEastAsia"/>
        </w:rPr>
        <w:footnoteReference w:id="217"/>
      </w:r>
      <w:r w:rsidR="00905A90">
        <w:rPr>
          <w:rFonts w:eastAsiaTheme="minorEastAsia"/>
        </w:rPr>
        <w:t>, th</w:t>
      </w:r>
      <w:r w:rsidR="005E40CC">
        <w:rPr>
          <w:rFonts w:eastAsiaTheme="minorEastAsia"/>
        </w:rPr>
        <w:t>e</w:t>
      </w:r>
      <w:r w:rsidR="000A5D2F">
        <w:rPr>
          <w:rFonts w:eastAsiaTheme="minorEastAsia"/>
        </w:rPr>
        <w:t xml:space="preserve"> financial sustainability of the PL was of concern.</w:t>
      </w:r>
    </w:p>
    <w:p w14:paraId="6DA42F62" w14:textId="135B0B36" w:rsidR="00C25720" w:rsidRPr="009070A2" w:rsidRDefault="00C25720" w:rsidP="009070A2">
      <w:pPr>
        <w:rPr>
          <w:lang w:eastAsia="en-AU"/>
        </w:rPr>
        <w:sectPr w:rsidR="00C25720" w:rsidRPr="009070A2" w:rsidSect="00BA60DA">
          <w:pgSz w:w="11907" w:h="16839" w:code="9"/>
          <w:pgMar w:top="1418" w:right="1418" w:bottom="1701" w:left="1559" w:header="680" w:footer="680" w:gutter="0"/>
          <w:cols w:space="720"/>
          <w:docGrid w:linePitch="360"/>
        </w:sectPr>
      </w:pPr>
    </w:p>
    <w:p w14:paraId="69B2062F" w14:textId="3A067584" w:rsidR="0004070E" w:rsidRPr="0004070E" w:rsidRDefault="0004070E" w:rsidP="0004070E">
      <w:pPr>
        <w:pStyle w:val="xAppendixLevel1"/>
      </w:pPr>
      <w:bookmarkStart w:id="120" w:name="_Toc179453707"/>
      <w:r w:rsidRPr="3787E91E">
        <w:lastRenderedPageBreak/>
        <w:t xml:space="preserve">Mapping of objectives to reform </w:t>
      </w:r>
      <w:r w:rsidR="00C524EA" w:rsidRPr="3787E91E">
        <w:t>projects</w:t>
      </w:r>
      <w:r w:rsidRPr="3787E91E">
        <w:t xml:space="preserve"> and key evaluation sub-questions</w:t>
      </w:r>
      <w:bookmarkEnd w:id="120"/>
    </w:p>
    <w:tbl>
      <w:tblPr>
        <w:tblStyle w:val="NOUSSideHeader1"/>
        <w:tblW w:w="0" w:type="auto"/>
        <w:tblLook w:val="04A0" w:firstRow="1" w:lastRow="0" w:firstColumn="1" w:lastColumn="0" w:noHBand="0" w:noVBand="1"/>
      </w:tblPr>
      <w:tblGrid>
        <w:gridCol w:w="4395"/>
        <w:gridCol w:w="2268"/>
        <w:gridCol w:w="7047"/>
      </w:tblGrid>
      <w:tr w:rsidR="0077389B" w14:paraId="112D15D9" w14:textId="77777777" w:rsidTr="3787E91E">
        <w:trPr>
          <w:cnfStyle w:val="100000000000" w:firstRow="1" w:lastRow="0" w:firstColumn="0" w:lastColumn="0" w:oddVBand="0" w:evenVBand="0" w:oddHBand="0" w:evenHBand="0" w:firstRowFirstColumn="0" w:firstRowLastColumn="0" w:lastRowFirstColumn="0" w:lastRowLastColumn="0"/>
        </w:trPr>
        <w:tc>
          <w:tcPr>
            <w:tcW w:w="4395" w:type="dxa"/>
          </w:tcPr>
          <w:p w14:paraId="717909BD" w14:textId="0823ECB2" w:rsidR="00237A07" w:rsidRDefault="004A603A" w:rsidP="005C3572">
            <w:pPr>
              <w:pStyle w:val="TableNheader"/>
              <w:keepNext w:val="0"/>
              <w:keepLines/>
            </w:pPr>
            <w:r>
              <w:t>Objective</w:t>
            </w:r>
          </w:p>
        </w:tc>
        <w:tc>
          <w:tcPr>
            <w:tcW w:w="2268" w:type="dxa"/>
          </w:tcPr>
          <w:p w14:paraId="4B777CBD" w14:textId="051B8D35" w:rsidR="00237A07" w:rsidRDefault="004A603A" w:rsidP="005C3572">
            <w:pPr>
              <w:pStyle w:val="TableNheader"/>
              <w:keepNext w:val="0"/>
              <w:keepLines/>
            </w:pPr>
            <w:r>
              <w:t xml:space="preserve">Reform </w:t>
            </w:r>
            <w:r w:rsidR="00C524EA">
              <w:t>projects</w:t>
            </w:r>
          </w:p>
        </w:tc>
        <w:tc>
          <w:tcPr>
            <w:tcW w:w="7047" w:type="dxa"/>
          </w:tcPr>
          <w:p w14:paraId="41F939D9" w14:textId="11775AC4" w:rsidR="00237A07" w:rsidRDefault="004A603A" w:rsidP="005C3572">
            <w:pPr>
              <w:pStyle w:val="TableNheader"/>
              <w:keepNext w:val="0"/>
              <w:keepLines/>
            </w:pPr>
            <w:r>
              <w:t>Key evaluation sub-questions</w:t>
            </w:r>
          </w:p>
        </w:tc>
      </w:tr>
      <w:tr w:rsidR="001A114B" w14:paraId="59D36AF6" w14:textId="77777777" w:rsidTr="3787E91E">
        <w:trPr>
          <w:cnfStyle w:val="000000100000" w:firstRow="0" w:lastRow="0" w:firstColumn="0" w:lastColumn="0" w:oddVBand="0" w:evenVBand="0" w:oddHBand="1" w:evenHBand="0" w:firstRowFirstColumn="0" w:firstRowLastColumn="0" w:lastRowFirstColumn="0" w:lastRowLastColumn="0"/>
        </w:trPr>
        <w:tc>
          <w:tcPr>
            <w:tcW w:w="4395" w:type="dxa"/>
          </w:tcPr>
          <w:p w14:paraId="7DE625C7" w14:textId="5E84476E" w:rsidR="001A114B" w:rsidRDefault="000E3659" w:rsidP="005C3572">
            <w:pPr>
              <w:pStyle w:val="TableNText"/>
              <w:keepNext w:val="0"/>
              <w:keepLines/>
              <w:rPr>
                <w:rFonts w:eastAsia="Segoe UI"/>
              </w:rPr>
            </w:pPr>
            <w:r>
              <w:rPr>
                <w:rFonts w:eastAsia="Segoe UI"/>
              </w:rPr>
              <w:t xml:space="preserve">1. </w:t>
            </w:r>
            <w:r w:rsidR="001A114B">
              <w:rPr>
                <w:rFonts w:eastAsia="Segoe UI"/>
              </w:rPr>
              <w:t>Improve alignment of the scheduled benefits of the PL with the prices paid in more competitive markets such as the public hospital system and comparable international markets</w:t>
            </w:r>
          </w:p>
        </w:tc>
        <w:tc>
          <w:tcPr>
            <w:tcW w:w="2268" w:type="dxa"/>
          </w:tcPr>
          <w:p w14:paraId="014445E6" w14:textId="416ED180" w:rsidR="001A114B" w:rsidRDefault="001A114B" w:rsidP="3787E91E">
            <w:pPr>
              <w:pStyle w:val="TableNText"/>
              <w:keepNext w:val="0"/>
              <w:keepLines/>
            </w:pPr>
            <w:r w:rsidRPr="3787E91E">
              <w:rPr>
                <w:rFonts w:eastAsia="Segoe UI"/>
              </w:rPr>
              <w:t>Benefit reductions</w:t>
            </w:r>
          </w:p>
        </w:tc>
        <w:tc>
          <w:tcPr>
            <w:tcW w:w="7047" w:type="dxa"/>
          </w:tcPr>
          <w:p w14:paraId="333A2CBF" w14:textId="5367F50A" w:rsidR="001A114B" w:rsidRPr="004A0C1C" w:rsidRDefault="001A114B" w:rsidP="00010D90">
            <w:pPr>
              <w:pStyle w:val="TableNBullet"/>
              <w:rPr>
                <w:rFonts w:eastAsia="Segoe UI"/>
              </w:rPr>
            </w:pPr>
            <w:r w:rsidRPr="004A0C1C">
              <w:rPr>
                <w:rFonts w:eastAsia="Segoe UI"/>
              </w:rPr>
              <w:t>2.1 Has there been a reduction in prostheses prices paid by private hospital system compared to prosthesis prices paid by public hospitals and comparable international markets?</w:t>
            </w:r>
          </w:p>
        </w:tc>
      </w:tr>
      <w:tr w:rsidR="00237A07" w14:paraId="1F95B5A0" w14:textId="77777777" w:rsidTr="3787E91E">
        <w:trPr>
          <w:cnfStyle w:val="000000010000" w:firstRow="0" w:lastRow="0" w:firstColumn="0" w:lastColumn="0" w:oddVBand="0" w:evenVBand="0" w:oddHBand="0" w:evenHBand="1" w:firstRowFirstColumn="0" w:firstRowLastColumn="0" w:lastRowFirstColumn="0" w:lastRowLastColumn="0"/>
        </w:trPr>
        <w:tc>
          <w:tcPr>
            <w:tcW w:w="4395" w:type="dxa"/>
          </w:tcPr>
          <w:p w14:paraId="1D070F87" w14:textId="497C8C84" w:rsidR="00237A07" w:rsidRDefault="000E3659" w:rsidP="3787E91E">
            <w:pPr>
              <w:pStyle w:val="TableNText"/>
              <w:keepNext w:val="0"/>
              <w:keepLines/>
            </w:pPr>
            <w:r w:rsidRPr="3787E91E">
              <w:rPr>
                <w:rFonts w:eastAsia="Segoe UI"/>
              </w:rPr>
              <w:t xml:space="preserve">2. </w:t>
            </w:r>
            <w:r w:rsidR="00327E5F" w:rsidRPr="3787E91E">
              <w:rPr>
                <w:rFonts w:eastAsia="Segoe UI"/>
              </w:rPr>
              <w:t>Maintain no additional out-of-pocket costs associated with the PL devices for consumers</w:t>
            </w:r>
          </w:p>
        </w:tc>
        <w:tc>
          <w:tcPr>
            <w:tcW w:w="2268" w:type="dxa"/>
          </w:tcPr>
          <w:p w14:paraId="32EB7899" w14:textId="6A23866F" w:rsidR="00237A07" w:rsidRPr="00B56837" w:rsidRDefault="008E5438" w:rsidP="005C3572">
            <w:pPr>
              <w:pStyle w:val="TableNText"/>
              <w:keepNext w:val="0"/>
              <w:keepLines/>
              <w:rPr>
                <w:i/>
              </w:rPr>
            </w:pPr>
            <w:r w:rsidRPr="00B56837">
              <w:rPr>
                <w:i/>
              </w:rPr>
              <w:t xml:space="preserve">No specific </w:t>
            </w:r>
            <w:r w:rsidR="00C524EA">
              <w:rPr>
                <w:i/>
              </w:rPr>
              <w:t>project</w:t>
            </w:r>
          </w:p>
        </w:tc>
        <w:tc>
          <w:tcPr>
            <w:tcW w:w="7047" w:type="dxa"/>
          </w:tcPr>
          <w:p w14:paraId="0E7E5529" w14:textId="08AA27A4" w:rsidR="00237A07" w:rsidRDefault="00327E5F" w:rsidP="00010D90">
            <w:pPr>
              <w:pStyle w:val="TableNBullet"/>
            </w:pPr>
            <w:r w:rsidRPr="3787E91E">
              <w:rPr>
                <w:rFonts w:eastAsia="Segoe UI"/>
              </w:rPr>
              <w:t>2.2 Have prostheses related to out-of-pocket expenses for consumers been maintained since the introduction of PL reforms?</w:t>
            </w:r>
          </w:p>
        </w:tc>
      </w:tr>
      <w:tr w:rsidR="004A0C1C" w14:paraId="66C1DC31" w14:textId="77777777" w:rsidTr="3787E91E">
        <w:trPr>
          <w:cnfStyle w:val="000000100000" w:firstRow="0" w:lastRow="0" w:firstColumn="0" w:lastColumn="0" w:oddVBand="0" w:evenVBand="0" w:oddHBand="1" w:evenHBand="0" w:firstRowFirstColumn="0" w:firstRowLastColumn="0" w:lastRowFirstColumn="0" w:lastRowLastColumn="0"/>
        </w:trPr>
        <w:tc>
          <w:tcPr>
            <w:tcW w:w="4395" w:type="dxa"/>
          </w:tcPr>
          <w:p w14:paraId="195AE267" w14:textId="2B9D5C7B" w:rsidR="004A0C1C" w:rsidRDefault="000E3659" w:rsidP="3787E91E">
            <w:pPr>
              <w:pStyle w:val="TableNText"/>
              <w:keepNext w:val="0"/>
              <w:keepLines/>
              <w:rPr>
                <w:rFonts w:eastAsia="Segoe UI"/>
              </w:rPr>
            </w:pPr>
            <w:r w:rsidRPr="3787E91E">
              <w:rPr>
                <w:rFonts w:eastAsia="Segoe UI"/>
              </w:rPr>
              <w:t xml:space="preserve">3. </w:t>
            </w:r>
            <w:r w:rsidR="004A0C1C" w:rsidRPr="3787E91E">
              <w:rPr>
                <w:rFonts w:eastAsia="Segoe UI"/>
              </w:rPr>
              <w:t>Maintain clinician choice of appropriate prostheses for their patients</w:t>
            </w:r>
          </w:p>
        </w:tc>
        <w:tc>
          <w:tcPr>
            <w:tcW w:w="2268" w:type="dxa"/>
          </w:tcPr>
          <w:p w14:paraId="4EAC44C3" w14:textId="3A260A9A" w:rsidR="004A0C1C" w:rsidRPr="00B56837" w:rsidRDefault="008E5438" w:rsidP="005C3572">
            <w:pPr>
              <w:pStyle w:val="TableNText"/>
              <w:keepNext w:val="0"/>
              <w:keepLines/>
              <w:rPr>
                <w:i/>
              </w:rPr>
            </w:pPr>
            <w:r w:rsidRPr="00B56837">
              <w:rPr>
                <w:i/>
              </w:rPr>
              <w:t xml:space="preserve">No specific </w:t>
            </w:r>
            <w:r w:rsidR="00C524EA">
              <w:rPr>
                <w:i/>
              </w:rPr>
              <w:t>project</w:t>
            </w:r>
          </w:p>
        </w:tc>
        <w:tc>
          <w:tcPr>
            <w:tcW w:w="7047" w:type="dxa"/>
          </w:tcPr>
          <w:p w14:paraId="5E5E8EDD" w14:textId="77777777" w:rsidR="004A0C1C" w:rsidRPr="004A0C1C" w:rsidRDefault="004A0C1C" w:rsidP="3787E91E">
            <w:pPr>
              <w:pStyle w:val="TableNBullet"/>
              <w:rPr>
                <w:rFonts w:eastAsia="Segoe UI"/>
              </w:rPr>
            </w:pPr>
            <w:r w:rsidRPr="3787E91E">
              <w:rPr>
                <w:rFonts w:eastAsia="Segoe UI"/>
              </w:rPr>
              <w:t>2.3 Has prostheses availability, accessibility and clinician/consumer choice in Australia been maintained since the introduction of PL reforms?</w:t>
            </w:r>
          </w:p>
          <w:p w14:paraId="41D6C149" w14:textId="6C9B9A7C" w:rsidR="004A0C1C" w:rsidRPr="004A0C1C" w:rsidRDefault="004A0C1C" w:rsidP="00010D90">
            <w:pPr>
              <w:pStyle w:val="TableNBullet"/>
              <w:rPr>
                <w:rFonts w:eastAsia="Segoe UI"/>
              </w:rPr>
            </w:pPr>
            <w:r w:rsidRPr="004A0C1C">
              <w:rPr>
                <w:rFonts w:eastAsia="Segoe UI"/>
              </w:rPr>
              <w:t>2.4 Have the reforms had any impact on the selection and utilisation of products, and has this change generated any changes in clinical outcomes?</w:t>
            </w:r>
          </w:p>
        </w:tc>
      </w:tr>
      <w:tr w:rsidR="004A0C1C" w14:paraId="06A3DE1B" w14:textId="77777777" w:rsidTr="3787E91E">
        <w:trPr>
          <w:cnfStyle w:val="000000010000" w:firstRow="0" w:lastRow="0" w:firstColumn="0" w:lastColumn="0" w:oddVBand="0" w:evenVBand="0" w:oddHBand="0" w:evenHBand="1" w:firstRowFirstColumn="0" w:firstRowLastColumn="0" w:lastRowFirstColumn="0" w:lastRowLastColumn="0"/>
        </w:trPr>
        <w:tc>
          <w:tcPr>
            <w:tcW w:w="4395" w:type="dxa"/>
          </w:tcPr>
          <w:p w14:paraId="00D45A95" w14:textId="472AE045" w:rsidR="004A0C1C" w:rsidRDefault="00061C2B" w:rsidP="005C3572">
            <w:pPr>
              <w:pStyle w:val="TableNText"/>
              <w:keepNext w:val="0"/>
              <w:keepLines/>
              <w:rPr>
                <w:rFonts w:eastAsia="Segoe UI"/>
              </w:rPr>
            </w:pPr>
            <w:r>
              <w:rPr>
                <w:rFonts w:eastAsia="Segoe UI"/>
              </w:rPr>
              <w:t xml:space="preserve">4. </w:t>
            </w:r>
            <w:r w:rsidR="004A0C1C">
              <w:rPr>
                <w:rFonts w:eastAsia="Segoe UI"/>
              </w:rPr>
              <w:t>Improve the affordability and value of private health insurance for privately insured Australians</w:t>
            </w:r>
          </w:p>
        </w:tc>
        <w:tc>
          <w:tcPr>
            <w:tcW w:w="2268" w:type="dxa"/>
          </w:tcPr>
          <w:p w14:paraId="6DA3A66C" w14:textId="36C37B03" w:rsidR="004A0C1C" w:rsidRDefault="00BC2E3E" w:rsidP="3787E91E">
            <w:pPr>
              <w:pStyle w:val="TableNText"/>
              <w:keepNext w:val="0"/>
              <w:keepLines/>
            </w:pPr>
            <w:r w:rsidRPr="3787E91E">
              <w:rPr>
                <w:rFonts w:eastAsia="Segoe UI"/>
              </w:rPr>
              <w:t>Benefit reductions</w:t>
            </w:r>
          </w:p>
        </w:tc>
        <w:tc>
          <w:tcPr>
            <w:tcW w:w="7047" w:type="dxa"/>
          </w:tcPr>
          <w:p w14:paraId="420606E6" w14:textId="77777777" w:rsidR="004A0C1C" w:rsidRPr="004A0C1C" w:rsidRDefault="004A0C1C" w:rsidP="00010D90">
            <w:pPr>
              <w:pStyle w:val="TableNBullet"/>
              <w:rPr>
                <w:rFonts w:eastAsia="Segoe UI"/>
              </w:rPr>
            </w:pPr>
            <w:r w:rsidRPr="004A0C1C">
              <w:rPr>
                <w:rFonts w:eastAsia="Segoe UI"/>
              </w:rPr>
              <w:t>2.6 Are any reductions of PL benefits resulting in reductions of PHI premium increase rates?</w:t>
            </w:r>
          </w:p>
          <w:p w14:paraId="7C4374AD" w14:textId="77777777" w:rsidR="004A0C1C" w:rsidRPr="004A0C1C" w:rsidRDefault="004A0C1C" w:rsidP="00010D90">
            <w:pPr>
              <w:pStyle w:val="TableNBullet"/>
              <w:rPr>
                <w:rFonts w:eastAsia="Segoe UI"/>
              </w:rPr>
            </w:pPr>
            <w:r w:rsidRPr="004A0C1C">
              <w:rPr>
                <w:rFonts w:eastAsia="Segoe UI"/>
              </w:rPr>
              <w:t>2.7 Has increased awareness of PL reforms and increased value of PHI resulted in higher uptake of PHI?</w:t>
            </w:r>
          </w:p>
          <w:p w14:paraId="3A346217" w14:textId="42E009DB" w:rsidR="004A0C1C" w:rsidRPr="004A0C1C" w:rsidRDefault="004A0C1C" w:rsidP="00010D90">
            <w:pPr>
              <w:pStyle w:val="TableNBullet"/>
              <w:rPr>
                <w:rFonts w:eastAsia="Segoe UI"/>
              </w:rPr>
            </w:pPr>
            <w:r w:rsidRPr="004A0C1C">
              <w:rPr>
                <w:rFonts w:eastAsia="Segoe UI"/>
              </w:rPr>
              <w:t>2.10 In what population groups are PL Reform benefits realised most significantly?</w:t>
            </w:r>
          </w:p>
        </w:tc>
      </w:tr>
      <w:tr w:rsidR="00DF1AB3" w14:paraId="242983E8" w14:textId="77777777" w:rsidTr="3787E91E">
        <w:trPr>
          <w:cnfStyle w:val="000000100000" w:firstRow="0" w:lastRow="0" w:firstColumn="0" w:lastColumn="0" w:oddVBand="0" w:evenVBand="0" w:oddHBand="1" w:evenHBand="0" w:firstRowFirstColumn="0" w:firstRowLastColumn="0" w:lastRowFirstColumn="0" w:lastRowLastColumn="0"/>
        </w:trPr>
        <w:tc>
          <w:tcPr>
            <w:tcW w:w="4395" w:type="dxa"/>
          </w:tcPr>
          <w:p w14:paraId="5B91942D" w14:textId="301EFBDD" w:rsidR="00DF1AB3" w:rsidRDefault="00061C2B" w:rsidP="005C3572">
            <w:pPr>
              <w:pStyle w:val="TableNText"/>
              <w:keepNext w:val="0"/>
              <w:keepLines/>
              <w:rPr>
                <w:rFonts w:eastAsia="Segoe UI"/>
              </w:rPr>
            </w:pPr>
            <w:r>
              <w:rPr>
                <w:rFonts w:eastAsia="Segoe UI"/>
              </w:rPr>
              <w:t xml:space="preserve">5. </w:t>
            </w:r>
            <w:r w:rsidR="00DF1AB3">
              <w:rPr>
                <w:rFonts w:eastAsia="Segoe UI"/>
              </w:rPr>
              <w:t>Clarify the purpose, definition, and scope of the PL in legislation</w:t>
            </w:r>
          </w:p>
        </w:tc>
        <w:tc>
          <w:tcPr>
            <w:tcW w:w="2268" w:type="dxa"/>
          </w:tcPr>
          <w:p w14:paraId="247D2C1C" w14:textId="77777777" w:rsidR="00DF1AB3" w:rsidRDefault="00DF1AB3" w:rsidP="005C3572">
            <w:pPr>
              <w:pStyle w:val="TableNText"/>
              <w:keepNext w:val="0"/>
              <w:keepLines/>
              <w:rPr>
                <w:rFonts w:ascii="Arial" w:hAnsi="Arial" w:cs="Arial"/>
                <w:szCs w:val="36"/>
              </w:rPr>
            </w:pPr>
            <w:r>
              <w:rPr>
                <w:rFonts w:eastAsia="Segoe UI"/>
              </w:rPr>
              <w:t>Clarifying purpose and scope</w:t>
            </w:r>
          </w:p>
          <w:p w14:paraId="71120696" w14:textId="77777777" w:rsidR="00DF1AB3" w:rsidRDefault="00DF1AB3" w:rsidP="005C3572">
            <w:pPr>
              <w:pStyle w:val="TableNText"/>
              <w:keepNext w:val="0"/>
              <w:keepLines/>
              <w:rPr>
                <w:rFonts w:ascii="Arial" w:hAnsi="Arial" w:cs="Arial"/>
                <w:szCs w:val="36"/>
              </w:rPr>
            </w:pPr>
            <w:r>
              <w:rPr>
                <w:rFonts w:eastAsia="Segoe UI"/>
              </w:rPr>
              <w:t>Regrouping of PL</w:t>
            </w:r>
          </w:p>
          <w:p w14:paraId="7AEE6912" w14:textId="5B938F38" w:rsidR="00DF1AB3" w:rsidRDefault="00DF1AB3" w:rsidP="3787E91E">
            <w:pPr>
              <w:pStyle w:val="TableNText"/>
              <w:keepNext w:val="0"/>
              <w:keepLines/>
            </w:pPr>
            <w:r w:rsidRPr="3787E91E">
              <w:rPr>
                <w:rFonts w:eastAsia="Segoe UI"/>
              </w:rPr>
              <w:t>General use items</w:t>
            </w:r>
          </w:p>
        </w:tc>
        <w:tc>
          <w:tcPr>
            <w:tcW w:w="7047" w:type="dxa"/>
          </w:tcPr>
          <w:p w14:paraId="46EA3262" w14:textId="77777777" w:rsidR="00DF1AB3" w:rsidRPr="004A0C1C" w:rsidRDefault="00DF1AB3" w:rsidP="00010D90">
            <w:pPr>
              <w:pStyle w:val="TableNBullet"/>
              <w:rPr>
                <w:rFonts w:eastAsia="Segoe UI"/>
                <w:szCs w:val="24"/>
              </w:rPr>
            </w:pPr>
            <w:r>
              <w:rPr>
                <w:rFonts w:eastAsia="Segoe UI"/>
              </w:rPr>
              <w:t>1.2 Has there been a reduction in PL categories / subcategories and groupings / subgroupings? Is this reducing complexity of the PL?</w:t>
            </w:r>
          </w:p>
          <w:p w14:paraId="219BA7AE" w14:textId="77777777" w:rsidR="00DF1AB3" w:rsidRPr="004A0C1C" w:rsidRDefault="00DF1AB3" w:rsidP="3787E91E">
            <w:pPr>
              <w:pStyle w:val="TableNBullet"/>
              <w:rPr>
                <w:rFonts w:eastAsia="Segoe UI"/>
              </w:rPr>
            </w:pPr>
            <w:r w:rsidRPr="3787E91E">
              <w:rPr>
                <w:rFonts w:eastAsia="Segoe UI"/>
              </w:rPr>
              <w:t xml:space="preserve">1.3 What, if any, changes have been made to the PL scope, </w:t>
            </w:r>
            <w:proofErr w:type="gramStart"/>
            <w:r w:rsidRPr="3787E91E">
              <w:rPr>
                <w:rFonts w:eastAsia="Segoe UI"/>
              </w:rPr>
              <w:t>definition</w:t>
            </w:r>
            <w:proofErr w:type="gramEnd"/>
            <w:r w:rsidRPr="3787E91E">
              <w:rPr>
                <w:rFonts w:eastAsia="Segoe UI"/>
              </w:rPr>
              <w:t xml:space="preserve"> and purpose? How is this reflected in guidance and process documents?</w:t>
            </w:r>
          </w:p>
          <w:p w14:paraId="2741D8DE" w14:textId="6B7C7C06" w:rsidR="00DF1AB3" w:rsidRPr="004A0C1C" w:rsidRDefault="00DF1AB3" w:rsidP="00010D90">
            <w:pPr>
              <w:pStyle w:val="TableNBullet"/>
              <w:rPr>
                <w:rFonts w:eastAsia="Segoe UI"/>
              </w:rPr>
            </w:pPr>
            <w:r>
              <w:rPr>
                <w:rFonts w:eastAsia="Segoe UI"/>
              </w:rPr>
              <w:t>2.5b Have changes to the PL groupings streamlined the application process? How?</w:t>
            </w:r>
          </w:p>
        </w:tc>
      </w:tr>
      <w:tr w:rsidR="00DF1AB3" w14:paraId="3C23D23D" w14:textId="77777777" w:rsidTr="3787E91E">
        <w:trPr>
          <w:cnfStyle w:val="000000010000" w:firstRow="0" w:lastRow="0" w:firstColumn="0" w:lastColumn="0" w:oddVBand="0" w:evenVBand="0" w:oddHBand="0" w:evenHBand="1" w:firstRowFirstColumn="0" w:firstRowLastColumn="0" w:lastRowFirstColumn="0" w:lastRowLastColumn="0"/>
        </w:trPr>
        <w:tc>
          <w:tcPr>
            <w:tcW w:w="4395" w:type="dxa"/>
          </w:tcPr>
          <w:p w14:paraId="67B62B27" w14:textId="7ADCC44D" w:rsidR="00DF1AB3" w:rsidRDefault="00061C2B" w:rsidP="005C3572">
            <w:pPr>
              <w:pStyle w:val="TableNText"/>
              <w:keepNext w:val="0"/>
              <w:keepLines/>
              <w:rPr>
                <w:rFonts w:eastAsia="Segoe UI"/>
              </w:rPr>
            </w:pPr>
            <w:r>
              <w:rPr>
                <w:rFonts w:eastAsia="Segoe UI"/>
              </w:rPr>
              <w:t xml:space="preserve">6. </w:t>
            </w:r>
            <w:r w:rsidR="00DF1AB3">
              <w:rPr>
                <w:rFonts w:eastAsia="Segoe UI"/>
              </w:rPr>
              <w:t>Implement new PL assessment pathways aligned to Health Technology Assessment Policy Branch principles and streamline application process through simple and robust IT infrastructure</w:t>
            </w:r>
          </w:p>
        </w:tc>
        <w:tc>
          <w:tcPr>
            <w:tcW w:w="2268" w:type="dxa"/>
          </w:tcPr>
          <w:p w14:paraId="4EBDD4F9" w14:textId="77777777" w:rsidR="00DF1AB3" w:rsidRDefault="00DF1AB3" w:rsidP="005C3572">
            <w:pPr>
              <w:pStyle w:val="TableNText"/>
              <w:keepNext w:val="0"/>
              <w:keepLines/>
              <w:rPr>
                <w:rFonts w:ascii="Arial" w:hAnsi="Arial" w:cs="Arial"/>
                <w:szCs w:val="36"/>
              </w:rPr>
            </w:pPr>
            <w:r>
              <w:rPr>
                <w:rFonts w:eastAsia="Segoe UI"/>
              </w:rPr>
              <w:t>Modernised pathways</w:t>
            </w:r>
          </w:p>
          <w:p w14:paraId="1D7C2EA6" w14:textId="77777777" w:rsidR="008E5438" w:rsidRDefault="00DF1AB3" w:rsidP="008E5438">
            <w:pPr>
              <w:pStyle w:val="TableNText"/>
              <w:keepNext w:val="0"/>
              <w:keepLines/>
              <w:rPr>
                <w:rFonts w:eastAsia="Segoe UI"/>
              </w:rPr>
            </w:pPr>
            <w:r>
              <w:rPr>
                <w:rFonts w:eastAsia="Segoe UI"/>
              </w:rPr>
              <w:t>Updated technology</w:t>
            </w:r>
          </w:p>
          <w:p w14:paraId="52A26922" w14:textId="66532F2C" w:rsidR="00DF1AB3" w:rsidRDefault="00B56837" w:rsidP="005C3572">
            <w:pPr>
              <w:pStyle w:val="TableNText"/>
              <w:keepNext w:val="0"/>
              <w:keepLines/>
            </w:pPr>
            <w:r>
              <w:t>Governance arrangements</w:t>
            </w:r>
          </w:p>
        </w:tc>
        <w:tc>
          <w:tcPr>
            <w:tcW w:w="7047" w:type="dxa"/>
          </w:tcPr>
          <w:p w14:paraId="135F084F" w14:textId="77777777" w:rsidR="00DF1AB3" w:rsidRDefault="00DF1AB3" w:rsidP="00010D90">
            <w:pPr>
              <w:pStyle w:val="TableNBullet"/>
              <w:rPr>
                <w:rFonts w:ascii="Arial" w:hAnsi="Arial" w:cs="Arial"/>
                <w:szCs w:val="36"/>
              </w:rPr>
            </w:pPr>
            <w:r>
              <w:rPr>
                <w:rFonts w:eastAsia="Segoe UI"/>
              </w:rPr>
              <w:t>1.4 Are the PL assessment pathways and application process more aligned to HTA principles adopted by the Department?</w:t>
            </w:r>
          </w:p>
          <w:p w14:paraId="3FCE8608" w14:textId="77777777" w:rsidR="00DF1AB3" w:rsidRDefault="00DF1AB3" w:rsidP="00010D90">
            <w:pPr>
              <w:pStyle w:val="TableNBullet"/>
              <w:rPr>
                <w:rFonts w:ascii="Arial" w:hAnsi="Arial" w:cs="Arial"/>
                <w:szCs w:val="36"/>
              </w:rPr>
            </w:pPr>
            <w:r>
              <w:rPr>
                <w:rFonts w:eastAsia="Segoe UI"/>
              </w:rPr>
              <w:t>2.5a Have changes to the PL pathways streamlined the application process? How?</w:t>
            </w:r>
          </w:p>
          <w:p w14:paraId="3BA821C2" w14:textId="791C0409" w:rsidR="00DF1AB3" w:rsidRPr="00DF1AB3" w:rsidRDefault="00DF1AB3" w:rsidP="3787E91E">
            <w:pPr>
              <w:pStyle w:val="TableNBullet"/>
              <w:numPr>
                <w:ilvl w:val="0"/>
                <w:numId w:val="0"/>
              </w:numPr>
              <w:rPr>
                <w:rFonts w:eastAsia="Segoe UI"/>
                <w:i/>
                <w:iCs/>
              </w:rPr>
            </w:pPr>
            <w:r w:rsidRPr="3787E91E">
              <w:rPr>
                <w:rFonts w:eastAsia="Segoe UI"/>
                <w:i/>
                <w:iCs/>
              </w:rPr>
              <w:lastRenderedPageBreak/>
              <w:t xml:space="preserve">1.6 Has the PLMS been replaced with HPP and has this streamlined the internal administrative </w:t>
            </w:r>
            <w:proofErr w:type="gramStart"/>
            <w:r w:rsidRPr="3787E91E">
              <w:rPr>
                <w:rFonts w:eastAsia="Segoe UI"/>
                <w:i/>
                <w:iCs/>
              </w:rPr>
              <w:t>processes?*</w:t>
            </w:r>
            <w:proofErr w:type="gramEnd"/>
          </w:p>
        </w:tc>
      </w:tr>
      <w:tr w:rsidR="00DF1AB3" w14:paraId="1DA2432E" w14:textId="77777777" w:rsidTr="3787E91E">
        <w:trPr>
          <w:cnfStyle w:val="000000100000" w:firstRow="0" w:lastRow="0" w:firstColumn="0" w:lastColumn="0" w:oddVBand="0" w:evenVBand="0" w:oddHBand="1" w:evenHBand="0" w:firstRowFirstColumn="0" w:firstRowLastColumn="0" w:lastRowFirstColumn="0" w:lastRowLastColumn="0"/>
        </w:trPr>
        <w:tc>
          <w:tcPr>
            <w:tcW w:w="4395" w:type="dxa"/>
          </w:tcPr>
          <w:p w14:paraId="454541EE" w14:textId="51178B8B" w:rsidR="00DF1AB3" w:rsidRDefault="00061C2B" w:rsidP="005C3572">
            <w:pPr>
              <w:pStyle w:val="TableNText"/>
              <w:keepNext w:val="0"/>
              <w:keepLines/>
              <w:rPr>
                <w:rFonts w:eastAsia="Segoe UI"/>
              </w:rPr>
            </w:pPr>
            <w:r>
              <w:rPr>
                <w:rFonts w:eastAsia="Segoe UI"/>
              </w:rPr>
              <w:lastRenderedPageBreak/>
              <w:t xml:space="preserve">7. </w:t>
            </w:r>
            <w:r w:rsidR="00DF1AB3">
              <w:rPr>
                <w:rFonts w:eastAsia="Segoe UI"/>
              </w:rPr>
              <w:t>Develop and implement PL listing review and PL compliance frameworks to safeguard the PL reforms</w:t>
            </w:r>
          </w:p>
        </w:tc>
        <w:tc>
          <w:tcPr>
            <w:tcW w:w="2268" w:type="dxa"/>
          </w:tcPr>
          <w:p w14:paraId="0CFF2427" w14:textId="7F7EA45C" w:rsidR="00DF1AB3" w:rsidRDefault="00DF1AB3" w:rsidP="005C3572">
            <w:pPr>
              <w:pStyle w:val="TableNText"/>
              <w:keepNext w:val="0"/>
              <w:keepLines/>
            </w:pPr>
            <w:r>
              <w:rPr>
                <w:rFonts w:eastAsia="Segoe UI"/>
              </w:rPr>
              <w:t>Compliance activities</w:t>
            </w:r>
          </w:p>
        </w:tc>
        <w:tc>
          <w:tcPr>
            <w:tcW w:w="7047" w:type="dxa"/>
          </w:tcPr>
          <w:p w14:paraId="331A93BB" w14:textId="387450F6" w:rsidR="00DF1AB3" w:rsidRPr="004A0C1C" w:rsidRDefault="00DF1AB3" w:rsidP="00010D90">
            <w:pPr>
              <w:pStyle w:val="TableNBullet"/>
              <w:rPr>
                <w:rFonts w:eastAsia="Segoe UI"/>
              </w:rPr>
            </w:pPr>
            <w:r>
              <w:rPr>
                <w:rFonts w:eastAsia="Segoe UI"/>
              </w:rPr>
              <w:t>1.5 Have changes occurred in the post-listing activities, including post-listing reviews and compliance activities?</w:t>
            </w:r>
          </w:p>
        </w:tc>
      </w:tr>
      <w:tr w:rsidR="00DF1AB3" w14:paraId="025F85FC" w14:textId="77777777" w:rsidTr="3787E91E">
        <w:trPr>
          <w:cnfStyle w:val="000000010000" w:firstRow="0" w:lastRow="0" w:firstColumn="0" w:lastColumn="0" w:oddVBand="0" w:evenVBand="0" w:oddHBand="0" w:evenHBand="1" w:firstRowFirstColumn="0" w:firstRowLastColumn="0" w:lastRowFirstColumn="0" w:lastRowLastColumn="0"/>
        </w:trPr>
        <w:tc>
          <w:tcPr>
            <w:tcW w:w="4395" w:type="dxa"/>
          </w:tcPr>
          <w:p w14:paraId="17FA2903" w14:textId="129D8769" w:rsidR="00DF1AB3" w:rsidRDefault="00061C2B" w:rsidP="005C3572">
            <w:pPr>
              <w:pStyle w:val="TableNText"/>
              <w:keepNext w:val="0"/>
              <w:keepLines/>
              <w:rPr>
                <w:rFonts w:eastAsia="Segoe UI"/>
              </w:rPr>
            </w:pPr>
            <w:r>
              <w:rPr>
                <w:rFonts w:eastAsia="Segoe UI"/>
              </w:rPr>
              <w:t xml:space="preserve">8. </w:t>
            </w:r>
            <w:r w:rsidR="00DF1AB3">
              <w:rPr>
                <w:rFonts w:eastAsia="Segoe UI"/>
              </w:rPr>
              <w:t>Ensure ongoing financial sustainability of PL administration through effective and efficient cost recovery arrangements that are compliant with the AGCF</w:t>
            </w:r>
          </w:p>
        </w:tc>
        <w:tc>
          <w:tcPr>
            <w:tcW w:w="2268" w:type="dxa"/>
          </w:tcPr>
          <w:p w14:paraId="7304262A" w14:textId="446D8BFD" w:rsidR="00DF1AB3" w:rsidRDefault="00DF1AB3" w:rsidP="005C3572">
            <w:pPr>
              <w:pStyle w:val="TableNText"/>
              <w:keepNext w:val="0"/>
              <w:keepLines/>
              <w:rPr>
                <w:rFonts w:eastAsia="Segoe UI"/>
              </w:rPr>
            </w:pPr>
            <w:r>
              <w:rPr>
                <w:rFonts w:eastAsia="Segoe UI"/>
              </w:rPr>
              <w:t>Cost recovery fees</w:t>
            </w:r>
          </w:p>
        </w:tc>
        <w:tc>
          <w:tcPr>
            <w:tcW w:w="7047" w:type="dxa"/>
          </w:tcPr>
          <w:p w14:paraId="0138FD71" w14:textId="39A052A2" w:rsidR="00DF1AB3" w:rsidRDefault="00DF1AB3" w:rsidP="3787E91E">
            <w:pPr>
              <w:pStyle w:val="TableNBullet"/>
              <w:rPr>
                <w:rFonts w:eastAsia="Segoe UI"/>
              </w:rPr>
            </w:pPr>
            <w:r w:rsidRPr="3787E91E">
              <w:rPr>
                <w:rFonts w:eastAsia="Segoe UI"/>
                <w:i/>
                <w:iCs/>
              </w:rPr>
              <w:t xml:space="preserve">2.8 Is PL administration cost neutral to the </w:t>
            </w:r>
            <w:proofErr w:type="gramStart"/>
            <w:r w:rsidRPr="3787E91E">
              <w:rPr>
                <w:rFonts w:eastAsia="Segoe UI"/>
                <w:i/>
                <w:iCs/>
              </w:rPr>
              <w:t>Government?*</w:t>
            </w:r>
            <w:proofErr w:type="gramEnd"/>
          </w:p>
        </w:tc>
      </w:tr>
      <w:tr w:rsidR="00DF1AB3" w14:paraId="0F204D88" w14:textId="77777777" w:rsidTr="3787E91E">
        <w:trPr>
          <w:cnfStyle w:val="000000100000" w:firstRow="0" w:lastRow="0" w:firstColumn="0" w:lastColumn="0" w:oddVBand="0" w:evenVBand="0" w:oddHBand="1" w:evenHBand="0" w:firstRowFirstColumn="0" w:firstRowLastColumn="0" w:lastRowFirstColumn="0" w:lastRowLastColumn="0"/>
        </w:trPr>
        <w:tc>
          <w:tcPr>
            <w:tcW w:w="4395" w:type="dxa"/>
          </w:tcPr>
          <w:p w14:paraId="25A3D54A" w14:textId="3A9CA810" w:rsidR="00DF1AB3" w:rsidRDefault="008E5438" w:rsidP="005C3572">
            <w:pPr>
              <w:pStyle w:val="TableNText"/>
              <w:keepNext w:val="0"/>
              <w:keepLines/>
              <w:rPr>
                <w:rFonts w:eastAsia="Segoe UI"/>
              </w:rPr>
            </w:pPr>
            <w:r>
              <w:rPr>
                <w:rFonts w:eastAsia="Segoe UI"/>
                <w:i/>
                <w:iCs/>
              </w:rPr>
              <w:t>No</w:t>
            </w:r>
            <w:r w:rsidR="00B56837">
              <w:rPr>
                <w:rFonts w:eastAsia="Segoe UI"/>
                <w:i/>
                <w:iCs/>
              </w:rPr>
              <w:t xml:space="preserve"> specific</w:t>
            </w:r>
            <w:r>
              <w:rPr>
                <w:rFonts w:eastAsia="Segoe UI"/>
                <w:i/>
                <w:iCs/>
              </w:rPr>
              <w:t xml:space="preserve"> objective</w:t>
            </w:r>
          </w:p>
        </w:tc>
        <w:tc>
          <w:tcPr>
            <w:tcW w:w="2268" w:type="dxa"/>
          </w:tcPr>
          <w:p w14:paraId="193A3476" w14:textId="7455E669" w:rsidR="00DF1AB3" w:rsidRDefault="00B56837" w:rsidP="005C3572">
            <w:pPr>
              <w:pStyle w:val="TableNText"/>
              <w:keepNext w:val="0"/>
              <w:keepLines/>
              <w:rPr>
                <w:rFonts w:eastAsia="Segoe UI"/>
              </w:rPr>
            </w:pPr>
            <w:r w:rsidRPr="00B56837">
              <w:rPr>
                <w:i/>
                <w:iCs/>
              </w:rPr>
              <w:t xml:space="preserve">No specific </w:t>
            </w:r>
            <w:r w:rsidR="00CC3A5F">
              <w:rPr>
                <w:i/>
                <w:iCs/>
              </w:rPr>
              <w:t>project</w:t>
            </w:r>
          </w:p>
        </w:tc>
        <w:tc>
          <w:tcPr>
            <w:tcW w:w="7047" w:type="dxa"/>
          </w:tcPr>
          <w:p w14:paraId="69E6F456" w14:textId="77777777" w:rsidR="00DF1AB3" w:rsidRDefault="00DF1AB3" w:rsidP="3787E91E">
            <w:pPr>
              <w:pStyle w:val="TableNBullet"/>
              <w:rPr>
                <w:rFonts w:ascii="Arial" w:hAnsi="Arial" w:cs="Arial"/>
              </w:rPr>
            </w:pPr>
            <w:r w:rsidRPr="3787E91E">
              <w:rPr>
                <w:rFonts w:eastAsia="Segoe UI"/>
              </w:rPr>
              <w:t>1.1 Are the new PL benefits processes being established on time and according to plan?</w:t>
            </w:r>
          </w:p>
          <w:p w14:paraId="5C3867AC" w14:textId="77777777" w:rsidR="00DF1AB3" w:rsidRDefault="00DF1AB3" w:rsidP="00010D90">
            <w:pPr>
              <w:pStyle w:val="TableNBullet"/>
              <w:rPr>
                <w:rFonts w:ascii="Arial" w:hAnsi="Arial" w:cs="Arial"/>
                <w:szCs w:val="36"/>
              </w:rPr>
            </w:pPr>
            <w:r>
              <w:rPr>
                <w:rFonts w:eastAsia="Segoe UI"/>
              </w:rPr>
              <w:t>1.7 Have stakeholders been engaged appropriately in the design, implementation, and evaluation of the PL Reforms?</w:t>
            </w:r>
          </w:p>
          <w:p w14:paraId="7AEE28EB" w14:textId="77777777" w:rsidR="00DF1AB3" w:rsidRDefault="00DF1AB3" w:rsidP="00010D90">
            <w:pPr>
              <w:pStyle w:val="TableNBullet"/>
              <w:rPr>
                <w:rFonts w:ascii="Arial" w:hAnsi="Arial" w:cs="Arial"/>
                <w:szCs w:val="36"/>
              </w:rPr>
            </w:pPr>
            <w:r>
              <w:rPr>
                <w:rFonts w:eastAsia="Segoe UI"/>
              </w:rPr>
              <w:t>1.8 What factors have enabled or constrained implementation of the PL Reforms?</w:t>
            </w:r>
          </w:p>
          <w:p w14:paraId="68FB6360" w14:textId="1DA4ADBE" w:rsidR="00DF1AB3" w:rsidRDefault="00DF1AB3" w:rsidP="3787E91E">
            <w:pPr>
              <w:pStyle w:val="TableNBullet"/>
              <w:rPr>
                <w:rFonts w:eastAsia="Segoe UI"/>
              </w:rPr>
            </w:pPr>
            <w:r w:rsidRPr="3787E91E">
              <w:rPr>
                <w:rFonts w:eastAsia="Segoe UI"/>
              </w:rPr>
              <w:t xml:space="preserve">2.9 Has PL Reform produced any </w:t>
            </w:r>
            <w:proofErr w:type="gramStart"/>
            <w:r w:rsidRPr="3787E91E">
              <w:rPr>
                <w:rFonts w:eastAsia="Segoe UI"/>
              </w:rPr>
              <w:t>unintended  positive</w:t>
            </w:r>
            <w:proofErr w:type="gramEnd"/>
            <w:r w:rsidRPr="3787E91E">
              <w:rPr>
                <w:rFonts w:eastAsia="Segoe UI"/>
              </w:rPr>
              <w:t xml:space="preserve"> or negative outcomes?</w:t>
            </w:r>
          </w:p>
        </w:tc>
      </w:tr>
    </w:tbl>
    <w:p w14:paraId="76ACD94D" w14:textId="77777777" w:rsidR="00637E2E" w:rsidRPr="00637E2E" w:rsidRDefault="00637E2E" w:rsidP="00637E2E">
      <w:pPr>
        <w:rPr>
          <w:lang w:eastAsia="en-AU"/>
        </w:rPr>
      </w:pPr>
    </w:p>
    <w:p w14:paraId="7838F47A" w14:textId="140F54DA" w:rsidR="00C73CA1" w:rsidRPr="00F81DE3" w:rsidRDefault="00F81DE3" w:rsidP="00C73CA1">
      <w:pPr>
        <w:rPr>
          <w:i/>
          <w:lang w:eastAsia="en-AU"/>
        </w:rPr>
      </w:pPr>
      <w:r w:rsidRPr="00F81DE3">
        <w:rPr>
          <w:i/>
          <w:iCs/>
          <w:lang w:eastAsia="en-AU"/>
        </w:rPr>
        <w:t>*No longer in scope for this evaluation.</w:t>
      </w:r>
    </w:p>
    <w:p w14:paraId="1BEF2849" w14:textId="77777777" w:rsidR="00725114" w:rsidRDefault="00725114" w:rsidP="003C75EA">
      <w:pPr>
        <w:rPr>
          <w:lang w:eastAsia="en-AU"/>
        </w:rPr>
        <w:sectPr w:rsidR="00725114" w:rsidSect="00BA60DA">
          <w:pgSz w:w="16839" w:h="11907" w:orient="landscape" w:code="9"/>
          <w:pgMar w:top="1559" w:right="1418" w:bottom="1418" w:left="1701" w:header="680" w:footer="680" w:gutter="0"/>
          <w:cols w:space="720"/>
          <w:docGrid w:linePitch="360"/>
        </w:sectPr>
      </w:pPr>
    </w:p>
    <w:p w14:paraId="25BEC8BD" w14:textId="226B5FE8" w:rsidR="0047362D" w:rsidRPr="00545061" w:rsidRDefault="0047362D" w:rsidP="00272214">
      <w:pPr>
        <w:pStyle w:val="xAppendixLevel1"/>
        <w:ind w:left="2268"/>
        <w:rPr>
          <w:sz w:val="34"/>
          <w:szCs w:val="34"/>
        </w:rPr>
      </w:pPr>
      <w:bookmarkStart w:id="121" w:name="_Ref159834678"/>
      <w:bookmarkStart w:id="122" w:name="_Toc179453708"/>
      <w:r w:rsidRPr="00545061">
        <w:rPr>
          <w:sz w:val="34"/>
          <w:szCs w:val="34"/>
        </w:rPr>
        <w:lastRenderedPageBreak/>
        <w:t>Method</w:t>
      </w:r>
      <w:bookmarkEnd w:id="56"/>
      <w:bookmarkEnd w:id="121"/>
      <w:bookmarkEnd w:id="122"/>
    </w:p>
    <w:p w14:paraId="1395402F" w14:textId="0622A92F" w:rsidR="00BD418C" w:rsidRPr="006324C3" w:rsidRDefault="00BD418C" w:rsidP="00BD418C">
      <w:pPr>
        <w:rPr>
          <w:rFonts w:asciiTheme="minorHAnsi" w:hAnsiTheme="minorHAnsi" w:cstheme="minorHAnsi"/>
        </w:rPr>
      </w:pPr>
      <w:r w:rsidRPr="006324C3">
        <w:rPr>
          <w:rFonts w:asciiTheme="minorHAnsi" w:hAnsiTheme="minorHAnsi" w:cstheme="minorHAnsi"/>
        </w:rPr>
        <w:fldChar w:fldCharType="begin"/>
      </w:r>
      <w:r w:rsidRPr="006324C3">
        <w:rPr>
          <w:rFonts w:asciiTheme="minorHAnsi" w:hAnsiTheme="minorHAnsi" w:cstheme="minorHAnsi"/>
        </w:rPr>
        <w:instrText xml:space="preserve"> REF _Ref159834678 \r \h </w:instrText>
      </w:r>
      <w:r w:rsidR="005550DD" w:rsidRPr="006324C3">
        <w:rPr>
          <w:rFonts w:asciiTheme="minorHAnsi" w:hAnsiTheme="minorHAnsi" w:cstheme="minorHAnsi"/>
        </w:rPr>
        <w:instrText xml:space="preserve"> \* MERGEFORMAT </w:instrText>
      </w:r>
      <w:r w:rsidRPr="006324C3">
        <w:rPr>
          <w:rFonts w:asciiTheme="minorHAnsi" w:hAnsiTheme="minorHAnsi" w:cstheme="minorHAnsi"/>
        </w:rPr>
      </w:r>
      <w:r w:rsidRPr="006324C3">
        <w:rPr>
          <w:rFonts w:asciiTheme="minorHAnsi" w:hAnsiTheme="minorHAnsi" w:cstheme="minorHAnsi"/>
        </w:rPr>
        <w:fldChar w:fldCharType="separate"/>
      </w:r>
      <w:r w:rsidR="00026714">
        <w:rPr>
          <w:rFonts w:asciiTheme="minorHAnsi" w:hAnsiTheme="minorHAnsi" w:cstheme="minorHAnsi"/>
        </w:rPr>
        <w:t>Appendix D</w:t>
      </w:r>
      <w:r w:rsidRPr="006324C3">
        <w:rPr>
          <w:rFonts w:asciiTheme="minorHAnsi" w:hAnsiTheme="minorHAnsi" w:cstheme="minorHAnsi"/>
        </w:rPr>
        <w:fldChar w:fldCharType="end"/>
      </w:r>
      <w:r w:rsidRPr="006324C3">
        <w:rPr>
          <w:rFonts w:asciiTheme="minorHAnsi" w:hAnsiTheme="minorHAnsi" w:cstheme="minorHAnsi"/>
        </w:rPr>
        <w:t xml:space="preserve"> </w:t>
      </w:r>
      <w:r w:rsidR="00FF1951" w:rsidRPr="006324C3">
        <w:rPr>
          <w:rFonts w:asciiTheme="minorHAnsi" w:hAnsiTheme="minorHAnsi" w:cstheme="minorHAnsi"/>
        </w:rPr>
        <w:t xml:space="preserve">summarises our evaluation methodology, as presented in the evaluation plan in </w:t>
      </w:r>
      <w:r w:rsidR="009D7CF3" w:rsidRPr="006324C3">
        <w:rPr>
          <w:rFonts w:asciiTheme="minorHAnsi" w:hAnsiTheme="minorHAnsi" w:cstheme="minorHAnsi"/>
        </w:rPr>
        <w:t>August</w:t>
      </w:r>
      <w:r w:rsidR="00D15119" w:rsidRPr="006324C3">
        <w:rPr>
          <w:rFonts w:asciiTheme="minorHAnsi" w:hAnsiTheme="minorHAnsi" w:cstheme="minorHAnsi"/>
        </w:rPr>
        <w:t xml:space="preserve"> 2023.</w:t>
      </w:r>
      <w:r w:rsidR="00E52354" w:rsidRPr="006324C3">
        <w:rPr>
          <w:rFonts w:asciiTheme="minorHAnsi" w:hAnsiTheme="minorHAnsi" w:cstheme="minorHAnsi"/>
        </w:rPr>
        <w:t xml:space="preserve"> Please note tha</w:t>
      </w:r>
      <w:r w:rsidR="00A657DB" w:rsidRPr="006324C3">
        <w:rPr>
          <w:rFonts w:asciiTheme="minorHAnsi" w:hAnsiTheme="minorHAnsi" w:cstheme="minorHAnsi"/>
        </w:rPr>
        <w:t>t</w:t>
      </w:r>
      <w:r w:rsidR="00CF4304" w:rsidRPr="006324C3">
        <w:rPr>
          <w:rFonts w:asciiTheme="minorHAnsi" w:hAnsiTheme="minorHAnsi" w:cstheme="minorHAnsi"/>
        </w:rPr>
        <w:t xml:space="preserve"> in some instances, the </w:t>
      </w:r>
      <w:r w:rsidR="00AD161E" w:rsidRPr="006324C3">
        <w:rPr>
          <w:rFonts w:asciiTheme="minorHAnsi" w:hAnsiTheme="minorHAnsi" w:cstheme="minorHAnsi"/>
        </w:rPr>
        <w:t>data sources and our approach to analysing them have evolved as the evaluation has progressed.</w:t>
      </w:r>
    </w:p>
    <w:p w14:paraId="53BE5E96" w14:textId="1937FA97" w:rsidR="006F29B9" w:rsidRPr="0088201A" w:rsidRDefault="006F29B9" w:rsidP="00FB048B">
      <w:pPr>
        <w:pStyle w:val="Appendingheading2"/>
      </w:pPr>
      <w:r w:rsidRPr="0088201A">
        <w:t>The evaluation will adopt a ‘mixed</w:t>
      </w:r>
      <w:r>
        <w:t xml:space="preserve"> </w:t>
      </w:r>
      <w:r w:rsidRPr="0088201A">
        <w:t xml:space="preserve">methods’ </w:t>
      </w:r>
      <w:proofErr w:type="gramStart"/>
      <w:r w:rsidRPr="0088201A">
        <w:t>approach</w:t>
      </w:r>
      <w:proofErr w:type="gramEnd"/>
    </w:p>
    <w:p w14:paraId="493F7A1B" w14:textId="77777777" w:rsidR="006F29B9" w:rsidRPr="0088201A" w:rsidRDefault="006F29B9" w:rsidP="006F29B9">
      <w:pPr>
        <w:rPr>
          <w:lang w:eastAsia="en-AU"/>
        </w:rPr>
      </w:pPr>
      <w:r w:rsidRPr="0088201A">
        <w:rPr>
          <w:lang w:eastAsia="en-AU"/>
        </w:rPr>
        <w:t xml:space="preserve">Evaluating a broad-reaching policy change, such as the PL </w:t>
      </w:r>
      <w:r>
        <w:rPr>
          <w:lang w:eastAsia="en-AU"/>
        </w:rPr>
        <w:t>R</w:t>
      </w:r>
      <w:r w:rsidRPr="0088201A">
        <w:rPr>
          <w:lang w:eastAsia="en-AU"/>
        </w:rPr>
        <w:t xml:space="preserve">eforms, is a complex task. This is due to the large and diverse number of stakeholders involved, the nuanced dynamics of the prostheses market, the intricate dependencies between the reform initiatives and the intangibility of several of the intended outcomes. To overcome these challenges, the evaluation will take a principles-based approach that is grounded </w:t>
      </w:r>
      <w:r>
        <w:rPr>
          <w:lang w:eastAsia="en-AU"/>
        </w:rPr>
        <w:t>in</w:t>
      </w:r>
      <w:r w:rsidRPr="0088201A">
        <w:rPr>
          <w:lang w:eastAsia="en-AU"/>
        </w:rPr>
        <w:t xml:space="preserve"> the K</w:t>
      </w:r>
      <w:r>
        <w:rPr>
          <w:lang w:eastAsia="en-AU"/>
        </w:rPr>
        <w:t>EQ</w:t>
      </w:r>
      <w:r w:rsidRPr="0088201A">
        <w:rPr>
          <w:lang w:eastAsia="en-AU"/>
        </w:rPr>
        <w:t xml:space="preserve">s and the program logic. This will ensure the evaluation gives deliberate attention to the intent of the reforms. </w:t>
      </w:r>
    </w:p>
    <w:p w14:paraId="233C40F1" w14:textId="77777777" w:rsidR="006F29B9" w:rsidRPr="0088201A" w:rsidRDefault="006F29B9" w:rsidP="006F29B9">
      <w:pPr>
        <w:rPr>
          <w:lang w:eastAsia="en-AU"/>
        </w:rPr>
      </w:pPr>
      <w:r w:rsidRPr="0088201A">
        <w:rPr>
          <w:lang w:eastAsia="en-AU"/>
        </w:rPr>
        <w:t xml:space="preserve">The evaluation will use methodologies based on the collection, and analysis, of qualitative and quantitative data from interviews, focus groups, desktop research, </w:t>
      </w:r>
      <w:proofErr w:type="gramStart"/>
      <w:r w:rsidRPr="0088201A">
        <w:rPr>
          <w:lang w:eastAsia="en-AU"/>
        </w:rPr>
        <w:t>surveys</w:t>
      </w:r>
      <w:proofErr w:type="gramEnd"/>
      <w:r w:rsidRPr="0088201A">
        <w:rPr>
          <w:lang w:eastAsia="en-AU"/>
        </w:rPr>
        <w:t xml:space="preserve"> and existing data </w:t>
      </w:r>
      <w:r>
        <w:rPr>
          <w:lang w:eastAsia="en-AU"/>
        </w:rPr>
        <w:t>–</w:t>
      </w:r>
      <w:r w:rsidRPr="0088201A">
        <w:rPr>
          <w:lang w:eastAsia="en-AU"/>
        </w:rPr>
        <w:t xml:space="preserve"> also defined as a ‘mixed methods’ approach. Data will be analysed through a combination of thematic analysis</w:t>
      </w:r>
      <w:r>
        <w:rPr>
          <w:lang w:eastAsia="en-AU"/>
        </w:rPr>
        <w:t>,</w:t>
      </w:r>
      <w:r w:rsidRPr="0088201A">
        <w:rPr>
          <w:lang w:eastAsia="en-AU"/>
        </w:rPr>
        <w:t xml:space="preserve"> and descriptive and inferential techniques. Using this approach, findings will be triangulated based on the evidence provided through multiple different sources.</w:t>
      </w:r>
    </w:p>
    <w:p w14:paraId="59941CF0" w14:textId="77777777" w:rsidR="006F29B9" w:rsidRPr="0088201A" w:rsidRDefault="006F29B9" w:rsidP="002B5426">
      <w:pPr>
        <w:pStyle w:val="Heading2"/>
        <w:numPr>
          <w:ilvl w:val="0"/>
          <w:numId w:val="0"/>
        </w:numPr>
      </w:pPr>
      <w:bookmarkStart w:id="123" w:name="_Toc142924182"/>
      <w:bookmarkStart w:id="124" w:name="_Toc179453709"/>
      <w:r>
        <w:t>Quantitative data collection and analysis</w:t>
      </w:r>
      <w:bookmarkEnd w:id="123"/>
      <w:bookmarkEnd w:id="124"/>
      <w:r>
        <w:t xml:space="preserve"> </w:t>
      </w:r>
    </w:p>
    <w:p w14:paraId="222716A7" w14:textId="77777777" w:rsidR="006F29B9" w:rsidRPr="0088201A" w:rsidRDefault="006F29B9" w:rsidP="00FB048B">
      <w:pPr>
        <w:pStyle w:val="Heading3"/>
      </w:pPr>
      <w:r w:rsidRPr="0088201A">
        <w:t xml:space="preserve">Quantitative analysis will inform an assessment of the extent to which the reforms have delivered their intended financial, administrative and health </w:t>
      </w:r>
      <w:proofErr w:type="gramStart"/>
      <w:r w:rsidRPr="0088201A">
        <w:t>outcomes</w:t>
      </w:r>
      <w:proofErr w:type="gramEnd"/>
    </w:p>
    <w:p w14:paraId="509CDAFC" w14:textId="111F9937" w:rsidR="006F29B9" w:rsidRPr="0088201A" w:rsidRDefault="006F29B9" w:rsidP="006F29B9">
      <w:pPr>
        <w:rPr>
          <w:lang w:eastAsia="en-AU"/>
        </w:rPr>
      </w:pPr>
      <w:r w:rsidRPr="0088201A">
        <w:rPr>
          <w:lang w:eastAsia="en-AU"/>
        </w:rPr>
        <w:t xml:space="preserve">To assess the performance of the PL </w:t>
      </w:r>
      <w:r>
        <w:rPr>
          <w:lang w:eastAsia="en-AU"/>
        </w:rPr>
        <w:t>R</w:t>
      </w:r>
      <w:r w:rsidRPr="0088201A">
        <w:rPr>
          <w:lang w:eastAsia="en-AU"/>
        </w:rPr>
        <w:t>eforms, analysis will be undertaken on a range of quantitative indicators. This will involve compiling and assessing relevant descriptive statistics to develop hypotheses pertaining to the K</w:t>
      </w:r>
      <w:r>
        <w:rPr>
          <w:lang w:eastAsia="en-AU"/>
        </w:rPr>
        <w:t>EQ</w:t>
      </w:r>
      <w:r w:rsidRPr="0088201A">
        <w:rPr>
          <w:lang w:eastAsia="en-AU"/>
        </w:rPr>
        <w:t>s</w:t>
      </w:r>
      <w:r>
        <w:rPr>
          <w:lang w:eastAsia="en-AU"/>
        </w:rPr>
        <w:t xml:space="preserve"> and sub-research questions.</w:t>
      </w:r>
      <w:r w:rsidRPr="0088201A">
        <w:rPr>
          <w:lang w:eastAsia="en-AU"/>
        </w:rPr>
        <w:t xml:space="preserve"> Where feasible, inferential methods (such as general linear modelling and a difference-in-difference approach) will also be used to add rigour to the analysis and support efforts to attribute changes to the reforms. </w:t>
      </w:r>
    </w:p>
    <w:p w14:paraId="2C89D8FA" w14:textId="77777777" w:rsidR="006F29B9" w:rsidRPr="0088201A" w:rsidRDefault="006F29B9" w:rsidP="006F29B9">
      <w:pPr>
        <w:rPr>
          <w:lang w:eastAsia="en-AU"/>
        </w:rPr>
      </w:pPr>
      <w:r w:rsidRPr="0088201A">
        <w:rPr>
          <w:lang w:eastAsia="en-AU"/>
        </w:rPr>
        <w:t xml:space="preserve">By undertaking comparisons, and examining correlations, across different cohorts and in indicators over time, quantitative analysis will also be used to assess the extent to which the program is delivering the outcomes predicted by the program logic in an appropriate, </w:t>
      </w:r>
      <w:proofErr w:type="gramStart"/>
      <w:r w:rsidRPr="0088201A">
        <w:rPr>
          <w:lang w:eastAsia="en-AU"/>
        </w:rPr>
        <w:t>efficient</w:t>
      </w:r>
      <w:proofErr w:type="gramEnd"/>
      <w:r w:rsidRPr="0088201A">
        <w:rPr>
          <w:lang w:eastAsia="en-AU"/>
        </w:rPr>
        <w:t xml:space="preserve"> and effective manner. As part of this, the analysis will employ graphs to visualise, develop and convey important findings.</w:t>
      </w:r>
    </w:p>
    <w:p w14:paraId="3F55CA15" w14:textId="77777777" w:rsidR="006F29B9" w:rsidRPr="0088201A" w:rsidRDefault="006F29B9" w:rsidP="00FB048B">
      <w:pPr>
        <w:pStyle w:val="Heading3"/>
      </w:pPr>
      <w:r w:rsidRPr="3787E91E">
        <w:t xml:space="preserve">The availability of data, and the existence of confounding factors, will limit the ability of quantitative analysis to establish a causal </w:t>
      </w:r>
      <w:proofErr w:type="gramStart"/>
      <w:r w:rsidRPr="3787E91E">
        <w:t>relationship</w:t>
      </w:r>
      <w:proofErr w:type="gramEnd"/>
    </w:p>
    <w:p w14:paraId="59366A9C" w14:textId="77777777" w:rsidR="006F29B9" w:rsidRPr="0088201A" w:rsidRDefault="006F29B9" w:rsidP="006F29B9">
      <w:pPr>
        <w:rPr>
          <w:lang w:eastAsia="en-AU"/>
        </w:rPr>
      </w:pPr>
      <w:r w:rsidRPr="0088201A">
        <w:rPr>
          <w:lang w:eastAsia="en-AU"/>
        </w:rPr>
        <w:t>It is important to note that the quantitative analysis will generally not be able to definitively “prove” a direct causal relationship between the reform program and all desired outcomes. This is because there are data limitations and confounding factors that cannot be entirely controlled for and because there are also intangible outcomes that may take many years to establish fully.</w:t>
      </w:r>
    </w:p>
    <w:p w14:paraId="17A4BA7E" w14:textId="05A8C2A9" w:rsidR="006F29B9" w:rsidRPr="0088201A" w:rsidRDefault="006F29B9" w:rsidP="006F29B9">
      <w:pPr>
        <w:rPr>
          <w:rFonts w:eastAsiaTheme="minorEastAsia"/>
          <w:lang w:eastAsia="en-AU"/>
        </w:rPr>
      </w:pPr>
      <w:r w:rsidRPr="0088201A">
        <w:rPr>
          <w:lang w:eastAsia="en-AU"/>
        </w:rPr>
        <w:fldChar w:fldCharType="begin"/>
      </w:r>
      <w:r w:rsidRPr="0088201A">
        <w:rPr>
          <w:lang w:eastAsia="en-AU"/>
        </w:rPr>
        <w:instrText xml:space="preserve"> REF _Ref141729303 \h </w:instrText>
      </w:r>
      <w:r w:rsidRPr="0088201A">
        <w:rPr>
          <w:lang w:eastAsia="en-AU"/>
        </w:rPr>
      </w:r>
      <w:r w:rsidRPr="0088201A">
        <w:rPr>
          <w:lang w:eastAsia="en-AU"/>
        </w:rPr>
        <w:fldChar w:fldCharType="separate"/>
      </w:r>
      <w:r w:rsidR="00026714" w:rsidRPr="0088201A">
        <w:t xml:space="preserve">Figure </w:t>
      </w:r>
      <w:r w:rsidR="00026714">
        <w:rPr>
          <w:noProof/>
        </w:rPr>
        <w:t>37</w:t>
      </w:r>
      <w:r w:rsidRPr="0088201A">
        <w:rPr>
          <w:lang w:eastAsia="en-AU"/>
        </w:rPr>
        <w:fldChar w:fldCharType="end"/>
      </w:r>
      <w:r w:rsidRPr="0088201A">
        <w:rPr>
          <w:lang w:eastAsia="en-AU"/>
        </w:rPr>
        <w:t xml:space="preserve"> presents a hypothetical example of a health or financial indicator that changes </w:t>
      </w:r>
      <w:proofErr w:type="gramStart"/>
      <w:r w:rsidRPr="0088201A">
        <w:rPr>
          <w:lang w:eastAsia="en-AU"/>
        </w:rPr>
        <w:t>as a result of</w:t>
      </w:r>
      <w:proofErr w:type="gramEnd"/>
      <w:r w:rsidRPr="0088201A">
        <w:rPr>
          <w:lang w:eastAsia="en-AU"/>
        </w:rPr>
        <w:t xml:space="preserve"> the PL </w:t>
      </w:r>
      <w:r>
        <w:rPr>
          <w:lang w:eastAsia="en-AU"/>
        </w:rPr>
        <w:t>R</w:t>
      </w:r>
      <w:r w:rsidRPr="0088201A">
        <w:rPr>
          <w:lang w:eastAsia="en-AU"/>
        </w:rPr>
        <w:t xml:space="preserve">eforms. In this example, the indicator’s value increases prior to any policy shift associated with the PL </w:t>
      </w:r>
      <w:r>
        <w:rPr>
          <w:lang w:eastAsia="en-AU"/>
        </w:rPr>
        <w:t>R</w:t>
      </w:r>
      <w:r w:rsidRPr="0088201A">
        <w:rPr>
          <w:lang w:eastAsia="en-AU"/>
        </w:rPr>
        <w:t>eforms, due to confounding factors, unrelated to the reform process. At the time “</w:t>
      </w:r>
      <m:oMath>
        <m:sSub>
          <m:sSubPr>
            <m:ctrlPr>
              <w:rPr>
                <w:rFonts w:ascii="Cambria Math" w:hAnsi="Cambria Math"/>
                <w:i/>
                <w:lang w:eastAsia="en-AU"/>
              </w:rPr>
            </m:ctrlPr>
          </m:sSubPr>
          <m:e>
            <m:r>
              <w:rPr>
                <w:rFonts w:ascii="Cambria Math" w:hAnsi="Cambria Math"/>
                <w:lang w:eastAsia="en-AU"/>
              </w:rPr>
              <m:t>t</m:t>
            </m:r>
          </m:e>
          <m:sub>
            <m:r>
              <w:rPr>
                <w:rFonts w:ascii="Cambria Math" w:hAnsi="Cambria Math"/>
                <w:lang w:eastAsia="en-AU"/>
              </w:rPr>
              <m:t>0</m:t>
            </m:r>
          </m:sub>
        </m:sSub>
      </m:oMath>
      <w:r w:rsidRPr="0088201A">
        <w:rPr>
          <w:rFonts w:eastAsiaTheme="minorEastAsia"/>
          <w:lang w:eastAsia="en-AU"/>
        </w:rPr>
        <w:t>”, a policy change, such as a benefit reduction or the removal of an item from the PL, takes place. After this point, the indicator’s value begins to increase at a rate that is faster than the pre-reform trend until “</w:t>
      </w:r>
      <m:oMath>
        <m:sSub>
          <m:sSubPr>
            <m:ctrlPr>
              <w:rPr>
                <w:rFonts w:ascii="Cambria Math" w:eastAsiaTheme="minorEastAsia" w:hAnsi="Cambria Math"/>
                <w:i/>
                <w:lang w:eastAsia="en-AU"/>
              </w:rPr>
            </m:ctrlPr>
          </m:sSubPr>
          <m:e>
            <m:r>
              <w:rPr>
                <w:rFonts w:ascii="Cambria Math" w:eastAsiaTheme="minorEastAsia" w:hAnsi="Cambria Math"/>
                <w:lang w:eastAsia="en-AU"/>
              </w:rPr>
              <m:t>t</m:t>
            </m:r>
          </m:e>
          <m:sub>
            <m:r>
              <w:rPr>
                <w:rFonts w:ascii="Cambria Math" w:eastAsiaTheme="minorEastAsia" w:hAnsi="Cambria Math"/>
                <w:lang w:eastAsia="en-AU"/>
              </w:rPr>
              <m:t>1</m:t>
            </m:r>
          </m:sub>
        </m:sSub>
      </m:oMath>
      <w:r w:rsidRPr="0088201A">
        <w:rPr>
          <w:rFonts w:eastAsiaTheme="minorEastAsia"/>
          <w:lang w:eastAsia="en-AU"/>
        </w:rPr>
        <w:t xml:space="preserve">”. </w:t>
      </w:r>
    </w:p>
    <w:p w14:paraId="139092BE" w14:textId="77777777" w:rsidR="008C19FE" w:rsidRDefault="006F29B9" w:rsidP="006F29B9">
      <w:pPr>
        <w:rPr>
          <w:rFonts w:eastAsiaTheme="minorEastAsia"/>
          <w:lang w:eastAsia="en-AU"/>
        </w:rPr>
      </w:pPr>
      <w:r w:rsidRPr="0088201A">
        <w:rPr>
          <w:rFonts w:eastAsiaTheme="minorEastAsia"/>
          <w:lang w:eastAsia="en-AU"/>
        </w:rPr>
        <w:t xml:space="preserve">In this example, it would be inappropriate to attribute the total change in the indicator’s value between </w:t>
      </w:r>
      <m:oMath>
        <m:sSub>
          <m:sSubPr>
            <m:ctrlPr>
              <w:rPr>
                <w:rFonts w:ascii="Cambria Math" w:eastAsiaTheme="minorEastAsia" w:hAnsi="Cambria Math"/>
                <w:i/>
                <w:lang w:eastAsia="en-AU"/>
              </w:rPr>
            </m:ctrlPr>
          </m:sSubPr>
          <m:e>
            <m:r>
              <w:rPr>
                <w:rFonts w:ascii="Cambria Math" w:eastAsiaTheme="minorEastAsia" w:hAnsi="Cambria Math"/>
                <w:lang w:eastAsia="en-AU"/>
              </w:rPr>
              <m:t>t</m:t>
            </m:r>
          </m:e>
          <m:sub>
            <m:r>
              <w:rPr>
                <w:rFonts w:ascii="Cambria Math" w:eastAsiaTheme="minorEastAsia" w:hAnsi="Cambria Math"/>
                <w:lang w:eastAsia="en-AU"/>
              </w:rPr>
              <m:t>0</m:t>
            </m:r>
          </m:sub>
        </m:sSub>
      </m:oMath>
      <w:r w:rsidRPr="0088201A">
        <w:rPr>
          <w:rFonts w:eastAsiaTheme="minorEastAsia"/>
          <w:lang w:eastAsia="en-AU"/>
        </w:rPr>
        <w:t xml:space="preserve"> and </w:t>
      </w:r>
      <m:oMath>
        <m:sSub>
          <m:sSubPr>
            <m:ctrlPr>
              <w:rPr>
                <w:rFonts w:ascii="Cambria Math" w:eastAsiaTheme="minorEastAsia" w:hAnsi="Cambria Math"/>
                <w:i/>
                <w:lang w:eastAsia="en-AU"/>
              </w:rPr>
            </m:ctrlPr>
          </m:sSubPr>
          <m:e>
            <m:r>
              <w:rPr>
                <w:rFonts w:ascii="Cambria Math" w:eastAsiaTheme="minorEastAsia" w:hAnsi="Cambria Math"/>
                <w:lang w:eastAsia="en-AU"/>
              </w:rPr>
              <m:t>t</m:t>
            </m:r>
          </m:e>
          <m:sub>
            <m:r>
              <w:rPr>
                <w:rFonts w:ascii="Cambria Math" w:eastAsiaTheme="minorEastAsia" w:hAnsi="Cambria Math"/>
                <w:lang w:eastAsia="en-AU"/>
              </w:rPr>
              <m:t>1</m:t>
            </m:r>
          </m:sub>
        </m:sSub>
      </m:oMath>
      <w:r w:rsidRPr="0088201A">
        <w:rPr>
          <w:rFonts w:eastAsiaTheme="minorEastAsia"/>
          <w:lang w:eastAsia="en-AU"/>
        </w:rPr>
        <w:t xml:space="preserve"> to the PL </w:t>
      </w:r>
      <w:r>
        <w:rPr>
          <w:rFonts w:eastAsiaTheme="minorEastAsia"/>
          <w:lang w:eastAsia="en-AU"/>
        </w:rPr>
        <w:t>R</w:t>
      </w:r>
      <w:r w:rsidRPr="0088201A">
        <w:rPr>
          <w:rFonts w:eastAsiaTheme="minorEastAsia"/>
          <w:lang w:eastAsia="en-AU"/>
        </w:rPr>
        <w:t xml:space="preserve">eforms. This is because, in the absence of the PL </w:t>
      </w:r>
      <w:r>
        <w:rPr>
          <w:rFonts w:eastAsiaTheme="minorEastAsia"/>
          <w:lang w:eastAsia="en-AU"/>
        </w:rPr>
        <w:t>R</w:t>
      </w:r>
      <w:r w:rsidRPr="0088201A">
        <w:rPr>
          <w:rFonts w:eastAsiaTheme="minorEastAsia"/>
          <w:lang w:eastAsia="en-AU"/>
        </w:rPr>
        <w:t xml:space="preserve">eforms, the indicator may have still changed for some reason unrelated to the reforms. Instead, to determine the extent to which changes can be attributable to the reforms, it is necessary to identify a plausible “counterfactual trend”. </w:t>
      </w:r>
    </w:p>
    <w:p w14:paraId="259322C1" w14:textId="5A3A8F19" w:rsidR="006F29B9" w:rsidRPr="0088201A" w:rsidRDefault="006F29B9" w:rsidP="006F29B9">
      <w:pPr>
        <w:rPr>
          <w:rFonts w:eastAsiaTheme="minorEastAsia"/>
          <w:lang w:eastAsia="en-AU"/>
        </w:rPr>
      </w:pPr>
      <w:r w:rsidRPr="0088201A">
        <w:rPr>
          <w:rFonts w:eastAsiaTheme="minorEastAsia"/>
          <w:lang w:eastAsia="en-AU"/>
        </w:rPr>
        <w:lastRenderedPageBreak/>
        <w:t>This counterfactual trend is the trend that the indicator would have taken if the intervention being examined had not taken place.</w:t>
      </w:r>
    </w:p>
    <w:p w14:paraId="18A91BAF" w14:textId="51034DD1" w:rsidR="006F29B9" w:rsidRPr="0088201A" w:rsidRDefault="006F29B9" w:rsidP="00130575">
      <w:pPr>
        <w:pStyle w:val="Caption"/>
        <w:spacing w:before="240" w:after="120"/>
      </w:pPr>
      <w:r w:rsidRPr="0088201A">
        <w:t xml:space="preserve">Figure </w:t>
      </w:r>
      <w:r>
        <w:fldChar w:fldCharType="begin"/>
      </w:r>
      <w:r>
        <w:instrText xml:space="preserve"> SEQ Figure \* ARABIC </w:instrText>
      </w:r>
      <w:r>
        <w:fldChar w:fldCharType="separate"/>
      </w:r>
      <w:r w:rsidR="00026714">
        <w:rPr>
          <w:noProof/>
        </w:rPr>
        <w:t>36</w:t>
      </w:r>
      <w:r>
        <w:fldChar w:fldCharType="end"/>
      </w:r>
      <w:r w:rsidRPr="0088201A">
        <w:t xml:space="preserve"> | The challenge of </w:t>
      </w:r>
      <w:proofErr w:type="gramStart"/>
      <w:r w:rsidRPr="0088201A">
        <w:t>attribution</w:t>
      </w:r>
      <w:proofErr w:type="gramEnd"/>
    </w:p>
    <w:p w14:paraId="2A97CCB0" w14:textId="77777777" w:rsidR="006F29B9" w:rsidRPr="0088201A" w:rsidRDefault="006F29B9" w:rsidP="006F29B9">
      <w:pPr>
        <w:rPr>
          <w:lang w:eastAsia="en-AU"/>
        </w:rPr>
      </w:pPr>
      <w:r w:rsidRPr="0088201A">
        <w:rPr>
          <w:noProof/>
        </w:rPr>
        <w:drawing>
          <wp:inline distT="0" distB="0" distL="0" distR="0" wp14:anchorId="07D0DB55" wp14:editId="5BD5756C">
            <wp:extent cx="5670550" cy="2743200"/>
            <wp:effectExtent l="0" t="0" r="6350" b="0"/>
            <wp:docPr id="6" name="Picture 6" descr="A graph showing health/financial indicator on the y-axis and time on the x-axis. Arrows illustrate the challenge of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showing health/financial indicator on the y-axis and time on the x-axis. Arrows illustrate the challenge of attribution."/>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1121"/>
                    <a:stretch/>
                  </pic:blipFill>
                  <pic:spPr bwMode="auto">
                    <a:xfrm>
                      <a:off x="0" y="0"/>
                      <a:ext cx="5670550"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1C9433B0" w14:textId="77777777" w:rsidR="006F29B9" w:rsidRPr="0088201A" w:rsidRDefault="006F29B9" w:rsidP="00FB048B">
      <w:pPr>
        <w:pStyle w:val="Heading3"/>
      </w:pPr>
      <w:r w:rsidRPr="0088201A">
        <w:rPr>
          <w:rFonts w:eastAsiaTheme="minorEastAsia"/>
        </w:rPr>
        <w:t xml:space="preserve">Inferential methods and the triangulation of evidence from other sources, including qualitative analysis, will support efforts to attribute changes in variables to the </w:t>
      </w:r>
      <w:proofErr w:type="gramStart"/>
      <w:r w:rsidRPr="0088201A">
        <w:rPr>
          <w:rFonts w:eastAsiaTheme="minorEastAsia"/>
        </w:rPr>
        <w:t>reforms</w:t>
      </w:r>
      <w:proofErr w:type="gramEnd"/>
    </w:p>
    <w:p w14:paraId="7C8F9FCE" w14:textId="77777777" w:rsidR="006F29B9" w:rsidRPr="0088201A" w:rsidRDefault="006F29B9" w:rsidP="006F29B9">
      <w:pPr>
        <w:rPr>
          <w:lang w:eastAsia="en-AU"/>
        </w:rPr>
      </w:pPr>
      <w:r w:rsidRPr="0088201A">
        <w:rPr>
          <w:lang w:eastAsia="en-AU"/>
        </w:rPr>
        <w:t>While measurement against the counterfactual trend provides the strongest evidence of attribution, it cannot be directly observed. To address this constraint, inferential methods</w:t>
      </w:r>
      <w:r>
        <w:rPr>
          <w:lang w:eastAsia="en-AU"/>
        </w:rPr>
        <w:t xml:space="preserve"> (</w:t>
      </w:r>
      <w:r w:rsidRPr="0088201A">
        <w:rPr>
          <w:lang w:eastAsia="en-AU"/>
        </w:rPr>
        <w:t>such as regression analysis or the difference-in-difference approach</w:t>
      </w:r>
      <w:r>
        <w:rPr>
          <w:lang w:eastAsia="en-AU"/>
        </w:rPr>
        <w:t>)</w:t>
      </w:r>
      <w:r w:rsidRPr="0088201A">
        <w:rPr>
          <w:lang w:eastAsia="en-AU"/>
        </w:rPr>
        <w:t xml:space="preserve"> can be used to infer the </w:t>
      </w:r>
      <w:r>
        <w:rPr>
          <w:lang w:eastAsia="en-AU"/>
        </w:rPr>
        <w:t xml:space="preserve">size of the </w:t>
      </w:r>
      <w:r w:rsidRPr="0088201A">
        <w:rPr>
          <w:lang w:eastAsia="en-AU"/>
        </w:rPr>
        <w:t>change in a variable</w:t>
      </w:r>
      <w:r>
        <w:rPr>
          <w:lang w:eastAsia="en-AU"/>
        </w:rPr>
        <w:t>, relative</w:t>
      </w:r>
      <w:r w:rsidRPr="0088201A">
        <w:rPr>
          <w:lang w:eastAsia="en-AU"/>
        </w:rPr>
        <w:t xml:space="preserve"> to </w:t>
      </w:r>
      <w:r>
        <w:rPr>
          <w:lang w:eastAsia="en-AU"/>
        </w:rPr>
        <w:t xml:space="preserve">what would have happened in the absence of </w:t>
      </w:r>
      <w:r w:rsidRPr="0088201A">
        <w:rPr>
          <w:lang w:eastAsia="en-AU"/>
        </w:rPr>
        <w:t>the reform</w:t>
      </w:r>
      <w:r>
        <w:rPr>
          <w:lang w:eastAsia="en-AU"/>
        </w:rPr>
        <w:t>,</w:t>
      </w:r>
      <w:r w:rsidRPr="0088201A">
        <w:rPr>
          <w:lang w:eastAsia="en-AU"/>
        </w:rPr>
        <w:t xml:space="preserve"> </w:t>
      </w:r>
      <w:r>
        <w:rPr>
          <w:lang w:eastAsia="en-AU"/>
        </w:rPr>
        <w:t>under</w:t>
      </w:r>
      <w:r w:rsidRPr="0088201A">
        <w:rPr>
          <w:lang w:eastAsia="en-AU"/>
        </w:rPr>
        <w:t xml:space="preserve"> a set of defensible assumptions. Consequently, the results produced by these methods, while subject to limitations and a degree of inherent uncertainty, may be used to make the case that a certain proportion of the change in an indicator can be attributed to the reforms.</w:t>
      </w:r>
    </w:p>
    <w:p w14:paraId="2CF29CDF" w14:textId="77777777" w:rsidR="006F29B9" w:rsidRPr="0088201A" w:rsidRDefault="006F29B9" w:rsidP="006F29B9">
      <w:pPr>
        <w:rPr>
          <w:lang w:eastAsia="en-AU"/>
        </w:rPr>
      </w:pPr>
      <w:r w:rsidRPr="0088201A">
        <w:rPr>
          <w:lang w:eastAsia="en-AU"/>
        </w:rPr>
        <w:t xml:space="preserve">In many cases, it will be important to view the quantitative analysis as one source of evidence that must be combined with qualitative evidence to glean a full picture of the impact of the PL </w:t>
      </w:r>
      <w:r>
        <w:rPr>
          <w:lang w:eastAsia="en-AU"/>
        </w:rPr>
        <w:t>R</w:t>
      </w:r>
      <w:r w:rsidRPr="0088201A">
        <w:rPr>
          <w:lang w:eastAsia="en-AU"/>
        </w:rPr>
        <w:t>eforms. To this end, the evaluation will make findings about attribution based on logical interpretations of both the qualitative and quantitative data that are consistent with the theory of change articulated in the program logic as well as plausible counterfactuals.</w:t>
      </w:r>
    </w:p>
    <w:p w14:paraId="7278D460" w14:textId="77777777" w:rsidR="006F29B9" w:rsidRPr="0088201A" w:rsidRDefault="006F29B9" w:rsidP="002B5426">
      <w:pPr>
        <w:pStyle w:val="Heading3"/>
      </w:pPr>
      <w:bookmarkStart w:id="125" w:name="_Toc142924183"/>
      <w:r>
        <w:t>Data sets</w:t>
      </w:r>
      <w:bookmarkEnd w:id="125"/>
      <w:r>
        <w:t xml:space="preserve"> </w:t>
      </w:r>
    </w:p>
    <w:p w14:paraId="20785E03" w14:textId="77777777" w:rsidR="006F29B9" w:rsidRPr="0088201A" w:rsidRDefault="006F29B9" w:rsidP="00FB048B">
      <w:pPr>
        <w:pStyle w:val="Heading2"/>
        <w:numPr>
          <w:ilvl w:val="0"/>
          <w:numId w:val="0"/>
        </w:numPr>
      </w:pPr>
      <w:r w:rsidRPr="3787E91E">
        <w:t xml:space="preserve">Quantitative data will be consolidated from official </w:t>
      </w:r>
      <w:proofErr w:type="gramStart"/>
      <w:r w:rsidRPr="3787E91E">
        <w:t>sources</w:t>
      </w:r>
      <w:proofErr w:type="gramEnd"/>
    </w:p>
    <w:p w14:paraId="44BB6BBC" w14:textId="77777777" w:rsidR="006F29B9" w:rsidRPr="0088201A" w:rsidRDefault="006F29B9" w:rsidP="006F29B9">
      <w:pPr>
        <w:rPr>
          <w:lang w:eastAsia="en-AU"/>
        </w:rPr>
      </w:pPr>
      <w:r w:rsidRPr="0088201A">
        <w:rPr>
          <w:lang w:eastAsia="en-AU"/>
        </w:rPr>
        <w:t xml:space="preserve">The evaluation will draw on several different data sources to answer the </w:t>
      </w:r>
      <w:r>
        <w:rPr>
          <w:lang w:eastAsia="en-AU"/>
        </w:rPr>
        <w:t>KEQ</w:t>
      </w:r>
      <w:r w:rsidRPr="0088201A">
        <w:rPr>
          <w:lang w:eastAsia="en-AU"/>
        </w:rPr>
        <w:t xml:space="preserve">s as thoroughly as possible. Triangulating data from different sources will also help to provide a more robust estimate of the outcomes </w:t>
      </w:r>
      <w:r>
        <w:rPr>
          <w:lang w:eastAsia="en-AU"/>
        </w:rPr>
        <w:t xml:space="preserve">of the reforms </w:t>
      </w:r>
      <w:r w:rsidRPr="0088201A">
        <w:rPr>
          <w:lang w:eastAsia="en-AU"/>
        </w:rPr>
        <w:t xml:space="preserve">and fill inevitable gaps between data sources. </w:t>
      </w:r>
    </w:p>
    <w:p w14:paraId="6520F28C" w14:textId="4F0E7988" w:rsidR="006F29B9" w:rsidRPr="0088201A" w:rsidRDefault="006F29B9" w:rsidP="006F29B9">
      <w:pPr>
        <w:rPr>
          <w:lang w:eastAsia="en-AU"/>
        </w:rPr>
      </w:pPr>
      <w:r w:rsidRPr="0088201A">
        <w:rPr>
          <w:lang w:eastAsia="en-AU"/>
        </w:rPr>
        <w:t xml:space="preserve">Given the importance of the reform process, and the need to secure buy-in from a broad range of stakeholders, it is important that the data used is considered reputable. To this end, official data will be drawn from the sources summarised in </w:t>
      </w:r>
      <w:r w:rsidRPr="0088201A">
        <w:rPr>
          <w:highlight w:val="yellow"/>
          <w:lang w:eastAsia="en-AU"/>
        </w:rPr>
        <w:fldChar w:fldCharType="begin"/>
      </w:r>
      <w:r w:rsidRPr="0088201A">
        <w:rPr>
          <w:lang w:eastAsia="en-AU"/>
        </w:rPr>
        <w:instrText xml:space="preserve"> REF _Ref141729303 \h </w:instrText>
      </w:r>
      <w:r w:rsidRPr="0088201A">
        <w:rPr>
          <w:highlight w:val="yellow"/>
          <w:lang w:eastAsia="en-AU"/>
        </w:rPr>
      </w:r>
      <w:r w:rsidRPr="0088201A">
        <w:rPr>
          <w:highlight w:val="yellow"/>
          <w:lang w:eastAsia="en-AU"/>
        </w:rPr>
        <w:fldChar w:fldCharType="separate"/>
      </w:r>
      <w:r w:rsidR="00026714" w:rsidRPr="0088201A">
        <w:t xml:space="preserve">Figure </w:t>
      </w:r>
      <w:r w:rsidR="00026714">
        <w:rPr>
          <w:noProof/>
        </w:rPr>
        <w:t>37</w:t>
      </w:r>
      <w:r w:rsidRPr="0088201A">
        <w:rPr>
          <w:highlight w:val="yellow"/>
          <w:lang w:eastAsia="en-AU"/>
        </w:rPr>
        <w:fldChar w:fldCharType="end"/>
      </w:r>
      <w:r w:rsidRPr="0088201A">
        <w:rPr>
          <w:lang w:eastAsia="en-AU"/>
        </w:rPr>
        <w:t xml:space="preserve"> (see overleaf). </w:t>
      </w:r>
      <w:r w:rsidRPr="0088201A">
        <w:rPr>
          <w:lang w:eastAsia="en-AU"/>
        </w:rPr>
        <w:tab/>
      </w:r>
    </w:p>
    <w:p w14:paraId="3C05CA3D" w14:textId="4A1DC8B5" w:rsidR="006F29B9" w:rsidRPr="0088201A" w:rsidRDefault="006F29B9" w:rsidP="00130575">
      <w:pPr>
        <w:pStyle w:val="Caption"/>
        <w:spacing w:before="240" w:after="120"/>
      </w:pPr>
      <w:bookmarkStart w:id="126" w:name="_Ref141729303"/>
      <w:bookmarkStart w:id="127" w:name="_Ref141729296"/>
      <w:r w:rsidRPr="0088201A">
        <w:lastRenderedPageBreak/>
        <w:t xml:space="preserve">Figure </w:t>
      </w:r>
      <w:r>
        <w:fldChar w:fldCharType="begin"/>
      </w:r>
      <w:r>
        <w:instrText xml:space="preserve"> SEQ Figure \* ARABIC </w:instrText>
      </w:r>
      <w:r>
        <w:fldChar w:fldCharType="separate"/>
      </w:r>
      <w:r w:rsidR="00026714">
        <w:rPr>
          <w:noProof/>
        </w:rPr>
        <w:t>37</w:t>
      </w:r>
      <w:r>
        <w:fldChar w:fldCharType="end"/>
      </w:r>
      <w:bookmarkEnd w:id="126"/>
      <w:r w:rsidRPr="0088201A">
        <w:t xml:space="preserve"> | Data </w:t>
      </w:r>
      <w:proofErr w:type="gramStart"/>
      <w:r w:rsidRPr="0088201A">
        <w:t>sources</w:t>
      </w:r>
      <w:bookmarkEnd w:id="127"/>
      <w:proofErr w:type="gramEnd"/>
    </w:p>
    <w:p w14:paraId="452C56C8" w14:textId="77777777" w:rsidR="006F29B9" w:rsidRPr="0088201A" w:rsidRDefault="006F29B9" w:rsidP="006F29B9">
      <w:pPr>
        <w:rPr>
          <w:lang w:eastAsia="en-AU"/>
        </w:rPr>
      </w:pPr>
      <w:r w:rsidRPr="00DF1FE2">
        <w:rPr>
          <w:noProof/>
        </w:rPr>
        <w:drawing>
          <wp:inline distT="0" distB="0" distL="0" distR="0" wp14:anchorId="73E254E2" wp14:editId="503BEEB9">
            <wp:extent cx="5670550" cy="2747645"/>
            <wp:effectExtent l="0" t="0" r="6350" b="0"/>
            <wp:docPr id="56" name="Picture 56" descr="A figure showing five data sources. These are 1. IHACPA data; 2. APRA data; 3. HCP/PHDB data; 4. Periodic review data; 5. PLMS/HPP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figure showing five data sources. These are 1. IHACPA data; 2. APRA data; 3. HCP/PHDB data; 4. Periodic review data; 5. PLMS/HPP dat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70550" cy="2747645"/>
                    </a:xfrm>
                    <a:prstGeom prst="rect">
                      <a:avLst/>
                    </a:prstGeom>
                    <a:noFill/>
                    <a:ln>
                      <a:noFill/>
                    </a:ln>
                  </pic:spPr>
                </pic:pic>
              </a:graphicData>
            </a:graphic>
          </wp:inline>
        </w:drawing>
      </w:r>
    </w:p>
    <w:p w14:paraId="510A2194" w14:textId="77777777" w:rsidR="006F29B9" w:rsidRPr="0088201A" w:rsidRDefault="006F29B9" w:rsidP="00FB048B">
      <w:pPr>
        <w:pStyle w:val="Heading3"/>
      </w:pPr>
      <w:r w:rsidRPr="0088201A">
        <w:t xml:space="preserve">Data for both financial and health outcomes will be considered as part of the </w:t>
      </w:r>
      <w:proofErr w:type="gramStart"/>
      <w:r w:rsidRPr="0088201A">
        <w:t>evaluation</w:t>
      </w:r>
      <w:proofErr w:type="gramEnd"/>
      <w:r w:rsidRPr="0088201A">
        <w:t xml:space="preserve"> </w:t>
      </w:r>
    </w:p>
    <w:p w14:paraId="0CB70C53" w14:textId="0F54D416" w:rsidR="006F29B9" w:rsidRPr="0088201A" w:rsidRDefault="006F29B9" w:rsidP="006F29B9">
      <w:pPr>
        <w:rPr>
          <w:lang w:eastAsia="en-AU"/>
        </w:rPr>
      </w:pPr>
      <w:r w:rsidRPr="0088201A">
        <w:rPr>
          <w:lang w:eastAsia="en-AU"/>
        </w:rPr>
        <w:t xml:space="preserve">The evaluation will try to assess the tangible outcomes associated with the PL </w:t>
      </w:r>
      <w:r>
        <w:rPr>
          <w:lang w:eastAsia="en-AU"/>
        </w:rPr>
        <w:t>R</w:t>
      </w:r>
      <w:r w:rsidRPr="0088201A">
        <w:rPr>
          <w:lang w:eastAsia="en-AU"/>
        </w:rPr>
        <w:t xml:space="preserve">eforms </w:t>
      </w:r>
      <w:r>
        <w:rPr>
          <w:lang w:eastAsia="en-AU"/>
        </w:rPr>
        <w:t>–</w:t>
      </w:r>
      <w:r w:rsidRPr="0088201A">
        <w:rPr>
          <w:lang w:eastAsia="en-AU"/>
        </w:rPr>
        <w:t xml:space="preserve"> including financial outcomes, such as the benefit reductions in PL listed items </w:t>
      </w:r>
      <w:r>
        <w:rPr>
          <w:lang w:eastAsia="en-AU"/>
        </w:rPr>
        <w:t>–</w:t>
      </w:r>
      <w:r w:rsidRPr="0088201A">
        <w:rPr>
          <w:lang w:eastAsia="en-AU"/>
        </w:rPr>
        <w:t xml:space="preserve"> as well as less tangible outcomes such as the health status of patients who undergo a medical procedure involving a PL listed item. An indicative list of the key indicators that could be used to assess these outcomes can be found in </w:t>
      </w:r>
      <w:r w:rsidRPr="0088201A">
        <w:rPr>
          <w:lang w:eastAsia="en-AU"/>
        </w:rPr>
        <w:fldChar w:fldCharType="begin"/>
      </w:r>
      <w:r w:rsidRPr="0088201A">
        <w:rPr>
          <w:lang w:eastAsia="en-AU"/>
        </w:rPr>
        <w:instrText xml:space="preserve"> REF _Ref141803365 \h </w:instrText>
      </w:r>
      <w:r w:rsidRPr="0088201A">
        <w:rPr>
          <w:lang w:eastAsia="en-AU"/>
        </w:rPr>
      </w:r>
      <w:r w:rsidRPr="0088201A">
        <w:rPr>
          <w:lang w:eastAsia="en-AU"/>
        </w:rPr>
        <w:fldChar w:fldCharType="separate"/>
      </w:r>
      <w:r w:rsidR="00026714" w:rsidRPr="0088201A">
        <w:t xml:space="preserve">Table </w:t>
      </w:r>
      <w:r w:rsidR="00026714">
        <w:rPr>
          <w:noProof/>
        </w:rPr>
        <w:t>10</w:t>
      </w:r>
      <w:r w:rsidRPr="0088201A">
        <w:rPr>
          <w:lang w:eastAsia="en-AU"/>
        </w:rPr>
        <w:fldChar w:fldCharType="end"/>
      </w:r>
      <w:r>
        <w:rPr>
          <w:lang w:eastAsia="en-AU"/>
        </w:rPr>
        <w:t>.</w:t>
      </w:r>
    </w:p>
    <w:p w14:paraId="656092A8" w14:textId="117E3100" w:rsidR="006F29B9" w:rsidRDefault="006F29B9" w:rsidP="006F29B9">
      <w:pPr>
        <w:rPr>
          <w:lang w:eastAsia="en-AU"/>
        </w:rPr>
      </w:pPr>
      <w:r>
        <w:rPr>
          <w:lang w:eastAsia="en-AU"/>
        </w:rPr>
        <w:t xml:space="preserve">For each of the indicators listed in </w:t>
      </w:r>
      <w:r w:rsidRPr="0088201A">
        <w:rPr>
          <w:lang w:eastAsia="en-AU"/>
        </w:rPr>
        <w:fldChar w:fldCharType="begin"/>
      </w:r>
      <w:r w:rsidRPr="0088201A">
        <w:rPr>
          <w:lang w:eastAsia="en-AU"/>
        </w:rPr>
        <w:instrText xml:space="preserve"> REF _Ref141803365 \h </w:instrText>
      </w:r>
      <w:r w:rsidRPr="0088201A">
        <w:rPr>
          <w:lang w:eastAsia="en-AU"/>
        </w:rPr>
      </w:r>
      <w:r w:rsidRPr="0088201A">
        <w:rPr>
          <w:lang w:eastAsia="en-AU"/>
        </w:rPr>
        <w:fldChar w:fldCharType="separate"/>
      </w:r>
      <w:r w:rsidR="00026714" w:rsidRPr="0088201A">
        <w:t xml:space="preserve">Table </w:t>
      </w:r>
      <w:r w:rsidR="00026714">
        <w:rPr>
          <w:noProof/>
        </w:rPr>
        <w:t>10</w:t>
      </w:r>
      <w:r w:rsidRPr="0088201A">
        <w:rPr>
          <w:lang w:eastAsia="en-AU"/>
        </w:rPr>
        <w:fldChar w:fldCharType="end"/>
      </w:r>
      <w:r>
        <w:rPr>
          <w:lang w:eastAsia="en-AU"/>
        </w:rPr>
        <w:t>, where possible (noting that data limitations may be present for some indicators), and relevant to the analysis, the aggregate indicator will be decomposed into indicators that reflect developments across:</w:t>
      </w:r>
    </w:p>
    <w:p w14:paraId="44E73450" w14:textId="478ED5AC" w:rsidR="006F29B9" w:rsidRPr="0004070E" w:rsidRDefault="00CC526E" w:rsidP="3787E91E">
      <w:pPr>
        <w:pStyle w:val="Bullet"/>
      </w:pPr>
      <w:r w:rsidRPr="3787E91E">
        <w:t>T</w:t>
      </w:r>
      <w:r w:rsidR="006F29B9" w:rsidRPr="3787E91E">
        <w:t>ime, specifically financial years</w:t>
      </w:r>
    </w:p>
    <w:p w14:paraId="74CEAF82" w14:textId="3F537554" w:rsidR="006F29B9" w:rsidRPr="0004070E" w:rsidRDefault="00CC526E" w:rsidP="0004070E">
      <w:pPr>
        <w:pStyle w:val="Bullet"/>
      </w:pPr>
      <w:r w:rsidRPr="0004070E">
        <w:t>T</w:t>
      </w:r>
      <w:r w:rsidR="006F29B9" w:rsidRPr="0004070E">
        <w:t>he different PL-listed items, or groups of items (noting that data should be considered for items that were on the PL pre-reform, as indicators for items that were removed from the PL may show significant changes that can be more readily attributed to the reforms)</w:t>
      </w:r>
    </w:p>
    <w:p w14:paraId="38301540" w14:textId="590896F0" w:rsidR="006F29B9" w:rsidRPr="0004070E" w:rsidRDefault="00CC526E" w:rsidP="0004070E">
      <w:pPr>
        <w:pStyle w:val="Bullet"/>
      </w:pPr>
      <w:r w:rsidRPr="0004070E">
        <w:t>S</w:t>
      </w:r>
      <w:r w:rsidR="006F29B9" w:rsidRPr="0004070E">
        <w:t xml:space="preserve">tates and territories </w:t>
      </w:r>
    </w:p>
    <w:p w14:paraId="27ABF804" w14:textId="66CC68DD" w:rsidR="006F29B9" w:rsidRPr="0004070E" w:rsidRDefault="00CC526E" w:rsidP="0004070E">
      <w:pPr>
        <w:pStyle w:val="Bullet"/>
      </w:pPr>
      <w:r w:rsidRPr="0004070E">
        <w:t>D</w:t>
      </w:r>
      <w:r w:rsidR="006F29B9" w:rsidRPr="0004070E">
        <w:t>ifferent patient demographics (e.g., age, gender)</w:t>
      </w:r>
    </w:p>
    <w:p w14:paraId="0B567B09" w14:textId="0791FE01" w:rsidR="006F29B9" w:rsidRPr="0004070E" w:rsidRDefault="00CC526E" w:rsidP="0004070E">
      <w:pPr>
        <w:pStyle w:val="Bullet"/>
      </w:pPr>
      <w:r w:rsidRPr="0004070E">
        <w:t>O</w:t>
      </w:r>
      <w:r w:rsidR="006F29B9" w:rsidRPr="0004070E">
        <w:t>ther available variables relevant to specific indicators.</w:t>
      </w:r>
    </w:p>
    <w:p w14:paraId="0FBAC9FC" w14:textId="2E80DD96" w:rsidR="006F29B9" w:rsidRPr="0088201A" w:rsidRDefault="006F29B9" w:rsidP="00130575">
      <w:pPr>
        <w:pStyle w:val="Caption"/>
        <w:spacing w:before="240" w:after="120"/>
      </w:pPr>
      <w:bookmarkStart w:id="128" w:name="_Ref141803365"/>
      <w:r w:rsidRPr="0088201A">
        <w:t xml:space="preserve">Table </w:t>
      </w:r>
      <w:r w:rsidRPr="0088201A">
        <w:fldChar w:fldCharType="begin"/>
      </w:r>
      <w:r w:rsidRPr="0088201A">
        <w:instrText xml:space="preserve"> SEQ Table \* ARABIC </w:instrText>
      </w:r>
      <w:r w:rsidRPr="0088201A">
        <w:fldChar w:fldCharType="separate"/>
      </w:r>
      <w:r w:rsidR="00026714">
        <w:rPr>
          <w:noProof/>
        </w:rPr>
        <w:t>10</w:t>
      </w:r>
      <w:r w:rsidRPr="0088201A">
        <w:fldChar w:fldCharType="end"/>
      </w:r>
      <w:bookmarkEnd w:id="128"/>
      <w:r w:rsidRPr="0088201A">
        <w:t xml:space="preserve"> | Key financial and health indicators</w:t>
      </w:r>
    </w:p>
    <w:tbl>
      <w:tblPr>
        <w:tblStyle w:val="NOUSSideHeader1"/>
        <w:tblW w:w="9000" w:type="dxa"/>
        <w:tblLook w:val="04A0" w:firstRow="1" w:lastRow="0" w:firstColumn="1" w:lastColumn="0" w:noHBand="0" w:noVBand="1"/>
      </w:tblPr>
      <w:tblGrid>
        <w:gridCol w:w="2984"/>
        <w:gridCol w:w="6016"/>
      </w:tblGrid>
      <w:tr w:rsidR="00C71BBB" w:rsidRPr="00366264" w14:paraId="2C90A4DC" w14:textId="77777777" w:rsidTr="3787E91E">
        <w:trPr>
          <w:cnfStyle w:val="100000000000" w:firstRow="1" w:lastRow="0" w:firstColumn="0" w:lastColumn="0" w:oddVBand="0" w:evenVBand="0" w:oddHBand="0" w:evenHBand="0" w:firstRowFirstColumn="0" w:firstRowLastColumn="0" w:lastRowFirstColumn="0" w:lastRowLastColumn="0"/>
          <w:trHeight w:val="237"/>
        </w:trPr>
        <w:tc>
          <w:tcPr>
            <w:tcW w:w="2984" w:type="dxa"/>
          </w:tcPr>
          <w:p w14:paraId="0BE3877D" w14:textId="77777777" w:rsidR="006F29B9" w:rsidRPr="00130575" w:rsidRDefault="006F29B9" w:rsidP="00130575">
            <w:pPr>
              <w:spacing w:before="40" w:after="40"/>
              <w:rPr>
                <w:rFonts w:asciiTheme="majorHAnsi" w:hAnsiTheme="majorHAnsi" w:cstheme="majorHAnsi"/>
                <w:sz w:val="18"/>
                <w:szCs w:val="18"/>
                <w:lang w:eastAsia="en-AU"/>
              </w:rPr>
            </w:pPr>
            <w:r w:rsidRPr="00130575">
              <w:rPr>
                <w:rFonts w:asciiTheme="majorHAnsi" w:hAnsiTheme="majorHAnsi" w:cstheme="majorHAnsi"/>
                <w:sz w:val="18"/>
                <w:szCs w:val="18"/>
                <w:lang w:eastAsia="en-AU"/>
              </w:rPr>
              <w:t>Indicator</w:t>
            </w:r>
          </w:p>
        </w:tc>
        <w:tc>
          <w:tcPr>
            <w:tcW w:w="6016" w:type="dxa"/>
          </w:tcPr>
          <w:p w14:paraId="32D19011" w14:textId="77777777" w:rsidR="006F29B9" w:rsidRPr="00130575" w:rsidRDefault="006F29B9" w:rsidP="00130575">
            <w:pPr>
              <w:spacing w:before="40" w:after="40"/>
              <w:rPr>
                <w:rFonts w:asciiTheme="majorHAnsi" w:hAnsiTheme="majorHAnsi" w:cstheme="majorHAnsi"/>
                <w:sz w:val="18"/>
                <w:szCs w:val="18"/>
                <w:lang w:eastAsia="en-AU"/>
              </w:rPr>
            </w:pPr>
            <w:r w:rsidRPr="00130575">
              <w:rPr>
                <w:rFonts w:asciiTheme="majorHAnsi" w:hAnsiTheme="majorHAnsi" w:cstheme="majorHAnsi"/>
                <w:sz w:val="18"/>
                <w:szCs w:val="18"/>
                <w:lang w:eastAsia="en-AU"/>
              </w:rPr>
              <w:t>Purpose</w:t>
            </w:r>
          </w:p>
        </w:tc>
      </w:tr>
      <w:tr w:rsidR="006F29B9" w:rsidRPr="00366264" w14:paraId="053C2B40" w14:textId="77777777" w:rsidTr="3787E91E">
        <w:trPr>
          <w:cnfStyle w:val="000000100000" w:firstRow="0" w:lastRow="0" w:firstColumn="0" w:lastColumn="0" w:oddVBand="0" w:evenVBand="0" w:oddHBand="1" w:evenHBand="0" w:firstRowFirstColumn="0" w:firstRowLastColumn="0" w:lastRowFirstColumn="0" w:lastRowLastColumn="0"/>
          <w:trHeight w:val="1086"/>
        </w:trPr>
        <w:tc>
          <w:tcPr>
            <w:tcW w:w="2984" w:type="dxa"/>
            <w:shd w:val="clear" w:color="auto" w:fill="FFFFFF" w:themeFill="background1"/>
          </w:tcPr>
          <w:p w14:paraId="441146BE" w14:textId="77777777" w:rsidR="006F29B9" w:rsidRPr="0088201A" w:rsidRDefault="006F29B9" w:rsidP="00130575">
            <w:pPr>
              <w:suppressAutoHyphens/>
              <w:spacing w:before="40" w:after="40"/>
              <w:ind w:right="567"/>
              <w:rPr>
                <w:rFonts w:asciiTheme="minorHAnsi" w:eastAsia="Times New Roman" w:hAnsiTheme="minorHAnsi" w:cstheme="minorHAnsi"/>
                <w:color w:val="000000" w:themeColor="text1"/>
                <w:sz w:val="17"/>
                <w:szCs w:val="19"/>
                <w:lang w:eastAsia="en-AU"/>
              </w:rPr>
            </w:pPr>
            <w:r w:rsidRPr="0088201A">
              <w:rPr>
                <w:rFonts w:asciiTheme="minorHAnsi" w:eastAsia="Times New Roman" w:hAnsiTheme="minorHAnsi" w:cstheme="minorHAnsi"/>
                <w:noProof/>
                <w:color w:val="000000" w:themeColor="text1"/>
                <w:sz w:val="17"/>
                <w:szCs w:val="19"/>
                <w:lang w:eastAsia="en-AU"/>
              </w:rPr>
              <w:drawing>
                <wp:anchor distT="0" distB="0" distL="114300" distR="114300" simplePos="0" relativeHeight="251658241" behindDoc="0" locked="0" layoutInCell="1" allowOverlap="1" wp14:anchorId="2EA334EA" wp14:editId="349F9743">
                  <wp:simplePos x="0" y="0"/>
                  <wp:positionH relativeFrom="column">
                    <wp:posOffset>1407795</wp:posOffset>
                  </wp:positionH>
                  <wp:positionV relativeFrom="paragraph">
                    <wp:posOffset>82550</wp:posOffset>
                  </wp:positionV>
                  <wp:extent cx="314960" cy="277495"/>
                  <wp:effectExtent l="0" t="0" r="8890" b="8255"/>
                  <wp:wrapSquare wrapText="bothSides"/>
                  <wp:docPr id="22" name="Graphic 22">
                    <a:extLst xmlns:a="http://schemas.openxmlformats.org/drawingml/2006/main">
                      <a:ext uri="{FF2B5EF4-FFF2-40B4-BE49-F238E27FC236}">
                        <a16:creationId xmlns:a16="http://schemas.microsoft.com/office/drawing/2014/main" id="{2672894D-14F8-415F-9C74-4DD10FEFF73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a:extLst>
                              <a:ext uri="{FF2B5EF4-FFF2-40B4-BE49-F238E27FC236}">
                                <a16:creationId xmlns:a16="http://schemas.microsoft.com/office/drawing/2014/main" id="{2672894D-14F8-415F-9C74-4DD10FEFF738}"/>
                              </a:ext>
                              <a:ext uri="{C183D7F6-B498-43B3-948B-1728B52AA6E4}">
                                <adec:decorative xmlns:adec="http://schemas.microsoft.com/office/drawing/2017/decorative" val="1"/>
                              </a:ext>
                            </a:extLst>
                          </pic:cNvPr>
                          <pic:cNvPicPr>
                            <a:picLocks noChangeAspect="1"/>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314960" cy="277495"/>
                          </a:xfrm>
                          <a:prstGeom prst="rect">
                            <a:avLst/>
                          </a:prstGeom>
                        </pic:spPr>
                      </pic:pic>
                    </a:graphicData>
                  </a:graphic>
                  <wp14:sizeRelH relativeFrom="page">
                    <wp14:pctWidth>0</wp14:pctWidth>
                  </wp14:sizeRelH>
                  <wp14:sizeRelV relativeFrom="page">
                    <wp14:pctHeight>0</wp14:pctHeight>
                  </wp14:sizeRelV>
                </wp:anchor>
              </w:drawing>
            </w:r>
            <w:r w:rsidRPr="0088201A">
              <w:rPr>
                <w:rFonts w:asciiTheme="majorHAnsi" w:eastAsia="Times New Roman" w:hAnsiTheme="majorHAnsi" w:cstheme="majorHAnsi"/>
                <w:color w:val="000000" w:themeColor="text1"/>
                <w:sz w:val="17"/>
                <w:szCs w:val="19"/>
                <w:lang w:eastAsia="en-AU"/>
              </w:rPr>
              <w:t>Number</w:t>
            </w:r>
            <w:r w:rsidRPr="0088201A">
              <w:rPr>
                <w:rFonts w:asciiTheme="minorHAnsi" w:eastAsia="Times New Roman" w:hAnsiTheme="minorHAnsi" w:cstheme="minorHAnsi"/>
                <w:color w:val="000000" w:themeColor="text1"/>
                <w:sz w:val="17"/>
                <w:szCs w:val="19"/>
                <w:lang w:eastAsia="en-AU"/>
              </w:rPr>
              <w:t xml:space="preserve"> of </w:t>
            </w:r>
            <w:r w:rsidRPr="0088201A">
              <w:rPr>
                <w:rFonts w:asciiTheme="majorHAnsi" w:eastAsia="Times New Roman" w:hAnsiTheme="majorHAnsi" w:cstheme="majorHAnsi"/>
                <w:color w:val="000000" w:themeColor="text1"/>
                <w:sz w:val="17"/>
                <w:szCs w:val="19"/>
                <w:lang w:eastAsia="en-AU"/>
              </w:rPr>
              <w:t>devices</w:t>
            </w:r>
            <w:r w:rsidRPr="0088201A">
              <w:rPr>
                <w:rFonts w:asciiTheme="minorHAnsi" w:eastAsia="Times New Roman" w:hAnsiTheme="minorHAnsi" w:cstheme="minorHAnsi"/>
                <w:color w:val="000000" w:themeColor="text1"/>
                <w:sz w:val="17"/>
                <w:szCs w:val="19"/>
                <w:lang w:eastAsia="en-AU"/>
              </w:rPr>
              <w:t xml:space="preserve"> used/sold in the </w:t>
            </w:r>
            <w:r w:rsidRPr="0088201A">
              <w:rPr>
                <w:rFonts w:asciiTheme="majorHAnsi" w:eastAsia="Times New Roman" w:hAnsiTheme="majorHAnsi" w:cstheme="majorHAnsi"/>
                <w:color w:val="000000" w:themeColor="text1"/>
                <w:sz w:val="17"/>
                <w:szCs w:val="19"/>
                <w:lang w:eastAsia="en-AU"/>
              </w:rPr>
              <w:t>public</w:t>
            </w:r>
            <w:r w:rsidRPr="0088201A">
              <w:rPr>
                <w:rFonts w:asciiTheme="minorHAnsi" w:eastAsia="Times New Roman" w:hAnsiTheme="minorHAnsi" w:cstheme="minorHAnsi"/>
                <w:color w:val="000000" w:themeColor="text1"/>
                <w:sz w:val="17"/>
                <w:szCs w:val="19"/>
                <w:lang w:eastAsia="en-AU"/>
              </w:rPr>
              <w:t xml:space="preserve"> system </w:t>
            </w:r>
          </w:p>
        </w:tc>
        <w:tc>
          <w:tcPr>
            <w:tcW w:w="6016" w:type="dxa"/>
            <w:shd w:val="clear" w:color="auto" w:fill="FFFFFF" w:themeFill="background1"/>
          </w:tcPr>
          <w:p w14:paraId="65D3B10D" w14:textId="77777777" w:rsidR="006F29B9" w:rsidRPr="0088201A" w:rsidRDefault="006F29B9">
            <w:pPr>
              <w:pStyle w:val="TableNText"/>
            </w:pPr>
            <w:r w:rsidRPr="0088201A">
              <w:t>As a reference group to support analysis of changes in the utilisation of prostheses in the private health system and to analyse for evidence of cross-sector dependence in prostheses pricing and utilisation between the public and private sectors</w:t>
            </w:r>
            <w:r>
              <w:t>.</w:t>
            </w:r>
          </w:p>
        </w:tc>
      </w:tr>
      <w:tr w:rsidR="006F29B9" w:rsidRPr="00366264" w14:paraId="405C2B57" w14:textId="77777777" w:rsidTr="3787E91E">
        <w:trPr>
          <w:cnfStyle w:val="000000010000" w:firstRow="0" w:lastRow="0" w:firstColumn="0" w:lastColumn="0" w:oddVBand="0" w:evenVBand="0" w:oddHBand="0" w:evenHBand="1" w:firstRowFirstColumn="0" w:firstRowLastColumn="0" w:lastRowFirstColumn="0" w:lastRowLastColumn="0"/>
          <w:trHeight w:val="1086"/>
        </w:trPr>
        <w:tc>
          <w:tcPr>
            <w:tcW w:w="2984" w:type="dxa"/>
            <w:shd w:val="clear" w:color="auto" w:fill="FFFFFF" w:themeFill="background1"/>
          </w:tcPr>
          <w:p w14:paraId="7053DC76" w14:textId="77777777" w:rsidR="006F29B9" w:rsidRPr="0088201A" w:rsidRDefault="006F29B9" w:rsidP="00130575">
            <w:pPr>
              <w:suppressAutoHyphens/>
              <w:spacing w:before="40" w:after="40"/>
              <w:ind w:right="567"/>
              <w:rPr>
                <w:rFonts w:asciiTheme="minorHAnsi" w:eastAsia="Times New Roman" w:hAnsiTheme="minorHAnsi" w:cstheme="minorHAnsi"/>
                <w:sz w:val="17"/>
                <w:szCs w:val="19"/>
                <w:lang w:eastAsia="en-AU"/>
              </w:rPr>
            </w:pPr>
            <w:r w:rsidRPr="0088201A">
              <w:rPr>
                <w:rFonts w:asciiTheme="minorHAnsi" w:eastAsia="Times New Roman" w:hAnsiTheme="minorHAnsi" w:cstheme="minorHAnsi"/>
                <w:noProof/>
                <w:sz w:val="17"/>
                <w:szCs w:val="19"/>
                <w:lang w:eastAsia="en-AU"/>
              </w:rPr>
              <w:drawing>
                <wp:anchor distT="0" distB="0" distL="114300" distR="114300" simplePos="0" relativeHeight="251658242" behindDoc="0" locked="0" layoutInCell="1" allowOverlap="1" wp14:anchorId="7EAB5A14" wp14:editId="697AB702">
                  <wp:simplePos x="0" y="0"/>
                  <wp:positionH relativeFrom="column">
                    <wp:posOffset>1406525</wp:posOffset>
                  </wp:positionH>
                  <wp:positionV relativeFrom="paragraph">
                    <wp:posOffset>161290</wp:posOffset>
                  </wp:positionV>
                  <wp:extent cx="319405" cy="319405"/>
                  <wp:effectExtent l="0" t="0" r="4445" b="4445"/>
                  <wp:wrapSquare wrapText="bothSides"/>
                  <wp:docPr id="33" name="Graphic 33">
                    <a:extLst xmlns:a="http://schemas.openxmlformats.org/drawingml/2006/main">
                      <a:ext uri="{FF2B5EF4-FFF2-40B4-BE49-F238E27FC236}">
                        <a16:creationId xmlns:a16="http://schemas.microsoft.com/office/drawing/2014/main" id="{436C34AB-0471-4B24-BC1A-FC22CA8F73D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a:extLst>
                              <a:ext uri="{FF2B5EF4-FFF2-40B4-BE49-F238E27FC236}">
                                <a16:creationId xmlns:a16="http://schemas.microsoft.com/office/drawing/2014/main" id="{436C34AB-0471-4B24-BC1A-FC22CA8F73DE}"/>
                              </a:ext>
                              <a:ext uri="{C183D7F6-B498-43B3-948B-1728B52AA6E4}">
                                <adec:decorative xmlns:adec="http://schemas.microsoft.com/office/drawing/2017/decorative" val="1"/>
                              </a:ext>
                            </a:extLst>
                          </pic:cNvPr>
                          <pic:cNvPicPr>
                            <a:picLocks noChangeAspect="1"/>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319405" cy="319405"/>
                          </a:xfrm>
                          <a:prstGeom prst="rect">
                            <a:avLst/>
                          </a:prstGeom>
                        </pic:spPr>
                      </pic:pic>
                    </a:graphicData>
                  </a:graphic>
                  <wp14:sizeRelH relativeFrom="page">
                    <wp14:pctWidth>0</wp14:pctWidth>
                  </wp14:sizeRelH>
                  <wp14:sizeRelV relativeFrom="page">
                    <wp14:pctHeight>0</wp14:pctHeight>
                  </wp14:sizeRelV>
                </wp:anchor>
              </w:drawing>
            </w:r>
            <w:r w:rsidRPr="0088201A">
              <w:rPr>
                <w:rFonts w:asciiTheme="majorHAnsi" w:eastAsia="Times New Roman" w:hAnsiTheme="majorHAnsi" w:cstheme="majorHAnsi"/>
                <w:sz w:val="17"/>
                <w:szCs w:val="19"/>
                <w:lang w:eastAsia="en-AU"/>
              </w:rPr>
              <w:t>Number</w:t>
            </w:r>
            <w:r w:rsidRPr="0088201A">
              <w:rPr>
                <w:rFonts w:asciiTheme="minorHAnsi" w:eastAsia="Times New Roman" w:hAnsiTheme="minorHAnsi" w:cstheme="minorHAnsi"/>
                <w:sz w:val="17"/>
                <w:szCs w:val="19"/>
                <w:lang w:eastAsia="en-AU"/>
              </w:rPr>
              <w:t xml:space="preserve"> of </w:t>
            </w:r>
            <w:r w:rsidRPr="0088201A">
              <w:rPr>
                <w:rFonts w:asciiTheme="majorHAnsi" w:eastAsia="Times New Roman" w:hAnsiTheme="majorHAnsi" w:cstheme="majorHAnsi"/>
                <w:sz w:val="17"/>
                <w:szCs w:val="19"/>
                <w:lang w:eastAsia="en-AU"/>
              </w:rPr>
              <w:t>devices</w:t>
            </w:r>
            <w:r w:rsidRPr="0088201A">
              <w:rPr>
                <w:rFonts w:asciiTheme="minorHAnsi" w:eastAsia="Times New Roman" w:hAnsiTheme="minorHAnsi" w:cstheme="minorHAnsi"/>
                <w:sz w:val="17"/>
                <w:szCs w:val="19"/>
                <w:lang w:eastAsia="en-AU"/>
              </w:rPr>
              <w:t xml:space="preserve"> used/sold in the </w:t>
            </w:r>
            <w:r w:rsidRPr="0088201A">
              <w:rPr>
                <w:rFonts w:asciiTheme="majorHAnsi" w:eastAsia="Times New Roman" w:hAnsiTheme="majorHAnsi" w:cstheme="majorHAnsi"/>
                <w:sz w:val="17"/>
                <w:szCs w:val="19"/>
                <w:lang w:eastAsia="en-AU"/>
              </w:rPr>
              <w:t>private</w:t>
            </w:r>
            <w:r w:rsidRPr="0088201A">
              <w:rPr>
                <w:rFonts w:asciiTheme="minorHAnsi" w:eastAsia="Times New Roman" w:hAnsiTheme="minorHAnsi" w:cstheme="minorHAnsi"/>
                <w:sz w:val="17"/>
                <w:szCs w:val="19"/>
                <w:lang w:eastAsia="en-AU"/>
              </w:rPr>
              <w:t xml:space="preserve"> system by financial year and PL price group</w:t>
            </w:r>
            <w:r w:rsidRPr="0088201A">
              <w:rPr>
                <w:rFonts w:asciiTheme="minorHAnsi" w:eastAsia="Times New Roman" w:hAnsiTheme="minorHAnsi" w:cstheme="minorHAnsi"/>
                <w:sz w:val="17"/>
                <w:szCs w:val="19"/>
                <w:vertAlign w:val="superscript"/>
                <w:lang w:eastAsia="en-AU"/>
              </w:rPr>
              <w:t>1</w:t>
            </w:r>
          </w:p>
        </w:tc>
        <w:tc>
          <w:tcPr>
            <w:tcW w:w="6016" w:type="dxa"/>
            <w:shd w:val="clear" w:color="auto" w:fill="FFFFFF" w:themeFill="background1"/>
          </w:tcPr>
          <w:p w14:paraId="5C3D8D22" w14:textId="77777777" w:rsidR="006F29B9" w:rsidRPr="0088201A" w:rsidRDefault="006F29B9">
            <w:pPr>
              <w:pStyle w:val="TableNText"/>
            </w:pPr>
            <w:r w:rsidRPr="0088201A">
              <w:t>To assess the existence of any impact of the reforms on the utilisation of different prostheses (i.e., is physician/patient choice changing in response to the reforms)</w:t>
            </w:r>
            <w:r>
              <w:t>.</w:t>
            </w:r>
          </w:p>
        </w:tc>
      </w:tr>
      <w:tr w:rsidR="006F29B9" w:rsidRPr="00366264" w14:paraId="05B3FBF7" w14:textId="77777777" w:rsidTr="3787E91E">
        <w:trPr>
          <w:cnfStyle w:val="000000100000" w:firstRow="0" w:lastRow="0" w:firstColumn="0" w:lastColumn="0" w:oddVBand="0" w:evenVBand="0" w:oddHBand="1" w:evenHBand="0" w:firstRowFirstColumn="0" w:firstRowLastColumn="0" w:lastRowFirstColumn="0" w:lastRowLastColumn="0"/>
          <w:trHeight w:val="860"/>
        </w:trPr>
        <w:tc>
          <w:tcPr>
            <w:tcW w:w="2984" w:type="dxa"/>
            <w:shd w:val="clear" w:color="auto" w:fill="FFFFFF" w:themeFill="background1"/>
          </w:tcPr>
          <w:p w14:paraId="2AF78837" w14:textId="77777777" w:rsidR="006F29B9" w:rsidRPr="0088201A" w:rsidRDefault="006F29B9" w:rsidP="00130575">
            <w:pPr>
              <w:suppressAutoHyphens/>
              <w:spacing w:before="40" w:after="40"/>
              <w:ind w:right="567"/>
              <w:rPr>
                <w:rFonts w:asciiTheme="minorHAnsi" w:eastAsia="Times New Roman" w:hAnsiTheme="minorHAnsi" w:cstheme="minorHAnsi"/>
                <w:sz w:val="17"/>
                <w:szCs w:val="19"/>
                <w:lang w:eastAsia="en-AU"/>
              </w:rPr>
            </w:pPr>
            <w:r w:rsidRPr="0088201A">
              <w:rPr>
                <w:noProof/>
              </w:rPr>
              <w:lastRenderedPageBreak/>
              <mc:AlternateContent>
                <mc:Choice Requires="wpg">
                  <w:drawing>
                    <wp:anchor distT="0" distB="0" distL="114300" distR="114300" simplePos="0" relativeHeight="251658244" behindDoc="0" locked="0" layoutInCell="1" allowOverlap="1" wp14:anchorId="6D4DE88C" wp14:editId="23CBC77B">
                      <wp:simplePos x="0" y="0"/>
                      <wp:positionH relativeFrom="column">
                        <wp:posOffset>1450340</wp:posOffset>
                      </wp:positionH>
                      <wp:positionV relativeFrom="paragraph">
                        <wp:posOffset>139700</wp:posOffset>
                      </wp:positionV>
                      <wp:extent cx="237490" cy="283210"/>
                      <wp:effectExtent l="38100" t="0" r="10160" b="2540"/>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7490" cy="283210"/>
                                <a:chOff x="0" y="0"/>
                                <a:chExt cx="455613" cy="544513"/>
                              </a:xfrm>
                              <a:solidFill>
                                <a:schemeClr val="bg2"/>
                              </a:solidFill>
                            </wpg:grpSpPr>
                            <wps:wsp>
                              <wps:cNvPr id="21" name="Freeform 22"/>
                              <wps:cNvSpPr>
                                <a:spLocks noEditPoints="1"/>
                              </wps:cNvSpPr>
                              <wps:spPr bwMode="auto">
                                <a:xfrm>
                                  <a:off x="0" y="0"/>
                                  <a:ext cx="455613" cy="544513"/>
                                </a:xfrm>
                                <a:custGeom>
                                  <a:avLst/>
                                  <a:gdLst>
                                    <a:gd name="T0" fmla="*/ 133 w 143"/>
                                    <a:gd name="T1" fmla="*/ 0 h 170"/>
                                    <a:gd name="T2" fmla="*/ 9 w 143"/>
                                    <a:gd name="T3" fmla="*/ 0 h 170"/>
                                    <a:gd name="T4" fmla="*/ 0 w 143"/>
                                    <a:gd name="T5" fmla="*/ 8 h 170"/>
                                    <a:gd name="T6" fmla="*/ 0 w 143"/>
                                    <a:gd name="T7" fmla="*/ 161 h 170"/>
                                    <a:gd name="T8" fmla="*/ 9 w 143"/>
                                    <a:gd name="T9" fmla="*/ 170 h 170"/>
                                    <a:gd name="T10" fmla="*/ 133 w 143"/>
                                    <a:gd name="T11" fmla="*/ 170 h 170"/>
                                    <a:gd name="T12" fmla="*/ 143 w 143"/>
                                    <a:gd name="T13" fmla="*/ 161 h 170"/>
                                    <a:gd name="T14" fmla="*/ 143 w 143"/>
                                    <a:gd name="T15" fmla="*/ 8 h 170"/>
                                    <a:gd name="T16" fmla="*/ 133 w 143"/>
                                    <a:gd name="T17" fmla="*/ 0 h 170"/>
                                    <a:gd name="T18" fmla="*/ 137 w 143"/>
                                    <a:gd name="T19" fmla="*/ 161 h 170"/>
                                    <a:gd name="T20" fmla="*/ 133 w 143"/>
                                    <a:gd name="T21" fmla="*/ 164 h 170"/>
                                    <a:gd name="T22" fmla="*/ 9 w 143"/>
                                    <a:gd name="T23" fmla="*/ 164 h 170"/>
                                    <a:gd name="T24" fmla="*/ 5 w 143"/>
                                    <a:gd name="T25" fmla="*/ 161 h 170"/>
                                    <a:gd name="T26" fmla="*/ 5 w 143"/>
                                    <a:gd name="T27" fmla="*/ 8 h 170"/>
                                    <a:gd name="T28" fmla="*/ 9 w 143"/>
                                    <a:gd name="T29" fmla="*/ 6 h 170"/>
                                    <a:gd name="T30" fmla="*/ 133 w 143"/>
                                    <a:gd name="T31" fmla="*/ 6 h 170"/>
                                    <a:gd name="T32" fmla="*/ 137 w 143"/>
                                    <a:gd name="T33" fmla="*/ 8 h 170"/>
                                    <a:gd name="T34" fmla="*/ 137 w 143"/>
                                    <a:gd name="T35" fmla="*/ 161 h 170"/>
                                    <a:gd name="T36" fmla="*/ 137 w 143"/>
                                    <a:gd name="T37" fmla="*/ 161 h 170"/>
                                    <a:gd name="T38" fmla="*/ 137 w 143"/>
                                    <a:gd name="T39" fmla="*/ 161 h 170"/>
                                    <a:gd name="T40" fmla="*/ 137 w 143"/>
                                    <a:gd name="T41" fmla="*/ 161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3" h="170">
                                      <a:moveTo>
                                        <a:pt x="133" y="0"/>
                                      </a:moveTo>
                                      <a:cubicBezTo>
                                        <a:pt x="9" y="0"/>
                                        <a:pt x="9" y="0"/>
                                        <a:pt x="9" y="0"/>
                                      </a:cubicBezTo>
                                      <a:cubicBezTo>
                                        <a:pt x="3" y="0"/>
                                        <a:pt x="0" y="4"/>
                                        <a:pt x="0" y="8"/>
                                      </a:cubicBezTo>
                                      <a:cubicBezTo>
                                        <a:pt x="0" y="161"/>
                                        <a:pt x="0" y="161"/>
                                        <a:pt x="0" y="161"/>
                                      </a:cubicBezTo>
                                      <a:cubicBezTo>
                                        <a:pt x="0" y="166"/>
                                        <a:pt x="3" y="170"/>
                                        <a:pt x="9" y="170"/>
                                      </a:cubicBezTo>
                                      <a:cubicBezTo>
                                        <a:pt x="133" y="170"/>
                                        <a:pt x="133" y="170"/>
                                        <a:pt x="133" y="170"/>
                                      </a:cubicBezTo>
                                      <a:cubicBezTo>
                                        <a:pt x="139" y="170"/>
                                        <a:pt x="143" y="166"/>
                                        <a:pt x="143" y="161"/>
                                      </a:cubicBezTo>
                                      <a:cubicBezTo>
                                        <a:pt x="143" y="8"/>
                                        <a:pt x="143" y="8"/>
                                        <a:pt x="143" y="8"/>
                                      </a:cubicBezTo>
                                      <a:cubicBezTo>
                                        <a:pt x="143" y="4"/>
                                        <a:pt x="139" y="0"/>
                                        <a:pt x="133" y="0"/>
                                      </a:cubicBezTo>
                                      <a:close/>
                                      <a:moveTo>
                                        <a:pt x="137" y="161"/>
                                      </a:moveTo>
                                      <a:cubicBezTo>
                                        <a:pt x="137" y="162"/>
                                        <a:pt x="135" y="164"/>
                                        <a:pt x="133" y="164"/>
                                      </a:cubicBezTo>
                                      <a:cubicBezTo>
                                        <a:pt x="9" y="164"/>
                                        <a:pt x="9" y="164"/>
                                        <a:pt x="9" y="164"/>
                                      </a:cubicBezTo>
                                      <a:cubicBezTo>
                                        <a:pt x="7" y="164"/>
                                        <a:pt x="5" y="162"/>
                                        <a:pt x="5" y="161"/>
                                      </a:cubicBezTo>
                                      <a:cubicBezTo>
                                        <a:pt x="5" y="8"/>
                                        <a:pt x="5" y="8"/>
                                        <a:pt x="5" y="8"/>
                                      </a:cubicBezTo>
                                      <a:cubicBezTo>
                                        <a:pt x="5" y="6"/>
                                        <a:pt x="7" y="6"/>
                                        <a:pt x="9" y="6"/>
                                      </a:cubicBezTo>
                                      <a:cubicBezTo>
                                        <a:pt x="133" y="6"/>
                                        <a:pt x="133" y="6"/>
                                        <a:pt x="133" y="6"/>
                                      </a:cubicBezTo>
                                      <a:cubicBezTo>
                                        <a:pt x="135" y="6"/>
                                        <a:pt x="137" y="6"/>
                                        <a:pt x="137" y="8"/>
                                      </a:cubicBezTo>
                                      <a:cubicBezTo>
                                        <a:pt x="137" y="161"/>
                                        <a:pt x="137" y="161"/>
                                        <a:pt x="137" y="161"/>
                                      </a:cubicBezTo>
                                      <a:cubicBezTo>
                                        <a:pt x="137" y="161"/>
                                        <a:pt x="137" y="161"/>
                                        <a:pt x="137" y="161"/>
                                      </a:cubicBezTo>
                                      <a:close/>
                                      <a:moveTo>
                                        <a:pt x="137" y="161"/>
                                      </a:moveTo>
                                      <a:cubicBezTo>
                                        <a:pt x="137" y="161"/>
                                        <a:pt x="137" y="161"/>
                                        <a:pt x="137" y="16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Freeform 23"/>
                              <wps:cNvSpPr>
                                <a:spLocks noEditPoints="1"/>
                              </wps:cNvSpPr>
                              <wps:spPr bwMode="auto">
                                <a:xfrm>
                                  <a:off x="47625" y="336550"/>
                                  <a:ext cx="66675" cy="74613"/>
                                </a:xfrm>
                                <a:custGeom>
                                  <a:avLst/>
                                  <a:gdLst>
                                    <a:gd name="T0" fmla="*/ 0 w 42"/>
                                    <a:gd name="T1" fmla="*/ 47 h 47"/>
                                    <a:gd name="T2" fmla="*/ 42 w 42"/>
                                    <a:gd name="T3" fmla="*/ 47 h 47"/>
                                    <a:gd name="T4" fmla="*/ 42 w 42"/>
                                    <a:gd name="T5" fmla="*/ 0 h 47"/>
                                    <a:gd name="T6" fmla="*/ 0 w 42"/>
                                    <a:gd name="T7" fmla="*/ 0 h 47"/>
                                    <a:gd name="T8" fmla="*/ 0 w 42"/>
                                    <a:gd name="T9" fmla="*/ 47 h 47"/>
                                    <a:gd name="T10" fmla="*/ 0 w 42"/>
                                    <a:gd name="T11" fmla="*/ 47 h 47"/>
                                    <a:gd name="T12" fmla="*/ 0 w 42"/>
                                    <a:gd name="T13" fmla="*/ 47 h 47"/>
                                    <a:gd name="T14" fmla="*/ 8 w 42"/>
                                    <a:gd name="T15" fmla="*/ 8 h 47"/>
                                    <a:gd name="T16" fmla="*/ 34 w 42"/>
                                    <a:gd name="T17" fmla="*/ 8 h 47"/>
                                    <a:gd name="T18" fmla="*/ 34 w 42"/>
                                    <a:gd name="T19" fmla="*/ 39 h 47"/>
                                    <a:gd name="T20" fmla="*/ 8 w 42"/>
                                    <a:gd name="T21" fmla="*/ 39 h 47"/>
                                    <a:gd name="T22" fmla="*/ 8 w 42"/>
                                    <a:gd name="T23" fmla="*/ 8 h 47"/>
                                    <a:gd name="T24" fmla="*/ 8 w 42"/>
                                    <a:gd name="T25" fmla="*/ 8 h 47"/>
                                    <a:gd name="T26" fmla="*/ 8 w 42"/>
                                    <a:gd name="T27" fmla="*/ 8 h 47"/>
                                    <a:gd name="T28" fmla="*/ 8 w 42"/>
                                    <a:gd name="T29" fmla="*/ 8 h 47"/>
                                    <a:gd name="T30" fmla="*/ 8 w 42"/>
                                    <a:gd name="T31" fmla="*/ 8 h 47"/>
                                    <a:gd name="T32" fmla="*/ 8 w 42"/>
                                    <a:gd name="T33" fmla="*/ 8 h 47"/>
                                    <a:gd name="T34" fmla="*/ 8 w 42"/>
                                    <a:gd name="T35"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2" h="47">
                                      <a:moveTo>
                                        <a:pt x="0" y="47"/>
                                      </a:moveTo>
                                      <a:lnTo>
                                        <a:pt x="42" y="47"/>
                                      </a:lnTo>
                                      <a:lnTo>
                                        <a:pt x="42" y="0"/>
                                      </a:lnTo>
                                      <a:lnTo>
                                        <a:pt x="0" y="0"/>
                                      </a:lnTo>
                                      <a:lnTo>
                                        <a:pt x="0" y="47"/>
                                      </a:lnTo>
                                      <a:lnTo>
                                        <a:pt x="0" y="47"/>
                                      </a:lnTo>
                                      <a:lnTo>
                                        <a:pt x="0" y="47"/>
                                      </a:lnTo>
                                      <a:close/>
                                      <a:moveTo>
                                        <a:pt x="8" y="8"/>
                                      </a:moveTo>
                                      <a:lnTo>
                                        <a:pt x="34" y="8"/>
                                      </a:lnTo>
                                      <a:lnTo>
                                        <a:pt x="34" y="39"/>
                                      </a:lnTo>
                                      <a:lnTo>
                                        <a:pt x="8" y="39"/>
                                      </a:lnTo>
                                      <a:lnTo>
                                        <a:pt x="8" y="8"/>
                                      </a:lnTo>
                                      <a:lnTo>
                                        <a:pt x="8" y="8"/>
                                      </a:lnTo>
                                      <a:lnTo>
                                        <a:pt x="8" y="8"/>
                                      </a:lnTo>
                                      <a:close/>
                                      <a:moveTo>
                                        <a:pt x="8" y="8"/>
                                      </a:moveTo>
                                      <a:lnTo>
                                        <a:pt x="8" y="8"/>
                                      </a:lnTo>
                                      <a:lnTo>
                                        <a:pt x="8" y="8"/>
                                      </a:lnTo>
                                      <a:lnTo>
                                        <a:pt x="8" y="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 name="Freeform 24"/>
                              <wps:cNvSpPr>
                                <a:spLocks noEditPoints="1"/>
                              </wps:cNvSpPr>
                              <wps:spPr bwMode="auto">
                                <a:xfrm>
                                  <a:off x="130175" y="336550"/>
                                  <a:ext cx="69850" cy="74613"/>
                                </a:xfrm>
                                <a:custGeom>
                                  <a:avLst/>
                                  <a:gdLst>
                                    <a:gd name="T0" fmla="*/ 0 w 44"/>
                                    <a:gd name="T1" fmla="*/ 47 h 47"/>
                                    <a:gd name="T2" fmla="*/ 44 w 44"/>
                                    <a:gd name="T3" fmla="*/ 47 h 47"/>
                                    <a:gd name="T4" fmla="*/ 44 w 44"/>
                                    <a:gd name="T5" fmla="*/ 0 h 47"/>
                                    <a:gd name="T6" fmla="*/ 0 w 44"/>
                                    <a:gd name="T7" fmla="*/ 0 h 47"/>
                                    <a:gd name="T8" fmla="*/ 0 w 44"/>
                                    <a:gd name="T9" fmla="*/ 47 h 47"/>
                                    <a:gd name="T10" fmla="*/ 0 w 44"/>
                                    <a:gd name="T11" fmla="*/ 47 h 47"/>
                                    <a:gd name="T12" fmla="*/ 0 w 44"/>
                                    <a:gd name="T13" fmla="*/ 47 h 47"/>
                                    <a:gd name="T14" fmla="*/ 8 w 44"/>
                                    <a:gd name="T15" fmla="*/ 8 h 47"/>
                                    <a:gd name="T16" fmla="*/ 36 w 44"/>
                                    <a:gd name="T17" fmla="*/ 8 h 47"/>
                                    <a:gd name="T18" fmla="*/ 36 w 44"/>
                                    <a:gd name="T19" fmla="*/ 39 h 47"/>
                                    <a:gd name="T20" fmla="*/ 8 w 44"/>
                                    <a:gd name="T21" fmla="*/ 39 h 47"/>
                                    <a:gd name="T22" fmla="*/ 8 w 44"/>
                                    <a:gd name="T23" fmla="*/ 8 h 47"/>
                                    <a:gd name="T24" fmla="*/ 8 w 44"/>
                                    <a:gd name="T25" fmla="*/ 8 h 47"/>
                                    <a:gd name="T26" fmla="*/ 8 w 44"/>
                                    <a:gd name="T27" fmla="*/ 8 h 47"/>
                                    <a:gd name="T28" fmla="*/ 8 w 44"/>
                                    <a:gd name="T29" fmla="*/ 8 h 47"/>
                                    <a:gd name="T30" fmla="*/ 8 w 44"/>
                                    <a:gd name="T31" fmla="*/ 8 h 47"/>
                                    <a:gd name="T32" fmla="*/ 8 w 44"/>
                                    <a:gd name="T33" fmla="*/ 8 h 47"/>
                                    <a:gd name="T34" fmla="*/ 8 w 44"/>
                                    <a:gd name="T35"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4" h="47">
                                      <a:moveTo>
                                        <a:pt x="0" y="47"/>
                                      </a:moveTo>
                                      <a:lnTo>
                                        <a:pt x="44" y="47"/>
                                      </a:lnTo>
                                      <a:lnTo>
                                        <a:pt x="44" y="0"/>
                                      </a:lnTo>
                                      <a:lnTo>
                                        <a:pt x="0" y="0"/>
                                      </a:lnTo>
                                      <a:lnTo>
                                        <a:pt x="0" y="47"/>
                                      </a:lnTo>
                                      <a:lnTo>
                                        <a:pt x="0" y="47"/>
                                      </a:lnTo>
                                      <a:lnTo>
                                        <a:pt x="0" y="47"/>
                                      </a:lnTo>
                                      <a:close/>
                                      <a:moveTo>
                                        <a:pt x="8" y="8"/>
                                      </a:moveTo>
                                      <a:lnTo>
                                        <a:pt x="36" y="8"/>
                                      </a:lnTo>
                                      <a:lnTo>
                                        <a:pt x="36" y="39"/>
                                      </a:lnTo>
                                      <a:lnTo>
                                        <a:pt x="8" y="39"/>
                                      </a:lnTo>
                                      <a:lnTo>
                                        <a:pt x="8" y="8"/>
                                      </a:lnTo>
                                      <a:lnTo>
                                        <a:pt x="8" y="8"/>
                                      </a:lnTo>
                                      <a:lnTo>
                                        <a:pt x="8" y="8"/>
                                      </a:lnTo>
                                      <a:close/>
                                      <a:moveTo>
                                        <a:pt x="8" y="8"/>
                                      </a:moveTo>
                                      <a:lnTo>
                                        <a:pt x="8" y="8"/>
                                      </a:lnTo>
                                      <a:lnTo>
                                        <a:pt x="8" y="8"/>
                                      </a:lnTo>
                                      <a:lnTo>
                                        <a:pt x="8" y="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25"/>
                              <wps:cNvSpPr>
                                <a:spLocks noEditPoints="1"/>
                              </wps:cNvSpPr>
                              <wps:spPr bwMode="auto">
                                <a:xfrm>
                                  <a:off x="296863" y="301625"/>
                                  <a:ext cx="107950" cy="195263"/>
                                </a:xfrm>
                                <a:custGeom>
                                  <a:avLst/>
                                  <a:gdLst>
                                    <a:gd name="T0" fmla="*/ 0 w 68"/>
                                    <a:gd name="T1" fmla="*/ 123 h 123"/>
                                    <a:gd name="T2" fmla="*/ 68 w 68"/>
                                    <a:gd name="T3" fmla="*/ 123 h 123"/>
                                    <a:gd name="T4" fmla="*/ 68 w 68"/>
                                    <a:gd name="T5" fmla="*/ 0 h 123"/>
                                    <a:gd name="T6" fmla="*/ 0 w 68"/>
                                    <a:gd name="T7" fmla="*/ 0 h 123"/>
                                    <a:gd name="T8" fmla="*/ 0 w 68"/>
                                    <a:gd name="T9" fmla="*/ 123 h 123"/>
                                    <a:gd name="T10" fmla="*/ 0 w 68"/>
                                    <a:gd name="T11" fmla="*/ 123 h 123"/>
                                    <a:gd name="T12" fmla="*/ 0 w 68"/>
                                    <a:gd name="T13" fmla="*/ 123 h 123"/>
                                    <a:gd name="T14" fmla="*/ 16 w 68"/>
                                    <a:gd name="T15" fmla="*/ 10 h 123"/>
                                    <a:gd name="T16" fmla="*/ 58 w 68"/>
                                    <a:gd name="T17" fmla="*/ 10 h 123"/>
                                    <a:gd name="T18" fmla="*/ 58 w 68"/>
                                    <a:gd name="T19" fmla="*/ 111 h 123"/>
                                    <a:gd name="T20" fmla="*/ 16 w 68"/>
                                    <a:gd name="T21" fmla="*/ 111 h 123"/>
                                    <a:gd name="T22" fmla="*/ 16 w 68"/>
                                    <a:gd name="T23" fmla="*/ 10 h 123"/>
                                    <a:gd name="T24" fmla="*/ 16 w 68"/>
                                    <a:gd name="T25" fmla="*/ 10 h 123"/>
                                    <a:gd name="T26" fmla="*/ 16 w 68"/>
                                    <a:gd name="T27" fmla="*/ 10 h 123"/>
                                    <a:gd name="T28" fmla="*/ 16 w 68"/>
                                    <a:gd name="T29" fmla="*/ 10 h 123"/>
                                    <a:gd name="T30" fmla="*/ 16 w 68"/>
                                    <a:gd name="T31" fmla="*/ 10 h 123"/>
                                    <a:gd name="T32" fmla="*/ 16 w 68"/>
                                    <a:gd name="T33" fmla="*/ 10 h 123"/>
                                    <a:gd name="T34" fmla="*/ 16 w 68"/>
                                    <a:gd name="T35" fmla="*/ 1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8" h="123">
                                      <a:moveTo>
                                        <a:pt x="0" y="123"/>
                                      </a:moveTo>
                                      <a:lnTo>
                                        <a:pt x="68" y="123"/>
                                      </a:lnTo>
                                      <a:lnTo>
                                        <a:pt x="68" y="0"/>
                                      </a:lnTo>
                                      <a:lnTo>
                                        <a:pt x="0" y="0"/>
                                      </a:lnTo>
                                      <a:lnTo>
                                        <a:pt x="0" y="123"/>
                                      </a:lnTo>
                                      <a:lnTo>
                                        <a:pt x="0" y="123"/>
                                      </a:lnTo>
                                      <a:lnTo>
                                        <a:pt x="0" y="123"/>
                                      </a:lnTo>
                                      <a:close/>
                                      <a:moveTo>
                                        <a:pt x="16" y="10"/>
                                      </a:moveTo>
                                      <a:lnTo>
                                        <a:pt x="58" y="10"/>
                                      </a:lnTo>
                                      <a:lnTo>
                                        <a:pt x="58" y="111"/>
                                      </a:lnTo>
                                      <a:lnTo>
                                        <a:pt x="16" y="111"/>
                                      </a:lnTo>
                                      <a:lnTo>
                                        <a:pt x="16" y="10"/>
                                      </a:lnTo>
                                      <a:lnTo>
                                        <a:pt x="16" y="10"/>
                                      </a:lnTo>
                                      <a:lnTo>
                                        <a:pt x="16" y="10"/>
                                      </a:lnTo>
                                      <a:close/>
                                      <a:moveTo>
                                        <a:pt x="16" y="10"/>
                                      </a:moveTo>
                                      <a:lnTo>
                                        <a:pt x="16" y="10"/>
                                      </a:lnTo>
                                      <a:lnTo>
                                        <a:pt x="16" y="10"/>
                                      </a:lnTo>
                                      <a:lnTo>
                                        <a:pt x="16" y="1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 name="Freeform 26"/>
                              <wps:cNvSpPr>
                                <a:spLocks noEditPoints="1"/>
                              </wps:cNvSpPr>
                              <wps:spPr bwMode="auto">
                                <a:xfrm>
                                  <a:off x="47625" y="257175"/>
                                  <a:ext cx="66675" cy="66675"/>
                                </a:xfrm>
                                <a:custGeom>
                                  <a:avLst/>
                                  <a:gdLst>
                                    <a:gd name="T0" fmla="*/ 0 w 42"/>
                                    <a:gd name="T1" fmla="*/ 42 h 42"/>
                                    <a:gd name="T2" fmla="*/ 42 w 42"/>
                                    <a:gd name="T3" fmla="*/ 42 h 42"/>
                                    <a:gd name="T4" fmla="*/ 42 w 42"/>
                                    <a:gd name="T5" fmla="*/ 0 h 42"/>
                                    <a:gd name="T6" fmla="*/ 0 w 42"/>
                                    <a:gd name="T7" fmla="*/ 0 h 42"/>
                                    <a:gd name="T8" fmla="*/ 0 w 42"/>
                                    <a:gd name="T9" fmla="*/ 42 h 42"/>
                                    <a:gd name="T10" fmla="*/ 0 w 42"/>
                                    <a:gd name="T11" fmla="*/ 42 h 42"/>
                                    <a:gd name="T12" fmla="*/ 0 w 42"/>
                                    <a:gd name="T13" fmla="*/ 42 h 42"/>
                                    <a:gd name="T14" fmla="*/ 8 w 42"/>
                                    <a:gd name="T15" fmla="*/ 8 h 42"/>
                                    <a:gd name="T16" fmla="*/ 34 w 42"/>
                                    <a:gd name="T17" fmla="*/ 8 h 42"/>
                                    <a:gd name="T18" fmla="*/ 34 w 42"/>
                                    <a:gd name="T19" fmla="*/ 36 h 42"/>
                                    <a:gd name="T20" fmla="*/ 8 w 42"/>
                                    <a:gd name="T21" fmla="*/ 36 h 42"/>
                                    <a:gd name="T22" fmla="*/ 8 w 42"/>
                                    <a:gd name="T23" fmla="*/ 8 h 42"/>
                                    <a:gd name="T24" fmla="*/ 8 w 42"/>
                                    <a:gd name="T25" fmla="*/ 8 h 42"/>
                                    <a:gd name="T26" fmla="*/ 8 w 42"/>
                                    <a:gd name="T27" fmla="*/ 8 h 42"/>
                                    <a:gd name="T28" fmla="*/ 8 w 42"/>
                                    <a:gd name="T29" fmla="*/ 8 h 42"/>
                                    <a:gd name="T30" fmla="*/ 8 w 42"/>
                                    <a:gd name="T31" fmla="*/ 8 h 42"/>
                                    <a:gd name="T32" fmla="*/ 8 w 42"/>
                                    <a:gd name="T33" fmla="*/ 8 h 42"/>
                                    <a:gd name="T34" fmla="*/ 8 w 42"/>
                                    <a:gd name="T35"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2" h="42">
                                      <a:moveTo>
                                        <a:pt x="0" y="42"/>
                                      </a:moveTo>
                                      <a:lnTo>
                                        <a:pt x="42" y="42"/>
                                      </a:lnTo>
                                      <a:lnTo>
                                        <a:pt x="42" y="0"/>
                                      </a:lnTo>
                                      <a:lnTo>
                                        <a:pt x="0" y="0"/>
                                      </a:lnTo>
                                      <a:lnTo>
                                        <a:pt x="0" y="42"/>
                                      </a:lnTo>
                                      <a:lnTo>
                                        <a:pt x="0" y="42"/>
                                      </a:lnTo>
                                      <a:lnTo>
                                        <a:pt x="0" y="42"/>
                                      </a:lnTo>
                                      <a:close/>
                                      <a:moveTo>
                                        <a:pt x="8" y="8"/>
                                      </a:moveTo>
                                      <a:lnTo>
                                        <a:pt x="34" y="8"/>
                                      </a:lnTo>
                                      <a:lnTo>
                                        <a:pt x="34" y="36"/>
                                      </a:lnTo>
                                      <a:lnTo>
                                        <a:pt x="8" y="36"/>
                                      </a:lnTo>
                                      <a:lnTo>
                                        <a:pt x="8" y="8"/>
                                      </a:lnTo>
                                      <a:lnTo>
                                        <a:pt x="8" y="8"/>
                                      </a:lnTo>
                                      <a:lnTo>
                                        <a:pt x="8" y="8"/>
                                      </a:lnTo>
                                      <a:close/>
                                      <a:moveTo>
                                        <a:pt x="8" y="8"/>
                                      </a:moveTo>
                                      <a:lnTo>
                                        <a:pt x="8" y="8"/>
                                      </a:lnTo>
                                      <a:lnTo>
                                        <a:pt x="8" y="8"/>
                                      </a:lnTo>
                                      <a:lnTo>
                                        <a:pt x="8" y="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 name="Freeform 27"/>
                              <wps:cNvSpPr>
                                <a:spLocks noEditPoints="1"/>
                              </wps:cNvSpPr>
                              <wps:spPr bwMode="auto">
                                <a:xfrm>
                                  <a:off x="130175" y="257175"/>
                                  <a:ext cx="69850" cy="66675"/>
                                </a:xfrm>
                                <a:custGeom>
                                  <a:avLst/>
                                  <a:gdLst>
                                    <a:gd name="T0" fmla="*/ 0 w 44"/>
                                    <a:gd name="T1" fmla="*/ 42 h 42"/>
                                    <a:gd name="T2" fmla="*/ 44 w 44"/>
                                    <a:gd name="T3" fmla="*/ 42 h 42"/>
                                    <a:gd name="T4" fmla="*/ 44 w 44"/>
                                    <a:gd name="T5" fmla="*/ 0 h 42"/>
                                    <a:gd name="T6" fmla="*/ 0 w 44"/>
                                    <a:gd name="T7" fmla="*/ 0 h 42"/>
                                    <a:gd name="T8" fmla="*/ 0 w 44"/>
                                    <a:gd name="T9" fmla="*/ 42 h 42"/>
                                    <a:gd name="T10" fmla="*/ 0 w 44"/>
                                    <a:gd name="T11" fmla="*/ 42 h 42"/>
                                    <a:gd name="T12" fmla="*/ 0 w 44"/>
                                    <a:gd name="T13" fmla="*/ 42 h 42"/>
                                    <a:gd name="T14" fmla="*/ 8 w 44"/>
                                    <a:gd name="T15" fmla="*/ 8 h 42"/>
                                    <a:gd name="T16" fmla="*/ 36 w 44"/>
                                    <a:gd name="T17" fmla="*/ 8 h 42"/>
                                    <a:gd name="T18" fmla="*/ 36 w 44"/>
                                    <a:gd name="T19" fmla="*/ 36 h 42"/>
                                    <a:gd name="T20" fmla="*/ 8 w 44"/>
                                    <a:gd name="T21" fmla="*/ 36 h 42"/>
                                    <a:gd name="T22" fmla="*/ 8 w 44"/>
                                    <a:gd name="T23" fmla="*/ 8 h 42"/>
                                    <a:gd name="T24" fmla="*/ 8 w 44"/>
                                    <a:gd name="T25" fmla="*/ 8 h 42"/>
                                    <a:gd name="T26" fmla="*/ 8 w 44"/>
                                    <a:gd name="T27" fmla="*/ 8 h 42"/>
                                    <a:gd name="T28" fmla="*/ 8 w 44"/>
                                    <a:gd name="T29" fmla="*/ 8 h 42"/>
                                    <a:gd name="T30" fmla="*/ 8 w 44"/>
                                    <a:gd name="T31" fmla="*/ 8 h 42"/>
                                    <a:gd name="T32" fmla="*/ 8 w 44"/>
                                    <a:gd name="T33" fmla="*/ 8 h 42"/>
                                    <a:gd name="T34" fmla="*/ 8 w 44"/>
                                    <a:gd name="T35"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4" h="42">
                                      <a:moveTo>
                                        <a:pt x="0" y="42"/>
                                      </a:moveTo>
                                      <a:lnTo>
                                        <a:pt x="44" y="42"/>
                                      </a:lnTo>
                                      <a:lnTo>
                                        <a:pt x="44" y="0"/>
                                      </a:lnTo>
                                      <a:lnTo>
                                        <a:pt x="0" y="0"/>
                                      </a:lnTo>
                                      <a:lnTo>
                                        <a:pt x="0" y="42"/>
                                      </a:lnTo>
                                      <a:lnTo>
                                        <a:pt x="0" y="42"/>
                                      </a:lnTo>
                                      <a:lnTo>
                                        <a:pt x="0" y="42"/>
                                      </a:lnTo>
                                      <a:close/>
                                      <a:moveTo>
                                        <a:pt x="8" y="8"/>
                                      </a:moveTo>
                                      <a:lnTo>
                                        <a:pt x="36" y="8"/>
                                      </a:lnTo>
                                      <a:lnTo>
                                        <a:pt x="36" y="36"/>
                                      </a:lnTo>
                                      <a:lnTo>
                                        <a:pt x="8" y="36"/>
                                      </a:lnTo>
                                      <a:lnTo>
                                        <a:pt x="8" y="8"/>
                                      </a:lnTo>
                                      <a:lnTo>
                                        <a:pt x="8" y="8"/>
                                      </a:lnTo>
                                      <a:lnTo>
                                        <a:pt x="8" y="8"/>
                                      </a:lnTo>
                                      <a:close/>
                                      <a:moveTo>
                                        <a:pt x="8" y="8"/>
                                      </a:moveTo>
                                      <a:lnTo>
                                        <a:pt x="8" y="8"/>
                                      </a:lnTo>
                                      <a:lnTo>
                                        <a:pt x="8" y="8"/>
                                      </a:lnTo>
                                      <a:lnTo>
                                        <a:pt x="8" y="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Freeform 28"/>
                              <wps:cNvSpPr>
                                <a:spLocks noEditPoints="1"/>
                              </wps:cNvSpPr>
                              <wps:spPr bwMode="auto">
                                <a:xfrm>
                                  <a:off x="47625" y="173038"/>
                                  <a:ext cx="66675" cy="71438"/>
                                </a:xfrm>
                                <a:custGeom>
                                  <a:avLst/>
                                  <a:gdLst>
                                    <a:gd name="T0" fmla="*/ 0 w 42"/>
                                    <a:gd name="T1" fmla="*/ 45 h 45"/>
                                    <a:gd name="T2" fmla="*/ 42 w 42"/>
                                    <a:gd name="T3" fmla="*/ 45 h 45"/>
                                    <a:gd name="T4" fmla="*/ 42 w 42"/>
                                    <a:gd name="T5" fmla="*/ 0 h 45"/>
                                    <a:gd name="T6" fmla="*/ 0 w 42"/>
                                    <a:gd name="T7" fmla="*/ 0 h 45"/>
                                    <a:gd name="T8" fmla="*/ 0 w 42"/>
                                    <a:gd name="T9" fmla="*/ 45 h 45"/>
                                    <a:gd name="T10" fmla="*/ 0 w 42"/>
                                    <a:gd name="T11" fmla="*/ 45 h 45"/>
                                    <a:gd name="T12" fmla="*/ 0 w 42"/>
                                    <a:gd name="T13" fmla="*/ 45 h 45"/>
                                    <a:gd name="T14" fmla="*/ 8 w 42"/>
                                    <a:gd name="T15" fmla="*/ 8 h 45"/>
                                    <a:gd name="T16" fmla="*/ 34 w 42"/>
                                    <a:gd name="T17" fmla="*/ 8 h 45"/>
                                    <a:gd name="T18" fmla="*/ 34 w 42"/>
                                    <a:gd name="T19" fmla="*/ 39 h 45"/>
                                    <a:gd name="T20" fmla="*/ 8 w 42"/>
                                    <a:gd name="T21" fmla="*/ 39 h 45"/>
                                    <a:gd name="T22" fmla="*/ 8 w 42"/>
                                    <a:gd name="T23" fmla="*/ 8 h 45"/>
                                    <a:gd name="T24" fmla="*/ 8 w 42"/>
                                    <a:gd name="T25" fmla="*/ 8 h 45"/>
                                    <a:gd name="T26" fmla="*/ 8 w 42"/>
                                    <a:gd name="T27" fmla="*/ 8 h 45"/>
                                    <a:gd name="T28" fmla="*/ 8 w 42"/>
                                    <a:gd name="T29" fmla="*/ 8 h 45"/>
                                    <a:gd name="T30" fmla="*/ 8 w 42"/>
                                    <a:gd name="T31" fmla="*/ 8 h 45"/>
                                    <a:gd name="T32" fmla="*/ 8 w 42"/>
                                    <a:gd name="T33" fmla="*/ 8 h 45"/>
                                    <a:gd name="T34" fmla="*/ 8 w 42"/>
                                    <a:gd name="T35"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2" h="45">
                                      <a:moveTo>
                                        <a:pt x="0" y="45"/>
                                      </a:moveTo>
                                      <a:lnTo>
                                        <a:pt x="42" y="45"/>
                                      </a:lnTo>
                                      <a:lnTo>
                                        <a:pt x="42" y="0"/>
                                      </a:lnTo>
                                      <a:lnTo>
                                        <a:pt x="0" y="0"/>
                                      </a:lnTo>
                                      <a:lnTo>
                                        <a:pt x="0" y="45"/>
                                      </a:lnTo>
                                      <a:lnTo>
                                        <a:pt x="0" y="45"/>
                                      </a:lnTo>
                                      <a:lnTo>
                                        <a:pt x="0" y="45"/>
                                      </a:lnTo>
                                      <a:close/>
                                      <a:moveTo>
                                        <a:pt x="8" y="8"/>
                                      </a:moveTo>
                                      <a:lnTo>
                                        <a:pt x="34" y="8"/>
                                      </a:lnTo>
                                      <a:lnTo>
                                        <a:pt x="34" y="39"/>
                                      </a:lnTo>
                                      <a:lnTo>
                                        <a:pt x="8" y="39"/>
                                      </a:lnTo>
                                      <a:lnTo>
                                        <a:pt x="8" y="8"/>
                                      </a:lnTo>
                                      <a:lnTo>
                                        <a:pt x="8" y="8"/>
                                      </a:lnTo>
                                      <a:lnTo>
                                        <a:pt x="8" y="8"/>
                                      </a:lnTo>
                                      <a:close/>
                                      <a:moveTo>
                                        <a:pt x="8" y="8"/>
                                      </a:moveTo>
                                      <a:lnTo>
                                        <a:pt x="8" y="8"/>
                                      </a:lnTo>
                                      <a:lnTo>
                                        <a:pt x="8" y="8"/>
                                      </a:lnTo>
                                      <a:lnTo>
                                        <a:pt x="8" y="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reeform 29"/>
                              <wps:cNvSpPr>
                                <a:spLocks noEditPoints="1"/>
                              </wps:cNvSpPr>
                              <wps:spPr bwMode="auto">
                                <a:xfrm>
                                  <a:off x="130175" y="173038"/>
                                  <a:ext cx="69850" cy="71438"/>
                                </a:xfrm>
                                <a:custGeom>
                                  <a:avLst/>
                                  <a:gdLst>
                                    <a:gd name="T0" fmla="*/ 0 w 44"/>
                                    <a:gd name="T1" fmla="*/ 45 h 45"/>
                                    <a:gd name="T2" fmla="*/ 44 w 44"/>
                                    <a:gd name="T3" fmla="*/ 45 h 45"/>
                                    <a:gd name="T4" fmla="*/ 44 w 44"/>
                                    <a:gd name="T5" fmla="*/ 0 h 45"/>
                                    <a:gd name="T6" fmla="*/ 0 w 44"/>
                                    <a:gd name="T7" fmla="*/ 0 h 45"/>
                                    <a:gd name="T8" fmla="*/ 0 w 44"/>
                                    <a:gd name="T9" fmla="*/ 45 h 45"/>
                                    <a:gd name="T10" fmla="*/ 0 w 44"/>
                                    <a:gd name="T11" fmla="*/ 45 h 45"/>
                                    <a:gd name="T12" fmla="*/ 0 w 44"/>
                                    <a:gd name="T13" fmla="*/ 45 h 45"/>
                                    <a:gd name="T14" fmla="*/ 8 w 44"/>
                                    <a:gd name="T15" fmla="*/ 8 h 45"/>
                                    <a:gd name="T16" fmla="*/ 36 w 44"/>
                                    <a:gd name="T17" fmla="*/ 8 h 45"/>
                                    <a:gd name="T18" fmla="*/ 36 w 44"/>
                                    <a:gd name="T19" fmla="*/ 39 h 45"/>
                                    <a:gd name="T20" fmla="*/ 8 w 44"/>
                                    <a:gd name="T21" fmla="*/ 39 h 45"/>
                                    <a:gd name="T22" fmla="*/ 8 w 44"/>
                                    <a:gd name="T23" fmla="*/ 8 h 45"/>
                                    <a:gd name="T24" fmla="*/ 8 w 44"/>
                                    <a:gd name="T25" fmla="*/ 8 h 45"/>
                                    <a:gd name="T26" fmla="*/ 8 w 44"/>
                                    <a:gd name="T27" fmla="*/ 8 h 45"/>
                                    <a:gd name="T28" fmla="*/ 8 w 44"/>
                                    <a:gd name="T29" fmla="*/ 8 h 45"/>
                                    <a:gd name="T30" fmla="*/ 8 w 44"/>
                                    <a:gd name="T31" fmla="*/ 8 h 45"/>
                                    <a:gd name="T32" fmla="*/ 8 w 44"/>
                                    <a:gd name="T33" fmla="*/ 8 h 45"/>
                                    <a:gd name="T34" fmla="*/ 8 w 44"/>
                                    <a:gd name="T35"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4" h="45">
                                      <a:moveTo>
                                        <a:pt x="0" y="45"/>
                                      </a:moveTo>
                                      <a:lnTo>
                                        <a:pt x="44" y="45"/>
                                      </a:lnTo>
                                      <a:lnTo>
                                        <a:pt x="44" y="0"/>
                                      </a:lnTo>
                                      <a:lnTo>
                                        <a:pt x="0" y="0"/>
                                      </a:lnTo>
                                      <a:lnTo>
                                        <a:pt x="0" y="45"/>
                                      </a:lnTo>
                                      <a:lnTo>
                                        <a:pt x="0" y="45"/>
                                      </a:lnTo>
                                      <a:lnTo>
                                        <a:pt x="0" y="45"/>
                                      </a:lnTo>
                                      <a:close/>
                                      <a:moveTo>
                                        <a:pt x="8" y="8"/>
                                      </a:moveTo>
                                      <a:lnTo>
                                        <a:pt x="36" y="8"/>
                                      </a:lnTo>
                                      <a:lnTo>
                                        <a:pt x="36" y="39"/>
                                      </a:lnTo>
                                      <a:lnTo>
                                        <a:pt x="8" y="39"/>
                                      </a:lnTo>
                                      <a:lnTo>
                                        <a:pt x="8" y="8"/>
                                      </a:lnTo>
                                      <a:lnTo>
                                        <a:pt x="8" y="8"/>
                                      </a:lnTo>
                                      <a:lnTo>
                                        <a:pt x="8" y="8"/>
                                      </a:lnTo>
                                      <a:close/>
                                      <a:moveTo>
                                        <a:pt x="8" y="8"/>
                                      </a:moveTo>
                                      <a:lnTo>
                                        <a:pt x="8" y="8"/>
                                      </a:lnTo>
                                      <a:lnTo>
                                        <a:pt x="8" y="8"/>
                                      </a:lnTo>
                                      <a:lnTo>
                                        <a:pt x="8" y="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Freeform 30"/>
                              <wps:cNvSpPr>
                                <a:spLocks noEditPoints="1"/>
                              </wps:cNvSpPr>
                              <wps:spPr bwMode="auto">
                                <a:xfrm>
                                  <a:off x="209550" y="336550"/>
                                  <a:ext cx="73025" cy="74613"/>
                                </a:xfrm>
                                <a:custGeom>
                                  <a:avLst/>
                                  <a:gdLst>
                                    <a:gd name="T0" fmla="*/ 0 w 46"/>
                                    <a:gd name="T1" fmla="*/ 47 h 47"/>
                                    <a:gd name="T2" fmla="*/ 46 w 46"/>
                                    <a:gd name="T3" fmla="*/ 47 h 47"/>
                                    <a:gd name="T4" fmla="*/ 46 w 46"/>
                                    <a:gd name="T5" fmla="*/ 0 h 47"/>
                                    <a:gd name="T6" fmla="*/ 0 w 46"/>
                                    <a:gd name="T7" fmla="*/ 0 h 47"/>
                                    <a:gd name="T8" fmla="*/ 0 w 46"/>
                                    <a:gd name="T9" fmla="*/ 47 h 47"/>
                                    <a:gd name="T10" fmla="*/ 0 w 46"/>
                                    <a:gd name="T11" fmla="*/ 47 h 47"/>
                                    <a:gd name="T12" fmla="*/ 0 w 46"/>
                                    <a:gd name="T13" fmla="*/ 47 h 47"/>
                                    <a:gd name="T14" fmla="*/ 8 w 46"/>
                                    <a:gd name="T15" fmla="*/ 8 h 47"/>
                                    <a:gd name="T16" fmla="*/ 38 w 46"/>
                                    <a:gd name="T17" fmla="*/ 8 h 47"/>
                                    <a:gd name="T18" fmla="*/ 38 w 46"/>
                                    <a:gd name="T19" fmla="*/ 39 h 47"/>
                                    <a:gd name="T20" fmla="*/ 8 w 46"/>
                                    <a:gd name="T21" fmla="*/ 39 h 47"/>
                                    <a:gd name="T22" fmla="*/ 8 w 46"/>
                                    <a:gd name="T23" fmla="*/ 8 h 47"/>
                                    <a:gd name="T24" fmla="*/ 8 w 46"/>
                                    <a:gd name="T25" fmla="*/ 8 h 47"/>
                                    <a:gd name="T26" fmla="*/ 8 w 46"/>
                                    <a:gd name="T27" fmla="*/ 8 h 47"/>
                                    <a:gd name="T28" fmla="*/ 8 w 46"/>
                                    <a:gd name="T29" fmla="*/ 8 h 47"/>
                                    <a:gd name="T30" fmla="*/ 8 w 46"/>
                                    <a:gd name="T31" fmla="*/ 8 h 47"/>
                                    <a:gd name="T32" fmla="*/ 8 w 46"/>
                                    <a:gd name="T33" fmla="*/ 8 h 47"/>
                                    <a:gd name="T34" fmla="*/ 8 w 46"/>
                                    <a:gd name="T35"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6" h="47">
                                      <a:moveTo>
                                        <a:pt x="0" y="47"/>
                                      </a:moveTo>
                                      <a:lnTo>
                                        <a:pt x="46" y="47"/>
                                      </a:lnTo>
                                      <a:lnTo>
                                        <a:pt x="46" y="0"/>
                                      </a:lnTo>
                                      <a:lnTo>
                                        <a:pt x="0" y="0"/>
                                      </a:lnTo>
                                      <a:lnTo>
                                        <a:pt x="0" y="47"/>
                                      </a:lnTo>
                                      <a:lnTo>
                                        <a:pt x="0" y="47"/>
                                      </a:lnTo>
                                      <a:lnTo>
                                        <a:pt x="0" y="47"/>
                                      </a:lnTo>
                                      <a:close/>
                                      <a:moveTo>
                                        <a:pt x="8" y="8"/>
                                      </a:moveTo>
                                      <a:lnTo>
                                        <a:pt x="38" y="8"/>
                                      </a:lnTo>
                                      <a:lnTo>
                                        <a:pt x="38" y="39"/>
                                      </a:lnTo>
                                      <a:lnTo>
                                        <a:pt x="8" y="39"/>
                                      </a:lnTo>
                                      <a:lnTo>
                                        <a:pt x="8" y="8"/>
                                      </a:lnTo>
                                      <a:lnTo>
                                        <a:pt x="8" y="8"/>
                                      </a:lnTo>
                                      <a:lnTo>
                                        <a:pt x="8" y="8"/>
                                      </a:lnTo>
                                      <a:close/>
                                      <a:moveTo>
                                        <a:pt x="8" y="8"/>
                                      </a:moveTo>
                                      <a:lnTo>
                                        <a:pt x="8" y="8"/>
                                      </a:lnTo>
                                      <a:lnTo>
                                        <a:pt x="8" y="8"/>
                                      </a:lnTo>
                                      <a:lnTo>
                                        <a:pt x="8" y="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 name="Freeform 31"/>
                              <wps:cNvSpPr>
                                <a:spLocks noEditPoints="1"/>
                              </wps:cNvSpPr>
                              <wps:spPr bwMode="auto">
                                <a:xfrm>
                                  <a:off x="47625" y="430213"/>
                                  <a:ext cx="66675" cy="66675"/>
                                </a:xfrm>
                                <a:custGeom>
                                  <a:avLst/>
                                  <a:gdLst>
                                    <a:gd name="T0" fmla="*/ 0 w 42"/>
                                    <a:gd name="T1" fmla="*/ 42 h 42"/>
                                    <a:gd name="T2" fmla="*/ 42 w 42"/>
                                    <a:gd name="T3" fmla="*/ 42 h 42"/>
                                    <a:gd name="T4" fmla="*/ 42 w 42"/>
                                    <a:gd name="T5" fmla="*/ 0 h 42"/>
                                    <a:gd name="T6" fmla="*/ 0 w 42"/>
                                    <a:gd name="T7" fmla="*/ 0 h 42"/>
                                    <a:gd name="T8" fmla="*/ 0 w 42"/>
                                    <a:gd name="T9" fmla="*/ 42 h 42"/>
                                    <a:gd name="T10" fmla="*/ 0 w 42"/>
                                    <a:gd name="T11" fmla="*/ 42 h 42"/>
                                    <a:gd name="T12" fmla="*/ 0 w 42"/>
                                    <a:gd name="T13" fmla="*/ 42 h 42"/>
                                    <a:gd name="T14" fmla="*/ 8 w 42"/>
                                    <a:gd name="T15" fmla="*/ 8 h 42"/>
                                    <a:gd name="T16" fmla="*/ 34 w 42"/>
                                    <a:gd name="T17" fmla="*/ 8 h 42"/>
                                    <a:gd name="T18" fmla="*/ 34 w 42"/>
                                    <a:gd name="T19" fmla="*/ 34 h 42"/>
                                    <a:gd name="T20" fmla="*/ 8 w 42"/>
                                    <a:gd name="T21" fmla="*/ 34 h 42"/>
                                    <a:gd name="T22" fmla="*/ 8 w 42"/>
                                    <a:gd name="T23" fmla="*/ 8 h 42"/>
                                    <a:gd name="T24" fmla="*/ 8 w 42"/>
                                    <a:gd name="T25" fmla="*/ 8 h 42"/>
                                    <a:gd name="T26" fmla="*/ 8 w 42"/>
                                    <a:gd name="T27" fmla="*/ 8 h 42"/>
                                    <a:gd name="T28" fmla="*/ 8 w 42"/>
                                    <a:gd name="T29" fmla="*/ 8 h 42"/>
                                    <a:gd name="T30" fmla="*/ 8 w 42"/>
                                    <a:gd name="T31" fmla="*/ 8 h 42"/>
                                    <a:gd name="T32" fmla="*/ 8 w 42"/>
                                    <a:gd name="T33" fmla="*/ 8 h 42"/>
                                    <a:gd name="T34" fmla="*/ 8 w 42"/>
                                    <a:gd name="T35"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2" h="42">
                                      <a:moveTo>
                                        <a:pt x="0" y="42"/>
                                      </a:moveTo>
                                      <a:lnTo>
                                        <a:pt x="42" y="42"/>
                                      </a:lnTo>
                                      <a:lnTo>
                                        <a:pt x="42" y="0"/>
                                      </a:lnTo>
                                      <a:lnTo>
                                        <a:pt x="0" y="0"/>
                                      </a:lnTo>
                                      <a:lnTo>
                                        <a:pt x="0" y="42"/>
                                      </a:lnTo>
                                      <a:lnTo>
                                        <a:pt x="0" y="42"/>
                                      </a:lnTo>
                                      <a:lnTo>
                                        <a:pt x="0" y="42"/>
                                      </a:lnTo>
                                      <a:close/>
                                      <a:moveTo>
                                        <a:pt x="8" y="8"/>
                                      </a:moveTo>
                                      <a:lnTo>
                                        <a:pt x="34" y="8"/>
                                      </a:lnTo>
                                      <a:lnTo>
                                        <a:pt x="34" y="34"/>
                                      </a:lnTo>
                                      <a:lnTo>
                                        <a:pt x="8" y="34"/>
                                      </a:lnTo>
                                      <a:lnTo>
                                        <a:pt x="8" y="8"/>
                                      </a:lnTo>
                                      <a:lnTo>
                                        <a:pt x="8" y="8"/>
                                      </a:lnTo>
                                      <a:lnTo>
                                        <a:pt x="8" y="8"/>
                                      </a:lnTo>
                                      <a:close/>
                                      <a:moveTo>
                                        <a:pt x="8" y="8"/>
                                      </a:moveTo>
                                      <a:lnTo>
                                        <a:pt x="8" y="8"/>
                                      </a:lnTo>
                                      <a:lnTo>
                                        <a:pt x="8" y="8"/>
                                      </a:lnTo>
                                      <a:lnTo>
                                        <a:pt x="8" y="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 name="Freeform 32"/>
                              <wps:cNvSpPr>
                                <a:spLocks noEditPoints="1"/>
                              </wps:cNvSpPr>
                              <wps:spPr bwMode="auto">
                                <a:xfrm>
                                  <a:off x="130175" y="430213"/>
                                  <a:ext cx="69850" cy="66675"/>
                                </a:xfrm>
                                <a:custGeom>
                                  <a:avLst/>
                                  <a:gdLst>
                                    <a:gd name="T0" fmla="*/ 0 w 44"/>
                                    <a:gd name="T1" fmla="*/ 42 h 42"/>
                                    <a:gd name="T2" fmla="*/ 44 w 44"/>
                                    <a:gd name="T3" fmla="*/ 42 h 42"/>
                                    <a:gd name="T4" fmla="*/ 44 w 44"/>
                                    <a:gd name="T5" fmla="*/ 0 h 42"/>
                                    <a:gd name="T6" fmla="*/ 0 w 44"/>
                                    <a:gd name="T7" fmla="*/ 0 h 42"/>
                                    <a:gd name="T8" fmla="*/ 0 w 44"/>
                                    <a:gd name="T9" fmla="*/ 42 h 42"/>
                                    <a:gd name="T10" fmla="*/ 0 w 44"/>
                                    <a:gd name="T11" fmla="*/ 42 h 42"/>
                                    <a:gd name="T12" fmla="*/ 0 w 44"/>
                                    <a:gd name="T13" fmla="*/ 42 h 42"/>
                                    <a:gd name="T14" fmla="*/ 8 w 44"/>
                                    <a:gd name="T15" fmla="*/ 8 h 42"/>
                                    <a:gd name="T16" fmla="*/ 36 w 44"/>
                                    <a:gd name="T17" fmla="*/ 8 h 42"/>
                                    <a:gd name="T18" fmla="*/ 36 w 44"/>
                                    <a:gd name="T19" fmla="*/ 34 h 42"/>
                                    <a:gd name="T20" fmla="*/ 8 w 44"/>
                                    <a:gd name="T21" fmla="*/ 34 h 42"/>
                                    <a:gd name="T22" fmla="*/ 8 w 44"/>
                                    <a:gd name="T23" fmla="*/ 8 h 42"/>
                                    <a:gd name="T24" fmla="*/ 8 w 44"/>
                                    <a:gd name="T25" fmla="*/ 8 h 42"/>
                                    <a:gd name="T26" fmla="*/ 8 w 44"/>
                                    <a:gd name="T27" fmla="*/ 8 h 42"/>
                                    <a:gd name="T28" fmla="*/ 8 w 44"/>
                                    <a:gd name="T29" fmla="*/ 8 h 42"/>
                                    <a:gd name="T30" fmla="*/ 8 w 44"/>
                                    <a:gd name="T31" fmla="*/ 8 h 42"/>
                                    <a:gd name="T32" fmla="*/ 8 w 44"/>
                                    <a:gd name="T33" fmla="*/ 8 h 42"/>
                                    <a:gd name="T34" fmla="*/ 8 w 44"/>
                                    <a:gd name="T35"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4" h="42">
                                      <a:moveTo>
                                        <a:pt x="0" y="42"/>
                                      </a:moveTo>
                                      <a:lnTo>
                                        <a:pt x="44" y="42"/>
                                      </a:lnTo>
                                      <a:lnTo>
                                        <a:pt x="44" y="0"/>
                                      </a:lnTo>
                                      <a:lnTo>
                                        <a:pt x="0" y="0"/>
                                      </a:lnTo>
                                      <a:lnTo>
                                        <a:pt x="0" y="42"/>
                                      </a:lnTo>
                                      <a:lnTo>
                                        <a:pt x="0" y="42"/>
                                      </a:lnTo>
                                      <a:lnTo>
                                        <a:pt x="0" y="42"/>
                                      </a:lnTo>
                                      <a:close/>
                                      <a:moveTo>
                                        <a:pt x="8" y="8"/>
                                      </a:moveTo>
                                      <a:lnTo>
                                        <a:pt x="36" y="8"/>
                                      </a:lnTo>
                                      <a:lnTo>
                                        <a:pt x="36" y="34"/>
                                      </a:lnTo>
                                      <a:lnTo>
                                        <a:pt x="8" y="34"/>
                                      </a:lnTo>
                                      <a:lnTo>
                                        <a:pt x="8" y="8"/>
                                      </a:lnTo>
                                      <a:lnTo>
                                        <a:pt x="8" y="8"/>
                                      </a:lnTo>
                                      <a:lnTo>
                                        <a:pt x="8" y="8"/>
                                      </a:lnTo>
                                      <a:close/>
                                      <a:moveTo>
                                        <a:pt x="8" y="8"/>
                                      </a:moveTo>
                                      <a:lnTo>
                                        <a:pt x="8" y="8"/>
                                      </a:lnTo>
                                      <a:lnTo>
                                        <a:pt x="8" y="8"/>
                                      </a:lnTo>
                                      <a:lnTo>
                                        <a:pt x="8" y="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 name="Freeform 33"/>
                              <wps:cNvSpPr>
                                <a:spLocks noEditPoints="1"/>
                              </wps:cNvSpPr>
                              <wps:spPr bwMode="auto">
                                <a:xfrm>
                                  <a:off x="209550" y="430213"/>
                                  <a:ext cx="73025" cy="66675"/>
                                </a:xfrm>
                                <a:custGeom>
                                  <a:avLst/>
                                  <a:gdLst>
                                    <a:gd name="T0" fmla="*/ 0 w 46"/>
                                    <a:gd name="T1" fmla="*/ 42 h 42"/>
                                    <a:gd name="T2" fmla="*/ 46 w 46"/>
                                    <a:gd name="T3" fmla="*/ 42 h 42"/>
                                    <a:gd name="T4" fmla="*/ 46 w 46"/>
                                    <a:gd name="T5" fmla="*/ 0 h 42"/>
                                    <a:gd name="T6" fmla="*/ 0 w 46"/>
                                    <a:gd name="T7" fmla="*/ 0 h 42"/>
                                    <a:gd name="T8" fmla="*/ 0 w 46"/>
                                    <a:gd name="T9" fmla="*/ 42 h 42"/>
                                    <a:gd name="T10" fmla="*/ 0 w 46"/>
                                    <a:gd name="T11" fmla="*/ 42 h 42"/>
                                    <a:gd name="T12" fmla="*/ 0 w 46"/>
                                    <a:gd name="T13" fmla="*/ 42 h 42"/>
                                    <a:gd name="T14" fmla="*/ 8 w 46"/>
                                    <a:gd name="T15" fmla="*/ 8 h 42"/>
                                    <a:gd name="T16" fmla="*/ 38 w 46"/>
                                    <a:gd name="T17" fmla="*/ 8 h 42"/>
                                    <a:gd name="T18" fmla="*/ 38 w 46"/>
                                    <a:gd name="T19" fmla="*/ 34 h 42"/>
                                    <a:gd name="T20" fmla="*/ 8 w 46"/>
                                    <a:gd name="T21" fmla="*/ 34 h 42"/>
                                    <a:gd name="T22" fmla="*/ 8 w 46"/>
                                    <a:gd name="T23" fmla="*/ 8 h 42"/>
                                    <a:gd name="T24" fmla="*/ 8 w 46"/>
                                    <a:gd name="T25" fmla="*/ 8 h 42"/>
                                    <a:gd name="T26" fmla="*/ 8 w 46"/>
                                    <a:gd name="T27" fmla="*/ 8 h 42"/>
                                    <a:gd name="T28" fmla="*/ 8 w 46"/>
                                    <a:gd name="T29" fmla="*/ 8 h 42"/>
                                    <a:gd name="T30" fmla="*/ 8 w 46"/>
                                    <a:gd name="T31" fmla="*/ 8 h 42"/>
                                    <a:gd name="T32" fmla="*/ 8 w 46"/>
                                    <a:gd name="T33" fmla="*/ 8 h 42"/>
                                    <a:gd name="T34" fmla="*/ 8 w 46"/>
                                    <a:gd name="T35"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6" h="42">
                                      <a:moveTo>
                                        <a:pt x="0" y="42"/>
                                      </a:moveTo>
                                      <a:lnTo>
                                        <a:pt x="46" y="42"/>
                                      </a:lnTo>
                                      <a:lnTo>
                                        <a:pt x="46" y="0"/>
                                      </a:lnTo>
                                      <a:lnTo>
                                        <a:pt x="0" y="0"/>
                                      </a:lnTo>
                                      <a:lnTo>
                                        <a:pt x="0" y="42"/>
                                      </a:lnTo>
                                      <a:lnTo>
                                        <a:pt x="0" y="42"/>
                                      </a:lnTo>
                                      <a:lnTo>
                                        <a:pt x="0" y="42"/>
                                      </a:lnTo>
                                      <a:close/>
                                      <a:moveTo>
                                        <a:pt x="8" y="8"/>
                                      </a:moveTo>
                                      <a:lnTo>
                                        <a:pt x="38" y="8"/>
                                      </a:lnTo>
                                      <a:lnTo>
                                        <a:pt x="38" y="34"/>
                                      </a:lnTo>
                                      <a:lnTo>
                                        <a:pt x="8" y="34"/>
                                      </a:lnTo>
                                      <a:lnTo>
                                        <a:pt x="8" y="8"/>
                                      </a:lnTo>
                                      <a:lnTo>
                                        <a:pt x="8" y="8"/>
                                      </a:lnTo>
                                      <a:lnTo>
                                        <a:pt x="8" y="8"/>
                                      </a:lnTo>
                                      <a:close/>
                                      <a:moveTo>
                                        <a:pt x="8" y="8"/>
                                      </a:moveTo>
                                      <a:lnTo>
                                        <a:pt x="8" y="8"/>
                                      </a:lnTo>
                                      <a:lnTo>
                                        <a:pt x="8" y="8"/>
                                      </a:lnTo>
                                      <a:lnTo>
                                        <a:pt x="8" y="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 name="Freeform 34"/>
                              <wps:cNvSpPr>
                                <a:spLocks noEditPoints="1"/>
                              </wps:cNvSpPr>
                              <wps:spPr bwMode="auto">
                                <a:xfrm>
                                  <a:off x="209550" y="257175"/>
                                  <a:ext cx="73025" cy="66675"/>
                                </a:xfrm>
                                <a:custGeom>
                                  <a:avLst/>
                                  <a:gdLst>
                                    <a:gd name="T0" fmla="*/ 0 w 46"/>
                                    <a:gd name="T1" fmla="*/ 42 h 42"/>
                                    <a:gd name="T2" fmla="*/ 46 w 46"/>
                                    <a:gd name="T3" fmla="*/ 42 h 42"/>
                                    <a:gd name="T4" fmla="*/ 46 w 46"/>
                                    <a:gd name="T5" fmla="*/ 0 h 42"/>
                                    <a:gd name="T6" fmla="*/ 0 w 46"/>
                                    <a:gd name="T7" fmla="*/ 0 h 42"/>
                                    <a:gd name="T8" fmla="*/ 0 w 46"/>
                                    <a:gd name="T9" fmla="*/ 42 h 42"/>
                                    <a:gd name="T10" fmla="*/ 0 w 46"/>
                                    <a:gd name="T11" fmla="*/ 42 h 42"/>
                                    <a:gd name="T12" fmla="*/ 0 w 46"/>
                                    <a:gd name="T13" fmla="*/ 42 h 42"/>
                                    <a:gd name="T14" fmla="*/ 8 w 46"/>
                                    <a:gd name="T15" fmla="*/ 8 h 42"/>
                                    <a:gd name="T16" fmla="*/ 38 w 46"/>
                                    <a:gd name="T17" fmla="*/ 8 h 42"/>
                                    <a:gd name="T18" fmla="*/ 38 w 46"/>
                                    <a:gd name="T19" fmla="*/ 36 h 42"/>
                                    <a:gd name="T20" fmla="*/ 8 w 46"/>
                                    <a:gd name="T21" fmla="*/ 36 h 42"/>
                                    <a:gd name="T22" fmla="*/ 8 w 46"/>
                                    <a:gd name="T23" fmla="*/ 8 h 42"/>
                                    <a:gd name="T24" fmla="*/ 8 w 46"/>
                                    <a:gd name="T25" fmla="*/ 8 h 42"/>
                                    <a:gd name="T26" fmla="*/ 8 w 46"/>
                                    <a:gd name="T27" fmla="*/ 8 h 42"/>
                                    <a:gd name="T28" fmla="*/ 8 w 46"/>
                                    <a:gd name="T29" fmla="*/ 8 h 42"/>
                                    <a:gd name="T30" fmla="*/ 8 w 46"/>
                                    <a:gd name="T31" fmla="*/ 8 h 42"/>
                                    <a:gd name="T32" fmla="*/ 8 w 46"/>
                                    <a:gd name="T33" fmla="*/ 8 h 42"/>
                                    <a:gd name="T34" fmla="*/ 8 w 46"/>
                                    <a:gd name="T35"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6" h="42">
                                      <a:moveTo>
                                        <a:pt x="0" y="42"/>
                                      </a:moveTo>
                                      <a:lnTo>
                                        <a:pt x="46" y="42"/>
                                      </a:lnTo>
                                      <a:lnTo>
                                        <a:pt x="46" y="0"/>
                                      </a:lnTo>
                                      <a:lnTo>
                                        <a:pt x="0" y="0"/>
                                      </a:lnTo>
                                      <a:lnTo>
                                        <a:pt x="0" y="42"/>
                                      </a:lnTo>
                                      <a:lnTo>
                                        <a:pt x="0" y="42"/>
                                      </a:lnTo>
                                      <a:lnTo>
                                        <a:pt x="0" y="42"/>
                                      </a:lnTo>
                                      <a:close/>
                                      <a:moveTo>
                                        <a:pt x="8" y="8"/>
                                      </a:moveTo>
                                      <a:lnTo>
                                        <a:pt x="38" y="8"/>
                                      </a:lnTo>
                                      <a:lnTo>
                                        <a:pt x="38" y="36"/>
                                      </a:lnTo>
                                      <a:lnTo>
                                        <a:pt x="8" y="36"/>
                                      </a:lnTo>
                                      <a:lnTo>
                                        <a:pt x="8" y="8"/>
                                      </a:lnTo>
                                      <a:lnTo>
                                        <a:pt x="8" y="8"/>
                                      </a:lnTo>
                                      <a:lnTo>
                                        <a:pt x="8" y="8"/>
                                      </a:lnTo>
                                      <a:close/>
                                      <a:moveTo>
                                        <a:pt x="8" y="8"/>
                                      </a:moveTo>
                                      <a:lnTo>
                                        <a:pt x="8" y="8"/>
                                      </a:lnTo>
                                      <a:lnTo>
                                        <a:pt x="8" y="8"/>
                                      </a:lnTo>
                                      <a:lnTo>
                                        <a:pt x="8" y="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 name="Freeform 35"/>
                              <wps:cNvSpPr>
                                <a:spLocks noEditPoints="1"/>
                              </wps:cNvSpPr>
                              <wps:spPr bwMode="auto">
                                <a:xfrm>
                                  <a:off x="209550" y="173038"/>
                                  <a:ext cx="73025" cy="71438"/>
                                </a:xfrm>
                                <a:custGeom>
                                  <a:avLst/>
                                  <a:gdLst>
                                    <a:gd name="T0" fmla="*/ 0 w 46"/>
                                    <a:gd name="T1" fmla="*/ 45 h 45"/>
                                    <a:gd name="T2" fmla="*/ 46 w 46"/>
                                    <a:gd name="T3" fmla="*/ 45 h 45"/>
                                    <a:gd name="T4" fmla="*/ 46 w 46"/>
                                    <a:gd name="T5" fmla="*/ 0 h 45"/>
                                    <a:gd name="T6" fmla="*/ 0 w 46"/>
                                    <a:gd name="T7" fmla="*/ 0 h 45"/>
                                    <a:gd name="T8" fmla="*/ 0 w 46"/>
                                    <a:gd name="T9" fmla="*/ 45 h 45"/>
                                    <a:gd name="T10" fmla="*/ 0 w 46"/>
                                    <a:gd name="T11" fmla="*/ 45 h 45"/>
                                    <a:gd name="T12" fmla="*/ 0 w 46"/>
                                    <a:gd name="T13" fmla="*/ 45 h 45"/>
                                    <a:gd name="T14" fmla="*/ 8 w 46"/>
                                    <a:gd name="T15" fmla="*/ 8 h 45"/>
                                    <a:gd name="T16" fmla="*/ 38 w 46"/>
                                    <a:gd name="T17" fmla="*/ 8 h 45"/>
                                    <a:gd name="T18" fmla="*/ 38 w 46"/>
                                    <a:gd name="T19" fmla="*/ 39 h 45"/>
                                    <a:gd name="T20" fmla="*/ 8 w 46"/>
                                    <a:gd name="T21" fmla="*/ 39 h 45"/>
                                    <a:gd name="T22" fmla="*/ 8 w 46"/>
                                    <a:gd name="T23" fmla="*/ 8 h 45"/>
                                    <a:gd name="T24" fmla="*/ 8 w 46"/>
                                    <a:gd name="T25" fmla="*/ 8 h 45"/>
                                    <a:gd name="T26" fmla="*/ 8 w 46"/>
                                    <a:gd name="T27" fmla="*/ 8 h 45"/>
                                    <a:gd name="T28" fmla="*/ 8 w 46"/>
                                    <a:gd name="T29" fmla="*/ 8 h 45"/>
                                    <a:gd name="T30" fmla="*/ 8 w 46"/>
                                    <a:gd name="T31" fmla="*/ 8 h 45"/>
                                    <a:gd name="T32" fmla="*/ 8 w 46"/>
                                    <a:gd name="T33" fmla="*/ 8 h 45"/>
                                    <a:gd name="T34" fmla="*/ 8 w 46"/>
                                    <a:gd name="T35"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6" h="45">
                                      <a:moveTo>
                                        <a:pt x="0" y="45"/>
                                      </a:moveTo>
                                      <a:lnTo>
                                        <a:pt x="46" y="45"/>
                                      </a:lnTo>
                                      <a:lnTo>
                                        <a:pt x="46" y="0"/>
                                      </a:lnTo>
                                      <a:lnTo>
                                        <a:pt x="0" y="0"/>
                                      </a:lnTo>
                                      <a:lnTo>
                                        <a:pt x="0" y="45"/>
                                      </a:lnTo>
                                      <a:lnTo>
                                        <a:pt x="0" y="45"/>
                                      </a:lnTo>
                                      <a:lnTo>
                                        <a:pt x="0" y="45"/>
                                      </a:lnTo>
                                      <a:close/>
                                      <a:moveTo>
                                        <a:pt x="8" y="8"/>
                                      </a:moveTo>
                                      <a:lnTo>
                                        <a:pt x="38" y="8"/>
                                      </a:lnTo>
                                      <a:lnTo>
                                        <a:pt x="38" y="39"/>
                                      </a:lnTo>
                                      <a:lnTo>
                                        <a:pt x="8" y="39"/>
                                      </a:lnTo>
                                      <a:lnTo>
                                        <a:pt x="8" y="8"/>
                                      </a:lnTo>
                                      <a:lnTo>
                                        <a:pt x="8" y="8"/>
                                      </a:lnTo>
                                      <a:lnTo>
                                        <a:pt x="8" y="8"/>
                                      </a:lnTo>
                                      <a:close/>
                                      <a:moveTo>
                                        <a:pt x="8" y="8"/>
                                      </a:moveTo>
                                      <a:lnTo>
                                        <a:pt x="8" y="8"/>
                                      </a:lnTo>
                                      <a:lnTo>
                                        <a:pt x="8" y="8"/>
                                      </a:lnTo>
                                      <a:lnTo>
                                        <a:pt x="8" y="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 name="Freeform 36"/>
                              <wps:cNvSpPr>
                                <a:spLocks noEditPoints="1"/>
                              </wps:cNvSpPr>
                              <wps:spPr bwMode="auto">
                                <a:xfrm>
                                  <a:off x="296863" y="173038"/>
                                  <a:ext cx="107950" cy="109538"/>
                                </a:xfrm>
                                <a:custGeom>
                                  <a:avLst/>
                                  <a:gdLst>
                                    <a:gd name="T0" fmla="*/ 0 w 68"/>
                                    <a:gd name="T1" fmla="*/ 69 h 69"/>
                                    <a:gd name="T2" fmla="*/ 68 w 68"/>
                                    <a:gd name="T3" fmla="*/ 69 h 69"/>
                                    <a:gd name="T4" fmla="*/ 68 w 68"/>
                                    <a:gd name="T5" fmla="*/ 0 h 69"/>
                                    <a:gd name="T6" fmla="*/ 0 w 68"/>
                                    <a:gd name="T7" fmla="*/ 0 h 69"/>
                                    <a:gd name="T8" fmla="*/ 0 w 68"/>
                                    <a:gd name="T9" fmla="*/ 69 h 69"/>
                                    <a:gd name="T10" fmla="*/ 0 w 68"/>
                                    <a:gd name="T11" fmla="*/ 69 h 69"/>
                                    <a:gd name="T12" fmla="*/ 0 w 68"/>
                                    <a:gd name="T13" fmla="*/ 69 h 69"/>
                                    <a:gd name="T14" fmla="*/ 16 w 68"/>
                                    <a:gd name="T15" fmla="*/ 10 h 69"/>
                                    <a:gd name="T16" fmla="*/ 58 w 68"/>
                                    <a:gd name="T17" fmla="*/ 10 h 69"/>
                                    <a:gd name="T18" fmla="*/ 58 w 68"/>
                                    <a:gd name="T19" fmla="*/ 53 h 69"/>
                                    <a:gd name="T20" fmla="*/ 16 w 68"/>
                                    <a:gd name="T21" fmla="*/ 53 h 69"/>
                                    <a:gd name="T22" fmla="*/ 16 w 68"/>
                                    <a:gd name="T23" fmla="*/ 10 h 69"/>
                                    <a:gd name="T24" fmla="*/ 16 w 68"/>
                                    <a:gd name="T25" fmla="*/ 10 h 69"/>
                                    <a:gd name="T26" fmla="*/ 16 w 68"/>
                                    <a:gd name="T27" fmla="*/ 10 h 69"/>
                                    <a:gd name="T28" fmla="*/ 16 w 68"/>
                                    <a:gd name="T29" fmla="*/ 10 h 69"/>
                                    <a:gd name="T30" fmla="*/ 16 w 68"/>
                                    <a:gd name="T31" fmla="*/ 10 h 69"/>
                                    <a:gd name="T32" fmla="*/ 16 w 68"/>
                                    <a:gd name="T33" fmla="*/ 10 h 69"/>
                                    <a:gd name="T34" fmla="*/ 16 w 68"/>
                                    <a:gd name="T35" fmla="*/ 1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8" h="69">
                                      <a:moveTo>
                                        <a:pt x="0" y="69"/>
                                      </a:moveTo>
                                      <a:lnTo>
                                        <a:pt x="68" y="69"/>
                                      </a:lnTo>
                                      <a:lnTo>
                                        <a:pt x="68" y="0"/>
                                      </a:lnTo>
                                      <a:lnTo>
                                        <a:pt x="0" y="0"/>
                                      </a:lnTo>
                                      <a:lnTo>
                                        <a:pt x="0" y="69"/>
                                      </a:lnTo>
                                      <a:lnTo>
                                        <a:pt x="0" y="69"/>
                                      </a:lnTo>
                                      <a:lnTo>
                                        <a:pt x="0" y="69"/>
                                      </a:lnTo>
                                      <a:close/>
                                      <a:moveTo>
                                        <a:pt x="16" y="10"/>
                                      </a:moveTo>
                                      <a:lnTo>
                                        <a:pt x="58" y="10"/>
                                      </a:lnTo>
                                      <a:lnTo>
                                        <a:pt x="58" y="53"/>
                                      </a:lnTo>
                                      <a:lnTo>
                                        <a:pt x="16" y="53"/>
                                      </a:lnTo>
                                      <a:lnTo>
                                        <a:pt x="16" y="10"/>
                                      </a:lnTo>
                                      <a:lnTo>
                                        <a:pt x="16" y="10"/>
                                      </a:lnTo>
                                      <a:lnTo>
                                        <a:pt x="16" y="10"/>
                                      </a:lnTo>
                                      <a:close/>
                                      <a:moveTo>
                                        <a:pt x="16" y="10"/>
                                      </a:moveTo>
                                      <a:lnTo>
                                        <a:pt x="16" y="10"/>
                                      </a:lnTo>
                                      <a:lnTo>
                                        <a:pt x="16" y="10"/>
                                      </a:lnTo>
                                      <a:lnTo>
                                        <a:pt x="16" y="1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 name="Freeform 37"/>
                              <wps:cNvSpPr>
                                <a:spLocks noEditPoints="1"/>
                              </wps:cNvSpPr>
                              <wps:spPr bwMode="auto">
                                <a:xfrm>
                                  <a:off x="47625" y="50800"/>
                                  <a:ext cx="357188" cy="90488"/>
                                </a:xfrm>
                                <a:custGeom>
                                  <a:avLst/>
                                  <a:gdLst>
                                    <a:gd name="T0" fmla="*/ 0 w 225"/>
                                    <a:gd name="T1" fmla="*/ 57 h 57"/>
                                    <a:gd name="T2" fmla="*/ 225 w 225"/>
                                    <a:gd name="T3" fmla="*/ 57 h 57"/>
                                    <a:gd name="T4" fmla="*/ 225 w 225"/>
                                    <a:gd name="T5" fmla="*/ 0 h 57"/>
                                    <a:gd name="T6" fmla="*/ 0 w 225"/>
                                    <a:gd name="T7" fmla="*/ 0 h 57"/>
                                    <a:gd name="T8" fmla="*/ 0 w 225"/>
                                    <a:gd name="T9" fmla="*/ 57 h 57"/>
                                    <a:gd name="T10" fmla="*/ 0 w 225"/>
                                    <a:gd name="T11" fmla="*/ 57 h 57"/>
                                    <a:gd name="T12" fmla="*/ 0 w 225"/>
                                    <a:gd name="T13" fmla="*/ 57 h 57"/>
                                    <a:gd name="T14" fmla="*/ 10 w 225"/>
                                    <a:gd name="T15" fmla="*/ 11 h 57"/>
                                    <a:gd name="T16" fmla="*/ 215 w 225"/>
                                    <a:gd name="T17" fmla="*/ 11 h 57"/>
                                    <a:gd name="T18" fmla="*/ 215 w 225"/>
                                    <a:gd name="T19" fmla="*/ 47 h 57"/>
                                    <a:gd name="T20" fmla="*/ 10 w 225"/>
                                    <a:gd name="T21" fmla="*/ 47 h 57"/>
                                    <a:gd name="T22" fmla="*/ 10 w 225"/>
                                    <a:gd name="T23" fmla="*/ 11 h 57"/>
                                    <a:gd name="T24" fmla="*/ 10 w 225"/>
                                    <a:gd name="T25" fmla="*/ 11 h 57"/>
                                    <a:gd name="T26" fmla="*/ 10 w 225"/>
                                    <a:gd name="T27" fmla="*/ 11 h 57"/>
                                    <a:gd name="T28" fmla="*/ 10 w 225"/>
                                    <a:gd name="T29" fmla="*/ 11 h 57"/>
                                    <a:gd name="T30" fmla="*/ 10 w 225"/>
                                    <a:gd name="T31" fmla="*/ 11 h 57"/>
                                    <a:gd name="T32" fmla="*/ 10 w 225"/>
                                    <a:gd name="T33" fmla="*/ 11 h 57"/>
                                    <a:gd name="T34" fmla="*/ 10 w 225"/>
                                    <a:gd name="T35" fmla="*/ 11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5" h="57">
                                      <a:moveTo>
                                        <a:pt x="0" y="57"/>
                                      </a:moveTo>
                                      <a:lnTo>
                                        <a:pt x="225" y="57"/>
                                      </a:lnTo>
                                      <a:lnTo>
                                        <a:pt x="225" y="0"/>
                                      </a:lnTo>
                                      <a:lnTo>
                                        <a:pt x="0" y="0"/>
                                      </a:lnTo>
                                      <a:lnTo>
                                        <a:pt x="0" y="57"/>
                                      </a:lnTo>
                                      <a:lnTo>
                                        <a:pt x="0" y="57"/>
                                      </a:lnTo>
                                      <a:lnTo>
                                        <a:pt x="0" y="57"/>
                                      </a:lnTo>
                                      <a:close/>
                                      <a:moveTo>
                                        <a:pt x="10" y="11"/>
                                      </a:moveTo>
                                      <a:lnTo>
                                        <a:pt x="215" y="11"/>
                                      </a:lnTo>
                                      <a:lnTo>
                                        <a:pt x="215" y="47"/>
                                      </a:lnTo>
                                      <a:lnTo>
                                        <a:pt x="10" y="47"/>
                                      </a:lnTo>
                                      <a:lnTo>
                                        <a:pt x="10" y="11"/>
                                      </a:lnTo>
                                      <a:lnTo>
                                        <a:pt x="10" y="11"/>
                                      </a:lnTo>
                                      <a:lnTo>
                                        <a:pt x="10" y="11"/>
                                      </a:lnTo>
                                      <a:close/>
                                      <a:moveTo>
                                        <a:pt x="10" y="11"/>
                                      </a:moveTo>
                                      <a:lnTo>
                                        <a:pt x="10" y="11"/>
                                      </a:lnTo>
                                      <a:lnTo>
                                        <a:pt x="10" y="11"/>
                                      </a:lnTo>
                                      <a:lnTo>
                                        <a:pt x="10" y="1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C93B901" id="Group 19" o:spid="_x0000_s1026" alt="&quot;&quot;" style="position:absolute;margin-left:114.2pt;margin-top:11pt;width:18.7pt;height:22.3pt;z-index:251658244;mso-width-relative:margin;mso-height-relative:margin" coordsize="4556,5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">
                      <v:shape id="Freeform 22" o:spid="_x0000_s1027" style="position:absolute;width:4556;height:5445;visibility:visible;mso-wrap-style:square;v-text-anchor:top" coordsize="14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" path="m133,c9,,9,,9,,3,,,4,,8,,161,,161,,161v,5,3,9,9,9c133,170,133,170,133,170v6,,10,-4,10,-9c143,8,143,8,143,8,143,4,139,,133,xm137,161v,1,-2,3,-4,3c9,164,9,164,9,164v-2,,-4,-2,-4,-3c5,8,5,8,5,8,5,6,7,6,9,6v124,,124,,124,c135,6,137,6,137,8v,153,,153,,153c137,161,137,161,137,161xm137,161v,,,,,e" filled="f" stroked="f">
                        <v:path arrowok="t" o:connecttype="custom" o:connectlocs="423752,0;28675,0;0,25624;0,515686;28675,544513;423752,544513;455613,515686;455613,25624;423752,0;436496,515686;423752,525295;28675,525295;15931,515686;15931,25624;28675,19218;423752,19218;436496,25624;436496,515686;436496,515686;436496,515686;436496,515686" o:connectangles="0,0,0,0,0,0,0,0,0,0,0,0,0,0,0,0,0,0,0,0,0"/>
                        <o:lock v:ext="edit" verticies="t"/>
                      </v:shape>
                      <v:shape id="Freeform 23" o:spid="_x0000_s1028" style="position:absolute;left:476;top:3365;width:667;height:746;visibility:visible;mso-wrap-style:square;v-text-anchor:top" coordsize="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" path="m,47r42,l42,,,,,47r,l,47xm8,8r26,l34,39,8,39,8,8r,l8,8xm8,8r,l8,8r,xe" filled="f" stroked="f">
                        <v:path arrowok="t" o:connecttype="custom" o:connectlocs="0,74613;66675,74613;66675,0;0,0;0,74613;0,74613;0,74613;12700,12700;53975,12700;53975,61913;12700,61913;12700,12700;12700,12700;12700,12700;12700,12700;12700,12700;12700,12700;12700,12700" o:connectangles="0,0,0,0,0,0,0,0,0,0,0,0,0,0,0,0,0,0"/>
                        <o:lock v:ext="edit" verticies="t"/>
                      </v:shape>
                      <v:shape id="Freeform 24" o:spid="_x0000_s1029" style="position:absolute;left:1301;top:3365;width:699;height:746;visibility:visible;mso-wrap-style:square;v-text-anchor:top" coordsize="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" path="m,47r44,l44,,,,,47r,l,47xm8,8r28,l36,39,8,39,8,8r,l8,8xm8,8r,l8,8r,xe" filled="f" stroked="f">
                        <v:path arrowok="t" o:connecttype="custom" o:connectlocs="0,74613;69850,74613;69850,0;0,0;0,74613;0,74613;0,74613;12700,12700;57150,12700;57150,61913;12700,61913;12700,12700;12700,12700;12700,12700;12700,12700;12700,12700;12700,12700;12700,12700" o:connectangles="0,0,0,0,0,0,0,0,0,0,0,0,0,0,0,0,0,0"/>
                        <o:lock v:ext="edit" verticies="t"/>
                      </v:shape>
                      <v:shape id="Freeform 25" o:spid="_x0000_s1030" style="position:absolute;left:2968;top:3016;width:1080;height:1952;visibility:visible;mso-wrap-style:square;v-text-anchor:top" coordsize="6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" path="m,123r68,l68,,,,,123r,l,123xm16,10r42,l58,111r-42,l16,10r,l16,10xm16,10r,l16,10r,xe" filled="f" stroked="f">
                        <v:path arrowok="t" o:connecttype="custom" o:connectlocs="0,195263;107950,195263;107950,0;0,0;0,195263;0,195263;0,195263;25400,15875;92075,15875;92075,176213;25400,176213;25400,15875;25400,15875;25400,15875;25400,15875;25400,15875;25400,15875;25400,15875" o:connectangles="0,0,0,0,0,0,0,0,0,0,0,0,0,0,0,0,0,0"/>
                        <o:lock v:ext="edit" verticies="t"/>
                      </v:shape>
                      <v:shape id="Freeform 26" o:spid="_x0000_s1031" style="position:absolute;left:476;top:2571;width:667;height:667;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" path="m,42r42,l42,,,,,42r,l,42xm8,8r26,l34,36,8,36,8,8r,l8,8xm8,8r,l8,8r,xe" filled="f" stroked="f">
                        <v:path arrowok="t" o:connecttype="custom" o:connectlocs="0,66675;66675,66675;66675,0;0,0;0,66675;0,66675;0,66675;12700,12700;53975,12700;53975,57150;12700,57150;12700,12700;12700,12700;12700,12700;12700,12700;12700,12700;12700,12700;12700,12700" o:connectangles="0,0,0,0,0,0,0,0,0,0,0,0,0,0,0,0,0,0"/>
                        <o:lock v:ext="edit" verticies="t"/>
                      </v:shape>
                      <v:shape id="Freeform 27" o:spid="_x0000_s1032" style="position:absolute;left:1301;top:2571;width:699;height:667;visibility:visible;mso-wrap-style:square;v-text-anchor:top" coordsize="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" path="m,42r44,l44,,,,,42r,l,42xm8,8r28,l36,36,8,36,8,8r,l8,8xm8,8r,l8,8r,xe" filled="f" stroked="f">
                        <v:path arrowok="t" o:connecttype="custom" o:connectlocs="0,66675;69850,66675;69850,0;0,0;0,66675;0,66675;0,66675;12700,12700;57150,12700;57150,57150;12700,57150;12700,12700;12700,12700;12700,12700;12700,12700;12700,12700;12700,12700;12700,12700" o:connectangles="0,0,0,0,0,0,0,0,0,0,0,0,0,0,0,0,0,0"/>
                        <o:lock v:ext="edit" verticies="t"/>
                      </v:shape>
                      <v:shape id="Freeform 28" o:spid="_x0000_s1033" style="position:absolute;left:476;top:1730;width:667;height:714;visibility:visible;mso-wrap-style:square;v-text-anchor:top" coordsize="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" path="m,45r42,l42,,,,,45r,l,45xm8,8r26,l34,39,8,39,8,8r,l8,8xm8,8r,l8,8r,xe" filled="f" stroked="f">
                        <v:path arrowok="t" o:connecttype="custom" o:connectlocs="0,71438;66675,71438;66675,0;0,0;0,71438;0,71438;0,71438;12700,12700;53975,12700;53975,61913;12700,61913;12700,12700;12700,12700;12700,12700;12700,12700;12700,12700;12700,12700;12700,12700" o:connectangles="0,0,0,0,0,0,0,0,0,0,0,0,0,0,0,0,0,0"/>
                        <o:lock v:ext="edit" verticies="t"/>
                      </v:shape>
                      <v:shape id="Freeform 29" o:spid="_x0000_s1034" style="position:absolute;left:1301;top:1730;width:699;height:714;visibility:visible;mso-wrap-style:square;v-text-anchor:top" coordsize="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" path="m,45r44,l44,,,,,45r,l,45xm8,8r28,l36,39,8,39,8,8r,l8,8xm8,8r,l8,8r,xe" filled="f" stroked="f">
                        <v:path arrowok="t" o:connecttype="custom" o:connectlocs="0,71438;69850,71438;69850,0;0,0;0,71438;0,71438;0,71438;12700,12700;57150,12700;57150,61913;12700,61913;12700,12700;12700,12700;12700,12700;12700,12700;12700,12700;12700,12700;12700,12700" o:connectangles="0,0,0,0,0,0,0,0,0,0,0,0,0,0,0,0,0,0"/>
                        <o:lock v:ext="edit" verticies="t"/>
                      </v:shape>
                      <v:shape id="Freeform 30" o:spid="_x0000_s1035" style="position:absolute;left:2095;top:3365;width:730;height:746;visibility:visible;mso-wrap-style:square;v-text-anchor:top" coordsize="4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" path="m,47r46,l46,,,,,47r,l,47xm8,8r30,l38,39,8,39,8,8r,l8,8xm8,8r,l8,8r,xe" filled="f" stroked="f">
                        <v:path arrowok="t" o:connecttype="custom" o:connectlocs="0,74613;73025,74613;73025,0;0,0;0,74613;0,74613;0,74613;12700,12700;60325,12700;60325,61913;12700,61913;12700,12700;12700,12700;12700,12700;12700,12700;12700,12700;12700,12700;12700,12700" o:connectangles="0,0,0,0,0,0,0,0,0,0,0,0,0,0,0,0,0,0"/>
                        <o:lock v:ext="edit" verticies="t"/>
                      </v:shape>
                      <v:shape id="Freeform 31" o:spid="_x0000_s1036" style="position:absolute;left:476;top:4302;width:667;height:666;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" path="m,42r42,l42,,,,,42r,l,42xm8,8r26,l34,34,8,34,8,8r,l8,8xm8,8r,l8,8r,xe" filled="f" stroked="f">
                        <v:path arrowok="t" o:connecttype="custom" o:connectlocs="0,66675;66675,66675;66675,0;0,0;0,66675;0,66675;0,66675;12700,12700;53975,12700;53975,53975;12700,53975;12700,12700;12700,12700;12700,12700;12700,12700;12700,12700;12700,12700;12700,12700" o:connectangles="0,0,0,0,0,0,0,0,0,0,0,0,0,0,0,0,0,0"/>
                        <o:lock v:ext="edit" verticies="t"/>
                      </v:shape>
                      <v:shape id="Freeform 32" o:spid="_x0000_s1037" style="position:absolute;left:1301;top:4302;width:699;height:666;visibility:visible;mso-wrap-style:square;v-text-anchor:top" coordsize="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" path="m,42r44,l44,,,,,42r,l,42xm8,8r28,l36,34,8,34,8,8r,l8,8xm8,8r,l8,8r,xe" filled="f" stroked="f">
                        <v:path arrowok="t" o:connecttype="custom" o:connectlocs="0,66675;69850,66675;69850,0;0,0;0,66675;0,66675;0,66675;12700,12700;57150,12700;57150,53975;12700,53975;12700,12700;12700,12700;12700,12700;12700,12700;12700,12700;12700,12700;12700,12700" o:connectangles="0,0,0,0,0,0,0,0,0,0,0,0,0,0,0,0,0,0"/>
                        <o:lock v:ext="edit" verticies="t"/>
                      </v:shape>
                      <v:shape id="Freeform 33" o:spid="_x0000_s1038" style="position:absolute;left:2095;top:4302;width:730;height:666;visibility:visible;mso-wrap-style:square;v-text-anchor:top" coordsize="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" path="m,42r46,l46,,,,,42r,l,42xm8,8r30,l38,34,8,34,8,8r,l8,8xm8,8r,l8,8r,xe" filled="f" stroked="f">
                        <v:path arrowok="t" o:connecttype="custom" o:connectlocs="0,66675;73025,66675;73025,0;0,0;0,66675;0,66675;0,66675;12700,12700;60325,12700;60325,53975;12700,53975;12700,12700;12700,12700;12700,12700;12700,12700;12700,12700;12700,12700;12700,12700" o:connectangles="0,0,0,0,0,0,0,0,0,0,0,0,0,0,0,0,0,0"/>
                        <o:lock v:ext="edit" verticies="t"/>
                      </v:shape>
                      <v:shape id="Freeform 34" o:spid="_x0000_s1039" style="position:absolute;left:2095;top:2571;width:730;height:667;visibility:visible;mso-wrap-style:square;v-text-anchor:top" coordsize="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" path="m,42r46,l46,,,,,42r,l,42xm8,8r30,l38,36,8,36,8,8r,l8,8xm8,8r,l8,8r,xe" filled="f" stroked="f">
                        <v:path arrowok="t" o:connecttype="custom" o:connectlocs="0,66675;73025,66675;73025,0;0,0;0,66675;0,66675;0,66675;12700,12700;60325,12700;60325,57150;12700,57150;12700,12700;12700,12700;12700,12700;12700,12700;12700,12700;12700,12700;12700,12700" o:connectangles="0,0,0,0,0,0,0,0,0,0,0,0,0,0,0,0,0,0"/>
                        <o:lock v:ext="edit" verticies="t"/>
                      </v:shape>
                      <v:shape id="Freeform 35" o:spid="_x0000_s1040" style="position:absolute;left:2095;top:1730;width:730;height:714;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" path="m,45r46,l46,,,,,45r,l,45xm8,8r30,l38,39,8,39,8,8r,l8,8xm8,8r,l8,8r,xe" filled="f" stroked="f">
                        <v:path arrowok="t" o:connecttype="custom" o:connectlocs="0,71438;73025,71438;73025,0;0,0;0,71438;0,71438;0,71438;12700,12700;60325,12700;60325,61913;12700,61913;12700,12700;12700,12700;12700,12700;12700,12700;12700,12700;12700,12700;12700,12700" o:connectangles="0,0,0,0,0,0,0,0,0,0,0,0,0,0,0,0,0,0"/>
                        <o:lock v:ext="edit" verticies="t"/>
                      </v:shape>
                      <v:shape id="Freeform 36" o:spid="_x0000_s1041" style="position:absolute;left:2968;top:1730;width:1080;height:1095;visibility:visible;mso-wrap-style:square;v-text-anchor:top" coordsize="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" path="m,69r68,l68,,,,,69r,l,69xm16,10r42,l58,53r-42,l16,10r,l16,10xm16,10r,l16,10r,xe" filled="f" stroked="f">
                        <v:path arrowok="t" o:connecttype="custom" o:connectlocs="0,109538;107950,109538;107950,0;0,0;0,109538;0,109538;0,109538;25400,15875;92075,15875;92075,84138;25400,84138;25400,15875;25400,15875;25400,15875;25400,15875;25400,15875;25400,15875;25400,15875" o:connectangles="0,0,0,0,0,0,0,0,0,0,0,0,0,0,0,0,0,0"/>
                        <o:lock v:ext="edit" verticies="t"/>
                      </v:shape>
                      <v:shape id="Freeform 37" o:spid="_x0000_s1042" style="position:absolute;left:476;top:508;width:3572;height:904;visibility:visible;mso-wrap-style:square;v-text-anchor:top" coordsize="2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" path="m,57r225,l225,,,,,57r,l,57xm10,11r205,l215,47,10,47r,-36l10,11r,xm10,11r,l10,11r,xe" filled="f" stroked="f">
                        <v:path arrowok="t" o:connecttype="custom" o:connectlocs="0,90488;357188,90488;357188,0;0,0;0,90488;0,90488;0,90488;15875,17463;341313,17463;341313,74613;15875,74613;15875,17463;15875,17463;15875,17463;15875,17463;15875,17463;15875,17463;15875,17463" o:connectangles="0,0,0,0,0,0,0,0,0,0,0,0,0,0,0,0,0,0"/>
                        <o:lock v:ext="edit" verticies="t"/>
                      </v:shape>
                    </v:group>
                  </w:pict>
                </mc:Fallback>
              </mc:AlternateContent>
            </w:r>
            <w:r w:rsidRPr="0088201A">
              <w:rPr>
                <w:rFonts w:asciiTheme="majorHAnsi" w:eastAsia="Times New Roman" w:hAnsiTheme="majorHAnsi" w:cstheme="majorHAnsi"/>
                <w:sz w:val="17"/>
                <w:szCs w:val="19"/>
                <w:lang w:eastAsia="en-AU"/>
              </w:rPr>
              <w:t>Weighted average price</w:t>
            </w:r>
            <w:r w:rsidRPr="0088201A">
              <w:rPr>
                <w:rFonts w:asciiTheme="minorHAnsi" w:eastAsia="Times New Roman" w:hAnsiTheme="minorHAnsi" w:cstheme="minorHAnsi"/>
                <w:sz w:val="17"/>
                <w:szCs w:val="19"/>
                <w:lang w:eastAsia="en-AU"/>
              </w:rPr>
              <w:t xml:space="preserve"> for prostheses in the </w:t>
            </w:r>
            <w:r w:rsidRPr="0088201A">
              <w:rPr>
                <w:rFonts w:asciiTheme="majorHAnsi" w:eastAsia="Times New Roman" w:hAnsiTheme="majorHAnsi" w:cstheme="majorHAnsi"/>
                <w:sz w:val="17"/>
                <w:szCs w:val="19"/>
                <w:lang w:eastAsia="en-AU"/>
              </w:rPr>
              <w:t>public system</w:t>
            </w:r>
            <w:r w:rsidRPr="0088201A">
              <w:rPr>
                <w:rFonts w:asciiTheme="minorHAnsi" w:eastAsia="Times New Roman" w:hAnsiTheme="minorHAnsi" w:cstheme="minorHAnsi"/>
                <w:sz w:val="17"/>
                <w:szCs w:val="19"/>
                <w:lang w:eastAsia="en-AU"/>
              </w:rPr>
              <w:t xml:space="preserve"> </w:t>
            </w:r>
          </w:p>
        </w:tc>
        <w:tc>
          <w:tcPr>
            <w:tcW w:w="6016" w:type="dxa"/>
            <w:shd w:val="clear" w:color="auto" w:fill="FFFFFF" w:themeFill="background1"/>
          </w:tcPr>
          <w:p w14:paraId="75317720" w14:textId="77777777" w:rsidR="006F29B9" w:rsidRPr="0088201A" w:rsidRDefault="006F29B9">
            <w:pPr>
              <w:pStyle w:val="TableNText"/>
            </w:pPr>
            <w:r w:rsidRPr="0088201A">
              <w:t>As a reference group to support analysis of changes in the pricing of prostheses in the private health system</w:t>
            </w:r>
            <w:r>
              <w:t>.</w:t>
            </w:r>
          </w:p>
        </w:tc>
      </w:tr>
      <w:tr w:rsidR="006F29B9" w:rsidRPr="00366264" w14:paraId="2716641F" w14:textId="77777777" w:rsidTr="3787E91E">
        <w:trPr>
          <w:cnfStyle w:val="000000010000" w:firstRow="0" w:lastRow="0" w:firstColumn="0" w:lastColumn="0" w:oddVBand="0" w:evenVBand="0" w:oddHBand="0" w:evenHBand="1" w:firstRowFirstColumn="0" w:firstRowLastColumn="0" w:lastRowFirstColumn="0" w:lastRowLastColumn="0"/>
          <w:trHeight w:val="777"/>
        </w:trPr>
        <w:tc>
          <w:tcPr>
            <w:tcW w:w="2984" w:type="dxa"/>
            <w:shd w:val="clear" w:color="auto" w:fill="FFFFFF" w:themeFill="background1"/>
          </w:tcPr>
          <w:p w14:paraId="64D5F796" w14:textId="77777777" w:rsidR="006F29B9" w:rsidRPr="0088201A" w:rsidRDefault="006F29B9" w:rsidP="00130575">
            <w:pPr>
              <w:suppressAutoHyphens/>
              <w:spacing w:before="40" w:after="40"/>
              <w:ind w:right="567"/>
              <w:rPr>
                <w:rFonts w:asciiTheme="minorHAnsi" w:eastAsia="Times New Roman" w:hAnsiTheme="minorHAnsi" w:cstheme="minorHAnsi"/>
                <w:sz w:val="17"/>
                <w:szCs w:val="19"/>
                <w:lang w:eastAsia="en-AU"/>
              </w:rPr>
            </w:pPr>
            <w:r w:rsidRPr="0088201A">
              <w:rPr>
                <w:noProof/>
              </w:rPr>
              <mc:AlternateContent>
                <mc:Choice Requires="wpg">
                  <w:drawing>
                    <wp:anchor distT="0" distB="0" distL="114300" distR="114300" simplePos="0" relativeHeight="251658245" behindDoc="0" locked="0" layoutInCell="1" allowOverlap="1" wp14:anchorId="6BEC5EDF" wp14:editId="5BB087E8">
                      <wp:simplePos x="0" y="0"/>
                      <wp:positionH relativeFrom="column">
                        <wp:posOffset>1471930</wp:posOffset>
                      </wp:positionH>
                      <wp:positionV relativeFrom="paragraph">
                        <wp:posOffset>15875</wp:posOffset>
                      </wp:positionV>
                      <wp:extent cx="235585" cy="291465"/>
                      <wp:effectExtent l="38100" t="0" r="0" b="0"/>
                      <wp:wrapSquare wrapText="bothSides"/>
                      <wp:docPr id="1811093741" name="Group 18110937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5585" cy="291465"/>
                                <a:chOff x="0" y="0"/>
                                <a:chExt cx="436563" cy="539750"/>
                              </a:xfrm>
                              <a:solidFill>
                                <a:schemeClr val="bg2"/>
                              </a:solidFill>
                            </wpg:grpSpPr>
                            <wps:wsp>
                              <wps:cNvPr id="1187770979" name="Freeform 37"/>
                              <wps:cNvSpPr>
                                <a:spLocks/>
                              </wps:cNvSpPr>
                              <wps:spPr bwMode="auto">
                                <a:xfrm>
                                  <a:off x="133350" y="207963"/>
                                  <a:ext cx="211138" cy="19050"/>
                                </a:xfrm>
                                <a:custGeom>
                                  <a:avLst/>
                                  <a:gdLst>
                                    <a:gd name="T0" fmla="*/ 0 w 66"/>
                                    <a:gd name="T1" fmla="*/ 3 h 6"/>
                                    <a:gd name="T2" fmla="*/ 3 w 66"/>
                                    <a:gd name="T3" fmla="*/ 6 h 6"/>
                                    <a:gd name="T4" fmla="*/ 63 w 66"/>
                                    <a:gd name="T5" fmla="*/ 6 h 6"/>
                                    <a:gd name="T6" fmla="*/ 66 w 66"/>
                                    <a:gd name="T7" fmla="*/ 3 h 6"/>
                                    <a:gd name="T8" fmla="*/ 63 w 66"/>
                                    <a:gd name="T9" fmla="*/ 0 h 6"/>
                                    <a:gd name="T10" fmla="*/ 3 w 66"/>
                                    <a:gd name="T11" fmla="*/ 0 h 6"/>
                                    <a:gd name="T12" fmla="*/ 0 w 66"/>
                                    <a:gd name="T13" fmla="*/ 3 h 6"/>
                                  </a:gdLst>
                                  <a:ahLst/>
                                  <a:cxnLst>
                                    <a:cxn ang="0">
                                      <a:pos x="T0" y="T1"/>
                                    </a:cxn>
                                    <a:cxn ang="0">
                                      <a:pos x="T2" y="T3"/>
                                    </a:cxn>
                                    <a:cxn ang="0">
                                      <a:pos x="T4" y="T5"/>
                                    </a:cxn>
                                    <a:cxn ang="0">
                                      <a:pos x="T6" y="T7"/>
                                    </a:cxn>
                                    <a:cxn ang="0">
                                      <a:pos x="T8" y="T9"/>
                                    </a:cxn>
                                    <a:cxn ang="0">
                                      <a:pos x="T10" y="T11"/>
                                    </a:cxn>
                                    <a:cxn ang="0">
                                      <a:pos x="T12" y="T13"/>
                                    </a:cxn>
                                  </a:cxnLst>
                                  <a:rect l="0" t="0" r="r" b="b"/>
                                  <a:pathLst>
                                    <a:path w="66" h="6">
                                      <a:moveTo>
                                        <a:pt x="0" y="3"/>
                                      </a:moveTo>
                                      <a:cubicBezTo>
                                        <a:pt x="0" y="5"/>
                                        <a:pt x="1" y="6"/>
                                        <a:pt x="3" y="6"/>
                                      </a:cubicBezTo>
                                      <a:cubicBezTo>
                                        <a:pt x="63" y="6"/>
                                        <a:pt x="63" y="6"/>
                                        <a:pt x="63" y="6"/>
                                      </a:cubicBezTo>
                                      <a:cubicBezTo>
                                        <a:pt x="65" y="6"/>
                                        <a:pt x="66" y="5"/>
                                        <a:pt x="66" y="3"/>
                                      </a:cubicBezTo>
                                      <a:cubicBezTo>
                                        <a:pt x="66" y="2"/>
                                        <a:pt x="65" y="0"/>
                                        <a:pt x="63" y="0"/>
                                      </a:cubicBezTo>
                                      <a:cubicBezTo>
                                        <a:pt x="3" y="0"/>
                                        <a:pt x="3" y="0"/>
                                        <a:pt x="3" y="0"/>
                                      </a:cubicBezTo>
                                      <a:cubicBezTo>
                                        <a:pt x="1" y="0"/>
                                        <a:pt x="0" y="2"/>
                                        <a:pt x="0" y="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55026955" name="Freeform 38"/>
                              <wps:cNvSpPr>
                                <a:spLocks/>
                              </wps:cNvSpPr>
                              <wps:spPr bwMode="auto">
                                <a:xfrm>
                                  <a:off x="133350" y="312738"/>
                                  <a:ext cx="211138" cy="22225"/>
                                </a:xfrm>
                                <a:custGeom>
                                  <a:avLst/>
                                  <a:gdLst>
                                    <a:gd name="T0" fmla="*/ 63 w 66"/>
                                    <a:gd name="T1" fmla="*/ 0 h 7"/>
                                    <a:gd name="T2" fmla="*/ 3 w 66"/>
                                    <a:gd name="T3" fmla="*/ 0 h 7"/>
                                    <a:gd name="T4" fmla="*/ 0 w 66"/>
                                    <a:gd name="T5" fmla="*/ 3 h 7"/>
                                    <a:gd name="T6" fmla="*/ 3 w 66"/>
                                    <a:gd name="T7" fmla="*/ 7 h 7"/>
                                    <a:gd name="T8" fmla="*/ 63 w 66"/>
                                    <a:gd name="T9" fmla="*/ 7 h 7"/>
                                    <a:gd name="T10" fmla="*/ 66 w 66"/>
                                    <a:gd name="T11" fmla="*/ 3 h 7"/>
                                    <a:gd name="T12" fmla="*/ 63 w 66"/>
                                    <a:gd name="T13" fmla="*/ 0 h 7"/>
                                  </a:gdLst>
                                  <a:ahLst/>
                                  <a:cxnLst>
                                    <a:cxn ang="0">
                                      <a:pos x="T0" y="T1"/>
                                    </a:cxn>
                                    <a:cxn ang="0">
                                      <a:pos x="T2" y="T3"/>
                                    </a:cxn>
                                    <a:cxn ang="0">
                                      <a:pos x="T4" y="T5"/>
                                    </a:cxn>
                                    <a:cxn ang="0">
                                      <a:pos x="T6" y="T7"/>
                                    </a:cxn>
                                    <a:cxn ang="0">
                                      <a:pos x="T8" y="T9"/>
                                    </a:cxn>
                                    <a:cxn ang="0">
                                      <a:pos x="T10" y="T11"/>
                                    </a:cxn>
                                    <a:cxn ang="0">
                                      <a:pos x="T12" y="T13"/>
                                    </a:cxn>
                                  </a:cxnLst>
                                  <a:rect l="0" t="0" r="r" b="b"/>
                                  <a:pathLst>
                                    <a:path w="66" h="7">
                                      <a:moveTo>
                                        <a:pt x="63" y="0"/>
                                      </a:moveTo>
                                      <a:cubicBezTo>
                                        <a:pt x="3" y="0"/>
                                        <a:pt x="3" y="0"/>
                                        <a:pt x="3" y="0"/>
                                      </a:cubicBezTo>
                                      <a:cubicBezTo>
                                        <a:pt x="1" y="0"/>
                                        <a:pt x="0" y="1"/>
                                        <a:pt x="0" y="3"/>
                                      </a:cubicBezTo>
                                      <a:cubicBezTo>
                                        <a:pt x="0" y="4"/>
                                        <a:pt x="1" y="7"/>
                                        <a:pt x="3" y="7"/>
                                      </a:cubicBezTo>
                                      <a:cubicBezTo>
                                        <a:pt x="63" y="7"/>
                                        <a:pt x="63" y="7"/>
                                        <a:pt x="63" y="7"/>
                                      </a:cubicBezTo>
                                      <a:cubicBezTo>
                                        <a:pt x="65" y="7"/>
                                        <a:pt x="66" y="4"/>
                                        <a:pt x="66" y="3"/>
                                      </a:cubicBezTo>
                                      <a:cubicBezTo>
                                        <a:pt x="66" y="1"/>
                                        <a:pt x="65" y="0"/>
                                        <a:pt x="63"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1427705" name="Freeform 39"/>
                              <wps:cNvSpPr>
                                <a:spLocks/>
                              </wps:cNvSpPr>
                              <wps:spPr bwMode="auto">
                                <a:xfrm>
                                  <a:off x="133350" y="419100"/>
                                  <a:ext cx="211138" cy="19050"/>
                                </a:xfrm>
                                <a:custGeom>
                                  <a:avLst/>
                                  <a:gdLst>
                                    <a:gd name="T0" fmla="*/ 63 w 66"/>
                                    <a:gd name="T1" fmla="*/ 0 h 6"/>
                                    <a:gd name="T2" fmla="*/ 3 w 66"/>
                                    <a:gd name="T3" fmla="*/ 0 h 6"/>
                                    <a:gd name="T4" fmla="*/ 0 w 66"/>
                                    <a:gd name="T5" fmla="*/ 3 h 6"/>
                                    <a:gd name="T6" fmla="*/ 3 w 66"/>
                                    <a:gd name="T7" fmla="*/ 6 h 6"/>
                                    <a:gd name="T8" fmla="*/ 63 w 66"/>
                                    <a:gd name="T9" fmla="*/ 6 h 6"/>
                                    <a:gd name="T10" fmla="*/ 66 w 66"/>
                                    <a:gd name="T11" fmla="*/ 3 h 6"/>
                                    <a:gd name="T12" fmla="*/ 63 w 66"/>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66" h="6">
                                      <a:moveTo>
                                        <a:pt x="63" y="0"/>
                                      </a:moveTo>
                                      <a:cubicBezTo>
                                        <a:pt x="3" y="0"/>
                                        <a:pt x="3" y="0"/>
                                        <a:pt x="3" y="0"/>
                                      </a:cubicBezTo>
                                      <a:cubicBezTo>
                                        <a:pt x="1" y="0"/>
                                        <a:pt x="0" y="2"/>
                                        <a:pt x="0" y="3"/>
                                      </a:cubicBezTo>
                                      <a:cubicBezTo>
                                        <a:pt x="0" y="5"/>
                                        <a:pt x="1" y="6"/>
                                        <a:pt x="3" y="6"/>
                                      </a:cubicBezTo>
                                      <a:cubicBezTo>
                                        <a:pt x="63" y="6"/>
                                        <a:pt x="63" y="6"/>
                                        <a:pt x="63" y="6"/>
                                      </a:cubicBezTo>
                                      <a:cubicBezTo>
                                        <a:pt x="65" y="6"/>
                                        <a:pt x="66" y="5"/>
                                        <a:pt x="66" y="3"/>
                                      </a:cubicBezTo>
                                      <a:cubicBezTo>
                                        <a:pt x="66" y="2"/>
                                        <a:pt x="65" y="0"/>
                                        <a:pt x="63"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37451742" name="Freeform 40"/>
                              <wps:cNvSpPr>
                                <a:spLocks noEditPoints="1"/>
                              </wps:cNvSpPr>
                              <wps:spPr bwMode="auto">
                                <a:xfrm>
                                  <a:off x="0" y="0"/>
                                  <a:ext cx="436563" cy="539750"/>
                                </a:xfrm>
                                <a:custGeom>
                                  <a:avLst/>
                                  <a:gdLst>
                                    <a:gd name="T0" fmla="*/ 99 w 137"/>
                                    <a:gd name="T1" fmla="*/ 0 h 169"/>
                                    <a:gd name="T2" fmla="*/ 14 w 137"/>
                                    <a:gd name="T3" fmla="*/ 0 h 169"/>
                                    <a:gd name="T4" fmla="*/ 0 w 137"/>
                                    <a:gd name="T5" fmla="*/ 14 h 169"/>
                                    <a:gd name="T6" fmla="*/ 0 w 137"/>
                                    <a:gd name="T7" fmla="*/ 154 h 169"/>
                                    <a:gd name="T8" fmla="*/ 14 w 137"/>
                                    <a:gd name="T9" fmla="*/ 169 h 169"/>
                                    <a:gd name="T10" fmla="*/ 122 w 137"/>
                                    <a:gd name="T11" fmla="*/ 169 h 169"/>
                                    <a:gd name="T12" fmla="*/ 137 w 137"/>
                                    <a:gd name="T13" fmla="*/ 154 h 169"/>
                                    <a:gd name="T14" fmla="*/ 137 w 137"/>
                                    <a:gd name="T15" fmla="*/ 42 h 169"/>
                                    <a:gd name="T16" fmla="*/ 99 w 137"/>
                                    <a:gd name="T17" fmla="*/ 0 h 169"/>
                                    <a:gd name="T18" fmla="*/ 99 w 137"/>
                                    <a:gd name="T19" fmla="*/ 0 h 169"/>
                                    <a:gd name="T20" fmla="*/ 131 w 137"/>
                                    <a:gd name="T21" fmla="*/ 154 h 169"/>
                                    <a:gd name="T22" fmla="*/ 122 w 137"/>
                                    <a:gd name="T23" fmla="*/ 163 h 169"/>
                                    <a:gd name="T24" fmla="*/ 14 w 137"/>
                                    <a:gd name="T25" fmla="*/ 163 h 169"/>
                                    <a:gd name="T26" fmla="*/ 6 w 137"/>
                                    <a:gd name="T27" fmla="*/ 154 h 169"/>
                                    <a:gd name="T28" fmla="*/ 6 w 137"/>
                                    <a:gd name="T29" fmla="*/ 14 h 169"/>
                                    <a:gd name="T30" fmla="*/ 14 w 137"/>
                                    <a:gd name="T31" fmla="*/ 6 h 169"/>
                                    <a:gd name="T32" fmla="*/ 85 w 137"/>
                                    <a:gd name="T33" fmla="*/ 6 h 169"/>
                                    <a:gd name="T34" fmla="*/ 85 w 137"/>
                                    <a:gd name="T35" fmla="*/ 45 h 169"/>
                                    <a:gd name="T36" fmla="*/ 92 w 137"/>
                                    <a:gd name="T37" fmla="*/ 52 h 169"/>
                                    <a:gd name="T38" fmla="*/ 131 w 137"/>
                                    <a:gd name="T39" fmla="*/ 52 h 169"/>
                                    <a:gd name="T40" fmla="*/ 131 w 137"/>
                                    <a:gd name="T41" fmla="*/ 154 h 169"/>
                                    <a:gd name="T42" fmla="*/ 131 w 137"/>
                                    <a:gd name="T43" fmla="*/ 154 h 169"/>
                                    <a:gd name="T44" fmla="*/ 91 w 137"/>
                                    <a:gd name="T45" fmla="*/ 46 h 169"/>
                                    <a:gd name="T46" fmla="*/ 91 w 137"/>
                                    <a:gd name="T47" fmla="*/ 6 h 169"/>
                                    <a:gd name="T48" fmla="*/ 96 w 137"/>
                                    <a:gd name="T49" fmla="*/ 6 h 169"/>
                                    <a:gd name="T50" fmla="*/ 132 w 137"/>
                                    <a:gd name="T51" fmla="*/ 46 h 169"/>
                                    <a:gd name="T52" fmla="*/ 91 w 137"/>
                                    <a:gd name="T53" fmla="*/ 46 h 169"/>
                                    <a:gd name="T54" fmla="*/ 91 w 137"/>
                                    <a:gd name="T55" fmla="*/ 46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7" h="169">
                                      <a:moveTo>
                                        <a:pt x="99" y="0"/>
                                      </a:moveTo>
                                      <a:cubicBezTo>
                                        <a:pt x="14" y="0"/>
                                        <a:pt x="14" y="0"/>
                                        <a:pt x="14" y="0"/>
                                      </a:cubicBezTo>
                                      <a:cubicBezTo>
                                        <a:pt x="6" y="0"/>
                                        <a:pt x="0" y="6"/>
                                        <a:pt x="0" y="14"/>
                                      </a:cubicBezTo>
                                      <a:cubicBezTo>
                                        <a:pt x="0" y="154"/>
                                        <a:pt x="0" y="154"/>
                                        <a:pt x="0" y="154"/>
                                      </a:cubicBezTo>
                                      <a:cubicBezTo>
                                        <a:pt x="0" y="162"/>
                                        <a:pt x="6" y="169"/>
                                        <a:pt x="14" y="169"/>
                                      </a:cubicBezTo>
                                      <a:cubicBezTo>
                                        <a:pt x="122" y="169"/>
                                        <a:pt x="122" y="169"/>
                                        <a:pt x="122" y="169"/>
                                      </a:cubicBezTo>
                                      <a:cubicBezTo>
                                        <a:pt x="130" y="169"/>
                                        <a:pt x="137" y="162"/>
                                        <a:pt x="137" y="154"/>
                                      </a:cubicBezTo>
                                      <a:cubicBezTo>
                                        <a:pt x="137" y="42"/>
                                        <a:pt x="137" y="42"/>
                                        <a:pt x="137" y="42"/>
                                      </a:cubicBezTo>
                                      <a:cubicBezTo>
                                        <a:pt x="99" y="0"/>
                                        <a:pt x="99" y="0"/>
                                        <a:pt x="99" y="0"/>
                                      </a:cubicBezTo>
                                      <a:cubicBezTo>
                                        <a:pt x="99" y="0"/>
                                        <a:pt x="99" y="0"/>
                                        <a:pt x="99" y="0"/>
                                      </a:cubicBezTo>
                                      <a:close/>
                                      <a:moveTo>
                                        <a:pt x="131" y="154"/>
                                      </a:moveTo>
                                      <a:cubicBezTo>
                                        <a:pt x="131" y="159"/>
                                        <a:pt x="127" y="163"/>
                                        <a:pt x="122" y="163"/>
                                      </a:cubicBezTo>
                                      <a:cubicBezTo>
                                        <a:pt x="14" y="163"/>
                                        <a:pt x="14" y="163"/>
                                        <a:pt x="14" y="163"/>
                                      </a:cubicBezTo>
                                      <a:cubicBezTo>
                                        <a:pt x="10" y="163"/>
                                        <a:pt x="6" y="159"/>
                                        <a:pt x="6" y="154"/>
                                      </a:cubicBezTo>
                                      <a:cubicBezTo>
                                        <a:pt x="6" y="14"/>
                                        <a:pt x="6" y="14"/>
                                        <a:pt x="6" y="14"/>
                                      </a:cubicBezTo>
                                      <a:cubicBezTo>
                                        <a:pt x="6" y="9"/>
                                        <a:pt x="10" y="6"/>
                                        <a:pt x="14" y="6"/>
                                      </a:cubicBezTo>
                                      <a:cubicBezTo>
                                        <a:pt x="85" y="6"/>
                                        <a:pt x="85" y="6"/>
                                        <a:pt x="85" y="6"/>
                                      </a:cubicBezTo>
                                      <a:cubicBezTo>
                                        <a:pt x="85" y="45"/>
                                        <a:pt x="85" y="45"/>
                                        <a:pt x="85" y="45"/>
                                      </a:cubicBezTo>
                                      <a:cubicBezTo>
                                        <a:pt x="85" y="49"/>
                                        <a:pt x="88" y="52"/>
                                        <a:pt x="92" y="52"/>
                                      </a:cubicBezTo>
                                      <a:cubicBezTo>
                                        <a:pt x="131" y="52"/>
                                        <a:pt x="131" y="52"/>
                                        <a:pt x="131" y="52"/>
                                      </a:cubicBezTo>
                                      <a:cubicBezTo>
                                        <a:pt x="131" y="154"/>
                                        <a:pt x="131" y="154"/>
                                        <a:pt x="131" y="154"/>
                                      </a:cubicBezTo>
                                      <a:cubicBezTo>
                                        <a:pt x="131" y="154"/>
                                        <a:pt x="131" y="154"/>
                                        <a:pt x="131" y="154"/>
                                      </a:cubicBezTo>
                                      <a:close/>
                                      <a:moveTo>
                                        <a:pt x="91" y="46"/>
                                      </a:moveTo>
                                      <a:cubicBezTo>
                                        <a:pt x="91" y="6"/>
                                        <a:pt x="91" y="6"/>
                                        <a:pt x="91" y="6"/>
                                      </a:cubicBezTo>
                                      <a:cubicBezTo>
                                        <a:pt x="96" y="6"/>
                                        <a:pt x="96" y="6"/>
                                        <a:pt x="96" y="6"/>
                                      </a:cubicBezTo>
                                      <a:cubicBezTo>
                                        <a:pt x="132" y="46"/>
                                        <a:pt x="132" y="46"/>
                                        <a:pt x="132" y="46"/>
                                      </a:cubicBezTo>
                                      <a:cubicBezTo>
                                        <a:pt x="91" y="46"/>
                                        <a:pt x="91" y="46"/>
                                        <a:pt x="91" y="46"/>
                                      </a:cubicBezTo>
                                      <a:cubicBezTo>
                                        <a:pt x="91" y="46"/>
                                        <a:pt x="91" y="46"/>
                                        <a:pt x="91" y="4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9325546" name="Oval 959325546"/>
                              <wps:cNvSpPr>
                                <a:spLocks noChangeArrowheads="1"/>
                              </wps:cNvSpPr>
                              <wps:spPr bwMode="auto">
                                <a:xfrm>
                                  <a:off x="69850" y="201613"/>
                                  <a:ext cx="34925" cy="34925"/>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0706269" name="Oval 280706269"/>
                              <wps:cNvSpPr>
                                <a:spLocks noChangeArrowheads="1"/>
                              </wps:cNvSpPr>
                              <wps:spPr bwMode="auto">
                                <a:xfrm>
                                  <a:off x="69850" y="303213"/>
                                  <a:ext cx="34925" cy="34925"/>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4561545" name="Oval 564561545"/>
                              <wps:cNvSpPr>
                                <a:spLocks noChangeArrowheads="1"/>
                              </wps:cNvSpPr>
                              <wps:spPr bwMode="auto">
                                <a:xfrm>
                                  <a:off x="69850" y="412750"/>
                                  <a:ext cx="34925" cy="34925"/>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D75A20C" id="Group 1811093741" o:spid="_x0000_s1026" alt="&quot;&quot;" style="position:absolute;margin-left:115.9pt;margin-top:1.25pt;width:18.55pt;height:22.95pt;z-index:251658245;mso-width-relative:margin;mso-height-relative:margin" coordsize="4365,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">
                      <v:shape id="Freeform 37" o:spid="_x0000_s1027" style="position:absolute;left:1333;top:2079;width:2111;height:191;visibility:visible;mso-wrap-style:square;v-text-anchor:top" coordsize="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" path="m,3c,5,1,6,3,6v60,,60,,60,c65,6,66,5,66,3,66,2,65,,63,,3,,3,,3,,1,,,2,,3xe" filled="f" stroked="f">
                        <v:path arrowok="t" o:connecttype="custom" o:connectlocs="0,9525;9597,19050;201541,19050;211138,9525;201541,0;9597,0;0,9525" o:connectangles="0,0,0,0,0,0,0"/>
                      </v:shape>
                      <v:shape id="Freeform 38" o:spid="_x0000_s1028" style="position:absolute;left:1333;top:3127;width:2111;height:222;visibility:visible;mso-wrap-style:square;v-text-anchor:top" coordsize="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" path="m63,c3,,3,,3,,1,,,1,,3,,4,1,7,3,7v60,,60,,60,c65,7,66,4,66,3,66,1,65,,63,xe" filled="f" stroked="f">
                        <v:path arrowok="t" o:connecttype="custom" o:connectlocs="201541,0;9597,0;0,9525;9597,22225;201541,22225;211138,9525;201541,0" o:connectangles="0,0,0,0,0,0,0"/>
                      </v:shape>
                      <v:shape id="Freeform 39" o:spid="_x0000_s1029" style="position:absolute;left:1333;top:4191;width:2111;height:190;visibility:visible;mso-wrap-style:square;v-text-anchor:top" coordsize="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" path="m63,c3,,3,,3,,1,,,2,,3,,5,1,6,3,6v60,,60,,60,c65,6,66,5,66,3,66,2,65,,63,xe" filled="f" stroked="f">
                        <v:path arrowok="t" o:connecttype="custom" o:connectlocs="201541,0;9597,0;0,9525;9597,19050;201541,19050;211138,9525;201541,0" o:connectangles="0,0,0,0,0,0,0"/>
                      </v:shape>
                      <v:shape id="Freeform 40" o:spid="_x0000_s1030" style="position:absolute;width:4365;height:5397;visibility:visible;mso-wrap-style:square;v-text-anchor:top" coordsize="13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" path="m99,c14,,14,,14,,6,,,6,,14,,154,,154,,154v,8,6,15,14,15c122,169,122,169,122,169v8,,15,-7,15,-15c137,42,137,42,137,42,99,,99,,99,v,,,,,xm131,154v,5,-4,9,-9,9c14,163,14,163,14,163v-4,,-8,-4,-8,-9c6,14,6,14,6,14,6,9,10,6,14,6v71,,71,,71,c85,45,85,45,85,45v,4,3,7,7,7c131,52,131,52,131,52v,102,,102,,102c131,154,131,154,131,154xm91,46c91,6,91,6,91,6v5,,5,,5,c132,46,132,46,132,46v-41,,-41,,-41,c91,46,91,46,91,46xe" filled="f" stroked="f">
                        <v:path arrowok="t" o:connecttype="custom" o:connectlocs="315473,0;44612,0;0,44713;0,491843;44612,539750;388764,539750;436563,491843;436563,134139;315473,0;315473,0;417443,491843;388764,520587;44612,520587;19120,491843;19120,44713;44612,19163;270860,19163;270860,143720;293166,166077;417443,166077;417443,491843;417443,491843;289980,146914;289980,19163;305913,19163;420630,146914;289980,146914;289980,146914" o:connectangles="0,0,0,0,0,0,0,0,0,0,0,0,0,0,0,0,0,0,0,0,0,0,0,0,0,0,0,0"/>
                        <o:lock v:ext="edit" verticies="t"/>
                      </v:shape>
                      <v:oval id="Oval 959325546" o:spid="_x0000_s1031" style="position:absolute;left:698;top:2016;width:349;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" filled="f" stroked="f"/>
                      <v:oval id="Oval 280706269" o:spid="_x0000_s1032" style="position:absolute;left:698;top:3032;width:349;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" filled="f" stroked="f"/>
                      <v:oval id="Oval 564561545" o:spid="_x0000_s1033" style="position:absolute;left:698;top:4127;width:349;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" filled="f" stroked="f"/>
                      <w10:wrap type="square"/>
                    </v:group>
                  </w:pict>
                </mc:Fallback>
              </mc:AlternateContent>
            </w:r>
            <w:r w:rsidRPr="0088201A">
              <w:rPr>
                <w:rFonts w:asciiTheme="minorHAnsi" w:eastAsia="Times New Roman" w:hAnsiTheme="minorHAnsi" w:cstheme="minorHAnsi"/>
                <w:sz w:val="17"/>
                <w:szCs w:val="19"/>
                <w:lang w:eastAsia="en-AU"/>
              </w:rPr>
              <w:t xml:space="preserve">Prostheses list </w:t>
            </w:r>
            <w:r w:rsidRPr="0088201A">
              <w:rPr>
                <w:rFonts w:asciiTheme="majorHAnsi" w:eastAsia="Times New Roman" w:hAnsiTheme="majorHAnsi" w:cstheme="majorHAnsi"/>
                <w:sz w:val="17"/>
                <w:szCs w:val="19"/>
                <w:lang w:eastAsia="en-AU"/>
              </w:rPr>
              <w:t>benefits schedule</w:t>
            </w:r>
            <w:r w:rsidRPr="0088201A">
              <w:rPr>
                <w:rFonts w:asciiTheme="minorHAnsi" w:eastAsia="Times New Roman" w:hAnsiTheme="minorHAnsi" w:cstheme="minorHAnsi"/>
                <w:sz w:val="17"/>
                <w:szCs w:val="19"/>
                <w:lang w:eastAsia="en-AU"/>
              </w:rPr>
              <w:t xml:space="preserve"> </w:t>
            </w:r>
          </w:p>
        </w:tc>
        <w:tc>
          <w:tcPr>
            <w:tcW w:w="6016" w:type="dxa"/>
            <w:shd w:val="clear" w:color="auto" w:fill="FFFFFF" w:themeFill="background1"/>
          </w:tcPr>
          <w:p w14:paraId="7F8832EB" w14:textId="77777777" w:rsidR="006F29B9" w:rsidRPr="0088201A" w:rsidRDefault="006F29B9">
            <w:pPr>
              <w:pStyle w:val="TableNText"/>
            </w:pPr>
            <w:r w:rsidRPr="0088201A">
              <w:t>To consider how benefit reductions vary across items and the extent to which the size of the reduction is associated with other outcomes</w:t>
            </w:r>
            <w:r>
              <w:t>.</w:t>
            </w:r>
          </w:p>
        </w:tc>
      </w:tr>
      <w:tr w:rsidR="006F29B9" w:rsidRPr="00366264" w14:paraId="446A0C42" w14:textId="77777777" w:rsidTr="3787E91E">
        <w:trPr>
          <w:cnfStyle w:val="000000100000" w:firstRow="0" w:lastRow="0" w:firstColumn="0" w:lastColumn="0" w:oddVBand="0" w:evenVBand="0" w:oddHBand="1" w:evenHBand="0" w:firstRowFirstColumn="0" w:firstRowLastColumn="0" w:lastRowFirstColumn="0" w:lastRowLastColumn="0"/>
          <w:trHeight w:val="1086"/>
        </w:trPr>
        <w:tc>
          <w:tcPr>
            <w:tcW w:w="2984" w:type="dxa"/>
            <w:shd w:val="clear" w:color="auto" w:fill="FFFFFF" w:themeFill="background1"/>
          </w:tcPr>
          <w:p w14:paraId="210BD1C1" w14:textId="77777777" w:rsidR="006F29B9" w:rsidRPr="0088201A" w:rsidRDefault="006F29B9" w:rsidP="00130575">
            <w:pPr>
              <w:suppressAutoHyphens/>
              <w:spacing w:before="40" w:after="40"/>
              <w:ind w:right="567"/>
              <w:rPr>
                <w:rFonts w:asciiTheme="minorHAnsi" w:eastAsia="Times New Roman" w:hAnsiTheme="minorHAnsi" w:cstheme="minorHAnsi"/>
                <w:sz w:val="17"/>
                <w:szCs w:val="19"/>
                <w:lang w:eastAsia="en-AU"/>
              </w:rPr>
            </w:pPr>
            <w:r w:rsidRPr="0088201A">
              <w:rPr>
                <w:noProof/>
              </w:rPr>
              <mc:AlternateContent>
                <mc:Choice Requires="wpg">
                  <w:drawing>
                    <wp:anchor distT="0" distB="0" distL="114300" distR="114300" simplePos="0" relativeHeight="251658246" behindDoc="0" locked="0" layoutInCell="1" allowOverlap="1" wp14:anchorId="3B7A0336" wp14:editId="1E5AC166">
                      <wp:simplePos x="0" y="0"/>
                      <wp:positionH relativeFrom="column">
                        <wp:posOffset>1406525</wp:posOffset>
                      </wp:positionH>
                      <wp:positionV relativeFrom="paragraph">
                        <wp:posOffset>256540</wp:posOffset>
                      </wp:positionV>
                      <wp:extent cx="327660" cy="220345"/>
                      <wp:effectExtent l="0" t="0" r="0" b="8255"/>
                      <wp:wrapSquare wrapText="bothSides"/>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7660" cy="220345"/>
                                <a:chOff x="0" y="0"/>
                                <a:chExt cx="506412" cy="341313"/>
                              </a:xfrm>
                              <a:solidFill>
                                <a:schemeClr val="bg2"/>
                              </a:solidFill>
                            </wpg:grpSpPr>
                            <wps:wsp>
                              <wps:cNvPr id="16" name="Freeform 5"/>
                              <wps:cNvSpPr>
                                <a:spLocks noEditPoints="1"/>
                              </wps:cNvSpPr>
                              <wps:spPr bwMode="auto">
                                <a:xfrm>
                                  <a:off x="358775" y="42863"/>
                                  <a:ext cx="79375" cy="128588"/>
                                </a:xfrm>
                                <a:custGeom>
                                  <a:avLst/>
                                  <a:gdLst>
                                    <a:gd name="T0" fmla="*/ 27 w 28"/>
                                    <a:gd name="T1" fmla="*/ 25 h 45"/>
                                    <a:gd name="T2" fmla="*/ 24 w 28"/>
                                    <a:gd name="T3" fmla="*/ 22 h 45"/>
                                    <a:gd name="T4" fmla="*/ 20 w 28"/>
                                    <a:gd name="T5" fmla="*/ 20 h 45"/>
                                    <a:gd name="T6" fmla="*/ 17 w 28"/>
                                    <a:gd name="T7" fmla="*/ 19 h 45"/>
                                    <a:gd name="T8" fmla="*/ 17 w 28"/>
                                    <a:gd name="T9" fmla="*/ 8 h 45"/>
                                    <a:gd name="T10" fmla="*/ 19 w 28"/>
                                    <a:gd name="T11" fmla="*/ 9 h 45"/>
                                    <a:gd name="T12" fmla="*/ 21 w 28"/>
                                    <a:gd name="T13" fmla="*/ 13 h 45"/>
                                    <a:gd name="T14" fmla="*/ 27 w 28"/>
                                    <a:gd name="T15" fmla="*/ 13 h 45"/>
                                    <a:gd name="T16" fmla="*/ 26 w 28"/>
                                    <a:gd name="T17" fmla="*/ 9 h 45"/>
                                    <a:gd name="T18" fmla="*/ 23 w 28"/>
                                    <a:gd name="T19" fmla="*/ 6 h 45"/>
                                    <a:gd name="T20" fmla="*/ 20 w 28"/>
                                    <a:gd name="T21" fmla="*/ 4 h 45"/>
                                    <a:gd name="T22" fmla="*/ 17 w 28"/>
                                    <a:gd name="T23" fmla="*/ 3 h 45"/>
                                    <a:gd name="T24" fmla="*/ 17 w 28"/>
                                    <a:gd name="T25" fmla="*/ 0 h 45"/>
                                    <a:gd name="T26" fmla="*/ 12 w 28"/>
                                    <a:gd name="T27" fmla="*/ 0 h 45"/>
                                    <a:gd name="T28" fmla="*/ 12 w 28"/>
                                    <a:gd name="T29" fmla="*/ 3 h 45"/>
                                    <a:gd name="T30" fmla="*/ 9 w 28"/>
                                    <a:gd name="T31" fmla="*/ 4 h 45"/>
                                    <a:gd name="T32" fmla="*/ 5 w 28"/>
                                    <a:gd name="T33" fmla="*/ 6 h 45"/>
                                    <a:gd name="T34" fmla="*/ 2 w 28"/>
                                    <a:gd name="T35" fmla="*/ 9 h 45"/>
                                    <a:gd name="T36" fmla="*/ 1 w 28"/>
                                    <a:gd name="T37" fmla="*/ 13 h 45"/>
                                    <a:gd name="T38" fmla="*/ 2 w 28"/>
                                    <a:gd name="T39" fmla="*/ 18 h 45"/>
                                    <a:gd name="T40" fmla="*/ 5 w 28"/>
                                    <a:gd name="T41" fmla="*/ 21 h 45"/>
                                    <a:gd name="T42" fmla="*/ 9 w 28"/>
                                    <a:gd name="T43" fmla="*/ 23 h 45"/>
                                    <a:gd name="T44" fmla="*/ 12 w 28"/>
                                    <a:gd name="T45" fmla="*/ 24 h 45"/>
                                    <a:gd name="T46" fmla="*/ 12 w 28"/>
                                    <a:gd name="T47" fmla="*/ 37 h 45"/>
                                    <a:gd name="T48" fmla="*/ 8 w 28"/>
                                    <a:gd name="T49" fmla="*/ 35 h 45"/>
                                    <a:gd name="T50" fmla="*/ 6 w 28"/>
                                    <a:gd name="T51" fmla="*/ 30 h 45"/>
                                    <a:gd name="T52" fmla="*/ 0 w 28"/>
                                    <a:gd name="T53" fmla="*/ 30 h 45"/>
                                    <a:gd name="T54" fmla="*/ 1 w 28"/>
                                    <a:gd name="T55" fmla="*/ 35 h 45"/>
                                    <a:gd name="T56" fmla="*/ 4 w 28"/>
                                    <a:gd name="T57" fmla="*/ 38 h 45"/>
                                    <a:gd name="T58" fmla="*/ 8 w 28"/>
                                    <a:gd name="T59" fmla="*/ 41 h 45"/>
                                    <a:gd name="T60" fmla="*/ 12 w 28"/>
                                    <a:gd name="T61" fmla="*/ 41 h 45"/>
                                    <a:gd name="T62" fmla="*/ 12 w 28"/>
                                    <a:gd name="T63" fmla="*/ 45 h 45"/>
                                    <a:gd name="T64" fmla="*/ 17 w 28"/>
                                    <a:gd name="T65" fmla="*/ 45 h 45"/>
                                    <a:gd name="T66" fmla="*/ 17 w 28"/>
                                    <a:gd name="T67" fmla="*/ 41 h 45"/>
                                    <a:gd name="T68" fmla="*/ 20 w 28"/>
                                    <a:gd name="T69" fmla="*/ 41 h 45"/>
                                    <a:gd name="T70" fmla="*/ 24 w 28"/>
                                    <a:gd name="T71" fmla="*/ 39 h 45"/>
                                    <a:gd name="T72" fmla="*/ 27 w 28"/>
                                    <a:gd name="T73" fmla="*/ 35 h 45"/>
                                    <a:gd name="T74" fmla="*/ 28 w 28"/>
                                    <a:gd name="T75" fmla="*/ 30 h 45"/>
                                    <a:gd name="T76" fmla="*/ 27 w 28"/>
                                    <a:gd name="T77" fmla="*/ 25 h 45"/>
                                    <a:gd name="T78" fmla="*/ 12 w 28"/>
                                    <a:gd name="T79" fmla="*/ 18 h 45"/>
                                    <a:gd name="T80" fmla="*/ 11 w 28"/>
                                    <a:gd name="T81" fmla="*/ 17 h 45"/>
                                    <a:gd name="T82" fmla="*/ 9 w 28"/>
                                    <a:gd name="T83" fmla="*/ 16 h 45"/>
                                    <a:gd name="T84" fmla="*/ 8 w 28"/>
                                    <a:gd name="T85" fmla="*/ 15 h 45"/>
                                    <a:gd name="T86" fmla="*/ 7 w 28"/>
                                    <a:gd name="T87" fmla="*/ 13 h 45"/>
                                    <a:gd name="T88" fmla="*/ 9 w 28"/>
                                    <a:gd name="T89" fmla="*/ 9 h 45"/>
                                    <a:gd name="T90" fmla="*/ 12 w 28"/>
                                    <a:gd name="T91" fmla="*/ 8 h 45"/>
                                    <a:gd name="T92" fmla="*/ 12 w 28"/>
                                    <a:gd name="T93" fmla="*/ 18 h 45"/>
                                    <a:gd name="T94" fmla="*/ 20 w 28"/>
                                    <a:gd name="T95" fmla="*/ 35 h 45"/>
                                    <a:gd name="T96" fmla="*/ 17 w 28"/>
                                    <a:gd name="T97" fmla="*/ 37 h 45"/>
                                    <a:gd name="T98" fmla="*/ 17 w 28"/>
                                    <a:gd name="T99" fmla="*/ 25 h 45"/>
                                    <a:gd name="T100" fmla="*/ 18 w 28"/>
                                    <a:gd name="T101" fmla="*/ 26 h 45"/>
                                    <a:gd name="T102" fmla="*/ 20 w 28"/>
                                    <a:gd name="T103" fmla="*/ 27 h 45"/>
                                    <a:gd name="T104" fmla="*/ 21 w 28"/>
                                    <a:gd name="T105" fmla="*/ 28 h 45"/>
                                    <a:gd name="T106" fmla="*/ 22 w 28"/>
                                    <a:gd name="T107" fmla="*/ 31 h 45"/>
                                    <a:gd name="T108" fmla="*/ 20 w 28"/>
                                    <a:gd name="T109" fmla="*/ 3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8" h="45">
                                      <a:moveTo>
                                        <a:pt x="27" y="25"/>
                                      </a:moveTo>
                                      <a:cubicBezTo>
                                        <a:pt x="26" y="24"/>
                                        <a:pt x="25" y="23"/>
                                        <a:pt x="24" y="22"/>
                                      </a:cubicBezTo>
                                      <a:cubicBezTo>
                                        <a:pt x="23" y="21"/>
                                        <a:pt x="21" y="21"/>
                                        <a:pt x="20" y="20"/>
                                      </a:cubicBezTo>
                                      <a:cubicBezTo>
                                        <a:pt x="19" y="20"/>
                                        <a:pt x="18" y="19"/>
                                        <a:pt x="17" y="19"/>
                                      </a:cubicBezTo>
                                      <a:cubicBezTo>
                                        <a:pt x="17" y="8"/>
                                        <a:pt x="17" y="8"/>
                                        <a:pt x="17" y="8"/>
                                      </a:cubicBezTo>
                                      <a:cubicBezTo>
                                        <a:pt x="18" y="8"/>
                                        <a:pt x="19" y="8"/>
                                        <a:pt x="19" y="9"/>
                                      </a:cubicBezTo>
                                      <a:cubicBezTo>
                                        <a:pt x="20" y="10"/>
                                        <a:pt x="21" y="11"/>
                                        <a:pt x="21" y="13"/>
                                      </a:cubicBezTo>
                                      <a:cubicBezTo>
                                        <a:pt x="27" y="13"/>
                                        <a:pt x="27" y="13"/>
                                        <a:pt x="27" y="13"/>
                                      </a:cubicBezTo>
                                      <a:cubicBezTo>
                                        <a:pt x="27" y="11"/>
                                        <a:pt x="27" y="10"/>
                                        <a:pt x="26" y="9"/>
                                      </a:cubicBezTo>
                                      <a:cubicBezTo>
                                        <a:pt x="25" y="7"/>
                                        <a:pt x="24" y="6"/>
                                        <a:pt x="23" y="6"/>
                                      </a:cubicBezTo>
                                      <a:cubicBezTo>
                                        <a:pt x="22" y="5"/>
                                        <a:pt x="21" y="4"/>
                                        <a:pt x="20" y="4"/>
                                      </a:cubicBezTo>
                                      <a:cubicBezTo>
                                        <a:pt x="19" y="3"/>
                                        <a:pt x="18" y="3"/>
                                        <a:pt x="17" y="3"/>
                                      </a:cubicBezTo>
                                      <a:cubicBezTo>
                                        <a:pt x="17" y="0"/>
                                        <a:pt x="17" y="0"/>
                                        <a:pt x="17" y="0"/>
                                      </a:cubicBezTo>
                                      <a:cubicBezTo>
                                        <a:pt x="12" y="0"/>
                                        <a:pt x="12" y="0"/>
                                        <a:pt x="12" y="0"/>
                                      </a:cubicBezTo>
                                      <a:cubicBezTo>
                                        <a:pt x="12" y="3"/>
                                        <a:pt x="12" y="3"/>
                                        <a:pt x="12" y="3"/>
                                      </a:cubicBezTo>
                                      <a:cubicBezTo>
                                        <a:pt x="11" y="3"/>
                                        <a:pt x="10" y="3"/>
                                        <a:pt x="9" y="4"/>
                                      </a:cubicBezTo>
                                      <a:cubicBezTo>
                                        <a:pt x="7" y="4"/>
                                        <a:pt x="6" y="5"/>
                                        <a:pt x="5" y="6"/>
                                      </a:cubicBezTo>
                                      <a:cubicBezTo>
                                        <a:pt x="4" y="7"/>
                                        <a:pt x="3" y="8"/>
                                        <a:pt x="2" y="9"/>
                                      </a:cubicBezTo>
                                      <a:cubicBezTo>
                                        <a:pt x="2" y="10"/>
                                        <a:pt x="1" y="12"/>
                                        <a:pt x="1" y="13"/>
                                      </a:cubicBezTo>
                                      <a:cubicBezTo>
                                        <a:pt x="1" y="15"/>
                                        <a:pt x="2" y="17"/>
                                        <a:pt x="2" y="18"/>
                                      </a:cubicBezTo>
                                      <a:cubicBezTo>
                                        <a:pt x="3" y="19"/>
                                        <a:pt x="4" y="20"/>
                                        <a:pt x="5" y="21"/>
                                      </a:cubicBezTo>
                                      <a:cubicBezTo>
                                        <a:pt x="6" y="22"/>
                                        <a:pt x="7" y="23"/>
                                        <a:pt x="9" y="23"/>
                                      </a:cubicBezTo>
                                      <a:cubicBezTo>
                                        <a:pt x="10" y="24"/>
                                        <a:pt x="11" y="24"/>
                                        <a:pt x="12" y="24"/>
                                      </a:cubicBezTo>
                                      <a:cubicBezTo>
                                        <a:pt x="12" y="37"/>
                                        <a:pt x="12" y="37"/>
                                        <a:pt x="12" y="37"/>
                                      </a:cubicBezTo>
                                      <a:cubicBezTo>
                                        <a:pt x="10" y="37"/>
                                        <a:pt x="9" y="36"/>
                                        <a:pt x="8" y="35"/>
                                      </a:cubicBezTo>
                                      <a:cubicBezTo>
                                        <a:pt x="7" y="34"/>
                                        <a:pt x="6" y="32"/>
                                        <a:pt x="6" y="30"/>
                                      </a:cubicBezTo>
                                      <a:cubicBezTo>
                                        <a:pt x="0" y="30"/>
                                        <a:pt x="0" y="30"/>
                                        <a:pt x="0" y="30"/>
                                      </a:cubicBezTo>
                                      <a:cubicBezTo>
                                        <a:pt x="0" y="31"/>
                                        <a:pt x="1" y="33"/>
                                        <a:pt x="1" y="35"/>
                                      </a:cubicBezTo>
                                      <a:cubicBezTo>
                                        <a:pt x="2" y="36"/>
                                        <a:pt x="3" y="37"/>
                                        <a:pt x="4" y="38"/>
                                      </a:cubicBezTo>
                                      <a:cubicBezTo>
                                        <a:pt x="5" y="39"/>
                                        <a:pt x="6" y="40"/>
                                        <a:pt x="8" y="41"/>
                                      </a:cubicBezTo>
                                      <a:cubicBezTo>
                                        <a:pt x="9" y="41"/>
                                        <a:pt x="10" y="41"/>
                                        <a:pt x="12" y="41"/>
                                      </a:cubicBezTo>
                                      <a:cubicBezTo>
                                        <a:pt x="12" y="45"/>
                                        <a:pt x="12" y="45"/>
                                        <a:pt x="12" y="45"/>
                                      </a:cubicBezTo>
                                      <a:cubicBezTo>
                                        <a:pt x="17" y="45"/>
                                        <a:pt x="17" y="45"/>
                                        <a:pt x="17" y="45"/>
                                      </a:cubicBezTo>
                                      <a:cubicBezTo>
                                        <a:pt x="17" y="41"/>
                                        <a:pt x="17" y="41"/>
                                        <a:pt x="17" y="41"/>
                                      </a:cubicBezTo>
                                      <a:cubicBezTo>
                                        <a:pt x="18" y="41"/>
                                        <a:pt x="19" y="41"/>
                                        <a:pt x="20" y="41"/>
                                      </a:cubicBezTo>
                                      <a:cubicBezTo>
                                        <a:pt x="22" y="40"/>
                                        <a:pt x="23" y="39"/>
                                        <a:pt x="24" y="39"/>
                                      </a:cubicBezTo>
                                      <a:cubicBezTo>
                                        <a:pt x="25" y="38"/>
                                        <a:pt x="26" y="36"/>
                                        <a:pt x="27" y="35"/>
                                      </a:cubicBezTo>
                                      <a:cubicBezTo>
                                        <a:pt x="27" y="34"/>
                                        <a:pt x="28" y="32"/>
                                        <a:pt x="28" y="30"/>
                                      </a:cubicBezTo>
                                      <a:cubicBezTo>
                                        <a:pt x="28" y="28"/>
                                        <a:pt x="27" y="27"/>
                                        <a:pt x="27" y="25"/>
                                      </a:cubicBezTo>
                                      <a:close/>
                                      <a:moveTo>
                                        <a:pt x="12" y="18"/>
                                      </a:moveTo>
                                      <a:cubicBezTo>
                                        <a:pt x="12" y="18"/>
                                        <a:pt x="11" y="18"/>
                                        <a:pt x="11" y="17"/>
                                      </a:cubicBezTo>
                                      <a:cubicBezTo>
                                        <a:pt x="10" y="17"/>
                                        <a:pt x="10" y="17"/>
                                        <a:pt x="9" y="16"/>
                                      </a:cubicBezTo>
                                      <a:cubicBezTo>
                                        <a:pt x="9" y="16"/>
                                        <a:pt x="8" y="15"/>
                                        <a:pt x="8" y="15"/>
                                      </a:cubicBezTo>
                                      <a:cubicBezTo>
                                        <a:pt x="7" y="14"/>
                                        <a:pt x="7" y="14"/>
                                        <a:pt x="7" y="13"/>
                                      </a:cubicBezTo>
                                      <a:cubicBezTo>
                                        <a:pt x="7" y="11"/>
                                        <a:pt x="8" y="10"/>
                                        <a:pt x="9" y="9"/>
                                      </a:cubicBezTo>
                                      <a:cubicBezTo>
                                        <a:pt x="10" y="8"/>
                                        <a:pt x="11" y="8"/>
                                        <a:pt x="12" y="8"/>
                                      </a:cubicBezTo>
                                      <a:lnTo>
                                        <a:pt x="12" y="18"/>
                                      </a:lnTo>
                                      <a:close/>
                                      <a:moveTo>
                                        <a:pt x="20" y="35"/>
                                      </a:moveTo>
                                      <a:cubicBezTo>
                                        <a:pt x="19" y="36"/>
                                        <a:pt x="18" y="37"/>
                                        <a:pt x="17" y="37"/>
                                      </a:cubicBezTo>
                                      <a:cubicBezTo>
                                        <a:pt x="17" y="25"/>
                                        <a:pt x="17" y="25"/>
                                        <a:pt x="17" y="25"/>
                                      </a:cubicBezTo>
                                      <a:cubicBezTo>
                                        <a:pt x="17" y="25"/>
                                        <a:pt x="17" y="25"/>
                                        <a:pt x="18" y="26"/>
                                      </a:cubicBezTo>
                                      <a:cubicBezTo>
                                        <a:pt x="19" y="26"/>
                                        <a:pt x="19" y="26"/>
                                        <a:pt x="20" y="27"/>
                                      </a:cubicBezTo>
                                      <a:cubicBezTo>
                                        <a:pt x="20" y="27"/>
                                        <a:pt x="21" y="28"/>
                                        <a:pt x="21" y="28"/>
                                      </a:cubicBezTo>
                                      <a:cubicBezTo>
                                        <a:pt x="22" y="29"/>
                                        <a:pt x="22" y="30"/>
                                        <a:pt x="22" y="31"/>
                                      </a:cubicBezTo>
                                      <a:cubicBezTo>
                                        <a:pt x="22" y="33"/>
                                        <a:pt x="21" y="34"/>
                                        <a:pt x="20" y="3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 name="Freeform 6"/>
                              <wps:cNvSpPr>
                                <a:spLocks noEditPoints="1"/>
                              </wps:cNvSpPr>
                              <wps:spPr bwMode="auto">
                                <a:xfrm>
                                  <a:off x="292100" y="0"/>
                                  <a:ext cx="214312" cy="215900"/>
                                </a:xfrm>
                                <a:custGeom>
                                  <a:avLst/>
                                  <a:gdLst>
                                    <a:gd name="T0" fmla="*/ 37 w 75"/>
                                    <a:gd name="T1" fmla="*/ 75 h 75"/>
                                    <a:gd name="T2" fmla="*/ 0 w 75"/>
                                    <a:gd name="T3" fmla="*/ 37 h 75"/>
                                    <a:gd name="T4" fmla="*/ 37 w 75"/>
                                    <a:gd name="T5" fmla="*/ 0 h 75"/>
                                    <a:gd name="T6" fmla="*/ 75 w 75"/>
                                    <a:gd name="T7" fmla="*/ 37 h 75"/>
                                    <a:gd name="T8" fmla="*/ 37 w 75"/>
                                    <a:gd name="T9" fmla="*/ 75 h 75"/>
                                    <a:gd name="T10" fmla="*/ 37 w 75"/>
                                    <a:gd name="T11" fmla="*/ 5 h 75"/>
                                    <a:gd name="T12" fmla="*/ 5 w 75"/>
                                    <a:gd name="T13" fmla="*/ 37 h 75"/>
                                    <a:gd name="T14" fmla="*/ 37 w 75"/>
                                    <a:gd name="T15" fmla="*/ 70 h 75"/>
                                    <a:gd name="T16" fmla="*/ 70 w 75"/>
                                    <a:gd name="T17" fmla="*/ 37 h 75"/>
                                    <a:gd name="T18" fmla="*/ 37 w 75"/>
                                    <a:gd name="T19" fmla="*/ 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5" h="75">
                                      <a:moveTo>
                                        <a:pt x="37" y="75"/>
                                      </a:moveTo>
                                      <a:cubicBezTo>
                                        <a:pt x="16" y="75"/>
                                        <a:pt x="0" y="58"/>
                                        <a:pt x="0" y="37"/>
                                      </a:cubicBezTo>
                                      <a:cubicBezTo>
                                        <a:pt x="0" y="17"/>
                                        <a:pt x="16" y="0"/>
                                        <a:pt x="37" y="0"/>
                                      </a:cubicBezTo>
                                      <a:cubicBezTo>
                                        <a:pt x="58" y="0"/>
                                        <a:pt x="75" y="17"/>
                                        <a:pt x="75" y="37"/>
                                      </a:cubicBezTo>
                                      <a:cubicBezTo>
                                        <a:pt x="75" y="58"/>
                                        <a:pt x="58" y="75"/>
                                        <a:pt x="37" y="75"/>
                                      </a:cubicBezTo>
                                      <a:close/>
                                      <a:moveTo>
                                        <a:pt x="37" y="5"/>
                                      </a:moveTo>
                                      <a:cubicBezTo>
                                        <a:pt x="19" y="5"/>
                                        <a:pt x="5" y="20"/>
                                        <a:pt x="5" y="37"/>
                                      </a:cubicBezTo>
                                      <a:cubicBezTo>
                                        <a:pt x="5" y="55"/>
                                        <a:pt x="19" y="70"/>
                                        <a:pt x="37" y="70"/>
                                      </a:cubicBezTo>
                                      <a:cubicBezTo>
                                        <a:pt x="55" y="70"/>
                                        <a:pt x="70" y="55"/>
                                        <a:pt x="70" y="37"/>
                                      </a:cubicBezTo>
                                      <a:cubicBezTo>
                                        <a:pt x="70" y="20"/>
                                        <a:pt x="55" y="5"/>
                                        <a:pt x="37"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 name="Freeform 7"/>
                              <wps:cNvSpPr>
                                <a:spLocks noEditPoints="1"/>
                              </wps:cNvSpPr>
                              <wps:spPr bwMode="auto">
                                <a:xfrm>
                                  <a:off x="0" y="36513"/>
                                  <a:ext cx="466725" cy="304800"/>
                                </a:xfrm>
                                <a:custGeom>
                                  <a:avLst/>
                                  <a:gdLst>
                                    <a:gd name="T0" fmla="*/ 163 w 164"/>
                                    <a:gd name="T1" fmla="*/ 82 h 106"/>
                                    <a:gd name="T2" fmla="*/ 143 w 164"/>
                                    <a:gd name="T3" fmla="*/ 75 h 106"/>
                                    <a:gd name="T4" fmla="*/ 119 w 164"/>
                                    <a:gd name="T5" fmla="*/ 83 h 106"/>
                                    <a:gd name="T6" fmla="*/ 111 w 164"/>
                                    <a:gd name="T7" fmla="*/ 82 h 106"/>
                                    <a:gd name="T8" fmla="*/ 116 w 164"/>
                                    <a:gd name="T9" fmla="*/ 78 h 106"/>
                                    <a:gd name="T10" fmla="*/ 101 w 164"/>
                                    <a:gd name="T11" fmla="*/ 56 h 106"/>
                                    <a:gd name="T12" fmla="*/ 93 w 164"/>
                                    <a:gd name="T13" fmla="*/ 50 h 106"/>
                                    <a:gd name="T14" fmla="*/ 80 w 164"/>
                                    <a:gd name="T15" fmla="*/ 40 h 106"/>
                                    <a:gd name="T16" fmla="*/ 74 w 164"/>
                                    <a:gd name="T17" fmla="*/ 28 h 106"/>
                                    <a:gd name="T18" fmla="*/ 60 w 164"/>
                                    <a:gd name="T19" fmla="*/ 15 h 106"/>
                                    <a:gd name="T20" fmla="*/ 25 w 164"/>
                                    <a:gd name="T21" fmla="*/ 16 h 106"/>
                                    <a:gd name="T22" fmla="*/ 25 w 164"/>
                                    <a:gd name="T23" fmla="*/ 10 h 106"/>
                                    <a:gd name="T24" fmla="*/ 15 w 164"/>
                                    <a:gd name="T25" fmla="*/ 0 h 106"/>
                                    <a:gd name="T26" fmla="*/ 10 w 164"/>
                                    <a:gd name="T27" fmla="*/ 0 h 106"/>
                                    <a:gd name="T28" fmla="*/ 0 w 164"/>
                                    <a:gd name="T29" fmla="*/ 10 h 106"/>
                                    <a:gd name="T30" fmla="*/ 0 w 164"/>
                                    <a:gd name="T31" fmla="*/ 59 h 106"/>
                                    <a:gd name="T32" fmla="*/ 10 w 164"/>
                                    <a:gd name="T33" fmla="*/ 69 h 106"/>
                                    <a:gd name="T34" fmla="*/ 15 w 164"/>
                                    <a:gd name="T35" fmla="*/ 69 h 106"/>
                                    <a:gd name="T36" fmla="*/ 25 w 164"/>
                                    <a:gd name="T37" fmla="*/ 59 h 106"/>
                                    <a:gd name="T38" fmla="*/ 25 w 164"/>
                                    <a:gd name="T39" fmla="*/ 58 h 106"/>
                                    <a:gd name="T40" fmla="*/ 38 w 164"/>
                                    <a:gd name="T41" fmla="*/ 58 h 106"/>
                                    <a:gd name="T42" fmla="*/ 90 w 164"/>
                                    <a:gd name="T43" fmla="*/ 101 h 106"/>
                                    <a:gd name="T44" fmla="*/ 124 w 164"/>
                                    <a:gd name="T45" fmla="*/ 104 h 106"/>
                                    <a:gd name="T46" fmla="*/ 162 w 164"/>
                                    <a:gd name="T47" fmla="*/ 89 h 106"/>
                                    <a:gd name="T48" fmla="*/ 163 w 164"/>
                                    <a:gd name="T49" fmla="*/ 82 h 106"/>
                                    <a:gd name="T50" fmla="*/ 20 w 164"/>
                                    <a:gd name="T51" fmla="*/ 59 h 106"/>
                                    <a:gd name="T52" fmla="*/ 15 w 164"/>
                                    <a:gd name="T53" fmla="*/ 63 h 106"/>
                                    <a:gd name="T54" fmla="*/ 10 w 164"/>
                                    <a:gd name="T55" fmla="*/ 63 h 106"/>
                                    <a:gd name="T56" fmla="*/ 5 w 164"/>
                                    <a:gd name="T57" fmla="*/ 59 h 106"/>
                                    <a:gd name="T58" fmla="*/ 5 w 164"/>
                                    <a:gd name="T59" fmla="*/ 10 h 106"/>
                                    <a:gd name="T60" fmla="*/ 10 w 164"/>
                                    <a:gd name="T61" fmla="*/ 6 h 106"/>
                                    <a:gd name="T62" fmla="*/ 15 w 164"/>
                                    <a:gd name="T63" fmla="*/ 6 h 106"/>
                                    <a:gd name="T64" fmla="*/ 20 w 164"/>
                                    <a:gd name="T65" fmla="*/ 10 h 106"/>
                                    <a:gd name="T66" fmla="*/ 20 w 164"/>
                                    <a:gd name="T67" fmla="*/ 59 h 106"/>
                                    <a:gd name="T68" fmla="*/ 122 w 164"/>
                                    <a:gd name="T69" fmla="*/ 98 h 106"/>
                                    <a:gd name="T70" fmla="*/ 91 w 164"/>
                                    <a:gd name="T71" fmla="*/ 95 h 106"/>
                                    <a:gd name="T72" fmla="*/ 42 w 164"/>
                                    <a:gd name="T73" fmla="*/ 53 h 106"/>
                                    <a:gd name="T74" fmla="*/ 39 w 164"/>
                                    <a:gd name="T75" fmla="*/ 52 h 106"/>
                                    <a:gd name="T76" fmla="*/ 25 w 164"/>
                                    <a:gd name="T77" fmla="*/ 52 h 106"/>
                                    <a:gd name="T78" fmla="*/ 25 w 164"/>
                                    <a:gd name="T79" fmla="*/ 21 h 106"/>
                                    <a:gd name="T80" fmla="*/ 38 w 164"/>
                                    <a:gd name="T81" fmla="*/ 21 h 106"/>
                                    <a:gd name="T82" fmla="*/ 69 w 164"/>
                                    <a:gd name="T83" fmla="*/ 30 h 106"/>
                                    <a:gd name="T84" fmla="*/ 75 w 164"/>
                                    <a:gd name="T85" fmla="*/ 42 h 106"/>
                                    <a:gd name="T86" fmla="*/ 89 w 164"/>
                                    <a:gd name="T87" fmla="*/ 55 h 106"/>
                                    <a:gd name="T88" fmla="*/ 97 w 164"/>
                                    <a:gd name="T89" fmla="*/ 61 h 106"/>
                                    <a:gd name="T90" fmla="*/ 111 w 164"/>
                                    <a:gd name="T91" fmla="*/ 75 h 106"/>
                                    <a:gd name="T92" fmla="*/ 93 w 164"/>
                                    <a:gd name="T93" fmla="*/ 73 h 106"/>
                                    <a:gd name="T94" fmla="*/ 92 w 164"/>
                                    <a:gd name="T95" fmla="*/ 72 h 106"/>
                                    <a:gd name="T96" fmla="*/ 91 w 164"/>
                                    <a:gd name="T97" fmla="*/ 72 h 106"/>
                                    <a:gd name="T98" fmla="*/ 86 w 164"/>
                                    <a:gd name="T99" fmla="*/ 67 h 106"/>
                                    <a:gd name="T100" fmla="*/ 85 w 164"/>
                                    <a:gd name="T101" fmla="*/ 65 h 106"/>
                                    <a:gd name="T102" fmla="*/ 82 w 164"/>
                                    <a:gd name="T103" fmla="*/ 65 h 106"/>
                                    <a:gd name="T104" fmla="*/ 81 w 164"/>
                                    <a:gd name="T105" fmla="*/ 69 h 106"/>
                                    <a:gd name="T106" fmla="*/ 87 w 164"/>
                                    <a:gd name="T107" fmla="*/ 76 h 106"/>
                                    <a:gd name="T108" fmla="*/ 89 w 164"/>
                                    <a:gd name="T109" fmla="*/ 77 h 106"/>
                                    <a:gd name="T110" fmla="*/ 94 w 164"/>
                                    <a:gd name="T111" fmla="*/ 81 h 106"/>
                                    <a:gd name="T112" fmla="*/ 120 w 164"/>
                                    <a:gd name="T113" fmla="*/ 90 h 106"/>
                                    <a:gd name="T114" fmla="*/ 146 w 164"/>
                                    <a:gd name="T115" fmla="*/ 81 h 106"/>
                                    <a:gd name="T116" fmla="*/ 157 w 164"/>
                                    <a:gd name="T117" fmla="*/ 84 h 106"/>
                                    <a:gd name="T118" fmla="*/ 122 w 164"/>
                                    <a:gd name="T119" fmla="*/ 98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64" h="106">
                                      <a:moveTo>
                                        <a:pt x="163" y="82"/>
                                      </a:moveTo>
                                      <a:cubicBezTo>
                                        <a:pt x="160" y="77"/>
                                        <a:pt x="151" y="72"/>
                                        <a:pt x="143" y="75"/>
                                      </a:cubicBezTo>
                                      <a:cubicBezTo>
                                        <a:pt x="138" y="77"/>
                                        <a:pt x="121" y="83"/>
                                        <a:pt x="119" y="83"/>
                                      </a:cubicBezTo>
                                      <a:cubicBezTo>
                                        <a:pt x="116" y="83"/>
                                        <a:pt x="113" y="83"/>
                                        <a:pt x="111" y="82"/>
                                      </a:cubicBezTo>
                                      <a:cubicBezTo>
                                        <a:pt x="113" y="82"/>
                                        <a:pt x="115" y="80"/>
                                        <a:pt x="116" y="78"/>
                                      </a:cubicBezTo>
                                      <a:cubicBezTo>
                                        <a:pt x="121" y="71"/>
                                        <a:pt x="111" y="64"/>
                                        <a:pt x="101" y="56"/>
                                      </a:cubicBezTo>
                                      <a:cubicBezTo>
                                        <a:pt x="98" y="54"/>
                                        <a:pt x="96" y="52"/>
                                        <a:pt x="93" y="50"/>
                                      </a:cubicBezTo>
                                      <a:cubicBezTo>
                                        <a:pt x="87" y="46"/>
                                        <a:pt x="83" y="44"/>
                                        <a:pt x="80" y="40"/>
                                      </a:cubicBezTo>
                                      <a:cubicBezTo>
                                        <a:pt x="79" y="37"/>
                                        <a:pt x="77" y="33"/>
                                        <a:pt x="74" y="28"/>
                                      </a:cubicBezTo>
                                      <a:cubicBezTo>
                                        <a:pt x="71" y="24"/>
                                        <a:pt x="67" y="18"/>
                                        <a:pt x="60" y="15"/>
                                      </a:cubicBezTo>
                                      <a:cubicBezTo>
                                        <a:pt x="58" y="14"/>
                                        <a:pt x="34" y="15"/>
                                        <a:pt x="25" y="16"/>
                                      </a:cubicBezTo>
                                      <a:cubicBezTo>
                                        <a:pt x="25" y="10"/>
                                        <a:pt x="25" y="10"/>
                                        <a:pt x="25" y="10"/>
                                      </a:cubicBezTo>
                                      <a:cubicBezTo>
                                        <a:pt x="25" y="5"/>
                                        <a:pt x="21" y="0"/>
                                        <a:pt x="15" y="0"/>
                                      </a:cubicBezTo>
                                      <a:cubicBezTo>
                                        <a:pt x="10" y="0"/>
                                        <a:pt x="10" y="0"/>
                                        <a:pt x="10" y="0"/>
                                      </a:cubicBezTo>
                                      <a:cubicBezTo>
                                        <a:pt x="4" y="0"/>
                                        <a:pt x="0" y="5"/>
                                        <a:pt x="0" y="10"/>
                                      </a:cubicBezTo>
                                      <a:cubicBezTo>
                                        <a:pt x="0" y="59"/>
                                        <a:pt x="0" y="59"/>
                                        <a:pt x="0" y="59"/>
                                      </a:cubicBezTo>
                                      <a:cubicBezTo>
                                        <a:pt x="0" y="64"/>
                                        <a:pt x="4" y="69"/>
                                        <a:pt x="10" y="69"/>
                                      </a:cubicBezTo>
                                      <a:cubicBezTo>
                                        <a:pt x="15" y="69"/>
                                        <a:pt x="15" y="69"/>
                                        <a:pt x="15" y="69"/>
                                      </a:cubicBezTo>
                                      <a:cubicBezTo>
                                        <a:pt x="21" y="69"/>
                                        <a:pt x="25" y="64"/>
                                        <a:pt x="25" y="59"/>
                                      </a:cubicBezTo>
                                      <a:cubicBezTo>
                                        <a:pt x="25" y="58"/>
                                        <a:pt x="25" y="58"/>
                                        <a:pt x="25" y="58"/>
                                      </a:cubicBezTo>
                                      <a:cubicBezTo>
                                        <a:pt x="38" y="58"/>
                                        <a:pt x="38" y="58"/>
                                        <a:pt x="38" y="58"/>
                                      </a:cubicBezTo>
                                      <a:cubicBezTo>
                                        <a:pt x="43" y="66"/>
                                        <a:pt x="68" y="96"/>
                                        <a:pt x="90" y="101"/>
                                      </a:cubicBezTo>
                                      <a:cubicBezTo>
                                        <a:pt x="99" y="103"/>
                                        <a:pt x="119" y="106"/>
                                        <a:pt x="124" y="104"/>
                                      </a:cubicBezTo>
                                      <a:cubicBezTo>
                                        <a:pt x="125" y="104"/>
                                        <a:pt x="151" y="97"/>
                                        <a:pt x="162" y="89"/>
                                      </a:cubicBezTo>
                                      <a:cubicBezTo>
                                        <a:pt x="164" y="87"/>
                                        <a:pt x="164" y="85"/>
                                        <a:pt x="163" y="82"/>
                                      </a:cubicBezTo>
                                      <a:close/>
                                      <a:moveTo>
                                        <a:pt x="20" y="59"/>
                                      </a:moveTo>
                                      <a:cubicBezTo>
                                        <a:pt x="20" y="61"/>
                                        <a:pt x="18" y="63"/>
                                        <a:pt x="15" y="63"/>
                                      </a:cubicBezTo>
                                      <a:cubicBezTo>
                                        <a:pt x="10" y="63"/>
                                        <a:pt x="10" y="63"/>
                                        <a:pt x="10" y="63"/>
                                      </a:cubicBezTo>
                                      <a:cubicBezTo>
                                        <a:pt x="7" y="63"/>
                                        <a:pt x="5" y="61"/>
                                        <a:pt x="5" y="59"/>
                                      </a:cubicBezTo>
                                      <a:cubicBezTo>
                                        <a:pt x="5" y="10"/>
                                        <a:pt x="5" y="10"/>
                                        <a:pt x="5" y="10"/>
                                      </a:cubicBezTo>
                                      <a:cubicBezTo>
                                        <a:pt x="5" y="8"/>
                                        <a:pt x="7" y="6"/>
                                        <a:pt x="10" y="6"/>
                                      </a:cubicBezTo>
                                      <a:cubicBezTo>
                                        <a:pt x="15" y="6"/>
                                        <a:pt x="15" y="6"/>
                                        <a:pt x="15" y="6"/>
                                      </a:cubicBezTo>
                                      <a:cubicBezTo>
                                        <a:pt x="18" y="6"/>
                                        <a:pt x="20" y="8"/>
                                        <a:pt x="20" y="10"/>
                                      </a:cubicBezTo>
                                      <a:lnTo>
                                        <a:pt x="20" y="59"/>
                                      </a:lnTo>
                                      <a:close/>
                                      <a:moveTo>
                                        <a:pt x="122" y="98"/>
                                      </a:moveTo>
                                      <a:cubicBezTo>
                                        <a:pt x="119" y="99"/>
                                        <a:pt x="101" y="97"/>
                                        <a:pt x="91" y="95"/>
                                      </a:cubicBezTo>
                                      <a:cubicBezTo>
                                        <a:pt x="70" y="90"/>
                                        <a:pt x="42" y="54"/>
                                        <a:pt x="42" y="53"/>
                                      </a:cubicBezTo>
                                      <a:cubicBezTo>
                                        <a:pt x="41" y="52"/>
                                        <a:pt x="40" y="52"/>
                                        <a:pt x="39" y="52"/>
                                      </a:cubicBezTo>
                                      <a:cubicBezTo>
                                        <a:pt x="25" y="52"/>
                                        <a:pt x="25" y="52"/>
                                        <a:pt x="25" y="52"/>
                                      </a:cubicBezTo>
                                      <a:cubicBezTo>
                                        <a:pt x="25" y="21"/>
                                        <a:pt x="25" y="21"/>
                                        <a:pt x="25" y="21"/>
                                      </a:cubicBezTo>
                                      <a:cubicBezTo>
                                        <a:pt x="38" y="21"/>
                                        <a:pt x="38" y="21"/>
                                        <a:pt x="38" y="21"/>
                                      </a:cubicBezTo>
                                      <a:cubicBezTo>
                                        <a:pt x="60" y="21"/>
                                        <a:pt x="58" y="20"/>
                                        <a:pt x="69" y="30"/>
                                      </a:cubicBezTo>
                                      <a:cubicBezTo>
                                        <a:pt x="72" y="33"/>
                                        <a:pt x="72" y="37"/>
                                        <a:pt x="75" y="42"/>
                                      </a:cubicBezTo>
                                      <a:cubicBezTo>
                                        <a:pt x="77" y="47"/>
                                        <a:pt x="82" y="50"/>
                                        <a:pt x="89" y="55"/>
                                      </a:cubicBezTo>
                                      <a:cubicBezTo>
                                        <a:pt x="92" y="57"/>
                                        <a:pt x="94" y="59"/>
                                        <a:pt x="97" y="61"/>
                                      </a:cubicBezTo>
                                      <a:cubicBezTo>
                                        <a:pt x="102" y="65"/>
                                        <a:pt x="112" y="72"/>
                                        <a:pt x="111" y="75"/>
                                      </a:cubicBezTo>
                                      <a:cubicBezTo>
                                        <a:pt x="108" y="79"/>
                                        <a:pt x="100" y="76"/>
                                        <a:pt x="93" y="73"/>
                                      </a:cubicBezTo>
                                      <a:cubicBezTo>
                                        <a:pt x="92" y="72"/>
                                        <a:pt x="92" y="72"/>
                                        <a:pt x="92" y="72"/>
                                      </a:cubicBezTo>
                                      <a:cubicBezTo>
                                        <a:pt x="91" y="72"/>
                                        <a:pt x="91" y="72"/>
                                        <a:pt x="91" y="72"/>
                                      </a:cubicBezTo>
                                      <a:cubicBezTo>
                                        <a:pt x="89" y="70"/>
                                        <a:pt x="87" y="68"/>
                                        <a:pt x="86" y="67"/>
                                      </a:cubicBezTo>
                                      <a:cubicBezTo>
                                        <a:pt x="86" y="66"/>
                                        <a:pt x="85" y="65"/>
                                        <a:pt x="85" y="65"/>
                                      </a:cubicBezTo>
                                      <a:cubicBezTo>
                                        <a:pt x="84" y="65"/>
                                        <a:pt x="83" y="65"/>
                                        <a:pt x="82" y="65"/>
                                      </a:cubicBezTo>
                                      <a:cubicBezTo>
                                        <a:pt x="81" y="66"/>
                                        <a:pt x="80" y="68"/>
                                        <a:pt x="81" y="69"/>
                                      </a:cubicBezTo>
                                      <a:cubicBezTo>
                                        <a:pt x="82" y="72"/>
                                        <a:pt x="87" y="76"/>
                                        <a:pt x="87" y="76"/>
                                      </a:cubicBezTo>
                                      <a:cubicBezTo>
                                        <a:pt x="89" y="77"/>
                                        <a:pt x="89" y="77"/>
                                        <a:pt x="89" y="77"/>
                                      </a:cubicBezTo>
                                      <a:cubicBezTo>
                                        <a:pt x="94" y="81"/>
                                        <a:pt x="94" y="81"/>
                                        <a:pt x="94" y="81"/>
                                      </a:cubicBezTo>
                                      <a:cubicBezTo>
                                        <a:pt x="104" y="87"/>
                                        <a:pt x="108" y="90"/>
                                        <a:pt x="120" y="90"/>
                                      </a:cubicBezTo>
                                      <a:cubicBezTo>
                                        <a:pt x="124" y="90"/>
                                        <a:pt x="145" y="81"/>
                                        <a:pt x="146" y="81"/>
                                      </a:cubicBezTo>
                                      <a:cubicBezTo>
                                        <a:pt x="150" y="79"/>
                                        <a:pt x="156" y="82"/>
                                        <a:pt x="157" y="84"/>
                                      </a:cubicBezTo>
                                      <a:cubicBezTo>
                                        <a:pt x="148" y="91"/>
                                        <a:pt x="129" y="96"/>
                                        <a:pt x="122" y="9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5569E74" id="Group 15" o:spid="_x0000_s1026" alt="&quot;&quot;" style="position:absolute;margin-left:110.75pt;margin-top:20.2pt;width:25.8pt;height:17.35pt;z-index:251658246;mso-width-relative:margin;mso-height-relative:margin" coordsize="506412,3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">
                      <v:shape id="Freeform 5" o:spid="_x0000_s1027" style="position:absolute;left:358775;top:42863;width:79375;height:128588;visibility:visible;mso-wrap-style:square;v-text-anchor:top" coordsize="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" path="m27,25c26,24,25,23,24,22,23,21,21,21,20,20v-1,,-2,-1,-3,-1c17,8,17,8,17,8v1,,2,,2,1c20,10,21,11,21,13v6,,6,,6,c27,11,27,10,26,9,25,7,24,6,23,6,22,5,21,4,20,4,19,3,18,3,17,3,17,,17,,17,,12,,12,,12,v,3,,3,,3c11,3,10,3,9,4,7,4,6,5,5,6,4,7,3,8,2,9v,1,-1,3,-1,4c1,15,2,17,2,18v1,1,2,2,3,3c6,22,7,23,9,23v1,1,2,1,3,1c12,37,12,37,12,37,10,37,9,36,8,35,7,34,6,32,6,30,,30,,30,,30v,1,1,3,1,5c2,36,3,37,4,38v1,1,2,2,4,3c9,41,10,41,12,41v,4,,4,,4c17,45,17,45,17,45v,-4,,-4,,-4c18,41,19,41,20,41v2,-1,3,-2,4,-2c25,38,26,36,27,35v,-1,1,-3,1,-5c28,28,27,27,27,25xm12,18v,,-1,,-1,-1c10,17,10,17,9,16v,,-1,-1,-1,-1c7,14,7,14,7,13,7,11,8,10,9,9,10,8,11,8,12,8r,10xm20,35v-1,1,-2,2,-3,2c17,25,17,25,17,25v,,,,1,1c19,26,19,26,20,27v,,1,1,1,1c22,29,22,30,22,31v,2,-1,3,-2,4xe" filled="f" stroked="f">
                        <v:path arrowok="t" o:connecttype="custom" o:connectlocs="76540,71438;68036,62865;56696,57150;48192,54293;48192,22860;53862,25718;59531,37148;76540,37148;73705,25718;65201,17145;56696,11430;48192,8573;48192,0;34018,0;34018,8573;25513,11430;14174,17145;5670,25718;2835,37148;5670,51435;14174,60008;25513,65723;34018,68580;34018,105728;22679,100013;17009,85725;0,85725;2835,100013;11339,108585;22679,117158;34018,117158;34018,128588;48192,128588;48192,117158;56696,117158;68036,111443;76540,100013;79375,85725;76540,71438;34018,51435;31183,48578;25513,45720;22679,42863;19844,37148;25513,25718;34018,22860;34018,51435;56696,100013;48192,105728;48192,71438;51027,74295;56696,77153;59531,80010;62366,88583;56696,100013" o:connectangles="0,0,0,0,0,0,0,0,0,0,0,0,0,0,0,0,0,0,0,0,0,0,0,0,0,0,0,0,0,0,0,0,0,0,0,0,0,0,0,0,0,0,0,0,0,0,0,0,0,0,0,0,0,0,0"/>
                        <o:lock v:ext="edit" verticies="t"/>
                      </v:shape>
                      <v:shape id="Freeform 6" o:spid="_x0000_s1028" style="position:absolute;left:292100;width:214312;height:21590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" path="m37,75c16,75,,58,,37,,17,16,,37,,58,,75,17,75,37,75,58,58,75,37,75xm37,5c19,5,5,20,5,37v,18,14,33,32,33c55,70,70,55,70,37,70,20,55,5,37,5xe" filled="f" stroked="f">
                        <v:path arrowok="t" o:connecttype="custom" o:connectlocs="105727,215900;0,106511;105727,0;214312,106511;105727,215900;105727,14393;14287,106511;105727,201507;200025,106511;105727,14393" o:connectangles="0,0,0,0,0,0,0,0,0,0"/>
                        <o:lock v:ext="edit" verticies="t"/>
                      </v:shape>
                      <v:shape id="Freeform 7" o:spid="_x0000_s1029" style="position:absolute;top:36513;width:466725;height:304800;visibility:visible;mso-wrap-style:square;v-text-anchor:top" coordsize="16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" path="m163,82c160,77,151,72,143,75v-5,2,-22,8,-24,8c116,83,113,83,111,82v2,,4,-2,5,-4c121,71,111,64,101,56,98,54,96,52,93,50,87,46,83,44,80,40,79,37,77,33,74,28,71,24,67,18,60,15v-2,-1,-26,,-35,1c25,10,25,10,25,10,25,5,21,,15,,10,,10,,10,,4,,,5,,10,,59,,59,,59v,5,4,10,10,10c15,69,15,69,15,69v6,,10,-5,10,-10c25,58,25,58,25,58v13,,13,,13,c43,66,68,96,90,101v9,2,29,5,34,3c125,104,151,97,162,89v2,-2,2,-4,1,-7xm20,59v,2,-2,4,-5,4c10,63,10,63,10,63,7,63,5,61,5,59,5,10,5,10,5,10,5,8,7,6,10,6v5,,5,,5,c18,6,20,8,20,10r,49xm122,98v-3,1,-21,-1,-31,-3c70,90,42,54,42,53,41,52,40,52,39,52v-14,,-14,,-14,c25,21,25,21,25,21v13,,13,,13,c60,21,58,20,69,30v3,3,3,7,6,12c77,47,82,50,89,55v3,2,5,4,8,6c102,65,112,72,111,75v-3,4,-11,1,-18,-2c92,72,92,72,92,72v-1,,-1,,-1,c89,70,87,68,86,67v,-1,-1,-2,-1,-2c84,65,83,65,82,65v-1,1,-2,3,-1,4c82,72,87,76,87,76v2,1,2,1,2,1c94,81,94,81,94,81v10,6,14,9,26,9c124,90,145,81,146,81v4,-2,10,1,11,3c148,91,129,96,122,98xe" filled="f" stroked="f">
                        <v:path arrowok="t" o:connecttype="custom" o:connectlocs="463879,235789;406961,215660;338660,238664;315893,235789;330123,224287;287434,161026;264667,143774;227671,115019;210595,80513;170753,43132;71147,46008;71147,28755;42688,0;28459,0;0,28755;0,169653;28459,198408;42688,198408;71147,169653;71147,166777;108144,166777;256130,290423;352890,299049;461033,255917;463879,235789;56918,169653;42688,181155;28459,181155;14229,169653;14229,28755;28459,17253;42688,17253;56918,28755;56918,169653;347198,281796;258975,273170;119527,152400;110989,149525;71147,149525;71147,60385;108144,60385;196366,86264;213441,120770;253284,158151;276051,175404;315893,215660;264667,209909;261821,207034;258975,207034;244746,192657;241900,186906;233363,186906;230517,198408;247592,218536;253284,221411;267513,232913;341506,258792;415499,232913;446804,241540;347198,281796" o:connectangles="0,0,0,0,0,0,0,0,0,0,0,0,0,0,0,0,0,0,0,0,0,0,0,0,0,0,0,0,0,0,0,0,0,0,0,0,0,0,0,0,0,0,0,0,0,0,0,0,0,0,0,0,0,0,0,0,0,0,0,0"/>
                        <o:lock v:ext="edit" verticies="t"/>
                      </v:shape>
                      <w10:wrap type="square"/>
                    </v:group>
                  </w:pict>
                </mc:Fallback>
              </mc:AlternateContent>
            </w:r>
            <w:r w:rsidRPr="0088201A">
              <w:rPr>
                <w:rFonts w:asciiTheme="majorHAnsi" w:eastAsia="Times New Roman" w:hAnsiTheme="majorHAnsi" w:cstheme="majorHAnsi"/>
                <w:sz w:val="17"/>
                <w:szCs w:val="19"/>
                <w:lang w:eastAsia="en-AU"/>
              </w:rPr>
              <w:t>Sale prices</w:t>
            </w:r>
            <w:r w:rsidRPr="0088201A">
              <w:rPr>
                <w:rFonts w:asciiTheme="minorHAnsi" w:eastAsia="Times New Roman" w:hAnsiTheme="minorHAnsi" w:cstheme="minorHAnsi"/>
                <w:sz w:val="17"/>
                <w:szCs w:val="19"/>
                <w:lang w:eastAsia="en-AU"/>
              </w:rPr>
              <w:t xml:space="preserve"> of prostheses list items paid by</w:t>
            </w:r>
            <w:r>
              <w:rPr>
                <w:rFonts w:asciiTheme="minorHAnsi" w:eastAsia="Times New Roman" w:hAnsiTheme="minorHAnsi" w:cstheme="minorHAnsi"/>
                <w:sz w:val="17"/>
                <w:szCs w:val="19"/>
                <w:lang w:eastAsia="en-AU"/>
              </w:rPr>
              <w:t xml:space="preserve"> </w:t>
            </w:r>
            <w:r>
              <w:rPr>
                <w:rFonts w:asciiTheme="majorHAnsi" w:eastAsia="Times New Roman" w:hAnsiTheme="majorHAnsi" w:cstheme="majorHAnsi"/>
                <w:color w:val="000000" w:themeColor="text1"/>
                <w:sz w:val="17"/>
                <w:szCs w:val="19"/>
                <w:lang w:eastAsia="en-AU"/>
              </w:rPr>
              <w:t>private he</w:t>
            </w:r>
            <w:r w:rsidRPr="0088201A">
              <w:rPr>
                <w:rFonts w:asciiTheme="majorHAnsi" w:eastAsia="Times New Roman" w:hAnsiTheme="majorHAnsi" w:cstheme="majorHAnsi"/>
                <w:color w:val="000000" w:themeColor="text1"/>
                <w:sz w:val="17"/>
                <w:szCs w:val="19"/>
                <w:lang w:eastAsia="en-AU"/>
              </w:rPr>
              <w:t>alth provid</w:t>
            </w:r>
            <w:r>
              <w:rPr>
                <w:rFonts w:asciiTheme="majorHAnsi" w:eastAsia="Times New Roman" w:hAnsiTheme="majorHAnsi" w:cstheme="majorHAnsi"/>
                <w:color w:val="000000" w:themeColor="text1"/>
                <w:sz w:val="17"/>
                <w:szCs w:val="19"/>
                <w:lang w:eastAsia="en-AU"/>
              </w:rPr>
              <w:t>ers</w:t>
            </w:r>
            <w:r w:rsidRPr="0088201A">
              <w:rPr>
                <w:rFonts w:asciiTheme="minorHAnsi" w:eastAsia="Times New Roman" w:hAnsiTheme="minorHAnsi" w:cstheme="minorHAnsi"/>
                <w:sz w:val="17"/>
                <w:szCs w:val="19"/>
                <w:lang w:eastAsia="en-AU"/>
              </w:rPr>
              <w:t xml:space="preserve"> to medical device </w:t>
            </w:r>
            <w:r>
              <w:rPr>
                <w:rFonts w:asciiTheme="minorHAnsi" w:eastAsia="Times New Roman" w:hAnsiTheme="minorHAnsi" w:cstheme="minorHAnsi"/>
                <w:sz w:val="17"/>
                <w:szCs w:val="19"/>
                <w:lang w:eastAsia="en-AU"/>
              </w:rPr>
              <w:t>sponsors</w:t>
            </w:r>
            <w:r w:rsidRPr="0088201A">
              <w:rPr>
                <w:rFonts w:asciiTheme="minorHAnsi" w:eastAsia="Times New Roman" w:hAnsiTheme="minorHAnsi" w:cstheme="minorHAnsi"/>
                <w:sz w:val="17"/>
                <w:szCs w:val="19"/>
                <w:lang w:eastAsia="en-AU"/>
              </w:rPr>
              <w:t xml:space="preserve"> </w:t>
            </w:r>
          </w:p>
        </w:tc>
        <w:tc>
          <w:tcPr>
            <w:tcW w:w="6016" w:type="dxa"/>
            <w:shd w:val="clear" w:color="auto" w:fill="FFFFFF" w:themeFill="background1"/>
          </w:tcPr>
          <w:p w14:paraId="5D7AA072" w14:textId="77777777" w:rsidR="006F29B9" w:rsidRPr="0088201A" w:rsidRDefault="006F29B9" w:rsidP="3787E91E">
            <w:pPr>
              <w:pStyle w:val="TableNText"/>
            </w:pPr>
            <w:r w:rsidRPr="3787E91E">
              <w:t>To assess the extent to which the reduced benefit payments from private health insurers is impacting the prices of devices hospitals, their profitability, as well as the extent to which benefit reductions are passed onto medical device sponsors.</w:t>
            </w:r>
          </w:p>
        </w:tc>
      </w:tr>
      <w:tr w:rsidR="006F29B9" w:rsidRPr="00366264" w14:paraId="22D0C7C3" w14:textId="77777777" w:rsidTr="3787E91E">
        <w:trPr>
          <w:cnfStyle w:val="000000010000" w:firstRow="0" w:lastRow="0" w:firstColumn="0" w:lastColumn="0" w:oddVBand="0" w:evenVBand="0" w:oddHBand="0" w:evenHBand="1" w:firstRowFirstColumn="0" w:firstRowLastColumn="0" w:lastRowFirstColumn="0" w:lastRowLastColumn="0"/>
          <w:trHeight w:val="1086"/>
        </w:trPr>
        <w:tc>
          <w:tcPr>
            <w:tcW w:w="2984" w:type="dxa"/>
            <w:shd w:val="clear" w:color="auto" w:fill="FFFFFF" w:themeFill="background1"/>
          </w:tcPr>
          <w:p w14:paraId="33650776" w14:textId="77777777" w:rsidR="006F29B9" w:rsidRPr="0088201A" w:rsidRDefault="006F29B9" w:rsidP="00130575">
            <w:pPr>
              <w:suppressAutoHyphens/>
              <w:spacing w:before="40" w:after="40"/>
              <w:ind w:right="567"/>
              <w:rPr>
                <w:rFonts w:asciiTheme="minorHAnsi" w:eastAsia="Times New Roman" w:hAnsiTheme="minorHAnsi" w:cstheme="minorHAnsi"/>
                <w:sz w:val="17"/>
                <w:szCs w:val="19"/>
                <w:lang w:eastAsia="en-AU"/>
              </w:rPr>
            </w:pPr>
            <w:r w:rsidRPr="0088201A">
              <w:rPr>
                <w:noProof/>
              </w:rPr>
              <mc:AlternateContent>
                <mc:Choice Requires="wps">
                  <w:drawing>
                    <wp:anchor distT="0" distB="0" distL="114300" distR="114300" simplePos="0" relativeHeight="251658243" behindDoc="0" locked="0" layoutInCell="1" allowOverlap="1" wp14:anchorId="12FBD13D" wp14:editId="1ABA3209">
                      <wp:simplePos x="0" y="0"/>
                      <wp:positionH relativeFrom="column">
                        <wp:posOffset>1471930</wp:posOffset>
                      </wp:positionH>
                      <wp:positionV relativeFrom="paragraph">
                        <wp:posOffset>122555</wp:posOffset>
                      </wp:positionV>
                      <wp:extent cx="213995" cy="416560"/>
                      <wp:effectExtent l="0" t="0" r="0" b="2540"/>
                      <wp:wrapNone/>
                      <wp:docPr id="228" name="Freeform: Shape 228">
                        <a:extLst xmlns:a="http://schemas.openxmlformats.org/drawingml/2006/main">
                          <a:ext uri="{FF2B5EF4-FFF2-40B4-BE49-F238E27FC236}">
                            <a16:creationId xmlns:a16="http://schemas.microsoft.com/office/drawing/2014/main" id="{2857D9C5-F281-4561-8167-D202F0934023}"/>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13995" cy="416560"/>
                              </a:xfrm>
                              <a:custGeom>
                                <a:avLst/>
                                <a:gdLst>
                                  <a:gd name="T0" fmla="*/ 47 w 87"/>
                                  <a:gd name="T1" fmla="*/ 165 h 172"/>
                                  <a:gd name="T2" fmla="*/ 49 w 87"/>
                                  <a:gd name="T3" fmla="*/ 155 h 172"/>
                                  <a:gd name="T4" fmla="*/ 47 w 87"/>
                                  <a:gd name="T5" fmla="*/ 125 h 172"/>
                                  <a:gd name="T6" fmla="*/ 31 w 87"/>
                                  <a:gd name="T7" fmla="*/ 164 h 172"/>
                                  <a:gd name="T8" fmla="*/ 1 w 87"/>
                                  <a:gd name="T9" fmla="*/ 148 h 172"/>
                                  <a:gd name="T10" fmla="*/ 6 w 87"/>
                                  <a:gd name="T11" fmla="*/ 137 h 172"/>
                                  <a:gd name="T12" fmla="*/ 26 w 87"/>
                                  <a:gd name="T13" fmla="*/ 112 h 172"/>
                                  <a:gd name="T14" fmla="*/ 26 w 87"/>
                                  <a:gd name="T15" fmla="*/ 90 h 172"/>
                                  <a:gd name="T16" fmla="*/ 31 w 87"/>
                                  <a:gd name="T17" fmla="*/ 51 h 172"/>
                                  <a:gd name="T18" fmla="*/ 34 w 87"/>
                                  <a:gd name="T19" fmla="*/ 9 h 172"/>
                                  <a:gd name="T20" fmla="*/ 69 w 87"/>
                                  <a:gd name="T21" fmla="*/ 17 h 172"/>
                                  <a:gd name="T22" fmla="*/ 57 w 87"/>
                                  <a:gd name="T23" fmla="*/ 40 h 172"/>
                                  <a:gd name="T24" fmla="*/ 77 w 87"/>
                                  <a:gd name="T25" fmla="*/ 87 h 172"/>
                                  <a:gd name="T26" fmla="*/ 61 w 87"/>
                                  <a:gd name="T27" fmla="*/ 91 h 172"/>
                                  <a:gd name="T28" fmla="*/ 73 w 87"/>
                                  <a:gd name="T29" fmla="*/ 122 h 172"/>
                                  <a:gd name="T30" fmla="*/ 84 w 87"/>
                                  <a:gd name="T31" fmla="*/ 162 h 172"/>
                                  <a:gd name="T32" fmla="*/ 81 w 87"/>
                                  <a:gd name="T33" fmla="*/ 172 h 172"/>
                                  <a:gd name="T34" fmla="*/ 52 w 87"/>
                                  <a:gd name="T35" fmla="*/ 162 h 172"/>
                                  <a:gd name="T36" fmla="*/ 57 w 87"/>
                                  <a:gd name="T37" fmla="*/ 166 h 172"/>
                                  <a:gd name="T38" fmla="*/ 81 w 87"/>
                                  <a:gd name="T39" fmla="*/ 166 h 172"/>
                                  <a:gd name="T40" fmla="*/ 67 w 87"/>
                                  <a:gd name="T41" fmla="*/ 158 h 172"/>
                                  <a:gd name="T42" fmla="*/ 67 w 87"/>
                                  <a:gd name="T43" fmla="*/ 119 h 172"/>
                                  <a:gd name="T44" fmla="*/ 57 w 87"/>
                                  <a:gd name="T45" fmla="*/ 86 h 172"/>
                                  <a:gd name="T46" fmla="*/ 69 w 87"/>
                                  <a:gd name="T47" fmla="*/ 89 h 172"/>
                                  <a:gd name="T48" fmla="*/ 70 w 87"/>
                                  <a:gd name="T49" fmla="*/ 86 h 172"/>
                                  <a:gd name="T50" fmla="*/ 51 w 87"/>
                                  <a:gd name="T51" fmla="*/ 41 h 172"/>
                                  <a:gd name="T52" fmla="*/ 49 w 87"/>
                                  <a:gd name="T53" fmla="*/ 35 h 172"/>
                                  <a:gd name="T54" fmla="*/ 61 w 87"/>
                                  <a:gd name="T55" fmla="*/ 33 h 172"/>
                                  <a:gd name="T56" fmla="*/ 64 w 87"/>
                                  <a:gd name="T57" fmla="*/ 12 h 172"/>
                                  <a:gd name="T58" fmla="*/ 39 w 87"/>
                                  <a:gd name="T59" fmla="*/ 29 h 172"/>
                                  <a:gd name="T60" fmla="*/ 45 w 87"/>
                                  <a:gd name="T61" fmla="*/ 33 h 172"/>
                                  <a:gd name="T62" fmla="*/ 43 w 87"/>
                                  <a:gd name="T63" fmla="*/ 40 h 172"/>
                                  <a:gd name="T64" fmla="*/ 17 w 87"/>
                                  <a:gd name="T65" fmla="*/ 89 h 172"/>
                                  <a:gd name="T66" fmla="*/ 27 w 87"/>
                                  <a:gd name="T67" fmla="*/ 73 h 172"/>
                                  <a:gd name="T68" fmla="*/ 32 w 87"/>
                                  <a:gd name="T69" fmla="*/ 78 h 172"/>
                                  <a:gd name="T70" fmla="*/ 35 w 87"/>
                                  <a:gd name="T71" fmla="*/ 94 h 172"/>
                                  <a:gd name="T72" fmla="*/ 13 w 87"/>
                                  <a:gd name="T73" fmla="*/ 137 h 172"/>
                                  <a:gd name="T74" fmla="*/ 9 w 87"/>
                                  <a:gd name="T75" fmla="*/ 141 h 172"/>
                                  <a:gd name="T76" fmla="*/ 6 w 87"/>
                                  <a:gd name="T77" fmla="*/ 144 h 172"/>
                                  <a:gd name="T78" fmla="*/ 19 w 87"/>
                                  <a:gd name="T79" fmla="*/ 149 h 172"/>
                                  <a:gd name="T80" fmla="*/ 43 w 87"/>
                                  <a:gd name="T81" fmla="*/ 122 h 172"/>
                                  <a:gd name="T82" fmla="*/ 47 w 87"/>
                                  <a:gd name="T83" fmla="*/ 114 h 172"/>
                                  <a:gd name="T84" fmla="*/ 55 w 87"/>
                                  <a:gd name="T85" fmla="*/ 125 h 172"/>
                                  <a:gd name="T86" fmla="*/ 53 w 87"/>
                                  <a:gd name="T87" fmla="*/ 160 h 172"/>
                                  <a:gd name="T88" fmla="*/ 40 w 87"/>
                                  <a:gd name="T89" fmla="*/ 33 h 172"/>
                                  <a:gd name="T90" fmla="*/ 40 w 87"/>
                                  <a:gd name="T91" fmla="*/ 33 h 172"/>
                                  <a:gd name="T92" fmla="*/ 64 w 87"/>
                                  <a:gd name="T93" fmla="*/ 14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7" h="172">
                                    <a:moveTo>
                                      <a:pt x="52" y="172"/>
                                    </a:moveTo>
                                    <a:cubicBezTo>
                                      <a:pt x="51" y="172"/>
                                      <a:pt x="49" y="171"/>
                                      <a:pt x="48" y="170"/>
                                    </a:cubicBezTo>
                                    <a:cubicBezTo>
                                      <a:pt x="47" y="169"/>
                                      <a:pt x="47" y="167"/>
                                      <a:pt x="47" y="165"/>
                                    </a:cubicBezTo>
                                    <a:cubicBezTo>
                                      <a:pt x="47" y="162"/>
                                      <a:pt x="47" y="161"/>
                                      <a:pt x="47" y="161"/>
                                    </a:cubicBezTo>
                                    <a:cubicBezTo>
                                      <a:pt x="47" y="160"/>
                                      <a:pt x="48" y="158"/>
                                      <a:pt x="49" y="156"/>
                                    </a:cubicBezTo>
                                    <a:cubicBezTo>
                                      <a:pt x="49" y="156"/>
                                      <a:pt x="49" y="156"/>
                                      <a:pt x="49" y="155"/>
                                    </a:cubicBezTo>
                                    <a:cubicBezTo>
                                      <a:pt x="49" y="125"/>
                                      <a:pt x="49" y="125"/>
                                      <a:pt x="49" y="125"/>
                                    </a:cubicBezTo>
                                    <a:cubicBezTo>
                                      <a:pt x="48" y="124"/>
                                      <a:pt x="48" y="124"/>
                                      <a:pt x="48" y="124"/>
                                    </a:cubicBezTo>
                                    <a:cubicBezTo>
                                      <a:pt x="48" y="124"/>
                                      <a:pt x="47" y="125"/>
                                      <a:pt x="47" y="125"/>
                                    </a:cubicBezTo>
                                    <a:cubicBezTo>
                                      <a:pt x="28" y="149"/>
                                      <a:pt x="28" y="149"/>
                                      <a:pt x="28" y="149"/>
                                    </a:cubicBezTo>
                                    <a:cubicBezTo>
                                      <a:pt x="27" y="150"/>
                                      <a:pt x="27" y="150"/>
                                      <a:pt x="26" y="151"/>
                                    </a:cubicBezTo>
                                    <a:cubicBezTo>
                                      <a:pt x="29" y="155"/>
                                      <a:pt x="31" y="161"/>
                                      <a:pt x="31" y="164"/>
                                    </a:cubicBezTo>
                                    <a:cubicBezTo>
                                      <a:pt x="31" y="166"/>
                                      <a:pt x="30" y="168"/>
                                      <a:pt x="28" y="169"/>
                                    </a:cubicBezTo>
                                    <a:cubicBezTo>
                                      <a:pt x="26" y="170"/>
                                      <a:pt x="23" y="170"/>
                                      <a:pt x="22" y="168"/>
                                    </a:cubicBezTo>
                                    <a:cubicBezTo>
                                      <a:pt x="1" y="148"/>
                                      <a:pt x="1" y="148"/>
                                      <a:pt x="1" y="148"/>
                                    </a:cubicBezTo>
                                    <a:cubicBezTo>
                                      <a:pt x="0" y="147"/>
                                      <a:pt x="0" y="146"/>
                                      <a:pt x="0" y="144"/>
                                    </a:cubicBezTo>
                                    <a:cubicBezTo>
                                      <a:pt x="0" y="143"/>
                                      <a:pt x="1" y="141"/>
                                      <a:pt x="2" y="140"/>
                                    </a:cubicBezTo>
                                    <a:cubicBezTo>
                                      <a:pt x="5" y="137"/>
                                      <a:pt x="6" y="137"/>
                                      <a:pt x="6" y="137"/>
                                    </a:cubicBezTo>
                                    <a:cubicBezTo>
                                      <a:pt x="6" y="136"/>
                                      <a:pt x="7" y="136"/>
                                      <a:pt x="8" y="136"/>
                                    </a:cubicBezTo>
                                    <a:cubicBezTo>
                                      <a:pt x="8" y="135"/>
                                      <a:pt x="8" y="134"/>
                                      <a:pt x="9" y="133"/>
                                    </a:cubicBezTo>
                                    <a:cubicBezTo>
                                      <a:pt x="26" y="112"/>
                                      <a:pt x="26" y="112"/>
                                      <a:pt x="26" y="112"/>
                                    </a:cubicBezTo>
                                    <a:cubicBezTo>
                                      <a:pt x="30" y="94"/>
                                      <a:pt x="30" y="94"/>
                                      <a:pt x="30" y="94"/>
                                    </a:cubicBezTo>
                                    <a:cubicBezTo>
                                      <a:pt x="28" y="92"/>
                                      <a:pt x="27" y="90"/>
                                      <a:pt x="27" y="87"/>
                                    </a:cubicBezTo>
                                    <a:cubicBezTo>
                                      <a:pt x="26" y="88"/>
                                      <a:pt x="26" y="89"/>
                                      <a:pt x="26" y="90"/>
                                    </a:cubicBezTo>
                                    <a:cubicBezTo>
                                      <a:pt x="25" y="94"/>
                                      <a:pt x="22" y="97"/>
                                      <a:pt x="18" y="96"/>
                                    </a:cubicBezTo>
                                    <a:cubicBezTo>
                                      <a:pt x="13" y="96"/>
                                      <a:pt x="11" y="92"/>
                                      <a:pt x="11" y="88"/>
                                    </a:cubicBezTo>
                                    <a:cubicBezTo>
                                      <a:pt x="13" y="74"/>
                                      <a:pt x="22" y="60"/>
                                      <a:pt x="31" y="51"/>
                                    </a:cubicBezTo>
                                    <a:cubicBezTo>
                                      <a:pt x="32" y="44"/>
                                      <a:pt x="34" y="40"/>
                                      <a:pt x="38" y="37"/>
                                    </a:cubicBezTo>
                                    <a:cubicBezTo>
                                      <a:pt x="37" y="36"/>
                                      <a:pt x="36" y="34"/>
                                      <a:pt x="35" y="32"/>
                                    </a:cubicBezTo>
                                    <a:cubicBezTo>
                                      <a:pt x="31" y="26"/>
                                      <a:pt x="29" y="16"/>
                                      <a:pt x="34" y="9"/>
                                    </a:cubicBezTo>
                                    <a:cubicBezTo>
                                      <a:pt x="40" y="1"/>
                                      <a:pt x="49" y="0"/>
                                      <a:pt x="60" y="3"/>
                                    </a:cubicBezTo>
                                    <a:cubicBezTo>
                                      <a:pt x="68" y="6"/>
                                      <a:pt x="69" y="11"/>
                                      <a:pt x="69" y="13"/>
                                    </a:cubicBezTo>
                                    <a:cubicBezTo>
                                      <a:pt x="70" y="14"/>
                                      <a:pt x="69" y="16"/>
                                      <a:pt x="69" y="17"/>
                                    </a:cubicBezTo>
                                    <a:cubicBezTo>
                                      <a:pt x="70" y="24"/>
                                      <a:pt x="69" y="32"/>
                                      <a:pt x="65" y="36"/>
                                    </a:cubicBezTo>
                                    <a:cubicBezTo>
                                      <a:pt x="63" y="39"/>
                                      <a:pt x="61" y="40"/>
                                      <a:pt x="58" y="40"/>
                                    </a:cubicBezTo>
                                    <a:cubicBezTo>
                                      <a:pt x="58" y="40"/>
                                      <a:pt x="58" y="40"/>
                                      <a:pt x="57" y="40"/>
                                    </a:cubicBezTo>
                                    <a:cubicBezTo>
                                      <a:pt x="63" y="47"/>
                                      <a:pt x="66" y="60"/>
                                      <a:pt x="64" y="75"/>
                                    </a:cubicBezTo>
                                    <a:cubicBezTo>
                                      <a:pt x="67" y="77"/>
                                      <a:pt x="72" y="80"/>
                                      <a:pt x="73" y="81"/>
                                    </a:cubicBezTo>
                                    <a:cubicBezTo>
                                      <a:pt x="75" y="82"/>
                                      <a:pt x="77" y="84"/>
                                      <a:pt x="77" y="87"/>
                                    </a:cubicBezTo>
                                    <a:cubicBezTo>
                                      <a:pt x="78" y="91"/>
                                      <a:pt x="75" y="95"/>
                                      <a:pt x="71" y="95"/>
                                    </a:cubicBezTo>
                                    <a:cubicBezTo>
                                      <a:pt x="69" y="95"/>
                                      <a:pt x="68" y="95"/>
                                      <a:pt x="66" y="94"/>
                                    </a:cubicBezTo>
                                    <a:cubicBezTo>
                                      <a:pt x="66" y="94"/>
                                      <a:pt x="63" y="93"/>
                                      <a:pt x="61" y="91"/>
                                    </a:cubicBezTo>
                                    <a:cubicBezTo>
                                      <a:pt x="61" y="92"/>
                                      <a:pt x="60" y="93"/>
                                      <a:pt x="60" y="94"/>
                                    </a:cubicBezTo>
                                    <a:cubicBezTo>
                                      <a:pt x="72" y="116"/>
                                      <a:pt x="72" y="116"/>
                                      <a:pt x="72" y="116"/>
                                    </a:cubicBezTo>
                                    <a:cubicBezTo>
                                      <a:pt x="73" y="118"/>
                                      <a:pt x="73" y="120"/>
                                      <a:pt x="73" y="122"/>
                                    </a:cubicBezTo>
                                    <a:cubicBezTo>
                                      <a:pt x="73" y="155"/>
                                      <a:pt x="73" y="155"/>
                                      <a:pt x="73" y="155"/>
                                    </a:cubicBezTo>
                                    <a:cubicBezTo>
                                      <a:pt x="73" y="156"/>
                                      <a:pt x="73" y="156"/>
                                      <a:pt x="73" y="157"/>
                                    </a:cubicBezTo>
                                    <a:cubicBezTo>
                                      <a:pt x="78" y="158"/>
                                      <a:pt x="82" y="160"/>
                                      <a:pt x="84" y="162"/>
                                    </a:cubicBezTo>
                                    <a:cubicBezTo>
                                      <a:pt x="84" y="162"/>
                                      <a:pt x="84" y="162"/>
                                      <a:pt x="84" y="162"/>
                                    </a:cubicBezTo>
                                    <a:cubicBezTo>
                                      <a:pt x="86" y="163"/>
                                      <a:pt x="87" y="166"/>
                                      <a:pt x="86" y="168"/>
                                    </a:cubicBezTo>
                                    <a:cubicBezTo>
                                      <a:pt x="85" y="170"/>
                                      <a:pt x="83" y="172"/>
                                      <a:pt x="81" y="172"/>
                                    </a:cubicBezTo>
                                    <a:cubicBezTo>
                                      <a:pt x="52" y="172"/>
                                      <a:pt x="52" y="172"/>
                                      <a:pt x="52" y="172"/>
                                    </a:cubicBezTo>
                                    <a:cubicBezTo>
                                      <a:pt x="52" y="172"/>
                                      <a:pt x="52" y="172"/>
                                      <a:pt x="52" y="172"/>
                                    </a:cubicBezTo>
                                    <a:close/>
                                    <a:moveTo>
                                      <a:pt x="52" y="162"/>
                                    </a:moveTo>
                                    <a:cubicBezTo>
                                      <a:pt x="52" y="162"/>
                                      <a:pt x="52" y="163"/>
                                      <a:pt x="52" y="166"/>
                                    </a:cubicBezTo>
                                    <a:cubicBezTo>
                                      <a:pt x="52" y="166"/>
                                      <a:pt x="52" y="166"/>
                                      <a:pt x="52" y="166"/>
                                    </a:cubicBezTo>
                                    <a:cubicBezTo>
                                      <a:pt x="57" y="166"/>
                                      <a:pt x="57" y="166"/>
                                      <a:pt x="57" y="166"/>
                                    </a:cubicBezTo>
                                    <a:cubicBezTo>
                                      <a:pt x="81" y="166"/>
                                      <a:pt x="81" y="166"/>
                                      <a:pt x="81" y="166"/>
                                    </a:cubicBezTo>
                                    <a:cubicBezTo>
                                      <a:pt x="82" y="164"/>
                                      <a:pt x="82" y="164"/>
                                      <a:pt x="82" y="164"/>
                                    </a:cubicBezTo>
                                    <a:cubicBezTo>
                                      <a:pt x="81" y="166"/>
                                      <a:pt x="81" y="166"/>
                                      <a:pt x="81" y="166"/>
                                    </a:cubicBezTo>
                                    <a:cubicBezTo>
                                      <a:pt x="79" y="165"/>
                                      <a:pt x="75" y="163"/>
                                      <a:pt x="69" y="162"/>
                                    </a:cubicBezTo>
                                    <a:cubicBezTo>
                                      <a:pt x="68" y="162"/>
                                      <a:pt x="68" y="161"/>
                                      <a:pt x="67" y="160"/>
                                    </a:cubicBezTo>
                                    <a:cubicBezTo>
                                      <a:pt x="67" y="160"/>
                                      <a:pt x="67" y="159"/>
                                      <a:pt x="67" y="158"/>
                                    </a:cubicBezTo>
                                    <a:cubicBezTo>
                                      <a:pt x="68" y="157"/>
                                      <a:pt x="68" y="156"/>
                                      <a:pt x="68" y="155"/>
                                    </a:cubicBezTo>
                                    <a:cubicBezTo>
                                      <a:pt x="68" y="122"/>
                                      <a:pt x="68" y="122"/>
                                      <a:pt x="68" y="122"/>
                                    </a:cubicBezTo>
                                    <a:cubicBezTo>
                                      <a:pt x="68" y="121"/>
                                      <a:pt x="68" y="120"/>
                                      <a:pt x="67" y="119"/>
                                    </a:cubicBezTo>
                                    <a:cubicBezTo>
                                      <a:pt x="55" y="95"/>
                                      <a:pt x="55" y="95"/>
                                      <a:pt x="55" y="95"/>
                                    </a:cubicBezTo>
                                    <a:cubicBezTo>
                                      <a:pt x="54" y="95"/>
                                      <a:pt x="54" y="94"/>
                                      <a:pt x="54" y="93"/>
                                    </a:cubicBezTo>
                                    <a:cubicBezTo>
                                      <a:pt x="55" y="92"/>
                                      <a:pt x="57" y="88"/>
                                      <a:pt x="57" y="86"/>
                                    </a:cubicBezTo>
                                    <a:cubicBezTo>
                                      <a:pt x="57" y="85"/>
                                      <a:pt x="58" y="85"/>
                                      <a:pt x="59" y="84"/>
                                    </a:cubicBezTo>
                                    <a:cubicBezTo>
                                      <a:pt x="60" y="84"/>
                                      <a:pt x="61" y="84"/>
                                      <a:pt x="61" y="85"/>
                                    </a:cubicBezTo>
                                    <a:cubicBezTo>
                                      <a:pt x="63" y="86"/>
                                      <a:pt x="67" y="89"/>
                                      <a:pt x="69" y="89"/>
                                    </a:cubicBezTo>
                                    <a:cubicBezTo>
                                      <a:pt x="69" y="90"/>
                                      <a:pt x="70" y="90"/>
                                      <a:pt x="70" y="90"/>
                                    </a:cubicBezTo>
                                    <a:cubicBezTo>
                                      <a:pt x="71" y="89"/>
                                      <a:pt x="72" y="88"/>
                                      <a:pt x="71" y="87"/>
                                    </a:cubicBezTo>
                                    <a:cubicBezTo>
                                      <a:pt x="71" y="87"/>
                                      <a:pt x="71" y="86"/>
                                      <a:pt x="70" y="86"/>
                                    </a:cubicBezTo>
                                    <a:cubicBezTo>
                                      <a:pt x="70" y="86"/>
                                      <a:pt x="62" y="81"/>
                                      <a:pt x="59" y="77"/>
                                    </a:cubicBezTo>
                                    <a:cubicBezTo>
                                      <a:pt x="59" y="77"/>
                                      <a:pt x="59" y="76"/>
                                      <a:pt x="59" y="75"/>
                                    </a:cubicBezTo>
                                    <a:cubicBezTo>
                                      <a:pt x="60" y="58"/>
                                      <a:pt x="56" y="45"/>
                                      <a:pt x="51" y="41"/>
                                    </a:cubicBezTo>
                                    <a:cubicBezTo>
                                      <a:pt x="51" y="41"/>
                                      <a:pt x="50" y="40"/>
                                      <a:pt x="50" y="39"/>
                                    </a:cubicBezTo>
                                    <a:cubicBezTo>
                                      <a:pt x="50" y="39"/>
                                      <a:pt x="50" y="39"/>
                                      <a:pt x="50" y="39"/>
                                    </a:cubicBezTo>
                                    <a:cubicBezTo>
                                      <a:pt x="49" y="38"/>
                                      <a:pt x="49" y="37"/>
                                      <a:pt x="49" y="35"/>
                                    </a:cubicBezTo>
                                    <a:cubicBezTo>
                                      <a:pt x="50" y="34"/>
                                      <a:pt x="51" y="33"/>
                                      <a:pt x="52" y="33"/>
                                    </a:cubicBezTo>
                                    <a:cubicBezTo>
                                      <a:pt x="54" y="34"/>
                                      <a:pt x="56" y="34"/>
                                      <a:pt x="58" y="34"/>
                                    </a:cubicBezTo>
                                    <a:cubicBezTo>
                                      <a:pt x="59" y="34"/>
                                      <a:pt x="60" y="34"/>
                                      <a:pt x="61" y="33"/>
                                    </a:cubicBezTo>
                                    <a:cubicBezTo>
                                      <a:pt x="63" y="30"/>
                                      <a:pt x="64" y="23"/>
                                      <a:pt x="63" y="17"/>
                                    </a:cubicBezTo>
                                    <a:cubicBezTo>
                                      <a:pt x="63" y="16"/>
                                      <a:pt x="63" y="15"/>
                                      <a:pt x="64" y="14"/>
                                    </a:cubicBezTo>
                                    <a:cubicBezTo>
                                      <a:pt x="64" y="14"/>
                                      <a:pt x="64" y="13"/>
                                      <a:pt x="64" y="12"/>
                                    </a:cubicBezTo>
                                    <a:cubicBezTo>
                                      <a:pt x="63" y="11"/>
                                      <a:pt x="62" y="10"/>
                                      <a:pt x="59" y="9"/>
                                    </a:cubicBezTo>
                                    <a:cubicBezTo>
                                      <a:pt x="47" y="5"/>
                                      <a:pt x="42" y="9"/>
                                      <a:pt x="39" y="13"/>
                                    </a:cubicBezTo>
                                    <a:cubicBezTo>
                                      <a:pt x="35" y="18"/>
                                      <a:pt x="37" y="25"/>
                                      <a:pt x="39" y="29"/>
                                    </a:cubicBezTo>
                                    <a:cubicBezTo>
                                      <a:pt x="40" y="31"/>
                                      <a:pt x="41" y="32"/>
                                      <a:pt x="42" y="32"/>
                                    </a:cubicBezTo>
                                    <a:cubicBezTo>
                                      <a:pt x="42" y="32"/>
                                      <a:pt x="42" y="32"/>
                                      <a:pt x="43" y="32"/>
                                    </a:cubicBezTo>
                                    <a:cubicBezTo>
                                      <a:pt x="44" y="32"/>
                                      <a:pt x="45" y="32"/>
                                      <a:pt x="45" y="33"/>
                                    </a:cubicBezTo>
                                    <a:cubicBezTo>
                                      <a:pt x="46" y="34"/>
                                      <a:pt x="46" y="35"/>
                                      <a:pt x="46" y="36"/>
                                    </a:cubicBezTo>
                                    <a:cubicBezTo>
                                      <a:pt x="45" y="38"/>
                                      <a:pt x="45" y="38"/>
                                      <a:pt x="45" y="38"/>
                                    </a:cubicBezTo>
                                    <a:cubicBezTo>
                                      <a:pt x="45" y="39"/>
                                      <a:pt x="44" y="40"/>
                                      <a:pt x="43" y="40"/>
                                    </a:cubicBezTo>
                                    <a:cubicBezTo>
                                      <a:pt x="39" y="42"/>
                                      <a:pt x="38" y="45"/>
                                      <a:pt x="36" y="53"/>
                                    </a:cubicBezTo>
                                    <a:cubicBezTo>
                                      <a:pt x="36" y="53"/>
                                      <a:pt x="36" y="54"/>
                                      <a:pt x="35" y="54"/>
                                    </a:cubicBezTo>
                                    <a:cubicBezTo>
                                      <a:pt x="28" y="62"/>
                                      <a:pt x="19" y="76"/>
                                      <a:pt x="17" y="89"/>
                                    </a:cubicBezTo>
                                    <a:cubicBezTo>
                                      <a:pt x="17" y="90"/>
                                      <a:pt x="17" y="91"/>
                                      <a:pt x="18" y="91"/>
                                    </a:cubicBezTo>
                                    <a:cubicBezTo>
                                      <a:pt x="19" y="91"/>
                                      <a:pt x="20" y="90"/>
                                      <a:pt x="21" y="89"/>
                                    </a:cubicBezTo>
                                    <a:cubicBezTo>
                                      <a:pt x="21" y="84"/>
                                      <a:pt x="23" y="79"/>
                                      <a:pt x="27" y="73"/>
                                    </a:cubicBezTo>
                                    <a:cubicBezTo>
                                      <a:pt x="27" y="72"/>
                                      <a:pt x="29" y="72"/>
                                      <a:pt x="30" y="72"/>
                                    </a:cubicBezTo>
                                    <a:cubicBezTo>
                                      <a:pt x="31" y="73"/>
                                      <a:pt x="32" y="74"/>
                                      <a:pt x="32" y="75"/>
                                    </a:cubicBezTo>
                                    <a:cubicBezTo>
                                      <a:pt x="32" y="76"/>
                                      <a:pt x="32" y="77"/>
                                      <a:pt x="32" y="78"/>
                                    </a:cubicBezTo>
                                    <a:cubicBezTo>
                                      <a:pt x="32" y="79"/>
                                      <a:pt x="32" y="79"/>
                                      <a:pt x="32" y="79"/>
                                    </a:cubicBezTo>
                                    <a:cubicBezTo>
                                      <a:pt x="31" y="82"/>
                                      <a:pt x="32" y="89"/>
                                      <a:pt x="35" y="91"/>
                                    </a:cubicBezTo>
                                    <a:cubicBezTo>
                                      <a:pt x="35" y="92"/>
                                      <a:pt x="36" y="93"/>
                                      <a:pt x="35" y="94"/>
                                    </a:cubicBezTo>
                                    <a:cubicBezTo>
                                      <a:pt x="31" y="114"/>
                                      <a:pt x="31" y="114"/>
                                      <a:pt x="31" y="114"/>
                                    </a:cubicBezTo>
                                    <a:cubicBezTo>
                                      <a:pt x="31" y="114"/>
                                      <a:pt x="31" y="115"/>
                                      <a:pt x="31" y="115"/>
                                    </a:cubicBezTo>
                                    <a:cubicBezTo>
                                      <a:pt x="13" y="137"/>
                                      <a:pt x="13" y="137"/>
                                      <a:pt x="13" y="137"/>
                                    </a:cubicBezTo>
                                    <a:cubicBezTo>
                                      <a:pt x="13" y="137"/>
                                      <a:pt x="13" y="138"/>
                                      <a:pt x="12" y="139"/>
                                    </a:cubicBezTo>
                                    <a:cubicBezTo>
                                      <a:pt x="12" y="140"/>
                                      <a:pt x="11" y="140"/>
                                      <a:pt x="10" y="141"/>
                                    </a:cubicBezTo>
                                    <a:cubicBezTo>
                                      <a:pt x="10" y="141"/>
                                      <a:pt x="9" y="141"/>
                                      <a:pt x="9" y="141"/>
                                    </a:cubicBezTo>
                                    <a:cubicBezTo>
                                      <a:pt x="9" y="141"/>
                                      <a:pt x="9" y="141"/>
                                      <a:pt x="9" y="141"/>
                                    </a:cubicBezTo>
                                    <a:cubicBezTo>
                                      <a:pt x="9" y="141"/>
                                      <a:pt x="8" y="142"/>
                                      <a:pt x="6" y="144"/>
                                    </a:cubicBezTo>
                                    <a:cubicBezTo>
                                      <a:pt x="6" y="144"/>
                                      <a:pt x="6" y="144"/>
                                      <a:pt x="6" y="144"/>
                                    </a:cubicBezTo>
                                    <a:cubicBezTo>
                                      <a:pt x="26" y="164"/>
                                      <a:pt x="26" y="164"/>
                                      <a:pt x="26" y="164"/>
                                    </a:cubicBezTo>
                                    <a:cubicBezTo>
                                      <a:pt x="26" y="162"/>
                                      <a:pt x="23" y="157"/>
                                      <a:pt x="20" y="151"/>
                                    </a:cubicBezTo>
                                    <a:cubicBezTo>
                                      <a:pt x="19" y="151"/>
                                      <a:pt x="19" y="150"/>
                                      <a:pt x="19" y="149"/>
                                    </a:cubicBezTo>
                                    <a:cubicBezTo>
                                      <a:pt x="20" y="148"/>
                                      <a:pt x="20" y="148"/>
                                      <a:pt x="21" y="147"/>
                                    </a:cubicBezTo>
                                    <a:cubicBezTo>
                                      <a:pt x="22" y="147"/>
                                      <a:pt x="23" y="146"/>
                                      <a:pt x="24" y="145"/>
                                    </a:cubicBezTo>
                                    <a:cubicBezTo>
                                      <a:pt x="43" y="122"/>
                                      <a:pt x="43" y="122"/>
                                      <a:pt x="43" y="122"/>
                                    </a:cubicBezTo>
                                    <a:cubicBezTo>
                                      <a:pt x="43" y="121"/>
                                      <a:pt x="44" y="120"/>
                                      <a:pt x="44" y="119"/>
                                    </a:cubicBezTo>
                                    <a:cubicBezTo>
                                      <a:pt x="45" y="116"/>
                                      <a:pt x="45" y="116"/>
                                      <a:pt x="45" y="116"/>
                                    </a:cubicBezTo>
                                    <a:cubicBezTo>
                                      <a:pt x="45" y="115"/>
                                      <a:pt x="46" y="114"/>
                                      <a:pt x="47" y="114"/>
                                    </a:cubicBezTo>
                                    <a:cubicBezTo>
                                      <a:pt x="48" y="114"/>
                                      <a:pt x="49" y="114"/>
                                      <a:pt x="50" y="115"/>
                                    </a:cubicBezTo>
                                    <a:cubicBezTo>
                                      <a:pt x="54" y="123"/>
                                      <a:pt x="54" y="123"/>
                                      <a:pt x="54" y="123"/>
                                    </a:cubicBezTo>
                                    <a:cubicBezTo>
                                      <a:pt x="54" y="124"/>
                                      <a:pt x="55" y="124"/>
                                      <a:pt x="55" y="125"/>
                                    </a:cubicBezTo>
                                    <a:cubicBezTo>
                                      <a:pt x="55" y="155"/>
                                      <a:pt x="55" y="155"/>
                                      <a:pt x="55" y="155"/>
                                    </a:cubicBezTo>
                                    <a:cubicBezTo>
                                      <a:pt x="55" y="156"/>
                                      <a:pt x="55" y="156"/>
                                      <a:pt x="55" y="157"/>
                                    </a:cubicBezTo>
                                    <a:cubicBezTo>
                                      <a:pt x="55" y="158"/>
                                      <a:pt x="54" y="159"/>
                                      <a:pt x="53" y="160"/>
                                    </a:cubicBezTo>
                                    <a:cubicBezTo>
                                      <a:pt x="53" y="160"/>
                                      <a:pt x="53" y="161"/>
                                      <a:pt x="52" y="162"/>
                                    </a:cubicBezTo>
                                    <a:close/>
                                    <a:moveTo>
                                      <a:pt x="40" y="33"/>
                                    </a:moveTo>
                                    <a:cubicBezTo>
                                      <a:pt x="40" y="33"/>
                                      <a:pt x="40" y="33"/>
                                      <a:pt x="40" y="33"/>
                                    </a:cubicBezTo>
                                    <a:cubicBezTo>
                                      <a:pt x="40" y="33"/>
                                      <a:pt x="40" y="33"/>
                                      <a:pt x="40" y="33"/>
                                    </a:cubicBezTo>
                                    <a:close/>
                                    <a:moveTo>
                                      <a:pt x="40" y="33"/>
                                    </a:moveTo>
                                    <a:cubicBezTo>
                                      <a:pt x="40" y="33"/>
                                      <a:pt x="40" y="33"/>
                                      <a:pt x="40" y="33"/>
                                    </a:cubicBezTo>
                                    <a:cubicBezTo>
                                      <a:pt x="40" y="33"/>
                                      <a:pt x="40" y="33"/>
                                      <a:pt x="40" y="33"/>
                                    </a:cubicBezTo>
                                    <a:close/>
                                    <a:moveTo>
                                      <a:pt x="64" y="14"/>
                                    </a:moveTo>
                                    <a:cubicBezTo>
                                      <a:pt x="64" y="14"/>
                                      <a:pt x="64" y="14"/>
                                      <a:pt x="64" y="14"/>
                                    </a:cubicBezTo>
                                    <a:cubicBezTo>
                                      <a:pt x="64" y="14"/>
                                      <a:pt x="64" y="14"/>
                                      <a:pt x="64" y="14"/>
                                    </a:cubicBezTo>
                                    <a:close/>
                                  </a:path>
                                </a:pathLst>
                              </a:cu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1FA271" id="Freeform: Shape 228" o:spid="_x0000_s1026" alt="&quot;&quot;" style="position:absolute;margin-left:115.9pt;margin-top:9.65pt;width:16.85pt;height:32.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" path="m52,172v-1,,-3,-1,-4,-2c47,169,47,167,47,165v,-3,,-4,,-4c47,160,48,158,49,156v,,,,,-1c49,125,49,125,49,125v-1,-1,-1,-1,-1,-1c48,124,47,125,47,125,28,149,28,149,28,149v-1,1,-1,1,-2,2c29,155,31,161,31,164v,2,-1,4,-3,5c26,170,23,170,22,168,1,148,1,148,1,148,,147,,146,,144v,-1,1,-3,2,-4c5,137,6,137,6,137v,-1,1,-1,2,-1c8,135,8,134,9,133,26,112,26,112,26,112,30,94,30,94,30,94,28,92,27,90,27,87v-1,1,-1,2,-1,3c25,94,22,97,18,96v-5,,-7,-4,-7,-8c13,74,22,60,31,51v1,-7,3,-11,7,-14c37,36,36,34,35,32,31,26,29,16,34,9,40,1,49,,60,3v8,3,9,8,9,10c70,14,69,16,69,17v1,7,,15,-4,19c63,39,61,40,58,40v,,,,-1,c63,47,66,60,64,75v3,2,8,5,9,6c75,82,77,84,77,87v1,4,-2,8,-6,8c69,95,68,95,66,94v,,-3,-1,-5,-3c61,92,60,93,60,94v12,22,12,22,12,22c73,118,73,120,73,122v,33,,33,,33c73,156,73,156,73,157v5,1,9,3,11,5c84,162,84,162,84,162v2,1,3,4,2,6c85,170,83,172,81,172v-29,,-29,,-29,c52,172,52,172,52,172xm52,162v,,,1,,4c52,166,52,166,52,166v5,,5,,5,c81,166,81,166,81,166v1,-2,1,-2,1,-2c81,166,81,166,81,166v-2,-1,-6,-3,-12,-4c68,162,68,161,67,160v,,,-1,,-2c68,157,68,156,68,155v,-33,,-33,,-33c68,121,68,120,67,119,55,95,55,95,55,95v-1,,-1,-1,-1,-2c55,92,57,88,57,86v,-1,1,-1,2,-2c60,84,61,84,61,85v2,1,6,4,8,4c69,90,70,90,70,90v1,-1,2,-2,1,-3c71,87,71,86,70,86v,,-8,-5,-11,-9c59,77,59,76,59,75,60,58,56,45,51,41v,,-1,-1,-1,-2c50,39,50,39,50,39,49,38,49,37,49,35v1,-1,2,-2,3,-2c54,34,56,34,58,34v1,,2,,3,-1c63,30,64,23,63,17v,-1,,-2,1,-3c64,14,64,13,64,12,63,11,62,10,59,9,47,5,42,9,39,13v-4,5,-2,12,,16c40,31,41,32,42,32v,,,,1,c44,32,45,32,45,33v1,1,1,2,1,3c45,38,45,38,45,38v,1,-1,2,-2,2c39,42,38,45,36,53v,,,1,-1,1c28,62,19,76,17,89v,1,,2,1,2c19,91,20,90,21,89v,-5,2,-10,6,-16c27,72,29,72,30,72v1,1,2,2,2,3c32,76,32,77,32,78v,1,,1,,1c31,82,32,89,35,91v,1,1,2,,3c31,114,31,114,31,114v,,,1,,1c13,137,13,137,13,137v,,,1,-1,2c12,140,11,140,10,141v,,-1,,-1,c9,141,9,141,9,141v,,-1,1,-3,3c6,144,6,144,6,144v20,20,20,20,20,20c26,162,23,157,20,151v-1,,-1,-1,-1,-2c20,148,20,148,21,147v1,,2,-1,3,-2c43,122,43,122,43,122v,-1,1,-2,1,-3c45,116,45,116,45,116v,-1,1,-2,2,-2c48,114,49,114,50,115v4,8,4,8,4,8c54,124,55,124,55,125v,30,,30,,30c55,156,55,156,55,157v,1,-1,2,-2,3c53,160,53,161,52,162xm40,33v,,,,,c40,33,40,33,40,33xm40,33v,,,,,c40,33,40,33,40,33xm64,14v,,,,,c64,14,64,14,64,14xe" fillcolor="#00264d [3214]" stroked="f">
                      <v:path arrowok="t" o:connecttype="custom" o:connectlocs="115606,399607;120526,375388;115606,302733;76251,397185;2460,358435;14758,331795;63953,271248;63953,217967;76251,123515;83630,21797;169720,41172;140204,96874;189398,210702;150042,220389;179559,295467;206616,392341;199237,416560;127905,392341;140204,402029;199237,402029;164801,382654;164801,288201;140204,208280;169720,215546;172180,208280;125445,99296;120526,84765;150042,79921;157422,29062;95929,70234;110687,79921;105768,96874;41815,215546;66412,176796;78711,188905;86090,227655;31976,331795;22137,341482;14758,348748;46735,360857;105768,295467;115606,276092;135284,302733;130365,387498;98389,79921;98389,79921;157422,33906" o:connectangles="0,0,0,0,0,0,0,0,0,0,0,0,0,0,0,0,0,0,0,0,0,0,0,0,0,0,0,0,0,0,0,0,0,0,0,0,0,0,0,0,0,0,0,0,0,0,0"/>
                      <o:lock v:ext="edit" verticies="t"/>
                    </v:shape>
                  </w:pict>
                </mc:Fallback>
              </mc:AlternateContent>
            </w:r>
            <w:r w:rsidRPr="0088201A">
              <w:rPr>
                <w:rFonts w:asciiTheme="majorHAnsi" w:eastAsia="Times New Roman" w:hAnsiTheme="majorHAnsi" w:cstheme="majorHAnsi"/>
                <w:sz w:val="17"/>
                <w:szCs w:val="19"/>
                <w:lang w:eastAsia="en-AU"/>
              </w:rPr>
              <w:t>Separations</w:t>
            </w:r>
            <w:r w:rsidRPr="0088201A">
              <w:rPr>
                <w:rFonts w:asciiTheme="minorHAnsi" w:eastAsia="Times New Roman" w:hAnsiTheme="minorHAnsi" w:cstheme="minorHAnsi"/>
                <w:sz w:val="17"/>
                <w:szCs w:val="19"/>
                <w:lang w:eastAsia="en-AU"/>
              </w:rPr>
              <w:t xml:space="preserve"> involving admission to the ICU for procedures involving listed items </w:t>
            </w:r>
          </w:p>
        </w:tc>
        <w:tc>
          <w:tcPr>
            <w:tcW w:w="6016" w:type="dxa"/>
            <w:shd w:val="clear" w:color="auto" w:fill="FFFFFF" w:themeFill="background1"/>
          </w:tcPr>
          <w:p w14:paraId="45DBF848" w14:textId="77777777" w:rsidR="006F29B9" w:rsidRPr="0088201A" w:rsidRDefault="006F29B9">
            <w:pPr>
              <w:pStyle w:val="TableNText"/>
            </w:pPr>
            <w:r w:rsidRPr="0088201A">
              <w:t>To help inform an assessment of whether there is any positive or adverse impact of the reforms on surgical outcomes</w:t>
            </w:r>
            <w:r>
              <w:t>.</w:t>
            </w:r>
          </w:p>
        </w:tc>
      </w:tr>
      <w:tr w:rsidR="006F29B9" w:rsidRPr="00366264" w14:paraId="041A4F6B" w14:textId="77777777" w:rsidTr="3787E91E">
        <w:trPr>
          <w:cnfStyle w:val="000000100000" w:firstRow="0" w:lastRow="0" w:firstColumn="0" w:lastColumn="0" w:oddVBand="0" w:evenVBand="0" w:oddHBand="1" w:evenHBand="0" w:firstRowFirstColumn="0" w:firstRowLastColumn="0" w:lastRowFirstColumn="0" w:lastRowLastColumn="0"/>
          <w:trHeight w:val="800"/>
        </w:trPr>
        <w:tc>
          <w:tcPr>
            <w:tcW w:w="2984" w:type="dxa"/>
            <w:shd w:val="clear" w:color="auto" w:fill="FFFFFF" w:themeFill="background1"/>
          </w:tcPr>
          <w:p w14:paraId="3E8C4301" w14:textId="77777777" w:rsidR="006F29B9" w:rsidRPr="0088201A" w:rsidRDefault="006F29B9" w:rsidP="00130575">
            <w:pPr>
              <w:suppressAutoHyphens/>
              <w:spacing w:before="40" w:after="40"/>
              <w:ind w:right="567"/>
              <w:rPr>
                <w:rFonts w:asciiTheme="minorHAnsi" w:eastAsia="Times New Roman" w:hAnsiTheme="minorHAnsi" w:cstheme="minorHAnsi"/>
                <w:sz w:val="17"/>
                <w:szCs w:val="19"/>
                <w:lang w:eastAsia="en-AU"/>
              </w:rPr>
            </w:pPr>
            <w:r w:rsidRPr="0088201A">
              <w:rPr>
                <w:noProof/>
              </w:rPr>
              <w:drawing>
                <wp:anchor distT="0" distB="0" distL="114300" distR="114300" simplePos="0" relativeHeight="251658240" behindDoc="0" locked="0" layoutInCell="1" allowOverlap="1" wp14:anchorId="6F86D872" wp14:editId="741E3DC9">
                  <wp:simplePos x="0" y="0"/>
                  <wp:positionH relativeFrom="column">
                    <wp:posOffset>1382395</wp:posOffset>
                  </wp:positionH>
                  <wp:positionV relativeFrom="paragraph">
                    <wp:posOffset>84455</wp:posOffset>
                  </wp:positionV>
                  <wp:extent cx="320040" cy="320040"/>
                  <wp:effectExtent l="0" t="0" r="3810" b="3810"/>
                  <wp:wrapSquare wrapText="bothSides"/>
                  <wp:docPr id="46" name="Graphic 46">
                    <a:extLst xmlns:a="http://schemas.openxmlformats.org/drawingml/2006/main">
                      <a:ext uri="{FF2B5EF4-FFF2-40B4-BE49-F238E27FC236}">
                        <a16:creationId xmlns:a16="http://schemas.microsoft.com/office/drawing/2014/main" id="{2AE52C4A-3707-41D7-BA59-A36C42A4980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FF2B5EF4-FFF2-40B4-BE49-F238E27FC236}">
                                <a16:creationId xmlns:a16="http://schemas.microsoft.com/office/drawing/2014/main" id="{2AE52C4A-3707-41D7-BA59-A36C42A4980B}"/>
                              </a:ext>
                              <a:ext uri="{C183D7F6-B498-43B3-948B-1728B52AA6E4}">
                                <adec:decorative xmlns:adec="http://schemas.microsoft.com/office/drawing/2017/decorative" val="1"/>
                              </a:ext>
                            </a:extLst>
                          </pic:cNvPr>
                          <pic:cNvPicPr>
                            <a:picLocks noChangeAspect="1"/>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Pr="0088201A">
              <w:rPr>
                <w:rFonts w:asciiTheme="majorHAnsi" w:eastAsia="Times New Roman" w:hAnsiTheme="majorHAnsi" w:cstheme="majorHAnsi"/>
                <w:sz w:val="17"/>
                <w:szCs w:val="19"/>
                <w:lang w:eastAsia="en-AU"/>
              </w:rPr>
              <w:t>Readmitted patients</w:t>
            </w:r>
            <w:r w:rsidRPr="0088201A">
              <w:rPr>
                <w:rFonts w:asciiTheme="minorHAnsi" w:eastAsia="Times New Roman" w:hAnsiTheme="minorHAnsi" w:cstheme="minorHAnsi"/>
                <w:sz w:val="17"/>
                <w:szCs w:val="19"/>
                <w:lang w:eastAsia="en-AU"/>
              </w:rPr>
              <w:t xml:space="preserve"> for procedures involving PL listed items</w:t>
            </w:r>
          </w:p>
        </w:tc>
        <w:tc>
          <w:tcPr>
            <w:tcW w:w="6016" w:type="dxa"/>
            <w:shd w:val="clear" w:color="auto" w:fill="FFFFFF" w:themeFill="background1"/>
          </w:tcPr>
          <w:p w14:paraId="25F35BED" w14:textId="77777777" w:rsidR="006F29B9" w:rsidRPr="0088201A" w:rsidRDefault="006F29B9">
            <w:pPr>
              <w:pStyle w:val="TableNText"/>
            </w:pPr>
            <w:r w:rsidRPr="0088201A">
              <w:t>To help inform an assessment of whether there is any positive or adverse impact of the reforms on surgical outcomes</w:t>
            </w:r>
            <w:r>
              <w:t>.</w:t>
            </w:r>
          </w:p>
        </w:tc>
      </w:tr>
    </w:tbl>
    <w:p w14:paraId="006577D1" w14:textId="77777777" w:rsidR="006F29B9" w:rsidRPr="0088201A" w:rsidRDefault="006F29B9" w:rsidP="00FB048B">
      <w:pPr>
        <w:pStyle w:val="Heading3"/>
      </w:pPr>
      <w:r w:rsidRPr="3787E91E">
        <w:t xml:space="preserve">The evaluation will monitor for unintended </w:t>
      </w:r>
      <w:proofErr w:type="gramStart"/>
      <w:r w:rsidRPr="3787E91E">
        <w:t>outcomes</w:t>
      </w:r>
      <w:proofErr w:type="gramEnd"/>
      <w:r w:rsidRPr="3787E91E">
        <w:t xml:space="preserve"> </w:t>
      </w:r>
    </w:p>
    <w:p w14:paraId="4FB24C64" w14:textId="7E9EF142" w:rsidR="006F29B9" w:rsidRPr="0088201A" w:rsidRDefault="006F29B9" w:rsidP="006F29B9">
      <w:pPr>
        <w:rPr>
          <w:lang w:eastAsia="en-AU"/>
        </w:rPr>
      </w:pPr>
      <w:r w:rsidRPr="0088201A">
        <w:rPr>
          <w:lang w:eastAsia="en-AU"/>
        </w:rPr>
        <w:t xml:space="preserve">The PL reforms have been designed to help slow the growth of </w:t>
      </w:r>
      <w:r>
        <w:rPr>
          <w:lang w:eastAsia="en-AU"/>
        </w:rPr>
        <w:t>PHI</w:t>
      </w:r>
      <w:r w:rsidRPr="0088201A">
        <w:rPr>
          <w:lang w:eastAsia="en-AU"/>
        </w:rPr>
        <w:t xml:space="preserve"> premiums, without interfering with the ability of doctors and patients’ ability to choose their preferred device. As a result, in addition to assessing whether the reforms achieve the desired outcomes (such as those that could be measured using the indicators described in </w:t>
      </w:r>
      <w:r w:rsidRPr="0088201A">
        <w:rPr>
          <w:lang w:eastAsia="en-AU"/>
        </w:rPr>
        <w:fldChar w:fldCharType="begin"/>
      </w:r>
      <w:r w:rsidRPr="0088201A">
        <w:rPr>
          <w:lang w:eastAsia="en-AU"/>
        </w:rPr>
        <w:instrText xml:space="preserve"> REF _Ref141803365 \h </w:instrText>
      </w:r>
      <w:r w:rsidRPr="0088201A">
        <w:rPr>
          <w:lang w:eastAsia="en-AU"/>
        </w:rPr>
      </w:r>
      <w:r w:rsidRPr="0088201A">
        <w:rPr>
          <w:lang w:eastAsia="en-AU"/>
        </w:rPr>
        <w:fldChar w:fldCharType="separate"/>
      </w:r>
      <w:r w:rsidR="00026714" w:rsidRPr="0088201A">
        <w:t xml:space="preserve">Table </w:t>
      </w:r>
      <w:r w:rsidR="00026714">
        <w:rPr>
          <w:noProof/>
        </w:rPr>
        <w:t>10</w:t>
      </w:r>
      <w:r w:rsidRPr="0088201A">
        <w:rPr>
          <w:lang w:eastAsia="en-AU"/>
        </w:rPr>
        <w:fldChar w:fldCharType="end"/>
      </w:r>
      <w:r w:rsidRPr="0088201A">
        <w:rPr>
          <w:lang w:eastAsia="en-AU"/>
        </w:rPr>
        <w:t xml:space="preserve">), the evaluation will also seek to use quantitative data to assess whether there have had any unintended consequences associated with the reforms. Amongst other consequences, these unintended effects could potentially include: </w:t>
      </w:r>
    </w:p>
    <w:p w14:paraId="06296C67" w14:textId="77777777" w:rsidR="006F29B9" w:rsidRPr="00283BA4" w:rsidRDefault="006F29B9" w:rsidP="00283BA4">
      <w:pPr>
        <w:pStyle w:val="Bullet"/>
      </w:pPr>
      <w:r w:rsidRPr="3787E91E">
        <w:rPr>
          <w:rFonts w:asciiTheme="majorHAnsi" w:hAnsiTheme="majorHAnsi" w:cstheme="majorBidi"/>
        </w:rPr>
        <w:t>Increased out-of-pocket costs for patients |</w:t>
      </w:r>
      <w:r w:rsidRPr="3787E91E">
        <w:t xml:space="preserve"> Under the reforms, some items are being removed from the PL, with prices to be set under alternate arrangements. One unintended side-effect of the reforms could be an increase in out-of-pocket costs for consumers if arrangements that provide gap-free access to these devices are not established. Data on the out-of-pocket costs for items that were listed on the PL, pre-reform, could help to confirm or refute whether this occurs. </w:t>
      </w:r>
    </w:p>
    <w:p w14:paraId="7E3065A2" w14:textId="77777777" w:rsidR="006F29B9" w:rsidRPr="00283BA4" w:rsidRDefault="006F29B9" w:rsidP="00283BA4">
      <w:pPr>
        <w:pStyle w:val="Bullet"/>
      </w:pPr>
      <w:r w:rsidRPr="3787E91E">
        <w:rPr>
          <w:rFonts w:asciiTheme="majorHAnsi" w:hAnsiTheme="majorHAnsi" w:cstheme="majorBidi"/>
        </w:rPr>
        <w:t>Sponsors not applying to have clinically effective devices listed on the PL |</w:t>
      </w:r>
      <w:r w:rsidRPr="3787E91E">
        <w:t xml:space="preserve"> It is possible that the benefit reductions and new cost-recovery processes could lower the incentives for medical device sponsors to apply to list an item on the PL. This would deny patients of access to potentially beneficial new devices. Data on the number of new applications and listing could be used to help monitor whether this is occurring. </w:t>
      </w:r>
    </w:p>
    <w:p w14:paraId="21B7FD3A" w14:textId="77777777" w:rsidR="006F29B9" w:rsidRPr="00283BA4" w:rsidRDefault="006F29B9" w:rsidP="00283BA4">
      <w:pPr>
        <w:pStyle w:val="Bullet"/>
      </w:pPr>
      <w:r w:rsidRPr="3787E91E">
        <w:rPr>
          <w:rFonts w:asciiTheme="majorHAnsi" w:hAnsiTheme="majorHAnsi" w:cstheme="majorBidi"/>
        </w:rPr>
        <w:t>Private patients having reduced access to items previously listed on the PL |</w:t>
      </w:r>
      <w:r w:rsidRPr="3787E91E">
        <w:t xml:space="preserve"> It is possible that alternative payment arrangements for devices that are removed from the PL are not established, leading to reduced access. This could be monitored using utilisation data for the delisted devices. </w:t>
      </w:r>
    </w:p>
    <w:p w14:paraId="2A7A59D6" w14:textId="628BB50E" w:rsidR="006F29B9" w:rsidRPr="00283BA4" w:rsidRDefault="006F29B9" w:rsidP="00283BA4">
      <w:pPr>
        <w:pStyle w:val="Bullet"/>
      </w:pPr>
      <w:r w:rsidRPr="3787E91E">
        <w:rPr>
          <w:rFonts w:asciiTheme="majorHAnsi" w:hAnsiTheme="majorHAnsi" w:cstheme="majorBidi"/>
        </w:rPr>
        <w:t>Benefit reductions not being fully passed on to private health customers |</w:t>
      </w:r>
      <w:r w:rsidRPr="3787E91E">
        <w:t xml:space="preserve"> This would occur if there </w:t>
      </w:r>
      <w:r w:rsidR="00286CBF" w:rsidRPr="3787E91E">
        <w:t>were</w:t>
      </w:r>
      <w:r w:rsidRPr="3787E91E">
        <w:t xml:space="preserve"> insufficient competition in the PHI market. Data on average premiums and profit margins in the industry could be used to monitor this (noting that these will also be influenced by other confounding factors). </w:t>
      </w:r>
    </w:p>
    <w:p w14:paraId="32D53053" w14:textId="77777777" w:rsidR="006F29B9" w:rsidRPr="0088201A" w:rsidRDefault="006F29B9" w:rsidP="002B5426">
      <w:pPr>
        <w:pStyle w:val="Heading3"/>
      </w:pPr>
      <w:bookmarkStart w:id="129" w:name="_Ref141951583"/>
      <w:bookmarkStart w:id="130" w:name="_Toc142924184"/>
      <w:r>
        <w:lastRenderedPageBreak/>
        <w:t>Analytical methods</w:t>
      </w:r>
      <w:bookmarkEnd w:id="129"/>
      <w:bookmarkEnd w:id="130"/>
      <w:r>
        <w:t xml:space="preserve"> </w:t>
      </w:r>
    </w:p>
    <w:p w14:paraId="37ABA1DE" w14:textId="77777777" w:rsidR="006F29B9" w:rsidRPr="0088201A" w:rsidRDefault="006F29B9" w:rsidP="006F29B9">
      <w:pPr>
        <w:pStyle w:val="Heading4"/>
        <w:ind w:left="864" w:hanging="864"/>
      </w:pPr>
      <w:r w:rsidRPr="0088201A">
        <w:t xml:space="preserve">The evaluation will use both descriptive and inferential statistical </w:t>
      </w:r>
      <w:proofErr w:type="gramStart"/>
      <w:r w:rsidRPr="0088201A">
        <w:t>methods</w:t>
      </w:r>
      <w:proofErr w:type="gramEnd"/>
      <w:r w:rsidRPr="0088201A">
        <w:t xml:space="preserve"> </w:t>
      </w:r>
    </w:p>
    <w:p w14:paraId="4E6D8096" w14:textId="586D5E89" w:rsidR="006F29B9" w:rsidRPr="0088201A" w:rsidRDefault="006F29B9" w:rsidP="006F29B9">
      <w:pPr>
        <w:rPr>
          <w:lang w:eastAsia="en-AU"/>
        </w:rPr>
      </w:pPr>
      <w:r w:rsidRPr="0088201A">
        <w:rPr>
          <w:lang w:eastAsia="en-AU"/>
        </w:rPr>
        <w:t xml:space="preserve">The evaluation will draw upon both inferential and descriptive statistics when examining the </w:t>
      </w:r>
      <w:r>
        <w:rPr>
          <w:lang w:eastAsia="en-AU"/>
        </w:rPr>
        <w:t>PL Reform</w:t>
      </w:r>
      <w:r w:rsidRPr="0088201A">
        <w:rPr>
          <w:lang w:eastAsia="en-AU"/>
        </w:rPr>
        <w:t xml:space="preserve">s. A summary of the difference between these approaches can be found in </w:t>
      </w:r>
      <w:r w:rsidRPr="0088201A">
        <w:rPr>
          <w:lang w:eastAsia="en-AU"/>
        </w:rPr>
        <w:fldChar w:fldCharType="begin"/>
      </w:r>
      <w:r w:rsidRPr="0088201A">
        <w:rPr>
          <w:lang w:eastAsia="en-AU"/>
        </w:rPr>
        <w:instrText xml:space="preserve"> REF _Ref141802811 \h </w:instrText>
      </w:r>
      <w:r w:rsidRPr="0088201A">
        <w:rPr>
          <w:lang w:eastAsia="en-AU"/>
        </w:rPr>
      </w:r>
      <w:r w:rsidRPr="0088201A">
        <w:rPr>
          <w:lang w:eastAsia="en-AU"/>
        </w:rPr>
        <w:fldChar w:fldCharType="separate"/>
      </w:r>
      <w:r w:rsidR="00026714" w:rsidRPr="0088201A">
        <w:t xml:space="preserve">Figure </w:t>
      </w:r>
      <w:r w:rsidR="00026714">
        <w:rPr>
          <w:noProof/>
        </w:rPr>
        <w:t>38</w:t>
      </w:r>
      <w:r w:rsidRPr="0088201A">
        <w:rPr>
          <w:lang w:eastAsia="en-AU"/>
        </w:rPr>
        <w:fldChar w:fldCharType="end"/>
      </w:r>
      <w:r w:rsidRPr="0088201A">
        <w:rPr>
          <w:lang w:eastAsia="en-AU"/>
        </w:rPr>
        <w:t>. Methods relying on inferential statistics, such as regression and the application of a difference</w:t>
      </w:r>
      <w:r>
        <w:rPr>
          <w:lang w:eastAsia="en-AU"/>
        </w:rPr>
        <w:t>-</w:t>
      </w:r>
      <w:r w:rsidRPr="0088201A">
        <w:rPr>
          <w:lang w:eastAsia="en-AU"/>
        </w:rPr>
        <w:t>in</w:t>
      </w:r>
      <w:r>
        <w:rPr>
          <w:lang w:eastAsia="en-AU"/>
        </w:rPr>
        <w:t>-difference</w:t>
      </w:r>
      <w:r w:rsidRPr="0088201A">
        <w:rPr>
          <w:lang w:eastAsia="en-AU"/>
        </w:rPr>
        <w:t xml:space="preserve"> methodology are likely to be more applicable than descriptive statistics to building evidence for attribution (noting that even these techniques will generally be unable to definitively “prove” causation outright). </w:t>
      </w:r>
    </w:p>
    <w:p w14:paraId="59EAEA82" w14:textId="77777777" w:rsidR="006F29B9" w:rsidRPr="0088201A" w:rsidRDefault="006F29B9" w:rsidP="006F29B9">
      <w:pPr>
        <w:rPr>
          <w:lang w:eastAsia="en-AU"/>
        </w:rPr>
      </w:pPr>
      <w:r w:rsidRPr="0088201A">
        <w:rPr>
          <w:lang w:eastAsia="en-AU"/>
        </w:rPr>
        <w:t xml:space="preserve">Despite this, descriptive statistics will be useful for providing background context to the readers of evaluation reports and can also be used to identify areas that should be subject to further investigation. Descriptive statistics, when used appropriately, can powerfully convey insights quickly and in a way that is likely to be understood by a diverse range of stakeholders. </w:t>
      </w:r>
    </w:p>
    <w:p w14:paraId="24336C46" w14:textId="1A479A89" w:rsidR="006F29B9" w:rsidRPr="0088201A" w:rsidRDefault="006F29B9" w:rsidP="00130575">
      <w:pPr>
        <w:pStyle w:val="Caption"/>
        <w:tabs>
          <w:tab w:val="center" w:pos="4465"/>
        </w:tabs>
        <w:spacing w:before="240" w:after="120"/>
      </w:pPr>
      <w:bookmarkStart w:id="131" w:name="_Ref141802811"/>
      <w:r w:rsidRPr="0088201A">
        <w:t xml:space="preserve">Figure </w:t>
      </w:r>
      <w:r>
        <w:fldChar w:fldCharType="begin"/>
      </w:r>
      <w:r>
        <w:instrText xml:space="preserve"> SEQ Figure \* ARABIC </w:instrText>
      </w:r>
      <w:r>
        <w:fldChar w:fldCharType="separate"/>
      </w:r>
      <w:r w:rsidR="00026714">
        <w:rPr>
          <w:noProof/>
        </w:rPr>
        <w:t>38</w:t>
      </w:r>
      <w:r>
        <w:fldChar w:fldCharType="end"/>
      </w:r>
      <w:bookmarkEnd w:id="131"/>
      <w:r w:rsidRPr="0088201A">
        <w:t xml:space="preserve"> | Inferential and descriptive </w:t>
      </w:r>
      <w:proofErr w:type="gramStart"/>
      <w:r w:rsidRPr="0088201A">
        <w:t>statistics</w:t>
      </w:r>
      <w:proofErr w:type="gramEnd"/>
      <w:r w:rsidRPr="0088201A">
        <w:tab/>
      </w:r>
    </w:p>
    <w:p w14:paraId="63CD743F" w14:textId="77777777" w:rsidR="006F29B9" w:rsidRPr="0088201A" w:rsidRDefault="006F29B9" w:rsidP="006F29B9">
      <w:pPr>
        <w:rPr>
          <w:lang w:eastAsia="en-AU"/>
        </w:rPr>
      </w:pPr>
      <w:r>
        <w:rPr>
          <w:noProof/>
          <w:lang w:eastAsia="en-AU"/>
        </w:rPr>
        <w:drawing>
          <wp:inline distT="0" distB="0" distL="0" distR="0" wp14:anchorId="3045F237" wp14:editId="7B425911">
            <wp:extent cx="5670550" cy="2749550"/>
            <wp:effectExtent l="0" t="0" r="6350" b="0"/>
            <wp:docPr id="57" name="Picture 57" descr="A figure with information about inferential statistics on one side and descriptive statistics on the other, and example questions for each. Inferential statistics allows us to test hypotheses about variables and the underlying relationships between them. This can be helpful in identifying the extent to which changes in one variable can be attributed to changes in another. Descriptive statistics allows us to describe and quantify features of a sample that are of interest to an evaluation. This can help an evaluation to identify areas that should be subject to further investigation during the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figure with information about inferential statistics on one side and descriptive statistics on the other, and example questions for each. Inferential statistics allows us to test hypotheses about variables and the underlying relationships between them. This can be helpful in identifying the extent to which changes in one variable can be attributed to changes in another. Descriptive statistics allows us to describe and quantify features of a sample that are of interest to an evaluation. This can help an evaluation to identify areas that should be subject to further investigation during the evaluation."/>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670550" cy="2749550"/>
                    </a:xfrm>
                    <a:prstGeom prst="rect">
                      <a:avLst/>
                    </a:prstGeom>
                  </pic:spPr>
                </pic:pic>
              </a:graphicData>
            </a:graphic>
          </wp:inline>
        </w:drawing>
      </w:r>
    </w:p>
    <w:p w14:paraId="5BF18547" w14:textId="77777777" w:rsidR="006F29B9" w:rsidRPr="0088201A" w:rsidRDefault="006F29B9" w:rsidP="00130575">
      <w:pPr>
        <w:pStyle w:val="Heading4"/>
        <w:spacing w:before="360"/>
      </w:pPr>
      <w:r w:rsidRPr="0088201A">
        <w:t xml:space="preserve">Difference-in-difference and regression analysis can help attribute changes to the </w:t>
      </w:r>
      <w:proofErr w:type="gramStart"/>
      <w:r w:rsidRPr="0088201A">
        <w:t>reforms</w:t>
      </w:r>
      <w:proofErr w:type="gramEnd"/>
      <w:r w:rsidRPr="0088201A">
        <w:t xml:space="preserve"> </w:t>
      </w:r>
    </w:p>
    <w:p w14:paraId="5B92E050" w14:textId="77777777" w:rsidR="006F29B9" w:rsidRPr="0088201A" w:rsidRDefault="006F29B9" w:rsidP="006F29B9">
      <w:pPr>
        <w:rPr>
          <w:lang w:eastAsia="en-AU"/>
        </w:rPr>
      </w:pPr>
      <w:r w:rsidRPr="0088201A">
        <w:rPr>
          <w:lang w:eastAsia="en-AU"/>
        </w:rPr>
        <w:t xml:space="preserve">To answer the </w:t>
      </w:r>
      <w:r>
        <w:rPr>
          <w:lang w:eastAsia="en-AU"/>
        </w:rPr>
        <w:t>KEQ</w:t>
      </w:r>
      <w:r w:rsidRPr="0088201A">
        <w:rPr>
          <w:lang w:eastAsia="en-AU"/>
        </w:rPr>
        <w:t>s, the evaluation team will need to make assessments regarding the extent to which outcomes can be attributed to the reforms. In the context of public policy, it is impossible to obtain “experimental settings” in which causation can be directly determined by examining the impact of a change in one variable on another variable in an environment in which confounding factors are controlled.</w:t>
      </w:r>
    </w:p>
    <w:p w14:paraId="2CB45001" w14:textId="77777777" w:rsidR="006F29B9" w:rsidRPr="0088201A" w:rsidRDefault="006F29B9" w:rsidP="006F29B9">
      <w:pPr>
        <w:rPr>
          <w:lang w:eastAsia="en-AU"/>
        </w:rPr>
      </w:pPr>
      <w:r w:rsidRPr="0088201A">
        <w:rPr>
          <w:lang w:eastAsia="en-AU"/>
        </w:rPr>
        <w:t xml:space="preserve">Instead, the evaluation team will draw considered judgements based upon the triangulation of evidence derived from the toolkit of analytical techniques available. Inferential methods, such as the difference-in-difference approach and general linear models, are particularly powerful tools in identifying systemic relationships between variables. </w:t>
      </w:r>
    </w:p>
    <w:p w14:paraId="1C6E0245" w14:textId="77777777" w:rsidR="006F29B9" w:rsidRPr="0088201A" w:rsidRDefault="006F29B9" w:rsidP="006F29B9">
      <w:pPr>
        <w:pStyle w:val="Heading4"/>
      </w:pPr>
      <w:r w:rsidRPr="0088201A">
        <w:t xml:space="preserve">Difference-in-difference analysis considers the difference between the size of the changes in the indicators of “treatment” and “comparison” </w:t>
      </w:r>
      <w:proofErr w:type="gramStart"/>
      <w:r w:rsidRPr="0088201A">
        <w:t>groups</w:t>
      </w:r>
      <w:proofErr w:type="gramEnd"/>
      <w:r w:rsidRPr="0088201A">
        <w:t xml:space="preserve">  </w:t>
      </w:r>
    </w:p>
    <w:p w14:paraId="4359C49E" w14:textId="77777777" w:rsidR="006F29B9" w:rsidRPr="0088201A" w:rsidRDefault="006F29B9" w:rsidP="006F29B9">
      <w:pPr>
        <w:rPr>
          <w:lang w:eastAsia="en-AU"/>
        </w:rPr>
      </w:pPr>
      <w:r w:rsidRPr="0088201A">
        <w:rPr>
          <w:lang w:eastAsia="en-AU"/>
        </w:rPr>
        <w:t xml:space="preserve">Applied in the context of this evaluation, the difference-in-difference methodology involves estimating the share of the change (or “difference”) in an indicator’s value for a “treatment group” that can be attributed to a particular component of the </w:t>
      </w:r>
      <w:r>
        <w:rPr>
          <w:lang w:eastAsia="en-AU"/>
        </w:rPr>
        <w:t>PL Reform</w:t>
      </w:r>
      <w:r w:rsidRPr="0088201A">
        <w:rPr>
          <w:lang w:eastAsia="en-AU"/>
        </w:rPr>
        <w:t xml:space="preserve">s. This “treatment group” is a data series that has the potential to be impacted directly by the reforms (for example the utilisation of prostheses in the private sector). </w:t>
      </w:r>
    </w:p>
    <w:p w14:paraId="65D8BA09" w14:textId="69C967D6" w:rsidR="006F29B9" w:rsidRPr="0088201A" w:rsidRDefault="006F29B9" w:rsidP="006F29B9">
      <w:pPr>
        <w:rPr>
          <w:lang w:eastAsia="en-AU"/>
        </w:rPr>
      </w:pPr>
      <w:r w:rsidRPr="0088201A">
        <w:rPr>
          <w:lang w:eastAsia="en-AU"/>
        </w:rPr>
        <w:lastRenderedPageBreak/>
        <w:t xml:space="preserve">This is accomplished by subtracting the change of the indicator of a comparison group, which is a data series that it is assumed will be unaffected by the reforms, from the change in the indicator of the treatment group. This logic is depicted in </w:t>
      </w:r>
      <w:r w:rsidRPr="0088201A">
        <w:rPr>
          <w:lang w:eastAsia="en-AU"/>
        </w:rPr>
        <w:fldChar w:fldCharType="begin"/>
      </w:r>
      <w:r w:rsidRPr="0088201A">
        <w:rPr>
          <w:lang w:eastAsia="en-AU"/>
        </w:rPr>
        <w:instrText xml:space="preserve"> REF _Ref141819332 \h </w:instrText>
      </w:r>
      <w:r w:rsidRPr="0088201A">
        <w:rPr>
          <w:lang w:eastAsia="en-AU"/>
        </w:rPr>
      </w:r>
      <w:r w:rsidRPr="0088201A">
        <w:rPr>
          <w:lang w:eastAsia="en-AU"/>
        </w:rPr>
        <w:fldChar w:fldCharType="separate"/>
      </w:r>
      <w:r w:rsidR="00026714" w:rsidRPr="0088201A">
        <w:t xml:space="preserve">Figure </w:t>
      </w:r>
      <w:r w:rsidR="00026714">
        <w:rPr>
          <w:noProof/>
        </w:rPr>
        <w:t>39</w:t>
      </w:r>
      <w:r w:rsidRPr="0088201A">
        <w:rPr>
          <w:lang w:eastAsia="en-AU"/>
        </w:rPr>
        <w:fldChar w:fldCharType="end"/>
      </w:r>
      <w:r>
        <w:rPr>
          <w:lang w:eastAsia="en-AU"/>
        </w:rPr>
        <w:t>.</w:t>
      </w:r>
    </w:p>
    <w:p w14:paraId="4665E6E7" w14:textId="404B87A6" w:rsidR="006F29B9" w:rsidRPr="0088201A" w:rsidRDefault="006F29B9" w:rsidP="00130575">
      <w:pPr>
        <w:pStyle w:val="Caption"/>
        <w:spacing w:before="240" w:after="120"/>
      </w:pPr>
      <w:bookmarkStart w:id="132" w:name="_Ref141819332"/>
      <w:bookmarkStart w:id="133" w:name="_Ref141819328"/>
      <w:r w:rsidRPr="0088201A">
        <w:t xml:space="preserve">Figure </w:t>
      </w:r>
      <w:r>
        <w:fldChar w:fldCharType="begin"/>
      </w:r>
      <w:r>
        <w:instrText xml:space="preserve"> SEQ Figure \* ARABIC </w:instrText>
      </w:r>
      <w:r>
        <w:fldChar w:fldCharType="separate"/>
      </w:r>
      <w:r w:rsidR="00026714">
        <w:rPr>
          <w:noProof/>
        </w:rPr>
        <w:t>39</w:t>
      </w:r>
      <w:r>
        <w:fldChar w:fldCharType="end"/>
      </w:r>
      <w:bookmarkEnd w:id="132"/>
      <w:r w:rsidRPr="0088201A">
        <w:t xml:space="preserve"> | Difference-in-difference </w:t>
      </w:r>
      <w:proofErr w:type="gramStart"/>
      <w:r w:rsidRPr="0088201A">
        <w:t>methodology</w:t>
      </w:r>
      <w:bookmarkEnd w:id="133"/>
      <w:proofErr w:type="gramEnd"/>
    </w:p>
    <w:p w14:paraId="4E57FA84" w14:textId="77777777" w:rsidR="006F29B9" w:rsidRPr="0088201A" w:rsidRDefault="006F29B9" w:rsidP="006F29B9">
      <w:pPr>
        <w:rPr>
          <w:lang w:eastAsia="en-AU"/>
        </w:rPr>
      </w:pPr>
      <w:r w:rsidRPr="0088201A">
        <w:rPr>
          <w:noProof/>
        </w:rPr>
        <w:drawing>
          <wp:inline distT="0" distB="0" distL="0" distR="0" wp14:anchorId="2B814AB7" wp14:editId="2390F6FB">
            <wp:extent cx="5670550" cy="2777490"/>
            <wp:effectExtent l="0" t="0" r="6350" b="3810"/>
            <wp:docPr id="7" name="Picture 7" descr="A graph showing health/financial indicator on the y-axis and time on the x-axis. Arrows illustrate a difference-in-difference methodology by comparing the change in a  treatment group to a comparison group before and after a policy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showing health/financial indicator on the y-axis and time on the x-axis. Arrows illustrate a difference-in-difference methodology by comparing the change in a  treatment group to a comparison group before and after a policy chang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70550" cy="2777490"/>
                    </a:xfrm>
                    <a:prstGeom prst="rect">
                      <a:avLst/>
                    </a:prstGeom>
                    <a:noFill/>
                    <a:ln>
                      <a:noFill/>
                    </a:ln>
                  </pic:spPr>
                </pic:pic>
              </a:graphicData>
            </a:graphic>
          </wp:inline>
        </w:drawing>
      </w:r>
    </w:p>
    <w:p w14:paraId="2032888D" w14:textId="77777777" w:rsidR="006F29B9" w:rsidRPr="0088201A" w:rsidRDefault="006F29B9" w:rsidP="00130575">
      <w:pPr>
        <w:spacing w:before="240"/>
        <w:rPr>
          <w:lang w:eastAsia="en-AU"/>
        </w:rPr>
      </w:pPr>
      <w:r w:rsidRPr="0088201A">
        <w:rPr>
          <w:lang w:eastAsia="en-AU"/>
        </w:rPr>
        <w:t xml:space="preserve">As shown, the difference-in-difference methodology assumes that the counterfactual trend of the treatment group, in absence of reform, would be the same as the comparison group (this is known as the “parallel trends assumption”). In the context of the </w:t>
      </w:r>
      <w:r>
        <w:rPr>
          <w:lang w:eastAsia="en-AU"/>
        </w:rPr>
        <w:t>PL Reform</w:t>
      </w:r>
      <w:r w:rsidRPr="0088201A">
        <w:rPr>
          <w:lang w:eastAsia="en-AU"/>
        </w:rPr>
        <w:t>s, examples of groups that may satisfy the parallel trends assumption, and which could be considered through this sort of analysis, could be</w:t>
      </w:r>
      <w:r>
        <w:rPr>
          <w:lang w:eastAsia="en-AU"/>
        </w:rPr>
        <w:t xml:space="preserve"> </w:t>
      </w:r>
      <w:r>
        <w:t>i</w:t>
      </w:r>
      <w:r w:rsidRPr="0088201A">
        <w:t>ndicators relating to</w:t>
      </w:r>
      <w:r w:rsidRPr="0088201A">
        <w:rPr>
          <w:lang w:eastAsia="en-AU"/>
        </w:rPr>
        <w:t xml:space="preserve">: </w:t>
      </w:r>
    </w:p>
    <w:p w14:paraId="4DAD4098" w14:textId="2A6C0248" w:rsidR="006F29B9" w:rsidRPr="00283BA4" w:rsidRDefault="002B5929" w:rsidP="00283BA4">
      <w:pPr>
        <w:pStyle w:val="Bullet"/>
      </w:pPr>
      <w:r w:rsidRPr="00283BA4">
        <w:t>A</w:t>
      </w:r>
      <w:r w:rsidR="006F29B9" w:rsidRPr="00283BA4">
        <w:t xml:space="preserve"> group of prostheses in both the private (treated) and public (comparison) </w:t>
      </w:r>
      <w:proofErr w:type="gramStart"/>
      <w:r w:rsidR="006F29B9" w:rsidRPr="00283BA4">
        <w:t>sectors</w:t>
      </w:r>
      <w:proofErr w:type="gramEnd"/>
      <w:r w:rsidR="006F29B9" w:rsidRPr="00283BA4">
        <w:t xml:space="preserve"> </w:t>
      </w:r>
    </w:p>
    <w:p w14:paraId="0A93E9FA" w14:textId="7BED17B7" w:rsidR="006F29B9" w:rsidRPr="00283BA4" w:rsidRDefault="002B5929" w:rsidP="00283BA4">
      <w:pPr>
        <w:pStyle w:val="Bullet"/>
      </w:pPr>
      <w:r w:rsidRPr="00283BA4">
        <w:t>I</w:t>
      </w:r>
      <w:r w:rsidR="006F29B9" w:rsidRPr="00283BA4">
        <w:t>tems on the PL pre-reform that are subject to a benefit reduction (treated) and items that do not have a benefit reduction (comparison).</w:t>
      </w:r>
    </w:p>
    <w:p w14:paraId="6783DEBB" w14:textId="77777777" w:rsidR="006F29B9" w:rsidRPr="0088201A" w:rsidRDefault="006F29B9" w:rsidP="006F29B9">
      <w:pPr>
        <w:pStyle w:val="Heading4"/>
        <w:ind w:left="864" w:hanging="864"/>
      </w:pPr>
      <w:r w:rsidRPr="0088201A">
        <w:t xml:space="preserve">A general linear model can be used to control for the effects of confounding </w:t>
      </w:r>
      <w:proofErr w:type="gramStart"/>
      <w:r w:rsidRPr="0088201A">
        <w:t>factors</w:t>
      </w:r>
      <w:proofErr w:type="gramEnd"/>
      <w:r w:rsidRPr="0088201A">
        <w:t xml:space="preserve"> </w:t>
      </w:r>
    </w:p>
    <w:p w14:paraId="49048DA4" w14:textId="56B50022" w:rsidR="006F29B9" w:rsidRPr="0088201A" w:rsidRDefault="006F29B9" w:rsidP="006F29B9">
      <w:pPr>
        <w:rPr>
          <w:lang w:eastAsia="en-AU"/>
        </w:rPr>
      </w:pPr>
      <w:r w:rsidRPr="0088201A">
        <w:rPr>
          <w:lang w:eastAsia="en-AU"/>
        </w:rPr>
        <w:t xml:space="preserve">In some cases, the difference-in-difference approach will not be appropriate because a comparison group that satisfied the parallel trend assumption cannot be identified. Alternatively, there may not be a clear distinction between “treated” and “control” groups because there could be varying levels of treatment (e.g., benefit reductions of different amounts). In these cases, general linear modelling is another inferential technique that could be used to make judgements about attribution. This approach is summarised in </w:t>
      </w:r>
      <w:r w:rsidRPr="0088201A">
        <w:rPr>
          <w:lang w:eastAsia="en-AU"/>
        </w:rPr>
        <w:fldChar w:fldCharType="begin"/>
      </w:r>
      <w:r w:rsidRPr="0088201A">
        <w:rPr>
          <w:lang w:eastAsia="en-AU"/>
        </w:rPr>
        <w:instrText xml:space="preserve"> REF _Ref141821953 \h </w:instrText>
      </w:r>
      <w:r>
        <w:rPr>
          <w:lang w:eastAsia="en-AU"/>
        </w:rPr>
        <w:instrText xml:space="preserve"> \* MERGEFORMAT </w:instrText>
      </w:r>
      <w:r w:rsidRPr="0088201A">
        <w:rPr>
          <w:lang w:eastAsia="en-AU"/>
        </w:rPr>
      </w:r>
      <w:r w:rsidRPr="0088201A">
        <w:rPr>
          <w:lang w:eastAsia="en-AU"/>
        </w:rPr>
        <w:fldChar w:fldCharType="separate"/>
      </w:r>
      <w:r w:rsidR="00026714" w:rsidRPr="0088201A">
        <w:t xml:space="preserve">Figure </w:t>
      </w:r>
      <w:r w:rsidR="00026714">
        <w:rPr>
          <w:noProof/>
        </w:rPr>
        <w:t>40</w:t>
      </w:r>
      <w:r w:rsidRPr="0088201A">
        <w:rPr>
          <w:lang w:eastAsia="en-AU"/>
        </w:rPr>
        <w:fldChar w:fldCharType="end"/>
      </w:r>
      <w:r w:rsidRPr="0088201A">
        <w:rPr>
          <w:lang w:eastAsia="en-AU"/>
        </w:rPr>
        <w:t xml:space="preserve"> (see overleaf).</w:t>
      </w:r>
      <w:r>
        <w:rPr>
          <w:lang w:eastAsia="en-AU"/>
        </w:rPr>
        <w:t xml:space="preserve"> </w:t>
      </w:r>
    </w:p>
    <w:p w14:paraId="4EBAA106" w14:textId="77777777" w:rsidR="006F29B9" w:rsidRPr="0088201A" w:rsidRDefault="006F29B9" w:rsidP="006F29B9">
      <w:pPr>
        <w:rPr>
          <w:lang w:eastAsia="en-AU"/>
        </w:rPr>
      </w:pPr>
      <w:r w:rsidRPr="0088201A">
        <w:rPr>
          <w:lang w:eastAsia="en-AU"/>
        </w:rPr>
        <w:t xml:space="preserve">Despite their power as an analytical approach, general linear models are still subject to several limitations. One limitation is the potential for reverse causation, with the dependent variable causing the explanatory variable. </w:t>
      </w:r>
    </w:p>
    <w:p w14:paraId="68C031DA" w14:textId="77777777" w:rsidR="006F29B9" w:rsidRPr="0088201A" w:rsidRDefault="006F29B9" w:rsidP="006F29B9">
      <w:pPr>
        <w:rPr>
          <w:lang w:eastAsia="en-AU"/>
        </w:rPr>
      </w:pPr>
      <w:r w:rsidRPr="0088201A">
        <w:rPr>
          <w:lang w:eastAsia="en-AU"/>
        </w:rPr>
        <w:t xml:space="preserve">Reverse causality is not likely to be a major issue in the context of the </w:t>
      </w:r>
      <w:r>
        <w:rPr>
          <w:lang w:eastAsia="en-AU"/>
        </w:rPr>
        <w:t>PL Reform</w:t>
      </w:r>
      <w:r w:rsidRPr="0088201A">
        <w:rPr>
          <w:lang w:eastAsia="en-AU"/>
        </w:rPr>
        <w:t xml:space="preserve">s, as the reforms originate with policy changes set by the Commonwealth Government. Additionally, the theory of change articulated </w:t>
      </w:r>
      <w:r>
        <w:rPr>
          <w:lang w:eastAsia="en-AU"/>
        </w:rPr>
        <w:t>with</w:t>
      </w:r>
      <w:r w:rsidRPr="0088201A">
        <w:rPr>
          <w:lang w:eastAsia="en-AU"/>
        </w:rPr>
        <w:t xml:space="preserve"> the program logic explicitly represents the assumptions that are made about the pathways of causality – allowing for assumptions to be transparently tested with stakeholders. </w:t>
      </w:r>
    </w:p>
    <w:p w14:paraId="30456DC2" w14:textId="77777777" w:rsidR="006F29B9" w:rsidRPr="0088201A" w:rsidRDefault="006F29B9" w:rsidP="006F29B9">
      <w:pPr>
        <w:rPr>
          <w:lang w:eastAsia="en-AU"/>
        </w:rPr>
      </w:pPr>
      <w:r w:rsidRPr="0088201A">
        <w:rPr>
          <w:lang w:eastAsia="en-AU"/>
        </w:rPr>
        <w:t xml:space="preserve">Alternatively, it is possible that there are confounding factors (other explanatory variables) that cannot be identified, or for which data is not available. As a result of these limitations, the evaluation team will apply their discretion when making any assessments relating to attribution and will transparently document the limitations of any analysis. </w:t>
      </w:r>
    </w:p>
    <w:p w14:paraId="72908517" w14:textId="428A6735" w:rsidR="006F29B9" w:rsidRDefault="006F29B9" w:rsidP="00130575">
      <w:pPr>
        <w:pStyle w:val="Caption"/>
        <w:spacing w:before="240" w:after="120"/>
        <w:rPr>
          <w:lang w:eastAsia="en-AU"/>
        </w:rPr>
      </w:pPr>
      <w:bookmarkStart w:id="134" w:name="_Ref141821953"/>
      <w:r w:rsidRPr="0088201A">
        <w:lastRenderedPageBreak/>
        <w:t xml:space="preserve">Figure </w:t>
      </w:r>
      <w:r>
        <w:fldChar w:fldCharType="begin"/>
      </w:r>
      <w:r>
        <w:instrText xml:space="preserve"> SEQ Figure \* ARABIC </w:instrText>
      </w:r>
      <w:r>
        <w:fldChar w:fldCharType="separate"/>
      </w:r>
      <w:r w:rsidR="00026714">
        <w:rPr>
          <w:noProof/>
        </w:rPr>
        <w:t>40</w:t>
      </w:r>
      <w:r>
        <w:fldChar w:fldCharType="end"/>
      </w:r>
      <w:bookmarkEnd w:id="134"/>
      <w:r w:rsidRPr="0088201A">
        <w:t xml:space="preserve"> | General </w:t>
      </w:r>
      <w:r>
        <w:t>l</w:t>
      </w:r>
      <w:r w:rsidRPr="0088201A">
        <w:t xml:space="preserve">inear </w:t>
      </w:r>
      <w:proofErr w:type="gramStart"/>
      <w:r w:rsidRPr="0088201A">
        <w:t>modelling</w:t>
      </w:r>
      <w:proofErr w:type="gramEnd"/>
      <w:r w:rsidRPr="00FD6131">
        <w:rPr>
          <w:lang w:eastAsia="en-AU"/>
        </w:rPr>
        <w:t xml:space="preserve"> </w:t>
      </w:r>
    </w:p>
    <w:p w14:paraId="2D4EA67D" w14:textId="77777777" w:rsidR="006F29B9" w:rsidRPr="0088201A" w:rsidRDefault="006F29B9" w:rsidP="006F29B9">
      <w:pPr>
        <w:rPr>
          <w:lang w:eastAsia="en-AU"/>
        </w:rPr>
      </w:pPr>
      <w:r w:rsidRPr="0054501F">
        <w:rPr>
          <w:noProof/>
        </w:rPr>
        <w:drawing>
          <wp:inline distT="0" distB="0" distL="0" distR="0" wp14:anchorId="401C3ED2" wp14:editId="2518D695">
            <wp:extent cx="5670550" cy="2776855"/>
            <wp:effectExtent l="0" t="0" r="6350" b="4445"/>
            <wp:docPr id="58" name="Picture 58" descr="A graph showing health/financial indicator on the y-axis and time on the x-axis. Arrows illustrate general linear mod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graph showing health/financial indicator on the y-axis and time on the x-axis. Arrows illustrate general linear modelli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70550" cy="2776855"/>
                    </a:xfrm>
                    <a:prstGeom prst="rect">
                      <a:avLst/>
                    </a:prstGeom>
                    <a:noFill/>
                    <a:ln>
                      <a:noFill/>
                    </a:ln>
                  </pic:spPr>
                </pic:pic>
              </a:graphicData>
            </a:graphic>
          </wp:inline>
        </w:drawing>
      </w:r>
    </w:p>
    <w:p w14:paraId="3D55C8E0" w14:textId="77777777" w:rsidR="006F29B9" w:rsidRPr="0088201A" w:rsidRDefault="006F29B9" w:rsidP="00130575">
      <w:pPr>
        <w:pStyle w:val="Heading4"/>
        <w:spacing w:before="360"/>
      </w:pPr>
      <w:r w:rsidRPr="3787E91E">
        <w:t xml:space="preserve">The evaluation will use the analytical tool appropriate to the outcome and reform component being </w:t>
      </w:r>
      <w:proofErr w:type="gramStart"/>
      <w:r w:rsidRPr="3787E91E">
        <w:t>considered</w:t>
      </w:r>
      <w:proofErr w:type="gramEnd"/>
    </w:p>
    <w:p w14:paraId="1F080D72" w14:textId="77777777" w:rsidR="006F29B9" w:rsidRPr="0088201A" w:rsidRDefault="006F29B9" w:rsidP="006F29B9">
      <w:pPr>
        <w:rPr>
          <w:lang w:eastAsia="en-AU"/>
        </w:rPr>
      </w:pPr>
      <w:r w:rsidRPr="0088201A">
        <w:rPr>
          <w:lang w:eastAsia="en-AU"/>
        </w:rPr>
        <w:t xml:space="preserve">Both descriptive statistics and inferential statistics – in both the form of the difference-in-difference methodology and general linear models – are important tools. Over the course of the evaluation, they will be applied, alongside qualitative methods, to help answer the </w:t>
      </w:r>
      <w:r>
        <w:rPr>
          <w:lang w:eastAsia="en-AU"/>
        </w:rPr>
        <w:t>KEQ</w:t>
      </w:r>
      <w:r w:rsidRPr="0088201A">
        <w:rPr>
          <w:lang w:eastAsia="en-AU"/>
        </w:rPr>
        <w:t xml:space="preserve">s. </w:t>
      </w:r>
    </w:p>
    <w:p w14:paraId="12F8A09D" w14:textId="77777777" w:rsidR="006F29B9" w:rsidRPr="0088201A" w:rsidRDefault="006F29B9" w:rsidP="006F29B9">
      <w:pPr>
        <w:rPr>
          <w:lang w:eastAsia="en-AU"/>
        </w:rPr>
      </w:pPr>
      <w:r w:rsidRPr="0088201A">
        <w:rPr>
          <w:lang w:eastAsia="en-AU"/>
        </w:rPr>
        <w:t xml:space="preserve">Throughout the term of the evaluation, the evaluation team will need to make decisions about the appropriate combination of quantitative analytical techniques, based on the availability, </w:t>
      </w:r>
      <w:proofErr w:type="gramStart"/>
      <w:r w:rsidRPr="0088201A">
        <w:rPr>
          <w:lang w:eastAsia="en-AU"/>
        </w:rPr>
        <w:t>quality</w:t>
      </w:r>
      <w:proofErr w:type="gramEnd"/>
      <w:r w:rsidRPr="0088201A">
        <w:rPr>
          <w:lang w:eastAsia="en-AU"/>
        </w:rPr>
        <w:t xml:space="preserve"> and characteristics of data. The team will also consider how the evaluation’s findings can be present</w:t>
      </w:r>
      <w:r>
        <w:rPr>
          <w:lang w:eastAsia="en-AU"/>
        </w:rPr>
        <w:t>ed</w:t>
      </w:r>
      <w:r w:rsidRPr="0088201A">
        <w:rPr>
          <w:lang w:eastAsia="en-AU"/>
        </w:rPr>
        <w:t xml:space="preserve"> in a way that is as compelling as possible – for example by using graphs to convey key messages that are reinforced by regression analysis. </w:t>
      </w:r>
    </w:p>
    <w:p w14:paraId="67366479" w14:textId="27C3076B" w:rsidR="006F29B9" w:rsidRPr="0088201A" w:rsidRDefault="009730B1" w:rsidP="006F29B9">
      <w:pPr>
        <w:rPr>
          <w:lang w:eastAsia="en-AU"/>
        </w:rPr>
      </w:pPr>
      <w:r w:rsidRPr="009730B1">
        <w:rPr>
          <w:lang w:eastAsia="en-AU"/>
        </w:rPr>
        <w:t xml:space="preserve">At this stage, the evaluation team has not been able to access and examine all the raw datasets to consider their suitability for each of the different approaches. Cumulative data and trends across some datasets have been provided by the Department as these have already been cleansed, matched, </w:t>
      </w:r>
      <w:proofErr w:type="gramStart"/>
      <w:r w:rsidRPr="009730B1">
        <w:rPr>
          <w:lang w:eastAsia="en-AU"/>
        </w:rPr>
        <w:t>interrogated</w:t>
      </w:r>
      <w:proofErr w:type="gramEnd"/>
      <w:r w:rsidRPr="009730B1">
        <w:rPr>
          <w:lang w:eastAsia="en-AU"/>
        </w:rPr>
        <w:t xml:space="preserve"> and analysed by IHACPA. </w:t>
      </w:r>
      <w:r w:rsidR="006F29B9" w:rsidRPr="0088201A">
        <w:rPr>
          <w:lang w:eastAsia="en-AU"/>
        </w:rPr>
        <w:t xml:space="preserve">The suitability of different approaches depends on several factors including: </w:t>
      </w:r>
    </w:p>
    <w:p w14:paraId="2CB97410" w14:textId="77777777" w:rsidR="006F29B9" w:rsidRPr="00283BA4" w:rsidRDefault="006F29B9" w:rsidP="00283BA4">
      <w:pPr>
        <w:pStyle w:val="Bullet"/>
      </w:pPr>
      <w:r w:rsidRPr="00283BA4">
        <w:rPr>
          <w:rFonts w:asciiTheme="majorHAnsi" w:hAnsiTheme="majorHAnsi" w:cstheme="majorHAnsi"/>
        </w:rPr>
        <w:t>The availability of data |</w:t>
      </w:r>
      <w:r w:rsidRPr="00283BA4">
        <w:t xml:space="preserve"> To be effective, the difference-in-difference and general linear modelling approaches require access to more than one data series to show insights. </w:t>
      </w:r>
    </w:p>
    <w:p w14:paraId="61A65830" w14:textId="77777777" w:rsidR="006F29B9" w:rsidRPr="00283BA4" w:rsidRDefault="006F29B9" w:rsidP="00283BA4">
      <w:pPr>
        <w:pStyle w:val="Bullet"/>
      </w:pPr>
      <w:r w:rsidRPr="00283BA4">
        <w:rPr>
          <w:rFonts w:asciiTheme="majorHAnsi" w:hAnsiTheme="majorHAnsi" w:cstheme="majorHAnsi"/>
        </w:rPr>
        <w:t>The quality of data</w:t>
      </w:r>
      <w:r w:rsidRPr="00283BA4">
        <w:t xml:space="preserve"> </w:t>
      </w:r>
      <w:r w:rsidRPr="00283BA4">
        <w:rPr>
          <w:rFonts w:asciiTheme="majorHAnsi" w:hAnsiTheme="majorHAnsi" w:cstheme="majorHAnsi"/>
        </w:rPr>
        <w:t>|</w:t>
      </w:r>
      <w:r w:rsidRPr="00283BA4">
        <w:t xml:space="preserve"> If data quality is not high, it is harder to draw inferences from the difference-in-difference approach and from general linear modelling. This is because the parameter estimates are unlikely to be statistically significant. </w:t>
      </w:r>
    </w:p>
    <w:p w14:paraId="45920320" w14:textId="77777777" w:rsidR="006F29B9" w:rsidRPr="00283BA4" w:rsidRDefault="006F29B9" w:rsidP="00283BA4">
      <w:pPr>
        <w:pStyle w:val="Bullet"/>
      </w:pPr>
      <w:r w:rsidRPr="3787E91E">
        <w:rPr>
          <w:rFonts w:asciiTheme="majorHAnsi" w:hAnsiTheme="majorHAnsi" w:cstheme="majorBidi"/>
        </w:rPr>
        <w:t>Evidence for the key assumptions required by different approaches |</w:t>
      </w:r>
      <w:r w:rsidRPr="3787E91E">
        <w:t xml:space="preserve"> In particular, to justify using the difference-in-difference approach, it is important to establish evidence for the parallel </w:t>
      </w:r>
      <w:proofErr w:type="gramStart"/>
      <w:r w:rsidRPr="3787E91E">
        <w:t>trends</w:t>
      </w:r>
      <w:proofErr w:type="gramEnd"/>
      <w:r w:rsidRPr="3787E91E">
        <w:t xml:space="preserve"> assumption. </w:t>
      </w:r>
    </w:p>
    <w:p w14:paraId="0D8ECCBA" w14:textId="22ECF0CA" w:rsidR="006F29B9" w:rsidRPr="0088201A" w:rsidRDefault="006F29B9" w:rsidP="006F29B9">
      <w:pPr>
        <w:rPr>
          <w:lang w:eastAsia="en-AU"/>
        </w:rPr>
      </w:pPr>
      <w:r w:rsidRPr="0088201A">
        <w:rPr>
          <w:lang w:eastAsia="en-AU"/>
        </w:rPr>
        <w:t xml:space="preserve">With these considerations in mind, the evaluation team will make decisions about the appropriateness of different methods, with reference to advantages, </w:t>
      </w:r>
      <w:proofErr w:type="gramStart"/>
      <w:r w:rsidRPr="0088201A">
        <w:rPr>
          <w:lang w:eastAsia="en-AU"/>
        </w:rPr>
        <w:t>limitations</w:t>
      </w:r>
      <w:proofErr w:type="gramEnd"/>
      <w:r w:rsidRPr="0088201A">
        <w:rPr>
          <w:lang w:eastAsia="en-AU"/>
        </w:rPr>
        <w:t xml:space="preserve"> and applicability of the different models. These factors are outlined in </w:t>
      </w:r>
      <w:r w:rsidRPr="0088201A">
        <w:rPr>
          <w:lang w:eastAsia="en-AU"/>
        </w:rPr>
        <w:fldChar w:fldCharType="begin"/>
      </w:r>
      <w:r w:rsidRPr="0088201A">
        <w:rPr>
          <w:lang w:eastAsia="en-AU"/>
        </w:rPr>
        <w:instrText xml:space="preserve"> REF _Ref141898604 \h </w:instrText>
      </w:r>
      <w:r w:rsidRPr="0088201A">
        <w:rPr>
          <w:lang w:eastAsia="en-AU"/>
        </w:rPr>
      </w:r>
      <w:r w:rsidRPr="0088201A">
        <w:rPr>
          <w:lang w:eastAsia="en-AU"/>
        </w:rPr>
        <w:fldChar w:fldCharType="separate"/>
      </w:r>
      <w:r w:rsidR="00026714" w:rsidRPr="0088201A">
        <w:t xml:space="preserve">Table </w:t>
      </w:r>
      <w:r w:rsidR="00026714">
        <w:rPr>
          <w:noProof/>
        </w:rPr>
        <w:t>11</w:t>
      </w:r>
      <w:r w:rsidRPr="0088201A">
        <w:rPr>
          <w:lang w:eastAsia="en-AU"/>
        </w:rPr>
        <w:fldChar w:fldCharType="end"/>
      </w:r>
      <w:r w:rsidRPr="0088201A">
        <w:rPr>
          <w:lang w:eastAsia="en-AU"/>
        </w:rPr>
        <w:t xml:space="preserve"> </w:t>
      </w:r>
      <w:r>
        <w:rPr>
          <w:lang w:eastAsia="en-AU"/>
        </w:rPr>
        <w:t>overleaf.</w:t>
      </w:r>
    </w:p>
    <w:p w14:paraId="3A50B6D7" w14:textId="16A3DA05" w:rsidR="006F29B9" w:rsidRPr="0088201A" w:rsidRDefault="006F29B9" w:rsidP="00130575">
      <w:pPr>
        <w:pStyle w:val="Caption"/>
        <w:spacing w:before="240" w:after="120"/>
      </w:pPr>
      <w:bookmarkStart w:id="135" w:name="_Ref141898604"/>
      <w:r w:rsidRPr="0088201A">
        <w:lastRenderedPageBreak/>
        <w:t xml:space="preserve">Table </w:t>
      </w:r>
      <w:r w:rsidRPr="0088201A">
        <w:fldChar w:fldCharType="begin"/>
      </w:r>
      <w:r w:rsidRPr="0088201A">
        <w:instrText xml:space="preserve"> SEQ Table \* ARABIC </w:instrText>
      </w:r>
      <w:r w:rsidRPr="0088201A">
        <w:fldChar w:fldCharType="separate"/>
      </w:r>
      <w:r w:rsidR="00026714">
        <w:rPr>
          <w:noProof/>
        </w:rPr>
        <w:t>11</w:t>
      </w:r>
      <w:r w:rsidRPr="0088201A">
        <w:fldChar w:fldCharType="end"/>
      </w:r>
      <w:bookmarkEnd w:id="135"/>
      <w:r w:rsidRPr="0088201A">
        <w:t xml:space="preserve"> | Comparison of analytical tools</w:t>
      </w:r>
    </w:p>
    <w:tbl>
      <w:tblPr>
        <w:tblStyle w:val="NOUSSideHeader2"/>
        <w:tblW w:w="0" w:type="auto"/>
        <w:tblLook w:val="04A0" w:firstRow="1" w:lastRow="0" w:firstColumn="1" w:lastColumn="0" w:noHBand="0" w:noVBand="1"/>
      </w:tblPr>
      <w:tblGrid>
        <w:gridCol w:w="567"/>
        <w:gridCol w:w="2784"/>
        <w:gridCol w:w="2784"/>
        <w:gridCol w:w="2785"/>
      </w:tblGrid>
      <w:tr w:rsidR="00D90061" w14:paraId="0A4E0163" w14:textId="77777777" w:rsidTr="3787E91E">
        <w:trPr>
          <w:cnfStyle w:val="100000000000" w:firstRow="1" w:lastRow="0" w:firstColumn="0" w:lastColumn="0" w:oddVBand="0" w:evenVBand="0" w:oddHBand="0" w:evenHBand="0" w:firstRowFirstColumn="0" w:firstRowLastColumn="0" w:lastRowFirstColumn="0" w:lastRowLastColumn="0"/>
          <w:trHeight w:val="21"/>
        </w:trPr>
        <w:tc>
          <w:tcPr>
            <w:tcW w:w="567" w:type="dxa"/>
            <w:tcBorders>
              <w:top w:val="nil"/>
            </w:tcBorders>
            <w:shd w:val="clear" w:color="auto" w:fill="FFFFFF" w:themeFill="background1"/>
          </w:tcPr>
          <w:p w14:paraId="45832395" w14:textId="77777777" w:rsidR="006F29B9" w:rsidRPr="00130575" w:rsidRDefault="006F29B9" w:rsidP="00130575">
            <w:pPr>
              <w:spacing w:before="40" w:after="40"/>
              <w:rPr>
                <w:sz w:val="18"/>
                <w:szCs w:val="20"/>
                <w:lang w:eastAsia="en-AU"/>
              </w:rPr>
            </w:pPr>
          </w:p>
        </w:tc>
        <w:tc>
          <w:tcPr>
            <w:tcW w:w="2784" w:type="dxa"/>
            <w:vAlign w:val="top"/>
          </w:tcPr>
          <w:p w14:paraId="52F8DDED" w14:textId="77777777" w:rsidR="006F29B9" w:rsidRPr="00130575" w:rsidRDefault="006F29B9" w:rsidP="00130575">
            <w:pPr>
              <w:spacing w:before="40" w:after="40"/>
              <w:ind w:left="284"/>
              <w:rPr>
                <w:rFonts w:asciiTheme="majorHAnsi" w:hAnsiTheme="majorHAnsi" w:cstheme="majorHAnsi"/>
                <w:sz w:val="18"/>
                <w:szCs w:val="20"/>
                <w:lang w:eastAsia="en-AU"/>
              </w:rPr>
            </w:pPr>
            <w:r w:rsidRPr="00130575">
              <w:rPr>
                <w:noProof/>
                <w:sz w:val="18"/>
                <w:szCs w:val="20"/>
              </w:rPr>
              <mc:AlternateContent>
                <mc:Choice Requires="wpg">
                  <w:drawing>
                    <wp:anchor distT="0" distB="0" distL="114300" distR="114300" simplePos="0" relativeHeight="251658249" behindDoc="0" locked="0" layoutInCell="1" allowOverlap="1" wp14:anchorId="01FC4823" wp14:editId="473542E7">
                      <wp:simplePos x="0" y="0"/>
                      <wp:positionH relativeFrom="column">
                        <wp:posOffset>1046868</wp:posOffset>
                      </wp:positionH>
                      <wp:positionV relativeFrom="paragraph">
                        <wp:posOffset>51338</wp:posOffset>
                      </wp:positionV>
                      <wp:extent cx="277495" cy="298105"/>
                      <wp:effectExtent l="19050" t="0" r="8255" b="6985"/>
                      <wp:wrapNone/>
                      <wp:docPr id="14345" name="Group 143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7495" cy="298105"/>
                                <a:chOff x="0" y="0"/>
                                <a:chExt cx="527050" cy="566738"/>
                              </a:xfrm>
                              <a:solidFill>
                                <a:schemeClr val="bg2"/>
                              </a:solidFill>
                            </wpg:grpSpPr>
                            <wps:wsp>
                              <wps:cNvPr id="14346" name="Freeform 42"/>
                              <wps:cNvSpPr>
                                <a:spLocks noEditPoints="1"/>
                              </wps:cNvSpPr>
                              <wps:spPr bwMode="auto">
                                <a:xfrm>
                                  <a:off x="0" y="0"/>
                                  <a:ext cx="527050" cy="566738"/>
                                </a:xfrm>
                                <a:custGeom>
                                  <a:avLst/>
                                  <a:gdLst>
                                    <a:gd name="T0" fmla="*/ 157 w 165"/>
                                    <a:gd name="T1" fmla="*/ 0 h 177"/>
                                    <a:gd name="T2" fmla="*/ 8 w 165"/>
                                    <a:gd name="T3" fmla="*/ 0 h 177"/>
                                    <a:gd name="T4" fmla="*/ 0 w 165"/>
                                    <a:gd name="T5" fmla="*/ 9 h 177"/>
                                    <a:gd name="T6" fmla="*/ 0 w 165"/>
                                    <a:gd name="T7" fmla="*/ 14 h 177"/>
                                    <a:gd name="T8" fmla="*/ 8 w 165"/>
                                    <a:gd name="T9" fmla="*/ 23 h 177"/>
                                    <a:gd name="T10" fmla="*/ 10 w 165"/>
                                    <a:gd name="T11" fmla="*/ 23 h 177"/>
                                    <a:gd name="T12" fmla="*/ 10 w 165"/>
                                    <a:gd name="T13" fmla="*/ 135 h 177"/>
                                    <a:gd name="T14" fmla="*/ 20 w 165"/>
                                    <a:gd name="T15" fmla="*/ 145 h 177"/>
                                    <a:gd name="T16" fmla="*/ 79 w 165"/>
                                    <a:gd name="T17" fmla="*/ 145 h 177"/>
                                    <a:gd name="T18" fmla="*/ 79 w 165"/>
                                    <a:gd name="T19" fmla="*/ 154 h 177"/>
                                    <a:gd name="T20" fmla="*/ 71 w 165"/>
                                    <a:gd name="T21" fmla="*/ 165 h 177"/>
                                    <a:gd name="T22" fmla="*/ 82 w 165"/>
                                    <a:gd name="T23" fmla="*/ 177 h 177"/>
                                    <a:gd name="T24" fmla="*/ 94 w 165"/>
                                    <a:gd name="T25" fmla="*/ 165 h 177"/>
                                    <a:gd name="T26" fmla="*/ 85 w 165"/>
                                    <a:gd name="T27" fmla="*/ 154 h 177"/>
                                    <a:gd name="T28" fmla="*/ 85 w 165"/>
                                    <a:gd name="T29" fmla="*/ 145 h 177"/>
                                    <a:gd name="T30" fmla="*/ 145 w 165"/>
                                    <a:gd name="T31" fmla="*/ 145 h 177"/>
                                    <a:gd name="T32" fmla="*/ 155 w 165"/>
                                    <a:gd name="T33" fmla="*/ 135 h 177"/>
                                    <a:gd name="T34" fmla="*/ 155 w 165"/>
                                    <a:gd name="T35" fmla="*/ 23 h 177"/>
                                    <a:gd name="T36" fmla="*/ 157 w 165"/>
                                    <a:gd name="T37" fmla="*/ 23 h 177"/>
                                    <a:gd name="T38" fmla="*/ 165 w 165"/>
                                    <a:gd name="T39" fmla="*/ 14 h 177"/>
                                    <a:gd name="T40" fmla="*/ 165 w 165"/>
                                    <a:gd name="T41" fmla="*/ 9 h 177"/>
                                    <a:gd name="T42" fmla="*/ 157 w 165"/>
                                    <a:gd name="T43" fmla="*/ 0 h 177"/>
                                    <a:gd name="T44" fmla="*/ 88 w 165"/>
                                    <a:gd name="T45" fmla="*/ 165 h 177"/>
                                    <a:gd name="T46" fmla="*/ 82 w 165"/>
                                    <a:gd name="T47" fmla="*/ 171 h 177"/>
                                    <a:gd name="T48" fmla="*/ 77 w 165"/>
                                    <a:gd name="T49" fmla="*/ 165 h 177"/>
                                    <a:gd name="T50" fmla="*/ 82 w 165"/>
                                    <a:gd name="T51" fmla="*/ 159 h 177"/>
                                    <a:gd name="T52" fmla="*/ 88 w 165"/>
                                    <a:gd name="T53" fmla="*/ 165 h 177"/>
                                    <a:gd name="T54" fmla="*/ 149 w 165"/>
                                    <a:gd name="T55" fmla="*/ 135 h 177"/>
                                    <a:gd name="T56" fmla="*/ 145 w 165"/>
                                    <a:gd name="T57" fmla="*/ 139 h 177"/>
                                    <a:gd name="T58" fmla="*/ 20 w 165"/>
                                    <a:gd name="T59" fmla="*/ 139 h 177"/>
                                    <a:gd name="T60" fmla="*/ 16 w 165"/>
                                    <a:gd name="T61" fmla="*/ 135 h 177"/>
                                    <a:gd name="T62" fmla="*/ 16 w 165"/>
                                    <a:gd name="T63" fmla="*/ 23 h 177"/>
                                    <a:gd name="T64" fmla="*/ 149 w 165"/>
                                    <a:gd name="T65" fmla="*/ 23 h 177"/>
                                    <a:gd name="T66" fmla="*/ 149 w 165"/>
                                    <a:gd name="T67" fmla="*/ 135 h 177"/>
                                    <a:gd name="T68" fmla="*/ 159 w 165"/>
                                    <a:gd name="T69" fmla="*/ 14 h 177"/>
                                    <a:gd name="T70" fmla="*/ 157 w 165"/>
                                    <a:gd name="T71" fmla="*/ 17 h 177"/>
                                    <a:gd name="T72" fmla="*/ 8 w 165"/>
                                    <a:gd name="T73" fmla="*/ 17 h 177"/>
                                    <a:gd name="T74" fmla="*/ 6 w 165"/>
                                    <a:gd name="T75" fmla="*/ 14 h 177"/>
                                    <a:gd name="T76" fmla="*/ 6 w 165"/>
                                    <a:gd name="T77" fmla="*/ 9 h 177"/>
                                    <a:gd name="T78" fmla="*/ 8 w 165"/>
                                    <a:gd name="T79" fmla="*/ 6 h 177"/>
                                    <a:gd name="T80" fmla="*/ 157 w 165"/>
                                    <a:gd name="T81" fmla="*/ 6 h 177"/>
                                    <a:gd name="T82" fmla="*/ 159 w 165"/>
                                    <a:gd name="T83" fmla="*/ 9 h 177"/>
                                    <a:gd name="T84" fmla="*/ 159 w 165"/>
                                    <a:gd name="T85" fmla="*/ 14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5" h="177">
                                      <a:moveTo>
                                        <a:pt x="157" y="0"/>
                                      </a:moveTo>
                                      <a:cubicBezTo>
                                        <a:pt x="8" y="0"/>
                                        <a:pt x="8" y="0"/>
                                        <a:pt x="8" y="0"/>
                                      </a:cubicBezTo>
                                      <a:cubicBezTo>
                                        <a:pt x="4" y="0"/>
                                        <a:pt x="0" y="4"/>
                                        <a:pt x="0" y="9"/>
                                      </a:cubicBezTo>
                                      <a:cubicBezTo>
                                        <a:pt x="0" y="14"/>
                                        <a:pt x="0" y="14"/>
                                        <a:pt x="0" y="14"/>
                                      </a:cubicBezTo>
                                      <a:cubicBezTo>
                                        <a:pt x="0" y="19"/>
                                        <a:pt x="4" y="23"/>
                                        <a:pt x="8" y="23"/>
                                      </a:cubicBezTo>
                                      <a:cubicBezTo>
                                        <a:pt x="10" y="23"/>
                                        <a:pt x="10" y="23"/>
                                        <a:pt x="10" y="23"/>
                                      </a:cubicBezTo>
                                      <a:cubicBezTo>
                                        <a:pt x="10" y="135"/>
                                        <a:pt x="10" y="135"/>
                                        <a:pt x="10" y="135"/>
                                      </a:cubicBezTo>
                                      <a:cubicBezTo>
                                        <a:pt x="10" y="141"/>
                                        <a:pt x="14" y="145"/>
                                        <a:pt x="20" y="145"/>
                                      </a:cubicBezTo>
                                      <a:cubicBezTo>
                                        <a:pt x="79" y="145"/>
                                        <a:pt x="79" y="145"/>
                                        <a:pt x="79" y="145"/>
                                      </a:cubicBezTo>
                                      <a:cubicBezTo>
                                        <a:pt x="79" y="154"/>
                                        <a:pt x="79" y="154"/>
                                        <a:pt x="79" y="154"/>
                                      </a:cubicBezTo>
                                      <a:cubicBezTo>
                                        <a:pt x="74" y="155"/>
                                        <a:pt x="71" y="159"/>
                                        <a:pt x="71" y="165"/>
                                      </a:cubicBezTo>
                                      <a:cubicBezTo>
                                        <a:pt x="71" y="171"/>
                                        <a:pt x="76" y="177"/>
                                        <a:pt x="82" y="177"/>
                                      </a:cubicBezTo>
                                      <a:cubicBezTo>
                                        <a:pt x="89" y="177"/>
                                        <a:pt x="94" y="171"/>
                                        <a:pt x="94" y="165"/>
                                      </a:cubicBezTo>
                                      <a:cubicBezTo>
                                        <a:pt x="94" y="159"/>
                                        <a:pt x="90" y="155"/>
                                        <a:pt x="85" y="154"/>
                                      </a:cubicBezTo>
                                      <a:cubicBezTo>
                                        <a:pt x="85" y="145"/>
                                        <a:pt x="85" y="145"/>
                                        <a:pt x="85" y="145"/>
                                      </a:cubicBezTo>
                                      <a:cubicBezTo>
                                        <a:pt x="145" y="145"/>
                                        <a:pt x="145" y="145"/>
                                        <a:pt x="145" y="145"/>
                                      </a:cubicBezTo>
                                      <a:cubicBezTo>
                                        <a:pt x="151" y="145"/>
                                        <a:pt x="155" y="141"/>
                                        <a:pt x="155" y="135"/>
                                      </a:cubicBezTo>
                                      <a:cubicBezTo>
                                        <a:pt x="155" y="23"/>
                                        <a:pt x="155" y="23"/>
                                        <a:pt x="155" y="23"/>
                                      </a:cubicBezTo>
                                      <a:cubicBezTo>
                                        <a:pt x="157" y="23"/>
                                        <a:pt x="157" y="23"/>
                                        <a:pt x="157" y="23"/>
                                      </a:cubicBezTo>
                                      <a:cubicBezTo>
                                        <a:pt x="161" y="23"/>
                                        <a:pt x="165" y="19"/>
                                        <a:pt x="165" y="14"/>
                                      </a:cubicBezTo>
                                      <a:cubicBezTo>
                                        <a:pt x="165" y="9"/>
                                        <a:pt x="165" y="9"/>
                                        <a:pt x="165" y="9"/>
                                      </a:cubicBezTo>
                                      <a:cubicBezTo>
                                        <a:pt x="165" y="4"/>
                                        <a:pt x="161" y="0"/>
                                        <a:pt x="157" y="0"/>
                                      </a:cubicBezTo>
                                      <a:close/>
                                      <a:moveTo>
                                        <a:pt x="88" y="165"/>
                                      </a:moveTo>
                                      <a:cubicBezTo>
                                        <a:pt x="88" y="168"/>
                                        <a:pt x="86" y="171"/>
                                        <a:pt x="82" y="171"/>
                                      </a:cubicBezTo>
                                      <a:cubicBezTo>
                                        <a:pt x="79" y="171"/>
                                        <a:pt x="77" y="168"/>
                                        <a:pt x="77" y="165"/>
                                      </a:cubicBezTo>
                                      <a:cubicBezTo>
                                        <a:pt x="77" y="162"/>
                                        <a:pt x="79" y="159"/>
                                        <a:pt x="82" y="159"/>
                                      </a:cubicBezTo>
                                      <a:cubicBezTo>
                                        <a:pt x="86" y="159"/>
                                        <a:pt x="88" y="162"/>
                                        <a:pt x="88" y="165"/>
                                      </a:cubicBezTo>
                                      <a:close/>
                                      <a:moveTo>
                                        <a:pt x="149" y="135"/>
                                      </a:moveTo>
                                      <a:cubicBezTo>
                                        <a:pt x="149" y="137"/>
                                        <a:pt x="147" y="139"/>
                                        <a:pt x="145" y="139"/>
                                      </a:cubicBezTo>
                                      <a:cubicBezTo>
                                        <a:pt x="20" y="139"/>
                                        <a:pt x="20" y="139"/>
                                        <a:pt x="20" y="139"/>
                                      </a:cubicBezTo>
                                      <a:cubicBezTo>
                                        <a:pt x="17" y="139"/>
                                        <a:pt x="16" y="137"/>
                                        <a:pt x="16" y="135"/>
                                      </a:cubicBezTo>
                                      <a:cubicBezTo>
                                        <a:pt x="16" y="23"/>
                                        <a:pt x="16" y="23"/>
                                        <a:pt x="16" y="23"/>
                                      </a:cubicBezTo>
                                      <a:cubicBezTo>
                                        <a:pt x="149" y="23"/>
                                        <a:pt x="149" y="23"/>
                                        <a:pt x="149" y="23"/>
                                      </a:cubicBezTo>
                                      <a:lnTo>
                                        <a:pt x="149" y="135"/>
                                      </a:lnTo>
                                      <a:close/>
                                      <a:moveTo>
                                        <a:pt x="159" y="14"/>
                                      </a:moveTo>
                                      <a:cubicBezTo>
                                        <a:pt x="159" y="16"/>
                                        <a:pt x="158" y="17"/>
                                        <a:pt x="157" y="17"/>
                                      </a:cubicBezTo>
                                      <a:cubicBezTo>
                                        <a:pt x="8" y="17"/>
                                        <a:pt x="8" y="17"/>
                                        <a:pt x="8" y="17"/>
                                      </a:cubicBezTo>
                                      <a:cubicBezTo>
                                        <a:pt x="7" y="17"/>
                                        <a:pt x="6" y="16"/>
                                        <a:pt x="6" y="14"/>
                                      </a:cubicBezTo>
                                      <a:cubicBezTo>
                                        <a:pt x="6" y="9"/>
                                        <a:pt x="6" y="9"/>
                                        <a:pt x="6" y="9"/>
                                      </a:cubicBezTo>
                                      <a:cubicBezTo>
                                        <a:pt x="6" y="8"/>
                                        <a:pt x="7" y="6"/>
                                        <a:pt x="8" y="6"/>
                                      </a:cubicBezTo>
                                      <a:cubicBezTo>
                                        <a:pt x="157" y="6"/>
                                        <a:pt x="157" y="6"/>
                                        <a:pt x="157" y="6"/>
                                      </a:cubicBezTo>
                                      <a:cubicBezTo>
                                        <a:pt x="158" y="6"/>
                                        <a:pt x="159" y="8"/>
                                        <a:pt x="159" y="9"/>
                                      </a:cubicBezTo>
                                      <a:lnTo>
                                        <a:pt x="159" y="1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347" name="Freeform 43"/>
                              <wps:cNvSpPr>
                                <a:spLocks noEditPoints="1"/>
                              </wps:cNvSpPr>
                              <wps:spPr bwMode="auto">
                                <a:xfrm>
                                  <a:off x="79375" y="176213"/>
                                  <a:ext cx="73025" cy="204788"/>
                                </a:xfrm>
                                <a:custGeom>
                                  <a:avLst/>
                                  <a:gdLst>
                                    <a:gd name="T0" fmla="*/ 7 w 23"/>
                                    <a:gd name="T1" fmla="*/ 64 h 64"/>
                                    <a:gd name="T2" fmla="*/ 16 w 23"/>
                                    <a:gd name="T3" fmla="*/ 64 h 64"/>
                                    <a:gd name="T4" fmla="*/ 23 w 23"/>
                                    <a:gd name="T5" fmla="*/ 57 h 64"/>
                                    <a:gd name="T6" fmla="*/ 23 w 23"/>
                                    <a:gd name="T7" fmla="*/ 7 h 64"/>
                                    <a:gd name="T8" fmla="*/ 16 w 23"/>
                                    <a:gd name="T9" fmla="*/ 0 h 64"/>
                                    <a:gd name="T10" fmla="*/ 7 w 23"/>
                                    <a:gd name="T11" fmla="*/ 0 h 64"/>
                                    <a:gd name="T12" fmla="*/ 0 w 23"/>
                                    <a:gd name="T13" fmla="*/ 7 h 64"/>
                                    <a:gd name="T14" fmla="*/ 0 w 23"/>
                                    <a:gd name="T15" fmla="*/ 57 h 64"/>
                                    <a:gd name="T16" fmla="*/ 7 w 23"/>
                                    <a:gd name="T17" fmla="*/ 64 h 64"/>
                                    <a:gd name="T18" fmla="*/ 6 w 23"/>
                                    <a:gd name="T19" fmla="*/ 7 h 64"/>
                                    <a:gd name="T20" fmla="*/ 7 w 23"/>
                                    <a:gd name="T21" fmla="*/ 6 h 64"/>
                                    <a:gd name="T22" fmla="*/ 16 w 23"/>
                                    <a:gd name="T23" fmla="*/ 6 h 64"/>
                                    <a:gd name="T24" fmla="*/ 17 w 23"/>
                                    <a:gd name="T25" fmla="*/ 7 h 64"/>
                                    <a:gd name="T26" fmla="*/ 17 w 23"/>
                                    <a:gd name="T27" fmla="*/ 57 h 64"/>
                                    <a:gd name="T28" fmla="*/ 16 w 23"/>
                                    <a:gd name="T29" fmla="*/ 58 h 64"/>
                                    <a:gd name="T30" fmla="*/ 7 w 23"/>
                                    <a:gd name="T31" fmla="*/ 58 h 64"/>
                                    <a:gd name="T32" fmla="*/ 6 w 23"/>
                                    <a:gd name="T33" fmla="*/ 57 h 64"/>
                                    <a:gd name="T34" fmla="*/ 6 w 23"/>
                                    <a:gd name="T35" fmla="*/ 7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 h="64">
                                      <a:moveTo>
                                        <a:pt x="7" y="64"/>
                                      </a:moveTo>
                                      <a:cubicBezTo>
                                        <a:pt x="16" y="64"/>
                                        <a:pt x="16" y="64"/>
                                        <a:pt x="16" y="64"/>
                                      </a:cubicBezTo>
                                      <a:cubicBezTo>
                                        <a:pt x="20" y="64"/>
                                        <a:pt x="23" y="61"/>
                                        <a:pt x="23" y="57"/>
                                      </a:cubicBezTo>
                                      <a:cubicBezTo>
                                        <a:pt x="23" y="7"/>
                                        <a:pt x="23" y="7"/>
                                        <a:pt x="23" y="7"/>
                                      </a:cubicBezTo>
                                      <a:cubicBezTo>
                                        <a:pt x="23" y="3"/>
                                        <a:pt x="20" y="0"/>
                                        <a:pt x="16" y="0"/>
                                      </a:cubicBezTo>
                                      <a:cubicBezTo>
                                        <a:pt x="7" y="0"/>
                                        <a:pt x="7" y="0"/>
                                        <a:pt x="7" y="0"/>
                                      </a:cubicBezTo>
                                      <a:cubicBezTo>
                                        <a:pt x="3" y="0"/>
                                        <a:pt x="0" y="3"/>
                                        <a:pt x="0" y="7"/>
                                      </a:cubicBezTo>
                                      <a:cubicBezTo>
                                        <a:pt x="0" y="57"/>
                                        <a:pt x="0" y="57"/>
                                        <a:pt x="0" y="57"/>
                                      </a:cubicBezTo>
                                      <a:cubicBezTo>
                                        <a:pt x="0" y="61"/>
                                        <a:pt x="3" y="64"/>
                                        <a:pt x="7" y="64"/>
                                      </a:cubicBezTo>
                                      <a:close/>
                                      <a:moveTo>
                                        <a:pt x="6" y="7"/>
                                      </a:moveTo>
                                      <a:cubicBezTo>
                                        <a:pt x="6" y="6"/>
                                        <a:pt x="6" y="6"/>
                                        <a:pt x="7" y="6"/>
                                      </a:cubicBezTo>
                                      <a:cubicBezTo>
                                        <a:pt x="16" y="6"/>
                                        <a:pt x="16" y="6"/>
                                        <a:pt x="16" y="6"/>
                                      </a:cubicBezTo>
                                      <a:cubicBezTo>
                                        <a:pt x="17" y="6"/>
                                        <a:pt x="17" y="6"/>
                                        <a:pt x="17" y="7"/>
                                      </a:cubicBezTo>
                                      <a:cubicBezTo>
                                        <a:pt x="17" y="57"/>
                                        <a:pt x="17" y="57"/>
                                        <a:pt x="17" y="57"/>
                                      </a:cubicBezTo>
                                      <a:cubicBezTo>
                                        <a:pt x="17" y="57"/>
                                        <a:pt x="17" y="58"/>
                                        <a:pt x="16" y="58"/>
                                      </a:cubicBezTo>
                                      <a:cubicBezTo>
                                        <a:pt x="7" y="58"/>
                                        <a:pt x="7" y="58"/>
                                        <a:pt x="7" y="58"/>
                                      </a:cubicBezTo>
                                      <a:cubicBezTo>
                                        <a:pt x="6" y="58"/>
                                        <a:pt x="6" y="57"/>
                                        <a:pt x="6" y="57"/>
                                      </a:cubicBezTo>
                                      <a:lnTo>
                                        <a:pt x="6" y="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348" name="Freeform 44"/>
                              <wps:cNvSpPr>
                                <a:spLocks noEditPoints="1"/>
                              </wps:cNvSpPr>
                              <wps:spPr bwMode="auto">
                                <a:xfrm>
                                  <a:off x="246062" y="109538"/>
                                  <a:ext cx="76200" cy="271463"/>
                                </a:xfrm>
                                <a:custGeom>
                                  <a:avLst/>
                                  <a:gdLst>
                                    <a:gd name="T0" fmla="*/ 7 w 24"/>
                                    <a:gd name="T1" fmla="*/ 85 h 85"/>
                                    <a:gd name="T2" fmla="*/ 17 w 24"/>
                                    <a:gd name="T3" fmla="*/ 85 h 85"/>
                                    <a:gd name="T4" fmla="*/ 24 w 24"/>
                                    <a:gd name="T5" fmla="*/ 78 h 85"/>
                                    <a:gd name="T6" fmla="*/ 24 w 24"/>
                                    <a:gd name="T7" fmla="*/ 7 h 85"/>
                                    <a:gd name="T8" fmla="*/ 17 w 24"/>
                                    <a:gd name="T9" fmla="*/ 0 h 85"/>
                                    <a:gd name="T10" fmla="*/ 7 w 24"/>
                                    <a:gd name="T11" fmla="*/ 0 h 85"/>
                                    <a:gd name="T12" fmla="*/ 0 w 24"/>
                                    <a:gd name="T13" fmla="*/ 7 h 85"/>
                                    <a:gd name="T14" fmla="*/ 0 w 24"/>
                                    <a:gd name="T15" fmla="*/ 78 h 85"/>
                                    <a:gd name="T16" fmla="*/ 7 w 24"/>
                                    <a:gd name="T17" fmla="*/ 85 h 85"/>
                                    <a:gd name="T18" fmla="*/ 6 w 24"/>
                                    <a:gd name="T19" fmla="*/ 7 h 85"/>
                                    <a:gd name="T20" fmla="*/ 7 w 24"/>
                                    <a:gd name="T21" fmla="*/ 6 h 85"/>
                                    <a:gd name="T22" fmla="*/ 17 w 24"/>
                                    <a:gd name="T23" fmla="*/ 6 h 85"/>
                                    <a:gd name="T24" fmla="*/ 18 w 24"/>
                                    <a:gd name="T25" fmla="*/ 7 h 85"/>
                                    <a:gd name="T26" fmla="*/ 18 w 24"/>
                                    <a:gd name="T27" fmla="*/ 78 h 85"/>
                                    <a:gd name="T28" fmla="*/ 17 w 24"/>
                                    <a:gd name="T29" fmla="*/ 79 h 85"/>
                                    <a:gd name="T30" fmla="*/ 7 w 24"/>
                                    <a:gd name="T31" fmla="*/ 79 h 85"/>
                                    <a:gd name="T32" fmla="*/ 6 w 24"/>
                                    <a:gd name="T33" fmla="*/ 78 h 85"/>
                                    <a:gd name="T34" fmla="*/ 6 w 24"/>
                                    <a:gd name="T35" fmla="*/ 7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 h="85">
                                      <a:moveTo>
                                        <a:pt x="7" y="85"/>
                                      </a:moveTo>
                                      <a:cubicBezTo>
                                        <a:pt x="17" y="85"/>
                                        <a:pt x="17" y="85"/>
                                        <a:pt x="17" y="85"/>
                                      </a:cubicBezTo>
                                      <a:cubicBezTo>
                                        <a:pt x="20" y="85"/>
                                        <a:pt x="24" y="82"/>
                                        <a:pt x="24" y="78"/>
                                      </a:cubicBezTo>
                                      <a:cubicBezTo>
                                        <a:pt x="24" y="7"/>
                                        <a:pt x="24" y="7"/>
                                        <a:pt x="24" y="7"/>
                                      </a:cubicBezTo>
                                      <a:cubicBezTo>
                                        <a:pt x="24" y="3"/>
                                        <a:pt x="20" y="0"/>
                                        <a:pt x="17" y="0"/>
                                      </a:cubicBezTo>
                                      <a:cubicBezTo>
                                        <a:pt x="7" y="0"/>
                                        <a:pt x="7" y="0"/>
                                        <a:pt x="7" y="0"/>
                                      </a:cubicBezTo>
                                      <a:cubicBezTo>
                                        <a:pt x="3" y="0"/>
                                        <a:pt x="0" y="3"/>
                                        <a:pt x="0" y="7"/>
                                      </a:cubicBezTo>
                                      <a:cubicBezTo>
                                        <a:pt x="0" y="78"/>
                                        <a:pt x="0" y="78"/>
                                        <a:pt x="0" y="78"/>
                                      </a:cubicBezTo>
                                      <a:cubicBezTo>
                                        <a:pt x="0" y="82"/>
                                        <a:pt x="3" y="85"/>
                                        <a:pt x="7" y="85"/>
                                      </a:cubicBezTo>
                                      <a:close/>
                                      <a:moveTo>
                                        <a:pt x="6" y="7"/>
                                      </a:moveTo>
                                      <a:cubicBezTo>
                                        <a:pt x="6" y="7"/>
                                        <a:pt x="7" y="6"/>
                                        <a:pt x="7" y="6"/>
                                      </a:cubicBezTo>
                                      <a:cubicBezTo>
                                        <a:pt x="17" y="6"/>
                                        <a:pt x="17" y="6"/>
                                        <a:pt x="17" y="6"/>
                                      </a:cubicBezTo>
                                      <a:cubicBezTo>
                                        <a:pt x="17" y="6"/>
                                        <a:pt x="18" y="7"/>
                                        <a:pt x="18" y="7"/>
                                      </a:cubicBezTo>
                                      <a:cubicBezTo>
                                        <a:pt x="18" y="78"/>
                                        <a:pt x="18" y="78"/>
                                        <a:pt x="18" y="78"/>
                                      </a:cubicBezTo>
                                      <a:cubicBezTo>
                                        <a:pt x="18" y="78"/>
                                        <a:pt x="17" y="79"/>
                                        <a:pt x="17" y="79"/>
                                      </a:cubicBezTo>
                                      <a:cubicBezTo>
                                        <a:pt x="7" y="79"/>
                                        <a:pt x="7" y="79"/>
                                        <a:pt x="7" y="79"/>
                                      </a:cubicBezTo>
                                      <a:cubicBezTo>
                                        <a:pt x="7" y="79"/>
                                        <a:pt x="6" y="78"/>
                                        <a:pt x="6" y="78"/>
                                      </a:cubicBezTo>
                                      <a:lnTo>
                                        <a:pt x="6" y="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349" name="Freeform 45"/>
                              <wps:cNvSpPr>
                                <a:spLocks noEditPoints="1"/>
                              </wps:cNvSpPr>
                              <wps:spPr bwMode="auto">
                                <a:xfrm>
                                  <a:off x="161925" y="230188"/>
                                  <a:ext cx="74612" cy="150813"/>
                                </a:xfrm>
                                <a:custGeom>
                                  <a:avLst/>
                                  <a:gdLst>
                                    <a:gd name="T0" fmla="*/ 7 w 23"/>
                                    <a:gd name="T1" fmla="*/ 47 h 47"/>
                                    <a:gd name="T2" fmla="*/ 16 w 23"/>
                                    <a:gd name="T3" fmla="*/ 47 h 47"/>
                                    <a:gd name="T4" fmla="*/ 23 w 23"/>
                                    <a:gd name="T5" fmla="*/ 40 h 47"/>
                                    <a:gd name="T6" fmla="*/ 23 w 23"/>
                                    <a:gd name="T7" fmla="*/ 7 h 47"/>
                                    <a:gd name="T8" fmla="*/ 16 w 23"/>
                                    <a:gd name="T9" fmla="*/ 0 h 47"/>
                                    <a:gd name="T10" fmla="*/ 7 w 23"/>
                                    <a:gd name="T11" fmla="*/ 0 h 47"/>
                                    <a:gd name="T12" fmla="*/ 0 w 23"/>
                                    <a:gd name="T13" fmla="*/ 7 h 47"/>
                                    <a:gd name="T14" fmla="*/ 0 w 23"/>
                                    <a:gd name="T15" fmla="*/ 40 h 47"/>
                                    <a:gd name="T16" fmla="*/ 7 w 23"/>
                                    <a:gd name="T17" fmla="*/ 47 h 47"/>
                                    <a:gd name="T18" fmla="*/ 6 w 23"/>
                                    <a:gd name="T19" fmla="*/ 7 h 47"/>
                                    <a:gd name="T20" fmla="*/ 7 w 23"/>
                                    <a:gd name="T21" fmla="*/ 6 h 47"/>
                                    <a:gd name="T22" fmla="*/ 16 w 23"/>
                                    <a:gd name="T23" fmla="*/ 6 h 47"/>
                                    <a:gd name="T24" fmla="*/ 17 w 23"/>
                                    <a:gd name="T25" fmla="*/ 7 h 47"/>
                                    <a:gd name="T26" fmla="*/ 17 w 23"/>
                                    <a:gd name="T27" fmla="*/ 40 h 47"/>
                                    <a:gd name="T28" fmla="*/ 16 w 23"/>
                                    <a:gd name="T29" fmla="*/ 41 h 47"/>
                                    <a:gd name="T30" fmla="*/ 7 w 23"/>
                                    <a:gd name="T31" fmla="*/ 41 h 47"/>
                                    <a:gd name="T32" fmla="*/ 6 w 23"/>
                                    <a:gd name="T33" fmla="*/ 40 h 47"/>
                                    <a:gd name="T34" fmla="*/ 6 w 23"/>
                                    <a:gd name="T35"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 h="47">
                                      <a:moveTo>
                                        <a:pt x="7" y="47"/>
                                      </a:moveTo>
                                      <a:cubicBezTo>
                                        <a:pt x="16" y="47"/>
                                        <a:pt x="16" y="47"/>
                                        <a:pt x="16" y="47"/>
                                      </a:cubicBezTo>
                                      <a:cubicBezTo>
                                        <a:pt x="20" y="47"/>
                                        <a:pt x="23" y="44"/>
                                        <a:pt x="23" y="40"/>
                                      </a:cubicBezTo>
                                      <a:cubicBezTo>
                                        <a:pt x="23" y="7"/>
                                        <a:pt x="23" y="7"/>
                                        <a:pt x="23" y="7"/>
                                      </a:cubicBezTo>
                                      <a:cubicBezTo>
                                        <a:pt x="23" y="3"/>
                                        <a:pt x="20" y="0"/>
                                        <a:pt x="16" y="0"/>
                                      </a:cubicBezTo>
                                      <a:cubicBezTo>
                                        <a:pt x="7" y="0"/>
                                        <a:pt x="7" y="0"/>
                                        <a:pt x="7" y="0"/>
                                      </a:cubicBezTo>
                                      <a:cubicBezTo>
                                        <a:pt x="3" y="0"/>
                                        <a:pt x="0" y="3"/>
                                        <a:pt x="0" y="7"/>
                                      </a:cubicBezTo>
                                      <a:cubicBezTo>
                                        <a:pt x="0" y="40"/>
                                        <a:pt x="0" y="40"/>
                                        <a:pt x="0" y="40"/>
                                      </a:cubicBezTo>
                                      <a:cubicBezTo>
                                        <a:pt x="0" y="44"/>
                                        <a:pt x="3" y="47"/>
                                        <a:pt x="7" y="47"/>
                                      </a:cubicBezTo>
                                      <a:close/>
                                      <a:moveTo>
                                        <a:pt x="6" y="7"/>
                                      </a:moveTo>
                                      <a:cubicBezTo>
                                        <a:pt x="6" y="7"/>
                                        <a:pt x="6" y="6"/>
                                        <a:pt x="7" y="6"/>
                                      </a:cubicBezTo>
                                      <a:cubicBezTo>
                                        <a:pt x="16" y="6"/>
                                        <a:pt x="16" y="6"/>
                                        <a:pt x="16" y="6"/>
                                      </a:cubicBezTo>
                                      <a:cubicBezTo>
                                        <a:pt x="17" y="6"/>
                                        <a:pt x="17" y="7"/>
                                        <a:pt x="17" y="7"/>
                                      </a:cubicBezTo>
                                      <a:cubicBezTo>
                                        <a:pt x="17" y="40"/>
                                        <a:pt x="17" y="40"/>
                                        <a:pt x="17" y="40"/>
                                      </a:cubicBezTo>
                                      <a:cubicBezTo>
                                        <a:pt x="17" y="40"/>
                                        <a:pt x="17" y="41"/>
                                        <a:pt x="16" y="41"/>
                                      </a:cubicBezTo>
                                      <a:cubicBezTo>
                                        <a:pt x="7" y="41"/>
                                        <a:pt x="7" y="41"/>
                                        <a:pt x="7" y="41"/>
                                      </a:cubicBezTo>
                                      <a:cubicBezTo>
                                        <a:pt x="6" y="41"/>
                                        <a:pt x="6" y="40"/>
                                        <a:pt x="6" y="40"/>
                                      </a:cubicBezTo>
                                      <a:lnTo>
                                        <a:pt x="6" y="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350" name="Freeform 46"/>
                              <wps:cNvSpPr>
                                <a:spLocks/>
                              </wps:cNvSpPr>
                              <wps:spPr bwMode="auto">
                                <a:xfrm>
                                  <a:off x="334962" y="239713"/>
                                  <a:ext cx="111125" cy="19050"/>
                                </a:xfrm>
                                <a:custGeom>
                                  <a:avLst/>
                                  <a:gdLst>
                                    <a:gd name="T0" fmla="*/ 3 w 35"/>
                                    <a:gd name="T1" fmla="*/ 6 h 6"/>
                                    <a:gd name="T2" fmla="*/ 32 w 35"/>
                                    <a:gd name="T3" fmla="*/ 6 h 6"/>
                                    <a:gd name="T4" fmla="*/ 35 w 35"/>
                                    <a:gd name="T5" fmla="*/ 3 h 6"/>
                                    <a:gd name="T6" fmla="*/ 32 w 35"/>
                                    <a:gd name="T7" fmla="*/ 0 h 6"/>
                                    <a:gd name="T8" fmla="*/ 3 w 35"/>
                                    <a:gd name="T9" fmla="*/ 0 h 6"/>
                                    <a:gd name="T10" fmla="*/ 0 w 35"/>
                                    <a:gd name="T11" fmla="*/ 3 h 6"/>
                                    <a:gd name="T12" fmla="*/ 3 w 35"/>
                                    <a:gd name="T13" fmla="*/ 6 h 6"/>
                                  </a:gdLst>
                                  <a:ahLst/>
                                  <a:cxnLst>
                                    <a:cxn ang="0">
                                      <a:pos x="T0" y="T1"/>
                                    </a:cxn>
                                    <a:cxn ang="0">
                                      <a:pos x="T2" y="T3"/>
                                    </a:cxn>
                                    <a:cxn ang="0">
                                      <a:pos x="T4" y="T5"/>
                                    </a:cxn>
                                    <a:cxn ang="0">
                                      <a:pos x="T6" y="T7"/>
                                    </a:cxn>
                                    <a:cxn ang="0">
                                      <a:pos x="T8" y="T9"/>
                                    </a:cxn>
                                    <a:cxn ang="0">
                                      <a:pos x="T10" y="T11"/>
                                    </a:cxn>
                                    <a:cxn ang="0">
                                      <a:pos x="T12" y="T13"/>
                                    </a:cxn>
                                  </a:cxnLst>
                                  <a:rect l="0" t="0" r="r" b="b"/>
                                  <a:pathLst>
                                    <a:path w="35" h="6">
                                      <a:moveTo>
                                        <a:pt x="3" y="6"/>
                                      </a:moveTo>
                                      <a:cubicBezTo>
                                        <a:pt x="32" y="6"/>
                                        <a:pt x="32" y="6"/>
                                        <a:pt x="32" y="6"/>
                                      </a:cubicBezTo>
                                      <a:cubicBezTo>
                                        <a:pt x="34" y="6"/>
                                        <a:pt x="35" y="5"/>
                                        <a:pt x="35" y="3"/>
                                      </a:cubicBezTo>
                                      <a:cubicBezTo>
                                        <a:pt x="35" y="1"/>
                                        <a:pt x="34" y="0"/>
                                        <a:pt x="32" y="0"/>
                                      </a:cubicBezTo>
                                      <a:cubicBezTo>
                                        <a:pt x="3" y="0"/>
                                        <a:pt x="3" y="0"/>
                                        <a:pt x="3" y="0"/>
                                      </a:cubicBezTo>
                                      <a:cubicBezTo>
                                        <a:pt x="1" y="0"/>
                                        <a:pt x="0" y="1"/>
                                        <a:pt x="0" y="3"/>
                                      </a:cubicBezTo>
                                      <a:cubicBezTo>
                                        <a:pt x="0" y="5"/>
                                        <a:pt x="1" y="6"/>
                                        <a:pt x="3" y="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351" name="Freeform 47"/>
                              <wps:cNvSpPr>
                                <a:spLocks/>
                              </wps:cNvSpPr>
                              <wps:spPr bwMode="auto">
                                <a:xfrm>
                                  <a:off x="334962" y="304800"/>
                                  <a:ext cx="111125" cy="19050"/>
                                </a:xfrm>
                                <a:custGeom>
                                  <a:avLst/>
                                  <a:gdLst>
                                    <a:gd name="T0" fmla="*/ 3 w 35"/>
                                    <a:gd name="T1" fmla="*/ 6 h 6"/>
                                    <a:gd name="T2" fmla="*/ 32 w 35"/>
                                    <a:gd name="T3" fmla="*/ 6 h 6"/>
                                    <a:gd name="T4" fmla="*/ 35 w 35"/>
                                    <a:gd name="T5" fmla="*/ 3 h 6"/>
                                    <a:gd name="T6" fmla="*/ 32 w 35"/>
                                    <a:gd name="T7" fmla="*/ 0 h 6"/>
                                    <a:gd name="T8" fmla="*/ 3 w 35"/>
                                    <a:gd name="T9" fmla="*/ 0 h 6"/>
                                    <a:gd name="T10" fmla="*/ 0 w 35"/>
                                    <a:gd name="T11" fmla="*/ 3 h 6"/>
                                    <a:gd name="T12" fmla="*/ 3 w 35"/>
                                    <a:gd name="T13" fmla="*/ 6 h 6"/>
                                  </a:gdLst>
                                  <a:ahLst/>
                                  <a:cxnLst>
                                    <a:cxn ang="0">
                                      <a:pos x="T0" y="T1"/>
                                    </a:cxn>
                                    <a:cxn ang="0">
                                      <a:pos x="T2" y="T3"/>
                                    </a:cxn>
                                    <a:cxn ang="0">
                                      <a:pos x="T4" y="T5"/>
                                    </a:cxn>
                                    <a:cxn ang="0">
                                      <a:pos x="T6" y="T7"/>
                                    </a:cxn>
                                    <a:cxn ang="0">
                                      <a:pos x="T8" y="T9"/>
                                    </a:cxn>
                                    <a:cxn ang="0">
                                      <a:pos x="T10" y="T11"/>
                                    </a:cxn>
                                    <a:cxn ang="0">
                                      <a:pos x="T12" y="T13"/>
                                    </a:cxn>
                                  </a:cxnLst>
                                  <a:rect l="0" t="0" r="r" b="b"/>
                                  <a:pathLst>
                                    <a:path w="35" h="6">
                                      <a:moveTo>
                                        <a:pt x="3" y="6"/>
                                      </a:moveTo>
                                      <a:cubicBezTo>
                                        <a:pt x="32" y="6"/>
                                        <a:pt x="32" y="6"/>
                                        <a:pt x="32" y="6"/>
                                      </a:cubicBezTo>
                                      <a:cubicBezTo>
                                        <a:pt x="34" y="6"/>
                                        <a:pt x="35" y="5"/>
                                        <a:pt x="35" y="3"/>
                                      </a:cubicBezTo>
                                      <a:cubicBezTo>
                                        <a:pt x="35" y="2"/>
                                        <a:pt x="34" y="0"/>
                                        <a:pt x="32" y="0"/>
                                      </a:cubicBezTo>
                                      <a:cubicBezTo>
                                        <a:pt x="3" y="0"/>
                                        <a:pt x="3" y="0"/>
                                        <a:pt x="3" y="0"/>
                                      </a:cubicBezTo>
                                      <a:cubicBezTo>
                                        <a:pt x="1" y="0"/>
                                        <a:pt x="0" y="2"/>
                                        <a:pt x="0" y="3"/>
                                      </a:cubicBezTo>
                                      <a:cubicBezTo>
                                        <a:pt x="0" y="5"/>
                                        <a:pt x="1" y="6"/>
                                        <a:pt x="3" y="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352" name="Freeform 48"/>
                              <wps:cNvSpPr>
                                <a:spLocks/>
                              </wps:cNvSpPr>
                              <wps:spPr bwMode="auto">
                                <a:xfrm>
                                  <a:off x="334962" y="333375"/>
                                  <a:ext cx="111125" cy="19050"/>
                                </a:xfrm>
                                <a:custGeom>
                                  <a:avLst/>
                                  <a:gdLst>
                                    <a:gd name="T0" fmla="*/ 3 w 35"/>
                                    <a:gd name="T1" fmla="*/ 6 h 6"/>
                                    <a:gd name="T2" fmla="*/ 32 w 35"/>
                                    <a:gd name="T3" fmla="*/ 6 h 6"/>
                                    <a:gd name="T4" fmla="*/ 35 w 35"/>
                                    <a:gd name="T5" fmla="*/ 3 h 6"/>
                                    <a:gd name="T6" fmla="*/ 32 w 35"/>
                                    <a:gd name="T7" fmla="*/ 0 h 6"/>
                                    <a:gd name="T8" fmla="*/ 3 w 35"/>
                                    <a:gd name="T9" fmla="*/ 0 h 6"/>
                                    <a:gd name="T10" fmla="*/ 0 w 35"/>
                                    <a:gd name="T11" fmla="*/ 3 h 6"/>
                                    <a:gd name="T12" fmla="*/ 3 w 35"/>
                                    <a:gd name="T13" fmla="*/ 6 h 6"/>
                                  </a:gdLst>
                                  <a:ahLst/>
                                  <a:cxnLst>
                                    <a:cxn ang="0">
                                      <a:pos x="T0" y="T1"/>
                                    </a:cxn>
                                    <a:cxn ang="0">
                                      <a:pos x="T2" y="T3"/>
                                    </a:cxn>
                                    <a:cxn ang="0">
                                      <a:pos x="T4" y="T5"/>
                                    </a:cxn>
                                    <a:cxn ang="0">
                                      <a:pos x="T6" y="T7"/>
                                    </a:cxn>
                                    <a:cxn ang="0">
                                      <a:pos x="T8" y="T9"/>
                                    </a:cxn>
                                    <a:cxn ang="0">
                                      <a:pos x="T10" y="T11"/>
                                    </a:cxn>
                                    <a:cxn ang="0">
                                      <a:pos x="T12" y="T13"/>
                                    </a:cxn>
                                  </a:cxnLst>
                                  <a:rect l="0" t="0" r="r" b="b"/>
                                  <a:pathLst>
                                    <a:path w="35" h="6">
                                      <a:moveTo>
                                        <a:pt x="3" y="6"/>
                                      </a:moveTo>
                                      <a:cubicBezTo>
                                        <a:pt x="32" y="6"/>
                                        <a:pt x="32" y="6"/>
                                        <a:pt x="32" y="6"/>
                                      </a:cubicBezTo>
                                      <a:cubicBezTo>
                                        <a:pt x="34" y="6"/>
                                        <a:pt x="35" y="5"/>
                                        <a:pt x="35" y="3"/>
                                      </a:cubicBezTo>
                                      <a:cubicBezTo>
                                        <a:pt x="35" y="2"/>
                                        <a:pt x="34" y="0"/>
                                        <a:pt x="32" y="0"/>
                                      </a:cubicBezTo>
                                      <a:cubicBezTo>
                                        <a:pt x="3" y="0"/>
                                        <a:pt x="3" y="0"/>
                                        <a:pt x="3" y="0"/>
                                      </a:cubicBezTo>
                                      <a:cubicBezTo>
                                        <a:pt x="1" y="0"/>
                                        <a:pt x="0" y="2"/>
                                        <a:pt x="0" y="3"/>
                                      </a:cubicBezTo>
                                      <a:cubicBezTo>
                                        <a:pt x="0" y="5"/>
                                        <a:pt x="1" y="6"/>
                                        <a:pt x="3" y="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353" name="Freeform 49"/>
                              <wps:cNvSpPr>
                                <a:spLocks/>
                              </wps:cNvSpPr>
                              <wps:spPr bwMode="auto">
                                <a:xfrm>
                                  <a:off x="334962" y="361950"/>
                                  <a:ext cx="66675" cy="19050"/>
                                </a:xfrm>
                                <a:custGeom>
                                  <a:avLst/>
                                  <a:gdLst>
                                    <a:gd name="T0" fmla="*/ 3 w 21"/>
                                    <a:gd name="T1" fmla="*/ 6 h 6"/>
                                    <a:gd name="T2" fmla="*/ 18 w 21"/>
                                    <a:gd name="T3" fmla="*/ 6 h 6"/>
                                    <a:gd name="T4" fmla="*/ 21 w 21"/>
                                    <a:gd name="T5" fmla="*/ 3 h 6"/>
                                    <a:gd name="T6" fmla="*/ 18 w 21"/>
                                    <a:gd name="T7" fmla="*/ 0 h 6"/>
                                    <a:gd name="T8" fmla="*/ 3 w 21"/>
                                    <a:gd name="T9" fmla="*/ 0 h 6"/>
                                    <a:gd name="T10" fmla="*/ 0 w 21"/>
                                    <a:gd name="T11" fmla="*/ 3 h 6"/>
                                    <a:gd name="T12" fmla="*/ 3 w 21"/>
                                    <a:gd name="T13" fmla="*/ 6 h 6"/>
                                  </a:gdLst>
                                  <a:ahLst/>
                                  <a:cxnLst>
                                    <a:cxn ang="0">
                                      <a:pos x="T0" y="T1"/>
                                    </a:cxn>
                                    <a:cxn ang="0">
                                      <a:pos x="T2" y="T3"/>
                                    </a:cxn>
                                    <a:cxn ang="0">
                                      <a:pos x="T4" y="T5"/>
                                    </a:cxn>
                                    <a:cxn ang="0">
                                      <a:pos x="T6" y="T7"/>
                                    </a:cxn>
                                    <a:cxn ang="0">
                                      <a:pos x="T8" y="T9"/>
                                    </a:cxn>
                                    <a:cxn ang="0">
                                      <a:pos x="T10" y="T11"/>
                                    </a:cxn>
                                    <a:cxn ang="0">
                                      <a:pos x="T12" y="T13"/>
                                    </a:cxn>
                                  </a:cxnLst>
                                  <a:rect l="0" t="0" r="r" b="b"/>
                                  <a:pathLst>
                                    <a:path w="21" h="6">
                                      <a:moveTo>
                                        <a:pt x="3" y="6"/>
                                      </a:moveTo>
                                      <a:cubicBezTo>
                                        <a:pt x="18" y="6"/>
                                        <a:pt x="18" y="6"/>
                                        <a:pt x="18" y="6"/>
                                      </a:cubicBezTo>
                                      <a:cubicBezTo>
                                        <a:pt x="19" y="6"/>
                                        <a:pt x="21" y="5"/>
                                        <a:pt x="21" y="3"/>
                                      </a:cubicBezTo>
                                      <a:cubicBezTo>
                                        <a:pt x="21" y="1"/>
                                        <a:pt x="19" y="0"/>
                                        <a:pt x="18" y="0"/>
                                      </a:cubicBezTo>
                                      <a:cubicBezTo>
                                        <a:pt x="3" y="0"/>
                                        <a:pt x="3" y="0"/>
                                        <a:pt x="3" y="0"/>
                                      </a:cubicBezTo>
                                      <a:cubicBezTo>
                                        <a:pt x="1" y="0"/>
                                        <a:pt x="0" y="1"/>
                                        <a:pt x="0" y="3"/>
                                      </a:cubicBezTo>
                                      <a:cubicBezTo>
                                        <a:pt x="0" y="5"/>
                                        <a:pt x="1" y="6"/>
                                        <a:pt x="3" y="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7C97954" id="Group 14345" o:spid="_x0000_s1026" alt="&quot;&quot;" style="position:absolute;margin-left:82.45pt;margin-top:4.05pt;width:21.85pt;height:23.45pt;z-index:251658249;mso-width-relative:margin;mso-height-relative:margin" coordsize="5270,5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">
                      <v:shape id="Freeform 42" o:spid="_x0000_s1027" style="position:absolute;width:5270;height:5667;visibility:visible;mso-wrap-style:square;v-text-anchor:top" coordsize="16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" path="m157,c8,,8,,8,,4,,,4,,9v,5,,5,,5c,19,4,23,8,23v2,,2,,2,c10,135,10,135,10,135v,6,4,10,10,10c79,145,79,145,79,145v,9,,9,,9c74,155,71,159,71,165v,6,5,12,11,12c89,177,94,171,94,165v,-6,-4,-10,-9,-11c85,145,85,145,85,145v60,,60,,60,c151,145,155,141,155,135v,-112,,-112,,-112c157,23,157,23,157,23v4,,8,-4,8,-9c165,9,165,9,165,9,165,4,161,,157,xm88,165v,3,-2,6,-6,6c79,171,77,168,77,165v,-3,2,-6,5,-6c86,159,88,162,88,165xm149,135v,2,-2,4,-4,4c20,139,20,139,20,139v-3,,-4,-2,-4,-4c16,23,16,23,16,23v133,,133,,133,l149,135xm159,14v,2,-1,3,-2,3c8,17,8,17,8,17,7,17,6,16,6,14,6,9,6,9,6,9,6,8,7,6,8,6v149,,149,,149,c158,6,159,8,159,9r,5xe" filled="f" stroked="f">
                        <v:path arrowok="t" o:connecttype="custom" o:connectlocs="501496,0;25554,0;0,28817;0,44827;25554,73644;31942,73644;31942,432258;63885,464277;252345,464277;252345,493094;226791,528315;261928,566738;300259,528315;271511,493094;271511,464277;463165,464277;495108,432258;495108,73644;501496,73644;527050,44827;527050,28817;501496,0;281093,528315;261928,547527;245957,528315;261928,509104;281093,528315;475942,432258;463165,445065;63885,445065;51108,432258;51108,73644;475942,73644;475942,432258;507885,44827;501496,54432;25554,54432;19165,44827;19165,28817;25554,19211;501496,19211;507885,28817;507885,44827" o:connectangles="0,0,0,0,0,0,0,0,0,0,0,0,0,0,0,0,0,0,0,0,0,0,0,0,0,0,0,0,0,0,0,0,0,0,0,0,0,0,0,0,0,0,0"/>
                        <o:lock v:ext="edit" verticies="t"/>
                      </v:shape>
                      <v:shape id="Freeform 43" o:spid="_x0000_s1028" style="position:absolute;left:793;top:1762;width:731;height:2048;visibility:visible;mso-wrap-style:square;v-text-anchor:top" coordsize="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" path="m7,64v9,,9,,9,c20,64,23,61,23,57,23,7,23,7,23,7,23,3,20,,16,,7,,7,,7,,3,,,3,,7,,57,,57,,57v,4,3,7,7,7xm6,7c6,6,6,6,7,6v9,,9,,9,c17,6,17,6,17,7v,50,,50,,50c17,57,17,58,16,58v-9,,-9,,-9,c6,58,6,57,6,57l6,7xe" filled="f" stroked="f">
                        <v:path arrowok="t" o:connecttype="custom" o:connectlocs="22225,204788;50800,204788;73025,182389;73025,22399;50800,0;22225,0;0,22399;0,182389;22225,204788;19050,22399;22225,19199;50800,19199;53975,22399;53975,182389;50800,185589;22225,185589;19050,182389;19050,22399" o:connectangles="0,0,0,0,0,0,0,0,0,0,0,0,0,0,0,0,0,0"/>
                        <o:lock v:ext="edit" verticies="t"/>
                      </v:shape>
                      <v:shape id="Freeform 44" o:spid="_x0000_s1029" style="position:absolute;left:2460;top:1095;width:762;height:2715;visibility:visible;mso-wrap-style:square;v-text-anchor:top" coordsize="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" path="m7,85v10,,10,,10,c20,85,24,82,24,78,24,7,24,7,24,7,24,3,20,,17,,7,,7,,7,,3,,,3,,7,,78,,78,,78v,4,3,7,7,7xm6,7c6,7,7,6,7,6v10,,10,,10,c17,6,18,7,18,7v,71,,71,,71c18,78,17,79,17,79,7,79,7,79,7,79v,,-1,-1,-1,-1l6,7xe" filled="f" stroked="f">
                        <v:path arrowok="t" o:connecttype="custom" o:connectlocs="22225,271463;53975,271463;76200,249107;76200,22356;53975,0;22225,0;0,22356;0,249107;22225,271463;19050,22356;22225,19162;53975,19162;57150,22356;57150,249107;53975,252301;22225,252301;19050,249107;19050,22356" o:connectangles="0,0,0,0,0,0,0,0,0,0,0,0,0,0,0,0,0,0"/>
                        <o:lock v:ext="edit" verticies="t"/>
                      </v:shape>
                      <v:shape id="Freeform 45" o:spid="_x0000_s1030" style="position:absolute;left:1619;top:2301;width:746;height:1509;visibility:visible;mso-wrap-style:square;v-text-anchor:top" coordsize="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" path="m7,47v9,,9,,9,c20,47,23,44,23,40,23,7,23,7,23,7,23,3,20,,16,,7,,7,,7,,3,,,3,,7,,40,,40,,40v,4,3,7,7,7xm6,7v,,,-1,1,-1c16,6,16,6,16,6v1,,1,1,1,1c17,40,17,40,17,40v,,,1,-1,1c7,41,7,41,7,41,6,41,6,40,6,40l6,7xe" filled="f" stroked="f">
                        <v:path arrowok="t" o:connecttype="custom" o:connectlocs="22708,150813;51904,150813;74612,128351;74612,22462;51904,0;22708,0;0,22462;0,128351;22708,150813;19464,22462;22708,19253;51904,19253;55148,22462;55148,128351;51904,131560;22708,131560;19464,128351;19464,22462" o:connectangles="0,0,0,0,0,0,0,0,0,0,0,0,0,0,0,0,0,0"/>
                        <o:lock v:ext="edit" verticies="t"/>
                      </v:shape>
                      <v:shape id="Freeform 46" o:spid="_x0000_s1031" style="position:absolute;left:3349;top:2397;width:1111;height:190;visibility:visible;mso-wrap-style:square;v-text-anchor:top" coordsize="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" path="m3,6v29,,29,,29,c34,6,35,5,35,3,35,1,34,,32,,3,,3,,3,,1,,,1,,3,,5,1,6,3,6xe" filled="f" stroked="f">
                        <v:path arrowok="t" o:connecttype="custom" o:connectlocs="9525,19050;101600,19050;111125,9525;101600,0;9525,0;0,9525;9525,19050" o:connectangles="0,0,0,0,0,0,0"/>
                      </v:shape>
                      <v:shape id="Freeform 47" o:spid="_x0000_s1032" style="position:absolute;left:3349;top:3048;width:1111;height:190;visibility:visible;mso-wrap-style:square;v-text-anchor:top" coordsize="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" path="m3,6v29,,29,,29,c34,6,35,5,35,3,35,2,34,,32,,3,,3,,3,,1,,,2,,3,,5,1,6,3,6xe" filled="f" stroked="f">
                        <v:path arrowok="t" o:connecttype="custom" o:connectlocs="9525,19050;101600,19050;111125,9525;101600,0;9525,0;0,9525;9525,19050" o:connectangles="0,0,0,0,0,0,0"/>
                      </v:shape>
                      <v:shape id="Freeform 48" o:spid="_x0000_s1033" style="position:absolute;left:3349;top:3333;width:1111;height:191;visibility:visible;mso-wrap-style:square;v-text-anchor:top" coordsize="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" path="m3,6v29,,29,,29,c34,6,35,5,35,3,35,2,34,,32,,3,,3,,3,,1,,,2,,3,,5,1,6,3,6xe" filled="f" stroked="f">
                        <v:path arrowok="t" o:connecttype="custom" o:connectlocs="9525,19050;101600,19050;111125,9525;101600,0;9525,0;0,9525;9525,19050" o:connectangles="0,0,0,0,0,0,0"/>
                      </v:shape>
                      <v:shape id="Freeform 49" o:spid="_x0000_s1034" style="position:absolute;left:3349;top:3619;width:667;height:191;visibility:visible;mso-wrap-style:square;v-text-anchor:top" coordsize="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" path="m3,6v15,,15,,15,c19,6,21,5,21,3,21,1,19,,18,,3,,3,,3,,1,,,1,,3,,5,1,6,3,6xe" filled="f" stroked="f">
                        <v:path arrowok="t" o:connecttype="custom" o:connectlocs="9525,19050;57150,19050;66675,9525;57150,0;9525,0;0,9525;9525,19050" o:connectangles="0,0,0,0,0,0,0"/>
                      </v:shape>
                    </v:group>
                  </w:pict>
                </mc:Fallback>
              </mc:AlternateContent>
            </w:r>
            <w:r w:rsidRPr="00130575">
              <w:rPr>
                <w:rFonts w:asciiTheme="majorHAnsi" w:hAnsiTheme="majorHAnsi" w:cstheme="majorHAnsi"/>
                <w:sz w:val="18"/>
                <w:szCs w:val="20"/>
                <w:lang w:eastAsia="en-AU"/>
              </w:rPr>
              <w:t>Descriptive</w:t>
            </w:r>
            <w:r w:rsidRPr="00130575">
              <w:rPr>
                <w:rFonts w:asciiTheme="majorHAnsi" w:hAnsiTheme="majorHAnsi" w:cstheme="majorHAnsi"/>
                <w:sz w:val="18"/>
                <w:szCs w:val="20"/>
                <w:lang w:eastAsia="en-AU"/>
              </w:rPr>
              <w:br/>
              <w:t>statistics</w:t>
            </w:r>
          </w:p>
        </w:tc>
        <w:tc>
          <w:tcPr>
            <w:tcW w:w="2784" w:type="dxa"/>
            <w:vAlign w:val="top"/>
          </w:tcPr>
          <w:p w14:paraId="30669BEC" w14:textId="77777777" w:rsidR="006F29B9" w:rsidRPr="00130575" w:rsidRDefault="006F29B9" w:rsidP="00130575">
            <w:pPr>
              <w:spacing w:before="40" w:after="40"/>
              <w:ind w:left="284"/>
              <w:rPr>
                <w:rFonts w:asciiTheme="majorHAnsi" w:hAnsiTheme="majorHAnsi" w:cstheme="majorHAnsi"/>
                <w:sz w:val="18"/>
                <w:szCs w:val="20"/>
                <w:lang w:eastAsia="en-AU"/>
              </w:rPr>
            </w:pPr>
            <w:r w:rsidRPr="00130575">
              <w:rPr>
                <w:noProof/>
                <w:sz w:val="18"/>
                <w:szCs w:val="20"/>
              </w:rPr>
              <mc:AlternateContent>
                <mc:Choice Requires="wps">
                  <w:drawing>
                    <wp:anchor distT="0" distB="0" distL="114300" distR="114300" simplePos="0" relativeHeight="251658247" behindDoc="0" locked="0" layoutInCell="1" allowOverlap="1" wp14:anchorId="216B8ADE" wp14:editId="61546D8F">
                      <wp:simplePos x="0" y="0"/>
                      <wp:positionH relativeFrom="column">
                        <wp:posOffset>1113155</wp:posOffset>
                      </wp:positionH>
                      <wp:positionV relativeFrom="paragraph">
                        <wp:posOffset>52070</wp:posOffset>
                      </wp:positionV>
                      <wp:extent cx="292844" cy="272955"/>
                      <wp:effectExtent l="0" t="0" r="0" b="0"/>
                      <wp:wrapNone/>
                      <wp:docPr id="14341" name="Freeform: Shape 14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844" cy="272955"/>
                              </a:xfrm>
                              <a:custGeom>
                                <a:avLst/>
                                <a:gdLst>
                                  <a:gd name="T0" fmla="*/ 159 w 170"/>
                                  <a:gd name="T1" fmla="*/ 152 h 159"/>
                                  <a:gd name="T2" fmla="*/ 154 w 170"/>
                                  <a:gd name="T3" fmla="*/ 34 h 159"/>
                                  <a:gd name="T4" fmla="*/ 122 w 170"/>
                                  <a:gd name="T5" fmla="*/ 40 h 159"/>
                                  <a:gd name="T6" fmla="*/ 122 w 170"/>
                                  <a:gd name="T7" fmla="*/ 112 h 159"/>
                                  <a:gd name="T8" fmla="*/ 122 w 170"/>
                                  <a:gd name="T9" fmla="*/ 152 h 159"/>
                                  <a:gd name="T10" fmla="*/ 108 w 170"/>
                                  <a:gd name="T11" fmla="*/ 72 h 159"/>
                                  <a:gd name="T12" fmla="*/ 76 w 170"/>
                                  <a:gd name="T13" fmla="*/ 67 h 159"/>
                                  <a:gd name="T14" fmla="*/ 70 w 170"/>
                                  <a:gd name="T15" fmla="*/ 135 h 159"/>
                                  <a:gd name="T16" fmla="*/ 56 w 170"/>
                                  <a:gd name="T17" fmla="*/ 152 h 159"/>
                                  <a:gd name="T18" fmla="*/ 51 w 170"/>
                                  <a:gd name="T19" fmla="*/ 87 h 159"/>
                                  <a:gd name="T20" fmla="*/ 19 w 170"/>
                                  <a:gd name="T21" fmla="*/ 93 h 159"/>
                                  <a:gd name="T22" fmla="*/ 6 w 170"/>
                                  <a:gd name="T23" fmla="*/ 152 h 159"/>
                                  <a:gd name="T24" fmla="*/ 6 w 170"/>
                                  <a:gd name="T25" fmla="*/ 73 h 159"/>
                                  <a:gd name="T26" fmla="*/ 57 w 170"/>
                                  <a:gd name="T27" fmla="*/ 70 h 159"/>
                                  <a:gd name="T28" fmla="*/ 104 w 170"/>
                                  <a:gd name="T29" fmla="*/ 49 h 159"/>
                                  <a:gd name="T30" fmla="*/ 107 w 170"/>
                                  <a:gd name="T31" fmla="*/ 18 h 159"/>
                                  <a:gd name="T32" fmla="*/ 150 w 170"/>
                                  <a:gd name="T33" fmla="*/ 18 h 159"/>
                                  <a:gd name="T34" fmla="*/ 143 w 170"/>
                                  <a:gd name="T35" fmla="*/ 29 h 159"/>
                                  <a:gd name="T36" fmla="*/ 159 w 170"/>
                                  <a:gd name="T37" fmla="*/ 17 h 159"/>
                                  <a:gd name="T38" fmla="*/ 147 w 170"/>
                                  <a:gd name="T39" fmla="*/ 1 h 159"/>
                                  <a:gd name="T40" fmla="*/ 143 w 170"/>
                                  <a:gd name="T41" fmla="*/ 5 h 159"/>
                                  <a:gd name="T42" fmla="*/ 150 w 170"/>
                                  <a:gd name="T43" fmla="*/ 12 h 159"/>
                                  <a:gd name="T44" fmla="*/ 104 w 170"/>
                                  <a:gd name="T45" fmla="*/ 12 h 159"/>
                                  <a:gd name="T46" fmla="*/ 101 w 170"/>
                                  <a:gd name="T47" fmla="*/ 43 h 159"/>
                                  <a:gd name="T48" fmla="*/ 50 w 170"/>
                                  <a:gd name="T49" fmla="*/ 46 h 159"/>
                                  <a:gd name="T50" fmla="*/ 6 w 170"/>
                                  <a:gd name="T51" fmla="*/ 67 h 159"/>
                                  <a:gd name="T52" fmla="*/ 3 w 170"/>
                                  <a:gd name="T53" fmla="*/ 1 h 159"/>
                                  <a:gd name="T54" fmla="*/ 0 w 170"/>
                                  <a:gd name="T55" fmla="*/ 156 h 159"/>
                                  <a:gd name="T56" fmla="*/ 167 w 170"/>
                                  <a:gd name="T57" fmla="*/ 159 h 159"/>
                                  <a:gd name="T58" fmla="*/ 167 w 170"/>
                                  <a:gd name="T59" fmla="*/ 152 h 159"/>
                                  <a:gd name="T60" fmla="*/ 50 w 170"/>
                                  <a:gd name="T61" fmla="*/ 120 h 159"/>
                                  <a:gd name="T62" fmla="*/ 26 w 170"/>
                                  <a:gd name="T63" fmla="*/ 152 h 159"/>
                                  <a:gd name="T64" fmla="*/ 26 w 170"/>
                                  <a:gd name="T65" fmla="*/ 114 h 159"/>
                                  <a:gd name="T66" fmla="*/ 50 w 170"/>
                                  <a:gd name="T67" fmla="*/ 94 h 159"/>
                                  <a:gd name="T68" fmla="*/ 101 w 170"/>
                                  <a:gd name="T69" fmla="*/ 91 h 159"/>
                                  <a:gd name="T70" fmla="*/ 101 w 170"/>
                                  <a:gd name="T71" fmla="*/ 152 h 159"/>
                                  <a:gd name="T72" fmla="*/ 77 w 170"/>
                                  <a:gd name="T73" fmla="*/ 135 h 159"/>
                                  <a:gd name="T74" fmla="*/ 77 w 170"/>
                                  <a:gd name="T75" fmla="*/ 91 h 159"/>
                                  <a:gd name="T76" fmla="*/ 101 w 170"/>
                                  <a:gd name="T77" fmla="*/ 73 h 159"/>
                                  <a:gd name="T78" fmla="*/ 153 w 170"/>
                                  <a:gd name="T79" fmla="*/ 59 h 159"/>
                                  <a:gd name="T80" fmla="*/ 153 w 170"/>
                                  <a:gd name="T81" fmla="*/ 152 h 159"/>
                                  <a:gd name="T82" fmla="*/ 129 w 170"/>
                                  <a:gd name="T83" fmla="*/ 117 h 159"/>
                                  <a:gd name="T84" fmla="*/ 128 w 170"/>
                                  <a:gd name="T85" fmla="*/ 66 h 159"/>
                                  <a:gd name="T86" fmla="*/ 128 w 170"/>
                                  <a:gd name="T87" fmla="*/ 41 h 159"/>
                                  <a:gd name="T88" fmla="*/ 153 w 170"/>
                                  <a:gd name="T89" fmla="*/ 5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70" h="159">
                                    <a:moveTo>
                                      <a:pt x="167" y="152"/>
                                    </a:moveTo>
                                    <a:cubicBezTo>
                                      <a:pt x="159" y="152"/>
                                      <a:pt x="159" y="152"/>
                                      <a:pt x="159" y="152"/>
                                    </a:cubicBezTo>
                                    <a:cubicBezTo>
                                      <a:pt x="159" y="40"/>
                                      <a:pt x="159" y="40"/>
                                      <a:pt x="159" y="40"/>
                                    </a:cubicBezTo>
                                    <a:cubicBezTo>
                                      <a:pt x="159" y="37"/>
                                      <a:pt x="157" y="34"/>
                                      <a:pt x="154" y="34"/>
                                    </a:cubicBezTo>
                                    <a:cubicBezTo>
                                      <a:pt x="128" y="34"/>
                                      <a:pt x="128" y="34"/>
                                      <a:pt x="128" y="34"/>
                                    </a:cubicBezTo>
                                    <a:cubicBezTo>
                                      <a:pt x="124" y="34"/>
                                      <a:pt x="122" y="37"/>
                                      <a:pt x="122" y="40"/>
                                    </a:cubicBezTo>
                                    <a:cubicBezTo>
                                      <a:pt x="122" y="111"/>
                                      <a:pt x="122" y="111"/>
                                      <a:pt x="122" y="111"/>
                                    </a:cubicBezTo>
                                    <a:cubicBezTo>
                                      <a:pt x="122" y="112"/>
                                      <a:pt x="122" y="112"/>
                                      <a:pt x="122" y="112"/>
                                    </a:cubicBezTo>
                                    <a:cubicBezTo>
                                      <a:pt x="122" y="112"/>
                                      <a:pt x="122" y="112"/>
                                      <a:pt x="122" y="112"/>
                                    </a:cubicBezTo>
                                    <a:cubicBezTo>
                                      <a:pt x="122" y="113"/>
                                      <a:pt x="122" y="122"/>
                                      <a:pt x="122" y="152"/>
                                    </a:cubicBezTo>
                                    <a:cubicBezTo>
                                      <a:pt x="108" y="152"/>
                                      <a:pt x="108" y="152"/>
                                      <a:pt x="108" y="152"/>
                                    </a:cubicBezTo>
                                    <a:cubicBezTo>
                                      <a:pt x="108" y="72"/>
                                      <a:pt x="108" y="72"/>
                                      <a:pt x="108" y="72"/>
                                    </a:cubicBezTo>
                                    <a:cubicBezTo>
                                      <a:pt x="108" y="69"/>
                                      <a:pt x="105" y="67"/>
                                      <a:pt x="102" y="67"/>
                                    </a:cubicBezTo>
                                    <a:cubicBezTo>
                                      <a:pt x="76" y="67"/>
                                      <a:pt x="76" y="67"/>
                                      <a:pt x="76" y="67"/>
                                    </a:cubicBezTo>
                                    <a:cubicBezTo>
                                      <a:pt x="73" y="67"/>
                                      <a:pt x="70" y="69"/>
                                      <a:pt x="70" y="72"/>
                                    </a:cubicBezTo>
                                    <a:cubicBezTo>
                                      <a:pt x="70" y="135"/>
                                      <a:pt x="70" y="135"/>
                                      <a:pt x="70" y="135"/>
                                    </a:cubicBezTo>
                                    <a:cubicBezTo>
                                      <a:pt x="70" y="135"/>
                                      <a:pt x="70" y="137"/>
                                      <a:pt x="71" y="152"/>
                                    </a:cubicBezTo>
                                    <a:cubicBezTo>
                                      <a:pt x="56" y="152"/>
                                      <a:pt x="56" y="152"/>
                                      <a:pt x="56" y="152"/>
                                    </a:cubicBezTo>
                                    <a:cubicBezTo>
                                      <a:pt x="56" y="93"/>
                                      <a:pt x="56" y="93"/>
                                      <a:pt x="56" y="93"/>
                                    </a:cubicBezTo>
                                    <a:cubicBezTo>
                                      <a:pt x="56" y="90"/>
                                      <a:pt x="54" y="87"/>
                                      <a:pt x="51" y="87"/>
                                    </a:cubicBezTo>
                                    <a:cubicBezTo>
                                      <a:pt x="25" y="87"/>
                                      <a:pt x="25" y="87"/>
                                      <a:pt x="25" y="87"/>
                                    </a:cubicBezTo>
                                    <a:cubicBezTo>
                                      <a:pt x="22" y="87"/>
                                      <a:pt x="19" y="90"/>
                                      <a:pt x="19" y="93"/>
                                    </a:cubicBezTo>
                                    <a:cubicBezTo>
                                      <a:pt x="19" y="152"/>
                                      <a:pt x="19" y="152"/>
                                      <a:pt x="19" y="152"/>
                                    </a:cubicBezTo>
                                    <a:cubicBezTo>
                                      <a:pt x="6" y="152"/>
                                      <a:pt x="6" y="152"/>
                                      <a:pt x="6" y="152"/>
                                    </a:cubicBezTo>
                                    <a:cubicBezTo>
                                      <a:pt x="6" y="78"/>
                                      <a:pt x="6" y="78"/>
                                      <a:pt x="6" y="78"/>
                                    </a:cubicBezTo>
                                    <a:cubicBezTo>
                                      <a:pt x="6" y="73"/>
                                      <a:pt x="6" y="73"/>
                                      <a:pt x="6" y="73"/>
                                    </a:cubicBezTo>
                                    <a:cubicBezTo>
                                      <a:pt x="53" y="73"/>
                                      <a:pt x="53" y="73"/>
                                      <a:pt x="53" y="73"/>
                                    </a:cubicBezTo>
                                    <a:cubicBezTo>
                                      <a:pt x="55" y="73"/>
                                      <a:pt x="57" y="71"/>
                                      <a:pt x="57" y="70"/>
                                    </a:cubicBezTo>
                                    <a:cubicBezTo>
                                      <a:pt x="57" y="49"/>
                                      <a:pt x="57" y="49"/>
                                      <a:pt x="57" y="49"/>
                                    </a:cubicBezTo>
                                    <a:cubicBezTo>
                                      <a:pt x="104" y="49"/>
                                      <a:pt x="104" y="49"/>
                                      <a:pt x="104" y="49"/>
                                    </a:cubicBezTo>
                                    <a:cubicBezTo>
                                      <a:pt x="106" y="49"/>
                                      <a:pt x="107" y="48"/>
                                      <a:pt x="107" y="46"/>
                                    </a:cubicBezTo>
                                    <a:cubicBezTo>
                                      <a:pt x="107" y="18"/>
                                      <a:pt x="107" y="18"/>
                                      <a:pt x="107" y="18"/>
                                    </a:cubicBezTo>
                                    <a:cubicBezTo>
                                      <a:pt x="148" y="18"/>
                                      <a:pt x="148" y="18"/>
                                      <a:pt x="148" y="18"/>
                                    </a:cubicBezTo>
                                    <a:cubicBezTo>
                                      <a:pt x="149" y="18"/>
                                      <a:pt x="149" y="18"/>
                                      <a:pt x="150" y="18"/>
                                    </a:cubicBezTo>
                                    <a:cubicBezTo>
                                      <a:pt x="143" y="25"/>
                                      <a:pt x="143" y="25"/>
                                      <a:pt x="143" y="25"/>
                                    </a:cubicBezTo>
                                    <a:cubicBezTo>
                                      <a:pt x="142" y="26"/>
                                      <a:pt x="142" y="28"/>
                                      <a:pt x="143" y="29"/>
                                    </a:cubicBezTo>
                                    <a:cubicBezTo>
                                      <a:pt x="144" y="30"/>
                                      <a:pt x="146" y="30"/>
                                      <a:pt x="147" y="29"/>
                                    </a:cubicBezTo>
                                    <a:cubicBezTo>
                                      <a:pt x="159" y="17"/>
                                      <a:pt x="159" y="17"/>
                                      <a:pt x="159" y="17"/>
                                    </a:cubicBezTo>
                                    <a:cubicBezTo>
                                      <a:pt x="160" y="16"/>
                                      <a:pt x="160" y="14"/>
                                      <a:pt x="159" y="13"/>
                                    </a:cubicBezTo>
                                    <a:cubicBezTo>
                                      <a:pt x="147" y="1"/>
                                      <a:pt x="147" y="1"/>
                                      <a:pt x="147" y="1"/>
                                    </a:cubicBezTo>
                                    <a:cubicBezTo>
                                      <a:pt x="146" y="0"/>
                                      <a:pt x="144" y="0"/>
                                      <a:pt x="143" y="1"/>
                                    </a:cubicBezTo>
                                    <a:cubicBezTo>
                                      <a:pt x="142" y="2"/>
                                      <a:pt x="142" y="4"/>
                                      <a:pt x="143" y="5"/>
                                    </a:cubicBezTo>
                                    <a:cubicBezTo>
                                      <a:pt x="149" y="12"/>
                                      <a:pt x="149" y="12"/>
                                      <a:pt x="149" y="12"/>
                                    </a:cubicBezTo>
                                    <a:cubicBezTo>
                                      <a:pt x="150" y="12"/>
                                      <a:pt x="150" y="12"/>
                                      <a:pt x="150" y="12"/>
                                    </a:cubicBezTo>
                                    <a:cubicBezTo>
                                      <a:pt x="149" y="12"/>
                                      <a:pt x="149" y="12"/>
                                      <a:pt x="148" y="12"/>
                                    </a:cubicBezTo>
                                    <a:cubicBezTo>
                                      <a:pt x="104" y="12"/>
                                      <a:pt x="104" y="12"/>
                                      <a:pt x="104" y="12"/>
                                    </a:cubicBezTo>
                                    <a:cubicBezTo>
                                      <a:pt x="102" y="12"/>
                                      <a:pt x="101" y="13"/>
                                      <a:pt x="101" y="15"/>
                                    </a:cubicBezTo>
                                    <a:cubicBezTo>
                                      <a:pt x="101" y="43"/>
                                      <a:pt x="101" y="43"/>
                                      <a:pt x="101" y="43"/>
                                    </a:cubicBezTo>
                                    <a:cubicBezTo>
                                      <a:pt x="53" y="43"/>
                                      <a:pt x="53" y="43"/>
                                      <a:pt x="53" y="43"/>
                                    </a:cubicBezTo>
                                    <a:cubicBezTo>
                                      <a:pt x="52" y="43"/>
                                      <a:pt x="50" y="44"/>
                                      <a:pt x="50" y="46"/>
                                    </a:cubicBezTo>
                                    <a:cubicBezTo>
                                      <a:pt x="50" y="67"/>
                                      <a:pt x="50" y="67"/>
                                      <a:pt x="50" y="67"/>
                                    </a:cubicBezTo>
                                    <a:cubicBezTo>
                                      <a:pt x="6" y="67"/>
                                      <a:pt x="6" y="67"/>
                                      <a:pt x="6" y="67"/>
                                    </a:cubicBezTo>
                                    <a:cubicBezTo>
                                      <a:pt x="6" y="5"/>
                                      <a:pt x="6" y="5"/>
                                      <a:pt x="6" y="5"/>
                                    </a:cubicBezTo>
                                    <a:cubicBezTo>
                                      <a:pt x="6" y="3"/>
                                      <a:pt x="5" y="1"/>
                                      <a:pt x="3" y="1"/>
                                    </a:cubicBezTo>
                                    <a:cubicBezTo>
                                      <a:pt x="1" y="1"/>
                                      <a:pt x="0" y="3"/>
                                      <a:pt x="0" y="5"/>
                                    </a:cubicBezTo>
                                    <a:cubicBezTo>
                                      <a:pt x="0" y="156"/>
                                      <a:pt x="0" y="156"/>
                                      <a:pt x="0" y="156"/>
                                    </a:cubicBezTo>
                                    <a:cubicBezTo>
                                      <a:pt x="0" y="157"/>
                                      <a:pt x="1" y="159"/>
                                      <a:pt x="3" y="159"/>
                                    </a:cubicBezTo>
                                    <a:cubicBezTo>
                                      <a:pt x="167" y="159"/>
                                      <a:pt x="167" y="159"/>
                                      <a:pt x="167" y="159"/>
                                    </a:cubicBezTo>
                                    <a:cubicBezTo>
                                      <a:pt x="168" y="159"/>
                                      <a:pt x="170" y="157"/>
                                      <a:pt x="170" y="156"/>
                                    </a:cubicBezTo>
                                    <a:cubicBezTo>
                                      <a:pt x="170" y="154"/>
                                      <a:pt x="168" y="152"/>
                                      <a:pt x="167" y="152"/>
                                    </a:cubicBezTo>
                                    <a:close/>
                                    <a:moveTo>
                                      <a:pt x="50" y="114"/>
                                    </a:moveTo>
                                    <a:cubicBezTo>
                                      <a:pt x="50" y="120"/>
                                      <a:pt x="50" y="120"/>
                                      <a:pt x="50" y="120"/>
                                    </a:cubicBezTo>
                                    <a:cubicBezTo>
                                      <a:pt x="50" y="152"/>
                                      <a:pt x="50" y="152"/>
                                      <a:pt x="50" y="152"/>
                                    </a:cubicBezTo>
                                    <a:cubicBezTo>
                                      <a:pt x="26" y="152"/>
                                      <a:pt x="26" y="152"/>
                                      <a:pt x="26" y="152"/>
                                    </a:cubicBezTo>
                                    <a:cubicBezTo>
                                      <a:pt x="26" y="120"/>
                                      <a:pt x="26" y="120"/>
                                      <a:pt x="26" y="120"/>
                                    </a:cubicBezTo>
                                    <a:cubicBezTo>
                                      <a:pt x="26" y="114"/>
                                      <a:pt x="26" y="114"/>
                                      <a:pt x="26" y="114"/>
                                    </a:cubicBezTo>
                                    <a:cubicBezTo>
                                      <a:pt x="26" y="94"/>
                                      <a:pt x="26" y="94"/>
                                      <a:pt x="26" y="94"/>
                                    </a:cubicBezTo>
                                    <a:cubicBezTo>
                                      <a:pt x="50" y="94"/>
                                      <a:pt x="50" y="94"/>
                                      <a:pt x="50" y="94"/>
                                    </a:cubicBezTo>
                                    <a:lnTo>
                                      <a:pt x="50" y="114"/>
                                    </a:lnTo>
                                    <a:close/>
                                    <a:moveTo>
                                      <a:pt x="101" y="91"/>
                                    </a:moveTo>
                                    <a:cubicBezTo>
                                      <a:pt x="101" y="98"/>
                                      <a:pt x="101" y="98"/>
                                      <a:pt x="101" y="98"/>
                                    </a:cubicBezTo>
                                    <a:cubicBezTo>
                                      <a:pt x="101" y="152"/>
                                      <a:pt x="101" y="152"/>
                                      <a:pt x="101" y="152"/>
                                    </a:cubicBezTo>
                                    <a:cubicBezTo>
                                      <a:pt x="77" y="152"/>
                                      <a:pt x="77" y="152"/>
                                      <a:pt x="77" y="152"/>
                                    </a:cubicBezTo>
                                    <a:cubicBezTo>
                                      <a:pt x="77" y="137"/>
                                      <a:pt x="77" y="135"/>
                                      <a:pt x="77" y="135"/>
                                    </a:cubicBezTo>
                                    <a:cubicBezTo>
                                      <a:pt x="77" y="98"/>
                                      <a:pt x="77" y="98"/>
                                      <a:pt x="77" y="98"/>
                                    </a:cubicBezTo>
                                    <a:cubicBezTo>
                                      <a:pt x="77" y="91"/>
                                      <a:pt x="77" y="91"/>
                                      <a:pt x="77" y="91"/>
                                    </a:cubicBezTo>
                                    <a:cubicBezTo>
                                      <a:pt x="77" y="73"/>
                                      <a:pt x="77" y="73"/>
                                      <a:pt x="77" y="73"/>
                                    </a:cubicBezTo>
                                    <a:cubicBezTo>
                                      <a:pt x="101" y="73"/>
                                      <a:pt x="101" y="73"/>
                                      <a:pt x="101" y="73"/>
                                    </a:cubicBezTo>
                                    <a:lnTo>
                                      <a:pt x="101" y="91"/>
                                    </a:lnTo>
                                    <a:close/>
                                    <a:moveTo>
                                      <a:pt x="153" y="59"/>
                                    </a:moveTo>
                                    <a:cubicBezTo>
                                      <a:pt x="153" y="66"/>
                                      <a:pt x="153" y="66"/>
                                      <a:pt x="153" y="66"/>
                                    </a:cubicBezTo>
                                    <a:cubicBezTo>
                                      <a:pt x="153" y="152"/>
                                      <a:pt x="153" y="152"/>
                                      <a:pt x="153" y="152"/>
                                    </a:cubicBezTo>
                                    <a:cubicBezTo>
                                      <a:pt x="129" y="152"/>
                                      <a:pt x="129" y="152"/>
                                      <a:pt x="129" y="152"/>
                                    </a:cubicBezTo>
                                    <a:cubicBezTo>
                                      <a:pt x="129" y="133"/>
                                      <a:pt x="129" y="123"/>
                                      <a:pt x="129" y="117"/>
                                    </a:cubicBezTo>
                                    <a:cubicBezTo>
                                      <a:pt x="129" y="114"/>
                                      <a:pt x="129" y="112"/>
                                      <a:pt x="128" y="111"/>
                                    </a:cubicBezTo>
                                    <a:cubicBezTo>
                                      <a:pt x="128" y="66"/>
                                      <a:pt x="128" y="66"/>
                                      <a:pt x="128" y="66"/>
                                    </a:cubicBezTo>
                                    <a:cubicBezTo>
                                      <a:pt x="128" y="59"/>
                                      <a:pt x="128" y="59"/>
                                      <a:pt x="128" y="59"/>
                                    </a:cubicBezTo>
                                    <a:cubicBezTo>
                                      <a:pt x="128" y="41"/>
                                      <a:pt x="128" y="41"/>
                                      <a:pt x="128" y="41"/>
                                    </a:cubicBezTo>
                                    <a:cubicBezTo>
                                      <a:pt x="153" y="41"/>
                                      <a:pt x="153" y="41"/>
                                      <a:pt x="153" y="41"/>
                                    </a:cubicBezTo>
                                    <a:lnTo>
                                      <a:pt x="153" y="59"/>
                                    </a:lnTo>
                                    <a:close/>
                                  </a:path>
                                </a:pathLst>
                              </a:cu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4CCEBF" id="Freeform: Shape 14341" o:spid="_x0000_s1026" alt="&quot;&quot;" style="position:absolute;margin-left:87.65pt;margin-top:4.1pt;width:23.05pt;height:2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0,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" path="m167,152v-8,,-8,,-8,c159,40,159,40,159,40v,-3,-2,-6,-5,-6c128,34,128,34,128,34v-4,,-6,3,-6,6c122,111,122,111,122,111v,1,,1,,1c122,112,122,112,122,112v,1,,10,,40c108,152,108,152,108,152v,-80,,-80,,-80c108,69,105,67,102,67v-26,,-26,,-26,c73,67,70,69,70,72v,63,,63,,63c70,135,70,137,71,152v-15,,-15,,-15,c56,93,56,93,56,93v,-3,-2,-6,-5,-6c25,87,25,87,25,87v-3,,-6,3,-6,6c19,152,19,152,19,152v-13,,-13,,-13,c6,78,6,78,6,78v,-5,,-5,,-5c53,73,53,73,53,73v2,,4,-2,4,-3c57,49,57,49,57,49v47,,47,,47,c106,49,107,48,107,46v,-28,,-28,,-28c148,18,148,18,148,18v1,,1,,2,c143,25,143,25,143,25v-1,1,-1,3,,4c144,30,146,30,147,29,159,17,159,17,159,17v1,-1,1,-3,,-4c147,1,147,1,147,1,146,,144,,143,1v-1,1,-1,3,,4c149,12,149,12,149,12v1,,1,,1,c149,12,149,12,148,12v-44,,-44,,-44,c102,12,101,13,101,15v,28,,28,,28c53,43,53,43,53,43v-1,,-3,1,-3,3c50,67,50,67,50,67,6,67,6,67,6,67,6,5,6,5,6,5,6,3,5,1,3,1,1,1,,3,,5,,156,,156,,156v,1,1,3,3,3c167,159,167,159,167,159v1,,3,-2,3,-3c170,154,168,152,167,152xm50,114v,6,,6,,6c50,152,50,152,50,152v-24,,-24,,-24,c26,120,26,120,26,120v,-6,,-6,,-6c26,94,26,94,26,94v24,,24,,24,l50,114xm101,91v,7,,7,,7c101,152,101,152,101,152v-24,,-24,,-24,c77,137,77,135,77,135v,-37,,-37,,-37c77,91,77,91,77,91v,-18,,-18,,-18c101,73,101,73,101,73r,18xm153,59v,7,,7,,7c153,152,153,152,153,152v-24,,-24,,-24,c129,133,129,123,129,117v,-3,,-5,-1,-6c128,66,128,66,128,66v,-7,,-7,,-7c128,41,128,41,128,41v25,,25,,25,l153,59xe" fillcolor="#00264d [3214]" stroked="f">
                      <v:path arrowok="t" o:connecttype="custom" o:connectlocs="273895,260938;265282,58368;210159,68668;210159,192270;210159,260938;186042,123602;130918,115019;120583,231754;96466,260938;87853,149353;32730,159653;10336,260938;10336,125319;98189,120169;179152,84118;184319,30901;258392,30901;246333,49784;273895,29184;253224,1717;246333,8583;258392,20600;179152,20600;173984,73818;86131,78968;10336,115019;5168,1717;0,267805;287676,272955;287676,260938;86131,206004;44788,260938;44788,195704;86131,161370;173984,156220;173984,260938;132641,231754;132641,156220;173984,125319;263560,101285;263560,260938;222217,200854;220494,113302;220494,70385;263560,101285" o:connectangles="0,0,0,0,0,0,0,0,0,0,0,0,0,0,0,0,0,0,0,0,0,0,0,0,0,0,0,0,0,0,0,0,0,0,0,0,0,0,0,0,0,0,0,0,0"/>
                      <o:lock v:ext="edit" aspectratio="t" verticies="t"/>
                    </v:shape>
                  </w:pict>
                </mc:Fallback>
              </mc:AlternateContent>
            </w:r>
            <w:r w:rsidRPr="00130575">
              <w:rPr>
                <w:rFonts w:asciiTheme="majorHAnsi" w:hAnsiTheme="majorHAnsi" w:cstheme="majorHAnsi"/>
                <w:sz w:val="18"/>
                <w:szCs w:val="20"/>
                <w:lang w:eastAsia="en-AU"/>
              </w:rPr>
              <w:t>Difference-in-</w:t>
            </w:r>
            <w:r w:rsidRPr="00130575">
              <w:rPr>
                <w:rFonts w:asciiTheme="majorHAnsi" w:hAnsiTheme="majorHAnsi" w:cstheme="majorHAnsi"/>
                <w:sz w:val="18"/>
                <w:szCs w:val="20"/>
                <w:lang w:eastAsia="en-AU"/>
              </w:rPr>
              <w:br/>
              <w:t>difference</w:t>
            </w:r>
          </w:p>
        </w:tc>
        <w:tc>
          <w:tcPr>
            <w:tcW w:w="2785" w:type="dxa"/>
            <w:vAlign w:val="top"/>
          </w:tcPr>
          <w:p w14:paraId="6B7889DE" w14:textId="77777777" w:rsidR="006F29B9" w:rsidRPr="00130575" w:rsidRDefault="006F29B9" w:rsidP="00130575">
            <w:pPr>
              <w:spacing w:before="40" w:after="40"/>
              <w:ind w:left="284"/>
              <w:rPr>
                <w:rFonts w:asciiTheme="majorHAnsi" w:hAnsiTheme="majorHAnsi" w:cstheme="majorHAnsi"/>
                <w:sz w:val="18"/>
                <w:szCs w:val="20"/>
                <w:lang w:eastAsia="en-AU"/>
              </w:rPr>
            </w:pPr>
            <w:r w:rsidRPr="00130575">
              <w:rPr>
                <w:noProof/>
                <w:sz w:val="18"/>
                <w:szCs w:val="20"/>
              </w:rPr>
              <mc:AlternateContent>
                <mc:Choice Requires="wps">
                  <w:drawing>
                    <wp:anchor distT="0" distB="0" distL="114300" distR="114300" simplePos="0" relativeHeight="251658248" behindDoc="0" locked="0" layoutInCell="1" allowOverlap="1" wp14:anchorId="680836B9" wp14:editId="7EFBF863">
                      <wp:simplePos x="0" y="0"/>
                      <wp:positionH relativeFrom="column">
                        <wp:posOffset>1120726</wp:posOffset>
                      </wp:positionH>
                      <wp:positionV relativeFrom="paragraph">
                        <wp:posOffset>53340</wp:posOffset>
                      </wp:positionV>
                      <wp:extent cx="272956" cy="272956"/>
                      <wp:effectExtent l="0" t="0" r="0" b="0"/>
                      <wp:wrapNone/>
                      <wp:docPr id="14354" name="Freeform: Shape 14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72956" cy="272956"/>
                              </a:xfrm>
                              <a:custGeom>
                                <a:avLst/>
                                <a:gdLst>
                                  <a:gd name="T0" fmla="*/ 15 w 164"/>
                                  <a:gd name="T1" fmla="*/ 0 h 164"/>
                                  <a:gd name="T2" fmla="*/ 0 w 164"/>
                                  <a:gd name="T3" fmla="*/ 126 h 164"/>
                                  <a:gd name="T4" fmla="*/ 67 w 164"/>
                                  <a:gd name="T5" fmla="*/ 141 h 164"/>
                                  <a:gd name="T6" fmla="*/ 56 w 164"/>
                                  <a:gd name="T7" fmla="*/ 156 h 164"/>
                                  <a:gd name="T8" fmla="*/ 56 w 164"/>
                                  <a:gd name="T9" fmla="*/ 164 h 164"/>
                                  <a:gd name="T10" fmla="*/ 112 w 164"/>
                                  <a:gd name="T11" fmla="*/ 160 h 164"/>
                                  <a:gd name="T12" fmla="*/ 97 w 164"/>
                                  <a:gd name="T13" fmla="*/ 156 h 164"/>
                                  <a:gd name="T14" fmla="*/ 149 w 164"/>
                                  <a:gd name="T15" fmla="*/ 141 h 164"/>
                                  <a:gd name="T16" fmla="*/ 164 w 164"/>
                                  <a:gd name="T17" fmla="*/ 61 h 164"/>
                                  <a:gd name="T18" fmla="*/ 164 w 164"/>
                                  <a:gd name="T19" fmla="*/ 26 h 164"/>
                                  <a:gd name="T20" fmla="*/ 164 w 164"/>
                                  <a:gd name="T21" fmla="*/ 15 h 164"/>
                                  <a:gd name="T22" fmla="*/ 89 w 164"/>
                                  <a:gd name="T23" fmla="*/ 156 h 164"/>
                                  <a:gd name="T24" fmla="*/ 74 w 164"/>
                                  <a:gd name="T25" fmla="*/ 141 h 164"/>
                                  <a:gd name="T26" fmla="*/ 89 w 164"/>
                                  <a:gd name="T27" fmla="*/ 156 h 164"/>
                                  <a:gd name="T28" fmla="*/ 149 w 164"/>
                                  <a:gd name="T29" fmla="*/ 134 h 164"/>
                                  <a:gd name="T30" fmla="*/ 7 w 164"/>
                                  <a:gd name="T31" fmla="*/ 126 h 164"/>
                                  <a:gd name="T32" fmla="*/ 157 w 164"/>
                                  <a:gd name="T33" fmla="*/ 119 h 164"/>
                                  <a:gd name="T34" fmla="*/ 157 w 164"/>
                                  <a:gd name="T35" fmla="*/ 57 h 164"/>
                                  <a:gd name="T36" fmla="*/ 133 w 164"/>
                                  <a:gd name="T37" fmla="*/ 51 h 164"/>
                                  <a:gd name="T38" fmla="*/ 119 w 164"/>
                                  <a:gd name="T39" fmla="*/ 51 h 164"/>
                                  <a:gd name="T40" fmla="*/ 126 w 164"/>
                                  <a:gd name="T41" fmla="*/ 45 h 164"/>
                                  <a:gd name="T42" fmla="*/ 157 w 164"/>
                                  <a:gd name="T43" fmla="*/ 29 h 164"/>
                                  <a:gd name="T44" fmla="*/ 157 w 164"/>
                                  <a:gd name="T45" fmla="*/ 25 h 164"/>
                                  <a:gd name="T46" fmla="*/ 126 w 164"/>
                                  <a:gd name="T47" fmla="*/ 30 h 164"/>
                                  <a:gd name="T48" fmla="*/ 121 w 164"/>
                                  <a:gd name="T49" fmla="*/ 43 h 164"/>
                                  <a:gd name="T50" fmla="*/ 65 w 164"/>
                                  <a:gd name="T51" fmla="*/ 29 h 164"/>
                                  <a:gd name="T52" fmla="*/ 57 w 164"/>
                                  <a:gd name="T53" fmla="*/ 21 h 164"/>
                                  <a:gd name="T54" fmla="*/ 52 w 164"/>
                                  <a:gd name="T55" fmla="*/ 35 h 164"/>
                                  <a:gd name="T56" fmla="*/ 27 w 164"/>
                                  <a:gd name="T57" fmla="*/ 65 h 164"/>
                                  <a:gd name="T58" fmla="*/ 20 w 164"/>
                                  <a:gd name="T59" fmla="*/ 56 h 164"/>
                                  <a:gd name="T60" fmla="*/ 20 w 164"/>
                                  <a:gd name="T61" fmla="*/ 71 h 164"/>
                                  <a:gd name="T62" fmla="*/ 34 w 164"/>
                                  <a:gd name="T63" fmla="*/ 73 h 164"/>
                                  <a:gd name="T64" fmla="*/ 26 w 164"/>
                                  <a:gd name="T65" fmla="*/ 85 h 164"/>
                                  <a:gd name="T66" fmla="*/ 26 w 164"/>
                                  <a:gd name="T67" fmla="*/ 100 h 164"/>
                                  <a:gd name="T68" fmla="*/ 32 w 164"/>
                                  <a:gd name="T69" fmla="*/ 87 h 164"/>
                                  <a:gd name="T70" fmla="*/ 73 w 164"/>
                                  <a:gd name="T71" fmla="*/ 91 h 164"/>
                                  <a:gd name="T72" fmla="*/ 81 w 164"/>
                                  <a:gd name="T73" fmla="*/ 100 h 164"/>
                                  <a:gd name="T74" fmla="*/ 88 w 164"/>
                                  <a:gd name="T75" fmla="*/ 89 h 164"/>
                                  <a:gd name="T76" fmla="*/ 125 w 164"/>
                                  <a:gd name="T77" fmla="*/ 58 h 164"/>
                                  <a:gd name="T78" fmla="*/ 133 w 164"/>
                                  <a:gd name="T79" fmla="*/ 67 h 164"/>
                                  <a:gd name="T80" fmla="*/ 157 w 164"/>
                                  <a:gd name="T81" fmla="*/ 61 h 164"/>
                                  <a:gd name="T82" fmla="*/ 7 w 164"/>
                                  <a:gd name="T83" fmla="*/ 112 h 164"/>
                                  <a:gd name="T84" fmla="*/ 15 w 164"/>
                                  <a:gd name="T85" fmla="*/ 7 h 164"/>
                                  <a:gd name="T86" fmla="*/ 157 w 164"/>
                                  <a:gd name="T87" fmla="*/ 15 h 164"/>
                                  <a:gd name="T88" fmla="*/ 112 w 164"/>
                                  <a:gd name="T89" fmla="*/ 53 h 164"/>
                                  <a:gd name="T90" fmla="*/ 81 w 164"/>
                                  <a:gd name="T91" fmla="*/ 85 h 164"/>
                                  <a:gd name="T92" fmla="*/ 39 w 164"/>
                                  <a:gd name="T93" fmla="*/ 71 h 164"/>
                                  <a:gd name="T94" fmla="*/ 57 w 164"/>
                                  <a:gd name="T95" fmla="*/ 36 h 164"/>
                                  <a:gd name="T96" fmla="*/ 112 w 164"/>
                                  <a:gd name="T97" fmla="*/ 53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64" h="164">
                                    <a:moveTo>
                                      <a:pt x="149" y="0"/>
                                    </a:moveTo>
                                    <a:cubicBezTo>
                                      <a:pt x="15" y="0"/>
                                      <a:pt x="15" y="0"/>
                                      <a:pt x="15" y="0"/>
                                    </a:cubicBezTo>
                                    <a:cubicBezTo>
                                      <a:pt x="7" y="0"/>
                                      <a:pt x="0" y="6"/>
                                      <a:pt x="0" y="15"/>
                                    </a:cubicBezTo>
                                    <a:cubicBezTo>
                                      <a:pt x="0" y="126"/>
                                      <a:pt x="0" y="126"/>
                                      <a:pt x="0" y="126"/>
                                    </a:cubicBezTo>
                                    <a:cubicBezTo>
                                      <a:pt x="0" y="135"/>
                                      <a:pt x="7" y="141"/>
                                      <a:pt x="15" y="141"/>
                                    </a:cubicBezTo>
                                    <a:cubicBezTo>
                                      <a:pt x="67" y="141"/>
                                      <a:pt x="67" y="141"/>
                                      <a:pt x="67" y="141"/>
                                    </a:cubicBezTo>
                                    <a:cubicBezTo>
                                      <a:pt x="67" y="156"/>
                                      <a:pt x="67" y="156"/>
                                      <a:pt x="67" y="156"/>
                                    </a:cubicBezTo>
                                    <a:cubicBezTo>
                                      <a:pt x="56" y="156"/>
                                      <a:pt x="56" y="156"/>
                                      <a:pt x="56" y="156"/>
                                    </a:cubicBezTo>
                                    <a:cubicBezTo>
                                      <a:pt x="54" y="156"/>
                                      <a:pt x="52" y="158"/>
                                      <a:pt x="52" y="160"/>
                                    </a:cubicBezTo>
                                    <a:cubicBezTo>
                                      <a:pt x="52" y="162"/>
                                      <a:pt x="54" y="164"/>
                                      <a:pt x="56" y="164"/>
                                    </a:cubicBezTo>
                                    <a:cubicBezTo>
                                      <a:pt x="108" y="164"/>
                                      <a:pt x="108" y="164"/>
                                      <a:pt x="108" y="164"/>
                                    </a:cubicBezTo>
                                    <a:cubicBezTo>
                                      <a:pt x="110" y="164"/>
                                      <a:pt x="112" y="162"/>
                                      <a:pt x="112" y="160"/>
                                    </a:cubicBezTo>
                                    <a:cubicBezTo>
                                      <a:pt x="112" y="158"/>
                                      <a:pt x="110" y="156"/>
                                      <a:pt x="108" y="156"/>
                                    </a:cubicBezTo>
                                    <a:cubicBezTo>
                                      <a:pt x="97" y="156"/>
                                      <a:pt x="97" y="156"/>
                                      <a:pt x="97" y="156"/>
                                    </a:cubicBezTo>
                                    <a:cubicBezTo>
                                      <a:pt x="97" y="141"/>
                                      <a:pt x="97" y="141"/>
                                      <a:pt x="97" y="141"/>
                                    </a:cubicBezTo>
                                    <a:cubicBezTo>
                                      <a:pt x="149" y="141"/>
                                      <a:pt x="149" y="141"/>
                                      <a:pt x="149" y="141"/>
                                    </a:cubicBezTo>
                                    <a:cubicBezTo>
                                      <a:pt x="157" y="141"/>
                                      <a:pt x="164" y="135"/>
                                      <a:pt x="164" y="126"/>
                                    </a:cubicBezTo>
                                    <a:cubicBezTo>
                                      <a:pt x="164" y="61"/>
                                      <a:pt x="164" y="61"/>
                                      <a:pt x="164" y="61"/>
                                    </a:cubicBezTo>
                                    <a:cubicBezTo>
                                      <a:pt x="164" y="57"/>
                                      <a:pt x="164" y="57"/>
                                      <a:pt x="164" y="57"/>
                                    </a:cubicBezTo>
                                    <a:cubicBezTo>
                                      <a:pt x="164" y="26"/>
                                      <a:pt x="164" y="26"/>
                                      <a:pt x="164" y="26"/>
                                    </a:cubicBezTo>
                                    <a:cubicBezTo>
                                      <a:pt x="164" y="22"/>
                                      <a:pt x="164" y="22"/>
                                      <a:pt x="164" y="22"/>
                                    </a:cubicBezTo>
                                    <a:cubicBezTo>
                                      <a:pt x="164" y="15"/>
                                      <a:pt x="164" y="15"/>
                                      <a:pt x="164" y="15"/>
                                    </a:cubicBezTo>
                                    <a:cubicBezTo>
                                      <a:pt x="164" y="6"/>
                                      <a:pt x="157" y="0"/>
                                      <a:pt x="149" y="0"/>
                                    </a:cubicBezTo>
                                    <a:close/>
                                    <a:moveTo>
                                      <a:pt x="89" y="156"/>
                                    </a:moveTo>
                                    <a:cubicBezTo>
                                      <a:pt x="74" y="156"/>
                                      <a:pt x="74" y="156"/>
                                      <a:pt x="74" y="156"/>
                                    </a:cubicBezTo>
                                    <a:cubicBezTo>
                                      <a:pt x="74" y="141"/>
                                      <a:pt x="74" y="141"/>
                                      <a:pt x="74" y="141"/>
                                    </a:cubicBezTo>
                                    <a:cubicBezTo>
                                      <a:pt x="89" y="141"/>
                                      <a:pt x="89" y="141"/>
                                      <a:pt x="89" y="141"/>
                                    </a:cubicBezTo>
                                    <a:lnTo>
                                      <a:pt x="89" y="156"/>
                                    </a:lnTo>
                                    <a:close/>
                                    <a:moveTo>
                                      <a:pt x="157" y="126"/>
                                    </a:moveTo>
                                    <a:cubicBezTo>
                                      <a:pt x="157" y="131"/>
                                      <a:pt x="153" y="134"/>
                                      <a:pt x="149" y="134"/>
                                    </a:cubicBezTo>
                                    <a:cubicBezTo>
                                      <a:pt x="15" y="134"/>
                                      <a:pt x="15" y="134"/>
                                      <a:pt x="15" y="134"/>
                                    </a:cubicBezTo>
                                    <a:cubicBezTo>
                                      <a:pt x="11" y="134"/>
                                      <a:pt x="7" y="131"/>
                                      <a:pt x="7" y="126"/>
                                    </a:cubicBezTo>
                                    <a:cubicBezTo>
                                      <a:pt x="7" y="119"/>
                                      <a:pt x="7" y="119"/>
                                      <a:pt x="7" y="119"/>
                                    </a:cubicBezTo>
                                    <a:cubicBezTo>
                                      <a:pt x="157" y="119"/>
                                      <a:pt x="157" y="119"/>
                                      <a:pt x="157" y="119"/>
                                    </a:cubicBezTo>
                                    <a:lnTo>
                                      <a:pt x="157" y="126"/>
                                    </a:lnTo>
                                    <a:close/>
                                    <a:moveTo>
                                      <a:pt x="157" y="57"/>
                                    </a:moveTo>
                                    <a:cubicBezTo>
                                      <a:pt x="140" y="57"/>
                                      <a:pt x="140" y="57"/>
                                      <a:pt x="140" y="57"/>
                                    </a:cubicBezTo>
                                    <a:cubicBezTo>
                                      <a:pt x="140" y="54"/>
                                      <a:pt x="136" y="51"/>
                                      <a:pt x="133" y="51"/>
                                    </a:cubicBezTo>
                                    <a:cubicBezTo>
                                      <a:pt x="130" y="51"/>
                                      <a:pt x="128" y="53"/>
                                      <a:pt x="127" y="55"/>
                                    </a:cubicBezTo>
                                    <a:cubicBezTo>
                                      <a:pt x="119" y="51"/>
                                      <a:pt x="119" y="51"/>
                                      <a:pt x="119" y="51"/>
                                    </a:cubicBezTo>
                                    <a:cubicBezTo>
                                      <a:pt x="124" y="45"/>
                                      <a:pt x="124" y="45"/>
                                      <a:pt x="124" y="45"/>
                                    </a:cubicBezTo>
                                    <a:cubicBezTo>
                                      <a:pt x="125" y="45"/>
                                      <a:pt x="125" y="45"/>
                                      <a:pt x="126" y="45"/>
                                    </a:cubicBezTo>
                                    <a:cubicBezTo>
                                      <a:pt x="130" y="45"/>
                                      <a:pt x="134" y="42"/>
                                      <a:pt x="134" y="37"/>
                                    </a:cubicBezTo>
                                    <a:cubicBezTo>
                                      <a:pt x="157" y="29"/>
                                      <a:pt x="157" y="29"/>
                                      <a:pt x="157" y="29"/>
                                    </a:cubicBezTo>
                                    <a:lnTo>
                                      <a:pt x="157" y="57"/>
                                    </a:lnTo>
                                    <a:close/>
                                    <a:moveTo>
                                      <a:pt x="157" y="25"/>
                                    </a:moveTo>
                                    <a:cubicBezTo>
                                      <a:pt x="133" y="33"/>
                                      <a:pt x="133" y="33"/>
                                      <a:pt x="133" y="33"/>
                                    </a:cubicBezTo>
                                    <a:cubicBezTo>
                                      <a:pt x="131" y="31"/>
                                      <a:pt x="129" y="30"/>
                                      <a:pt x="126" y="30"/>
                                    </a:cubicBezTo>
                                    <a:cubicBezTo>
                                      <a:pt x="122" y="30"/>
                                      <a:pt x="118" y="33"/>
                                      <a:pt x="118" y="37"/>
                                    </a:cubicBezTo>
                                    <a:cubicBezTo>
                                      <a:pt x="118" y="39"/>
                                      <a:pt x="119" y="41"/>
                                      <a:pt x="121" y="43"/>
                                    </a:cubicBezTo>
                                    <a:cubicBezTo>
                                      <a:pt x="115" y="50"/>
                                      <a:pt x="115" y="50"/>
                                      <a:pt x="115" y="50"/>
                                    </a:cubicBezTo>
                                    <a:cubicBezTo>
                                      <a:pt x="65" y="29"/>
                                      <a:pt x="65" y="29"/>
                                      <a:pt x="65" y="29"/>
                                    </a:cubicBezTo>
                                    <a:cubicBezTo>
                                      <a:pt x="65" y="29"/>
                                      <a:pt x="65" y="29"/>
                                      <a:pt x="65" y="29"/>
                                    </a:cubicBezTo>
                                    <a:cubicBezTo>
                                      <a:pt x="65" y="24"/>
                                      <a:pt x="61" y="21"/>
                                      <a:pt x="57" y="21"/>
                                    </a:cubicBezTo>
                                    <a:cubicBezTo>
                                      <a:pt x="53" y="21"/>
                                      <a:pt x="49" y="24"/>
                                      <a:pt x="49" y="29"/>
                                    </a:cubicBezTo>
                                    <a:cubicBezTo>
                                      <a:pt x="49" y="31"/>
                                      <a:pt x="51" y="33"/>
                                      <a:pt x="52" y="35"/>
                                    </a:cubicBezTo>
                                    <a:cubicBezTo>
                                      <a:pt x="36" y="69"/>
                                      <a:pt x="36" y="69"/>
                                      <a:pt x="36" y="69"/>
                                    </a:cubicBezTo>
                                    <a:cubicBezTo>
                                      <a:pt x="27" y="65"/>
                                      <a:pt x="27" y="65"/>
                                      <a:pt x="27" y="65"/>
                                    </a:cubicBezTo>
                                    <a:cubicBezTo>
                                      <a:pt x="27" y="64"/>
                                      <a:pt x="27" y="64"/>
                                      <a:pt x="27" y="64"/>
                                    </a:cubicBezTo>
                                    <a:cubicBezTo>
                                      <a:pt x="27" y="59"/>
                                      <a:pt x="24" y="56"/>
                                      <a:pt x="20" y="56"/>
                                    </a:cubicBezTo>
                                    <a:cubicBezTo>
                                      <a:pt x="15" y="56"/>
                                      <a:pt x="12" y="59"/>
                                      <a:pt x="12" y="64"/>
                                    </a:cubicBezTo>
                                    <a:cubicBezTo>
                                      <a:pt x="12" y="68"/>
                                      <a:pt x="15" y="71"/>
                                      <a:pt x="20" y="71"/>
                                    </a:cubicBezTo>
                                    <a:cubicBezTo>
                                      <a:pt x="22" y="71"/>
                                      <a:pt x="24" y="70"/>
                                      <a:pt x="26" y="68"/>
                                    </a:cubicBezTo>
                                    <a:cubicBezTo>
                                      <a:pt x="34" y="73"/>
                                      <a:pt x="34" y="73"/>
                                      <a:pt x="34" y="73"/>
                                    </a:cubicBezTo>
                                    <a:cubicBezTo>
                                      <a:pt x="28" y="85"/>
                                      <a:pt x="28" y="85"/>
                                      <a:pt x="28" y="85"/>
                                    </a:cubicBezTo>
                                    <a:cubicBezTo>
                                      <a:pt x="28" y="85"/>
                                      <a:pt x="27" y="85"/>
                                      <a:pt x="26" y="85"/>
                                    </a:cubicBezTo>
                                    <a:cubicBezTo>
                                      <a:pt x="22" y="85"/>
                                      <a:pt x="19" y="88"/>
                                      <a:pt x="19" y="92"/>
                                    </a:cubicBezTo>
                                    <a:cubicBezTo>
                                      <a:pt x="19" y="97"/>
                                      <a:pt x="22" y="100"/>
                                      <a:pt x="26" y="100"/>
                                    </a:cubicBezTo>
                                    <a:cubicBezTo>
                                      <a:pt x="31" y="100"/>
                                      <a:pt x="34" y="97"/>
                                      <a:pt x="34" y="92"/>
                                    </a:cubicBezTo>
                                    <a:cubicBezTo>
                                      <a:pt x="34" y="90"/>
                                      <a:pt x="33" y="88"/>
                                      <a:pt x="32" y="87"/>
                                    </a:cubicBezTo>
                                    <a:cubicBezTo>
                                      <a:pt x="38" y="74"/>
                                      <a:pt x="38" y="74"/>
                                      <a:pt x="38" y="74"/>
                                    </a:cubicBezTo>
                                    <a:cubicBezTo>
                                      <a:pt x="73" y="91"/>
                                      <a:pt x="73" y="91"/>
                                      <a:pt x="73" y="91"/>
                                    </a:cubicBezTo>
                                    <a:cubicBezTo>
                                      <a:pt x="73" y="91"/>
                                      <a:pt x="73" y="92"/>
                                      <a:pt x="73" y="92"/>
                                    </a:cubicBezTo>
                                    <a:cubicBezTo>
                                      <a:pt x="73" y="97"/>
                                      <a:pt x="77" y="100"/>
                                      <a:pt x="81" y="100"/>
                                    </a:cubicBezTo>
                                    <a:cubicBezTo>
                                      <a:pt x="85" y="100"/>
                                      <a:pt x="89" y="97"/>
                                      <a:pt x="89" y="92"/>
                                    </a:cubicBezTo>
                                    <a:cubicBezTo>
                                      <a:pt x="89" y="91"/>
                                      <a:pt x="88" y="90"/>
                                      <a:pt x="88" y="89"/>
                                    </a:cubicBezTo>
                                    <a:cubicBezTo>
                                      <a:pt x="116" y="54"/>
                                      <a:pt x="116" y="54"/>
                                      <a:pt x="116" y="54"/>
                                    </a:cubicBezTo>
                                    <a:cubicBezTo>
                                      <a:pt x="125" y="58"/>
                                      <a:pt x="125" y="58"/>
                                      <a:pt x="125" y="58"/>
                                    </a:cubicBezTo>
                                    <a:cubicBezTo>
                                      <a:pt x="125" y="59"/>
                                      <a:pt x="125" y="59"/>
                                      <a:pt x="125" y="59"/>
                                    </a:cubicBezTo>
                                    <a:cubicBezTo>
                                      <a:pt x="125" y="64"/>
                                      <a:pt x="129" y="67"/>
                                      <a:pt x="133" y="67"/>
                                    </a:cubicBezTo>
                                    <a:cubicBezTo>
                                      <a:pt x="136" y="67"/>
                                      <a:pt x="140" y="65"/>
                                      <a:pt x="140" y="61"/>
                                    </a:cubicBezTo>
                                    <a:cubicBezTo>
                                      <a:pt x="157" y="61"/>
                                      <a:pt x="157" y="61"/>
                                      <a:pt x="157" y="61"/>
                                    </a:cubicBezTo>
                                    <a:cubicBezTo>
                                      <a:pt x="157" y="112"/>
                                      <a:pt x="157" y="112"/>
                                      <a:pt x="157" y="112"/>
                                    </a:cubicBezTo>
                                    <a:cubicBezTo>
                                      <a:pt x="7" y="112"/>
                                      <a:pt x="7" y="112"/>
                                      <a:pt x="7" y="112"/>
                                    </a:cubicBezTo>
                                    <a:cubicBezTo>
                                      <a:pt x="7" y="15"/>
                                      <a:pt x="7" y="15"/>
                                      <a:pt x="7" y="15"/>
                                    </a:cubicBezTo>
                                    <a:cubicBezTo>
                                      <a:pt x="7" y="10"/>
                                      <a:pt x="11" y="7"/>
                                      <a:pt x="15" y="7"/>
                                    </a:cubicBezTo>
                                    <a:cubicBezTo>
                                      <a:pt x="149" y="7"/>
                                      <a:pt x="149" y="7"/>
                                      <a:pt x="149" y="7"/>
                                    </a:cubicBezTo>
                                    <a:cubicBezTo>
                                      <a:pt x="153" y="7"/>
                                      <a:pt x="157" y="10"/>
                                      <a:pt x="157" y="15"/>
                                    </a:cubicBezTo>
                                    <a:lnTo>
                                      <a:pt x="157" y="25"/>
                                    </a:lnTo>
                                    <a:close/>
                                    <a:moveTo>
                                      <a:pt x="112" y="53"/>
                                    </a:moveTo>
                                    <a:cubicBezTo>
                                      <a:pt x="85" y="86"/>
                                      <a:pt x="85" y="86"/>
                                      <a:pt x="85" y="86"/>
                                    </a:cubicBezTo>
                                    <a:cubicBezTo>
                                      <a:pt x="84" y="85"/>
                                      <a:pt x="83" y="85"/>
                                      <a:pt x="81" y="85"/>
                                    </a:cubicBezTo>
                                    <a:cubicBezTo>
                                      <a:pt x="79" y="85"/>
                                      <a:pt x="77" y="86"/>
                                      <a:pt x="75" y="87"/>
                                    </a:cubicBezTo>
                                    <a:cubicBezTo>
                                      <a:pt x="39" y="71"/>
                                      <a:pt x="39" y="71"/>
                                      <a:pt x="39" y="71"/>
                                    </a:cubicBezTo>
                                    <a:cubicBezTo>
                                      <a:pt x="56" y="36"/>
                                      <a:pt x="56" y="36"/>
                                      <a:pt x="56" y="36"/>
                                    </a:cubicBezTo>
                                    <a:cubicBezTo>
                                      <a:pt x="56" y="36"/>
                                      <a:pt x="57" y="36"/>
                                      <a:pt x="57" y="36"/>
                                    </a:cubicBezTo>
                                    <a:cubicBezTo>
                                      <a:pt x="60" y="36"/>
                                      <a:pt x="62" y="35"/>
                                      <a:pt x="64" y="33"/>
                                    </a:cubicBezTo>
                                    <a:lnTo>
                                      <a:pt x="112" y="53"/>
                                    </a:lnTo>
                                    <a:close/>
                                  </a:path>
                                </a:pathLst>
                              </a:cu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703839E" id="Freeform: Shape 14354" o:spid="_x0000_s1026" alt="&quot;&quot;" style="position:absolute;margin-left:88.25pt;margin-top:4.2pt;width:21.5pt;height:2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" path="m149,c15,,15,,15,,7,,,6,,15,,126,,126,,126v,9,7,15,15,15c67,141,67,141,67,141v,15,,15,,15c56,156,56,156,56,156v-2,,-4,2,-4,4c52,162,54,164,56,164v52,,52,,52,c110,164,112,162,112,160v,-2,-2,-4,-4,-4c97,156,97,156,97,156v,-15,,-15,,-15c149,141,149,141,149,141v8,,15,-6,15,-15c164,61,164,61,164,61v,-4,,-4,,-4c164,26,164,26,164,26v,-4,,-4,,-4c164,15,164,15,164,15,164,6,157,,149,xm89,156v-15,,-15,,-15,c74,141,74,141,74,141v15,,15,,15,l89,156xm157,126v,5,-4,8,-8,8c15,134,15,134,15,134v-4,,-8,-3,-8,-8c7,119,7,119,7,119v150,,150,,150,l157,126xm157,57v-17,,-17,,-17,c140,54,136,51,133,51v-3,,-5,2,-6,4c119,51,119,51,119,51v5,-6,5,-6,5,-6c125,45,125,45,126,45v4,,8,-3,8,-8c157,29,157,29,157,29r,28xm157,25v-24,8,-24,8,-24,8c131,31,129,30,126,30v-4,,-8,3,-8,7c118,39,119,41,121,43v-6,7,-6,7,-6,7c65,29,65,29,65,29v,,,,,c65,24,61,21,57,21v-4,,-8,3,-8,8c49,31,51,33,52,35,36,69,36,69,36,69,27,65,27,65,27,65v,-1,,-1,,-1c27,59,24,56,20,56v-5,,-8,3,-8,8c12,68,15,71,20,71v2,,4,-1,6,-3c34,73,34,73,34,73,28,85,28,85,28,85v,,-1,,-2,c22,85,19,88,19,92v,5,3,8,7,8c31,100,34,97,34,92v,-2,-1,-4,-2,-5c38,74,38,74,38,74,73,91,73,91,73,91v,,,1,,1c73,97,77,100,81,100v4,,8,-3,8,-8c89,91,88,90,88,89,116,54,116,54,116,54v9,4,9,4,9,4c125,59,125,59,125,59v,5,4,8,8,8c136,67,140,65,140,61v17,,17,,17,c157,112,157,112,157,112,7,112,7,112,7,112,7,15,7,15,7,15v,-5,4,-8,8,-8c149,7,149,7,149,7v4,,8,3,8,8l157,25xm112,53c85,86,85,86,85,86,84,85,83,85,81,85v-2,,-4,1,-6,2c39,71,39,71,39,71,56,36,56,36,56,36v,,1,,1,c60,36,62,35,64,33r48,20xe" fillcolor="#00264d [3214]" stroked="f">
                      <v:path arrowok="t" o:connecttype="custom" o:connectlocs="24965,0;0,209710;111513,234676;93204,259641;93204,272956;186409,266299;161443,259641;247991,234676;272956,101526;272956,43274;272956,24965;148129,259641;123163,234676;148129,259641;247991,223025;11651,209710;261305,198060;261305,94869;221361,84883;198060,84883;209710,74896;261305,48267;261305,41609;209710,49931;201388,71568;108184,48267;94869,34952;86547,58253;44938,108184;33287,93204;33287,118170;56588,121499;43274,141471;43274,166437;53260,144800;121499,151457;134814,166437;146464,148129;208046,96533;221361,111513;261305,101526;11651,186409;24965,11651;261305,24965;186409,88211;134814,141471;64910,118170;94869,59917;186409,88211" o:connectangles="0,0,0,0,0,0,0,0,0,0,0,0,0,0,0,0,0,0,0,0,0,0,0,0,0,0,0,0,0,0,0,0,0,0,0,0,0,0,0,0,0,0,0,0,0,0,0,0,0"/>
                      <o:lock v:ext="edit" aspectratio="t" verticies="t"/>
                    </v:shape>
                  </w:pict>
                </mc:Fallback>
              </mc:AlternateContent>
            </w:r>
            <w:r w:rsidRPr="00130575">
              <w:rPr>
                <w:rFonts w:asciiTheme="majorHAnsi" w:hAnsiTheme="majorHAnsi" w:cstheme="majorHAnsi"/>
                <w:sz w:val="18"/>
                <w:szCs w:val="20"/>
                <w:lang w:eastAsia="en-AU"/>
              </w:rPr>
              <w:t xml:space="preserve">General linear </w:t>
            </w:r>
            <w:r w:rsidRPr="00130575">
              <w:rPr>
                <w:rFonts w:asciiTheme="majorHAnsi" w:hAnsiTheme="majorHAnsi" w:cstheme="majorHAnsi"/>
                <w:sz w:val="18"/>
                <w:szCs w:val="20"/>
                <w:lang w:eastAsia="en-AU"/>
              </w:rPr>
              <w:br/>
              <w:t xml:space="preserve">model          </w:t>
            </w:r>
          </w:p>
        </w:tc>
      </w:tr>
      <w:tr w:rsidR="006F29B9" w14:paraId="64B0C381" w14:textId="77777777" w:rsidTr="3787E91E">
        <w:trPr>
          <w:cnfStyle w:val="000000100000" w:firstRow="0" w:lastRow="0" w:firstColumn="0" w:lastColumn="0" w:oddVBand="0" w:evenVBand="0" w:oddHBand="1" w:evenHBand="0" w:firstRowFirstColumn="0" w:firstRowLastColumn="0" w:lastRowFirstColumn="0" w:lastRowLastColumn="0"/>
          <w:cantSplit/>
          <w:trHeight w:val="1667"/>
        </w:trPr>
        <w:tc>
          <w:tcPr>
            <w:tcW w:w="567" w:type="dxa"/>
            <w:shd w:val="clear" w:color="auto" w:fill="00264D" w:themeFill="background2"/>
            <w:textDirection w:val="btLr"/>
          </w:tcPr>
          <w:p w14:paraId="6D97F0A1" w14:textId="77777777" w:rsidR="006F29B9" w:rsidRPr="00130575" w:rsidRDefault="006F29B9" w:rsidP="00130575">
            <w:pPr>
              <w:spacing w:before="40" w:after="40"/>
              <w:ind w:left="113" w:right="113"/>
              <w:jc w:val="center"/>
              <w:rPr>
                <w:rFonts w:asciiTheme="majorHAnsi" w:hAnsiTheme="majorHAnsi" w:cstheme="majorHAnsi"/>
                <w:sz w:val="18"/>
                <w:szCs w:val="20"/>
                <w:lang w:eastAsia="en-AU"/>
              </w:rPr>
            </w:pPr>
            <w:r w:rsidRPr="00130575">
              <w:rPr>
                <w:rFonts w:asciiTheme="majorHAnsi" w:hAnsiTheme="majorHAnsi" w:cstheme="majorHAnsi"/>
                <w:color w:val="25B3E0" w:themeColor="accent6"/>
                <w:sz w:val="18"/>
                <w:szCs w:val="20"/>
                <w:lang w:eastAsia="en-AU"/>
              </w:rPr>
              <w:t>Advantages</w:t>
            </w:r>
          </w:p>
        </w:tc>
        <w:tc>
          <w:tcPr>
            <w:tcW w:w="2784" w:type="dxa"/>
            <w:vAlign w:val="top"/>
          </w:tcPr>
          <w:p w14:paraId="78F73D22" w14:textId="77777777" w:rsidR="006F29B9" w:rsidRPr="0088201A" w:rsidRDefault="006F29B9">
            <w:pPr>
              <w:pStyle w:val="TableNBullet"/>
            </w:pPr>
            <w:r w:rsidRPr="0088201A">
              <w:t xml:space="preserve">Easy to understand for a broad range of </w:t>
            </w:r>
            <w:proofErr w:type="gramStart"/>
            <w:r w:rsidRPr="0088201A">
              <w:t>audiences</w:t>
            </w:r>
            <w:proofErr w:type="gramEnd"/>
          </w:p>
          <w:p w14:paraId="3FF129E0" w14:textId="77777777" w:rsidR="006F29B9" w:rsidRPr="0088201A" w:rsidRDefault="006F29B9">
            <w:pPr>
              <w:pStyle w:val="TableNBullet"/>
            </w:pPr>
            <w:r w:rsidRPr="0088201A">
              <w:t xml:space="preserve">Can be visualised </w:t>
            </w:r>
            <w:proofErr w:type="gramStart"/>
            <w:r w:rsidRPr="0088201A">
              <w:t>easily</w:t>
            </w:r>
            <w:proofErr w:type="gramEnd"/>
          </w:p>
          <w:p w14:paraId="21E05F34" w14:textId="77777777" w:rsidR="006F29B9" w:rsidRPr="0088201A" w:rsidRDefault="006F29B9">
            <w:pPr>
              <w:pStyle w:val="TableNBullet"/>
            </w:pPr>
            <w:r w:rsidRPr="3787E91E">
              <w:t xml:space="preserve">Helps identify areas for further exploration (either through qualitative or quantitative methods) </w:t>
            </w:r>
          </w:p>
        </w:tc>
        <w:tc>
          <w:tcPr>
            <w:tcW w:w="2784" w:type="dxa"/>
            <w:vAlign w:val="top"/>
          </w:tcPr>
          <w:p w14:paraId="37B105CA" w14:textId="77777777" w:rsidR="006F29B9" w:rsidRPr="0088201A" w:rsidRDefault="006F29B9">
            <w:pPr>
              <w:pStyle w:val="TableNBullet"/>
            </w:pPr>
            <w:r w:rsidRPr="0088201A">
              <w:t xml:space="preserve">Accounts for time-invariant differences between the treatment and control groups </w:t>
            </w:r>
          </w:p>
          <w:p w14:paraId="1D37DD31" w14:textId="77777777" w:rsidR="006F29B9" w:rsidRPr="0088201A" w:rsidRDefault="006F29B9">
            <w:pPr>
              <w:pStyle w:val="TableNBullet"/>
            </w:pPr>
            <w:r w:rsidRPr="3787E91E">
              <w:t>Accounts for confounding factors that impact the treatment and control data series in the same way</w:t>
            </w:r>
          </w:p>
        </w:tc>
        <w:tc>
          <w:tcPr>
            <w:tcW w:w="2785" w:type="dxa"/>
            <w:vAlign w:val="top"/>
          </w:tcPr>
          <w:p w14:paraId="032D6D3B" w14:textId="77777777" w:rsidR="006F29B9" w:rsidRPr="0088201A" w:rsidRDefault="006F29B9">
            <w:pPr>
              <w:pStyle w:val="TableNBullet"/>
            </w:pPr>
            <w:r w:rsidRPr="0088201A">
              <w:t xml:space="preserve">Is applicable across a diverse range of </w:t>
            </w:r>
            <w:proofErr w:type="gramStart"/>
            <w:r w:rsidRPr="0088201A">
              <w:t>contexts</w:t>
            </w:r>
            <w:proofErr w:type="gramEnd"/>
          </w:p>
          <w:p w14:paraId="00C42E67" w14:textId="77777777" w:rsidR="006F29B9" w:rsidRPr="0088201A" w:rsidRDefault="006F29B9">
            <w:pPr>
              <w:pStyle w:val="TableNBullet"/>
            </w:pPr>
            <w:r w:rsidRPr="0088201A">
              <w:t xml:space="preserve">Can control for </w:t>
            </w:r>
            <w:r>
              <w:t xml:space="preserve">multiple </w:t>
            </w:r>
            <w:r w:rsidRPr="0088201A">
              <w:t>time</w:t>
            </w:r>
            <w:r>
              <w:t>-</w:t>
            </w:r>
            <w:r w:rsidRPr="0088201A">
              <w:t xml:space="preserve">varying </w:t>
            </w:r>
            <w:proofErr w:type="gramStart"/>
            <w:r w:rsidRPr="0088201A">
              <w:t>variables</w:t>
            </w:r>
            <w:proofErr w:type="gramEnd"/>
            <w:r w:rsidRPr="0088201A">
              <w:t xml:space="preserve"> </w:t>
            </w:r>
          </w:p>
          <w:p w14:paraId="0134E138" w14:textId="77777777" w:rsidR="006F29B9" w:rsidRPr="0088201A" w:rsidRDefault="006F29B9">
            <w:pPr>
              <w:pStyle w:val="TableNBullet"/>
            </w:pPr>
            <w:r w:rsidRPr="3787E91E">
              <w:t>Can be used to consider the effects of different levels of treatment</w:t>
            </w:r>
          </w:p>
        </w:tc>
      </w:tr>
      <w:tr w:rsidR="006F29B9" w14:paraId="0CB5AD02" w14:textId="77777777" w:rsidTr="3787E91E">
        <w:trPr>
          <w:cnfStyle w:val="000000010000" w:firstRow="0" w:lastRow="0" w:firstColumn="0" w:lastColumn="0" w:oddVBand="0" w:evenVBand="0" w:oddHBand="0" w:evenHBand="1" w:firstRowFirstColumn="0" w:firstRowLastColumn="0" w:lastRowFirstColumn="0" w:lastRowLastColumn="0"/>
          <w:cantSplit/>
          <w:trHeight w:val="1134"/>
        </w:trPr>
        <w:tc>
          <w:tcPr>
            <w:tcW w:w="567" w:type="dxa"/>
            <w:shd w:val="clear" w:color="auto" w:fill="00264D" w:themeFill="background2"/>
            <w:textDirection w:val="btLr"/>
          </w:tcPr>
          <w:p w14:paraId="6C491258" w14:textId="77777777" w:rsidR="006F29B9" w:rsidRPr="00130575" w:rsidRDefault="006F29B9" w:rsidP="00130575">
            <w:pPr>
              <w:spacing w:before="40" w:after="40"/>
              <w:ind w:left="113" w:right="113"/>
              <w:jc w:val="center"/>
              <w:rPr>
                <w:rFonts w:asciiTheme="majorHAnsi" w:hAnsiTheme="majorHAnsi" w:cstheme="majorHAnsi"/>
                <w:sz w:val="18"/>
                <w:szCs w:val="20"/>
                <w:lang w:eastAsia="en-AU"/>
              </w:rPr>
            </w:pPr>
            <w:r w:rsidRPr="00130575">
              <w:rPr>
                <w:rFonts w:asciiTheme="majorHAnsi" w:hAnsiTheme="majorHAnsi" w:cstheme="majorHAnsi"/>
                <w:color w:val="FF3A40" w:themeColor="accent1"/>
                <w:sz w:val="18"/>
                <w:szCs w:val="20"/>
                <w:lang w:eastAsia="en-AU"/>
              </w:rPr>
              <w:t>Limitations</w:t>
            </w:r>
          </w:p>
        </w:tc>
        <w:tc>
          <w:tcPr>
            <w:tcW w:w="2784" w:type="dxa"/>
            <w:vAlign w:val="top"/>
          </w:tcPr>
          <w:p w14:paraId="4A51AE42" w14:textId="77777777" w:rsidR="006F29B9" w:rsidRPr="0088201A" w:rsidRDefault="006F29B9">
            <w:pPr>
              <w:pStyle w:val="TableNBullet"/>
            </w:pPr>
            <w:r w:rsidRPr="3787E91E">
              <w:t xml:space="preserve">Does not establish the extent to which changes in variables can be attributed to </w:t>
            </w:r>
            <w:proofErr w:type="gramStart"/>
            <w:r w:rsidRPr="3787E91E">
              <w:t>reforms</w:t>
            </w:r>
            <w:proofErr w:type="gramEnd"/>
            <w:r w:rsidRPr="3787E91E">
              <w:t xml:space="preserve"> </w:t>
            </w:r>
          </w:p>
          <w:p w14:paraId="3A96F038" w14:textId="77777777" w:rsidR="006F29B9" w:rsidRPr="0088201A" w:rsidRDefault="006F29B9">
            <w:pPr>
              <w:pStyle w:val="TableNBullet"/>
            </w:pPr>
            <w:r w:rsidRPr="0088201A">
              <w:t xml:space="preserve">High-level, meaning that it does not always convey the nuances of a </w:t>
            </w:r>
            <w:proofErr w:type="gramStart"/>
            <w:r w:rsidRPr="0088201A">
              <w:t>dataset</w:t>
            </w:r>
            <w:proofErr w:type="gramEnd"/>
            <w:r w:rsidRPr="0088201A">
              <w:t xml:space="preserve"> </w:t>
            </w:r>
          </w:p>
          <w:p w14:paraId="4B8A70CE" w14:textId="77777777" w:rsidR="006F29B9" w:rsidRPr="0088201A" w:rsidRDefault="006F29B9">
            <w:pPr>
              <w:pStyle w:val="TableNBullet"/>
            </w:pPr>
            <w:r w:rsidRPr="0088201A">
              <w:t>Open to differences in subjective interpretation</w:t>
            </w:r>
          </w:p>
        </w:tc>
        <w:tc>
          <w:tcPr>
            <w:tcW w:w="2784" w:type="dxa"/>
            <w:vAlign w:val="top"/>
          </w:tcPr>
          <w:p w14:paraId="19166E39" w14:textId="77777777" w:rsidR="006F29B9" w:rsidRPr="0088201A" w:rsidRDefault="006F29B9">
            <w:pPr>
              <w:pStyle w:val="TableNBullet"/>
            </w:pPr>
            <w:r w:rsidRPr="0088201A">
              <w:t xml:space="preserve">Does not account for time varying compounding factors that are different across </w:t>
            </w:r>
            <w:r>
              <w:t>data</w:t>
            </w:r>
            <w:r w:rsidRPr="0088201A">
              <w:t xml:space="preserve"> </w:t>
            </w:r>
            <w:proofErr w:type="gramStart"/>
            <w:r w:rsidRPr="0088201A">
              <w:t>series</w:t>
            </w:r>
            <w:proofErr w:type="gramEnd"/>
          </w:p>
          <w:p w14:paraId="0C8F3CF4" w14:textId="77777777" w:rsidR="006F29B9" w:rsidRPr="0088201A" w:rsidRDefault="006F29B9">
            <w:pPr>
              <w:pStyle w:val="TableNBullet"/>
            </w:pPr>
            <w:r w:rsidRPr="0088201A">
              <w:t xml:space="preserve">Requires a comparison data series that satisfied the parallel trends </w:t>
            </w:r>
            <w:proofErr w:type="gramStart"/>
            <w:r w:rsidRPr="0088201A">
              <w:t>assumption</w:t>
            </w:r>
            <w:proofErr w:type="gramEnd"/>
          </w:p>
          <w:p w14:paraId="6E22119D" w14:textId="77777777" w:rsidR="006F29B9" w:rsidRPr="0088201A" w:rsidRDefault="006F29B9">
            <w:pPr>
              <w:pStyle w:val="TableNBullet"/>
            </w:pPr>
            <w:r w:rsidRPr="0088201A">
              <w:t>Does</w:t>
            </w:r>
            <w:r>
              <w:t xml:space="preserve"> </w:t>
            </w:r>
            <w:r w:rsidRPr="0088201A">
              <w:t>n</w:t>
            </w:r>
            <w:r>
              <w:t>o</w:t>
            </w:r>
            <w:r w:rsidRPr="0088201A">
              <w:t xml:space="preserve">t account for differences in treatment intensity within the treatment data series </w:t>
            </w:r>
          </w:p>
        </w:tc>
        <w:tc>
          <w:tcPr>
            <w:tcW w:w="2785" w:type="dxa"/>
            <w:vAlign w:val="top"/>
          </w:tcPr>
          <w:p w14:paraId="2C0A9DFC" w14:textId="77777777" w:rsidR="006F29B9" w:rsidRPr="0088201A" w:rsidRDefault="006F29B9">
            <w:pPr>
              <w:pStyle w:val="TableNBullet"/>
            </w:pPr>
            <w:r w:rsidRPr="0088201A">
              <w:t xml:space="preserve">Subject to omitted variable </w:t>
            </w:r>
            <w:proofErr w:type="gramStart"/>
            <w:r w:rsidRPr="0088201A">
              <w:t>bias</w:t>
            </w:r>
            <w:proofErr w:type="gramEnd"/>
            <w:r w:rsidRPr="0088201A">
              <w:t xml:space="preserve"> </w:t>
            </w:r>
          </w:p>
          <w:p w14:paraId="2E5BA065" w14:textId="77777777" w:rsidR="006F29B9" w:rsidRPr="0088201A" w:rsidRDefault="006F29B9">
            <w:pPr>
              <w:pStyle w:val="TableNBullet"/>
            </w:pPr>
            <w:r w:rsidRPr="0088201A">
              <w:t xml:space="preserve">Typically requires more data than other </w:t>
            </w:r>
            <w:proofErr w:type="gramStart"/>
            <w:r w:rsidRPr="0088201A">
              <w:t>methods</w:t>
            </w:r>
            <w:proofErr w:type="gramEnd"/>
            <w:r w:rsidRPr="0088201A">
              <w:t xml:space="preserve"> </w:t>
            </w:r>
          </w:p>
          <w:p w14:paraId="0C24FFFC" w14:textId="77777777" w:rsidR="006F29B9" w:rsidRPr="0088201A" w:rsidRDefault="006F29B9">
            <w:pPr>
              <w:pStyle w:val="TableNBullet"/>
            </w:pPr>
            <w:r w:rsidRPr="0088201A">
              <w:t xml:space="preserve">Can be sensitive to changes in </w:t>
            </w:r>
            <w:proofErr w:type="gramStart"/>
            <w:r w:rsidRPr="0088201A">
              <w:t>specification</w:t>
            </w:r>
            <w:proofErr w:type="gramEnd"/>
            <w:r w:rsidRPr="0088201A">
              <w:t xml:space="preserve"> </w:t>
            </w:r>
          </w:p>
          <w:p w14:paraId="027D305B" w14:textId="77777777" w:rsidR="006F29B9" w:rsidRPr="0088201A" w:rsidRDefault="006F29B9">
            <w:pPr>
              <w:pStyle w:val="TableNBullet"/>
            </w:pPr>
            <w:r w:rsidRPr="0088201A">
              <w:t xml:space="preserve">Can be biased by reverse </w:t>
            </w:r>
            <w:proofErr w:type="gramStart"/>
            <w:r w:rsidRPr="0088201A">
              <w:t>causality</w:t>
            </w:r>
            <w:proofErr w:type="gramEnd"/>
          </w:p>
          <w:p w14:paraId="17B4C351" w14:textId="77777777" w:rsidR="006F29B9" w:rsidRPr="0088201A" w:rsidRDefault="006F29B9">
            <w:pPr>
              <w:pStyle w:val="TableNBullet"/>
            </w:pPr>
            <w:r w:rsidRPr="0088201A">
              <w:t>Requires specialised statistical software (e.g.</w:t>
            </w:r>
            <w:r>
              <w:t>,</w:t>
            </w:r>
            <w:r w:rsidRPr="0088201A">
              <w:t xml:space="preserve"> R) </w:t>
            </w:r>
          </w:p>
        </w:tc>
      </w:tr>
      <w:tr w:rsidR="006F29B9" w14:paraId="7A39B1B1" w14:textId="77777777" w:rsidTr="3787E91E">
        <w:trPr>
          <w:cnfStyle w:val="000000100000" w:firstRow="0" w:lastRow="0" w:firstColumn="0" w:lastColumn="0" w:oddVBand="0" w:evenVBand="0" w:oddHBand="1" w:evenHBand="0" w:firstRowFirstColumn="0" w:firstRowLastColumn="0" w:lastRowFirstColumn="0" w:lastRowLastColumn="0"/>
          <w:cantSplit/>
          <w:trHeight w:val="1480"/>
        </w:trPr>
        <w:tc>
          <w:tcPr>
            <w:tcW w:w="567" w:type="dxa"/>
            <w:shd w:val="clear" w:color="auto" w:fill="00264D" w:themeFill="background2"/>
            <w:textDirection w:val="btLr"/>
          </w:tcPr>
          <w:p w14:paraId="30BAE125" w14:textId="77777777" w:rsidR="006F29B9" w:rsidRPr="00130575" w:rsidRDefault="006F29B9" w:rsidP="00130575">
            <w:pPr>
              <w:spacing w:before="40" w:after="40"/>
              <w:ind w:left="113" w:right="113"/>
              <w:jc w:val="center"/>
              <w:rPr>
                <w:rFonts w:asciiTheme="majorHAnsi" w:hAnsiTheme="majorHAnsi" w:cstheme="majorHAnsi"/>
                <w:color w:val="FED13B" w:themeColor="accent4"/>
                <w:sz w:val="18"/>
                <w:szCs w:val="20"/>
                <w:lang w:eastAsia="en-AU"/>
              </w:rPr>
            </w:pPr>
            <w:r w:rsidRPr="00130575">
              <w:rPr>
                <w:rFonts w:asciiTheme="majorHAnsi" w:hAnsiTheme="majorHAnsi" w:cstheme="majorHAnsi"/>
                <w:color w:val="FED13B" w:themeColor="accent4"/>
                <w:sz w:val="18"/>
                <w:szCs w:val="20"/>
                <w:lang w:eastAsia="en-AU"/>
              </w:rPr>
              <w:t>Applications</w:t>
            </w:r>
          </w:p>
        </w:tc>
        <w:tc>
          <w:tcPr>
            <w:tcW w:w="2784" w:type="dxa"/>
            <w:vAlign w:val="top"/>
          </w:tcPr>
          <w:p w14:paraId="0C5C23DB" w14:textId="77777777" w:rsidR="006F29B9" w:rsidRPr="0088201A" w:rsidRDefault="006F29B9">
            <w:pPr>
              <w:pStyle w:val="TableNBullet"/>
            </w:pPr>
            <w:r w:rsidRPr="0088201A">
              <w:t xml:space="preserve">When limited data is </w:t>
            </w:r>
            <w:proofErr w:type="gramStart"/>
            <w:r w:rsidRPr="0088201A">
              <w:t>available</w:t>
            </w:r>
            <w:proofErr w:type="gramEnd"/>
            <w:r w:rsidRPr="0088201A">
              <w:t xml:space="preserve"> </w:t>
            </w:r>
          </w:p>
          <w:p w14:paraId="45D8531D" w14:textId="77777777" w:rsidR="006F29B9" w:rsidRPr="0088201A" w:rsidRDefault="006F29B9">
            <w:pPr>
              <w:pStyle w:val="TableNBullet"/>
            </w:pPr>
            <w:r w:rsidRPr="0088201A">
              <w:t xml:space="preserve">To provide context on a particular area of the reforms </w:t>
            </w:r>
          </w:p>
          <w:p w14:paraId="16F94F1D" w14:textId="77777777" w:rsidR="006F29B9" w:rsidRPr="0088201A" w:rsidRDefault="006F29B9">
            <w:pPr>
              <w:pStyle w:val="TableNBullet"/>
            </w:pPr>
            <w:r w:rsidRPr="3787E91E">
              <w:t xml:space="preserve">When it is important to convey findings to a broad range of stakeholders in a simple way </w:t>
            </w:r>
          </w:p>
          <w:p w14:paraId="755CBB43" w14:textId="77777777" w:rsidR="006F29B9" w:rsidRDefault="006F29B9">
            <w:pPr>
              <w:pStyle w:val="TableNBullet"/>
            </w:pPr>
            <w:r w:rsidRPr="3787E91E">
              <w:t xml:space="preserve">To identify trends and differences in outcomes across groups that provide initial evidence for a hypothesis that can be tested through qualitative </w:t>
            </w:r>
            <w:proofErr w:type="gramStart"/>
            <w:r w:rsidRPr="3787E91E">
              <w:t>methods</w:t>
            </w:r>
            <w:proofErr w:type="gramEnd"/>
            <w:r w:rsidRPr="3787E91E">
              <w:t xml:space="preserve"> </w:t>
            </w:r>
          </w:p>
          <w:p w14:paraId="0188EE3B" w14:textId="77777777" w:rsidR="006F29B9" w:rsidRPr="0088201A" w:rsidRDefault="006F29B9">
            <w:pPr>
              <w:pStyle w:val="TableNBullet"/>
            </w:pPr>
            <w:r>
              <w:t>Likely to be used in some form for most research questions for which quantitative data is used</w:t>
            </w:r>
          </w:p>
        </w:tc>
        <w:tc>
          <w:tcPr>
            <w:tcW w:w="2784" w:type="dxa"/>
            <w:vAlign w:val="top"/>
          </w:tcPr>
          <w:p w14:paraId="7D280EB1" w14:textId="77777777" w:rsidR="006F29B9" w:rsidRPr="0088201A" w:rsidRDefault="006F29B9">
            <w:pPr>
              <w:pStyle w:val="TableNBullet"/>
            </w:pPr>
            <w:r w:rsidRPr="0088201A">
              <w:t xml:space="preserve">To estimate the degree to which changes in an outcome can be attributed to the </w:t>
            </w:r>
            <w:proofErr w:type="gramStart"/>
            <w:r w:rsidRPr="0088201A">
              <w:t>reforms</w:t>
            </w:r>
            <w:proofErr w:type="gramEnd"/>
          </w:p>
          <w:p w14:paraId="04C8A487" w14:textId="77777777" w:rsidR="006F29B9" w:rsidRPr="0088201A" w:rsidRDefault="006F29B9">
            <w:pPr>
              <w:pStyle w:val="TableNBullet"/>
            </w:pPr>
            <w:r w:rsidRPr="0088201A">
              <w:t xml:space="preserve">When the parallel trends assumption is satisfied </w:t>
            </w:r>
          </w:p>
          <w:p w14:paraId="205C703D" w14:textId="77777777" w:rsidR="006F29B9" w:rsidRDefault="006F29B9">
            <w:pPr>
              <w:pStyle w:val="TableNBullet"/>
            </w:pPr>
            <w:r w:rsidRPr="0088201A">
              <w:t>When there is no need to account for differences in treatment intensity within the treatment data series</w:t>
            </w:r>
          </w:p>
          <w:p w14:paraId="154A998C" w14:textId="77777777" w:rsidR="006F29B9" w:rsidRPr="0088201A" w:rsidRDefault="006F29B9">
            <w:pPr>
              <w:pStyle w:val="TableNBullet"/>
            </w:pPr>
            <w:r>
              <w:t>May be relevant for sub-research questions 2.1, 2.2, 2.3, 2.8 and 2.9</w:t>
            </w:r>
          </w:p>
        </w:tc>
        <w:tc>
          <w:tcPr>
            <w:tcW w:w="2785" w:type="dxa"/>
            <w:vAlign w:val="top"/>
          </w:tcPr>
          <w:p w14:paraId="69F14AFA" w14:textId="77777777" w:rsidR="006F29B9" w:rsidRPr="0088201A" w:rsidRDefault="006F29B9">
            <w:pPr>
              <w:pStyle w:val="TableNBullet"/>
            </w:pPr>
            <w:r w:rsidRPr="0088201A">
              <w:t xml:space="preserve">To estimate the degree to which changes in an outcome can be attributed to the </w:t>
            </w:r>
            <w:proofErr w:type="gramStart"/>
            <w:r w:rsidRPr="0088201A">
              <w:t>reforms</w:t>
            </w:r>
            <w:proofErr w:type="gramEnd"/>
          </w:p>
          <w:p w14:paraId="68D63EB8" w14:textId="77777777" w:rsidR="006F29B9" w:rsidRPr="0088201A" w:rsidRDefault="006F29B9">
            <w:pPr>
              <w:pStyle w:val="TableNBullet"/>
            </w:pPr>
            <w:r w:rsidRPr="0088201A">
              <w:t>When the assumptions required by the difference-in-difference approach are not satisfied</w:t>
            </w:r>
          </w:p>
          <w:p w14:paraId="7E311A3E" w14:textId="77777777" w:rsidR="006F29B9" w:rsidRDefault="006F29B9">
            <w:pPr>
              <w:pStyle w:val="TableNBullet"/>
            </w:pPr>
            <w:r w:rsidRPr="0088201A">
              <w:t>When there are multiple variables that are likely to have an impact on a particular indicator</w:t>
            </w:r>
          </w:p>
          <w:p w14:paraId="3CC8B0F6" w14:textId="77777777" w:rsidR="006F29B9" w:rsidRPr="0088201A" w:rsidRDefault="006F29B9">
            <w:pPr>
              <w:pStyle w:val="TableNBullet"/>
            </w:pPr>
            <w:r>
              <w:t>May be relevant for sub-research questions 2.2, 2.3, 2.8 and 2.9</w:t>
            </w:r>
          </w:p>
        </w:tc>
      </w:tr>
    </w:tbl>
    <w:p w14:paraId="1262DBD3" w14:textId="77777777" w:rsidR="006F29B9" w:rsidRPr="0088201A" w:rsidRDefault="006F29B9" w:rsidP="00130575">
      <w:pPr>
        <w:pStyle w:val="Heading4"/>
        <w:spacing w:before="360"/>
      </w:pPr>
      <w:r w:rsidRPr="0088201A">
        <w:t xml:space="preserve">The evaluation will involve producing an estimate of the extent to which the reforms have contributed to lower rates of growth in </w:t>
      </w:r>
      <w:r>
        <w:t>PHI</w:t>
      </w:r>
      <w:r w:rsidRPr="0088201A">
        <w:t xml:space="preserve"> </w:t>
      </w:r>
      <w:proofErr w:type="gramStart"/>
      <w:r w:rsidRPr="0088201A">
        <w:t>premiums</w:t>
      </w:r>
      <w:proofErr w:type="gramEnd"/>
    </w:p>
    <w:p w14:paraId="7597DF54" w14:textId="77777777" w:rsidR="006F29B9" w:rsidRPr="0088201A" w:rsidRDefault="006F29B9" w:rsidP="006F29B9">
      <w:pPr>
        <w:rPr>
          <w:lang w:eastAsia="en-AU"/>
        </w:rPr>
      </w:pPr>
      <w:r w:rsidRPr="0088201A">
        <w:rPr>
          <w:lang w:eastAsia="en-AU"/>
        </w:rPr>
        <w:t xml:space="preserve">The PL </w:t>
      </w:r>
      <w:r>
        <w:rPr>
          <w:lang w:eastAsia="en-AU"/>
        </w:rPr>
        <w:t>R</w:t>
      </w:r>
      <w:r w:rsidRPr="0088201A">
        <w:rPr>
          <w:lang w:eastAsia="en-AU"/>
        </w:rPr>
        <w:t xml:space="preserve">eforms have been developed to improve the value proposition of </w:t>
      </w:r>
      <w:r>
        <w:rPr>
          <w:lang w:eastAsia="en-AU"/>
        </w:rPr>
        <w:t>PHI</w:t>
      </w:r>
      <w:r w:rsidRPr="0088201A">
        <w:rPr>
          <w:lang w:eastAsia="en-AU"/>
        </w:rPr>
        <w:t xml:space="preserve"> in Australia. The intent is that this will be accomplished by lowering the benefits paid for medical devices, which represent one component of medical insurance claims, while simultaneously preserving gap-free patient access to the devices selected by their doctor. </w:t>
      </w:r>
    </w:p>
    <w:p w14:paraId="5E5F83C3" w14:textId="568BD86C" w:rsidR="006F29B9" w:rsidRPr="0088201A" w:rsidRDefault="006F29B9" w:rsidP="006F29B9">
      <w:pPr>
        <w:rPr>
          <w:lang w:eastAsia="en-AU"/>
        </w:rPr>
      </w:pPr>
      <w:r w:rsidRPr="0088201A">
        <w:rPr>
          <w:lang w:eastAsia="en-AU"/>
        </w:rPr>
        <w:t xml:space="preserve">To this end, the evaluation will produce a quantitative estimate of the additional value that has been delivered for private health customers. This estimate </w:t>
      </w:r>
      <w:r>
        <w:rPr>
          <w:lang w:eastAsia="en-AU"/>
        </w:rPr>
        <w:t xml:space="preserve">will be a key part of answering sub-research question 3.1 and </w:t>
      </w:r>
      <w:r w:rsidRPr="0088201A">
        <w:rPr>
          <w:lang w:eastAsia="en-AU"/>
        </w:rPr>
        <w:t>can be calculated on a per-policy, per-person</w:t>
      </w:r>
      <w:r>
        <w:rPr>
          <w:lang w:eastAsia="en-AU"/>
        </w:rPr>
        <w:t>,</w:t>
      </w:r>
      <w:r w:rsidRPr="0088201A">
        <w:rPr>
          <w:lang w:eastAsia="en-AU"/>
        </w:rPr>
        <w:t xml:space="preserve"> o</w:t>
      </w:r>
      <w:r>
        <w:rPr>
          <w:lang w:eastAsia="en-AU"/>
        </w:rPr>
        <w:t>r</w:t>
      </w:r>
      <w:r w:rsidRPr="0088201A">
        <w:rPr>
          <w:lang w:eastAsia="en-AU"/>
        </w:rPr>
        <w:t xml:space="preserve"> aggregate basis</w:t>
      </w:r>
      <w:r>
        <w:rPr>
          <w:lang w:eastAsia="en-AU"/>
        </w:rPr>
        <w:t>. At</w:t>
      </w:r>
      <w:r w:rsidRPr="0088201A">
        <w:rPr>
          <w:lang w:eastAsia="en-AU"/>
        </w:rPr>
        <w:t xml:space="preserve"> a high</w:t>
      </w:r>
      <w:r>
        <w:rPr>
          <w:lang w:eastAsia="en-AU"/>
        </w:rPr>
        <w:t xml:space="preserve"> </w:t>
      </w:r>
      <w:r w:rsidRPr="0088201A">
        <w:rPr>
          <w:lang w:eastAsia="en-AU"/>
        </w:rPr>
        <w:t xml:space="preserve">level, </w:t>
      </w:r>
      <w:r>
        <w:rPr>
          <w:lang w:eastAsia="en-AU"/>
        </w:rPr>
        <w:t>the estimation process</w:t>
      </w:r>
      <w:r w:rsidRPr="0088201A">
        <w:rPr>
          <w:lang w:eastAsia="en-AU"/>
        </w:rPr>
        <w:t xml:space="preserve"> will involve: </w:t>
      </w:r>
    </w:p>
    <w:p w14:paraId="114EBF90" w14:textId="39518712" w:rsidR="006F29B9" w:rsidRPr="0088201A" w:rsidRDefault="006F29B9" w:rsidP="00130575">
      <w:pPr>
        <w:pStyle w:val="Caption"/>
        <w:spacing w:before="240" w:after="120"/>
      </w:pPr>
      <w:r w:rsidRPr="0088201A">
        <w:lastRenderedPageBreak/>
        <w:t xml:space="preserve">Table </w:t>
      </w:r>
      <w:r w:rsidRPr="0088201A">
        <w:fldChar w:fldCharType="begin"/>
      </w:r>
      <w:r w:rsidRPr="0088201A">
        <w:instrText xml:space="preserve"> SEQ Table \* ARABIC </w:instrText>
      </w:r>
      <w:r w:rsidRPr="0088201A">
        <w:fldChar w:fldCharType="separate"/>
      </w:r>
      <w:r w:rsidR="00026714">
        <w:rPr>
          <w:noProof/>
        </w:rPr>
        <w:t>12</w:t>
      </w:r>
      <w:r w:rsidRPr="0088201A">
        <w:fldChar w:fldCharType="end"/>
      </w:r>
      <w:r w:rsidRPr="0088201A">
        <w:t xml:space="preserve"> | High-level approach to estimating the value delivered by the </w:t>
      </w:r>
      <w:proofErr w:type="gramStart"/>
      <w:r w:rsidRPr="0088201A">
        <w:t>reforms</w:t>
      </w:r>
      <w:proofErr w:type="gramEnd"/>
    </w:p>
    <w:tbl>
      <w:tblPr>
        <w:tblStyle w:val="NOUSSideHeader1"/>
        <w:tblW w:w="0" w:type="auto"/>
        <w:tblLook w:val="04A0" w:firstRow="1" w:lastRow="0" w:firstColumn="1" w:lastColumn="0" w:noHBand="0" w:noVBand="1"/>
      </w:tblPr>
      <w:tblGrid>
        <w:gridCol w:w="7797"/>
        <w:gridCol w:w="1123"/>
      </w:tblGrid>
      <w:tr w:rsidR="00A061F0" w14:paraId="66BBF734" w14:textId="77777777" w:rsidTr="3787E91E">
        <w:trPr>
          <w:cnfStyle w:val="100000000000" w:firstRow="1" w:lastRow="0" w:firstColumn="0" w:lastColumn="0" w:oddVBand="0" w:evenVBand="0" w:oddHBand="0" w:evenHBand="0" w:firstRowFirstColumn="0" w:firstRowLastColumn="0" w:lastRowFirstColumn="0" w:lastRowLastColumn="0"/>
        </w:trPr>
        <w:tc>
          <w:tcPr>
            <w:tcW w:w="7797" w:type="dxa"/>
            <w:tcBorders>
              <w:top w:val="single" w:sz="18" w:space="0" w:color="FF3A40" w:themeColor="accent1"/>
              <w:bottom w:val="single" w:sz="18" w:space="0" w:color="F25E21" w:themeColor="accent2"/>
            </w:tcBorders>
            <w:shd w:val="clear" w:color="auto" w:fill="FFFFFF" w:themeFill="background1"/>
          </w:tcPr>
          <w:p w14:paraId="1517A41F" w14:textId="28B8AAEB" w:rsidR="006F29B9" w:rsidRPr="007869F9" w:rsidRDefault="006F29B9" w:rsidP="00A82ACF">
            <w:pPr>
              <w:pStyle w:val="Listnumbered"/>
            </w:pPr>
            <w:r w:rsidRPr="00A82ACF">
              <w:rPr>
                <w:rFonts w:asciiTheme="majorHAnsi" w:hAnsiTheme="majorHAnsi" w:cstheme="majorHAnsi"/>
                <w:color w:val="auto"/>
              </w:rPr>
              <w:t>Estimating the savings delivered through reductions in the price of PL listed items</w:t>
            </w:r>
            <w:r w:rsidRPr="00A82ACF">
              <w:rPr>
                <w:color w:val="auto"/>
              </w:rPr>
              <w:br/>
              <w:t>For Part A items, savings can be estimated by combining data on the utilisation of the different PL listed items, with data on the benefit reductions for each of these items. Similarly, for items removed from the PL list, savings can be calculated by combining data on the price that insurance companies pay for these items post-reform, with utilisation data.</w:t>
            </w:r>
          </w:p>
        </w:tc>
        <w:tc>
          <w:tcPr>
            <w:tcW w:w="1123" w:type="dxa"/>
            <w:tcBorders>
              <w:top w:val="single" w:sz="18" w:space="0" w:color="FF3A40" w:themeColor="accent1"/>
              <w:bottom w:val="single" w:sz="18" w:space="0" w:color="F25E21" w:themeColor="accent2"/>
            </w:tcBorders>
            <w:shd w:val="clear" w:color="auto" w:fill="FFFFFF" w:themeFill="background1"/>
          </w:tcPr>
          <w:p w14:paraId="47000491" w14:textId="77777777" w:rsidR="006F29B9" w:rsidRPr="0088201A" w:rsidRDefault="006F29B9">
            <w:pPr>
              <w:rPr>
                <w:color w:val="auto"/>
                <w:lang w:eastAsia="en-AU"/>
              </w:rPr>
            </w:pPr>
            <w:r w:rsidRPr="0088201A">
              <w:rPr>
                <w:noProof/>
                <w:lang w:eastAsia="en-AU"/>
              </w:rPr>
              <mc:AlternateContent>
                <mc:Choice Requires="wps">
                  <w:drawing>
                    <wp:anchor distT="0" distB="0" distL="114300" distR="114300" simplePos="0" relativeHeight="251658253" behindDoc="0" locked="0" layoutInCell="1" allowOverlap="1" wp14:anchorId="0A4144C1" wp14:editId="2374EE52">
                      <wp:simplePos x="0" y="0"/>
                      <wp:positionH relativeFrom="column">
                        <wp:posOffset>0</wp:posOffset>
                      </wp:positionH>
                      <wp:positionV relativeFrom="paragraph">
                        <wp:posOffset>-63500</wp:posOffset>
                      </wp:positionV>
                      <wp:extent cx="537845" cy="544195"/>
                      <wp:effectExtent l="0" t="0" r="0" b="8255"/>
                      <wp:wrapNone/>
                      <wp:docPr id="13320" name="Freeform: Shape 13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537845" cy="544195"/>
                              </a:xfrm>
                              <a:custGeom>
                                <a:avLst/>
                                <a:gdLst>
                                  <a:gd name="T0" fmla="*/ 71 w 169"/>
                                  <a:gd name="T1" fmla="*/ 118 h 170"/>
                                  <a:gd name="T2" fmla="*/ 73 w 169"/>
                                  <a:gd name="T3" fmla="*/ 105 h 170"/>
                                  <a:gd name="T4" fmla="*/ 77 w 169"/>
                                  <a:gd name="T5" fmla="*/ 108 h 170"/>
                                  <a:gd name="T6" fmla="*/ 76 w 169"/>
                                  <a:gd name="T7" fmla="*/ 116 h 170"/>
                                  <a:gd name="T8" fmla="*/ 65 w 169"/>
                                  <a:gd name="T9" fmla="*/ 95 h 170"/>
                                  <a:gd name="T10" fmla="*/ 62 w 169"/>
                                  <a:gd name="T11" fmla="*/ 92 h 170"/>
                                  <a:gd name="T12" fmla="*/ 63 w 169"/>
                                  <a:gd name="T13" fmla="*/ 85 h 170"/>
                                  <a:gd name="T14" fmla="*/ 67 w 169"/>
                                  <a:gd name="T15" fmla="*/ 96 h 170"/>
                                  <a:gd name="T16" fmla="*/ 75 w 169"/>
                                  <a:gd name="T17" fmla="*/ 98 h 170"/>
                                  <a:gd name="T18" fmla="*/ 71 w 169"/>
                                  <a:gd name="T19" fmla="*/ 83 h 170"/>
                                  <a:gd name="T20" fmla="*/ 76 w 169"/>
                                  <a:gd name="T21" fmla="*/ 90 h 170"/>
                                  <a:gd name="T22" fmla="*/ 82 w 169"/>
                                  <a:gd name="T23" fmla="*/ 85 h 170"/>
                                  <a:gd name="T24" fmla="*/ 75 w 169"/>
                                  <a:gd name="T25" fmla="*/ 79 h 170"/>
                                  <a:gd name="T26" fmla="*/ 71 w 169"/>
                                  <a:gd name="T27" fmla="*/ 74 h 170"/>
                                  <a:gd name="T28" fmla="*/ 67 w 169"/>
                                  <a:gd name="T29" fmla="*/ 78 h 170"/>
                                  <a:gd name="T30" fmla="*/ 58 w 169"/>
                                  <a:gd name="T31" fmla="*/ 81 h 170"/>
                                  <a:gd name="T32" fmla="*/ 54 w 169"/>
                                  <a:gd name="T33" fmla="*/ 90 h 170"/>
                                  <a:gd name="T34" fmla="*/ 59 w 169"/>
                                  <a:gd name="T35" fmla="*/ 99 h 170"/>
                                  <a:gd name="T36" fmla="*/ 67 w 169"/>
                                  <a:gd name="T37" fmla="*/ 103 h 170"/>
                                  <a:gd name="T38" fmla="*/ 62 w 169"/>
                                  <a:gd name="T39" fmla="*/ 116 h 170"/>
                                  <a:gd name="T40" fmla="*/ 53 w 169"/>
                                  <a:gd name="T41" fmla="*/ 109 h 170"/>
                                  <a:gd name="T42" fmla="*/ 57 w 169"/>
                                  <a:gd name="T43" fmla="*/ 120 h 170"/>
                                  <a:gd name="T44" fmla="*/ 67 w 169"/>
                                  <a:gd name="T45" fmla="*/ 124 h 170"/>
                                  <a:gd name="T46" fmla="*/ 71 w 169"/>
                                  <a:gd name="T47" fmla="*/ 128 h 170"/>
                                  <a:gd name="T48" fmla="*/ 76 w 169"/>
                                  <a:gd name="T49" fmla="*/ 123 h 170"/>
                                  <a:gd name="T50" fmla="*/ 83 w 169"/>
                                  <a:gd name="T51" fmla="*/ 116 h 170"/>
                                  <a:gd name="T52" fmla="*/ 83 w 169"/>
                                  <a:gd name="T53" fmla="*/ 104 h 170"/>
                                  <a:gd name="T54" fmla="*/ 100 w 169"/>
                                  <a:gd name="T55" fmla="*/ 0 h 170"/>
                                  <a:gd name="T56" fmla="*/ 58 w 169"/>
                                  <a:gd name="T57" fmla="*/ 24 h 170"/>
                                  <a:gd name="T58" fmla="*/ 161 w 169"/>
                                  <a:gd name="T59" fmla="*/ 70 h 170"/>
                                  <a:gd name="T60" fmla="*/ 142 w 169"/>
                                  <a:gd name="T61" fmla="*/ 125 h 170"/>
                                  <a:gd name="T62" fmla="*/ 100 w 169"/>
                                  <a:gd name="T63" fmla="*/ 0 h 170"/>
                                  <a:gd name="T64" fmla="*/ 7 w 169"/>
                                  <a:gd name="T65" fmla="*/ 101 h 170"/>
                                  <a:gd name="T66" fmla="*/ 130 w 169"/>
                                  <a:gd name="T67" fmla="*/ 101 h 170"/>
                                  <a:gd name="T68" fmla="*/ 69 w 169"/>
                                  <a:gd name="T69" fmla="*/ 31 h 170"/>
                                  <a:gd name="T70" fmla="*/ 69 w 169"/>
                                  <a:gd name="T71" fmla="*/ 170 h 170"/>
                                  <a:gd name="T72" fmla="*/ 69 w 169"/>
                                  <a:gd name="T73" fmla="*/ 31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9" h="170">
                                    <a:moveTo>
                                      <a:pt x="76" y="116"/>
                                    </a:moveTo>
                                    <a:cubicBezTo>
                                      <a:pt x="74" y="117"/>
                                      <a:pt x="73" y="118"/>
                                      <a:pt x="71" y="118"/>
                                    </a:cubicBezTo>
                                    <a:cubicBezTo>
                                      <a:pt x="71" y="104"/>
                                      <a:pt x="71" y="104"/>
                                      <a:pt x="71" y="104"/>
                                    </a:cubicBezTo>
                                    <a:cubicBezTo>
                                      <a:pt x="72" y="104"/>
                                      <a:pt x="72" y="104"/>
                                      <a:pt x="73" y="105"/>
                                    </a:cubicBezTo>
                                    <a:cubicBezTo>
                                      <a:pt x="74" y="105"/>
                                      <a:pt x="75" y="106"/>
                                      <a:pt x="75" y="106"/>
                                    </a:cubicBezTo>
                                    <a:cubicBezTo>
                                      <a:pt x="76" y="107"/>
                                      <a:pt x="77" y="107"/>
                                      <a:pt x="77" y="108"/>
                                    </a:cubicBezTo>
                                    <a:cubicBezTo>
                                      <a:pt x="77" y="109"/>
                                      <a:pt x="78" y="110"/>
                                      <a:pt x="78" y="111"/>
                                    </a:cubicBezTo>
                                    <a:cubicBezTo>
                                      <a:pt x="78" y="113"/>
                                      <a:pt x="77" y="115"/>
                                      <a:pt x="76" y="116"/>
                                    </a:cubicBezTo>
                                    <a:moveTo>
                                      <a:pt x="67" y="96"/>
                                    </a:moveTo>
                                    <a:cubicBezTo>
                                      <a:pt x="66" y="95"/>
                                      <a:pt x="66" y="95"/>
                                      <a:pt x="65" y="95"/>
                                    </a:cubicBezTo>
                                    <a:cubicBezTo>
                                      <a:pt x="65" y="95"/>
                                      <a:pt x="64" y="94"/>
                                      <a:pt x="63" y="94"/>
                                    </a:cubicBezTo>
                                    <a:cubicBezTo>
                                      <a:pt x="63" y="93"/>
                                      <a:pt x="62" y="93"/>
                                      <a:pt x="62" y="92"/>
                                    </a:cubicBezTo>
                                    <a:cubicBezTo>
                                      <a:pt x="61" y="91"/>
                                      <a:pt x="61" y="90"/>
                                      <a:pt x="61" y="89"/>
                                    </a:cubicBezTo>
                                    <a:cubicBezTo>
                                      <a:pt x="61" y="87"/>
                                      <a:pt x="62" y="86"/>
                                      <a:pt x="63" y="85"/>
                                    </a:cubicBezTo>
                                    <a:cubicBezTo>
                                      <a:pt x="64" y="84"/>
                                      <a:pt x="65" y="83"/>
                                      <a:pt x="67" y="83"/>
                                    </a:cubicBezTo>
                                    <a:cubicBezTo>
                                      <a:pt x="67" y="96"/>
                                      <a:pt x="67" y="96"/>
                                      <a:pt x="67" y="96"/>
                                    </a:cubicBezTo>
                                    <a:close/>
                                    <a:moveTo>
                                      <a:pt x="80" y="101"/>
                                    </a:moveTo>
                                    <a:cubicBezTo>
                                      <a:pt x="79" y="100"/>
                                      <a:pt x="77" y="99"/>
                                      <a:pt x="75" y="98"/>
                                    </a:cubicBezTo>
                                    <a:cubicBezTo>
                                      <a:pt x="74" y="97"/>
                                      <a:pt x="73" y="97"/>
                                      <a:pt x="71" y="96"/>
                                    </a:cubicBezTo>
                                    <a:cubicBezTo>
                                      <a:pt x="71" y="83"/>
                                      <a:pt x="71" y="83"/>
                                      <a:pt x="71" y="83"/>
                                    </a:cubicBezTo>
                                    <a:cubicBezTo>
                                      <a:pt x="73" y="83"/>
                                      <a:pt x="74" y="84"/>
                                      <a:pt x="75" y="85"/>
                                    </a:cubicBezTo>
                                    <a:cubicBezTo>
                                      <a:pt x="76" y="86"/>
                                      <a:pt x="76" y="88"/>
                                      <a:pt x="76" y="90"/>
                                    </a:cubicBezTo>
                                    <a:cubicBezTo>
                                      <a:pt x="83" y="90"/>
                                      <a:pt x="83" y="90"/>
                                      <a:pt x="83" y="90"/>
                                    </a:cubicBezTo>
                                    <a:cubicBezTo>
                                      <a:pt x="83" y="88"/>
                                      <a:pt x="83" y="86"/>
                                      <a:pt x="82" y="85"/>
                                    </a:cubicBezTo>
                                    <a:cubicBezTo>
                                      <a:pt x="81" y="83"/>
                                      <a:pt x="81" y="82"/>
                                      <a:pt x="79" y="81"/>
                                    </a:cubicBezTo>
                                    <a:cubicBezTo>
                                      <a:pt x="78" y="80"/>
                                      <a:pt x="77" y="79"/>
                                      <a:pt x="75" y="79"/>
                                    </a:cubicBezTo>
                                    <a:cubicBezTo>
                                      <a:pt x="74" y="78"/>
                                      <a:pt x="73" y="78"/>
                                      <a:pt x="71" y="78"/>
                                    </a:cubicBezTo>
                                    <a:cubicBezTo>
                                      <a:pt x="71" y="74"/>
                                      <a:pt x="71" y="74"/>
                                      <a:pt x="71" y="74"/>
                                    </a:cubicBezTo>
                                    <a:cubicBezTo>
                                      <a:pt x="67" y="74"/>
                                      <a:pt x="67" y="74"/>
                                      <a:pt x="67" y="74"/>
                                    </a:cubicBezTo>
                                    <a:cubicBezTo>
                                      <a:pt x="67" y="78"/>
                                      <a:pt x="67" y="78"/>
                                      <a:pt x="67" y="78"/>
                                    </a:cubicBezTo>
                                    <a:cubicBezTo>
                                      <a:pt x="65" y="78"/>
                                      <a:pt x="64" y="78"/>
                                      <a:pt x="63" y="79"/>
                                    </a:cubicBezTo>
                                    <a:cubicBezTo>
                                      <a:pt x="61" y="79"/>
                                      <a:pt x="60" y="80"/>
                                      <a:pt x="58" y="81"/>
                                    </a:cubicBezTo>
                                    <a:cubicBezTo>
                                      <a:pt x="57" y="82"/>
                                      <a:pt x="56" y="83"/>
                                      <a:pt x="55" y="85"/>
                                    </a:cubicBezTo>
                                    <a:cubicBezTo>
                                      <a:pt x="55" y="86"/>
                                      <a:pt x="54" y="88"/>
                                      <a:pt x="54" y="90"/>
                                    </a:cubicBezTo>
                                    <a:cubicBezTo>
                                      <a:pt x="54" y="92"/>
                                      <a:pt x="55" y="94"/>
                                      <a:pt x="56" y="96"/>
                                    </a:cubicBezTo>
                                    <a:cubicBezTo>
                                      <a:pt x="56" y="97"/>
                                      <a:pt x="57" y="98"/>
                                      <a:pt x="59" y="99"/>
                                    </a:cubicBezTo>
                                    <a:cubicBezTo>
                                      <a:pt x="60" y="100"/>
                                      <a:pt x="61" y="101"/>
                                      <a:pt x="63" y="102"/>
                                    </a:cubicBezTo>
                                    <a:cubicBezTo>
                                      <a:pt x="65" y="102"/>
                                      <a:pt x="66" y="103"/>
                                      <a:pt x="67" y="103"/>
                                    </a:cubicBezTo>
                                    <a:cubicBezTo>
                                      <a:pt x="67" y="118"/>
                                      <a:pt x="67" y="118"/>
                                      <a:pt x="67" y="118"/>
                                    </a:cubicBezTo>
                                    <a:cubicBezTo>
                                      <a:pt x="65" y="118"/>
                                      <a:pt x="63" y="117"/>
                                      <a:pt x="62" y="116"/>
                                    </a:cubicBezTo>
                                    <a:cubicBezTo>
                                      <a:pt x="61" y="114"/>
                                      <a:pt x="60" y="112"/>
                                      <a:pt x="60" y="109"/>
                                    </a:cubicBezTo>
                                    <a:cubicBezTo>
                                      <a:pt x="53" y="109"/>
                                      <a:pt x="53" y="109"/>
                                      <a:pt x="53" y="109"/>
                                    </a:cubicBezTo>
                                    <a:cubicBezTo>
                                      <a:pt x="53" y="112"/>
                                      <a:pt x="54" y="114"/>
                                      <a:pt x="54" y="115"/>
                                    </a:cubicBezTo>
                                    <a:cubicBezTo>
                                      <a:pt x="55" y="117"/>
                                      <a:pt x="56" y="119"/>
                                      <a:pt x="57" y="120"/>
                                    </a:cubicBezTo>
                                    <a:cubicBezTo>
                                      <a:pt x="59" y="121"/>
                                      <a:pt x="60" y="122"/>
                                      <a:pt x="62" y="123"/>
                                    </a:cubicBezTo>
                                    <a:cubicBezTo>
                                      <a:pt x="64" y="123"/>
                                      <a:pt x="65" y="124"/>
                                      <a:pt x="67" y="124"/>
                                    </a:cubicBezTo>
                                    <a:cubicBezTo>
                                      <a:pt x="67" y="128"/>
                                      <a:pt x="67" y="128"/>
                                      <a:pt x="67" y="128"/>
                                    </a:cubicBezTo>
                                    <a:cubicBezTo>
                                      <a:pt x="71" y="128"/>
                                      <a:pt x="71" y="128"/>
                                      <a:pt x="71" y="128"/>
                                    </a:cubicBezTo>
                                    <a:cubicBezTo>
                                      <a:pt x="71" y="124"/>
                                      <a:pt x="71" y="124"/>
                                      <a:pt x="71" y="124"/>
                                    </a:cubicBezTo>
                                    <a:cubicBezTo>
                                      <a:pt x="73" y="124"/>
                                      <a:pt x="74" y="123"/>
                                      <a:pt x="76" y="123"/>
                                    </a:cubicBezTo>
                                    <a:cubicBezTo>
                                      <a:pt x="77" y="122"/>
                                      <a:pt x="79" y="121"/>
                                      <a:pt x="80" y="120"/>
                                    </a:cubicBezTo>
                                    <a:cubicBezTo>
                                      <a:pt x="81" y="119"/>
                                      <a:pt x="82" y="118"/>
                                      <a:pt x="83" y="116"/>
                                    </a:cubicBezTo>
                                    <a:cubicBezTo>
                                      <a:pt x="84" y="114"/>
                                      <a:pt x="84" y="112"/>
                                      <a:pt x="84" y="110"/>
                                    </a:cubicBezTo>
                                    <a:cubicBezTo>
                                      <a:pt x="84" y="108"/>
                                      <a:pt x="84" y="106"/>
                                      <a:pt x="83" y="104"/>
                                    </a:cubicBezTo>
                                    <a:cubicBezTo>
                                      <a:pt x="82" y="103"/>
                                      <a:pt x="81" y="102"/>
                                      <a:pt x="80" y="101"/>
                                    </a:cubicBezTo>
                                    <a:moveTo>
                                      <a:pt x="100" y="0"/>
                                    </a:moveTo>
                                    <a:cubicBezTo>
                                      <a:pt x="77" y="0"/>
                                      <a:pt x="58" y="11"/>
                                      <a:pt x="45" y="27"/>
                                    </a:cubicBezTo>
                                    <a:cubicBezTo>
                                      <a:pt x="49" y="26"/>
                                      <a:pt x="54" y="25"/>
                                      <a:pt x="58" y="24"/>
                                    </a:cubicBezTo>
                                    <a:cubicBezTo>
                                      <a:pt x="69" y="14"/>
                                      <a:pt x="84" y="8"/>
                                      <a:pt x="100" y="8"/>
                                    </a:cubicBezTo>
                                    <a:cubicBezTo>
                                      <a:pt x="134" y="8"/>
                                      <a:pt x="161" y="36"/>
                                      <a:pt x="161" y="70"/>
                                    </a:cubicBezTo>
                                    <a:cubicBezTo>
                                      <a:pt x="161" y="86"/>
                                      <a:pt x="155" y="101"/>
                                      <a:pt x="145" y="112"/>
                                    </a:cubicBezTo>
                                    <a:cubicBezTo>
                                      <a:pt x="144" y="116"/>
                                      <a:pt x="143" y="121"/>
                                      <a:pt x="142" y="125"/>
                                    </a:cubicBezTo>
                                    <a:cubicBezTo>
                                      <a:pt x="158" y="112"/>
                                      <a:pt x="169" y="92"/>
                                      <a:pt x="169" y="70"/>
                                    </a:cubicBezTo>
                                    <a:cubicBezTo>
                                      <a:pt x="169" y="32"/>
                                      <a:pt x="138" y="0"/>
                                      <a:pt x="100" y="0"/>
                                    </a:cubicBezTo>
                                    <a:moveTo>
                                      <a:pt x="69" y="163"/>
                                    </a:moveTo>
                                    <a:cubicBezTo>
                                      <a:pt x="35" y="163"/>
                                      <a:pt x="7" y="135"/>
                                      <a:pt x="7" y="101"/>
                                    </a:cubicBezTo>
                                    <a:cubicBezTo>
                                      <a:pt x="7" y="67"/>
                                      <a:pt x="35" y="39"/>
                                      <a:pt x="69" y="39"/>
                                    </a:cubicBezTo>
                                    <a:cubicBezTo>
                                      <a:pt x="103" y="39"/>
                                      <a:pt x="130" y="67"/>
                                      <a:pt x="130" y="101"/>
                                    </a:cubicBezTo>
                                    <a:cubicBezTo>
                                      <a:pt x="130" y="135"/>
                                      <a:pt x="103" y="163"/>
                                      <a:pt x="69" y="163"/>
                                    </a:cubicBezTo>
                                    <a:moveTo>
                                      <a:pt x="69" y="31"/>
                                    </a:moveTo>
                                    <a:cubicBezTo>
                                      <a:pt x="31" y="31"/>
                                      <a:pt x="0" y="62"/>
                                      <a:pt x="0" y="101"/>
                                    </a:cubicBezTo>
                                    <a:cubicBezTo>
                                      <a:pt x="0" y="139"/>
                                      <a:pt x="31" y="170"/>
                                      <a:pt x="69" y="170"/>
                                    </a:cubicBezTo>
                                    <a:cubicBezTo>
                                      <a:pt x="107" y="170"/>
                                      <a:pt x="138" y="139"/>
                                      <a:pt x="138" y="101"/>
                                    </a:cubicBezTo>
                                    <a:cubicBezTo>
                                      <a:pt x="138" y="62"/>
                                      <a:pt x="107" y="31"/>
                                      <a:pt x="69" y="31"/>
                                    </a:cubicBezTo>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015BD68" id="Freeform: Shape 13320" o:spid="_x0000_s1026" alt="&quot;&quot;" style="position:absolute;margin-left:0;margin-top:-5pt;width:42.35pt;height:42.8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9,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" path="m76,116v-2,1,-3,2,-5,2c71,104,71,104,71,104v1,,1,,2,1c74,105,75,106,75,106v1,1,2,1,2,2c77,109,78,110,78,111v,2,-1,4,-2,5m67,96c66,95,66,95,65,95v,,-1,-1,-2,-1c63,93,62,93,62,92,61,91,61,90,61,89v,-2,1,-3,2,-4c64,84,65,83,67,83v,13,,13,,13xm80,101v-1,-1,-3,-2,-5,-3c74,97,73,97,71,96v,-13,,-13,,-13c73,83,74,84,75,85v1,1,1,3,1,5c83,90,83,90,83,90v,-2,,-4,-1,-5c81,83,81,82,79,81,78,80,77,79,75,79,74,78,73,78,71,78v,-4,,-4,,-4c67,74,67,74,67,74v,4,,4,,4c65,78,64,78,63,79v-2,,-3,1,-5,2c57,82,56,83,55,85v,1,-1,3,-1,5c54,92,55,94,56,96v,1,1,2,3,3c60,100,61,101,63,102v2,,3,1,4,1c67,118,67,118,67,118v-2,,-4,-1,-5,-2c61,114,60,112,60,109v-7,,-7,,-7,c53,112,54,114,54,115v1,2,2,4,3,5c59,121,60,122,62,123v2,,3,1,5,1c67,128,67,128,67,128v4,,4,,4,c71,124,71,124,71,124v2,,3,-1,5,-1c77,122,79,121,80,120v1,-1,2,-2,3,-4c84,114,84,112,84,110v,-2,,-4,-1,-6c82,103,81,102,80,101m100,c77,,58,11,45,27v4,-1,9,-2,13,-3c69,14,84,8,100,8v34,,61,28,61,62c161,86,155,101,145,112v-1,4,-2,9,-3,13c158,112,169,92,169,70,169,32,138,,100,m69,163c35,163,7,135,7,101,7,67,35,39,69,39v34,,61,28,61,62c130,135,103,163,69,163m69,31c31,31,,62,,101v,38,31,69,69,69c107,170,138,139,138,101,138,62,107,31,69,31e" fillcolor="#ff3a40 [3204]" stroked="f">
                      <v:path arrowok="t" o:connecttype="custom" o:connectlocs="225959,377735;232324,336120;245054,345724;241871,371333;206863,304109;197316,294506;200498,272098;213228,307310;238689,313712;225959,265695;241871,288103;260966,272098;238689,252891;225959,236885;213228,249689;184586,259293;171856,288103;187768,316914;213228,329718;197316,371333;168673,348925;181403,384138;213228,396942;225959,409747;241871,393741;264149,371333;264149,332919;318251,0;184586,76828;512385,224080;451917,400143;318251,0;22278,323316;413727,323316;219594,99236;219594,544195;219594,99236" o:connectangles="0,0,0,0,0,0,0,0,0,0,0,0,0,0,0,0,0,0,0,0,0,0,0,0,0,0,0,0,0,0,0,0,0,0,0,0,0"/>
                      <o:lock v:ext="edit" aspectratio="t" verticies="t"/>
                    </v:shape>
                  </w:pict>
                </mc:Fallback>
              </mc:AlternateContent>
            </w:r>
          </w:p>
        </w:tc>
      </w:tr>
      <w:tr w:rsidR="006F29B9" w14:paraId="79702756" w14:textId="77777777" w:rsidTr="3787E91E">
        <w:trPr>
          <w:cnfStyle w:val="000000100000" w:firstRow="0" w:lastRow="0" w:firstColumn="0" w:lastColumn="0" w:oddVBand="0" w:evenVBand="0" w:oddHBand="1" w:evenHBand="0" w:firstRowFirstColumn="0" w:firstRowLastColumn="0" w:lastRowFirstColumn="0" w:lastRowLastColumn="0"/>
        </w:trPr>
        <w:tc>
          <w:tcPr>
            <w:tcW w:w="7797" w:type="dxa"/>
            <w:tcBorders>
              <w:top w:val="single" w:sz="18" w:space="0" w:color="F25E21" w:themeColor="accent2"/>
              <w:bottom w:val="single" w:sz="18" w:space="0" w:color="FED13B" w:themeColor="accent4"/>
            </w:tcBorders>
          </w:tcPr>
          <w:p w14:paraId="54077F80" w14:textId="77777777" w:rsidR="006F29B9" w:rsidRPr="0088201A" w:rsidRDefault="006F29B9" w:rsidP="00A82ACF">
            <w:pPr>
              <w:pStyle w:val="Listnumbered"/>
            </w:pPr>
            <w:r w:rsidRPr="068BB5A7">
              <w:rPr>
                <w:rFonts w:asciiTheme="majorHAnsi" w:hAnsiTheme="majorHAnsi" w:cstheme="majorBidi"/>
              </w:rPr>
              <w:t>Estimating the share of these savings that is passed onto consumers</w:t>
            </w:r>
            <w:r>
              <w:br/>
            </w:r>
            <w:r w:rsidRPr="0088201A">
              <w:t xml:space="preserve">The estimates obtained in step </w:t>
            </w:r>
            <w:r>
              <w:t>one</w:t>
            </w:r>
            <w:r w:rsidRPr="0088201A">
              <w:t xml:space="preserve"> will need to be adjusted based on assumptions about the share of savings that are passed onto consumers. This share could be estimated by considering a range of evidence including data on premium reductions, data for profit margins in the health insurance industry and information gathered through stakeholder consultations. </w:t>
            </w:r>
          </w:p>
        </w:tc>
        <w:tc>
          <w:tcPr>
            <w:tcW w:w="1123" w:type="dxa"/>
            <w:tcBorders>
              <w:top w:val="single" w:sz="18" w:space="0" w:color="F25E21" w:themeColor="accent2"/>
              <w:bottom w:val="single" w:sz="18" w:space="0" w:color="FED13B" w:themeColor="accent4"/>
            </w:tcBorders>
          </w:tcPr>
          <w:p w14:paraId="3EB323C6" w14:textId="77777777" w:rsidR="006F29B9" w:rsidRPr="0088201A" w:rsidRDefault="006F29B9">
            <w:pPr>
              <w:rPr>
                <w:lang w:eastAsia="en-AU"/>
              </w:rPr>
            </w:pPr>
            <w:r w:rsidRPr="0088201A">
              <w:rPr>
                <w:noProof/>
                <w:lang w:eastAsia="en-AU"/>
              </w:rPr>
              <mc:AlternateContent>
                <mc:Choice Requires="wpg">
                  <w:drawing>
                    <wp:anchor distT="0" distB="0" distL="114300" distR="114300" simplePos="0" relativeHeight="251658254" behindDoc="0" locked="0" layoutInCell="1" allowOverlap="1" wp14:anchorId="20684CDB" wp14:editId="57E7791C">
                      <wp:simplePos x="0" y="0"/>
                      <wp:positionH relativeFrom="column">
                        <wp:posOffset>20320</wp:posOffset>
                      </wp:positionH>
                      <wp:positionV relativeFrom="paragraph">
                        <wp:posOffset>-5080</wp:posOffset>
                      </wp:positionV>
                      <wp:extent cx="539750" cy="363855"/>
                      <wp:effectExtent l="0" t="0" r="0" b="0"/>
                      <wp:wrapNone/>
                      <wp:docPr id="14355" name="Group 143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39750" cy="363855"/>
                                <a:chOff x="0" y="0"/>
                                <a:chExt cx="506412" cy="341313"/>
                              </a:xfrm>
                              <a:solidFill>
                                <a:schemeClr val="accent2"/>
                              </a:solidFill>
                            </wpg:grpSpPr>
                            <wps:wsp>
                              <wps:cNvPr id="14356" name="Freeform 5"/>
                              <wps:cNvSpPr>
                                <a:spLocks noEditPoints="1"/>
                              </wps:cNvSpPr>
                              <wps:spPr bwMode="auto">
                                <a:xfrm>
                                  <a:off x="358775" y="42863"/>
                                  <a:ext cx="79375" cy="128588"/>
                                </a:xfrm>
                                <a:custGeom>
                                  <a:avLst/>
                                  <a:gdLst>
                                    <a:gd name="T0" fmla="*/ 27 w 28"/>
                                    <a:gd name="T1" fmla="*/ 25 h 45"/>
                                    <a:gd name="T2" fmla="*/ 24 w 28"/>
                                    <a:gd name="T3" fmla="*/ 22 h 45"/>
                                    <a:gd name="T4" fmla="*/ 20 w 28"/>
                                    <a:gd name="T5" fmla="*/ 20 h 45"/>
                                    <a:gd name="T6" fmla="*/ 17 w 28"/>
                                    <a:gd name="T7" fmla="*/ 19 h 45"/>
                                    <a:gd name="T8" fmla="*/ 17 w 28"/>
                                    <a:gd name="T9" fmla="*/ 8 h 45"/>
                                    <a:gd name="T10" fmla="*/ 19 w 28"/>
                                    <a:gd name="T11" fmla="*/ 9 h 45"/>
                                    <a:gd name="T12" fmla="*/ 21 w 28"/>
                                    <a:gd name="T13" fmla="*/ 13 h 45"/>
                                    <a:gd name="T14" fmla="*/ 27 w 28"/>
                                    <a:gd name="T15" fmla="*/ 13 h 45"/>
                                    <a:gd name="T16" fmla="*/ 26 w 28"/>
                                    <a:gd name="T17" fmla="*/ 9 h 45"/>
                                    <a:gd name="T18" fmla="*/ 23 w 28"/>
                                    <a:gd name="T19" fmla="*/ 6 h 45"/>
                                    <a:gd name="T20" fmla="*/ 20 w 28"/>
                                    <a:gd name="T21" fmla="*/ 4 h 45"/>
                                    <a:gd name="T22" fmla="*/ 17 w 28"/>
                                    <a:gd name="T23" fmla="*/ 3 h 45"/>
                                    <a:gd name="T24" fmla="*/ 17 w 28"/>
                                    <a:gd name="T25" fmla="*/ 0 h 45"/>
                                    <a:gd name="T26" fmla="*/ 12 w 28"/>
                                    <a:gd name="T27" fmla="*/ 0 h 45"/>
                                    <a:gd name="T28" fmla="*/ 12 w 28"/>
                                    <a:gd name="T29" fmla="*/ 3 h 45"/>
                                    <a:gd name="T30" fmla="*/ 9 w 28"/>
                                    <a:gd name="T31" fmla="*/ 4 h 45"/>
                                    <a:gd name="T32" fmla="*/ 5 w 28"/>
                                    <a:gd name="T33" fmla="*/ 6 h 45"/>
                                    <a:gd name="T34" fmla="*/ 2 w 28"/>
                                    <a:gd name="T35" fmla="*/ 9 h 45"/>
                                    <a:gd name="T36" fmla="*/ 1 w 28"/>
                                    <a:gd name="T37" fmla="*/ 13 h 45"/>
                                    <a:gd name="T38" fmla="*/ 2 w 28"/>
                                    <a:gd name="T39" fmla="*/ 18 h 45"/>
                                    <a:gd name="T40" fmla="*/ 5 w 28"/>
                                    <a:gd name="T41" fmla="*/ 21 h 45"/>
                                    <a:gd name="T42" fmla="*/ 9 w 28"/>
                                    <a:gd name="T43" fmla="*/ 23 h 45"/>
                                    <a:gd name="T44" fmla="*/ 12 w 28"/>
                                    <a:gd name="T45" fmla="*/ 24 h 45"/>
                                    <a:gd name="T46" fmla="*/ 12 w 28"/>
                                    <a:gd name="T47" fmla="*/ 37 h 45"/>
                                    <a:gd name="T48" fmla="*/ 8 w 28"/>
                                    <a:gd name="T49" fmla="*/ 35 h 45"/>
                                    <a:gd name="T50" fmla="*/ 6 w 28"/>
                                    <a:gd name="T51" fmla="*/ 30 h 45"/>
                                    <a:gd name="T52" fmla="*/ 0 w 28"/>
                                    <a:gd name="T53" fmla="*/ 30 h 45"/>
                                    <a:gd name="T54" fmla="*/ 1 w 28"/>
                                    <a:gd name="T55" fmla="*/ 35 h 45"/>
                                    <a:gd name="T56" fmla="*/ 4 w 28"/>
                                    <a:gd name="T57" fmla="*/ 38 h 45"/>
                                    <a:gd name="T58" fmla="*/ 8 w 28"/>
                                    <a:gd name="T59" fmla="*/ 41 h 45"/>
                                    <a:gd name="T60" fmla="*/ 12 w 28"/>
                                    <a:gd name="T61" fmla="*/ 41 h 45"/>
                                    <a:gd name="T62" fmla="*/ 12 w 28"/>
                                    <a:gd name="T63" fmla="*/ 45 h 45"/>
                                    <a:gd name="T64" fmla="*/ 17 w 28"/>
                                    <a:gd name="T65" fmla="*/ 45 h 45"/>
                                    <a:gd name="T66" fmla="*/ 17 w 28"/>
                                    <a:gd name="T67" fmla="*/ 41 h 45"/>
                                    <a:gd name="T68" fmla="*/ 20 w 28"/>
                                    <a:gd name="T69" fmla="*/ 41 h 45"/>
                                    <a:gd name="T70" fmla="*/ 24 w 28"/>
                                    <a:gd name="T71" fmla="*/ 39 h 45"/>
                                    <a:gd name="T72" fmla="*/ 27 w 28"/>
                                    <a:gd name="T73" fmla="*/ 35 h 45"/>
                                    <a:gd name="T74" fmla="*/ 28 w 28"/>
                                    <a:gd name="T75" fmla="*/ 30 h 45"/>
                                    <a:gd name="T76" fmla="*/ 27 w 28"/>
                                    <a:gd name="T77" fmla="*/ 25 h 45"/>
                                    <a:gd name="T78" fmla="*/ 12 w 28"/>
                                    <a:gd name="T79" fmla="*/ 18 h 45"/>
                                    <a:gd name="T80" fmla="*/ 11 w 28"/>
                                    <a:gd name="T81" fmla="*/ 17 h 45"/>
                                    <a:gd name="T82" fmla="*/ 9 w 28"/>
                                    <a:gd name="T83" fmla="*/ 16 h 45"/>
                                    <a:gd name="T84" fmla="*/ 8 w 28"/>
                                    <a:gd name="T85" fmla="*/ 15 h 45"/>
                                    <a:gd name="T86" fmla="*/ 7 w 28"/>
                                    <a:gd name="T87" fmla="*/ 13 h 45"/>
                                    <a:gd name="T88" fmla="*/ 9 w 28"/>
                                    <a:gd name="T89" fmla="*/ 9 h 45"/>
                                    <a:gd name="T90" fmla="*/ 12 w 28"/>
                                    <a:gd name="T91" fmla="*/ 8 h 45"/>
                                    <a:gd name="T92" fmla="*/ 12 w 28"/>
                                    <a:gd name="T93" fmla="*/ 18 h 45"/>
                                    <a:gd name="T94" fmla="*/ 20 w 28"/>
                                    <a:gd name="T95" fmla="*/ 35 h 45"/>
                                    <a:gd name="T96" fmla="*/ 17 w 28"/>
                                    <a:gd name="T97" fmla="*/ 37 h 45"/>
                                    <a:gd name="T98" fmla="*/ 17 w 28"/>
                                    <a:gd name="T99" fmla="*/ 25 h 45"/>
                                    <a:gd name="T100" fmla="*/ 18 w 28"/>
                                    <a:gd name="T101" fmla="*/ 26 h 45"/>
                                    <a:gd name="T102" fmla="*/ 20 w 28"/>
                                    <a:gd name="T103" fmla="*/ 27 h 45"/>
                                    <a:gd name="T104" fmla="*/ 21 w 28"/>
                                    <a:gd name="T105" fmla="*/ 28 h 45"/>
                                    <a:gd name="T106" fmla="*/ 22 w 28"/>
                                    <a:gd name="T107" fmla="*/ 31 h 45"/>
                                    <a:gd name="T108" fmla="*/ 20 w 28"/>
                                    <a:gd name="T109" fmla="*/ 3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8" h="45">
                                      <a:moveTo>
                                        <a:pt x="27" y="25"/>
                                      </a:moveTo>
                                      <a:cubicBezTo>
                                        <a:pt x="26" y="24"/>
                                        <a:pt x="25" y="23"/>
                                        <a:pt x="24" y="22"/>
                                      </a:cubicBezTo>
                                      <a:cubicBezTo>
                                        <a:pt x="23" y="21"/>
                                        <a:pt x="21" y="21"/>
                                        <a:pt x="20" y="20"/>
                                      </a:cubicBezTo>
                                      <a:cubicBezTo>
                                        <a:pt x="19" y="20"/>
                                        <a:pt x="18" y="19"/>
                                        <a:pt x="17" y="19"/>
                                      </a:cubicBezTo>
                                      <a:cubicBezTo>
                                        <a:pt x="17" y="8"/>
                                        <a:pt x="17" y="8"/>
                                        <a:pt x="17" y="8"/>
                                      </a:cubicBezTo>
                                      <a:cubicBezTo>
                                        <a:pt x="18" y="8"/>
                                        <a:pt x="19" y="8"/>
                                        <a:pt x="19" y="9"/>
                                      </a:cubicBezTo>
                                      <a:cubicBezTo>
                                        <a:pt x="20" y="10"/>
                                        <a:pt x="21" y="11"/>
                                        <a:pt x="21" y="13"/>
                                      </a:cubicBezTo>
                                      <a:cubicBezTo>
                                        <a:pt x="27" y="13"/>
                                        <a:pt x="27" y="13"/>
                                        <a:pt x="27" y="13"/>
                                      </a:cubicBezTo>
                                      <a:cubicBezTo>
                                        <a:pt x="27" y="11"/>
                                        <a:pt x="27" y="10"/>
                                        <a:pt x="26" y="9"/>
                                      </a:cubicBezTo>
                                      <a:cubicBezTo>
                                        <a:pt x="25" y="7"/>
                                        <a:pt x="24" y="6"/>
                                        <a:pt x="23" y="6"/>
                                      </a:cubicBezTo>
                                      <a:cubicBezTo>
                                        <a:pt x="22" y="5"/>
                                        <a:pt x="21" y="4"/>
                                        <a:pt x="20" y="4"/>
                                      </a:cubicBezTo>
                                      <a:cubicBezTo>
                                        <a:pt x="19" y="3"/>
                                        <a:pt x="18" y="3"/>
                                        <a:pt x="17" y="3"/>
                                      </a:cubicBezTo>
                                      <a:cubicBezTo>
                                        <a:pt x="17" y="0"/>
                                        <a:pt x="17" y="0"/>
                                        <a:pt x="17" y="0"/>
                                      </a:cubicBezTo>
                                      <a:cubicBezTo>
                                        <a:pt x="12" y="0"/>
                                        <a:pt x="12" y="0"/>
                                        <a:pt x="12" y="0"/>
                                      </a:cubicBezTo>
                                      <a:cubicBezTo>
                                        <a:pt x="12" y="3"/>
                                        <a:pt x="12" y="3"/>
                                        <a:pt x="12" y="3"/>
                                      </a:cubicBezTo>
                                      <a:cubicBezTo>
                                        <a:pt x="11" y="3"/>
                                        <a:pt x="10" y="3"/>
                                        <a:pt x="9" y="4"/>
                                      </a:cubicBezTo>
                                      <a:cubicBezTo>
                                        <a:pt x="7" y="4"/>
                                        <a:pt x="6" y="5"/>
                                        <a:pt x="5" y="6"/>
                                      </a:cubicBezTo>
                                      <a:cubicBezTo>
                                        <a:pt x="4" y="7"/>
                                        <a:pt x="3" y="8"/>
                                        <a:pt x="2" y="9"/>
                                      </a:cubicBezTo>
                                      <a:cubicBezTo>
                                        <a:pt x="2" y="10"/>
                                        <a:pt x="1" y="12"/>
                                        <a:pt x="1" y="13"/>
                                      </a:cubicBezTo>
                                      <a:cubicBezTo>
                                        <a:pt x="1" y="15"/>
                                        <a:pt x="2" y="17"/>
                                        <a:pt x="2" y="18"/>
                                      </a:cubicBezTo>
                                      <a:cubicBezTo>
                                        <a:pt x="3" y="19"/>
                                        <a:pt x="4" y="20"/>
                                        <a:pt x="5" y="21"/>
                                      </a:cubicBezTo>
                                      <a:cubicBezTo>
                                        <a:pt x="6" y="22"/>
                                        <a:pt x="7" y="23"/>
                                        <a:pt x="9" y="23"/>
                                      </a:cubicBezTo>
                                      <a:cubicBezTo>
                                        <a:pt x="10" y="24"/>
                                        <a:pt x="11" y="24"/>
                                        <a:pt x="12" y="24"/>
                                      </a:cubicBezTo>
                                      <a:cubicBezTo>
                                        <a:pt x="12" y="37"/>
                                        <a:pt x="12" y="37"/>
                                        <a:pt x="12" y="37"/>
                                      </a:cubicBezTo>
                                      <a:cubicBezTo>
                                        <a:pt x="10" y="37"/>
                                        <a:pt x="9" y="36"/>
                                        <a:pt x="8" y="35"/>
                                      </a:cubicBezTo>
                                      <a:cubicBezTo>
                                        <a:pt x="7" y="34"/>
                                        <a:pt x="6" y="32"/>
                                        <a:pt x="6" y="30"/>
                                      </a:cubicBezTo>
                                      <a:cubicBezTo>
                                        <a:pt x="0" y="30"/>
                                        <a:pt x="0" y="30"/>
                                        <a:pt x="0" y="30"/>
                                      </a:cubicBezTo>
                                      <a:cubicBezTo>
                                        <a:pt x="0" y="31"/>
                                        <a:pt x="1" y="33"/>
                                        <a:pt x="1" y="35"/>
                                      </a:cubicBezTo>
                                      <a:cubicBezTo>
                                        <a:pt x="2" y="36"/>
                                        <a:pt x="3" y="37"/>
                                        <a:pt x="4" y="38"/>
                                      </a:cubicBezTo>
                                      <a:cubicBezTo>
                                        <a:pt x="5" y="39"/>
                                        <a:pt x="6" y="40"/>
                                        <a:pt x="8" y="41"/>
                                      </a:cubicBezTo>
                                      <a:cubicBezTo>
                                        <a:pt x="9" y="41"/>
                                        <a:pt x="10" y="41"/>
                                        <a:pt x="12" y="41"/>
                                      </a:cubicBezTo>
                                      <a:cubicBezTo>
                                        <a:pt x="12" y="45"/>
                                        <a:pt x="12" y="45"/>
                                        <a:pt x="12" y="45"/>
                                      </a:cubicBezTo>
                                      <a:cubicBezTo>
                                        <a:pt x="17" y="45"/>
                                        <a:pt x="17" y="45"/>
                                        <a:pt x="17" y="45"/>
                                      </a:cubicBezTo>
                                      <a:cubicBezTo>
                                        <a:pt x="17" y="41"/>
                                        <a:pt x="17" y="41"/>
                                        <a:pt x="17" y="41"/>
                                      </a:cubicBezTo>
                                      <a:cubicBezTo>
                                        <a:pt x="18" y="41"/>
                                        <a:pt x="19" y="41"/>
                                        <a:pt x="20" y="41"/>
                                      </a:cubicBezTo>
                                      <a:cubicBezTo>
                                        <a:pt x="22" y="40"/>
                                        <a:pt x="23" y="39"/>
                                        <a:pt x="24" y="39"/>
                                      </a:cubicBezTo>
                                      <a:cubicBezTo>
                                        <a:pt x="25" y="38"/>
                                        <a:pt x="26" y="36"/>
                                        <a:pt x="27" y="35"/>
                                      </a:cubicBezTo>
                                      <a:cubicBezTo>
                                        <a:pt x="27" y="34"/>
                                        <a:pt x="28" y="32"/>
                                        <a:pt x="28" y="30"/>
                                      </a:cubicBezTo>
                                      <a:cubicBezTo>
                                        <a:pt x="28" y="28"/>
                                        <a:pt x="27" y="27"/>
                                        <a:pt x="27" y="25"/>
                                      </a:cubicBezTo>
                                      <a:close/>
                                      <a:moveTo>
                                        <a:pt x="12" y="18"/>
                                      </a:moveTo>
                                      <a:cubicBezTo>
                                        <a:pt x="12" y="18"/>
                                        <a:pt x="11" y="18"/>
                                        <a:pt x="11" y="17"/>
                                      </a:cubicBezTo>
                                      <a:cubicBezTo>
                                        <a:pt x="10" y="17"/>
                                        <a:pt x="10" y="17"/>
                                        <a:pt x="9" y="16"/>
                                      </a:cubicBezTo>
                                      <a:cubicBezTo>
                                        <a:pt x="9" y="16"/>
                                        <a:pt x="8" y="15"/>
                                        <a:pt x="8" y="15"/>
                                      </a:cubicBezTo>
                                      <a:cubicBezTo>
                                        <a:pt x="7" y="14"/>
                                        <a:pt x="7" y="14"/>
                                        <a:pt x="7" y="13"/>
                                      </a:cubicBezTo>
                                      <a:cubicBezTo>
                                        <a:pt x="7" y="11"/>
                                        <a:pt x="8" y="10"/>
                                        <a:pt x="9" y="9"/>
                                      </a:cubicBezTo>
                                      <a:cubicBezTo>
                                        <a:pt x="10" y="8"/>
                                        <a:pt x="11" y="8"/>
                                        <a:pt x="12" y="8"/>
                                      </a:cubicBezTo>
                                      <a:lnTo>
                                        <a:pt x="12" y="18"/>
                                      </a:lnTo>
                                      <a:close/>
                                      <a:moveTo>
                                        <a:pt x="20" y="35"/>
                                      </a:moveTo>
                                      <a:cubicBezTo>
                                        <a:pt x="19" y="36"/>
                                        <a:pt x="18" y="37"/>
                                        <a:pt x="17" y="37"/>
                                      </a:cubicBezTo>
                                      <a:cubicBezTo>
                                        <a:pt x="17" y="25"/>
                                        <a:pt x="17" y="25"/>
                                        <a:pt x="17" y="25"/>
                                      </a:cubicBezTo>
                                      <a:cubicBezTo>
                                        <a:pt x="17" y="25"/>
                                        <a:pt x="17" y="25"/>
                                        <a:pt x="18" y="26"/>
                                      </a:cubicBezTo>
                                      <a:cubicBezTo>
                                        <a:pt x="19" y="26"/>
                                        <a:pt x="19" y="26"/>
                                        <a:pt x="20" y="27"/>
                                      </a:cubicBezTo>
                                      <a:cubicBezTo>
                                        <a:pt x="20" y="27"/>
                                        <a:pt x="21" y="28"/>
                                        <a:pt x="21" y="28"/>
                                      </a:cubicBezTo>
                                      <a:cubicBezTo>
                                        <a:pt x="22" y="29"/>
                                        <a:pt x="22" y="30"/>
                                        <a:pt x="22" y="31"/>
                                      </a:cubicBezTo>
                                      <a:cubicBezTo>
                                        <a:pt x="22" y="33"/>
                                        <a:pt x="21" y="34"/>
                                        <a:pt x="20" y="3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357" name="Freeform 6"/>
                              <wps:cNvSpPr>
                                <a:spLocks noEditPoints="1"/>
                              </wps:cNvSpPr>
                              <wps:spPr bwMode="auto">
                                <a:xfrm>
                                  <a:off x="292100" y="0"/>
                                  <a:ext cx="214312" cy="215900"/>
                                </a:xfrm>
                                <a:custGeom>
                                  <a:avLst/>
                                  <a:gdLst>
                                    <a:gd name="T0" fmla="*/ 37 w 75"/>
                                    <a:gd name="T1" fmla="*/ 75 h 75"/>
                                    <a:gd name="T2" fmla="*/ 0 w 75"/>
                                    <a:gd name="T3" fmla="*/ 37 h 75"/>
                                    <a:gd name="T4" fmla="*/ 37 w 75"/>
                                    <a:gd name="T5" fmla="*/ 0 h 75"/>
                                    <a:gd name="T6" fmla="*/ 75 w 75"/>
                                    <a:gd name="T7" fmla="*/ 37 h 75"/>
                                    <a:gd name="T8" fmla="*/ 37 w 75"/>
                                    <a:gd name="T9" fmla="*/ 75 h 75"/>
                                    <a:gd name="T10" fmla="*/ 37 w 75"/>
                                    <a:gd name="T11" fmla="*/ 5 h 75"/>
                                    <a:gd name="T12" fmla="*/ 5 w 75"/>
                                    <a:gd name="T13" fmla="*/ 37 h 75"/>
                                    <a:gd name="T14" fmla="*/ 37 w 75"/>
                                    <a:gd name="T15" fmla="*/ 70 h 75"/>
                                    <a:gd name="T16" fmla="*/ 70 w 75"/>
                                    <a:gd name="T17" fmla="*/ 37 h 75"/>
                                    <a:gd name="T18" fmla="*/ 37 w 75"/>
                                    <a:gd name="T19" fmla="*/ 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5" h="75">
                                      <a:moveTo>
                                        <a:pt x="37" y="75"/>
                                      </a:moveTo>
                                      <a:cubicBezTo>
                                        <a:pt x="16" y="75"/>
                                        <a:pt x="0" y="58"/>
                                        <a:pt x="0" y="37"/>
                                      </a:cubicBezTo>
                                      <a:cubicBezTo>
                                        <a:pt x="0" y="17"/>
                                        <a:pt x="16" y="0"/>
                                        <a:pt x="37" y="0"/>
                                      </a:cubicBezTo>
                                      <a:cubicBezTo>
                                        <a:pt x="58" y="0"/>
                                        <a:pt x="75" y="17"/>
                                        <a:pt x="75" y="37"/>
                                      </a:cubicBezTo>
                                      <a:cubicBezTo>
                                        <a:pt x="75" y="58"/>
                                        <a:pt x="58" y="75"/>
                                        <a:pt x="37" y="75"/>
                                      </a:cubicBezTo>
                                      <a:close/>
                                      <a:moveTo>
                                        <a:pt x="37" y="5"/>
                                      </a:moveTo>
                                      <a:cubicBezTo>
                                        <a:pt x="19" y="5"/>
                                        <a:pt x="5" y="20"/>
                                        <a:pt x="5" y="37"/>
                                      </a:cubicBezTo>
                                      <a:cubicBezTo>
                                        <a:pt x="5" y="55"/>
                                        <a:pt x="19" y="70"/>
                                        <a:pt x="37" y="70"/>
                                      </a:cubicBezTo>
                                      <a:cubicBezTo>
                                        <a:pt x="55" y="70"/>
                                        <a:pt x="70" y="55"/>
                                        <a:pt x="70" y="37"/>
                                      </a:cubicBezTo>
                                      <a:cubicBezTo>
                                        <a:pt x="70" y="20"/>
                                        <a:pt x="55" y="5"/>
                                        <a:pt x="37"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358" name="Freeform 7"/>
                              <wps:cNvSpPr>
                                <a:spLocks noEditPoints="1"/>
                              </wps:cNvSpPr>
                              <wps:spPr bwMode="auto">
                                <a:xfrm>
                                  <a:off x="0" y="36513"/>
                                  <a:ext cx="466725" cy="304800"/>
                                </a:xfrm>
                                <a:custGeom>
                                  <a:avLst/>
                                  <a:gdLst>
                                    <a:gd name="T0" fmla="*/ 163 w 164"/>
                                    <a:gd name="T1" fmla="*/ 82 h 106"/>
                                    <a:gd name="T2" fmla="*/ 143 w 164"/>
                                    <a:gd name="T3" fmla="*/ 75 h 106"/>
                                    <a:gd name="T4" fmla="*/ 119 w 164"/>
                                    <a:gd name="T5" fmla="*/ 83 h 106"/>
                                    <a:gd name="T6" fmla="*/ 111 w 164"/>
                                    <a:gd name="T7" fmla="*/ 82 h 106"/>
                                    <a:gd name="T8" fmla="*/ 116 w 164"/>
                                    <a:gd name="T9" fmla="*/ 78 h 106"/>
                                    <a:gd name="T10" fmla="*/ 101 w 164"/>
                                    <a:gd name="T11" fmla="*/ 56 h 106"/>
                                    <a:gd name="T12" fmla="*/ 93 w 164"/>
                                    <a:gd name="T13" fmla="*/ 50 h 106"/>
                                    <a:gd name="T14" fmla="*/ 80 w 164"/>
                                    <a:gd name="T15" fmla="*/ 40 h 106"/>
                                    <a:gd name="T16" fmla="*/ 74 w 164"/>
                                    <a:gd name="T17" fmla="*/ 28 h 106"/>
                                    <a:gd name="T18" fmla="*/ 60 w 164"/>
                                    <a:gd name="T19" fmla="*/ 15 h 106"/>
                                    <a:gd name="T20" fmla="*/ 25 w 164"/>
                                    <a:gd name="T21" fmla="*/ 16 h 106"/>
                                    <a:gd name="T22" fmla="*/ 25 w 164"/>
                                    <a:gd name="T23" fmla="*/ 10 h 106"/>
                                    <a:gd name="T24" fmla="*/ 15 w 164"/>
                                    <a:gd name="T25" fmla="*/ 0 h 106"/>
                                    <a:gd name="T26" fmla="*/ 10 w 164"/>
                                    <a:gd name="T27" fmla="*/ 0 h 106"/>
                                    <a:gd name="T28" fmla="*/ 0 w 164"/>
                                    <a:gd name="T29" fmla="*/ 10 h 106"/>
                                    <a:gd name="T30" fmla="*/ 0 w 164"/>
                                    <a:gd name="T31" fmla="*/ 59 h 106"/>
                                    <a:gd name="T32" fmla="*/ 10 w 164"/>
                                    <a:gd name="T33" fmla="*/ 69 h 106"/>
                                    <a:gd name="T34" fmla="*/ 15 w 164"/>
                                    <a:gd name="T35" fmla="*/ 69 h 106"/>
                                    <a:gd name="T36" fmla="*/ 25 w 164"/>
                                    <a:gd name="T37" fmla="*/ 59 h 106"/>
                                    <a:gd name="T38" fmla="*/ 25 w 164"/>
                                    <a:gd name="T39" fmla="*/ 58 h 106"/>
                                    <a:gd name="T40" fmla="*/ 38 w 164"/>
                                    <a:gd name="T41" fmla="*/ 58 h 106"/>
                                    <a:gd name="T42" fmla="*/ 90 w 164"/>
                                    <a:gd name="T43" fmla="*/ 101 h 106"/>
                                    <a:gd name="T44" fmla="*/ 124 w 164"/>
                                    <a:gd name="T45" fmla="*/ 104 h 106"/>
                                    <a:gd name="T46" fmla="*/ 162 w 164"/>
                                    <a:gd name="T47" fmla="*/ 89 h 106"/>
                                    <a:gd name="T48" fmla="*/ 163 w 164"/>
                                    <a:gd name="T49" fmla="*/ 82 h 106"/>
                                    <a:gd name="T50" fmla="*/ 20 w 164"/>
                                    <a:gd name="T51" fmla="*/ 59 h 106"/>
                                    <a:gd name="T52" fmla="*/ 15 w 164"/>
                                    <a:gd name="T53" fmla="*/ 63 h 106"/>
                                    <a:gd name="T54" fmla="*/ 10 w 164"/>
                                    <a:gd name="T55" fmla="*/ 63 h 106"/>
                                    <a:gd name="T56" fmla="*/ 5 w 164"/>
                                    <a:gd name="T57" fmla="*/ 59 h 106"/>
                                    <a:gd name="T58" fmla="*/ 5 w 164"/>
                                    <a:gd name="T59" fmla="*/ 10 h 106"/>
                                    <a:gd name="T60" fmla="*/ 10 w 164"/>
                                    <a:gd name="T61" fmla="*/ 6 h 106"/>
                                    <a:gd name="T62" fmla="*/ 15 w 164"/>
                                    <a:gd name="T63" fmla="*/ 6 h 106"/>
                                    <a:gd name="T64" fmla="*/ 20 w 164"/>
                                    <a:gd name="T65" fmla="*/ 10 h 106"/>
                                    <a:gd name="T66" fmla="*/ 20 w 164"/>
                                    <a:gd name="T67" fmla="*/ 59 h 106"/>
                                    <a:gd name="T68" fmla="*/ 122 w 164"/>
                                    <a:gd name="T69" fmla="*/ 98 h 106"/>
                                    <a:gd name="T70" fmla="*/ 91 w 164"/>
                                    <a:gd name="T71" fmla="*/ 95 h 106"/>
                                    <a:gd name="T72" fmla="*/ 42 w 164"/>
                                    <a:gd name="T73" fmla="*/ 53 h 106"/>
                                    <a:gd name="T74" fmla="*/ 39 w 164"/>
                                    <a:gd name="T75" fmla="*/ 52 h 106"/>
                                    <a:gd name="T76" fmla="*/ 25 w 164"/>
                                    <a:gd name="T77" fmla="*/ 52 h 106"/>
                                    <a:gd name="T78" fmla="*/ 25 w 164"/>
                                    <a:gd name="T79" fmla="*/ 21 h 106"/>
                                    <a:gd name="T80" fmla="*/ 38 w 164"/>
                                    <a:gd name="T81" fmla="*/ 21 h 106"/>
                                    <a:gd name="T82" fmla="*/ 69 w 164"/>
                                    <a:gd name="T83" fmla="*/ 30 h 106"/>
                                    <a:gd name="T84" fmla="*/ 75 w 164"/>
                                    <a:gd name="T85" fmla="*/ 42 h 106"/>
                                    <a:gd name="T86" fmla="*/ 89 w 164"/>
                                    <a:gd name="T87" fmla="*/ 55 h 106"/>
                                    <a:gd name="T88" fmla="*/ 97 w 164"/>
                                    <a:gd name="T89" fmla="*/ 61 h 106"/>
                                    <a:gd name="T90" fmla="*/ 111 w 164"/>
                                    <a:gd name="T91" fmla="*/ 75 h 106"/>
                                    <a:gd name="T92" fmla="*/ 93 w 164"/>
                                    <a:gd name="T93" fmla="*/ 73 h 106"/>
                                    <a:gd name="T94" fmla="*/ 92 w 164"/>
                                    <a:gd name="T95" fmla="*/ 72 h 106"/>
                                    <a:gd name="T96" fmla="*/ 91 w 164"/>
                                    <a:gd name="T97" fmla="*/ 72 h 106"/>
                                    <a:gd name="T98" fmla="*/ 86 w 164"/>
                                    <a:gd name="T99" fmla="*/ 67 h 106"/>
                                    <a:gd name="T100" fmla="*/ 85 w 164"/>
                                    <a:gd name="T101" fmla="*/ 65 h 106"/>
                                    <a:gd name="T102" fmla="*/ 82 w 164"/>
                                    <a:gd name="T103" fmla="*/ 65 h 106"/>
                                    <a:gd name="T104" fmla="*/ 81 w 164"/>
                                    <a:gd name="T105" fmla="*/ 69 h 106"/>
                                    <a:gd name="T106" fmla="*/ 87 w 164"/>
                                    <a:gd name="T107" fmla="*/ 76 h 106"/>
                                    <a:gd name="T108" fmla="*/ 89 w 164"/>
                                    <a:gd name="T109" fmla="*/ 77 h 106"/>
                                    <a:gd name="T110" fmla="*/ 94 w 164"/>
                                    <a:gd name="T111" fmla="*/ 81 h 106"/>
                                    <a:gd name="T112" fmla="*/ 120 w 164"/>
                                    <a:gd name="T113" fmla="*/ 90 h 106"/>
                                    <a:gd name="T114" fmla="*/ 146 w 164"/>
                                    <a:gd name="T115" fmla="*/ 81 h 106"/>
                                    <a:gd name="T116" fmla="*/ 157 w 164"/>
                                    <a:gd name="T117" fmla="*/ 84 h 106"/>
                                    <a:gd name="T118" fmla="*/ 122 w 164"/>
                                    <a:gd name="T119" fmla="*/ 98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64" h="106">
                                      <a:moveTo>
                                        <a:pt x="163" y="82"/>
                                      </a:moveTo>
                                      <a:cubicBezTo>
                                        <a:pt x="160" y="77"/>
                                        <a:pt x="151" y="72"/>
                                        <a:pt x="143" y="75"/>
                                      </a:cubicBezTo>
                                      <a:cubicBezTo>
                                        <a:pt x="138" y="77"/>
                                        <a:pt x="121" y="83"/>
                                        <a:pt x="119" y="83"/>
                                      </a:cubicBezTo>
                                      <a:cubicBezTo>
                                        <a:pt x="116" y="83"/>
                                        <a:pt x="113" y="83"/>
                                        <a:pt x="111" y="82"/>
                                      </a:cubicBezTo>
                                      <a:cubicBezTo>
                                        <a:pt x="113" y="82"/>
                                        <a:pt x="115" y="80"/>
                                        <a:pt x="116" y="78"/>
                                      </a:cubicBezTo>
                                      <a:cubicBezTo>
                                        <a:pt x="121" y="71"/>
                                        <a:pt x="111" y="64"/>
                                        <a:pt x="101" y="56"/>
                                      </a:cubicBezTo>
                                      <a:cubicBezTo>
                                        <a:pt x="98" y="54"/>
                                        <a:pt x="96" y="52"/>
                                        <a:pt x="93" y="50"/>
                                      </a:cubicBezTo>
                                      <a:cubicBezTo>
                                        <a:pt x="87" y="46"/>
                                        <a:pt x="83" y="44"/>
                                        <a:pt x="80" y="40"/>
                                      </a:cubicBezTo>
                                      <a:cubicBezTo>
                                        <a:pt x="79" y="37"/>
                                        <a:pt x="77" y="33"/>
                                        <a:pt x="74" y="28"/>
                                      </a:cubicBezTo>
                                      <a:cubicBezTo>
                                        <a:pt x="71" y="24"/>
                                        <a:pt x="67" y="18"/>
                                        <a:pt x="60" y="15"/>
                                      </a:cubicBezTo>
                                      <a:cubicBezTo>
                                        <a:pt x="58" y="14"/>
                                        <a:pt x="34" y="15"/>
                                        <a:pt x="25" y="16"/>
                                      </a:cubicBezTo>
                                      <a:cubicBezTo>
                                        <a:pt x="25" y="10"/>
                                        <a:pt x="25" y="10"/>
                                        <a:pt x="25" y="10"/>
                                      </a:cubicBezTo>
                                      <a:cubicBezTo>
                                        <a:pt x="25" y="5"/>
                                        <a:pt x="21" y="0"/>
                                        <a:pt x="15" y="0"/>
                                      </a:cubicBezTo>
                                      <a:cubicBezTo>
                                        <a:pt x="10" y="0"/>
                                        <a:pt x="10" y="0"/>
                                        <a:pt x="10" y="0"/>
                                      </a:cubicBezTo>
                                      <a:cubicBezTo>
                                        <a:pt x="4" y="0"/>
                                        <a:pt x="0" y="5"/>
                                        <a:pt x="0" y="10"/>
                                      </a:cubicBezTo>
                                      <a:cubicBezTo>
                                        <a:pt x="0" y="59"/>
                                        <a:pt x="0" y="59"/>
                                        <a:pt x="0" y="59"/>
                                      </a:cubicBezTo>
                                      <a:cubicBezTo>
                                        <a:pt x="0" y="64"/>
                                        <a:pt x="4" y="69"/>
                                        <a:pt x="10" y="69"/>
                                      </a:cubicBezTo>
                                      <a:cubicBezTo>
                                        <a:pt x="15" y="69"/>
                                        <a:pt x="15" y="69"/>
                                        <a:pt x="15" y="69"/>
                                      </a:cubicBezTo>
                                      <a:cubicBezTo>
                                        <a:pt x="21" y="69"/>
                                        <a:pt x="25" y="64"/>
                                        <a:pt x="25" y="59"/>
                                      </a:cubicBezTo>
                                      <a:cubicBezTo>
                                        <a:pt x="25" y="58"/>
                                        <a:pt x="25" y="58"/>
                                        <a:pt x="25" y="58"/>
                                      </a:cubicBezTo>
                                      <a:cubicBezTo>
                                        <a:pt x="38" y="58"/>
                                        <a:pt x="38" y="58"/>
                                        <a:pt x="38" y="58"/>
                                      </a:cubicBezTo>
                                      <a:cubicBezTo>
                                        <a:pt x="43" y="66"/>
                                        <a:pt x="68" y="96"/>
                                        <a:pt x="90" y="101"/>
                                      </a:cubicBezTo>
                                      <a:cubicBezTo>
                                        <a:pt x="99" y="103"/>
                                        <a:pt x="119" y="106"/>
                                        <a:pt x="124" y="104"/>
                                      </a:cubicBezTo>
                                      <a:cubicBezTo>
                                        <a:pt x="125" y="104"/>
                                        <a:pt x="151" y="97"/>
                                        <a:pt x="162" y="89"/>
                                      </a:cubicBezTo>
                                      <a:cubicBezTo>
                                        <a:pt x="164" y="87"/>
                                        <a:pt x="164" y="85"/>
                                        <a:pt x="163" y="82"/>
                                      </a:cubicBezTo>
                                      <a:close/>
                                      <a:moveTo>
                                        <a:pt x="20" y="59"/>
                                      </a:moveTo>
                                      <a:cubicBezTo>
                                        <a:pt x="20" y="61"/>
                                        <a:pt x="18" y="63"/>
                                        <a:pt x="15" y="63"/>
                                      </a:cubicBezTo>
                                      <a:cubicBezTo>
                                        <a:pt x="10" y="63"/>
                                        <a:pt x="10" y="63"/>
                                        <a:pt x="10" y="63"/>
                                      </a:cubicBezTo>
                                      <a:cubicBezTo>
                                        <a:pt x="7" y="63"/>
                                        <a:pt x="5" y="61"/>
                                        <a:pt x="5" y="59"/>
                                      </a:cubicBezTo>
                                      <a:cubicBezTo>
                                        <a:pt x="5" y="10"/>
                                        <a:pt x="5" y="10"/>
                                        <a:pt x="5" y="10"/>
                                      </a:cubicBezTo>
                                      <a:cubicBezTo>
                                        <a:pt x="5" y="8"/>
                                        <a:pt x="7" y="6"/>
                                        <a:pt x="10" y="6"/>
                                      </a:cubicBezTo>
                                      <a:cubicBezTo>
                                        <a:pt x="15" y="6"/>
                                        <a:pt x="15" y="6"/>
                                        <a:pt x="15" y="6"/>
                                      </a:cubicBezTo>
                                      <a:cubicBezTo>
                                        <a:pt x="18" y="6"/>
                                        <a:pt x="20" y="8"/>
                                        <a:pt x="20" y="10"/>
                                      </a:cubicBezTo>
                                      <a:lnTo>
                                        <a:pt x="20" y="59"/>
                                      </a:lnTo>
                                      <a:close/>
                                      <a:moveTo>
                                        <a:pt x="122" y="98"/>
                                      </a:moveTo>
                                      <a:cubicBezTo>
                                        <a:pt x="119" y="99"/>
                                        <a:pt x="101" y="97"/>
                                        <a:pt x="91" y="95"/>
                                      </a:cubicBezTo>
                                      <a:cubicBezTo>
                                        <a:pt x="70" y="90"/>
                                        <a:pt x="42" y="54"/>
                                        <a:pt x="42" y="53"/>
                                      </a:cubicBezTo>
                                      <a:cubicBezTo>
                                        <a:pt x="41" y="52"/>
                                        <a:pt x="40" y="52"/>
                                        <a:pt x="39" y="52"/>
                                      </a:cubicBezTo>
                                      <a:cubicBezTo>
                                        <a:pt x="25" y="52"/>
                                        <a:pt x="25" y="52"/>
                                        <a:pt x="25" y="52"/>
                                      </a:cubicBezTo>
                                      <a:cubicBezTo>
                                        <a:pt x="25" y="21"/>
                                        <a:pt x="25" y="21"/>
                                        <a:pt x="25" y="21"/>
                                      </a:cubicBezTo>
                                      <a:cubicBezTo>
                                        <a:pt x="38" y="21"/>
                                        <a:pt x="38" y="21"/>
                                        <a:pt x="38" y="21"/>
                                      </a:cubicBezTo>
                                      <a:cubicBezTo>
                                        <a:pt x="60" y="21"/>
                                        <a:pt x="58" y="20"/>
                                        <a:pt x="69" y="30"/>
                                      </a:cubicBezTo>
                                      <a:cubicBezTo>
                                        <a:pt x="72" y="33"/>
                                        <a:pt x="72" y="37"/>
                                        <a:pt x="75" y="42"/>
                                      </a:cubicBezTo>
                                      <a:cubicBezTo>
                                        <a:pt x="77" y="47"/>
                                        <a:pt x="82" y="50"/>
                                        <a:pt x="89" y="55"/>
                                      </a:cubicBezTo>
                                      <a:cubicBezTo>
                                        <a:pt x="92" y="57"/>
                                        <a:pt x="94" y="59"/>
                                        <a:pt x="97" y="61"/>
                                      </a:cubicBezTo>
                                      <a:cubicBezTo>
                                        <a:pt x="102" y="65"/>
                                        <a:pt x="112" y="72"/>
                                        <a:pt x="111" y="75"/>
                                      </a:cubicBezTo>
                                      <a:cubicBezTo>
                                        <a:pt x="108" y="79"/>
                                        <a:pt x="100" y="76"/>
                                        <a:pt x="93" y="73"/>
                                      </a:cubicBezTo>
                                      <a:cubicBezTo>
                                        <a:pt x="92" y="72"/>
                                        <a:pt x="92" y="72"/>
                                        <a:pt x="92" y="72"/>
                                      </a:cubicBezTo>
                                      <a:cubicBezTo>
                                        <a:pt x="91" y="72"/>
                                        <a:pt x="91" y="72"/>
                                        <a:pt x="91" y="72"/>
                                      </a:cubicBezTo>
                                      <a:cubicBezTo>
                                        <a:pt x="89" y="70"/>
                                        <a:pt x="87" y="68"/>
                                        <a:pt x="86" y="67"/>
                                      </a:cubicBezTo>
                                      <a:cubicBezTo>
                                        <a:pt x="86" y="66"/>
                                        <a:pt x="85" y="65"/>
                                        <a:pt x="85" y="65"/>
                                      </a:cubicBezTo>
                                      <a:cubicBezTo>
                                        <a:pt x="84" y="65"/>
                                        <a:pt x="83" y="65"/>
                                        <a:pt x="82" y="65"/>
                                      </a:cubicBezTo>
                                      <a:cubicBezTo>
                                        <a:pt x="81" y="66"/>
                                        <a:pt x="80" y="68"/>
                                        <a:pt x="81" y="69"/>
                                      </a:cubicBezTo>
                                      <a:cubicBezTo>
                                        <a:pt x="82" y="72"/>
                                        <a:pt x="87" y="76"/>
                                        <a:pt x="87" y="76"/>
                                      </a:cubicBezTo>
                                      <a:cubicBezTo>
                                        <a:pt x="89" y="77"/>
                                        <a:pt x="89" y="77"/>
                                        <a:pt x="89" y="77"/>
                                      </a:cubicBezTo>
                                      <a:cubicBezTo>
                                        <a:pt x="94" y="81"/>
                                        <a:pt x="94" y="81"/>
                                        <a:pt x="94" y="81"/>
                                      </a:cubicBezTo>
                                      <a:cubicBezTo>
                                        <a:pt x="104" y="87"/>
                                        <a:pt x="108" y="90"/>
                                        <a:pt x="120" y="90"/>
                                      </a:cubicBezTo>
                                      <a:cubicBezTo>
                                        <a:pt x="124" y="90"/>
                                        <a:pt x="145" y="81"/>
                                        <a:pt x="146" y="81"/>
                                      </a:cubicBezTo>
                                      <a:cubicBezTo>
                                        <a:pt x="150" y="79"/>
                                        <a:pt x="156" y="82"/>
                                        <a:pt x="157" y="84"/>
                                      </a:cubicBezTo>
                                      <a:cubicBezTo>
                                        <a:pt x="148" y="91"/>
                                        <a:pt x="129" y="96"/>
                                        <a:pt x="122" y="9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558BFD3" id="Group 14355" o:spid="_x0000_s1026" alt="&quot;&quot;" style="position:absolute;margin-left:1.6pt;margin-top:-.4pt;width:42.5pt;height:28.65pt;z-index:251658254;mso-width-relative:margin;mso-height-relative:margin" coordsize="506412,3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">
                      <v:shape id="Freeform 5" o:spid="_x0000_s1027" style="position:absolute;left:358775;top:42863;width:79375;height:128588;visibility:visible;mso-wrap-style:square;v-text-anchor:top" coordsize="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" path="m27,25c26,24,25,23,24,22,23,21,21,21,20,20v-1,,-2,-1,-3,-1c17,8,17,8,17,8v1,,2,,2,1c20,10,21,11,21,13v6,,6,,6,c27,11,27,10,26,9,25,7,24,6,23,6,22,5,21,4,20,4,19,3,18,3,17,3,17,,17,,17,,12,,12,,12,v,3,,3,,3c11,3,10,3,9,4,7,4,6,5,5,6,4,7,3,8,2,9v,1,-1,3,-1,4c1,15,2,17,2,18v1,1,2,2,3,3c6,22,7,23,9,23v1,1,2,1,3,1c12,37,12,37,12,37,10,37,9,36,8,35,7,34,6,32,6,30,,30,,30,,30v,1,1,3,1,5c2,36,3,37,4,38v1,1,2,2,4,3c9,41,10,41,12,41v,4,,4,,4c17,45,17,45,17,45v,-4,,-4,,-4c18,41,19,41,20,41v2,-1,3,-2,4,-2c25,38,26,36,27,35v,-1,1,-3,1,-5c28,28,27,27,27,25xm12,18v,,-1,,-1,-1c10,17,10,17,9,16v,,-1,-1,-1,-1c7,14,7,14,7,13,7,11,8,10,9,9,10,8,11,8,12,8r,10xm20,35v-1,1,-2,2,-3,2c17,25,17,25,17,25v,,,,1,1c19,26,19,26,20,27v,,1,1,1,1c22,29,22,30,22,31v,2,-1,3,-2,4xe" filled="f" stroked="f">
                        <v:path arrowok="t" o:connecttype="custom" o:connectlocs="76540,71438;68036,62865;56696,57150;48192,54293;48192,22860;53862,25718;59531,37148;76540,37148;73705,25718;65201,17145;56696,11430;48192,8573;48192,0;34018,0;34018,8573;25513,11430;14174,17145;5670,25718;2835,37148;5670,51435;14174,60008;25513,65723;34018,68580;34018,105728;22679,100013;17009,85725;0,85725;2835,100013;11339,108585;22679,117158;34018,117158;34018,128588;48192,128588;48192,117158;56696,117158;68036,111443;76540,100013;79375,85725;76540,71438;34018,51435;31183,48578;25513,45720;22679,42863;19844,37148;25513,25718;34018,22860;34018,51435;56696,100013;48192,105728;48192,71438;51027,74295;56696,77153;59531,80010;62366,88583;56696,100013" o:connectangles="0,0,0,0,0,0,0,0,0,0,0,0,0,0,0,0,0,0,0,0,0,0,0,0,0,0,0,0,0,0,0,0,0,0,0,0,0,0,0,0,0,0,0,0,0,0,0,0,0,0,0,0,0,0,0"/>
                        <o:lock v:ext="edit" verticies="t"/>
                      </v:shape>
                      <v:shape id="Freeform 6" o:spid="_x0000_s1028" style="position:absolute;left:292100;width:214312;height:21590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" path="m37,75c16,75,,58,,37,,17,16,,37,,58,,75,17,75,37,75,58,58,75,37,75xm37,5c19,5,5,20,5,37v,18,14,33,32,33c55,70,70,55,70,37,70,20,55,5,37,5xe" filled="f" stroked="f">
                        <v:path arrowok="t" o:connecttype="custom" o:connectlocs="105727,215900;0,106511;105727,0;214312,106511;105727,215900;105727,14393;14287,106511;105727,201507;200025,106511;105727,14393" o:connectangles="0,0,0,0,0,0,0,0,0,0"/>
                        <o:lock v:ext="edit" verticies="t"/>
                      </v:shape>
                      <v:shape id="Freeform 7" o:spid="_x0000_s1029" style="position:absolute;top:36513;width:466725;height:304800;visibility:visible;mso-wrap-style:square;v-text-anchor:top" coordsize="16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" path="m163,82c160,77,151,72,143,75v-5,2,-22,8,-24,8c116,83,113,83,111,82v2,,4,-2,5,-4c121,71,111,64,101,56,98,54,96,52,93,50,87,46,83,44,80,40,79,37,77,33,74,28,71,24,67,18,60,15v-2,-1,-26,,-35,1c25,10,25,10,25,10,25,5,21,,15,,10,,10,,10,,4,,,5,,10,,59,,59,,59v,5,4,10,10,10c15,69,15,69,15,69v6,,10,-5,10,-10c25,58,25,58,25,58v13,,13,,13,c43,66,68,96,90,101v9,2,29,5,34,3c125,104,151,97,162,89v2,-2,2,-4,1,-7xm20,59v,2,-2,4,-5,4c10,63,10,63,10,63,7,63,5,61,5,59,5,10,5,10,5,10,5,8,7,6,10,6v5,,5,,5,c18,6,20,8,20,10r,49xm122,98v-3,1,-21,-1,-31,-3c70,90,42,54,42,53,41,52,40,52,39,52v-14,,-14,,-14,c25,21,25,21,25,21v13,,13,,13,c60,21,58,20,69,30v3,3,3,7,6,12c77,47,82,50,89,55v3,2,5,4,8,6c102,65,112,72,111,75v-3,4,-11,1,-18,-2c92,72,92,72,92,72v-1,,-1,,-1,c89,70,87,68,86,67v,-1,-1,-2,-1,-2c84,65,83,65,82,65v-1,1,-2,3,-1,4c82,72,87,76,87,76v2,1,2,1,2,1c94,81,94,81,94,81v10,6,14,9,26,9c124,90,145,81,146,81v4,-2,10,1,11,3c148,91,129,96,122,98xe" filled="f" stroked="f">
                        <v:path arrowok="t" o:connecttype="custom" o:connectlocs="463879,235789;406961,215660;338660,238664;315893,235789;330123,224287;287434,161026;264667,143774;227671,115019;210595,80513;170753,43132;71147,46008;71147,28755;42688,0;28459,0;0,28755;0,169653;28459,198408;42688,198408;71147,169653;71147,166777;108144,166777;256130,290423;352890,299049;461033,255917;463879,235789;56918,169653;42688,181155;28459,181155;14229,169653;14229,28755;28459,17253;42688,17253;56918,28755;56918,169653;347198,281796;258975,273170;119527,152400;110989,149525;71147,149525;71147,60385;108144,60385;196366,86264;213441,120770;253284,158151;276051,175404;315893,215660;264667,209909;261821,207034;258975,207034;244746,192657;241900,186906;233363,186906;230517,198408;247592,218536;253284,221411;267513,232913;341506,258792;415499,232913;446804,241540;347198,281796" o:connectangles="0,0,0,0,0,0,0,0,0,0,0,0,0,0,0,0,0,0,0,0,0,0,0,0,0,0,0,0,0,0,0,0,0,0,0,0,0,0,0,0,0,0,0,0,0,0,0,0,0,0,0,0,0,0,0,0,0,0,0,0"/>
                        <o:lock v:ext="edit" verticies="t"/>
                      </v:shape>
                    </v:group>
                  </w:pict>
                </mc:Fallback>
              </mc:AlternateContent>
            </w:r>
          </w:p>
        </w:tc>
      </w:tr>
      <w:tr w:rsidR="006F29B9" w14:paraId="07F5B976" w14:textId="77777777" w:rsidTr="3787E91E">
        <w:trPr>
          <w:cnfStyle w:val="000000010000" w:firstRow="0" w:lastRow="0" w:firstColumn="0" w:lastColumn="0" w:oddVBand="0" w:evenVBand="0" w:oddHBand="0" w:evenHBand="1" w:firstRowFirstColumn="0" w:firstRowLastColumn="0" w:lastRowFirstColumn="0" w:lastRowLastColumn="0"/>
        </w:trPr>
        <w:tc>
          <w:tcPr>
            <w:tcW w:w="7797" w:type="dxa"/>
            <w:tcBorders>
              <w:top w:val="single" w:sz="18" w:space="0" w:color="FED13B" w:themeColor="accent4"/>
              <w:bottom w:val="nil"/>
            </w:tcBorders>
          </w:tcPr>
          <w:p w14:paraId="5EA20839" w14:textId="77777777" w:rsidR="006F29B9" w:rsidRPr="0088201A" w:rsidRDefault="006F29B9" w:rsidP="00A82ACF">
            <w:pPr>
              <w:pStyle w:val="Listnumbered"/>
            </w:pPr>
            <w:r w:rsidRPr="3787E91E">
              <w:rPr>
                <w:rFonts w:asciiTheme="majorHAnsi" w:hAnsiTheme="majorHAnsi" w:cstheme="majorBidi"/>
              </w:rPr>
              <w:t>Considering changes in consumer value, arising from outcomes other than changes to premiums</w:t>
            </w:r>
            <w:r>
              <w:br/>
            </w:r>
            <w:r w:rsidRPr="3787E91E">
              <w:t xml:space="preserve">Value is not the same as price, as it is also influenced by the accessibility and quality of services that customers receive through their private health provider. To account for this, the estimates obtained in step two will need to be adjusted to account for changes in the accessibility of care and in the outcomes delivered. Some outcomes (such as out-of-pocket costs) can be readily quantified in dollar terms, however other outcomes are likely to be intangible, and so work to quantify their value in dollars will need to rely on evidence from available from existing research (e.g., estimates of the non-monetary benefits associated with avoiding hospital readmission). </w:t>
            </w:r>
          </w:p>
        </w:tc>
        <w:tc>
          <w:tcPr>
            <w:tcW w:w="1123" w:type="dxa"/>
            <w:tcBorders>
              <w:top w:val="single" w:sz="18" w:space="0" w:color="FED13B" w:themeColor="accent4"/>
              <w:bottom w:val="nil"/>
            </w:tcBorders>
          </w:tcPr>
          <w:p w14:paraId="092267D3" w14:textId="77777777" w:rsidR="006F29B9" w:rsidRPr="0088201A" w:rsidRDefault="006F29B9">
            <w:pPr>
              <w:rPr>
                <w:lang w:eastAsia="en-AU"/>
              </w:rPr>
            </w:pPr>
            <w:r w:rsidRPr="0088201A">
              <w:rPr>
                <w:noProof/>
                <w:lang w:eastAsia="en-AU"/>
              </w:rPr>
              <mc:AlternateContent>
                <mc:Choice Requires="wps">
                  <w:drawing>
                    <wp:anchor distT="0" distB="0" distL="114300" distR="114300" simplePos="0" relativeHeight="251658255" behindDoc="0" locked="0" layoutInCell="1" allowOverlap="1" wp14:anchorId="64FB896B" wp14:editId="661DFF49">
                      <wp:simplePos x="0" y="0"/>
                      <wp:positionH relativeFrom="column">
                        <wp:posOffset>19050</wp:posOffset>
                      </wp:positionH>
                      <wp:positionV relativeFrom="paragraph">
                        <wp:posOffset>-173990</wp:posOffset>
                      </wp:positionV>
                      <wp:extent cx="539750" cy="593090"/>
                      <wp:effectExtent l="0" t="0" r="0" b="0"/>
                      <wp:wrapNone/>
                      <wp:docPr id="14359" name="Freeform: Shape 14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539750" cy="593090"/>
                              </a:xfrm>
                              <a:custGeom>
                                <a:avLst/>
                                <a:gdLst>
                                  <a:gd name="T0" fmla="*/ 175 w 178"/>
                                  <a:gd name="T1" fmla="*/ 64 h 196"/>
                                  <a:gd name="T2" fmla="*/ 103 w 178"/>
                                  <a:gd name="T3" fmla="*/ 14 h 196"/>
                                  <a:gd name="T4" fmla="*/ 13 w 178"/>
                                  <a:gd name="T5" fmla="*/ 45 h 196"/>
                                  <a:gd name="T6" fmla="*/ 3 w 178"/>
                                  <a:gd name="T7" fmla="*/ 99 h 196"/>
                                  <a:gd name="T8" fmla="*/ 25 w 178"/>
                                  <a:gd name="T9" fmla="*/ 154 h 196"/>
                                  <a:gd name="T10" fmla="*/ 88 w 178"/>
                                  <a:gd name="T11" fmla="*/ 196 h 196"/>
                                  <a:gd name="T12" fmla="*/ 152 w 178"/>
                                  <a:gd name="T13" fmla="*/ 153 h 196"/>
                                  <a:gd name="T14" fmla="*/ 167 w 178"/>
                                  <a:gd name="T15" fmla="*/ 127 h 196"/>
                                  <a:gd name="T16" fmla="*/ 158 w 178"/>
                                  <a:gd name="T17" fmla="*/ 50 h 196"/>
                                  <a:gd name="T18" fmla="*/ 167 w 178"/>
                                  <a:gd name="T19" fmla="*/ 67 h 196"/>
                                  <a:gd name="T20" fmla="*/ 158 w 178"/>
                                  <a:gd name="T21" fmla="*/ 68 h 196"/>
                                  <a:gd name="T22" fmla="*/ 88 w 178"/>
                                  <a:gd name="T23" fmla="*/ 6 h 196"/>
                                  <a:gd name="T24" fmla="*/ 96 w 178"/>
                                  <a:gd name="T25" fmla="*/ 21 h 196"/>
                                  <a:gd name="T26" fmla="*/ 79 w 178"/>
                                  <a:gd name="T27" fmla="*/ 15 h 196"/>
                                  <a:gd name="T28" fmla="*/ 14 w 178"/>
                                  <a:gd name="T29" fmla="*/ 50 h 196"/>
                                  <a:gd name="T30" fmla="*/ 24 w 178"/>
                                  <a:gd name="T31" fmla="*/ 53 h 196"/>
                                  <a:gd name="T32" fmla="*/ 16 w 178"/>
                                  <a:gd name="T33" fmla="*/ 69 h 196"/>
                                  <a:gd name="T34" fmla="*/ 26 w 178"/>
                                  <a:gd name="T35" fmla="*/ 143 h 196"/>
                                  <a:gd name="T36" fmla="*/ 9 w 178"/>
                                  <a:gd name="T37" fmla="*/ 146 h 196"/>
                                  <a:gd name="T38" fmla="*/ 18 w 178"/>
                                  <a:gd name="T39" fmla="*/ 131 h 196"/>
                                  <a:gd name="T40" fmla="*/ 26 w 178"/>
                                  <a:gd name="T41" fmla="*/ 143 h 196"/>
                                  <a:gd name="T42" fmla="*/ 79 w 178"/>
                                  <a:gd name="T43" fmla="*/ 181 h 196"/>
                                  <a:gd name="T44" fmla="*/ 95 w 178"/>
                                  <a:gd name="T45" fmla="*/ 174 h 196"/>
                                  <a:gd name="T46" fmla="*/ 102 w 178"/>
                                  <a:gd name="T47" fmla="*/ 174 h 196"/>
                                  <a:gd name="T48" fmla="*/ 82 w 178"/>
                                  <a:gd name="T49" fmla="*/ 167 h 196"/>
                                  <a:gd name="T50" fmla="*/ 44 w 178"/>
                                  <a:gd name="T51" fmla="*/ 161 h 196"/>
                                  <a:gd name="T52" fmla="*/ 71 w 178"/>
                                  <a:gd name="T53" fmla="*/ 115 h 196"/>
                                  <a:gd name="T54" fmla="*/ 56 w 178"/>
                                  <a:gd name="T55" fmla="*/ 89 h 196"/>
                                  <a:gd name="T56" fmla="*/ 60 w 178"/>
                                  <a:gd name="T57" fmla="*/ 77 h 196"/>
                                  <a:gd name="T58" fmla="*/ 117 w 178"/>
                                  <a:gd name="T59" fmla="*/ 77 h 196"/>
                                  <a:gd name="T60" fmla="*/ 121 w 178"/>
                                  <a:gd name="T61" fmla="*/ 89 h 196"/>
                                  <a:gd name="T62" fmla="*/ 106 w 178"/>
                                  <a:gd name="T63" fmla="*/ 115 h 196"/>
                                  <a:gd name="T64" fmla="*/ 136 w 178"/>
                                  <a:gd name="T65" fmla="*/ 158 h 196"/>
                                  <a:gd name="T66" fmla="*/ 147 w 178"/>
                                  <a:gd name="T67" fmla="*/ 134 h 196"/>
                                  <a:gd name="T68" fmla="*/ 141 w 178"/>
                                  <a:gd name="T69" fmla="*/ 153 h 196"/>
                                  <a:gd name="T70" fmla="*/ 118 w 178"/>
                                  <a:gd name="T71" fmla="*/ 136 h 196"/>
                                  <a:gd name="T72" fmla="*/ 117 w 178"/>
                                  <a:gd name="T73" fmla="*/ 104 h 196"/>
                                  <a:gd name="T74" fmla="*/ 123 w 178"/>
                                  <a:gd name="T75" fmla="*/ 76 h 196"/>
                                  <a:gd name="T76" fmla="*/ 88 w 178"/>
                                  <a:gd name="T77" fmla="*/ 36 h 196"/>
                                  <a:gd name="T78" fmla="*/ 53 w 178"/>
                                  <a:gd name="T79" fmla="*/ 76 h 196"/>
                                  <a:gd name="T80" fmla="*/ 60 w 178"/>
                                  <a:gd name="T81" fmla="*/ 104 h 196"/>
                                  <a:gd name="T82" fmla="*/ 57 w 178"/>
                                  <a:gd name="T83" fmla="*/ 137 h 196"/>
                                  <a:gd name="T84" fmla="*/ 30 w 178"/>
                                  <a:gd name="T85" fmla="*/ 148 h 196"/>
                                  <a:gd name="T86" fmla="*/ 15 w 178"/>
                                  <a:gd name="T87" fmla="*/ 126 h 196"/>
                                  <a:gd name="T88" fmla="*/ 17 w 178"/>
                                  <a:gd name="T89" fmla="*/ 74 h 196"/>
                                  <a:gd name="T90" fmla="*/ 33 w 178"/>
                                  <a:gd name="T91" fmla="*/ 43 h 196"/>
                                  <a:gd name="T92" fmla="*/ 102 w 178"/>
                                  <a:gd name="T93" fmla="*/ 22 h 196"/>
                                  <a:gd name="T94" fmla="*/ 149 w 178"/>
                                  <a:gd name="T95" fmla="*/ 50 h 196"/>
                                  <a:gd name="T96" fmla="*/ 161 w 178"/>
                                  <a:gd name="T97" fmla="*/ 74 h 196"/>
                                  <a:gd name="T98" fmla="*/ 160 w 178"/>
                                  <a:gd name="T99" fmla="*/ 125 h 196"/>
                                  <a:gd name="T100" fmla="*/ 155 w 178"/>
                                  <a:gd name="T101" fmla="*/ 148 h 196"/>
                                  <a:gd name="T102" fmla="*/ 157 w 178"/>
                                  <a:gd name="T103" fmla="*/ 132 h 196"/>
                                  <a:gd name="T104" fmla="*/ 165 w 178"/>
                                  <a:gd name="T105" fmla="*/ 13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78" h="196">
                                    <a:moveTo>
                                      <a:pt x="167" y="127"/>
                                    </a:moveTo>
                                    <a:cubicBezTo>
                                      <a:pt x="171" y="118"/>
                                      <a:pt x="173" y="108"/>
                                      <a:pt x="173" y="99"/>
                                    </a:cubicBezTo>
                                    <a:cubicBezTo>
                                      <a:pt x="173" y="89"/>
                                      <a:pt x="171" y="80"/>
                                      <a:pt x="169" y="72"/>
                                    </a:cubicBezTo>
                                    <a:cubicBezTo>
                                      <a:pt x="172" y="70"/>
                                      <a:pt x="174" y="67"/>
                                      <a:pt x="175" y="64"/>
                                    </a:cubicBezTo>
                                    <a:cubicBezTo>
                                      <a:pt x="176" y="60"/>
                                      <a:pt x="176" y="56"/>
                                      <a:pt x="174" y="52"/>
                                    </a:cubicBezTo>
                                    <a:cubicBezTo>
                                      <a:pt x="172" y="49"/>
                                      <a:pt x="169" y="46"/>
                                      <a:pt x="165" y="45"/>
                                    </a:cubicBezTo>
                                    <a:cubicBezTo>
                                      <a:pt x="161" y="44"/>
                                      <a:pt x="158" y="44"/>
                                      <a:pt x="154" y="46"/>
                                    </a:cubicBezTo>
                                    <a:cubicBezTo>
                                      <a:pt x="142" y="30"/>
                                      <a:pt x="124" y="18"/>
                                      <a:pt x="103" y="14"/>
                                    </a:cubicBezTo>
                                    <a:cubicBezTo>
                                      <a:pt x="103" y="6"/>
                                      <a:pt x="96" y="0"/>
                                      <a:pt x="88" y="0"/>
                                    </a:cubicBezTo>
                                    <a:cubicBezTo>
                                      <a:pt x="80" y="0"/>
                                      <a:pt x="74" y="6"/>
                                      <a:pt x="73" y="14"/>
                                    </a:cubicBezTo>
                                    <a:cubicBezTo>
                                      <a:pt x="52" y="18"/>
                                      <a:pt x="34" y="29"/>
                                      <a:pt x="22" y="45"/>
                                    </a:cubicBezTo>
                                    <a:cubicBezTo>
                                      <a:pt x="19" y="44"/>
                                      <a:pt x="16" y="44"/>
                                      <a:pt x="13" y="45"/>
                                    </a:cubicBezTo>
                                    <a:cubicBezTo>
                                      <a:pt x="9" y="46"/>
                                      <a:pt x="6" y="49"/>
                                      <a:pt x="4" y="52"/>
                                    </a:cubicBezTo>
                                    <a:cubicBezTo>
                                      <a:pt x="2" y="56"/>
                                      <a:pt x="1" y="60"/>
                                      <a:pt x="3" y="64"/>
                                    </a:cubicBezTo>
                                    <a:cubicBezTo>
                                      <a:pt x="3" y="67"/>
                                      <a:pt x="5" y="69"/>
                                      <a:pt x="8" y="71"/>
                                    </a:cubicBezTo>
                                    <a:cubicBezTo>
                                      <a:pt x="5" y="80"/>
                                      <a:pt x="3" y="89"/>
                                      <a:pt x="3" y="99"/>
                                    </a:cubicBezTo>
                                    <a:cubicBezTo>
                                      <a:pt x="3" y="109"/>
                                      <a:pt x="5" y="119"/>
                                      <a:pt x="9" y="128"/>
                                    </a:cubicBezTo>
                                    <a:cubicBezTo>
                                      <a:pt x="2" y="132"/>
                                      <a:pt x="0" y="142"/>
                                      <a:pt x="4" y="149"/>
                                    </a:cubicBezTo>
                                    <a:cubicBezTo>
                                      <a:pt x="7" y="153"/>
                                      <a:pt x="12" y="156"/>
                                      <a:pt x="17" y="156"/>
                                    </a:cubicBezTo>
                                    <a:cubicBezTo>
                                      <a:pt x="20" y="156"/>
                                      <a:pt x="22" y="155"/>
                                      <a:pt x="25" y="154"/>
                                    </a:cubicBezTo>
                                    <a:cubicBezTo>
                                      <a:pt x="27" y="157"/>
                                      <a:pt x="31" y="160"/>
                                      <a:pt x="34" y="163"/>
                                    </a:cubicBezTo>
                                    <a:cubicBezTo>
                                      <a:pt x="36" y="164"/>
                                      <a:pt x="37" y="165"/>
                                      <a:pt x="39" y="167"/>
                                    </a:cubicBezTo>
                                    <a:cubicBezTo>
                                      <a:pt x="49" y="174"/>
                                      <a:pt x="61" y="179"/>
                                      <a:pt x="73" y="181"/>
                                    </a:cubicBezTo>
                                    <a:cubicBezTo>
                                      <a:pt x="73" y="189"/>
                                      <a:pt x="80" y="196"/>
                                      <a:pt x="88" y="196"/>
                                    </a:cubicBezTo>
                                    <a:cubicBezTo>
                                      <a:pt x="96" y="196"/>
                                      <a:pt x="103" y="189"/>
                                      <a:pt x="103" y="181"/>
                                    </a:cubicBezTo>
                                    <a:cubicBezTo>
                                      <a:pt x="115" y="179"/>
                                      <a:pt x="127" y="174"/>
                                      <a:pt x="136" y="167"/>
                                    </a:cubicBezTo>
                                    <a:cubicBezTo>
                                      <a:pt x="139" y="165"/>
                                      <a:pt x="141" y="163"/>
                                      <a:pt x="144" y="161"/>
                                    </a:cubicBezTo>
                                    <a:cubicBezTo>
                                      <a:pt x="147" y="158"/>
                                      <a:pt x="149" y="156"/>
                                      <a:pt x="152" y="153"/>
                                    </a:cubicBezTo>
                                    <a:cubicBezTo>
                                      <a:pt x="153" y="153"/>
                                      <a:pt x="153" y="154"/>
                                      <a:pt x="154" y="154"/>
                                    </a:cubicBezTo>
                                    <a:cubicBezTo>
                                      <a:pt x="156" y="155"/>
                                      <a:pt x="158" y="156"/>
                                      <a:pt x="161" y="156"/>
                                    </a:cubicBezTo>
                                    <a:cubicBezTo>
                                      <a:pt x="166" y="156"/>
                                      <a:pt x="172" y="152"/>
                                      <a:pt x="174" y="147"/>
                                    </a:cubicBezTo>
                                    <a:cubicBezTo>
                                      <a:pt x="178" y="139"/>
                                      <a:pt x="175" y="131"/>
                                      <a:pt x="167" y="127"/>
                                    </a:cubicBezTo>
                                    <a:close/>
                                    <a:moveTo>
                                      <a:pt x="152" y="55"/>
                                    </a:moveTo>
                                    <a:cubicBezTo>
                                      <a:pt x="152" y="55"/>
                                      <a:pt x="152" y="54"/>
                                      <a:pt x="153" y="54"/>
                                    </a:cubicBezTo>
                                    <a:cubicBezTo>
                                      <a:pt x="153" y="53"/>
                                      <a:pt x="155" y="52"/>
                                      <a:pt x="156" y="51"/>
                                    </a:cubicBezTo>
                                    <a:cubicBezTo>
                                      <a:pt x="157" y="51"/>
                                      <a:pt x="157" y="50"/>
                                      <a:pt x="158" y="50"/>
                                    </a:cubicBezTo>
                                    <a:cubicBezTo>
                                      <a:pt x="160" y="50"/>
                                      <a:pt x="161" y="50"/>
                                      <a:pt x="163" y="50"/>
                                    </a:cubicBezTo>
                                    <a:cubicBezTo>
                                      <a:pt x="166" y="51"/>
                                      <a:pt x="168" y="53"/>
                                      <a:pt x="169" y="55"/>
                                    </a:cubicBezTo>
                                    <a:cubicBezTo>
                                      <a:pt x="170" y="57"/>
                                      <a:pt x="170" y="60"/>
                                      <a:pt x="170" y="62"/>
                                    </a:cubicBezTo>
                                    <a:cubicBezTo>
                                      <a:pt x="169" y="64"/>
                                      <a:pt x="168" y="65"/>
                                      <a:pt x="167" y="67"/>
                                    </a:cubicBezTo>
                                    <a:cubicBezTo>
                                      <a:pt x="166" y="67"/>
                                      <a:pt x="166" y="67"/>
                                      <a:pt x="165" y="68"/>
                                    </a:cubicBezTo>
                                    <a:cubicBezTo>
                                      <a:pt x="164" y="68"/>
                                      <a:pt x="162" y="69"/>
                                      <a:pt x="160" y="69"/>
                                    </a:cubicBezTo>
                                    <a:cubicBezTo>
                                      <a:pt x="160" y="69"/>
                                      <a:pt x="160" y="69"/>
                                      <a:pt x="159" y="69"/>
                                    </a:cubicBezTo>
                                    <a:cubicBezTo>
                                      <a:pt x="159" y="69"/>
                                      <a:pt x="158" y="69"/>
                                      <a:pt x="158" y="68"/>
                                    </a:cubicBezTo>
                                    <a:cubicBezTo>
                                      <a:pt x="155" y="68"/>
                                      <a:pt x="153" y="66"/>
                                      <a:pt x="152" y="64"/>
                                    </a:cubicBezTo>
                                    <a:cubicBezTo>
                                      <a:pt x="151" y="61"/>
                                      <a:pt x="151" y="58"/>
                                      <a:pt x="152" y="55"/>
                                    </a:cubicBezTo>
                                    <a:close/>
                                    <a:moveTo>
                                      <a:pt x="79" y="13"/>
                                    </a:moveTo>
                                    <a:cubicBezTo>
                                      <a:pt x="80" y="9"/>
                                      <a:pt x="83" y="6"/>
                                      <a:pt x="88" y="6"/>
                                    </a:cubicBezTo>
                                    <a:cubicBezTo>
                                      <a:pt x="93" y="6"/>
                                      <a:pt x="97" y="9"/>
                                      <a:pt x="97" y="13"/>
                                    </a:cubicBezTo>
                                    <a:cubicBezTo>
                                      <a:pt x="98" y="14"/>
                                      <a:pt x="98" y="15"/>
                                      <a:pt x="98" y="15"/>
                                    </a:cubicBezTo>
                                    <a:cubicBezTo>
                                      <a:pt x="98" y="17"/>
                                      <a:pt x="97" y="19"/>
                                      <a:pt x="96" y="20"/>
                                    </a:cubicBezTo>
                                    <a:cubicBezTo>
                                      <a:pt x="96" y="20"/>
                                      <a:pt x="96" y="21"/>
                                      <a:pt x="96" y="21"/>
                                    </a:cubicBezTo>
                                    <a:cubicBezTo>
                                      <a:pt x="94" y="23"/>
                                      <a:pt x="91" y="25"/>
                                      <a:pt x="88" y="25"/>
                                    </a:cubicBezTo>
                                    <a:cubicBezTo>
                                      <a:pt x="85" y="25"/>
                                      <a:pt x="82" y="23"/>
                                      <a:pt x="81" y="21"/>
                                    </a:cubicBezTo>
                                    <a:cubicBezTo>
                                      <a:pt x="80" y="21"/>
                                      <a:pt x="80" y="20"/>
                                      <a:pt x="80" y="20"/>
                                    </a:cubicBezTo>
                                    <a:cubicBezTo>
                                      <a:pt x="79" y="19"/>
                                      <a:pt x="79" y="17"/>
                                      <a:pt x="79" y="15"/>
                                    </a:cubicBezTo>
                                    <a:cubicBezTo>
                                      <a:pt x="79" y="15"/>
                                      <a:pt x="79" y="14"/>
                                      <a:pt x="79" y="13"/>
                                    </a:cubicBezTo>
                                    <a:close/>
                                    <a:moveTo>
                                      <a:pt x="8" y="62"/>
                                    </a:moveTo>
                                    <a:cubicBezTo>
                                      <a:pt x="7" y="60"/>
                                      <a:pt x="8" y="57"/>
                                      <a:pt x="9" y="55"/>
                                    </a:cubicBezTo>
                                    <a:cubicBezTo>
                                      <a:pt x="10" y="53"/>
                                      <a:pt x="12" y="51"/>
                                      <a:pt x="14" y="50"/>
                                    </a:cubicBezTo>
                                    <a:cubicBezTo>
                                      <a:pt x="15" y="50"/>
                                      <a:pt x="16" y="50"/>
                                      <a:pt x="17" y="50"/>
                                    </a:cubicBezTo>
                                    <a:cubicBezTo>
                                      <a:pt x="17" y="50"/>
                                      <a:pt x="18" y="50"/>
                                      <a:pt x="18" y="50"/>
                                    </a:cubicBezTo>
                                    <a:cubicBezTo>
                                      <a:pt x="19" y="50"/>
                                      <a:pt x="21" y="50"/>
                                      <a:pt x="22" y="51"/>
                                    </a:cubicBezTo>
                                    <a:cubicBezTo>
                                      <a:pt x="23" y="52"/>
                                      <a:pt x="24" y="52"/>
                                      <a:pt x="24" y="53"/>
                                    </a:cubicBezTo>
                                    <a:cubicBezTo>
                                      <a:pt x="24" y="53"/>
                                      <a:pt x="25" y="54"/>
                                      <a:pt x="25" y="54"/>
                                    </a:cubicBezTo>
                                    <a:cubicBezTo>
                                      <a:pt x="27" y="57"/>
                                      <a:pt x="27" y="61"/>
                                      <a:pt x="25" y="64"/>
                                    </a:cubicBezTo>
                                    <a:cubicBezTo>
                                      <a:pt x="24" y="67"/>
                                      <a:pt x="20" y="69"/>
                                      <a:pt x="17" y="69"/>
                                    </a:cubicBezTo>
                                    <a:cubicBezTo>
                                      <a:pt x="16" y="69"/>
                                      <a:pt x="16" y="69"/>
                                      <a:pt x="16" y="69"/>
                                    </a:cubicBezTo>
                                    <a:cubicBezTo>
                                      <a:pt x="15" y="69"/>
                                      <a:pt x="14" y="68"/>
                                      <a:pt x="13" y="68"/>
                                    </a:cubicBezTo>
                                    <a:cubicBezTo>
                                      <a:pt x="11" y="67"/>
                                      <a:pt x="11" y="66"/>
                                      <a:pt x="10" y="65"/>
                                    </a:cubicBezTo>
                                    <a:cubicBezTo>
                                      <a:pt x="9" y="64"/>
                                      <a:pt x="8" y="63"/>
                                      <a:pt x="8" y="62"/>
                                    </a:cubicBezTo>
                                    <a:close/>
                                    <a:moveTo>
                                      <a:pt x="26" y="143"/>
                                    </a:moveTo>
                                    <a:cubicBezTo>
                                      <a:pt x="26" y="143"/>
                                      <a:pt x="26" y="143"/>
                                      <a:pt x="26" y="144"/>
                                    </a:cubicBezTo>
                                    <a:cubicBezTo>
                                      <a:pt x="25" y="146"/>
                                      <a:pt x="24" y="147"/>
                                      <a:pt x="22" y="148"/>
                                    </a:cubicBezTo>
                                    <a:cubicBezTo>
                                      <a:pt x="22" y="149"/>
                                      <a:pt x="21" y="149"/>
                                      <a:pt x="21" y="149"/>
                                    </a:cubicBezTo>
                                    <a:cubicBezTo>
                                      <a:pt x="17" y="151"/>
                                      <a:pt x="12" y="150"/>
                                      <a:pt x="9" y="146"/>
                                    </a:cubicBezTo>
                                    <a:cubicBezTo>
                                      <a:pt x="6" y="142"/>
                                      <a:pt x="7" y="136"/>
                                      <a:pt x="11" y="133"/>
                                    </a:cubicBezTo>
                                    <a:cubicBezTo>
                                      <a:pt x="11" y="133"/>
                                      <a:pt x="12" y="133"/>
                                      <a:pt x="12" y="132"/>
                                    </a:cubicBezTo>
                                    <a:cubicBezTo>
                                      <a:pt x="13" y="131"/>
                                      <a:pt x="15" y="131"/>
                                      <a:pt x="17" y="131"/>
                                    </a:cubicBezTo>
                                    <a:cubicBezTo>
                                      <a:pt x="17" y="131"/>
                                      <a:pt x="18" y="131"/>
                                      <a:pt x="18" y="131"/>
                                    </a:cubicBezTo>
                                    <a:cubicBezTo>
                                      <a:pt x="18" y="131"/>
                                      <a:pt x="18" y="131"/>
                                      <a:pt x="19" y="131"/>
                                    </a:cubicBezTo>
                                    <a:cubicBezTo>
                                      <a:pt x="19" y="131"/>
                                      <a:pt x="19" y="131"/>
                                      <a:pt x="19" y="131"/>
                                    </a:cubicBezTo>
                                    <a:cubicBezTo>
                                      <a:pt x="22" y="132"/>
                                      <a:pt x="24" y="133"/>
                                      <a:pt x="25" y="135"/>
                                    </a:cubicBezTo>
                                    <a:cubicBezTo>
                                      <a:pt x="27" y="138"/>
                                      <a:pt x="27" y="140"/>
                                      <a:pt x="26" y="143"/>
                                    </a:cubicBezTo>
                                    <a:close/>
                                    <a:moveTo>
                                      <a:pt x="97" y="182"/>
                                    </a:moveTo>
                                    <a:cubicBezTo>
                                      <a:pt x="97" y="186"/>
                                      <a:pt x="93" y="190"/>
                                      <a:pt x="88" y="190"/>
                                    </a:cubicBezTo>
                                    <a:cubicBezTo>
                                      <a:pt x="83" y="190"/>
                                      <a:pt x="79" y="186"/>
                                      <a:pt x="79" y="182"/>
                                    </a:cubicBezTo>
                                    <a:cubicBezTo>
                                      <a:pt x="79" y="181"/>
                                      <a:pt x="79" y="181"/>
                                      <a:pt x="79" y="181"/>
                                    </a:cubicBezTo>
                                    <a:cubicBezTo>
                                      <a:pt x="79" y="178"/>
                                      <a:pt x="79" y="177"/>
                                      <a:pt x="80" y="175"/>
                                    </a:cubicBezTo>
                                    <a:cubicBezTo>
                                      <a:pt x="81" y="175"/>
                                      <a:pt x="81" y="174"/>
                                      <a:pt x="81" y="174"/>
                                    </a:cubicBezTo>
                                    <a:cubicBezTo>
                                      <a:pt x="83" y="172"/>
                                      <a:pt x="85" y="171"/>
                                      <a:pt x="88" y="171"/>
                                    </a:cubicBezTo>
                                    <a:cubicBezTo>
                                      <a:pt x="91" y="171"/>
                                      <a:pt x="93" y="172"/>
                                      <a:pt x="95" y="174"/>
                                    </a:cubicBezTo>
                                    <a:cubicBezTo>
                                      <a:pt x="95" y="174"/>
                                      <a:pt x="95" y="175"/>
                                      <a:pt x="96" y="175"/>
                                    </a:cubicBezTo>
                                    <a:cubicBezTo>
                                      <a:pt x="97" y="176"/>
                                      <a:pt x="98" y="178"/>
                                      <a:pt x="98" y="181"/>
                                    </a:cubicBezTo>
                                    <a:cubicBezTo>
                                      <a:pt x="98" y="181"/>
                                      <a:pt x="98" y="181"/>
                                      <a:pt x="97" y="182"/>
                                    </a:cubicBezTo>
                                    <a:close/>
                                    <a:moveTo>
                                      <a:pt x="102" y="174"/>
                                    </a:moveTo>
                                    <a:cubicBezTo>
                                      <a:pt x="101" y="174"/>
                                      <a:pt x="101" y="174"/>
                                      <a:pt x="101" y="173"/>
                                    </a:cubicBezTo>
                                    <a:cubicBezTo>
                                      <a:pt x="100" y="170"/>
                                      <a:pt x="97" y="168"/>
                                      <a:pt x="94" y="167"/>
                                    </a:cubicBezTo>
                                    <a:cubicBezTo>
                                      <a:pt x="92" y="166"/>
                                      <a:pt x="90" y="165"/>
                                      <a:pt x="88" y="165"/>
                                    </a:cubicBezTo>
                                    <a:cubicBezTo>
                                      <a:pt x="86" y="165"/>
                                      <a:pt x="84" y="166"/>
                                      <a:pt x="82" y="167"/>
                                    </a:cubicBezTo>
                                    <a:cubicBezTo>
                                      <a:pt x="79" y="168"/>
                                      <a:pt x="77" y="170"/>
                                      <a:pt x="75" y="173"/>
                                    </a:cubicBezTo>
                                    <a:cubicBezTo>
                                      <a:pt x="75" y="174"/>
                                      <a:pt x="75" y="174"/>
                                      <a:pt x="74" y="174"/>
                                    </a:cubicBezTo>
                                    <a:cubicBezTo>
                                      <a:pt x="67" y="173"/>
                                      <a:pt x="60" y="170"/>
                                      <a:pt x="53" y="167"/>
                                    </a:cubicBezTo>
                                    <a:cubicBezTo>
                                      <a:pt x="50" y="165"/>
                                      <a:pt x="47" y="163"/>
                                      <a:pt x="44" y="161"/>
                                    </a:cubicBezTo>
                                    <a:cubicBezTo>
                                      <a:pt x="43" y="160"/>
                                      <a:pt x="42" y="159"/>
                                      <a:pt x="41" y="159"/>
                                    </a:cubicBezTo>
                                    <a:cubicBezTo>
                                      <a:pt x="42" y="152"/>
                                      <a:pt x="48" y="147"/>
                                      <a:pt x="59" y="142"/>
                                    </a:cubicBezTo>
                                    <a:cubicBezTo>
                                      <a:pt x="65" y="140"/>
                                      <a:pt x="69" y="138"/>
                                      <a:pt x="71" y="134"/>
                                    </a:cubicBezTo>
                                    <a:cubicBezTo>
                                      <a:pt x="73" y="128"/>
                                      <a:pt x="72" y="117"/>
                                      <a:pt x="71" y="115"/>
                                    </a:cubicBezTo>
                                    <a:cubicBezTo>
                                      <a:pt x="71" y="115"/>
                                      <a:pt x="71" y="114"/>
                                      <a:pt x="71" y="114"/>
                                    </a:cubicBezTo>
                                    <a:cubicBezTo>
                                      <a:pt x="69" y="110"/>
                                      <a:pt x="66" y="106"/>
                                      <a:pt x="65" y="100"/>
                                    </a:cubicBezTo>
                                    <a:cubicBezTo>
                                      <a:pt x="64" y="99"/>
                                      <a:pt x="63" y="98"/>
                                      <a:pt x="62" y="98"/>
                                    </a:cubicBezTo>
                                    <a:cubicBezTo>
                                      <a:pt x="60" y="98"/>
                                      <a:pt x="57" y="94"/>
                                      <a:pt x="56" y="89"/>
                                    </a:cubicBezTo>
                                    <a:cubicBezTo>
                                      <a:pt x="55" y="83"/>
                                      <a:pt x="56" y="82"/>
                                      <a:pt x="56" y="81"/>
                                    </a:cubicBezTo>
                                    <a:cubicBezTo>
                                      <a:pt x="57" y="81"/>
                                      <a:pt x="57" y="81"/>
                                      <a:pt x="57" y="81"/>
                                    </a:cubicBezTo>
                                    <a:cubicBezTo>
                                      <a:pt x="58" y="81"/>
                                      <a:pt x="59" y="81"/>
                                      <a:pt x="59" y="80"/>
                                    </a:cubicBezTo>
                                    <a:cubicBezTo>
                                      <a:pt x="60" y="79"/>
                                      <a:pt x="60" y="78"/>
                                      <a:pt x="60" y="77"/>
                                    </a:cubicBezTo>
                                    <a:cubicBezTo>
                                      <a:pt x="57" y="69"/>
                                      <a:pt x="58" y="60"/>
                                      <a:pt x="63" y="53"/>
                                    </a:cubicBezTo>
                                    <a:cubicBezTo>
                                      <a:pt x="69" y="46"/>
                                      <a:pt x="78" y="42"/>
                                      <a:pt x="88" y="42"/>
                                    </a:cubicBezTo>
                                    <a:cubicBezTo>
                                      <a:pt x="99" y="42"/>
                                      <a:pt x="108" y="46"/>
                                      <a:pt x="114" y="53"/>
                                    </a:cubicBezTo>
                                    <a:cubicBezTo>
                                      <a:pt x="118" y="60"/>
                                      <a:pt x="120" y="69"/>
                                      <a:pt x="117" y="77"/>
                                    </a:cubicBezTo>
                                    <a:cubicBezTo>
                                      <a:pt x="117" y="78"/>
                                      <a:pt x="117" y="79"/>
                                      <a:pt x="117" y="80"/>
                                    </a:cubicBezTo>
                                    <a:cubicBezTo>
                                      <a:pt x="118" y="81"/>
                                      <a:pt x="119" y="81"/>
                                      <a:pt x="120" y="81"/>
                                    </a:cubicBezTo>
                                    <a:cubicBezTo>
                                      <a:pt x="120" y="81"/>
                                      <a:pt x="120" y="81"/>
                                      <a:pt x="120" y="81"/>
                                    </a:cubicBezTo>
                                    <a:cubicBezTo>
                                      <a:pt x="121" y="82"/>
                                      <a:pt x="122" y="83"/>
                                      <a:pt x="121" y="89"/>
                                    </a:cubicBezTo>
                                    <a:cubicBezTo>
                                      <a:pt x="120" y="94"/>
                                      <a:pt x="117" y="98"/>
                                      <a:pt x="115" y="98"/>
                                    </a:cubicBezTo>
                                    <a:cubicBezTo>
                                      <a:pt x="114" y="98"/>
                                      <a:pt x="112" y="99"/>
                                      <a:pt x="112" y="100"/>
                                    </a:cubicBezTo>
                                    <a:cubicBezTo>
                                      <a:pt x="110" y="106"/>
                                      <a:pt x="108" y="110"/>
                                      <a:pt x="106" y="114"/>
                                    </a:cubicBezTo>
                                    <a:cubicBezTo>
                                      <a:pt x="106" y="114"/>
                                      <a:pt x="106" y="115"/>
                                      <a:pt x="106" y="115"/>
                                    </a:cubicBezTo>
                                    <a:cubicBezTo>
                                      <a:pt x="105" y="117"/>
                                      <a:pt x="103" y="128"/>
                                      <a:pt x="106" y="134"/>
                                    </a:cubicBezTo>
                                    <a:cubicBezTo>
                                      <a:pt x="107" y="138"/>
                                      <a:pt x="111" y="139"/>
                                      <a:pt x="116" y="141"/>
                                    </a:cubicBezTo>
                                    <a:cubicBezTo>
                                      <a:pt x="116" y="141"/>
                                      <a:pt x="116" y="141"/>
                                      <a:pt x="116" y="141"/>
                                    </a:cubicBezTo>
                                    <a:cubicBezTo>
                                      <a:pt x="127" y="145"/>
                                      <a:pt x="134" y="150"/>
                                      <a:pt x="136" y="158"/>
                                    </a:cubicBezTo>
                                    <a:cubicBezTo>
                                      <a:pt x="135" y="159"/>
                                      <a:pt x="134" y="160"/>
                                      <a:pt x="132" y="161"/>
                                    </a:cubicBezTo>
                                    <a:cubicBezTo>
                                      <a:pt x="129" y="163"/>
                                      <a:pt x="126" y="165"/>
                                      <a:pt x="123" y="167"/>
                                    </a:cubicBezTo>
                                    <a:cubicBezTo>
                                      <a:pt x="116" y="170"/>
                                      <a:pt x="109" y="173"/>
                                      <a:pt x="102" y="174"/>
                                    </a:cubicBezTo>
                                    <a:close/>
                                    <a:moveTo>
                                      <a:pt x="147" y="134"/>
                                    </a:moveTo>
                                    <a:cubicBezTo>
                                      <a:pt x="145" y="138"/>
                                      <a:pt x="145" y="143"/>
                                      <a:pt x="147" y="146"/>
                                    </a:cubicBezTo>
                                    <a:cubicBezTo>
                                      <a:pt x="147" y="147"/>
                                      <a:pt x="147" y="147"/>
                                      <a:pt x="147" y="147"/>
                                    </a:cubicBezTo>
                                    <a:cubicBezTo>
                                      <a:pt x="146" y="148"/>
                                      <a:pt x="145" y="149"/>
                                      <a:pt x="144" y="150"/>
                                    </a:cubicBezTo>
                                    <a:cubicBezTo>
                                      <a:pt x="141" y="153"/>
                                      <a:pt x="141" y="153"/>
                                      <a:pt x="141" y="153"/>
                                    </a:cubicBezTo>
                                    <a:cubicBezTo>
                                      <a:pt x="137" y="143"/>
                                      <a:pt x="126" y="139"/>
                                      <a:pt x="119" y="136"/>
                                    </a:cubicBezTo>
                                    <a:cubicBezTo>
                                      <a:pt x="119" y="136"/>
                                      <a:pt x="119" y="136"/>
                                      <a:pt x="119" y="136"/>
                                    </a:cubicBezTo>
                                    <a:cubicBezTo>
                                      <a:pt x="119" y="136"/>
                                      <a:pt x="119" y="136"/>
                                      <a:pt x="119" y="136"/>
                                    </a:cubicBezTo>
                                    <a:cubicBezTo>
                                      <a:pt x="118" y="136"/>
                                      <a:pt x="118" y="136"/>
                                      <a:pt x="118" y="136"/>
                                    </a:cubicBezTo>
                                    <a:cubicBezTo>
                                      <a:pt x="115" y="135"/>
                                      <a:pt x="112" y="133"/>
                                      <a:pt x="111" y="132"/>
                                    </a:cubicBezTo>
                                    <a:cubicBezTo>
                                      <a:pt x="110" y="128"/>
                                      <a:pt x="111" y="118"/>
                                      <a:pt x="111" y="117"/>
                                    </a:cubicBezTo>
                                    <a:cubicBezTo>
                                      <a:pt x="111" y="117"/>
                                      <a:pt x="111" y="117"/>
                                      <a:pt x="111" y="117"/>
                                    </a:cubicBezTo>
                                    <a:cubicBezTo>
                                      <a:pt x="114" y="113"/>
                                      <a:pt x="116" y="109"/>
                                      <a:pt x="117" y="104"/>
                                    </a:cubicBezTo>
                                    <a:cubicBezTo>
                                      <a:pt x="117" y="104"/>
                                      <a:pt x="117" y="104"/>
                                      <a:pt x="117" y="104"/>
                                    </a:cubicBezTo>
                                    <a:cubicBezTo>
                                      <a:pt x="122" y="102"/>
                                      <a:pt x="126" y="95"/>
                                      <a:pt x="126" y="90"/>
                                    </a:cubicBezTo>
                                    <a:cubicBezTo>
                                      <a:pt x="127" y="84"/>
                                      <a:pt x="127" y="80"/>
                                      <a:pt x="125" y="78"/>
                                    </a:cubicBezTo>
                                    <a:cubicBezTo>
                                      <a:pt x="124" y="77"/>
                                      <a:pt x="124" y="77"/>
                                      <a:pt x="123" y="76"/>
                                    </a:cubicBezTo>
                                    <a:cubicBezTo>
                                      <a:pt x="123" y="76"/>
                                      <a:pt x="123" y="76"/>
                                      <a:pt x="123" y="76"/>
                                    </a:cubicBezTo>
                                    <a:cubicBezTo>
                                      <a:pt x="123" y="76"/>
                                      <a:pt x="123" y="76"/>
                                      <a:pt x="123" y="76"/>
                                    </a:cubicBezTo>
                                    <a:cubicBezTo>
                                      <a:pt x="126" y="67"/>
                                      <a:pt x="124" y="57"/>
                                      <a:pt x="118" y="50"/>
                                    </a:cubicBezTo>
                                    <a:cubicBezTo>
                                      <a:pt x="112" y="41"/>
                                      <a:pt x="101" y="36"/>
                                      <a:pt x="88" y="36"/>
                                    </a:cubicBezTo>
                                    <a:cubicBezTo>
                                      <a:pt x="76" y="36"/>
                                      <a:pt x="65" y="41"/>
                                      <a:pt x="58" y="50"/>
                                    </a:cubicBezTo>
                                    <a:cubicBezTo>
                                      <a:pt x="53" y="57"/>
                                      <a:pt x="51" y="67"/>
                                      <a:pt x="53" y="76"/>
                                    </a:cubicBezTo>
                                    <a:cubicBezTo>
                                      <a:pt x="53" y="76"/>
                                      <a:pt x="53" y="76"/>
                                      <a:pt x="53" y="76"/>
                                    </a:cubicBezTo>
                                    <a:cubicBezTo>
                                      <a:pt x="53" y="76"/>
                                      <a:pt x="53" y="76"/>
                                      <a:pt x="53" y="76"/>
                                    </a:cubicBezTo>
                                    <a:cubicBezTo>
                                      <a:pt x="53" y="77"/>
                                      <a:pt x="52" y="77"/>
                                      <a:pt x="52" y="78"/>
                                    </a:cubicBezTo>
                                    <a:cubicBezTo>
                                      <a:pt x="50" y="80"/>
                                      <a:pt x="49" y="84"/>
                                      <a:pt x="50" y="90"/>
                                    </a:cubicBezTo>
                                    <a:cubicBezTo>
                                      <a:pt x="51" y="95"/>
                                      <a:pt x="55" y="102"/>
                                      <a:pt x="60" y="104"/>
                                    </a:cubicBezTo>
                                    <a:cubicBezTo>
                                      <a:pt x="60" y="104"/>
                                      <a:pt x="60" y="104"/>
                                      <a:pt x="60" y="104"/>
                                    </a:cubicBezTo>
                                    <a:cubicBezTo>
                                      <a:pt x="61" y="109"/>
                                      <a:pt x="63" y="113"/>
                                      <a:pt x="65" y="117"/>
                                    </a:cubicBezTo>
                                    <a:cubicBezTo>
                                      <a:pt x="65" y="117"/>
                                      <a:pt x="65" y="117"/>
                                      <a:pt x="65" y="117"/>
                                    </a:cubicBezTo>
                                    <a:cubicBezTo>
                                      <a:pt x="66" y="121"/>
                                      <a:pt x="67" y="128"/>
                                      <a:pt x="66" y="132"/>
                                    </a:cubicBezTo>
                                    <a:cubicBezTo>
                                      <a:pt x="65" y="134"/>
                                      <a:pt x="61" y="135"/>
                                      <a:pt x="57" y="137"/>
                                    </a:cubicBezTo>
                                    <a:cubicBezTo>
                                      <a:pt x="46" y="141"/>
                                      <a:pt x="39" y="146"/>
                                      <a:pt x="36" y="154"/>
                                    </a:cubicBezTo>
                                    <a:cubicBezTo>
                                      <a:pt x="33" y="151"/>
                                      <a:pt x="33" y="151"/>
                                      <a:pt x="33" y="151"/>
                                    </a:cubicBezTo>
                                    <a:cubicBezTo>
                                      <a:pt x="32" y="150"/>
                                      <a:pt x="32" y="150"/>
                                      <a:pt x="32" y="150"/>
                                    </a:cubicBezTo>
                                    <a:cubicBezTo>
                                      <a:pt x="32" y="150"/>
                                      <a:pt x="31" y="149"/>
                                      <a:pt x="30" y="148"/>
                                    </a:cubicBezTo>
                                    <a:cubicBezTo>
                                      <a:pt x="30" y="148"/>
                                      <a:pt x="30" y="148"/>
                                      <a:pt x="30" y="147"/>
                                    </a:cubicBezTo>
                                    <a:cubicBezTo>
                                      <a:pt x="33" y="143"/>
                                      <a:pt x="33" y="137"/>
                                      <a:pt x="30" y="132"/>
                                    </a:cubicBezTo>
                                    <a:cubicBezTo>
                                      <a:pt x="27" y="128"/>
                                      <a:pt x="21" y="125"/>
                                      <a:pt x="16" y="125"/>
                                    </a:cubicBezTo>
                                    <a:cubicBezTo>
                                      <a:pt x="16" y="125"/>
                                      <a:pt x="16" y="126"/>
                                      <a:pt x="15" y="126"/>
                                    </a:cubicBezTo>
                                    <a:cubicBezTo>
                                      <a:pt x="12" y="117"/>
                                      <a:pt x="10" y="108"/>
                                      <a:pt x="10" y="99"/>
                                    </a:cubicBezTo>
                                    <a:cubicBezTo>
                                      <a:pt x="10" y="90"/>
                                      <a:pt x="11" y="82"/>
                                      <a:pt x="14" y="74"/>
                                    </a:cubicBezTo>
                                    <a:cubicBezTo>
                                      <a:pt x="14" y="74"/>
                                      <a:pt x="14" y="74"/>
                                      <a:pt x="15" y="74"/>
                                    </a:cubicBezTo>
                                    <a:cubicBezTo>
                                      <a:pt x="15" y="74"/>
                                      <a:pt x="16" y="74"/>
                                      <a:pt x="17" y="74"/>
                                    </a:cubicBezTo>
                                    <a:cubicBezTo>
                                      <a:pt x="22" y="74"/>
                                      <a:pt x="28" y="72"/>
                                      <a:pt x="30" y="67"/>
                                    </a:cubicBezTo>
                                    <a:cubicBezTo>
                                      <a:pt x="34" y="61"/>
                                      <a:pt x="32" y="54"/>
                                      <a:pt x="28" y="49"/>
                                    </a:cubicBezTo>
                                    <a:cubicBezTo>
                                      <a:pt x="28" y="49"/>
                                      <a:pt x="28" y="49"/>
                                      <a:pt x="28" y="49"/>
                                    </a:cubicBezTo>
                                    <a:cubicBezTo>
                                      <a:pt x="29" y="46"/>
                                      <a:pt x="31" y="44"/>
                                      <a:pt x="33" y="43"/>
                                    </a:cubicBezTo>
                                    <a:cubicBezTo>
                                      <a:pt x="44" y="31"/>
                                      <a:pt x="59" y="24"/>
                                      <a:pt x="74" y="21"/>
                                    </a:cubicBezTo>
                                    <a:cubicBezTo>
                                      <a:pt x="74" y="21"/>
                                      <a:pt x="74" y="22"/>
                                      <a:pt x="75" y="22"/>
                                    </a:cubicBezTo>
                                    <a:cubicBezTo>
                                      <a:pt x="77" y="27"/>
                                      <a:pt x="82" y="30"/>
                                      <a:pt x="88" y="30"/>
                                    </a:cubicBezTo>
                                    <a:cubicBezTo>
                                      <a:pt x="94" y="30"/>
                                      <a:pt x="99" y="27"/>
                                      <a:pt x="102" y="22"/>
                                    </a:cubicBezTo>
                                    <a:cubicBezTo>
                                      <a:pt x="102" y="22"/>
                                      <a:pt x="102" y="21"/>
                                      <a:pt x="102" y="21"/>
                                    </a:cubicBezTo>
                                    <a:cubicBezTo>
                                      <a:pt x="117" y="24"/>
                                      <a:pt x="132" y="31"/>
                                      <a:pt x="143" y="43"/>
                                    </a:cubicBezTo>
                                    <a:cubicBezTo>
                                      <a:pt x="145" y="45"/>
                                      <a:pt x="147" y="47"/>
                                      <a:pt x="149" y="49"/>
                                    </a:cubicBezTo>
                                    <a:cubicBezTo>
                                      <a:pt x="149" y="50"/>
                                      <a:pt x="149" y="50"/>
                                      <a:pt x="149" y="50"/>
                                    </a:cubicBezTo>
                                    <a:cubicBezTo>
                                      <a:pt x="145" y="55"/>
                                      <a:pt x="144" y="61"/>
                                      <a:pt x="147" y="67"/>
                                    </a:cubicBezTo>
                                    <a:cubicBezTo>
                                      <a:pt x="149" y="70"/>
                                      <a:pt x="152" y="73"/>
                                      <a:pt x="156" y="74"/>
                                    </a:cubicBezTo>
                                    <a:cubicBezTo>
                                      <a:pt x="158" y="74"/>
                                      <a:pt x="159" y="74"/>
                                      <a:pt x="161" y="74"/>
                                    </a:cubicBezTo>
                                    <a:cubicBezTo>
                                      <a:pt x="161" y="74"/>
                                      <a:pt x="161" y="74"/>
                                      <a:pt x="161" y="74"/>
                                    </a:cubicBezTo>
                                    <a:cubicBezTo>
                                      <a:pt x="162" y="74"/>
                                      <a:pt x="162" y="74"/>
                                      <a:pt x="162" y="74"/>
                                    </a:cubicBezTo>
                                    <a:cubicBezTo>
                                      <a:pt x="165" y="82"/>
                                      <a:pt x="166" y="90"/>
                                      <a:pt x="166" y="99"/>
                                    </a:cubicBezTo>
                                    <a:cubicBezTo>
                                      <a:pt x="166" y="108"/>
                                      <a:pt x="164" y="117"/>
                                      <a:pt x="161" y="125"/>
                                    </a:cubicBezTo>
                                    <a:cubicBezTo>
                                      <a:pt x="161" y="125"/>
                                      <a:pt x="160" y="125"/>
                                      <a:pt x="160" y="125"/>
                                    </a:cubicBezTo>
                                    <a:cubicBezTo>
                                      <a:pt x="155" y="126"/>
                                      <a:pt x="149" y="129"/>
                                      <a:pt x="147" y="134"/>
                                    </a:cubicBezTo>
                                    <a:close/>
                                    <a:moveTo>
                                      <a:pt x="169" y="144"/>
                                    </a:moveTo>
                                    <a:cubicBezTo>
                                      <a:pt x="167" y="149"/>
                                      <a:pt x="161" y="151"/>
                                      <a:pt x="157" y="149"/>
                                    </a:cubicBezTo>
                                    <a:cubicBezTo>
                                      <a:pt x="156" y="149"/>
                                      <a:pt x="156" y="149"/>
                                      <a:pt x="155" y="148"/>
                                    </a:cubicBezTo>
                                    <a:cubicBezTo>
                                      <a:pt x="153" y="147"/>
                                      <a:pt x="152" y="145"/>
                                      <a:pt x="151" y="142"/>
                                    </a:cubicBezTo>
                                    <a:cubicBezTo>
                                      <a:pt x="151" y="142"/>
                                      <a:pt x="151" y="141"/>
                                      <a:pt x="151" y="141"/>
                                    </a:cubicBezTo>
                                    <a:cubicBezTo>
                                      <a:pt x="151" y="140"/>
                                      <a:pt x="151" y="138"/>
                                      <a:pt x="152" y="137"/>
                                    </a:cubicBezTo>
                                    <a:cubicBezTo>
                                      <a:pt x="153" y="134"/>
                                      <a:pt x="155" y="132"/>
                                      <a:pt x="157" y="132"/>
                                    </a:cubicBezTo>
                                    <a:cubicBezTo>
                                      <a:pt x="157" y="132"/>
                                      <a:pt x="157" y="132"/>
                                      <a:pt x="157" y="132"/>
                                    </a:cubicBezTo>
                                    <a:cubicBezTo>
                                      <a:pt x="158" y="131"/>
                                      <a:pt x="158" y="131"/>
                                      <a:pt x="158" y="131"/>
                                    </a:cubicBezTo>
                                    <a:cubicBezTo>
                                      <a:pt x="159" y="131"/>
                                      <a:pt x="160" y="131"/>
                                      <a:pt x="161" y="131"/>
                                    </a:cubicBezTo>
                                    <a:cubicBezTo>
                                      <a:pt x="162" y="131"/>
                                      <a:pt x="163" y="131"/>
                                      <a:pt x="165" y="132"/>
                                    </a:cubicBezTo>
                                    <a:cubicBezTo>
                                      <a:pt x="165" y="132"/>
                                      <a:pt x="165" y="132"/>
                                      <a:pt x="165" y="132"/>
                                    </a:cubicBezTo>
                                    <a:cubicBezTo>
                                      <a:pt x="169" y="135"/>
                                      <a:pt x="171" y="140"/>
                                      <a:pt x="169" y="144"/>
                                    </a:cubicBezTo>
                                    <a:close/>
                                  </a:path>
                                </a:pathLst>
                              </a:custGeom>
                              <a:solidFill>
                                <a:schemeClr val="accent4"/>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12BCD37" id="Freeform: Shape 14359" o:spid="_x0000_s1026" alt="&quot;&quot;" style="position:absolute;margin-left:1.5pt;margin-top:-13.7pt;width:42.5pt;height:46.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" path="m167,127v4,-9,6,-19,6,-28c173,89,171,80,169,72v3,-2,5,-5,6,-8c176,60,176,56,174,52v-2,-3,-5,-6,-9,-7c161,44,158,44,154,46,142,30,124,18,103,14,103,6,96,,88,,80,,74,6,73,14,52,18,34,29,22,45v-3,-1,-6,-1,-9,c9,46,6,49,4,52,2,56,1,60,3,64v,3,2,5,5,7c5,80,3,89,3,99v,10,2,20,6,29c2,132,,142,4,149v3,4,8,7,13,7c20,156,22,155,25,154v2,3,6,6,9,9c36,164,37,165,39,167v10,7,22,12,34,14c73,189,80,196,88,196v8,,15,-7,15,-15c115,179,127,174,136,167v3,-2,5,-4,8,-6c147,158,149,156,152,153v1,,1,1,2,1c156,155,158,156,161,156v5,,11,-4,13,-9c178,139,175,131,167,127xm152,55v,,,-1,1,-1c153,53,155,52,156,51v1,,1,-1,2,-1c160,50,161,50,163,50v3,1,5,3,6,5c170,57,170,60,170,62v-1,2,-2,3,-3,5c166,67,166,67,165,68v-1,,-3,1,-5,1c160,69,160,69,159,69v,,-1,,-1,-1c155,68,153,66,152,64v-1,-3,-1,-6,,-9xm79,13c80,9,83,6,88,6v5,,9,3,9,7c98,14,98,15,98,15v,2,-1,4,-2,5c96,20,96,21,96,21v-2,2,-5,4,-8,4c85,25,82,23,81,21v-1,,-1,-1,-1,-1c79,19,79,17,79,15v,,,-1,,-2xm8,62c7,60,8,57,9,55v1,-2,3,-4,5,-5c15,50,16,50,17,50v,,1,,1,c19,50,21,50,22,51v1,1,2,1,2,2c24,53,25,54,25,54v2,3,2,7,,10c24,67,20,69,17,69v-1,,-1,,-1,c15,69,14,68,13,68,11,67,11,66,10,65,9,64,8,63,8,62xm26,143v,,,,,1c25,146,24,147,22,148v,1,-1,1,-1,1c17,151,12,150,9,146,6,142,7,136,11,133v,,1,,1,-1c13,131,15,131,17,131v,,1,,1,c18,131,18,131,19,131v,,,,,c22,132,24,133,25,135v2,3,2,5,1,8xm97,182v,4,-4,8,-9,8c83,190,79,186,79,182v,-1,,-1,,-1c79,178,79,177,80,175v1,,1,-1,1,-1c83,172,85,171,88,171v3,,5,1,7,3c95,174,95,175,96,175v1,1,2,3,2,6c98,181,98,181,97,182xm102,174v-1,,-1,,-1,-1c100,170,97,168,94,167v-2,-1,-4,-2,-6,-2c86,165,84,166,82,167v-3,1,-5,3,-7,6c75,174,75,174,74,174v-7,-1,-14,-4,-21,-7c50,165,47,163,44,161v-1,-1,-2,-2,-3,-2c42,152,48,147,59,142v6,-2,10,-4,12,-8c73,128,72,117,71,115v,,,-1,,-1c69,110,66,106,65,100,64,99,63,98,62,98v-2,,-5,-4,-6,-9c55,83,56,82,56,81v1,,1,,1,c58,81,59,81,59,80v1,-1,1,-2,1,-3c57,69,58,60,63,53,69,46,78,42,88,42v11,,20,4,26,11c118,60,120,69,117,77v,1,,2,,3c118,81,119,81,120,81v,,,,,c121,82,122,83,121,89v-1,5,-4,9,-6,9c114,98,112,99,112,100v-2,6,-4,10,-6,14c106,114,106,115,106,115v-1,2,-3,13,,19c107,138,111,139,116,141v,,,,,c127,145,134,150,136,158v-1,1,-2,2,-4,3c129,163,126,165,123,167v-7,3,-14,6,-21,7xm147,134v-2,4,-2,9,,12c147,147,147,147,147,147v-1,1,-2,2,-3,3c141,153,141,153,141,153v-4,-10,-15,-14,-22,-17c119,136,119,136,119,136v,,,,,c118,136,118,136,118,136v-3,-1,-6,-3,-7,-4c110,128,111,118,111,117v,,,,,c114,113,116,109,117,104v,,,,,c122,102,126,95,126,90v1,-6,1,-10,-1,-12c124,77,124,77,123,76v,,,,,c123,76,123,76,123,76v3,-9,1,-19,-5,-26c112,41,101,36,88,36,76,36,65,41,58,50v-5,7,-7,17,-5,26c53,76,53,76,53,76v,,,,,c53,77,52,77,52,78v-2,2,-3,6,-2,12c51,95,55,102,60,104v,,,,,c61,109,63,113,65,117v,,,,,c66,121,67,128,66,132v-1,2,-5,3,-9,5c46,141,39,146,36,154v-3,-3,-3,-3,-3,-3c32,150,32,150,32,150v,,-1,-1,-2,-2c30,148,30,148,30,147v3,-4,3,-10,,-15c27,128,21,125,16,125v,,,1,-1,1c12,117,10,108,10,99v,-9,1,-17,4,-25c14,74,14,74,15,74v,,1,,2,c22,74,28,72,30,67,34,61,32,54,28,49v,,,,,c29,46,31,44,33,43,44,31,59,24,74,21v,,,1,1,1c77,27,82,30,88,30v6,,11,-3,14,-8c102,22,102,21,102,21v15,3,30,10,41,22c145,45,147,47,149,49v,1,,1,,1c145,55,144,61,147,67v2,3,5,6,9,7c158,74,159,74,161,74v,,,,,c162,74,162,74,162,74v3,8,4,16,4,25c166,108,164,117,161,125v,,-1,,-1,c155,126,149,129,147,134xm169,144v-2,5,-8,7,-12,5c156,149,156,149,155,148v-2,-1,-3,-3,-4,-6c151,142,151,141,151,141v,-1,,-3,1,-4c153,134,155,132,157,132v,,,,,c158,131,158,131,158,131v1,,2,,3,c162,131,163,131,165,132v,,,,,c169,135,171,140,169,144xe" fillcolor="#fed13b [3207]" stroked="f">
                      <v:path arrowok="t" o:connecttype="custom" o:connectlocs="530653,193662;312327,42364;39420,136169;9097,299571;75808,465999;266843,593090;460910,462973;506395,384298;479104,151298;506395,202740;479104,205766;266843,18156;291101,63545;239552,45390;42452,151298;72775,160376;48517,208792;78840,432714;27291,441792;54581,396402;78840,432714;239552,547700;288069,526519;309295,526519;248649,505337;133421,487181;215294,347986;169809,269311;181938,233000;354779,233000;366909,269311;321424,347986;412393,478103;445749,405480;427555,462973;357812,411532;354779,314701;372973,229974;266843,108935;160712,229974;181938,314701;172841,414558;90969,447843;45485,381272;51549,223922;100066,130117;309295,66571;451813,151298;488201,223922;485169,378246;470007,447843;476072,399428;500330,399428" o:connectangles="0,0,0,0,0,0,0,0,0,0,0,0,0,0,0,0,0,0,0,0,0,0,0,0,0,0,0,0,0,0,0,0,0,0,0,0,0,0,0,0,0,0,0,0,0,0,0,0,0,0,0,0,0"/>
                      <o:lock v:ext="edit" aspectratio="t" verticies="t"/>
                    </v:shape>
                  </w:pict>
                </mc:Fallback>
              </mc:AlternateContent>
            </w:r>
          </w:p>
        </w:tc>
      </w:tr>
    </w:tbl>
    <w:p w14:paraId="78D892FE" w14:textId="30C005FF" w:rsidR="006F29B9" w:rsidRPr="0088201A" w:rsidRDefault="006F29B9" w:rsidP="00D519F2">
      <w:r w:rsidRPr="0088201A">
        <w:t>There will inherently be a degree of uncertainty associated with each stage of the process described above and it is likely that alternate methodological decisions could be considered valid for different reasons. As a result</w:t>
      </w:r>
      <w:r>
        <w:t>, t</w:t>
      </w:r>
      <w:r w:rsidRPr="0088201A">
        <w:t xml:space="preserve">he evaluation team will test core assumptions with the </w:t>
      </w:r>
      <w:r w:rsidR="009F396C" w:rsidRPr="008F2253">
        <w:t>PLRT</w:t>
      </w:r>
      <w:r w:rsidRPr="0088201A">
        <w:t xml:space="preserve"> and PL</w:t>
      </w:r>
      <w:r>
        <w:t>R</w:t>
      </w:r>
      <w:r w:rsidRPr="0088201A">
        <w:t xml:space="preserve">EAG to facilitate transparency and ensure that the design of the estimation process is as realistic as possible. Sensitivity analysis will also be undertaken to examine the impact of changes in key parameters, where this is appropriate. </w:t>
      </w:r>
    </w:p>
    <w:p w14:paraId="278C2425" w14:textId="77777777" w:rsidR="006F29B9" w:rsidRPr="0088201A" w:rsidRDefault="006F29B9" w:rsidP="00B12290">
      <w:pPr>
        <w:pStyle w:val="Heading2"/>
        <w:numPr>
          <w:ilvl w:val="0"/>
          <w:numId w:val="0"/>
        </w:numPr>
      </w:pPr>
      <w:bookmarkStart w:id="136" w:name="_Toc142924185"/>
      <w:bookmarkStart w:id="137" w:name="_Toc179453710"/>
      <w:r>
        <w:t>Qualitative data collection and analysis</w:t>
      </w:r>
      <w:bookmarkEnd w:id="136"/>
      <w:bookmarkEnd w:id="137"/>
      <w:r>
        <w:t xml:space="preserve"> </w:t>
      </w:r>
    </w:p>
    <w:p w14:paraId="46535B4F" w14:textId="77777777" w:rsidR="006F29B9" w:rsidRPr="0088201A" w:rsidRDefault="006F29B9" w:rsidP="00FB048B">
      <w:pPr>
        <w:pStyle w:val="Heading3"/>
      </w:pPr>
      <w:r w:rsidRPr="0088201A">
        <w:t xml:space="preserve">Qualitative analysis will supplement quantitative analysis by informing findings relating to intangible outcomes and causal channels that cannot be directly </w:t>
      </w:r>
      <w:proofErr w:type="gramStart"/>
      <w:r w:rsidRPr="0088201A">
        <w:t>observed</w:t>
      </w:r>
      <w:proofErr w:type="gramEnd"/>
      <w:r w:rsidRPr="0088201A">
        <w:t xml:space="preserve"> </w:t>
      </w:r>
    </w:p>
    <w:p w14:paraId="06E2C490" w14:textId="77777777" w:rsidR="006F29B9" w:rsidRPr="0088201A" w:rsidRDefault="006F29B9" w:rsidP="006F29B9">
      <w:pPr>
        <w:rPr>
          <w:lang w:eastAsia="en-AU"/>
        </w:rPr>
      </w:pPr>
      <w:r w:rsidRPr="0088201A">
        <w:rPr>
          <w:lang w:eastAsia="en-AU"/>
        </w:rPr>
        <w:t xml:space="preserve">On its own, quantitative analysis will be unable to satisfactorily answer all the evaluation’s </w:t>
      </w:r>
      <w:r>
        <w:rPr>
          <w:lang w:eastAsia="en-AU"/>
        </w:rPr>
        <w:t>sub-research question</w:t>
      </w:r>
      <w:r w:rsidRPr="0088201A">
        <w:rPr>
          <w:lang w:eastAsia="en-AU"/>
        </w:rPr>
        <w:t xml:space="preserve">s. In many circumstances, quantitative data will be missing or of inadequate quality, requiring a qualitative approach that allows the evaluation team to hear directly from stakeholders. Even when sufficient quantitative data is available, qualitative evidence can bolster the evidence base underpinning the evaluation’s findings, by allowing insights to be triangulated from different sources of information. </w:t>
      </w:r>
    </w:p>
    <w:p w14:paraId="449B7A24" w14:textId="77777777" w:rsidR="006F29B9" w:rsidRPr="0088201A" w:rsidRDefault="006F29B9" w:rsidP="006F29B9">
      <w:pPr>
        <w:rPr>
          <w:lang w:eastAsia="en-AU"/>
        </w:rPr>
      </w:pPr>
      <w:r w:rsidRPr="0088201A">
        <w:rPr>
          <w:lang w:eastAsia="en-AU"/>
        </w:rPr>
        <w:t xml:space="preserve">Qualitative research methods – including surveys, </w:t>
      </w:r>
      <w:proofErr w:type="gramStart"/>
      <w:r w:rsidRPr="0088201A">
        <w:rPr>
          <w:lang w:eastAsia="en-AU"/>
        </w:rPr>
        <w:t>interviews</w:t>
      </w:r>
      <w:proofErr w:type="gramEnd"/>
      <w:r w:rsidRPr="0088201A">
        <w:rPr>
          <w:lang w:eastAsia="en-AU"/>
        </w:rPr>
        <w:t xml:space="preserve"> and workshops – are also ideal for understanding individual stakeholder perspectives, experiences and sensitivities in depth, especially in relation to the “how” and “why” elements of our </w:t>
      </w:r>
      <w:r>
        <w:rPr>
          <w:lang w:eastAsia="en-AU"/>
        </w:rPr>
        <w:t>KEQs</w:t>
      </w:r>
      <w:r w:rsidRPr="0088201A">
        <w:rPr>
          <w:lang w:eastAsia="en-AU"/>
        </w:rPr>
        <w:t xml:space="preserve"> which cannot be adequately answered with reference to quantitative data. This process will help to build buy-in for the evaluation’s findings and recommendations, by facilitating forums for those impacted by the reforms to have their perspective heard.</w:t>
      </w:r>
    </w:p>
    <w:p w14:paraId="1BA988E7" w14:textId="77777777" w:rsidR="006F29B9" w:rsidRPr="0088201A" w:rsidRDefault="006F29B9" w:rsidP="00FB048B">
      <w:pPr>
        <w:pStyle w:val="Heading3"/>
      </w:pPr>
      <w:bookmarkStart w:id="138" w:name="_Toc142924186"/>
      <w:r>
        <w:t>Engagement mechanisms</w:t>
      </w:r>
      <w:bookmarkEnd w:id="138"/>
    </w:p>
    <w:p w14:paraId="51F5C6E1" w14:textId="77777777" w:rsidR="006F29B9" w:rsidRPr="0088201A" w:rsidRDefault="006F29B9" w:rsidP="006F29B9">
      <w:r w:rsidRPr="0088201A">
        <w:t>To engage effectively during the evaluation, we will:</w:t>
      </w:r>
    </w:p>
    <w:p w14:paraId="5CDB9215" w14:textId="7DAB2105" w:rsidR="006F29B9" w:rsidRPr="00283BA4" w:rsidRDefault="006F29B9" w:rsidP="00283BA4">
      <w:pPr>
        <w:pStyle w:val="Bullet"/>
      </w:pPr>
      <w:r w:rsidRPr="3787E91E">
        <w:rPr>
          <w:rFonts w:asciiTheme="majorHAnsi" w:hAnsiTheme="majorHAnsi" w:cstheme="majorBidi"/>
        </w:rPr>
        <w:lastRenderedPageBreak/>
        <w:t>Rapidly identify stakeholders</w:t>
      </w:r>
      <w:r w:rsidRPr="3787E91E">
        <w:t xml:space="preserve"> with the Department to ensure no critical views are missed.</w:t>
      </w:r>
    </w:p>
    <w:p w14:paraId="6E80227E" w14:textId="291EAC29" w:rsidR="006F29B9" w:rsidRPr="00283BA4" w:rsidRDefault="006F29B9" w:rsidP="00283BA4">
      <w:pPr>
        <w:pStyle w:val="Bullet"/>
      </w:pPr>
      <w:r w:rsidRPr="3787E91E">
        <w:rPr>
          <w:rFonts w:asciiTheme="majorHAnsi" w:hAnsiTheme="majorHAnsi" w:cstheme="majorBidi"/>
        </w:rPr>
        <w:t>Ensure a dedicated ‘owner’ is driving the schedule</w:t>
      </w:r>
      <w:r w:rsidRPr="3787E91E">
        <w:t xml:space="preserve"> (the Project Manager Casey Merrick) and is supported by a dedicated project coordinator to manage logistics to progress at pace and manage risks.</w:t>
      </w:r>
    </w:p>
    <w:p w14:paraId="44B82712" w14:textId="18BF77BD" w:rsidR="006F29B9" w:rsidRPr="00283BA4" w:rsidRDefault="006F29B9" w:rsidP="00283BA4">
      <w:pPr>
        <w:pStyle w:val="Bullet"/>
      </w:pPr>
      <w:r w:rsidRPr="3787E91E">
        <w:rPr>
          <w:rFonts w:asciiTheme="majorHAnsi" w:hAnsiTheme="majorHAnsi" w:cstheme="majorBidi"/>
        </w:rPr>
        <w:t>Provide a clear purpose</w:t>
      </w:r>
      <w:r w:rsidRPr="3787E91E">
        <w:t xml:space="preserve"> to maintain focus on what matters most in each engagement and reduce duplication.</w:t>
      </w:r>
    </w:p>
    <w:p w14:paraId="67BFBB92" w14:textId="77777777" w:rsidR="006F29B9" w:rsidRPr="00283BA4" w:rsidRDefault="006F29B9" w:rsidP="00283BA4">
      <w:pPr>
        <w:pStyle w:val="Bullet"/>
      </w:pPr>
      <w:r w:rsidRPr="00283BA4">
        <w:rPr>
          <w:rFonts w:asciiTheme="majorHAnsi" w:hAnsiTheme="majorHAnsi" w:cstheme="majorHAnsi"/>
        </w:rPr>
        <w:t>Leverage a proven process to capture information across engagements</w:t>
      </w:r>
      <w:r w:rsidRPr="00283BA4">
        <w:t xml:space="preserve"> to allow for rapid synthesis of themes, triangulation of views and identification of gaps to be filled in follow up engagements if needed.</w:t>
      </w:r>
    </w:p>
    <w:p w14:paraId="418BCEAB" w14:textId="399EAD97" w:rsidR="006F29B9" w:rsidRPr="0088201A" w:rsidRDefault="006F29B9" w:rsidP="006F29B9">
      <w:pPr>
        <w:spacing w:line="259" w:lineRule="auto"/>
      </w:pPr>
      <w:r w:rsidRPr="0088201A">
        <w:t xml:space="preserve">We expect to engage stakeholders through interviews, </w:t>
      </w:r>
      <w:proofErr w:type="gramStart"/>
      <w:r w:rsidRPr="0088201A">
        <w:t>workshops</w:t>
      </w:r>
      <w:proofErr w:type="gramEnd"/>
      <w:r w:rsidRPr="0088201A">
        <w:t xml:space="preserve"> and surveys throughout the evaluation. </w:t>
      </w:r>
      <w:r w:rsidRPr="0088201A">
        <w:fldChar w:fldCharType="begin"/>
      </w:r>
      <w:r w:rsidRPr="0088201A">
        <w:instrText xml:space="preserve"> REF _Ref116927426 \h  \* MERGEFORMAT </w:instrText>
      </w:r>
      <w:r w:rsidRPr="0088201A">
        <w:fldChar w:fldCharType="separate"/>
      </w:r>
      <w:r w:rsidR="00026714" w:rsidRPr="0088201A">
        <w:t xml:space="preserve">Table </w:t>
      </w:r>
      <w:r w:rsidR="00026714">
        <w:t>13</w:t>
      </w:r>
      <w:r w:rsidRPr="0088201A">
        <w:fldChar w:fldCharType="end"/>
      </w:r>
      <w:r w:rsidRPr="0088201A">
        <w:t xml:space="preserve"> details a high-level stakeholder engagement plan, setting out the stakeholder groups, how we expect to engage with each group and the purpose behind engagement.</w:t>
      </w:r>
    </w:p>
    <w:p w14:paraId="2B844EEA" w14:textId="19E99F51" w:rsidR="006F29B9" w:rsidRPr="0088201A" w:rsidRDefault="006F29B9" w:rsidP="00C10DCE">
      <w:pPr>
        <w:pStyle w:val="Caption"/>
        <w:spacing w:before="240" w:after="120"/>
      </w:pPr>
      <w:bookmarkStart w:id="139" w:name="_Ref116927426"/>
      <w:r w:rsidRPr="0088201A">
        <w:t xml:space="preserve">Table </w:t>
      </w:r>
      <w:r w:rsidRPr="0088201A">
        <w:fldChar w:fldCharType="begin"/>
      </w:r>
      <w:r w:rsidRPr="0088201A">
        <w:instrText xml:space="preserve"> SEQ Table \* ARABIC </w:instrText>
      </w:r>
      <w:r w:rsidRPr="0088201A">
        <w:fldChar w:fldCharType="separate"/>
      </w:r>
      <w:r w:rsidR="00026714">
        <w:rPr>
          <w:noProof/>
        </w:rPr>
        <w:t>13</w:t>
      </w:r>
      <w:r w:rsidRPr="0088201A">
        <w:fldChar w:fldCharType="end"/>
      </w:r>
      <w:bookmarkEnd w:id="139"/>
      <w:r w:rsidRPr="0088201A">
        <w:t xml:space="preserve"> | Indicative stakeholder engagement plan</w:t>
      </w:r>
    </w:p>
    <w:tbl>
      <w:tblPr>
        <w:tblStyle w:val="TableGrid"/>
        <w:tblW w:w="5000" w:type="pct"/>
        <w:tblLook w:val="0620" w:firstRow="1" w:lastRow="0" w:firstColumn="0" w:lastColumn="0" w:noHBand="1" w:noVBand="1"/>
      </w:tblPr>
      <w:tblGrid>
        <w:gridCol w:w="989"/>
        <w:gridCol w:w="1559"/>
        <w:gridCol w:w="2267"/>
        <w:gridCol w:w="4105"/>
      </w:tblGrid>
      <w:tr w:rsidR="006F29B9" w:rsidRPr="004D1E46" w14:paraId="1079C95F" w14:textId="77777777" w:rsidTr="3787E91E">
        <w:trPr>
          <w:trHeight w:val="346"/>
        </w:trPr>
        <w:tc>
          <w:tcPr>
            <w:tcW w:w="1428"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1" w:themeFill="accent5"/>
          </w:tcPr>
          <w:p w14:paraId="0DD423DA" w14:textId="77777777" w:rsidR="006F29B9" w:rsidRPr="00C10DCE" w:rsidRDefault="006F29B9">
            <w:pPr>
              <w:pStyle w:val="TableNheader"/>
              <w:keepNext w:val="0"/>
              <w:keepLines/>
              <w:rPr>
                <w:sz w:val="17"/>
                <w:szCs w:val="17"/>
              </w:rPr>
            </w:pPr>
            <w:r w:rsidRPr="00C10DCE">
              <w:rPr>
                <w:sz w:val="17"/>
                <w:szCs w:val="17"/>
              </w:rPr>
              <w:t>Stakeholder group</w:t>
            </w:r>
          </w:p>
        </w:tc>
        <w:tc>
          <w:tcPr>
            <w:tcW w:w="12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1" w:themeFill="accent5"/>
          </w:tcPr>
          <w:p w14:paraId="1E70288E" w14:textId="77777777" w:rsidR="006F29B9" w:rsidRPr="00C10DCE" w:rsidRDefault="006F29B9">
            <w:pPr>
              <w:pStyle w:val="TableNheader"/>
              <w:keepNext w:val="0"/>
              <w:keepLines/>
              <w:rPr>
                <w:sz w:val="17"/>
                <w:szCs w:val="17"/>
              </w:rPr>
            </w:pPr>
            <w:r w:rsidRPr="00C10DCE">
              <w:rPr>
                <w:sz w:val="17"/>
                <w:szCs w:val="17"/>
              </w:rPr>
              <w:t>Mode</w:t>
            </w:r>
          </w:p>
        </w:tc>
        <w:tc>
          <w:tcPr>
            <w:tcW w:w="23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1" w:themeFill="accent5"/>
          </w:tcPr>
          <w:p w14:paraId="4FD09891" w14:textId="77777777" w:rsidR="006F29B9" w:rsidRPr="00C10DCE" w:rsidRDefault="006F29B9">
            <w:pPr>
              <w:pStyle w:val="TableNheader"/>
              <w:keepNext w:val="0"/>
              <w:keepLines/>
              <w:rPr>
                <w:sz w:val="17"/>
                <w:szCs w:val="17"/>
              </w:rPr>
            </w:pPr>
            <w:r w:rsidRPr="00C10DCE">
              <w:rPr>
                <w:sz w:val="17"/>
                <w:szCs w:val="17"/>
              </w:rPr>
              <w:t xml:space="preserve">Purpose </w:t>
            </w:r>
          </w:p>
        </w:tc>
      </w:tr>
      <w:tr w:rsidR="006F29B9" w:rsidRPr="004D1E46" w14:paraId="39A7C4E7" w14:textId="77777777" w:rsidTr="3787E91E">
        <w:trPr>
          <w:trHeight w:val="236"/>
        </w:trPr>
        <w:tc>
          <w:tcPr>
            <w:tcW w:w="554" w:type="pct"/>
            <w:tcBorders>
              <w:top w:val="single" w:sz="4" w:space="0" w:color="000000" w:themeColor="text1"/>
            </w:tcBorders>
            <w:shd w:val="clear" w:color="auto" w:fill="00264D" w:themeFill="background2"/>
            <w:vAlign w:val="center"/>
          </w:tcPr>
          <w:p w14:paraId="2B2EFB0F" w14:textId="77777777" w:rsidR="006F29B9" w:rsidRPr="0088201A" w:rsidRDefault="006F29B9" w:rsidP="00C10DCE">
            <w:pPr>
              <w:pStyle w:val="TableNText"/>
              <w:keepNext w:val="0"/>
              <w:keepLines/>
              <w:jc w:val="center"/>
              <w:rPr>
                <w:color w:val="FFFFFF" w:themeColor="background1"/>
                <w:sz w:val="16"/>
                <w:szCs w:val="16"/>
              </w:rPr>
            </w:pPr>
            <w:r w:rsidRPr="0088201A">
              <w:rPr>
                <w:noProof/>
                <w:color w:val="FFFFFF" w:themeColor="background1"/>
                <w:sz w:val="16"/>
                <w:szCs w:val="16"/>
              </w:rPr>
              <mc:AlternateContent>
                <mc:Choice Requires="wps">
                  <w:drawing>
                    <wp:inline distT="0" distB="0" distL="0" distR="0" wp14:anchorId="767ED8A0" wp14:editId="7DDD64AB">
                      <wp:extent cx="356259" cy="306029"/>
                      <wp:effectExtent l="0" t="0" r="5715" b="0"/>
                      <wp:docPr id="12" name="Freeform: Shape 12" descr="An icon of a building with a flag on i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6259" cy="306029"/>
                              </a:xfrm>
                              <a:custGeom>
                                <a:avLst/>
                                <a:gdLst>
                                  <a:gd name="T0" fmla="*/ 190 w 213"/>
                                  <a:gd name="T1" fmla="*/ 157 h 183"/>
                                  <a:gd name="T2" fmla="*/ 186 w 213"/>
                                  <a:gd name="T3" fmla="*/ 143 h 183"/>
                                  <a:gd name="T4" fmla="*/ 140 w 213"/>
                                  <a:gd name="T5" fmla="*/ 110 h 183"/>
                                  <a:gd name="T6" fmla="*/ 137 w 213"/>
                                  <a:gd name="T7" fmla="*/ 67 h 183"/>
                                  <a:gd name="T8" fmla="*/ 134 w 213"/>
                                  <a:gd name="T9" fmla="*/ 112 h 183"/>
                                  <a:gd name="T10" fmla="*/ 170 w 213"/>
                                  <a:gd name="T11" fmla="*/ 143 h 183"/>
                                  <a:gd name="T12" fmla="*/ 123 w 213"/>
                                  <a:gd name="T13" fmla="*/ 116 h 183"/>
                                  <a:gd name="T14" fmla="*/ 120 w 213"/>
                                  <a:gd name="T15" fmla="*/ 55 h 183"/>
                                  <a:gd name="T16" fmla="*/ 116 w 213"/>
                                  <a:gd name="T17" fmla="*/ 88 h 183"/>
                                  <a:gd name="T18" fmla="*/ 106 w 213"/>
                                  <a:gd name="T19" fmla="*/ 8 h 183"/>
                                  <a:gd name="T20" fmla="*/ 93 w 213"/>
                                  <a:gd name="T21" fmla="*/ 0 h 183"/>
                                  <a:gd name="T22" fmla="*/ 79 w 213"/>
                                  <a:gd name="T23" fmla="*/ 8 h 183"/>
                                  <a:gd name="T24" fmla="*/ 69 w 213"/>
                                  <a:gd name="T25" fmla="*/ 12 h 183"/>
                                  <a:gd name="T26" fmla="*/ 58 w 213"/>
                                  <a:gd name="T27" fmla="*/ 6 h 183"/>
                                  <a:gd name="T28" fmla="*/ 56 w 213"/>
                                  <a:gd name="T29" fmla="*/ 30 h 183"/>
                                  <a:gd name="T30" fmla="*/ 69 w 213"/>
                                  <a:gd name="T31" fmla="*/ 39 h 183"/>
                                  <a:gd name="T32" fmla="*/ 95 w 213"/>
                                  <a:gd name="T33" fmla="*/ 29 h 183"/>
                                  <a:gd name="T34" fmla="*/ 100 w 213"/>
                                  <a:gd name="T35" fmla="*/ 35 h 183"/>
                                  <a:gd name="T36" fmla="*/ 100 w 213"/>
                                  <a:gd name="T37" fmla="*/ 88 h 183"/>
                                  <a:gd name="T38" fmla="*/ 90 w 213"/>
                                  <a:gd name="T39" fmla="*/ 59 h 183"/>
                                  <a:gd name="T40" fmla="*/ 83 w 213"/>
                                  <a:gd name="T41" fmla="*/ 59 h 183"/>
                                  <a:gd name="T42" fmla="*/ 50 w 213"/>
                                  <a:gd name="T43" fmla="*/ 143 h 183"/>
                                  <a:gd name="T44" fmla="*/ 71 w 213"/>
                                  <a:gd name="T45" fmla="*/ 114 h 183"/>
                                  <a:gd name="T46" fmla="*/ 72 w 213"/>
                                  <a:gd name="T47" fmla="*/ 71 h 183"/>
                                  <a:gd name="T48" fmla="*/ 66 w 213"/>
                                  <a:gd name="T49" fmla="*/ 71 h 183"/>
                                  <a:gd name="T50" fmla="*/ 26 w 213"/>
                                  <a:gd name="T51" fmla="*/ 143 h 183"/>
                                  <a:gd name="T52" fmla="*/ 17 w 213"/>
                                  <a:gd name="T53" fmla="*/ 146 h 183"/>
                                  <a:gd name="T54" fmla="*/ 3 w 213"/>
                                  <a:gd name="T55" fmla="*/ 157 h 183"/>
                                  <a:gd name="T56" fmla="*/ 3 w 213"/>
                                  <a:gd name="T57" fmla="*/ 163 h 183"/>
                                  <a:gd name="T58" fmla="*/ 23 w 213"/>
                                  <a:gd name="T59" fmla="*/ 160 h 183"/>
                                  <a:gd name="T60" fmla="*/ 23 w 213"/>
                                  <a:gd name="T61" fmla="*/ 149 h 183"/>
                                  <a:gd name="T62" fmla="*/ 90 w 213"/>
                                  <a:gd name="T63" fmla="*/ 180 h 183"/>
                                  <a:gd name="T64" fmla="*/ 113 w 213"/>
                                  <a:gd name="T65" fmla="*/ 183 h 183"/>
                                  <a:gd name="T66" fmla="*/ 124 w 213"/>
                                  <a:gd name="T67" fmla="*/ 149 h 183"/>
                                  <a:gd name="T68" fmla="*/ 183 w 213"/>
                                  <a:gd name="T69" fmla="*/ 160 h 183"/>
                                  <a:gd name="T70" fmla="*/ 187 w 213"/>
                                  <a:gd name="T71" fmla="*/ 163 h 183"/>
                                  <a:gd name="T72" fmla="*/ 210 w 213"/>
                                  <a:gd name="T73" fmla="*/ 163 h 183"/>
                                  <a:gd name="T74" fmla="*/ 210 w 213"/>
                                  <a:gd name="T75" fmla="*/ 157 h 183"/>
                                  <a:gd name="T76" fmla="*/ 88 w 213"/>
                                  <a:gd name="T77" fmla="*/ 145 h 183"/>
                                  <a:gd name="T78" fmla="*/ 60 w 213"/>
                                  <a:gd name="T79" fmla="*/ 143 h 183"/>
                                  <a:gd name="T80" fmla="*/ 90 w 213"/>
                                  <a:gd name="T81" fmla="*/ 117 h 183"/>
                                  <a:gd name="T82" fmla="*/ 100 w 213"/>
                                  <a:gd name="T83" fmla="*/ 94 h 183"/>
                                  <a:gd name="T84" fmla="*/ 103 w 213"/>
                                  <a:gd name="T85" fmla="*/ 122 h 183"/>
                                  <a:gd name="T86" fmla="*/ 106 w 213"/>
                                  <a:gd name="T87" fmla="*/ 94 h 183"/>
                                  <a:gd name="T88" fmla="*/ 116 w 213"/>
                                  <a:gd name="T89" fmla="*/ 117 h 183"/>
                                  <a:gd name="T90" fmla="*/ 146 w 213"/>
                                  <a:gd name="T91" fmla="*/ 143 h 183"/>
                                  <a:gd name="T92" fmla="*/ 119 w 213"/>
                                  <a:gd name="T93" fmla="*/ 145 h 183"/>
                                  <a:gd name="T94" fmla="*/ 96 w 213"/>
                                  <a:gd name="T95" fmla="*/ 176 h 183"/>
                                  <a:gd name="T96" fmla="*/ 69 w 213"/>
                                  <a:gd name="T97" fmla="*/ 32 h 183"/>
                                  <a:gd name="T98" fmla="*/ 63 w 213"/>
                                  <a:gd name="T99" fmla="*/ 29 h 183"/>
                                  <a:gd name="T100" fmla="*/ 63 w 213"/>
                                  <a:gd name="T101" fmla="*/ 17 h 183"/>
                                  <a:gd name="T102" fmla="*/ 83 w 213"/>
                                  <a:gd name="T103" fmla="*/ 13 h 183"/>
                                  <a:gd name="T104" fmla="*/ 93 w 213"/>
                                  <a:gd name="T105" fmla="*/ 7 h 183"/>
                                  <a:gd name="T106" fmla="*/ 100 w 213"/>
                                  <a:gd name="T107" fmla="*/ 9 h 183"/>
                                  <a:gd name="T108" fmla="*/ 99 w 213"/>
                                  <a:gd name="T109" fmla="*/ 23 h 183"/>
                                  <a:gd name="T110" fmla="*/ 81 w 213"/>
                                  <a:gd name="T111" fmla="*/ 29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13" h="183">
                                    <a:moveTo>
                                      <a:pt x="210" y="157"/>
                                    </a:moveTo>
                                    <a:cubicBezTo>
                                      <a:pt x="190" y="157"/>
                                      <a:pt x="190" y="157"/>
                                      <a:pt x="190" y="157"/>
                                    </a:cubicBezTo>
                                    <a:cubicBezTo>
                                      <a:pt x="190" y="146"/>
                                      <a:pt x="190" y="146"/>
                                      <a:pt x="190" y="146"/>
                                    </a:cubicBezTo>
                                    <a:cubicBezTo>
                                      <a:pt x="190" y="144"/>
                                      <a:pt x="188" y="143"/>
                                      <a:pt x="186" y="143"/>
                                    </a:cubicBezTo>
                                    <a:cubicBezTo>
                                      <a:pt x="181" y="143"/>
                                      <a:pt x="181" y="143"/>
                                      <a:pt x="181" y="143"/>
                                    </a:cubicBezTo>
                                    <a:cubicBezTo>
                                      <a:pt x="140" y="110"/>
                                      <a:pt x="140" y="110"/>
                                      <a:pt x="140" y="110"/>
                                    </a:cubicBezTo>
                                    <a:cubicBezTo>
                                      <a:pt x="140" y="71"/>
                                      <a:pt x="140" y="71"/>
                                      <a:pt x="140" y="71"/>
                                    </a:cubicBezTo>
                                    <a:cubicBezTo>
                                      <a:pt x="140" y="69"/>
                                      <a:pt x="139" y="67"/>
                                      <a:pt x="137" y="67"/>
                                    </a:cubicBezTo>
                                    <a:cubicBezTo>
                                      <a:pt x="135" y="67"/>
                                      <a:pt x="134" y="69"/>
                                      <a:pt x="134" y="71"/>
                                    </a:cubicBezTo>
                                    <a:cubicBezTo>
                                      <a:pt x="134" y="112"/>
                                      <a:pt x="134" y="112"/>
                                      <a:pt x="134" y="112"/>
                                    </a:cubicBezTo>
                                    <a:cubicBezTo>
                                      <a:pt x="134" y="113"/>
                                      <a:pt x="134" y="113"/>
                                      <a:pt x="135" y="114"/>
                                    </a:cubicBezTo>
                                    <a:cubicBezTo>
                                      <a:pt x="170" y="143"/>
                                      <a:pt x="170" y="143"/>
                                      <a:pt x="170" y="143"/>
                                    </a:cubicBezTo>
                                    <a:cubicBezTo>
                                      <a:pt x="156" y="143"/>
                                      <a:pt x="156" y="143"/>
                                      <a:pt x="156" y="143"/>
                                    </a:cubicBezTo>
                                    <a:cubicBezTo>
                                      <a:pt x="123" y="116"/>
                                      <a:pt x="123" y="116"/>
                                      <a:pt x="123" y="116"/>
                                    </a:cubicBezTo>
                                    <a:cubicBezTo>
                                      <a:pt x="123" y="59"/>
                                      <a:pt x="123" y="59"/>
                                      <a:pt x="123" y="59"/>
                                    </a:cubicBezTo>
                                    <a:cubicBezTo>
                                      <a:pt x="123" y="57"/>
                                      <a:pt x="122" y="55"/>
                                      <a:pt x="120" y="55"/>
                                    </a:cubicBezTo>
                                    <a:cubicBezTo>
                                      <a:pt x="118" y="55"/>
                                      <a:pt x="116" y="57"/>
                                      <a:pt x="116" y="59"/>
                                    </a:cubicBezTo>
                                    <a:cubicBezTo>
                                      <a:pt x="116" y="88"/>
                                      <a:pt x="116" y="88"/>
                                      <a:pt x="116" y="88"/>
                                    </a:cubicBezTo>
                                    <a:cubicBezTo>
                                      <a:pt x="106" y="88"/>
                                      <a:pt x="106" y="88"/>
                                      <a:pt x="106" y="88"/>
                                    </a:cubicBezTo>
                                    <a:cubicBezTo>
                                      <a:pt x="106" y="8"/>
                                      <a:pt x="106" y="8"/>
                                      <a:pt x="106" y="8"/>
                                    </a:cubicBezTo>
                                    <a:cubicBezTo>
                                      <a:pt x="106" y="7"/>
                                      <a:pt x="106" y="6"/>
                                      <a:pt x="106" y="6"/>
                                    </a:cubicBezTo>
                                    <a:cubicBezTo>
                                      <a:pt x="105" y="6"/>
                                      <a:pt x="100" y="0"/>
                                      <a:pt x="93" y="0"/>
                                    </a:cubicBezTo>
                                    <a:cubicBezTo>
                                      <a:pt x="86" y="0"/>
                                      <a:pt x="82" y="5"/>
                                      <a:pt x="79" y="7"/>
                                    </a:cubicBezTo>
                                    <a:cubicBezTo>
                                      <a:pt x="79" y="8"/>
                                      <a:pt x="79" y="8"/>
                                      <a:pt x="79" y="8"/>
                                    </a:cubicBezTo>
                                    <a:cubicBezTo>
                                      <a:pt x="79" y="8"/>
                                      <a:pt x="78" y="8"/>
                                      <a:pt x="78" y="9"/>
                                    </a:cubicBezTo>
                                    <a:cubicBezTo>
                                      <a:pt x="76" y="11"/>
                                      <a:pt x="73" y="12"/>
                                      <a:pt x="69" y="12"/>
                                    </a:cubicBezTo>
                                    <a:cubicBezTo>
                                      <a:pt x="67" y="12"/>
                                      <a:pt x="63" y="8"/>
                                      <a:pt x="62" y="7"/>
                                    </a:cubicBezTo>
                                    <a:cubicBezTo>
                                      <a:pt x="61" y="6"/>
                                      <a:pt x="60" y="5"/>
                                      <a:pt x="58" y="6"/>
                                    </a:cubicBezTo>
                                    <a:cubicBezTo>
                                      <a:pt x="57" y="6"/>
                                      <a:pt x="56" y="7"/>
                                      <a:pt x="56" y="9"/>
                                    </a:cubicBezTo>
                                    <a:cubicBezTo>
                                      <a:pt x="56" y="30"/>
                                      <a:pt x="56" y="30"/>
                                      <a:pt x="56" y="30"/>
                                    </a:cubicBezTo>
                                    <a:cubicBezTo>
                                      <a:pt x="56" y="31"/>
                                      <a:pt x="56" y="31"/>
                                      <a:pt x="56" y="31"/>
                                    </a:cubicBezTo>
                                    <a:cubicBezTo>
                                      <a:pt x="58" y="34"/>
                                      <a:pt x="61" y="39"/>
                                      <a:pt x="69" y="39"/>
                                    </a:cubicBezTo>
                                    <a:cubicBezTo>
                                      <a:pt x="75" y="39"/>
                                      <a:pt x="82" y="38"/>
                                      <a:pt x="86" y="32"/>
                                    </a:cubicBezTo>
                                    <a:cubicBezTo>
                                      <a:pt x="89" y="30"/>
                                      <a:pt x="90" y="29"/>
                                      <a:pt x="95" y="29"/>
                                    </a:cubicBezTo>
                                    <a:cubicBezTo>
                                      <a:pt x="97" y="29"/>
                                      <a:pt x="99" y="33"/>
                                      <a:pt x="99" y="34"/>
                                    </a:cubicBezTo>
                                    <a:cubicBezTo>
                                      <a:pt x="99" y="34"/>
                                      <a:pt x="100" y="35"/>
                                      <a:pt x="100" y="35"/>
                                    </a:cubicBezTo>
                                    <a:cubicBezTo>
                                      <a:pt x="100" y="35"/>
                                      <a:pt x="100" y="35"/>
                                      <a:pt x="100" y="35"/>
                                    </a:cubicBezTo>
                                    <a:cubicBezTo>
                                      <a:pt x="100" y="88"/>
                                      <a:pt x="100" y="88"/>
                                      <a:pt x="100" y="88"/>
                                    </a:cubicBezTo>
                                    <a:cubicBezTo>
                                      <a:pt x="90" y="88"/>
                                      <a:pt x="90" y="88"/>
                                      <a:pt x="90" y="88"/>
                                    </a:cubicBezTo>
                                    <a:cubicBezTo>
                                      <a:pt x="90" y="59"/>
                                      <a:pt x="90" y="59"/>
                                      <a:pt x="90" y="59"/>
                                    </a:cubicBezTo>
                                    <a:cubicBezTo>
                                      <a:pt x="90" y="57"/>
                                      <a:pt x="88" y="55"/>
                                      <a:pt x="87" y="55"/>
                                    </a:cubicBezTo>
                                    <a:cubicBezTo>
                                      <a:pt x="85" y="55"/>
                                      <a:pt x="83" y="57"/>
                                      <a:pt x="83" y="59"/>
                                    </a:cubicBezTo>
                                    <a:cubicBezTo>
                                      <a:pt x="83" y="116"/>
                                      <a:pt x="83" y="116"/>
                                      <a:pt x="83" y="116"/>
                                    </a:cubicBezTo>
                                    <a:cubicBezTo>
                                      <a:pt x="50" y="143"/>
                                      <a:pt x="50" y="143"/>
                                      <a:pt x="50" y="143"/>
                                    </a:cubicBezTo>
                                    <a:cubicBezTo>
                                      <a:pt x="36" y="143"/>
                                      <a:pt x="36" y="143"/>
                                      <a:pt x="36" y="143"/>
                                    </a:cubicBezTo>
                                    <a:cubicBezTo>
                                      <a:pt x="71" y="114"/>
                                      <a:pt x="71" y="114"/>
                                      <a:pt x="71" y="114"/>
                                    </a:cubicBezTo>
                                    <a:cubicBezTo>
                                      <a:pt x="72" y="113"/>
                                      <a:pt x="72" y="113"/>
                                      <a:pt x="72" y="112"/>
                                    </a:cubicBezTo>
                                    <a:cubicBezTo>
                                      <a:pt x="72" y="71"/>
                                      <a:pt x="72" y="71"/>
                                      <a:pt x="72" y="71"/>
                                    </a:cubicBezTo>
                                    <a:cubicBezTo>
                                      <a:pt x="72" y="69"/>
                                      <a:pt x="71" y="67"/>
                                      <a:pt x="69" y="67"/>
                                    </a:cubicBezTo>
                                    <a:cubicBezTo>
                                      <a:pt x="67" y="67"/>
                                      <a:pt x="66" y="69"/>
                                      <a:pt x="66" y="71"/>
                                    </a:cubicBezTo>
                                    <a:cubicBezTo>
                                      <a:pt x="66" y="110"/>
                                      <a:pt x="66" y="110"/>
                                      <a:pt x="66" y="110"/>
                                    </a:cubicBezTo>
                                    <a:cubicBezTo>
                                      <a:pt x="26" y="143"/>
                                      <a:pt x="26" y="143"/>
                                      <a:pt x="26" y="143"/>
                                    </a:cubicBezTo>
                                    <a:cubicBezTo>
                                      <a:pt x="20" y="143"/>
                                      <a:pt x="20" y="143"/>
                                      <a:pt x="20" y="143"/>
                                    </a:cubicBezTo>
                                    <a:cubicBezTo>
                                      <a:pt x="18" y="143"/>
                                      <a:pt x="17" y="144"/>
                                      <a:pt x="17" y="146"/>
                                    </a:cubicBezTo>
                                    <a:cubicBezTo>
                                      <a:pt x="17" y="157"/>
                                      <a:pt x="17" y="157"/>
                                      <a:pt x="17" y="157"/>
                                    </a:cubicBezTo>
                                    <a:cubicBezTo>
                                      <a:pt x="3" y="157"/>
                                      <a:pt x="3" y="157"/>
                                      <a:pt x="3" y="157"/>
                                    </a:cubicBezTo>
                                    <a:cubicBezTo>
                                      <a:pt x="1" y="157"/>
                                      <a:pt x="0" y="158"/>
                                      <a:pt x="0" y="160"/>
                                    </a:cubicBezTo>
                                    <a:cubicBezTo>
                                      <a:pt x="0" y="162"/>
                                      <a:pt x="1" y="163"/>
                                      <a:pt x="3" y="163"/>
                                    </a:cubicBezTo>
                                    <a:cubicBezTo>
                                      <a:pt x="20" y="163"/>
                                      <a:pt x="20" y="163"/>
                                      <a:pt x="20" y="163"/>
                                    </a:cubicBezTo>
                                    <a:cubicBezTo>
                                      <a:pt x="22" y="163"/>
                                      <a:pt x="23" y="162"/>
                                      <a:pt x="23" y="160"/>
                                    </a:cubicBezTo>
                                    <a:cubicBezTo>
                                      <a:pt x="23" y="160"/>
                                      <a:pt x="23" y="160"/>
                                      <a:pt x="23" y="160"/>
                                    </a:cubicBezTo>
                                    <a:cubicBezTo>
                                      <a:pt x="23" y="149"/>
                                      <a:pt x="23" y="149"/>
                                      <a:pt x="23" y="149"/>
                                    </a:cubicBezTo>
                                    <a:cubicBezTo>
                                      <a:pt x="82" y="149"/>
                                      <a:pt x="82" y="149"/>
                                      <a:pt x="82" y="149"/>
                                    </a:cubicBezTo>
                                    <a:cubicBezTo>
                                      <a:pt x="90" y="180"/>
                                      <a:pt x="90" y="180"/>
                                      <a:pt x="90" y="180"/>
                                    </a:cubicBezTo>
                                    <a:cubicBezTo>
                                      <a:pt x="90" y="182"/>
                                      <a:pt x="92" y="183"/>
                                      <a:pt x="93" y="183"/>
                                    </a:cubicBezTo>
                                    <a:cubicBezTo>
                                      <a:pt x="113" y="183"/>
                                      <a:pt x="113" y="183"/>
                                      <a:pt x="113" y="183"/>
                                    </a:cubicBezTo>
                                    <a:cubicBezTo>
                                      <a:pt x="115" y="183"/>
                                      <a:pt x="116" y="182"/>
                                      <a:pt x="116" y="180"/>
                                    </a:cubicBezTo>
                                    <a:cubicBezTo>
                                      <a:pt x="124" y="149"/>
                                      <a:pt x="124" y="149"/>
                                      <a:pt x="124" y="149"/>
                                    </a:cubicBezTo>
                                    <a:cubicBezTo>
                                      <a:pt x="183" y="149"/>
                                      <a:pt x="183" y="149"/>
                                      <a:pt x="183" y="149"/>
                                    </a:cubicBezTo>
                                    <a:cubicBezTo>
                                      <a:pt x="183" y="160"/>
                                      <a:pt x="183" y="160"/>
                                      <a:pt x="183" y="160"/>
                                    </a:cubicBezTo>
                                    <a:cubicBezTo>
                                      <a:pt x="183" y="162"/>
                                      <a:pt x="185" y="163"/>
                                      <a:pt x="186" y="163"/>
                                    </a:cubicBezTo>
                                    <a:cubicBezTo>
                                      <a:pt x="187" y="163"/>
                                      <a:pt x="187" y="163"/>
                                      <a:pt x="187" y="163"/>
                                    </a:cubicBezTo>
                                    <a:cubicBezTo>
                                      <a:pt x="187" y="163"/>
                                      <a:pt x="187" y="163"/>
                                      <a:pt x="187" y="163"/>
                                    </a:cubicBezTo>
                                    <a:cubicBezTo>
                                      <a:pt x="210" y="163"/>
                                      <a:pt x="210" y="163"/>
                                      <a:pt x="210" y="163"/>
                                    </a:cubicBezTo>
                                    <a:cubicBezTo>
                                      <a:pt x="212" y="163"/>
                                      <a:pt x="213" y="162"/>
                                      <a:pt x="213" y="160"/>
                                    </a:cubicBezTo>
                                    <a:cubicBezTo>
                                      <a:pt x="213" y="158"/>
                                      <a:pt x="212" y="157"/>
                                      <a:pt x="210" y="157"/>
                                    </a:cubicBezTo>
                                    <a:close/>
                                    <a:moveTo>
                                      <a:pt x="96" y="176"/>
                                    </a:moveTo>
                                    <a:cubicBezTo>
                                      <a:pt x="88" y="145"/>
                                      <a:pt x="88" y="145"/>
                                      <a:pt x="88" y="145"/>
                                    </a:cubicBezTo>
                                    <a:cubicBezTo>
                                      <a:pt x="87" y="144"/>
                                      <a:pt x="86" y="143"/>
                                      <a:pt x="84" y="143"/>
                                    </a:cubicBezTo>
                                    <a:cubicBezTo>
                                      <a:pt x="60" y="143"/>
                                      <a:pt x="60" y="143"/>
                                      <a:pt x="60" y="143"/>
                                    </a:cubicBezTo>
                                    <a:cubicBezTo>
                                      <a:pt x="89" y="120"/>
                                      <a:pt x="89" y="120"/>
                                      <a:pt x="89" y="120"/>
                                    </a:cubicBezTo>
                                    <a:cubicBezTo>
                                      <a:pt x="89" y="119"/>
                                      <a:pt x="90" y="118"/>
                                      <a:pt x="90" y="117"/>
                                    </a:cubicBezTo>
                                    <a:cubicBezTo>
                                      <a:pt x="90" y="94"/>
                                      <a:pt x="90" y="94"/>
                                      <a:pt x="90" y="94"/>
                                    </a:cubicBezTo>
                                    <a:cubicBezTo>
                                      <a:pt x="100" y="94"/>
                                      <a:pt x="100" y="94"/>
                                      <a:pt x="100" y="94"/>
                                    </a:cubicBezTo>
                                    <a:cubicBezTo>
                                      <a:pt x="100" y="119"/>
                                      <a:pt x="100" y="119"/>
                                      <a:pt x="100" y="119"/>
                                    </a:cubicBezTo>
                                    <a:cubicBezTo>
                                      <a:pt x="100" y="120"/>
                                      <a:pt x="101" y="122"/>
                                      <a:pt x="103" y="122"/>
                                    </a:cubicBezTo>
                                    <a:cubicBezTo>
                                      <a:pt x="105" y="122"/>
                                      <a:pt x="106" y="120"/>
                                      <a:pt x="106" y="119"/>
                                    </a:cubicBezTo>
                                    <a:cubicBezTo>
                                      <a:pt x="106" y="94"/>
                                      <a:pt x="106" y="94"/>
                                      <a:pt x="106" y="94"/>
                                    </a:cubicBezTo>
                                    <a:cubicBezTo>
                                      <a:pt x="116" y="94"/>
                                      <a:pt x="116" y="94"/>
                                      <a:pt x="116" y="94"/>
                                    </a:cubicBezTo>
                                    <a:cubicBezTo>
                                      <a:pt x="116" y="117"/>
                                      <a:pt x="116" y="117"/>
                                      <a:pt x="116" y="117"/>
                                    </a:cubicBezTo>
                                    <a:cubicBezTo>
                                      <a:pt x="116" y="118"/>
                                      <a:pt x="117" y="119"/>
                                      <a:pt x="118" y="120"/>
                                    </a:cubicBezTo>
                                    <a:cubicBezTo>
                                      <a:pt x="146" y="143"/>
                                      <a:pt x="146" y="143"/>
                                      <a:pt x="146" y="143"/>
                                    </a:cubicBezTo>
                                    <a:cubicBezTo>
                                      <a:pt x="122" y="143"/>
                                      <a:pt x="122" y="143"/>
                                      <a:pt x="122" y="143"/>
                                    </a:cubicBezTo>
                                    <a:cubicBezTo>
                                      <a:pt x="120" y="143"/>
                                      <a:pt x="119" y="144"/>
                                      <a:pt x="119" y="145"/>
                                    </a:cubicBezTo>
                                    <a:cubicBezTo>
                                      <a:pt x="111" y="176"/>
                                      <a:pt x="111" y="176"/>
                                      <a:pt x="111" y="176"/>
                                    </a:cubicBezTo>
                                    <a:lnTo>
                                      <a:pt x="96" y="176"/>
                                    </a:lnTo>
                                    <a:close/>
                                    <a:moveTo>
                                      <a:pt x="81" y="29"/>
                                    </a:moveTo>
                                    <a:cubicBezTo>
                                      <a:pt x="79" y="31"/>
                                      <a:pt x="75" y="32"/>
                                      <a:pt x="69" y="32"/>
                                    </a:cubicBezTo>
                                    <a:cubicBezTo>
                                      <a:pt x="65" y="32"/>
                                      <a:pt x="63" y="30"/>
                                      <a:pt x="63" y="29"/>
                                    </a:cubicBezTo>
                                    <a:cubicBezTo>
                                      <a:pt x="63" y="29"/>
                                      <a:pt x="63" y="29"/>
                                      <a:pt x="63" y="29"/>
                                    </a:cubicBezTo>
                                    <a:cubicBezTo>
                                      <a:pt x="63" y="16"/>
                                      <a:pt x="63" y="16"/>
                                      <a:pt x="63" y="16"/>
                                    </a:cubicBezTo>
                                    <a:cubicBezTo>
                                      <a:pt x="63" y="17"/>
                                      <a:pt x="63" y="17"/>
                                      <a:pt x="63" y="17"/>
                                    </a:cubicBezTo>
                                    <a:cubicBezTo>
                                      <a:pt x="65" y="18"/>
                                      <a:pt x="67" y="18"/>
                                      <a:pt x="69" y="18"/>
                                    </a:cubicBezTo>
                                    <a:cubicBezTo>
                                      <a:pt x="75" y="18"/>
                                      <a:pt x="79" y="17"/>
                                      <a:pt x="83" y="13"/>
                                    </a:cubicBezTo>
                                    <a:cubicBezTo>
                                      <a:pt x="83" y="13"/>
                                      <a:pt x="83" y="12"/>
                                      <a:pt x="84" y="12"/>
                                    </a:cubicBezTo>
                                    <a:cubicBezTo>
                                      <a:pt x="86" y="9"/>
                                      <a:pt x="89" y="7"/>
                                      <a:pt x="93" y="7"/>
                                    </a:cubicBezTo>
                                    <a:cubicBezTo>
                                      <a:pt x="96" y="7"/>
                                      <a:pt x="98" y="8"/>
                                      <a:pt x="100" y="9"/>
                                    </a:cubicBezTo>
                                    <a:cubicBezTo>
                                      <a:pt x="100" y="9"/>
                                      <a:pt x="100" y="9"/>
                                      <a:pt x="100" y="9"/>
                                    </a:cubicBezTo>
                                    <a:cubicBezTo>
                                      <a:pt x="100" y="24"/>
                                      <a:pt x="100" y="24"/>
                                      <a:pt x="100" y="24"/>
                                    </a:cubicBezTo>
                                    <a:cubicBezTo>
                                      <a:pt x="99" y="23"/>
                                      <a:pt x="99" y="23"/>
                                      <a:pt x="99" y="23"/>
                                    </a:cubicBezTo>
                                    <a:cubicBezTo>
                                      <a:pt x="98" y="23"/>
                                      <a:pt x="96" y="22"/>
                                      <a:pt x="95" y="22"/>
                                    </a:cubicBezTo>
                                    <a:cubicBezTo>
                                      <a:pt x="88" y="22"/>
                                      <a:pt x="85" y="24"/>
                                      <a:pt x="81" y="29"/>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xmlns:w16du="http://schemas.microsoft.com/office/word/2023/wordml/word16du">
                  <w:pict>
                    <v:shape w14:anchorId="2A514765" id="Freeform: Shape 12" o:spid="_x0000_s1026" alt="An icon of a building with a flag on it." style="width:28.05pt;height:24.1pt;visibility:visible;mso-wrap-style:square;mso-left-percent:-10001;mso-top-percent:-10001;mso-position-horizontal:absolute;mso-position-horizontal-relative:char;mso-position-vertical:absolute;mso-position-vertical-relative:line;mso-left-percent:-10001;mso-top-percent:-10001;v-text-anchor:top" coordsize="213,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" path="m210,157v-20,,-20,,-20,c190,146,190,146,190,146v,-2,-2,-3,-4,-3c181,143,181,143,181,143,140,110,140,110,140,110v,-39,,-39,,-39c140,69,139,67,137,67v-2,,-3,2,-3,4c134,112,134,112,134,112v,1,,1,1,2c170,143,170,143,170,143v-14,,-14,,-14,c123,116,123,116,123,116v,-57,,-57,,-57c123,57,122,55,120,55v-2,,-4,2,-4,4c116,88,116,88,116,88v-10,,-10,,-10,c106,8,106,8,106,8v,-1,,-2,,-2c105,6,100,,93,,86,,82,5,79,7v,1,,1,,1c79,8,78,8,78,9v-2,2,-5,3,-9,3c67,12,63,8,62,7,61,6,60,5,58,6v-1,,-2,1,-2,3c56,30,56,30,56,30v,1,,1,,1c58,34,61,39,69,39v6,,13,-1,17,-7c89,30,90,29,95,29v2,,4,4,4,5c99,34,100,35,100,35v,,,,,c100,88,100,88,100,88v-10,,-10,,-10,c90,59,90,59,90,59v,-2,-2,-4,-3,-4c85,55,83,57,83,59v,57,,57,,57c50,143,50,143,50,143v-14,,-14,,-14,c71,114,71,114,71,114v1,-1,1,-1,1,-2c72,71,72,71,72,71v,-2,-1,-4,-3,-4c67,67,66,69,66,71v,39,,39,,39c26,143,26,143,26,143v-6,,-6,,-6,c18,143,17,144,17,146v,11,,11,,11c3,157,3,157,3,157v-2,,-3,1,-3,3c,162,1,163,3,163v17,,17,,17,c22,163,23,162,23,160v,,,,,c23,149,23,149,23,149v59,,59,,59,c90,180,90,180,90,180v,2,2,3,3,3c113,183,113,183,113,183v2,,3,-1,3,-3c124,149,124,149,124,149v59,,59,,59,c183,160,183,160,183,160v,2,2,3,3,3c187,163,187,163,187,163v,,,,,c210,163,210,163,210,163v2,,3,-1,3,-3c213,158,212,157,210,157xm96,176c88,145,88,145,88,145v-1,-1,-2,-2,-4,-2c60,143,60,143,60,143,89,120,89,120,89,120v,-1,1,-2,1,-3c90,94,90,94,90,94v10,,10,,10,c100,119,100,119,100,119v,1,1,3,3,3c105,122,106,120,106,119v,-25,,-25,,-25c116,94,116,94,116,94v,23,,23,,23c116,118,117,119,118,120v28,23,28,23,28,23c122,143,122,143,122,143v-2,,-3,1,-3,2c111,176,111,176,111,176r-15,xm81,29v-2,2,-6,3,-12,3c65,32,63,30,63,29v,,,,,c63,16,63,16,63,16v,1,,1,,1c65,18,67,18,69,18v6,,10,-1,14,-5c83,13,83,12,84,12,86,9,89,7,93,7v3,,5,1,7,2c100,9,100,9,100,9v,15,,15,,15c99,23,99,23,99,23v-1,,-3,-1,-4,-1c88,22,85,24,81,29xe" fillcolor="white [3212]" stroked="f">
                      <v:path arrowok="t" o:connecttype="custom" o:connectlocs="317790,262549;311099,239137;234161,183952;229143,112043;224125,187296;284338,239137;205727,193986;200709,91976;194019,147161;177293,13378;155550,0;132134,13378;115408,20067;97009,10034;93664,50169;115408,65219;158895,48496;167258,58530;167258,147161;150532,98665;138824,98665;83629,239137;118753,190641;120426,118733;110390,118733;43487,239137;28434,244154;5018,262549;5018,272583;38469,267566;38469,249171;150532,301012;189001,306029;207400,249171;306082,267566;312772,272583;351241,272583;351241,262549;147187,242482;100355,239137;150532,195658;167258,157195;172275,204019;177293,157195;194019,195658;244196,239137;199037,242482;160567,294323;115408,53513;105372,48496;105372,28429;138824,21740;155550,11706;167258,15051;165585,38463;135479,48496" o:connectangles="0,0,0,0,0,0,0,0,0,0,0,0,0,0,0,0,0,0,0,0,0,0,0,0,0,0,0,0,0,0,0,0,0,0,0,0,0,0,0,0,0,0,0,0,0,0,0,0,0,0,0,0,0,0,0,0"/>
                      <o:lock v:ext="edit" aspectratio="t" verticies="t"/>
                      <w10:anchorlock/>
                    </v:shape>
                  </w:pict>
                </mc:Fallback>
              </mc:AlternateContent>
            </w:r>
          </w:p>
        </w:tc>
        <w:tc>
          <w:tcPr>
            <w:tcW w:w="874" w:type="pct"/>
            <w:tcBorders>
              <w:top w:val="single" w:sz="4" w:space="0" w:color="000000" w:themeColor="text1"/>
            </w:tcBorders>
            <w:shd w:val="clear" w:color="auto" w:fill="00264D" w:themeFill="background2"/>
            <w:vAlign w:val="center"/>
          </w:tcPr>
          <w:p w14:paraId="4462351B" w14:textId="77777777" w:rsidR="006F29B9" w:rsidRPr="0088201A" w:rsidRDefault="006F29B9" w:rsidP="00C10DCE">
            <w:pPr>
              <w:pStyle w:val="TableNText"/>
              <w:keepNext w:val="0"/>
              <w:keepLines/>
              <w:rPr>
                <w:rFonts w:asciiTheme="majorHAnsi" w:hAnsiTheme="majorHAnsi" w:cstheme="majorHAnsi"/>
                <w:color w:val="FFFFFF" w:themeColor="background1"/>
                <w:sz w:val="16"/>
                <w:szCs w:val="16"/>
              </w:rPr>
            </w:pPr>
            <w:r w:rsidRPr="0088201A">
              <w:rPr>
                <w:rFonts w:asciiTheme="majorHAnsi" w:hAnsiTheme="majorHAnsi" w:cstheme="majorHAnsi"/>
                <w:color w:val="FFFFFF" w:themeColor="background1"/>
                <w:sz w:val="16"/>
                <w:szCs w:val="16"/>
              </w:rPr>
              <w:t xml:space="preserve">Department of Health </w:t>
            </w:r>
          </w:p>
        </w:tc>
        <w:tc>
          <w:tcPr>
            <w:tcW w:w="1271" w:type="pct"/>
            <w:tcBorders>
              <w:top w:val="single" w:sz="4" w:space="0" w:color="000000" w:themeColor="text1"/>
            </w:tcBorders>
          </w:tcPr>
          <w:p w14:paraId="069C31AA" w14:textId="77777777" w:rsidR="006F29B9" w:rsidRPr="00C10DCE" w:rsidRDefault="006F29B9" w:rsidP="00C10DCE">
            <w:pPr>
              <w:pStyle w:val="TableNText"/>
              <w:keepNext w:val="0"/>
              <w:keepLines/>
              <w:rPr>
                <w:color w:val="000000" w:themeColor="text1"/>
                <w:sz w:val="16"/>
                <w:szCs w:val="16"/>
              </w:rPr>
            </w:pPr>
            <w:r w:rsidRPr="00C10DCE">
              <w:rPr>
                <w:color w:val="000000" w:themeColor="text1"/>
                <w:sz w:val="16"/>
                <w:szCs w:val="16"/>
              </w:rPr>
              <w:t>Weekly check-in meetings (Phase 1)</w:t>
            </w:r>
          </w:p>
          <w:p w14:paraId="312A0CF8" w14:textId="77777777" w:rsidR="006F29B9" w:rsidRPr="00C10DCE" w:rsidRDefault="006F29B9" w:rsidP="00C10DCE">
            <w:pPr>
              <w:pStyle w:val="TableNText"/>
              <w:keepNext w:val="0"/>
              <w:keepLines/>
              <w:rPr>
                <w:color w:val="000000" w:themeColor="text1"/>
                <w:sz w:val="16"/>
                <w:szCs w:val="16"/>
              </w:rPr>
            </w:pPr>
            <w:r w:rsidRPr="00C10DCE">
              <w:rPr>
                <w:color w:val="000000" w:themeColor="text1"/>
                <w:sz w:val="16"/>
                <w:szCs w:val="16"/>
              </w:rPr>
              <w:t>Monthly check-in meetings (Phase 2)</w:t>
            </w:r>
          </w:p>
          <w:p w14:paraId="35404123" w14:textId="77777777" w:rsidR="006F29B9" w:rsidRPr="00C10DCE" w:rsidRDefault="006F29B9" w:rsidP="00C10DCE">
            <w:pPr>
              <w:pStyle w:val="TableNText"/>
              <w:keepNext w:val="0"/>
              <w:keepLines/>
              <w:rPr>
                <w:color w:val="000000" w:themeColor="text1"/>
                <w:sz w:val="16"/>
                <w:szCs w:val="16"/>
              </w:rPr>
            </w:pPr>
            <w:r w:rsidRPr="00C10DCE">
              <w:rPr>
                <w:color w:val="000000" w:themeColor="text1"/>
                <w:sz w:val="16"/>
                <w:szCs w:val="16"/>
              </w:rPr>
              <w:t>Fortnightly updates</w:t>
            </w:r>
          </w:p>
        </w:tc>
        <w:tc>
          <w:tcPr>
            <w:tcW w:w="2301" w:type="pct"/>
            <w:tcBorders>
              <w:top w:val="single" w:sz="4" w:space="0" w:color="000000" w:themeColor="text1"/>
            </w:tcBorders>
          </w:tcPr>
          <w:p w14:paraId="7D0FBAA5" w14:textId="77777777" w:rsidR="006F29B9" w:rsidRPr="00C10DCE" w:rsidRDefault="006F29B9" w:rsidP="3787E91E">
            <w:pPr>
              <w:pStyle w:val="TableNBullet"/>
              <w:keepLines/>
              <w:numPr>
                <w:ilvl w:val="0"/>
                <w:numId w:val="9"/>
              </w:numPr>
              <w:rPr>
                <w:color w:val="000000" w:themeColor="text1"/>
                <w:sz w:val="16"/>
                <w:szCs w:val="16"/>
              </w:rPr>
            </w:pPr>
            <w:r w:rsidRPr="3787E91E">
              <w:rPr>
                <w:color w:val="000000" w:themeColor="text1"/>
                <w:sz w:val="16"/>
                <w:szCs w:val="16"/>
              </w:rPr>
              <w:t xml:space="preserve">Provide insight on the context and facilitate access to stakeholders and data. </w:t>
            </w:r>
          </w:p>
          <w:p w14:paraId="5F785176" w14:textId="77777777" w:rsidR="006F29B9" w:rsidRPr="00C10DCE" w:rsidRDefault="006F29B9" w:rsidP="00662DDD">
            <w:pPr>
              <w:pStyle w:val="TableNBullet"/>
              <w:keepLines/>
              <w:numPr>
                <w:ilvl w:val="0"/>
                <w:numId w:val="9"/>
              </w:numPr>
              <w:rPr>
                <w:color w:val="000000" w:themeColor="text1"/>
                <w:sz w:val="16"/>
                <w:szCs w:val="18"/>
              </w:rPr>
            </w:pPr>
            <w:r w:rsidRPr="00C10DCE">
              <w:rPr>
                <w:color w:val="000000" w:themeColor="text1"/>
                <w:sz w:val="16"/>
                <w:szCs w:val="18"/>
              </w:rPr>
              <w:t xml:space="preserve">Discuss emerging findings and potential risks. </w:t>
            </w:r>
          </w:p>
          <w:p w14:paraId="25DA1015" w14:textId="77777777" w:rsidR="006F29B9" w:rsidRPr="00C10DCE" w:rsidRDefault="006F29B9" w:rsidP="00662DDD">
            <w:pPr>
              <w:pStyle w:val="TableNBullet"/>
              <w:keepLines/>
              <w:numPr>
                <w:ilvl w:val="0"/>
                <w:numId w:val="9"/>
              </w:numPr>
              <w:rPr>
                <w:color w:val="000000" w:themeColor="text1"/>
                <w:sz w:val="16"/>
                <w:szCs w:val="18"/>
              </w:rPr>
            </w:pPr>
            <w:r w:rsidRPr="00C10DCE">
              <w:rPr>
                <w:color w:val="000000" w:themeColor="text1"/>
                <w:sz w:val="16"/>
                <w:szCs w:val="18"/>
              </w:rPr>
              <w:t xml:space="preserve">Advise on and approve deliverables. </w:t>
            </w:r>
          </w:p>
        </w:tc>
      </w:tr>
      <w:tr w:rsidR="006F29B9" w:rsidRPr="004D1E46" w14:paraId="44B1F543" w14:textId="77777777" w:rsidTr="3787E91E">
        <w:trPr>
          <w:trHeight w:val="236"/>
        </w:trPr>
        <w:tc>
          <w:tcPr>
            <w:tcW w:w="554" w:type="pct"/>
            <w:shd w:val="clear" w:color="auto" w:fill="00264D" w:themeFill="background2"/>
            <w:vAlign w:val="center"/>
          </w:tcPr>
          <w:p w14:paraId="7439B27F" w14:textId="77777777" w:rsidR="006F29B9" w:rsidRPr="0088201A" w:rsidRDefault="006F29B9" w:rsidP="00C10DCE">
            <w:pPr>
              <w:pStyle w:val="TableNText"/>
              <w:keepNext w:val="0"/>
              <w:keepLines/>
              <w:jc w:val="center"/>
              <w:rPr>
                <w:color w:val="FFFFFF" w:themeColor="background1"/>
                <w:sz w:val="16"/>
                <w:szCs w:val="16"/>
              </w:rPr>
            </w:pPr>
            <w:r w:rsidRPr="0088201A">
              <w:rPr>
                <w:noProof/>
                <w:color w:val="FFFFFF" w:themeColor="background1"/>
                <w:sz w:val="16"/>
                <w:szCs w:val="16"/>
              </w:rPr>
              <w:drawing>
                <wp:inline distT="0" distB="0" distL="0" distR="0" wp14:anchorId="4B85D455" wp14:editId="039F2B17">
                  <wp:extent cx="298450" cy="323215"/>
                  <wp:effectExtent l="0" t="0" r="6350" b="635"/>
                  <wp:docPr id="63" name="Picture 63" descr="An icon of a person with a circle arou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n icon of a person with a circle around the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450" cy="323215"/>
                          </a:xfrm>
                          <a:prstGeom prst="rect">
                            <a:avLst/>
                          </a:prstGeom>
                          <a:noFill/>
                        </pic:spPr>
                      </pic:pic>
                    </a:graphicData>
                  </a:graphic>
                </wp:inline>
              </w:drawing>
            </w:r>
          </w:p>
        </w:tc>
        <w:tc>
          <w:tcPr>
            <w:tcW w:w="874" w:type="pct"/>
            <w:shd w:val="clear" w:color="auto" w:fill="00264D" w:themeFill="background2"/>
            <w:vAlign w:val="center"/>
          </w:tcPr>
          <w:p w14:paraId="6481B782" w14:textId="77777777" w:rsidR="006F29B9" w:rsidRPr="0088201A" w:rsidRDefault="006F29B9" w:rsidP="00C10DCE">
            <w:pPr>
              <w:pStyle w:val="TableNText"/>
              <w:keepNext w:val="0"/>
              <w:keepLines/>
              <w:rPr>
                <w:rFonts w:asciiTheme="majorHAnsi" w:hAnsiTheme="majorHAnsi" w:cstheme="majorHAnsi"/>
                <w:color w:val="FFFFFF" w:themeColor="background1"/>
                <w:sz w:val="16"/>
                <w:szCs w:val="16"/>
              </w:rPr>
            </w:pPr>
            <w:r w:rsidRPr="0088201A">
              <w:rPr>
                <w:rFonts w:asciiTheme="majorHAnsi" w:hAnsiTheme="majorHAnsi" w:cstheme="majorHAnsi"/>
                <w:color w:val="FFFFFF" w:themeColor="background1"/>
                <w:sz w:val="16"/>
                <w:szCs w:val="16"/>
              </w:rPr>
              <w:t>Consumers</w:t>
            </w:r>
          </w:p>
        </w:tc>
        <w:tc>
          <w:tcPr>
            <w:tcW w:w="1271" w:type="pct"/>
          </w:tcPr>
          <w:p w14:paraId="5F69DC5A" w14:textId="77777777" w:rsidR="006F29B9" w:rsidRPr="00C10DCE" w:rsidRDefault="006F29B9" w:rsidP="00C10DCE">
            <w:pPr>
              <w:pStyle w:val="TableNText"/>
              <w:keepNext w:val="0"/>
              <w:keepLines/>
              <w:rPr>
                <w:color w:val="000000" w:themeColor="text1"/>
                <w:sz w:val="16"/>
                <w:szCs w:val="16"/>
              </w:rPr>
            </w:pPr>
            <w:r w:rsidRPr="00C10DCE">
              <w:rPr>
                <w:color w:val="000000" w:themeColor="text1"/>
                <w:sz w:val="16"/>
                <w:szCs w:val="16"/>
              </w:rPr>
              <w:t>Survey and interviews</w:t>
            </w:r>
          </w:p>
        </w:tc>
        <w:tc>
          <w:tcPr>
            <w:tcW w:w="2301" w:type="pct"/>
          </w:tcPr>
          <w:p w14:paraId="7B3758A3" w14:textId="77777777" w:rsidR="006F29B9" w:rsidRPr="00C10DCE" w:rsidRDefault="006F29B9" w:rsidP="3787E91E">
            <w:pPr>
              <w:pStyle w:val="TableNBullet"/>
              <w:keepLines/>
              <w:numPr>
                <w:ilvl w:val="0"/>
                <w:numId w:val="9"/>
              </w:numPr>
              <w:rPr>
                <w:color w:val="000000" w:themeColor="text1"/>
                <w:sz w:val="16"/>
                <w:szCs w:val="16"/>
              </w:rPr>
            </w:pPr>
            <w:r w:rsidRPr="3787E91E">
              <w:rPr>
                <w:color w:val="000000" w:themeColor="text1"/>
                <w:sz w:val="16"/>
                <w:szCs w:val="16"/>
              </w:rPr>
              <w:t>Provide insights on end user impact and perception of the reforms.</w:t>
            </w:r>
          </w:p>
          <w:p w14:paraId="15504D4B" w14:textId="77777777" w:rsidR="006F29B9" w:rsidRPr="00C10DCE" w:rsidRDefault="006F29B9" w:rsidP="00662DDD">
            <w:pPr>
              <w:pStyle w:val="TableNBullet"/>
              <w:keepLines/>
              <w:numPr>
                <w:ilvl w:val="0"/>
                <w:numId w:val="9"/>
              </w:numPr>
              <w:rPr>
                <w:color w:val="000000" w:themeColor="text1"/>
                <w:sz w:val="16"/>
                <w:szCs w:val="18"/>
              </w:rPr>
            </w:pPr>
            <w:r w:rsidRPr="00C10DCE">
              <w:rPr>
                <w:color w:val="000000" w:themeColor="text1"/>
                <w:sz w:val="16"/>
                <w:szCs w:val="18"/>
              </w:rPr>
              <w:t>Provide insights on the public and private systems, and associated challenges.</w:t>
            </w:r>
          </w:p>
        </w:tc>
      </w:tr>
      <w:tr w:rsidR="006F29B9" w:rsidRPr="004D1E46" w14:paraId="00CA085B" w14:textId="77777777" w:rsidTr="3787E91E">
        <w:trPr>
          <w:trHeight w:val="346"/>
        </w:trPr>
        <w:tc>
          <w:tcPr>
            <w:tcW w:w="554" w:type="pct"/>
            <w:shd w:val="clear" w:color="auto" w:fill="00264D" w:themeFill="background2"/>
            <w:vAlign w:val="center"/>
          </w:tcPr>
          <w:p w14:paraId="7A1ADBF6" w14:textId="77777777" w:rsidR="006F29B9" w:rsidRPr="0088201A" w:rsidRDefault="006F29B9" w:rsidP="00C10DCE">
            <w:pPr>
              <w:pStyle w:val="TableNText"/>
              <w:keepNext w:val="0"/>
              <w:keepLines/>
              <w:jc w:val="center"/>
              <w:rPr>
                <w:color w:val="FFFFFF" w:themeColor="background1"/>
                <w:sz w:val="16"/>
                <w:szCs w:val="16"/>
              </w:rPr>
            </w:pPr>
            <w:r w:rsidRPr="0088201A">
              <w:rPr>
                <w:noProof/>
                <w:color w:val="FFFFFF" w:themeColor="background1"/>
                <w:sz w:val="16"/>
                <w:szCs w:val="16"/>
              </w:rPr>
              <w:drawing>
                <wp:inline distT="0" distB="0" distL="0" distR="0" wp14:anchorId="04AE5DC3" wp14:editId="6E57A3D3">
                  <wp:extent cx="319608" cy="336430"/>
                  <wp:effectExtent l="0" t="0" r="4445" b="6985"/>
                  <wp:docPr id="49" name="Graphic 49" descr="An icon of a hospital.">
                    <a:extLst xmlns:a="http://schemas.openxmlformats.org/drawingml/2006/main">
                      <a:ext uri="{FF2B5EF4-FFF2-40B4-BE49-F238E27FC236}">
                        <a16:creationId xmlns:a16="http://schemas.microsoft.com/office/drawing/2014/main" id="{52A2EF67-9FA9-46FB-A097-A4D4A1C2D0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descr="An icon of a hospital.">
                            <a:extLst>
                              <a:ext uri="{FF2B5EF4-FFF2-40B4-BE49-F238E27FC236}">
                                <a16:creationId xmlns:a16="http://schemas.microsoft.com/office/drawing/2014/main" id="{52A2EF67-9FA9-46FB-A097-A4D4A1C2D0A6}"/>
                              </a:ext>
                            </a:extLst>
                          </pic:cNvPr>
                          <pic:cNvPicPr>
                            <a:picLocks noChangeAspect="1"/>
                          </pic:cNvPicPr>
                        </pic:nvPicPr>
                        <pic:blipFill>
                          <a:blip r:embed="rId73">
                            <a:extLst>
                              <a:ext uri="{96DAC541-7B7A-43D3-8B79-37D633B846F1}">
                                <asvg:svgBlip xmlns:asvg="http://schemas.microsoft.com/office/drawing/2016/SVG/main" r:embed="rId74"/>
                              </a:ext>
                            </a:extLst>
                          </a:blip>
                          <a:stretch>
                            <a:fillRect/>
                          </a:stretch>
                        </pic:blipFill>
                        <pic:spPr>
                          <a:xfrm>
                            <a:off x="0" y="0"/>
                            <a:ext cx="324774" cy="341868"/>
                          </a:xfrm>
                          <a:prstGeom prst="rect">
                            <a:avLst/>
                          </a:prstGeom>
                        </pic:spPr>
                      </pic:pic>
                    </a:graphicData>
                  </a:graphic>
                </wp:inline>
              </w:drawing>
            </w:r>
          </w:p>
        </w:tc>
        <w:tc>
          <w:tcPr>
            <w:tcW w:w="874" w:type="pct"/>
            <w:shd w:val="clear" w:color="auto" w:fill="00264D" w:themeFill="background2"/>
            <w:vAlign w:val="center"/>
          </w:tcPr>
          <w:p w14:paraId="73755749" w14:textId="77777777" w:rsidR="006F29B9" w:rsidRPr="0088201A" w:rsidRDefault="006F29B9" w:rsidP="00C10DCE">
            <w:pPr>
              <w:pStyle w:val="TableNText"/>
              <w:keepNext w:val="0"/>
              <w:keepLines/>
              <w:rPr>
                <w:rFonts w:asciiTheme="majorHAnsi" w:hAnsiTheme="majorHAnsi" w:cstheme="majorHAnsi"/>
                <w:color w:val="FFFFFF" w:themeColor="background1"/>
                <w:sz w:val="16"/>
                <w:szCs w:val="16"/>
              </w:rPr>
            </w:pPr>
            <w:r w:rsidRPr="0088201A">
              <w:rPr>
                <w:rFonts w:asciiTheme="majorHAnsi" w:hAnsiTheme="majorHAnsi" w:cstheme="majorHAnsi"/>
                <w:color w:val="FFFFFF" w:themeColor="background1"/>
                <w:sz w:val="16"/>
                <w:szCs w:val="16"/>
              </w:rPr>
              <w:t>Public healthcare providers</w:t>
            </w:r>
          </w:p>
        </w:tc>
        <w:tc>
          <w:tcPr>
            <w:tcW w:w="1271" w:type="pct"/>
          </w:tcPr>
          <w:p w14:paraId="77A29383" w14:textId="77777777" w:rsidR="006F29B9" w:rsidRPr="00C10DCE" w:rsidRDefault="006F29B9" w:rsidP="00C10DCE">
            <w:pPr>
              <w:pStyle w:val="TableNText"/>
              <w:keepNext w:val="0"/>
              <w:keepLines/>
              <w:rPr>
                <w:rFonts w:cs="Segoe UI"/>
                <w:color w:val="000000" w:themeColor="text1"/>
                <w:sz w:val="16"/>
                <w:szCs w:val="16"/>
              </w:rPr>
            </w:pPr>
            <w:r w:rsidRPr="00C10DCE">
              <w:rPr>
                <w:rFonts w:cs="Segoe UI"/>
                <w:color w:val="000000" w:themeColor="text1"/>
                <w:sz w:val="16"/>
                <w:szCs w:val="16"/>
              </w:rPr>
              <w:t>Survey and</w:t>
            </w:r>
          </w:p>
          <w:p w14:paraId="3301FC81" w14:textId="77777777" w:rsidR="006F29B9" w:rsidRPr="00C10DCE" w:rsidRDefault="006F29B9" w:rsidP="00C10DCE">
            <w:pPr>
              <w:pStyle w:val="TableNText"/>
              <w:keepNext w:val="0"/>
              <w:keepLines/>
              <w:rPr>
                <w:rFonts w:cs="Segoe UI"/>
                <w:color w:val="000000" w:themeColor="text1"/>
                <w:sz w:val="16"/>
                <w:szCs w:val="16"/>
              </w:rPr>
            </w:pPr>
            <w:r w:rsidRPr="00C10DCE">
              <w:rPr>
                <w:rFonts w:cs="Segoe UI"/>
                <w:color w:val="000000" w:themeColor="text1"/>
                <w:sz w:val="16"/>
                <w:szCs w:val="16"/>
              </w:rPr>
              <w:t>interviews</w:t>
            </w:r>
          </w:p>
        </w:tc>
        <w:tc>
          <w:tcPr>
            <w:tcW w:w="2301" w:type="pct"/>
          </w:tcPr>
          <w:p w14:paraId="6E40BAB3" w14:textId="77777777" w:rsidR="006F29B9" w:rsidRPr="00C10DCE" w:rsidRDefault="006F29B9" w:rsidP="00662DDD">
            <w:pPr>
              <w:pStyle w:val="TableNBullet"/>
              <w:keepLines/>
              <w:numPr>
                <w:ilvl w:val="0"/>
                <w:numId w:val="9"/>
              </w:numPr>
              <w:rPr>
                <w:rFonts w:cs="Segoe UI"/>
                <w:color w:val="000000" w:themeColor="text1"/>
                <w:sz w:val="16"/>
                <w:szCs w:val="18"/>
              </w:rPr>
            </w:pPr>
            <w:r w:rsidRPr="00C10DCE">
              <w:rPr>
                <w:rFonts w:cs="Segoe UI"/>
                <w:color w:val="000000" w:themeColor="text1"/>
                <w:sz w:val="16"/>
                <w:szCs w:val="18"/>
              </w:rPr>
              <w:t>Provide insights on the public system and associated challenges.</w:t>
            </w:r>
          </w:p>
          <w:p w14:paraId="44475D10" w14:textId="77777777" w:rsidR="006F29B9" w:rsidRPr="00C10DCE" w:rsidRDefault="006F29B9" w:rsidP="00662DDD">
            <w:pPr>
              <w:pStyle w:val="TableNBullet"/>
              <w:keepLines/>
              <w:numPr>
                <w:ilvl w:val="0"/>
                <w:numId w:val="9"/>
              </w:numPr>
              <w:rPr>
                <w:rFonts w:cs="Segoe UI"/>
                <w:color w:val="000000" w:themeColor="text1"/>
                <w:sz w:val="16"/>
                <w:szCs w:val="18"/>
              </w:rPr>
            </w:pPr>
            <w:r w:rsidRPr="00C10DCE">
              <w:rPr>
                <w:rFonts w:cs="Segoe UI"/>
                <w:color w:val="000000" w:themeColor="text1"/>
                <w:sz w:val="16"/>
                <w:szCs w:val="18"/>
              </w:rPr>
              <w:t>Provide insights on the impact of reforms.</w:t>
            </w:r>
          </w:p>
        </w:tc>
      </w:tr>
      <w:tr w:rsidR="006F29B9" w:rsidRPr="004D1E46" w14:paraId="1F906FDF" w14:textId="77777777" w:rsidTr="3787E91E">
        <w:trPr>
          <w:trHeight w:val="510"/>
        </w:trPr>
        <w:tc>
          <w:tcPr>
            <w:tcW w:w="554" w:type="pct"/>
            <w:shd w:val="clear" w:color="auto" w:fill="00264D" w:themeFill="background2"/>
            <w:vAlign w:val="center"/>
          </w:tcPr>
          <w:p w14:paraId="61AF40DB" w14:textId="77777777" w:rsidR="006F29B9" w:rsidRPr="0088201A" w:rsidRDefault="006F29B9" w:rsidP="00C10DCE">
            <w:pPr>
              <w:pStyle w:val="TableNText"/>
              <w:keepNext w:val="0"/>
              <w:keepLines/>
              <w:jc w:val="center"/>
              <w:rPr>
                <w:color w:val="FFFFFF" w:themeColor="background1"/>
                <w:sz w:val="16"/>
                <w:szCs w:val="16"/>
              </w:rPr>
            </w:pPr>
            <w:r w:rsidRPr="0088201A">
              <w:rPr>
                <w:noProof/>
                <w:color w:val="FFFFFF" w:themeColor="background1"/>
                <w:sz w:val="16"/>
                <w:szCs w:val="16"/>
              </w:rPr>
              <mc:AlternateContent>
                <mc:Choice Requires="wps">
                  <w:drawing>
                    <wp:inline distT="0" distB="0" distL="0" distR="0" wp14:anchorId="7CF175D6" wp14:editId="561B4EA0">
                      <wp:extent cx="320633" cy="314696"/>
                      <wp:effectExtent l="0" t="0" r="3810" b="9525"/>
                      <wp:docPr id="61" name="Freeform: Shape 61" descr="An icon of a health professional."/>
                      <wp:cNvGraphicFramePr/>
                      <a:graphic xmlns:a="http://schemas.openxmlformats.org/drawingml/2006/main">
                        <a:graphicData uri="http://schemas.microsoft.com/office/word/2010/wordprocessingShape">
                          <wps:wsp>
                            <wps:cNvSpPr/>
                            <wps:spPr>
                              <a:xfrm>
                                <a:off x="0" y="0"/>
                                <a:ext cx="320633" cy="314696"/>
                              </a:xfrm>
                              <a:custGeom>
                                <a:avLst/>
                                <a:gdLst>
                                  <a:gd name="connsiteX0" fmla="*/ 519741 w 533891"/>
                                  <a:gd name="connsiteY0" fmla="*/ 423335 h 533972"/>
                                  <a:gd name="connsiteX1" fmla="*/ 457202 w 533891"/>
                                  <a:gd name="connsiteY1" fmla="*/ 346479 h 533972"/>
                                  <a:gd name="connsiteX2" fmla="*/ 341792 w 533891"/>
                                  <a:gd name="connsiteY2" fmla="*/ 302400 h 533972"/>
                                  <a:gd name="connsiteX3" fmla="*/ 341792 w 533891"/>
                                  <a:gd name="connsiteY3" fmla="*/ 284944 h 533972"/>
                                  <a:gd name="connsiteX4" fmla="*/ 384490 w 533891"/>
                                  <a:gd name="connsiteY4" fmla="*/ 192265 h 533972"/>
                                  <a:gd name="connsiteX5" fmla="*/ 384490 w 533891"/>
                                  <a:gd name="connsiteY5" fmla="*/ 139898 h 533972"/>
                                  <a:gd name="connsiteX6" fmla="*/ 405588 w 533891"/>
                                  <a:gd name="connsiteY6" fmla="*/ 34158 h 533972"/>
                                  <a:gd name="connsiteX7" fmla="*/ 399434 w 533891"/>
                                  <a:gd name="connsiteY7" fmla="*/ 22228 h 533972"/>
                                  <a:gd name="connsiteX8" fmla="*/ 266946 w 533891"/>
                                  <a:gd name="connsiteY8" fmla="*/ 0 h 533972"/>
                                  <a:gd name="connsiteX9" fmla="*/ 134457 w 533891"/>
                                  <a:gd name="connsiteY9" fmla="*/ 22228 h 533972"/>
                                  <a:gd name="connsiteX10" fmla="*/ 128304 w 533891"/>
                                  <a:gd name="connsiteY10" fmla="*/ 34158 h 533972"/>
                                  <a:gd name="connsiteX11" fmla="*/ 149402 w 533891"/>
                                  <a:gd name="connsiteY11" fmla="*/ 139898 h 533972"/>
                                  <a:gd name="connsiteX12" fmla="*/ 149402 w 533891"/>
                                  <a:gd name="connsiteY12" fmla="*/ 192265 h 533972"/>
                                  <a:gd name="connsiteX13" fmla="*/ 192099 w 533891"/>
                                  <a:gd name="connsiteY13" fmla="*/ 284944 h 533972"/>
                                  <a:gd name="connsiteX14" fmla="*/ 192099 w 533891"/>
                                  <a:gd name="connsiteY14" fmla="*/ 302400 h 533972"/>
                                  <a:gd name="connsiteX15" fmla="*/ 76941 w 533891"/>
                                  <a:gd name="connsiteY15" fmla="*/ 346479 h 533972"/>
                                  <a:gd name="connsiteX16" fmla="*/ 14150 w 533891"/>
                                  <a:gd name="connsiteY16" fmla="*/ 423335 h 533972"/>
                                  <a:gd name="connsiteX17" fmla="*/ 85 w 533891"/>
                                  <a:gd name="connsiteY17" fmla="*/ 521791 h 533972"/>
                                  <a:gd name="connsiteX18" fmla="*/ 2597 w 533891"/>
                                  <a:gd name="connsiteY18" fmla="*/ 530330 h 533972"/>
                                  <a:gd name="connsiteX19" fmla="*/ 10634 w 533891"/>
                                  <a:gd name="connsiteY19" fmla="*/ 533972 h 533972"/>
                                  <a:gd name="connsiteX20" fmla="*/ 523257 w 533891"/>
                                  <a:gd name="connsiteY20" fmla="*/ 533972 h 533972"/>
                                  <a:gd name="connsiteX21" fmla="*/ 531295 w 533891"/>
                                  <a:gd name="connsiteY21" fmla="*/ 530330 h 533972"/>
                                  <a:gd name="connsiteX22" fmla="*/ 533806 w 533891"/>
                                  <a:gd name="connsiteY22" fmla="*/ 521791 h 533972"/>
                                  <a:gd name="connsiteX23" fmla="*/ 519741 w 533891"/>
                                  <a:gd name="connsiteY23" fmla="*/ 423335 h 533972"/>
                                  <a:gd name="connsiteX24" fmla="*/ 151034 w 533891"/>
                                  <a:gd name="connsiteY24" fmla="*/ 38805 h 533972"/>
                                  <a:gd name="connsiteX25" fmla="*/ 266946 w 533891"/>
                                  <a:gd name="connsiteY25" fmla="*/ 21349 h 533972"/>
                                  <a:gd name="connsiteX26" fmla="*/ 382857 w 533891"/>
                                  <a:gd name="connsiteY26" fmla="*/ 38805 h 533972"/>
                                  <a:gd name="connsiteX27" fmla="*/ 365778 w 533891"/>
                                  <a:gd name="connsiteY27" fmla="*/ 123823 h 533972"/>
                                  <a:gd name="connsiteX28" fmla="*/ 266946 w 533891"/>
                                  <a:gd name="connsiteY28" fmla="*/ 106744 h 533972"/>
                                  <a:gd name="connsiteX29" fmla="*/ 168113 w 533891"/>
                                  <a:gd name="connsiteY29" fmla="*/ 123823 h 533972"/>
                                  <a:gd name="connsiteX30" fmla="*/ 151034 w 533891"/>
                                  <a:gd name="connsiteY30" fmla="*/ 38805 h 533972"/>
                                  <a:gd name="connsiteX31" fmla="*/ 170876 w 533891"/>
                                  <a:gd name="connsiteY31" fmla="*/ 192265 h 533972"/>
                                  <a:gd name="connsiteX32" fmla="*/ 170876 w 533891"/>
                                  <a:gd name="connsiteY32" fmla="*/ 145800 h 533972"/>
                                  <a:gd name="connsiteX33" fmla="*/ 266946 w 533891"/>
                                  <a:gd name="connsiteY33" fmla="*/ 128093 h 533972"/>
                                  <a:gd name="connsiteX34" fmla="*/ 363016 w 533891"/>
                                  <a:gd name="connsiteY34" fmla="*/ 145800 h 533972"/>
                                  <a:gd name="connsiteX35" fmla="*/ 363016 w 533891"/>
                                  <a:gd name="connsiteY35" fmla="*/ 192265 h 533972"/>
                                  <a:gd name="connsiteX36" fmla="*/ 323834 w 533891"/>
                                  <a:gd name="connsiteY36" fmla="*/ 272260 h 533972"/>
                                  <a:gd name="connsiteX37" fmla="*/ 320318 w 533891"/>
                                  <a:gd name="connsiteY37" fmla="*/ 280172 h 533972"/>
                                  <a:gd name="connsiteX38" fmla="*/ 320318 w 533891"/>
                                  <a:gd name="connsiteY38" fmla="*/ 306167 h 533972"/>
                                  <a:gd name="connsiteX39" fmla="*/ 266946 w 533891"/>
                                  <a:gd name="connsiteY39" fmla="*/ 377372 h 533972"/>
                                  <a:gd name="connsiteX40" fmla="*/ 213574 w 533891"/>
                                  <a:gd name="connsiteY40" fmla="*/ 306167 h 533972"/>
                                  <a:gd name="connsiteX41" fmla="*/ 213574 w 533891"/>
                                  <a:gd name="connsiteY41" fmla="*/ 280172 h 533972"/>
                                  <a:gd name="connsiteX42" fmla="*/ 210057 w 533891"/>
                                  <a:gd name="connsiteY42" fmla="*/ 272260 h 533972"/>
                                  <a:gd name="connsiteX43" fmla="*/ 170876 w 533891"/>
                                  <a:gd name="connsiteY43" fmla="*/ 192265 h 533972"/>
                                  <a:gd name="connsiteX44" fmla="*/ 22941 w 533891"/>
                                  <a:gd name="connsiteY44" fmla="*/ 512623 h 533972"/>
                                  <a:gd name="connsiteX45" fmla="*/ 35248 w 533891"/>
                                  <a:gd name="connsiteY45" fmla="*/ 426349 h 533972"/>
                                  <a:gd name="connsiteX46" fmla="*/ 84350 w 533891"/>
                                  <a:gd name="connsiteY46" fmla="*/ 366447 h 533972"/>
                                  <a:gd name="connsiteX47" fmla="*/ 199132 w 533891"/>
                                  <a:gd name="connsiteY47" fmla="*/ 322619 h 533972"/>
                                  <a:gd name="connsiteX48" fmla="*/ 258406 w 533891"/>
                                  <a:gd name="connsiteY48" fmla="*/ 401609 h 533972"/>
                                  <a:gd name="connsiteX49" fmla="*/ 266946 w 533891"/>
                                  <a:gd name="connsiteY49" fmla="*/ 405879 h 533972"/>
                                  <a:gd name="connsiteX50" fmla="*/ 275485 w 533891"/>
                                  <a:gd name="connsiteY50" fmla="*/ 401609 h 533972"/>
                                  <a:gd name="connsiteX51" fmla="*/ 334760 w 533891"/>
                                  <a:gd name="connsiteY51" fmla="*/ 322619 h 533972"/>
                                  <a:gd name="connsiteX52" fmla="*/ 449792 w 533891"/>
                                  <a:gd name="connsiteY52" fmla="*/ 366572 h 533972"/>
                                  <a:gd name="connsiteX53" fmla="*/ 498644 w 533891"/>
                                  <a:gd name="connsiteY53" fmla="*/ 426349 h 533972"/>
                                  <a:gd name="connsiteX54" fmla="*/ 510951 w 533891"/>
                                  <a:gd name="connsiteY54" fmla="*/ 512623 h 533972"/>
                                  <a:gd name="connsiteX55" fmla="*/ 22941 w 533891"/>
                                  <a:gd name="connsiteY55" fmla="*/ 512623 h 533972"/>
                                  <a:gd name="connsiteX56" fmla="*/ 413123 w 533891"/>
                                  <a:gd name="connsiteY56" fmla="*/ 407135 h 533972"/>
                                  <a:gd name="connsiteX57" fmla="*/ 398555 w 533891"/>
                                  <a:gd name="connsiteY57" fmla="*/ 407135 h 533972"/>
                                  <a:gd name="connsiteX58" fmla="*/ 398555 w 533891"/>
                                  <a:gd name="connsiteY58" fmla="*/ 392567 h 533972"/>
                                  <a:gd name="connsiteX59" fmla="*/ 388006 w 533891"/>
                                  <a:gd name="connsiteY59" fmla="*/ 381893 h 533972"/>
                                  <a:gd name="connsiteX60" fmla="*/ 360378 w 533891"/>
                                  <a:gd name="connsiteY60" fmla="*/ 381893 h 533972"/>
                                  <a:gd name="connsiteX61" fmla="*/ 349830 w 533891"/>
                                  <a:gd name="connsiteY61" fmla="*/ 392567 h 533972"/>
                                  <a:gd name="connsiteX62" fmla="*/ 349830 w 533891"/>
                                  <a:gd name="connsiteY62" fmla="*/ 407135 h 533972"/>
                                  <a:gd name="connsiteX63" fmla="*/ 335262 w 533891"/>
                                  <a:gd name="connsiteY63" fmla="*/ 407135 h 533972"/>
                                  <a:gd name="connsiteX64" fmla="*/ 324713 w 533891"/>
                                  <a:gd name="connsiteY64" fmla="*/ 417809 h 533972"/>
                                  <a:gd name="connsiteX65" fmla="*/ 324713 w 533891"/>
                                  <a:gd name="connsiteY65" fmla="*/ 445437 h 533972"/>
                                  <a:gd name="connsiteX66" fmla="*/ 335262 w 533891"/>
                                  <a:gd name="connsiteY66" fmla="*/ 456112 h 533972"/>
                                  <a:gd name="connsiteX67" fmla="*/ 349830 w 533891"/>
                                  <a:gd name="connsiteY67" fmla="*/ 456112 h 533972"/>
                                  <a:gd name="connsiteX68" fmla="*/ 349830 w 533891"/>
                                  <a:gd name="connsiteY68" fmla="*/ 470679 h 533972"/>
                                  <a:gd name="connsiteX69" fmla="*/ 360378 w 533891"/>
                                  <a:gd name="connsiteY69" fmla="*/ 481354 h 533972"/>
                                  <a:gd name="connsiteX70" fmla="*/ 388006 w 533891"/>
                                  <a:gd name="connsiteY70" fmla="*/ 481354 h 533972"/>
                                  <a:gd name="connsiteX71" fmla="*/ 398555 w 533891"/>
                                  <a:gd name="connsiteY71" fmla="*/ 470679 h 533972"/>
                                  <a:gd name="connsiteX72" fmla="*/ 398555 w 533891"/>
                                  <a:gd name="connsiteY72" fmla="*/ 456112 h 533972"/>
                                  <a:gd name="connsiteX73" fmla="*/ 413123 w 533891"/>
                                  <a:gd name="connsiteY73" fmla="*/ 456112 h 533972"/>
                                  <a:gd name="connsiteX74" fmla="*/ 423671 w 533891"/>
                                  <a:gd name="connsiteY74" fmla="*/ 445437 h 533972"/>
                                  <a:gd name="connsiteX75" fmla="*/ 423671 w 533891"/>
                                  <a:gd name="connsiteY75" fmla="*/ 417809 h 533972"/>
                                  <a:gd name="connsiteX76" fmla="*/ 413123 w 533891"/>
                                  <a:gd name="connsiteY76" fmla="*/ 407135 h 533972"/>
                                  <a:gd name="connsiteX77" fmla="*/ 407220 w 533891"/>
                                  <a:gd name="connsiteY77" fmla="*/ 435516 h 533972"/>
                                  <a:gd name="connsiteX78" fmla="*/ 390016 w 533891"/>
                                  <a:gd name="connsiteY78" fmla="*/ 435516 h 533972"/>
                                  <a:gd name="connsiteX79" fmla="*/ 377960 w 533891"/>
                                  <a:gd name="connsiteY79" fmla="*/ 447572 h 533972"/>
                                  <a:gd name="connsiteX80" fmla="*/ 377960 w 533891"/>
                                  <a:gd name="connsiteY80" fmla="*/ 464777 h 533972"/>
                                  <a:gd name="connsiteX81" fmla="*/ 370048 w 533891"/>
                                  <a:gd name="connsiteY81" fmla="*/ 464777 h 533972"/>
                                  <a:gd name="connsiteX82" fmla="*/ 370048 w 533891"/>
                                  <a:gd name="connsiteY82" fmla="*/ 447572 h 533972"/>
                                  <a:gd name="connsiteX83" fmla="*/ 357992 w 533891"/>
                                  <a:gd name="connsiteY83" fmla="*/ 435516 h 533972"/>
                                  <a:gd name="connsiteX84" fmla="*/ 340788 w 533891"/>
                                  <a:gd name="connsiteY84" fmla="*/ 435516 h 533972"/>
                                  <a:gd name="connsiteX85" fmla="*/ 340788 w 533891"/>
                                  <a:gd name="connsiteY85" fmla="*/ 427605 h 533972"/>
                                  <a:gd name="connsiteX86" fmla="*/ 357992 w 533891"/>
                                  <a:gd name="connsiteY86" fmla="*/ 427605 h 533972"/>
                                  <a:gd name="connsiteX87" fmla="*/ 370048 w 533891"/>
                                  <a:gd name="connsiteY87" fmla="*/ 415549 h 533972"/>
                                  <a:gd name="connsiteX88" fmla="*/ 370048 w 533891"/>
                                  <a:gd name="connsiteY88" fmla="*/ 398344 h 533972"/>
                                  <a:gd name="connsiteX89" fmla="*/ 377960 w 533891"/>
                                  <a:gd name="connsiteY89" fmla="*/ 398344 h 533972"/>
                                  <a:gd name="connsiteX90" fmla="*/ 377960 w 533891"/>
                                  <a:gd name="connsiteY90" fmla="*/ 415549 h 533972"/>
                                  <a:gd name="connsiteX91" fmla="*/ 390016 w 533891"/>
                                  <a:gd name="connsiteY91" fmla="*/ 427605 h 533972"/>
                                  <a:gd name="connsiteX92" fmla="*/ 407220 w 533891"/>
                                  <a:gd name="connsiteY92" fmla="*/ 427605 h 533972"/>
                                  <a:gd name="connsiteX93" fmla="*/ 407220 w 533891"/>
                                  <a:gd name="connsiteY93" fmla="*/ 435516 h 5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533891" h="533972">
                                    <a:moveTo>
                                      <a:pt x="519741" y="423335"/>
                                    </a:moveTo>
                                    <a:cubicBezTo>
                                      <a:pt x="514718" y="387921"/>
                                      <a:pt x="490606" y="358409"/>
                                      <a:pt x="457202" y="346479"/>
                                    </a:cubicBezTo>
                                    <a:lnTo>
                                      <a:pt x="341792" y="302400"/>
                                    </a:lnTo>
                                    <a:lnTo>
                                      <a:pt x="341792" y="284944"/>
                                    </a:lnTo>
                                    <a:cubicBezTo>
                                      <a:pt x="369043" y="258949"/>
                                      <a:pt x="384490" y="225419"/>
                                      <a:pt x="384490" y="192265"/>
                                    </a:cubicBezTo>
                                    <a:lnTo>
                                      <a:pt x="384490" y="139898"/>
                                    </a:lnTo>
                                    <a:lnTo>
                                      <a:pt x="405588" y="34158"/>
                                    </a:lnTo>
                                    <a:cubicBezTo>
                                      <a:pt x="406592" y="29260"/>
                                      <a:pt x="403955" y="24237"/>
                                      <a:pt x="399434" y="22228"/>
                                    </a:cubicBezTo>
                                    <a:cubicBezTo>
                                      <a:pt x="397299" y="21349"/>
                                      <a:pt x="347695" y="0"/>
                                      <a:pt x="266946" y="0"/>
                                    </a:cubicBezTo>
                                    <a:cubicBezTo>
                                      <a:pt x="186197" y="0"/>
                                      <a:pt x="136592" y="21349"/>
                                      <a:pt x="134457" y="22228"/>
                                    </a:cubicBezTo>
                                    <a:cubicBezTo>
                                      <a:pt x="129811" y="24237"/>
                                      <a:pt x="127299" y="29135"/>
                                      <a:pt x="128304" y="34158"/>
                                    </a:cubicBezTo>
                                    <a:lnTo>
                                      <a:pt x="149402" y="139898"/>
                                    </a:lnTo>
                                    <a:lnTo>
                                      <a:pt x="149402" y="192265"/>
                                    </a:lnTo>
                                    <a:cubicBezTo>
                                      <a:pt x="149402" y="225419"/>
                                      <a:pt x="164974" y="258949"/>
                                      <a:pt x="192099" y="284944"/>
                                    </a:cubicBezTo>
                                    <a:lnTo>
                                      <a:pt x="192099" y="302400"/>
                                    </a:lnTo>
                                    <a:lnTo>
                                      <a:pt x="76941" y="346479"/>
                                    </a:lnTo>
                                    <a:cubicBezTo>
                                      <a:pt x="43285" y="358535"/>
                                      <a:pt x="19174" y="387921"/>
                                      <a:pt x="14150" y="423335"/>
                                    </a:cubicBezTo>
                                    <a:lnTo>
                                      <a:pt x="85" y="521791"/>
                                    </a:lnTo>
                                    <a:cubicBezTo>
                                      <a:pt x="-292" y="524805"/>
                                      <a:pt x="588" y="527944"/>
                                      <a:pt x="2597" y="530330"/>
                                    </a:cubicBezTo>
                                    <a:cubicBezTo>
                                      <a:pt x="4606" y="532716"/>
                                      <a:pt x="7620" y="533972"/>
                                      <a:pt x="10634" y="533972"/>
                                    </a:cubicBezTo>
                                    <a:lnTo>
                                      <a:pt x="523257" y="533972"/>
                                    </a:lnTo>
                                    <a:cubicBezTo>
                                      <a:pt x="526397" y="533972"/>
                                      <a:pt x="529285" y="532591"/>
                                      <a:pt x="531295" y="530330"/>
                                    </a:cubicBezTo>
                                    <a:cubicBezTo>
                                      <a:pt x="533304" y="527944"/>
                                      <a:pt x="534183" y="524930"/>
                                      <a:pt x="533806" y="521791"/>
                                    </a:cubicBezTo>
                                    <a:lnTo>
                                      <a:pt x="519741" y="423335"/>
                                    </a:lnTo>
                                    <a:close/>
                                    <a:moveTo>
                                      <a:pt x="151034" y="38805"/>
                                    </a:moveTo>
                                    <a:cubicBezTo>
                                      <a:pt x="167611" y="33153"/>
                                      <a:pt x="208927" y="21349"/>
                                      <a:pt x="266946" y="21349"/>
                                    </a:cubicBezTo>
                                    <a:cubicBezTo>
                                      <a:pt x="324964" y="21349"/>
                                      <a:pt x="366281" y="33153"/>
                                      <a:pt x="382857" y="38805"/>
                                    </a:cubicBezTo>
                                    <a:lnTo>
                                      <a:pt x="365778" y="123823"/>
                                    </a:lnTo>
                                    <a:cubicBezTo>
                                      <a:pt x="348071" y="117167"/>
                                      <a:pt x="312783" y="106744"/>
                                      <a:pt x="266946" y="106744"/>
                                    </a:cubicBezTo>
                                    <a:cubicBezTo>
                                      <a:pt x="220983" y="106744"/>
                                      <a:pt x="185820" y="117167"/>
                                      <a:pt x="168113" y="123823"/>
                                    </a:cubicBezTo>
                                    <a:lnTo>
                                      <a:pt x="151034" y="38805"/>
                                    </a:lnTo>
                                    <a:close/>
                                    <a:moveTo>
                                      <a:pt x="170876" y="192265"/>
                                    </a:moveTo>
                                    <a:lnTo>
                                      <a:pt x="170876" y="145800"/>
                                    </a:lnTo>
                                    <a:cubicBezTo>
                                      <a:pt x="184188" y="140400"/>
                                      <a:pt x="219602" y="128093"/>
                                      <a:pt x="266946" y="128093"/>
                                    </a:cubicBezTo>
                                    <a:cubicBezTo>
                                      <a:pt x="314416" y="128093"/>
                                      <a:pt x="349704" y="140274"/>
                                      <a:pt x="363016" y="145800"/>
                                    </a:cubicBezTo>
                                    <a:lnTo>
                                      <a:pt x="363016" y="192265"/>
                                    </a:lnTo>
                                    <a:cubicBezTo>
                                      <a:pt x="363016" y="220772"/>
                                      <a:pt x="348699" y="249907"/>
                                      <a:pt x="323834" y="272260"/>
                                    </a:cubicBezTo>
                                    <a:cubicBezTo>
                                      <a:pt x="321574" y="274270"/>
                                      <a:pt x="320318" y="277158"/>
                                      <a:pt x="320318" y="280172"/>
                                    </a:cubicBezTo>
                                    <a:lnTo>
                                      <a:pt x="320318" y="306167"/>
                                    </a:lnTo>
                                    <a:lnTo>
                                      <a:pt x="266946" y="377372"/>
                                    </a:lnTo>
                                    <a:lnTo>
                                      <a:pt x="213574" y="306167"/>
                                    </a:lnTo>
                                    <a:lnTo>
                                      <a:pt x="213574" y="280172"/>
                                    </a:lnTo>
                                    <a:cubicBezTo>
                                      <a:pt x="213574" y="277158"/>
                                      <a:pt x="212318" y="274270"/>
                                      <a:pt x="210057" y="272260"/>
                                    </a:cubicBezTo>
                                    <a:cubicBezTo>
                                      <a:pt x="185067" y="249907"/>
                                      <a:pt x="170876" y="220772"/>
                                      <a:pt x="170876" y="192265"/>
                                    </a:cubicBezTo>
                                    <a:close/>
                                    <a:moveTo>
                                      <a:pt x="22941" y="512623"/>
                                    </a:moveTo>
                                    <a:lnTo>
                                      <a:pt x="35248" y="426349"/>
                                    </a:lnTo>
                                    <a:cubicBezTo>
                                      <a:pt x="39141" y="398847"/>
                                      <a:pt x="57853" y="375865"/>
                                      <a:pt x="84350" y="366447"/>
                                    </a:cubicBezTo>
                                    <a:lnTo>
                                      <a:pt x="199132" y="322619"/>
                                    </a:lnTo>
                                    <a:lnTo>
                                      <a:pt x="258406" y="401609"/>
                                    </a:lnTo>
                                    <a:cubicBezTo>
                                      <a:pt x="260416" y="404247"/>
                                      <a:pt x="263555" y="405879"/>
                                      <a:pt x="266946" y="405879"/>
                                    </a:cubicBezTo>
                                    <a:cubicBezTo>
                                      <a:pt x="270336" y="405879"/>
                                      <a:pt x="273476" y="404247"/>
                                      <a:pt x="275485" y="401609"/>
                                    </a:cubicBezTo>
                                    <a:lnTo>
                                      <a:pt x="334760" y="322619"/>
                                    </a:lnTo>
                                    <a:lnTo>
                                      <a:pt x="449792" y="366572"/>
                                    </a:lnTo>
                                    <a:cubicBezTo>
                                      <a:pt x="476039" y="375865"/>
                                      <a:pt x="494751" y="398847"/>
                                      <a:pt x="498644" y="426349"/>
                                    </a:cubicBezTo>
                                    <a:lnTo>
                                      <a:pt x="510951" y="512623"/>
                                    </a:lnTo>
                                    <a:lnTo>
                                      <a:pt x="22941" y="512623"/>
                                    </a:lnTo>
                                    <a:close/>
                                    <a:moveTo>
                                      <a:pt x="413123" y="407135"/>
                                    </a:moveTo>
                                    <a:lnTo>
                                      <a:pt x="398555" y="407135"/>
                                    </a:lnTo>
                                    <a:lnTo>
                                      <a:pt x="398555" y="392567"/>
                                    </a:lnTo>
                                    <a:cubicBezTo>
                                      <a:pt x="398555" y="386665"/>
                                      <a:pt x="393783" y="381893"/>
                                      <a:pt x="388006" y="381893"/>
                                    </a:cubicBezTo>
                                    <a:lnTo>
                                      <a:pt x="360378" y="381893"/>
                                    </a:lnTo>
                                    <a:cubicBezTo>
                                      <a:pt x="354476" y="381893"/>
                                      <a:pt x="349830" y="386665"/>
                                      <a:pt x="349830" y="392567"/>
                                    </a:cubicBezTo>
                                    <a:lnTo>
                                      <a:pt x="349830" y="407135"/>
                                    </a:lnTo>
                                    <a:lnTo>
                                      <a:pt x="335262" y="407135"/>
                                    </a:lnTo>
                                    <a:cubicBezTo>
                                      <a:pt x="329360" y="407135"/>
                                      <a:pt x="324713" y="411907"/>
                                      <a:pt x="324713" y="417809"/>
                                    </a:cubicBezTo>
                                    <a:lnTo>
                                      <a:pt x="324713" y="445437"/>
                                    </a:lnTo>
                                    <a:cubicBezTo>
                                      <a:pt x="324713" y="451340"/>
                                      <a:pt x="329485" y="456112"/>
                                      <a:pt x="335262" y="456112"/>
                                    </a:cubicBezTo>
                                    <a:lnTo>
                                      <a:pt x="349830" y="456112"/>
                                    </a:lnTo>
                                    <a:lnTo>
                                      <a:pt x="349830" y="470679"/>
                                    </a:lnTo>
                                    <a:cubicBezTo>
                                      <a:pt x="349830" y="476581"/>
                                      <a:pt x="354602" y="481354"/>
                                      <a:pt x="360378" y="481354"/>
                                    </a:cubicBezTo>
                                    <a:lnTo>
                                      <a:pt x="388006" y="481354"/>
                                    </a:lnTo>
                                    <a:cubicBezTo>
                                      <a:pt x="393909" y="481354"/>
                                      <a:pt x="398555" y="476581"/>
                                      <a:pt x="398555" y="470679"/>
                                    </a:cubicBezTo>
                                    <a:lnTo>
                                      <a:pt x="398555" y="456112"/>
                                    </a:lnTo>
                                    <a:lnTo>
                                      <a:pt x="413123" y="456112"/>
                                    </a:lnTo>
                                    <a:cubicBezTo>
                                      <a:pt x="419025" y="456112"/>
                                      <a:pt x="423671" y="451340"/>
                                      <a:pt x="423671" y="445437"/>
                                    </a:cubicBezTo>
                                    <a:lnTo>
                                      <a:pt x="423671" y="417809"/>
                                    </a:lnTo>
                                    <a:cubicBezTo>
                                      <a:pt x="423671" y="411907"/>
                                      <a:pt x="418899" y="407135"/>
                                      <a:pt x="413123" y="407135"/>
                                    </a:cubicBezTo>
                                    <a:close/>
                                    <a:moveTo>
                                      <a:pt x="407220" y="435516"/>
                                    </a:moveTo>
                                    <a:lnTo>
                                      <a:pt x="390016" y="435516"/>
                                    </a:lnTo>
                                    <a:cubicBezTo>
                                      <a:pt x="383360" y="435516"/>
                                      <a:pt x="377960" y="440916"/>
                                      <a:pt x="377960" y="447572"/>
                                    </a:cubicBezTo>
                                    <a:lnTo>
                                      <a:pt x="377960" y="464777"/>
                                    </a:lnTo>
                                    <a:lnTo>
                                      <a:pt x="370048" y="464777"/>
                                    </a:lnTo>
                                    <a:lnTo>
                                      <a:pt x="370048" y="447572"/>
                                    </a:lnTo>
                                    <a:cubicBezTo>
                                      <a:pt x="370048" y="440916"/>
                                      <a:pt x="364648" y="435516"/>
                                      <a:pt x="357992" y="435516"/>
                                    </a:cubicBezTo>
                                    <a:lnTo>
                                      <a:pt x="340788" y="435516"/>
                                    </a:lnTo>
                                    <a:lnTo>
                                      <a:pt x="340788" y="427605"/>
                                    </a:lnTo>
                                    <a:lnTo>
                                      <a:pt x="357992" y="427605"/>
                                    </a:lnTo>
                                    <a:cubicBezTo>
                                      <a:pt x="364648" y="427605"/>
                                      <a:pt x="370048" y="422205"/>
                                      <a:pt x="370048" y="415549"/>
                                    </a:cubicBezTo>
                                    <a:lnTo>
                                      <a:pt x="370048" y="398344"/>
                                    </a:lnTo>
                                    <a:lnTo>
                                      <a:pt x="377960" y="398344"/>
                                    </a:lnTo>
                                    <a:lnTo>
                                      <a:pt x="377960" y="415549"/>
                                    </a:lnTo>
                                    <a:cubicBezTo>
                                      <a:pt x="377960" y="422205"/>
                                      <a:pt x="383360" y="427605"/>
                                      <a:pt x="390016" y="427605"/>
                                    </a:cubicBezTo>
                                    <a:lnTo>
                                      <a:pt x="407220" y="427605"/>
                                    </a:lnTo>
                                    <a:lnTo>
                                      <a:pt x="407220" y="435516"/>
                                    </a:lnTo>
                                    <a:close/>
                                  </a:path>
                                </a:pathLst>
                              </a:custGeom>
                              <a:solidFill>
                                <a:schemeClr val="bg1"/>
                              </a:solidFill>
                              <a:ln w="12547" cap="flat">
                                <a:noFill/>
                                <a:prstDash val="solid"/>
                                <a:miter/>
                              </a:ln>
                            </wps:spPr>
                            <wps:bodyPr rtlCol="0" anchor="ctr"/>
                          </wps:wsp>
                        </a:graphicData>
                      </a:graphic>
                    </wp:inline>
                  </w:drawing>
                </mc:Choice>
                <mc:Fallback xmlns:w16du="http://schemas.microsoft.com/office/word/2023/wordml/word16du">
                  <w:pict>
                    <v:shape w14:anchorId="097C2F18" id="Freeform: Shape 61" o:spid="_x0000_s1026" alt="An icon of a health professional." style="width:25.25pt;height:24.8pt;visibility:visible;mso-wrap-style:square;mso-left-percent:-10001;mso-top-percent:-10001;mso-position-horizontal:absolute;mso-position-horizontal-relative:char;mso-position-vertical:absolute;mso-position-vertical-relative:line;mso-left-percent:-10001;mso-top-percent:-10001;v-text-anchor:middle" coordsize="533891,53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" path="m519741,423335v-5023,-35414,-29135,-64926,-62539,-76856l341792,302400r,-17456c369043,258949,384490,225419,384490,192265r,-52367l405588,34158v1004,-4898,-1633,-9921,-6154,-11930c397299,21349,347695,,266946,,186197,,136592,21349,134457,22228v-4646,2009,-7158,6907,-6153,11930l149402,139898r,52367c149402,225419,164974,258949,192099,284944r,17456l76941,346479c43285,358535,19174,387921,14150,423335l85,521791v-377,3014,503,6153,2512,8539c4606,532716,7620,533972,10634,533972r512623,c526397,533972,529285,532591,531295,530330v2009,-2386,2888,-5400,2511,-8539l519741,423335xm151034,38805c167611,33153,208927,21349,266946,21349v58018,,99335,11804,115911,17456l365778,123823v-17707,-6656,-52995,-17079,-98832,-17079c220983,106744,185820,117167,168113,123823l151034,38805xm170876,192265r,-46465c184188,140400,219602,128093,266946,128093v47470,,82758,12181,96070,17707l363016,192265v,28507,-14317,57642,-39182,79995c321574,274270,320318,277158,320318,280172r,25995l266946,377372,213574,306167r,-25995c213574,277158,212318,274270,210057,272260,185067,249907,170876,220772,170876,192265xm22941,512623l35248,426349v3893,-27502,22605,-50484,49102,-59902l199132,322619r59274,78990c260416,404247,263555,405879,266946,405879v3390,,6530,-1632,8539,-4270l334760,322619r115032,43953c476039,375865,494751,398847,498644,426349r12307,86274l22941,512623xm413123,407135r-14568,l398555,392567v,-5902,-4772,-10674,-10549,-10674l360378,381893v-5902,,-10548,4772,-10548,10674l349830,407135r-14568,c329360,407135,324713,411907,324713,417809r,27628c324713,451340,329485,456112,335262,456112r14568,l349830,470679v,5902,4772,10675,10548,10675l388006,481354v5903,,10549,-4773,10549,-10675l398555,456112r14568,c419025,456112,423671,451340,423671,445437r,-27628c423671,411907,418899,407135,413123,407135xm407220,435516r-17204,c383360,435516,377960,440916,377960,447572r,17205l370048,464777r,-17205c370048,440916,364648,435516,357992,435516r-17204,l340788,427605r17204,c364648,427605,370048,422205,370048,415549r,-17205l377960,398344r,17205c377960,422205,383360,427605,390016,427605r17204,l407220,435516xe" fillcolor="white [3212]" stroked="f" strokeweight=".34853mm">
                      <v:stroke joinstyle="miter"/>
                      <v:path arrowok="t" o:connecttype="custom" o:connectlocs="312135,249492;274577,204197;205266,178219;205266,167932;230909,113311;230909,82449;243579,20131;239884,13100;160317,0;80749,13100;77054,20131;89725,82449;89725,113311;115367,167932;115367,178219;46208,204197;8498,249492;51,307517;1560,312550;6386,314696;314247,314696;319074,312550;320582,307517;312135,249492;90705,22870;160317,12582;229928,22870;219671,72975;160317,62909;100962,72975;90705,22870;102621,113311;102621,85927;160317,75492;218012,85927;218012,113311;194481,160456;192370,165119;192370,180439;160317,222404;128264,180439;128264,165119;126152,160456;102621,113311;13777,302114;21169,251268;50657,215965;119590,190135;155188,236688;160317,239204;165445,236688;201043,190135;270127,216039;299465,251268;306856,302114;13777,302114;248105,239945;239356,239945;239356,231359;233020,225068;216428,225068;210094,231359;210094,239945;201345,239945;195009,246235;195009,262518;201345,268809;210094,268809;210094,277394;216428,283686;233020,283686;239356,277394;239356,268809;248105,268809;254439,262518;254439,246235;248105,239945;244560,256671;234228,256671;226987,263776;226987,273916;222236,273916;222236,263776;214995,256671;204663,256671;204663,252009;214995,252009;222236,244903;222236,234764;226987,234764;226987,244903;234228,252009;244560,252009;244560,256671" o:connectangles="0,0,0,0,0,0,0,0,0,0,0,0,0,0,0,0,0,0,0,0,0,0,0,0,0,0,0,0,0,0,0,0,0,0,0,0,0,0,0,0,0,0,0,0,0,0,0,0,0,0,0,0,0,0,0,0,0,0,0,0,0,0,0,0,0,0,0,0,0,0,0,0,0,0,0,0,0,0,0,0,0,0,0,0,0,0,0,0,0,0,0,0,0,0"/>
                      <w10:anchorlock/>
                    </v:shape>
                  </w:pict>
                </mc:Fallback>
              </mc:AlternateContent>
            </w:r>
          </w:p>
        </w:tc>
        <w:tc>
          <w:tcPr>
            <w:tcW w:w="874" w:type="pct"/>
            <w:shd w:val="clear" w:color="auto" w:fill="00264D" w:themeFill="background2"/>
            <w:vAlign w:val="center"/>
          </w:tcPr>
          <w:p w14:paraId="1B57FB70" w14:textId="77777777" w:rsidR="006F29B9" w:rsidRPr="0088201A" w:rsidRDefault="006F29B9" w:rsidP="00C10DCE">
            <w:pPr>
              <w:pStyle w:val="TableNText"/>
              <w:keepNext w:val="0"/>
              <w:keepLines/>
              <w:rPr>
                <w:rFonts w:asciiTheme="majorHAnsi" w:hAnsiTheme="majorHAnsi" w:cstheme="majorHAnsi"/>
                <w:color w:val="FFFFFF" w:themeColor="background1"/>
                <w:sz w:val="16"/>
                <w:szCs w:val="16"/>
              </w:rPr>
            </w:pPr>
            <w:r w:rsidRPr="0088201A">
              <w:rPr>
                <w:rFonts w:asciiTheme="majorHAnsi" w:hAnsiTheme="majorHAnsi" w:cstheme="majorHAnsi"/>
                <w:color w:val="FFFFFF" w:themeColor="background1"/>
                <w:sz w:val="16"/>
                <w:szCs w:val="16"/>
              </w:rPr>
              <w:t>Private healthcare providers</w:t>
            </w:r>
          </w:p>
        </w:tc>
        <w:tc>
          <w:tcPr>
            <w:tcW w:w="1271" w:type="pct"/>
          </w:tcPr>
          <w:p w14:paraId="1955A984" w14:textId="77777777" w:rsidR="006F29B9" w:rsidRPr="00C10DCE" w:rsidRDefault="006F29B9" w:rsidP="00C10DCE">
            <w:pPr>
              <w:pStyle w:val="TableNText"/>
              <w:keepNext w:val="0"/>
              <w:keepLines/>
              <w:rPr>
                <w:rFonts w:cs="Segoe UI"/>
                <w:color w:val="000000" w:themeColor="text1"/>
                <w:sz w:val="16"/>
                <w:szCs w:val="16"/>
              </w:rPr>
            </w:pPr>
            <w:r w:rsidRPr="00C10DCE">
              <w:rPr>
                <w:rFonts w:cs="Segoe UI"/>
                <w:color w:val="000000" w:themeColor="text1"/>
                <w:sz w:val="16"/>
                <w:szCs w:val="16"/>
              </w:rPr>
              <w:t>Survey and</w:t>
            </w:r>
          </w:p>
          <w:p w14:paraId="0654FEC7" w14:textId="77777777" w:rsidR="006F29B9" w:rsidRPr="00C10DCE" w:rsidRDefault="006F29B9" w:rsidP="00C10DCE">
            <w:pPr>
              <w:pStyle w:val="TableNText"/>
              <w:keepNext w:val="0"/>
              <w:keepLines/>
              <w:rPr>
                <w:rFonts w:cs="Segoe UI"/>
                <w:color w:val="000000" w:themeColor="text1"/>
                <w:sz w:val="16"/>
                <w:szCs w:val="16"/>
              </w:rPr>
            </w:pPr>
            <w:r w:rsidRPr="00C10DCE">
              <w:rPr>
                <w:rFonts w:cs="Segoe UI"/>
                <w:color w:val="000000" w:themeColor="text1"/>
                <w:sz w:val="16"/>
                <w:szCs w:val="16"/>
              </w:rPr>
              <w:t>interviews</w:t>
            </w:r>
          </w:p>
        </w:tc>
        <w:tc>
          <w:tcPr>
            <w:tcW w:w="2301" w:type="pct"/>
          </w:tcPr>
          <w:p w14:paraId="05BED942" w14:textId="77777777" w:rsidR="006F29B9" w:rsidRPr="00C10DCE" w:rsidRDefault="006F29B9" w:rsidP="00662DDD">
            <w:pPr>
              <w:pStyle w:val="TableNBullet"/>
              <w:keepLines/>
              <w:numPr>
                <w:ilvl w:val="0"/>
                <w:numId w:val="9"/>
              </w:numPr>
              <w:rPr>
                <w:rFonts w:cs="Segoe UI"/>
                <w:color w:val="000000" w:themeColor="text1"/>
                <w:sz w:val="16"/>
                <w:szCs w:val="18"/>
              </w:rPr>
            </w:pPr>
            <w:r w:rsidRPr="00C10DCE">
              <w:rPr>
                <w:rFonts w:cs="Segoe UI"/>
                <w:color w:val="000000" w:themeColor="text1"/>
                <w:sz w:val="16"/>
                <w:szCs w:val="18"/>
              </w:rPr>
              <w:t>Provide insights on the private system and associated challenges.</w:t>
            </w:r>
          </w:p>
          <w:p w14:paraId="05A17EF7" w14:textId="77777777" w:rsidR="006F29B9" w:rsidRPr="00C10DCE" w:rsidRDefault="006F29B9" w:rsidP="00662DDD">
            <w:pPr>
              <w:pStyle w:val="TableNBullet"/>
              <w:keepLines/>
              <w:numPr>
                <w:ilvl w:val="0"/>
                <w:numId w:val="9"/>
              </w:numPr>
              <w:rPr>
                <w:rFonts w:cs="Segoe UI"/>
                <w:color w:val="000000" w:themeColor="text1"/>
                <w:sz w:val="16"/>
                <w:szCs w:val="18"/>
              </w:rPr>
            </w:pPr>
            <w:r w:rsidRPr="00C10DCE">
              <w:rPr>
                <w:rFonts w:cs="Segoe UI"/>
                <w:color w:val="000000" w:themeColor="text1"/>
                <w:sz w:val="16"/>
                <w:szCs w:val="18"/>
              </w:rPr>
              <w:t>Provide insights on the impact of reforms.</w:t>
            </w:r>
          </w:p>
        </w:tc>
      </w:tr>
      <w:tr w:rsidR="006F29B9" w:rsidRPr="004D1E46" w14:paraId="1936B35D" w14:textId="77777777" w:rsidTr="3787E91E">
        <w:trPr>
          <w:trHeight w:val="421"/>
        </w:trPr>
        <w:tc>
          <w:tcPr>
            <w:tcW w:w="554" w:type="pct"/>
            <w:shd w:val="clear" w:color="auto" w:fill="00264D" w:themeFill="background2"/>
            <w:vAlign w:val="center"/>
          </w:tcPr>
          <w:p w14:paraId="032082F3" w14:textId="77777777" w:rsidR="006F29B9" w:rsidRPr="0088201A" w:rsidRDefault="006F29B9" w:rsidP="00C10DCE">
            <w:pPr>
              <w:pStyle w:val="TableNText"/>
              <w:keepNext w:val="0"/>
              <w:keepLines/>
              <w:jc w:val="center"/>
              <w:rPr>
                <w:color w:val="FFFFFF" w:themeColor="background1"/>
                <w:sz w:val="16"/>
                <w:szCs w:val="16"/>
              </w:rPr>
            </w:pPr>
            <w:r w:rsidRPr="0088201A">
              <w:rPr>
                <w:noProof/>
                <w:color w:val="FFFFFF" w:themeColor="background1"/>
                <w:sz w:val="16"/>
                <w:szCs w:val="16"/>
              </w:rPr>
              <mc:AlternateContent>
                <mc:Choice Requires="wps">
                  <w:drawing>
                    <wp:inline distT="0" distB="0" distL="0" distR="0" wp14:anchorId="51BEAEA9" wp14:editId="589DC5C3">
                      <wp:extent cx="292311" cy="292311"/>
                      <wp:effectExtent l="0" t="0" r="0" b="0"/>
                      <wp:docPr id="48" name="Freeform: Shape 48" descr="An icon of a medical cros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311" cy="292311"/>
                              </a:xfrm>
                              <a:custGeom>
                                <a:avLst/>
                                <a:gdLst>
                                  <a:gd name="T0" fmla="*/ 3 w 168"/>
                                  <a:gd name="T1" fmla="*/ 114 h 170"/>
                                  <a:gd name="T2" fmla="*/ 55 w 168"/>
                                  <a:gd name="T3" fmla="*/ 114 h 170"/>
                                  <a:gd name="T4" fmla="*/ 55 w 168"/>
                                  <a:gd name="T5" fmla="*/ 166 h 170"/>
                                  <a:gd name="T6" fmla="*/ 59 w 168"/>
                                  <a:gd name="T7" fmla="*/ 170 h 170"/>
                                  <a:gd name="T8" fmla="*/ 109 w 168"/>
                                  <a:gd name="T9" fmla="*/ 170 h 170"/>
                                  <a:gd name="T10" fmla="*/ 113 w 168"/>
                                  <a:gd name="T11" fmla="*/ 166 h 170"/>
                                  <a:gd name="T12" fmla="*/ 113 w 168"/>
                                  <a:gd name="T13" fmla="*/ 114 h 170"/>
                                  <a:gd name="T14" fmla="*/ 165 w 168"/>
                                  <a:gd name="T15" fmla="*/ 114 h 170"/>
                                  <a:gd name="T16" fmla="*/ 168 w 168"/>
                                  <a:gd name="T17" fmla="*/ 111 h 170"/>
                                  <a:gd name="T18" fmla="*/ 168 w 168"/>
                                  <a:gd name="T19" fmla="*/ 59 h 170"/>
                                  <a:gd name="T20" fmla="*/ 165 w 168"/>
                                  <a:gd name="T21" fmla="*/ 55 h 170"/>
                                  <a:gd name="T22" fmla="*/ 113 w 168"/>
                                  <a:gd name="T23" fmla="*/ 55 h 170"/>
                                  <a:gd name="T24" fmla="*/ 113 w 168"/>
                                  <a:gd name="T25" fmla="*/ 3 h 170"/>
                                  <a:gd name="T26" fmla="*/ 109 w 168"/>
                                  <a:gd name="T27" fmla="*/ 0 h 170"/>
                                  <a:gd name="T28" fmla="*/ 59 w 168"/>
                                  <a:gd name="T29" fmla="*/ 0 h 170"/>
                                  <a:gd name="T30" fmla="*/ 55 w 168"/>
                                  <a:gd name="T31" fmla="*/ 3 h 170"/>
                                  <a:gd name="T32" fmla="*/ 55 w 168"/>
                                  <a:gd name="T33" fmla="*/ 55 h 170"/>
                                  <a:gd name="T34" fmla="*/ 3 w 168"/>
                                  <a:gd name="T35" fmla="*/ 55 h 170"/>
                                  <a:gd name="T36" fmla="*/ 0 w 168"/>
                                  <a:gd name="T37" fmla="*/ 59 h 170"/>
                                  <a:gd name="T38" fmla="*/ 0 w 168"/>
                                  <a:gd name="T39" fmla="*/ 111 h 170"/>
                                  <a:gd name="T40" fmla="*/ 3 w 168"/>
                                  <a:gd name="T41" fmla="*/ 114 h 170"/>
                                  <a:gd name="T42" fmla="*/ 7 w 168"/>
                                  <a:gd name="T43" fmla="*/ 62 h 170"/>
                                  <a:gd name="T44" fmla="*/ 59 w 168"/>
                                  <a:gd name="T45" fmla="*/ 62 h 170"/>
                                  <a:gd name="T46" fmla="*/ 62 w 168"/>
                                  <a:gd name="T47" fmla="*/ 59 h 170"/>
                                  <a:gd name="T48" fmla="*/ 62 w 168"/>
                                  <a:gd name="T49" fmla="*/ 7 h 170"/>
                                  <a:gd name="T50" fmla="*/ 106 w 168"/>
                                  <a:gd name="T51" fmla="*/ 7 h 170"/>
                                  <a:gd name="T52" fmla="*/ 106 w 168"/>
                                  <a:gd name="T53" fmla="*/ 59 h 170"/>
                                  <a:gd name="T54" fmla="*/ 109 w 168"/>
                                  <a:gd name="T55" fmla="*/ 62 h 170"/>
                                  <a:gd name="T56" fmla="*/ 161 w 168"/>
                                  <a:gd name="T57" fmla="*/ 62 h 170"/>
                                  <a:gd name="T58" fmla="*/ 161 w 168"/>
                                  <a:gd name="T59" fmla="*/ 107 h 170"/>
                                  <a:gd name="T60" fmla="*/ 109 w 168"/>
                                  <a:gd name="T61" fmla="*/ 107 h 170"/>
                                  <a:gd name="T62" fmla="*/ 106 w 168"/>
                                  <a:gd name="T63" fmla="*/ 111 h 170"/>
                                  <a:gd name="T64" fmla="*/ 106 w 168"/>
                                  <a:gd name="T65" fmla="*/ 163 h 170"/>
                                  <a:gd name="T66" fmla="*/ 62 w 168"/>
                                  <a:gd name="T67" fmla="*/ 163 h 170"/>
                                  <a:gd name="T68" fmla="*/ 62 w 168"/>
                                  <a:gd name="T69" fmla="*/ 111 h 170"/>
                                  <a:gd name="T70" fmla="*/ 59 w 168"/>
                                  <a:gd name="T71" fmla="*/ 107 h 170"/>
                                  <a:gd name="T72" fmla="*/ 7 w 168"/>
                                  <a:gd name="T73" fmla="*/ 107 h 170"/>
                                  <a:gd name="T74" fmla="*/ 7 w 168"/>
                                  <a:gd name="T75" fmla="*/ 6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70">
                                    <a:moveTo>
                                      <a:pt x="3" y="114"/>
                                    </a:moveTo>
                                    <a:cubicBezTo>
                                      <a:pt x="3" y="114"/>
                                      <a:pt x="3" y="114"/>
                                      <a:pt x="55" y="114"/>
                                    </a:cubicBezTo>
                                    <a:cubicBezTo>
                                      <a:pt x="55" y="114"/>
                                      <a:pt x="55" y="114"/>
                                      <a:pt x="55" y="166"/>
                                    </a:cubicBezTo>
                                    <a:cubicBezTo>
                                      <a:pt x="55" y="168"/>
                                      <a:pt x="57" y="170"/>
                                      <a:pt x="59" y="170"/>
                                    </a:cubicBezTo>
                                    <a:cubicBezTo>
                                      <a:pt x="59" y="170"/>
                                      <a:pt x="59" y="170"/>
                                      <a:pt x="109" y="170"/>
                                    </a:cubicBezTo>
                                    <a:cubicBezTo>
                                      <a:pt x="111" y="170"/>
                                      <a:pt x="113" y="168"/>
                                      <a:pt x="113" y="166"/>
                                    </a:cubicBezTo>
                                    <a:cubicBezTo>
                                      <a:pt x="113" y="166"/>
                                      <a:pt x="113" y="166"/>
                                      <a:pt x="113" y="114"/>
                                    </a:cubicBezTo>
                                    <a:cubicBezTo>
                                      <a:pt x="113" y="114"/>
                                      <a:pt x="113" y="114"/>
                                      <a:pt x="165" y="114"/>
                                    </a:cubicBezTo>
                                    <a:cubicBezTo>
                                      <a:pt x="166" y="114"/>
                                      <a:pt x="168" y="113"/>
                                      <a:pt x="168" y="111"/>
                                    </a:cubicBezTo>
                                    <a:cubicBezTo>
                                      <a:pt x="168" y="111"/>
                                      <a:pt x="168" y="111"/>
                                      <a:pt x="168" y="59"/>
                                    </a:cubicBezTo>
                                    <a:cubicBezTo>
                                      <a:pt x="168" y="57"/>
                                      <a:pt x="166" y="55"/>
                                      <a:pt x="165" y="55"/>
                                    </a:cubicBezTo>
                                    <a:cubicBezTo>
                                      <a:pt x="165" y="55"/>
                                      <a:pt x="165" y="55"/>
                                      <a:pt x="113" y="55"/>
                                    </a:cubicBezTo>
                                    <a:cubicBezTo>
                                      <a:pt x="113" y="55"/>
                                      <a:pt x="113" y="55"/>
                                      <a:pt x="113" y="3"/>
                                    </a:cubicBezTo>
                                    <a:cubicBezTo>
                                      <a:pt x="113" y="1"/>
                                      <a:pt x="111" y="0"/>
                                      <a:pt x="109" y="0"/>
                                    </a:cubicBezTo>
                                    <a:cubicBezTo>
                                      <a:pt x="109" y="0"/>
                                      <a:pt x="109" y="0"/>
                                      <a:pt x="59" y="0"/>
                                    </a:cubicBezTo>
                                    <a:cubicBezTo>
                                      <a:pt x="57" y="0"/>
                                      <a:pt x="55" y="1"/>
                                      <a:pt x="55" y="3"/>
                                    </a:cubicBezTo>
                                    <a:cubicBezTo>
                                      <a:pt x="55" y="3"/>
                                      <a:pt x="55" y="3"/>
                                      <a:pt x="55" y="55"/>
                                    </a:cubicBezTo>
                                    <a:cubicBezTo>
                                      <a:pt x="55" y="55"/>
                                      <a:pt x="55" y="55"/>
                                      <a:pt x="3" y="55"/>
                                    </a:cubicBezTo>
                                    <a:cubicBezTo>
                                      <a:pt x="1" y="55"/>
                                      <a:pt x="0" y="57"/>
                                      <a:pt x="0" y="59"/>
                                    </a:cubicBezTo>
                                    <a:cubicBezTo>
                                      <a:pt x="0" y="59"/>
                                      <a:pt x="0" y="59"/>
                                      <a:pt x="0" y="111"/>
                                    </a:cubicBezTo>
                                    <a:cubicBezTo>
                                      <a:pt x="0" y="113"/>
                                      <a:pt x="1" y="114"/>
                                      <a:pt x="3" y="114"/>
                                    </a:cubicBezTo>
                                    <a:close/>
                                    <a:moveTo>
                                      <a:pt x="7" y="62"/>
                                    </a:moveTo>
                                    <a:cubicBezTo>
                                      <a:pt x="7" y="62"/>
                                      <a:pt x="7" y="62"/>
                                      <a:pt x="59" y="62"/>
                                    </a:cubicBezTo>
                                    <a:cubicBezTo>
                                      <a:pt x="60" y="62"/>
                                      <a:pt x="62" y="60"/>
                                      <a:pt x="62" y="59"/>
                                    </a:cubicBezTo>
                                    <a:cubicBezTo>
                                      <a:pt x="62" y="59"/>
                                      <a:pt x="62" y="59"/>
                                      <a:pt x="62" y="7"/>
                                    </a:cubicBezTo>
                                    <a:cubicBezTo>
                                      <a:pt x="62" y="7"/>
                                      <a:pt x="62" y="7"/>
                                      <a:pt x="106" y="7"/>
                                    </a:cubicBezTo>
                                    <a:cubicBezTo>
                                      <a:pt x="106" y="7"/>
                                      <a:pt x="106" y="7"/>
                                      <a:pt x="106" y="59"/>
                                    </a:cubicBezTo>
                                    <a:cubicBezTo>
                                      <a:pt x="106" y="60"/>
                                      <a:pt x="107" y="62"/>
                                      <a:pt x="109" y="62"/>
                                    </a:cubicBezTo>
                                    <a:cubicBezTo>
                                      <a:pt x="109" y="62"/>
                                      <a:pt x="109" y="62"/>
                                      <a:pt x="161" y="62"/>
                                    </a:cubicBezTo>
                                    <a:cubicBezTo>
                                      <a:pt x="161" y="62"/>
                                      <a:pt x="161" y="62"/>
                                      <a:pt x="161" y="107"/>
                                    </a:cubicBezTo>
                                    <a:cubicBezTo>
                                      <a:pt x="161" y="107"/>
                                      <a:pt x="161" y="107"/>
                                      <a:pt x="109" y="107"/>
                                    </a:cubicBezTo>
                                    <a:cubicBezTo>
                                      <a:pt x="107" y="107"/>
                                      <a:pt x="106" y="109"/>
                                      <a:pt x="106" y="111"/>
                                    </a:cubicBezTo>
                                    <a:cubicBezTo>
                                      <a:pt x="106" y="111"/>
                                      <a:pt x="106" y="111"/>
                                      <a:pt x="106" y="163"/>
                                    </a:cubicBezTo>
                                    <a:cubicBezTo>
                                      <a:pt x="106" y="163"/>
                                      <a:pt x="106" y="163"/>
                                      <a:pt x="62" y="163"/>
                                    </a:cubicBezTo>
                                    <a:cubicBezTo>
                                      <a:pt x="62" y="111"/>
                                      <a:pt x="62" y="111"/>
                                      <a:pt x="62" y="111"/>
                                    </a:cubicBezTo>
                                    <a:cubicBezTo>
                                      <a:pt x="62" y="109"/>
                                      <a:pt x="60" y="107"/>
                                      <a:pt x="59" y="107"/>
                                    </a:cubicBezTo>
                                    <a:cubicBezTo>
                                      <a:pt x="59" y="107"/>
                                      <a:pt x="59" y="107"/>
                                      <a:pt x="7" y="107"/>
                                    </a:cubicBezTo>
                                    <a:cubicBezTo>
                                      <a:pt x="7" y="107"/>
                                      <a:pt x="7" y="107"/>
                                      <a:pt x="7" y="62"/>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xmlns:w16du="http://schemas.microsoft.com/office/word/2023/wordml/word16du">
                  <w:pict>
                    <v:shape w14:anchorId="359EB04F" id="Freeform: Shape 48" o:spid="_x0000_s1026" alt="An icon of a medical cross." style="width:23pt;height:23pt;visibility:visible;mso-wrap-style:square;mso-left-percent:-10001;mso-top-percent:-10001;mso-position-horizontal:absolute;mso-position-horizontal-relative:char;mso-position-vertical:absolute;mso-position-vertical-relative:line;mso-left-percent:-10001;mso-top-percent:-10001;v-text-anchor:top" coordsize="16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" path="m3,114v,,,,52,c55,114,55,114,55,166v,2,2,4,4,4c59,170,59,170,109,170v2,,4,-2,4,-4c113,166,113,166,113,114v,,,,52,c166,114,168,113,168,111v,,,,,-52c168,57,166,55,165,55v,,,,-52,c113,55,113,55,113,3,113,1,111,,109,v,,,,-50,c57,,55,1,55,3v,,,,,52c55,55,55,55,3,55,1,55,,57,,59v,,,,,52c,113,1,114,3,114xm7,62v,,,,52,c60,62,62,60,62,59v,,,,,-52c62,7,62,7,106,7v,,,,,52c106,60,107,62,109,62v,,,,52,c161,62,161,62,161,107v,,,,-52,c107,107,106,109,106,111v,,,,,52c106,163,106,163,62,163v,-52,,-52,,-52c62,109,60,107,59,107v,,,,-52,c7,107,7,107,7,62xe" fillcolor="white [3212]" stroked="f">
                      <v:path arrowok="t" o:connecttype="custom" o:connectlocs="5220,196020;95697,196020;95697,285433;102657,292311;189654,292311;196614,285433;196614,196020;287091,196020;292311,190862;292311,101449;287091,94571;196614,94571;196614,5158;189654,0;102657,0;95697,5158;95697,94571;5220,94571;0,101449;0,190862;5220,196020;12180,106608;102657,106608;107877,101449;107877,12036;184434,12036;184434,101449;189654,106608;280131,106608;280131,183984;189654,183984;184434,190862;184434,280275;107877,280275;107877,190862;102657,183984;12180,183984;12180,106608" o:connectangles="0,0,0,0,0,0,0,0,0,0,0,0,0,0,0,0,0,0,0,0,0,0,0,0,0,0,0,0,0,0,0,0,0,0,0,0,0,0"/>
                      <o:lock v:ext="edit" aspectratio="t" verticies="t"/>
                      <w10:anchorlock/>
                    </v:shape>
                  </w:pict>
                </mc:Fallback>
              </mc:AlternateContent>
            </w:r>
          </w:p>
        </w:tc>
        <w:tc>
          <w:tcPr>
            <w:tcW w:w="874" w:type="pct"/>
            <w:shd w:val="clear" w:color="auto" w:fill="00264D" w:themeFill="background2"/>
            <w:vAlign w:val="center"/>
          </w:tcPr>
          <w:p w14:paraId="114C5BF4" w14:textId="77777777" w:rsidR="006F29B9" w:rsidRPr="0088201A" w:rsidRDefault="006F29B9" w:rsidP="00C10DCE">
            <w:pPr>
              <w:pStyle w:val="TableNText"/>
              <w:keepNext w:val="0"/>
              <w:keepLines/>
              <w:rPr>
                <w:rFonts w:asciiTheme="majorHAnsi" w:hAnsiTheme="majorHAnsi" w:cstheme="majorHAnsi"/>
                <w:color w:val="FFFFFF" w:themeColor="background1"/>
                <w:sz w:val="16"/>
                <w:szCs w:val="16"/>
              </w:rPr>
            </w:pPr>
            <w:r w:rsidRPr="0088201A">
              <w:rPr>
                <w:rFonts w:asciiTheme="majorHAnsi" w:hAnsiTheme="majorHAnsi" w:cstheme="majorHAnsi"/>
                <w:color w:val="FFFFFF" w:themeColor="background1"/>
                <w:sz w:val="16"/>
                <w:szCs w:val="16"/>
              </w:rPr>
              <w:t>Private health insurance providers</w:t>
            </w:r>
          </w:p>
        </w:tc>
        <w:tc>
          <w:tcPr>
            <w:tcW w:w="1271" w:type="pct"/>
          </w:tcPr>
          <w:p w14:paraId="3970518C" w14:textId="77777777" w:rsidR="006F29B9" w:rsidRPr="00C10DCE" w:rsidRDefault="006F29B9" w:rsidP="00C10DCE">
            <w:pPr>
              <w:pStyle w:val="TableNText"/>
              <w:keepNext w:val="0"/>
              <w:keepLines/>
              <w:rPr>
                <w:color w:val="000000" w:themeColor="text1"/>
                <w:sz w:val="16"/>
                <w:szCs w:val="16"/>
              </w:rPr>
            </w:pPr>
            <w:r w:rsidRPr="00C10DCE">
              <w:rPr>
                <w:color w:val="000000" w:themeColor="text1"/>
                <w:sz w:val="16"/>
                <w:szCs w:val="16"/>
              </w:rPr>
              <w:t>Interviews</w:t>
            </w:r>
          </w:p>
        </w:tc>
        <w:tc>
          <w:tcPr>
            <w:tcW w:w="2301" w:type="pct"/>
          </w:tcPr>
          <w:p w14:paraId="24F5314B" w14:textId="77777777" w:rsidR="006F29B9" w:rsidRPr="00C10DCE" w:rsidRDefault="006F29B9" w:rsidP="00662DDD">
            <w:pPr>
              <w:pStyle w:val="TableNBullet"/>
              <w:keepLines/>
              <w:numPr>
                <w:ilvl w:val="0"/>
                <w:numId w:val="9"/>
              </w:numPr>
              <w:rPr>
                <w:rFonts w:cs="Segoe UI"/>
                <w:color w:val="000000" w:themeColor="text1"/>
                <w:sz w:val="16"/>
                <w:szCs w:val="18"/>
              </w:rPr>
            </w:pPr>
            <w:r w:rsidRPr="00C10DCE">
              <w:rPr>
                <w:rFonts w:cs="Segoe UI"/>
                <w:color w:val="000000" w:themeColor="text1"/>
                <w:sz w:val="16"/>
                <w:szCs w:val="18"/>
              </w:rPr>
              <w:t xml:space="preserve">Provide insights on the current system and associated challenges. </w:t>
            </w:r>
          </w:p>
          <w:p w14:paraId="6D70BE05" w14:textId="77777777" w:rsidR="006F29B9" w:rsidRPr="00C10DCE" w:rsidRDefault="006F29B9" w:rsidP="00662DDD">
            <w:pPr>
              <w:pStyle w:val="TableNBullet"/>
              <w:keepLines/>
              <w:numPr>
                <w:ilvl w:val="0"/>
                <w:numId w:val="9"/>
              </w:numPr>
              <w:rPr>
                <w:rFonts w:cs="Segoe UI"/>
                <w:color w:val="000000" w:themeColor="text1"/>
                <w:sz w:val="16"/>
                <w:szCs w:val="18"/>
              </w:rPr>
            </w:pPr>
            <w:r w:rsidRPr="00C10DCE">
              <w:rPr>
                <w:rFonts w:cs="Segoe UI"/>
                <w:color w:val="000000" w:themeColor="text1"/>
                <w:sz w:val="16"/>
                <w:szCs w:val="18"/>
              </w:rPr>
              <w:t>Provide insights on the impact of reforms.</w:t>
            </w:r>
          </w:p>
        </w:tc>
      </w:tr>
      <w:tr w:rsidR="006F29B9" w:rsidRPr="004D1E46" w14:paraId="59470E16" w14:textId="77777777" w:rsidTr="3787E91E">
        <w:trPr>
          <w:trHeight w:val="857"/>
        </w:trPr>
        <w:tc>
          <w:tcPr>
            <w:tcW w:w="554" w:type="pct"/>
            <w:shd w:val="clear" w:color="auto" w:fill="00264D" w:themeFill="background2"/>
            <w:vAlign w:val="center"/>
          </w:tcPr>
          <w:p w14:paraId="628BBFD7" w14:textId="77777777" w:rsidR="006F29B9" w:rsidRPr="0088201A" w:rsidRDefault="006F29B9" w:rsidP="00C10DCE">
            <w:pPr>
              <w:pStyle w:val="TableNText"/>
              <w:keepNext w:val="0"/>
              <w:keepLines/>
              <w:jc w:val="center"/>
              <w:rPr>
                <w:color w:val="FFFFFF" w:themeColor="background1"/>
                <w:sz w:val="16"/>
                <w:szCs w:val="16"/>
              </w:rPr>
            </w:pPr>
            <w:r w:rsidRPr="0088201A">
              <w:rPr>
                <w:noProof/>
                <w:color w:val="FFFFFF" w:themeColor="background1"/>
                <w:sz w:val="16"/>
                <w:szCs w:val="16"/>
              </w:rPr>
              <w:drawing>
                <wp:inline distT="0" distB="0" distL="0" distR="0" wp14:anchorId="6D6F3CB2" wp14:editId="555AA25B">
                  <wp:extent cx="309245" cy="336734"/>
                  <wp:effectExtent l="0" t="0" r="0" b="6350"/>
                  <wp:docPr id="50" name="Graphic 50" descr="An icon of a microscope.">
                    <a:extLst xmlns:a="http://schemas.openxmlformats.org/drawingml/2006/main">
                      <a:ext uri="{FF2B5EF4-FFF2-40B4-BE49-F238E27FC236}">
                        <a16:creationId xmlns:a16="http://schemas.microsoft.com/office/drawing/2014/main" id="{50353443-A9C9-4A55-9DDE-0A8CFA2D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descr="An icon of a microscope.">
                            <a:extLst>
                              <a:ext uri="{FF2B5EF4-FFF2-40B4-BE49-F238E27FC236}">
                                <a16:creationId xmlns:a16="http://schemas.microsoft.com/office/drawing/2014/main" id="{50353443-A9C9-4A55-9DDE-0A8CFA2D5132}"/>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319264" cy="347644"/>
                          </a:xfrm>
                          <a:prstGeom prst="rect">
                            <a:avLst/>
                          </a:prstGeom>
                        </pic:spPr>
                      </pic:pic>
                    </a:graphicData>
                  </a:graphic>
                </wp:inline>
              </w:drawing>
            </w:r>
          </w:p>
        </w:tc>
        <w:tc>
          <w:tcPr>
            <w:tcW w:w="874" w:type="pct"/>
            <w:shd w:val="clear" w:color="auto" w:fill="00264D" w:themeFill="background2"/>
            <w:vAlign w:val="center"/>
          </w:tcPr>
          <w:p w14:paraId="264B78C5" w14:textId="77777777" w:rsidR="006F29B9" w:rsidRPr="0088201A" w:rsidRDefault="006F29B9" w:rsidP="00C10DCE">
            <w:pPr>
              <w:pStyle w:val="TableNText"/>
              <w:keepNext w:val="0"/>
              <w:keepLines/>
              <w:rPr>
                <w:rFonts w:asciiTheme="majorHAnsi" w:hAnsiTheme="majorHAnsi" w:cstheme="majorHAnsi"/>
                <w:color w:val="FFFFFF" w:themeColor="background1"/>
                <w:sz w:val="16"/>
                <w:szCs w:val="16"/>
              </w:rPr>
            </w:pPr>
            <w:r w:rsidRPr="0088201A">
              <w:rPr>
                <w:rFonts w:asciiTheme="majorHAnsi" w:hAnsiTheme="majorHAnsi" w:cstheme="majorHAnsi"/>
                <w:color w:val="FFFFFF" w:themeColor="background1"/>
                <w:sz w:val="16"/>
                <w:szCs w:val="16"/>
              </w:rPr>
              <w:t>Medical technology companies</w:t>
            </w:r>
          </w:p>
        </w:tc>
        <w:tc>
          <w:tcPr>
            <w:tcW w:w="1271" w:type="pct"/>
          </w:tcPr>
          <w:p w14:paraId="3864D2FE" w14:textId="77777777" w:rsidR="006F29B9" w:rsidRPr="00C10DCE" w:rsidRDefault="006F29B9" w:rsidP="00C10DCE">
            <w:pPr>
              <w:pStyle w:val="TableNText"/>
              <w:keepNext w:val="0"/>
              <w:keepLines/>
              <w:rPr>
                <w:rFonts w:cs="Segoe UI"/>
                <w:color w:val="000000" w:themeColor="text1"/>
                <w:sz w:val="16"/>
                <w:szCs w:val="16"/>
              </w:rPr>
            </w:pPr>
            <w:r w:rsidRPr="00C10DCE">
              <w:rPr>
                <w:rFonts w:cs="Segoe UI"/>
                <w:color w:val="000000" w:themeColor="text1"/>
                <w:sz w:val="16"/>
                <w:szCs w:val="16"/>
              </w:rPr>
              <w:t>Interviews</w:t>
            </w:r>
          </w:p>
        </w:tc>
        <w:tc>
          <w:tcPr>
            <w:tcW w:w="2301" w:type="pct"/>
          </w:tcPr>
          <w:p w14:paraId="0EFF214F" w14:textId="77777777" w:rsidR="006F29B9" w:rsidRPr="00C10DCE" w:rsidRDefault="006F29B9" w:rsidP="00662DDD">
            <w:pPr>
              <w:pStyle w:val="TableNBullet"/>
              <w:keepLines/>
              <w:numPr>
                <w:ilvl w:val="0"/>
                <w:numId w:val="9"/>
              </w:numPr>
              <w:rPr>
                <w:rFonts w:cs="Segoe UI"/>
                <w:color w:val="000000" w:themeColor="text1"/>
                <w:sz w:val="16"/>
                <w:szCs w:val="18"/>
              </w:rPr>
            </w:pPr>
            <w:r w:rsidRPr="00C10DCE">
              <w:rPr>
                <w:rFonts w:cs="Segoe UI"/>
                <w:color w:val="000000" w:themeColor="text1"/>
                <w:sz w:val="16"/>
                <w:szCs w:val="18"/>
              </w:rPr>
              <w:t>Provide insights on the impact of reforms on medical technology companies.</w:t>
            </w:r>
          </w:p>
          <w:p w14:paraId="6CAD8EAA" w14:textId="77777777" w:rsidR="006F29B9" w:rsidRPr="00C10DCE" w:rsidRDefault="006F29B9" w:rsidP="00662DDD">
            <w:pPr>
              <w:pStyle w:val="TableNBullet"/>
              <w:keepLines/>
              <w:numPr>
                <w:ilvl w:val="0"/>
                <w:numId w:val="9"/>
              </w:numPr>
              <w:rPr>
                <w:rFonts w:cs="Segoe UI"/>
                <w:color w:val="000000" w:themeColor="text1"/>
                <w:sz w:val="16"/>
                <w:szCs w:val="18"/>
              </w:rPr>
            </w:pPr>
            <w:r w:rsidRPr="00C10DCE">
              <w:rPr>
                <w:rFonts w:cs="Segoe UI"/>
                <w:color w:val="000000" w:themeColor="text1"/>
                <w:sz w:val="16"/>
                <w:szCs w:val="18"/>
              </w:rPr>
              <w:t>Provide insights on the impact of reforms (particularly as it relates to medical technology in Australia).</w:t>
            </w:r>
          </w:p>
        </w:tc>
      </w:tr>
      <w:tr w:rsidR="006F29B9" w:rsidRPr="004D1E46" w14:paraId="7F4F3938" w14:textId="77777777" w:rsidTr="3787E91E">
        <w:trPr>
          <w:trHeight w:val="857"/>
        </w:trPr>
        <w:tc>
          <w:tcPr>
            <w:tcW w:w="554" w:type="pct"/>
            <w:shd w:val="clear" w:color="auto" w:fill="00264D" w:themeFill="background2"/>
            <w:vAlign w:val="center"/>
          </w:tcPr>
          <w:p w14:paraId="15F4456D" w14:textId="77777777" w:rsidR="006F29B9" w:rsidRPr="0088201A" w:rsidRDefault="006F29B9" w:rsidP="00C10DCE">
            <w:pPr>
              <w:pStyle w:val="TableNText"/>
              <w:keepNext w:val="0"/>
              <w:keepLines/>
              <w:jc w:val="center"/>
              <w:rPr>
                <w:color w:val="FFFFFF" w:themeColor="background1"/>
                <w:sz w:val="16"/>
                <w:szCs w:val="16"/>
              </w:rPr>
            </w:pPr>
            <w:r w:rsidRPr="0088201A">
              <w:rPr>
                <w:noProof/>
                <w:color w:val="FFFFFF" w:themeColor="background1"/>
                <w:sz w:val="16"/>
                <w:szCs w:val="16"/>
              </w:rPr>
              <w:drawing>
                <wp:inline distT="0" distB="0" distL="0" distR="0" wp14:anchorId="27AE3D44" wp14:editId="47642650">
                  <wp:extent cx="267970" cy="323215"/>
                  <wp:effectExtent l="0" t="0" r="0" b="635"/>
                  <wp:docPr id="51" name="Picture 51" descr="An icon of a clin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n icon of a clinici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874" w:type="pct"/>
            <w:shd w:val="clear" w:color="auto" w:fill="00264D" w:themeFill="background2"/>
            <w:vAlign w:val="center"/>
          </w:tcPr>
          <w:p w14:paraId="57181B7F" w14:textId="77777777" w:rsidR="006F29B9" w:rsidRPr="0088201A" w:rsidRDefault="006F29B9" w:rsidP="00C10DCE">
            <w:pPr>
              <w:pStyle w:val="TableNText"/>
              <w:keepNext w:val="0"/>
              <w:keepLines/>
              <w:rPr>
                <w:rFonts w:asciiTheme="majorHAnsi" w:hAnsiTheme="majorHAnsi" w:cstheme="majorHAnsi"/>
                <w:color w:val="FFFFFF" w:themeColor="background1"/>
                <w:sz w:val="16"/>
                <w:szCs w:val="16"/>
              </w:rPr>
            </w:pPr>
            <w:r w:rsidRPr="0088201A">
              <w:rPr>
                <w:rFonts w:asciiTheme="majorHAnsi" w:hAnsiTheme="majorHAnsi" w:cstheme="majorHAnsi"/>
                <w:color w:val="FFFFFF" w:themeColor="background1"/>
                <w:sz w:val="16"/>
                <w:szCs w:val="16"/>
              </w:rPr>
              <w:t>Clinicians</w:t>
            </w:r>
          </w:p>
        </w:tc>
        <w:tc>
          <w:tcPr>
            <w:tcW w:w="1271" w:type="pct"/>
          </w:tcPr>
          <w:p w14:paraId="52E3BA1E" w14:textId="77777777" w:rsidR="006F29B9" w:rsidRPr="00C10DCE" w:rsidRDefault="006F29B9" w:rsidP="00C10DCE">
            <w:pPr>
              <w:pStyle w:val="TableNText"/>
              <w:keepNext w:val="0"/>
              <w:keepLines/>
              <w:rPr>
                <w:rFonts w:cs="Segoe UI"/>
                <w:color w:val="000000" w:themeColor="text1"/>
                <w:sz w:val="16"/>
                <w:szCs w:val="16"/>
              </w:rPr>
            </w:pPr>
            <w:r w:rsidRPr="00C10DCE">
              <w:rPr>
                <w:rFonts w:cs="Segoe UI"/>
                <w:color w:val="000000" w:themeColor="text1"/>
                <w:sz w:val="16"/>
                <w:szCs w:val="16"/>
              </w:rPr>
              <w:t>Interviews</w:t>
            </w:r>
          </w:p>
        </w:tc>
        <w:tc>
          <w:tcPr>
            <w:tcW w:w="2301" w:type="pct"/>
          </w:tcPr>
          <w:p w14:paraId="0567E8B8" w14:textId="77777777" w:rsidR="006F29B9" w:rsidRPr="00C10DCE" w:rsidRDefault="006F29B9" w:rsidP="00662DDD">
            <w:pPr>
              <w:pStyle w:val="TableNBullet"/>
              <w:keepLines/>
              <w:numPr>
                <w:ilvl w:val="0"/>
                <w:numId w:val="9"/>
              </w:numPr>
              <w:rPr>
                <w:rFonts w:cs="Segoe UI"/>
                <w:color w:val="000000" w:themeColor="text1"/>
                <w:sz w:val="16"/>
                <w:szCs w:val="18"/>
              </w:rPr>
            </w:pPr>
            <w:r w:rsidRPr="00C10DCE">
              <w:rPr>
                <w:rFonts w:cs="Segoe UI"/>
                <w:color w:val="000000" w:themeColor="text1"/>
                <w:sz w:val="16"/>
                <w:szCs w:val="18"/>
              </w:rPr>
              <w:t>Provide insights on the impact of reforms as it relates to access of choice.</w:t>
            </w:r>
          </w:p>
          <w:p w14:paraId="7E5789D2" w14:textId="77777777" w:rsidR="006F29B9" w:rsidRPr="00C10DCE" w:rsidRDefault="006F29B9" w:rsidP="00662DDD">
            <w:pPr>
              <w:pStyle w:val="TableNBullet"/>
              <w:keepLines/>
              <w:numPr>
                <w:ilvl w:val="0"/>
                <w:numId w:val="9"/>
              </w:numPr>
              <w:rPr>
                <w:rFonts w:cs="Segoe UI"/>
                <w:color w:val="000000" w:themeColor="text1"/>
                <w:sz w:val="16"/>
                <w:szCs w:val="18"/>
              </w:rPr>
            </w:pPr>
            <w:r w:rsidRPr="00C10DCE">
              <w:rPr>
                <w:rFonts w:cs="Segoe UI"/>
                <w:color w:val="000000" w:themeColor="text1"/>
                <w:sz w:val="16"/>
                <w:szCs w:val="18"/>
              </w:rPr>
              <w:t>Provide insights on knowledge and understanding of the reforms.</w:t>
            </w:r>
          </w:p>
        </w:tc>
      </w:tr>
      <w:tr w:rsidR="006F29B9" w:rsidRPr="004D1E46" w14:paraId="06CDDDCD" w14:textId="77777777" w:rsidTr="3787E91E">
        <w:trPr>
          <w:trHeight w:val="857"/>
        </w:trPr>
        <w:tc>
          <w:tcPr>
            <w:tcW w:w="554" w:type="pct"/>
            <w:shd w:val="clear" w:color="auto" w:fill="00264D" w:themeFill="background2"/>
            <w:vAlign w:val="center"/>
          </w:tcPr>
          <w:p w14:paraId="1D5303F8" w14:textId="77777777" w:rsidR="006F29B9" w:rsidRPr="0088201A" w:rsidRDefault="006F29B9" w:rsidP="00C10DCE">
            <w:pPr>
              <w:pStyle w:val="TableNText"/>
              <w:keepNext w:val="0"/>
              <w:keepLines/>
              <w:jc w:val="center"/>
              <w:rPr>
                <w:color w:val="FFFFFF" w:themeColor="background1"/>
                <w:sz w:val="16"/>
                <w:szCs w:val="16"/>
              </w:rPr>
            </w:pPr>
            <w:r w:rsidRPr="0088201A">
              <w:rPr>
                <w:noProof/>
                <w:color w:val="FFFFFF" w:themeColor="background1"/>
                <w:sz w:val="16"/>
                <w:szCs w:val="16"/>
              </w:rPr>
              <w:drawing>
                <wp:inline distT="0" distB="0" distL="0" distR="0" wp14:anchorId="2BB94E55" wp14:editId="31D4E98F">
                  <wp:extent cx="365760" cy="286385"/>
                  <wp:effectExtent l="0" t="0" r="0" b="0"/>
                  <wp:docPr id="62" name="Picture 62" descr="An icon of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n icon of a group of peop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 cy="286385"/>
                          </a:xfrm>
                          <a:prstGeom prst="rect">
                            <a:avLst/>
                          </a:prstGeom>
                          <a:noFill/>
                        </pic:spPr>
                      </pic:pic>
                    </a:graphicData>
                  </a:graphic>
                </wp:inline>
              </w:drawing>
            </w:r>
          </w:p>
        </w:tc>
        <w:tc>
          <w:tcPr>
            <w:tcW w:w="874" w:type="pct"/>
            <w:shd w:val="clear" w:color="auto" w:fill="00264D" w:themeFill="background2"/>
            <w:vAlign w:val="center"/>
          </w:tcPr>
          <w:p w14:paraId="14CC06DB" w14:textId="77777777" w:rsidR="006F29B9" w:rsidRPr="0088201A" w:rsidRDefault="006F29B9" w:rsidP="00C10DCE">
            <w:pPr>
              <w:pStyle w:val="TableNText"/>
              <w:keepNext w:val="0"/>
              <w:keepLines/>
              <w:rPr>
                <w:rFonts w:asciiTheme="majorHAnsi" w:hAnsiTheme="majorHAnsi" w:cstheme="majorHAnsi"/>
                <w:color w:val="FFFFFF" w:themeColor="background1"/>
                <w:sz w:val="16"/>
                <w:szCs w:val="16"/>
              </w:rPr>
            </w:pPr>
            <w:r w:rsidRPr="0088201A">
              <w:rPr>
                <w:rFonts w:asciiTheme="majorHAnsi" w:hAnsiTheme="majorHAnsi" w:cstheme="majorHAnsi"/>
                <w:color w:val="FFFFFF" w:themeColor="background1"/>
                <w:sz w:val="16"/>
                <w:szCs w:val="16"/>
              </w:rPr>
              <w:t>Prostheses List Reform Evaluation Advisory Group</w:t>
            </w:r>
          </w:p>
        </w:tc>
        <w:tc>
          <w:tcPr>
            <w:tcW w:w="1271" w:type="pct"/>
          </w:tcPr>
          <w:p w14:paraId="722FB727" w14:textId="77777777" w:rsidR="006F29B9" w:rsidRPr="00C10DCE" w:rsidRDefault="006F29B9" w:rsidP="00C10DCE">
            <w:pPr>
              <w:pStyle w:val="TableNText"/>
              <w:keepNext w:val="0"/>
              <w:keepLines/>
              <w:rPr>
                <w:rFonts w:cs="Segoe UI"/>
                <w:color w:val="000000" w:themeColor="text1"/>
                <w:sz w:val="16"/>
                <w:szCs w:val="16"/>
              </w:rPr>
            </w:pPr>
            <w:r w:rsidRPr="00C10DCE">
              <w:rPr>
                <w:rFonts w:cs="Segoe UI"/>
                <w:color w:val="000000" w:themeColor="text1"/>
                <w:sz w:val="16"/>
                <w:szCs w:val="16"/>
              </w:rPr>
              <w:t>Workshops</w:t>
            </w:r>
          </w:p>
        </w:tc>
        <w:tc>
          <w:tcPr>
            <w:tcW w:w="2301" w:type="pct"/>
          </w:tcPr>
          <w:p w14:paraId="2B924AD4" w14:textId="77777777" w:rsidR="006F29B9" w:rsidRPr="00C10DCE" w:rsidRDefault="006F29B9" w:rsidP="00662DDD">
            <w:pPr>
              <w:pStyle w:val="TableNBullet"/>
              <w:keepLines/>
              <w:numPr>
                <w:ilvl w:val="0"/>
                <w:numId w:val="9"/>
              </w:numPr>
              <w:rPr>
                <w:rFonts w:cs="Segoe UI"/>
                <w:color w:val="000000" w:themeColor="text1"/>
                <w:sz w:val="16"/>
                <w:szCs w:val="18"/>
              </w:rPr>
            </w:pPr>
            <w:r w:rsidRPr="00C10DCE">
              <w:rPr>
                <w:rFonts w:cs="Segoe UI"/>
                <w:color w:val="000000" w:themeColor="text1"/>
                <w:sz w:val="16"/>
                <w:szCs w:val="18"/>
              </w:rPr>
              <w:t>Discuss emerging findings and interim reports prior to their finalisation.</w:t>
            </w:r>
          </w:p>
          <w:p w14:paraId="264D8401" w14:textId="77777777" w:rsidR="006F29B9" w:rsidRPr="00C10DCE" w:rsidRDefault="006F29B9" w:rsidP="00662DDD">
            <w:pPr>
              <w:pStyle w:val="TableNBullet"/>
              <w:keepLines/>
              <w:numPr>
                <w:ilvl w:val="0"/>
                <w:numId w:val="9"/>
              </w:numPr>
              <w:rPr>
                <w:rFonts w:cs="Segoe UI"/>
                <w:color w:val="000000" w:themeColor="text1"/>
                <w:sz w:val="16"/>
                <w:szCs w:val="18"/>
              </w:rPr>
            </w:pPr>
            <w:r w:rsidRPr="00C10DCE">
              <w:rPr>
                <w:rFonts w:cs="Segoe UI"/>
                <w:color w:val="000000" w:themeColor="text1"/>
                <w:sz w:val="16"/>
                <w:szCs w:val="18"/>
              </w:rPr>
              <w:t>Provide insight on stakeholder contexts and perspectives.</w:t>
            </w:r>
          </w:p>
        </w:tc>
      </w:tr>
    </w:tbl>
    <w:p w14:paraId="22C2C73C" w14:textId="77777777" w:rsidR="006F29B9" w:rsidRPr="0088201A" w:rsidRDefault="006F29B9" w:rsidP="00B12290">
      <w:pPr>
        <w:pStyle w:val="Heading3"/>
      </w:pPr>
      <w:bookmarkStart w:id="140" w:name="_Toc142924187"/>
      <w:r>
        <w:lastRenderedPageBreak/>
        <w:t>Analytical methods</w:t>
      </w:r>
      <w:bookmarkEnd w:id="140"/>
      <w:r>
        <w:t xml:space="preserve"> </w:t>
      </w:r>
    </w:p>
    <w:p w14:paraId="25620065" w14:textId="77777777" w:rsidR="006F29B9" w:rsidRPr="0088201A" w:rsidRDefault="006F29B9" w:rsidP="006F29B9">
      <w:pPr>
        <w:pStyle w:val="Heading4"/>
      </w:pPr>
      <w:r w:rsidRPr="3787E91E">
        <w:t xml:space="preserve">Thematic analysis will be the main technique for monitoring qualitative </w:t>
      </w:r>
      <w:proofErr w:type="gramStart"/>
      <w:r w:rsidRPr="3787E91E">
        <w:t>data</w:t>
      </w:r>
      <w:proofErr w:type="gramEnd"/>
    </w:p>
    <w:p w14:paraId="3BB5F3FD" w14:textId="329F22D5" w:rsidR="006F29B9" w:rsidRPr="0088201A" w:rsidRDefault="006F29B9" w:rsidP="006F29B9">
      <w:pPr>
        <w:rPr>
          <w:lang w:eastAsia="en-AU"/>
        </w:rPr>
      </w:pPr>
      <w:r w:rsidRPr="0088201A">
        <w:rPr>
          <w:szCs w:val="19"/>
        </w:rPr>
        <w:t xml:space="preserve">Thematic analysis is a rigorous and fit-for-purpose approach to synthesising qualitative data from different data sources, including those outlined above, to gain key insights and understand emerging messages. There are five key steps in conducting thematic analysis which are summarised in </w:t>
      </w:r>
      <w:r w:rsidRPr="0088201A">
        <w:rPr>
          <w:szCs w:val="19"/>
        </w:rPr>
        <w:fldChar w:fldCharType="begin"/>
      </w:r>
      <w:r w:rsidRPr="0088201A">
        <w:rPr>
          <w:szCs w:val="19"/>
        </w:rPr>
        <w:instrText xml:space="preserve"> REF _Ref141961916 \h </w:instrText>
      </w:r>
      <w:r w:rsidRPr="0088201A">
        <w:rPr>
          <w:szCs w:val="19"/>
        </w:rPr>
      </w:r>
      <w:r w:rsidRPr="0088201A">
        <w:rPr>
          <w:szCs w:val="19"/>
        </w:rPr>
        <w:fldChar w:fldCharType="separate"/>
      </w:r>
      <w:r w:rsidR="00026714" w:rsidRPr="0088201A">
        <w:t xml:space="preserve">Figure </w:t>
      </w:r>
      <w:r w:rsidR="00026714">
        <w:rPr>
          <w:noProof/>
        </w:rPr>
        <w:t>41</w:t>
      </w:r>
      <w:r w:rsidRPr="0088201A">
        <w:rPr>
          <w:szCs w:val="19"/>
        </w:rPr>
        <w:fldChar w:fldCharType="end"/>
      </w:r>
      <w:r w:rsidRPr="0088201A">
        <w:rPr>
          <w:szCs w:val="19"/>
        </w:rPr>
        <w:t xml:space="preserve">. </w:t>
      </w:r>
    </w:p>
    <w:p w14:paraId="4E5E0DD2" w14:textId="28E5AC60" w:rsidR="006F29B9" w:rsidRPr="0088201A" w:rsidRDefault="006F29B9" w:rsidP="00AA46D4">
      <w:pPr>
        <w:pStyle w:val="Caption"/>
        <w:spacing w:before="240" w:after="120"/>
      </w:pPr>
      <w:bookmarkStart w:id="141" w:name="_Ref141961916"/>
      <w:bookmarkStart w:id="142" w:name="_Ref141961912"/>
      <w:r w:rsidRPr="0088201A">
        <w:t xml:space="preserve">Figure </w:t>
      </w:r>
      <w:r>
        <w:fldChar w:fldCharType="begin"/>
      </w:r>
      <w:r>
        <w:instrText xml:space="preserve"> SEQ Figure \* ARABIC </w:instrText>
      </w:r>
      <w:r>
        <w:fldChar w:fldCharType="separate"/>
      </w:r>
      <w:r w:rsidR="00026714">
        <w:rPr>
          <w:noProof/>
        </w:rPr>
        <w:t>41</w:t>
      </w:r>
      <w:r>
        <w:fldChar w:fldCharType="end"/>
      </w:r>
      <w:bookmarkEnd w:id="141"/>
      <w:r w:rsidRPr="0088201A">
        <w:t xml:space="preserve"> | Steps in thematic </w:t>
      </w:r>
      <w:proofErr w:type="gramStart"/>
      <w:r w:rsidRPr="0088201A">
        <w:t>analysis</w:t>
      </w:r>
      <w:bookmarkEnd w:id="142"/>
      <w:proofErr w:type="gramEnd"/>
    </w:p>
    <w:p w14:paraId="09451420" w14:textId="77777777" w:rsidR="006F29B9" w:rsidRPr="0088201A" w:rsidRDefault="006F29B9" w:rsidP="006F29B9">
      <w:pPr>
        <w:rPr>
          <w:lang w:eastAsia="en-AU"/>
        </w:rPr>
      </w:pPr>
      <w:r>
        <w:rPr>
          <w:noProof/>
          <w:lang w:eastAsia="en-AU"/>
        </w:rPr>
        <w:drawing>
          <wp:inline distT="0" distB="0" distL="0" distR="0" wp14:anchorId="148A037E" wp14:editId="4152C2C9">
            <wp:extent cx="5670550" cy="3048000"/>
            <wp:effectExtent l="0" t="0" r="6350" b="0"/>
            <wp:docPr id="59" name="Picture 59" descr="A  figure showing five steps in thematic analysis. The steps are 1. Familiarisation; 2. Code and identify themes; 3. Review, modify and test; 4. Define themes; 5. Triangu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figure showing five steps in thematic analysis. The steps are 1. Familiarisation; 2. Code and identify themes; 3. Review, modify and test; 4. Define themes; 5. Triangulat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670550" cy="3048000"/>
                    </a:xfrm>
                    <a:prstGeom prst="rect">
                      <a:avLst/>
                    </a:prstGeom>
                  </pic:spPr>
                </pic:pic>
              </a:graphicData>
            </a:graphic>
          </wp:inline>
        </w:drawing>
      </w:r>
    </w:p>
    <w:p w14:paraId="3A21B324" w14:textId="77777777" w:rsidR="006F29B9" w:rsidRPr="0088201A" w:rsidRDefault="006F29B9" w:rsidP="006F29B9">
      <w:pPr>
        <w:pStyle w:val="Heading4"/>
        <w:ind w:left="864" w:hanging="864"/>
      </w:pPr>
      <w:r w:rsidRPr="0088201A">
        <w:t xml:space="preserve">Qualitative insights will be triangulated based on multiple sources of </w:t>
      </w:r>
      <w:proofErr w:type="gramStart"/>
      <w:r w:rsidRPr="0088201A">
        <w:t>evidence</w:t>
      </w:r>
      <w:proofErr w:type="gramEnd"/>
    </w:p>
    <w:p w14:paraId="39E249AA" w14:textId="2602E592" w:rsidR="006F29B9" w:rsidRPr="0088201A" w:rsidRDefault="006F29B9" w:rsidP="006F29B9">
      <w:pPr>
        <w:rPr>
          <w:lang w:eastAsia="en-AU"/>
        </w:rPr>
      </w:pPr>
      <w:r w:rsidRPr="0088201A">
        <w:rPr>
          <w:lang w:eastAsia="en-AU"/>
        </w:rPr>
        <w:t>To make findings and develop recommendations using the evidence provided by the diverse range of stakeholders, the evaluation will have to distil information into meaningful insights. To do this, evidence will be triangulated to obtain robust insights that consider the limitations on various types of data</w:t>
      </w:r>
      <w:r w:rsidR="00286CBF" w:rsidRPr="0088201A">
        <w:rPr>
          <w:lang w:eastAsia="en-AU"/>
        </w:rPr>
        <w:t>,</w:t>
      </w:r>
      <w:r w:rsidRPr="0088201A">
        <w:rPr>
          <w:lang w:eastAsia="en-AU"/>
        </w:rPr>
        <w:t xml:space="preserve"> and which rely upon the concurrence of multiple sources. This approach is summarised in </w:t>
      </w:r>
      <w:r w:rsidRPr="0088201A">
        <w:rPr>
          <w:lang w:eastAsia="en-AU"/>
        </w:rPr>
        <w:fldChar w:fldCharType="begin"/>
      </w:r>
      <w:r w:rsidRPr="0088201A">
        <w:rPr>
          <w:lang w:eastAsia="en-AU"/>
        </w:rPr>
        <w:instrText xml:space="preserve"> REF _Ref141962120 \h </w:instrText>
      </w:r>
      <w:r w:rsidRPr="0088201A">
        <w:rPr>
          <w:lang w:eastAsia="en-AU"/>
        </w:rPr>
      </w:r>
      <w:r w:rsidRPr="0088201A">
        <w:rPr>
          <w:lang w:eastAsia="en-AU"/>
        </w:rPr>
        <w:fldChar w:fldCharType="separate"/>
      </w:r>
      <w:r w:rsidR="00026714" w:rsidRPr="0088201A">
        <w:t xml:space="preserve">Figure </w:t>
      </w:r>
      <w:r w:rsidR="00026714">
        <w:rPr>
          <w:noProof/>
        </w:rPr>
        <w:t>42</w:t>
      </w:r>
      <w:r w:rsidRPr="0088201A">
        <w:rPr>
          <w:lang w:eastAsia="en-AU"/>
        </w:rPr>
        <w:fldChar w:fldCharType="end"/>
      </w:r>
      <w:r>
        <w:rPr>
          <w:lang w:eastAsia="en-AU"/>
        </w:rPr>
        <w:t xml:space="preserve"> overleaf.</w:t>
      </w:r>
      <w:r w:rsidRPr="0088201A">
        <w:rPr>
          <w:lang w:eastAsia="en-AU"/>
        </w:rPr>
        <w:t xml:space="preserve"> </w:t>
      </w:r>
    </w:p>
    <w:p w14:paraId="3930D394" w14:textId="190BC811" w:rsidR="006F29B9" w:rsidRPr="0088201A" w:rsidRDefault="006F29B9" w:rsidP="00AA46D4">
      <w:pPr>
        <w:pStyle w:val="Caption"/>
        <w:spacing w:before="240" w:after="120"/>
      </w:pPr>
      <w:bookmarkStart w:id="143" w:name="_Ref141962120"/>
      <w:r w:rsidRPr="0088201A">
        <w:t xml:space="preserve">Figure </w:t>
      </w:r>
      <w:r>
        <w:fldChar w:fldCharType="begin"/>
      </w:r>
      <w:r>
        <w:instrText xml:space="preserve"> SEQ Figure \* ARABIC </w:instrText>
      </w:r>
      <w:r>
        <w:fldChar w:fldCharType="separate"/>
      </w:r>
      <w:r w:rsidR="00026714">
        <w:rPr>
          <w:noProof/>
        </w:rPr>
        <w:t>42</w:t>
      </w:r>
      <w:r>
        <w:fldChar w:fldCharType="end"/>
      </w:r>
      <w:bookmarkEnd w:id="143"/>
      <w:r w:rsidRPr="0088201A">
        <w:t xml:space="preserve"> | Principles for triangulating insights from qualitative </w:t>
      </w:r>
      <w:proofErr w:type="gramStart"/>
      <w:r w:rsidRPr="0088201A">
        <w:t>sources</w:t>
      </w:r>
      <w:proofErr w:type="gramEnd"/>
    </w:p>
    <w:p w14:paraId="2A940BC3" w14:textId="750CF72A" w:rsidR="00EC7A43" w:rsidRPr="001C2D1E" w:rsidRDefault="006F29B9" w:rsidP="001C2D1E">
      <w:pPr>
        <w:rPr>
          <w:lang w:eastAsia="en-AU"/>
        </w:rPr>
      </w:pPr>
      <w:r w:rsidRPr="0088201A">
        <w:rPr>
          <w:noProof/>
        </w:rPr>
        <w:drawing>
          <wp:inline distT="0" distB="0" distL="0" distR="0" wp14:anchorId="69E74666" wp14:editId="004C30FA">
            <wp:extent cx="5670550" cy="2750185"/>
            <wp:effectExtent l="0" t="0" r="6350" b="0"/>
            <wp:docPr id="14368" name="Picture 14368" descr="A figure of principles for triangulating insights from qualitative sources. Depth of source knowledge, timing of observation and independence of source connect in a triangle with weight of evidence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 name="Picture 14368" descr="A figure of principles for triangulating insights from qualitative sources. Depth of source knowledge, timing of observation and independence of source connect in a triangle with weight of evidence in the centr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70550" cy="2750185"/>
                    </a:xfrm>
                    <a:prstGeom prst="rect">
                      <a:avLst/>
                    </a:prstGeom>
                    <a:noFill/>
                    <a:ln>
                      <a:noFill/>
                    </a:ln>
                  </pic:spPr>
                </pic:pic>
              </a:graphicData>
            </a:graphic>
          </wp:inline>
        </w:drawing>
      </w:r>
    </w:p>
    <w:p w14:paraId="1500E09F" w14:textId="1CD62B0C" w:rsidR="00EC7A43" w:rsidRPr="00545061" w:rsidRDefault="00986FB3" w:rsidP="00AB3332">
      <w:pPr>
        <w:pStyle w:val="xAppendixLevel1"/>
        <w:ind w:left="2268"/>
        <w:rPr>
          <w:sz w:val="34"/>
          <w:szCs w:val="34"/>
        </w:rPr>
      </w:pPr>
      <w:bookmarkStart w:id="144" w:name="_Ref159327204"/>
      <w:bookmarkStart w:id="145" w:name="_Toc179453711"/>
      <w:r w:rsidRPr="00545061">
        <w:rPr>
          <w:sz w:val="34"/>
          <w:szCs w:val="34"/>
        </w:rPr>
        <w:lastRenderedPageBreak/>
        <w:t xml:space="preserve">Public benchmark </w:t>
      </w:r>
      <w:r w:rsidR="00B84D85" w:rsidRPr="00545061">
        <w:rPr>
          <w:sz w:val="34"/>
          <w:szCs w:val="34"/>
        </w:rPr>
        <w:t>approximation</w:t>
      </w:r>
      <w:bookmarkEnd w:id="144"/>
      <w:bookmarkEnd w:id="145"/>
    </w:p>
    <w:p w14:paraId="5C5BCB52" w14:textId="53C1EA0C" w:rsidR="005925B7" w:rsidRDefault="00986FB3" w:rsidP="000B7852">
      <w:pPr>
        <w:rPr>
          <w:szCs w:val="19"/>
          <w:lang w:eastAsia="en-AU"/>
        </w:rPr>
      </w:pPr>
      <w:r>
        <w:rPr>
          <w:lang w:eastAsia="en-AU"/>
        </w:rPr>
        <w:t xml:space="preserve">The evaluation team approximated </w:t>
      </w:r>
      <w:r w:rsidR="00FB2F14">
        <w:rPr>
          <w:lang w:eastAsia="en-AU"/>
        </w:rPr>
        <w:t xml:space="preserve">the Weighted Average Prices </w:t>
      </w:r>
      <w:r w:rsidR="002024D7">
        <w:rPr>
          <w:lang w:eastAsia="en-AU"/>
        </w:rPr>
        <w:t>(WAP)</w:t>
      </w:r>
      <w:r w:rsidR="00FB2F14">
        <w:rPr>
          <w:lang w:eastAsia="en-AU"/>
        </w:rPr>
        <w:t xml:space="preserve"> for each of the 1665 benefit groups </w:t>
      </w:r>
      <w:r w:rsidR="00A6150F">
        <w:rPr>
          <w:lang w:eastAsia="en-AU"/>
        </w:rPr>
        <w:t>on Parts A and C of</w:t>
      </w:r>
      <w:r w:rsidR="003F470D">
        <w:rPr>
          <w:lang w:eastAsia="en-AU"/>
        </w:rPr>
        <w:t xml:space="preserve"> the</w:t>
      </w:r>
      <w:r w:rsidR="00E66C0B">
        <w:rPr>
          <w:lang w:eastAsia="en-AU"/>
        </w:rPr>
        <w:t xml:space="preserve"> </w:t>
      </w:r>
      <w:r w:rsidR="00A6150F">
        <w:rPr>
          <w:lang w:eastAsia="en-AU"/>
        </w:rPr>
        <w:t xml:space="preserve">November 2021 PL. </w:t>
      </w:r>
      <w:r w:rsidR="00EE26DF">
        <w:rPr>
          <w:lang w:eastAsia="en-AU"/>
        </w:rPr>
        <w:t>We did this by pe</w:t>
      </w:r>
      <w:r w:rsidR="00954563">
        <w:rPr>
          <w:lang w:eastAsia="en-AU"/>
        </w:rPr>
        <w:t xml:space="preserve">rforming a </w:t>
      </w:r>
      <w:proofErr w:type="spellStart"/>
      <w:r w:rsidR="00954563">
        <w:rPr>
          <w:lang w:eastAsia="en-AU"/>
        </w:rPr>
        <w:t>backcalculation</w:t>
      </w:r>
      <w:proofErr w:type="spellEnd"/>
      <w:r w:rsidR="00954563">
        <w:rPr>
          <w:lang w:eastAsia="en-AU"/>
        </w:rPr>
        <w:t xml:space="preserve"> exercise following </w:t>
      </w:r>
      <w:r w:rsidR="00CD3FCC" w:rsidRPr="0BCC15EA">
        <w:rPr>
          <w:lang w:eastAsia="en-AU"/>
        </w:rPr>
        <w:t>IHACPA’s published methodology</w:t>
      </w:r>
      <w:r w:rsidR="00CD3FCC" w:rsidRPr="0BCC15EA">
        <w:rPr>
          <w:rStyle w:val="FootnoteReference"/>
          <w:lang w:eastAsia="en-AU"/>
        </w:rPr>
        <w:footnoteReference w:id="218"/>
      </w:r>
      <w:r w:rsidR="00CD3FCC" w:rsidRPr="0BCC15EA">
        <w:rPr>
          <w:lang w:eastAsia="en-AU"/>
        </w:rPr>
        <w:t xml:space="preserve"> using the baseline November 2021 PL and </w:t>
      </w:r>
      <w:r w:rsidR="006F2795" w:rsidRPr="0BCC15EA">
        <w:rPr>
          <w:lang w:eastAsia="en-AU"/>
        </w:rPr>
        <w:t xml:space="preserve">the first </w:t>
      </w:r>
      <w:r w:rsidR="00CD3FCC" w:rsidRPr="0BCC15EA">
        <w:rPr>
          <w:lang w:eastAsia="en-AU"/>
        </w:rPr>
        <w:t>two years of benefit reductions</w:t>
      </w:r>
      <w:r w:rsidR="006F2795" w:rsidRPr="0BCC15EA">
        <w:rPr>
          <w:lang w:eastAsia="en-AU"/>
        </w:rPr>
        <w:t xml:space="preserve"> (July 2022 and </w:t>
      </w:r>
      <w:r w:rsidR="00DE00F1" w:rsidRPr="0BCC15EA">
        <w:rPr>
          <w:lang w:eastAsia="en-AU"/>
        </w:rPr>
        <w:t>July 2023 updates).</w:t>
      </w:r>
    </w:p>
    <w:p w14:paraId="00FB2E85" w14:textId="4599E495" w:rsidR="00017250" w:rsidRDefault="00017250" w:rsidP="000B7852">
      <w:pPr>
        <w:rPr>
          <w:szCs w:val="19"/>
          <w:lang w:eastAsia="en-AU"/>
        </w:rPr>
      </w:pPr>
      <w:r>
        <w:rPr>
          <w:szCs w:val="19"/>
          <w:lang w:eastAsia="en-AU"/>
        </w:rPr>
        <w:t xml:space="preserve">This </w:t>
      </w:r>
      <w:r w:rsidR="00C80509">
        <w:rPr>
          <w:szCs w:val="19"/>
          <w:lang w:eastAsia="en-AU"/>
        </w:rPr>
        <w:t xml:space="preserve">represents a limitation </w:t>
      </w:r>
      <w:r w:rsidR="00241B28">
        <w:rPr>
          <w:szCs w:val="19"/>
          <w:lang w:eastAsia="en-AU"/>
        </w:rPr>
        <w:t>compare</w:t>
      </w:r>
      <w:r w:rsidR="002024D7">
        <w:rPr>
          <w:szCs w:val="19"/>
          <w:lang w:eastAsia="en-AU"/>
        </w:rPr>
        <w:t>d to having access</w:t>
      </w:r>
      <w:r w:rsidR="00C80509">
        <w:rPr>
          <w:szCs w:val="19"/>
          <w:lang w:eastAsia="en-AU"/>
        </w:rPr>
        <w:t xml:space="preserve"> the </w:t>
      </w:r>
      <w:r w:rsidR="002024D7">
        <w:rPr>
          <w:szCs w:val="19"/>
          <w:lang w:eastAsia="en-AU"/>
        </w:rPr>
        <w:t>actual WAP</w:t>
      </w:r>
      <w:r w:rsidR="00C80509">
        <w:rPr>
          <w:szCs w:val="19"/>
          <w:lang w:eastAsia="en-AU"/>
        </w:rPr>
        <w:t xml:space="preserve"> of </w:t>
      </w:r>
      <w:r w:rsidR="002024D7">
        <w:rPr>
          <w:szCs w:val="19"/>
          <w:lang w:eastAsia="en-AU"/>
        </w:rPr>
        <w:t>benefit groups</w:t>
      </w:r>
      <w:r w:rsidR="00B32806">
        <w:rPr>
          <w:szCs w:val="19"/>
          <w:lang w:eastAsia="en-AU"/>
        </w:rPr>
        <w:t xml:space="preserve"> </w:t>
      </w:r>
      <w:r w:rsidR="001070B5">
        <w:rPr>
          <w:szCs w:val="19"/>
          <w:lang w:eastAsia="en-AU"/>
        </w:rPr>
        <w:t xml:space="preserve">in </w:t>
      </w:r>
      <w:r w:rsidR="0035075C">
        <w:rPr>
          <w:szCs w:val="19"/>
          <w:lang w:eastAsia="en-AU"/>
        </w:rPr>
        <w:t>three</w:t>
      </w:r>
      <w:r w:rsidR="001070B5">
        <w:rPr>
          <w:szCs w:val="19"/>
          <w:lang w:eastAsia="en-AU"/>
        </w:rPr>
        <w:t xml:space="preserve"> ways:</w:t>
      </w:r>
    </w:p>
    <w:p w14:paraId="7793C8B2" w14:textId="64C276D8" w:rsidR="00154492" w:rsidRPr="00467079" w:rsidRDefault="00154492" w:rsidP="00467079">
      <w:pPr>
        <w:pStyle w:val="Bullet"/>
      </w:pPr>
      <w:r w:rsidRPr="3787E91E">
        <w:rPr>
          <w:rFonts w:asciiTheme="majorHAnsi" w:hAnsiTheme="majorHAnsi" w:cstheme="majorBidi"/>
        </w:rPr>
        <w:t>Lower accuracy –</w:t>
      </w:r>
      <w:r w:rsidRPr="3787E91E">
        <w:t xml:space="preserve"> We can only calculate a range of benefits for benefit groups in some cases. Across all PL items, the average uncertainty is +/- 2.5%. Moreover, the level of accuracy is unevenly distributed across the PL categories. Notably, the average uncertainty for CIED devices is +/- 33.2% </w:t>
      </w:r>
      <w:proofErr w:type="gramStart"/>
      <w:r w:rsidRPr="3787E91E">
        <w:t>as a result of</w:t>
      </w:r>
      <w:proofErr w:type="gramEnd"/>
      <w:r w:rsidRPr="3787E91E">
        <w:t xml:space="preserve"> only one year of benefit reduction being available for these items</w:t>
      </w:r>
      <w:r w:rsidR="00FF6B95" w:rsidRPr="3787E91E">
        <w:t xml:space="preserve"> in March 2024.</w:t>
      </w:r>
    </w:p>
    <w:p w14:paraId="024A58BF" w14:textId="2ECEF4D2" w:rsidR="00167A06" w:rsidRPr="00467079" w:rsidRDefault="00154492" w:rsidP="00467079">
      <w:pPr>
        <w:pStyle w:val="Bullet"/>
      </w:pPr>
      <w:r w:rsidRPr="3787E91E">
        <w:rPr>
          <w:rFonts w:asciiTheme="majorHAnsi" w:hAnsiTheme="majorHAnsi" w:cstheme="majorBidi"/>
        </w:rPr>
        <w:t>Baseline comparison only –</w:t>
      </w:r>
      <w:r w:rsidRPr="3787E91E">
        <w:t xml:space="preserve"> The </w:t>
      </w:r>
      <w:proofErr w:type="spellStart"/>
      <w:r w:rsidRPr="3787E91E">
        <w:t>backcalculation</w:t>
      </w:r>
      <w:proofErr w:type="spellEnd"/>
      <w:r w:rsidRPr="3787E91E">
        <w:t xml:space="preserve"> of the 2021 public benchmark prices </w:t>
      </w:r>
      <w:r w:rsidR="006A4A44" w:rsidRPr="3787E91E">
        <w:t>is just one</w:t>
      </w:r>
      <w:r w:rsidRPr="3787E91E">
        <w:t xml:space="preserve"> point</w:t>
      </w:r>
      <w:r w:rsidR="006461BA" w:rsidRPr="3787E91E">
        <w:t xml:space="preserve">-in-time reference </w:t>
      </w:r>
      <w:r w:rsidRPr="3787E91E">
        <w:t xml:space="preserve">for public prices. </w:t>
      </w:r>
      <w:r w:rsidR="00C73BE3" w:rsidRPr="3787E91E">
        <w:t xml:space="preserve">In March 2024, </w:t>
      </w:r>
      <w:r w:rsidRPr="3787E91E">
        <w:t xml:space="preserve">IHACPA is currently performing a pricing review to recalculate the public benchmark prices for the 1 July 2024 benefit reductions. The evaluation team will not be able to conduct the same exercise on the revised public benchmark prices as our methodology requires two years of reductions to </w:t>
      </w:r>
      <w:proofErr w:type="spellStart"/>
      <w:r w:rsidRPr="3787E91E">
        <w:t>backcalculate</w:t>
      </w:r>
      <w:proofErr w:type="spellEnd"/>
      <w:r w:rsidRPr="3787E91E">
        <w:t>.</w:t>
      </w:r>
    </w:p>
    <w:p w14:paraId="22A834B0" w14:textId="0D18FFB2" w:rsidR="00B02FEE" w:rsidRPr="00467079" w:rsidRDefault="00B02FEE" w:rsidP="00467079">
      <w:pPr>
        <w:pStyle w:val="Bullet"/>
      </w:pPr>
      <w:r w:rsidRPr="3787E91E">
        <w:rPr>
          <w:rFonts w:asciiTheme="majorHAnsi" w:hAnsiTheme="majorHAnsi" w:cstheme="majorBidi"/>
        </w:rPr>
        <w:t xml:space="preserve">Assumption that PL benefits </w:t>
      </w:r>
      <w:r w:rsidR="002E3643" w:rsidRPr="3787E91E">
        <w:rPr>
          <w:rFonts w:asciiTheme="majorHAnsi" w:hAnsiTheme="majorHAnsi" w:cstheme="majorBidi"/>
        </w:rPr>
        <w:t xml:space="preserve">are not less than </w:t>
      </w:r>
      <w:r w:rsidR="002F52D8" w:rsidRPr="3787E91E">
        <w:rPr>
          <w:rFonts w:asciiTheme="majorHAnsi" w:hAnsiTheme="majorHAnsi" w:cstheme="majorBidi"/>
        </w:rPr>
        <w:t>their public benchmarks –</w:t>
      </w:r>
      <w:r w:rsidR="002F52D8" w:rsidRPr="3787E91E">
        <w:t xml:space="preserve"> </w:t>
      </w:r>
      <w:r w:rsidRPr="3787E91E">
        <w:t xml:space="preserve">In order to establish reasonable lower and upper bounds to our estimates, we assume that public benchmark prices are at most equal to their corresponding PL benefits. </w:t>
      </w:r>
      <w:r w:rsidR="0013127A" w:rsidRPr="3787E91E">
        <w:t xml:space="preserve">If </w:t>
      </w:r>
      <w:r w:rsidRPr="3787E91E">
        <w:t>public benchmark prices</w:t>
      </w:r>
      <w:r w:rsidR="0013127A" w:rsidRPr="3787E91E">
        <w:t xml:space="preserve"> were to be </w:t>
      </w:r>
      <w:r w:rsidRPr="3787E91E">
        <w:t xml:space="preserve">higher than PL benefits, </w:t>
      </w:r>
      <w:r w:rsidR="0013127A" w:rsidRPr="3787E91E">
        <w:t>this assumption w</w:t>
      </w:r>
      <w:r w:rsidR="001F1F4F" w:rsidRPr="3787E91E">
        <w:t xml:space="preserve">ould marginally distort our analysis </w:t>
      </w:r>
      <w:r w:rsidR="0013127A" w:rsidRPr="3787E91E">
        <w:t>for</w:t>
      </w:r>
      <w:r w:rsidR="001F1F4F" w:rsidRPr="3787E91E">
        <w:t xml:space="preserve"> </w:t>
      </w:r>
      <w:r w:rsidR="0013127A" w:rsidRPr="3787E91E">
        <w:t>these items. We understand this</w:t>
      </w:r>
      <w:r w:rsidR="00411B3E" w:rsidRPr="3787E91E">
        <w:t xml:space="preserve"> to be very rare</w:t>
      </w:r>
      <w:r w:rsidR="00DC0B3F" w:rsidRPr="3787E91E">
        <w:t>.</w:t>
      </w:r>
    </w:p>
    <w:p w14:paraId="6D0DCE5C" w14:textId="45B29D4D" w:rsidR="009667DE" w:rsidRDefault="009667DE" w:rsidP="00FB048B">
      <w:pPr>
        <w:rPr>
          <w:rFonts w:eastAsia="Times New Roman" w:cs="Times New Roman"/>
          <w:szCs w:val="19"/>
          <w:lang w:eastAsia="en-AU"/>
        </w:rPr>
      </w:pPr>
      <w:r>
        <w:br w:type="page"/>
      </w:r>
    </w:p>
    <w:p w14:paraId="704972CE" w14:textId="6D48DBC4" w:rsidR="009667DE" w:rsidRPr="00AA46D4" w:rsidRDefault="009667DE" w:rsidP="00AB3332">
      <w:pPr>
        <w:pStyle w:val="xAppendixLevel1"/>
        <w:ind w:left="2268"/>
        <w:rPr>
          <w:sz w:val="34"/>
          <w:szCs w:val="34"/>
        </w:rPr>
      </w:pPr>
      <w:bookmarkStart w:id="146" w:name="_Ref159922784"/>
      <w:bookmarkStart w:id="147" w:name="_Toc179453712"/>
      <w:r w:rsidRPr="00AA46D4">
        <w:rPr>
          <w:sz w:val="34"/>
          <w:szCs w:val="34"/>
        </w:rPr>
        <w:lastRenderedPageBreak/>
        <w:t xml:space="preserve">Note on international </w:t>
      </w:r>
      <w:proofErr w:type="gramStart"/>
      <w:r w:rsidRPr="00AA46D4">
        <w:rPr>
          <w:sz w:val="34"/>
          <w:szCs w:val="34"/>
        </w:rPr>
        <w:t>comparisons</w:t>
      </w:r>
      <w:bookmarkEnd w:id="146"/>
      <w:bookmarkEnd w:id="147"/>
      <w:proofErr w:type="gramEnd"/>
    </w:p>
    <w:p w14:paraId="5CF01023" w14:textId="77777777" w:rsidR="009667DE" w:rsidRPr="005627CB" w:rsidRDefault="009667DE" w:rsidP="009667DE">
      <w:r w:rsidRPr="005627CB">
        <w:t>Stakeholders have articulated considerations and concerns over the use of international data sources in the setting of benefits as part of this reform</w:t>
      </w:r>
      <w:r w:rsidRPr="005627CB">
        <w:rPr>
          <w:rStyle w:val="FootnoteReference"/>
        </w:rPr>
        <w:footnoteReference w:id="219"/>
      </w:r>
      <w:r w:rsidRPr="005627CB">
        <w:t>. Stakeholders propose genuine drivers of price differentials such as varying purchasing arrangements and market segmentation, level of technical manufacturer support provided and the level of regulatory hurdles; point to differences in private health insurance markets; and put forward potential unintended consequences as reasons to avoid using international comparisons</w:t>
      </w:r>
      <w:r w:rsidRPr="005627CB">
        <w:rPr>
          <w:rStyle w:val="FootnoteReference"/>
        </w:rPr>
        <w:footnoteReference w:id="220"/>
      </w:r>
      <w:r w:rsidRPr="005627CB">
        <w:t>. Other stakeholders have recommended international benchmarking, suggesting its use in validating benefit setting within existing processes</w:t>
      </w:r>
      <w:r w:rsidRPr="005627CB">
        <w:rPr>
          <w:rStyle w:val="FootnoteReference"/>
        </w:rPr>
        <w:footnoteReference w:id="221"/>
      </w:r>
      <w:r w:rsidRPr="005627CB">
        <w:t xml:space="preserve"> or as a basis for a different approach to the pricing of prostheses in Australia</w:t>
      </w:r>
      <w:r w:rsidRPr="005627CB">
        <w:rPr>
          <w:rStyle w:val="FootnoteReference"/>
        </w:rPr>
        <w:footnoteReference w:id="222"/>
      </w:r>
      <w:r w:rsidRPr="005627CB">
        <w:t>.</w:t>
      </w:r>
    </w:p>
    <w:p w14:paraId="5E743378" w14:textId="4F3F054E" w:rsidR="00DA4469" w:rsidRPr="00172872" w:rsidRDefault="009667DE" w:rsidP="009667DE">
      <w:r w:rsidRPr="005627CB">
        <w:t>We acknowledge that comparing products across international price lists to quantify the relative expense of medical devices is difficult given differences in market conditions and the nature of the international lists themselves. Moreover, this evaluation is not of the PL list itself or the need for reforms, but whether the</w:t>
      </w:r>
      <w:r w:rsidR="000B1282">
        <w:t xml:space="preserve"> projects of the current</w:t>
      </w:r>
      <w:r w:rsidRPr="005627CB">
        <w:t xml:space="preserve"> PL reform</w:t>
      </w:r>
      <w:r w:rsidR="000B1282">
        <w:t xml:space="preserve">s </w:t>
      </w:r>
      <w:r w:rsidRPr="005627CB">
        <w:t xml:space="preserve">achieve their intended outcomes and objectives. As such, we are using case studies </w:t>
      </w:r>
      <w:r>
        <w:t>in measure 2.</w:t>
      </w:r>
      <w:r w:rsidR="00623323">
        <w:t>3</w:t>
      </w:r>
      <w:r>
        <w:t xml:space="preserve"> </w:t>
      </w:r>
      <w:r w:rsidRPr="005627CB">
        <w:t xml:space="preserve">to compare PL benefits to prices in international markets, not to comment on the </w:t>
      </w:r>
      <w:r w:rsidRPr="005627CB">
        <w:rPr>
          <w:i/>
        </w:rPr>
        <w:t>absolute difference</w:t>
      </w:r>
      <w:r w:rsidRPr="005627CB">
        <w:t xml:space="preserve">, but to observe </w:t>
      </w:r>
      <w:r w:rsidRPr="005627CB">
        <w:rPr>
          <w:i/>
        </w:rPr>
        <w:t>how the gap changes over time</w:t>
      </w:r>
      <w:r w:rsidRPr="005627CB">
        <w:t xml:space="preserve">. </w:t>
      </w:r>
    </w:p>
    <w:p w14:paraId="21C53507" w14:textId="77777777" w:rsidR="00FC6205" w:rsidRPr="00FB048B" w:rsidRDefault="00FC6205" w:rsidP="00FB048B">
      <w:r>
        <w:br w:type="page"/>
      </w:r>
    </w:p>
    <w:p w14:paraId="2F71858D" w14:textId="2A20A9BA" w:rsidR="00E16C90" w:rsidRPr="00AA46D4" w:rsidRDefault="00320556" w:rsidP="00AB3332">
      <w:pPr>
        <w:pStyle w:val="xAppendixLevel1"/>
        <w:ind w:left="2268"/>
        <w:rPr>
          <w:sz w:val="34"/>
          <w:szCs w:val="34"/>
        </w:rPr>
      </w:pPr>
      <w:bookmarkStart w:id="148" w:name="_Ref159599339"/>
      <w:bookmarkStart w:id="149" w:name="_Toc179453713"/>
      <w:r w:rsidRPr="00AA46D4">
        <w:rPr>
          <w:sz w:val="34"/>
          <w:szCs w:val="34"/>
        </w:rPr>
        <w:lastRenderedPageBreak/>
        <w:t>U</w:t>
      </w:r>
      <w:r w:rsidR="002A11C2" w:rsidRPr="00AA46D4">
        <w:rPr>
          <w:sz w:val="34"/>
          <w:szCs w:val="34"/>
        </w:rPr>
        <w:t>tilisation</w:t>
      </w:r>
      <w:r w:rsidRPr="00AA46D4">
        <w:rPr>
          <w:sz w:val="34"/>
          <w:szCs w:val="34"/>
        </w:rPr>
        <w:t xml:space="preserve"> of PL items</w:t>
      </w:r>
      <w:bookmarkEnd w:id="148"/>
      <w:bookmarkEnd w:id="149"/>
    </w:p>
    <w:p w14:paraId="01AC78B2" w14:textId="075F197E" w:rsidR="00566BB0" w:rsidRPr="00F65A8B" w:rsidRDefault="00566BB0" w:rsidP="00566BB0">
      <w:pPr>
        <w:rPr>
          <w:lang w:eastAsia="en-AU"/>
        </w:rPr>
      </w:pPr>
      <w:r>
        <w:rPr>
          <w:highlight w:val="yellow"/>
          <w:lang w:eastAsia="en-AU"/>
        </w:rPr>
        <w:fldChar w:fldCharType="begin"/>
      </w:r>
      <w:r>
        <w:rPr>
          <w:highlight w:val="yellow"/>
          <w:lang w:eastAsia="en-AU"/>
        </w:rPr>
        <w:instrText xml:space="preserve"> REF _Ref152870515 \h </w:instrText>
      </w:r>
      <w:r>
        <w:rPr>
          <w:highlight w:val="yellow"/>
          <w:lang w:eastAsia="en-AU"/>
        </w:rPr>
      </w:r>
      <w:r>
        <w:rPr>
          <w:highlight w:val="yellow"/>
          <w:lang w:eastAsia="en-AU"/>
        </w:rPr>
        <w:fldChar w:fldCharType="separate"/>
      </w:r>
      <w:r w:rsidR="00026714">
        <w:t xml:space="preserve">Figure </w:t>
      </w:r>
      <w:r w:rsidR="00026714">
        <w:rPr>
          <w:noProof/>
        </w:rPr>
        <w:t>43</w:t>
      </w:r>
      <w:r>
        <w:rPr>
          <w:highlight w:val="yellow"/>
          <w:lang w:eastAsia="en-AU"/>
        </w:rPr>
        <w:fldChar w:fldCharType="end"/>
      </w:r>
      <w:r>
        <w:rPr>
          <w:lang w:eastAsia="en-AU"/>
        </w:rPr>
        <w:t xml:space="preserve"> below shows that there were over three million PL items used in 2021. Growth in utilisation across all PL categories in the five years prior was 28.9% (which corresponds with a compounded annual growth rate of 5.2%).</w:t>
      </w:r>
    </w:p>
    <w:p w14:paraId="509EF73D" w14:textId="5CF0F6C2" w:rsidR="00566BB0" w:rsidRDefault="00566BB0" w:rsidP="00566BB0">
      <w:pPr>
        <w:pStyle w:val="Caption"/>
        <w:spacing w:before="240" w:after="120"/>
      </w:pPr>
      <w:bookmarkStart w:id="150" w:name="_Ref152870515"/>
      <w:bookmarkStart w:id="151" w:name="_Ref152870509"/>
      <w:r>
        <w:t xml:space="preserve">Figure </w:t>
      </w:r>
      <w:r>
        <w:fldChar w:fldCharType="begin"/>
      </w:r>
      <w:r>
        <w:instrText xml:space="preserve"> SEQ Figure \* ARABIC </w:instrText>
      </w:r>
      <w:r>
        <w:fldChar w:fldCharType="separate"/>
      </w:r>
      <w:r w:rsidR="00026714">
        <w:rPr>
          <w:noProof/>
        </w:rPr>
        <w:t>43</w:t>
      </w:r>
      <w:r>
        <w:fldChar w:fldCharType="end"/>
      </w:r>
      <w:bookmarkEnd w:id="150"/>
      <w:r>
        <w:t xml:space="preserve"> | Total utilisation of PL items</w:t>
      </w:r>
      <w:bookmarkEnd w:id="151"/>
      <w:r w:rsidR="00485222" w:rsidRPr="008B40BA">
        <w:rPr>
          <w:vertAlign w:val="superscript"/>
        </w:rPr>
        <w:footnoteReference w:id="223"/>
      </w:r>
    </w:p>
    <w:p w14:paraId="7D7FD04D" w14:textId="77777777" w:rsidR="00566BB0" w:rsidRDefault="00566BB0" w:rsidP="00566BB0">
      <w:pPr>
        <w:rPr>
          <w:lang w:eastAsia="en-AU"/>
        </w:rPr>
      </w:pPr>
      <w:r>
        <w:rPr>
          <w:noProof/>
          <w:lang w:eastAsia="en-AU"/>
        </w:rPr>
        <w:drawing>
          <wp:inline distT="0" distB="0" distL="0" distR="0" wp14:anchorId="4D5A4418" wp14:editId="79F66A86">
            <wp:extent cx="5600065" cy="2400300"/>
            <wp:effectExtent l="0" t="0" r="635" b="0"/>
            <wp:docPr id="1009378637" name="Picture 1009378637" descr="A graph of total utilisation of PL items. An arrow shows an upward trend from 2016 to 2021 and is labelled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78637" name="Picture 1009378637" descr="A graph of total utilisation of PL items. An arrow shows an upward trend from 2016 to 2021 and is labelled +28.9%."/>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4722" b="3752"/>
                    <a:stretch/>
                  </pic:blipFill>
                  <pic:spPr bwMode="auto">
                    <a:xfrm>
                      <a:off x="0" y="0"/>
                      <a:ext cx="5605632" cy="2402686"/>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en-AU"/>
        </w:rPr>
        <w:t xml:space="preserve"> </w:t>
      </w:r>
    </w:p>
    <w:p w14:paraId="2B671575" w14:textId="2561817C" w:rsidR="00566BB0" w:rsidRDefault="00566BB0" w:rsidP="00566BB0">
      <w:pPr>
        <w:spacing w:before="400"/>
        <w:rPr>
          <w:lang w:eastAsia="en-AU"/>
        </w:rPr>
      </w:pPr>
      <w:r>
        <w:rPr>
          <w:lang w:eastAsia="en-AU"/>
        </w:rPr>
        <w:fldChar w:fldCharType="begin"/>
      </w:r>
      <w:r>
        <w:rPr>
          <w:lang w:eastAsia="en-AU"/>
        </w:rPr>
        <w:instrText xml:space="preserve"> REF _Ref152927862 \h </w:instrText>
      </w:r>
      <w:r>
        <w:rPr>
          <w:lang w:eastAsia="en-AU"/>
        </w:rPr>
      </w:r>
      <w:r>
        <w:rPr>
          <w:lang w:eastAsia="en-AU"/>
        </w:rPr>
        <w:fldChar w:fldCharType="separate"/>
      </w:r>
      <w:r w:rsidR="00026714">
        <w:t xml:space="preserve">Figure </w:t>
      </w:r>
      <w:r w:rsidR="00026714">
        <w:rPr>
          <w:noProof/>
        </w:rPr>
        <w:t>44</w:t>
      </w:r>
      <w:r>
        <w:rPr>
          <w:lang w:eastAsia="en-AU"/>
        </w:rPr>
        <w:fldChar w:fldCharType="end"/>
      </w:r>
      <w:r>
        <w:rPr>
          <w:lang w:eastAsia="en-AU"/>
        </w:rPr>
        <w:t xml:space="preserve"> </w:t>
      </w:r>
      <w:r w:rsidR="00485222">
        <w:rPr>
          <w:lang w:eastAsia="en-AU"/>
        </w:rPr>
        <w:t>shows</w:t>
      </w:r>
      <w:r>
        <w:rPr>
          <w:lang w:eastAsia="en-AU"/>
        </w:rPr>
        <w:t xml:space="preserve"> how he composition of PL item utilisation has changed over time. The shares in total utilisation </w:t>
      </w:r>
      <w:r w:rsidR="001F318E">
        <w:rPr>
          <w:lang w:eastAsia="en-AU"/>
        </w:rPr>
        <w:t>of</w:t>
      </w:r>
      <w:r>
        <w:rPr>
          <w:lang w:eastAsia="en-AU"/>
        </w:rPr>
        <w:t xml:space="preserve"> the largest categories of items (by volume of items used) have remained relatively stable over </w:t>
      </w:r>
      <w:r w:rsidR="001F318E">
        <w:rPr>
          <w:lang w:eastAsia="en-AU"/>
        </w:rPr>
        <w:t>the five years to baseline</w:t>
      </w:r>
      <w:r>
        <w:rPr>
          <w:lang w:eastAsia="en-AU"/>
        </w:rPr>
        <w:t>, suggesting that the growth in utilisation has been distributed across all categories.</w:t>
      </w:r>
    </w:p>
    <w:p w14:paraId="2CAEEA2B" w14:textId="482578A5" w:rsidR="00566BB0" w:rsidRDefault="00566BB0" w:rsidP="00566BB0">
      <w:pPr>
        <w:pStyle w:val="Caption"/>
        <w:spacing w:before="240" w:after="120"/>
      </w:pPr>
      <w:bookmarkStart w:id="152" w:name="_Ref152927862"/>
      <w:r>
        <w:t xml:space="preserve">Figure </w:t>
      </w:r>
      <w:r>
        <w:fldChar w:fldCharType="begin"/>
      </w:r>
      <w:r>
        <w:instrText xml:space="preserve"> SEQ Figure \* ARABIC </w:instrText>
      </w:r>
      <w:r>
        <w:fldChar w:fldCharType="separate"/>
      </w:r>
      <w:r w:rsidR="00026714">
        <w:rPr>
          <w:noProof/>
        </w:rPr>
        <w:t>44</w:t>
      </w:r>
      <w:r>
        <w:fldChar w:fldCharType="end"/>
      </w:r>
      <w:bookmarkEnd w:id="152"/>
      <w:r>
        <w:t xml:space="preserve"> | Prostheses utilisation by category</w:t>
      </w:r>
      <w:r w:rsidRPr="008B40BA">
        <w:rPr>
          <w:vertAlign w:val="superscript"/>
        </w:rPr>
        <w:footnoteReference w:id="224"/>
      </w:r>
    </w:p>
    <w:p w14:paraId="2033721D" w14:textId="38764745" w:rsidR="00FC6205" w:rsidRDefault="00CE6BCC" w:rsidP="00E16C90">
      <w:r w:rsidRPr="00746739">
        <w:rPr>
          <w:noProof/>
        </w:rPr>
        <w:drawing>
          <wp:inline distT="0" distB="0" distL="0" distR="0" wp14:anchorId="2C98FE9B" wp14:editId="04AEB5D9">
            <wp:extent cx="5670550" cy="2534920"/>
            <wp:effectExtent l="0" t="0" r="6350" b="0"/>
            <wp:docPr id="1649390571" name="Picture 1649390571" descr="A graph of prostheses utilisation by category. The category groupings are General Miscellaneous, Specialist Orthopaedic, Ophthalmic, Part B, Spinal, and Other Part A and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90571" name="Picture 1649390571" descr="A graph of prostheses utilisation by category. The category groupings are General Miscellaneous, Specialist Orthopaedic, Ophthalmic, Part B, Spinal, and Other Part A and C."/>
                    <pic:cNvPicPr/>
                  </pic:nvPicPr>
                  <pic:blipFill>
                    <a:blip r:embed="rId78"/>
                    <a:stretch>
                      <a:fillRect/>
                    </a:stretch>
                  </pic:blipFill>
                  <pic:spPr>
                    <a:xfrm>
                      <a:off x="0" y="0"/>
                      <a:ext cx="5670550" cy="2534920"/>
                    </a:xfrm>
                    <a:prstGeom prst="rect">
                      <a:avLst/>
                    </a:prstGeom>
                  </pic:spPr>
                </pic:pic>
              </a:graphicData>
            </a:graphic>
          </wp:inline>
        </w:drawing>
      </w:r>
      <w:r w:rsidR="00FC6205">
        <w:br w:type="page"/>
      </w:r>
    </w:p>
    <w:p w14:paraId="687C39A8" w14:textId="3BC87A19" w:rsidR="00795CEB" w:rsidRPr="00AA46D4" w:rsidRDefault="00094204" w:rsidP="00AB3332">
      <w:pPr>
        <w:pStyle w:val="xAppendixLevel1"/>
        <w:ind w:hanging="2410"/>
        <w:rPr>
          <w:sz w:val="34"/>
          <w:szCs w:val="34"/>
        </w:rPr>
      </w:pPr>
      <w:bookmarkStart w:id="153" w:name="_Ref159921760"/>
      <w:bookmarkStart w:id="154" w:name="_Ref159921775"/>
      <w:bookmarkStart w:id="155" w:name="_Toc179453714"/>
      <w:r w:rsidRPr="00AA46D4">
        <w:rPr>
          <w:sz w:val="34"/>
          <w:szCs w:val="34"/>
        </w:rPr>
        <w:lastRenderedPageBreak/>
        <w:t xml:space="preserve">HCP1 </w:t>
      </w:r>
      <w:r w:rsidR="008B51F4" w:rsidRPr="00AA46D4">
        <w:rPr>
          <w:sz w:val="34"/>
          <w:szCs w:val="34"/>
        </w:rPr>
        <w:t>completeness rate</w:t>
      </w:r>
      <w:bookmarkEnd w:id="153"/>
      <w:bookmarkEnd w:id="154"/>
      <w:bookmarkEnd w:id="155"/>
    </w:p>
    <w:p w14:paraId="4616E43D" w14:textId="150E1543" w:rsidR="00763D05" w:rsidRDefault="00833621" w:rsidP="008B51F4">
      <w:pPr>
        <w:rPr>
          <w:lang w:eastAsia="en-AU"/>
        </w:rPr>
      </w:pPr>
      <w:r>
        <w:rPr>
          <w:lang w:eastAsia="en-AU"/>
        </w:rPr>
        <w:t xml:space="preserve">Hospital </w:t>
      </w:r>
      <w:proofErr w:type="spellStart"/>
      <w:r>
        <w:rPr>
          <w:lang w:eastAsia="en-AU"/>
        </w:rPr>
        <w:t>Casemix</w:t>
      </w:r>
      <w:proofErr w:type="spellEnd"/>
      <w:r>
        <w:rPr>
          <w:lang w:eastAsia="en-AU"/>
        </w:rPr>
        <w:t xml:space="preserve"> Protocol </w:t>
      </w:r>
      <w:r w:rsidR="004D0B1D">
        <w:rPr>
          <w:lang w:eastAsia="en-AU"/>
        </w:rPr>
        <w:t xml:space="preserve">– Inpatient (HCP1) data is not </w:t>
      </w:r>
      <w:r w:rsidR="00CE7954">
        <w:rPr>
          <w:lang w:eastAsia="en-AU"/>
        </w:rPr>
        <w:t>a complete representation of private hospital activity.</w:t>
      </w:r>
      <w:r w:rsidR="00EC0635">
        <w:rPr>
          <w:lang w:eastAsia="en-AU"/>
        </w:rPr>
        <w:t xml:space="preserve"> </w:t>
      </w:r>
      <w:r w:rsidR="005B78D9">
        <w:rPr>
          <w:lang w:eastAsia="en-AU"/>
        </w:rPr>
        <w:t xml:space="preserve">The Department has </w:t>
      </w:r>
      <w:r w:rsidR="005D400B">
        <w:rPr>
          <w:lang w:eastAsia="en-AU"/>
        </w:rPr>
        <w:t xml:space="preserve">compared the volume of separations and prostheses items </w:t>
      </w:r>
      <w:r w:rsidR="005B53B8">
        <w:rPr>
          <w:lang w:eastAsia="en-AU"/>
        </w:rPr>
        <w:t>between HCP1 data and APRA published figures</w:t>
      </w:r>
      <w:r w:rsidR="003A2A4C">
        <w:rPr>
          <w:lang w:eastAsia="en-AU"/>
        </w:rPr>
        <w:t xml:space="preserve"> to determine a completeness rate.</w:t>
      </w:r>
      <w:r w:rsidR="00EC0635">
        <w:rPr>
          <w:lang w:eastAsia="en-AU"/>
        </w:rPr>
        <w:t xml:space="preserve"> The completeness r</w:t>
      </w:r>
      <w:r w:rsidR="00021B38">
        <w:rPr>
          <w:lang w:eastAsia="en-AU"/>
        </w:rPr>
        <w:t xml:space="preserve">ates </w:t>
      </w:r>
      <w:r w:rsidR="005655A6">
        <w:rPr>
          <w:lang w:eastAsia="en-AU"/>
        </w:rPr>
        <w:t xml:space="preserve">below are </w:t>
      </w:r>
      <w:r w:rsidR="00EC0635">
        <w:rPr>
          <w:lang w:eastAsia="en-AU"/>
        </w:rPr>
        <w:t xml:space="preserve">the overall rate and </w:t>
      </w:r>
      <w:r w:rsidR="005655A6">
        <w:rPr>
          <w:lang w:eastAsia="en-AU"/>
        </w:rPr>
        <w:t xml:space="preserve">completeness may vary </w:t>
      </w:r>
      <w:r w:rsidR="00400968">
        <w:rPr>
          <w:lang w:eastAsia="en-AU"/>
        </w:rPr>
        <w:t>across categories.</w:t>
      </w:r>
    </w:p>
    <w:p w14:paraId="72C52EAD" w14:textId="3CEDCD37" w:rsidR="00400968" w:rsidRDefault="00400968" w:rsidP="00AA46D4">
      <w:pPr>
        <w:pStyle w:val="Caption"/>
        <w:spacing w:before="240" w:after="120"/>
      </w:pPr>
      <w:r>
        <w:t xml:space="preserve">Table </w:t>
      </w:r>
      <w:r>
        <w:fldChar w:fldCharType="begin"/>
      </w:r>
      <w:r>
        <w:instrText xml:space="preserve"> SEQ Table \* ARABIC </w:instrText>
      </w:r>
      <w:r>
        <w:fldChar w:fldCharType="separate"/>
      </w:r>
      <w:r w:rsidR="00026714">
        <w:rPr>
          <w:noProof/>
        </w:rPr>
        <w:t>14</w:t>
      </w:r>
      <w:r>
        <w:fldChar w:fldCharType="end"/>
      </w:r>
      <w:r>
        <w:t xml:space="preserve"> | HCP1 estimated completeness compared to APRA published </w:t>
      </w:r>
      <w:proofErr w:type="gramStart"/>
      <w:r>
        <w:t>figures</w:t>
      </w:r>
      <w:proofErr w:type="gramEnd"/>
    </w:p>
    <w:tbl>
      <w:tblPr>
        <w:tblStyle w:val="NOUS"/>
        <w:tblW w:w="0" w:type="auto"/>
        <w:tblLook w:val="04A0" w:firstRow="1" w:lastRow="0" w:firstColumn="1" w:lastColumn="0" w:noHBand="0" w:noVBand="1"/>
      </w:tblPr>
      <w:tblGrid>
        <w:gridCol w:w="1979"/>
        <w:gridCol w:w="989"/>
        <w:gridCol w:w="989"/>
        <w:gridCol w:w="990"/>
        <w:gridCol w:w="990"/>
        <w:gridCol w:w="990"/>
        <w:gridCol w:w="990"/>
        <w:gridCol w:w="990"/>
        <w:gridCol w:w="23"/>
      </w:tblGrid>
      <w:tr w:rsidR="00EB4B4B" w14:paraId="7C35C3C7" w14:textId="77777777">
        <w:trPr>
          <w:cnfStyle w:val="100000000000" w:firstRow="1" w:lastRow="0" w:firstColumn="0" w:lastColumn="0" w:oddVBand="0" w:evenVBand="0" w:oddHBand="0" w:evenHBand="0" w:firstRowFirstColumn="0" w:firstRowLastColumn="0" w:lastRowFirstColumn="0" w:lastRowLastColumn="0"/>
        </w:trPr>
        <w:tc>
          <w:tcPr>
            <w:tcW w:w="1986" w:type="dxa"/>
          </w:tcPr>
          <w:p w14:paraId="5C06013F" w14:textId="77777777" w:rsidR="00EB4B4B" w:rsidRDefault="00EB4B4B" w:rsidP="00EB4B4B">
            <w:pPr>
              <w:pStyle w:val="TableNheader"/>
            </w:pPr>
          </w:p>
        </w:tc>
        <w:tc>
          <w:tcPr>
            <w:tcW w:w="992" w:type="dxa"/>
          </w:tcPr>
          <w:p w14:paraId="5B6395CA" w14:textId="2D2526EE" w:rsidR="00EB4B4B" w:rsidRPr="00EB4B4B" w:rsidRDefault="00EB4B4B" w:rsidP="00EB4B4B">
            <w:pPr>
              <w:pStyle w:val="TableNheader"/>
              <w:rPr>
                <w:b w:val="0"/>
                <w:bCs/>
              </w:rPr>
            </w:pPr>
            <w:r w:rsidRPr="00EB4B4B">
              <w:rPr>
                <w:b w:val="0"/>
                <w:bCs/>
              </w:rPr>
              <w:t>2016-17</w:t>
            </w:r>
          </w:p>
        </w:tc>
        <w:tc>
          <w:tcPr>
            <w:tcW w:w="992" w:type="dxa"/>
          </w:tcPr>
          <w:p w14:paraId="167652BB" w14:textId="63CEFC17" w:rsidR="00EB4B4B" w:rsidRPr="00EB4B4B" w:rsidRDefault="00EB4B4B" w:rsidP="00EB4B4B">
            <w:pPr>
              <w:pStyle w:val="TableNheader"/>
              <w:rPr>
                <w:b w:val="0"/>
                <w:bCs/>
              </w:rPr>
            </w:pPr>
            <w:r w:rsidRPr="00EB4B4B">
              <w:rPr>
                <w:b w:val="0"/>
                <w:bCs/>
              </w:rPr>
              <w:t>2017-18</w:t>
            </w:r>
          </w:p>
        </w:tc>
        <w:tc>
          <w:tcPr>
            <w:tcW w:w="992" w:type="dxa"/>
          </w:tcPr>
          <w:p w14:paraId="54509C6F" w14:textId="0E1119BE" w:rsidR="00EB4B4B" w:rsidRPr="00EB4B4B" w:rsidRDefault="00EB4B4B" w:rsidP="00EB4B4B">
            <w:pPr>
              <w:pStyle w:val="TableNheader"/>
              <w:rPr>
                <w:b w:val="0"/>
                <w:bCs/>
              </w:rPr>
            </w:pPr>
            <w:r w:rsidRPr="00EB4B4B">
              <w:rPr>
                <w:b w:val="0"/>
                <w:bCs/>
              </w:rPr>
              <w:t>2018-19</w:t>
            </w:r>
          </w:p>
        </w:tc>
        <w:tc>
          <w:tcPr>
            <w:tcW w:w="992" w:type="dxa"/>
          </w:tcPr>
          <w:p w14:paraId="338E399F" w14:textId="41154C37" w:rsidR="00EB4B4B" w:rsidRPr="00EB4B4B" w:rsidRDefault="00EB4B4B" w:rsidP="00EB4B4B">
            <w:pPr>
              <w:pStyle w:val="TableNheader"/>
              <w:rPr>
                <w:b w:val="0"/>
                <w:bCs/>
              </w:rPr>
            </w:pPr>
            <w:r w:rsidRPr="00EB4B4B">
              <w:rPr>
                <w:b w:val="0"/>
                <w:bCs/>
              </w:rPr>
              <w:t>2019-20</w:t>
            </w:r>
          </w:p>
        </w:tc>
        <w:tc>
          <w:tcPr>
            <w:tcW w:w="992" w:type="dxa"/>
          </w:tcPr>
          <w:p w14:paraId="724566CB" w14:textId="6919AAAD" w:rsidR="00EB4B4B" w:rsidRPr="00EB4B4B" w:rsidRDefault="00EB4B4B" w:rsidP="00EB4B4B">
            <w:pPr>
              <w:pStyle w:val="TableNheader"/>
              <w:rPr>
                <w:b w:val="0"/>
                <w:bCs/>
              </w:rPr>
            </w:pPr>
            <w:r w:rsidRPr="00EB4B4B">
              <w:rPr>
                <w:b w:val="0"/>
                <w:bCs/>
              </w:rPr>
              <w:t>2020-21</w:t>
            </w:r>
          </w:p>
        </w:tc>
        <w:tc>
          <w:tcPr>
            <w:tcW w:w="992" w:type="dxa"/>
          </w:tcPr>
          <w:p w14:paraId="6B85785F" w14:textId="18B5A0BE" w:rsidR="00EB4B4B" w:rsidRPr="00EB4B4B" w:rsidRDefault="00EB4B4B" w:rsidP="00EB4B4B">
            <w:pPr>
              <w:pStyle w:val="TableNheader"/>
              <w:rPr>
                <w:b w:val="0"/>
                <w:bCs/>
              </w:rPr>
            </w:pPr>
            <w:r w:rsidRPr="00EB4B4B">
              <w:rPr>
                <w:b w:val="0"/>
                <w:bCs/>
              </w:rPr>
              <w:t>2021-22</w:t>
            </w:r>
          </w:p>
        </w:tc>
        <w:tc>
          <w:tcPr>
            <w:tcW w:w="992" w:type="dxa"/>
            <w:gridSpan w:val="2"/>
          </w:tcPr>
          <w:p w14:paraId="7A67D3D0" w14:textId="18F352D1" w:rsidR="00EB4B4B" w:rsidRPr="00EB4B4B" w:rsidRDefault="00EB4B4B" w:rsidP="00EB4B4B">
            <w:pPr>
              <w:pStyle w:val="TableNheader"/>
              <w:rPr>
                <w:b w:val="0"/>
                <w:bCs/>
              </w:rPr>
            </w:pPr>
            <w:r w:rsidRPr="00EB4B4B">
              <w:rPr>
                <w:b w:val="0"/>
                <w:bCs/>
              </w:rPr>
              <w:t>2022-23</w:t>
            </w:r>
            <w:r w:rsidR="00E30A12">
              <w:rPr>
                <w:rStyle w:val="FootnoteReference"/>
                <w:b w:val="0"/>
                <w:bCs/>
              </w:rPr>
              <w:footnoteReference w:id="225"/>
            </w:r>
          </w:p>
        </w:tc>
      </w:tr>
      <w:tr w:rsidR="00EB4B4B" w14:paraId="6EAB7204" w14:textId="77777777">
        <w:trPr>
          <w:gridAfter w:val="1"/>
          <w:wAfter w:w="23" w:type="dxa"/>
        </w:trPr>
        <w:tc>
          <w:tcPr>
            <w:tcW w:w="1986" w:type="dxa"/>
          </w:tcPr>
          <w:p w14:paraId="4635A8C2" w14:textId="5433F18A" w:rsidR="00EB4B4B" w:rsidRPr="007364D7" w:rsidRDefault="00EB4B4B" w:rsidP="00EB4B4B">
            <w:pPr>
              <w:pStyle w:val="TableNText"/>
              <w:rPr>
                <w:rFonts w:asciiTheme="majorHAnsi" w:hAnsiTheme="majorHAnsi" w:cstheme="majorHAnsi"/>
              </w:rPr>
            </w:pPr>
            <w:r w:rsidRPr="007364D7">
              <w:rPr>
                <w:rFonts w:asciiTheme="majorHAnsi" w:hAnsiTheme="majorHAnsi" w:cstheme="majorHAnsi"/>
              </w:rPr>
              <w:t>Separations</w:t>
            </w:r>
          </w:p>
        </w:tc>
        <w:tc>
          <w:tcPr>
            <w:tcW w:w="992" w:type="dxa"/>
          </w:tcPr>
          <w:p w14:paraId="05EDE295" w14:textId="73E195F6" w:rsidR="00EB4B4B" w:rsidRDefault="00EB4B4B" w:rsidP="00EB4B4B">
            <w:pPr>
              <w:pStyle w:val="TableNText"/>
            </w:pPr>
            <w:r w:rsidRPr="00980806">
              <w:t>96.0%</w:t>
            </w:r>
          </w:p>
        </w:tc>
        <w:tc>
          <w:tcPr>
            <w:tcW w:w="992" w:type="dxa"/>
          </w:tcPr>
          <w:p w14:paraId="121A1AA4" w14:textId="3042F820" w:rsidR="00EB4B4B" w:rsidRDefault="00EB4B4B" w:rsidP="00EB4B4B">
            <w:pPr>
              <w:pStyle w:val="TableNText"/>
            </w:pPr>
            <w:r w:rsidRPr="00980806">
              <w:t>96.4%</w:t>
            </w:r>
          </w:p>
        </w:tc>
        <w:tc>
          <w:tcPr>
            <w:tcW w:w="992" w:type="dxa"/>
          </w:tcPr>
          <w:p w14:paraId="0E7CB503" w14:textId="1435C3E9" w:rsidR="00EB4B4B" w:rsidRDefault="00EB4B4B" w:rsidP="00EB4B4B">
            <w:pPr>
              <w:pStyle w:val="TableNText"/>
            </w:pPr>
            <w:r w:rsidRPr="00980806">
              <w:t>96.4%</w:t>
            </w:r>
          </w:p>
        </w:tc>
        <w:tc>
          <w:tcPr>
            <w:tcW w:w="992" w:type="dxa"/>
          </w:tcPr>
          <w:p w14:paraId="6138E6BD" w14:textId="6DA984C7" w:rsidR="00EB4B4B" w:rsidRDefault="00EB4B4B" w:rsidP="00EB4B4B">
            <w:pPr>
              <w:pStyle w:val="TableNText"/>
            </w:pPr>
            <w:r w:rsidRPr="00980806">
              <w:t>95.7%</w:t>
            </w:r>
          </w:p>
        </w:tc>
        <w:tc>
          <w:tcPr>
            <w:tcW w:w="992" w:type="dxa"/>
          </w:tcPr>
          <w:p w14:paraId="5EF8D8C5" w14:textId="37673DDE" w:rsidR="00EB4B4B" w:rsidRDefault="00EB4B4B" w:rsidP="00EB4B4B">
            <w:pPr>
              <w:pStyle w:val="TableNText"/>
            </w:pPr>
            <w:r w:rsidRPr="00980806">
              <w:t>9</w:t>
            </w:r>
            <w:r w:rsidR="00304CFA">
              <w:t>9.1</w:t>
            </w:r>
            <w:r w:rsidRPr="00980806">
              <w:t>%</w:t>
            </w:r>
          </w:p>
        </w:tc>
        <w:tc>
          <w:tcPr>
            <w:tcW w:w="992" w:type="dxa"/>
          </w:tcPr>
          <w:p w14:paraId="0BA0DDED" w14:textId="6176F03B" w:rsidR="00EB4B4B" w:rsidRDefault="00EB4B4B" w:rsidP="00EB4B4B">
            <w:pPr>
              <w:pStyle w:val="TableNText"/>
            </w:pPr>
            <w:r w:rsidRPr="00980806">
              <w:t>9</w:t>
            </w:r>
            <w:r w:rsidR="004F41EA">
              <w:t>5</w:t>
            </w:r>
            <w:r w:rsidRPr="00980806">
              <w:t>.1%</w:t>
            </w:r>
          </w:p>
        </w:tc>
        <w:tc>
          <w:tcPr>
            <w:tcW w:w="992" w:type="dxa"/>
          </w:tcPr>
          <w:p w14:paraId="356E9734" w14:textId="2F4009DD" w:rsidR="00EB4B4B" w:rsidRDefault="004B6753" w:rsidP="00EB4B4B">
            <w:pPr>
              <w:pStyle w:val="TableNText"/>
            </w:pPr>
            <w:r>
              <w:t>87</w:t>
            </w:r>
            <w:r w:rsidR="00EB4B4B" w:rsidRPr="00980806">
              <w:t>.</w:t>
            </w:r>
            <w:r>
              <w:t>8</w:t>
            </w:r>
            <w:r w:rsidR="00EB4B4B" w:rsidRPr="00980806">
              <w:t>%</w:t>
            </w:r>
          </w:p>
        </w:tc>
      </w:tr>
      <w:tr w:rsidR="00EB4B4B" w14:paraId="31B8C2B9" w14:textId="77777777">
        <w:trPr>
          <w:gridAfter w:val="1"/>
          <w:wAfter w:w="23" w:type="dxa"/>
        </w:trPr>
        <w:tc>
          <w:tcPr>
            <w:tcW w:w="1986" w:type="dxa"/>
          </w:tcPr>
          <w:p w14:paraId="7373F690" w14:textId="3B717BC7" w:rsidR="00EB4B4B" w:rsidRPr="007364D7" w:rsidRDefault="00EB4B4B" w:rsidP="00EB4B4B">
            <w:pPr>
              <w:pStyle w:val="TableNText"/>
              <w:rPr>
                <w:rFonts w:asciiTheme="majorHAnsi" w:hAnsiTheme="majorHAnsi" w:cstheme="majorHAnsi"/>
              </w:rPr>
            </w:pPr>
            <w:r w:rsidRPr="007364D7">
              <w:rPr>
                <w:rFonts w:asciiTheme="majorHAnsi" w:hAnsiTheme="majorHAnsi" w:cstheme="majorHAnsi"/>
              </w:rPr>
              <w:t>Prostheses items</w:t>
            </w:r>
          </w:p>
        </w:tc>
        <w:tc>
          <w:tcPr>
            <w:tcW w:w="992" w:type="dxa"/>
          </w:tcPr>
          <w:p w14:paraId="76F833C7" w14:textId="48C2A404" w:rsidR="00EB4B4B" w:rsidRDefault="00EB4B4B" w:rsidP="00EB4B4B">
            <w:pPr>
              <w:pStyle w:val="TableNText"/>
            </w:pPr>
            <w:r w:rsidRPr="00980806">
              <w:t>88.9%</w:t>
            </w:r>
          </w:p>
        </w:tc>
        <w:tc>
          <w:tcPr>
            <w:tcW w:w="992" w:type="dxa"/>
          </w:tcPr>
          <w:p w14:paraId="2AE75D05" w14:textId="6E1B165A" w:rsidR="00EB4B4B" w:rsidRDefault="00EB4B4B" w:rsidP="00EB4B4B">
            <w:pPr>
              <w:pStyle w:val="TableNText"/>
            </w:pPr>
            <w:r w:rsidRPr="00980806">
              <w:t>89.2%</w:t>
            </w:r>
          </w:p>
        </w:tc>
        <w:tc>
          <w:tcPr>
            <w:tcW w:w="992" w:type="dxa"/>
          </w:tcPr>
          <w:p w14:paraId="08E848E2" w14:textId="20355FED" w:rsidR="00EB4B4B" w:rsidRDefault="00EB4B4B" w:rsidP="00EB4B4B">
            <w:pPr>
              <w:pStyle w:val="TableNText"/>
            </w:pPr>
            <w:r w:rsidRPr="00980806">
              <w:t>90.6%</w:t>
            </w:r>
          </w:p>
        </w:tc>
        <w:tc>
          <w:tcPr>
            <w:tcW w:w="992" w:type="dxa"/>
          </w:tcPr>
          <w:p w14:paraId="5240C531" w14:textId="3AADC9DC" w:rsidR="00EB4B4B" w:rsidRDefault="00EB4B4B" w:rsidP="00EB4B4B">
            <w:pPr>
              <w:pStyle w:val="TableNText"/>
            </w:pPr>
            <w:r w:rsidRPr="00980806">
              <w:t>89.7%</w:t>
            </w:r>
          </w:p>
        </w:tc>
        <w:tc>
          <w:tcPr>
            <w:tcW w:w="992" w:type="dxa"/>
          </w:tcPr>
          <w:p w14:paraId="19D9C065" w14:textId="3536D7A4" w:rsidR="00EB4B4B" w:rsidRDefault="00EB4B4B" w:rsidP="00EB4B4B">
            <w:pPr>
              <w:pStyle w:val="TableNText"/>
            </w:pPr>
            <w:r w:rsidRPr="00980806">
              <w:t>9</w:t>
            </w:r>
            <w:r w:rsidR="00304CFA">
              <w:t>2</w:t>
            </w:r>
            <w:r w:rsidRPr="00980806">
              <w:t>.</w:t>
            </w:r>
            <w:r w:rsidR="00304CFA">
              <w:t>0</w:t>
            </w:r>
            <w:r w:rsidRPr="00980806">
              <w:t>%</w:t>
            </w:r>
          </w:p>
        </w:tc>
        <w:tc>
          <w:tcPr>
            <w:tcW w:w="992" w:type="dxa"/>
          </w:tcPr>
          <w:p w14:paraId="51B6A321" w14:textId="4FAD3E7E" w:rsidR="00EB4B4B" w:rsidRDefault="00EB4B4B" w:rsidP="00EB4B4B">
            <w:pPr>
              <w:pStyle w:val="TableNText"/>
            </w:pPr>
            <w:r w:rsidRPr="00980806">
              <w:t>9</w:t>
            </w:r>
            <w:r w:rsidR="004B6753">
              <w:t>1</w:t>
            </w:r>
            <w:r w:rsidRPr="00980806">
              <w:t>.</w:t>
            </w:r>
            <w:r w:rsidR="004B6753">
              <w:t>6</w:t>
            </w:r>
            <w:r w:rsidRPr="00980806">
              <w:t>%</w:t>
            </w:r>
          </w:p>
        </w:tc>
        <w:tc>
          <w:tcPr>
            <w:tcW w:w="992" w:type="dxa"/>
          </w:tcPr>
          <w:p w14:paraId="669D0AEB" w14:textId="34D3C543" w:rsidR="00EB4B4B" w:rsidRDefault="004B6753" w:rsidP="00EB4B4B">
            <w:pPr>
              <w:pStyle w:val="TableNText"/>
            </w:pPr>
            <w:r>
              <w:t>84</w:t>
            </w:r>
            <w:r w:rsidR="00EB4B4B" w:rsidRPr="00980806">
              <w:t>.</w:t>
            </w:r>
            <w:r>
              <w:t>3</w:t>
            </w:r>
            <w:r w:rsidR="00EB4B4B" w:rsidRPr="00980806">
              <w:t>%</w:t>
            </w:r>
          </w:p>
        </w:tc>
      </w:tr>
    </w:tbl>
    <w:p w14:paraId="26797B1A" w14:textId="77777777" w:rsidR="00600BC9" w:rsidRDefault="00600BC9">
      <w:pPr>
        <w:spacing w:after="160" w:line="259" w:lineRule="auto"/>
        <w:rPr>
          <w:lang w:eastAsia="en-AU"/>
        </w:rPr>
      </w:pPr>
    </w:p>
    <w:p w14:paraId="160739ED" w14:textId="4A7D7A3A" w:rsidR="001A14C6" w:rsidRDefault="001A14C6">
      <w:pPr>
        <w:spacing w:after="160" w:line="259" w:lineRule="auto"/>
        <w:rPr>
          <w:lang w:eastAsia="en-AU"/>
        </w:rPr>
        <w:sectPr w:rsidR="001A14C6" w:rsidSect="00BA60DA">
          <w:pgSz w:w="11907" w:h="16839" w:code="9"/>
          <w:pgMar w:top="1418" w:right="1418" w:bottom="1701" w:left="1559" w:header="680" w:footer="680" w:gutter="0"/>
          <w:cols w:space="720"/>
          <w:docGrid w:linePitch="360"/>
        </w:sectPr>
      </w:pPr>
    </w:p>
    <w:p w14:paraId="4E9F71E6" w14:textId="5497EFD2" w:rsidR="006B5AF3" w:rsidRPr="00456579" w:rsidRDefault="006B5AF3" w:rsidP="00AB3332">
      <w:pPr>
        <w:pStyle w:val="xAppendixLevel1"/>
        <w:ind w:left="2268"/>
        <w:rPr>
          <w:sz w:val="34"/>
          <w:szCs w:val="34"/>
        </w:rPr>
      </w:pPr>
      <w:bookmarkStart w:id="156" w:name="_Ref159935036"/>
      <w:bookmarkStart w:id="157" w:name="_Toc179453715"/>
      <w:r w:rsidRPr="00456579">
        <w:rPr>
          <w:sz w:val="34"/>
          <w:szCs w:val="34"/>
        </w:rPr>
        <w:lastRenderedPageBreak/>
        <w:t>Prostheses List Reform Program Logic</w:t>
      </w:r>
      <w:bookmarkEnd w:id="156"/>
      <w:bookmarkEnd w:id="157"/>
    </w:p>
    <w:p w14:paraId="76D2EC1F" w14:textId="34BFC7D2" w:rsidR="006B5AF3" w:rsidRDefault="00522CBB" w:rsidP="006B5AF3">
      <w:pPr>
        <w:rPr>
          <w:lang w:eastAsia="en-AU"/>
        </w:rPr>
      </w:pPr>
      <w:r>
        <w:rPr>
          <w:noProof/>
          <w:lang w:eastAsia="en-AU"/>
        </w:rPr>
        <w:drawing>
          <wp:inline distT="0" distB="0" distL="0" distR="0" wp14:anchorId="3C618946" wp14:editId="1234E633">
            <wp:extent cx="8443355" cy="5208177"/>
            <wp:effectExtent l="0" t="0" r="0" b="0"/>
            <wp:docPr id="54" name="Picture 54" descr="A figure of the protheses list reform program logic. It figure has a theory of change, descriptions under program logic categories, and the objectives of the r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figure of the protheses list reform program logic. It figure has a theory of change, descriptions under program logic categories, and the objectives of the reform."/>
                    <pic:cNvPicPr/>
                  </pic:nvPicPr>
                  <pic:blipFill>
                    <a:blip r:embed="rId79" cstate="print">
                      <a:extLst>
                        <a:ext uri="{28A0092B-C50C-407E-A947-70E740481C1C}">
                          <a14:useLocalDpi xmlns:a14="http://schemas.microsoft.com/office/drawing/2010/main" val="0"/>
                        </a:ext>
                      </a:extLst>
                    </a:blip>
                    <a:stretch>
                      <a:fillRect/>
                    </a:stretch>
                  </pic:blipFill>
                  <pic:spPr>
                    <a:xfrm>
                      <a:off x="0" y="0"/>
                      <a:ext cx="8453440" cy="5214398"/>
                    </a:xfrm>
                    <a:prstGeom prst="rect">
                      <a:avLst/>
                    </a:prstGeom>
                  </pic:spPr>
                </pic:pic>
              </a:graphicData>
            </a:graphic>
          </wp:inline>
        </w:drawing>
      </w:r>
    </w:p>
    <w:p w14:paraId="22279871" w14:textId="5B3D07E1" w:rsidR="00522CBB" w:rsidRPr="00456579" w:rsidRDefault="00522CBB" w:rsidP="00AB3332">
      <w:pPr>
        <w:pStyle w:val="xAppendixLevel1"/>
        <w:ind w:left="2268"/>
        <w:rPr>
          <w:sz w:val="34"/>
          <w:szCs w:val="34"/>
        </w:rPr>
      </w:pPr>
      <w:bookmarkStart w:id="158" w:name="_Ref159935045"/>
      <w:bookmarkStart w:id="159" w:name="_Toc179453716"/>
      <w:r w:rsidRPr="00456579">
        <w:rPr>
          <w:sz w:val="34"/>
          <w:szCs w:val="34"/>
        </w:rPr>
        <w:lastRenderedPageBreak/>
        <w:t>Cau</w:t>
      </w:r>
      <w:r w:rsidR="008A3E68">
        <w:rPr>
          <w:sz w:val="34"/>
          <w:szCs w:val="34"/>
        </w:rPr>
        <w:t>s</w:t>
      </w:r>
      <w:r w:rsidRPr="00456579">
        <w:rPr>
          <w:sz w:val="34"/>
          <w:szCs w:val="34"/>
        </w:rPr>
        <w:t>al logic diagram</w:t>
      </w:r>
      <w:bookmarkEnd w:id="158"/>
      <w:bookmarkEnd w:id="159"/>
    </w:p>
    <w:p w14:paraId="6D70A8C3" w14:textId="6132C44C" w:rsidR="00795CEB" w:rsidRDefault="001A14C6" w:rsidP="001A14C6">
      <w:pPr>
        <w:rPr>
          <w:lang w:eastAsia="en-AU"/>
        </w:rPr>
      </w:pPr>
      <w:r>
        <w:rPr>
          <w:noProof/>
          <w:lang w:eastAsia="en-AU"/>
        </w:rPr>
        <w:drawing>
          <wp:inline distT="0" distB="0" distL="0" distR="0" wp14:anchorId="73A17BEF" wp14:editId="7C7DE757">
            <wp:extent cx="8538302" cy="5188585"/>
            <wp:effectExtent l="0" t="0" r="0" b="0"/>
            <wp:docPr id="55" name="Picture 55" descr="A diagram showing causal logic from activity to immediate outcomes to secondary outcomes to impacts. The objectives of the reform are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diagram showing causal logic from activity to immediate outcomes to secondary outcomes to impacts. The objectives of the reform are includ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548728" cy="5194921"/>
                    </a:xfrm>
                    <a:prstGeom prst="rect">
                      <a:avLst/>
                    </a:prstGeom>
                  </pic:spPr>
                </pic:pic>
              </a:graphicData>
            </a:graphic>
          </wp:inline>
        </w:drawing>
      </w:r>
    </w:p>
    <w:p w14:paraId="469545E0" w14:textId="77777777" w:rsidR="00BF2AA9" w:rsidRDefault="00BF2AA9" w:rsidP="001A14C6">
      <w:pPr>
        <w:rPr>
          <w:lang w:eastAsia="en-AU"/>
        </w:rPr>
        <w:sectPr w:rsidR="00BF2AA9" w:rsidSect="00BA60DA">
          <w:pgSz w:w="16839" w:h="11907" w:orient="landscape" w:code="9"/>
          <w:pgMar w:top="1559" w:right="1418" w:bottom="1418" w:left="1701" w:header="680" w:footer="680" w:gutter="0"/>
          <w:cols w:space="720"/>
          <w:docGrid w:linePitch="360"/>
        </w:sectPr>
      </w:pPr>
    </w:p>
    <w:p w14:paraId="0D670A94" w14:textId="28658CF1" w:rsidR="00455FD2" w:rsidRDefault="00BF2AA9" w:rsidP="00AB3332">
      <w:pPr>
        <w:pStyle w:val="xAppendixLevel1"/>
        <w:ind w:left="2268"/>
      </w:pPr>
      <w:bookmarkStart w:id="160" w:name="_Ref160187838"/>
      <w:bookmarkStart w:id="161" w:name="_Toc179453717"/>
      <w:r>
        <w:lastRenderedPageBreak/>
        <w:t>Baseline date of the evaluation</w:t>
      </w:r>
      <w:bookmarkEnd w:id="160"/>
      <w:bookmarkEnd w:id="161"/>
    </w:p>
    <w:p w14:paraId="6585D4CD" w14:textId="77777777" w:rsidR="006201D2" w:rsidRDefault="006201D2" w:rsidP="00FB048B">
      <w:pPr>
        <w:pStyle w:val="Appendingheading2"/>
      </w:pPr>
      <w:r w:rsidRPr="004F51F2">
        <w:t xml:space="preserve">While the overall baseline date is set prior to first announcement of the reforms, analysis of any given activity will need to factor in the date that the activity </w:t>
      </w:r>
      <w:proofErr w:type="gramStart"/>
      <w:r w:rsidRPr="004F51F2">
        <w:t>occurred</w:t>
      </w:r>
      <w:proofErr w:type="gramEnd"/>
    </w:p>
    <w:p w14:paraId="5A41B76E" w14:textId="77777777" w:rsidR="006201D2" w:rsidRPr="00D377CF" w:rsidRDefault="006201D2" w:rsidP="006201D2">
      <w:pPr>
        <w:rPr>
          <w:szCs w:val="19"/>
        </w:rPr>
      </w:pPr>
      <w:r w:rsidRPr="00D377CF">
        <w:rPr>
          <w:szCs w:val="19"/>
        </w:rPr>
        <w:t>The 2021 Australian Federal Budget, released on 11 May 2021, included a commitment of $22 million over</w:t>
      </w:r>
      <w:r>
        <w:t xml:space="preserve"> </w:t>
      </w:r>
      <w:r w:rsidRPr="00D377CF">
        <w:rPr>
          <w:szCs w:val="19"/>
        </w:rPr>
        <w:t>four years for the purposes of reducing the cost of medical devices used in the private health sector and streamlining access to new medical devices.</w:t>
      </w:r>
      <w:r w:rsidRPr="00D377CF">
        <w:rPr>
          <w:rStyle w:val="FootnoteReference"/>
          <w:szCs w:val="19"/>
        </w:rPr>
        <w:footnoteReference w:id="226"/>
      </w:r>
      <w:r w:rsidRPr="00D377CF">
        <w:rPr>
          <w:szCs w:val="19"/>
        </w:rPr>
        <w:t xml:space="preserve"> For this reason, we are taking 10 May 2021 as the overall baseline date for the evaluation, in order to establish the state of all measures and understanding of the PL itself prior to any possible behaviour change from stakeholders anticipating the reforms. This is the date that will be used as the overall baseline date when assessing the outcomes and impacts of the reform </w:t>
      </w:r>
      <w:proofErr w:type="gramStart"/>
      <w:r w:rsidRPr="00D377CF">
        <w:rPr>
          <w:szCs w:val="19"/>
        </w:rPr>
        <w:t xml:space="preserve">activities </w:t>
      </w:r>
      <w:r w:rsidRPr="00D377CF">
        <w:rPr>
          <w:i/>
          <w:iCs/>
          <w:szCs w:val="19"/>
        </w:rPr>
        <w:t>as a whole</w:t>
      </w:r>
      <w:proofErr w:type="gramEnd"/>
      <w:r w:rsidRPr="00D377CF">
        <w:rPr>
          <w:i/>
          <w:iCs/>
          <w:szCs w:val="19"/>
        </w:rPr>
        <w:t>.</w:t>
      </w:r>
    </w:p>
    <w:p w14:paraId="2626D393" w14:textId="77777777" w:rsidR="006201D2" w:rsidRPr="00D377CF" w:rsidRDefault="006201D2" w:rsidP="006201D2">
      <w:pPr>
        <w:rPr>
          <w:szCs w:val="19"/>
        </w:rPr>
      </w:pPr>
      <w:r w:rsidRPr="00D377CF">
        <w:rPr>
          <w:szCs w:val="19"/>
        </w:rPr>
        <w:t xml:space="preserve">The nature of the reform activities, however, is that many incremental changes are being made over time, and so for any individual activity we will need to establish the intervention date that is appropriate to that change. For example, to understand the impacts of restructuring the categories in the PL, we take the latest version of the PL prior to the restructuring as the most relevant baseline for that </w:t>
      </w:r>
      <w:proofErr w:type="gramStart"/>
      <w:r w:rsidRPr="00D377CF">
        <w:rPr>
          <w:szCs w:val="19"/>
        </w:rPr>
        <w:t>particular activity</w:t>
      </w:r>
      <w:proofErr w:type="gramEnd"/>
      <w:r w:rsidRPr="00D377CF">
        <w:rPr>
          <w:szCs w:val="19"/>
        </w:rPr>
        <w:t xml:space="preserve">. And for incremental benefit reductions, we will need to look individually at the dates of each reduction to understand the impact that each has. </w:t>
      </w:r>
    </w:p>
    <w:p w14:paraId="3A8F755C" w14:textId="77777777" w:rsidR="006201D2" w:rsidRPr="00D377CF" w:rsidRDefault="006201D2" w:rsidP="006201D2">
      <w:pPr>
        <w:rPr>
          <w:szCs w:val="19"/>
        </w:rPr>
      </w:pPr>
      <w:r w:rsidRPr="00D377CF">
        <w:rPr>
          <w:szCs w:val="19"/>
        </w:rPr>
        <w:t>In the selection of baseline and intervention dates, we seek to balance:</w:t>
      </w:r>
    </w:p>
    <w:p w14:paraId="2C9624C9" w14:textId="77777777" w:rsidR="006201D2" w:rsidRPr="00CA6302" w:rsidRDefault="006201D2" w:rsidP="00FB048B">
      <w:pPr>
        <w:pStyle w:val="Bullet"/>
      </w:pPr>
      <w:r w:rsidRPr="00CA6302">
        <w:t>Baseline measures being independent of reform activities (whether directly or indirectly), e.g., preferring an earlier date to avoid anticipatory behaviour change; and</w:t>
      </w:r>
    </w:p>
    <w:p w14:paraId="170E0F1C" w14:textId="77777777" w:rsidR="006201D2" w:rsidRPr="00CA6302" w:rsidRDefault="006201D2" w:rsidP="3787E91E">
      <w:pPr>
        <w:pStyle w:val="Bullet"/>
      </w:pPr>
      <w:r w:rsidRPr="3787E91E">
        <w:t xml:space="preserve">Baseline measures being relevant and a reasonable depiction of the before state for a particular change, e.g., preferring a later date to help isolate only the effects of a specific reform activity.  </w:t>
      </w:r>
    </w:p>
    <w:p w14:paraId="39EA1DCB" w14:textId="0A804B61" w:rsidR="00795CEB" w:rsidRPr="006201D2" w:rsidRDefault="006201D2" w:rsidP="00400968">
      <w:pPr>
        <w:rPr>
          <w:szCs w:val="19"/>
        </w:rPr>
      </w:pPr>
      <w:r w:rsidRPr="00D377CF">
        <w:rPr>
          <w:szCs w:val="19"/>
        </w:rPr>
        <w:t>For individual, point-in-time changes, for example changes to benefit levels, we will use the date at which that change was officially introduced. For changes that occur over time, like consultation processes, or progressive changes to processes and procedures, we will take the earliest possible date on which stakeholders could have been aware of the nature of the change. In many cases, this will be the overall baseline date, when the reforms were announced, or the date of the MoU</w:t>
      </w:r>
      <w:r>
        <w:rPr>
          <w:szCs w:val="19"/>
        </w:rPr>
        <w:t>, in which</w:t>
      </w:r>
      <w:r w:rsidRPr="00D377CF">
        <w:rPr>
          <w:szCs w:val="19"/>
        </w:rPr>
        <w:t xml:space="preserve"> </w:t>
      </w:r>
      <w:r>
        <w:rPr>
          <w:szCs w:val="19"/>
        </w:rPr>
        <w:t>further detail about the scope and boundaries of the reforms were committed</w:t>
      </w:r>
      <w:r w:rsidRPr="00D377CF">
        <w:rPr>
          <w:szCs w:val="19"/>
        </w:rPr>
        <w:t xml:space="preserve">. </w:t>
      </w:r>
      <w:r>
        <w:rPr>
          <w:szCs w:val="19"/>
        </w:rPr>
        <w:t>However</w:t>
      </w:r>
      <w:r w:rsidRPr="00D377CF">
        <w:rPr>
          <w:szCs w:val="19"/>
        </w:rPr>
        <w:t xml:space="preserve">, it should be stressed that overall evaluation of the reform activities in their totality will be </w:t>
      </w:r>
      <w:r>
        <w:rPr>
          <w:szCs w:val="19"/>
        </w:rPr>
        <w:t xml:space="preserve">measured </w:t>
      </w:r>
      <w:proofErr w:type="gramStart"/>
      <w:r>
        <w:rPr>
          <w:szCs w:val="19"/>
        </w:rPr>
        <w:t>with regard to</w:t>
      </w:r>
      <w:proofErr w:type="gramEnd"/>
      <w:r>
        <w:rPr>
          <w:szCs w:val="19"/>
        </w:rPr>
        <w:t xml:space="preserve"> </w:t>
      </w:r>
      <w:r w:rsidRPr="00D377CF">
        <w:rPr>
          <w:szCs w:val="19"/>
        </w:rPr>
        <w:t>the overall baseline date.</w:t>
      </w:r>
    </w:p>
    <w:sectPr w:rsidR="00795CEB" w:rsidRPr="006201D2" w:rsidSect="00BA60DA">
      <w:pgSz w:w="11907" w:h="16839" w:code="9"/>
      <w:pgMar w:top="1418" w:right="1418" w:bottom="1701" w:left="1559" w:header="68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7B163" w14:textId="77777777" w:rsidR="004917C1" w:rsidRDefault="004917C1" w:rsidP="00302076">
      <w:pPr>
        <w:spacing w:after="0"/>
      </w:pPr>
      <w:r>
        <w:separator/>
      </w:r>
    </w:p>
  </w:endnote>
  <w:endnote w:type="continuationSeparator" w:id="0">
    <w:p w14:paraId="2B4C0BA8" w14:textId="77777777" w:rsidR="004917C1" w:rsidRDefault="004917C1" w:rsidP="00302076">
      <w:pPr>
        <w:spacing w:after="0"/>
      </w:pPr>
      <w:r>
        <w:continuationSeparator/>
      </w:r>
    </w:p>
  </w:endnote>
  <w:endnote w:type="continuationNotice" w:id="1">
    <w:p w14:paraId="73295F87" w14:textId="77777777" w:rsidR="004917C1" w:rsidRDefault="004917C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Print">
    <w:panose1 w:val="02000600000000000000"/>
    <w:charset w:val="00"/>
    <w:family w:val="auto"/>
    <w:pitch w:val="variable"/>
    <w:sig w:usb0="0000028F"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MS Gothic">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E43EF" w14:textId="2728B07F" w:rsidR="00865A27" w:rsidRPr="00FD4AB1" w:rsidRDefault="00865A27" w:rsidP="005B366F">
    <w:pPr>
      <w:pStyle w:val="Footer"/>
      <w:rPr>
        <w:rFonts w:ascii="Segoe UI Semibold" w:hAnsi="Segoe UI Semibold" w:cs="Segoe UI"/>
        <w:b/>
      </w:rPr>
    </w:pPr>
    <w:r>
      <w:rPr>
        <w:lang w:eastAsia="en-AU"/>
      </w:rPr>
      <w:t xml:space="preserve">Nous Group | </w:t>
    </w:r>
    <w:sdt>
      <w:sdtPr>
        <w:rPr>
          <w:lang w:eastAsia="en-AU"/>
        </w:rPr>
        <w:alias w:val="Title"/>
        <w:id w:val="-1274856872"/>
        <w:dataBinding w:prefixMappings="xmlns:ns0='http://purl.org/dc/elements/1.1/' xmlns:ns1='http://schemas.openxmlformats.org/package/2006/metadata/core-properties' " w:xpath="/ns1:coreProperties[1]/ns0:title[1]" w:storeItemID="{6C3C8BC8-F283-45AE-878A-BAB7291924A1}"/>
        <w:text/>
      </w:sdtPr>
      <w:sdtContent>
        <w:r w:rsidR="00837C71">
          <w:rPr>
            <w:lang w:eastAsia="en-AU"/>
          </w:rPr>
          <w:t>Baseline Evaluation of the Prostheses List Reforms</w:t>
        </w:r>
      </w:sdtContent>
    </w:sdt>
    <w:r>
      <w:rPr>
        <w:lang w:eastAsia="en-AU"/>
      </w:rPr>
      <w:t xml:space="preserve"> | </w:t>
    </w:r>
    <w:sdt>
      <w:sdtPr>
        <w:rPr>
          <w:lang w:eastAsia="en-AU"/>
        </w:rPr>
        <w:alias w:val="Publish Date"/>
        <w:id w:val="-1714653380"/>
        <w:dataBinding w:prefixMappings="xmlns:ns0='http://schemas.microsoft.com/office/2006/coverPageProps' " w:xpath="/ns0:CoverPageProperties[1]/ns0:PublishDate[1]" w:storeItemID="{55AF091B-3C7A-41E3-B477-F2FDAA23CFDA}"/>
        <w:date w:fullDate="2024-04-29T00:00:00Z">
          <w:dateFormat w:val="d MMMM yyyy"/>
          <w:lid w:val="en-AU"/>
          <w:storeMappedDataAs w:val="dateTime"/>
          <w:calendar w:val="gregorian"/>
        </w:date>
      </w:sdtPr>
      <w:sdtContent>
        <w:r w:rsidR="00D7119F">
          <w:rPr>
            <w:lang w:eastAsia="en-AU"/>
          </w:rPr>
          <w:t>29 April 2024</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Pr="00F75386">
      <w:rPr>
        <w:rFonts w:cs="Segoe UI"/>
        <w:b/>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7321D" w14:textId="77777777" w:rsidR="00865A27" w:rsidRDefault="00B70A3B" w:rsidP="005B366F">
    <w:pPr>
      <w:pStyle w:val="Footer"/>
    </w:pPr>
    <w:r>
      <w:rPr>
        <w:noProof/>
        <w:lang w:eastAsia="en-AU"/>
      </w:rPr>
      <w:drawing>
        <wp:anchor distT="0" distB="0" distL="114300" distR="114300" simplePos="0" relativeHeight="251658242" behindDoc="0" locked="0" layoutInCell="1" allowOverlap="1" wp14:anchorId="4C609609" wp14:editId="0CE398C8">
          <wp:simplePos x="0" y="0"/>
          <wp:positionH relativeFrom="page">
            <wp:posOffset>6313403</wp:posOffset>
          </wp:positionH>
          <wp:positionV relativeFrom="page">
            <wp:posOffset>10115186</wp:posOffset>
          </wp:positionV>
          <wp:extent cx="842400" cy="230240"/>
          <wp:effectExtent l="0" t="0" r="0" b="0"/>
          <wp:wrapNone/>
          <wp:docPr id="4" name="Picture 4" descr="No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ous 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42400" cy="23024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E8B1A" w14:textId="449FF416" w:rsidR="00FD4AB1" w:rsidRPr="00FD4AB1" w:rsidRDefault="00294C7F" w:rsidP="005B366F">
    <w:pPr>
      <w:pStyle w:val="Footer"/>
      <w:rPr>
        <w:rFonts w:ascii="Segoe UI Semibold" w:hAnsi="Segoe UI Semibold" w:cs="Segoe UI"/>
        <w:b/>
      </w:rPr>
    </w:pPr>
    <w:r>
      <w:rPr>
        <w:lang w:eastAsia="en-AU"/>
      </w:rPr>
      <w:t xml:space="preserve">Nous Group | </w:t>
    </w:r>
    <w:sdt>
      <w:sdtPr>
        <w:rPr>
          <w:lang w:eastAsia="en-AU"/>
        </w:rPr>
        <w:alias w:val="Title"/>
        <w:id w:val="1089580792"/>
        <w:dataBinding w:prefixMappings="xmlns:ns0='http://purl.org/dc/elements/1.1/' xmlns:ns1='http://schemas.openxmlformats.org/package/2006/metadata/core-properties' " w:xpath="/ns1:coreProperties[1]/ns0:title[1]" w:storeItemID="{6C3C8BC8-F283-45AE-878A-BAB7291924A1}"/>
        <w:text/>
      </w:sdtPr>
      <w:sdtContent>
        <w:r w:rsidR="00837C71">
          <w:rPr>
            <w:lang w:eastAsia="en-AU"/>
          </w:rPr>
          <w:t>Baseline Evaluation of the Prostheses List Reforms</w:t>
        </w:r>
      </w:sdtContent>
    </w:sdt>
    <w:r>
      <w:rPr>
        <w:lang w:eastAsia="en-AU"/>
      </w:rPr>
      <w:t xml:space="preserve"> | </w:t>
    </w:r>
    <w:sdt>
      <w:sdtPr>
        <w:rPr>
          <w:lang w:eastAsia="en-AU"/>
        </w:rPr>
        <w:alias w:val="Publish Date"/>
        <w:id w:val="-1085840653"/>
        <w:dataBinding w:prefixMappings="xmlns:ns0='http://schemas.microsoft.com/office/2006/coverPageProps' " w:xpath="/ns0:CoverPageProperties[1]/ns0:PublishDate[1]" w:storeItemID="{55AF091B-3C7A-41E3-B477-F2FDAA23CFDA}"/>
        <w:date w:fullDate="2024-04-29T00:00:00Z">
          <w:dateFormat w:val="d MMMM yyyy"/>
          <w:lid w:val="en-AU"/>
          <w:storeMappedDataAs w:val="dateTime"/>
          <w:calendar w:val="gregorian"/>
        </w:date>
      </w:sdtPr>
      <w:sdtContent>
        <w:r w:rsidR="00D7119F">
          <w:rPr>
            <w:lang w:eastAsia="en-AU"/>
          </w:rPr>
          <w:t>29 April 2024</w:t>
        </w:r>
      </w:sdtContent>
    </w:sdt>
    <w:r w:rsidR="00FD4AB1" w:rsidRPr="00FD4AB1">
      <w:rPr>
        <w:rFonts w:ascii="Segoe UI Semibold" w:hAnsi="Segoe UI Semibold" w:cs="Segoe UI"/>
        <w:color w:val="A5A5A5"/>
      </w:rPr>
      <w:ptab w:relativeTo="margin" w:alignment="right" w:leader="none"/>
    </w:r>
    <w:r w:rsidR="00FD4AB1" w:rsidRPr="00FD4AB1">
      <w:rPr>
        <w:rFonts w:cs="Segoe UI"/>
        <w:color w:val="A5A5A5"/>
      </w:rPr>
      <w:t xml:space="preserve">| </w:t>
    </w:r>
    <w:r w:rsidR="00FD4AB1" w:rsidRPr="007401D3">
      <w:rPr>
        <w:rFonts w:cs="Segoe UI"/>
        <w:color w:val="A5A5A5"/>
        <w:sz w:val="16"/>
        <w:szCs w:val="16"/>
      </w:rPr>
      <w:fldChar w:fldCharType="begin"/>
    </w:r>
    <w:r w:rsidR="00FD4AB1" w:rsidRPr="007401D3">
      <w:rPr>
        <w:rFonts w:cs="Segoe UI"/>
        <w:color w:val="A5A5A5"/>
        <w:sz w:val="16"/>
        <w:szCs w:val="16"/>
      </w:rPr>
      <w:instrText xml:space="preserve"> PAGE  \* roman  \* MERGEFORMAT </w:instrText>
    </w:r>
    <w:r w:rsidR="00FD4AB1" w:rsidRPr="007401D3">
      <w:rPr>
        <w:rFonts w:cs="Segoe UI"/>
        <w:color w:val="A5A5A5"/>
        <w:sz w:val="16"/>
        <w:szCs w:val="16"/>
      </w:rPr>
      <w:fldChar w:fldCharType="separate"/>
    </w:r>
    <w:r w:rsidR="00836AA0" w:rsidRPr="007401D3">
      <w:rPr>
        <w:rFonts w:cs="Segoe UI"/>
        <w:noProof/>
        <w:color w:val="A5A5A5"/>
        <w:sz w:val="16"/>
        <w:szCs w:val="16"/>
      </w:rPr>
      <w:t>ii</w:t>
    </w:r>
    <w:r w:rsidR="00FD4AB1" w:rsidRPr="007401D3">
      <w:rPr>
        <w:rFonts w:cs="Segoe UI"/>
        <w:color w:val="A5A5A5"/>
        <w:sz w:val="16"/>
        <w:szCs w:val="16"/>
      </w:rPr>
      <w:fldChar w:fldCharType="end"/>
    </w:r>
    <w:r w:rsidR="00FD4AB1" w:rsidRPr="003B464C">
      <w:rPr>
        <w:rFonts w:cs="Segoe UI"/>
        <w:color w:val="A5A5A5"/>
        <w:sz w:val="16"/>
        <w:szCs w:val="16"/>
      </w:rPr>
      <w:t xml:space="preserve"> </w:t>
    </w:r>
    <w:r w:rsidR="00FD4AB1" w:rsidRPr="00FD4AB1">
      <w:rPr>
        <w:rFonts w:cs="Segoe UI"/>
        <w:color w:val="A5A5A5"/>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58692" w14:textId="348077A0" w:rsidR="0048248C" w:rsidRPr="00FD4AB1" w:rsidRDefault="00D25B64" w:rsidP="005B366F">
    <w:pPr>
      <w:pStyle w:val="Footer"/>
      <w:rPr>
        <w:rFonts w:ascii="Segoe UI Semibold" w:hAnsi="Segoe UI Semibold" w:cs="Segoe UI"/>
        <w:b/>
      </w:rPr>
    </w:pPr>
    <w:r>
      <w:rPr>
        <w:lang w:eastAsia="en-AU"/>
      </w:rPr>
      <w:t xml:space="preserve">Nous Group | </w:t>
    </w:r>
    <w:sdt>
      <w:sdtPr>
        <w:rPr>
          <w:lang w:eastAsia="en-AU"/>
        </w:rPr>
        <w:alias w:val="Title"/>
        <w:id w:val="-764379655"/>
        <w:dataBinding w:prefixMappings="xmlns:ns0='http://purl.org/dc/elements/1.1/' xmlns:ns1='http://schemas.openxmlformats.org/package/2006/metadata/core-properties' " w:xpath="/ns1:coreProperties[1]/ns0:title[1]" w:storeItemID="{6C3C8BC8-F283-45AE-878A-BAB7291924A1}"/>
        <w:text/>
      </w:sdtPr>
      <w:sdtContent>
        <w:r>
          <w:rPr>
            <w:lang w:eastAsia="en-AU"/>
          </w:rPr>
          <w:t>Baseline Evaluation of the Prostheses List Reforms</w:t>
        </w:r>
      </w:sdtContent>
    </w:sdt>
    <w:r>
      <w:rPr>
        <w:lang w:eastAsia="en-AU"/>
      </w:rPr>
      <w:t xml:space="preserve"> | </w:t>
    </w:r>
    <w:sdt>
      <w:sdtPr>
        <w:rPr>
          <w:lang w:eastAsia="en-AU"/>
        </w:rPr>
        <w:alias w:val="Publish Date"/>
        <w:id w:val="404885260"/>
        <w:dataBinding w:prefixMappings="xmlns:ns0='http://schemas.microsoft.com/office/2006/coverPageProps' " w:xpath="/ns0:CoverPageProperties[1]/ns0:PublishDate[1]" w:storeItemID="{55AF091B-3C7A-41E3-B477-F2FDAA23CFDA}"/>
        <w:date w:fullDate="2024-04-29T00:00:00Z">
          <w:dateFormat w:val="d MMMM yyyy"/>
          <w:lid w:val="en-AU"/>
          <w:storeMappedDataAs w:val="dateTime"/>
          <w:calendar w:val="gregorian"/>
        </w:date>
      </w:sdtPr>
      <w:sdtContent>
        <w:r w:rsidR="00D7119F">
          <w:rPr>
            <w:lang w:eastAsia="en-AU"/>
          </w:rPr>
          <w:t>29</w:t>
        </w:r>
        <w:r w:rsidR="00AF0F4B">
          <w:rPr>
            <w:lang w:eastAsia="en-AU"/>
          </w:rPr>
          <w:t xml:space="preserve"> April 2024</w:t>
        </w:r>
      </w:sdtContent>
    </w:sdt>
    <w:r w:rsidRPr="00FD4AB1">
      <w:rPr>
        <w:rFonts w:ascii="Segoe UI Semibold" w:hAnsi="Segoe UI Semibold" w:cs="Segoe UI"/>
        <w:color w:val="A5A5A5"/>
      </w:rPr>
      <w:ptab w:relativeTo="margin" w:alignment="right" w:leader="none"/>
    </w:r>
    <w:r w:rsidR="0026741C" w:rsidRPr="007401D3">
      <w:rPr>
        <w:rFonts w:cs="Segoe UI"/>
        <w:color w:val="A5A5A5"/>
      </w:rPr>
      <w:t>|</w:t>
    </w:r>
    <w:r w:rsidR="0026741C" w:rsidRPr="007401D3">
      <w:rPr>
        <w:rFonts w:cs="Segoe UI"/>
        <w:color w:val="808080" w:themeColor="background1" w:themeShade="80"/>
      </w:rPr>
      <w:t xml:space="preserve"> </w:t>
    </w:r>
    <w:r w:rsidR="0026741C" w:rsidRPr="007401D3">
      <w:rPr>
        <w:rFonts w:cs="Segoe UI"/>
        <w:color w:val="808080" w:themeColor="background1" w:themeShade="80"/>
        <w:sz w:val="16"/>
        <w:szCs w:val="16"/>
      </w:rPr>
      <w:fldChar w:fldCharType="begin"/>
    </w:r>
    <w:r w:rsidR="0026741C" w:rsidRPr="007401D3">
      <w:rPr>
        <w:rFonts w:cs="Segoe UI"/>
        <w:color w:val="808080" w:themeColor="background1" w:themeShade="80"/>
        <w:sz w:val="16"/>
        <w:szCs w:val="16"/>
      </w:rPr>
      <w:instrText xml:space="preserve"> PAGE  \* Arabic  \* MERGEFORMAT </w:instrText>
    </w:r>
    <w:r w:rsidR="0026741C" w:rsidRPr="007401D3">
      <w:rPr>
        <w:rFonts w:cs="Segoe UI"/>
        <w:color w:val="808080" w:themeColor="background1" w:themeShade="80"/>
        <w:sz w:val="16"/>
        <w:szCs w:val="16"/>
      </w:rPr>
      <w:fldChar w:fldCharType="separate"/>
    </w:r>
    <w:r w:rsidR="0026741C">
      <w:rPr>
        <w:rFonts w:cs="Segoe UI"/>
        <w:color w:val="808080" w:themeColor="background1" w:themeShade="80"/>
        <w:sz w:val="16"/>
        <w:szCs w:val="16"/>
      </w:rPr>
      <w:t>1</w:t>
    </w:r>
    <w:r w:rsidR="0026741C" w:rsidRPr="007401D3">
      <w:rPr>
        <w:rFonts w:cs="Segoe UI"/>
        <w:color w:val="808080" w:themeColor="background1" w:themeShade="80"/>
        <w:sz w:val="16"/>
        <w:szCs w:val="16"/>
      </w:rPr>
      <w:fldChar w:fldCharType="end"/>
    </w:r>
    <w:r w:rsidR="0026741C" w:rsidRPr="007401D3">
      <w:rPr>
        <w:rFonts w:cs="Segoe UI"/>
        <w:b/>
        <w:color w:val="808080" w:themeColor="background1" w:themeShade="80"/>
      </w:rPr>
      <w:t xml:space="preserve"> </w:t>
    </w:r>
    <w:r w:rsidR="0026741C" w:rsidRPr="007401D3">
      <w:rPr>
        <w:rFonts w:cs="Segoe UI"/>
        <w:color w:val="A5A5A5"/>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CEFC1" w14:textId="77777777" w:rsidR="004917C1" w:rsidRDefault="004917C1" w:rsidP="00302076">
      <w:pPr>
        <w:spacing w:after="0"/>
      </w:pPr>
      <w:r>
        <w:separator/>
      </w:r>
    </w:p>
  </w:footnote>
  <w:footnote w:type="continuationSeparator" w:id="0">
    <w:p w14:paraId="7ACEDCD3" w14:textId="77777777" w:rsidR="004917C1" w:rsidRDefault="004917C1" w:rsidP="00302076">
      <w:pPr>
        <w:spacing w:after="0"/>
      </w:pPr>
      <w:r>
        <w:continuationSeparator/>
      </w:r>
    </w:p>
  </w:footnote>
  <w:footnote w:type="continuationNotice" w:id="1">
    <w:p w14:paraId="62E462EC" w14:textId="77777777" w:rsidR="004917C1" w:rsidRDefault="004917C1">
      <w:pPr>
        <w:spacing w:after="0"/>
      </w:pPr>
    </w:p>
  </w:footnote>
  <w:footnote w:id="2">
    <w:p w14:paraId="2C2EFD13" w14:textId="77777777" w:rsidR="00914538" w:rsidRDefault="00914538" w:rsidP="005B366F">
      <w:pPr>
        <w:pStyle w:val="FootnoteText"/>
      </w:pPr>
      <w:r>
        <w:rPr>
          <w:rStyle w:val="FootnoteReference"/>
        </w:rPr>
        <w:footnoteRef/>
      </w:r>
      <w:r>
        <w:t xml:space="preserve"> </w:t>
      </w:r>
      <w:r w:rsidRPr="008D734F">
        <w:t>The term ‘prostheses’ in this context includes surgically implanted prostheses, human tissue items and other medical devices</w:t>
      </w:r>
      <w:r>
        <w:t xml:space="preserve">. Unless otherwise implied, we use ‘prostheses’, ‘items’ and ‘devices’ in this report to describe the medical devices and human tissue products listed on the PL. </w:t>
      </w:r>
    </w:p>
  </w:footnote>
  <w:footnote w:id="3">
    <w:p w14:paraId="50C6BBD6" w14:textId="0F1401C8" w:rsidR="00C26984" w:rsidRDefault="00C26984" w:rsidP="005B366F">
      <w:pPr>
        <w:pStyle w:val="FootnoteText"/>
      </w:pPr>
      <w:r>
        <w:rPr>
          <w:rStyle w:val="FootnoteReference"/>
        </w:rPr>
        <w:footnoteRef/>
      </w:r>
      <w:r>
        <w:t xml:space="preserve"> </w:t>
      </w:r>
      <w:r w:rsidRPr="009303E5">
        <w:t>Department of Health and Aged Care, Historical background of the 2021-2025 Prostheses List Reform, 2022.</w:t>
      </w:r>
    </w:p>
  </w:footnote>
  <w:footnote w:id="4">
    <w:p w14:paraId="5B614EDA" w14:textId="75A214D7" w:rsidR="00394B04" w:rsidRDefault="00394B04" w:rsidP="005B366F">
      <w:pPr>
        <w:pStyle w:val="FootnoteText"/>
      </w:pPr>
      <w:r>
        <w:rPr>
          <w:rStyle w:val="FootnoteReference"/>
        </w:rPr>
        <w:footnoteRef/>
      </w:r>
      <w:r>
        <w:t xml:space="preserve"> </w:t>
      </w:r>
      <w:r w:rsidR="00876DCF" w:rsidRPr="00F82F5C">
        <w:t>Department of Health,</w:t>
      </w:r>
      <w:r w:rsidRPr="00F82F5C">
        <w:t xml:space="preserve"> </w:t>
      </w:r>
      <w:r w:rsidRPr="00773087">
        <w:t xml:space="preserve">Regulation </w:t>
      </w:r>
      <w:r w:rsidR="00876DCF" w:rsidRPr="00F82F5C">
        <w:t>Impact Statement (RIS): Improving the</w:t>
      </w:r>
      <w:r w:rsidRPr="00773087">
        <w:t xml:space="preserve"> Private Health Insurance Prostheses</w:t>
      </w:r>
      <w:r w:rsidR="00876DCF" w:rsidRPr="00F82F5C">
        <w:t xml:space="preserve"> List, 2021</w:t>
      </w:r>
      <w:r w:rsidR="00EF679E">
        <w:t>.</w:t>
      </w:r>
    </w:p>
  </w:footnote>
  <w:footnote w:id="5">
    <w:p w14:paraId="4878E7E6" w14:textId="3B5E163D" w:rsidR="00876DCF" w:rsidRDefault="00876DCF" w:rsidP="005B366F">
      <w:pPr>
        <w:pStyle w:val="FootnoteText"/>
      </w:pPr>
      <w:r>
        <w:rPr>
          <w:rStyle w:val="FootnoteReference"/>
        </w:rPr>
        <w:footnoteRef/>
      </w:r>
      <w:r>
        <w:t xml:space="preserve"> Ibid.</w:t>
      </w:r>
    </w:p>
  </w:footnote>
  <w:footnote w:id="6">
    <w:p w14:paraId="6BFF52ED" w14:textId="1E90826C" w:rsidR="00A32021" w:rsidRDefault="00A32021" w:rsidP="005B366F">
      <w:pPr>
        <w:pStyle w:val="FootnoteText"/>
      </w:pPr>
      <w:r>
        <w:rPr>
          <w:rStyle w:val="FootnoteReference"/>
        </w:rPr>
        <w:footnoteRef/>
      </w:r>
      <w:r>
        <w:t xml:space="preserve"> </w:t>
      </w:r>
      <w:r w:rsidR="008D734F" w:rsidRPr="008D734F">
        <w:t>The term ‘prostheses’ in this context includes surgically implanted prostheses, human tissue items and other medical devices</w:t>
      </w:r>
      <w:r w:rsidR="008D734F">
        <w:t>.</w:t>
      </w:r>
      <w:r w:rsidR="00993F2C">
        <w:t xml:space="preserve"> </w:t>
      </w:r>
      <w:r w:rsidR="00C52603">
        <w:t>Unless otherwise</w:t>
      </w:r>
      <w:r w:rsidR="00A0785E">
        <w:t xml:space="preserve"> implied, we </w:t>
      </w:r>
      <w:r w:rsidR="005C0D27">
        <w:t xml:space="preserve">use ‘prostheses’, ‘items’ </w:t>
      </w:r>
      <w:r w:rsidR="00C52603">
        <w:t xml:space="preserve">and ‘devices’ </w:t>
      </w:r>
      <w:r w:rsidR="00EA43A9">
        <w:t xml:space="preserve">in this report </w:t>
      </w:r>
      <w:r w:rsidR="00A0785E">
        <w:t xml:space="preserve">to describe the medical devices and human tissue products </w:t>
      </w:r>
      <w:r w:rsidR="00EA43A9">
        <w:t>listed on the PL.</w:t>
      </w:r>
      <w:r w:rsidR="00C52603">
        <w:t xml:space="preserve"> </w:t>
      </w:r>
    </w:p>
  </w:footnote>
  <w:footnote w:id="7">
    <w:p w14:paraId="41A03C95" w14:textId="77777777" w:rsidR="00022453" w:rsidRPr="009303E5" w:rsidRDefault="00022453" w:rsidP="005B366F">
      <w:pPr>
        <w:pStyle w:val="FootnoteText"/>
      </w:pPr>
      <w:r w:rsidRPr="009303E5">
        <w:rPr>
          <w:rStyle w:val="FootnoteReference"/>
        </w:rPr>
        <w:footnoteRef/>
      </w:r>
      <w:r w:rsidRPr="009303E5">
        <w:rPr>
          <w:rFonts w:cstheme="minorHAnsi"/>
        </w:rPr>
        <w:t xml:space="preserve"> </w:t>
      </w:r>
      <w:r w:rsidRPr="009303E5">
        <w:t>Department of Health and Aged Care, Historical background of the 2021-2025 Prostheses List Reform, 2022.</w:t>
      </w:r>
    </w:p>
  </w:footnote>
  <w:footnote w:id="8">
    <w:p w14:paraId="24B0FECA" w14:textId="328F4450" w:rsidR="00AA0998" w:rsidRDefault="00AA0998">
      <w:pPr>
        <w:pStyle w:val="FootnoteText"/>
      </w:pPr>
      <w:r w:rsidRPr="001D0F8B">
        <w:rPr>
          <w:rStyle w:val="FootnoteReference"/>
        </w:rPr>
        <w:footnoteRef/>
      </w:r>
      <w:r w:rsidRPr="001D0F8B">
        <w:t xml:space="preserve"> </w:t>
      </w:r>
      <w:r w:rsidR="00512CC9" w:rsidRPr="001D0F8B">
        <w:t xml:space="preserve">Parliament of Australia, </w:t>
      </w:r>
      <w:r w:rsidR="001A42FF" w:rsidRPr="001D0F8B">
        <w:t>Senate Standing Committees on Community Affairs</w:t>
      </w:r>
      <w:r w:rsidR="00512CC9" w:rsidRPr="001D0F8B">
        <w:t xml:space="preserve">, </w:t>
      </w:r>
      <w:r w:rsidR="008B6380" w:rsidRPr="001D0F8B">
        <w:t>Price regulation associated with the Prostheses List Framework, 2017</w:t>
      </w:r>
      <w:r w:rsidR="00581AAE" w:rsidRPr="001D0F8B">
        <w:t>.</w:t>
      </w:r>
    </w:p>
  </w:footnote>
  <w:footnote w:id="9">
    <w:p w14:paraId="272855D9" w14:textId="77777777" w:rsidR="00022453" w:rsidRDefault="00022453" w:rsidP="005B366F">
      <w:pPr>
        <w:pStyle w:val="FootnoteText"/>
      </w:pPr>
      <w:r>
        <w:rPr>
          <w:rStyle w:val="FootnoteReference"/>
        </w:rPr>
        <w:footnoteRef/>
      </w:r>
      <w:r>
        <w:t xml:space="preserve"> Department of Health and Aged Care, Prostheses List: Guide to listing and setting benefits for prostheses, 2020.</w:t>
      </w:r>
    </w:p>
  </w:footnote>
  <w:footnote w:id="10">
    <w:p w14:paraId="5C8B2B29" w14:textId="68741C76" w:rsidR="00C55619" w:rsidRDefault="00C55619" w:rsidP="005B366F">
      <w:pPr>
        <w:pStyle w:val="FootnoteText"/>
      </w:pPr>
      <w:r>
        <w:rPr>
          <w:rStyle w:val="FootnoteReference"/>
        </w:rPr>
        <w:footnoteRef/>
      </w:r>
      <w:r>
        <w:t xml:space="preserve"> </w:t>
      </w:r>
      <w:r w:rsidRPr="00F82F5C">
        <w:t>Department of Health, Regulation Impact Statement (RIS): Improving the Private Health Insurance</w:t>
      </w:r>
      <w:r>
        <w:t xml:space="preserve"> </w:t>
      </w:r>
      <w:r w:rsidRPr="00F82F5C">
        <w:t>Prostheses List, 2021</w:t>
      </w:r>
      <w:r>
        <w:t>.</w:t>
      </w:r>
    </w:p>
  </w:footnote>
  <w:footnote w:id="11">
    <w:p w14:paraId="54F9738E" w14:textId="0F3368D3" w:rsidR="002D2BFE" w:rsidRDefault="002D2BFE" w:rsidP="005B366F">
      <w:pPr>
        <w:pStyle w:val="FootnoteText"/>
      </w:pPr>
      <w:r>
        <w:rPr>
          <w:rStyle w:val="FootnoteReference"/>
        </w:rPr>
        <w:footnoteRef/>
      </w:r>
      <w:r>
        <w:t xml:space="preserve"> Ibid.</w:t>
      </w:r>
    </w:p>
  </w:footnote>
  <w:footnote w:id="12">
    <w:p w14:paraId="1D067CFA" w14:textId="77777777" w:rsidR="00551B86" w:rsidRDefault="00551B86" w:rsidP="005B366F">
      <w:pPr>
        <w:pStyle w:val="FootnoteText"/>
      </w:pPr>
      <w:r>
        <w:rPr>
          <w:rStyle w:val="FootnoteReference"/>
        </w:rPr>
        <w:footnoteRef/>
      </w:r>
      <w:r>
        <w:t xml:space="preserve"> Department of Health and Aged Care, Private Health Insurance – Modernising and improving the private health insurance Prostheses List, 2021.</w:t>
      </w:r>
    </w:p>
  </w:footnote>
  <w:footnote w:id="13">
    <w:p w14:paraId="61D84710" w14:textId="77777777" w:rsidR="00030A8C" w:rsidRPr="00267768" w:rsidRDefault="00030A8C" w:rsidP="00030A8C">
      <w:pPr>
        <w:pStyle w:val="FootnoteText"/>
        <w:rPr>
          <w:rFonts w:ascii="Segoe UI" w:hAnsi="Segoe UI" w:cstheme="minorBidi"/>
        </w:rPr>
      </w:pPr>
      <w:r w:rsidRPr="00267768">
        <w:rPr>
          <w:rStyle w:val="FootnoteReference"/>
        </w:rPr>
        <w:footnoteRef/>
      </w:r>
      <w:r w:rsidRPr="00267768">
        <w:rPr>
          <w:rFonts w:cstheme="minorHAnsi"/>
        </w:rPr>
        <w:t xml:space="preserve"> </w:t>
      </w:r>
      <w:r w:rsidRPr="00267768">
        <w:t>Department of Health and Aged Care, Historical background of the 2021-2025 Prostheses List Reform, 2022.</w:t>
      </w:r>
    </w:p>
  </w:footnote>
  <w:footnote w:id="14">
    <w:p w14:paraId="207BCF25" w14:textId="75713F95" w:rsidR="005D0296" w:rsidRPr="00267768" w:rsidRDefault="005D0296" w:rsidP="005B366F">
      <w:pPr>
        <w:pStyle w:val="FootnoteText"/>
        <w:rPr>
          <w:rFonts w:ascii="Segoe UI" w:hAnsi="Segoe UI" w:cstheme="minorBidi"/>
        </w:rPr>
      </w:pPr>
      <w:r w:rsidRPr="00267768">
        <w:rPr>
          <w:rStyle w:val="FootnoteReference"/>
        </w:rPr>
        <w:footnoteRef/>
      </w:r>
      <w:r w:rsidRPr="00267768">
        <w:rPr>
          <w:rFonts w:cstheme="minorHAnsi"/>
        </w:rPr>
        <w:t xml:space="preserve"> </w:t>
      </w:r>
      <w:r w:rsidR="00030A8C">
        <w:t>Ibid.</w:t>
      </w:r>
    </w:p>
  </w:footnote>
  <w:footnote w:id="15">
    <w:p w14:paraId="5132B072" w14:textId="08F59C5E" w:rsidR="00F32AD4" w:rsidRDefault="00F32AD4" w:rsidP="005B366F">
      <w:pPr>
        <w:pStyle w:val="FootnoteText"/>
      </w:pPr>
      <w:r>
        <w:rPr>
          <w:rStyle w:val="FootnoteReference"/>
        </w:rPr>
        <w:footnoteRef/>
      </w:r>
      <w:r>
        <w:t xml:space="preserve"> </w:t>
      </w:r>
      <w:r w:rsidR="000528F3" w:rsidRPr="000528F3">
        <w:t>Menzies Centre for Health Policy</w:t>
      </w:r>
      <w:r w:rsidR="000528F3">
        <w:t xml:space="preserve">, </w:t>
      </w:r>
      <w:r w:rsidR="00610E4F">
        <w:t>Options for a Revised Framework for Setting and Reviewing Benefits for the Prostheses List</w:t>
      </w:r>
      <w:r w:rsidR="004E5561">
        <w:t>: Report of the Menzies Centre for Health Policy, University of Sydney, on proceedings of the Prostheses List Revised Benefit Setting &amp; Review Framework Industry Working Group (BSRIWG) and options for reform</w:t>
      </w:r>
      <w:r w:rsidR="00A05313">
        <w:t>, 2020.</w:t>
      </w:r>
    </w:p>
  </w:footnote>
  <w:footnote w:id="16">
    <w:p w14:paraId="4CDAE2E6" w14:textId="77777777" w:rsidR="00084936" w:rsidRDefault="00084936" w:rsidP="005B366F">
      <w:pPr>
        <w:pStyle w:val="FootnoteText"/>
      </w:pPr>
      <w:r>
        <w:rPr>
          <w:rStyle w:val="FootnoteReference"/>
        </w:rPr>
        <w:footnoteRef/>
      </w:r>
      <w:r>
        <w:t xml:space="preserve"> MTAA, Improving access to breakthrough medical technology and affordability of medical devices for privately insured Australians: Agreement between the Government and the Medical Technology Association of Australia, 2017.</w:t>
      </w:r>
    </w:p>
  </w:footnote>
  <w:footnote w:id="17">
    <w:p w14:paraId="7623E286" w14:textId="17C06D1A" w:rsidR="002118C4" w:rsidRDefault="002118C4" w:rsidP="005B366F">
      <w:pPr>
        <w:pStyle w:val="FootnoteText"/>
      </w:pPr>
      <w:r>
        <w:rPr>
          <w:rStyle w:val="FootnoteReference"/>
        </w:rPr>
        <w:footnoteRef/>
      </w:r>
      <w:r>
        <w:t xml:space="preserve"> </w:t>
      </w:r>
      <w:r w:rsidR="00292470" w:rsidRPr="00292470">
        <w:t>Department of Health and Aged Care, Historical background of the 2021-2025 Prostheses List Reform, 2022.</w:t>
      </w:r>
    </w:p>
  </w:footnote>
  <w:footnote w:id="18">
    <w:p w14:paraId="3993E38F" w14:textId="77777777" w:rsidR="00D546AB" w:rsidRDefault="00D546AB" w:rsidP="005B366F">
      <w:pPr>
        <w:pStyle w:val="FootnoteText"/>
      </w:pPr>
      <w:r>
        <w:rPr>
          <w:rStyle w:val="FootnoteReference"/>
        </w:rPr>
        <w:footnoteRef/>
      </w:r>
      <w:r>
        <w:t xml:space="preserve"> </w:t>
      </w:r>
      <w:r w:rsidRPr="00F82F5C">
        <w:t>Department of Health, Regulation Impact Statement (RIS): Improving the Private Health Insurance</w:t>
      </w:r>
      <w:r>
        <w:t xml:space="preserve"> </w:t>
      </w:r>
      <w:r w:rsidRPr="00F82F5C">
        <w:t>Prostheses List, 2021</w:t>
      </w:r>
      <w:r>
        <w:t>.</w:t>
      </w:r>
    </w:p>
  </w:footnote>
  <w:footnote w:id="19">
    <w:p w14:paraId="202CB29F" w14:textId="2C6CC635" w:rsidR="00D546AB" w:rsidRDefault="00D546AB" w:rsidP="005B366F">
      <w:pPr>
        <w:pStyle w:val="FootnoteText"/>
      </w:pPr>
      <w:r>
        <w:rPr>
          <w:rStyle w:val="FootnoteReference"/>
        </w:rPr>
        <w:footnoteRef/>
      </w:r>
      <w:r>
        <w:t xml:space="preserve"> Ibid.</w:t>
      </w:r>
    </w:p>
  </w:footnote>
  <w:footnote w:id="20">
    <w:p w14:paraId="51B26098" w14:textId="1A56DA37" w:rsidR="002A3AAE" w:rsidRDefault="002A3AAE" w:rsidP="005B366F">
      <w:pPr>
        <w:pStyle w:val="FootnoteText"/>
      </w:pPr>
      <w:r>
        <w:rPr>
          <w:rStyle w:val="FootnoteReference"/>
        </w:rPr>
        <w:footnoteRef/>
      </w:r>
      <w:r>
        <w:t xml:space="preserve"> </w:t>
      </w:r>
      <w:r w:rsidR="00D546AB">
        <w:t>Ibid</w:t>
      </w:r>
      <w:r>
        <w:t>.</w:t>
      </w:r>
    </w:p>
  </w:footnote>
  <w:footnote w:id="21">
    <w:p w14:paraId="574C0397" w14:textId="77777777" w:rsidR="003E17A9" w:rsidRDefault="003E17A9" w:rsidP="005B366F">
      <w:pPr>
        <w:pStyle w:val="FootnoteText"/>
      </w:pPr>
      <w:r>
        <w:rPr>
          <w:rStyle w:val="FootnoteReference"/>
        </w:rPr>
        <w:footnoteRef/>
      </w:r>
      <w:r>
        <w:t xml:space="preserve"> </w:t>
      </w:r>
      <w:r w:rsidRPr="00F82F5C">
        <w:t>Department of Health, Regulation Impact Statement (RIS): Improving the Private Health Insurance</w:t>
      </w:r>
      <w:r>
        <w:t xml:space="preserve"> </w:t>
      </w:r>
      <w:r w:rsidRPr="00F82F5C">
        <w:t>Prostheses List, 2021</w:t>
      </w:r>
      <w:r w:rsidR="002221AE">
        <w:t>.</w:t>
      </w:r>
    </w:p>
  </w:footnote>
  <w:footnote w:id="22">
    <w:p w14:paraId="1A328F4D" w14:textId="34CD7283" w:rsidR="004C5A25" w:rsidRDefault="004C5A25" w:rsidP="005B366F">
      <w:pPr>
        <w:pStyle w:val="FootnoteText"/>
      </w:pPr>
      <w:r>
        <w:rPr>
          <w:rStyle w:val="FootnoteReference"/>
        </w:rPr>
        <w:footnoteRef/>
      </w:r>
      <w:r>
        <w:t xml:space="preserve"> </w:t>
      </w:r>
      <w:r w:rsidR="005B3A99" w:rsidRPr="00F82F5C">
        <w:t>Department of Health, Regulation Impact Statement (RIS): Improving the Private Health Insurance</w:t>
      </w:r>
      <w:r w:rsidR="005B3A99">
        <w:t xml:space="preserve"> </w:t>
      </w:r>
      <w:r w:rsidR="005B3A99" w:rsidRPr="00F82F5C">
        <w:t>Prostheses List, 2021.</w:t>
      </w:r>
      <w:r w:rsidR="005B3A99">
        <w:t xml:space="preserve"> Th</w:t>
      </w:r>
      <w:r w:rsidR="00641A20">
        <w:t>e analysis</w:t>
      </w:r>
      <w:r w:rsidR="007E0D26">
        <w:t xml:space="preserve"> </w:t>
      </w:r>
      <w:r w:rsidR="00641A20">
        <w:t xml:space="preserve">conducted </w:t>
      </w:r>
      <w:r w:rsidR="003D5460">
        <w:t xml:space="preserve">by the Independent Hospital Pricing Authority </w:t>
      </w:r>
      <w:r w:rsidR="000C4AB0">
        <w:t xml:space="preserve">is </w:t>
      </w:r>
      <w:r w:rsidR="005D2B67">
        <w:t>in an unpublished report</w:t>
      </w:r>
      <w:r w:rsidR="00ED7583">
        <w:t xml:space="preserve">, </w:t>
      </w:r>
      <w:r w:rsidR="001971BE">
        <w:rPr>
          <w:i/>
          <w:iCs/>
        </w:rPr>
        <w:t xml:space="preserve">Prostheses Costs in the private and public sector </w:t>
      </w:r>
      <w:r w:rsidR="001971BE">
        <w:t>(December 20</w:t>
      </w:r>
      <w:r w:rsidR="00FD50FD">
        <w:t xml:space="preserve">19). The evaluation team has not </w:t>
      </w:r>
      <w:r w:rsidR="00DA20AC">
        <w:t xml:space="preserve">seen this report </w:t>
      </w:r>
      <w:r w:rsidR="00D8555B">
        <w:t>to</w:t>
      </w:r>
      <w:r w:rsidR="00E37ACB">
        <w:t xml:space="preserve"> </w:t>
      </w:r>
      <w:r w:rsidR="00BD36B1">
        <w:t xml:space="preserve">be able to </w:t>
      </w:r>
      <w:r w:rsidR="00E37ACB">
        <w:t xml:space="preserve">verify the </w:t>
      </w:r>
      <w:r w:rsidR="009667DE">
        <w:t>findings</w:t>
      </w:r>
      <w:r w:rsidR="00E37ACB">
        <w:t>.</w:t>
      </w:r>
    </w:p>
  </w:footnote>
  <w:footnote w:id="23">
    <w:p w14:paraId="20B02F7A" w14:textId="77777777" w:rsidR="00FA75F1" w:rsidRDefault="00FA75F1" w:rsidP="005B366F">
      <w:pPr>
        <w:pStyle w:val="FootnoteText"/>
      </w:pPr>
      <w:r>
        <w:rPr>
          <w:rStyle w:val="FootnoteReference"/>
        </w:rPr>
        <w:footnoteRef/>
      </w:r>
      <w:r>
        <w:t xml:space="preserve"> </w:t>
      </w:r>
      <w:r w:rsidR="005C77B1">
        <w:t>Evaluate</w:t>
      </w:r>
      <w:r w:rsidR="00B4699D">
        <w:t xml:space="preserve">, </w:t>
      </w:r>
      <w:r w:rsidR="00362634">
        <w:t xml:space="preserve">The Prostheses List: Is it cost effective and what recommendations could improve its quality as a tool for </w:t>
      </w:r>
      <w:proofErr w:type="gramStart"/>
      <w:r w:rsidR="00362634">
        <w:t>reimbursement?</w:t>
      </w:r>
      <w:r w:rsidR="00D50D65">
        <w:t>,</w:t>
      </w:r>
      <w:proofErr w:type="gramEnd"/>
      <w:r w:rsidR="00D50D65">
        <w:t xml:space="preserve"> March 2021</w:t>
      </w:r>
      <w:r w:rsidR="00026BDA">
        <w:t xml:space="preserve">, </w:t>
      </w:r>
      <w:r w:rsidR="00026BDA" w:rsidRPr="00026BDA">
        <w:t>https://www.privatehealthcareaustralia.org.au/wp-content/uploads/Evaluate-international-prices-for-medical-devices.pdf</w:t>
      </w:r>
      <w:r w:rsidR="00026BDA">
        <w:t>.</w:t>
      </w:r>
    </w:p>
  </w:footnote>
  <w:footnote w:id="24">
    <w:p w14:paraId="221A1F22" w14:textId="77777777" w:rsidR="006F1004" w:rsidRDefault="006F1004" w:rsidP="005B366F">
      <w:pPr>
        <w:pStyle w:val="FootnoteText"/>
      </w:pPr>
      <w:r>
        <w:rPr>
          <w:rStyle w:val="FootnoteReference"/>
        </w:rPr>
        <w:footnoteRef/>
      </w:r>
      <w:r>
        <w:t xml:space="preserve"> </w:t>
      </w:r>
      <w:r w:rsidR="00EA607C">
        <w:t xml:space="preserve">Of the top 283 largest </w:t>
      </w:r>
      <w:r w:rsidR="00CA2637">
        <w:t xml:space="preserve">products </w:t>
      </w:r>
      <w:r w:rsidR="00EA607C">
        <w:t xml:space="preserve">by value on the PL, the analysis compared </w:t>
      </w:r>
      <w:r w:rsidR="00E073DB">
        <w:t>2</w:t>
      </w:r>
      <w:r w:rsidR="009768E8">
        <w:t>16</w:t>
      </w:r>
      <w:r w:rsidR="00A05752">
        <w:t xml:space="preserve"> </w:t>
      </w:r>
      <w:r w:rsidR="00CA2637">
        <w:t xml:space="preserve">products </w:t>
      </w:r>
      <w:r w:rsidR="00A05752">
        <w:t xml:space="preserve">with </w:t>
      </w:r>
      <w:r w:rsidR="003352ED">
        <w:t xml:space="preserve">NHS (UK), </w:t>
      </w:r>
      <w:r w:rsidR="009F16E7">
        <w:t xml:space="preserve">99 </w:t>
      </w:r>
      <w:r w:rsidR="00CA2637">
        <w:t>products</w:t>
      </w:r>
      <w:r w:rsidR="009F16E7">
        <w:t xml:space="preserve"> with </w:t>
      </w:r>
      <w:proofErr w:type="spellStart"/>
      <w:r w:rsidR="000508AF">
        <w:t>Pharmac</w:t>
      </w:r>
      <w:proofErr w:type="spellEnd"/>
      <w:r w:rsidR="000508AF">
        <w:t xml:space="preserve"> (N</w:t>
      </w:r>
      <w:r w:rsidR="006400AB">
        <w:t xml:space="preserve">ew </w:t>
      </w:r>
      <w:r w:rsidR="000508AF">
        <w:t>Z</w:t>
      </w:r>
      <w:r w:rsidR="006400AB">
        <w:t>ealand</w:t>
      </w:r>
      <w:r w:rsidR="000508AF">
        <w:t>)</w:t>
      </w:r>
      <w:r w:rsidR="00FF5BF8">
        <w:t xml:space="preserve"> and 213 </w:t>
      </w:r>
      <w:r w:rsidR="00CA2637">
        <w:t>products</w:t>
      </w:r>
      <w:r w:rsidR="00FF5BF8">
        <w:t xml:space="preserve"> with </w:t>
      </w:r>
      <w:r w:rsidR="006400AB">
        <w:t>Discovery Health (</w:t>
      </w:r>
      <w:r w:rsidR="002423AA">
        <w:t xml:space="preserve">a </w:t>
      </w:r>
      <w:r w:rsidR="006400AB">
        <w:t xml:space="preserve">South </w:t>
      </w:r>
      <w:r w:rsidR="002423AA">
        <w:t>African private health insurer</w:t>
      </w:r>
      <w:r w:rsidR="006400AB">
        <w:t xml:space="preserve">). </w:t>
      </w:r>
      <w:r w:rsidR="00422349">
        <w:t xml:space="preserve">It also compared </w:t>
      </w:r>
      <w:r w:rsidR="000116F4">
        <w:t xml:space="preserve">at least </w:t>
      </w:r>
      <w:r w:rsidR="0029797A">
        <w:t xml:space="preserve">64 </w:t>
      </w:r>
      <w:r w:rsidR="00CA2637">
        <w:t>products</w:t>
      </w:r>
      <w:r w:rsidR="0029797A">
        <w:t xml:space="preserve"> </w:t>
      </w:r>
      <w:r w:rsidR="00422349">
        <w:t xml:space="preserve">with </w:t>
      </w:r>
      <w:r w:rsidR="002B39E3">
        <w:t xml:space="preserve">France’s </w:t>
      </w:r>
      <w:r w:rsidR="00595A86">
        <w:t>L</w:t>
      </w:r>
      <w:r w:rsidR="002B39E3">
        <w:t>ist of Products and Services Refundable</w:t>
      </w:r>
      <w:r w:rsidR="000116F4">
        <w:t xml:space="preserve">, </w:t>
      </w:r>
      <w:r w:rsidR="00CA2637">
        <w:t xml:space="preserve">and </w:t>
      </w:r>
      <w:r w:rsidR="006B0677">
        <w:t>of a subset of 64 of them</w:t>
      </w:r>
      <w:r w:rsidR="002D15D2">
        <w:t xml:space="preserve">, the French prices were </w:t>
      </w:r>
      <w:r w:rsidR="00092652">
        <w:t xml:space="preserve">110.6% higher. However, </w:t>
      </w:r>
      <w:r w:rsidR="005610FE">
        <w:t xml:space="preserve">as there were no details about </w:t>
      </w:r>
      <w:r w:rsidR="002E530F">
        <w:t xml:space="preserve">which French </w:t>
      </w:r>
      <w:r w:rsidR="006512E1">
        <w:t>products were</w:t>
      </w:r>
      <w:r w:rsidR="00A450A8">
        <w:t xml:space="preserve"> included in the </w:t>
      </w:r>
      <w:r w:rsidR="006512E1">
        <w:t>compar</w:t>
      </w:r>
      <w:r w:rsidR="00A450A8">
        <w:t>ison</w:t>
      </w:r>
      <w:r w:rsidR="00FF50E0">
        <w:t xml:space="preserve"> and no overall </w:t>
      </w:r>
      <w:r w:rsidR="00097C0F">
        <w:t>price comparison</w:t>
      </w:r>
      <w:r w:rsidR="00090DAE">
        <w:t xml:space="preserve">, </w:t>
      </w:r>
      <w:r w:rsidR="003456B2">
        <w:t xml:space="preserve">we </w:t>
      </w:r>
      <w:r w:rsidR="00630517">
        <w:t>did not include th</w:t>
      </w:r>
      <w:r w:rsidR="009B626A">
        <w:t xml:space="preserve">e </w:t>
      </w:r>
      <w:r w:rsidR="00193AA7">
        <w:t>France comparison</w:t>
      </w:r>
      <w:r w:rsidR="00630517">
        <w:t xml:space="preserve"> in the body of </w:t>
      </w:r>
      <w:r w:rsidR="00193AA7">
        <w:t xml:space="preserve">our </w:t>
      </w:r>
      <w:r w:rsidR="00630517">
        <w:t>report.</w:t>
      </w:r>
      <w:r w:rsidR="00645B3F">
        <w:t xml:space="preserve"> It should also be noted that we did not independently validate</w:t>
      </w:r>
      <w:r w:rsidR="00642858">
        <w:t xml:space="preserve"> the data </w:t>
      </w:r>
      <w:r w:rsidR="004519DE">
        <w:t xml:space="preserve">used for this analysis. </w:t>
      </w:r>
      <w:r w:rsidR="006E39D1">
        <w:t>However</w:t>
      </w:r>
      <w:r w:rsidR="00170097">
        <w:t xml:space="preserve">, </w:t>
      </w:r>
      <w:r w:rsidR="002B0445">
        <w:t xml:space="preserve">the </w:t>
      </w:r>
      <w:r w:rsidR="00151EFD">
        <w:t xml:space="preserve">magnitude of gap between PL benefits and </w:t>
      </w:r>
      <w:r w:rsidR="00B66F4A">
        <w:t xml:space="preserve">the New Zealand and French </w:t>
      </w:r>
      <w:r w:rsidR="0033670C">
        <w:t>prices</w:t>
      </w:r>
      <w:r w:rsidR="006006BC">
        <w:t xml:space="preserve"> </w:t>
      </w:r>
      <w:r w:rsidR="00170097">
        <w:t xml:space="preserve">in 2021 </w:t>
      </w:r>
      <w:r w:rsidR="006006BC">
        <w:t xml:space="preserve">broadly aligns with our </w:t>
      </w:r>
      <w:r w:rsidR="00170097">
        <w:t>own sampling</w:t>
      </w:r>
      <w:r w:rsidR="00C70A4E">
        <w:t>. We d</w:t>
      </w:r>
      <w:r w:rsidR="008000EE">
        <w:t>o</w:t>
      </w:r>
      <w:r w:rsidR="008839D8">
        <w:t xml:space="preserve"> not</w:t>
      </w:r>
      <w:r w:rsidR="008000EE">
        <w:t xml:space="preserve"> have access to</w:t>
      </w:r>
      <w:r w:rsidR="000C00BF">
        <w:t xml:space="preserve"> </w:t>
      </w:r>
      <w:r w:rsidR="004438AC">
        <w:t>UK o</w:t>
      </w:r>
      <w:r w:rsidR="00E45385">
        <w:t>r</w:t>
      </w:r>
      <w:r w:rsidR="004438AC">
        <w:t xml:space="preserve"> South Africa</w:t>
      </w:r>
      <w:r w:rsidR="00E45385">
        <w:t>’s pricing data</w:t>
      </w:r>
      <w:r w:rsidR="004A64AE">
        <w:t xml:space="preserve"> to validate these.</w:t>
      </w:r>
    </w:p>
  </w:footnote>
  <w:footnote w:id="25">
    <w:p w14:paraId="5F291D96" w14:textId="77777777" w:rsidR="003B3804" w:rsidRDefault="003B3804" w:rsidP="005B366F">
      <w:pPr>
        <w:pStyle w:val="FootnoteText"/>
      </w:pPr>
      <w:r>
        <w:rPr>
          <w:rStyle w:val="FootnoteReference"/>
        </w:rPr>
        <w:footnoteRef/>
      </w:r>
      <w:r>
        <w:t xml:space="preserve"> </w:t>
      </w:r>
      <w:r w:rsidRPr="00F82F5C">
        <w:t>Department of Health, Regulation Impact Statement (RIS): Improving the Private Health Insurance</w:t>
      </w:r>
      <w:r>
        <w:t xml:space="preserve"> </w:t>
      </w:r>
      <w:r w:rsidRPr="00F82F5C">
        <w:t>Prostheses List, 2021</w:t>
      </w:r>
      <w:r>
        <w:t>.</w:t>
      </w:r>
    </w:p>
  </w:footnote>
  <w:footnote w:id="26">
    <w:p w14:paraId="4760F336" w14:textId="77777777" w:rsidR="00675662" w:rsidRDefault="00675662" w:rsidP="005B366F">
      <w:pPr>
        <w:pStyle w:val="FootnoteText"/>
      </w:pPr>
      <w:r>
        <w:rPr>
          <w:rStyle w:val="FootnoteReference"/>
        </w:rPr>
        <w:footnoteRef/>
      </w:r>
      <w:r>
        <w:t xml:space="preserve"> Bupa, </w:t>
      </w:r>
      <w:r w:rsidR="002E0F90">
        <w:t xml:space="preserve">Submission to the Senate Inquiry into </w:t>
      </w:r>
      <w:r w:rsidR="00EA1BFC">
        <w:t xml:space="preserve">Price Regulation Associated with the Prostheses List Framework, </w:t>
      </w:r>
      <w:r w:rsidR="007039F8">
        <w:t>2017.</w:t>
      </w:r>
    </w:p>
  </w:footnote>
  <w:footnote w:id="27">
    <w:p w14:paraId="6D5F31C9" w14:textId="77777777" w:rsidR="00FB0A24" w:rsidRDefault="00FB0A24" w:rsidP="005B366F">
      <w:pPr>
        <w:pStyle w:val="FootnoteText"/>
      </w:pPr>
      <w:r>
        <w:rPr>
          <w:rStyle w:val="FootnoteReference"/>
        </w:rPr>
        <w:footnoteRef/>
      </w:r>
      <w:r>
        <w:t xml:space="preserve"> </w:t>
      </w:r>
      <w:r w:rsidR="005735BD" w:rsidRPr="00E50193">
        <w:t>MTAA, Submission to the Senate Inquiry into the Prostheses List Framework, 2017.</w:t>
      </w:r>
    </w:p>
  </w:footnote>
  <w:footnote w:id="28">
    <w:p w14:paraId="7805DDAF" w14:textId="77777777" w:rsidR="00AC634E" w:rsidRPr="00F82F5C" w:rsidRDefault="00AC634E" w:rsidP="005B366F">
      <w:pPr>
        <w:pStyle w:val="FootnoteText"/>
      </w:pPr>
      <w:r w:rsidRPr="001E7046">
        <w:rPr>
          <w:rStyle w:val="FootnoteReference"/>
        </w:rPr>
        <w:footnoteRef/>
      </w:r>
      <w:r w:rsidRPr="00F82F5C">
        <w:t xml:space="preserve"> Menzies Centre for Health Policy &amp; University of Sydney, Options for a revised framework for setting and reviewing benefits for the Prostheses List, 2020.</w:t>
      </w:r>
    </w:p>
  </w:footnote>
  <w:footnote w:id="29">
    <w:p w14:paraId="1416718C" w14:textId="77777777" w:rsidR="00F82F5C" w:rsidRPr="003A1A04" w:rsidRDefault="00F82F5C" w:rsidP="005B366F">
      <w:pPr>
        <w:pStyle w:val="FootnoteText"/>
      </w:pPr>
      <w:r w:rsidRPr="001E7046">
        <w:rPr>
          <w:rStyle w:val="FootnoteReference"/>
        </w:rPr>
        <w:footnoteRef/>
      </w:r>
      <w:r w:rsidRPr="00F82F5C">
        <w:t xml:space="preserve"> Department of Health, Regulation Impact Statement (RIS): Improving the Private Health Insurance</w:t>
      </w:r>
      <w:r w:rsidR="00BD6B36">
        <w:t xml:space="preserve"> </w:t>
      </w:r>
      <w:r w:rsidRPr="00F82F5C">
        <w:t>Prostheses List, 2021.</w:t>
      </w:r>
    </w:p>
  </w:footnote>
  <w:footnote w:id="30">
    <w:p w14:paraId="3C0EBBC9" w14:textId="77777777" w:rsidR="00F82F5C" w:rsidRPr="003A1A04" w:rsidRDefault="00F82F5C" w:rsidP="005B366F">
      <w:pPr>
        <w:pStyle w:val="FootnoteText"/>
      </w:pPr>
      <w:r w:rsidRPr="001E7046">
        <w:rPr>
          <w:rStyle w:val="FootnoteReference"/>
        </w:rPr>
        <w:footnoteRef/>
      </w:r>
      <w:r w:rsidR="0079675B" w:rsidRPr="0079675B">
        <w:t xml:space="preserve"> </w:t>
      </w:r>
      <w:r w:rsidR="0079675B" w:rsidRPr="00F82F5C">
        <w:t>Menzies Centre for Health Policy &amp; University of Sydney, Options for a revised framework for setting and reviewing benefits for the Prostheses List, 2020.</w:t>
      </w:r>
    </w:p>
  </w:footnote>
  <w:footnote w:id="31">
    <w:p w14:paraId="28BAC793" w14:textId="0EFB0C2E" w:rsidR="00095792" w:rsidRDefault="00095792" w:rsidP="005B366F">
      <w:pPr>
        <w:pStyle w:val="FootnoteText"/>
      </w:pPr>
      <w:r>
        <w:rPr>
          <w:rStyle w:val="FootnoteReference"/>
        </w:rPr>
        <w:footnoteRef/>
      </w:r>
      <w:r>
        <w:t xml:space="preserve"> Data supplied by the Department on 20/03/2024.</w:t>
      </w:r>
    </w:p>
  </w:footnote>
  <w:footnote w:id="32">
    <w:p w14:paraId="57834F53" w14:textId="17B6B503" w:rsidR="00EE0809" w:rsidRPr="00E50193" w:rsidRDefault="00EE0809" w:rsidP="005B366F">
      <w:pPr>
        <w:pStyle w:val="FootnoteText"/>
      </w:pPr>
      <w:r w:rsidRPr="00E50193">
        <w:rPr>
          <w:rStyle w:val="FootnoteReference"/>
        </w:rPr>
        <w:footnoteRef/>
      </w:r>
      <w:r w:rsidRPr="00E50193">
        <w:t xml:space="preserve"> </w:t>
      </w:r>
      <w:r w:rsidR="00525164">
        <w:t>Data supplied by the Department on 20/03/2024.</w:t>
      </w:r>
      <w:r w:rsidR="005E6A58">
        <w:t xml:space="preserve"> The analysis compares </w:t>
      </w:r>
      <w:r w:rsidR="00F1795C">
        <w:t>the benefits</w:t>
      </w:r>
      <w:r w:rsidR="005E6A58">
        <w:t xml:space="preserve"> </w:t>
      </w:r>
      <w:r w:rsidR="00F1795C">
        <w:t xml:space="preserve">of </w:t>
      </w:r>
      <w:r w:rsidR="006F39E5">
        <w:t xml:space="preserve">Part A </w:t>
      </w:r>
      <w:r w:rsidR="00F1795C">
        <w:t>items</w:t>
      </w:r>
      <w:r w:rsidR="006F39E5">
        <w:t xml:space="preserve"> </w:t>
      </w:r>
      <w:r w:rsidR="00A41E06">
        <w:t>on</w:t>
      </w:r>
      <w:r w:rsidR="006F39E5">
        <w:t xml:space="preserve"> the March 2022 PL with the public benchmark Weighted Average Prices </w:t>
      </w:r>
      <w:r w:rsidR="004C769E">
        <w:t>collected by IHACPA</w:t>
      </w:r>
      <w:r w:rsidR="00F635C0">
        <w:t xml:space="preserve"> (excluding</w:t>
      </w:r>
      <w:r w:rsidR="00D13AFA">
        <w:t xml:space="preserve"> CIED items).</w:t>
      </w:r>
    </w:p>
  </w:footnote>
  <w:footnote w:id="33">
    <w:p w14:paraId="0058EC72" w14:textId="77777777" w:rsidR="00697C88" w:rsidRDefault="00697C88" w:rsidP="005B366F">
      <w:pPr>
        <w:pStyle w:val="FootnoteText"/>
      </w:pPr>
      <w:r>
        <w:rPr>
          <w:rStyle w:val="FootnoteReference"/>
        </w:rPr>
        <w:footnoteRef/>
      </w:r>
      <w:r>
        <w:t xml:space="preserve"> Department of Health, Prostheses List – Guide to listing </w:t>
      </w:r>
      <w:r w:rsidRPr="007A00D4">
        <w:t>and setting benefits for prostheses, 2017.</w:t>
      </w:r>
    </w:p>
  </w:footnote>
  <w:footnote w:id="34">
    <w:p w14:paraId="697E7C9C" w14:textId="77777777" w:rsidR="00931C33" w:rsidRPr="003A1A04" w:rsidRDefault="00931C33" w:rsidP="005B366F">
      <w:pPr>
        <w:pStyle w:val="FootnoteText"/>
      </w:pPr>
      <w:r w:rsidRPr="001E7046">
        <w:rPr>
          <w:rStyle w:val="FootnoteReference"/>
        </w:rPr>
        <w:footnoteRef/>
      </w:r>
      <w:r w:rsidRPr="003A1A04">
        <w:t xml:space="preserve"> Menzies Centre for Health Policy &amp; University of Sydney, Options for a revised framework for setting and reviewing benefits for the Prostheses List, 2020.</w:t>
      </w:r>
    </w:p>
  </w:footnote>
  <w:footnote w:id="35">
    <w:p w14:paraId="2215FE7F" w14:textId="77777777" w:rsidR="004E6C30" w:rsidRDefault="004E6C30" w:rsidP="005B366F">
      <w:pPr>
        <w:pStyle w:val="FootnoteText"/>
      </w:pPr>
      <w:r w:rsidRPr="0060145D">
        <w:rPr>
          <w:rStyle w:val="FootnoteReference"/>
        </w:rPr>
        <w:footnoteRef/>
      </w:r>
      <w:r w:rsidRPr="0060145D">
        <w:t xml:space="preserve"> </w:t>
      </w:r>
      <w:r w:rsidRPr="007A00D4">
        <w:t>The Honourable Greg Hunt MP &amp; the Medical Technology Association of Australia Limited, Memorandum of Understanding for the policy parameters of the Prostheses List Reforms, 2022.</w:t>
      </w:r>
    </w:p>
  </w:footnote>
  <w:footnote w:id="36">
    <w:p w14:paraId="7D2BB569" w14:textId="318A0FB4" w:rsidR="00FC2486" w:rsidRDefault="00FC2486" w:rsidP="005B366F">
      <w:pPr>
        <w:pStyle w:val="FootnoteText"/>
      </w:pPr>
      <w:r w:rsidRPr="0060145D">
        <w:rPr>
          <w:rStyle w:val="FootnoteReference"/>
        </w:rPr>
        <w:footnoteRef/>
      </w:r>
      <w:r w:rsidRPr="0060145D">
        <w:t xml:space="preserve"> </w:t>
      </w:r>
      <w:r w:rsidR="00F55EC0">
        <w:t>I</w:t>
      </w:r>
      <w:r w:rsidR="00B467FE">
        <w:t>bid</w:t>
      </w:r>
      <w:r w:rsidRPr="007A00D4">
        <w:t>.</w:t>
      </w:r>
    </w:p>
  </w:footnote>
  <w:footnote w:id="37">
    <w:p w14:paraId="0812FF93" w14:textId="104FFC2B" w:rsidR="004E6C30" w:rsidRDefault="004E6C30" w:rsidP="005B366F">
      <w:pPr>
        <w:pStyle w:val="FootnoteText"/>
      </w:pPr>
      <w:r w:rsidRPr="0060145D">
        <w:rPr>
          <w:rStyle w:val="FootnoteReference"/>
        </w:rPr>
        <w:footnoteRef/>
      </w:r>
      <w:r w:rsidRPr="0060145D">
        <w:t xml:space="preserve"> </w:t>
      </w:r>
      <w:r w:rsidR="00B467FE">
        <w:t>Ibid</w:t>
      </w:r>
      <w:r w:rsidRPr="007A00D4">
        <w:t>.</w:t>
      </w:r>
    </w:p>
  </w:footnote>
  <w:footnote w:id="38">
    <w:p w14:paraId="740121C5" w14:textId="5F3828F1" w:rsidR="00AE215C" w:rsidRDefault="00AE215C" w:rsidP="005B366F">
      <w:pPr>
        <w:pStyle w:val="FootnoteText"/>
      </w:pPr>
      <w:r>
        <w:rPr>
          <w:rStyle w:val="FootnoteReference"/>
        </w:rPr>
        <w:footnoteRef/>
      </w:r>
      <w:r>
        <w:t xml:space="preserve"> We </w:t>
      </w:r>
      <w:r w:rsidR="00B474D2">
        <w:t>note</w:t>
      </w:r>
      <w:r>
        <w:t xml:space="preserve"> </w:t>
      </w:r>
      <w:r w:rsidR="00A93B9E">
        <w:t xml:space="preserve">that </w:t>
      </w:r>
      <w:r w:rsidR="00B474D2">
        <w:t>removal date</w:t>
      </w:r>
      <w:r w:rsidR="005822C7">
        <w:t xml:space="preserve"> </w:t>
      </w:r>
      <w:r w:rsidR="00A93B9E">
        <w:t xml:space="preserve">has </w:t>
      </w:r>
      <w:r w:rsidR="005822C7">
        <w:t xml:space="preserve">been revised since </w:t>
      </w:r>
      <w:r w:rsidR="00905DFC">
        <w:t xml:space="preserve">the </w:t>
      </w:r>
      <w:r w:rsidR="00B1779D">
        <w:t>MoU.</w:t>
      </w:r>
    </w:p>
  </w:footnote>
  <w:footnote w:id="39">
    <w:p w14:paraId="66B39D46" w14:textId="77777777" w:rsidR="00FC2486" w:rsidRDefault="00FC2486" w:rsidP="005B366F">
      <w:pPr>
        <w:pStyle w:val="FootnoteText"/>
      </w:pPr>
      <w:r w:rsidRPr="0060145D">
        <w:rPr>
          <w:rStyle w:val="FootnoteReference"/>
        </w:rPr>
        <w:footnoteRef/>
      </w:r>
      <w:r w:rsidRPr="0060145D">
        <w:t xml:space="preserve"> </w:t>
      </w:r>
      <w:r w:rsidRPr="007A00D4">
        <w:t>The Honourable Greg Hunt MP &amp; the Medical Technology Association of Australia Limited, Memorandum of Understanding for the policy parameters of the Prostheses List Reforms, 2022.</w:t>
      </w:r>
    </w:p>
  </w:footnote>
  <w:footnote w:id="40">
    <w:p w14:paraId="6514E0FB" w14:textId="77777777" w:rsidR="00FC2486" w:rsidRDefault="00FC2486" w:rsidP="005B366F">
      <w:pPr>
        <w:pStyle w:val="FootnoteText"/>
      </w:pPr>
      <w:r>
        <w:rPr>
          <w:rStyle w:val="FootnoteReference"/>
        </w:rPr>
        <w:footnoteRef/>
      </w:r>
      <w:r>
        <w:t xml:space="preserve"> Independent Hospital and Pricing Authority, Methodology for Determining the Benchmark Price for Prostheses in Australian Public Hospitals, December 2021.</w:t>
      </w:r>
    </w:p>
  </w:footnote>
  <w:footnote w:id="41">
    <w:p w14:paraId="6D07E4BB" w14:textId="77777777" w:rsidR="00FC2486" w:rsidRDefault="00FC2486" w:rsidP="005B366F">
      <w:pPr>
        <w:pStyle w:val="FootnoteText"/>
      </w:pPr>
      <w:r>
        <w:rPr>
          <w:rStyle w:val="FootnoteReference"/>
        </w:rPr>
        <w:footnoteRef/>
      </w:r>
      <w:r>
        <w:t xml:space="preserve"> Independent Hospital and Pricing Authority, Benchmark Price for Protheses in Australian Public Hospitals 2020-21, March 2022.</w:t>
      </w:r>
    </w:p>
  </w:footnote>
  <w:footnote w:id="42">
    <w:p w14:paraId="30706B19" w14:textId="13DE5375" w:rsidR="00DA2642" w:rsidRPr="00925A38" w:rsidRDefault="00DA2642" w:rsidP="005B366F">
      <w:pPr>
        <w:pStyle w:val="FootnoteText"/>
        <w:rPr>
          <w:rFonts w:cstheme="minorHAnsi"/>
          <w:sz w:val="16"/>
          <w:szCs w:val="16"/>
        </w:rPr>
      </w:pPr>
      <w:r w:rsidRPr="00E50193">
        <w:rPr>
          <w:rStyle w:val="FootnoteReference"/>
        </w:rPr>
        <w:footnoteRef/>
      </w:r>
      <w:r w:rsidRPr="00E50193">
        <w:rPr>
          <w:rFonts w:cstheme="minorHAnsi"/>
          <w:szCs w:val="14"/>
        </w:rPr>
        <w:t xml:space="preserve"> </w:t>
      </w:r>
      <w:r w:rsidR="00F15157">
        <w:t>Data supplied by the Department on 20/03/2024.</w:t>
      </w:r>
    </w:p>
  </w:footnote>
  <w:footnote w:id="43">
    <w:p w14:paraId="5EA1095E" w14:textId="77777777" w:rsidR="00000965" w:rsidRPr="001B3BEE" w:rsidRDefault="00000965" w:rsidP="005B366F">
      <w:pPr>
        <w:pStyle w:val="FootnoteText"/>
      </w:pPr>
      <w:r w:rsidRPr="001B3BEE">
        <w:rPr>
          <w:rStyle w:val="FootnoteReference"/>
        </w:rPr>
        <w:footnoteRef/>
      </w:r>
      <w:r w:rsidRPr="001B3BEE">
        <w:t xml:space="preserve"> Menzies Centre for Health Policy &amp; University of Sydney, Options for a revised framework for setting and reviewing benefits for the Prostheses List, 2020.</w:t>
      </w:r>
    </w:p>
  </w:footnote>
  <w:footnote w:id="44">
    <w:p w14:paraId="62F15162" w14:textId="77777777" w:rsidR="00000965" w:rsidRPr="00A17541" w:rsidRDefault="00000965" w:rsidP="005B366F">
      <w:pPr>
        <w:pStyle w:val="FootnoteText"/>
      </w:pPr>
      <w:r w:rsidRPr="00A17541">
        <w:rPr>
          <w:rStyle w:val="FootnoteReference"/>
        </w:rPr>
        <w:footnoteRef/>
      </w:r>
      <w:r w:rsidRPr="00A17541">
        <w:t xml:space="preserve"> Department of Health and Ageing, Review of Health Technology Assessment in Australia, 2009.</w:t>
      </w:r>
    </w:p>
  </w:footnote>
  <w:footnote w:id="45">
    <w:p w14:paraId="25EA8EEF" w14:textId="6BCF36A6" w:rsidR="00D000FE" w:rsidRDefault="00D000FE" w:rsidP="005B366F">
      <w:pPr>
        <w:pStyle w:val="FootnoteText"/>
      </w:pPr>
      <w:r>
        <w:rPr>
          <w:rStyle w:val="FootnoteReference"/>
        </w:rPr>
        <w:footnoteRef/>
      </w:r>
      <w:r>
        <w:t xml:space="preserve"> </w:t>
      </w:r>
      <w:r w:rsidR="00155914">
        <w:t xml:space="preserve">0.23% of episodes had some level of gap payment, but </w:t>
      </w:r>
      <w:r w:rsidR="00F053E5">
        <w:t>some</w:t>
      </w:r>
      <w:r w:rsidR="00155914">
        <w:t xml:space="preserve"> of these </w:t>
      </w:r>
      <w:r w:rsidR="00F053E5">
        <w:t>may</w:t>
      </w:r>
      <w:r w:rsidR="00C009C0">
        <w:t xml:space="preserve"> have been paid </w:t>
      </w:r>
      <w:r w:rsidR="00E1564F">
        <w:t>by other parties (</w:t>
      </w:r>
      <w:r w:rsidR="006A4D5D">
        <w:t>like the Department of Veterans Affairs) rather than the consumer.</w:t>
      </w:r>
    </w:p>
  </w:footnote>
  <w:footnote w:id="46">
    <w:p w14:paraId="2E466F5A" w14:textId="60B7786F" w:rsidR="00062889" w:rsidRDefault="00062889" w:rsidP="005B366F">
      <w:pPr>
        <w:pStyle w:val="FootnoteText"/>
      </w:pPr>
      <w:r>
        <w:rPr>
          <w:rStyle w:val="FootnoteReference"/>
        </w:rPr>
        <w:footnoteRef/>
      </w:r>
      <w:r>
        <w:t xml:space="preserve"> </w:t>
      </w:r>
      <w:r w:rsidR="008E16B6">
        <w:t xml:space="preserve">See </w:t>
      </w:r>
      <w:r w:rsidR="00DF550C">
        <w:t>A</w:t>
      </w:r>
      <w:r w:rsidR="008E16B6">
        <w:t xml:space="preserve">ppendix B for a description of </w:t>
      </w:r>
      <w:r w:rsidR="00DF550C">
        <w:t>the</w:t>
      </w:r>
      <w:r w:rsidR="001D15D0">
        <w:t xml:space="preserve"> </w:t>
      </w:r>
      <w:r w:rsidR="00783059">
        <w:t xml:space="preserve">use of gap payments as a proxy for </w:t>
      </w:r>
      <w:r w:rsidR="00DF550C">
        <w:t>out-of-pocket expenses.</w:t>
      </w:r>
    </w:p>
  </w:footnote>
  <w:footnote w:id="47">
    <w:p w14:paraId="4D83F3B1" w14:textId="7CB9E6D5" w:rsidR="008900AA" w:rsidRDefault="008900AA" w:rsidP="005B366F">
      <w:pPr>
        <w:pStyle w:val="FootnoteText"/>
      </w:pPr>
      <w:r w:rsidRPr="008900AA">
        <w:rPr>
          <w:rStyle w:val="FootnoteReference"/>
        </w:rPr>
        <w:footnoteRef/>
      </w:r>
      <w:r w:rsidRPr="008900AA">
        <w:t xml:space="preserve"> </w:t>
      </w:r>
      <w:r w:rsidRPr="001B3BEE">
        <w:t>Menzies Centre for Health Policy &amp; University of Sydney, Options for a revised framework for setting and reviewing benefits for the Prostheses List, 2020.</w:t>
      </w:r>
    </w:p>
  </w:footnote>
  <w:footnote w:id="48">
    <w:p w14:paraId="0A22B95D" w14:textId="77777777" w:rsidR="00E9385D" w:rsidRDefault="00E9385D" w:rsidP="005B366F">
      <w:pPr>
        <w:pStyle w:val="FootnoteText"/>
      </w:pPr>
      <w:r>
        <w:rPr>
          <w:rStyle w:val="FootnoteReference"/>
        </w:rPr>
        <w:footnoteRef/>
      </w:r>
      <w:r>
        <w:t xml:space="preserve"> Ibid.</w:t>
      </w:r>
    </w:p>
  </w:footnote>
  <w:footnote w:id="49">
    <w:p w14:paraId="7E391537" w14:textId="77777777" w:rsidR="00C02E0C" w:rsidRDefault="00C02E0C" w:rsidP="005B366F">
      <w:pPr>
        <w:pStyle w:val="FootnoteText"/>
      </w:pPr>
      <w:r w:rsidRPr="008900AA">
        <w:rPr>
          <w:rStyle w:val="FootnoteReference"/>
        </w:rPr>
        <w:footnoteRef/>
      </w:r>
      <w:r w:rsidRPr="008900AA">
        <w:t xml:space="preserve"> </w:t>
      </w:r>
      <w:r w:rsidRPr="001B3BEE">
        <w:t>Menzies Centre for Health Policy &amp; University of Sydney, Options for a revised framework for setting and reviewing benefits for the Prostheses List, 2020.</w:t>
      </w:r>
    </w:p>
  </w:footnote>
  <w:footnote w:id="50">
    <w:p w14:paraId="39F4B921" w14:textId="77777777" w:rsidR="00246A2A" w:rsidRPr="007432C7" w:rsidRDefault="00246A2A" w:rsidP="005B366F">
      <w:pPr>
        <w:pStyle w:val="FootnoteText"/>
      </w:pPr>
      <w:r w:rsidRPr="007432C7">
        <w:rPr>
          <w:rStyle w:val="FootnoteReference"/>
        </w:rPr>
        <w:footnoteRef/>
      </w:r>
      <w:r w:rsidRPr="007432C7">
        <w:t xml:space="preserve"> Melbourne Economic Forum, The value of private healthcare, 2019.</w:t>
      </w:r>
    </w:p>
  </w:footnote>
  <w:footnote w:id="51">
    <w:p w14:paraId="7C6F0BB0" w14:textId="77777777" w:rsidR="00246A2A" w:rsidRDefault="00246A2A" w:rsidP="005B366F">
      <w:pPr>
        <w:pStyle w:val="FootnoteText"/>
      </w:pPr>
      <w:r w:rsidRPr="007432C7">
        <w:rPr>
          <w:rStyle w:val="FootnoteReference"/>
        </w:rPr>
        <w:footnoteRef/>
      </w:r>
      <w:r w:rsidRPr="007432C7">
        <w:t xml:space="preserve"> BUPA, A sustainable private health sector: an economic study, 2021.</w:t>
      </w:r>
    </w:p>
  </w:footnote>
  <w:footnote w:id="52">
    <w:p w14:paraId="4B2063EF" w14:textId="77777777" w:rsidR="00246A2A" w:rsidRPr="002F26D0" w:rsidRDefault="00246A2A" w:rsidP="005B366F">
      <w:pPr>
        <w:pStyle w:val="FootnoteText"/>
      </w:pPr>
      <w:r w:rsidRPr="002F26D0">
        <w:rPr>
          <w:rStyle w:val="FootnoteReference"/>
          <w:sz w:val="16"/>
          <w:szCs w:val="16"/>
        </w:rPr>
        <w:footnoteRef/>
      </w:r>
      <w:r w:rsidRPr="002F26D0">
        <w:t xml:space="preserve"> Department of Health, Regulation Impact Statement (RIS): Improving the Private Health Insurance</w:t>
      </w:r>
      <w:r>
        <w:t xml:space="preserve"> </w:t>
      </w:r>
      <w:r w:rsidRPr="002F26D0">
        <w:t>Prostheses List, 2021.</w:t>
      </w:r>
    </w:p>
  </w:footnote>
  <w:footnote w:id="53">
    <w:p w14:paraId="34A6B18D" w14:textId="77777777" w:rsidR="00246A2A" w:rsidRPr="002F26D0" w:rsidRDefault="00246A2A" w:rsidP="005B366F">
      <w:pPr>
        <w:pStyle w:val="FootnoteText"/>
      </w:pPr>
      <w:r w:rsidRPr="002F26D0">
        <w:rPr>
          <w:rStyle w:val="FootnoteReference"/>
          <w:sz w:val="16"/>
          <w:szCs w:val="16"/>
        </w:rPr>
        <w:footnoteRef/>
      </w:r>
      <w:r w:rsidRPr="002F26D0">
        <w:t xml:space="preserve"> Australian Prudential Regulation Authority, Financial sustainability challenges in private health insurance, 2019.</w:t>
      </w:r>
    </w:p>
  </w:footnote>
  <w:footnote w:id="54">
    <w:p w14:paraId="19699A72" w14:textId="69690618" w:rsidR="00A7650C" w:rsidRDefault="00A7650C" w:rsidP="005B366F">
      <w:pPr>
        <w:pStyle w:val="FootnoteText"/>
      </w:pPr>
      <w:r>
        <w:rPr>
          <w:rStyle w:val="FootnoteReference"/>
        </w:rPr>
        <w:footnoteRef/>
      </w:r>
      <w:r>
        <w:t xml:space="preserve"> See </w:t>
      </w:r>
      <w:r w:rsidR="00A154E7">
        <w:fldChar w:fldCharType="begin"/>
      </w:r>
      <w:r w:rsidR="00A154E7">
        <w:instrText xml:space="preserve"> REF _Ref152838064 \h </w:instrText>
      </w:r>
      <w:r w:rsidR="00A154E7">
        <w:fldChar w:fldCharType="separate"/>
      </w:r>
      <w:r w:rsidR="00026714">
        <w:t xml:space="preserve">Figure </w:t>
      </w:r>
      <w:r w:rsidR="00026714">
        <w:rPr>
          <w:noProof/>
        </w:rPr>
        <w:t>29</w:t>
      </w:r>
      <w:r w:rsidR="00A154E7">
        <w:fldChar w:fldCharType="end"/>
      </w:r>
      <w:r w:rsidR="00A154E7">
        <w:t xml:space="preserve"> </w:t>
      </w:r>
      <w:r>
        <w:t xml:space="preserve">in </w:t>
      </w:r>
      <w:r w:rsidR="00A154E7">
        <w:fldChar w:fldCharType="begin"/>
      </w:r>
      <w:r w:rsidR="00A154E7">
        <w:instrText xml:space="preserve"> REF _Ref159832999 \r \h </w:instrText>
      </w:r>
      <w:r w:rsidR="00A154E7">
        <w:fldChar w:fldCharType="separate"/>
      </w:r>
      <w:r w:rsidR="00026714">
        <w:t>Appendix B</w:t>
      </w:r>
      <w:r w:rsidR="00A154E7">
        <w:fldChar w:fldCharType="end"/>
      </w:r>
      <w:r w:rsidR="00A154E7">
        <w:t>.</w:t>
      </w:r>
    </w:p>
  </w:footnote>
  <w:footnote w:id="55">
    <w:p w14:paraId="54584B54" w14:textId="4A2C4C9B" w:rsidR="0042326E" w:rsidRDefault="0042326E" w:rsidP="005B366F">
      <w:pPr>
        <w:pStyle w:val="FootnoteText"/>
      </w:pPr>
      <w:r>
        <w:rPr>
          <w:rStyle w:val="FootnoteReference"/>
        </w:rPr>
        <w:footnoteRef/>
      </w:r>
      <w:r>
        <w:t xml:space="preserve"> </w:t>
      </w:r>
      <w:r w:rsidR="00387DD0">
        <w:t xml:space="preserve">See </w:t>
      </w:r>
      <w:r w:rsidR="00387DD0">
        <w:fldChar w:fldCharType="begin"/>
      </w:r>
      <w:r w:rsidR="00387DD0">
        <w:instrText xml:space="preserve"> REF _Ref158990312 \h </w:instrText>
      </w:r>
      <w:r w:rsidR="00387DD0">
        <w:fldChar w:fldCharType="separate"/>
      </w:r>
      <w:r w:rsidR="00026714" w:rsidRPr="00414668">
        <w:t xml:space="preserve">Figure </w:t>
      </w:r>
      <w:r w:rsidR="00026714">
        <w:rPr>
          <w:noProof/>
        </w:rPr>
        <w:t>31</w:t>
      </w:r>
      <w:r w:rsidR="00387DD0">
        <w:fldChar w:fldCharType="end"/>
      </w:r>
      <w:r w:rsidR="00387DD0">
        <w:t xml:space="preserve"> in </w:t>
      </w:r>
      <w:r w:rsidR="00387DD0">
        <w:fldChar w:fldCharType="begin"/>
      </w:r>
      <w:r w:rsidR="00387DD0">
        <w:instrText xml:space="preserve"> REF _Ref159832999 \r \h </w:instrText>
      </w:r>
      <w:r w:rsidR="00387DD0">
        <w:fldChar w:fldCharType="separate"/>
      </w:r>
      <w:r w:rsidR="00026714">
        <w:t>Appendix B</w:t>
      </w:r>
      <w:r w:rsidR="00387DD0">
        <w:fldChar w:fldCharType="end"/>
      </w:r>
      <w:r w:rsidR="00387DD0">
        <w:t>.</w:t>
      </w:r>
    </w:p>
  </w:footnote>
  <w:footnote w:id="56">
    <w:p w14:paraId="79F62D02" w14:textId="77777777" w:rsidR="00FB7931" w:rsidRDefault="00FB7931" w:rsidP="005B366F">
      <w:pPr>
        <w:pStyle w:val="FootnoteText"/>
      </w:pPr>
      <w:r w:rsidRPr="00552D90">
        <w:rPr>
          <w:rStyle w:val="FootnoteReference"/>
          <w:sz w:val="16"/>
          <w:szCs w:val="16"/>
        </w:rPr>
        <w:footnoteRef/>
      </w:r>
      <w:r w:rsidR="00246A2A" w:rsidRPr="00552D90" w:rsidDel="007C63D1">
        <w:t xml:space="preserve"> Australian Medical Association, Time to bite the bullet on private health reforms, 2023.</w:t>
      </w:r>
    </w:p>
  </w:footnote>
  <w:footnote w:id="57">
    <w:p w14:paraId="7429AE2B" w14:textId="08B08BD9" w:rsidR="00246A2A" w:rsidRPr="002F26D0" w:rsidDel="007C63D1" w:rsidRDefault="00246A2A" w:rsidP="005B366F">
      <w:pPr>
        <w:pStyle w:val="FootnoteText"/>
      </w:pPr>
      <w:r w:rsidRPr="002F26D0" w:rsidDel="007C63D1">
        <w:rPr>
          <w:rStyle w:val="FootnoteReference"/>
          <w:sz w:val="16"/>
          <w:szCs w:val="16"/>
        </w:rPr>
        <w:footnoteRef/>
      </w:r>
      <w:r w:rsidRPr="002F26D0" w:rsidDel="007C63D1">
        <w:t xml:space="preserve"> Australian Prudential Regulation Authority, Financial sustainability challenges in private health insurance, 2019</w:t>
      </w:r>
      <w:r w:rsidR="00370150">
        <w:t>.</w:t>
      </w:r>
    </w:p>
  </w:footnote>
  <w:footnote w:id="58">
    <w:p w14:paraId="4B1D5272" w14:textId="292A346F" w:rsidR="001047C8" w:rsidRDefault="001047C8" w:rsidP="005B366F">
      <w:pPr>
        <w:pStyle w:val="FootnoteText"/>
      </w:pPr>
      <w:r>
        <w:rPr>
          <w:rStyle w:val="FootnoteReference"/>
        </w:rPr>
        <w:footnoteRef/>
      </w:r>
      <w:r>
        <w:t xml:space="preserve"> </w:t>
      </w:r>
      <w:r w:rsidR="000B29AF" w:rsidRPr="00773087">
        <w:t>Australian Prudential</w:t>
      </w:r>
      <w:r w:rsidR="000B29AF" w:rsidRPr="00773087">
        <w:rPr>
          <w:sz w:val="12"/>
          <w:szCs w:val="12"/>
        </w:rPr>
        <w:t xml:space="preserve"> </w:t>
      </w:r>
      <w:r w:rsidR="000B29AF" w:rsidRPr="00773087">
        <w:t>Regulation Authority, Quarterly Private Health Insurance Statistics Prostheses</w:t>
      </w:r>
      <w:r w:rsidR="000B29AF">
        <w:t>,</w:t>
      </w:r>
      <w:r w:rsidR="000B29AF" w:rsidRPr="00773087">
        <w:t xml:space="preserve"> June 2023</w:t>
      </w:r>
      <w:r w:rsidRPr="00773087">
        <w:t>.</w:t>
      </w:r>
    </w:p>
  </w:footnote>
  <w:footnote w:id="59">
    <w:p w14:paraId="226EE1DE" w14:textId="204FD577" w:rsidR="0035463F" w:rsidRDefault="0035463F" w:rsidP="0035463F">
      <w:pPr>
        <w:pStyle w:val="FootnoteText"/>
      </w:pPr>
      <w:r>
        <w:rPr>
          <w:rStyle w:val="FootnoteReference"/>
        </w:rPr>
        <w:footnoteRef/>
      </w:r>
      <w:r>
        <w:t xml:space="preserve"> </w:t>
      </w:r>
      <w:r w:rsidRPr="002F26D0" w:rsidDel="007C63D1">
        <w:t>Australian Prudential Regulation Authority</w:t>
      </w:r>
      <w:r>
        <w:t xml:space="preserve">, </w:t>
      </w:r>
      <w:r w:rsidRPr="00360F90">
        <w:t>Quarterly Private Health Insurance Statistics Membership Trends, June 2023.</w:t>
      </w:r>
      <w:r>
        <w:t xml:space="preserve"> See also </w:t>
      </w:r>
      <w:r>
        <w:fldChar w:fldCharType="begin"/>
      </w:r>
      <w:r>
        <w:instrText xml:space="preserve"> REF _Ref152693007 \h </w:instrText>
      </w:r>
      <w:r>
        <w:fldChar w:fldCharType="separate"/>
      </w:r>
      <w:r w:rsidR="00026714" w:rsidRPr="007D20D4">
        <w:t xml:space="preserve">Figure </w:t>
      </w:r>
      <w:r w:rsidR="00026714">
        <w:rPr>
          <w:noProof/>
        </w:rPr>
        <w:t>27</w:t>
      </w:r>
      <w:r>
        <w:fldChar w:fldCharType="end"/>
      </w:r>
      <w:r>
        <w:t xml:space="preserve"> in  </w:t>
      </w:r>
      <w:r>
        <w:fldChar w:fldCharType="begin"/>
      </w:r>
      <w:r>
        <w:instrText xml:space="preserve"> REF _Ref159832999 \r \h </w:instrText>
      </w:r>
      <w:r>
        <w:fldChar w:fldCharType="separate"/>
      </w:r>
      <w:r w:rsidR="00026714">
        <w:t>Appendix B</w:t>
      </w:r>
      <w:r>
        <w:fldChar w:fldCharType="end"/>
      </w:r>
      <w:r>
        <w:t>.</w:t>
      </w:r>
    </w:p>
  </w:footnote>
  <w:footnote w:id="60">
    <w:p w14:paraId="66F14432" w14:textId="77777777" w:rsidR="00876556" w:rsidRPr="00773087" w:rsidRDefault="00876556" w:rsidP="005B366F">
      <w:pPr>
        <w:pStyle w:val="FootnoteText"/>
      </w:pPr>
      <w:r w:rsidRPr="00773087">
        <w:rPr>
          <w:rStyle w:val="FootnoteReference"/>
        </w:rPr>
        <w:footnoteRef/>
      </w:r>
      <w:r w:rsidRPr="00773087">
        <w:t xml:space="preserve"> Department of Health and Aged Care, List of historical premium price changes by insurer for 2023, 2023.</w:t>
      </w:r>
    </w:p>
  </w:footnote>
  <w:footnote w:id="61">
    <w:p w14:paraId="4231A775" w14:textId="77777777" w:rsidR="005F63BC" w:rsidRDefault="005F63BC" w:rsidP="005B366F">
      <w:pPr>
        <w:pStyle w:val="FootnoteText"/>
      </w:pPr>
      <w:r w:rsidRPr="00552D90">
        <w:rPr>
          <w:rStyle w:val="FootnoteReference"/>
          <w:sz w:val="16"/>
          <w:szCs w:val="16"/>
        </w:rPr>
        <w:footnoteRef/>
      </w:r>
      <w:r w:rsidRPr="00552D90">
        <w:t xml:space="preserve"> Department of Health, Regulation Impact Statement (RIS): Improving the Private Health Insurance</w:t>
      </w:r>
      <w:r>
        <w:t xml:space="preserve"> </w:t>
      </w:r>
      <w:r w:rsidRPr="00552D90">
        <w:t>Prostheses List, 2021.</w:t>
      </w:r>
    </w:p>
  </w:footnote>
  <w:footnote w:id="62">
    <w:p w14:paraId="1646A2AE" w14:textId="77777777" w:rsidR="00E55430" w:rsidRPr="007A00D4" w:rsidRDefault="00E55430" w:rsidP="005B366F">
      <w:pPr>
        <w:pStyle w:val="FootnoteText"/>
      </w:pPr>
      <w:r w:rsidRPr="007A00D4">
        <w:rPr>
          <w:rStyle w:val="FootnoteReference"/>
        </w:rPr>
        <w:footnoteRef/>
      </w:r>
      <w:r w:rsidRPr="007A00D4">
        <w:t xml:space="preserve"> Department of Health and Aged Care, Historical background of the 2021-2025 Prostheses List Reform, 2022.</w:t>
      </w:r>
    </w:p>
  </w:footnote>
  <w:footnote w:id="63">
    <w:p w14:paraId="7AADD504" w14:textId="77777777" w:rsidR="00314590" w:rsidRDefault="00314590" w:rsidP="005B366F">
      <w:pPr>
        <w:pStyle w:val="FootnoteText"/>
      </w:pPr>
      <w:r>
        <w:rPr>
          <w:rStyle w:val="FootnoteReference"/>
        </w:rPr>
        <w:footnoteRef/>
      </w:r>
      <w:r>
        <w:t xml:space="preserve"> </w:t>
      </w:r>
      <w:r w:rsidRPr="00552D90">
        <w:t>Department of Health, Regulation Impact Statement (RIS): Improving the Private Health Insurance</w:t>
      </w:r>
      <w:r>
        <w:t xml:space="preserve"> </w:t>
      </w:r>
      <w:r w:rsidRPr="00552D90">
        <w:t>Prostheses List, 2021.</w:t>
      </w:r>
    </w:p>
  </w:footnote>
  <w:footnote w:id="64">
    <w:p w14:paraId="5BF7101D" w14:textId="77777777" w:rsidR="00C16671" w:rsidRPr="007A00D4" w:rsidRDefault="00C16671" w:rsidP="005B366F">
      <w:pPr>
        <w:pStyle w:val="FootnoteText"/>
      </w:pPr>
      <w:r w:rsidRPr="007A00D4">
        <w:rPr>
          <w:rStyle w:val="FootnoteReference"/>
        </w:rPr>
        <w:footnoteRef/>
      </w:r>
      <w:r w:rsidRPr="007A00D4">
        <w:t xml:space="preserve"> Department of Health, Prostheses List – Guide to listing and setting benefits for prostheses, 2017.</w:t>
      </w:r>
    </w:p>
  </w:footnote>
  <w:footnote w:id="65">
    <w:p w14:paraId="30320513" w14:textId="77777777" w:rsidR="00C16671" w:rsidRPr="007A00D4" w:rsidRDefault="00C16671" w:rsidP="005B366F">
      <w:pPr>
        <w:pStyle w:val="FootnoteText"/>
      </w:pPr>
      <w:r w:rsidRPr="007A00D4">
        <w:rPr>
          <w:rStyle w:val="FootnoteReference"/>
        </w:rPr>
        <w:footnoteRef/>
      </w:r>
      <w:r w:rsidRPr="007A00D4">
        <w:t xml:space="preserve"> Menzies Centre for Health Policy &amp; University of Sydney, Options for a revised framework for setting and reviewing benefits for the prostheses list, 2020.</w:t>
      </w:r>
    </w:p>
  </w:footnote>
  <w:footnote w:id="66">
    <w:p w14:paraId="36FF6C08" w14:textId="3F916D84" w:rsidR="0006125A" w:rsidRPr="003810F7" w:rsidRDefault="0006125A" w:rsidP="005B366F">
      <w:pPr>
        <w:pStyle w:val="FootnoteText"/>
      </w:pPr>
      <w:r w:rsidRPr="007A00D4">
        <w:rPr>
          <w:rStyle w:val="FootnoteReference"/>
        </w:rPr>
        <w:footnoteRef/>
      </w:r>
      <w:r w:rsidRPr="007A00D4">
        <w:t xml:space="preserve"> </w:t>
      </w:r>
      <w:r w:rsidR="00101C00" w:rsidRPr="007A00D4">
        <w:t>Department of Health, Prostheses List – Guide to listing and setting benefits for prostheses, 2017</w:t>
      </w:r>
      <w:r w:rsidRPr="007A00D4">
        <w:t>.</w:t>
      </w:r>
    </w:p>
  </w:footnote>
  <w:footnote w:id="67">
    <w:p w14:paraId="6D6D81B4" w14:textId="49A9A43C" w:rsidR="00F92C65" w:rsidRDefault="00F92C65" w:rsidP="005B366F">
      <w:pPr>
        <w:pStyle w:val="FootnoteText"/>
      </w:pPr>
      <w:r>
        <w:rPr>
          <w:rStyle w:val="FootnoteReference"/>
        </w:rPr>
        <w:footnoteRef/>
      </w:r>
      <w:r>
        <w:t xml:space="preserve"> </w:t>
      </w:r>
      <w:r w:rsidR="00536FA6" w:rsidRPr="007A00D4">
        <w:t>Menzies Centre for Health Policy &amp; University of Sydney, Options for a revised framework for setting and reviewing benefits for the prostheses list, 2020</w:t>
      </w:r>
      <w:r>
        <w:t>.</w:t>
      </w:r>
    </w:p>
  </w:footnote>
  <w:footnote w:id="68">
    <w:p w14:paraId="7209F451" w14:textId="49074231" w:rsidR="00D543F6" w:rsidRDefault="00D543F6" w:rsidP="005B366F">
      <w:pPr>
        <w:pStyle w:val="FootnoteText"/>
      </w:pPr>
      <w:r>
        <w:rPr>
          <w:rStyle w:val="FootnoteReference"/>
        </w:rPr>
        <w:footnoteRef/>
      </w:r>
      <w:r>
        <w:t xml:space="preserve"> </w:t>
      </w:r>
      <w:r w:rsidR="006F52A8" w:rsidRPr="00552D90">
        <w:t>Department of Health, Regulation Impact Statement (RIS): Improving the Private Health Insurance</w:t>
      </w:r>
      <w:r w:rsidR="006F52A8">
        <w:t xml:space="preserve"> </w:t>
      </w:r>
      <w:r w:rsidR="006F52A8" w:rsidRPr="00552D90">
        <w:t>Prostheses List, 2021</w:t>
      </w:r>
      <w:r>
        <w:t>.</w:t>
      </w:r>
    </w:p>
  </w:footnote>
  <w:footnote w:id="69">
    <w:p w14:paraId="01F8DAA1" w14:textId="56FF3020" w:rsidR="008C0269" w:rsidRDefault="008C0269" w:rsidP="005B366F">
      <w:pPr>
        <w:pStyle w:val="FootnoteText"/>
      </w:pPr>
      <w:r>
        <w:rPr>
          <w:rStyle w:val="FootnoteReference"/>
        </w:rPr>
        <w:footnoteRef/>
      </w:r>
      <w:r>
        <w:t xml:space="preserve"> </w:t>
      </w:r>
      <w:r w:rsidRPr="00773087">
        <w:t>Department of Health and Aged Care, Prostheses List Part A (Prostheses), Part B (Human Tissue List) and Part C (Other), July 2021 edition.</w:t>
      </w:r>
    </w:p>
  </w:footnote>
  <w:footnote w:id="70">
    <w:p w14:paraId="63796E28" w14:textId="4F9F09AB" w:rsidR="008C0269" w:rsidRDefault="008C0269" w:rsidP="005B366F">
      <w:pPr>
        <w:pStyle w:val="FootnoteText"/>
      </w:pPr>
      <w:r>
        <w:rPr>
          <w:rStyle w:val="FootnoteReference"/>
        </w:rPr>
        <w:footnoteRef/>
      </w:r>
      <w:r>
        <w:t xml:space="preserve"> Ibid.</w:t>
      </w:r>
    </w:p>
  </w:footnote>
  <w:footnote w:id="71">
    <w:p w14:paraId="71B7BF36" w14:textId="6A87B870" w:rsidR="00941CC9" w:rsidRDefault="00941CC9" w:rsidP="005B366F">
      <w:pPr>
        <w:pStyle w:val="FootnoteText"/>
      </w:pPr>
      <w:r>
        <w:rPr>
          <w:rStyle w:val="FootnoteReference"/>
        </w:rPr>
        <w:footnoteRef/>
      </w:r>
      <w:r>
        <w:t xml:space="preserve"> </w:t>
      </w:r>
      <w:r w:rsidR="001A6FE1">
        <w:t>Stakeholder consultation, 2024</w:t>
      </w:r>
      <w:r w:rsidRPr="002F26D0">
        <w:t>.</w:t>
      </w:r>
    </w:p>
  </w:footnote>
  <w:footnote w:id="72">
    <w:p w14:paraId="312F5DF9" w14:textId="77777777" w:rsidR="00941CC9" w:rsidRDefault="00941CC9" w:rsidP="005B366F">
      <w:pPr>
        <w:pStyle w:val="FootnoteText"/>
      </w:pPr>
      <w:r>
        <w:rPr>
          <w:rStyle w:val="FootnoteReference"/>
        </w:rPr>
        <w:footnoteRef/>
      </w:r>
      <w:r>
        <w:t xml:space="preserve"> Ibid.</w:t>
      </w:r>
    </w:p>
  </w:footnote>
  <w:footnote w:id="73">
    <w:p w14:paraId="66978597" w14:textId="77777777" w:rsidR="00941CC9" w:rsidRDefault="00941CC9" w:rsidP="005B366F">
      <w:pPr>
        <w:pStyle w:val="FootnoteText"/>
      </w:pPr>
      <w:r>
        <w:rPr>
          <w:rStyle w:val="FootnoteReference"/>
        </w:rPr>
        <w:footnoteRef/>
      </w:r>
      <w:r>
        <w:t xml:space="preserve"> </w:t>
      </w:r>
      <w:r w:rsidRPr="002F26D0">
        <w:t>Department of Health, Regulation Impact Statement (RIS): Improving the Private Health Insurance</w:t>
      </w:r>
      <w:r>
        <w:t xml:space="preserve"> </w:t>
      </w:r>
      <w:r w:rsidRPr="002F26D0">
        <w:t>Prostheses List, 2021</w:t>
      </w:r>
      <w:r>
        <w:t>, page 9.</w:t>
      </w:r>
    </w:p>
  </w:footnote>
  <w:footnote w:id="74">
    <w:p w14:paraId="28D424CF" w14:textId="77777777" w:rsidR="004F46C6" w:rsidRPr="007A00D4" w:rsidRDefault="004F46C6" w:rsidP="005B366F">
      <w:pPr>
        <w:pStyle w:val="FootnoteText"/>
      </w:pPr>
      <w:r w:rsidRPr="007A00D4">
        <w:rPr>
          <w:rStyle w:val="FootnoteReference"/>
        </w:rPr>
        <w:footnoteRef/>
      </w:r>
      <w:r w:rsidRPr="007A00D4">
        <w:t xml:space="preserve"> Medical Technology Association of Australia, Submission to the Committee Inquiry into the Prostheses List Framework, 2017.</w:t>
      </w:r>
    </w:p>
  </w:footnote>
  <w:footnote w:id="75">
    <w:p w14:paraId="0AB27DAC" w14:textId="674D46AB" w:rsidR="00360CC5" w:rsidRDefault="00360CC5">
      <w:pPr>
        <w:pStyle w:val="FootnoteText"/>
      </w:pPr>
      <w:r>
        <w:rPr>
          <w:rStyle w:val="FootnoteReference"/>
        </w:rPr>
        <w:footnoteRef/>
      </w:r>
      <w:r>
        <w:t xml:space="preserve"> </w:t>
      </w:r>
      <w:r w:rsidR="0021441C">
        <w:t>St</w:t>
      </w:r>
      <w:r w:rsidR="00617F8A">
        <w:t>akeholder feedback on draft baseline evaluation report, 2024.</w:t>
      </w:r>
    </w:p>
  </w:footnote>
  <w:footnote w:id="76">
    <w:p w14:paraId="65BA7BD9" w14:textId="77777777" w:rsidR="00B66D15" w:rsidRDefault="00B66D15" w:rsidP="005B366F">
      <w:pPr>
        <w:pStyle w:val="FootnoteText"/>
      </w:pPr>
      <w:r>
        <w:rPr>
          <w:rStyle w:val="FootnoteReference"/>
        </w:rPr>
        <w:footnoteRef/>
      </w:r>
      <w:r>
        <w:t xml:space="preserve"> Stakeholder interviews, 2023.</w:t>
      </w:r>
    </w:p>
  </w:footnote>
  <w:footnote w:id="77">
    <w:p w14:paraId="453473C8" w14:textId="77777777" w:rsidR="00F2355D" w:rsidRDefault="00F2355D" w:rsidP="005B366F">
      <w:pPr>
        <w:pStyle w:val="FootnoteText"/>
      </w:pPr>
      <w:r>
        <w:rPr>
          <w:rStyle w:val="FootnoteReference"/>
        </w:rPr>
        <w:footnoteRef/>
      </w:r>
      <w:r>
        <w:t xml:space="preserve"> </w:t>
      </w:r>
      <w:r w:rsidRPr="007A00D4">
        <w:t>Menzies Centre for Health Policy &amp; University of Sydney, Options for a revised framework for setting and reviewing benefits for the prostheses list, 2020.</w:t>
      </w:r>
    </w:p>
  </w:footnote>
  <w:footnote w:id="78">
    <w:p w14:paraId="3B73AA68" w14:textId="77777777" w:rsidR="00CD5FDF" w:rsidRDefault="00CD5FDF" w:rsidP="00CD5FDF">
      <w:pPr>
        <w:pStyle w:val="FootnoteText"/>
      </w:pPr>
      <w:r>
        <w:rPr>
          <w:rStyle w:val="FootnoteReference"/>
        </w:rPr>
        <w:footnoteRef/>
      </w:r>
      <w:r>
        <w:t xml:space="preserve"> Stakeholder consultation, 2024</w:t>
      </w:r>
      <w:r w:rsidRPr="002F26D0">
        <w:t>.</w:t>
      </w:r>
    </w:p>
  </w:footnote>
  <w:footnote w:id="79">
    <w:p w14:paraId="333134D1" w14:textId="77777777" w:rsidR="00F2355D" w:rsidRDefault="00F2355D" w:rsidP="005B366F">
      <w:pPr>
        <w:pStyle w:val="FootnoteText"/>
      </w:pPr>
      <w:r>
        <w:rPr>
          <w:rStyle w:val="FootnoteReference"/>
        </w:rPr>
        <w:footnoteRef/>
      </w:r>
      <w:r>
        <w:t xml:space="preserve"> Ernst &amp; Young, Review of the General Miscellaneous Category of the Prostheses List, 2020.</w:t>
      </w:r>
    </w:p>
  </w:footnote>
  <w:footnote w:id="80">
    <w:p w14:paraId="01C3F89E" w14:textId="77777777" w:rsidR="00F2355D" w:rsidRDefault="00F2355D" w:rsidP="005B366F">
      <w:pPr>
        <w:pStyle w:val="FootnoteText"/>
      </w:pPr>
      <w:r>
        <w:rPr>
          <w:rStyle w:val="FootnoteReference"/>
        </w:rPr>
        <w:footnoteRef/>
      </w:r>
      <w:r>
        <w:t xml:space="preserve"> </w:t>
      </w:r>
      <w:r w:rsidRPr="007A00D4">
        <w:t>Department of Health and Aged Care, Historical background of the 2021-2025 Prostheses List Reform, 2022.</w:t>
      </w:r>
    </w:p>
  </w:footnote>
  <w:footnote w:id="81">
    <w:p w14:paraId="38F74045" w14:textId="77777777" w:rsidR="004F46C6" w:rsidRPr="006B3951" w:rsidRDefault="004F46C6" w:rsidP="005B366F">
      <w:pPr>
        <w:pStyle w:val="FootnoteText"/>
      </w:pPr>
      <w:r w:rsidRPr="006B3951">
        <w:rPr>
          <w:rStyle w:val="FootnoteReference"/>
        </w:rPr>
        <w:footnoteRef/>
      </w:r>
      <w:r w:rsidRPr="006B3951">
        <w:t xml:space="preserve"> Department of Health, Prostheses List Reforms – Consultation Paper No 1, 2021.</w:t>
      </w:r>
    </w:p>
  </w:footnote>
  <w:footnote w:id="82">
    <w:p w14:paraId="78AD3925" w14:textId="0DD53E20" w:rsidR="00AB3531" w:rsidRDefault="00AB3531" w:rsidP="005B366F">
      <w:pPr>
        <w:pStyle w:val="FootnoteText"/>
      </w:pPr>
      <w:r w:rsidRPr="001A3379">
        <w:rPr>
          <w:rStyle w:val="FootnoteReference"/>
        </w:rPr>
        <w:footnoteRef/>
      </w:r>
      <w:r w:rsidRPr="001A3379">
        <w:rPr>
          <w:rStyle w:val="FootnoteReference"/>
        </w:rPr>
        <w:t xml:space="preserve"> </w:t>
      </w:r>
      <w:r>
        <w:t>Ibid.</w:t>
      </w:r>
    </w:p>
  </w:footnote>
  <w:footnote w:id="83">
    <w:p w14:paraId="5077133C" w14:textId="12BFFD0F" w:rsidR="00057DEE" w:rsidRDefault="00057DEE" w:rsidP="005B366F">
      <w:pPr>
        <w:pStyle w:val="FootnoteText"/>
      </w:pPr>
      <w:r w:rsidRPr="00C6098C">
        <w:rPr>
          <w:rStyle w:val="FootnoteReference"/>
        </w:rPr>
        <w:footnoteRef/>
      </w:r>
      <w:r w:rsidRPr="00C6098C">
        <w:t xml:space="preserve"> We have taken a broader view of the baseline period for GUIs, noting their potential removal was the subject of consultations and reports prior to the announcement of the PL reforms </w:t>
      </w:r>
      <w:proofErr w:type="gramStart"/>
      <w:r w:rsidRPr="00C6098C">
        <w:t>in</w:t>
      </w:r>
      <w:proofErr w:type="gramEnd"/>
      <w:r w:rsidRPr="00C6098C">
        <w:t xml:space="preserve"> 11 May 2021, and these continued into 2022. Notwithstanding further changes that were to come, the MoU between the Minister and the MTAA in March 2022 formalised an agreed process for how GUIs were to </w:t>
      </w:r>
      <w:r>
        <w:t xml:space="preserve">be </w:t>
      </w:r>
      <w:r w:rsidRPr="00C6098C">
        <w:t>treated as part of the reform agenda</w:t>
      </w:r>
      <w:r>
        <w:t xml:space="preserve">, and we have documented these in section </w:t>
      </w:r>
      <w:r>
        <w:fldChar w:fldCharType="begin"/>
      </w:r>
      <w:r>
        <w:instrText xml:space="preserve"> REF _Ref160188790 \r \h </w:instrText>
      </w:r>
      <w:r>
        <w:fldChar w:fldCharType="separate"/>
      </w:r>
      <w:r w:rsidR="00026714">
        <w:t>3.5.3</w:t>
      </w:r>
      <w:r>
        <w:fldChar w:fldCharType="end"/>
      </w:r>
      <w:r>
        <w:t xml:space="preserve">. See </w:t>
      </w:r>
      <w:r>
        <w:fldChar w:fldCharType="begin"/>
      </w:r>
      <w:r>
        <w:instrText xml:space="preserve"> REF _Ref160187838 \r \h </w:instrText>
      </w:r>
      <w:r>
        <w:fldChar w:fldCharType="separate"/>
      </w:r>
      <w:r w:rsidR="00026714">
        <w:t>Appendix K</w:t>
      </w:r>
      <w:r>
        <w:fldChar w:fldCharType="end"/>
      </w:r>
      <w:r>
        <w:t xml:space="preserve"> for a discussion on the baseline date of the evaluation.</w:t>
      </w:r>
    </w:p>
  </w:footnote>
  <w:footnote w:id="84">
    <w:p w14:paraId="0329CF93" w14:textId="78CD7EEB" w:rsidR="00057DEE" w:rsidRDefault="00057DEE" w:rsidP="005B366F">
      <w:pPr>
        <w:pStyle w:val="FootnoteText"/>
      </w:pPr>
      <w:r w:rsidRPr="001A3379">
        <w:rPr>
          <w:rStyle w:val="FootnoteReference"/>
        </w:rPr>
        <w:footnoteRef/>
      </w:r>
      <w:r w:rsidRPr="001A3379">
        <w:rPr>
          <w:rStyle w:val="FootnoteReference"/>
        </w:rPr>
        <w:t xml:space="preserve"> </w:t>
      </w:r>
      <w:r w:rsidRPr="007A00D4">
        <w:t xml:space="preserve">The Honourable </w:t>
      </w:r>
      <w:r w:rsidR="00EC4349">
        <w:t>Mark Butler</w:t>
      </w:r>
      <w:r w:rsidRPr="007A00D4">
        <w:t xml:space="preserve"> MP</w:t>
      </w:r>
      <w:r>
        <w:t>,</w:t>
      </w:r>
      <w:r w:rsidRPr="001A3379">
        <w:t xml:space="preserve"> New funding arrangement for surgical consumables</w:t>
      </w:r>
      <w:r>
        <w:t xml:space="preserve">, accessed at: </w:t>
      </w:r>
      <w:r w:rsidRPr="006D1A95">
        <w:t>https://www.health.gov.au/ministers/the-hon-mark-butler-mp/media/new-funding-arrangement-for-surgical-consumables</w:t>
      </w:r>
      <w:r>
        <w:t>.</w:t>
      </w:r>
    </w:p>
  </w:footnote>
  <w:footnote w:id="85">
    <w:p w14:paraId="12025CC5" w14:textId="77777777" w:rsidR="00FE512B" w:rsidRPr="007A00D4" w:rsidRDefault="00FE512B" w:rsidP="00FE512B">
      <w:pPr>
        <w:spacing w:after="0"/>
        <w:rPr>
          <w:sz w:val="18"/>
          <w:szCs w:val="20"/>
        </w:rPr>
      </w:pPr>
      <w:r w:rsidRPr="007A00D4">
        <w:rPr>
          <w:rStyle w:val="FootnoteReference"/>
        </w:rPr>
        <w:footnoteRef/>
      </w:r>
      <w:r w:rsidRPr="007A00D4">
        <w:rPr>
          <w:rFonts w:asciiTheme="minorHAnsi" w:hAnsiTheme="minorHAnsi" w:cstheme="minorHAnsi"/>
          <w:sz w:val="14"/>
          <w:szCs w:val="14"/>
        </w:rPr>
        <w:t xml:space="preserve"> Menzies Centre for Health Policy &amp; University of Sydney, Options for a revised framework for setting and reviewing benefits for the prostheses list, 2020.</w:t>
      </w:r>
    </w:p>
  </w:footnote>
  <w:footnote w:id="86">
    <w:p w14:paraId="53791E9A" w14:textId="77777777" w:rsidR="00FE512B" w:rsidRDefault="00FE512B" w:rsidP="005B366F">
      <w:pPr>
        <w:pStyle w:val="FootnoteText"/>
      </w:pPr>
      <w:r>
        <w:rPr>
          <w:rStyle w:val="FootnoteReference"/>
        </w:rPr>
        <w:footnoteRef/>
      </w:r>
      <w:r>
        <w:t xml:space="preserve"> </w:t>
      </w:r>
      <w:r w:rsidRPr="007A00D4">
        <w:t>Department of Health, Prostheses List - Guide to listing and setting benefits for prostheses, 2017.</w:t>
      </w:r>
    </w:p>
  </w:footnote>
  <w:footnote w:id="87">
    <w:p w14:paraId="6897EAC9" w14:textId="7423D1E5" w:rsidR="00FE512B" w:rsidRPr="007A00D4" w:rsidRDefault="00FE512B" w:rsidP="005B366F">
      <w:pPr>
        <w:pStyle w:val="FootnoteText"/>
      </w:pPr>
      <w:r w:rsidRPr="007A00D4">
        <w:rPr>
          <w:rStyle w:val="FootnoteReference"/>
        </w:rPr>
        <w:footnoteRef/>
      </w:r>
      <w:r w:rsidRPr="007A00D4">
        <w:t xml:space="preserve"> </w:t>
      </w:r>
      <w:r w:rsidR="00D44A72" w:rsidRPr="007A00D4">
        <w:t>Department of Health, Prostheses List - Guide to listing and setting benefits for prostheses, 2017</w:t>
      </w:r>
      <w:r w:rsidRPr="007A00D4">
        <w:t>.</w:t>
      </w:r>
    </w:p>
  </w:footnote>
  <w:footnote w:id="88">
    <w:p w14:paraId="6AEF8EB7" w14:textId="77777777" w:rsidR="00EA2B94" w:rsidRPr="00615735" w:rsidRDefault="00EA2B94" w:rsidP="005B366F">
      <w:pPr>
        <w:pStyle w:val="FootnoteText"/>
      </w:pPr>
      <w:r w:rsidRPr="00615735">
        <w:rPr>
          <w:rStyle w:val="FootnoteReference"/>
        </w:rPr>
        <w:footnoteRef/>
      </w:r>
      <w:r w:rsidRPr="00615735">
        <w:t xml:space="preserve"> Department of Health and Aged Care, ‘Health Technology Assessments’, 2022.</w:t>
      </w:r>
    </w:p>
  </w:footnote>
  <w:footnote w:id="89">
    <w:p w14:paraId="6CDABC13" w14:textId="77777777" w:rsidR="00EA2B94" w:rsidRPr="008C0E19" w:rsidRDefault="00EA2B94" w:rsidP="005B366F">
      <w:pPr>
        <w:pStyle w:val="FootnoteText"/>
      </w:pPr>
      <w:r w:rsidRPr="008C0E19">
        <w:rPr>
          <w:rStyle w:val="FootnoteReference"/>
        </w:rPr>
        <w:footnoteRef/>
      </w:r>
      <w:r w:rsidRPr="008C0E19">
        <w:t xml:space="preserve"> Department of Health and Ageing, Review of health technology assessment in Australia, 2009.</w:t>
      </w:r>
    </w:p>
  </w:footnote>
  <w:footnote w:id="90">
    <w:p w14:paraId="41A06B07" w14:textId="77777777" w:rsidR="001D395C" w:rsidRDefault="001D395C" w:rsidP="005B366F">
      <w:pPr>
        <w:pStyle w:val="FootnoteText"/>
      </w:pPr>
      <w:r>
        <w:rPr>
          <w:rStyle w:val="FootnoteReference"/>
        </w:rPr>
        <w:footnoteRef/>
      </w:r>
      <w:r>
        <w:t xml:space="preserve"> </w:t>
      </w:r>
      <w:r w:rsidRPr="007A00D4">
        <w:t>The Honourable Greg Hunt MP &amp; the Medical Technology Association of Australia Limited, Memorandum of Understanding for the policy parameters of the Prostheses List Reforms, 2022.</w:t>
      </w:r>
    </w:p>
  </w:footnote>
  <w:footnote w:id="91">
    <w:p w14:paraId="017D387E" w14:textId="77777777" w:rsidR="00B67867" w:rsidRDefault="00B67867" w:rsidP="005B366F">
      <w:pPr>
        <w:pStyle w:val="FootnoteText"/>
      </w:pPr>
      <w:r>
        <w:rPr>
          <w:rStyle w:val="FootnoteReference"/>
        </w:rPr>
        <w:footnoteRef/>
      </w:r>
      <w:r>
        <w:t xml:space="preserve"> Tamblyn, D, Parsons, J, Salinger, K &amp; Merlin, T, Co-design of pathways for the applications to the Prostheses List, 2022.</w:t>
      </w:r>
    </w:p>
  </w:footnote>
  <w:footnote w:id="92">
    <w:p w14:paraId="0BFD583A" w14:textId="77777777" w:rsidR="009B0CF9" w:rsidRPr="007A00D4" w:rsidRDefault="009B0CF9" w:rsidP="005B366F">
      <w:pPr>
        <w:pStyle w:val="FootnoteText"/>
      </w:pPr>
      <w:r w:rsidRPr="007A00D4">
        <w:rPr>
          <w:rStyle w:val="FootnoteReference"/>
        </w:rPr>
        <w:footnoteRef/>
      </w:r>
      <w:r w:rsidRPr="007A00D4">
        <w:t xml:space="preserve"> Private Health</w:t>
      </w:r>
      <w:r>
        <w:t>c</w:t>
      </w:r>
      <w:r w:rsidRPr="007A00D4">
        <w:t>are Australia, Submission: Senate Community Affairs References Committee, Inquiry into price regulation associated with the Prostheses List Framework, 2017.</w:t>
      </w:r>
    </w:p>
  </w:footnote>
  <w:footnote w:id="93">
    <w:p w14:paraId="10F97BC4" w14:textId="2FFF6C0E" w:rsidR="00611C1E" w:rsidRPr="00611C1E" w:rsidRDefault="00611C1E" w:rsidP="005B366F">
      <w:pPr>
        <w:pStyle w:val="FootnoteText"/>
      </w:pPr>
      <w:r w:rsidRPr="00611C1E">
        <w:rPr>
          <w:rStyle w:val="FootnoteReference"/>
        </w:rPr>
        <w:footnoteRef/>
      </w:r>
      <w:r w:rsidRPr="00611C1E">
        <w:t xml:space="preserve"> Department of Health and Aged Care, Prostheses List Compliance Strategy, April 2023.</w:t>
      </w:r>
    </w:p>
  </w:footnote>
  <w:footnote w:id="94">
    <w:p w14:paraId="4568555E" w14:textId="60DDE09A" w:rsidR="00767EA1" w:rsidRPr="00C271EA" w:rsidRDefault="00767EA1" w:rsidP="005B366F">
      <w:pPr>
        <w:pStyle w:val="FootnoteText"/>
      </w:pPr>
      <w:r w:rsidRPr="00C271EA">
        <w:rPr>
          <w:rStyle w:val="FootnoteReference"/>
        </w:rPr>
        <w:footnoteRef/>
      </w:r>
      <w:r w:rsidRPr="00C271EA">
        <w:t xml:space="preserve"> </w:t>
      </w:r>
      <w:r w:rsidR="00D44A72">
        <w:t>Ibid</w:t>
      </w:r>
      <w:r>
        <w:t>.</w:t>
      </w:r>
    </w:p>
  </w:footnote>
  <w:footnote w:id="95">
    <w:p w14:paraId="59C17EAC" w14:textId="77777777" w:rsidR="00767EA1" w:rsidRPr="00B44334" w:rsidRDefault="00767EA1" w:rsidP="005B366F">
      <w:pPr>
        <w:pStyle w:val="FootnoteText"/>
      </w:pPr>
      <w:r w:rsidRPr="00B44334">
        <w:rPr>
          <w:rStyle w:val="FootnoteReference"/>
        </w:rPr>
        <w:footnoteRef/>
      </w:r>
      <w:r w:rsidRPr="00B44334">
        <w:t xml:space="preserve"> Department of Health and Aged Care, The Prostheses List reforms, https://www.health.gov.au/topics/private-health-insurance/the-prostheses-list/the-prostheses-list-reforms, accessed 14 February 2024.</w:t>
      </w:r>
    </w:p>
  </w:footnote>
  <w:footnote w:id="96">
    <w:p w14:paraId="2846389A" w14:textId="18076BF7" w:rsidR="00767EA1" w:rsidRPr="00A375CD" w:rsidRDefault="00767EA1" w:rsidP="005B366F">
      <w:pPr>
        <w:pStyle w:val="FootnoteText"/>
      </w:pPr>
      <w:r w:rsidRPr="00A375CD">
        <w:rPr>
          <w:rStyle w:val="FootnoteReference"/>
        </w:rPr>
        <w:footnoteRef/>
      </w:r>
      <w:r w:rsidRPr="00A375CD">
        <w:t xml:space="preserve"> </w:t>
      </w:r>
      <w:r w:rsidR="00764608">
        <w:t>Ibid</w:t>
      </w:r>
      <w:r w:rsidRPr="00A375CD">
        <w:t>.</w:t>
      </w:r>
    </w:p>
  </w:footnote>
  <w:footnote w:id="97">
    <w:p w14:paraId="5D08C1C6" w14:textId="77777777" w:rsidR="00566B88" w:rsidRPr="00E91237" w:rsidRDefault="00566B88" w:rsidP="005B366F">
      <w:pPr>
        <w:pStyle w:val="FootnoteText"/>
      </w:pPr>
      <w:r w:rsidRPr="00E91237">
        <w:rPr>
          <w:rStyle w:val="FootnoteReference"/>
        </w:rPr>
        <w:footnoteRef/>
      </w:r>
      <w:r w:rsidRPr="00E91237">
        <w:t xml:space="preserve"> Department of Health, Prostheses List Guide, 2017.</w:t>
      </w:r>
    </w:p>
  </w:footnote>
  <w:footnote w:id="98">
    <w:p w14:paraId="18D9C263" w14:textId="77777777" w:rsidR="00F4147C" w:rsidRPr="00114A9C" w:rsidRDefault="00F4147C" w:rsidP="005B366F">
      <w:pPr>
        <w:pStyle w:val="FootnoteText"/>
      </w:pPr>
      <w:r w:rsidRPr="00114A9C">
        <w:rPr>
          <w:rStyle w:val="FootnoteReference"/>
        </w:rPr>
        <w:footnoteRef/>
      </w:r>
      <w:r w:rsidRPr="00114A9C">
        <w:t xml:space="preserve"> Conn, Private Health Insurance (Prostheses Application and Listing Fees) Amendment (Cost Recovery) Bill 2022 [and associated bills], 2023.</w:t>
      </w:r>
    </w:p>
  </w:footnote>
  <w:footnote w:id="99">
    <w:p w14:paraId="5DC8ABE1" w14:textId="20B0A2ED" w:rsidR="00BD2A8F" w:rsidRDefault="00BD2A8F" w:rsidP="005B366F">
      <w:pPr>
        <w:pStyle w:val="FootnoteText"/>
      </w:pPr>
      <w:r>
        <w:rPr>
          <w:rStyle w:val="FootnoteReference"/>
        </w:rPr>
        <w:footnoteRef/>
      </w:r>
      <w:r>
        <w:t xml:space="preserve"> </w:t>
      </w:r>
      <w:r w:rsidRPr="00F82F5C">
        <w:t>Department of Health, Regulation Impact Statement (RIS): Improving the Private Health Insurance</w:t>
      </w:r>
      <w:r>
        <w:t xml:space="preserve"> </w:t>
      </w:r>
      <w:r w:rsidRPr="00F82F5C">
        <w:t>Prostheses List, 2021</w:t>
      </w:r>
      <w:r>
        <w:t>.</w:t>
      </w:r>
    </w:p>
  </w:footnote>
  <w:footnote w:id="100">
    <w:p w14:paraId="2AC0CB0E" w14:textId="4E15A4C3" w:rsidR="00D62A59" w:rsidRDefault="00D62A59" w:rsidP="005B366F">
      <w:pPr>
        <w:pStyle w:val="FootnoteText"/>
      </w:pPr>
      <w:r>
        <w:rPr>
          <w:rStyle w:val="FootnoteReference"/>
        </w:rPr>
        <w:footnoteRef/>
      </w:r>
      <w:r>
        <w:t xml:space="preserve"> </w:t>
      </w:r>
      <w:r w:rsidRPr="00A60B53">
        <w:t xml:space="preserve">Department of Health and Aged Care, Prostheses List Part A (Prostheses) and Part C (Other), </w:t>
      </w:r>
      <w:r w:rsidR="00231789">
        <w:t>March</w:t>
      </w:r>
      <w:r w:rsidR="004949DE" w:rsidRPr="00A60B53">
        <w:t xml:space="preserve"> 202</w:t>
      </w:r>
      <w:r w:rsidR="00231789">
        <w:t>2</w:t>
      </w:r>
      <w:r>
        <w:t xml:space="preserve"> edition.</w:t>
      </w:r>
    </w:p>
  </w:footnote>
  <w:footnote w:id="101">
    <w:p w14:paraId="68984CEE" w14:textId="3F5DF4BA" w:rsidR="00D45136" w:rsidRDefault="00D45136" w:rsidP="005B366F">
      <w:pPr>
        <w:pStyle w:val="FootnoteText"/>
      </w:pPr>
      <w:r>
        <w:rPr>
          <w:rStyle w:val="FootnoteReference"/>
        </w:rPr>
        <w:footnoteRef/>
      </w:r>
      <w:r>
        <w:t xml:space="preserve"> </w:t>
      </w:r>
      <w:r w:rsidR="00F56C3F">
        <w:t xml:space="preserve">For </w:t>
      </w:r>
      <w:r w:rsidR="00C1089C">
        <w:t>indicator</w:t>
      </w:r>
      <w:r w:rsidR="001A40FD">
        <w:t xml:space="preserve">s 1 and 2, </w:t>
      </w:r>
      <w:r w:rsidR="00B012A0">
        <w:t xml:space="preserve">we have used </w:t>
      </w:r>
      <w:r w:rsidR="001A40FD">
        <w:t>‘</w:t>
      </w:r>
      <w:r w:rsidR="00F56C3F" w:rsidRPr="00F56C3F">
        <w:t>benefit groups</w:t>
      </w:r>
      <w:r w:rsidR="001A40FD">
        <w:t xml:space="preserve">’ </w:t>
      </w:r>
      <w:r w:rsidR="00B012A0">
        <w:t>to refer</w:t>
      </w:r>
      <w:r w:rsidR="001A40FD">
        <w:t xml:space="preserve"> to </w:t>
      </w:r>
      <w:r w:rsidR="00F56C3F" w:rsidRPr="00F56C3F">
        <w:t xml:space="preserve">all items within a category, sub-category, </w:t>
      </w:r>
      <w:proofErr w:type="gramStart"/>
      <w:r w:rsidR="00F56C3F" w:rsidRPr="00F56C3F">
        <w:t>group</w:t>
      </w:r>
      <w:proofErr w:type="gramEnd"/>
      <w:r w:rsidR="00F56C3F" w:rsidRPr="00F56C3F">
        <w:t xml:space="preserve"> and sub-group </w:t>
      </w:r>
      <w:r w:rsidR="001A40FD">
        <w:t>that share</w:t>
      </w:r>
      <w:r w:rsidR="00F56C3F" w:rsidRPr="00F56C3F">
        <w:t xml:space="preserve"> the same benefit</w:t>
      </w:r>
      <w:r w:rsidR="00C8368A">
        <w:t>, within $2</w:t>
      </w:r>
      <w:r w:rsidR="001A40FD">
        <w:t xml:space="preserve"> (</w:t>
      </w:r>
      <w:r w:rsidR="00F56C3F" w:rsidRPr="00F56C3F">
        <w:t>e.g., two items in A.01.01.01.01 with a benefit of $100 are considered as being in one benefit group, even if they have different suffix values).</w:t>
      </w:r>
      <w:r w:rsidR="001A40FD">
        <w:t xml:space="preserve"> </w:t>
      </w:r>
      <w:r w:rsidR="00DC4B78">
        <w:t xml:space="preserve">This </w:t>
      </w:r>
      <w:r w:rsidR="007E6058">
        <w:t>is to align with IHACPA’s methodology</w:t>
      </w:r>
      <w:r w:rsidR="003C775F">
        <w:t xml:space="preserve"> for </w:t>
      </w:r>
      <w:r w:rsidR="006125B6">
        <w:t>calculating the Weighted Average Prices and benefit reductions.</w:t>
      </w:r>
    </w:p>
  </w:footnote>
  <w:footnote w:id="102">
    <w:p w14:paraId="11746196" w14:textId="0063D1D7" w:rsidR="00D62A59" w:rsidRPr="00E50193" w:rsidRDefault="00D62A59" w:rsidP="005B366F">
      <w:pPr>
        <w:pStyle w:val="FootnoteText"/>
      </w:pPr>
      <w:r w:rsidRPr="00E50193">
        <w:rPr>
          <w:rStyle w:val="FootnoteReference"/>
        </w:rPr>
        <w:footnoteRef/>
      </w:r>
      <w:r w:rsidR="00074846">
        <w:t xml:space="preserve"> Data supplied by the Department on 20/03/2024.</w:t>
      </w:r>
    </w:p>
  </w:footnote>
  <w:footnote w:id="103">
    <w:p w14:paraId="2FF7AE82" w14:textId="77777777" w:rsidR="00D62A59" w:rsidRDefault="00D62A59" w:rsidP="005B366F">
      <w:pPr>
        <w:pStyle w:val="FootnoteText"/>
      </w:pPr>
      <w:r w:rsidRPr="0060145D">
        <w:rPr>
          <w:rStyle w:val="FootnoteReference"/>
        </w:rPr>
        <w:footnoteRef/>
      </w:r>
      <w:r w:rsidRPr="0060145D">
        <w:t xml:space="preserve"> </w:t>
      </w:r>
      <w:r w:rsidRPr="007A00D4">
        <w:t>The Honourable Greg Hunt MP &amp; the Medical Technology Association of Australia Limited, Memorandum of Understanding for the policy parameters of the Prostheses List Reforms, 2022.</w:t>
      </w:r>
    </w:p>
  </w:footnote>
  <w:footnote w:id="104">
    <w:p w14:paraId="4BEE70B1" w14:textId="77777777" w:rsidR="00D62A59" w:rsidRDefault="00D62A59" w:rsidP="005B366F">
      <w:pPr>
        <w:pStyle w:val="FootnoteText"/>
      </w:pPr>
      <w:r>
        <w:rPr>
          <w:rStyle w:val="FootnoteReference"/>
        </w:rPr>
        <w:footnoteRef/>
      </w:r>
      <w:r>
        <w:t xml:space="preserve"> Independent Hospital and Pricing Authority, Methodology for Determining the Benchmark Price for Prostheses in Australian Public Hospitals, December 2021.</w:t>
      </w:r>
    </w:p>
  </w:footnote>
  <w:footnote w:id="105">
    <w:p w14:paraId="15660A60" w14:textId="4B8148C7" w:rsidR="00D62A59" w:rsidRDefault="00D62A59" w:rsidP="005B366F">
      <w:pPr>
        <w:pStyle w:val="FootnoteText"/>
      </w:pPr>
      <w:r>
        <w:rPr>
          <w:rStyle w:val="FootnoteReference"/>
        </w:rPr>
        <w:footnoteRef/>
      </w:r>
      <w:r>
        <w:t xml:space="preserve"> Independent Hospital and </w:t>
      </w:r>
      <w:r w:rsidR="009B571F">
        <w:t xml:space="preserve">Aged Care </w:t>
      </w:r>
      <w:r>
        <w:t>Pricing Authority, Benchmark Price for Protheses in Australian Public Hospitals 2020-21, March 2022.</w:t>
      </w:r>
    </w:p>
  </w:footnote>
  <w:footnote w:id="106">
    <w:p w14:paraId="4B9CA5C0" w14:textId="77777777" w:rsidR="00094054" w:rsidRDefault="00094054" w:rsidP="005B366F">
      <w:pPr>
        <w:pStyle w:val="FootnoteText"/>
      </w:pPr>
      <w:r>
        <w:rPr>
          <w:rStyle w:val="FootnoteReference"/>
        </w:rPr>
        <w:footnoteRef/>
      </w:r>
      <w:r>
        <w:t xml:space="preserve"> Stakeholder interviews, 2023 and 2024.</w:t>
      </w:r>
    </w:p>
  </w:footnote>
  <w:footnote w:id="107">
    <w:p w14:paraId="1B7E3948" w14:textId="2763CFC1" w:rsidR="00610687" w:rsidRDefault="00610687" w:rsidP="005B366F">
      <w:pPr>
        <w:pStyle w:val="FootnoteText"/>
      </w:pPr>
      <w:r>
        <w:rPr>
          <w:rStyle w:val="FootnoteReference"/>
        </w:rPr>
        <w:footnoteRef/>
      </w:r>
      <w:r>
        <w:t xml:space="preserve"> Independent Hospital and Aged Care Pricing Authority, </w:t>
      </w:r>
      <w:proofErr w:type="gramStart"/>
      <w:r>
        <w:t>Estimates</w:t>
      </w:r>
      <w:proofErr w:type="gramEnd"/>
      <w:r>
        <w:t xml:space="preserve"> of projected benefits and savings associated with Prostheses List reforms, October 2022.</w:t>
      </w:r>
    </w:p>
  </w:footnote>
  <w:footnote w:id="108">
    <w:p w14:paraId="0AEAC6BF" w14:textId="0D90B9CC" w:rsidR="00610687" w:rsidRDefault="00610687" w:rsidP="005B366F">
      <w:pPr>
        <w:pStyle w:val="FootnoteText"/>
      </w:pPr>
      <w:r>
        <w:rPr>
          <w:rStyle w:val="FootnoteReference"/>
        </w:rPr>
        <w:footnoteRef/>
      </w:r>
      <w:r>
        <w:t xml:space="preserve"> </w:t>
      </w:r>
      <w:r w:rsidR="00A84B9E">
        <w:t>Ibid.</w:t>
      </w:r>
    </w:p>
  </w:footnote>
  <w:footnote w:id="109">
    <w:p w14:paraId="72F1748D" w14:textId="64D96B59" w:rsidR="001D5F06" w:rsidRDefault="001D5F06" w:rsidP="005B366F">
      <w:pPr>
        <w:pStyle w:val="FootnoteText"/>
      </w:pPr>
      <w:r>
        <w:rPr>
          <w:rStyle w:val="FootnoteReference"/>
        </w:rPr>
        <w:footnoteRef/>
      </w:r>
      <w:r>
        <w:t xml:space="preserve"> </w:t>
      </w:r>
      <w:r w:rsidRPr="00773087">
        <w:t xml:space="preserve">Australian Prudential Regulation Authority, </w:t>
      </w:r>
      <w:r w:rsidRPr="007C17BF">
        <w:t>Quarterly Private Health Insurance Prostheses September 2023</w:t>
      </w:r>
      <w:r>
        <w:t>, 2</w:t>
      </w:r>
      <w:r w:rsidRPr="00773087">
        <w:t>023</w:t>
      </w:r>
      <w:r>
        <w:t>.</w:t>
      </w:r>
    </w:p>
  </w:footnote>
  <w:footnote w:id="110">
    <w:p w14:paraId="55CF6564" w14:textId="647ABD74" w:rsidR="00E81A85" w:rsidRDefault="00E81A85" w:rsidP="005B366F">
      <w:pPr>
        <w:pStyle w:val="FootnoteText"/>
      </w:pPr>
      <w:r>
        <w:rPr>
          <w:rStyle w:val="FootnoteReference"/>
        </w:rPr>
        <w:footnoteRef/>
      </w:r>
      <w:r>
        <w:t xml:space="preserve"> </w:t>
      </w:r>
      <w:r w:rsidRPr="00172872">
        <w:t xml:space="preserve">Across all </w:t>
      </w:r>
      <w:r>
        <w:t>PL item</w:t>
      </w:r>
      <w:r w:rsidRPr="00172872">
        <w:t>, the average uncertainty</w:t>
      </w:r>
      <w:r>
        <w:t xml:space="preserve"> of our approximation</w:t>
      </w:r>
      <w:r w:rsidRPr="00172872">
        <w:t xml:space="preserve"> is +/- 2.5%.</w:t>
      </w:r>
      <w:r>
        <w:t xml:space="preserve"> See </w:t>
      </w:r>
      <w:r>
        <w:fldChar w:fldCharType="begin"/>
      </w:r>
      <w:r>
        <w:instrText xml:space="preserve"> REF _Ref159327204 \r \h </w:instrText>
      </w:r>
      <w:r>
        <w:fldChar w:fldCharType="separate"/>
      </w:r>
      <w:r w:rsidR="00026714">
        <w:t>Appendix E</w:t>
      </w:r>
      <w:r>
        <w:fldChar w:fldCharType="end"/>
      </w:r>
      <w:r>
        <w:t xml:space="preserve"> for the approximation methodology.</w:t>
      </w:r>
    </w:p>
  </w:footnote>
  <w:footnote w:id="111">
    <w:p w14:paraId="45CC5526" w14:textId="0FD8686D" w:rsidR="00D67F18" w:rsidRDefault="00D67F18" w:rsidP="005B366F">
      <w:pPr>
        <w:pStyle w:val="FootnoteText"/>
      </w:pPr>
      <w:r>
        <w:rPr>
          <w:rStyle w:val="FootnoteReference"/>
        </w:rPr>
        <w:footnoteRef/>
      </w:r>
      <w:r>
        <w:t xml:space="preserve"> </w:t>
      </w:r>
      <w:r w:rsidR="006865F5">
        <w:t>Note:</w:t>
      </w:r>
      <w:r w:rsidR="00C225B8">
        <w:t xml:space="preserve"> IHACPA used the November 2021 PL as a basis for the </w:t>
      </w:r>
      <w:r w:rsidR="006865F5">
        <w:t xml:space="preserve">first </w:t>
      </w:r>
      <w:r w:rsidR="00C225B8">
        <w:t>public benchmarking activity</w:t>
      </w:r>
      <w:r w:rsidR="006865F5">
        <w:t xml:space="preserve"> and</w:t>
      </w:r>
      <w:r w:rsidR="00C225B8">
        <w:t xml:space="preserve"> the March 2022 PL as the basis for the </w:t>
      </w:r>
      <w:r w:rsidR="006865F5">
        <w:t xml:space="preserve">first round of </w:t>
      </w:r>
      <w:r w:rsidR="00C225B8">
        <w:t>benefit reduction</w:t>
      </w:r>
      <w:r w:rsidR="006865F5">
        <w:t xml:space="preserve"> calculations</w:t>
      </w:r>
      <w:r w:rsidR="00686A42">
        <w:t>.</w:t>
      </w:r>
    </w:p>
  </w:footnote>
  <w:footnote w:id="112">
    <w:p w14:paraId="73A5310B" w14:textId="5CDA6C66" w:rsidR="00E81A85" w:rsidRPr="00E50193" w:rsidRDefault="00E81A85" w:rsidP="005B366F">
      <w:pPr>
        <w:pStyle w:val="FootnoteText"/>
        <w:rPr>
          <w:rFonts w:cstheme="minorHAnsi"/>
          <w:szCs w:val="14"/>
        </w:rPr>
      </w:pPr>
      <w:r w:rsidRPr="00E50193">
        <w:rPr>
          <w:rStyle w:val="FootnoteReference"/>
        </w:rPr>
        <w:footnoteRef/>
      </w:r>
      <w:r w:rsidRPr="00E50193">
        <w:rPr>
          <w:rFonts w:cstheme="minorHAnsi"/>
          <w:szCs w:val="14"/>
        </w:rPr>
        <w:t xml:space="preserve"> </w:t>
      </w:r>
      <w:r w:rsidR="00F635C0">
        <w:t>Data supplied by the Department on 20/03/2024.</w:t>
      </w:r>
    </w:p>
  </w:footnote>
  <w:footnote w:id="113">
    <w:p w14:paraId="0B9880CD" w14:textId="2AE15F97" w:rsidR="00600C65" w:rsidRDefault="00600C65" w:rsidP="005B366F">
      <w:pPr>
        <w:pStyle w:val="FootnoteText"/>
      </w:pPr>
      <w:r>
        <w:rPr>
          <w:rStyle w:val="FootnoteReference"/>
        </w:rPr>
        <w:footnoteRef/>
      </w:r>
      <w:r>
        <w:t xml:space="preserve"> Department of Health and Aged Care, PHI 29/23 Benefit reductions to Cardiac Implantable Electronic Devices, 10 May 2023, </w:t>
      </w:r>
      <w:r w:rsidRPr="00653F01">
        <w:t>https://www.health.gov.au/news/phi-circulars/phi-2923-benefit-reductions-to-cardiac-implantable-electronic-devices</w:t>
      </w:r>
      <w:r>
        <w:t>.</w:t>
      </w:r>
    </w:p>
  </w:footnote>
  <w:footnote w:id="114">
    <w:p w14:paraId="79CC697E" w14:textId="20E17B70" w:rsidR="00CE6B44" w:rsidRDefault="00CE6B44" w:rsidP="005B366F">
      <w:pPr>
        <w:pStyle w:val="FootnoteText"/>
      </w:pPr>
      <w:r>
        <w:rPr>
          <w:rStyle w:val="FootnoteReference"/>
        </w:rPr>
        <w:footnoteRef/>
      </w:r>
      <w:r>
        <w:t xml:space="preserve"> Department of Health and Aged Care, PHI 29/23 Benefit reductions to Cardiac Implantable Electronic Devices</w:t>
      </w:r>
      <w:r w:rsidR="00585094">
        <w:t xml:space="preserve">, </w:t>
      </w:r>
      <w:r w:rsidR="00653F01">
        <w:t xml:space="preserve">10 May 2023, </w:t>
      </w:r>
      <w:r w:rsidR="00653F01" w:rsidRPr="00653F01">
        <w:t>https://www.health.gov.au/news/phi-circulars/phi-2923-benefit-reductions-to-cardiac-implantable-electronic-devices</w:t>
      </w:r>
      <w:r w:rsidR="00653F01">
        <w:t>.</w:t>
      </w:r>
    </w:p>
  </w:footnote>
  <w:footnote w:id="115">
    <w:p w14:paraId="2E09D31B" w14:textId="78BFECDE" w:rsidR="00781415" w:rsidRDefault="00781415" w:rsidP="005B366F">
      <w:pPr>
        <w:pStyle w:val="FootnoteText"/>
      </w:pPr>
      <w:r>
        <w:rPr>
          <w:rStyle w:val="FootnoteReference"/>
        </w:rPr>
        <w:footnoteRef/>
      </w:r>
      <w:r>
        <w:t xml:space="preserve"> </w:t>
      </w:r>
      <w:r w:rsidR="001E62AF">
        <w:t xml:space="preserve">See </w:t>
      </w:r>
      <w:r w:rsidR="001E62AF">
        <w:fldChar w:fldCharType="begin"/>
      </w:r>
      <w:r w:rsidR="001E62AF">
        <w:instrText xml:space="preserve"> REF _Ref159327204 \r \h </w:instrText>
      </w:r>
      <w:r w:rsidR="001E62AF">
        <w:fldChar w:fldCharType="separate"/>
      </w:r>
      <w:r w:rsidR="00026714">
        <w:t>Appendix E</w:t>
      </w:r>
      <w:r w:rsidR="001E62AF">
        <w:fldChar w:fldCharType="end"/>
      </w:r>
      <w:r w:rsidR="001E62AF">
        <w:t xml:space="preserve"> for </w:t>
      </w:r>
      <w:r w:rsidR="00512437">
        <w:t>more</w:t>
      </w:r>
      <w:r w:rsidR="001E62AF">
        <w:t xml:space="preserve"> details about Nous’ public benchmark approximations.</w:t>
      </w:r>
    </w:p>
  </w:footnote>
  <w:footnote w:id="116">
    <w:p w14:paraId="68F48B00" w14:textId="77777777" w:rsidR="00E81A85" w:rsidRPr="00E50193" w:rsidRDefault="00E81A85" w:rsidP="005B366F">
      <w:pPr>
        <w:pStyle w:val="FootnoteText"/>
      </w:pPr>
      <w:r w:rsidRPr="00E50193">
        <w:rPr>
          <w:rStyle w:val="FootnoteReference"/>
        </w:rPr>
        <w:footnoteRef/>
      </w:r>
      <w:r w:rsidRPr="00E50193">
        <w:t xml:space="preserve"> </w:t>
      </w:r>
      <w:proofErr w:type="spellStart"/>
      <w:r w:rsidRPr="00E50193">
        <w:t>l'Assurance</w:t>
      </w:r>
      <w:proofErr w:type="spellEnd"/>
      <w:r w:rsidRPr="00E50193">
        <w:t xml:space="preserve"> </w:t>
      </w:r>
      <w:proofErr w:type="spellStart"/>
      <w:r w:rsidRPr="00E50193">
        <w:t>Maladie</w:t>
      </w:r>
      <w:proofErr w:type="spellEnd"/>
      <w:r w:rsidRPr="00E50193">
        <w:t xml:space="preserve">, </w:t>
      </w:r>
      <w:proofErr w:type="spellStart"/>
      <w:r w:rsidRPr="00E50193">
        <w:t>Liste</w:t>
      </w:r>
      <w:proofErr w:type="spellEnd"/>
      <w:r w:rsidRPr="00E50193">
        <w:t xml:space="preserve"> des </w:t>
      </w:r>
      <w:proofErr w:type="spellStart"/>
      <w:r w:rsidRPr="00E50193">
        <w:t>Produits</w:t>
      </w:r>
      <w:proofErr w:type="spellEnd"/>
      <w:r w:rsidRPr="00E50193">
        <w:t xml:space="preserve"> et </w:t>
      </w:r>
      <w:proofErr w:type="spellStart"/>
      <w:r w:rsidRPr="00E50193">
        <w:t>Prestations</w:t>
      </w:r>
      <w:proofErr w:type="spellEnd"/>
      <w:r w:rsidRPr="00E50193">
        <w:t xml:space="preserve">, http://www.codage.ext.cnamts.fr/codif/tips/index.php?p_site=AMELI. The </w:t>
      </w:r>
      <w:proofErr w:type="spellStart"/>
      <w:r w:rsidRPr="00E50193">
        <w:t>Liste</w:t>
      </w:r>
      <w:proofErr w:type="spellEnd"/>
      <w:r w:rsidRPr="00E50193">
        <w:t xml:space="preserve"> des </w:t>
      </w:r>
      <w:proofErr w:type="spellStart"/>
      <w:r w:rsidRPr="00E50193">
        <w:t>Produits</w:t>
      </w:r>
      <w:proofErr w:type="spellEnd"/>
      <w:r w:rsidRPr="00E50193">
        <w:t xml:space="preserve"> et </w:t>
      </w:r>
      <w:proofErr w:type="spellStart"/>
      <w:r w:rsidRPr="00E50193">
        <w:t>Prestations</w:t>
      </w:r>
      <w:proofErr w:type="spellEnd"/>
      <w:r w:rsidRPr="00E50193">
        <w:t xml:space="preserve"> (LPP) is a list of medical device and human tissue products that guides reimbursement for the French national health insurance system. It has a comparable scope to the PL and it prices products at a higher level of grouping than the PL. </w:t>
      </w:r>
    </w:p>
  </w:footnote>
  <w:footnote w:id="117">
    <w:p w14:paraId="08856342" w14:textId="77777777" w:rsidR="00E81A85" w:rsidRPr="00AA3B75" w:rsidRDefault="00E81A85" w:rsidP="005B366F">
      <w:pPr>
        <w:pStyle w:val="FootnoteText"/>
        <w:rPr>
          <w:sz w:val="16"/>
          <w:szCs w:val="16"/>
        </w:rPr>
      </w:pPr>
      <w:r w:rsidRPr="00E50193">
        <w:rPr>
          <w:rStyle w:val="FootnoteReference"/>
        </w:rPr>
        <w:footnoteRef/>
      </w:r>
      <w:r w:rsidRPr="00E50193">
        <w:t xml:space="preserve"> </w:t>
      </w:r>
      <w:proofErr w:type="spellStart"/>
      <w:r w:rsidRPr="00E50193">
        <w:t>Pharmac</w:t>
      </w:r>
      <w:proofErr w:type="spellEnd"/>
      <w:r w:rsidRPr="00E50193">
        <w:t xml:space="preserve">, Hospital Medical Devices Schedule, July 2016, July 2017, July 2018, July 2019, July </w:t>
      </w:r>
      <w:proofErr w:type="gramStart"/>
      <w:r w:rsidRPr="00E50193">
        <w:t>2020</w:t>
      </w:r>
      <w:proofErr w:type="gramEnd"/>
      <w:r w:rsidRPr="00E50193">
        <w:t xml:space="preserve"> and July 2021 editions. The </w:t>
      </w:r>
      <w:proofErr w:type="spellStart"/>
      <w:r w:rsidRPr="00E50193">
        <w:t>Pharmac</w:t>
      </w:r>
      <w:proofErr w:type="spellEnd"/>
      <w:r w:rsidRPr="00E50193">
        <w:t xml:space="preserve"> Hospital Medical Devices Schedule (</w:t>
      </w:r>
      <w:proofErr w:type="spellStart"/>
      <w:r w:rsidRPr="00E50193">
        <w:t>Pharmac</w:t>
      </w:r>
      <w:proofErr w:type="spellEnd"/>
      <w:r w:rsidRPr="00E50193">
        <w:t>) is a list of contracted medical devices products for New Zealand public hospitals. It has a narrower scope than the PL at baseline—noting it is in the process of being expanded—and it prices products on an individual basis, not in concert with equivalent products within a group like the PL and LPP.</w:t>
      </w:r>
    </w:p>
  </w:footnote>
  <w:footnote w:id="118">
    <w:p w14:paraId="003D8FCE" w14:textId="77777777" w:rsidR="00E81A85" w:rsidRPr="00E50193" w:rsidRDefault="00E81A85" w:rsidP="005B366F">
      <w:pPr>
        <w:pStyle w:val="FootnoteText"/>
      </w:pPr>
      <w:r w:rsidRPr="00E50193">
        <w:rPr>
          <w:rStyle w:val="FootnoteReference"/>
        </w:rPr>
        <w:footnoteRef/>
      </w:r>
      <w:r w:rsidRPr="00E50193">
        <w:t xml:space="preserve"> There are no unique identifiers or other fields that are common across the PL and LPP or </w:t>
      </w:r>
      <w:proofErr w:type="spellStart"/>
      <w:r w:rsidRPr="00E50193">
        <w:t>Pharmac</w:t>
      </w:r>
      <w:proofErr w:type="spellEnd"/>
      <w:r w:rsidRPr="00E50193">
        <w:t xml:space="preserve"> lists, requiring manual comparison and fuzzy matching. This is complicated by all three lists grouping and pricing products at different levels and the LPP being in French.</w:t>
      </w:r>
    </w:p>
  </w:footnote>
  <w:footnote w:id="119">
    <w:p w14:paraId="54C2877C" w14:textId="77777777" w:rsidR="00E81A85" w:rsidRPr="00E50193" w:rsidRDefault="00E81A85" w:rsidP="005B366F">
      <w:pPr>
        <w:pStyle w:val="FootnoteText"/>
      </w:pPr>
      <w:r w:rsidRPr="00E50193">
        <w:rPr>
          <w:rStyle w:val="FootnoteReference"/>
        </w:rPr>
        <w:footnoteRef/>
      </w:r>
      <w:r w:rsidRPr="00E50193">
        <w:t xml:space="preserve"> Nous does not claim the three benefit groups selected as international comparison case studies are representative of the overall or average gap between the selected markets. We selected these case studies, before observing any difference in benefit/price, based on four criteria: data availability (at least three products within the PL benefit group found on both the LPP and </w:t>
      </w:r>
      <w:proofErr w:type="spellStart"/>
      <w:r w:rsidRPr="00E50193">
        <w:t>Pharmac</w:t>
      </w:r>
      <w:proofErr w:type="spellEnd"/>
      <w:r w:rsidRPr="00E50193">
        <w:t xml:space="preserve"> schedule), matching certainty (evidence that two products are a true comparison by cross-referencing sponsor product information, model numbers, sizing information, etc.), volume (i.e., avoiding low-volume benefit groups that could be pricing/benefit outliers) and pricing history (established products with multiple years of pricing history to provide meaningful comparisons).</w:t>
      </w:r>
    </w:p>
  </w:footnote>
  <w:footnote w:id="120">
    <w:p w14:paraId="4889DB49" w14:textId="77777777" w:rsidR="00E81A85" w:rsidRPr="00E50193" w:rsidRDefault="00E81A85" w:rsidP="005B366F">
      <w:pPr>
        <w:pStyle w:val="FootnoteText"/>
      </w:pPr>
      <w:r w:rsidRPr="00E50193">
        <w:rPr>
          <w:rStyle w:val="FootnoteReference"/>
        </w:rPr>
        <w:footnoteRef/>
      </w:r>
      <w:r w:rsidRPr="00E50193">
        <w:t xml:space="preserve"> Department of Health and Aged Care, Prostheses List Part A (Prostheses), August 2016, August 2017, August 2018, August 2019, July </w:t>
      </w:r>
      <w:proofErr w:type="gramStart"/>
      <w:r w:rsidRPr="00E50193">
        <w:t>2020</w:t>
      </w:r>
      <w:proofErr w:type="gramEnd"/>
      <w:r w:rsidRPr="00E50193">
        <w:t xml:space="preserve"> and July 2021 editions; </w:t>
      </w:r>
      <w:proofErr w:type="spellStart"/>
      <w:r w:rsidRPr="00E50193">
        <w:t>Pharmac</w:t>
      </w:r>
      <w:proofErr w:type="spellEnd"/>
      <w:r w:rsidRPr="00E50193">
        <w:t xml:space="preserve">, Hospital Medical Devices Schedule, July 2016, July 2017, July 2018, July 2019, July 2020 and July 2021 editions; </w:t>
      </w:r>
      <w:proofErr w:type="spellStart"/>
      <w:r w:rsidRPr="00E50193">
        <w:t>l'Assurance</w:t>
      </w:r>
      <w:proofErr w:type="spellEnd"/>
      <w:r w:rsidRPr="00E50193">
        <w:t xml:space="preserve"> </w:t>
      </w:r>
      <w:proofErr w:type="spellStart"/>
      <w:r w:rsidRPr="00E50193">
        <w:t>Maladie</w:t>
      </w:r>
      <w:proofErr w:type="spellEnd"/>
      <w:r w:rsidRPr="00E50193">
        <w:t xml:space="preserve">, </w:t>
      </w:r>
      <w:proofErr w:type="spellStart"/>
      <w:r w:rsidRPr="00E50193">
        <w:t>Liste</w:t>
      </w:r>
      <w:proofErr w:type="spellEnd"/>
      <w:r w:rsidRPr="00E50193">
        <w:t xml:space="preserve"> des </w:t>
      </w:r>
      <w:proofErr w:type="spellStart"/>
      <w:r w:rsidRPr="00E50193">
        <w:t>Produits</w:t>
      </w:r>
      <w:proofErr w:type="spellEnd"/>
      <w:r w:rsidRPr="00E50193">
        <w:t xml:space="preserve"> et </w:t>
      </w:r>
      <w:proofErr w:type="spellStart"/>
      <w:r w:rsidRPr="00E50193">
        <w:t>Prestations</w:t>
      </w:r>
      <w:proofErr w:type="spellEnd"/>
      <w:r w:rsidRPr="00E50193">
        <w:t>, http://www.codage.ext.cnamts.fr/codif/tips/index.php?p_site=AMELI.</w:t>
      </w:r>
    </w:p>
  </w:footnote>
  <w:footnote w:id="121">
    <w:p w14:paraId="6BAE5862" w14:textId="60CFE5D7" w:rsidR="00E81A85" w:rsidRPr="00A67469" w:rsidRDefault="00E81A85" w:rsidP="005B366F">
      <w:pPr>
        <w:pStyle w:val="FootnoteText"/>
        <w:rPr>
          <w:sz w:val="16"/>
          <w:szCs w:val="16"/>
        </w:rPr>
      </w:pPr>
      <w:r w:rsidRPr="00E50193">
        <w:rPr>
          <w:rStyle w:val="FootnoteReference"/>
        </w:rPr>
        <w:footnoteRef/>
      </w:r>
      <w:r w:rsidRPr="00E50193">
        <w:t xml:space="preserve"> </w:t>
      </w:r>
      <w:r w:rsidR="00230128" w:rsidRPr="00E50193">
        <w:t xml:space="preserve">Department of Health and Aged Care, Prostheses List Part A (Prostheses), August 2016, August 2017, August 2018, August 2019, July </w:t>
      </w:r>
      <w:proofErr w:type="gramStart"/>
      <w:r w:rsidR="00230128" w:rsidRPr="00E50193">
        <w:t>2020</w:t>
      </w:r>
      <w:proofErr w:type="gramEnd"/>
      <w:r w:rsidR="00230128" w:rsidRPr="00E50193">
        <w:t xml:space="preserve"> and July 2021 editions; </w:t>
      </w:r>
      <w:proofErr w:type="spellStart"/>
      <w:r w:rsidR="00230128" w:rsidRPr="00E50193">
        <w:t>Pharmac</w:t>
      </w:r>
      <w:proofErr w:type="spellEnd"/>
      <w:r w:rsidR="00230128" w:rsidRPr="00E50193">
        <w:t xml:space="preserve">, Hospital Medical Devices Schedule, July 2016, July 2017, July 2018, July 2019, July 2020 and July 2021 editions; </w:t>
      </w:r>
      <w:proofErr w:type="spellStart"/>
      <w:r w:rsidR="00230128" w:rsidRPr="00E50193">
        <w:t>l'Assurance</w:t>
      </w:r>
      <w:proofErr w:type="spellEnd"/>
      <w:r w:rsidR="00230128" w:rsidRPr="00E50193">
        <w:t xml:space="preserve"> </w:t>
      </w:r>
      <w:proofErr w:type="spellStart"/>
      <w:r w:rsidR="00230128" w:rsidRPr="00E50193">
        <w:t>Maladie</w:t>
      </w:r>
      <w:proofErr w:type="spellEnd"/>
      <w:r w:rsidR="00230128" w:rsidRPr="00E50193">
        <w:t xml:space="preserve">, </w:t>
      </w:r>
      <w:proofErr w:type="spellStart"/>
      <w:r w:rsidR="00230128" w:rsidRPr="00E50193">
        <w:t>Liste</w:t>
      </w:r>
      <w:proofErr w:type="spellEnd"/>
      <w:r w:rsidR="00230128" w:rsidRPr="00E50193">
        <w:t xml:space="preserve"> des </w:t>
      </w:r>
      <w:proofErr w:type="spellStart"/>
      <w:r w:rsidR="00230128" w:rsidRPr="00E50193">
        <w:t>Produits</w:t>
      </w:r>
      <w:proofErr w:type="spellEnd"/>
      <w:r w:rsidR="00230128" w:rsidRPr="00E50193">
        <w:t xml:space="preserve"> et </w:t>
      </w:r>
      <w:proofErr w:type="spellStart"/>
      <w:r w:rsidR="00230128" w:rsidRPr="00E50193">
        <w:t>Prestations</w:t>
      </w:r>
      <w:proofErr w:type="spellEnd"/>
      <w:r w:rsidR="00230128" w:rsidRPr="00E50193">
        <w:t>, http://www.codage.ext.cnamts.fr/codif/tips/index.php?p_site=AMELI</w:t>
      </w:r>
      <w:r>
        <w:t>.</w:t>
      </w:r>
    </w:p>
  </w:footnote>
  <w:footnote w:id="122">
    <w:p w14:paraId="1A8191C7" w14:textId="77073423" w:rsidR="00E81A85" w:rsidRPr="00E50193" w:rsidRDefault="00E81A85" w:rsidP="005B366F">
      <w:pPr>
        <w:pStyle w:val="FootnoteText"/>
        <w:rPr>
          <w:sz w:val="18"/>
          <w:szCs w:val="18"/>
        </w:rPr>
      </w:pPr>
      <w:r w:rsidRPr="00E50193">
        <w:rPr>
          <w:rStyle w:val="FootnoteReference"/>
        </w:rPr>
        <w:footnoteRef/>
      </w:r>
      <w:r w:rsidRPr="00E50193">
        <w:t xml:space="preserve"> </w:t>
      </w:r>
      <w:r w:rsidR="00230128">
        <w:t>Ibid</w:t>
      </w:r>
      <w:r w:rsidRPr="00E50193">
        <w:t>.</w:t>
      </w:r>
    </w:p>
  </w:footnote>
  <w:footnote w:id="123">
    <w:p w14:paraId="77C2419A" w14:textId="37D6E5B5" w:rsidR="00E81A85" w:rsidRPr="00A67469" w:rsidRDefault="00E81A85" w:rsidP="005B366F">
      <w:pPr>
        <w:pStyle w:val="FootnoteText"/>
        <w:rPr>
          <w:sz w:val="16"/>
          <w:szCs w:val="16"/>
        </w:rPr>
      </w:pPr>
      <w:r w:rsidRPr="00E50193">
        <w:rPr>
          <w:rStyle w:val="FootnoteReference"/>
        </w:rPr>
        <w:footnoteRef/>
      </w:r>
      <w:r w:rsidRPr="00E50193">
        <w:t xml:space="preserve"> </w:t>
      </w:r>
      <w:r w:rsidR="00230128" w:rsidRPr="00E50193">
        <w:t xml:space="preserve">Department of Health and Aged Care, Prostheses List Part A (Prostheses), August 2016, August 2017, August 2018, August 2019, July </w:t>
      </w:r>
      <w:proofErr w:type="gramStart"/>
      <w:r w:rsidR="00230128" w:rsidRPr="00E50193">
        <w:t>2020</w:t>
      </w:r>
      <w:proofErr w:type="gramEnd"/>
      <w:r w:rsidR="00230128" w:rsidRPr="00E50193">
        <w:t xml:space="preserve"> and July 2021 editions; </w:t>
      </w:r>
      <w:proofErr w:type="spellStart"/>
      <w:r w:rsidR="00230128" w:rsidRPr="00E50193">
        <w:t>Pharmac</w:t>
      </w:r>
      <w:proofErr w:type="spellEnd"/>
      <w:r w:rsidR="00230128" w:rsidRPr="00E50193">
        <w:t xml:space="preserve">, Hospital Medical Devices Schedule, July 2016, July 2017, July 2018, July 2019, July 2020 and July 2021 editions; </w:t>
      </w:r>
      <w:proofErr w:type="spellStart"/>
      <w:r w:rsidR="00230128" w:rsidRPr="00E50193">
        <w:t>l'Assurance</w:t>
      </w:r>
      <w:proofErr w:type="spellEnd"/>
      <w:r w:rsidR="00230128" w:rsidRPr="00E50193">
        <w:t xml:space="preserve"> </w:t>
      </w:r>
      <w:proofErr w:type="spellStart"/>
      <w:r w:rsidR="00230128" w:rsidRPr="00E50193">
        <w:t>Maladie</w:t>
      </w:r>
      <w:proofErr w:type="spellEnd"/>
      <w:r w:rsidR="00230128" w:rsidRPr="00E50193">
        <w:t xml:space="preserve">, </w:t>
      </w:r>
      <w:proofErr w:type="spellStart"/>
      <w:r w:rsidR="00230128" w:rsidRPr="00E50193">
        <w:t>Liste</w:t>
      </w:r>
      <w:proofErr w:type="spellEnd"/>
      <w:r w:rsidR="00230128" w:rsidRPr="00E50193">
        <w:t xml:space="preserve"> des </w:t>
      </w:r>
      <w:proofErr w:type="spellStart"/>
      <w:r w:rsidR="00230128" w:rsidRPr="00E50193">
        <w:t>Produits</w:t>
      </w:r>
      <w:proofErr w:type="spellEnd"/>
      <w:r w:rsidR="00230128" w:rsidRPr="00E50193">
        <w:t xml:space="preserve"> et </w:t>
      </w:r>
      <w:proofErr w:type="spellStart"/>
      <w:r w:rsidR="00230128" w:rsidRPr="00E50193">
        <w:t>Prestations</w:t>
      </w:r>
      <w:proofErr w:type="spellEnd"/>
      <w:r w:rsidR="00230128" w:rsidRPr="00E50193">
        <w:t>, http://www.codage.ext.cnamts.fr/codif/tips/index.php?p_site=AMELI</w:t>
      </w:r>
      <w:r>
        <w:t>.</w:t>
      </w:r>
    </w:p>
  </w:footnote>
  <w:footnote w:id="124">
    <w:p w14:paraId="725BA7A1" w14:textId="6D9CCD60" w:rsidR="00E81A85" w:rsidRPr="0005492C" w:rsidRDefault="00E81A85" w:rsidP="005B366F">
      <w:pPr>
        <w:pStyle w:val="FootnoteText"/>
      </w:pPr>
      <w:r w:rsidRPr="0005492C">
        <w:rPr>
          <w:rStyle w:val="FootnoteReference"/>
        </w:rPr>
        <w:footnoteRef/>
      </w:r>
      <w:r w:rsidRPr="0005492C">
        <w:t xml:space="preserve"> </w:t>
      </w:r>
      <w:r w:rsidR="00230128">
        <w:t>Ibid</w:t>
      </w:r>
      <w:r w:rsidRPr="0005492C">
        <w:t>.</w:t>
      </w:r>
    </w:p>
  </w:footnote>
  <w:footnote w:id="125">
    <w:p w14:paraId="413AC0E7" w14:textId="463CD5B6" w:rsidR="00E81A85" w:rsidRPr="009863F6" w:rsidRDefault="00E81A85" w:rsidP="005B366F">
      <w:pPr>
        <w:pStyle w:val="FootnoteText"/>
        <w:rPr>
          <w:sz w:val="16"/>
          <w:szCs w:val="16"/>
        </w:rPr>
      </w:pPr>
      <w:r w:rsidRPr="0005492C">
        <w:rPr>
          <w:rStyle w:val="FootnoteReference"/>
        </w:rPr>
        <w:footnoteRef/>
      </w:r>
      <w:r w:rsidRPr="0005492C">
        <w:t xml:space="preserve"> </w:t>
      </w:r>
      <w:r w:rsidR="00230128" w:rsidRPr="00E50193">
        <w:t xml:space="preserve">Department of Health and Aged Care, Prostheses List Part A (Prostheses), August 2016, August 2017, August 2018, August 2019, July </w:t>
      </w:r>
      <w:proofErr w:type="gramStart"/>
      <w:r w:rsidR="00230128" w:rsidRPr="00E50193">
        <w:t>2020</w:t>
      </w:r>
      <w:proofErr w:type="gramEnd"/>
      <w:r w:rsidR="00230128" w:rsidRPr="00E50193">
        <w:t xml:space="preserve"> and July 2021 editions; </w:t>
      </w:r>
      <w:proofErr w:type="spellStart"/>
      <w:r w:rsidR="00230128" w:rsidRPr="00E50193">
        <w:t>Pharmac</w:t>
      </w:r>
      <w:proofErr w:type="spellEnd"/>
      <w:r w:rsidR="00230128" w:rsidRPr="00E50193">
        <w:t xml:space="preserve">, Hospital Medical Devices Schedule, July 2016, July 2017, July 2018, July 2019, July 2020 and July 2021 editions; </w:t>
      </w:r>
      <w:proofErr w:type="spellStart"/>
      <w:r w:rsidR="00230128" w:rsidRPr="00E50193">
        <w:t>l'Assurance</w:t>
      </w:r>
      <w:proofErr w:type="spellEnd"/>
      <w:r w:rsidR="00230128" w:rsidRPr="00E50193">
        <w:t xml:space="preserve"> </w:t>
      </w:r>
      <w:proofErr w:type="spellStart"/>
      <w:r w:rsidR="00230128" w:rsidRPr="00E50193">
        <w:t>Maladie</w:t>
      </w:r>
      <w:proofErr w:type="spellEnd"/>
      <w:r w:rsidR="00230128" w:rsidRPr="00E50193">
        <w:t xml:space="preserve">, </w:t>
      </w:r>
      <w:proofErr w:type="spellStart"/>
      <w:r w:rsidR="00230128" w:rsidRPr="00E50193">
        <w:t>Liste</w:t>
      </w:r>
      <w:proofErr w:type="spellEnd"/>
      <w:r w:rsidR="00230128" w:rsidRPr="00E50193">
        <w:t xml:space="preserve"> des </w:t>
      </w:r>
      <w:proofErr w:type="spellStart"/>
      <w:r w:rsidR="00230128" w:rsidRPr="00E50193">
        <w:t>Produits</w:t>
      </w:r>
      <w:proofErr w:type="spellEnd"/>
      <w:r w:rsidR="00230128" w:rsidRPr="00E50193">
        <w:t xml:space="preserve"> et </w:t>
      </w:r>
      <w:proofErr w:type="spellStart"/>
      <w:r w:rsidR="00230128" w:rsidRPr="00E50193">
        <w:t>Prestations</w:t>
      </w:r>
      <w:proofErr w:type="spellEnd"/>
      <w:r w:rsidR="00230128" w:rsidRPr="00E50193">
        <w:t>, http://www.codage.ext.cnamts.fr/codif/tips/index.php?p_site=AMELI</w:t>
      </w:r>
      <w:r>
        <w:t>.</w:t>
      </w:r>
    </w:p>
  </w:footnote>
  <w:footnote w:id="126">
    <w:p w14:paraId="060729AD" w14:textId="77777777" w:rsidR="00E81A85" w:rsidRPr="007A00D4" w:rsidRDefault="00E81A85" w:rsidP="005B366F">
      <w:pPr>
        <w:pStyle w:val="FootnoteText"/>
      </w:pPr>
      <w:r w:rsidRPr="007A00D4">
        <w:rPr>
          <w:rStyle w:val="FootnoteReference"/>
        </w:rPr>
        <w:footnoteRef/>
      </w:r>
      <w:r w:rsidRPr="007A00D4">
        <w:t xml:space="preserve"> Private HealthCare Australia, Submission: Senate Community Affairs References Committee, Inquiry into price regulation associated with the Prostheses List Framework, 2017.</w:t>
      </w:r>
    </w:p>
  </w:footnote>
  <w:footnote w:id="127">
    <w:p w14:paraId="5BD67776" w14:textId="77777777" w:rsidR="00E81A85" w:rsidRPr="007A00D4" w:rsidRDefault="00E81A85" w:rsidP="005B366F">
      <w:pPr>
        <w:pStyle w:val="FootnoteText"/>
      </w:pPr>
      <w:r w:rsidRPr="007A00D4">
        <w:rPr>
          <w:rStyle w:val="FootnoteReference"/>
        </w:rPr>
        <w:footnoteRef/>
      </w:r>
      <w:r w:rsidRPr="007A00D4">
        <w:t xml:space="preserve"> Consumers Health Forum of Australia, Submission into the Senate Inquiry into Price Regulation associated with the Prostheses List Framework, 2017.</w:t>
      </w:r>
    </w:p>
  </w:footnote>
  <w:footnote w:id="128">
    <w:p w14:paraId="4DB1CAC0" w14:textId="77777777" w:rsidR="00E81A85" w:rsidRPr="007A00D4" w:rsidRDefault="00E81A85" w:rsidP="005B366F">
      <w:pPr>
        <w:pStyle w:val="FootnoteText"/>
      </w:pPr>
      <w:r w:rsidRPr="007A00D4">
        <w:rPr>
          <w:rStyle w:val="FootnoteReference"/>
        </w:rPr>
        <w:footnoteRef/>
      </w:r>
      <w:r w:rsidRPr="007A00D4">
        <w:t xml:space="preserve"> Medical Technology Association of Australia, Submission to the Committee Inquiry into the Prostheses List Framework, 2017.</w:t>
      </w:r>
    </w:p>
  </w:footnote>
  <w:footnote w:id="129">
    <w:p w14:paraId="38BBFC45" w14:textId="77777777" w:rsidR="00E81A85" w:rsidRPr="007A00D4" w:rsidRDefault="00E81A85" w:rsidP="005B366F">
      <w:pPr>
        <w:pStyle w:val="FootnoteText"/>
      </w:pPr>
      <w:r w:rsidRPr="007A00D4">
        <w:rPr>
          <w:rStyle w:val="FootnoteReference"/>
        </w:rPr>
        <w:footnoteRef/>
      </w:r>
      <w:r w:rsidRPr="007A00D4">
        <w:t xml:space="preserve"> Australian Medical Association, 2017, AMA submission to the Inquiry into the price regulation associated with the Prosthesis List Framework in Australia</w:t>
      </w:r>
    </w:p>
  </w:footnote>
  <w:footnote w:id="130">
    <w:p w14:paraId="1EC9B8B6" w14:textId="77777777" w:rsidR="00E81A85" w:rsidRPr="00CA6075" w:rsidRDefault="00E81A85" w:rsidP="005B366F">
      <w:pPr>
        <w:pStyle w:val="FootnoteText"/>
        <w:rPr>
          <w:sz w:val="16"/>
          <w:szCs w:val="16"/>
        </w:rPr>
      </w:pPr>
      <w:r w:rsidRPr="007A00D4">
        <w:rPr>
          <w:rStyle w:val="FootnoteReference"/>
        </w:rPr>
        <w:footnoteRef/>
      </w:r>
      <w:r w:rsidRPr="007A00D4">
        <w:t xml:space="preserve"> Private HealthCare Australia, Submission: Senate Community Affairs References Committee, Inquiry into price regulation associated with the Prostheses List Framework, 2017.</w:t>
      </w:r>
    </w:p>
  </w:footnote>
  <w:footnote w:id="131">
    <w:p w14:paraId="1A0D2014" w14:textId="77777777" w:rsidR="00EE4136" w:rsidRPr="0005492C" w:rsidRDefault="00EE4136" w:rsidP="005B366F">
      <w:pPr>
        <w:pStyle w:val="FootnoteText"/>
      </w:pPr>
      <w:r w:rsidRPr="0005492C">
        <w:rPr>
          <w:rStyle w:val="FootnoteReference"/>
        </w:rPr>
        <w:footnoteRef/>
      </w:r>
      <w:r w:rsidRPr="0005492C">
        <w:t xml:space="preserve"> Department of Health and Aged Care, Hospital </w:t>
      </w:r>
      <w:proofErr w:type="spellStart"/>
      <w:r w:rsidRPr="0005492C">
        <w:t>Casemix</w:t>
      </w:r>
      <w:proofErr w:type="spellEnd"/>
      <w:r w:rsidRPr="0005492C">
        <w:t xml:space="preserve"> Protocol Dataset, 2023.</w:t>
      </w:r>
    </w:p>
  </w:footnote>
  <w:footnote w:id="132">
    <w:p w14:paraId="04946D1F" w14:textId="77777777" w:rsidR="00EE4136" w:rsidRPr="00336162" w:rsidRDefault="00EE4136" w:rsidP="00EE4136">
      <w:pPr>
        <w:spacing w:after="0"/>
        <w:rPr>
          <w:sz w:val="14"/>
          <w:szCs w:val="14"/>
        </w:rPr>
      </w:pPr>
      <w:r w:rsidRPr="00336162">
        <w:rPr>
          <w:rStyle w:val="FootnoteReference"/>
        </w:rPr>
        <w:footnoteRef/>
      </w:r>
      <w:r w:rsidRPr="00336162">
        <w:rPr>
          <w:sz w:val="14"/>
          <w:szCs w:val="14"/>
        </w:rPr>
        <w:t xml:space="preserve"> It should be noted that there are </w:t>
      </w:r>
      <w:proofErr w:type="gramStart"/>
      <w:r w:rsidRPr="00336162">
        <w:rPr>
          <w:sz w:val="14"/>
          <w:szCs w:val="14"/>
        </w:rPr>
        <w:t>a large number of</w:t>
      </w:r>
      <w:proofErr w:type="gramEnd"/>
      <w:r w:rsidRPr="00336162">
        <w:rPr>
          <w:sz w:val="14"/>
          <w:szCs w:val="14"/>
        </w:rPr>
        <w:t xml:space="preserve"> datapoints for which a gap is recorded but it is less than one. In the HCP data, these gaps are recorded as zero. </w:t>
      </w:r>
    </w:p>
  </w:footnote>
  <w:footnote w:id="133">
    <w:p w14:paraId="4D2AE72C" w14:textId="017F46F4" w:rsidR="00EE4136" w:rsidRPr="0005492C" w:rsidRDefault="00EE4136" w:rsidP="005B366F">
      <w:pPr>
        <w:pStyle w:val="FootnoteText"/>
      </w:pPr>
      <w:r w:rsidRPr="0005492C">
        <w:rPr>
          <w:rStyle w:val="FootnoteReference"/>
        </w:rPr>
        <w:footnoteRef/>
      </w:r>
      <w:r w:rsidRPr="0005492C">
        <w:t xml:space="preserve"> Department of Health and Aged Care, Hospital </w:t>
      </w:r>
      <w:proofErr w:type="spellStart"/>
      <w:r w:rsidRPr="0005492C">
        <w:t>Casemix</w:t>
      </w:r>
      <w:proofErr w:type="spellEnd"/>
      <w:r w:rsidRPr="0005492C">
        <w:t xml:space="preserve"> Protocol Dataset</w:t>
      </w:r>
      <w:r>
        <w:t xml:space="preserve">, </w:t>
      </w:r>
      <w:r w:rsidRPr="0005492C">
        <w:t>2023</w:t>
      </w:r>
      <w:r>
        <w:t>.</w:t>
      </w:r>
      <w:r w:rsidR="001D7AE1">
        <w:t xml:space="preserve"> </w:t>
      </w:r>
    </w:p>
  </w:footnote>
  <w:footnote w:id="134">
    <w:p w14:paraId="4C37C049" w14:textId="6836AD04" w:rsidR="0014277C" w:rsidRDefault="0014277C" w:rsidP="005B366F">
      <w:pPr>
        <w:pStyle w:val="FootnoteText"/>
      </w:pPr>
      <w:r>
        <w:rPr>
          <w:rStyle w:val="FootnoteReference"/>
        </w:rPr>
        <w:footnoteRef/>
      </w:r>
      <w:r>
        <w:t xml:space="preserve"> </w:t>
      </w:r>
      <w:r w:rsidR="009D7CF3">
        <w:t xml:space="preserve">Ibid. </w:t>
      </w:r>
      <w:r w:rsidR="00BF52AF" w:rsidRPr="00BF52AF">
        <w:t>Note that the average prevalence rates shown in the figure may differ from the weighted average of the prevalence rates shown in the table because the prevalence rates shown in the figure reflect the prevalence across all PL items (including unclassified items).</w:t>
      </w:r>
    </w:p>
  </w:footnote>
  <w:footnote w:id="135">
    <w:p w14:paraId="2F1388FE" w14:textId="14592C97" w:rsidR="00296EDD" w:rsidRDefault="00296EDD" w:rsidP="005B366F">
      <w:pPr>
        <w:pStyle w:val="FootnoteText"/>
      </w:pPr>
      <w:r>
        <w:rPr>
          <w:rStyle w:val="FootnoteReference"/>
        </w:rPr>
        <w:footnoteRef/>
      </w:r>
      <w:r>
        <w:t xml:space="preserve"> </w:t>
      </w:r>
      <w:r w:rsidR="00035941">
        <w:t xml:space="preserve">The minimum benefit </w:t>
      </w:r>
      <w:r w:rsidR="00BA65AA">
        <w:t xml:space="preserve">for </w:t>
      </w:r>
      <w:r w:rsidR="008100B4">
        <w:t xml:space="preserve">a </w:t>
      </w:r>
      <w:r w:rsidR="00BA65AA">
        <w:t xml:space="preserve">combination of </w:t>
      </w:r>
      <w:r w:rsidR="00804F15">
        <w:t xml:space="preserve">cardiac ablation devices (listed in </w:t>
      </w:r>
      <w:r w:rsidR="00464609">
        <w:t xml:space="preserve">both Cardiac and Cardiothoracic </w:t>
      </w:r>
      <w:r w:rsidR="00795A43">
        <w:t>categories)</w:t>
      </w:r>
      <w:r w:rsidR="00E84F92">
        <w:t xml:space="preserve"> </w:t>
      </w:r>
      <w:r w:rsidR="004C2A60">
        <w:t xml:space="preserve">used </w:t>
      </w:r>
      <w:r w:rsidR="008100B4">
        <w:t>in a</w:t>
      </w:r>
      <w:r w:rsidR="00B232E3">
        <w:t xml:space="preserve"> single</w:t>
      </w:r>
      <w:r w:rsidR="008100B4">
        <w:t xml:space="preserve"> procedure </w:t>
      </w:r>
      <w:r w:rsidR="00DD562E">
        <w:t xml:space="preserve">cannot exceed $6,399. </w:t>
      </w:r>
      <w:r w:rsidR="005B1790">
        <w:t xml:space="preserve">This may </w:t>
      </w:r>
      <w:r w:rsidR="00037885">
        <w:t xml:space="preserve">explain a higher gap prevalence for these categories. </w:t>
      </w:r>
      <w:r w:rsidR="009A4F17">
        <w:t xml:space="preserve">PHI 24/19 Prostheses List benefits for surgical cardiac ablation devices, </w:t>
      </w:r>
      <w:r w:rsidR="009A4F17" w:rsidRPr="009A4F17">
        <w:t>https://www.health.gov.au/news/phi-circulars/phi-4219-prostheses-list-benefits-for-surgical-cardiac-ablation-devices</w:t>
      </w:r>
      <w:r w:rsidR="007A4658">
        <w:t>.</w:t>
      </w:r>
    </w:p>
  </w:footnote>
  <w:footnote w:id="136">
    <w:p w14:paraId="0CA850BE" w14:textId="77777777" w:rsidR="000743C4" w:rsidRDefault="000743C4" w:rsidP="005B366F">
      <w:pPr>
        <w:pStyle w:val="FootnoteText"/>
      </w:pPr>
      <w:r>
        <w:rPr>
          <w:rStyle w:val="FootnoteReference"/>
        </w:rPr>
        <w:footnoteRef/>
      </w:r>
      <w:r>
        <w:t xml:space="preserve"> Note that this is the average gap as a share of the average benefit for all items in each category (unweighted for the extent to which different items within categories incur a gap).</w:t>
      </w:r>
    </w:p>
  </w:footnote>
  <w:footnote w:id="137">
    <w:p w14:paraId="01F36392" w14:textId="01AC842E" w:rsidR="00EE4136" w:rsidRPr="00F534EA" w:rsidRDefault="00EE4136" w:rsidP="005B366F">
      <w:pPr>
        <w:pStyle w:val="FootnoteText"/>
      </w:pPr>
      <w:r w:rsidRPr="00F534EA">
        <w:rPr>
          <w:rStyle w:val="FootnoteReference"/>
        </w:rPr>
        <w:footnoteRef/>
      </w:r>
      <w:r w:rsidRPr="00F534EA">
        <w:t xml:space="preserve"> </w:t>
      </w:r>
      <w:r w:rsidR="00CA4441" w:rsidRPr="0005492C">
        <w:t xml:space="preserve">Department of Health and Aged Care, Hospital </w:t>
      </w:r>
      <w:proofErr w:type="spellStart"/>
      <w:r w:rsidR="00CA4441" w:rsidRPr="0005492C">
        <w:t>Casemix</w:t>
      </w:r>
      <w:proofErr w:type="spellEnd"/>
      <w:r w:rsidR="00CA4441" w:rsidRPr="0005492C">
        <w:t xml:space="preserve"> Protocol Dataset, 2023</w:t>
      </w:r>
      <w:r w:rsidRPr="00F534EA">
        <w:t>.</w:t>
      </w:r>
    </w:p>
  </w:footnote>
  <w:footnote w:id="138">
    <w:p w14:paraId="59820794" w14:textId="4A382D82" w:rsidR="00BF52AF" w:rsidRDefault="00BF52AF" w:rsidP="005B366F">
      <w:pPr>
        <w:pStyle w:val="FootnoteText"/>
      </w:pPr>
      <w:r>
        <w:rPr>
          <w:rStyle w:val="FootnoteReference"/>
        </w:rPr>
        <w:footnoteRef/>
      </w:r>
      <w:r>
        <w:t xml:space="preserve"> Ibid. </w:t>
      </w:r>
      <w:r w:rsidRPr="00BF52AF">
        <w:t>Note that the averages shown in the figure may differ from the weighted average of the values shown in the table because the values shown in the figure reflect the average gap across all PL items (including unclassified items).</w:t>
      </w:r>
    </w:p>
  </w:footnote>
  <w:footnote w:id="139">
    <w:p w14:paraId="7A10C302" w14:textId="77777777" w:rsidR="002A6B14" w:rsidRDefault="002A6B14" w:rsidP="005B366F">
      <w:pPr>
        <w:pStyle w:val="FootnoteText"/>
      </w:pPr>
      <w:r>
        <w:rPr>
          <w:rStyle w:val="FootnoteReference"/>
        </w:rPr>
        <w:footnoteRef/>
      </w:r>
      <w:r>
        <w:t xml:space="preserve"> </w:t>
      </w:r>
      <w:r w:rsidRPr="001B3BEE">
        <w:t>Menzies Centre for Health Policy &amp; University of Sydney, Options for a revised framework for setting and reviewing benefits for the Prostheses List, 2020</w:t>
      </w:r>
      <w:r>
        <w:t>.</w:t>
      </w:r>
    </w:p>
  </w:footnote>
  <w:footnote w:id="140">
    <w:p w14:paraId="7016195D" w14:textId="77777777" w:rsidR="002A6B14" w:rsidRPr="007A00D4" w:rsidRDefault="002A6B14" w:rsidP="005B366F">
      <w:pPr>
        <w:pStyle w:val="FootnoteText"/>
      </w:pPr>
      <w:r w:rsidRPr="007A00D4">
        <w:rPr>
          <w:rStyle w:val="FootnoteReference"/>
        </w:rPr>
        <w:footnoteRef/>
      </w:r>
      <w:r w:rsidRPr="007A00D4">
        <w:t xml:space="preserve"> Medical Technology Association of Australia, Submission to the Committee Inquiry into the Prostheses List Framework, 2017.</w:t>
      </w:r>
    </w:p>
  </w:footnote>
  <w:footnote w:id="141">
    <w:p w14:paraId="1AD7E585" w14:textId="77777777" w:rsidR="002A6B14" w:rsidRPr="007A00D4" w:rsidRDefault="002A6B14" w:rsidP="005B366F">
      <w:pPr>
        <w:pStyle w:val="FootnoteText"/>
      </w:pPr>
      <w:r w:rsidRPr="007A00D4">
        <w:rPr>
          <w:rStyle w:val="FootnoteReference"/>
        </w:rPr>
        <w:footnoteRef/>
      </w:r>
      <w:r w:rsidRPr="007A00D4">
        <w:t xml:space="preserve"> </w:t>
      </w:r>
      <w:r>
        <w:t>Ibid</w:t>
      </w:r>
      <w:r w:rsidRPr="007A00D4">
        <w:t>.</w:t>
      </w:r>
    </w:p>
  </w:footnote>
  <w:footnote w:id="142">
    <w:p w14:paraId="678CE5F9" w14:textId="77777777" w:rsidR="002A6B14" w:rsidRPr="007A00D4" w:rsidRDefault="002A6B14" w:rsidP="005B366F">
      <w:pPr>
        <w:pStyle w:val="FootnoteText"/>
      </w:pPr>
      <w:r w:rsidRPr="007A00D4">
        <w:rPr>
          <w:rStyle w:val="FootnoteReference"/>
        </w:rPr>
        <w:footnoteRef/>
      </w:r>
      <w:r w:rsidRPr="007A00D4">
        <w:t xml:space="preserve"> </w:t>
      </w:r>
      <w:r>
        <w:t>Ibid</w:t>
      </w:r>
      <w:r w:rsidRPr="007A00D4">
        <w:t>.</w:t>
      </w:r>
    </w:p>
  </w:footnote>
  <w:footnote w:id="143">
    <w:p w14:paraId="73F44AB3" w14:textId="1FEBE4A6" w:rsidR="00687FDD" w:rsidRDefault="00687FDD">
      <w:pPr>
        <w:pStyle w:val="FootnoteText"/>
      </w:pPr>
      <w:r>
        <w:rPr>
          <w:rStyle w:val="FootnoteReference"/>
        </w:rPr>
        <w:footnoteRef/>
      </w:r>
      <w:r>
        <w:t xml:space="preserve"> Note that we will not be </w:t>
      </w:r>
      <w:r w:rsidR="00E6386D">
        <w:t>analysing any patient</w:t>
      </w:r>
      <w:r w:rsidR="00262080">
        <w:t>-</w:t>
      </w:r>
      <w:r w:rsidR="00E6386D">
        <w:t>identifying data.</w:t>
      </w:r>
    </w:p>
  </w:footnote>
  <w:footnote w:id="144">
    <w:p w14:paraId="376D0995" w14:textId="77777777" w:rsidR="00BC2339" w:rsidRPr="00773087" w:rsidRDefault="00BC2339" w:rsidP="005B366F">
      <w:pPr>
        <w:pStyle w:val="FootnoteText"/>
      </w:pPr>
      <w:r w:rsidRPr="00773087">
        <w:rPr>
          <w:rStyle w:val="FootnoteReference"/>
        </w:rPr>
        <w:footnoteRef/>
      </w:r>
      <w:r w:rsidRPr="00773087">
        <w:t xml:space="preserve"> Department of Health and Aged Care, List of historical premium price changes by insurer for 2023, 2023.</w:t>
      </w:r>
    </w:p>
  </w:footnote>
  <w:footnote w:id="145">
    <w:p w14:paraId="6D156F5E" w14:textId="77777777" w:rsidR="00BC2339" w:rsidRPr="00773087" w:rsidRDefault="00BC2339" w:rsidP="005B366F">
      <w:pPr>
        <w:pStyle w:val="FootnoteText"/>
      </w:pPr>
      <w:r w:rsidRPr="00773087">
        <w:rPr>
          <w:rStyle w:val="FootnoteReference"/>
        </w:rPr>
        <w:footnoteRef/>
      </w:r>
      <w:r w:rsidRPr="00773087">
        <w:t xml:space="preserve"> Australian Prudential Regulation Authority, Operations of Private Health Insurers Annual Report, 2015-16 to 2020-21.</w:t>
      </w:r>
    </w:p>
  </w:footnote>
  <w:footnote w:id="146">
    <w:p w14:paraId="31D1A4B6" w14:textId="77777777" w:rsidR="000B6CCF" w:rsidRDefault="000B6CCF" w:rsidP="005B366F">
      <w:pPr>
        <w:pStyle w:val="FootnoteText"/>
      </w:pPr>
      <w:r>
        <w:rPr>
          <w:rStyle w:val="FootnoteReference"/>
        </w:rPr>
        <w:footnoteRef/>
      </w:r>
      <w:r>
        <w:t xml:space="preserve"> </w:t>
      </w:r>
      <w:r w:rsidRPr="00773087">
        <w:t>Australian Prudential Regulation Authority, Operations of Private Health Insurers Annual Report, 2015-16 to 2020-21.</w:t>
      </w:r>
    </w:p>
  </w:footnote>
  <w:footnote w:id="147">
    <w:p w14:paraId="2E3E815D" w14:textId="77777777" w:rsidR="000B6CCF" w:rsidRDefault="000B6CCF" w:rsidP="005B366F">
      <w:pPr>
        <w:pStyle w:val="FootnoteText"/>
      </w:pPr>
      <w:r>
        <w:rPr>
          <w:rStyle w:val="FootnoteReference"/>
        </w:rPr>
        <w:footnoteRef/>
      </w:r>
      <w:r>
        <w:t xml:space="preserve"> </w:t>
      </w:r>
      <w:r w:rsidRPr="00773087">
        <w:t>Australian Prudential</w:t>
      </w:r>
      <w:r w:rsidRPr="00773087">
        <w:rPr>
          <w:sz w:val="12"/>
          <w:szCs w:val="12"/>
        </w:rPr>
        <w:t xml:space="preserve"> </w:t>
      </w:r>
      <w:r w:rsidRPr="00773087">
        <w:t>Regulation Authority, Quarterly Private Health Insurance Statistics Prostheses</w:t>
      </w:r>
      <w:r>
        <w:t>,</w:t>
      </w:r>
      <w:r w:rsidRPr="00773087">
        <w:t xml:space="preserve"> June 2023.</w:t>
      </w:r>
    </w:p>
  </w:footnote>
  <w:footnote w:id="148">
    <w:p w14:paraId="18EA2C71" w14:textId="77777777" w:rsidR="000B6CCF" w:rsidRPr="00773087" w:rsidRDefault="000B6CCF" w:rsidP="005B366F">
      <w:pPr>
        <w:pStyle w:val="FootnoteText"/>
      </w:pPr>
      <w:r w:rsidRPr="00773087">
        <w:rPr>
          <w:rStyle w:val="FootnoteReference"/>
        </w:rPr>
        <w:footnoteRef/>
      </w:r>
      <w:r w:rsidRPr="00773087">
        <w:t xml:space="preserve"> Australian Prudential Regulation Authority, Operations of Private Health Insurers Annual Report, 2015-16 to 2020-21.</w:t>
      </w:r>
    </w:p>
  </w:footnote>
  <w:footnote w:id="149">
    <w:p w14:paraId="6AB7B527" w14:textId="77777777" w:rsidR="000B6CCF" w:rsidRPr="00773087" w:rsidRDefault="000B6CCF" w:rsidP="005B366F">
      <w:pPr>
        <w:pStyle w:val="FootnoteText"/>
        <w:rPr>
          <w:sz w:val="18"/>
          <w:szCs w:val="18"/>
        </w:rPr>
      </w:pPr>
      <w:r w:rsidRPr="00773087">
        <w:rPr>
          <w:rStyle w:val="FootnoteReference"/>
        </w:rPr>
        <w:footnoteRef/>
      </w:r>
      <w:r w:rsidRPr="00773087">
        <w:t xml:space="preserve"> Australian Prudential</w:t>
      </w:r>
      <w:r w:rsidRPr="00773087">
        <w:rPr>
          <w:sz w:val="12"/>
          <w:szCs w:val="12"/>
        </w:rPr>
        <w:t xml:space="preserve"> </w:t>
      </w:r>
      <w:r w:rsidRPr="00773087">
        <w:t>Regulation Authority, Quarterly Private Health Insurance Statistics Prostheses</w:t>
      </w:r>
      <w:r>
        <w:t>,</w:t>
      </w:r>
      <w:r w:rsidRPr="00773087">
        <w:t xml:space="preserve"> June 2023.</w:t>
      </w:r>
    </w:p>
  </w:footnote>
  <w:footnote w:id="150">
    <w:p w14:paraId="62D4A645" w14:textId="77777777" w:rsidR="0061025F" w:rsidRPr="00773087" w:rsidRDefault="0061025F" w:rsidP="005B366F">
      <w:pPr>
        <w:pStyle w:val="FootnoteText"/>
      </w:pPr>
      <w:r w:rsidRPr="00773087">
        <w:rPr>
          <w:rStyle w:val="FootnoteReference"/>
        </w:rPr>
        <w:footnoteRef/>
      </w:r>
      <w:r w:rsidRPr="00773087">
        <w:t xml:space="preserve"> Australian Prudential Regulation Authority, Quarterly Private Health Insurance Statistics Membership Trends, June 2023.</w:t>
      </w:r>
    </w:p>
  </w:footnote>
  <w:footnote w:id="151">
    <w:p w14:paraId="12FB97A3" w14:textId="453409D0" w:rsidR="0061025F" w:rsidRPr="00773087" w:rsidRDefault="0061025F" w:rsidP="005B366F">
      <w:pPr>
        <w:pStyle w:val="FootnoteText"/>
        <w:rPr>
          <w:sz w:val="18"/>
          <w:szCs w:val="18"/>
        </w:rPr>
      </w:pPr>
      <w:r w:rsidRPr="00773087">
        <w:rPr>
          <w:rStyle w:val="FootnoteReference"/>
        </w:rPr>
        <w:footnoteRef/>
      </w:r>
      <w:r w:rsidRPr="00773087">
        <w:t xml:space="preserve"> </w:t>
      </w:r>
      <w:r w:rsidR="005F041C" w:rsidRPr="00773087">
        <w:t>Australian Prudential Regulation Authority, Quarterly Private Health Insurance Statistics Membership Trends, June 2023</w:t>
      </w:r>
      <w:r w:rsidRPr="00773087">
        <w:t>.</w:t>
      </w:r>
    </w:p>
  </w:footnote>
  <w:footnote w:id="152">
    <w:p w14:paraId="58F4F146" w14:textId="77777777" w:rsidR="0061025F" w:rsidRPr="00773087" w:rsidRDefault="0061025F" w:rsidP="005B366F">
      <w:pPr>
        <w:pStyle w:val="FootnoteText"/>
        <w:rPr>
          <w:sz w:val="18"/>
          <w:szCs w:val="18"/>
        </w:rPr>
      </w:pPr>
      <w:r w:rsidRPr="00773087">
        <w:rPr>
          <w:rStyle w:val="FootnoteReference"/>
        </w:rPr>
        <w:footnoteRef/>
      </w:r>
      <w:r w:rsidRPr="00773087">
        <w:t xml:space="preserve"> </w:t>
      </w:r>
      <w:r>
        <w:t>Ibid.</w:t>
      </w:r>
    </w:p>
  </w:footnote>
  <w:footnote w:id="153">
    <w:p w14:paraId="148EAFF5" w14:textId="5BD732A2" w:rsidR="0061025F" w:rsidRDefault="0061025F" w:rsidP="005B366F">
      <w:pPr>
        <w:pStyle w:val="FootnoteText"/>
      </w:pPr>
      <w:r w:rsidRPr="00773087">
        <w:rPr>
          <w:rStyle w:val="FootnoteReference"/>
        </w:rPr>
        <w:footnoteRef/>
      </w:r>
      <w:r w:rsidR="00AE5145">
        <w:t xml:space="preserve"> </w:t>
      </w:r>
      <w:r w:rsidR="00F07F91" w:rsidRPr="00F07F91">
        <w:t>Australia Bureau of Statistics, Quarterly Population Estimates (ERP), by State/Territory, Sex and Age.</w:t>
      </w:r>
    </w:p>
  </w:footnote>
  <w:footnote w:id="154">
    <w:p w14:paraId="47D8F8F3" w14:textId="77777777" w:rsidR="0061025F" w:rsidRPr="00773087" w:rsidRDefault="0061025F" w:rsidP="005B366F">
      <w:pPr>
        <w:pStyle w:val="FootnoteText"/>
      </w:pPr>
      <w:r w:rsidRPr="00773087">
        <w:rPr>
          <w:rStyle w:val="FootnoteReference"/>
        </w:rPr>
        <w:footnoteRef/>
      </w:r>
      <w:r w:rsidRPr="00773087">
        <w:t xml:space="preserve"> Australian Prudential Regulation Authority, Quarterly Private Health Insurance Prostheses</w:t>
      </w:r>
      <w:r>
        <w:t>,</w:t>
      </w:r>
      <w:r w:rsidRPr="00773087">
        <w:t xml:space="preserve"> </w:t>
      </w:r>
      <w:r>
        <w:t>June</w:t>
      </w:r>
      <w:r w:rsidRPr="00773087">
        <w:t xml:space="preserve"> 2023.</w:t>
      </w:r>
    </w:p>
  </w:footnote>
  <w:footnote w:id="155">
    <w:p w14:paraId="69D3590B" w14:textId="77777777" w:rsidR="0061025F" w:rsidRPr="00773087" w:rsidRDefault="0061025F" w:rsidP="005B366F">
      <w:pPr>
        <w:pStyle w:val="FootnoteText"/>
        <w:rPr>
          <w:sz w:val="18"/>
          <w:szCs w:val="18"/>
        </w:rPr>
      </w:pPr>
      <w:r w:rsidRPr="00773087">
        <w:rPr>
          <w:rStyle w:val="FootnoteReference"/>
        </w:rPr>
        <w:footnoteRef/>
      </w:r>
      <w:r w:rsidRPr="00773087">
        <w:t xml:space="preserve"> Australian Prudential</w:t>
      </w:r>
      <w:r w:rsidRPr="00773087">
        <w:rPr>
          <w:sz w:val="12"/>
          <w:szCs w:val="12"/>
        </w:rPr>
        <w:t xml:space="preserve"> </w:t>
      </w:r>
      <w:r w:rsidRPr="00773087">
        <w:t xml:space="preserve">Regulation Authority, Quarterly Private Health Insurance </w:t>
      </w:r>
      <w:r>
        <w:t>Membership Coverage,</w:t>
      </w:r>
      <w:r w:rsidRPr="00773087">
        <w:t xml:space="preserve"> June 2023.</w:t>
      </w:r>
    </w:p>
  </w:footnote>
  <w:footnote w:id="156">
    <w:p w14:paraId="6C0BE1DF" w14:textId="77777777" w:rsidR="0061025F" w:rsidRPr="00773087" w:rsidRDefault="0061025F" w:rsidP="005B366F">
      <w:pPr>
        <w:pStyle w:val="FootnoteText"/>
      </w:pPr>
      <w:r w:rsidRPr="00773087">
        <w:rPr>
          <w:rStyle w:val="FootnoteReference"/>
        </w:rPr>
        <w:footnoteRef/>
      </w:r>
      <w:r w:rsidRPr="00773087">
        <w:t xml:space="preserve"> Australian Prudential Regulation Authority, Quarterly Private Health </w:t>
      </w:r>
      <w:r>
        <w:t>Membership and Benefits,</w:t>
      </w:r>
      <w:r w:rsidRPr="00773087">
        <w:t xml:space="preserve"> </w:t>
      </w:r>
      <w:r>
        <w:t>June</w:t>
      </w:r>
      <w:r w:rsidRPr="00773087">
        <w:t xml:space="preserve"> 202</w:t>
      </w:r>
      <w:r>
        <w:t>1</w:t>
      </w:r>
      <w:r w:rsidRPr="00773087">
        <w:t>.</w:t>
      </w:r>
    </w:p>
  </w:footnote>
  <w:footnote w:id="157">
    <w:p w14:paraId="1EE510EA" w14:textId="2FB610E0" w:rsidR="0061025F" w:rsidRPr="00773087" w:rsidRDefault="0061025F" w:rsidP="005B366F">
      <w:pPr>
        <w:pStyle w:val="FootnoteText"/>
        <w:rPr>
          <w:sz w:val="18"/>
          <w:szCs w:val="18"/>
        </w:rPr>
      </w:pPr>
      <w:r w:rsidRPr="00773087">
        <w:rPr>
          <w:rStyle w:val="FootnoteReference"/>
        </w:rPr>
        <w:footnoteRef/>
      </w:r>
      <w:r w:rsidRPr="00773087">
        <w:t xml:space="preserve"> Australian Prudential</w:t>
      </w:r>
      <w:r w:rsidRPr="00773087">
        <w:rPr>
          <w:sz w:val="12"/>
          <w:szCs w:val="12"/>
        </w:rPr>
        <w:t xml:space="preserve"> </w:t>
      </w:r>
      <w:r w:rsidRPr="00773087">
        <w:t>Regulation Authority, Quarterly Private Health Insurance Prostheses</w:t>
      </w:r>
      <w:r>
        <w:t>,</w:t>
      </w:r>
      <w:r w:rsidRPr="00773087">
        <w:t xml:space="preserve"> June 2023.</w:t>
      </w:r>
      <w:r>
        <w:t xml:space="preserve"> Note: </w:t>
      </w:r>
      <w:r w:rsidR="00963797" w:rsidRPr="00963797">
        <w:t xml:space="preserve">Utilisation is calculated here by dividing HT prostheses benefits of each category by the average prostheses benefit across all categories for the given financial year (as APRA does not publish prostheses utilisation by age and gender). HT population coverage for these age brackets </w:t>
      </w:r>
      <w:proofErr w:type="gramStart"/>
      <w:r w:rsidR="00963797" w:rsidRPr="00963797">
        <w:t>are</w:t>
      </w:r>
      <w:proofErr w:type="gramEnd"/>
      <w:r w:rsidR="00963797" w:rsidRPr="00963797">
        <w:t xml:space="preserve"> then divided by the utilisation</w:t>
      </w:r>
      <w:r w:rsidR="00D20AF2">
        <w:t xml:space="preserve"> to get the average</w:t>
      </w:r>
      <w:r w:rsidR="00963797" w:rsidRPr="00963797">
        <w:t>.</w:t>
      </w:r>
    </w:p>
  </w:footnote>
  <w:footnote w:id="158">
    <w:p w14:paraId="54C69FDF" w14:textId="77777777" w:rsidR="0061025F" w:rsidRPr="00773087" w:rsidRDefault="0061025F" w:rsidP="005B366F">
      <w:pPr>
        <w:pStyle w:val="FootnoteText"/>
      </w:pPr>
      <w:r w:rsidRPr="00773087">
        <w:rPr>
          <w:rStyle w:val="FootnoteReference"/>
        </w:rPr>
        <w:footnoteRef/>
      </w:r>
      <w:r w:rsidRPr="00773087">
        <w:t xml:space="preserve"> Australian Prudential Regulation Authority, Quarterly Private Health </w:t>
      </w:r>
      <w:r>
        <w:t>Membership and Benefits,</w:t>
      </w:r>
      <w:r w:rsidRPr="00773087">
        <w:t xml:space="preserve"> </w:t>
      </w:r>
      <w:r>
        <w:t>June</w:t>
      </w:r>
      <w:r w:rsidRPr="00773087">
        <w:t xml:space="preserve"> 202</w:t>
      </w:r>
      <w:r>
        <w:t>1</w:t>
      </w:r>
      <w:r w:rsidRPr="00773087">
        <w:t>.</w:t>
      </w:r>
    </w:p>
  </w:footnote>
  <w:footnote w:id="159">
    <w:p w14:paraId="62F0170F" w14:textId="7B033E13" w:rsidR="0061025F" w:rsidRPr="00773087" w:rsidRDefault="0061025F" w:rsidP="005B366F">
      <w:pPr>
        <w:pStyle w:val="FootnoteText"/>
        <w:rPr>
          <w:sz w:val="18"/>
          <w:szCs w:val="18"/>
        </w:rPr>
      </w:pPr>
      <w:r w:rsidRPr="00773087">
        <w:rPr>
          <w:rStyle w:val="FootnoteReference"/>
        </w:rPr>
        <w:footnoteRef/>
      </w:r>
      <w:r w:rsidRPr="00773087">
        <w:t xml:space="preserve"> Australian Prudential</w:t>
      </w:r>
      <w:r w:rsidRPr="00773087">
        <w:rPr>
          <w:sz w:val="12"/>
          <w:szCs w:val="12"/>
        </w:rPr>
        <w:t xml:space="preserve"> </w:t>
      </w:r>
      <w:r w:rsidRPr="00773087">
        <w:t>Regulation Authority, Quarterly Private Health Insurance Prostheses</w:t>
      </w:r>
      <w:r>
        <w:t>,</w:t>
      </w:r>
      <w:r w:rsidRPr="00773087">
        <w:t xml:space="preserve"> </w:t>
      </w:r>
      <w:r>
        <w:t>June</w:t>
      </w:r>
      <w:r w:rsidRPr="00773087">
        <w:t xml:space="preserve"> 2023.</w:t>
      </w:r>
      <w:r>
        <w:t xml:space="preserve"> </w:t>
      </w:r>
      <w:r w:rsidR="00BF2ED7" w:rsidRPr="00BF2ED7">
        <w:t>Utilisation</w:t>
      </w:r>
      <w:r w:rsidRPr="00155E63">
        <w:t xml:space="preserve"> is calculated </w:t>
      </w:r>
      <w:r w:rsidR="00BF2ED7" w:rsidRPr="00BF2ED7">
        <w:t xml:space="preserve">here </w:t>
      </w:r>
      <w:r w:rsidRPr="00155E63">
        <w:t xml:space="preserve">by dividing HT prostheses benefits of each category by the average prostheses benefit across all categories for </w:t>
      </w:r>
      <w:r>
        <w:t xml:space="preserve">the </w:t>
      </w:r>
      <w:r w:rsidRPr="00155E63">
        <w:t>given financial year</w:t>
      </w:r>
      <w:r w:rsidR="00BF2ED7" w:rsidRPr="00BF2ED7">
        <w:t xml:space="preserve"> (as</w:t>
      </w:r>
      <w:r w:rsidRPr="00155E63">
        <w:t xml:space="preserve"> APRA does not </w:t>
      </w:r>
      <w:r w:rsidR="00BF2ED7" w:rsidRPr="00BF2ED7">
        <w:t>publish</w:t>
      </w:r>
      <w:r w:rsidRPr="00155E63">
        <w:t xml:space="preserve"> prostheses utilisation by age and gender</w:t>
      </w:r>
      <w:r w:rsidR="00BF2ED7" w:rsidRPr="00BF2ED7">
        <w:t xml:space="preserve">). HT population coverage for </w:t>
      </w:r>
      <w:r w:rsidR="00C96738">
        <w:t>each gender is</w:t>
      </w:r>
      <w:r w:rsidR="00BF2ED7" w:rsidRPr="00BF2ED7">
        <w:t xml:space="preserve"> then divided by the utilisation to get the average.</w:t>
      </w:r>
    </w:p>
  </w:footnote>
  <w:footnote w:id="160">
    <w:p w14:paraId="4E5589DD" w14:textId="77777777" w:rsidR="00E75797" w:rsidRPr="007A00D4" w:rsidRDefault="00E75797" w:rsidP="005B366F">
      <w:pPr>
        <w:pStyle w:val="FootnoteText"/>
      </w:pPr>
      <w:r w:rsidRPr="007A00D4">
        <w:rPr>
          <w:rStyle w:val="FootnoteReference"/>
        </w:rPr>
        <w:footnoteRef/>
      </w:r>
      <w:r w:rsidRPr="007A00D4">
        <w:t xml:space="preserve"> Department of Health, Prostheses List – Guide to listing and setting benefits for prostheses, 2017.</w:t>
      </w:r>
    </w:p>
  </w:footnote>
  <w:footnote w:id="161">
    <w:p w14:paraId="4296CA50" w14:textId="77777777" w:rsidR="00E75797" w:rsidRPr="007A00D4" w:rsidRDefault="00E75797" w:rsidP="005B366F">
      <w:pPr>
        <w:pStyle w:val="FootnoteText"/>
      </w:pPr>
      <w:r w:rsidRPr="007A00D4">
        <w:rPr>
          <w:rStyle w:val="FootnoteReference"/>
        </w:rPr>
        <w:footnoteRef/>
      </w:r>
      <w:r w:rsidRPr="007A00D4">
        <w:t xml:space="preserve"> Menzies Centre for Health Policy &amp; University of Sydney, Options for a revised framework for setting and reviewing benefits for the prostheses list, 2020.</w:t>
      </w:r>
    </w:p>
  </w:footnote>
  <w:footnote w:id="162">
    <w:p w14:paraId="2DDC2F89" w14:textId="77777777" w:rsidR="00E75797" w:rsidRPr="007A00D4" w:rsidRDefault="00E75797" w:rsidP="005B366F">
      <w:pPr>
        <w:pStyle w:val="FootnoteText"/>
        <w:rPr>
          <w:sz w:val="18"/>
          <w:szCs w:val="18"/>
        </w:rPr>
      </w:pPr>
      <w:r w:rsidRPr="007A00D4">
        <w:rPr>
          <w:rStyle w:val="FootnoteReference"/>
        </w:rPr>
        <w:footnoteRef/>
      </w:r>
      <w:r w:rsidRPr="007A00D4">
        <w:t xml:space="preserve"> </w:t>
      </w:r>
      <w:r>
        <w:t>Ibid</w:t>
      </w:r>
      <w:r w:rsidRPr="007A00D4">
        <w:t>.</w:t>
      </w:r>
    </w:p>
  </w:footnote>
  <w:footnote w:id="163">
    <w:p w14:paraId="731877C1" w14:textId="77777777" w:rsidR="00E75797" w:rsidRDefault="00E75797" w:rsidP="005B366F">
      <w:pPr>
        <w:pStyle w:val="FootnoteText"/>
      </w:pPr>
      <w:r>
        <w:rPr>
          <w:rStyle w:val="FootnoteReference"/>
        </w:rPr>
        <w:footnoteRef/>
      </w:r>
      <w:r>
        <w:t xml:space="preserve"> Department of Health, Prostheses List: Guide to listing and setting benefits for prostheses, 2017.</w:t>
      </w:r>
    </w:p>
  </w:footnote>
  <w:footnote w:id="164">
    <w:p w14:paraId="34BB8F6F" w14:textId="13972484" w:rsidR="006B1DAD" w:rsidRDefault="006B1DAD" w:rsidP="005B366F">
      <w:pPr>
        <w:pStyle w:val="FootnoteText"/>
      </w:pPr>
      <w:r>
        <w:rPr>
          <w:rStyle w:val="FootnoteReference"/>
        </w:rPr>
        <w:footnoteRef/>
      </w:r>
      <w:r>
        <w:t xml:space="preserve"> Department of Health and Aged Care, PHI circulars, </w:t>
      </w:r>
      <w:r w:rsidRPr="006B1DAD">
        <w:t>https://www.health.gov.au/news/phi-circulars</w:t>
      </w:r>
      <w:r>
        <w:t>.</w:t>
      </w:r>
    </w:p>
  </w:footnote>
  <w:footnote w:id="165">
    <w:p w14:paraId="6CA1654C" w14:textId="353ABAF2" w:rsidR="002A349D" w:rsidRDefault="002A349D" w:rsidP="005B366F">
      <w:pPr>
        <w:pStyle w:val="FootnoteText"/>
      </w:pPr>
      <w:r>
        <w:rPr>
          <w:rStyle w:val="FootnoteReference"/>
        </w:rPr>
        <w:footnoteRef/>
      </w:r>
      <w:r>
        <w:t xml:space="preserve"> In this m</w:t>
      </w:r>
      <w:r w:rsidR="0016163F">
        <w:t xml:space="preserve">easure, the term ‘items’ is used </w:t>
      </w:r>
      <w:r w:rsidR="00D740D8">
        <w:t>to mean</w:t>
      </w:r>
      <w:r w:rsidR="0016163F">
        <w:t xml:space="preserve"> PL</w:t>
      </w:r>
      <w:r w:rsidR="0016163F" w:rsidRPr="0016163F">
        <w:t xml:space="preserve"> billing code</w:t>
      </w:r>
      <w:r w:rsidR="0016163F">
        <w:t>s</w:t>
      </w:r>
      <w:r w:rsidR="00D740D8">
        <w:t>.</w:t>
      </w:r>
    </w:p>
  </w:footnote>
  <w:footnote w:id="166">
    <w:p w14:paraId="6A9EA155" w14:textId="4072F139" w:rsidR="0089667E" w:rsidRDefault="0089667E" w:rsidP="005B366F">
      <w:pPr>
        <w:pStyle w:val="FootnoteText"/>
      </w:pPr>
      <w:r w:rsidRPr="00B3722F">
        <w:rPr>
          <w:rStyle w:val="FootnoteReference"/>
        </w:rPr>
        <w:footnoteRef/>
      </w:r>
      <w:r w:rsidRPr="00B3722F">
        <w:t xml:space="preserve"> </w:t>
      </w:r>
      <w:r w:rsidR="00B3722F">
        <w:t>In</w:t>
      </w:r>
      <w:r w:rsidR="003F25A5">
        <w:t xml:space="preserve"> this</w:t>
      </w:r>
      <w:r w:rsidR="003F25A5" w:rsidRPr="00B3722F">
        <w:t xml:space="preserve"> measure, </w:t>
      </w:r>
      <w:r w:rsidR="00AD122E" w:rsidRPr="00B3722F">
        <w:t>‘</w:t>
      </w:r>
      <w:r w:rsidR="003F25A5" w:rsidRPr="00B3722F">
        <w:t>benefit groups</w:t>
      </w:r>
      <w:r w:rsidR="00AD122E" w:rsidRPr="00B3722F">
        <w:t>’</w:t>
      </w:r>
      <w:r w:rsidR="003F25A5" w:rsidRPr="00B3722F">
        <w:t xml:space="preserve"> are all items within a category, sub-category, </w:t>
      </w:r>
      <w:proofErr w:type="gramStart"/>
      <w:r w:rsidR="003F25A5" w:rsidRPr="00B3722F">
        <w:t>group</w:t>
      </w:r>
      <w:proofErr w:type="gramEnd"/>
      <w:r w:rsidR="003F25A5" w:rsidRPr="00B3722F">
        <w:t xml:space="preserve"> and sub-group that share the same suffix. This </w:t>
      </w:r>
      <w:r w:rsidR="00E717F3" w:rsidRPr="00B3722F">
        <w:t xml:space="preserve">is a slightly different definition of </w:t>
      </w:r>
      <w:r w:rsidR="00197703" w:rsidRPr="00B3722F">
        <w:t>‘</w:t>
      </w:r>
      <w:r w:rsidR="00E717F3" w:rsidRPr="00B3722F">
        <w:t>benefit group</w:t>
      </w:r>
      <w:r w:rsidR="00197703" w:rsidRPr="00B3722F">
        <w:t>’</w:t>
      </w:r>
      <w:r w:rsidR="00E717F3" w:rsidRPr="00B3722F">
        <w:t xml:space="preserve"> used in </w:t>
      </w:r>
      <w:r w:rsidR="009E6EA7" w:rsidRPr="00B3722F">
        <w:t>indictors 1 and 2, as this was t</w:t>
      </w:r>
      <w:r w:rsidR="00197703" w:rsidRPr="00B3722F">
        <w:t xml:space="preserve">o capture items that have the same benefit within a </w:t>
      </w:r>
      <w:r w:rsidR="00863496" w:rsidRPr="00B3722F">
        <w:t>sub-group, as aligned with IHACPA’s benefit reduction methodology.</w:t>
      </w:r>
    </w:p>
  </w:footnote>
  <w:footnote w:id="167">
    <w:p w14:paraId="2449FE4E" w14:textId="77777777" w:rsidR="0040690C" w:rsidRPr="00773087" w:rsidRDefault="0040690C" w:rsidP="005B366F">
      <w:pPr>
        <w:pStyle w:val="FootnoteText"/>
      </w:pPr>
      <w:r w:rsidRPr="00773087">
        <w:rPr>
          <w:rStyle w:val="FootnoteReference"/>
        </w:rPr>
        <w:footnoteRef/>
      </w:r>
      <w:r w:rsidRPr="00773087">
        <w:t xml:space="preserve"> Department of Health and Aged Care, Prostheses List Part A (Prostheses), Part B (Human Tissue List) and Part C (Other), July 2021 edition.</w:t>
      </w:r>
    </w:p>
  </w:footnote>
  <w:footnote w:id="168">
    <w:p w14:paraId="23B702C9" w14:textId="55CC0357" w:rsidR="005C21C9" w:rsidRDefault="005C21C9" w:rsidP="005B366F">
      <w:pPr>
        <w:pStyle w:val="FootnoteText"/>
      </w:pPr>
      <w:r>
        <w:rPr>
          <w:rStyle w:val="FootnoteReference"/>
        </w:rPr>
        <w:footnoteRef/>
      </w:r>
      <w:r>
        <w:t xml:space="preserve"> </w:t>
      </w:r>
      <w:r w:rsidRPr="00773087">
        <w:t>Department of Health and Aged Care, Prostheses List Part A (Prostheses) and Part C (Other), August 2012</w:t>
      </w:r>
      <w:r>
        <w:t xml:space="preserve"> </w:t>
      </w:r>
      <w:r w:rsidRPr="00773087">
        <w:t>and July 2021 editions.</w:t>
      </w:r>
    </w:p>
  </w:footnote>
  <w:footnote w:id="169">
    <w:p w14:paraId="061370CF" w14:textId="009956F7" w:rsidR="003C1E6A" w:rsidRPr="00773087" w:rsidRDefault="003C1E6A" w:rsidP="005B366F">
      <w:pPr>
        <w:pStyle w:val="FootnoteText"/>
      </w:pPr>
      <w:r w:rsidRPr="00773087">
        <w:rPr>
          <w:rStyle w:val="FootnoteReference"/>
        </w:rPr>
        <w:footnoteRef/>
      </w:r>
      <w:r w:rsidRPr="00773087">
        <w:t xml:space="preserve"> Department of Health and Aged Care, Prostheses List Part A (Prostheses) and Part C (Other), August 2012, August 2013, August 2014, August 2015, August 2016, August 2017, August 2018, August 2019, July </w:t>
      </w:r>
      <w:proofErr w:type="gramStart"/>
      <w:r w:rsidRPr="00773087">
        <w:t>2020</w:t>
      </w:r>
      <w:proofErr w:type="gramEnd"/>
      <w:r w:rsidRPr="00773087">
        <w:t xml:space="preserve"> and July 2021 editions.</w:t>
      </w:r>
    </w:p>
  </w:footnote>
  <w:footnote w:id="170">
    <w:p w14:paraId="33CB318D" w14:textId="608244E1" w:rsidR="0040690C" w:rsidRPr="00773087" w:rsidRDefault="0040690C" w:rsidP="005B366F">
      <w:pPr>
        <w:pStyle w:val="FootnoteText"/>
      </w:pPr>
      <w:r w:rsidRPr="00773087">
        <w:rPr>
          <w:rStyle w:val="FootnoteReference"/>
        </w:rPr>
        <w:footnoteRef/>
      </w:r>
      <w:r w:rsidRPr="00773087">
        <w:t xml:space="preserve"> Department of Health and Aged Care, Prostheses List Part A (Prostheses)</w:t>
      </w:r>
      <w:r w:rsidR="003274CD">
        <w:t xml:space="preserve"> and Part C (Other)</w:t>
      </w:r>
      <w:r w:rsidRPr="00773087">
        <w:t xml:space="preserve">, August 2012, August 2013, August 2014, August 2015, August 2016, August 2017, August 2018, August 2019, July </w:t>
      </w:r>
      <w:proofErr w:type="gramStart"/>
      <w:r w:rsidRPr="00773087">
        <w:t>2020</w:t>
      </w:r>
      <w:proofErr w:type="gramEnd"/>
      <w:r w:rsidRPr="00773087">
        <w:t xml:space="preserve"> and July 2021 editions.</w:t>
      </w:r>
    </w:p>
  </w:footnote>
  <w:footnote w:id="171">
    <w:p w14:paraId="00686F33" w14:textId="77777777" w:rsidR="007856FE" w:rsidRPr="00773087" w:rsidRDefault="007856FE" w:rsidP="005B366F">
      <w:pPr>
        <w:pStyle w:val="FootnoteText"/>
      </w:pPr>
      <w:r w:rsidRPr="00773087">
        <w:rPr>
          <w:rStyle w:val="FootnoteReference"/>
        </w:rPr>
        <w:footnoteRef/>
      </w:r>
      <w:r w:rsidRPr="00773087">
        <w:t xml:space="preserve"> Department of Health and Aged Care, Prostheses List Part A (Prostheses) and Part C (Other), August 2012, August 2013, August 2014, August 2015, August 2016, August 2017, August 2018, August 2019, July </w:t>
      </w:r>
      <w:proofErr w:type="gramStart"/>
      <w:r w:rsidRPr="00773087">
        <w:t>2020</w:t>
      </w:r>
      <w:proofErr w:type="gramEnd"/>
      <w:r w:rsidRPr="00773087">
        <w:t xml:space="preserve"> and July 2021 editions.</w:t>
      </w:r>
    </w:p>
  </w:footnote>
  <w:footnote w:id="172">
    <w:p w14:paraId="66DDAA39" w14:textId="77777777" w:rsidR="006D2057" w:rsidRDefault="006D2057" w:rsidP="005B366F">
      <w:pPr>
        <w:pStyle w:val="FootnoteText"/>
      </w:pPr>
      <w:r>
        <w:rPr>
          <w:rStyle w:val="FootnoteReference"/>
        </w:rPr>
        <w:footnoteRef/>
      </w:r>
      <w:r>
        <w:t xml:space="preserve"> Department of Health and Aged Care, General use items to be removed from the Prostheses List by group</w:t>
      </w:r>
      <w:r w:rsidR="00AB6DE4">
        <w:t xml:space="preserve">, </w:t>
      </w:r>
      <w:r w:rsidR="00AB6DE4" w:rsidRPr="00AB6DE4">
        <w:t>https://www.health.gov.au/resources/publications/general-use-items-to-be-removed-from-the-prostheses-list-by-group</w:t>
      </w:r>
      <w:r w:rsidR="00AB6DE4">
        <w:t>.</w:t>
      </w:r>
    </w:p>
  </w:footnote>
  <w:footnote w:id="173">
    <w:p w14:paraId="6D1A6B6C" w14:textId="757F164E" w:rsidR="00A92F2A" w:rsidRDefault="00A92F2A" w:rsidP="005B366F">
      <w:pPr>
        <w:pStyle w:val="FootnoteText"/>
      </w:pPr>
      <w:r>
        <w:rPr>
          <w:rStyle w:val="FootnoteReference"/>
        </w:rPr>
        <w:footnoteRef/>
      </w:r>
      <w:r>
        <w:t xml:space="preserve"> Stakeholder interviews, 2023.</w:t>
      </w:r>
    </w:p>
  </w:footnote>
  <w:footnote w:id="174">
    <w:p w14:paraId="04BCE59D" w14:textId="77777777" w:rsidR="00C224BD" w:rsidRPr="007A00D4" w:rsidRDefault="00C224BD" w:rsidP="005B366F">
      <w:pPr>
        <w:pStyle w:val="FootnoteText"/>
      </w:pPr>
      <w:r w:rsidRPr="007A00D4">
        <w:rPr>
          <w:rStyle w:val="FootnoteReference"/>
        </w:rPr>
        <w:footnoteRef/>
      </w:r>
      <w:r w:rsidRPr="007A00D4">
        <w:t xml:space="preserve"> Medical Technology Association of Australia, Submission to the Committee Inquiry into the Prostheses List Framework, 2017.</w:t>
      </w:r>
    </w:p>
  </w:footnote>
  <w:footnote w:id="175">
    <w:p w14:paraId="27D7AC91" w14:textId="77777777" w:rsidR="00C224BD" w:rsidRPr="007A00D4" w:rsidRDefault="00C224BD" w:rsidP="005B366F">
      <w:pPr>
        <w:pStyle w:val="FootnoteText"/>
      </w:pPr>
      <w:r w:rsidRPr="007A00D4">
        <w:rPr>
          <w:rStyle w:val="FootnoteReference"/>
        </w:rPr>
        <w:footnoteRef/>
      </w:r>
      <w:r w:rsidRPr="007A00D4">
        <w:t xml:space="preserve"> Stakeholder interviews, 2023.</w:t>
      </w:r>
    </w:p>
  </w:footnote>
  <w:footnote w:id="176">
    <w:p w14:paraId="180406ED" w14:textId="77777777" w:rsidR="00C224BD" w:rsidRPr="007A00D4" w:rsidRDefault="00C224BD" w:rsidP="005B366F">
      <w:pPr>
        <w:pStyle w:val="FootnoteText"/>
      </w:pPr>
      <w:r w:rsidRPr="007A00D4">
        <w:rPr>
          <w:rStyle w:val="FootnoteReference"/>
        </w:rPr>
        <w:footnoteRef/>
      </w:r>
      <w:r w:rsidRPr="007A00D4">
        <w:t xml:space="preserve"> </w:t>
      </w:r>
      <w:r>
        <w:t>Ibid</w:t>
      </w:r>
      <w:r w:rsidRPr="007A00D4">
        <w:t>.</w:t>
      </w:r>
    </w:p>
  </w:footnote>
  <w:footnote w:id="177">
    <w:p w14:paraId="6D8A7A2D" w14:textId="77777777" w:rsidR="00C224BD" w:rsidRPr="007A00D4" w:rsidRDefault="00C224BD" w:rsidP="005B366F">
      <w:pPr>
        <w:pStyle w:val="FootnoteText"/>
      </w:pPr>
      <w:r w:rsidRPr="007A00D4">
        <w:rPr>
          <w:rStyle w:val="FootnoteReference"/>
        </w:rPr>
        <w:footnoteRef/>
      </w:r>
      <w:r w:rsidRPr="007A00D4">
        <w:t xml:space="preserve"> </w:t>
      </w:r>
      <w:r>
        <w:t>Ibid</w:t>
      </w:r>
      <w:r w:rsidRPr="007A00D4">
        <w:t>.</w:t>
      </w:r>
    </w:p>
  </w:footnote>
  <w:footnote w:id="178">
    <w:p w14:paraId="747E0682" w14:textId="41698097" w:rsidR="00C224BD" w:rsidRPr="007A00D4" w:rsidRDefault="00C224BD" w:rsidP="005B366F">
      <w:pPr>
        <w:pStyle w:val="FootnoteText"/>
      </w:pPr>
      <w:r w:rsidRPr="007A00D4">
        <w:rPr>
          <w:rStyle w:val="FootnoteReference"/>
        </w:rPr>
        <w:footnoteRef/>
      </w:r>
      <w:r w:rsidRPr="007A00D4">
        <w:t xml:space="preserve"> </w:t>
      </w:r>
      <w:r w:rsidR="000520A9">
        <w:t>Ibid</w:t>
      </w:r>
      <w:r w:rsidRPr="007A00D4">
        <w:t>.</w:t>
      </w:r>
    </w:p>
  </w:footnote>
  <w:footnote w:id="179">
    <w:p w14:paraId="37AFC1BB" w14:textId="77777777" w:rsidR="00F727D5" w:rsidRPr="007A00D4" w:rsidRDefault="00F727D5" w:rsidP="00F727D5">
      <w:pPr>
        <w:pStyle w:val="FootnoteText"/>
      </w:pPr>
      <w:r w:rsidRPr="00BF748D">
        <w:rPr>
          <w:rStyle w:val="FootnoteReference"/>
        </w:rPr>
        <w:footnoteRef/>
      </w:r>
      <w:r w:rsidRPr="00BF748D">
        <w:t xml:space="preserve"> </w:t>
      </w:r>
      <w:r w:rsidRPr="007A00D4">
        <w:t>Stakeholder interviews, 2023</w:t>
      </w:r>
      <w:r w:rsidRPr="00BF748D">
        <w:t>.</w:t>
      </w:r>
    </w:p>
  </w:footnote>
  <w:footnote w:id="180">
    <w:p w14:paraId="532935B2" w14:textId="77777777" w:rsidR="00694779" w:rsidRPr="007A00D4" w:rsidRDefault="00694779" w:rsidP="00694779">
      <w:pPr>
        <w:pStyle w:val="FootnoteText"/>
      </w:pPr>
      <w:r w:rsidRPr="007A00D4">
        <w:rPr>
          <w:rStyle w:val="FootnoteReference"/>
        </w:rPr>
        <w:footnoteRef/>
      </w:r>
      <w:r w:rsidRPr="007A00D4">
        <w:t xml:space="preserve"> </w:t>
      </w:r>
      <w:r>
        <w:t>Ibid</w:t>
      </w:r>
      <w:r w:rsidRPr="007A00D4">
        <w:t>.</w:t>
      </w:r>
    </w:p>
  </w:footnote>
  <w:footnote w:id="181">
    <w:p w14:paraId="146F721A" w14:textId="103CED31" w:rsidR="00DC7E64" w:rsidRDefault="00DC7E64">
      <w:pPr>
        <w:pStyle w:val="FootnoteText"/>
      </w:pPr>
      <w:r>
        <w:rPr>
          <w:rStyle w:val="FootnoteReference"/>
        </w:rPr>
        <w:footnoteRef/>
      </w:r>
      <w:r>
        <w:t xml:space="preserve"> </w:t>
      </w:r>
      <w:r w:rsidR="008241EC">
        <w:t>Stakeholder interviews, 2023.</w:t>
      </w:r>
    </w:p>
  </w:footnote>
  <w:footnote w:id="182">
    <w:p w14:paraId="3E5D3461" w14:textId="709785E5" w:rsidR="00427605" w:rsidRDefault="00427605" w:rsidP="00427605">
      <w:pPr>
        <w:pStyle w:val="FootnoteText"/>
      </w:pPr>
      <w:r>
        <w:rPr>
          <w:rStyle w:val="FootnoteReference"/>
        </w:rPr>
        <w:footnoteRef/>
      </w:r>
      <w:r>
        <w:t xml:space="preserve"> Australian Private Hospital Association, Prostheses List Reform – Scope and Definition (Response), 2021. </w:t>
      </w:r>
    </w:p>
  </w:footnote>
  <w:footnote w:id="183">
    <w:p w14:paraId="65D79601" w14:textId="77777777" w:rsidR="009641ED" w:rsidRDefault="009641ED" w:rsidP="005B366F">
      <w:pPr>
        <w:pStyle w:val="FootnoteText"/>
      </w:pPr>
      <w:r>
        <w:rPr>
          <w:rStyle w:val="FootnoteReference"/>
        </w:rPr>
        <w:footnoteRef/>
      </w:r>
      <w:r>
        <w:t xml:space="preserve"> </w:t>
      </w:r>
      <w:r w:rsidRPr="007A00D4">
        <w:t>Department of Health, Prostheses List - Guide to listing and setting benefits for prostheses, 2017.</w:t>
      </w:r>
    </w:p>
  </w:footnote>
  <w:footnote w:id="184">
    <w:p w14:paraId="1AA285EC" w14:textId="77777777" w:rsidR="009641ED" w:rsidRPr="007A00D4" w:rsidRDefault="009641ED" w:rsidP="005B366F">
      <w:pPr>
        <w:pStyle w:val="FootnoteText"/>
      </w:pPr>
      <w:r w:rsidRPr="007A00D4">
        <w:rPr>
          <w:rStyle w:val="FootnoteReference"/>
        </w:rPr>
        <w:footnoteRef/>
      </w:r>
      <w:r w:rsidRPr="007A00D4">
        <w:t xml:space="preserve"> </w:t>
      </w:r>
      <w:r>
        <w:t>Ibid</w:t>
      </w:r>
      <w:r w:rsidRPr="007A00D4">
        <w:t>.</w:t>
      </w:r>
    </w:p>
  </w:footnote>
  <w:footnote w:id="185">
    <w:p w14:paraId="1B0D0CDA" w14:textId="77777777" w:rsidR="002F1239" w:rsidRDefault="002F1239" w:rsidP="005B366F">
      <w:pPr>
        <w:pStyle w:val="FootnoteText"/>
      </w:pPr>
      <w:r>
        <w:rPr>
          <w:rStyle w:val="FootnoteReference"/>
        </w:rPr>
        <w:footnoteRef/>
      </w:r>
      <w:r>
        <w:t xml:space="preserve"> </w:t>
      </w:r>
      <w:r w:rsidRPr="007A00D4">
        <w:t>Department of Health, Prostheses List - Guide to listing and setting benefits for prostheses, 2017</w:t>
      </w:r>
      <w:r>
        <w:t>.</w:t>
      </w:r>
    </w:p>
  </w:footnote>
  <w:footnote w:id="186">
    <w:p w14:paraId="5EB2BA5F" w14:textId="77777777" w:rsidR="002F1239" w:rsidRDefault="002F1239" w:rsidP="005B366F">
      <w:pPr>
        <w:pStyle w:val="FootnoteText"/>
      </w:pPr>
      <w:r w:rsidRPr="00303796">
        <w:rPr>
          <w:rStyle w:val="FootnoteReference"/>
        </w:rPr>
        <w:footnoteRef/>
      </w:r>
      <w:r w:rsidRPr="00303796">
        <w:t xml:space="preserve"> Menzies</w:t>
      </w:r>
      <w:r w:rsidRPr="007A00D4">
        <w:t xml:space="preserve"> Centre for Health Policy &amp; University of Sydney, Options for a revised framework for setting and reviewing benefits for the prostheses list, 2020.</w:t>
      </w:r>
    </w:p>
  </w:footnote>
  <w:footnote w:id="187">
    <w:p w14:paraId="6CB61F24" w14:textId="77777777" w:rsidR="006C6403" w:rsidRPr="007A00D4" w:rsidRDefault="006C6403" w:rsidP="005B366F">
      <w:pPr>
        <w:pStyle w:val="FootnoteText"/>
      </w:pPr>
      <w:r w:rsidRPr="007A00D4">
        <w:rPr>
          <w:rStyle w:val="FootnoteReference"/>
        </w:rPr>
        <w:footnoteRef/>
      </w:r>
      <w:r w:rsidRPr="007A00D4">
        <w:t xml:space="preserve"> Private HealthCare Australia, Submission: Senate Community Affairs References Committee, Inquiry into price regulation associated with the Prostheses List Framework, 2017.</w:t>
      </w:r>
    </w:p>
  </w:footnote>
  <w:footnote w:id="188">
    <w:p w14:paraId="21D5A2E3" w14:textId="77777777" w:rsidR="006C6403" w:rsidRPr="00CA6075" w:rsidRDefault="006C6403" w:rsidP="005B366F">
      <w:pPr>
        <w:pStyle w:val="FootnoteText"/>
        <w:rPr>
          <w:sz w:val="16"/>
          <w:szCs w:val="16"/>
        </w:rPr>
      </w:pPr>
      <w:r w:rsidRPr="007A00D4">
        <w:rPr>
          <w:rStyle w:val="FootnoteReference"/>
        </w:rPr>
        <w:footnoteRef/>
      </w:r>
      <w:r w:rsidRPr="007A00D4">
        <w:t xml:space="preserve"> Consumers Health Forum of Australia, Submission into the Senate Inquiry into Price Regulation associated with the Prostheses List Framework, 2017.</w:t>
      </w:r>
    </w:p>
  </w:footnote>
  <w:footnote w:id="189">
    <w:p w14:paraId="1BD6AD38" w14:textId="77777777" w:rsidR="006C6403" w:rsidRPr="007A00D4" w:rsidRDefault="006C6403" w:rsidP="005B366F">
      <w:pPr>
        <w:pStyle w:val="FootnoteText"/>
      </w:pPr>
      <w:r w:rsidRPr="007A00D4">
        <w:rPr>
          <w:rStyle w:val="FootnoteReference"/>
        </w:rPr>
        <w:footnoteRef/>
      </w:r>
      <w:r w:rsidRPr="007A00D4">
        <w:t xml:space="preserve"> Stakeholder interviews, 2023.</w:t>
      </w:r>
    </w:p>
  </w:footnote>
  <w:footnote w:id="190">
    <w:p w14:paraId="7EF9A04B" w14:textId="77777777" w:rsidR="006C6403" w:rsidRPr="007A00D4" w:rsidRDefault="006C6403" w:rsidP="005B366F">
      <w:pPr>
        <w:pStyle w:val="FootnoteText"/>
      </w:pPr>
      <w:r w:rsidRPr="007A00D4">
        <w:rPr>
          <w:rStyle w:val="FootnoteReference"/>
        </w:rPr>
        <w:footnoteRef/>
      </w:r>
      <w:r w:rsidRPr="007A00D4">
        <w:t xml:space="preserve"> </w:t>
      </w:r>
      <w:r>
        <w:t>Ibid</w:t>
      </w:r>
      <w:r w:rsidRPr="007A00D4">
        <w:t>.</w:t>
      </w:r>
    </w:p>
  </w:footnote>
  <w:footnote w:id="191">
    <w:p w14:paraId="7F0E930D" w14:textId="77777777" w:rsidR="00A90C3A" w:rsidRDefault="00A90C3A" w:rsidP="005B366F">
      <w:pPr>
        <w:pStyle w:val="FootnoteText"/>
      </w:pPr>
      <w:r>
        <w:rPr>
          <w:rStyle w:val="FootnoteReference"/>
        </w:rPr>
        <w:footnoteRef/>
      </w:r>
      <w:r>
        <w:t xml:space="preserve"> </w:t>
      </w:r>
      <w:r w:rsidRPr="007A00D4">
        <w:t>Department of Health, Prostheses List - Guide to listing and setting benefits for prostheses, 2017</w:t>
      </w:r>
      <w:r>
        <w:t>.</w:t>
      </w:r>
    </w:p>
  </w:footnote>
  <w:footnote w:id="192">
    <w:p w14:paraId="6D2C64DD" w14:textId="77777777" w:rsidR="00A90C3A" w:rsidRDefault="00A90C3A" w:rsidP="005B366F">
      <w:pPr>
        <w:pStyle w:val="FootnoteText"/>
      </w:pPr>
      <w:r>
        <w:rPr>
          <w:rStyle w:val="FootnoteReference"/>
        </w:rPr>
        <w:footnoteRef/>
      </w:r>
      <w:r>
        <w:t xml:space="preserve"> </w:t>
      </w:r>
      <w:r w:rsidRPr="0081632C">
        <w:rPr>
          <w:szCs w:val="14"/>
        </w:rPr>
        <w:t>Tamblyn, D, Parsons, J, Salinger, K &amp; Merlin, T, Options for a Reformed Prostheses List Pre-Listing Assessment Framework and Governance Structure, 2022.</w:t>
      </w:r>
    </w:p>
  </w:footnote>
  <w:footnote w:id="193">
    <w:p w14:paraId="74485697" w14:textId="40F98C91" w:rsidR="00F777EC" w:rsidRDefault="00F777EC" w:rsidP="005B366F">
      <w:pPr>
        <w:pStyle w:val="FootnoteText"/>
      </w:pPr>
      <w:r>
        <w:rPr>
          <w:rStyle w:val="FootnoteReference"/>
        </w:rPr>
        <w:footnoteRef/>
      </w:r>
      <w:r>
        <w:t xml:space="preserve"> Stakeholder interviews, 2024.</w:t>
      </w:r>
    </w:p>
  </w:footnote>
  <w:footnote w:id="194">
    <w:p w14:paraId="43A5C5E3" w14:textId="77777777" w:rsidR="00BB359A" w:rsidRDefault="00BB359A" w:rsidP="005B366F">
      <w:pPr>
        <w:pStyle w:val="FootnoteText"/>
      </w:pPr>
      <w:r>
        <w:rPr>
          <w:rStyle w:val="FootnoteReference"/>
        </w:rPr>
        <w:footnoteRef/>
      </w:r>
      <w:r>
        <w:t xml:space="preserve"> Stakeholder interviews, 2023.</w:t>
      </w:r>
    </w:p>
  </w:footnote>
  <w:footnote w:id="195">
    <w:p w14:paraId="10AF010A" w14:textId="273A2CFC" w:rsidR="001E4975" w:rsidRPr="007A00D4" w:rsidRDefault="001E4975" w:rsidP="005B366F">
      <w:pPr>
        <w:pStyle w:val="FootnoteText"/>
      </w:pPr>
      <w:r w:rsidRPr="007A00D4">
        <w:rPr>
          <w:rStyle w:val="FootnoteReference"/>
        </w:rPr>
        <w:footnoteRef/>
      </w:r>
      <w:r w:rsidRPr="007A00D4">
        <w:t xml:space="preserve"> </w:t>
      </w:r>
      <w:r w:rsidR="00E211DC">
        <w:t>Ibid</w:t>
      </w:r>
      <w:r w:rsidRPr="007A00D4">
        <w:t>.</w:t>
      </w:r>
    </w:p>
  </w:footnote>
  <w:footnote w:id="196">
    <w:p w14:paraId="5B2657F6" w14:textId="77777777" w:rsidR="00A90C3A" w:rsidRDefault="00A90C3A" w:rsidP="005B366F">
      <w:pPr>
        <w:pStyle w:val="FootnoteText"/>
      </w:pPr>
      <w:r>
        <w:rPr>
          <w:rStyle w:val="FootnoteReference"/>
        </w:rPr>
        <w:footnoteRef/>
      </w:r>
      <w:r>
        <w:t xml:space="preserve"> </w:t>
      </w:r>
      <w:r w:rsidRPr="0081632C">
        <w:rPr>
          <w:szCs w:val="14"/>
        </w:rPr>
        <w:t>Tamblyn, D, Parsons, J, Salinger, K &amp; Merlin, T, Options for a Reformed Prostheses List Pre-Listing Assessment Framework and Governance Structure, 2022.</w:t>
      </w:r>
    </w:p>
  </w:footnote>
  <w:footnote w:id="197">
    <w:p w14:paraId="61696E98" w14:textId="77777777" w:rsidR="003039D1" w:rsidRDefault="003039D1" w:rsidP="005B366F">
      <w:pPr>
        <w:pStyle w:val="FootnoteText"/>
      </w:pPr>
      <w:r>
        <w:rPr>
          <w:rStyle w:val="FootnoteReference"/>
        </w:rPr>
        <w:footnoteRef/>
      </w:r>
      <w:r>
        <w:t xml:space="preserve"> Stakeholder interviews, 2024.</w:t>
      </w:r>
    </w:p>
  </w:footnote>
  <w:footnote w:id="198">
    <w:p w14:paraId="690964F0" w14:textId="77777777" w:rsidR="00A90C3A" w:rsidRDefault="00A90C3A" w:rsidP="005B366F">
      <w:pPr>
        <w:pStyle w:val="FootnoteText"/>
      </w:pPr>
      <w:r>
        <w:rPr>
          <w:rStyle w:val="FootnoteReference"/>
        </w:rPr>
        <w:footnoteRef/>
      </w:r>
      <w:r>
        <w:t xml:space="preserve"> </w:t>
      </w:r>
      <w:r w:rsidRPr="00303796">
        <w:t>Menzies</w:t>
      </w:r>
      <w:r w:rsidRPr="007A00D4">
        <w:t xml:space="preserve"> Centre for Health Policy &amp; University of Sydney, Options for a revised framework for setting and reviewing benefits for the prostheses list, 2020.</w:t>
      </w:r>
    </w:p>
  </w:footnote>
  <w:footnote w:id="199">
    <w:p w14:paraId="58C341A0" w14:textId="77777777" w:rsidR="00EA5537" w:rsidRDefault="00EA5537" w:rsidP="005B366F">
      <w:pPr>
        <w:pStyle w:val="FootnoteText"/>
      </w:pPr>
      <w:r w:rsidRPr="00745215">
        <w:rPr>
          <w:rStyle w:val="FootnoteReference"/>
        </w:rPr>
        <w:footnoteRef/>
      </w:r>
      <w:r w:rsidRPr="00745215">
        <w:t xml:space="preserve"> </w:t>
      </w:r>
      <w:r w:rsidRPr="00C271EA">
        <w:t>Department of Health and Aged Care, Prostheses List Post-Listing Review Framework: Information for Stakeholders, June 2022.</w:t>
      </w:r>
    </w:p>
  </w:footnote>
  <w:footnote w:id="200">
    <w:p w14:paraId="48C02B66" w14:textId="77777777" w:rsidR="006F1BCD" w:rsidRPr="003C3C55" w:rsidRDefault="006F1BCD" w:rsidP="005B366F">
      <w:pPr>
        <w:pStyle w:val="FootnoteText"/>
      </w:pPr>
      <w:r w:rsidRPr="003C3C55">
        <w:rPr>
          <w:rStyle w:val="FootnoteReference"/>
        </w:rPr>
        <w:footnoteRef/>
      </w:r>
      <w:r w:rsidRPr="003C3C55">
        <w:t xml:space="preserve"> </w:t>
      </w:r>
      <w:r w:rsidRPr="003C3C55">
        <w:rPr>
          <w:rStyle w:val="FooterChar"/>
        </w:rPr>
        <w:t>Stakeholder interviews, 2023.</w:t>
      </w:r>
    </w:p>
  </w:footnote>
  <w:footnote w:id="201">
    <w:p w14:paraId="46DBFDA5" w14:textId="77777777" w:rsidR="00EA5537" w:rsidRPr="006234B9" w:rsidRDefault="00EA5537" w:rsidP="005B366F">
      <w:pPr>
        <w:pStyle w:val="Footer"/>
        <w:rPr>
          <w:rStyle w:val="FootnoteReference"/>
        </w:rPr>
      </w:pPr>
      <w:r w:rsidRPr="003C3C55">
        <w:rPr>
          <w:rStyle w:val="FootnoteReference"/>
        </w:rPr>
        <w:footnoteRef/>
      </w:r>
      <w:r w:rsidRPr="003C3C55">
        <w:t xml:space="preserve"> Stakeholder </w:t>
      </w:r>
      <w:r w:rsidRPr="003C3C55">
        <w:rPr>
          <w:rStyle w:val="FooterChar"/>
        </w:rPr>
        <w:t>interviews, 2024.</w:t>
      </w:r>
    </w:p>
  </w:footnote>
  <w:footnote w:id="202">
    <w:p w14:paraId="009E6B40" w14:textId="77777777" w:rsidR="00EA5537" w:rsidRDefault="00EA5537" w:rsidP="005B366F">
      <w:pPr>
        <w:pStyle w:val="FootnoteText"/>
      </w:pPr>
      <w:r>
        <w:rPr>
          <w:rStyle w:val="FootnoteReference"/>
        </w:rPr>
        <w:footnoteRef/>
      </w:r>
      <w:r>
        <w:t xml:space="preserve"> </w:t>
      </w:r>
      <w:r w:rsidRPr="00C271EA">
        <w:t xml:space="preserve">Department of </w:t>
      </w:r>
      <w:r w:rsidRPr="00336846">
        <w:t>Health and Aged Care, Prostheses List Compliance Strategy, April 2023.</w:t>
      </w:r>
    </w:p>
  </w:footnote>
  <w:footnote w:id="203">
    <w:p w14:paraId="58853497" w14:textId="77777777" w:rsidR="00EA5537" w:rsidRDefault="00EA5537" w:rsidP="005B366F">
      <w:pPr>
        <w:pStyle w:val="FootnoteText"/>
      </w:pPr>
      <w:r>
        <w:rPr>
          <w:rStyle w:val="FootnoteReference"/>
        </w:rPr>
        <w:footnoteRef/>
      </w:r>
      <w:r>
        <w:t xml:space="preserve"> </w:t>
      </w:r>
      <w:r w:rsidRPr="00493367">
        <w:t>PL Project Board Consolidated Papers, February 2022.</w:t>
      </w:r>
    </w:p>
  </w:footnote>
  <w:footnote w:id="204">
    <w:p w14:paraId="45529F3B" w14:textId="4A7B4C5E" w:rsidR="008115AE" w:rsidRDefault="008115AE" w:rsidP="005B366F">
      <w:pPr>
        <w:pStyle w:val="FootnoteText"/>
      </w:pPr>
      <w:r>
        <w:rPr>
          <w:rStyle w:val="FootnoteReference"/>
        </w:rPr>
        <w:footnoteRef/>
      </w:r>
      <w:r>
        <w:t xml:space="preserve"> Department of Health and Aged Care, The Prostheses List reforms, </w:t>
      </w:r>
      <w:r w:rsidRPr="008115AE">
        <w:t>https://www.health.gov.au/topics/private-health-insurance/the-prostheses-list/the-prostheses-list-reforms</w:t>
      </w:r>
      <w:r>
        <w:t>.</w:t>
      </w:r>
    </w:p>
  </w:footnote>
  <w:footnote w:id="205">
    <w:p w14:paraId="11AD763D" w14:textId="77777777" w:rsidR="00323F62" w:rsidRPr="007A00D4" w:rsidRDefault="00323F62" w:rsidP="005B366F">
      <w:pPr>
        <w:pStyle w:val="FootnoteText"/>
      </w:pPr>
      <w:r w:rsidRPr="007A00D4">
        <w:rPr>
          <w:rStyle w:val="FootnoteReference"/>
        </w:rPr>
        <w:footnoteRef/>
      </w:r>
      <w:r w:rsidRPr="007A00D4">
        <w:t xml:space="preserve"> Private Health</w:t>
      </w:r>
      <w:r>
        <w:t>c</w:t>
      </w:r>
      <w:r w:rsidRPr="007A00D4">
        <w:t>are Australia, Submission: Senate Community Affairs References Committee, Inquiry into price regulation associated with the Prostheses List Framework, 2017.</w:t>
      </w:r>
    </w:p>
  </w:footnote>
  <w:footnote w:id="206">
    <w:p w14:paraId="469DC66B" w14:textId="77777777" w:rsidR="00323F62" w:rsidRPr="007A00D4" w:rsidRDefault="00323F62" w:rsidP="005B366F">
      <w:pPr>
        <w:pStyle w:val="FootnoteText"/>
        <w:rPr>
          <w:sz w:val="18"/>
          <w:szCs w:val="18"/>
        </w:rPr>
      </w:pPr>
      <w:r w:rsidRPr="007A00D4">
        <w:rPr>
          <w:rStyle w:val="FootnoteReference"/>
        </w:rPr>
        <w:footnoteRef/>
      </w:r>
      <w:r w:rsidRPr="007A00D4">
        <w:t xml:space="preserve"> </w:t>
      </w:r>
      <w:r w:rsidRPr="00482A73">
        <w:t>Menzies Centre for Health Policy &amp; University of Sydney, Options for a revised framework for setting and reviewing benefits for the prostheses list, 2020</w:t>
      </w:r>
      <w:r w:rsidRPr="007A00D4">
        <w:t>.</w:t>
      </w:r>
    </w:p>
  </w:footnote>
  <w:footnote w:id="207">
    <w:p w14:paraId="2DD1E2EB" w14:textId="77777777" w:rsidR="00323F62" w:rsidRDefault="00323F62" w:rsidP="005B366F">
      <w:pPr>
        <w:pStyle w:val="FootnoteText"/>
      </w:pPr>
      <w:r>
        <w:rPr>
          <w:rStyle w:val="FootnoteReference"/>
        </w:rPr>
        <w:footnoteRef/>
      </w:r>
      <w:r>
        <w:t xml:space="preserve"> Department of Health and Aged Care, Prostheses List Reform Consultation Paper 4(a) and 4(b) – Stakeholder feedback report, February 2023; Prostheses List Reforms – Consultation Paper 7, July 2023.</w:t>
      </w:r>
    </w:p>
  </w:footnote>
  <w:footnote w:id="208">
    <w:p w14:paraId="67FB285C" w14:textId="77777777" w:rsidR="00323F62" w:rsidRPr="00C016AC" w:rsidRDefault="00323F62" w:rsidP="005B366F">
      <w:pPr>
        <w:pStyle w:val="FootnoteText"/>
      </w:pPr>
      <w:r w:rsidRPr="00C016AC">
        <w:rPr>
          <w:rStyle w:val="FootnoteReference"/>
        </w:rPr>
        <w:footnoteRef/>
      </w:r>
      <w:r w:rsidRPr="00C016AC">
        <w:t xml:space="preserve"> Stakeholder interviews, 2023.</w:t>
      </w:r>
    </w:p>
  </w:footnote>
  <w:footnote w:id="209">
    <w:p w14:paraId="29484D35" w14:textId="77777777" w:rsidR="00323F62" w:rsidRPr="00C016AC" w:rsidRDefault="00323F62" w:rsidP="005B366F">
      <w:pPr>
        <w:pStyle w:val="FootnoteText"/>
      </w:pPr>
      <w:r w:rsidRPr="00C016AC">
        <w:rPr>
          <w:rStyle w:val="FootnoteReference"/>
        </w:rPr>
        <w:footnoteRef/>
      </w:r>
      <w:r w:rsidRPr="00C016AC">
        <w:t xml:space="preserve"> Members Health Fund Alliance, Letter to the Department of Health, 2020.</w:t>
      </w:r>
    </w:p>
  </w:footnote>
  <w:footnote w:id="210">
    <w:p w14:paraId="55C6A06D" w14:textId="77777777" w:rsidR="00323F62" w:rsidRPr="00C016AC" w:rsidRDefault="00323F62" w:rsidP="005B366F">
      <w:pPr>
        <w:pStyle w:val="FootnoteText"/>
      </w:pPr>
      <w:r w:rsidRPr="00C016AC">
        <w:rPr>
          <w:rStyle w:val="FootnoteReference"/>
        </w:rPr>
        <w:footnoteRef/>
      </w:r>
      <w:r w:rsidRPr="00C016AC">
        <w:t xml:space="preserve"> Stakeholder interviews, 2023.</w:t>
      </w:r>
    </w:p>
  </w:footnote>
  <w:footnote w:id="211">
    <w:p w14:paraId="6A24AF8D" w14:textId="77777777" w:rsidR="00323F62" w:rsidRPr="007A00D4" w:rsidRDefault="00323F62" w:rsidP="005B366F">
      <w:pPr>
        <w:pStyle w:val="FootnoteText"/>
      </w:pPr>
      <w:r w:rsidRPr="007A00D4">
        <w:rPr>
          <w:rStyle w:val="FootnoteReference"/>
        </w:rPr>
        <w:footnoteRef/>
      </w:r>
      <w:r w:rsidRPr="007A00D4">
        <w:t xml:space="preserve"> </w:t>
      </w:r>
      <w:r>
        <w:t>Ibid</w:t>
      </w:r>
      <w:r w:rsidRPr="007A00D4">
        <w:t>.</w:t>
      </w:r>
    </w:p>
  </w:footnote>
  <w:footnote w:id="212">
    <w:p w14:paraId="1C6F9AA7" w14:textId="77777777" w:rsidR="00323F62" w:rsidRDefault="00323F62" w:rsidP="005B366F">
      <w:pPr>
        <w:pStyle w:val="FootnoteText"/>
      </w:pPr>
      <w:r w:rsidRPr="007A00D4">
        <w:rPr>
          <w:rStyle w:val="FootnoteReference"/>
        </w:rPr>
        <w:footnoteRef/>
      </w:r>
      <w:r w:rsidRPr="007A00D4">
        <w:t xml:space="preserve"> </w:t>
      </w:r>
      <w:r>
        <w:t>Ibid</w:t>
      </w:r>
      <w:r w:rsidRPr="007A00D4">
        <w:t>.</w:t>
      </w:r>
    </w:p>
  </w:footnote>
  <w:footnote w:id="213">
    <w:p w14:paraId="562A01C6" w14:textId="77777777" w:rsidR="006F74C7" w:rsidRPr="00E91237" w:rsidRDefault="006F74C7" w:rsidP="005B366F">
      <w:pPr>
        <w:pStyle w:val="FootnoteText"/>
      </w:pPr>
      <w:r w:rsidRPr="00E91237">
        <w:rPr>
          <w:rStyle w:val="FootnoteReference"/>
        </w:rPr>
        <w:footnoteRef/>
      </w:r>
      <w:r w:rsidRPr="00E91237">
        <w:t xml:space="preserve"> Department of Health, Prostheses List Guide, 2017.</w:t>
      </w:r>
    </w:p>
  </w:footnote>
  <w:footnote w:id="214">
    <w:p w14:paraId="350CE60B" w14:textId="77777777" w:rsidR="00822A0A" w:rsidRDefault="00822A0A" w:rsidP="005B366F">
      <w:pPr>
        <w:pStyle w:val="FootnoteText"/>
      </w:pPr>
      <w:r>
        <w:rPr>
          <w:rStyle w:val="FootnoteReference"/>
        </w:rPr>
        <w:footnoteRef/>
      </w:r>
      <w:r>
        <w:t xml:space="preserve"> </w:t>
      </w:r>
      <w:r w:rsidRPr="00F82F5C">
        <w:t>Department of Health, Regulation Impact Statement (RIS): Improving the Private Health Insurance</w:t>
      </w:r>
      <w:r>
        <w:t xml:space="preserve"> </w:t>
      </w:r>
      <w:r w:rsidRPr="00F82F5C">
        <w:t>Prostheses List, 2021</w:t>
      </w:r>
      <w:r>
        <w:t>.</w:t>
      </w:r>
    </w:p>
  </w:footnote>
  <w:footnote w:id="215">
    <w:p w14:paraId="164A1A4A" w14:textId="77777777" w:rsidR="000F688A" w:rsidRPr="00114A9C" w:rsidRDefault="000F688A" w:rsidP="005B366F">
      <w:pPr>
        <w:pStyle w:val="FootnoteText"/>
      </w:pPr>
      <w:r w:rsidRPr="00114A9C">
        <w:rPr>
          <w:rStyle w:val="FootnoteReference"/>
        </w:rPr>
        <w:footnoteRef/>
      </w:r>
      <w:r w:rsidRPr="00114A9C">
        <w:t xml:space="preserve"> Conn, Private Health Insurance (Prostheses Application and Listing Fees) Amendment (Cost Recovery) Bill 2022 [and associated bills], 2023.</w:t>
      </w:r>
    </w:p>
  </w:footnote>
  <w:footnote w:id="216">
    <w:p w14:paraId="28E2439D" w14:textId="77777777" w:rsidR="000604E8" w:rsidRDefault="000604E8" w:rsidP="005B366F">
      <w:pPr>
        <w:pStyle w:val="FootnoteText"/>
      </w:pPr>
      <w:r>
        <w:rPr>
          <w:rStyle w:val="FootnoteReference"/>
        </w:rPr>
        <w:footnoteRef/>
      </w:r>
      <w:r>
        <w:t xml:space="preserve"> </w:t>
      </w:r>
      <w:r w:rsidRPr="00F82F5C">
        <w:t>Department of Health, Regulation Impact Statement (RIS): Improving the Private Health Insurance</w:t>
      </w:r>
      <w:r>
        <w:t xml:space="preserve"> </w:t>
      </w:r>
      <w:r w:rsidRPr="00F82F5C">
        <w:t>Prostheses List, 2021</w:t>
      </w:r>
      <w:r>
        <w:t>.</w:t>
      </w:r>
    </w:p>
  </w:footnote>
  <w:footnote w:id="217">
    <w:p w14:paraId="6D4C78DD" w14:textId="4AC924CF" w:rsidR="000A5D2F" w:rsidRDefault="000A5D2F" w:rsidP="005B366F">
      <w:pPr>
        <w:pStyle w:val="FootnoteText"/>
      </w:pPr>
      <w:r>
        <w:rPr>
          <w:rStyle w:val="FootnoteReference"/>
        </w:rPr>
        <w:footnoteRef/>
      </w:r>
      <w:r>
        <w:t xml:space="preserve"> </w:t>
      </w:r>
      <w:r w:rsidR="00420BDF">
        <w:t xml:space="preserve">An estimate based on </w:t>
      </w:r>
      <w:r w:rsidR="00A249B5">
        <w:t xml:space="preserve">the Department’s </w:t>
      </w:r>
      <w:r w:rsidR="00CC7BC7">
        <w:t>activity-based estimate</w:t>
      </w:r>
      <w:r w:rsidR="00980A12">
        <w:t xml:space="preserve">s </w:t>
      </w:r>
      <w:r w:rsidR="00A249B5">
        <w:t xml:space="preserve">informing </w:t>
      </w:r>
      <w:r w:rsidR="00FE1922">
        <w:t>its</w:t>
      </w:r>
      <w:r w:rsidR="00A249B5">
        <w:t xml:space="preserve"> 2023-24 charging model.</w:t>
      </w:r>
    </w:p>
  </w:footnote>
  <w:footnote w:id="218">
    <w:p w14:paraId="678ACF79" w14:textId="77777777" w:rsidR="00CD3FCC" w:rsidRPr="00E50193" w:rsidRDefault="00CD3FCC" w:rsidP="005B366F">
      <w:pPr>
        <w:pStyle w:val="FootnoteText"/>
        <w:rPr>
          <w:sz w:val="18"/>
          <w:szCs w:val="18"/>
        </w:rPr>
      </w:pPr>
      <w:r w:rsidRPr="00E50193">
        <w:rPr>
          <w:rStyle w:val="FootnoteReference"/>
        </w:rPr>
        <w:footnoteRef/>
      </w:r>
      <w:r w:rsidRPr="00E50193">
        <w:t xml:space="preserve"> Independent Hospital Pricing Authority, Benchmark Price for Prostheses in Australian Public Hospitals 2022-21, 2022.</w:t>
      </w:r>
    </w:p>
  </w:footnote>
  <w:footnote w:id="219">
    <w:p w14:paraId="70AEAEB3" w14:textId="77777777" w:rsidR="009667DE" w:rsidRPr="00E50193" w:rsidRDefault="009667DE" w:rsidP="005B366F">
      <w:pPr>
        <w:pStyle w:val="FootnoteText"/>
      </w:pPr>
      <w:r w:rsidRPr="00E50193">
        <w:rPr>
          <w:rStyle w:val="FootnoteReference"/>
        </w:rPr>
        <w:footnoteRef/>
      </w:r>
      <w:r w:rsidRPr="00E50193">
        <w:t xml:space="preserve"> Independent Health Pricing Authority, Methodology for Determining the Benchmark Price for Prostheses in Australian Public Hospitals, 2021.</w:t>
      </w:r>
    </w:p>
  </w:footnote>
  <w:footnote w:id="220">
    <w:p w14:paraId="7870EB2E" w14:textId="77777777" w:rsidR="009667DE" w:rsidRPr="00E50193" w:rsidRDefault="009667DE" w:rsidP="005B366F">
      <w:pPr>
        <w:pStyle w:val="FootnoteText"/>
      </w:pPr>
      <w:r w:rsidRPr="00E50193">
        <w:rPr>
          <w:rStyle w:val="FootnoteReference"/>
        </w:rPr>
        <w:footnoteRef/>
      </w:r>
      <w:r w:rsidRPr="00E50193">
        <w:t xml:space="preserve"> MTAA, Submission to the Senate Inquiry into the Prostheses List Framework, 2017.</w:t>
      </w:r>
    </w:p>
  </w:footnote>
  <w:footnote w:id="221">
    <w:p w14:paraId="1EFB421E" w14:textId="77777777" w:rsidR="009667DE" w:rsidRPr="00E50193" w:rsidRDefault="009667DE" w:rsidP="005B366F">
      <w:pPr>
        <w:pStyle w:val="FootnoteText"/>
      </w:pPr>
      <w:r w:rsidRPr="00E50193">
        <w:rPr>
          <w:rStyle w:val="FootnoteReference"/>
        </w:rPr>
        <w:footnoteRef/>
      </w:r>
      <w:r w:rsidRPr="00E50193">
        <w:t xml:space="preserve"> Independent Health Pricing Authority, Methodology for Determining the Benchmark Price for Prostheses in Australian Public Hospitals, 2021.</w:t>
      </w:r>
    </w:p>
  </w:footnote>
  <w:footnote w:id="222">
    <w:p w14:paraId="28243CDC" w14:textId="77777777" w:rsidR="009667DE" w:rsidRDefault="009667DE" w:rsidP="005B366F">
      <w:pPr>
        <w:pStyle w:val="FootnoteText"/>
      </w:pPr>
      <w:r w:rsidRPr="00E50193">
        <w:rPr>
          <w:rStyle w:val="FootnoteReference"/>
        </w:rPr>
        <w:footnoteRef/>
      </w:r>
      <w:r w:rsidRPr="00E50193">
        <w:t xml:space="preserve"> Private Health Australia, Surgically Replacing the List: </w:t>
      </w:r>
      <w:proofErr w:type="gramStart"/>
      <w:r w:rsidRPr="00E50193">
        <w:t>a</w:t>
      </w:r>
      <w:proofErr w:type="gramEnd"/>
      <w:r w:rsidRPr="00E50193">
        <w:t xml:space="preserve"> Roadmap for Prostheses List Reform, 2020.</w:t>
      </w:r>
    </w:p>
  </w:footnote>
  <w:footnote w:id="223">
    <w:p w14:paraId="41D944C7" w14:textId="77777777" w:rsidR="00485222" w:rsidRPr="00773087" w:rsidRDefault="00485222" w:rsidP="005B366F">
      <w:pPr>
        <w:pStyle w:val="FootnoteText"/>
      </w:pPr>
      <w:r w:rsidRPr="00773087">
        <w:rPr>
          <w:rStyle w:val="FootnoteReference"/>
          <w:rFonts w:ascii="Segoe UI" w:hAnsi="Segoe UI" w:cs="Segoe UI"/>
        </w:rPr>
        <w:footnoteRef/>
      </w:r>
      <w:r w:rsidRPr="00773087">
        <w:t xml:space="preserve"> Australian Prudential Regulation Authority, </w:t>
      </w:r>
      <w:r w:rsidRPr="007C17BF">
        <w:t>Quarterly Private Health Insurance Prostheses September 2023</w:t>
      </w:r>
      <w:r>
        <w:t>, 2</w:t>
      </w:r>
      <w:r w:rsidRPr="00773087">
        <w:t>023</w:t>
      </w:r>
      <w:r>
        <w:t>.</w:t>
      </w:r>
    </w:p>
  </w:footnote>
  <w:footnote w:id="224">
    <w:p w14:paraId="596EDCFC" w14:textId="7F69A3F5" w:rsidR="00566BB0" w:rsidRPr="00773087" w:rsidRDefault="00566BB0" w:rsidP="005B366F">
      <w:pPr>
        <w:pStyle w:val="FootnoteText"/>
      </w:pPr>
      <w:r w:rsidRPr="00773087">
        <w:rPr>
          <w:rStyle w:val="FootnoteReference"/>
          <w:rFonts w:ascii="Segoe UI" w:hAnsi="Segoe UI" w:cs="Segoe UI"/>
        </w:rPr>
        <w:footnoteRef/>
      </w:r>
      <w:r w:rsidRPr="00773087">
        <w:t xml:space="preserve"> </w:t>
      </w:r>
      <w:r w:rsidR="00485222">
        <w:t>Ibid</w:t>
      </w:r>
      <w:r>
        <w:t>.</w:t>
      </w:r>
    </w:p>
  </w:footnote>
  <w:footnote w:id="225">
    <w:p w14:paraId="49BCD758" w14:textId="79A4EF84" w:rsidR="00E30A12" w:rsidRDefault="00E30A12" w:rsidP="005B366F">
      <w:pPr>
        <w:pStyle w:val="FootnoteText"/>
      </w:pPr>
      <w:r>
        <w:rPr>
          <w:rStyle w:val="FootnoteReference"/>
        </w:rPr>
        <w:footnoteRef/>
      </w:r>
      <w:r>
        <w:t xml:space="preserve"> </w:t>
      </w:r>
      <w:r w:rsidR="00EC23B7">
        <w:t xml:space="preserve">The </w:t>
      </w:r>
      <w:r w:rsidR="00C24CEF">
        <w:t>2022-23 completeness rates are preli</w:t>
      </w:r>
      <w:r w:rsidR="00D362A2">
        <w:t xml:space="preserve">minary and are </w:t>
      </w:r>
      <w:r w:rsidR="003F427E">
        <w:t>subject to change.</w:t>
      </w:r>
    </w:p>
  </w:footnote>
  <w:footnote w:id="226">
    <w:p w14:paraId="1FBF7A55" w14:textId="77777777" w:rsidR="006201D2" w:rsidRPr="007A00D4" w:rsidRDefault="006201D2" w:rsidP="005B366F">
      <w:pPr>
        <w:pStyle w:val="FootnoteText"/>
        <w:rPr>
          <w:sz w:val="18"/>
          <w:szCs w:val="18"/>
        </w:rPr>
      </w:pPr>
      <w:r w:rsidRPr="007A00D4">
        <w:rPr>
          <w:rStyle w:val="FootnoteReference"/>
        </w:rPr>
        <w:footnoteRef/>
      </w:r>
      <w:r w:rsidRPr="007A00D4">
        <w:t xml:space="preserve"> Department of Health, Private Health Insurance – Modernising and improving the private health insurance Prostheses List,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F9E86" w14:textId="77777777" w:rsidR="00865A27" w:rsidRDefault="00865A27">
    <w:r>
      <w:rPr>
        <w:noProof/>
        <w:sz w:val="20"/>
        <w:szCs w:val="20"/>
        <w:lang w:eastAsia="en-AU"/>
      </w:rPr>
      <w:drawing>
        <wp:anchor distT="0" distB="0" distL="114300" distR="114300" simplePos="0" relativeHeight="251658240" behindDoc="0" locked="0" layoutInCell="1" allowOverlap="1" wp14:anchorId="57BD08B4" wp14:editId="37B55B20">
          <wp:simplePos x="0" y="0"/>
          <wp:positionH relativeFrom="page">
            <wp:posOffset>3337</wp:posOffset>
          </wp:positionH>
          <wp:positionV relativeFrom="page">
            <wp:posOffset>-6985</wp:posOffset>
          </wp:positionV>
          <wp:extent cx="7559749" cy="116958"/>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9681D" w14:textId="77777777" w:rsidR="00865A27" w:rsidRDefault="00865A27">
    <w:pPr>
      <w:tabs>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D9F84" w14:textId="0AB1CB2C" w:rsidR="00FD1812" w:rsidRDefault="00FD1812" w:rsidP="00311E62">
    <w:pPr>
      <w:tabs>
        <w:tab w:val="left" w:pos="6997"/>
      </w:tabs>
    </w:pPr>
    <w:r>
      <w:rPr>
        <w:noProof/>
        <w:sz w:val="20"/>
        <w:szCs w:val="20"/>
        <w:lang w:eastAsia="en-AU"/>
      </w:rPr>
      <w:drawing>
        <wp:anchor distT="0" distB="0" distL="114300" distR="114300" simplePos="0" relativeHeight="251658241" behindDoc="0" locked="0" layoutInCell="1" allowOverlap="1" wp14:anchorId="3CEBFEFF" wp14:editId="1268E1A7">
          <wp:simplePos x="0" y="0"/>
          <wp:positionH relativeFrom="page">
            <wp:posOffset>0</wp:posOffset>
          </wp:positionH>
          <wp:positionV relativeFrom="page">
            <wp:posOffset>0</wp:posOffset>
          </wp:positionV>
          <wp:extent cx="7562850" cy="11430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38721" cy="116958"/>
                  </a:xfrm>
                  <a:prstGeom prst="rect">
                    <a:avLst/>
                  </a:prstGeom>
                </pic:spPr>
              </pic:pic>
            </a:graphicData>
          </a:graphic>
          <wp14:sizeRelH relativeFrom="margin">
            <wp14:pctWidth>0</wp14:pctWidth>
          </wp14:sizeRelH>
          <wp14:sizeRelV relativeFrom="margin">
            <wp14:pctHeight>0</wp14:pctHeight>
          </wp14:sizeRelV>
        </wp:anchor>
      </w:drawing>
    </w:r>
    <w:r w:rsidR="00311E62">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65A09" w14:textId="532F27AB" w:rsidR="00BC44DB" w:rsidRDefault="00BC44DB" w:rsidP="00311E62">
    <w:pPr>
      <w:tabs>
        <w:tab w:val="left" w:pos="6997"/>
      </w:tabs>
    </w:pPr>
    <w:r>
      <w:rPr>
        <w:noProof/>
        <w:sz w:val="20"/>
        <w:szCs w:val="20"/>
        <w:lang w:eastAsia="en-AU"/>
      </w:rPr>
      <w:drawing>
        <wp:anchor distT="0" distB="0" distL="114300" distR="114300" simplePos="0" relativeHeight="251658243" behindDoc="0" locked="0" layoutInCell="1" allowOverlap="1" wp14:anchorId="7D44B56A" wp14:editId="5CA5864E">
          <wp:simplePos x="0" y="0"/>
          <wp:positionH relativeFrom="page">
            <wp:posOffset>0</wp:posOffset>
          </wp:positionH>
          <wp:positionV relativeFrom="page">
            <wp:posOffset>0</wp:posOffset>
          </wp:positionV>
          <wp:extent cx="10692000" cy="114300"/>
          <wp:effectExtent l="0" t="0" r="0" b="0"/>
          <wp:wrapNone/>
          <wp:docPr id="2105136090" name="Picture 21051360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5136090" name="Picture 2105136090">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2000" cy="1143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A31A2"/>
    <w:multiLevelType w:val="multilevel"/>
    <w:tmpl w:val="12BAF0C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13625D8B"/>
    <w:multiLevelType w:val="multilevel"/>
    <w:tmpl w:val="FDA2FCE4"/>
    <w:styleLink w:val="TableNListnumberedmultilevel"/>
    <w:lvl w:ilvl="0">
      <w:start w:val="1"/>
      <w:numFmt w:val="decimal"/>
      <w:pStyle w:val="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EBA6AFB"/>
    <w:multiLevelType w:val="hybridMultilevel"/>
    <w:tmpl w:val="E1A2A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76A2698"/>
    <w:multiLevelType w:val="hybridMultilevel"/>
    <w:tmpl w:val="88F80222"/>
    <w:lvl w:ilvl="0" w:tplc="9E3E472C">
      <w:start w:val="1"/>
      <w:numFmt w:val="decimal"/>
      <w:pStyle w:val="TableNListnumbered"/>
      <w:lvlText w:val="%1."/>
      <w:lvlJc w:val="left"/>
      <w:pPr>
        <w:ind w:left="284" w:hanging="284"/>
      </w:pPr>
      <w:rPr>
        <w:rFonts w:hint="default"/>
      </w:rPr>
    </w:lvl>
    <w:lvl w:ilvl="1" w:tplc="0C090019">
      <w:start w:val="1"/>
      <w:numFmt w:val="lowerLetter"/>
      <w:lvlText w:val="%2."/>
      <w:lvlJc w:val="left"/>
      <w:pPr>
        <w:ind w:left="510" w:hanging="283"/>
      </w:pPr>
      <w:rPr>
        <w:rFonts w:hint="default"/>
      </w:rPr>
    </w:lvl>
    <w:lvl w:ilvl="2" w:tplc="0C09001B">
      <w:start w:val="1"/>
      <w:numFmt w:val="lowerRoman"/>
      <w:lvlText w:val="%3."/>
      <w:lvlJc w:val="right"/>
      <w:pPr>
        <w:ind w:left="737" w:hanging="113"/>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9D1413D"/>
    <w:multiLevelType w:val="multilevel"/>
    <w:tmpl w:val="FA588A90"/>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5"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71A16EBA"/>
    <w:multiLevelType w:val="multilevel"/>
    <w:tmpl w:val="9724D2FC"/>
    <w:lvl w:ilvl="0">
      <w:start w:val="1"/>
      <w:numFmt w:val="upperLetter"/>
      <w:pStyle w:val="xAppendixLevel1"/>
      <w:lvlText w:val="Appendix %1"/>
      <w:lvlJc w:val="left"/>
      <w:pPr>
        <w:ind w:left="2410" w:hanging="2268"/>
      </w:pPr>
      <w:rPr>
        <w:sz w:val="34"/>
        <w:szCs w:val="34"/>
        <w:specVanish w:val="0"/>
      </w:rPr>
    </w:lvl>
    <w:lvl w:ilvl="1">
      <w:start w:val="1"/>
      <w:numFmt w:val="decimal"/>
      <w:pStyle w:val="xAppendixLevel2"/>
      <w:lvlText w:val="%1.%2"/>
      <w:lvlJc w:val="left"/>
      <w:pPr>
        <w:ind w:left="993" w:hanging="851"/>
      </w:pPr>
      <w:rPr>
        <w:rFonts w:hint="default"/>
        <w:color w:val="00264D"/>
        <w:sz w:val="34"/>
        <w:szCs w:val="34"/>
      </w:rPr>
    </w:lvl>
    <w:lvl w:ilvl="2">
      <w:start w:val="1"/>
      <w:numFmt w:val="decimal"/>
      <w:pStyle w:val="xAppendixLevel3"/>
      <w:lvlText w:val="%1.%2.%3"/>
      <w:lvlJc w:val="left"/>
      <w:pPr>
        <w:ind w:left="993" w:hanging="851"/>
      </w:pPr>
      <w:rPr>
        <w:rFonts w:hint="default"/>
        <w:color w:val="00264D"/>
        <w:sz w:val="28"/>
        <w:szCs w:val="28"/>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9" w15:restartNumberingAfterBreak="0">
    <w:nsid w:val="76001EA5"/>
    <w:multiLevelType w:val="hybridMultilevel"/>
    <w:tmpl w:val="D406780A"/>
    <w:lvl w:ilvl="0" w:tplc="B3FEB390">
      <w:start w:val="1"/>
      <w:numFmt w:val="bullet"/>
      <w:lvlText w:val=""/>
      <w:lvlJc w:val="left"/>
      <w:pPr>
        <w:ind w:left="1080" w:hanging="360"/>
      </w:pPr>
      <w:rPr>
        <w:rFonts w:ascii="Symbol" w:hAnsi="Symbol"/>
      </w:rPr>
    </w:lvl>
    <w:lvl w:ilvl="1" w:tplc="1F00B09E">
      <w:start w:val="1"/>
      <w:numFmt w:val="bullet"/>
      <w:lvlText w:val=""/>
      <w:lvlJc w:val="left"/>
      <w:pPr>
        <w:ind w:left="1080" w:hanging="360"/>
      </w:pPr>
      <w:rPr>
        <w:rFonts w:ascii="Symbol" w:hAnsi="Symbol"/>
      </w:rPr>
    </w:lvl>
    <w:lvl w:ilvl="2" w:tplc="46EAEC40">
      <w:start w:val="1"/>
      <w:numFmt w:val="bullet"/>
      <w:lvlText w:val=""/>
      <w:lvlJc w:val="left"/>
      <w:pPr>
        <w:ind w:left="1080" w:hanging="360"/>
      </w:pPr>
      <w:rPr>
        <w:rFonts w:ascii="Symbol" w:hAnsi="Symbol"/>
      </w:rPr>
    </w:lvl>
    <w:lvl w:ilvl="3" w:tplc="D592D410">
      <w:start w:val="1"/>
      <w:numFmt w:val="bullet"/>
      <w:lvlText w:val=""/>
      <w:lvlJc w:val="left"/>
      <w:pPr>
        <w:ind w:left="1080" w:hanging="360"/>
      </w:pPr>
      <w:rPr>
        <w:rFonts w:ascii="Symbol" w:hAnsi="Symbol"/>
      </w:rPr>
    </w:lvl>
    <w:lvl w:ilvl="4" w:tplc="FEA6C96C">
      <w:start w:val="1"/>
      <w:numFmt w:val="bullet"/>
      <w:lvlText w:val=""/>
      <w:lvlJc w:val="left"/>
      <w:pPr>
        <w:ind w:left="1080" w:hanging="360"/>
      </w:pPr>
      <w:rPr>
        <w:rFonts w:ascii="Symbol" w:hAnsi="Symbol"/>
      </w:rPr>
    </w:lvl>
    <w:lvl w:ilvl="5" w:tplc="C98ED3D4">
      <w:start w:val="1"/>
      <w:numFmt w:val="bullet"/>
      <w:lvlText w:val=""/>
      <w:lvlJc w:val="left"/>
      <w:pPr>
        <w:ind w:left="1080" w:hanging="360"/>
      </w:pPr>
      <w:rPr>
        <w:rFonts w:ascii="Symbol" w:hAnsi="Symbol"/>
      </w:rPr>
    </w:lvl>
    <w:lvl w:ilvl="6" w:tplc="0A303FF4">
      <w:start w:val="1"/>
      <w:numFmt w:val="bullet"/>
      <w:lvlText w:val=""/>
      <w:lvlJc w:val="left"/>
      <w:pPr>
        <w:ind w:left="1080" w:hanging="360"/>
      </w:pPr>
      <w:rPr>
        <w:rFonts w:ascii="Symbol" w:hAnsi="Symbol"/>
      </w:rPr>
    </w:lvl>
    <w:lvl w:ilvl="7" w:tplc="025CDB0A">
      <w:start w:val="1"/>
      <w:numFmt w:val="bullet"/>
      <w:lvlText w:val=""/>
      <w:lvlJc w:val="left"/>
      <w:pPr>
        <w:ind w:left="1080" w:hanging="360"/>
      </w:pPr>
      <w:rPr>
        <w:rFonts w:ascii="Symbol" w:hAnsi="Symbol"/>
      </w:rPr>
    </w:lvl>
    <w:lvl w:ilvl="8" w:tplc="AFACCDE6">
      <w:start w:val="1"/>
      <w:numFmt w:val="bullet"/>
      <w:lvlText w:val=""/>
      <w:lvlJc w:val="left"/>
      <w:pPr>
        <w:ind w:left="1080" w:hanging="360"/>
      </w:pPr>
      <w:rPr>
        <w:rFonts w:ascii="Symbol" w:hAnsi="Symbol"/>
      </w:rPr>
    </w:lvl>
  </w:abstractNum>
  <w:abstractNum w:abstractNumId="10" w15:restartNumberingAfterBreak="0">
    <w:nsid w:val="76335A16"/>
    <w:multiLevelType w:val="hybridMultilevel"/>
    <w:tmpl w:val="43D8002C"/>
    <w:lvl w:ilvl="0" w:tplc="1A9427C2">
      <w:start w:val="1"/>
      <w:numFmt w:val="decimal"/>
      <w:pStyle w:val="NewListBulletPoint"/>
      <w:lvlText w:val="%1."/>
      <w:lvlJc w:val="left"/>
      <w:pPr>
        <w:ind w:left="340" w:hanging="340"/>
      </w:pPr>
    </w:lvl>
    <w:lvl w:ilvl="1" w:tplc="FFFFFFFF">
      <w:start w:val="1"/>
      <w:numFmt w:val="bullet"/>
      <w:lvlText w:val=""/>
      <w:lvlJc w:val="left"/>
      <w:pPr>
        <w:ind w:left="680" w:hanging="340"/>
      </w:pPr>
      <w:rPr>
        <w:rFonts w:ascii="Symbol" w:hAnsi="Symbol" w:hint="default"/>
        <w:sz w:val="16"/>
      </w:rPr>
    </w:lvl>
    <w:lvl w:ilvl="2" w:tplc="FFFFFFFF">
      <w:start w:val="1"/>
      <w:numFmt w:val="bullet"/>
      <w:lvlText w:val=""/>
      <w:lvlJc w:val="left"/>
      <w:pPr>
        <w:ind w:left="1134" w:hanging="454"/>
      </w:pPr>
      <w:rPr>
        <w:rFonts w:ascii="Symbol" w:hAnsi="Symbol" w:hint="default"/>
        <w:sz w:val="16"/>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9B7218E"/>
    <w:multiLevelType w:val="hybridMultilevel"/>
    <w:tmpl w:val="961055F6"/>
    <w:lvl w:ilvl="0" w:tplc="FFFFFFFF">
      <w:start w:val="1"/>
      <w:numFmt w:val="bullet"/>
      <w:pStyle w:val="Bullet"/>
      <w:lvlText w:val=""/>
      <w:lvlJc w:val="left"/>
      <w:pPr>
        <w:ind w:left="340" w:hanging="340"/>
      </w:pPr>
      <w:rPr>
        <w:rFonts w:ascii="Symbol" w:hAnsi="Symbol"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415232">
    <w:abstractNumId w:val="8"/>
  </w:num>
  <w:num w:numId="2" w16cid:durableId="1149589232">
    <w:abstractNumId w:val="11"/>
  </w:num>
  <w:num w:numId="3" w16cid:durableId="571618147">
    <w:abstractNumId w:val="4"/>
  </w:num>
  <w:num w:numId="4" w16cid:durableId="826366527">
    <w:abstractNumId w:val="1"/>
  </w:num>
  <w:num w:numId="5" w16cid:durableId="1431777580">
    <w:abstractNumId w:val="3"/>
  </w:num>
  <w:num w:numId="6" w16cid:durableId="161314511">
    <w:abstractNumId w:val="5"/>
  </w:num>
  <w:num w:numId="7" w16cid:durableId="814956839">
    <w:abstractNumId w:val="6"/>
  </w:num>
  <w:num w:numId="8" w16cid:durableId="784887619">
    <w:abstractNumId w:val="1"/>
    <w:lvlOverride w:ilvl="0">
      <w:startOverride w:val="1"/>
    </w:lvlOverride>
  </w:num>
  <w:num w:numId="9" w16cid:durableId="4145974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08580165">
    <w:abstractNumId w:val="0"/>
  </w:num>
  <w:num w:numId="11" w16cid:durableId="368141181">
    <w:abstractNumId w:val="1"/>
    <w:lvlOverride w:ilvl="0">
      <w:startOverride w:val="1"/>
    </w:lvlOverride>
  </w:num>
  <w:num w:numId="12" w16cid:durableId="970592656">
    <w:abstractNumId w:val="7"/>
  </w:num>
  <w:num w:numId="13" w16cid:durableId="948585955">
    <w:abstractNumId w:val="10"/>
    <w:lvlOverride w:ilvl="0">
      <w:startOverride w:val="1"/>
    </w:lvlOverride>
  </w:num>
  <w:num w:numId="14" w16cid:durableId="226378811">
    <w:abstractNumId w:val="10"/>
    <w:lvlOverride w:ilvl="0">
      <w:startOverride w:val="1"/>
    </w:lvlOverride>
  </w:num>
  <w:num w:numId="15" w16cid:durableId="1210414947">
    <w:abstractNumId w:val="10"/>
    <w:lvlOverride w:ilvl="0">
      <w:startOverride w:val="1"/>
    </w:lvlOverride>
  </w:num>
  <w:num w:numId="16" w16cid:durableId="1819809566">
    <w:abstractNumId w:val="10"/>
    <w:lvlOverride w:ilvl="0">
      <w:startOverride w:val="1"/>
    </w:lvlOverride>
  </w:num>
  <w:num w:numId="17" w16cid:durableId="75521521">
    <w:abstractNumId w:val="10"/>
    <w:lvlOverride w:ilvl="0">
      <w:startOverride w:val="1"/>
    </w:lvlOverride>
  </w:num>
  <w:num w:numId="18" w16cid:durableId="315649787">
    <w:abstractNumId w:val="10"/>
    <w:lvlOverride w:ilvl="0">
      <w:startOverride w:val="1"/>
    </w:lvlOverride>
  </w:num>
  <w:num w:numId="19" w16cid:durableId="1627810510">
    <w:abstractNumId w:val="10"/>
    <w:lvlOverride w:ilvl="0">
      <w:startOverride w:val="1"/>
    </w:lvlOverride>
  </w:num>
  <w:num w:numId="20" w16cid:durableId="1020931411">
    <w:abstractNumId w:val="9"/>
  </w:num>
  <w:num w:numId="21" w16cid:durableId="249238626">
    <w:abstractNumId w:val="10"/>
  </w:num>
  <w:num w:numId="22" w16cid:durableId="2087418725">
    <w:abstractNumId w:val="10"/>
    <w:lvlOverride w:ilvl="0">
      <w:startOverride w:val="1"/>
    </w:lvlOverride>
  </w:num>
  <w:num w:numId="23" w16cid:durableId="1904634413">
    <w:abstractNumId w:val="10"/>
    <w:lvlOverride w:ilvl="0">
      <w:startOverride w:val="1"/>
    </w:lvlOverride>
  </w:num>
  <w:num w:numId="24" w16cid:durableId="1395198262">
    <w:abstractNumId w:val="10"/>
    <w:lvlOverride w:ilvl="0">
      <w:startOverride w:val="1"/>
    </w:lvlOverride>
  </w:num>
  <w:num w:numId="25" w16cid:durableId="1721317837">
    <w:abstractNumId w:val="10"/>
    <w:lvlOverride w:ilvl="0">
      <w:startOverride w:val="1"/>
    </w:lvlOverride>
  </w:num>
  <w:num w:numId="26" w16cid:durableId="43724702">
    <w:abstractNumId w:val="10"/>
    <w:lvlOverride w:ilvl="0">
      <w:startOverride w:val="1"/>
    </w:lvlOverride>
  </w:num>
  <w:num w:numId="27" w16cid:durableId="523329324">
    <w:abstractNumId w:val="10"/>
    <w:lvlOverride w:ilvl="0">
      <w:startOverride w:val="1"/>
    </w:lvlOverride>
  </w:num>
  <w:num w:numId="28" w16cid:durableId="2051031007">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532"/>
    <w:rsid w:val="000000A6"/>
    <w:rsid w:val="000000DE"/>
    <w:rsid w:val="000000E6"/>
    <w:rsid w:val="00000483"/>
    <w:rsid w:val="000004F4"/>
    <w:rsid w:val="0000057E"/>
    <w:rsid w:val="00000721"/>
    <w:rsid w:val="000007E7"/>
    <w:rsid w:val="0000095D"/>
    <w:rsid w:val="00000965"/>
    <w:rsid w:val="00000A00"/>
    <w:rsid w:val="00000C76"/>
    <w:rsid w:val="00000CEC"/>
    <w:rsid w:val="00000D2D"/>
    <w:rsid w:val="00000D39"/>
    <w:rsid w:val="00000D6D"/>
    <w:rsid w:val="0000105F"/>
    <w:rsid w:val="00001077"/>
    <w:rsid w:val="000010DD"/>
    <w:rsid w:val="000011E4"/>
    <w:rsid w:val="000012A9"/>
    <w:rsid w:val="000012AB"/>
    <w:rsid w:val="0000131D"/>
    <w:rsid w:val="0000133E"/>
    <w:rsid w:val="00001348"/>
    <w:rsid w:val="00001350"/>
    <w:rsid w:val="0000148D"/>
    <w:rsid w:val="00001634"/>
    <w:rsid w:val="000017E3"/>
    <w:rsid w:val="00001856"/>
    <w:rsid w:val="000018C3"/>
    <w:rsid w:val="00001A39"/>
    <w:rsid w:val="00001BA5"/>
    <w:rsid w:val="00001D35"/>
    <w:rsid w:val="00001D51"/>
    <w:rsid w:val="00001DD0"/>
    <w:rsid w:val="00001E36"/>
    <w:rsid w:val="00001E89"/>
    <w:rsid w:val="00001EA8"/>
    <w:rsid w:val="00001EF3"/>
    <w:rsid w:val="0000216E"/>
    <w:rsid w:val="000021A6"/>
    <w:rsid w:val="00002203"/>
    <w:rsid w:val="00002300"/>
    <w:rsid w:val="0000233E"/>
    <w:rsid w:val="000023E7"/>
    <w:rsid w:val="000023FA"/>
    <w:rsid w:val="000025D6"/>
    <w:rsid w:val="0000264D"/>
    <w:rsid w:val="0000267B"/>
    <w:rsid w:val="000026A3"/>
    <w:rsid w:val="0000278E"/>
    <w:rsid w:val="00002889"/>
    <w:rsid w:val="000029AF"/>
    <w:rsid w:val="000029CA"/>
    <w:rsid w:val="00002BA0"/>
    <w:rsid w:val="00002BE9"/>
    <w:rsid w:val="00002C87"/>
    <w:rsid w:val="00002D45"/>
    <w:rsid w:val="00002DFD"/>
    <w:rsid w:val="00002F60"/>
    <w:rsid w:val="00002F86"/>
    <w:rsid w:val="000030F8"/>
    <w:rsid w:val="0000323F"/>
    <w:rsid w:val="000033FB"/>
    <w:rsid w:val="00003565"/>
    <w:rsid w:val="00003709"/>
    <w:rsid w:val="00003853"/>
    <w:rsid w:val="0000387A"/>
    <w:rsid w:val="00003886"/>
    <w:rsid w:val="00003910"/>
    <w:rsid w:val="000039FF"/>
    <w:rsid w:val="00003B24"/>
    <w:rsid w:val="00003B62"/>
    <w:rsid w:val="00003B78"/>
    <w:rsid w:val="00003B7A"/>
    <w:rsid w:val="00003BC3"/>
    <w:rsid w:val="00003C06"/>
    <w:rsid w:val="00003D96"/>
    <w:rsid w:val="00003FAE"/>
    <w:rsid w:val="000040C5"/>
    <w:rsid w:val="00004285"/>
    <w:rsid w:val="000042CA"/>
    <w:rsid w:val="00004405"/>
    <w:rsid w:val="0000442F"/>
    <w:rsid w:val="00004474"/>
    <w:rsid w:val="00004487"/>
    <w:rsid w:val="00004489"/>
    <w:rsid w:val="000045FC"/>
    <w:rsid w:val="0000471A"/>
    <w:rsid w:val="000048A1"/>
    <w:rsid w:val="00004970"/>
    <w:rsid w:val="00004A43"/>
    <w:rsid w:val="00004AB7"/>
    <w:rsid w:val="00004B46"/>
    <w:rsid w:val="00004BC3"/>
    <w:rsid w:val="00004CAD"/>
    <w:rsid w:val="00004CBE"/>
    <w:rsid w:val="00004D4C"/>
    <w:rsid w:val="00004DB7"/>
    <w:rsid w:val="00004DC7"/>
    <w:rsid w:val="00004E6D"/>
    <w:rsid w:val="00004F51"/>
    <w:rsid w:val="00004F96"/>
    <w:rsid w:val="00004FA8"/>
    <w:rsid w:val="00005237"/>
    <w:rsid w:val="000052F3"/>
    <w:rsid w:val="000052F4"/>
    <w:rsid w:val="00005349"/>
    <w:rsid w:val="000053F8"/>
    <w:rsid w:val="00005496"/>
    <w:rsid w:val="000054E4"/>
    <w:rsid w:val="000054E9"/>
    <w:rsid w:val="0000571C"/>
    <w:rsid w:val="000057A7"/>
    <w:rsid w:val="00005972"/>
    <w:rsid w:val="000059A2"/>
    <w:rsid w:val="00005A63"/>
    <w:rsid w:val="00005A73"/>
    <w:rsid w:val="00005AC2"/>
    <w:rsid w:val="00005B10"/>
    <w:rsid w:val="00005D0B"/>
    <w:rsid w:val="00005D85"/>
    <w:rsid w:val="00005E3C"/>
    <w:rsid w:val="00005EE0"/>
    <w:rsid w:val="00005FC0"/>
    <w:rsid w:val="00006078"/>
    <w:rsid w:val="00006095"/>
    <w:rsid w:val="000060E2"/>
    <w:rsid w:val="000060FE"/>
    <w:rsid w:val="00006524"/>
    <w:rsid w:val="000065C4"/>
    <w:rsid w:val="000065E6"/>
    <w:rsid w:val="00006600"/>
    <w:rsid w:val="00006703"/>
    <w:rsid w:val="00006740"/>
    <w:rsid w:val="00006848"/>
    <w:rsid w:val="00006922"/>
    <w:rsid w:val="0000699A"/>
    <w:rsid w:val="00006C97"/>
    <w:rsid w:val="00007143"/>
    <w:rsid w:val="0000714A"/>
    <w:rsid w:val="00007273"/>
    <w:rsid w:val="000072CB"/>
    <w:rsid w:val="000076BB"/>
    <w:rsid w:val="000076CB"/>
    <w:rsid w:val="00007718"/>
    <w:rsid w:val="00007733"/>
    <w:rsid w:val="000079EA"/>
    <w:rsid w:val="00007A67"/>
    <w:rsid w:val="00007B5A"/>
    <w:rsid w:val="00007B79"/>
    <w:rsid w:val="0001004A"/>
    <w:rsid w:val="0001017F"/>
    <w:rsid w:val="000101C4"/>
    <w:rsid w:val="00010343"/>
    <w:rsid w:val="000103CB"/>
    <w:rsid w:val="00010499"/>
    <w:rsid w:val="00010532"/>
    <w:rsid w:val="0001055E"/>
    <w:rsid w:val="0001064F"/>
    <w:rsid w:val="0001065C"/>
    <w:rsid w:val="000106DB"/>
    <w:rsid w:val="00010741"/>
    <w:rsid w:val="000108CA"/>
    <w:rsid w:val="00010A5E"/>
    <w:rsid w:val="00010A60"/>
    <w:rsid w:val="00010C32"/>
    <w:rsid w:val="00010C84"/>
    <w:rsid w:val="00010D0B"/>
    <w:rsid w:val="00010D90"/>
    <w:rsid w:val="00010E31"/>
    <w:rsid w:val="00010F3C"/>
    <w:rsid w:val="00010FAF"/>
    <w:rsid w:val="00010FD3"/>
    <w:rsid w:val="00010FF9"/>
    <w:rsid w:val="00011050"/>
    <w:rsid w:val="000110B7"/>
    <w:rsid w:val="00011107"/>
    <w:rsid w:val="0001113D"/>
    <w:rsid w:val="00011306"/>
    <w:rsid w:val="000113E3"/>
    <w:rsid w:val="0001149D"/>
    <w:rsid w:val="00011571"/>
    <w:rsid w:val="00011616"/>
    <w:rsid w:val="000116F4"/>
    <w:rsid w:val="00011721"/>
    <w:rsid w:val="000117AC"/>
    <w:rsid w:val="000117C5"/>
    <w:rsid w:val="00011813"/>
    <w:rsid w:val="0001189F"/>
    <w:rsid w:val="00011A12"/>
    <w:rsid w:val="00011AEE"/>
    <w:rsid w:val="00011BFE"/>
    <w:rsid w:val="00011D2B"/>
    <w:rsid w:val="00011E89"/>
    <w:rsid w:val="00011FD3"/>
    <w:rsid w:val="0001205D"/>
    <w:rsid w:val="000120BC"/>
    <w:rsid w:val="000120CB"/>
    <w:rsid w:val="00012144"/>
    <w:rsid w:val="00012248"/>
    <w:rsid w:val="00012473"/>
    <w:rsid w:val="000125FB"/>
    <w:rsid w:val="0001260B"/>
    <w:rsid w:val="00012638"/>
    <w:rsid w:val="000126EB"/>
    <w:rsid w:val="00012957"/>
    <w:rsid w:val="00012969"/>
    <w:rsid w:val="00012999"/>
    <w:rsid w:val="00012A34"/>
    <w:rsid w:val="00012A57"/>
    <w:rsid w:val="00012A68"/>
    <w:rsid w:val="00012B24"/>
    <w:rsid w:val="00012DEF"/>
    <w:rsid w:val="00012E07"/>
    <w:rsid w:val="00012E86"/>
    <w:rsid w:val="00012EA8"/>
    <w:rsid w:val="00013074"/>
    <w:rsid w:val="0001311E"/>
    <w:rsid w:val="00013288"/>
    <w:rsid w:val="00013293"/>
    <w:rsid w:val="00013316"/>
    <w:rsid w:val="00013356"/>
    <w:rsid w:val="00013368"/>
    <w:rsid w:val="000134D8"/>
    <w:rsid w:val="00013502"/>
    <w:rsid w:val="0001370E"/>
    <w:rsid w:val="000137A9"/>
    <w:rsid w:val="000137CF"/>
    <w:rsid w:val="000137FA"/>
    <w:rsid w:val="0001389D"/>
    <w:rsid w:val="00013AAA"/>
    <w:rsid w:val="00013B97"/>
    <w:rsid w:val="00013C98"/>
    <w:rsid w:val="00013DEC"/>
    <w:rsid w:val="00013FB0"/>
    <w:rsid w:val="00014000"/>
    <w:rsid w:val="000140DB"/>
    <w:rsid w:val="000140FC"/>
    <w:rsid w:val="0001410F"/>
    <w:rsid w:val="000141EE"/>
    <w:rsid w:val="0001422E"/>
    <w:rsid w:val="000142A2"/>
    <w:rsid w:val="0001431E"/>
    <w:rsid w:val="00014539"/>
    <w:rsid w:val="0001459F"/>
    <w:rsid w:val="000145B8"/>
    <w:rsid w:val="0001464C"/>
    <w:rsid w:val="000146C4"/>
    <w:rsid w:val="000147DC"/>
    <w:rsid w:val="00014B12"/>
    <w:rsid w:val="00014B2A"/>
    <w:rsid w:val="00014C3E"/>
    <w:rsid w:val="00014C67"/>
    <w:rsid w:val="00014D81"/>
    <w:rsid w:val="00014DE7"/>
    <w:rsid w:val="00014E87"/>
    <w:rsid w:val="00014E8B"/>
    <w:rsid w:val="00014F02"/>
    <w:rsid w:val="00014FB1"/>
    <w:rsid w:val="00015077"/>
    <w:rsid w:val="000151B8"/>
    <w:rsid w:val="000151D6"/>
    <w:rsid w:val="00015217"/>
    <w:rsid w:val="00015218"/>
    <w:rsid w:val="00015309"/>
    <w:rsid w:val="00015590"/>
    <w:rsid w:val="00015709"/>
    <w:rsid w:val="0001572D"/>
    <w:rsid w:val="00015788"/>
    <w:rsid w:val="00015987"/>
    <w:rsid w:val="00015B17"/>
    <w:rsid w:val="00015C4B"/>
    <w:rsid w:val="00016021"/>
    <w:rsid w:val="000160C8"/>
    <w:rsid w:val="0001630F"/>
    <w:rsid w:val="00016410"/>
    <w:rsid w:val="00016455"/>
    <w:rsid w:val="0001681C"/>
    <w:rsid w:val="0001682F"/>
    <w:rsid w:val="00016880"/>
    <w:rsid w:val="00016B56"/>
    <w:rsid w:val="00016BCD"/>
    <w:rsid w:val="00016CBE"/>
    <w:rsid w:val="00016D49"/>
    <w:rsid w:val="00016D5F"/>
    <w:rsid w:val="00016DE9"/>
    <w:rsid w:val="00016FD0"/>
    <w:rsid w:val="000170A8"/>
    <w:rsid w:val="000170EB"/>
    <w:rsid w:val="0001719C"/>
    <w:rsid w:val="00017250"/>
    <w:rsid w:val="000172A6"/>
    <w:rsid w:val="000172AD"/>
    <w:rsid w:val="000172CF"/>
    <w:rsid w:val="00017370"/>
    <w:rsid w:val="000173C8"/>
    <w:rsid w:val="000173FD"/>
    <w:rsid w:val="00017494"/>
    <w:rsid w:val="000174F3"/>
    <w:rsid w:val="0001788F"/>
    <w:rsid w:val="00017A50"/>
    <w:rsid w:val="00017A7C"/>
    <w:rsid w:val="00017B58"/>
    <w:rsid w:val="00017BB2"/>
    <w:rsid w:val="00017CA0"/>
    <w:rsid w:val="00017DD2"/>
    <w:rsid w:val="00017F82"/>
    <w:rsid w:val="0002018A"/>
    <w:rsid w:val="0002026C"/>
    <w:rsid w:val="0002044D"/>
    <w:rsid w:val="000204AC"/>
    <w:rsid w:val="00020504"/>
    <w:rsid w:val="0002052A"/>
    <w:rsid w:val="00020610"/>
    <w:rsid w:val="000207BC"/>
    <w:rsid w:val="000207CA"/>
    <w:rsid w:val="00020A4D"/>
    <w:rsid w:val="00020DA5"/>
    <w:rsid w:val="00020DDF"/>
    <w:rsid w:val="00020E4B"/>
    <w:rsid w:val="00020E76"/>
    <w:rsid w:val="00020ED0"/>
    <w:rsid w:val="00020F15"/>
    <w:rsid w:val="00020FDD"/>
    <w:rsid w:val="0002104A"/>
    <w:rsid w:val="000210EF"/>
    <w:rsid w:val="000210F5"/>
    <w:rsid w:val="000211D1"/>
    <w:rsid w:val="000212A9"/>
    <w:rsid w:val="00021309"/>
    <w:rsid w:val="000213F7"/>
    <w:rsid w:val="00021416"/>
    <w:rsid w:val="00021575"/>
    <w:rsid w:val="0002163A"/>
    <w:rsid w:val="00021665"/>
    <w:rsid w:val="00021B38"/>
    <w:rsid w:val="00021B46"/>
    <w:rsid w:val="00021DBA"/>
    <w:rsid w:val="00021DF8"/>
    <w:rsid w:val="00021F9E"/>
    <w:rsid w:val="00021FD4"/>
    <w:rsid w:val="000220D1"/>
    <w:rsid w:val="000221D8"/>
    <w:rsid w:val="000222A5"/>
    <w:rsid w:val="0002238C"/>
    <w:rsid w:val="000223D8"/>
    <w:rsid w:val="0002243F"/>
    <w:rsid w:val="00022453"/>
    <w:rsid w:val="00022468"/>
    <w:rsid w:val="000225B3"/>
    <w:rsid w:val="00022655"/>
    <w:rsid w:val="000227EA"/>
    <w:rsid w:val="000229CC"/>
    <w:rsid w:val="00022ABA"/>
    <w:rsid w:val="00022B4F"/>
    <w:rsid w:val="00022BE0"/>
    <w:rsid w:val="00022C85"/>
    <w:rsid w:val="00022C9A"/>
    <w:rsid w:val="00022CD5"/>
    <w:rsid w:val="00022D2F"/>
    <w:rsid w:val="00022D37"/>
    <w:rsid w:val="00022E43"/>
    <w:rsid w:val="00022E81"/>
    <w:rsid w:val="0002304A"/>
    <w:rsid w:val="00023095"/>
    <w:rsid w:val="00023193"/>
    <w:rsid w:val="000231F9"/>
    <w:rsid w:val="0002335B"/>
    <w:rsid w:val="00023406"/>
    <w:rsid w:val="00023435"/>
    <w:rsid w:val="000235C2"/>
    <w:rsid w:val="000235C4"/>
    <w:rsid w:val="00023739"/>
    <w:rsid w:val="0002381F"/>
    <w:rsid w:val="000238E5"/>
    <w:rsid w:val="0002395B"/>
    <w:rsid w:val="00023A0B"/>
    <w:rsid w:val="00023A4E"/>
    <w:rsid w:val="00023AE3"/>
    <w:rsid w:val="00023B84"/>
    <w:rsid w:val="00023BCB"/>
    <w:rsid w:val="00023C28"/>
    <w:rsid w:val="00023CF0"/>
    <w:rsid w:val="00023E75"/>
    <w:rsid w:val="00023E9A"/>
    <w:rsid w:val="00024119"/>
    <w:rsid w:val="00024221"/>
    <w:rsid w:val="0002423A"/>
    <w:rsid w:val="00024280"/>
    <w:rsid w:val="00024488"/>
    <w:rsid w:val="000245A0"/>
    <w:rsid w:val="00024605"/>
    <w:rsid w:val="0002464A"/>
    <w:rsid w:val="00024676"/>
    <w:rsid w:val="0002482B"/>
    <w:rsid w:val="000248F1"/>
    <w:rsid w:val="00024946"/>
    <w:rsid w:val="00024966"/>
    <w:rsid w:val="00024A22"/>
    <w:rsid w:val="00024A71"/>
    <w:rsid w:val="00024A83"/>
    <w:rsid w:val="00024A9A"/>
    <w:rsid w:val="00024AE4"/>
    <w:rsid w:val="00024B37"/>
    <w:rsid w:val="00024C9E"/>
    <w:rsid w:val="00024CCB"/>
    <w:rsid w:val="00024FB2"/>
    <w:rsid w:val="00025223"/>
    <w:rsid w:val="00025308"/>
    <w:rsid w:val="00025355"/>
    <w:rsid w:val="000253B3"/>
    <w:rsid w:val="000253BB"/>
    <w:rsid w:val="0002540E"/>
    <w:rsid w:val="000256F9"/>
    <w:rsid w:val="000257E5"/>
    <w:rsid w:val="00025844"/>
    <w:rsid w:val="0002586E"/>
    <w:rsid w:val="00025890"/>
    <w:rsid w:val="00025944"/>
    <w:rsid w:val="00025A25"/>
    <w:rsid w:val="00025BC6"/>
    <w:rsid w:val="00025C43"/>
    <w:rsid w:val="00025C5B"/>
    <w:rsid w:val="00025D19"/>
    <w:rsid w:val="00025DAB"/>
    <w:rsid w:val="00025ED4"/>
    <w:rsid w:val="00025F33"/>
    <w:rsid w:val="00025F7B"/>
    <w:rsid w:val="00025FC1"/>
    <w:rsid w:val="0002623B"/>
    <w:rsid w:val="0002626A"/>
    <w:rsid w:val="000262F9"/>
    <w:rsid w:val="00026322"/>
    <w:rsid w:val="000263DB"/>
    <w:rsid w:val="00026452"/>
    <w:rsid w:val="00026471"/>
    <w:rsid w:val="000264A1"/>
    <w:rsid w:val="00026714"/>
    <w:rsid w:val="000267D4"/>
    <w:rsid w:val="0002698E"/>
    <w:rsid w:val="00026AD0"/>
    <w:rsid w:val="00026AFC"/>
    <w:rsid w:val="00026BC3"/>
    <w:rsid w:val="00026BDA"/>
    <w:rsid w:val="00026CF5"/>
    <w:rsid w:val="00026D19"/>
    <w:rsid w:val="00026DEC"/>
    <w:rsid w:val="000271C4"/>
    <w:rsid w:val="0002749B"/>
    <w:rsid w:val="00027520"/>
    <w:rsid w:val="0002781F"/>
    <w:rsid w:val="00027866"/>
    <w:rsid w:val="00027A23"/>
    <w:rsid w:val="00027A97"/>
    <w:rsid w:val="00027B86"/>
    <w:rsid w:val="00027CC4"/>
    <w:rsid w:val="00027CD6"/>
    <w:rsid w:val="00027D2D"/>
    <w:rsid w:val="00027E92"/>
    <w:rsid w:val="00027EE5"/>
    <w:rsid w:val="000300A9"/>
    <w:rsid w:val="0003018C"/>
    <w:rsid w:val="0003020D"/>
    <w:rsid w:val="000303DC"/>
    <w:rsid w:val="000303DE"/>
    <w:rsid w:val="00030444"/>
    <w:rsid w:val="00030474"/>
    <w:rsid w:val="00030792"/>
    <w:rsid w:val="00030857"/>
    <w:rsid w:val="00030956"/>
    <w:rsid w:val="00030A2E"/>
    <w:rsid w:val="00030A45"/>
    <w:rsid w:val="00030A8C"/>
    <w:rsid w:val="00030B07"/>
    <w:rsid w:val="00030B85"/>
    <w:rsid w:val="00030D4F"/>
    <w:rsid w:val="00030EB3"/>
    <w:rsid w:val="00031017"/>
    <w:rsid w:val="0003115A"/>
    <w:rsid w:val="0003125B"/>
    <w:rsid w:val="00031288"/>
    <w:rsid w:val="0003141C"/>
    <w:rsid w:val="00031492"/>
    <w:rsid w:val="0003172F"/>
    <w:rsid w:val="00031820"/>
    <w:rsid w:val="0003192B"/>
    <w:rsid w:val="00031968"/>
    <w:rsid w:val="00031A5D"/>
    <w:rsid w:val="00031AC8"/>
    <w:rsid w:val="00031AD7"/>
    <w:rsid w:val="00031AF5"/>
    <w:rsid w:val="00031B8C"/>
    <w:rsid w:val="00031BC3"/>
    <w:rsid w:val="00031BC5"/>
    <w:rsid w:val="00031BD8"/>
    <w:rsid w:val="00031FC8"/>
    <w:rsid w:val="00031FEE"/>
    <w:rsid w:val="000320C5"/>
    <w:rsid w:val="0003216C"/>
    <w:rsid w:val="000321D4"/>
    <w:rsid w:val="00032396"/>
    <w:rsid w:val="000325E0"/>
    <w:rsid w:val="00032602"/>
    <w:rsid w:val="000326A5"/>
    <w:rsid w:val="0003274B"/>
    <w:rsid w:val="00032759"/>
    <w:rsid w:val="00032803"/>
    <w:rsid w:val="000328A3"/>
    <w:rsid w:val="0003296C"/>
    <w:rsid w:val="00032A28"/>
    <w:rsid w:val="00032BC2"/>
    <w:rsid w:val="00032C21"/>
    <w:rsid w:val="00032D34"/>
    <w:rsid w:val="00032E3A"/>
    <w:rsid w:val="00032ECB"/>
    <w:rsid w:val="00032F9F"/>
    <w:rsid w:val="00033090"/>
    <w:rsid w:val="00033102"/>
    <w:rsid w:val="000331BC"/>
    <w:rsid w:val="000332A2"/>
    <w:rsid w:val="000332F0"/>
    <w:rsid w:val="000333E6"/>
    <w:rsid w:val="0003342A"/>
    <w:rsid w:val="0003370E"/>
    <w:rsid w:val="00033890"/>
    <w:rsid w:val="000338AD"/>
    <w:rsid w:val="00033BA9"/>
    <w:rsid w:val="00033C7B"/>
    <w:rsid w:val="00033DF6"/>
    <w:rsid w:val="00033E4C"/>
    <w:rsid w:val="00033F18"/>
    <w:rsid w:val="00033F37"/>
    <w:rsid w:val="000341E0"/>
    <w:rsid w:val="0003439E"/>
    <w:rsid w:val="0003441A"/>
    <w:rsid w:val="00034435"/>
    <w:rsid w:val="00034681"/>
    <w:rsid w:val="0003472A"/>
    <w:rsid w:val="00034824"/>
    <w:rsid w:val="0003484B"/>
    <w:rsid w:val="0003496E"/>
    <w:rsid w:val="000349DC"/>
    <w:rsid w:val="00034A14"/>
    <w:rsid w:val="00034A2E"/>
    <w:rsid w:val="00034A79"/>
    <w:rsid w:val="00034A84"/>
    <w:rsid w:val="00034AF9"/>
    <w:rsid w:val="00034C66"/>
    <w:rsid w:val="00034F3B"/>
    <w:rsid w:val="000350FC"/>
    <w:rsid w:val="000351DA"/>
    <w:rsid w:val="00035309"/>
    <w:rsid w:val="00035402"/>
    <w:rsid w:val="000354E5"/>
    <w:rsid w:val="0003555E"/>
    <w:rsid w:val="000356B8"/>
    <w:rsid w:val="000356DE"/>
    <w:rsid w:val="0003580C"/>
    <w:rsid w:val="000358DA"/>
    <w:rsid w:val="0003590D"/>
    <w:rsid w:val="00035941"/>
    <w:rsid w:val="00035ABF"/>
    <w:rsid w:val="00035ACB"/>
    <w:rsid w:val="00035BE7"/>
    <w:rsid w:val="00035BF4"/>
    <w:rsid w:val="00035C2A"/>
    <w:rsid w:val="00035E57"/>
    <w:rsid w:val="00035ECD"/>
    <w:rsid w:val="00035F20"/>
    <w:rsid w:val="00035F5F"/>
    <w:rsid w:val="00036084"/>
    <w:rsid w:val="0003619E"/>
    <w:rsid w:val="000361EA"/>
    <w:rsid w:val="000362AD"/>
    <w:rsid w:val="00036377"/>
    <w:rsid w:val="000363AA"/>
    <w:rsid w:val="000363F1"/>
    <w:rsid w:val="000365FB"/>
    <w:rsid w:val="000366AD"/>
    <w:rsid w:val="00036707"/>
    <w:rsid w:val="00036731"/>
    <w:rsid w:val="000368D3"/>
    <w:rsid w:val="00036970"/>
    <w:rsid w:val="000369C6"/>
    <w:rsid w:val="00036B0F"/>
    <w:rsid w:val="00036C61"/>
    <w:rsid w:val="00036D2F"/>
    <w:rsid w:val="00036DA4"/>
    <w:rsid w:val="00036F30"/>
    <w:rsid w:val="00036F45"/>
    <w:rsid w:val="00036F9B"/>
    <w:rsid w:val="00036FFA"/>
    <w:rsid w:val="000370A2"/>
    <w:rsid w:val="0003722C"/>
    <w:rsid w:val="00037305"/>
    <w:rsid w:val="00037406"/>
    <w:rsid w:val="00037495"/>
    <w:rsid w:val="00037601"/>
    <w:rsid w:val="0003761A"/>
    <w:rsid w:val="0003762B"/>
    <w:rsid w:val="0003764B"/>
    <w:rsid w:val="000377BA"/>
    <w:rsid w:val="000377CA"/>
    <w:rsid w:val="000377F5"/>
    <w:rsid w:val="00037885"/>
    <w:rsid w:val="000378D8"/>
    <w:rsid w:val="000379D3"/>
    <w:rsid w:val="000379D6"/>
    <w:rsid w:val="00037AE3"/>
    <w:rsid w:val="00037C03"/>
    <w:rsid w:val="00037D73"/>
    <w:rsid w:val="00037E6A"/>
    <w:rsid w:val="00037FC3"/>
    <w:rsid w:val="0004003F"/>
    <w:rsid w:val="000401F6"/>
    <w:rsid w:val="00040204"/>
    <w:rsid w:val="00040255"/>
    <w:rsid w:val="00040268"/>
    <w:rsid w:val="00040298"/>
    <w:rsid w:val="00040299"/>
    <w:rsid w:val="0004033A"/>
    <w:rsid w:val="0004057F"/>
    <w:rsid w:val="000405D4"/>
    <w:rsid w:val="0004070E"/>
    <w:rsid w:val="00040717"/>
    <w:rsid w:val="000409BC"/>
    <w:rsid w:val="000409C1"/>
    <w:rsid w:val="00040A19"/>
    <w:rsid w:val="00040B6B"/>
    <w:rsid w:val="00040E05"/>
    <w:rsid w:val="00040E5C"/>
    <w:rsid w:val="00040F05"/>
    <w:rsid w:val="00040F43"/>
    <w:rsid w:val="00041060"/>
    <w:rsid w:val="0004110F"/>
    <w:rsid w:val="00041157"/>
    <w:rsid w:val="00041177"/>
    <w:rsid w:val="0004117B"/>
    <w:rsid w:val="000412BE"/>
    <w:rsid w:val="00041359"/>
    <w:rsid w:val="0004151B"/>
    <w:rsid w:val="0004165B"/>
    <w:rsid w:val="00041801"/>
    <w:rsid w:val="00041965"/>
    <w:rsid w:val="00041ACC"/>
    <w:rsid w:val="00041D60"/>
    <w:rsid w:val="00041D9B"/>
    <w:rsid w:val="00041FD4"/>
    <w:rsid w:val="00041FFE"/>
    <w:rsid w:val="00042098"/>
    <w:rsid w:val="00042241"/>
    <w:rsid w:val="0004224E"/>
    <w:rsid w:val="000422A2"/>
    <w:rsid w:val="000423D8"/>
    <w:rsid w:val="00042503"/>
    <w:rsid w:val="000425B6"/>
    <w:rsid w:val="000426C7"/>
    <w:rsid w:val="00042788"/>
    <w:rsid w:val="0004287F"/>
    <w:rsid w:val="00042AB0"/>
    <w:rsid w:val="00042AE2"/>
    <w:rsid w:val="00042B2A"/>
    <w:rsid w:val="00042C7B"/>
    <w:rsid w:val="00042C90"/>
    <w:rsid w:val="00042EBB"/>
    <w:rsid w:val="00042EC5"/>
    <w:rsid w:val="00042EF1"/>
    <w:rsid w:val="00042F8B"/>
    <w:rsid w:val="0004303D"/>
    <w:rsid w:val="00043077"/>
    <w:rsid w:val="00043150"/>
    <w:rsid w:val="000431B0"/>
    <w:rsid w:val="000431DA"/>
    <w:rsid w:val="0004323D"/>
    <w:rsid w:val="000432CD"/>
    <w:rsid w:val="00043321"/>
    <w:rsid w:val="0004345B"/>
    <w:rsid w:val="00043586"/>
    <w:rsid w:val="000435FC"/>
    <w:rsid w:val="00043657"/>
    <w:rsid w:val="000436C2"/>
    <w:rsid w:val="00043795"/>
    <w:rsid w:val="00043874"/>
    <w:rsid w:val="0004390B"/>
    <w:rsid w:val="0004394B"/>
    <w:rsid w:val="0004398D"/>
    <w:rsid w:val="00043A8C"/>
    <w:rsid w:val="00043AEF"/>
    <w:rsid w:val="00043B9E"/>
    <w:rsid w:val="00043BD1"/>
    <w:rsid w:val="00043C21"/>
    <w:rsid w:val="00043D66"/>
    <w:rsid w:val="00043DBB"/>
    <w:rsid w:val="00043DFB"/>
    <w:rsid w:val="00043E3E"/>
    <w:rsid w:val="00043ED5"/>
    <w:rsid w:val="00043FC0"/>
    <w:rsid w:val="0004406B"/>
    <w:rsid w:val="0004426B"/>
    <w:rsid w:val="000442F5"/>
    <w:rsid w:val="000443E7"/>
    <w:rsid w:val="0004455C"/>
    <w:rsid w:val="00044599"/>
    <w:rsid w:val="0004459B"/>
    <w:rsid w:val="000445DC"/>
    <w:rsid w:val="00044641"/>
    <w:rsid w:val="000446BA"/>
    <w:rsid w:val="000446DB"/>
    <w:rsid w:val="00044734"/>
    <w:rsid w:val="00044827"/>
    <w:rsid w:val="0004484E"/>
    <w:rsid w:val="00044879"/>
    <w:rsid w:val="000449BE"/>
    <w:rsid w:val="00044AAB"/>
    <w:rsid w:val="00044AC4"/>
    <w:rsid w:val="00044CD4"/>
    <w:rsid w:val="00044EBC"/>
    <w:rsid w:val="00045015"/>
    <w:rsid w:val="00045197"/>
    <w:rsid w:val="000451DE"/>
    <w:rsid w:val="00045283"/>
    <w:rsid w:val="0004530E"/>
    <w:rsid w:val="0004561E"/>
    <w:rsid w:val="000458A6"/>
    <w:rsid w:val="000458C7"/>
    <w:rsid w:val="000458E5"/>
    <w:rsid w:val="0004597E"/>
    <w:rsid w:val="000459B2"/>
    <w:rsid w:val="00045B0A"/>
    <w:rsid w:val="00045CDA"/>
    <w:rsid w:val="00045E9B"/>
    <w:rsid w:val="00045F02"/>
    <w:rsid w:val="00046072"/>
    <w:rsid w:val="0004623E"/>
    <w:rsid w:val="00046243"/>
    <w:rsid w:val="00046244"/>
    <w:rsid w:val="0004625D"/>
    <w:rsid w:val="0004629A"/>
    <w:rsid w:val="00046375"/>
    <w:rsid w:val="00046378"/>
    <w:rsid w:val="000463DE"/>
    <w:rsid w:val="00046593"/>
    <w:rsid w:val="000465A3"/>
    <w:rsid w:val="00046823"/>
    <w:rsid w:val="00046832"/>
    <w:rsid w:val="0004683B"/>
    <w:rsid w:val="00046928"/>
    <w:rsid w:val="00046A86"/>
    <w:rsid w:val="00046AAB"/>
    <w:rsid w:val="00046C09"/>
    <w:rsid w:val="00046C4C"/>
    <w:rsid w:val="00046C68"/>
    <w:rsid w:val="00046D0F"/>
    <w:rsid w:val="00046DAB"/>
    <w:rsid w:val="00046FC7"/>
    <w:rsid w:val="00047075"/>
    <w:rsid w:val="000470DC"/>
    <w:rsid w:val="00047220"/>
    <w:rsid w:val="00047343"/>
    <w:rsid w:val="00047357"/>
    <w:rsid w:val="00047379"/>
    <w:rsid w:val="000474C7"/>
    <w:rsid w:val="000475B7"/>
    <w:rsid w:val="0004778D"/>
    <w:rsid w:val="0004790D"/>
    <w:rsid w:val="00047965"/>
    <w:rsid w:val="00047995"/>
    <w:rsid w:val="000479C3"/>
    <w:rsid w:val="000479EC"/>
    <w:rsid w:val="00047B53"/>
    <w:rsid w:val="00047BBA"/>
    <w:rsid w:val="00047BCD"/>
    <w:rsid w:val="00047C1A"/>
    <w:rsid w:val="00047D9E"/>
    <w:rsid w:val="00047E4C"/>
    <w:rsid w:val="00047EB7"/>
    <w:rsid w:val="0005000C"/>
    <w:rsid w:val="00050063"/>
    <w:rsid w:val="000500AA"/>
    <w:rsid w:val="000500C3"/>
    <w:rsid w:val="0005017C"/>
    <w:rsid w:val="000501AF"/>
    <w:rsid w:val="000501B3"/>
    <w:rsid w:val="000502AE"/>
    <w:rsid w:val="000502D8"/>
    <w:rsid w:val="000502DB"/>
    <w:rsid w:val="0005047E"/>
    <w:rsid w:val="00050567"/>
    <w:rsid w:val="0005059A"/>
    <w:rsid w:val="0005075C"/>
    <w:rsid w:val="0005081F"/>
    <w:rsid w:val="000508AF"/>
    <w:rsid w:val="00050910"/>
    <w:rsid w:val="00050925"/>
    <w:rsid w:val="00050942"/>
    <w:rsid w:val="000509D0"/>
    <w:rsid w:val="00050A42"/>
    <w:rsid w:val="00050B6B"/>
    <w:rsid w:val="00050BCB"/>
    <w:rsid w:val="00050C4B"/>
    <w:rsid w:val="00050CF9"/>
    <w:rsid w:val="00050D57"/>
    <w:rsid w:val="00050DD2"/>
    <w:rsid w:val="00050F06"/>
    <w:rsid w:val="00050F2F"/>
    <w:rsid w:val="00050F3A"/>
    <w:rsid w:val="00050FDD"/>
    <w:rsid w:val="0005109A"/>
    <w:rsid w:val="000511C1"/>
    <w:rsid w:val="0005129A"/>
    <w:rsid w:val="0005141D"/>
    <w:rsid w:val="00051482"/>
    <w:rsid w:val="000514D1"/>
    <w:rsid w:val="0005166C"/>
    <w:rsid w:val="00051863"/>
    <w:rsid w:val="00051893"/>
    <w:rsid w:val="000518A3"/>
    <w:rsid w:val="000518A7"/>
    <w:rsid w:val="00051A0E"/>
    <w:rsid w:val="00051ED9"/>
    <w:rsid w:val="00051FE0"/>
    <w:rsid w:val="00052064"/>
    <w:rsid w:val="0005208D"/>
    <w:rsid w:val="000520A9"/>
    <w:rsid w:val="00052223"/>
    <w:rsid w:val="00052313"/>
    <w:rsid w:val="0005237F"/>
    <w:rsid w:val="0005242E"/>
    <w:rsid w:val="00052599"/>
    <w:rsid w:val="000527A4"/>
    <w:rsid w:val="000527F3"/>
    <w:rsid w:val="00052832"/>
    <w:rsid w:val="00052895"/>
    <w:rsid w:val="000528C0"/>
    <w:rsid w:val="000528F3"/>
    <w:rsid w:val="0005292B"/>
    <w:rsid w:val="000529C3"/>
    <w:rsid w:val="000529ED"/>
    <w:rsid w:val="00052A2E"/>
    <w:rsid w:val="00052AC4"/>
    <w:rsid w:val="00052BE2"/>
    <w:rsid w:val="00052BE7"/>
    <w:rsid w:val="00052CA3"/>
    <w:rsid w:val="00052F62"/>
    <w:rsid w:val="00052F65"/>
    <w:rsid w:val="00052F73"/>
    <w:rsid w:val="00052F91"/>
    <w:rsid w:val="00052FD3"/>
    <w:rsid w:val="000530BA"/>
    <w:rsid w:val="000531C7"/>
    <w:rsid w:val="00053217"/>
    <w:rsid w:val="0005336C"/>
    <w:rsid w:val="0005343D"/>
    <w:rsid w:val="0005356C"/>
    <w:rsid w:val="00053647"/>
    <w:rsid w:val="00053658"/>
    <w:rsid w:val="00053693"/>
    <w:rsid w:val="000536C0"/>
    <w:rsid w:val="0005374A"/>
    <w:rsid w:val="00053765"/>
    <w:rsid w:val="00053791"/>
    <w:rsid w:val="000537AB"/>
    <w:rsid w:val="0005387C"/>
    <w:rsid w:val="000538F3"/>
    <w:rsid w:val="00053916"/>
    <w:rsid w:val="00053C57"/>
    <w:rsid w:val="00053C9B"/>
    <w:rsid w:val="00053FA3"/>
    <w:rsid w:val="0005406C"/>
    <w:rsid w:val="0005407D"/>
    <w:rsid w:val="00054176"/>
    <w:rsid w:val="000542D5"/>
    <w:rsid w:val="00054310"/>
    <w:rsid w:val="0005431A"/>
    <w:rsid w:val="000543B6"/>
    <w:rsid w:val="000543DA"/>
    <w:rsid w:val="00054477"/>
    <w:rsid w:val="00054480"/>
    <w:rsid w:val="00054508"/>
    <w:rsid w:val="000545DE"/>
    <w:rsid w:val="000545FB"/>
    <w:rsid w:val="00054639"/>
    <w:rsid w:val="000546BB"/>
    <w:rsid w:val="000547A6"/>
    <w:rsid w:val="000547C2"/>
    <w:rsid w:val="000547EA"/>
    <w:rsid w:val="000548A6"/>
    <w:rsid w:val="0005490B"/>
    <w:rsid w:val="00054965"/>
    <w:rsid w:val="000549B1"/>
    <w:rsid w:val="000549E7"/>
    <w:rsid w:val="000549E9"/>
    <w:rsid w:val="000549FD"/>
    <w:rsid w:val="00054D85"/>
    <w:rsid w:val="00054DA6"/>
    <w:rsid w:val="000550C9"/>
    <w:rsid w:val="00055179"/>
    <w:rsid w:val="00055640"/>
    <w:rsid w:val="000556CA"/>
    <w:rsid w:val="000557AC"/>
    <w:rsid w:val="000558ED"/>
    <w:rsid w:val="00055960"/>
    <w:rsid w:val="000559D2"/>
    <w:rsid w:val="000559E5"/>
    <w:rsid w:val="00055A8F"/>
    <w:rsid w:val="00055AA3"/>
    <w:rsid w:val="00055B61"/>
    <w:rsid w:val="00055B86"/>
    <w:rsid w:val="00055B8C"/>
    <w:rsid w:val="00055BE4"/>
    <w:rsid w:val="00055C3A"/>
    <w:rsid w:val="00055C47"/>
    <w:rsid w:val="00055CAC"/>
    <w:rsid w:val="00055CC8"/>
    <w:rsid w:val="00055D75"/>
    <w:rsid w:val="00055D9D"/>
    <w:rsid w:val="00055DDF"/>
    <w:rsid w:val="00055E54"/>
    <w:rsid w:val="00055F3B"/>
    <w:rsid w:val="00056004"/>
    <w:rsid w:val="0005626A"/>
    <w:rsid w:val="0005626B"/>
    <w:rsid w:val="000562C8"/>
    <w:rsid w:val="0005631E"/>
    <w:rsid w:val="0005634D"/>
    <w:rsid w:val="00056365"/>
    <w:rsid w:val="0005653B"/>
    <w:rsid w:val="0005655B"/>
    <w:rsid w:val="00056598"/>
    <w:rsid w:val="000565BD"/>
    <w:rsid w:val="000565F1"/>
    <w:rsid w:val="00056658"/>
    <w:rsid w:val="00056661"/>
    <w:rsid w:val="00056688"/>
    <w:rsid w:val="000567DE"/>
    <w:rsid w:val="00056820"/>
    <w:rsid w:val="000569F1"/>
    <w:rsid w:val="00056A84"/>
    <w:rsid w:val="00056BE8"/>
    <w:rsid w:val="00056C5D"/>
    <w:rsid w:val="00056C64"/>
    <w:rsid w:val="00056CF9"/>
    <w:rsid w:val="00056DFA"/>
    <w:rsid w:val="00056DFF"/>
    <w:rsid w:val="00057094"/>
    <w:rsid w:val="00057255"/>
    <w:rsid w:val="000572CC"/>
    <w:rsid w:val="000572D2"/>
    <w:rsid w:val="00057338"/>
    <w:rsid w:val="000573A2"/>
    <w:rsid w:val="000573BB"/>
    <w:rsid w:val="000573F8"/>
    <w:rsid w:val="0005751F"/>
    <w:rsid w:val="0005759F"/>
    <w:rsid w:val="00057668"/>
    <w:rsid w:val="000576D8"/>
    <w:rsid w:val="0005773F"/>
    <w:rsid w:val="0005778A"/>
    <w:rsid w:val="000577B2"/>
    <w:rsid w:val="000579F8"/>
    <w:rsid w:val="00057B19"/>
    <w:rsid w:val="00057C09"/>
    <w:rsid w:val="00057DB0"/>
    <w:rsid w:val="00057DEE"/>
    <w:rsid w:val="00060052"/>
    <w:rsid w:val="00060193"/>
    <w:rsid w:val="0006027C"/>
    <w:rsid w:val="000602C9"/>
    <w:rsid w:val="0006030F"/>
    <w:rsid w:val="0006031D"/>
    <w:rsid w:val="00060324"/>
    <w:rsid w:val="00060472"/>
    <w:rsid w:val="000604E8"/>
    <w:rsid w:val="0006072F"/>
    <w:rsid w:val="0006075A"/>
    <w:rsid w:val="0006096C"/>
    <w:rsid w:val="00060977"/>
    <w:rsid w:val="00060A73"/>
    <w:rsid w:val="00060A98"/>
    <w:rsid w:val="00060BD5"/>
    <w:rsid w:val="00060D01"/>
    <w:rsid w:val="00060D5E"/>
    <w:rsid w:val="00060F17"/>
    <w:rsid w:val="000610EC"/>
    <w:rsid w:val="00061139"/>
    <w:rsid w:val="00061237"/>
    <w:rsid w:val="0006125A"/>
    <w:rsid w:val="000612A0"/>
    <w:rsid w:val="0006130C"/>
    <w:rsid w:val="00061362"/>
    <w:rsid w:val="0006137B"/>
    <w:rsid w:val="000613EE"/>
    <w:rsid w:val="00061546"/>
    <w:rsid w:val="0006155C"/>
    <w:rsid w:val="000616E9"/>
    <w:rsid w:val="00061AF8"/>
    <w:rsid w:val="00061B30"/>
    <w:rsid w:val="00061C2B"/>
    <w:rsid w:val="00061CF8"/>
    <w:rsid w:val="00061D78"/>
    <w:rsid w:val="00061D8F"/>
    <w:rsid w:val="00061DE1"/>
    <w:rsid w:val="00061E42"/>
    <w:rsid w:val="00061ED5"/>
    <w:rsid w:val="00061F4D"/>
    <w:rsid w:val="00062088"/>
    <w:rsid w:val="0006226C"/>
    <w:rsid w:val="00062523"/>
    <w:rsid w:val="000625BE"/>
    <w:rsid w:val="00062650"/>
    <w:rsid w:val="0006273B"/>
    <w:rsid w:val="0006279E"/>
    <w:rsid w:val="00062889"/>
    <w:rsid w:val="000628F2"/>
    <w:rsid w:val="0006292F"/>
    <w:rsid w:val="00062C4C"/>
    <w:rsid w:val="00062CAA"/>
    <w:rsid w:val="00062F9E"/>
    <w:rsid w:val="00063000"/>
    <w:rsid w:val="0006311E"/>
    <w:rsid w:val="000631E5"/>
    <w:rsid w:val="00063342"/>
    <w:rsid w:val="00063344"/>
    <w:rsid w:val="000634B8"/>
    <w:rsid w:val="0006379C"/>
    <w:rsid w:val="00063996"/>
    <w:rsid w:val="000639DF"/>
    <w:rsid w:val="00063A9C"/>
    <w:rsid w:val="00063AAF"/>
    <w:rsid w:val="00063AC1"/>
    <w:rsid w:val="00063AF0"/>
    <w:rsid w:val="00063BC4"/>
    <w:rsid w:val="00063C06"/>
    <w:rsid w:val="00063C2B"/>
    <w:rsid w:val="00063DB8"/>
    <w:rsid w:val="00063DD7"/>
    <w:rsid w:val="00063E6C"/>
    <w:rsid w:val="00063E7E"/>
    <w:rsid w:val="00063FEF"/>
    <w:rsid w:val="00064055"/>
    <w:rsid w:val="00064243"/>
    <w:rsid w:val="000642C7"/>
    <w:rsid w:val="00064439"/>
    <w:rsid w:val="00064476"/>
    <w:rsid w:val="00064500"/>
    <w:rsid w:val="0006469C"/>
    <w:rsid w:val="000646A1"/>
    <w:rsid w:val="0006471E"/>
    <w:rsid w:val="00064788"/>
    <w:rsid w:val="00064872"/>
    <w:rsid w:val="00064954"/>
    <w:rsid w:val="00064A89"/>
    <w:rsid w:val="00064A9D"/>
    <w:rsid w:val="00064C6C"/>
    <w:rsid w:val="00064D18"/>
    <w:rsid w:val="00064DCD"/>
    <w:rsid w:val="00064E7B"/>
    <w:rsid w:val="00064E9E"/>
    <w:rsid w:val="00064EE5"/>
    <w:rsid w:val="00064FC5"/>
    <w:rsid w:val="00065035"/>
    <w:rsid w:val="00065130"/>
    <w:rsid w:val="0006513D"/>
    <w:rsid w:val="000652FA"/>
    <w:rsid w:val="0006532A"/>
    <w:rsid w:val="00065458"/>
    <w:rsid w:val="000654FD"/>
    <w:rsid w:val="00065530"/>
    <w:rsid w:val="000655B6"/>
    <w:rsid w:val="0006561B"/>
    <w:rsid w:val="00065748"/>
    <w:rsid w:val="000657D3"/>
    <w:rsid w:val="0006584C"/>
    <w:rsid w:val="000658B0"/>
    <w:rsid w:val="0006592E"/>
    <w:rsid w:val="00065B7B"/>
    <w:rsid w:val="00065DA5"/>
    <w:rsid w:val="00065EA5"/>
    <w:rsid w:val="00066079"/>
    <w:rsid w:val="00066198"/>
    <w:rsid w:val="000661C3"/>
    <w:rsid w:val="0006632C"/>
    <w:rsid w:val="0006640B"/>
    <w:rsid w:val="0006645F"/>
    <w:rsid w:val="0006647B"/>
    <w:rsid w:val="00066520"/>
    <w:rsid w:val="0006663B"/>
    <w:rsid w:val="000668D9"/>
    <w:rsid w:val="000668EB"/>
    <w:rsid w:val="00066980"/>
    <w:rsid w:val="0006699B"/>
    <w:rsid w:val="00066ACA"/>
    <w:rsid w:val="00066ADF"/>
    <w:rsid w:val="00066BCD"/>
    <w:rsid w:val="00066C31"/>
    <w:rsid w:val="00066C36"/>
    <w:rsid w:val="00066CDB"/>
    <w:rsid w:val="00066E1A"/>
    <w:rsid w:val="00067045"/>
    <w:rsid w:val="0006711E"/>
    <w:rsid w:val="000672FD"/>
    <w:rsid w:val="00067386"/>
    <w:rsid w:val="00067436"/>
    <w:rsid w:val="000675B5"/>
    <w:rsid w:val="00067670"/>
    <w:rsid w:val="0006769D"/>
    <w:rsid w:val="00067739"/>
    <w:rsid w:val="0006778B"/>
    <w:rsid w:val="00067913"/>
    <w:rsid w:val="0006796D"/>
    <w:rsid w:val="0006798E"/>
    <w:rsid w:val="00067A18"/>
    <w:rsid w:val="00067ACD"/>
    <w:rsid w:val="00067E66"/>
    <w:rsid w:val="00067F1F"/>
    <w:rsid w:val="00067F21"/>
    <w:rsid w:val="00067F6E"/>
    <w:rsid w:val="00070030"/>
    <w:rsid w:val="0007010C"/>
    <w:rsid w:val="00070121"/>
    <w:rsid w:val="00070139"/>
    <w:rsid w:val="00070205"/>
    <w:rsid w:val="00070423"/>
    <w:rsid w:val="00070487"/>
    <w:rsid w:val="000704F6"/>
    <w:rsid w:val="00070548"/>
    <w:rsid w:val="00070655"/>
    <w:rsid w:val="0007068E"/>
    <w:rsid w:val="00070772"/>
    <w:rsid w:val="000707AB"/>
    <w:rsid w:val="000707FF"/>
    <w:rsid w:val="00070831"/>
    <w:rsid w:val="00070877"/>
    <w:rsid w:val="0007088E"/>
    <w:rsid w:val="0007091C"/>
    <w:rsid w:val="00070AA3"/>
    <w:rsid w:val="00070B65"/>
    <w:rsid w:val="00070B86"/>
    <w:rsid w:val="00070BD7"/>
    <w:rsid w:val="00070DF0"/>
    <w:rsid w:val="00070E03"/>
    <w:rsid w:val="00070EB8"/>
    <w:rsid w:val="00070EC0"/>
    <w:rsid w:val="000711E8"/>
    <w:rsid w:val="00071381"/>
    <w:rsid w:val="000713F4"/>
    <w:rsid w:val="00071664"/>
    <w:rsid w:val="00071669"/>
    <w:rsid w:val="0007168B"/>
    <w:rsid w:val="00071A33"/>
    <w:rsid w:val="00071C1B"/>
    <w:rsid w:val="00071CEA"/>
    <w:rsid w:val="00071D1C"/>
    <w:rsid w:val="00071DFF"/>
    <w:rsid w:val="00071E37"/>
    <w:rsid w:val="00071E8B"/>
    <w:rsid w:val="00071F67"/>
    <w:rsid w:val="00072031"/>
    <w:rsid w:val="000721C4"/>
    <w:rsid w:val="000722C1"/>
    <w:rsid w:val="000723EC"/>
    <w:rsid w:val="0007241A"/>
    <w:rsid w:val="000724D2"/>
    <w:rsid w:val="000726C8"/>
    <w:rsid w:val="0007274F"/>
    <w:rsid w:val="000727F0"/>
    <w:rsid w:val="00072878"/>
    <w:rsid w:val="00072953"/>
    <w:rsid w:val="00072B36"/>
    <w:rsid w:val="00072B42"/>
    <w:rsid w:val="00072B89"/>
    <w:rsid w:val="00072C21"/>
    <w:rsid w:val="00072C61"/>
    <w:rsid w:val="00072CA7"/>
    <w:rsid w:val="00072D4E"/>
    <w:rsid w:val="00072D69"/>
    <w:rsid w:val="00072DE1"/>
    <w:rsid w:val="00072FBC"/>
    <w:rsid w:val="0007308F"/>
    <w:rsid w:val="0007309F"/>
    <w:rsid w:val="00073193"/>
    <w:rsid w:val="000732BD"/>
    <w:rsid w:val="00073378"/>
    <w:rsid w:val="000733B3"/>
    <w:rsid w:val="00073644"/>
    <w:rsid w:val="00073778"/>
    <w:rsid w:val="00073780"/>
    <w:rsid w:val="00073812"/>
    <w:rsid w:val="0007382A"/>
    <w:rsid w:val="0007382B"/>
    <w:rsid w:val="00073977"/>
    <w:rsid w:val="00073986"/>
    <w:rsid w:val="00073A9F"/>
    <w:rsid w:val="00073E95"/>
    <w:rsid w:val="00073EA5"/>
    <w:rsid w:val="00073F4B"/>
    <w:rsid w:val="00074118"/>
    <w:rsid w:val="000741E2"/>
    <w:rsid w:val="00074221"/>
    <w:rsid w:val="00074297"/>
    <w:rsid w:val="00074331"/>
    <w:rsid w:val="000743C4"/>
    <w:rsid w:val="000743E2"/>
    <w:rsid w:val="0007458F"/>
    <w:rsid w:val="000745B0"/>
    <w:rsid w:val="00074846"/>
    <w:rsid w:val="00074A96"/>
    <w:rsid w:val="00074B0B"/>
    <w:rsid w:val="00074ED4"/>
    <w:rsid w:val="00074F46"/>
    <w:rsid w:val="00075007"/>
    <w:rsid w:val="00075086"/>
    <w:rsid w:val="000750DD"/>
    <w:rsid w:val="00075151"/>
    <w:rsid w:val="00075201"/>
    <w:rsid w:val="00075295"/>
    <w:rsid w:val="00075346"/>
    <w:rsid w:val="000754E9"/>
    <w:rsid w:val="00075574"/>
    <w:rsid w:val="0007566E"/>
    <w:rsid w:val="00075680"/>
    <w:rsid w:val="000757B3"/>
    <w:rsid w:val="000757BC"/>
    <w:rsid w:val="00075872"/>
    <w:rsid w:val="000758C7"/>
    <w:rsid w:val="000758F9"/>
    <w:rsid w:val="00075A8F"/>
    <w:rsid w:val="00075C6F"/>
    <w:rsid w:val="00075D8C"/>
    <w:rsid w:val="00075DDC"/>
    <w:rsid w:val="00075DDF"/>
    <w:rsid w:val="00075E32"/>
    <w:rsid w:val="00076317"/>
    <w:rsid w:val="00076406"/>
    <w:rsid w:val="000765AB"/>
    <w:rsid w:val="000765F7"/>
    <w:rsid w:val="0007682A"/>
    <w:rsid w:val="0007697F"/>
    <w:rsid w:val="00076A5F"/>
    <w:rsid w:val="00076B18"/>
    <w:rsid w:val="00076CD7"/>
    <w:rsid w:val="00076E56"/>
    <w:rsid w:val="00076F31"/>
    <w:rsid w:val="00076FC1"/>
    <w:rsid w:val="00076FE3"/>
    <w:rsid w:val="00077091"/>
    <w:rsid w:val="00077293"/>
    <w:rsid w:val="000772C5"/>
    <w:rsid w:val="000772E1"/>
    <w:rsid w:val="0007730F"/>
    <w:rsid w:val="00077331"/>
    <w:rsid w:val="0007737E"/>
    <w:rsid w:val="0007748A"/>
    <w:rsid w:val="000774A9"/>
    <w:rsid w:val="000774BB"/>
    <w:rsid w:val="00077533"/>
    <w:rsid w:val="0007756E"/>
    <w:rsid w:val="00077647"/>
    <w:rsid w:val="000776D7"/>
    <w:rsid w:val="00077AF0"/>
    <w:rsid w:val="00077B17"/>
    <w:rsid w:val="00077BD3"/>
    <w:rsid w:val="00077D29"/>
    <w:rsid w:val="00077D9E"/>
    <w:rsid w:val="00077E07"/>
    <w:rsid w:val="00077E95"/>
    <w:rsid w:val="00077F0C"/>
    <w:rsid w:val="00080003"/>
    <w:rsid w:val="0008000F"/>
    <w:rsid w:val="000800EA"/>
    <w:rsid w:val="00080171"/>
    <w:rsid w:val="00080265"/>
    <w:rsid w:val="00080271"/>
    <w:rsid w:val="000802E4"/>
    <w:rsid w:val="00080536"/>
    <w:rsid w:val="000805DC"/>
    <w:rsid w:val="000805E3"/>
    <w:rsid w:val="000805F1"/>
    <w:rsid w:val="0008068D"/>
    <w:rsid w:val="000806E8"/>
    <w:rsid w:val="00080964"/>
    <w:rsid w:val="00080A0D"/>
    <w:rsid w:val="00080A76"/>
    <w:rsid w:val="00080B64"/>
    <w:rsid w:val="00080C04"/>
    <w:rsid w:val="00080CAA"/>
    <w:rsid w:val="00080E19"/>
    <w:rsid w:val="00080FCA"/>
    <w:rsid w:val="0008103F"/>
    <w:rsid w:val="0008106A"/>
    <w:rsid w:val="00081120"/>
    <w:rsid w:val="000811D0"/>
    <w:rsid w:val="00081322"/>
    <w:rsid w:val="000814B8"/>
    <w:rsid w:val="00081549"/>
    <w:rsid w:val="0008158B"/>
    <w:rsid w:val="00081718"/>
    <w:rsid w:val="000817E5"/>
    <w:rsid w:val="00081913"/>
    <w:rsid w:val="0008191D"/>
    <w:rsid w:val="000819F3"/>
    <w:rsid w:val="00081B08"/>
    <w:rsid w:val="00081B53"/>
    <w:rsid w:val="00081CA3"/>
    <w:rsid w:val="00081D57"/>
    <w:rsid w:val="00081DCF"/>
    <w:rsid w:val="00081F06"/>
    <w:rsid w:val="00082026"/>
    <w:rsid w:val="00082096"/>
    <w:rsid w:val="00082252"/>
    <w:rsid w:val="000822CE"/>
    <w:rsid w:val="00082477"/>
    <w:rsid w:val="000824D2"/>
    <w:rsid w:val="00082574"/>
    <w:rsid w:val="00082788"/>
    <w:rsid w:val="000829D5"/>
    <w:rsid w:val="000829EF"/>
    <w:rsid w:val="00082B2A"/>
    <w:rsid w:val="00082B2D"/>
    <w:rsid w:val="00082C4A"/>
    <w:rsid w:val="00082C87"/>
    <w:rsid w:val="00082D37"/>
    <w:rsid w:val="00082DFA"/>
    <w:rsid w:val="00082E2C"/>
    <w:rsid w:val="00082F58"/>
    <w:rsid w:val="000830E4"/>
    <w:rsid w:val="0008312B"/>
    <w:rsid w:val="0008320E"/>
    <w:rsid w:val="00083253"/>
    <w:rsid w:val="000832BC"/>
    <w:rsid w:val="0008330B"/>
    <w:rsid w:val="000833C8"/>
    <w:rsid w:val="00083464"/>
    <w:rsid w:val="00083527"/>
    <w:rsid w:val="000835EE"/>
    <w:rsid w:val="00083630"/>
    <w:rsid w:val="0008378B"/>
    <w:rsid w:val="0008380A"/>
    <w:rsid w:val="000839C1"/>
    <w:rsid w:val="00083B09"/>
    <w:rsid w:val="00083B78"/>
    <w:rsid w:val="00083C29"/>
    <w:rsid w:val="00083C40"/>
    <w:rsid w:val="00083C5A"/>
    <w:rsid w:val="00083D99"/>
    <w:rsid w:val="00083EF4"/>
    <w:rsid w:val="00083F23"/>
    <w:rsid w:val="00083F3D"/>
    <w:rsid w:val="00083F50"/>
    <w:rsid w:val="00083F64"/>
    <w:rsid w:val="000840DA"/>
    <w:rsid w:val="000843E9"/>
    <w:rsid w:val="00084601"/>
    <w:rsid w:val="000847D8"/>
    <w:rsid w:val="00084936"/>
    <w:rsid w:val="00084A06"/>
    <w:rsid w:val="00084B8A"/>
    <w:rsid w:val="00084BF5"/>
    <w:rsid w:val="00084C50"/>
    <w:rsid w:val="00084D29"/>
    <w:rsid w:val="00084D91"/>
    <w:rsid w:val="00084E6B"/>
    <w:rsid w:val="00084EB4"/>
    <w:rsid w:val="00084F0F"/>
    <w:rsid w:val="00085022"/>
    <w:rsid w:val="00085090"/>
    <w:rsid w:val="000850B3"/>
    <w:rsid w:val="00085111"/>
    <w:rsid w:val="0008513A"/>
    <w:rsid w:val="0008513F"/>
    <w:rsid w:val="00085359"/>
    <w:rsid w:val="000853BB"/>
    <w:rsid w:val="000854C2"/>
    <w:rsid w:val="0008553A"/>
    <w:rsid w:val="000855A9"/>
    <w:rsid w:val="00085657"/>
    <w:rsid w:val="0008574D"/>
    <w:rsid w:val="00085803"/>
    <w:rsid w:val="00085839"/>
    <w:rsid w:val="000858CB"/>
    <w:rsid w:val="00085D5E"/>
    <w:rsid w:val="00085FB0"/>
    <w:rsid w:val="00086458"/>
    <w:rsid w:val="00086510"/>
    <w:rsid w:val="0008666A"/>
    <w:rsid w:val="00086727"/>
    <w:rsid w:val="000867DC"/>
    <w:rsid w:val="00086888"/>
    <w:rsid w:val="00086968"/>
    <w:rsid w:val="0008698A"/>
    <w:rsid w:val="00086AC6"/>
    <w:rsid w:val="00086BDB"/>
    <w:rsid w:val="00086ECC"/>
    <w:rsid w:val="00086FB3"/>
    <w:rsid w:val="00086FED"/>
    <w:rsid w:val="00087032"/>
    <w:rsid w:val="000870C3"/>
    <w:rsid w:val="000870DD"/>
    <w:rsid w:val="0008721D"/>
    <w:rsid w:val="00087383"/>
    <w:rsid w:val="00087395"/>
    <w:rsid w:val="000873E5"/>
    <w:rsid w:val="000873EB"/>
    <w:rsid w:val="0008746E"/>
    <w:rsid w:val="000875A7"/>
    <w:rsid w:val="000875E6"/>
    <w:rsid w:val="0008762F"/>
    <w:rsid w:val="00087718"/>
    <w:rsid w:val="00087826"/>
    <w:rsid w:val="00087A0F"/>
    <w:rsid w:val="00087A8A"/>
    <w:rsid w:val="00087B10"/>
    <w:rsid w:val="00087B25"/>
    <w:rsid w:val="00087B63"/>
    <w:rsid w:val="00087BDA"/>
    <w:rsid w:val="00087D45"/>
    <w:rsid w:val="00087E96"/>
    <w:rsid w:val="00087EE4"/>
    <w:rsid w:val="00090110"/>
    <w:rsid w:val="00090170"/>
    <w:rsid w:val="0009019A"/>
    <w:rsid w:val="00090287"/>
    <w:rsid w:val="00090378"/>
    <w:rsid w:val="000903AF"/>
    <w:rsid w:val="00090590"/>
    <w:rsid w:val="00090610"/>
    <w:rsid w:val="0009072A"/>
    <w:rsid w:val="00090756"/>
    <w:rsid w:val="000907D9"/>
    <w:rsid w:val="0009089F"/>
    <w:rsid w:val="000909ED"/>
    <w:rsid w:val="00090B9F"/>
    <w:rsid w:val="00090C01"/>
    <w:rsid w:val="00090C05"/>
    <w:rsid w:val="00090DAE"/>
    <w:rsid w:val="00090E93"/>
    <w:rsid w:val="00090EC2"/>
    <w:rsid w:val="00090FC0"/>
    <w:rsid w:val="00090FC1"/>
    <w:rsid w:val="000912FF"/>
    <w:rsid w:val="0009132B"/>
    <w:rsid w:val="0009137F"/>
    <w:rsid w:val="00091447"/>
    <w:rsid w:val="00091469"/>
    <w:rsid w:val="00091494"/>
    <w:rsid w:val="000914DC"/>
    <w:rsid w:val="00091511"/>
    <w:rsid w:val="00091608"/>
    <w:rsid w:val="000916BE"/>
    <w:rsid w:val="0009175F"/>
    <w:rsid w:val="00091770"/>
    <w:rsid w:val="0009196B"/>
    <w:rsid w:val="0009197D"/>
    <w:rsid w:val="00091987"/>
    <w:rsid w:val="00091D83"/>
    <w:rsid w:val="00091E5E"/>
    <w:rsid w:val="00091EEC"/>
    <w:rsid w:val="0009205A"/>
    <w:rsid w:val="0009219C"/>
    <w:rsid w:val="000921AF"/>
    <w:rsid w:val="00092307"/>
    <w:rsid w:val="00092384"/>
    <w:rsid w:val="000923A7"/>
    <w:rsid w:val="000923B2"/>
    <w:rsid w:val="00092481"/>
    <w:rsid w:val="0009249D"/>
    <w:rsid w:val="000924B3"/>
    <w:rsid w:val="0009259C"/>
    <w:rsid w:val="00092652"/>
    <w:rsid w:val="00092741"/>
    <w:rsid w:val="00092D17"/>
    <w:rsid w:val="00092DE8"/>
    <w:rsid w:val="00092DF3"/>
    <w:rsid w:val="00092E1F"/>
    <w:rsid w:val="00092E22"/>
    <w:rsid w:val="00092E2C"/>
    <w:rsid w:val="00092FBF"/>
    <w:rsid w:val="00093026"/>
    <w:rsid w:val="00093192"/>
    <w:rsid w:val="000931D0"/>
    <w:rsid w:val="0009322E"/>
    <w:rsid w:val="00093271"/>
    <w:rsid w:val="000932C3"/>
    <w:rsid w:val="000932CA"/>
    <w:rsid w:val="00093362"/>
    <w:rsid w:val="00093370"/>
    <w:rsid w:val="00093558"/>
    <w:rsid w:val="00093653"/>
    <w:rsid w:val="00093781"/>
    <w:rsid w:val="0009382E"/>
    <w:rsid w:val="000938A3"/>
    <w:rsid w:val="00093A6B"/>
    <w:rsid w:val="00093AC4"/>
    <w:rsid w:val="00093AEA"/>
    <w:rsid w:val="00093BC5"/>
    <w:rsid w:val="00093C2F"/>
    <w:rsid w:val="00093D01"/>
    <w:rsid w:val="00093DCB"/>
    <w:rsid w:val="00093E7C"/>
    <w:rsid w:val="00093E9D"/>
    <w:rsid w:val="00093EA1"/>
    <w:rsid w:val="00093FAC"/>
    <w:rsid w:val="00093FCD"/>
    <w:rsid w:val="00094054"/>
    <w:rsid w:val="00094058"/>
    <w:rsid w:val="0009408E"/>
    <w:rsid w:val="00094091"/>
    <w:rsid w:val="00094174"/>
    <w:rsid w:val="000941B9"/>
    <w:rsid w:val="00094204"/>
    <w:rsid w:val="000942BD"/>
    <w:rsid w:val="00094374"/>
    <w:rsid w:val="00094383"/>
    <w:rsid w:val="00094432"/>
    <w:rsid w:val="0009444D"/>
    <w:rsid w:val="000945C8"/>
    <w:rsid w:val="000945FF"/>
    <w:rsid w:val="00094689"/>
    <w:rsid w:val="000948A7"/>
    <w:rsid w:val="00094988"/>
    <w:rsid w:val="00094B85"/>
    <w:rsid w:val="00094BB6"/>
    <w:rsid w:val="00094CB5"/>
    <w:rsid w:val="00094CD7"/>
    <w:rsid w:val="00094D01"/>
    <w:rsid w:val="00094D78"/>
    <w:rsid w:val="00094E55"/>
    <w:rsid w:val="0009518C"/>
    <w:rsid w:val="00095224"/>
    <w:rsid w:val="0009525D"/>
    <w:rsid w:val="000952BC"/>
    <w:rsid w:val="0009530D"/>
    <w:rsid w:val="00095363"/>
    <w:rsid w:val="00095385"/>
    <w:rsid w:val="000954D3"/>
    <w:rsid w:val="0009559A"/>
    <w:rsid w:val="0009562F"/>
    <w:rsid w:val="0009563D"/>
    <w:rsid w:val="00095642"/>
    <w:rsid w:val="000956E5"/>
    <w:rsid w:val="00095792"/>
    <w:rsid w:val="00095892"/>
    <w:rsid w:val="000958AB"/>
    <w:rsid w:val="00095906"/>
    <w:rsid w:val="0009595C"/>
    <w:rsid w:val="00095A6D"/>
    <w:rsid w:val="00095AA0"/>
    <w:rsid w:val="00095ACE"/>
    <w:rsid w:val="00095D08"/>
    <w:rsid w:val="00095D5F"/>
    <w:rsid w:val="00095EB0"/>
    <w:rsid w:val="00095FDE"/>
    <w:rsid w:val="00096126"/>
    <w:rsid w:val="00096415"/>
    <w:rsid w:val="0009647B"/>
    <w:rsid w:val="000965EE"/>
    <w:rsid w:val="00096603"/>
    <w:rsid w:val="0009678C"/>
    <w:rsid w:val="00096850"/>
    <w:rsid w:val="00096879"/>
    <w:rsid w:val="00096A73"/>
    <w:rsid w:val="00096ABA"/>
    <w:rsid w:val="00096B2E"/>
    <w:rsid w:val="00096BB0"/>
    <w:rsid w:val="00096C04"/>
    <w:rsid w:val="00096CDF"/>
    <w:rsid w:val="00096E3B"/>
    <w:rsid w:val="00096E5B"/>
    <w:rsid w:val="00096E8C"/>
    <w:rsid w:val="00096EDF"/>
    <w:rsid w:val="00096F41"/>
    <w:rsid w:val="00096FE3"/>
    <w:rsid w:val="0009701A"/>
    <w:rsid w:val="000970F6"/>
    <w:rsid w:val="000971E8"/>
    <w:rsid w:val="000972B7"/>
    <w:rsid w:val="00097459"/>
    <w:rsid w:val="00097466"/>
    <w:rsid w:val="0009746A"/>
    <w:rsid w:val="000974CE"/>
    <w:rsid w:val="000975CC"/>
    <w:rsid w:val="0009763E"/>
    <w:rsid w:val="00097674"/>
    <w:rsid w:val="0009770D"/>
    <w:rsid w:val="00097722"/>
    <w:rsid w:val="000978A1"/>
    <w:rsid w:val="000979CA"/>
    <w:rsid w:val="00097A32"/>
    <w:rsid w:val="00097C0F"/>
    <w:rsid w:val="00097C6D"/>
    <w:rsid w:val="00097D00"/>
    <w:rsid w:val="00097D52"/>
    <w:rsid w:val="00097DC2"/>
    <w:rsid w:val="00097F39"/>
    <w:rsid w:val="000A00B1"/>
    <w:rsid w:val="000A0119"/>
    <w:rsid w:val="000A023C"/>
    <w:rsid w:val="000A02FB"/>
    <w:rsid w:val="000A046A"/>
    <w:rsid w:val="000A0595"/>
    <w:rsid w:val="000A0673"/>
    <w:rsid w:val="000A069C"/>
    <w:rsid w:val="000A07B5"/>
    <w:rsid w:val="000A0831"/>
    <w:rsid w:val="000A08A3"/>
    <w:rsid w:val="000A0A97"/>
    <w:rsid w:val="000A0B70"/>
    <w:rsid w:val="000A0C15"/>
    <w:rsid w:val="000A0E0D"/>
    <w:rsid w:val="000A0E29"/>
    <w:rsid w:val="000A0EAD"/>
    <w:rsid w:val="000A0ECE"/>
    <w:rsid w:val="000A0FDC"/>
    <w:rsid w:val="000A0FEA"/>
    <w:rsid w:val="000A0FF9"/>
    <w:rsid w:val="000A1007"/>
    <w:rsid w:val="000A102F"/>
    <w:rsid w:val="000A1077"/>
    <w:rsid w:val="000A10C3"/>
    <w:rsid w:val="000A10D9"/>
    <w:rsid w:val="000A10FB"/>
    <w:rsid w:val="000A1141"/>
    <w:rsid w:val="000A11D9"/>
    <w:rsid w:val="000A1300"/>
    <w:rsid w:val="000A150F"/>
    <w:rsid w:val="000A1534"/>
    <w:rsid w:val="000A154B"/>
    <w:rsid w:val="000A15F3"/>
    <w:rsid w:val="000A16DC"/>
    <w:rsid w:val="000A18DE"/>
    <w:rsid w:val="000A1903"/>
    <w:rsid w:val="000A1924"/>
    <w:rsid w:val="000A19FE"/>
    <w:rsid w:val="000A1BF2"/>
    <w:rsid w:val="000A1BF3"/>
    <w:rsid w:val="000A1CA4"/>
    <w:rsid w:val="000A1D95"/>
    <w:rsid w:val="000A1E25"/>
    <w:rsid w:val="000A1F74"/>
    <w:rsid w:val="000A2016"/>
    <w:rsid w:val="000A2034"/>
    <w:rsid w:val="000A2227"/>
    <w:rsid w:val="000A22F2"/>
    <w:rsid w:val="000A23B7"/>
    <w:rsid w:val="000A2431"/>
    <w:rsid w:val="000A24AD"/>
    <w:rsid w:val="000A24D2"/>
    <w:rsid w:val="000A2560"/>
    <w:rsid w:val="000A25C2"/>
    <w:rsid w:val="000A26BA"/>
    <w:rsid w:val="000A279A"/>
    <w:rsid w:val="000A2878"/>
    <w:rsid w:val="000A29DF"/>
    <w:rsid w:val="000A29F8"/>
    <w:rsid w:val="000A2A5E"/>
    <w:rsid w:val="000A2BE1"/>
    <w:rsid w:val="000A2C21"/>
    <w:rsid w:val="000A2D1E"/>
    <w:rsid w:val="000A2D44"/>
    <w:rsid w:val="000A2DC4"/>
    <w:rsid w:val="000A2E4F"/>
    <w:rsid w:val="000A2E99"/>
    <w:rsid w:val="000A2F30"/>
    <w:rsid w:val="000A308E"/>
    <w:rsid w:val="000A31C9"/>
    <w:rsid w:val="000A32A7"/>
    <w:rsid w:val="000A3493"/>
    <w:rsid w:val="000A35D9"/>
    <w:rsid w:val="000A3607"/>
    <w:rsid w:val="000A3687"/>
    <w:rsid w:val="000A3886"/>
    <w:rsid w:val="000A3936"/>
    <w:rsid w:val="000A3B65"/>
    <w:rsid w:val="000A3B8F"/>
    <w:rsid w:val="000A3D11"/>
    <w:rsid w:val="000A3EA8"/>
    <w:rsid w:val="000A3F5B"/>
    <w:rsid w:val="000A40E0"/>
    <w:rsid w:val="000A410A"/>
    <w:rsid w:val="000A4110"/>
    <w:rsid w:val="000A413B"/>
    <w:rsid w:val="000A418B"/>
    <w:rsid w:val="000A43E2"/>
    <w:rsid w:val="000A4493"/>
    <w:rsid w:val="000A44D9"/>
    <w:rsid w:val="000A4528"/>
    <w:rsid w:val="000A4538"/>
    <w:rsid w:val="000A45A0"/>
    <w:rsid w:val="000A4653"/>
    <w:rsid w:val="000A46EE"/>
    <w:rsid w:val="000A4789"/>
    <w:rsid w:val="000A483C"/>
    <w:rsid w:val="000A495A"/>
    <w:rsid w:val="000A49AA"/>
    <w:rsid w:val="000A4B0C"/>
    <w:rsid w:val="000A4BEB"/>
    <w:rsid w:val="000A4CC2"/>
    <w:rsid w:val="000A4CCE"/>
    <w:rsid w:val="000A4E06"/>
    <w:rsid w:val="000A4F1D"/>
    <w:rsid w:val="000A4F38"/>
    <w:rsid w:val="000A4F67"/>
    <w:rsid w:val="000A4F8A"/>
    <w:rsid w:val="000A514D"/>
    <w:rsid w:val="000A51B7"/>
    <w:rsid w:val="000A5207"/>
    <w:rsid w:val="000A5293"/>
    <w:rsid w:val="000A52E7"/>
    <w:rsid w:val="000A5350"/>
    <w:rsid w:val="000A5620"/>
    <w:rsid w:val="000A5626"/>
    <w:rsid w:val="000A567E"/>
    <w:rsid w:val="000A5830"/>
    <w:rsid w:val="000A58DF"/>
    <w:rsid w:val="000A58E8"/>
    <w:rsid w:val="000A5932"/>
    <w:rsid w:val="000A5A02"/>
    <w:rsid w:val="000A5A6B"/>
    <w:rsid w:val="000A5AFA"/>
    <w:rsid w:val="000A5CA1"/>
    <w:rsid w:val="000A5CB3"/>
    <w:rsid w:val="000A5D2F"/>
    <w:rsid w:val="000A5D37"/>
    <w:rsid w:val="000A5D3C"/>
    <w:rsid w:val="000A5DCD"/>
    <w:rsid w:val="000A5F65"/>
    <w:rsid w:val="000A6026"/>
    <w:rsid w:val="000A610F"/>
    <w:rsid w:val="000A6287"/>
    <w:rsid w:val="000A634F"/>
    <w:rsid w:val="000A6532"/>
    <w:rsid w:val="000A665A"/>
    <w:rsid w:val="000A66C1"/>
    <w:rsid w:val="000A674A"/>
    <w:rsid w:val="000A674B"/>
    <w:rsid w:val="000A6769"/>
    <w:rsid w:val="000A6AFF"/>
    <w:rsid w:val="000A6CE9"/>
    <w:rsid w:val="000A6E61"/>
    <w:rsid w:val="000A6F19"/>
    <w:rsid w:val="000A6FC8"/>
    <w:rsid w:val="000A7161"/>
    <w:rsid w:val="000A7249"/>
    <w:rsid w:val="000A7306"/>
    <w:rsid w:val="000A73BD"/>
    <w:rsid w:val="000A741F"/>
    <w:rsid w:val="000A7497"/>
    <w:rsid w:val="000A7522"/>
    <w:rsid w:val="000A75E7"/>
    <w:rsid w:val="000A77F2"/>
    <w:rsid w:val="000A783F"/>
    <w:rsid w:val="000A792A"/>
    <w:rsid w:val="000A793D"/>
    <w:rsid w:val="000A795F"/>
    <w:rsid w:val="000A797F"/>
    <w:rsid w:val="000A7987"/>
    <w:rsid w:val="000A7AFA"/>
    <w:rsid w:val="000A7BD6"/>
    <w:rsid w:val="000A7BED"/>
    <w:rsid w:val="000A7C22"/>
    <w:rsid w:val="000A7C31"/>
    <w:rsid w:val="000A7E76"/>
    <w:rsid w:val="000A7F2A"/>
    <w:rsid w:val="000B003D"/>
    <w:rsid w:val="000B01D9"/>
    <w:rsid w:val="000B0214"/>
    <w:rsid w:val="000B0285"/>
    <w:rsid w:val="000B046C"/>
    <w:rsid w:val="000B05BF"/>
    <w:rsid w:val="000B06D8"/>
    <w:rsid w:val="000B0983"/>
    <w:rsid w:val="000B0A81"/>
    <w:rsid w:val="000B0ACB"/>
    <w:rsid w:val="000B0B54"/>
    <w:rsid w:val="000B0B5C"/>
    <w:rsid w:val="000B0C7F"/>
    <w:rsid w:val="000B0C9D"/>
    <w:rsid w:val="000B0CC5"/>
    <w:rsid w:val="000B0D28"/>
    <w:rsid w:val="000B0DF0"/>
    <w:rsid w:val="000B0E16"/>
    <w:rsid w:val="000B1061"/>
    <w:rsid w:val="000B10A2"/>
    <w:rsid w:val="000B11C5"/>
    <w:rsid w:val="000B125D"/>
    <w:rsid w:val="000B1282"/>
    <w:rsid w:val="000B1390"/>
    <w:rsid w:val="000B146E"/>
    <w:rsid w:val="000B1542"/>
    <w:rsid w:val="000B15E8"/>
    <w:rsid w:val="000B168A"/>
    <w:rsid w:val="000B178A"/>
    <w:rsid w:val="000B17E2"/>
    <w:rsid w:val="000B199A"/>
    <w:rsid w:val="000B1B34"/>
    <w:rsid w:val="000B1C40"/>
    <w:rsid w:val="000B1D7A"/>
    <w:rsid w:val="000B1E50"/>
    <w:rsid w:val="000B1EF3"/>
    <w:rsid w:val="000B1F9E"/>
    <w:rsid w:val="000B2059"/>
    <w:rsid w:val="000B239E"/>
    <w:rsid w:val="000B23FA"/>
    <w:rsid w:val="000B25A2"/>
    <w:rsid w:val="000B2649"/>
    <w:rsid w:val="000B270C"/>
    <w:rsid w:val="000B28D6"/>
    <w:rsid w:val="000B296C"/>
    <w:rsid w:val="000B29AF"/>
    <w:rsid w:val="000B2A19"/>
    <w:rsid w:val="000B2A5F"/>
    <w:rsid w:val="000B2B53"/>
    <w:rsid w:val="000B2C09"/>
    <w:rsid w:val="000B2C25"/>
    <w:rsid w:val="000B2EB2"/>
    <w:rsid w:val="000B2F54"/>
    <w:rsid w:val="000B2F96"/>
    <w:rsid w:val="000B301A"/>
    <w:rsid w:val="000B30C8"/>
    <w:rsid w:val="000B3160"/>
    <w:rsid w:val="000B31BC"/>
    <w:rsid w:val="000B32DC"/>
    <w:rsid w:val="000B3300"/>
    <w:rsid w:val="000B3349"/>
    <w:rsid w:val="000B35BC"/>
    <w:rsid w:val="000B35CC"/>
    <w:rsid w:val="000B35D7"/>
    <w:rsid w:val="000B3753"/>
    <w:rsid w:val="000B397B"/>
    <w:rsid w:val="000B39DF"/>
    <w:rsid w:val="000B3A4E"/>
    <w:rsid w:val="000B3A82"/>
    <w:rsid w:val="000B3DC7"/>
    <w:rsid w:val="000B3DEF"/>
    <w:rsid w:val="000B3F0A"/>
    <w:rsid w:val="000B4164"/>
    <w:rsid w:val="000B4302"/>
    <w:rsid w:val="000B4469"/>
    <w:rsid w:val="000B448D"/>
    <w:rsid w:val="000B4538"/>
    <w:rsid w:val="000B4650"/>
    <w:rsid w:val="000B4869"/>
    <w:rsid w:val="000B48C2"/>
    <w:rsid w:val="000B4C81"/>
    <w:rsid w:val="000B4D4E"/>
    <w:rsid w:val="000B4E0E"/>
    <w:rsid w:val="000B4F47"/>
    <w:rsid w:val="000B4F6C"/>
    <w:rsid w:val="000B529E"/>
    <w:rsid w:val="000B52F2"/>
    <w:rsid w:val="000B5383"/>
    <w:rsid w:val="000B541C"/>
    <w:rsid w:val="000B5530"/>
    <w:rsid w:val="000B55A2"/>
    <w:rsid w:val="000B5649"/>
    <w:rsid w:val="000B57A8"/>
    <w:rsid w:val="000B5962"/>
    <w:rsid w:val="000B5A53"/>
    <w:rsid w:val="000B5AB9"/>
    <w:rsid w:val="000B5B8B"/>
    <w:rsid w:val="000B5BCF"/>
    <w:rsid w:val="000B5E98"/>
    <w:rsid w:val="000B5EE1"/>
    <w:rsid w:val="000B5F3F"/>
    <w:rsid w:val="000B6015"/>
    <w:rsid w:val="000B6090"/>
    <w:rsid w:val="000B609D"/>
    <w:rsid w:val="000B61E5"/>
    <w:rsid w:val="000B62D6"/>
    <w:rsid w:val="000B63AB"/>
    <w:rsid w:val="000B63E5"/>
    <w:rsid w:val="000B64C5"/>
    <w:rsid w:val="000B65B4"/>
    <w:rsid w:val="000B667D"/>
    <w:rsid w:val="000B6804"/>
    <w:rsid w:val="000B6AB5"/>
    <w:rsid w:val="000B6AD5"/>
    <w:rsid w:val="000B6B1F"/>
    <w:rsid w:val="000B6BF7"/>
    <w:rsid w:val="000B6CCF"/>
    <w:rsid w:val="000B6D05"/>
    <w:rsid w:val="000B6D68"/>
    <w:rsid w:val="000B6E6D"/>
    <w:rsid w:val="000B6F6C"/>
    <w:rsid w:val="000B70EE"/>
    <w:rsid w:val="000B711E"/>
    <w:rsid w:val="000B71BE"/>
    <w:rsid w:val="000B7252"/>
    <w:rsid w:val="000B725F"/>
    <w:rsid w:val="000B75F0"/>
    <w:rsid w:val="000B761F"/>
    <w:rsid w:val="000B780F"/>
    <w:rsid w:val="000B7852"/>
    <w:rsid w:val="000B7864"/>
    <w:rsid w:val="000B78E9"/>
    <w:rsid w:val="000B790D"/>
    <w:rsid w:val="000B7A39"/>
    <w:rsid w:val="000B7B3B"/>
    <w:rsid w:val="000B7B58"/>
    <w:rsid w:val="000B7CD9"/>
    <w:rsid w:val="000B7F4B"/>
    <w:rsid w:val="000B7FC1"/>
    <w:rsid w:val="000C00BF"/>
    <w:rsid w:val="000C030D"/>
    <w:rsid w:val="000C0329"/>
    <w:rsid w:val="000C03F2"/>
    <w:rsid w:val="000C05D1"/>
    <w:rsid w:val="000C0643"/>
    <w:rsid w:val="000C06C2"/>
    <w:rsid w:val="000C0941"/>
    <w:rsid w:val="000C0981"/>
    <w:rsid w:val="000C09D0"/>
    <w:rsid w:val="000C09E3"/>
    <w:rsid w:val="000C0A5D"/>
    <w:rsid w:val="000C0AD2"/>
    <w:rsid w:val="000C0AD6"/>
    <w:rsid w:val="000C0B98"/>
    <w:rsid w:val="000C0C1C"/>
    <w:rsid w:val="000C0C59"/>
    <w:rsid w:val="000C0D01"/>
    <w:rsid w:val="000C0D9E"/>
    <w:rsid w:val="000C1078"/>
    <w:rsid w:val="000C118F"/>
    <w:rsid w:val="000C11E2"/>
    <w:rsid w:val="000C1348"/>
    <w:rsid w:val="000C1413"/>
    <w:rsid w:val="000C15D3"/>
    <w:rsid w:val="000C167A"/>
    <w:rsid w:val="000C1714"/>
    <w:rsid w:val="000C180C"/>
    <w:rsid w:val="000C199A"/>
    <w:rsid w:val="000C1A10"/>
    <w:rsid w:val="000C1B3F"/>
    <w:rsid w:val="000C1C57"/>
    <w:rsid w:val="000C1E36"/>
    <w:rsid w:val="000C1EEF"/>
    <w:rsid w:val="000C2019"/>
    <w:rsid w:val="000C205E"/>
    <w:rsid w:val="000C207E"/>
    <w:rsid w:val="000C20A3"/>
    <w:rsid w:val="000C21C9"/>
    <w:rsid w:val="000C2258"/>
    <w:rsid w:val="000C2322"/>
    <w:rsid w:val="000C2455"/>
    <w:rsid w:val="000C24B1"/>
    <w:rsid w:val="000C2615"/>
    <w:rsid w:val="000C264A"/>
    <w:rsid w:val="000C2972"/>
    <w:rsid w:val="000C29A0"/>
    <w:rsid w:val="000C2A37"/>
    <w:rsid w:val="000C2C3A"/>
    <w:rsid w:val="000C2C6C"/>
    <w:rsid w:val="000C2D7A"/>
    <w:rsid w:val="000C2F43"/>
    <w:rsid w:val="000C2F8F"/>
    <w:rsid w:val="000C2FA8"/>
    <w:rsid w:val="000C315D"/>
    <w:rsid w:val="000C31B9"/>
    <w:rsid w:val="000C3211"/>
    <w:rsid w:val="000C3272"/>
    <w:rsid w:val="000C32BE"/>
    <w:rsid w:val="000C334C"/>
    <w:rsid w:val="000C338A"/>
    <w:rsid w:val="000C33A5"/>
    <w:rsid w:val="000C35AA"/>
    <w:rsid w:val="000C35CC"/>
    <w:rsid w:val="000C35D2"/>
    <w:rsid w:val="000C35FA"/>
    <w:rsid w:val="000C3760"/>
    <w:rsid w:val="000C37B5"/>
    <w:rsid w:val="000C38B5"/>
    <w:rsid w:val="000C38BB"/>
    <w:rsid w:val="000C3B0C"/>
    <w:rsid w:val="000C3B41"/>
    <w:rsid w:val="000C3B7F"/>
    <w:rsid w:val="000C3C54"/>
    <w:rsid w:val="000C3D8C"/>
    <w:rsid w:val="000C3D9F"/>
    <w:rsid w:val="000C3DEE"/>
    <w:rsid w:val="000C3E76"/>
    <w:rsid w:val="000C4055"/>
    <w:rsid w:val="000C4215"/>
    <w:rsid w:val="000C42CB"/>
    <w:rsid w:val="000C441C"/>
    <w:rsid w:val="000C4428"/>
    <w:rsid w:val="000C44D4"/>
    <w:rsid w:val="000C4578"/>
    <w:rsid w:val="000C4601"/>
    <w:rsid w:val="000C463F"/>
    <w:rsid w:val="000C4868"/>
    <w:rsid w:val="000C48CA"/>
    <w:rsid w:val="000C49AE"/>
    <w:rsid w:val="000C4AB0"/>
    <w:rsid w:val="000C4B56"/>
    <w:rsid w:val="000C4DAB"/>
    <w:rsid w:val="000C4E94"/>
    <w:rsid w:val="000C4ED4"/>
    <w:rsid w:val="000C5092"/>
    <w:rsid w:val="000C50C0"/>
    <w:rsid w:val="000C50DD"/>
    <w:rsid w:val="000C51D3"/>
    <w:rsid w:val="000C5211"/>
    <w:rsid w:val="000C52BB"/>
    <w:rsid w:val="000C52F2"/>
    <w:rsid w:val="000C5307"/>
    <w:rsid w:val="000C58CB"/>
    <w:rsid w:val="000C5941"/>
    <w:rsid w:val="000C5993"/>
    <w:rsid w:val="000C5BD9"/>
    <w:rsid w:val="000C5C3A"/>
    <w:rsid w:val="000C5C98"/>
    <w:rsid w:val="000C5D41"/>
    <w:rsid w:val="000C5D86"/>
    <w:rsid w:val="000C5E11"/>
    <w:rsid w:val="000C5EA1"/>
    <w:rsid w:val="000C5EF7"/>
    <w:rsid w:val="000C5F6A"/>
    <w:rsid w:val="000C6155"/>
    <w:rsid w:val="000C622F"/>
    <w:rsid w:val="000C64DC"/>
    <w:rsid w:val="000C6561"/>
    <w:rsid w:val="000C6641"/>
    <w:rsid w:val="000C66E7"/>
    <w:rsid w:val="000C670D"/>
    <w:rsid w:val="000C6792"/>
    <w:rsid w:val="000C679E"/>
    <w:rsid w:val="000C6813"/>
    <w:rsid w:val="000C68F2"/>
    <w:rsid w:val="000C69F0"/>
    <w:rsid w:val="000C6BB0"/>
    <w:rsid w:val="000C6C00"/>
    <w:rsid w:val="000C6CC4"/>
    <w:rsid w:val="000C6E3B"/>
    <w:rsid w:val="000C6EFB"/>
    <w:rsid w:val="000C6F4D"/>
    <w:rsid w:val="000C7019"/>
    <w:rsid w:val="000C724B"/>
    <w:rsid w:val="000C7362"/>
    <w:rsid w:val="000C7584"/>
    <w:rsid w:val="000C7628"/>
    <w:rsid w:val="000C77CD"/>
    <w:rsid w:val="000C7815"/>
    <w:rsid w:val="000C785C"/>
    <w:rsid w:val="000C78BD"/>
    <w:rsid w:val="000C7B0D"/>
    <w:rsid w:val="000C7BFE"/>
    <w:rsid w:val="000C7C9C"/>
    <w:rsid w:val="000C7D7C"/>
    <w:rsid w:val="000C7DCB"/>
    <w:rsid w:val="000C7E3C"/>
    <w:rsid w:val="000C7E7D"/>
    <w:rsid w:val="000C7EF4"/>
    <w:rsid w:val="000D0014"/>
    <w:rsid w:val="000D0089"/>
    <w:rsid w:val="000D014A"/>
    <w:rsid w:val="000D0284"/>
    <w:rsid w:val="000D038C"/>
    <w:rsid w:val="000D04DE"/>
    <w:rsid w:val="000D053C"/>
    <w:rsid w:val="000D0542"/>
    <w:rsid w:val="000D0621"/>
    <w:rsid w:val="000D0652"/>
    <w:rsid w:val="000D066E"/>
    <w:rsid w:val="000D0765"/>
    <w:rsid w:val="000D07B2"/>
    <w:rsid w:val="000D0804"/>
    <w:rsid w:val="000D09CF"/>
    <w:rsid w:val="000D09E5"/>
    <w:rsid w:val="000D0A0A"/>
    <w:rsid w:val="000D0B00"/>
    <w:rsid w:val="000D0B7A"/>
    <w:rsid w:val="000D0BEF"/>
    <w:rsid w:val="000D0D84"/>
    <w:rsid w:val="000D0FA3"/>
    <w:rsid w:val="000D0FAD"/>
    <w:rsid w:val="000D0FF8"/>
    <w:rsid w:val="000D10F9"/>
    <w:rsid w:val="000D1135"/>
    <w:rsid w:val="000D1234"/>
    <w:rsid w:val="000D13E2"/>
    <w:rsid w:val="000D14C1"/>
    <w:rsid w:val="000D15A9"/>
    <w:rsid w:val="000D16BB"/>
    <w:rsid w:val="000D17BB"/>
    <w:rsid w:val="000D185E"/>
    <w:rsid w:val="000D19B3"/>
    <w:rsid w:val="000D1AD7"/>
    <w:rsid w:val="000D1BBF"/>
    <w:rsid w:val="000D1C12"/>
    <w:rsid w:val="000D1D31"/>
    <w:rsid w:val="000D1D46"/>
    <w:rsid w:val="000D1DCF"/>
    <w:rsid w:val="000D1E1F"/>
    <w:rsid w:val="000D1F3D"/>
    <w:rsid w:val="000D1F74"/>
    <w:rsid w:val="000D1FC2"/>
    <w:rsid w:val="000D200D"/>
    <w:rsid w:val="000D2127"/>
    <w:rsid w:val="000D2161"/>
    <w:rsid w:val="000D2208"/>
    <w:rsid w:val="000D2255"/>
    <w:rsid w:val="000D22FB"/>
    <w:rsid w:val="000D2314"/>
    <w:rsid w:val="000D2347"/>
    <w:rsid w:val="000D23D1"/>
    <w:rsid w:val="000D2616"/>
    <w:rsid w:val="000D26D0"/>
    <w:rsid w:val="000D2720"/>
    <w:rsid w:val="000D27E3"/>
    <w:rsid w:val="000D2833"/>
    <w:rsid w:val="000D288F"/>
    <w:rsid w:val="000D2950"/>
    <w:rsid w:val="000D2CA1"/>
    <w:rsid w:val="000D2D43"/>
    <w:rsid w:val="000D2D7B"/>
    <w:rsid w:val="000D2DCB"/>
    <w:rsid w:val="000D2E51"/>
    <w:rsid w:val="000D2F6E"/>
    <w:rsid w:val="000D3033"/>
    <w:rsid w:val="000D30B1"/>
    <w:rsid w:val="000D3200"/>
    <w:rsid w:val="000D3207"/>
    <w:rsid w:val="000D3247"/>
    <w:rsid w:val="000D33A4"/>
    <w:rsid w:val="000D344B"/>
    <w:rsid w:val="000D3459"/>
    <w:rsid w:val="000D3613"/>
    <w:rsid w:val="000D364C"/>
    <w:rsid w:val="000D36F7"/>
    <w:rsid w:val="000D37E7"/>
    <w:rsid w:val="000D37F2"/>
    <w:rsid w:val="000D380D"/>
    <w:rsid w:val="000D3836"/>
    <w:rsid w:val="000D38B7"/>
    <w:rsid w:val="000D38C8"/>
    <w:rsid w:val="000D3940"/>
    <w:rsid w:val="000D3D12"/>
    <w:rsid w:val="000D3D21"/>
    <w:rsid w:val="000D3D2E"/>
    <w:rsid w:val="000D3E2E"/>
    <w:rsid w:val="000D3E5A"/>
    <w:rsid w:val="000D4246"/>
    <w:rsid w:val="000D4256"/>
    <w:rsid w:val="000D45D7"/>
    <w:rsid w:val="000D460D"/>
    <w:rsid w:val="000D462F"/>
    <w:rsid w:val="000D4679"/>
    <w:rsid w:val="000D4734"/>
    <w:rsid w:val="000D4905"/>
    <w:rsid w:val="000D4994"/>
    <w:rsid w:val="000D49DB"/>
    <w:rsid w:val="000D4C84"/>
    <w:rsid w:val="000D4F6E"/>
    <w:rsid w:val="000D509A"/>
    <w:rsid w:val="000D51E2"/>
    <w:rsid w:val="000D51F0"/>
    <w:rsid w:val="000D5207"/>
    <w:rsid w:val="000D527C"/>
    <w:rsid w:val="000D53D7"/>
    <w:rsid w:val="000D544A"/>
    <w:rsid w:val="000D5510"/>
    <w:rsid w:val="000D5514"/>
    <w:rsid w:val="000D5638"/>
    <w:rsid w:val="000D5739"/>
    <w:rsid w:val="000D5765"/>
    <w:rsid w:val="000D577E"/>
    <w:rsid w:val="000D59B8"/>
    <w:rsid w:val="000D5A6F"/>
    <w:rsid w:val="000D5BB3"/>
    <w:rsid w:val="000D5C84"/>
    <w:rsid w:val="000D5CA8"/>
    <w:rsid w:val="000D5CAE"/>
    <w:rsid w:val="000D5CB1"/>
    <w:rsid w:val="000D5CE3"/>
    <w:rsid w:val="000D5D8D"/>
    <w:rsid w:val="000D5E34"/>
    <w:rsid w:val="000D5F01"/>
    <w:rsid w:val="000D61A9"/>
    <w:rsid w:val="000D63F9"/>
    <w:rsid w:val="000D6881"/>
    <w:rsid w:val="000D68A2"/>
    <w:rsid w:val="000D68A3"/>
    <w:rsid w:val="000D68BE"/>
    <w:rsid w:val="000D68C1"/>
    <w:rsid w:val="000D6900"/>
    <w:rsid w:val="000D6939"/>
    <w:rsid w:val="000D69BD"/>
    <w:rsid w:val="000D69CB"/>
    <w:rsid w:val="000D69E3"/>
    <w:rsid w:val="000D6AF2"/>
    <w:rsid w:val="000D6B35"/>
    <w:rsid w:val="000D6B5C"/>
    <w:rsid w:val="000D6B6E"/>
    <w:rsid w:val="000D6C9E"/>
    <w:rsid w:val="000D6DE4"/>
    <w:rsid w:val="000D7003"/>
    <w:rsid w:val="000D72C3"/>
    <w:rsid w:val="000D7367"/>
    <w:rsid w:val="000D73C2"/>
    <w:rsid w:val="000D7497"/>
    <w:rsid w:val="000D7498"/>
    <w:rsid w:val="000D7603"/>
    <w:rsid w:val="000D767D"/>
    <w:rsid w:val="000D781D"/>
    <w:rsid w:val="000D7852"/>
    <w:rsid w:val="000D7864"/>
    <w:rsid w:val="000D78F7"/>
    <w:rsid w:val="000D7AD5"/>
    <w:rsid w:val="000D7B19"/>
    <w:rsid w:val="000D7BB0"/>
    <w:rsid w:val="000D7CF8"/>
    <w:rsid w:val="000D7DA6"/>
    <w:rsid w:val="000D7E47"/>
    <w:rsid w:val="000E013B"/>
    <w:rsid w:val="000E01AC"/>
    <w:rsid w:val="000E054B"/>
    <w:rsid w:val="000E05BA"/>
    <w:rsid w:val="000E0629"/>
    <w:rsid w:val="000E0659"/>
    <w:rsid w:val="000E06DA"/>
    <w:rsid w:val="000E077F"/>
    <w:rsid w:val="000E080E"/>
    <w:rsid w:val="000E0864"/>
    <w:rsid w:val="000E0955"/>
    <w:rsid w:val="000E0CC9"/>
    <w:rsid w:val="000E0DF0"/>
    <w:rsid w:val="000E0E9B"/>
    <w:rsid w:val="000E133F"/>
    <w:rsid w:val="000E156E"/>
    <w:rsid w:val="000E163A"/>
    <w:rsid w:val="000E16CB"/>
    <w:rsid w:val="000E1A27"/>
    <w:rsid w:val="000E1A64"/>
    <w:rsid w:val="000E1B67"/>
    <w:rsid w:val="000E1B7A"/>
    <w:rsid w:val="000E1D74"/>
    <w:rsid w:val="000E1DE1"/>
    <w:rsid w:val="000E1F7F"/>
    <w:rsid w:val="000E1FB3"/>
    <w:rsid w:val="000E2085"/>
    <w:rsid w:val="000E20E9"/>
    <w:rsid w:val="000E20F9"/>
    <w:rsid w:val="000E21DF"/>
    <w:rsid w:val="000E2205"/>
    <w:rsid w:val="000E245D"/>
    <w:rsid w:val="000E24FE"/>
    <w:rsid w:val="000E257F"/>
    <w:rsid w:val="000E2615"/>
    <w:rsid w:val="000E264A"/>
    <w:rsid w:val="000E26CA"/>
    <w:rsid w:val="000E2783"/>
    <w:rsid w:val="000E2AC8"/>
    <w:rsid w:val="000E2BA6"/>
    <w:rsid w:val="000E2CD5"/>
    <w:rsid w:val="000E2D14"/>
    <w:rsid w:val="000E2DFA"/>
    <w:rsid w:val="000E2E59"/>
    <w:rsid w:val="000E2ECD"/>
    <w:rsid w:val="000E2F04"/>
    <w:rsid w:val="000E2F3A"/>
    <w:rsid w:val="000E2F6F"/>
    <w:rsid w:val="000E31A3"/>
    <w:rsid w:val="000E3278"/>
    <w:rsid w:val="000E33CB"/>
    <w:rsid w:val="000E34B5"/>
    <w:rsid w:val="000E3518"/>
    <w:rsid w:val="000E35B8"/>
    <w:rsid w:val="000E3659"/>
    <w:rsid w:val="000E36DD"/>
    <w:rsid w:val="000E36F6"/>
    <w:rsid w:val="000E37DB"/>
    <w:rsid w:val="000E37E3"/>
    <w:rsid w:val="000E3B21"/>
    <w:rsid w:val="000E3CE4"/>
    <w:rsid w:val="000E3F5E"/>
    <w:rsid w:val="000E3FA8"/>
    <w:rsid w:val="000E3FD7"/>
    <w:rsid w:val="000E3FDF"/>
    <w:rsid w:val="000E3FE5"/>
    <w:rsid w:val="000E40D1"/>
    <w:rsid w:val="000E410D"/>
    <w:rsid w:val="000E411D"/>
    <w:rsid w:val="000E426F"/>
    <w:rsid w:val="000E447F"/>
    <w:rsid w:val="000E452D"/>
    <w:rsid w:val="000E455E"/>
    <w:rsid w:val="000E458F"/>
    <w:rsid w:val="000E45DB"/>
    <w:rsid w:val="000E462F"/>
    <w:rsid w:val="000E4660"/>
    <w:rsid w:val="000E46E7"/>
    <w:rsid w:val="000E471E"/>
    <w:rsid w:val="000E47E2"/>
    <w:rsid w:val="000E47F8"/>
    <w:rsid w:val="000E4805"/>
    <w:rsid w:val="000E4818"/>
    <w:rsid w:val="000E484B"/>
    <w:rsid w:val="000E485D"/>
    <w:rsid w:val="000E489F"/>
    <w:rsid w:val="000E49CC"/>
    <w:rsid w:val="000E4AC2"/>
    <w:rsid w:val="000E4B5B"/>
    <w:rsid w:val="000E4CCB"/>
    <w:rsid w:val="000E4D8A"/>
    <w:rsid w:val="000E4E12"/>
    <w:rsid w:val="000E4EAF"/>
    <w:rsid w:val="000E4FC7"/>
    <w:rsid w:val="000E501C"/>
    <w:rsid w:val="000E505C"/>
    <w:rsid w:val="000E51ED"/>
    <w:rsid w:val="000E5202"/>
    <w:rsid w:val="000E53FB"/>
    <w:rsid w:val="000E5446"/>
    <w:rsid w:val="000E5481"/>
    <w:rsid w:val="000E54F2"/>
    <w:rsid w:val="000E559D"/>
    <w:rsid w:val="000E55DC"/>
    <w:rsid w:val="000E5700"/>
    <w:rsid w:val="000E5797"/>
    <w:rsid w:val="000E57F8"/>
    <w:rsid w:val="000E58CA"/>
    <w:rsid w:val="000E58E4"/>
    <w:rsid w:val="000E5981"/>
    <w:rsid w:val="000E5AA1"/>
    <w:rsid w:val="000E5B69"/>
    <w:rsid w:val="000E5C51"/>
    <w:rsid w:val="000E5CB1"/>
    <w:rsid w:val="000E5CCE"/>
    <w:rsid w:val="000E5F29"/>
    <w:rsid w:val="000E606F"/>
    <w:rsid w:val="000E60A4"/>
    <w:rsid w:val="000E60D7"/>
    <w:rsid w:val="000E613E"/>
    <w:rsid w:val="000E63CB"/>
    <w:rsid w:val="000E6563"/>
    <w:rsid w:val="000E662E"/>
    <w:rsid w:val="000E6643"/>
    <w:rsid w:val="000E6792"/>
    <w:rsid w:val="000E68D1"/>
    <w:rsid w:val="000E6908"/>
    <w:rsid w:val="000E6B77"/>
    <w:rsid w:val="000E6C3D"/>
    <w:rsid w:val="000E6C49"/>
    <w:rsid w:val="000E6ED9"/>
    <w:rsid w:val="000E6F03"/>
    <w:rsid w:val="000E6FD7"/>
    <w:rsid w:val="000E71A3"/>
    <w:rsid w:val="000E7243"/>
    <w:rsid w:val="000E730E"/>
    <w:rsid w:val="000E7340"/>
    <w:rsid w:val="000E736B"/>
    <w:rsid w:val="000E7464"/>
    <w:rsid w:val="000E75FE"/>
    <w:rsid w:val="000E760D"/>
    <w:rsid w:val="000E7690"/>
    <w:rsid w:val="000E76F9"/>
    <w:rsid w:val="000E77DB"/>
    <w:rsid w:val="000E781E"/>
    <w:rsid w:val="000E78FC"/>
    <w:rsid w:val="000E7A07"/>
    <w:rsid w:val="000E7A67"/>
    <w:rsid w:val="000E7CF6"/>
    <w:rsid w:val="000E7D09"/>
    <w:rsid w:val="000E7D1B"/>
    <w:rsid w:val="000E7DB5"/>
    <w:rsid w:val="000E7FB6"/>
    <w:rsid w:val="000F003D"/>
    <w:rsid w:val="000F0043"/>
    <w:rsid w:val="000F0081"/>
    <w:rsid w:val="000F0338"/>
    <w:rsid w:val="000F03C0"/>
    <w:rsid w:val="000F043B"/>
    <w:rsid w:val="000F0497"/>
    <w:rsid w:val="000F06D1"/>
    <w:rsid w:val="000F06D3"/>
    <w:rsid w:val="000F075F"/>
    <w:rsid w:val="000F080E"/>
    <w:rsid w:val="000F092D"/>
    <w:rsid w:val="000F095D"/>
    <w:rsid w:val="000F0A0D"/>
    <w:rsid w:val="000F0B7F"/>
    <w:rsid w:val="000F0BB2"/>
    <w:rsid w:val="000F0D95"/>
    <w:rsid w:val="000F0DF6"/>
    <w:rsid w:val="000F0E78"/>
    <w:rsid w:val="000F1008"/>
    <w:rsid w:val="000F107B"/>
    <w:rsid w:val="000F1113"/>
    <w:rsid w:val="000F1126"/>
    <w:rsid w:val="000F1310"/>
    <w:rsid w:val="000F1434"/>
    <w:rsid w:val="000F1617"/>
    <w:rsid w:val="000F162D"/>
    <w:rsid w:val="000F1692"/>
    <w:rsid w:val="000F16F9"/>
    <w:rsid w:val="000F174E"/>
    <w:rsid w:val="000F1890"/>
    <w:rsid w:val="000F194E"/>
    <w:rsid w:val="000F198F"/>
    <w:rsid w:val="000F1B18"/>
    <w:rsid w:val="000F1B87"/>
    <w:rsid w:val="000F1C76"/>
    <w:rsid w:val="000F1E27"/>
    <w:rsid w:val="000F1EE1"/>
    <w:rsid w:val="000F1F24"/>
    <w:rsid w:val="000F2182"/>
    <w:rsid w:val="000F2291"/>
    <w:rsid w:val="000F233C"/>
    <w:rsid w:val="000F2344"/>
    <w:rsid w:val="000F248C"/>
    <w:rsid w:val="000F267B"/>
    <w:rsid w:val="000F2801"/>
    <w:rsid w:val="000F282A"/>
    <w:rsid w:val="000F289F"/>
    <w:rsid w:val="000F29BD"/>
    <w:rsid w:val="000F29F6"/>
    <w:rsid w:val="000F2A6F"/>
    <w:rsid w:val="000F2A8C"/>
    <w:rsid w:val="000F2AB8"/>
    <w:rsid w:val="000F2C30"/>
    <w:rsid w:val="000F2C68"/>
    <w:rsid w:val="000F2D6A"/>
    <w:rsid w:val="000F2D85"/>
    <w:rsid w:val="000F2D8A"/>
    <w:rsid w:val="000F2E49"/>
    <w:rsid w:val="000F2F22"/>
    <w:rsid w:val="000F3210"/>
    <w:rsid w:val="000F33E1"/>
    <w:rsid w:val="000F33E2"/>
    <w:rsid w:val="000F35FC"/>
    <w:rsid w:val="000F3696"/>
    <w:rsid w:val="000F378D"/>
    <w:rsid w:val="000F38C5"/>
    <w:rsid w:val="000F38D3"/>
    <w:rsid w:val="000F39BE"/>
    <w:rsid w:val="000F39EB"/>
    <w:rsid w:val="000F3A0A"/>
    <w:rsid w:val="000F3A62"/>
    <w:rsid w:val="000F3C40"/>
    <w:rsid w:val="000F3D09"/>
    <w:rsid w:val="000F403C"/>
    <w:rsid w:val="000F40AC"/>
    <w:rsid w:val="000F4168"/>
    <w:rsid w:val="000F4184"/>
    <w:rsid w:val="000F419F"/>
    <w:rsid w:val="000F4242"/>
    <w:rsid w:val="000F42EE"/>
    <w:rsid w:val="000F4450"/>
    <w:rsid w:val="000F4551"/>
    <w:rsid w:val="000F45BD"/>
    <w:rsid w:val="000F46ED"/>
    <w:rsid w:val="000F48F2"/>
    <w:rsid w:val="000F4CCA"/>
    <w:rsid w:val="000F4D8A"/>
    <w:rsid w:val="000F4E67"/>
    <w:rsid w:val="000F4EE9"/>
    <w:rsid w:val="000F5025"/>
    <w:rsid w:val="000F5117"/>
    <w:rsid w:val="000F51BE"/>
    <w:rsid w:val="000F5283"/>
    <w:rsid w:val="000F52EF"/>
    <w:rsid w:val="000F5303"/>
    <w:rsid w:val="000F540A"/>
    <w:rsid w:val="000F5482"/>
    <w:rsid w:val="000F5517"/>
    <w:rsid w:val="000F55B3"/>
    <w:rsid w:val="000F5944"/>
    <w:rsid w:val="000F5A98"/>
    <w:rsid w:val="000F5BFB"/>
    <w:rsid w:val="000F5C0F"/>
    <w:rsid w:val="000F5CF5"/>
    <w:rsid w:val="000F5D1E"/>
    <w:rsid w:val="000F5D52"/>
    <w:rsid w:val="000F5DA0"/>
    <w:rsid w:val="000F60CC"/>
    <w:rsid w:val="000F615B"/>
    <w:rsid w:val="000F6179"/>
    <w:rsid w:val="000F621C"/>
    <w:rsid w:val="000F63F0"/>
    <w:rsid w:val="000F642F"/>
    <w:rsid w:val="000F64C6"/>
    <w:rsid w:val="000F64E8"/>
    <w:rsid w:val="000F65C3"/>
    <w:rsid w:val="000F688A"/>
    <w:rsid w:val="000F69A8"/>
    <w:rsid w:val="000F69B4"/>
    <w:rsid w:val="000F69D0"/>
    <w:rsid w:val="000F6A2E"/>
    <w:rsid w:val="000F6A74"/>
    <w:rsid w:val="000F6A8D"/>
    <w:rsid w:val="000F6D9E"/>
    <w:rsid w:val="000F6DCF"/>
    <w:rsid w:val="000F6E66"/>
    <w:rsid w:val="000F6EE6"/>
    <w:rsid w:val="000F6F38"/>
    <w:rsid w:val="000F6F48"/>
    <w:rsid w:val="000F6F76"/>
    <w:rsid w:val="000F6FB2"/>
    <w:rsid w:val="000F6FE6"/>
    <w:rsid w:val="000F7047"/>
    <w:rsid w:val="000F7107"/>
    <w:rsid w:val="000F71A3"/>
    <w:rsid w:val="000F71B5"/>
    <w:rsid w:val="000F7281"/>
    <w:rsid w:val="000F735E"/>
    <w:rsid w:val="000F73A8"/>
    <w:rsid w:val="000F7509"/>
    <w:rsid w:val="000F77EB"/>
    <w:rsid w:val="000F77EF"/>
    <w:rsid w:val="000F78A3"/>
    <w:rsid w:val="000F78D0"/>
    <w:rsid w:val="000F7944"/>
    <w:rsid w:val="000F7985"/>
    <w:rsid w:val="000F7ACE"/>
    <w:rsid w:val="000F7C46"/>
    <w:rsid w:val="000F7C82"/>
    <w:rsid w:val="000F7CD0"/>
    <w:rsid w:val="000F7E01"/>
    <w:rsid w:val="000F7E6D"/>
    <w:rsid w:val="000F7ED9"/>
    <w:rsid w:val="0010015C"/>
    <w:rsid w:val="001002C5"/>
    <w:rsid w:val="00100403"/>
    <w:rsid w:val="0010047F"/>
    <w:rsid w:val="0010058F"/>
    <w:rsid w:val="00100619"/>
    <w:rsid w:val="00100691"/>
    <w:rsid w:val="00100876"/>
    <w:rsid w:val="0010095B"/>
    <w:rsid w:val="00100976"/>
    <w:rsid w:val="001009D2"/>
    <w:rsid w:val="00100A28"/>
    <w:rsid w:val="00100AC2"/>
    <w:rsid w:val="00100CCF"/>
    <w:rsid w:val="00100CF0"/>
    <w:rsid w:val="00100E4B"/>
    <w:rsid w:val="00100F63"/>
    <w:rsid w:val="0010117F"/>
    <w:rsid w:val="0010124F"/>
    <w:rsid w:val="001013D7"/>
    <w:rsid w:val="0010159C"/>
    <w:rsid w:val="001015EB"/>
    <w:rsid w:val="0010160D"/>
    <w:rsid w:val="00101A41"/>
    <w:rsid w:val="00101A4F"/>
    <w:rsid w:val="00101ACA"/>
    <w:rsid w:val="00101B29"/>
    <w:rsid w:val="00101B58"/>
    <w:rsid w:val="00101BA6"/>
    <w:rsid w:val="00101BB4"/>
    <w:rsid w:val="00101C00"/>
    <w:rsid w:val="00101C79"/>
    <w:rsid w:val="00101CD7"/>
    <w:rsid w:val="00101DC6"/>
    <w:rsid w:val="00101E0C"/>
    <w:rsid w:val="00101F44"/>
    <w:rsid w:val="0010201B"/>
    <w:rsid w:val="001021F3"/>
    <w:rsid w:val="00102208"/>
    <w:rsid w:val="00102221"/>
    <w:rsid w:val="00102335"/>
    <w:rsid w:val="00102374"/>
    <w:rsid w:val="00102401"/>
    <w:rsid w:val="001024EB"/>
    <w:rsid w:val="0010262A"/>
    <w:rsid w:val="0010268A"/>
    <w:rsid w:val="001026C6"/>
    <w:rsid w:val="0010276B"/>
    <w:rsid w:val="001027C8"/>
    <w:rsid w:val="00102962"/>
    <w:rsid w:val="00102AD0"/>
    <w:rsid w:val="00102AFC"/>
    <w:rsid w:val="00102BAC"/>
    <w:rsid w:val="00102CF4"/>
    <w:rsid w:val="00102DDD"/>
    <w:rsid w:val="00102F4B"/>
    <w:rsid w:val="00102FEB"/>
    <w:rsid w:val="00103032"/>
    <w:rsid w:val="001030F0"/>
    <w:rsid w:val="001030F1"/>
    <w:rsid w:val="001031AE"/>
    <w:rsid w:val="001031EF"/>
    <w:rsid w:val="00103577"/>
    <w:rsid w:val="0010362C"/>
    <w:rsid w:val="001036BF"/>
    <w:rsid w:val="00103735"/>
    <w:rsid w:val="00103810"/>
    <w:rsid w:val="0010390B"/>
    <w:rsid w:val="00103A43"/>
    <w:rsid w:val="00103A80"/>
    <w:rsid w:val="00103D4E"/>
    <w:rsid w:val="00104035"/>
    <w:rsid w:val="001040FE"/>
    <w:rsid w:val="00104199"/>
    <w:rsid w:val="0010432F"/>
    <w:rsid w:val="00104362"/>
    <w:rsid w:val="00104481"/>
    <w:rsid w:val="0010448F"/>
    <w:rsid w:val="0010449A"/>
    <w:rsid w:val="00104531"/>
    <w:rsid w:val="0010462B"/>
    <w:rsid w:val="00104643"/>
    <w:rsid w:val="00104761"/>
    <w:rsid w:val="001047C8"/>
    <w:rsid w:val="001049ED"/>
    <w:rsid w:val="00104AC5"/>
    <w:rsid w:val="00104DC2"/>
    <w:rsid w:val="00104E1A"/>
    <w:rsid w:val="00104F7D"/>
    <w:rsid w:val="001050A4"/>
    <w:rsid w:val="001051E0"/>
    <w:rsid w:val="0010522E"/>
    <w:rsid w:val="001052B2"/>
    <w:rsid w:val="0010534C"/>
    <w:rsid w:val="0010542D"/>
    <w:rsid w:val="001055AC"/>
    <w:rsid w:val="0010598D"/>
    <w:rsid w:val="00105C26"/>
    <w:rsid w:val="00105C58"/>
    <w:rsid w:val="00105C87"/>
    <w:rsid w:val="00105D3E"/>
    <w:rsid w:val="00105D6F"/>
    <w:rsid w:val="00105DDA"/>
    <w:rsid w:val="00105E61"/>
    <w:rsid w:val="0010621D"/>
    <w:rsid w:val="0010638E"/>
    <w:rsid w:val="001063EA"/>
    <w:rsid w:val="0010641D"/>
    <w:rsid w:val="0010662A"/>
    <w:rsid w:val="00106709"/>
    <w:rsid w:val="00106797"/>
    <w:rsid w:val="001067D9"/>
    <w:rsid w:val="001067E6"/>
    <w:rsid w:val="0010685B"/>
    <w:rsid w:val="00106887"/>
    <w:rsid w:val="001068DE"/>
    <w:rsid w:val="001069F1"/>
    <w:rsid w:val="00106A1B"/>
    <w:rsid w:val="00106B23"/>
    <w:rsid w:val="00106BD7"/>
    <w:rsid w:val="00106C3D"/>
    <w:rsid w:val="00106CD7"/>
    <w:rsid w:val="00106D66"/>
    <w:rsid w:val="00106D96"/>
    <w:rsid w:val="00106E30"/>
    <w:rsid w:val="00106ED6"/>
    <w:rsid w:val="00106EFF"/>
    <w:rsid w:val="00106FC4"/>
    <w:rsid w:val="00107036"/>
    <w:rsid w:val="001070B5"/>
    <w:rsid w:val="00107196"/>
    <w:rsid w:val="001072DB"/>
    <w:rsid w:val="001074BD"/>
    <w:rsid w:val="001075AD"/>
    <w:rsid w:val="001075CD"/>
    <w:rsid w:val="00107645"/>
    <w:rsid w:val="00107699"/>
    <w:rsid w:val="001076F5"/>
    <w:rsid w:val="00107866"/>
    <w:rsid w:val="00107AFB"/>
    <w:rsid w:val="00107B1B"/>
    <w:rsid w:val="00107B25"/>
    <w:rsid w:val="00107B4F"/>
    <w:rsid w:val="00107C69"/>
    <w:rsid w:val="00107CD1"/>
    <w:rsid w:val="00107D5D"/>
    <w:rsid w:val="00107E3F"/>
    <w:rsid w:val="00107FB2"/>
    <w:rsid w:val="00107FB5"/>
    <w:rsid w:val="00107FC7"/>
    <w:rsid w:val="001100C2"/>
    <w:rsid w:val="00110104"/>
    <w:rsid w:val="0011026A"/>
    <w:rsid w:val="0011027D"/>
    <w:rsid w:val="001102A0"/>
    <w:rsid w:val="001102B9"/>
    <w:rsid w:val="001103F7"/>
    <w:rsid w:val="0011040A"/>
    <w:rsid w:val="0011046E"/>
    <w:rsid w:val="001104FB"/>
    <w:rsid w:val="00110689"/>
    <w:rsid w:val="0011076A"/>
    <w:rsid w:val="00110849"/>
    <w:rsid w:val="00110A6B"/>
    <w:rsid w:val="00110A6C"/>
    <w:rsid w:val="00110A8A"/>
    <w:rsid w:val="00110B22"/>
    <w:rsid w:val="00110B2C"/>
    <w:rsid w:val="00110B3E"/>
    <w:rsid w:val="00110C66"/>
    <w:rsid w:val="00110C8A"/>
    <w:rsid w:val="00110DE6"/>
    <w:rsid w:val="00110EE2"/>
    <w:rsid w:val="00110F2E"/>
    <w:rsid w:val="00111062"/>
    <w:rsid w:val="001111A3"/>
    <w:rsid w:val="001111B6"/>
    <w:rsid w:val="001112F2"/>
    <w:rsid w:val="0011133A"/>
    <w:rsid w:val="001113FB"/>
    <w:rsid w:val="001113FF"/>
    <w:rsid w:val="00111552"/>
    <w:rsid w:val="00111671"/>
    <w:rsid w:val="00111690"/>
    <w:rsid w:val="00111724"/>
    <w:rsid w:val="00111734"/>
    <w:rsid w:val="00111762"/>
    <w:rsid w:val="001119B5"/>
    <w:rsid w:val="00111A0C"/>
    <w:rsid w:val="00111AD7"/>
    <w:rsid w:val="00111B2B"/>
    <w:rsid w:val="00111C31"/>
    <w:rsid w:val="00111ECF"/>
    <w:rsid w:val="00111EF2"/>
    <w:rsid w:val="00111EF8"/>
    <w:rsid w:val="0011206B"/>
    <w:rsid w:val="001120B1"/>
    <w:rsid w:val="001121D6"/>
    <w:rsid w:val="00112554"/>
    <w:rsid w:val="001125D4"/>
    <w:rsid w:val="0011266B"/>
    <w:rsid w:val="001126E4"/>
    <w:rsid w:val="00112770"/>
    <w:rsid w:val="00112894"/>
    <w:rsid w:val="00112AA2"/>
    <w:rsid w:val="00112B4E"/>
    <w:rsid w:val="00112C2A"/>
    <w:rsid w:val="00112C47"/>
    <w:rsid w:val="00112E6E"/>
    <w:rsid w:val="00113030"/>
    <w:rsid w:val="001130B7"/>
    <w:rsid w:val="001130E6"/>
    <w:rsid w:val="00113174"/>
    <w:rsid w:val="00113248"/>
    <w:rsid w:val="0011324B"/>
    <w:rsid w:val="00113286"/>
    <w:rsid w:val="00113359"/>
    <w:rsid w:val="00113370"/>
    <w:rsid w:val="00113445"/>
    <w:rsid w:val="0011374F"/>
    <w:rsid w:val="00113768"/>
    <w:rsid w:val="00113829"/>
    <w:rsid w:val="00113B55"/>
    <w:rsid w:val="00113B68"/>
    <w:rsid w:val="00113BAC"/>
    <w:rsid w:val="00113C01"/>
    <w:rsid w:val="00113C29"/>
    <w:rsid w:val="00113C9B"/>
    <w:rsid w:val="00113DD0"/>
    <w:rsid w:val="00113DE2"/>
    <w:rsid w:val="00113EB6"/>
    <w:rsid w:val="00113F07"/>
    <w:rsid w:val="00113F75"/>
    <w:rsid w:val="00114366"/>
    <w:rsid w:val="001143D9"/>
    <w:rsid w:val="001143E0"/>
    <w:rsid w:val="001144B3"/>
    <w:rsid w:val="001145CB"/>
    <w:rsid w:val="001147F1"/>
    <w:rsid w:val="00114888"/>
    <w:rsid w:val="001148C5"/>
    <w:rsid w:val="00114990"/>
    <w:rsid w:val="001149BD"/>
    <w:rsid w:val="00114A9C"/>
    <w:rsid w:val="00114B59"/>
    <w:rsid w:val="00114B7C"/>
    <w:rsid w:val="00114CCF"/>
    <w:rsid w:val="00114FB2"/>
    <w:rsid w:val="0011508C"/>
    <w:rsid w:val="001151C2"/>
    <w:rsid w:val="001152B2"/>
    <w:rsid w:val="00115563"/>
    <w:rsid w:val="001155EC"/>
    <w:rsid w:val="0011561D"/>
    <w:rsid w:val="0011563F"/>
    <w:rsid w:val="00115659"/>
    <w:rsid w:val="00115664"/>
    <w:rsid w:val="00115714"/>
    <w:rsid w:val="001159A9"/>
    <w:rsid w:val="00115A98"/>
    <w:rsid w:val="00115ACE"/>
    <w:rsid w:val="00115AEA"/>
    <w:rsid w:val="00115CC7"/>
    <w:rsid w:val="00115D9C"/>
    <w:rsid w:val="00115E01"/>
    <w:rsid w:val="00115E86"/>
    <w:rsid w:val="00115F38"/>
    <w:rsid w:val="00115F69"/>
    <w:rsid w:val="00115FA0"/>
    <w:rsid w:val="00115FC1"/>
    <w:rsid w:val="00116289"/>
    <w:rsid w:val="001162CB"/>
    <w:rsid w:val="00116519"/>
    <w:rsid w:val="00116589"/>
    <w:rsid w:val="001165A0"/>
    <w:rsid w:val="00116619"/>
    <w:rsid w:val="0011665C"/>
    <w:rsid w:val="001166BE"/>
    <w:rsid w:val="001166CD"/>
    <w:rsid w:val="00116709"/>
    <w:rsid w:val="0011671C"/>
    <w:rsid w:val="0011677E"/>
    <w:rsid w:val="001167C5"/>
    <w:rsid w:val="00116910"/>
    <w:rsid w:val="0011694B"/>
    <w:rsid w:val="001169CF"/>
    <w:rsid w:val="001169E5"/>
    <w:rsid w:val="00116A2E"/>
    <w:rsid w:val="00116C3F"/>
    <w:rsid w:val="00116CD2"/>
    <w:rsid w:val="00116D88"/>
    <w:rsid w:val="001171F0"/>
    <w:rsid w:val="001172B0"/>
    <w:rsid w:val="00117365"/>
    <w:rsid w:val="001174B7"/>
    <w:rsid w:val="00117583"/>
    <w:rsid w:val="0011759C"/>
    <w:rsid w:val="00117891"/>
    <w:rsid w:val="001178CB"/>
    <w:rsid w:val="00117966"/>
    <w:rsid w:val="001179F3"/>
    <w:rsid w:val="00117A1B"/>
    <w:rsid w:val="00117A91"/>
    <w:rsid w:val="00117BAB"/>
    <w:rsid w:val="00117F74"/>
    <w:rsid w:val="0012001A"/>
    <w:rsid w:val="00120172"/>
    <w:rsid w:val="0012027F"/>
    <w:rsid w:val="00120303"/>
    <w:rsid w:val="001205A7"/>
    <w:rsid w:val="001207D2"/>
    <w:rsid w:val="001207E7"/>
    <w:rsid w:val="001208C9"/>
    <w:rsid w:val="00120919"/>
    <w:rsid w:val="00120B18"/>
    <w:rsid w:val="00120CA5"/>
    <w:rsid w:val="00120CBE"/>
    <w:rsid w:val="00120DFB"/>
    <w:rsid w:val="00120E0D"/>
    <w:rsid w:val="00120E3D"/>
    <w:rsid w:val="00120F83"/>
    <w:rsid w:val="00121299"/>
    <w:rsid w:val="0012131D"/>
    <w:rsid w:val="00121356"/>
    <w:rsid w:val="001213ED"/>
    <w:rsid w:val="001217DC"/>
    <w:rsid w:val="0012181D"/>
    <w:rsid w:val="00121898"/>
    <w:rsid w:val="00121A0D"/>
    <w:rsid w:val="00121AF5"/>
    <w:rsid w:val="00121B05"/>
    <w:rsid w:val="00121BA2"/>
    <w:rsid w:val="00121BE9"/>
    <w:rsid w:val="00121C62"/>
    <w:rsid w:val="00121C98"/>
    <w:rsid w:val="00121D32"/>
    <w:rsid w:val="00121D98"/>
    <w:rsid w:val="00121E1D"/>
    <w:rsid w:val="00121E65"/>
    <w:rsid w:val="00121F3E"/>
    <w:rsid w:val="00121FA3"/>
    <w:rsid w:val="00121FD3"/>
    <w:rsid w:val="001222A1"/>
    <w:rsid w:val="00122538"/>
    <w:rsid w:val="00122613"/>
    <w:rsid w:val="001226EA"/>
    <w:rsid w:val="00122951"/>
    <w:rsid w:val="00122AE5"/>
    <w:rsid w:val="00122C57"/>
    <w:rsid w:val="00122DA4"/>
    <w:rsid w:val="00122DB8"/>
    <w:rsid w:val="00122E3C"/>
    <w:rsid w:val="00122F2E"/>
    <w:rsid w:val="00123033"/>
    <w:rsid w:val="00123258"/>
    <w:rsid w:val="001232CA"/>
    <w:rsid w:val="001233CB"/>
    <w:rsid w:val="001234CA"/>
    <w:rsid w:val="00123522"/>
    <w:rsid w:val="001235A5"/>
    <w:rsid w:val="0012362B"/>
    <w:rsid w:val="00123641"/>
    <w:rsid w:val="0012366C"/>
    <w:rsid w:val="001237F7"/>
    <w:rsid w:val="00123888"/>
    <w:rsid w:val="001238D7"/>
    <w:rsid w:val="001238EF"/>
    <w:rsid w:val="001239CE"/>
    <w:rsid w:val="00123AD5"/>
    <w:rsid w:val="00123AFC"/>
    <w:rsid w:val="00123B4A"/>
    <w:rsid w:val="00123B70"/>
    <w:rsid w:val="00123B7B"/>
    <w:rsid w:val="00123C66"/>
    <w:rsid w:val="00123D6B"/>
    <w:rsid w:val="00123E8D"/>
    <w:rsid w:val="00123F58"/>
    <w:rsid w:val="00124455"/>
    <w:rsid w:val="001244E8"/>
    <w:rsid w:val="0012465A"/>
    <w:rsid w:val="0012471D"/>
    <w:rsid w:val="00124875"/>
    <w:rsid w:val="00124B44"/>
    <w:rsid w:val="00124B76"/>
    <w:rsid w:val="00124C82"/>
    <w:rsid w:val="00124D99"/>
    <w:rsid w:val="00124E72"/>
    <w:rsid w:val="00124F26"/>
    <w:rsid w:val="00125140"/>
    <w:rsid w:val="001252F0"/>
    <w:rsid w:val="001253D3"/>
    <w:rsid w:val="001253F0"/>
    <w:rsid w:val="001255FB"/>
    <w:rsid w:val="00125670"/>
    <w:rsid w:val="001257D1"/>
    <w:rsid w:val="0012586F"/>
    <w:rsid w:val="00125911"/>
    <w:rsid w:val="0012597C"/>
    <w:rsid w:val="00125A13"/>
    <w:rsid w:val="00125A99"/>
    <w:rsid w:val="00125AF4"/>
    <w:rsid w:val="00125B15"/>
    <w:rsid w:val="00125CD0"/>
    <w:rsid w:val="00125DD0"/>
    <w:rsid w:val="00125E14"/>
    <w:rsid w:val="00125FB2"/>
    <w:rsid w:val="00125FFF"/>
    <w:rsid w:val="00126046"/>
    <w:rsid w:val="00126142"/>
    <w:rsid w:val="0012614D"/>
    <w:rsid w:val="00126245"/>
    <w:rsid w:val="0012629B"/>
    <w:rsid w:val="001262F9"/>
    <w:rsid w:val="00126328"/>
    <w:rsid w:val="0012632B"/>
    <w:rsid w:val="001263A3"/>
    <w:rsid w:val="001265A6"/>
    <w:rsid w:val="001267E4"/>
    <w:rsid w:val="001268D0"/>
    <w:rsid w:val="00126923"/>
    <w:rsid w:val="00126952"/>
    <w:rsid w:val="00126967"/>
    <w:rsid w:val="00126ABF"/>
    <w:rsid w:val="00126C03"/>
    <w:rsid w:val="00126E43"/>
    <w:rsid w:val="00126F82"/>
    <w:rsid w:val="00126FC5"/>
    <w:rsid w:val="00127026"/>
    <w:rsid w:val="00127049"/>
    <w:rsid w:val="001270E6"/>
    <w:rsid w:val="0012715D"/>
    <w:rsid w:val="001274FD"/>
    <w:rsid w:val="001275DC"/>
    <w:rsid w:val="001275F5"/>
    <w:rsid w:val="001276C6"/>
    <w:rsid w:val="00127722"/>
    <w:rsid w:val="00127850"/>
    <w:rsid w:val="00127AA8"/>
    <w:rsid w:val="00127BB2"/>
    <w:rsid w:val="00127BD8"/>
    <w:rsid w:val="00127C35"/>
    <w:rsid w:val="00127C8F"/>
    <w:rsid w:val="00127D29"/>
    <w:rsid w:val="00127D44"/>
    <w:rsid w:val="00127D4C"/>
    <w:rsid w:val="00127E8E"/>
    <w:rsid w:val="00127EA6"/>
    <w:rsid w:val="001301BB"/>
    <w:rsid w:val="00130280"/>
    <w:rsid w:val="00130575"/>
    <w:rsid w:val="001305AB"/>
    <w:rsid w:val="00130768"/>
    <w:rsid w:val="001307EB"/>
    <w:rsid w:val="001308F1"/>
    <w:rsid w:val="00130957"/>
    <w:rsid w:val="001309CE"/>
    <w:rsid w:val="00130AEA"/>
    <w:rsid w:val="00130B03"/>
    <w:rsid w:val="00130B79"/>
    <w:rsid w:val="00130BA2"/>
    <w:rsid w:val="00130BF5"/>
    <w:rsid w:val="00130DCF"/>
    <w:rsid w:val="00130FC7"/>
    <w:rsid w:val="00130FFF"/>
    <w:rsid w:val="001310E0"/>
    <w:rsid w:val="0013127A"/>
    <w:rsid w:val="001312CC"/>
    <w:rsid w:val="00131353"/>
    <w:rsid w:val="001313F3"/>
    <w:rsid w:val="001314CC"/>
    <w:rsid w:val="0013159E"/>
    <w:rsid w:val="001315A1"/>
    <w:rsid w:val="00131670"/>
    <w:rsid w:val="00131757"/>
    <w:rsid w:val="00131896"/>
    <w:rsid w:val="00131955"/>
    <w:rsid w:val="00131D59"/>
    <w:rsid w:val="00131D6D"/>
    <w:rsid w:val="001320D8"/>
    <w:rsid w:val="00132284"/>
    <w:rsid w:val="00132351"/>
    <w:rsid w:val="001323D8"/>
    <w:rsid w:val="00132435"/>
    <w:rsid w:val="001325C8"/>
    <w:rsid w:val="00132724"/>
    <w:rsid w:val="0013278E"/>
    <w:rsid w:val="001328A1"/>
    <w:rsid w:val="001328F6"/>
    <w:rsid w:val="00132A21"/>
    <w:rsid w:val="00132B14"/>
    <w:rsid w:val="00132C2C"/>
    <w:rsid w:val="00132C5D"/>
    <w:rsid w:val="00132CF7"/>
    <w:rsid w:val="00132D4A"/>
    <w:rsid w:val="00132D95"/>
    <w:rsid w:val="00132DD1"/>
    <w:rsid w:val="00132F36"/>
    <w:rsid w:val="00132F44"/>
    <w:rsid w:val="00132F97"/>
    <w:rsid w:val="00133016"/>
    <w:rsid w:val="00133118"/>
    <w:rsid w:val="001332A5"/>
    <w:rsid w:val="00133345"/>
    <w:rsid w:val="00133416"/>
    <w:rsid w:val="001334B8"/>
    <w:rsid w:val="001334BD"/>
    <w:rsid w:val="001334EE"/>
    <w:rsid w:val="0013354F"/>
    <w:rsid w:val="001335EE"/>
    <w:rsid w:val="001335F0"/>
    <w:rsid w:val="001336DE"/>
    <w:rsid w:val="0013393A"/>
    <w:rsid w:val="00133951"/>
    <w:rsid w:val="001339C4"/>
    <w:rsid w:val="00133BF8"/>
    <w:rsid w:val="00133C9B"/>
    <w:rsid w:val="00133CF9"/>
    <w:rsid w:val="00133D21"/>
    <w:rsid w:val="00133D27"/>
    <w:rsid w:val="00133E55"/>
    <w:rsid w:val="00133F3A"/>
    <w:rsid w:val="00133F42"/>
    <w:rsid w:val="00133F9A"/>
    <w:rsid w:val="00134093"/>
    <w:rsid w:val="0013418F"/>
    <w:rsid w:val="001341A2"/>
    <w:rsid w:val="00134259"/>
    <w:rsid w:val="00134271"/>
    <w:rsid w:val="00134316"/>
    <w:rsid w:val="00134337"/>
    <w:rsid w:val="00134381"/>
    <w:rsid w:val="00134403"/>
    <w:rsid w:val="00134422"/>
    <w:rsid w:val="001344A7"/>
    <w:rsid w:val="001344AB"/>
    <w:rsid w:val="001344FA"/>
    <w:rsid w:val="00134519"/>
    <w:rsid w:val="00134540"/>
    <w:rsid w:val="00134696"/>
    <w:rsid w:val="0013469C"/>
    <w:rsid w:val="00134780"/>
    <w:rsid w:val="00134873"/>
    <w:rsid w:val="001348EB"/>
    <w:rsid w:val="00134908"/>
    <w:rsid w:val="0013499F"/>
    <w:rsid w:val="00134B24"/>
    <w:rsid w:val="00134B35"/>
    <w:rsid w:val="00134C9A"/>
    <w:rsid w:val="00134D7F"/>
    <w:rsid w:val="00134DF2"/>
    <w:rsid w:val="00134F9B"/>
    <w:rsid w:val="00134FB9"/>
    <w:rsid w:val="0013512B"/>
    <w:rsid w:val="00135140"/>
    <w:rsid w:val="0013516F"/>
    <w:rsid w:val="001351F6"/>
    <w:rsid w:val="00135240"/>
    <w:rsid w:val="0013544A"/>
    <w:rsid w:val="00135562"/>
    <w:rsid w:val="00135580"/>
    <w:rsid w:val="00135586"/>
    <w:rsid w:val="001357A7"/>
    <w:rsid w:val="0013583D"/>
    <w:rsid w:val="001359E1"/>
    <w:rsid w:val="00135A05"/>
    <w:rsid w:val="00135C3D"/>
    <w:rsid w:val="00135C4E"/>
    <w:rsid w:val="00135CB7"/>
    <w:rsid w:val="00136022"/>
    <w:rsid w:val="00136070"/>
    <w:rsid w:val="001360F1"/>
    <w:rsid w:val="00136123"/>
    <w:rsid w:val="0013621E"/>
    <w:rsid w:val="001364A4"/>
    <w:rsid w:val="001364AA"/>
    <w:rsid w:val="00136657"/>
    <w:rsid w:val="00136673"/>
    <w:rsid w:val="001366B1"/>
    <w:rsid w:val="001367AC"/>
    <w:rsid w:val="0013696B"/>
    <w:rsid w:val="00136B6D"/>
    <w:rsid w:val="00136C89"/>
    <w:rsid w:val="00136CBE"/>
    <w:rsid w:val="00136DDA"/>
    <w:rsid w:val="00136E41"/>
    <w:rsid w:val="00136EB9"/>
    <w:rsid w:val="00136EC7"/>
    <w:rsid w:val="00136F2E"/>
    <w:rsid w:val="00136F79"/>
    <w:rsid w:val="00137268"/>
    <w:rsid w:val="0013753D"/>
    <w:rsid w:val="00137557"/>
    <w:rsid w:val="001375FE"/>
    <w:rsid w:val="00137658"/>
    <w:rsid w:val="0013774E"/>
    <w:rsid w:val="0013786B"/>
    <w:rsid w:val="001378C7"/>
    <w:rsid w:val="001379B9"/>
    <w:rsid w:val="00137C6D"/>
    <w:rsid w:val="00137D32"/>
    <w:rsid w:val="00137E0F"/>
    <w:rsid w:val="00137F16"/>
    <w:rsid w:val="00140053"/>
    <w:rsid w:val="0014008A"/>
    <w:rsid w:val="001401B2"/>
    <w:rsid w:val="00140202"/>
    <w:rsid w:val="00140366"/>
    <w:rsid w:val="001405F5"/>
    <w:rsid w:val="0014061A"/>
    <w:rsid w:val="00140749"/>
    <w:rsid w:val="00140752"/>
    <w:rsid w:val="001408E6"/>
    <w:rsid w:val="00140A3C"/>
    <w:rsid w:val="00140A3E"/>
    <w:rsid w:val="00140B35"/>
    <w:rsid w:val="00140BC6"/>
    <w:rsid w:val="00140C89"/>
    <w:rsid w:val="00140C9F"/>
    <w:rsid w:val="00140D41"/>
    <w:rsid w:val="00140DA9"/>
    <w:rsid w:val="00140EC4"/>
    <w:rsid w:val="00140FAF"/>
    <w:rsid w:val="00140FF9"/>
    <w:rsid w:val="0014111B"/>
    <w:rsid w:val="00141199"/>
    <w:rsid w:val="001411F4"/>
    <w:rsid w:val="00141229"/>
    <w:rsid w:val="00141287"/>
    <w:rsid w:val="00141499"/>
    <w:rsid w:val="001414A9"/>
    <w:rsid w:val="0014167E"/>
    <w:rsid w:val="00141698"/>
    <w:rsid w:val="00141758"/>
    <w:rsid w:val="00141767"/>
    <w:rsid w:val="001418D1"/>
    <w:rsid w:val="00141979"/>
    <w:rsid w:val="00141A45"/>
    <w:rsid w:val="00141A62"/>
    <w:rsid w:val="00141B25"/>
    <w:rsid w:val="00141BE4"/>
    <w:rsid w:val="00141C57"/>
    <w:rsid w:val="00141D85"/>
    <w:rsid w:val="00141DE7"/>
    <w:rsid w:val="00141ED3"/>
    <w:rsid w:val="0014204C"/>
    <w:rsid w:val="001420A1"/>
    <w:rsid w:val="001420E7"/>
    <w:rsid w:val="001424DB"/>
    <w:rsid w:val="0014260E"/>
    <w:rsid w:val="001426E2"/>
    <w:rsid w:val="001426E5"/>
    <w:rsid w:val="00142769"/>
    <w:rsid w:val="00142778"/>
    <w:rsid w:val="0014277C"/>
    <w:rsid w:val="00142861"/>
    <w:rsid w:val="0014295E"/>
    <w:rsid w:val="00142BA1"/>
    <w:rsid w:val="00142BD6"/>
    <w:rsid w:val="00142C72"/>
    <w:rsid w:val="00142DB9"/>
    <w:rsid w:val="00142DD1"/>
    <w:rsid w:val="00142E19"/>
    <w:rsid w:val="00142F04"/>
    <w:rsid w:val="00142F1B"/>
    <w:rsid w:val="00143057"/>
    <w:rsid w:val="00143164"/>
    <w:rsid w:val="001431FF"/>
    <w:rsid w:val="00143274"/>
    <w:rsid w:val="00143282"/>
    <w:rsid w:val="00143376"/>
    <w:rsid w:val="0014343A"/>
    <w:rsid w:val="0014345E"/>
    <w:rsid w:val="00143473"/>
    <w:rsid w:val="00143476"/>
    <w:rsid w:val="001435D2"/>
    <w:rsid w:val="0014369E"/>
    <w:rsid w:val="001436BD"/>
    <w:rsid w:val="00143734"/>
    <w:rsid w:val="001437E5"/>
    <w:rsid w:val="001437E8"/>
    <w:rsid w:val="00143829"/>
    <w:rsid w:val="00143902"/>
    <w:rsid w:val="00143932"/>
    <w:rsid w:val="001439AD"/>
    <w:rsid w:val="00143B88"/>
    <w:rsid w:val="00143CAF"/>
    <w:rsid w:val="00143CF1"/>
    <w:rsid w:val="00143D20"/>
    <w:rsid w:val="00143DFB"/>
    <w:rsid w:val="00143F99"/>
    <w:rsid w:val="0014401D"/>
    <w:rsid w:val="001440AB"/>
    <w:rsid w:val="0014410E"/>
    <w:rsid w:val="001442EA"/>
    <w:rsid w:val="00144304"/>
    <w:rsid w:val="001443DA"/>
    <w:rsid w:val="0014445A"/>
    <w:rsid w:val="00144567"/>
    <w:rsid w:val="00144894"/>
    <w:rsid w:val="001449A5"/>
    <w:rsid w:val="00144A1A"/>
    <w:rsid w:val="00144A69"/>
    <w:rsid w:val="00144A79"/>
    <w:rsid w:val="00144A84"/>
    <w:rsid w:val="00144CD3"/>
    <w:rsid w:val="00144CD8"/>
    <w:rsid w:val="00144DA4"/>
    <w:rsid w:val="00144E1D"/>
    <w:rsid w:val="00144F7F"/>
    <w:rsid w:val="00144FF7"/>
    <w:rsid w:val="0014510A"/>
    <w:rsid w:val="001451C1"/>
    <w:rsid w:val="001451D0"/>
    <w:rsid w:val="001451FD"/>
    <w:rsid w:val="0014534C"/>
    <w:rsid w:val="0014535A"/>
    <w:rsid w:val="00145415"/>
    <w:rsid w:val="00145594"/>
    <w:rsid w:val="001455E5"/>
    <w:rsid w:val="00145702"/>
    <w:rsid w:val="00145725"/>
    <w:rsid w:val="00145792"/>
    <w:rsid w:val="001457CA"/>
    <w:rsid w:val="0014590E"/>
    <w:rsid w:val="001459A0"/>
    <w:rsid w:val="001459DD"/>
    <w:rsid w:val="001459F3"/>
    <w:rsid w:val="00145B26"/>
    <w:rsid w:val="00145B45"/>
    <w:rsid w:val="00145BCA"/>
    <w:rsid w:val="00145C1A"/>
    <w:rsid w:val="00145E15"/>
    <w:rsid w:val="00145ED0"/>
    <w:rsid w:val="001460B6"/>
    <w:rsid w:val="0014619F"/>
    <w:rsid w:val="00146472"/>
    <w:rsid w:val="0014649E"/>
    <w:rsid w:val="001464AC"/>
    <w:rsid w:val="001465C7"/>
    <w:rsid w:val="001465E4"/>
    <w:rsid w:val="0014667B"/>
    <w:rsid w:val="00146751"/>
    <w:rsid w:val="00146936"/>
    <w:rsid w:val="001469D1"/>
    <w:rsid w:val="001469F0"/>
    <w:rsid w:val="00146A96"/>
    <w:rsid w:val="00146BA3"/>
    <w:rsid w:val="00146C3B"/>
    <w:rsid w:val="00146CEE"/>
    <w:rsid w:val="00146E5F"/>
    <w:rsid w:val="00146EC2"/>
    <w:rsid w:val="00146EDB"/>
    <w:rsid w:val="00147022"/>
    <w:rsid w:val="00147083"/>
    <w:rsid w:val="00147128"/>
    <w:rsid w:val="001471A6"/>
    <w:rsid w:val="0014725C"/>
    <w:rsid w:val="001472D9"/>
    <w:rsid w:val="00147528"/>
    <w:rsid w:val="00147548"/>
    <w:rsid w:val="0014762D"/>
    <w:rsid w:val="001477CE"/>
    <w:rsid w:val="0014785C"/>
    <w:rsid w:val="001478F8"/>
    <w:rsid w:val="00147910"/>
    <w:rsid w:val="00147973"/>
    <w:rsid w:val="0014799F"/>
    <w:rsid w:val="00147B3B"/>
    <w:rsid w:val="00147BEE"/>
    <w:rsid w:val="00147D58"/>
    <w:rsid w:val="00147D99"/>
    <w:rsid w:val="00147FDB"/>
    <w:rsid w:val="00150109"/>
    <w:rsid w:val="001501B9"/>
    <w:rsid w:val="001501CE"/>
    <w:rsid w:val="00150209"/>
    <w:rsid w:val="001502F1"/>
    <w:rsid w:val="001502F7"/>
    <w:rsid w:val="00150475"/>
    <w:rsid w:val="0015053F"/>
    <w:rsid w:val="001505A7"/>
    <w:rsid w:val="00150758"/>
    <w:rsid w:val="001507AF"/>
    <w:rsid w:val="001507D1"/>
    <w:rsid w:val="001508AE"/>
    <w:rsid w:val="001508EB"/>
    <w:rsid w:val="00150985"/>
    <w:rsid w:val="00150A11"/>
    <w:rsid w:val="00150AE0"/>
    <w:rsid w:val="00150BD7"/>
    <w:rsid w:val="00150BDB"/>
    <w:rsid w:val="00150CC2"/>
    <w:rsid w:val="00150D1D"/>
    <w:rsid w:val="00150DAA"/>
    <w:rsid w:val="00150E68"/>
    <w:rsid w:val="00150F35"/>
    <w:rsid w:val="00151100"/>
    <w:rsid w:val="00151196"/>
    <w:rsid w:val="00151204"/>
    <w:rsid w:val="0015124D"/>
    <w:rsid w:val="001512C6"/>
    <w:rsid w:val="001513C0"/>
    <w:rsid w:val="001513E7"/>
    <w:rsid w:val="001513EB"/>
    <w:rsid w:val="00151603"/>
    <w:rsid w:val="00151613"/>
    <w:rsid w:val="001516F6"/>
    <w:rsid w:val="001519AC"/>
    <w:rsid w:val="00151A58"/>
    <w:rsid w:val="00151AB6"/>
    <w:rsid w:val="00151BE6"/>
    <w:rsid w:val="00151C07"/>
    <w:rsid w:val="00151C68"/>
    <w:rsid w:val="00151D6B"/>
    <w:rsid w:val="00151DE3"/>
    <w:rsid w:val="00151E2C"/>
    <w:rsid w:val="00151E5B"/>
    <w:rsid w:val="00151EFD"/>
    <w:rsid w:val="0015208A"/>
    <w:rsid w:val="00152102"/>
    <w:rsid w:val="0015223E"/>
    <w:rsid w:val="001522EE"/>
    <w:rsid w:val="001523E0"/>
    <w:rsid w:val="00152743"/>
    <w:rsid w:val="00152A23"/>
    <w:rsid w:val="00152A9D"/>
    <w:rsid w:val="00152B8D"/>
    <w:rsid w:val="00152BEB"/>
    <w:rsid w:val="00152C08"/>
    <w:rsid w:val="00152C1A"/>
    <w:rsid w:val="00152C25"/>
    <w:rsid w:val="00152D9B"/>
    <w:rsid w:val="00152E14"/>
    <w:rsid w:val="00152E76"/>
    <w:rsid w:val="00152F48"/>
    <w:rsid w:val="00153054"/>
    <w:rsid w:val="00153188"/>
    <w:rsid w:val="001531C9"/>
    <w:rsid w:val="001532BB"/>
    <w:rsid w:val="0015332B"/>
    <w:rsid w:val="0015335B"/>
    <w:rsid w:val="0015359B"/>
    <w:rsid w:val="00153785"/>
    <w:rsid w:val="001537FC"/>
    <w:rsid w:val="0015389D"/>
    <w:rsid w:val="00153B12"/>
    <w:rsid w:val="00153C56"/>
    <w:rsid w:val="00153DF6"/>
    <w:rsid w:val="00153E2E"/>
    <w:rsid w:val="00153E81"/>
    <w:rsid w:val="00153F5D"/>
    <w:rsid w:val="00153F92"/>
    <w:rsid w:val="0015400A"/>
    <w:rsid w:val="00154079"/>
    <w:rsid w:val="001540A4"/>
    <w:rsid w:val="00154268"/>
    <w:rsid w:val="001543D9"/>
    <w:rsid w:val="001543E4"/>
    <w:rsid w:val="001543F5"/>
    <w:rsid w:val="00154492"/>
    <w:rsid w:val="00154764"/>
    <w:rsid w:val="00154792"/>
    <w:rsid w:val="00154806"/>
    <w:rsid w:val="00154841"/>
    <w:rsid w:val="00154903"/>
    <w:rsid w:val="00154985"/>
    <w:rsid w:val="001549DF"/>
    <w:rsid w:val="00154A44"/>
    <w:rsid w:val="00154B58"/>
    <w:rsid w:val="00154B59"/>
    <w:rsid w:val="00154B84"/>
    <w:rsid w:val="00154D20"/>
    <w:rsid w:val="00154F7F"/>
    <w:rsid w:val="00154F9E"/>
    <w:rsid w:val="00154FD7"/>
    <w:rsid w:val="0015511C"/>
    <w:rsid w:val="001551C7"/>
    <w:rsid w:val="0015526C"/>
    <w:rsid w:val="001552F5"/>
    <w:rsid w:val="00155309"/>
    <w:rsid w:val="001553BD"/>
    <w:rsid w:val="001554D1"/>
    <w:rsid w:val="00155532"/>
    <w:rsid w:val="00155577"/>
    <w:rsid w:val="001555E4"/>
    <w:rsid w:val="001556B5"/>
    <w:rsid w:val="00155796"/>
    <w:rsid w:val="00155859"/>
    <w:rsid w:val="00155914"/>
    <w:rsid w:val="00155AA7"/>
    <w:rsid w:val="00155ACD"/>
    <w:rsid w:val="00155B4E"/>
    <w:rsid w:val="00155BC4"/>
    <w:rsid w:val="00155CB8"/>
    <w:rsid w:val="00155D24"/>
    <w:rsid w:val="00155D33"/>
    <w:rsid w:val="00155DCE"/>
    <w:rsid w:val="00155E33"/>
    <w:rsid w:val="00155E63"/>
    <w:rsid w:val="00155EDB"/>
    <w:rsid w:val="00155F53"/>
    <w:rsid w:val="00155FC3"/>
    <w:rsid w:val="0015608D"/>
    <w:rsid w:val="001560CF"/>
    <w:rsid w:val="00156110"/>
    <w:rsid w:val="0015617F"/>
    <w:rsid w:val="001561FE"/>
    <w:rsid w:val="00156278"/>
    <w:rsid w:val="00156554"/>
    <w:rsid w:val="00156561"/>
    <w:rsid w:val="001565B8"/>
    <w:rsid w:val="001565E2"/>
    <w:rsid w:val="00156652"/>
    <w:rsid w:val="00156675"/>
    <w:rsid w:val="00156789"/>
    <w:rsid w:val="001568AE"/>
    <w:rsid w:val="00156A2D"/>
    <w:rsid w:val="00156AA6"/>
    <w:rsid w:val="00156BE3"/>
    <w:rsid w:val="00156C89"/>
    <w:rsid w:val="00156CB9"/>
    <w:rsid w:val="00156EB2"/>
    <w:rsid w:val="00156EB4"/>
    <w:rsid w:val="00156FC5"/>
    <w:rsid w:val="0015706D"/>
    <w:rsid w:val="00157159"/>
    <w:rsid w:val="001571CA"/>
    <w:rsid w:val="00157409"/>
    <w:rsid w:val="00157518"/>
    <w:rsid w:val="00157678"/>
    <w:rsid w:val="00157699"/>
    <w:rsid w:val="0015771D"/>
    <w:rsid w:val="00157897"/>
    <w:rsid w:val="001578DE"/>
    <w:rsid w:val="001579E9"/>
    <w:rsid w:val="00157BC4"/>
    <w:rsid w:val="00157DAB"/>
    <w:rsid w:val="00157E18"/>
    <w:rsid w:val="00157E73"/>
    <w:rsid w:val="00157F3C"/>
    <w:rsid w:val="00157F79"/>
    <w:rsid w:val="00157F9E"/>
    <w:rsid w:val="00160029"/>
    <w:rsid w:val="0016006E"/>
    <w:rsid w:val="0016007C"/>
    <w:rsid w:val="001600C4"/>
    <w:rsid w:val="001600E6"/>
    <w:rsid w:val="001601FA"/>
    <w:rsid w:val="001602E7"/>
    <w:rsid w:val="0016031E"/>
    <w:rsid w:val="0016035C"/>
    <w:rsid w:val="0016055B"/>
    <w:rsid w:val="001605BA"/>
    <w:rsid w:val="00160729"/>
    <w:rsid w:val="001607D7"/>
    <w:rsid w:val="00160809"/>
    <w:rsid w:val="00160868"/>
    <w:rsid w:val="00160886"/>
    <w:rsid w:val="001608A8"/>
    <w:rsid w:val="00160934"/>
    <w:rsid w:val="00160AB3"/>
    <w:rsid w:val="00160C3F"/>
    <w:rsid w:val="00160CA8"/>
    <w:rsid w:val="00160D65"/>
    <w:rsid w:val="00160DCC"/>
    <w:rsid w:val="00160DD1"/>
    <w:rsid w:val="00160E7D"/>
    <w:rsid w:val="00160FB1"/>
    <w:rsid w:val="00161078"/>
    <w:rsid w:val="00161154"/>
    <w:rsid w:val="00161227"/>
    <w:rsid w:val="001612AD"/>
    <w:rsid w:val="001612F6"/>
    <w:rsid w:val="0016136D"/>
    <w:rsid w:val="00161487"/>
    <w:rsid w:val="001615E3"/>
    <w:rsid w:val="0016163F"/>
    <w:rsid w:val="00161795"/>
    <w:rsid w:val="00161A04"/>
    <w:rsid w:val="00161A81"/>
    <w:rsid w:val="00161ADA"/>
    <w:rsid w:val="00161B7C"/>
    <w:rsid w:val="00161C51"/>
    <w:rsid w:val="00161F3C"/>
    <w:rsid w:val="00161FD8"/>
    <w:rsid w:val="00161FE2"/>
    <w:rsid w:val="001620BE"/>
    <w:rsid w:val="00162121"/>
    <w:rsid w:val="00162531"/>
    <w:rsid w:val="001627FC"/>
    <w:rsid w:val="00162863"/>
    <w:rsid w:val="00162937"/>
    <w:rsid w:val="0016294E"/>
    <w:rsid w:val="00162B72"/>
    <w:rsid w:val="00162C8C"/>
    <w:rsid w:val="00162CD5"/>
    <w:rsid w:val="00162CFD"/>
    <w:rsid w:val="00162D12"/>
    <w:rsid w:val="00162E5E"/>
    <w:rsid w:val="00162E7E"/>
    <w:rsid w:val="00162ED6"/>
    <w:rsid w:val="00162F46"/>
    <w:rsid w:val="00163095"/>
    <w:rsid w:val="001630AF"/>
    <w:rsid w:val="001630E9"/>
    <w:rsid w:val="001631CF"/>
    <w:rsid w:val="00163223"/>
    <w:rsid w:val="00163259"/>
    <w:rsid w:val="001632B5"/>
    <w:rsid w:val="001632B7"/>
    <w:rsid w:val="00163370"/>
    <w:rsid w:val="0016360B"/>
    <w:rsid w:val="0016362E"/>
    <w:rsid w:val="00163927"/>
    <w:rsid w:val="0016398F"/>
    <w:rsid w:val="00163B15"/>
    <w:rsid w:val="00163B8A"/>
    <w:rsid w:val="00163D43"/>
    <w:rsid w:val="00163F37"/>
    <w:rsid w:val="00164122"/>
    <w:rsid w:val="001641C4"/>
    <w:rsid w:val="001643BB"/>
    <w:rsid w:val="001643E3"/>
    <w:rsid w:val="0016461D"/>
    <w:rsid w:val="001647C7"/>
    <w:rsid w:val="001649FD"/>
    <w:rsid w:val="00164A9D"/>
    <w:rsid w:val="00164ACB"/>
    <w:rsid w:val="00164AEC"/>
    <w:rsid w:val="00164AED"/>
    <w:rsid w:val="00164B6F"/>
    <w:rsid w:val="00164D4B"/>
    <w:rsid w:val="00164E2B"/>
    <w:rsid w:val="00164FE4"/>
    <w:rsid w:val="001650C9"/>
    <w:rsid w:val="0016513A"/>
    <w:rsid w:val="00165159"/>
    <w:rsid w:val="00165453"/>
    <w:rsid w:val="00165498"/>
    <w:rsid w:val="0016595F"/>
    <w:rsid w:val="001659A5"/>
    <w:rsid w:val="00165B8F"/>
    <w:rsid w:val="00165CAA"/>
    <w:rsid w:val="00166060"/>
    <w:rsid w:val="00166071"/>
    <w:rsid w:val="001660DB"/>
    <w:rsid w:val="001661DD"/>
    <w:rsid w:val="0016621F"/>
    <w:rsid w:val="00166360"/>
    <w:rsid w:val="001664C3"/>
    <w:rsid w:val="0016672E"/>
    <w:rsid w:val="001669A6"/>
    <w:rsid w:val="00166A4D"/>
    <w:rsid w:val="00166B92"/>
    <w:rsid w:val="00166CBD"/>
    <w:rsid w:val="001670A2"/>
    <w:rsid w:val="0016715C"/>
    <w:rsid w:val="001671C4"/>
    <w:rsid w:val="0016721D"/>
    <w:rsid w:val="00167320"/>
    <w:rsid w:val="0016732E"/>
    <w:rsid w:val="001673E4"/>
    <w:rsid w:val="00167428"/>
    <w:rsid w:val="0016747A"/>
    <w:rsid w:val="00167501"/>
    <w:rsid w:val="0016755D"/>
    <w:rsid w:val="001675FF"/>
    <w:rsid w:val="001677CC"/>
    <w:rsid w:val="001677F9"/>
    <w:rsid w:val="00167A06"/>
    <w:rsid w:val="00167A39"/>
    <w:rsid w:val="00167B7C"/>
    <w:rsid w:val="00167BDF"/>
    <w:rsid w:val="00167BF1"/>
    <w:rsid w:val="00167C71"/>
    <w:rsid w:val="00167CFA"/>
    <w:rsid w:val="00167D34"/>
    <w:rsid w:val="00167E1B"/>
    <w:rsid w:val="00167E5A"/>
    <w:rsid w:val="00167EC9"/>
    <w:rsid w:val="00167ECC"/>
    <w:rsid w:val="00167F20"/>
    <w:rsid w:val="00170097"/>
    <w:rsid w:val="00170115"/>
    <w:rsid w:val="00170259"/>
    <w:rsid w:val="00170369"/>
    <w:rsid w:val="0017040A"/>
    <w:rsid w:val="0017057A"/>
    <w:rsid w:val="00170581"/>
    <w:rsid w:val="001706D0"/>
    <w:rsid w:val="00170885"/>
    <w:rsid w:val="00170962"/>
    <w:rsid w:val="00170992"/>
    <w:rsid w:val="001709CA"/>
    <w:rsid w:val="00170A17"/>
    <w:rsid w:val="00170A21"/>
    <w:rsid w:val="00170C1F"/>
    <w:rsid w:val="00170C37"/>
    <w:rsid w:val="00170C48"/>
    <w:rsid w:val="00170C52"/>
    <w:rsid w:val="00170D91"/>
    <w:rsid w:val="00170DA0"/>
    <w:rsid w:val="00170E89"/>
    <w:rsid w:val="00170F76"/>
    <w:rsid w:val="00170F88"/>
    <w:rsid w:val="001710DE"/>
    <w:rsid w:val="001711BF"/>
    <w:rsid w:val="001712F0"/>
    <w:rsid w:val="001714B6"/>
    <w:rsid w:val="0017151F"/>
    <w:rsid w:val="0017157D"/>
    <w:rsid w:val="00171619"/>
    <w:rsid w:val="001716EB"/>
    <w:rsid w:val="0017175B"/>
    <w:rsid w:val="001718BB"/>
    <w:rsid w:val="00171A0F"/>
    <w:rsid w:val="00171A3B"/>
    <w:rsid w:val="00171B37"/>
    <w:rsid w:val="00171C23"/>
    <w:rsid w:val="00171C8F"/>
    <w:rsid w:val="00171D20"/>
    <w:rsid w:val="00171D38"/>
    <w:rsid w:val="00171E5C"/>
    <w:rsid w:val="00171F70"/>
    <w:rsid w:val="00172025"/>
    <w:rsid w:val="0017207D"/>
    <w:rsid w:val="001720E4"/>
    <w:rsid w:val="001722B8"/>
    <w:rsid w:val="001723AC"/>
    <w:rsid w:val="001725B3"/>
    <w:rsid w:val="001725E1"/>
    <w:rsid w:val="001726EE"/>
    <w:rsid w:val="0017273B"/>
    <w:rsid w:val="00172757"/>
    <w:rsid w:val="001727F6"/>
    <w:rsid w:val="0017281C"/>
    <w:rsid w:val="001728B3"/>
    <w:rsid w:val="00172B80"/>
    <w:rsid w:val="00172C6F"/>
    <w:rsid w:val="00172CC4"/>
    <w:rsid w:val="00172CDB"/>
    <w:rsid w:val="00172DE5"/>
    <w:rsid w:val="00172EDA"/>
    <w:rsid w:val="0017303A"/>
    <w:rsid w:val="00173052"/>
    <w:rsid w:val="00173138"/>
    <w:rsid w:val="00173253"/>
    <w:rsid w:val="00173509"/>
    <w:rsid w:val="001735E2"/>
    <w:rsid w:val="001735F1"/>
    <w:rsid w:val="00173792"/>
    <w:rsid w:val="00173835"/>
    <w:rsid w:val="001738E2"/>
    <w:rsid w:val="001738E4"/>
    <w:rsid w:val="001739B0"/>
    <w:rsid w:val="00173AC0"/>
    <w:rsid w:val="00173C2D"/>
    <w:rsid w:val="00173C35"/>
    <w:rsid w:val="00173DA0"/>
    <w:rsid w:val="00173FAE"/>
    <w:rsid w:val="00173FB0"/>
    <w:rsid w:val="00174014"/>
    <w:rsid w:val="00174021"/>
    <w:rsid w:val="001741DB"/>
    <w:rsid w:val="001741F5"/>
    <w:rsid w:val="00174359"/>
    <w:rsid w:val="00174489"/>
    <w:rsid w:val="001744D3"/>
    <w:rsid w:val="00174705"/>
    <w:rsid w:val="001747D6"/>
    <w:rsid w:val="001748B6"/>
    <w:rsid w:val="0017495B"/>
    <w:rsid w:val="00174A03"/>
    <w:rsid w:val="00174AD4"/>
    <w:rsid w:val="00174B30"/>
    <w:rsid w:val="00174BAC"/>
    <w:rsid w:val="00174C65"/>
    <w:rsid w:val="00174DC5"/>
    <w:rsid w:val="00174F52"/>
    <w:rsid w:val="00175027"/>
    <w:rsid w:val="0017513C"/>
    <w:rsid w:val="00175393"/>
    <w:rsid w:val="0017540B"/>
    <w:rsid w:val="00175432"/>
    <w:rsid w:val="0017543D"/>
    <w:rsid w:val="00175449"/>
    <w:rsid w:val="001754D4"/>
    <w:rsid w:val="001754E8"/>
    <w:rsid w:val="0017552B"/>
    <w:rsid w:val="0017552C"/>
    <w:rsid w:val="00175542"/>
    <w:rsid w:val="001757F8"/>
    <w:rsid w:val="00175967"/>
    <w:rsid w:val="00175AAA"/>
    <w:rsid w:val="00175B30"/>
    <w:rsid w:val="00175B50"/>
    <w:rsid w:val="00175C20"/>
    <w:rsid w:val="00175DA3"/>
    <w:rsid w:val="00175F6A"/>
    <w:rsid w:val="00175F7E"/>
    <w:rsid w:val="00175FD8"/>
    <w:rsid w:val="00176055"/>
    <w:rsid w:val="00176212"/>
    <w:rsid w:val="0017636D"/>
    <w:rsid w:val="001763CA"/>
    <w:rsid w:val="0017647C"/>
    <w:rsid w:val="00176495"/>
    <w:rsid w:val="00176496"/>
    <w:rsid w:val="001765BB"/>
    <w:rsid w:val="00176603"/>
    <w:rsid w:val="0017660C"/>
    <w:rsid w:val="0017668B"/>
    <w:rsid w:val="001767E9"/>
    <w:rsid w:val="0017686C"/>
    <w:rsid w:val="001768F9"/>
    <w:rsid w:val="00176913"/>
    <w:rsid w:val="001769B3"/>
    <w:rsid w:val="00176A46"/>
    <w:rsid w:val="00176B06"/>
    <w:rsid w:val="00176C13"/>
    <w:rsid w:val="00176D67"/>
    <w:rsid w:val="001770CE"/>
    <w:rsid w:val="00177240"/>
    <w:rsid w:val="001774BB"/>
    <w:rsid w:val="001774FF"/>
    <w:rsid w:val="0017759D"/>
    <w:rsid w:val="001776A4"/>
    <w:rsid w:val="001776B3"/>
    <w:rsid w:val="001776C7"/>
    <w:rsid w:val="0017773C"/>
    <w:rsid w:val="00177876"/>
    <w:rsid w:val="00177896"/>
    <w:rsid w:val="00177986"/>
    <w:rsid w:val="00177A65"/>
    <w:rsid w:val="00177B14"/>
    <w:rsid w:val="00177B1C"/>
    <w:rsid w:val="00177BEB"/>
    <w:rsid w:val="00177CE1"/>
    <w:rsid w:val="00177D04"/>
    <w:rsid w:val="001800A4"/>
    <w:rsid w:val="001800C8"/>
    <w:rsid w:val="001800DB"/>
    <w:rsid w:val="00180105"/>
    <w:rsid w:val="001801FE"/>
    <w:rsid w:val="0018027F"/>
    <w:rsid w:val="001803B1"/>
    <w:rsid w:val="00180430"/>
    <w:rsid w:val="001805B1"/>
    <w:rsid w:val="001805E4"/>
    <w:rsid w:val="00180695"/>
    <w:rsid w:val="0018074E"/>
    <w:rsid w:val="00180849"/>
    <w:rsid w:val="0018084F"/>
    <w:rsid w:val="0018093D"/>
    <w:rsid w:val="00180A7F"/>
    <w:rsid w:val="00180AE7"/>
    <w:rsid w:val="00180B09"/>
    <w:rsid w:val="00180B20"/>
    <w:rsid w:val="00180B21"/>
    <w:rsid w:val="00180B9D"/>
    <w:rsid w:val="00180D2D"/>
    <w:rsid w:val="00180D4D"/>
    <w:rsid w:val="00180DBA"/>
    <w:rsid w:val="00180EEB"/>
    <w:rsid w:val="0018105F"/>
    <w:rsid w:val="00181063"/>
    <w:rsid w:val="0018108E"/>
    <w:rsid w:val="00181156"/>
    <w:rsid w:val="0018120C"/>
    <w:rsid w:val="00181241"/>
    <w:rsid w:val="001812B8"/>
    <w:rsid w:val="0018137F"/>
    <w:rsid w:val="001814F8"/>
    <w:rsid w:val="00181526"/>
    <w:rsid w:val="00181748"/>
    <w:rsid w:val="001817EA"/>
    <w:rsid w:val="001817F5"/>
    <w:rsid w:val="00181862"/>
    <w:rsid w:val="00181886"/>
    <w:rsid w:val="001818E7"/>
    <w:rsid w:val="0018197B"/>
    <w:rsid w:val="00181A6A"/>
    <w:rsid w:val="00181C55"/>
    <w:rsid w:val="00181C9A"/>
    <w:rsid w:val="00181DC9"/>
    <w:rsid w:val="00181EFE"/>
    <w:rsid w:val="00181F18"/>
    <w:rsid w:val="00181FB1"/>
    <w:rsid w:val="00182010"/>
    <w:rsid w:val="001820FB"/>
    <w:rsid w:val="0018213A"/>
    <w:rsid w:val="0018218A"/>
    <w:rsid w:val="00182219"/>
    <w:rsid w:val="0018221F"/>
    <w:rsid w:val="00182247"/>
    <w:rsid w:val="00182299"/>
    <w:rsid w:val="001822A5"/>
    <w:rsid w:val="0018231C"/>
    <w:rsid w:val="00182323"/>
    <w:rsid w:val="00182574"/>
    <w:rsid w:val="001825A9"/>
    <w:rsid w:val="0018261F"/>
    <w:rsid w:val="001826E2"/>
    <w:rsid w:val="001828EA"/>
    <w:rsid w:val="0018291D"/>
    <w:rsid w:val="001829D6"/>
    <w:rsid w:val="00182A89"/>
    <w:rsid w:val="00182BD1"/>
    <w:rsid w:val="00182C1E"/>
    <w:rsid w:val="00182C57"/>
    <w:rsid w:val="00182CB3"/>
    <w:rsid w:val="00182CEA"/>
    <w:rsid w:val="00182CFA"/>
    <w:rsid w:val="00182D71"/>
    <w:rsid w:val="00182E9B"/>
    <w:rsid w:val="00182F60"/>
    <w:rsid w:val="00182F92"/>
    <w:rsid w:val="00183060"/>
    <w:rsid w:val="00183072"/>
    <w:rsid w:val="00183220"/>
    <w:rsid w:val="001833EC"/>
    <w:rsid w:val="00183895"/>
    <w:rsid w:val="001838FA"/>
    <w:rsid w:val="0018395A"/>
    <w:rsid w:val="001839EC"/>
    <w:rsid w:val="00183A5A"/>
    <w:rsid w:val="00183A93"/>
    <w:rsid w:val="00183BB4"/>
    <w:rsid w:val="0018404A"/>
    <w:rsid w:val="001840AE"/>
    <w:rsid w:val="001840B7"/>
    <w:rsid w:val="0018410E"/>
    <w:rsid w:val="00184159"/>
    <w:rsid w:val="0018418E"/>
    <w:rsid w:val="001841ED"/>
    <w:rsid w:val="0018420F"/>
    <w:rsid w:val="001842C9"/>
    <w:rsid w:val="001842E3"/>
    <w:rsid w:val="0018442A"/>
    <w:rsid w:val="00184432"/>
    <w:rsid w:val="001844C7"/>
    <w:rsid w:val="001844CC"/>
    <w:rsid w:val="0018450C"/>
    <w:rsid w:val="00184582"/>
    <w:rsid w:val="001845B2"/>
    <w:rsid w:val="001846C5"/>
    <w:rsid w:val="00184854"/>
    <w:rsid w:val="001849B6"/>
    <w:rsid w:val="00184A6A"/>
    <w:rsid w:val="00184C81"/>
    <w:rsid w:val="00184DFC"/>
    <w:rsid w:val="00184E5A"/>
    <w:rsid w:val="00184F7C"/>
    <w:rsid w:val="0018512C"/>
    <w:rsid w:val="0018536F"/>
    <w:rsid w:val="001853DE"/>
    <w:rsid w:val="0018548A"/>
    <w:rsid w:val="001856CB"/>
    <w:rsid w:val="0018580A"/>
    <w:rsid w:val="00185892"/>
    <w:rsid w:val="00185B0C"/>
    <w:rsid w:val="00185BA3"/>
    <w:rsid w:val="00185DBB"/>
    <w:rsid w:val="00185E54"/>
    <w:rsid w:val="00185EBF"/>
    <w:rsid w:val="00186057"/>
    <w:rsid w:val="00186084"/>
    <w:rsid w:val="0018618A"/>
    <w:rsid w:val="0018618C"/>
    <w:rsid w:val="001861CF"/>
    <w:rsid w:val="001861D6"/>
    <w:rsid w:val="00186284"/>
    <w:rsid w:val="0018628F"/>
    <w:rsid w:val="00186292"/>
    <w:rsid w:val="00186382"/>
    <w:rsid w:val="001864C1"/>
    <w:rsid w:val="0018656A"/>
    <w:rsid w:val="001865B7"/>
    <w:rsid w:val="0018672D"/>
    <w:rsid w:val="00186786"/>
    <w:rsid w:val="001867A9"/>
    <w:rsid w:val="0018684E"/>
    <w:rsid w:val="00186A2A"/>
    <w:rsid w:val="00186AEE"/>
    <w:rsid w:val="00186B7F"/>
    <w:rsid w:val="00186C97"/>
    <w:rsid w:val="00186FDC"/>
    <w:rsid w:val="001870F6"/>
    <w:rsid w:val="001870FE"/>
    <w:rsid w:val="0018713C"/>
    <w:rsid w:val="001873E5"/>
    <w:rsid w:val="00187679"/>
    <w:rsid w:val="00187A6B"/>
    <w:rsid w:val="00187ADA"/>
    <w:rsid w:val="00187C1D"/>
    <w:rsid w:val="00187C7C"/>
    <w:rsid w:val="00187CA6"/>
    <w:rsid w:val="00187D33"/>
    <w:rsid w:val="00187D62"/>
    <w:rsid w:val="00187DAF"/>
    <w:rsid w:val="00187ED3"/>
    <w:rsid w:val="00187F0D"/>
    <w:rsid w:val="00187F14"/>
    <w:rsid w:val="0019013E"/>
    <w:rsid w:val="001901B2"/>
    <w:rsid w:val="001903CA"/>
    <w:rsid w:val="001908FD"/>
    <w:rsid w:val="0019096B"/>
    <w:rsid w:val="00190970"/>
    <w:rsid w:val="00190CD0"/>
    <w:rsid w:val="00190DB9"/>
    <w:rsid w:val="00190E10"/>
    <w:rsid w:val="00190E49"/>
    <w:rsid w:val="00190EDF"/>
    <w:rsid w:val="00190F1A"/>
    <w:rsid w:val="00190F84"/>
    <w:rsid w:val="00190FE8"/>
    <w:rsid w:val="00191159"/>
    <w:rsid w:val="00191182"/>
    <w:rsid w:val="001911D7"/>
    <w:rsid w:val="00191209"/>
    <w:rsid w:val="00191419"/>
    <w:rsid w:val="00191479"/>
    <w:rsid w:val="001914F2"/>
    <w:rsid w:val="00191504"/>
    <w:rsid w:val="0019152F"/>
    <w:rsid w:val="001918F0"/>
    <w:rsid w:val="001918F8"/>
    <w:rsid w:val="00191934"/>
    <w:rsid w:val="001919D7"/>
    <w:rsid w:val="00191AC5"/>
    <w:rsid w:val="00191ADF"/>
    <w:rsid w:val="00191B94"/>
    <w:rsid w:val="00191C89"/>
    <w:rsid w:val="00191D72"/>
    <w:rsid w:val="00191E5D"/>
    <w:rsid w:val="00191E7F"/>
    <w:rsid w:val="00191FB7"/>
    <w:rsid w:val="00191FFE"/>
    <w:rsid w:val="00192114"/>
    <w:rsid w:val="001921EB"/>
    <w:rsid w:val="001922D4"/>
    <w:rsid w:val="00192444"/>
    <w:rsid w:val="001924AA"/>
    <w:rsid w:val="001924FD"/>
    <w:rsid w:val="00192628"/>
    <w:rsid w:val="00192669"/>
    <w:rsid w:val="00192682"/>
    <w:rsid w:val="0019269A"/>
    <w:rsid w:val="001927E5"/>
    <w:rsid w:val="00192922"/>
    <w:rsid w:val="00192939"/>
    <w:rsid w:val="001929E8"/>
    <w:rsid w:val="001929F1"/>
    <w:rsid w:val="00192B1C"/>
    <w:rsid w:val="00192C65"/>
    <w:rsid w:val="00192CF1"/>
    <w:rsid w:val="00192F6B"/>
    <w:rsid w:val="00192F92"/>
    <w:rsid w:val="00193026"/>
    <w:rsid w:val="0019308F"/>
    <w:rsid w:val="0019314E"/>
    <w:rsid w:val="00193166"/>
    <w:rsid w:val="0019316F"/>
    <w:rsid w:val="00193437"/>
    <w:rsid w:val="0019347B"/>
    <w:rsid w:val="001935F8"/>
    <w:rsid w:val="00193661"/>
    <w:rsid w:val="0019370D"/>
    <w:rsid w:val="0019373E"/>
    <w:rsid w:val="0019375F"/>
    <w:rsid w:val="0019387B"/>
    <w:rsid w:val="00193961"/>
    <w:rsid w:val="00193A33"/>
    <w:rsid w:val="00193A78"/>
    <w:rsid w:val="00193AA7"/>
    <w:rsid w:val="00193B8C"/>
    <w:rsid w:val="00193D33"/>
    <w:rsid w:val="00193D62"/>
    <w:rsid w:val="00193DA1"/>
    <w:rsid w:val="00193EFE"/>
    <w:rsid w:val="0019432F"/>
    <w:rsid w:val="0019433C"/>
    <w:rsid w:val="00194396"/>
    <w:rsid w:val="00194704"/>
    <w:rsid w:val="0019487B"/>
    <w:rsid w:val="0019491D"/>
    <w:rsid w:val="0019499C"/>
    <w:rsid w:val="00194C17"/>
    <w:rsid w:val="00194CA2"/>
    <w:rsid w:val="00194CD4"/>
    <w:rsid w:val="00194DDD"/>
    <w:rsid w:val="00194EA9"/>
    <w:rsid w:val="00194EE1"/>
    <w:rsid w:val="0019511B"/>
    <w:rsid w:val="001952CB"/>
    <w:rsid w:val="00195323"/>
    <w:rsid w:val="0019541B"/>
    <w:rsid w:val="00195636"/>
    <w:rsid w:val="0019572B"/>
    <w:rsid w:val="00195790"/>
    <w:rsid w:val="00195831"/>
    <w:rsid w:val="00195835"/>
    <w:rsid w:val="0019595F"/>
    <w:rsid w:val="00195973"/>
    <w:rsid w:val="00195A21"/>
    <w:rsid w:val="00195AD5"/>
    <w:rsid w:val="00195B62"/>
    <w:rsid w:val="00195C5B"/>
    <w:rsid w:val="00195C9F"/>
    <w:rsid w:val="00195CDC"/>
    <w:rsid w:val="00195DC1"/>
    <w:rsid w:val="00195DDA"/>
    <w:rsid w:val="00195EE7"/>
    <w:rsid w:val="00195F63"/>
    <w:rsid w:val="00195F83"/>
    <w:rsid w:val="0019606E"/>
    <w:rsid w:val="00196088"/>
    <w:rsid w:val="0019616E"/>
    <w:rsid w:val="001961E9"/>
    <w:rsid w:val="00196404"/>
    <w:rsid w:val="001964CE"/>
    <w:rsid w:val="0019679A"/>
    <w:rsid w:val="00196862"/>
    <w:rsid w:val="00196869"/>
    <w:rsid w:val="001968C7"/>
    <w:rsid w:val="001968DD"/>
    <w:rsid w:val="00196961"/>
    <w:rsid w:val="00196AD4"/>
    <w:rsid w:val="00196CC8"/>
    <w:rsid w:val="00196D4D"/>
    <w:rsid w:val="00196DF4"/>
    <w:rsid w:val="00196E9A"/>
    <w:rsid w:val="001970CC"/>
    <w:rsid w:val="00197189"/>
    <w:rsid w:val="001971BE"/>
    <w:rsid w:val="0019722F"/>
    <w:rsid w:val="0019727B"/>
    <w:rsid w:val="001972A9"/>
    <w:rsid w:val="001972DC"/>
    <w:rsid w:val="001973BC"/>
    <w:rsid w:val="00197457"/>
    <w:rsid w:val="0019757F"/>
    <w:rsid w:val="0019761B"/>
    <w:rsid w:val="00197636"/>
    <w:rsid w:val="00197703"/>
    <w:rsid w:val="001977BA"/>
    <w:rsid w:val="0019781D"/>
    <w:rsid w:val="00197864"/>
    <w:rsid w:val="0019797D"/>
    <w:rsid w:val="001979A4"/>
    <w:rsid w:val="001979BC"/>
    <w:rsid w:val="00197A2E"/>
    <w:rsid w:val="00197CDE"/>
    <w:rsid w:val="00197D57"/>
    <w:rsid w:val="00197D76"/>
    <w:rsid w:val="00197DF0"/>
    <w:rsid w:val="00197E4B"/>
    <w:rsid w:val="00197E9E"/>
    <w:rsid w:val="00197EFF"/>
    <w:rsid w:val="00197F59"/>
    <w:rsid w:val="00197FE7"/>
    <w:rsid w:val="001A0168"/>
    <w:rsid w:val="001A0380"/>
    <w:rsid w:val="001A044D"/>
    <w:rsid w:val="001A055B"/>
    <w:rsid w:val="001A058C"/>
    <w:rsid w:val="001A0738"/>
    <w:rsid w:val="001A0762"/>
    <w:rsid w:val="001A0777"/>
    <w:rsid w:val="001A07A2"/>
    <w:rsid w:val="001A07FA"/>
    <w:rsid w:val="001A088A"/>
    <w:rsid w:val="001A089E"/>
    <w:rsid w:val="001A092E"/>
    <w:rsid w:val="001A0A00"/>
    <w:rsid w:val="001A0A0F"/>
    <w:rsid w:val="001A0C0B"/>
    <w:rsid w:val="001A0C12"/>
    <w:rsid w:val="001A0CA3"/>
    <w:rsid w:val="001A0EB7"/>
    <w:rsid w:val="001A103A"/>
    <w:rsid w:val="001A1050"/>
    <w:rsid w:val="001A107C"/>
    <w:rsid w:val="001A1122"/>
    <w:rsid w:val="001A114B"/>
    <w:rsid w:val="001A1176"/>
    <w:rsid w:val="001A1326"/>
    <w:rsid w:val="001A13B2"/>
    <w:rsid w:val="001A1486"/>
    <w:rsid w:val="001A14C6"/>
    <w:rsid w:val="001A15A1"/>
    <w:rsid w:val="001A1717"/>
    <w:rsid w:val="001A17E7"/>
    <w:rsid w:val="001A1806"/>
    <w:rsid w:val="001A1B2E"/>
    <w:rsid w:val="001A1B74"/>
    <w:rsid w:val="001A1C31"/>
    <w:rsid w:val="001A1CE3"/>
    <w:rsid w:val="001A1E79"/>
    <w:rsid w:val="001A1F18"/>
    <w:rsid w:val="001A1FC2"/>
    <w:rsid w:val="001A21D3"/>
    <w:rsid w:val="001A2202"/>
    <w:rsid w:val="001A220B"/>
    <w:rsid w:val="001A22E0"/>
    <w:rsid w:val="001A233C"/>
    <w:rsid w:val="001A2378"/>
    <w:rsid w:val="001A23FB"/>
    <w:rsid w:val="001A2455"/>
    <w:rsid w:val="001A24E6"/>
    <w:rsid w:val="001A2512"/>
    <w:rsid w:val="001A253B"/>
    <w:rsid w:val="001A27C0"/>
    <w:rsid w:val="001A2957"/>
    <w:rsid w:val="001A2B85"/>
    <w:rsid w:val="001A2B8D"/>
    <w:rsid w:val="001A2BD4"/>
    <w:rsid w:val="001A2C9C"/>
    <w:rsid w:val="001A2D71"/>
    <w:rsid w:val="001A2D82"/>
    <w:rsid w:val="001A2FEC"/>
    <w:rsid w:val="001A3038"/>
    <w:rsid w:val="001A3134"/>
    <w:rsid w:val="001A31E6"/>
    <w:rsid w:val="001A31E9"/>
    <w:rsid w:val="001A3210"/>
    <w:rsid w:val="001A3237"/>
    <w:rsid w:val="001A327E"/>
    <w:rsid w:val="001A3379"/>
    <w:rsid w:val="001A360C"/>
    <w:rsid w:val="001A365D"/>
    <w:rsid w:val="001A3712"/>
    <w:rsid w:val="001A3793"/>
    <w:rsid w:val="001A392B"/>
    <w:rsid w:val="001A3A4A"/>
    <w:rsid w:val="001A3C23"/>
    <w:rsid w:val="001A3C45"/>
    <w:rsid w:val="001A3C6A"/>
    <w:rsid w:val="001A3DEE"/>
    <w:rsid w:val="001A40FD"/>
    <w:rsid w:val="001A4178"/>
    <w:rsid w:val="001A41CB"/>
    <w:rsid w:val="001A42FF"/>
    <w:rsid w:val="001A43C5"/>
    <w:rsid w:val="001A44A0"/>
    <w:rsid w:val="001A44FC"/>
    <w:rsid w:val="001A4572"/>
    <w:rsid w:val="001A4598"/>
    <w:rsid w:val="001A45C1"/>
    <w:rsid w:val="001A4670"/>
    <w:rsid w:val="001A4701"/>
    <w:rsid w:val="001A4754"/>
    <w:rsid w:val="001A495E"/>
    <w:rsid w:val="001A4B9A"/>
    <w:rsid w:val="001A4BD8"/>
    <w:rsid w:val="001A4C30"/>
    <w:rsid w:val="001A4CFB"/>
    <w:rsid w:val="001A4DB5"/>
    <w:rsid w:val="001A4ED1"/>
    <w:rsid w:val="001A4F3D"/>
    <w:rsid w:val="001A5086"/>
    <w:rsid w:val="001A50B0"/>
    <w:rsid w:val="001A5125"/>
    <w:rsid w:val="001A5148"/>
    <w:rsid w:val="001A51AA"/>
    <w:rsid w:val="001A51DF"/>
    <w:rsid w:val="001A52C4"/>
    <w:rsid w:val="001A533C"/>
    <w:rsid w:val="001A533E"/>
    <w:rsid w:val="001A538E"/>
    <w:rsid w:val="001A5455"/>
    <w:rsid w:val="001A55DC"/>
    <w:rsid w:val="001A5691"/>
    <w:rsid w:val="001A56AE"/>
    <w:rsid w:val="001A56B4"/>
    <w:rsid w:val="001A56D1"/>
    <w:rsid w:val="001A5864"/>
    <w:rsid w:val="001A589E"/>
    <w:rsid w:val="001A59C0"/>
    <w:rsid w:val="001A5A13"/>
    <w:rsid w:val="001A5DA2"/>
    <w:rsid w:val="001A5DCA"/>
    <w:rsid w:val="001A5F6E"/>
    <w:rsid w:val="001A5FAC"/>
    <w:rsid w:val="001A60EB"/>
    <w:rsid w:val="001A60F8"/>
    <w:rsid w:val="001A615D"/>
    <w:rsid w:val="001A61A1"/>
    <w:rsid w:val="001A6461"/>
    <w:rsid w:val="001A658D"/>
    <w:rsid w:val="001A66E0"/>
    <w:rsid w:val="001A6733"/>
    <w:rsid w:val="001A6823"/>
    <w:rsid w:val="001A68CB"/>
    <w:rsid w:val="001A6937"/>
    <w:rsid w:val="001A699C"/>
    <w:rsid w:val="001A69AA"/>
    <w:rsid w:val="001A6C01"/>
    <w:rsid w:val="001A6D28"/>
    <w:rsid w:val="001A6D81"/>
    <w:rsid w:val="001A6EE0"/>
    <w:rsid w:val="001A6F46"/>
    <w:rsid w:val="001A6F5D"/>
    <w:rsid w:val="001A6FE1"/>
    <w:rsid w:val="001A702B"/>
    <w:rsid w:val="001A704B"/>
    <w:rsid w:val="001A7153"/>
    <w:rsid w:val="001A71DB"/>
    <w:rsid w:val="001A731A"/>
    <w:rsid w:val="001A738C"/>
    <w:rsid w:val="001A73F4"/>
    <w:rsid w:val="001A74CA"/>
    <w:rsid w:val="001A75B0"/>
    <w:rsid w:val="001A7837"/>
    <w:rsid w:val="001A78F6"/>
    <w:rsid w:val="001A795B"/>
    <w:rsid w:val="001A79EF"/>
    <w:rsid w:val="001A7B4E"/>
    <w:rsid w:val="001A7B78"/>
    <w:rsid w:val="001A7BB4"/>
    <w:rsid w:val="001A7C8B"/>
    <w:rsid w:val="001A7F67"/>
    <w:rsid w:val="001B004E"/>
    <w:rsid w:val="001B01DC"/>
    <w:rsid w:val="001B01F7"/>
    <w:rsid w:val="001B02D9"/>
    <w:rsid w:val="001B039B"/>
    <w:rsid w:val="001B03AB"/>
    <w:rsid w:val="001B04B8"/>
    <w:rsid w:val="001B055F"/>
    <w:rsid w:val="001B068A"/>
    <w:rsid w:val="001B075C"/>
    <w:rsid w:val="001B07C7"/>
    <w:rsid w:val="001B07DA"/>
    <w:rsid w:val="001B0931"/>
    <w:rsid w:val="001B0A2A"/>
    <w:rsid w:val="001B0A4B"/>
    <w:rsid w:val="001B0BCD"/>
    <w:rsid w:val="001B0C8B"/>
    <w:rsid w:val="001B0DF1"/>
    <w:rsid w:val="001B0E24"/>
    <w:rsid w:val="001B0ED4"/>
    <w:rsid w:val="001B104E"/>
    <w:rsid w:val="001B11E3"/>
    <w:rsid w:val="001B120C"/>
    <w:rsid w:val="001B13DD"/>
    <w:rsid w:val="001B1419"/>
    <w:rsid w:val="001B1594"/>
    <w:rsid w:val="001B15C4"/>
    <w:rsid w:val="001B1759"/>
    <w:rsid w:val="001B18E8"/>
    <w:rsid w:val="001B19D1"/>
    <w:rsid w:val="001B1AAC"/>
    <w:rsid w:val="001B1C4D"/>
    <w:rsid w:val="001B1C88"/>
    <w:rsid w:val="001B1D74"/>
    <w:rsid w:val="001B1D85"/>
    <w:rsid w:val="001B1F3F"/>
    <w:rsid w:val="001B1F88"/>
    <w:rsid w:val="001B2022"/>
    <w:rsid w:val="001B20F2"/>
    <w:rsid w:val="001B21B5"/>
    <w:rsid w:val="001B2422"/>
    <w:rsid w:val="001B2477"/>
    <w:rsid w:val="001B26E9"/>
    <w:rsid w:val="001B2861"/>
    <w:rsid w:val="001B2995"/>
    <w:rsid w:val="001B29D8"/>
    <w:rsid w:val="001B2A30"/>
    <w:rsid w:val="001B2A9A"/>
    <w:rsid w:val="001B2C22"/>
    <w:rsid w:val="001B2CFA"/>
    <w:rsid w:val="001B2D26"/>
    <w:rsid w:val="001B2DFC"/>
    <w:rsid w:val="001B2E05"/>
    <w:rsid w:val="001B2EB7"/>
    <w:rsid w:val="001B2ECC"/>
    <w:rsid w:val="001B2F69"/>
    <w:rsid w:val="001B3030"/>
    <w:rsid w:val="001B30D9"/>
    <w:rsid w:val="001B316C"/>
    <w:rsid w:val="001B31D8"/>
    <w:rsid w:val="001B32E4"/>
    <w:rsid w:val="001B3396"/>
    <w:rsid w:val="001B33BA"/>
    <w:rsid w:val="001B3419"/>
    <w:rsid w:val="001B34EF"/>
    <w:rsid w:val="001B355E"/>
    <w:rsid w:val="001B35B9"/>
    <w:rsid w:val="001B35D7"/>
    <w:rsid w:val="001B35F4"/>
    <w:rsid w:val="001B3613"/>
    <w:rsid w:val="001B3678"/>
    <w:rsid w:val="001B3679"/>
    <w:rsid w:val="001B36DD"/>
    <w:rsid w:val="001B3781"/>
    <w:rsid w:val="001B3791"/>
    <w:rsid w:val="001B38F0"/>
    <w:rsid w:val="001B3BAF"/>
    <w:rsid w:val="001B3BCF"/>
    <w:rsid w:val="001B3BEE"/>
    <w:rsid w:val="001B3D10"/>
    <w:rsid w:val="001B3DF3"/>
    <w:rsid w:val="001B3E1E"/>
    <w:rsid w:val="001B4001"/>
    <w:rsid w:val="001B46ED"/>
    <w:rsid w:val="001B47F4"/>
    <w:rsid w:val="001B49C3"/>
    <w:rsid w:val="001B4B0A"/>
    <w:rsid w:val="001B4D78"/>
    <w:rsid w:val="001B4EED"/>
    <w:rsid w:val="001B4F38"/>
    <w:rsid w:val="001B514D"/>
    <w:rsid w:val="001B525A"/>
    <w:rsid w:val="001B53DE"/>
    <w:rsid w:val="001B546D"/>
    <w:rsid w:val="001B54CA"/>
    <w:rsid w:val="001B5593"/>
    <w:rsid w:val="001B55ED"/>
    <w:rsid w:val="001B55F8"/>
    <w:rsid w:val="001B57E5"/>
    <w:rsid w:val="001B5867"/>
    <w:rsid w:val="001B58AD"/>
    <w:rsid w:val="001B5928"/>
    <w:rsid w:val="001B5942"/>
    <w:rsid w:val="001B5CAD"/>
    <w:rsid w:val="001B5D2A"/>
    <w:rsid w:val="001B5E14"/>
    <w:rsid w:val="001B5E1C"/>
    <w:rsid w:val="001B5E51"/>
    <w:rsid w:val="001B5F50"/>
    <w:rsid w:val="001B6071"/>
    <w:rsid w:val="001B6215"/>
    <w:rsid w:val="001B6333"/>
    <w:rsid w:val="001B65AB"/>
    <w:rsid w:val="001B65B7"/>
    <w:rsid w:val="001B65F1"/>
    <w:rsid w:val="001B68D5"/>
    <w:rsid w:val="001B6932"/>
    <w:rsid w:val="001B69CC"/>
    <w:rsid w:val="001B6B45"/>
    <w:rsid w:val="001B6BDC"/>
    <w:rsid w:val="001B6C7C"/>
    <w:rsid w:val="001B6E4E"/>
    <w:rsid w:val="001B70F1"/>
    <w:rsid w:val="001B70F5"/>
    <w:rsid w:val="001B7106"/>
    <w:rsid w:val="001B71F5"/>
    <w:rsid w:val="001B73BA"/>
    <w:rsid w:val="001B744C"/>
    <w:rsid w:val="001B75ED"/>
    <w:rsid w:val="001B7726"/>
    <w:rsid w:val="001B78FE"/>
    <w:rsid w:val="001B7928"/>
    <w:rsid w:val="001B7C78"/>
    <w:rsid w:val="001B7D4F"/>
    <w:rsid w:val="001B7D70"/>
    <w:rsid w:val="001B7DE3"/>
    <w:rsid w:val="001B7EA4"/>
    <w:rsid w:val="001B7EC3"/>
    <w:rsid w:val="001B7F82"/>
    <w:rsid w:val="001C01CD"/>
    <w:rsid w:val="001C0312"/>
    <w:rsid w:val="001C041F"/>
    <w:rsid w:val="001C04FE"/>
    <w:rsid w:val="001C0574"/>
    <w:rsid w:val="001C09B7"/>
    <w:rsid w:val="001C09EE"/>
    <w:rsid w:val="001C09FC"/>
    <w:rsid w:val="001C0AEE"/>
    <w:rsid w:val="001C0E58"/>
    <w:rsid w:val="001C0EE9"/>
    <w:rsid w:val="001C108F"/>
    <w:rsid w:val="001C10FF"/>
    <w:rsid w:val="001C119C"/>
    <w:rsid w:val="001C1269"/>
    <w:rsid w:val="001C1288"/>
    <w:rsid w:val="001C129B"/>
    <w:rsid w:val="001C138C"/>
    <w:rsid w:val="001C1399"/>
    <w:rsid w:val="001C14AF"/>
    <w:rsid w:val="001C15BB"/>
    <w:rsid w:val="001C176A"/>
    <w:rsid w:val="001C1789"/>
    <w:rsid w:val="001C1805"/>
    <w:rsid w:val="001C1842"/>
    <w:rsid w:val="001C19FF"/>
    <w:rsid w:val="001C1A70"/>
    <w:rsid w:val="001C1B19"/>
    <w:rsid w:val="001C1B7A"/>
    <w:rsid w:val="001C1BD0"/>
    <w:rsid w:val="001C1C13"/>
    <w:rsid w:val="001C1C5C"/>
    <w:rsid w:val="001C1C93"/>
    <w:rsid w:val="001C1D96"/>
    <w:rsid w:val="001C1E0C"/>
    <w:rsid w:val="001C1E67"/>
    <w:rsid w:val="001C1EC0"/>
    <w:rsid w:val="001C20CB"/>
    <w:rsid w:val="001C2225"/>
    <w:rsid w:val="001C229E"/>
    <w:rsid w:val="001C2327"/>
    <w:rsid w:val="001C23A7"/>
    <w:rsid w:val="001C24A5"/>
    <w:rsid w:val="001C24D2"/>
    <w:rsid w:val="001C2A93"/>
    <w:rsid w:val="001C2AEE"/>
    <w:rsid w:val="001C2AF5"/>
    <w:rsid w:val="001C2BD5"/>
    <w:rsid w:val="001C2BF7"/>
    <w:rsid w:val="001C2D1E"/>
    <w:rsid w:val="001C2D4B"/>
    <w:rsid w:val="001C2D97"/>
    <w:rsid w:val="001C2E42"/>
    <w:rsid w:val="001C2F2F"/>
    <w:rsid w:val="001C300F"/>
    <w:rsid w:val="001C308E"/>
    <w:rsid w:val="001C30E8"/>
    <w:rsid w:val="001C3214"/>
    <w:rsid w:val="001C324E"/>
    <w:rsid w:val="001C3256"/>
    <w:rsid w:val="001C3302"/>
    <w:rsid w:val="001C335D"/>
    <w:rsid w:val="001C3379"/>
    <w:rsid w:val="001C3397"/>
    <w:rsid w:val="001C339C"/>
    <w:rsid w:val="001C356E"/>
    <w:rsid w:val="001C35AC"/>
    <w:rsid w:val="001C35EB"/>
    <w:rsid w:val="001C36F8"/>
    <w:rsid w:val="001C3769"/>
    <w:rsid w:val="001C378A"/>
    <w:rsid w:val="001C37F0"/>
    <w:rsid w:val="001C3807"/>
    <w:rsid w:val="001C3A4C"/>
    <w:rsid w:val="001C3ABA"/>
    <w:rsid w:val="001C3B22"/>
    <w:rsid w:val="001C3B47"/>
    <w:rsid w:val="001C3B65"/>
    <w:rsid w:val="001C3C6F"/>
    <w:rsid w:val="001C3CDE"/>
    <w:rsid w:val="001C3F33"/>
    <w:rsid w:val="001C3FED"/>
    <w:rsid w:val="001C400A"/>
    <w:rsid w:val="001C408A"/>
    <w:rsid w:val="001C412A"/>
    <w:rsid w:val="001C4130"/>
    <w:rsid w:val="001C41D3"/>
    <w:rsid w:val="001C4248"/>
    <w:rsid w:val="001C42D4"/>
    <w:rsid w:val="001C431F"/>
    <w:rsid w:val="001C458C"/>
    <w:rsid w:val="001C459C"/>
    <w:rsid w:val="001C45C0"/>
    <w:rsid w:val="001C45C4"/>
    <w:rsid w:val="001C4694"/>
    <w:rsid w:val="001C46B3"/>
    <w:rsid w:val="001C4713"/>
    <w:rsid w:val="001C4766"/>
    <w:rsid w:val="001C4859"/>
    <w:rsid w:val="001C4984"/>
    <w:rsid w:val="001C4A40"/>
    <w:rsid w:val="001C4B9B"/>
    <w:rsid w:val="001C4BA0"/>
    <w:rsid w:val="001C4C41"/>
    <w:rsid w:val="001C4F68"/>
    <w:rsid w:val="001C50CF"/>
    <w:rsid w:val="001C513D"/>
    <w:rsid w:val="001C5201"/>
    <w:rsid w:val="001C5231"/>
    <w:rsid w:val="001C5263"/>
    <w:rsid w:val="001C5269"/>
    <w:rsid w:val="001C529B"/>
    <w:rsid w:val="001C5417"/>
    <w:rsid w:val="001C5532"/>
    <w:rsid w:val="001C5574"/>
    <w:rsid w:val="001C5630"/>
    <w:rsid w:val="001C5693"/>
    <w:rsid w:val="001C56F4"/>
    <w:rsid w:val="001C570E"/>
    <w:rsid w:val="001C576E"/>
    <w:rsid w:val="001C57CF"/>
    <w:rsid w:val="001C591B"/>
    <w:rsid w:val="001C595A"/>
    <w:rsid w:val="001C59D5"/>
    <w:rsid w:val="001C5BAA"/>
    <w:rsid w:val="001C5BF0"/>
    <w:rsid w:val="001C5C24"/>
    <w:rsid w:val="001C5D5B"/>
    <w:rsid w:val="001C5DF2"/>
    <w:rsid w:val="001C5E0C"/>
    <w:rsid w:val="001C5E69"/>
    <w:rsid w:val="001C5ECF"/>
    <w:rsid w:val="001C60AA"/>
    <w:rsid w:val="001C60E8"/>
    <w:rsid w:val="001C6158"/>
    <w:rsid w:val="001C62F1"/>
    <w:rsid w:val="001C6308"/>
    <w:rsid w:val="001C6311"/>
    <w:rsid w:val="001C63F6"/>
    <w:rsid w:val="001C6489"/>
    <w:rsid w:val="001C64E3"/>
    <w:rsid w:val="001C667E"/>
    <w:rsid w:val="001C6687"/>
    <w:rsid w:val="001C6749"/>
    <w:rsid w:val="001C6842"/>
    <w:rsid w:val="001C6980"/>
    <w:rsid w:val="001C6A8C"/>
    <w:rsid w:val="001C6CC9"/>
    <w:rsid w:val="001C6DF2"/>
    <w:rsid w:val="001C6E14"/>
    <w:rsid w:val="001C6F36"/>
    <w:rsid w:val="001C6FFA"/>
    <w:rsid w:val="001C7124"/>
    <w:rsid w:val="001C7180"/>
    <w:rsid w:val="001C718C"/>
    <w:rsid w:val="001C7205"/>
    <w:rsid w:val="001C728C"/>
    <w:rsid w:val="001C7379"/>
    <w:rsid w:val="001C76DA"/>
    <w:rsid w:val="001C78DF"/>
    <w:rsid w:val="001C796B"/>
    <w:rsid w:val="001C7A64"/>
    <w:rsid w:val="001C7A72"/>
    <w:rsid w:val="001C7B6B"/>
    <w:rsid w:val="001C7C29"/>
    <w:rsid w:val="001C7C88"/>
    <w:rsid w:val="001C7CEB"/>
    <w:rsid w:val="001C7E56"/>
    <w:rsid w:val="001C7EEB"/>
    <w:rsid w:val="001C7F15"/>
    <w:rsid w:val="001C7F4B"/>
    <w:rsid w:val="001C7F5B"/>
    <w:rsid w:val="001D008A"/>
    <w:rsid w:val="001D00BC"/>
    <w:rsid w:val="001D02AE"/>
    <w:rsid w:val="001D0309"/>
    <w:rsid w:val="001D0362"/>
    <w:rsid w:val="001D0369"/>
    <w:rsid w:val="001D0383"/>
    <w:rsid w:val="001D03BB"/>
    <w:rsid w:val="001D03FA"/>
    <w:rsid w:val="001D0486"/>
    <w:rsid w:val="001D04E6"/>
    <w:rsid w:val="001D0546"/>
    <w:rsid w:val="001D0583"/>
    <w:rsid w:val="001D073A"/>
    <w:rsid w:val="001D0885"/>
    <w:rsid w:val="001D09C8"/>
    <w:rsid w:val="001D0A26"/>
    <w:rsid w:val="001D0A3A"/>
    <w:rsid w:val="001D0B1D"/>
    <w:rsid w:val="001D0BC1"/>
    <w:rsid w:val="001D0F4D"/>
    <w:rsid w:val="001D0F66"/>
    <w:rsid w:val="001D0F7A"/>
    <w:rsid w:val="001D0F80"/>
    <w:rsid w:val="001D0F8B"/>
    <w:rsid w:val="001D0FA6"/>
    <w:rsid w:val="001D1112"/>
    <w:rsid w:val="001D114F"/>
    <w:rsid w:val="001D116C"/>
    <w:rsid w:val="001D12ED"/>
    <w:rsid w:val="001D139D"/>
    <w:rsid w:val="001D15D0"/>
    <w:rsid w:val="001D16BB"/>
    <w:rsid w:val="001D16CF"/>
    <w:rsid w:val="001D16FA"/>
    <w:rsid w:val="001D184A"/>
    <w:rsid w:val="001D185F"/>
    <w:rsid w:val="001D1874"/>
    <w:rsid w:val="001D19F4"/>
    <w:rsid w:val="001D1A6A"/>
    <w:rsid w:val="001D1ACF"/>
    <w:rsid w:val="001D1B1B"/>
    <w:rsid w:val="001D1BAC"/>
    <w:rsid w:val="001D1C2A"/>
    <w:rsid w:val="001D1C9A"/>
    <w:rsid w:val="001D1DA2"/>
    <w:rsid w:val="001D1E05"/>
    <w:rsid w:val="001D1E21"/>
    <w:rsid w:val="001D1FB3"/>
    <w:rsid w:val="001D21A5"/>
    <w:rsid w:val="001D22E5"/>
    <w:rsid w:val="001D230F"/>
    <w:rsid w:val="001D235B"/>
    <w:rsid w:val="001D237E"/>
    <w:rsid w:val="001D23CC"/>
    <w:rsid w:val="001D256C"/>
    <w:rsid w:val="001D271B"/>
    <w:rsid w:val="001D2806"/>
    <w:rsid w:val="001D2897"/>
    <w:rsid w:val="001D291E"/>
    <w:rsid w:val="001D29B0"/>
    <w:rsid w:val="001D29E6"/>
    <w:rsid w:val="001D2BC3"/>
    <w:rsid w:val="001D2C02"/>
    <w:rsid w:val="001D2CED"/>
    <w:rsid w:val="001D2E61"/>
    <w:rsid w:val="001D2F14"/>
    <w:rsid w:val="001D317B"/>
    <w:rsid w:val="001D3226"/>
    <w:rsid w:val="001D325F"/>
    <w:rsid w:val="001D32F0"/>
    <w:rsid w:val="001D33C6"/>
    <w:rsid w:val="001D33F9"/>
    <w:rsid w:val="001D3420"/>
    <w:rsid w:val="001D3426"/>
    <w:rsid w:val="001D342E"/>
    <w:rsid w:val="001D34A1"/>
    <w:rsid w:val="001D3501"/>
    <w:rsid w:val="001D3643"/>
    <w:rsid w:val="001D36AC"/>
    <w:rsid w:val="001D395C"/>
    <w:rsid w:val="001D39B1"/>
    <w:rsid w:val="001D3A45"/>
    <w:rsid w:val="001D3AB5"/>
    <w:rsid w:val="001D3ADC"/>
    <w:rsid w:val="001D3C07"/>
    <w:rsid w:val="001D3D08"/>
    <w:rsid w:val="001D3D4F"/>
    <w:rsid w:val="001D3D52"/>
    <w:rsid w:val="001D3D9D"/>
    <w:rsid w:val="001D3DCE"/>
    <w:rsid w:val="001D3DEC"/>
    <w:rsid w:val="001D3E62"/>
    <w:rsid w:val="001D3ED9"/>
    <w:rsid w:val="001D3EEE"/>
    <w:rsid w:val="001D3FD2"/>
    <w:rsid w:val="001D3FFB"/>
    <w:rsid w:val="001D4089"/>
    <w:rsid w:val="001D40D5"/>
    <w:rsid w:val="001D4271"/>
    <w:rsid w:val="001D428D"/>
    <w:rsid w:val="001D4553"/>
    <w:rsid w:val="001D4722"/>
    <w:rsid w:val="001D4803"/>
    <w:rsid w:val="001D4871"/>
    <w:rsid w:val="001D4ACF"/>
    <w:rsid w:val="001D4AF9"/>
    <w:rsid w:val="001D4C2A"/>
    <w:rsid w:val="001D4C4A"/>
    <w:rsid w:val="001D4C63"/>
    <w:rsid w:val="001D4DA8"/>
    <w:rsid w:val="001D4FE2"/>
    <w:rsid w:val="001D5045"/>
    <w:rsid w:val="001D5105"/>
    <w:rsid w:val="001D5357"/>
    <w:rsid w:val="001D5372"/>
    <w:rsid w:val="001D5460"/>
    <w:rsid w:val="001D5580"/>
    <w:rsid w:val="001D5684"/>
    <w:rsid w:val="001D5A1C"/>
    <w:rsid w:val="001D5A7E"/>
    <w:rsid w:val="001D5AE5"/>
    <w:rsid w:val="001D5B78"/>
    <w:rsid w:val="001D5D33"/>
    <w:rsid w:val="001D5E31"/>
    <w:rsid w:val="001D5F06"/>
    <w:rsid w:val="001D5F73"/>
    <w:rsid w:val="001D5FCC"/>
    <w:rsid w:val="001D6170"/>
    <w:rsid w:val="001D61B6"/>
    <w:rsid w:val="001D624A"/>
    <w:rsid w:val="001D62DE"/>
    <w:rsid w:val="001D6352"/>
    <w:rsid w:val="001D6364"/>
    <w:rsid w:val="001D6388"/>
    <w:rsid w:val="001D63C8"/>
    <w:rsid w:val="001D6675"/>
    <w:rsid w:val="001D68DC"/>
    <w:rsid w:val="001D6930"/>
    <w:rsid w:val="001D6940"/>
    <w:rsid w:val="001D69D0"/>
    <w:rsid w:val="001D6A55"/>
    <w:rsid w:val="001D6A73"/>
    <w:rsid w:val="001D6BF7"/>
    <w:rsid w:val="001D6CFC"/>
    <w:rsid w:val="001D6E7A"/>
    <w:rsid w:val="001D6E81"/>
    <w:rsid w:val="001D6EF6"/>
    <w:rsid w:val="001D6EFF"/>
    <w:rsid w:val="001D6F38"/>
    <w:rsid w:val="001D6FC8"/>
    <w:rsid w:val="001D702C"/>
    <w:rsid w:val="001D7154"/>
    <w:rsid w:val="001D723D"/>
    <w:rsid w:val="001D7271"/>
    <w:rsid w:val="001D742B"/>
    <w:rsid w:val="001D75E4"/>
    <w:rsid w:val="001D7651"/>
    <w:rsid w:val="001D7750"/>
    <w:rsid w:val="001D7AE1"/>
    <w:rsid w:val="001D7B11"/>
    <w:rsid w:val="001D7BFC"/>
    <w:rsid w:val="001D7C14"/>
    <w:rsid w:val="001D7D5B"/>
    <w:rsid w:val="001D7D8F"/>
    <w:rsid w:val="001D7D91"/>
    <w:rsid w:val="001E01D0"/>
    <w:rsid w:val="001E021B"/>
    <w:rsid w:val="001E0245"/>
    <w:rsid w:val="001E02F9"/>
    <w:rsid w:val="001E034A"/>
    <w:rsid w:val="001E03F0"/>
    <w:rsid w:val="001E040E"/>
    <w:rsid w:val="001E04A6"/>
    <w:rsid w:val="001E05A7"/>
    <w:rsid w:val="001E0688"/>
    <w:rsid w:val="001E0716"/>
    <w:rsid w:val="001E08A1"/>
    <w:rsid w:val="001E08B7"/>
    <w:rsid w:val="001E0971"/>
    <w:rsid w:val="001E0C44"/>
    <w:rsid w:val="001E0CBB"/>
    <w:rsid w:val="001E0D2E"/>
    <w:rsid w:val="001E0DAC"/>
    <w:rsid w:val="001E0DD9"/>
    <w:rsid w:val="001E0F28"/>
    <w:rsid w:val="001E12B4"/>
    <w:rsid w:val="001E14F2"/>
    <w:rsid w:val="001E1883"/>
    <w:rsid w:val="001E1AB5"/>
    <w:rsid w:val="001E1BEE"/>
    <w:rsid w:val="001E1C43"/>
    <w:rsid w:val="001E1D8A"/>
    <w:rsid w:val="001E1FB3"/>
    <w:rsid w:val="001E1FBB"/>
    <w:rsid w:val="001E2015"/>
    <w:rsid w:val="001E209A"/>
    <w:rsid w:val="001E20DA"/>
    <w:rsid w:val="001E20DC"/>
    <w:rsid w:val="001E20E8"/>
    <w:rsid w:val="001E2127"/>
    <w:rsid w:val="001E214A"/>
    <w:rsid w:val="001E222E"/>
    <w:rsid w:val="001E22FF"/>
    <w:rsid w:val="001E2301"/>
    <w:rsid w:val="001E2492"/>
    <w:rsid w:val="001E2550"/>
    <w:rsid w:val="001E2560"/>
    <w:rsid w:val="001E25E9"/>
    <w:rsid w:val="001E2698"/>
    <w:rsid w:val="001E26B6"/>
    <w:rsid w:val="001E26CE"/>
    <w:rsid w:val="001E26D3"/>
    <w:rsid w:val="001E27BD"/>
    <w:rsid w:val="001E29C1"/>
    <w:rsid w:val="001E29EA"/>
    <w:rsid w:val="001E2B14"/>
    <w:rsid w:val="001E2B98"/>
    <w:rsid w:val="001E2C4C"/>
    <w:rsid w:val="001E2C60"/>
    <w:rsid w:val="001E2D8B"/>
    <w:rsid w:val="001E2DFD"/>
    <w:rsid w:val="001E2E09"/>
    <w:rsid w:val="001E2F2D"/>
    <w:rsid w:val="001E30E4"/>
    <w:rsid w:val="001E3185"/>
    <w:rsid w:val="001E321D"/>
    <w:rsid w:val="001E3370"/>
    <w:rsid w:val="001E3380"/>
    <w:rsid w:val="001E3414"/>
    <w:rsid w:val="001E345D"/>
    <w:rsid w:val="001E3653"/>
    <w:rsid w:val="001E36F3"/>
    <w:rsid w:val="001E373F"/>
    <w:rsid w:val="001E374A"/>
    <w:rsid w:val="001E3782"/>
    <w:rsid w:val="001E3876"/>
    <w:rsid w:val="001E394D"/>
    <w:rsid w:val="001E39FA"/>
    <w:rsid w:val="001E3A62"/>
    <w:rsid w:val="001E3A7E"/>
    <w:rsid w:val="001E3B05"/>
    <w:rsid w:val="001E3B0A"/>
    <w:rsid w:val="001E3B25"/>
    <w:rsid w:val="001E3B65"/>
    <w:rsid w:val="001E3B7B"/>
    <w:rsid w:val="001E3C2C"/>
    <w:rsid w:val="001E3CF3"/>
    <w:rsid w:val="001E3DA3"/>
    <w:rsid w:val="001E3EE0"/>
    <w:rsid w:val="001E3EE8"/>
    <w:rsid w:val="001E3F2D"/>
    <w:rsid w:val="001E4088"/>
    <w:rsid w:val="001E40EB"/>
    <w:rsid w:val="001E4347"/>
    <w:rsid w:val="001E445E"/>
    <w:rsid w:val="001E44CD"/>
    <w:rsid w:val="001E44E9"/>
    <w:rsid w:val="001E45F5"/>
    <w:rsid w:val="001E4631"/>
    <w:rsid w:val="001E4660"/>
    <w:rsid w:val="001E46AB"/>
    <w:rsid w:val="001E485F"/>
    <w:rsid w:val="001E4930"/>
    <w:rsid w:val="001E4959"/>
    <w:rsid w:val="001E4975"/>
    <w:rsid w:val="001E4999"/>
    <w:rsid w:val="001E49C3"/>
    <w:rsid w:val="001E4A08"/>
    <w:rsid w:val="001E4A32"/>
    <w:rsid w:val="001E4BFB"/>
    <w:rsid w:val="001E4CDA"/>
    <w:rsid w:val="001E4D5A"/>
    <w:rsid w:val="001E4DD0"/>
    <w:rsid w:val="001E4FC9"/>
    <w:rsid w:val="001E5033"/>
    <w:rsid w:val="001E5151"/>
    <w:rsid w:val="001E5239"/>
    <w:rsid w:val="001E523B"/>
    <w:rsid w:val="001E5252"/>
    <w:rsid w:val="001E5264"/>
    <w:rsid w:val="001E5271"/>
    <w:rsid w:val="001E5279"/>
    <w:rsid w:val="001E5339"/>
    <w:rsid w:val="001E53FA"/>
    <w:rsid w:val="001E54DA"/>
    <w:rsid w:val="001E56AF"/>
    <w:rsid w:val="001E5819"/>
    <w:rsid w:val="001E584D"/>
    <w:rsid w:val="001E5866"/>
    <w:rsid w:val="001E59E3"/>
    <w:rsid w:val="001E5AF5"/>
    <w:rsid w:val="001E5B5E"/>
    <w:rsid w:val="001E5D7C"/>
    <w:rsid w:val="001E5E41"/>
    <w:rsid w:val="001E5E45"/>
    <w:rsid w:val="001E5E66"/>
    <w:rsid w:val="001E60FC"/>
    <w:rsid w:val="001E62AF"/>
    <w:rsid w:val="001E62EB"/>
    <w:rsid w:val="001E65B1"/>
    <w:rsid w:val="001E6640"/>
    <w:rsid w:val="001E66A3"/>
    <w:rsid w:val="001E68C5"/>
    <w:rsid w:val="001E68E6"/>
    <w:rsid w:val="001E68E7"/>
    <w:rsid w:val="001E6954"/>
    <w:rsid w:val="001E69A0"/>
    <w:rsid w:val="001E6BA7"/>
    <w:rsid w:val="001E6BF4"/>
    <w:rsid w:val="001E6D7A"/>
    <w:rsid w:val="001E6DF7"/>
    <w:rsid w:val="001E6EAA"/>
    <w:rsid w:val="001E6F4A"/>
    <w:rsid w:val="001E7046"/>
    <w:rsid w:val="001E70A7"/>
    <w:rsid w:val="001E70FA"/>
    <w:rsid w:val="001E7132"/>
    <w:rsid w:val="001E7141"/>
    <w:rsid w:val="001E714A"/>
    <w:rsid w:val="001E7266"/>
    <w:rsid w:val="001E72A0"/>
    <w:rsid w:val="001E72CF"/>
    <w:rsid w:val="001E7539"/>
    <w:rsid w:val="001E797C"/>
    <w:rsid w:val="001E7BEC"/>
    <w:rsid w:val="001E7EF1"/>
    <w:rsid w:val="001E7EF4"/>
    <w:rsid w:val="001E7F36"/>
    <w:rsid w:val="001F003F"/>
    <w:rsid w:val="001F00F6"/>
    <w:rsid w:val="001F010F"/>
    <w:rsid w:val="001F011D"/>
    <w:rsid w:val="001F01F6"/>
    <w:rsid w:val="001F0378"/>
    <w:rsid w:val="001F0581"/>
    <w:rsid w:val="001F06D6"/>
    <w:rsid w:val="001F070E"/>
    <w:rsid w:val="001F082C"/>
    <w:rsid w:val="001F087A"/>
    <w:rsid w:val="001F087E"/>
    <w:rsid w:val="001F08CE"/>
    <w:rsid w:val="001F0A76"/>
    <w:rsid w:val="001F0B19"/>
    <w:rsid w:val="001F0C83"/>
    <w:rsid w:val="001F0F30"/>
    <w:rsid w:val="001F0FAF"/>
    <w:rsid w:val="001F0FED"/>
    <w:rsid w:val="001F1258"/>
    <w:rsid w:val="001F1276"/>
    <w:rsid w:val="001F128C"/>
    <w:rsid w:val="001F1397"/>
    <w:rsid w:val="001F13A7"/>
    <w:rsid w:val="001F1403"/>
    <w:rsid w:val="001F1578"/>
    <w:rsid w:val="001F1593"/>
    <w:rsid w:val="001F16AB"/>
    <w:rsid w:val="001F1787"/>
    <w:rsid w:val="001F1BF8"/>
    <w:rsid w:val="001F1DBE"/>
    <w:rsid w:val="001F1EA4"/>
    <w:rsid w:val="001F1F4F"/>
    <w:rsid w:val="001F206A"/>
    <w:rsid w:val="001F20BF"/>
    <w:rsid w:val="001F21C9"/>
    <w:rsid w:val="001F220F"/>
    <w:rsid w:val="001F22B9"/>
    <w:rsid w:val="001F22D1"/>
    <w:rsid w:val="001F2330"/>
    <w:rsid w:val="001F238B"/>
    <w:rsid w:val="001F23D1"/>
    <w:rsid w:val="001F23E0"/>
    <w:rsid w:val="001F240E"/>
    <w:rsid w:val="001F243F"/>
    <w:rsid w:val="001F269F"/>
    <w:rsid w:val="001F273C"/>
    <w:rsid w:val="001F2880"/>
    <w:rsid w:val="001F28AD"/>
    <w:rsid w:val="001F28B8"/>
    <w:rsid w:val="001F29C2"/>
    <w:rsid w:val="001F2A8C"/>
    <w:rsid w:val="001F2B1B"/>
    <w:rsid w:val="001F2BD3"/>
    <w:rsid w:val="001F2C21"/>
    <w:rsid w:val="001F2C24"/>
    <w:rsid w:val="001F2C7B"/>
    <w:rsid w:val="001F2D5F"/>
    <w:rsid w:val="001F2E20"/>
    <w:rsid w:val="001F2FC0"/>
    <w:rsid w:val="001F30BB"/>
    <w:rsid w:val="001F318E"/>
    <w:rsid w:val="001F3260"/>
    <w:rsid w:val="001F328E"/>
    <w:rsid w:val="001F32E8"/>
    <w:rsid w:val="001F33C4"/>
    <w:rsid w:val="001F3467"/>
    <w:rsid w:val="001F361D"/>
    <w:rsid w:val="001F3643"/>
    <w:rsid w:val="001F364E"/>
    <w:rsid w:val="001F3772"/>
    <w:rsid w:val="001F38BE"/>
    <w:rsid w:val="001F39A6"/>
    <w:rsid w:val="001F39F9"/>
    <w:rsid w:val="001F3B32"/>
    <w:rsid w:val="001F3BA3"/>
    <w:rsid w:val="001F3C10"/>
    <w:rsid w:val="001F3D1A"/>
    <w:rsid w:val="001F3DF7"/>
    <w:rsid w:val="001F3E3A"/>
    <w:rsid w:val="001F3EB1"/>
    <w:rsid w:val="001F3FC0"/>
    <w:rsid w:val="001F4068"/>
    <w:rsid w:val="001F4139"/>
    <w:rsid w:val="001F418D"/>
    <w:rsid w:val="001F4281"/>
    <w:rsid w:val="001F42F8"/>
    <w:rsid w:val="001F4335"/>
    <w:rsid w:val="001F46A4"/>
    <w:rsid w:val="001F46C7"/>
    <w:rsid w:val="001F4B0A"/>
    <w:rsid w:val="001F4F7D"/>
    <w:rsid w:val="001F51D7"/>
    <w:rsid w:val="001F52E9"/>
    <w:rsid w:val="001F5316"/>
    <w:rsid w:val="001F533F"/>
    <w:rsid w:val="001F5382"/>
    <w:rsid w:val="001F540C"/>
    <w:rsid w:val="001F543C"/>
    <w:rsid w:val="001F5535"/>
    <w:rsid w:val="001F5567"/>
    <w:rsid w:val="001F563E"/>
    <w:rsid w:val="001F56F5"/>
    <w:rsid w:val="001F5939"/>
    <w:rsid w:val="001F5961"/>
    <w:rsid w:val="001F59C4"/>
    <w:rsid w:val="001F5BE3"/>
    <w:rsid w:val="001F5C0A"/>
    <w:rsid w:val="001F5E3F"/>
    <w:rsid w:val="001F5EA3"/>
    <w:rsid w:val="001F5EF9"/>
    <w:rsid w:val="001F5F1D"/>
    <w:rsid w:val="001F5F1F"/>
    <w:rsid w:val="001F5F4A"/>
    <w:rsid w:val="001F5FB2"/>
    <w:rsid w:val="001F60AC"/>
    <w:rsid w:val="001F6236"/>
    <w:rsid w:val="001F6279"/>
    <w:rsid w:val="001F636B"/>
    <w:rsid w:val="001F6582"/>
    <w:rsid w:val="001F65B5"/>
    <w:rsid w:val="001F67A9"/>
    <w:rsid w:val="001F683A"/>
    <w:rsid w:val="001F68D8"/>
    <w:rsid w:val="001F6A76"/>
    <w:rsid w:val="001F6A8B"/>
    <w:rsid w:val="001F6AFC"/>
    <w:rsid w:val="001F6B64"/>
    <w:rsid w:val="001F6B73"/>
    <w:rsid w:val="001F6B76"/>
    <w:rsid w:val="001F6B8A"/>
    <w:rsid w:val="001F6C7F"/>
    <w:rsid w:val="001F6CD3"/>
    <w:rsid w:val="001F6D88"/>
    <w:rsid w:val="001F6EAD"/>
    <w:rsid w:val="001F6F5C"/>
    <w:rsid w:val="001F6FF1"/>
    <w:rsid w:val="001F70C3"/>
    <w:rsid w:val="001F70F5"/>
    <w:rsid w:val="001F714D"/>
    <w:rsid w:val="001F720C"/>
    <w:rsid w:val="001F7234"/>
    <w:rsid w:val="001F749F"/>
    <w:rsid w:val="001F768A"/>
    <w:rsid w:val="001F784E"/>
    <w:rsid w:val="001F7863"/>
    <w:rsid w:val="001F78C2"/>
    <w:rsid w:val="001F7AE5"/>
    <w:rsid w:val="001F7AFD"/>
    <w:rsid w:val="001F7BC6"/>
    <w:rsid w:val="001F7D3E"/>
    <w:rsid w:val="001F7D9C"/>
    <w:rsid w:val="001F7DC3"/>
    <w:rsid w:val="001F7E38"/>
    <w:rsid w:val="001F7FD8"/>
    <w:rsid w:val="0020000D"/>
    <w:rsid w:val="00200101"/>
    <w:rsid w:val="00200163"/>
    <w:rsid w:val="0020020D"/>
    <w:rsid w:val="0020026F"/>
    <w:rsid w:val="002003E7"/>
    <w:rsid w:val="0020049A"/>
    <w:rsid w:val="002005D5"/>
    <w:rsid w:val="00200610"/>
    <w:rsid w:val="002006B1"/>
    <w:rsid w:val="002006F5"/>
    <w:rsid w:val="0020077C"/>
    <w:rsid w:val="00200800"/>
    <w:rsid w:val="00200AE0"/>
    <w:rsid w:val="00200B88"/>
    <w:rsid w:val="00200D18"/>
    <w:rsid w:val="00200DF7"/>
    <w:rsid w:val="00200EAC"/>
    <w:rsid w:val="00200F0C"/>
    <w:rsid w:val="00200F69"/>
    <w:rsid w:val="0020139F"/>
    <w:rsid w:val="002013DC"/>
    <w:rsid w:val="002013DD"/>
    <w:rsid w:val="002013FE"/>
    <w:rsid w:val="0020149D"/>
    <w:rsid w:val="002014CC"/>
    <w:rsid w:val="002015A4"/>
    <w:rsid w:val="002016E7"/>
    <w:rsid w:val="002016E8"/>
    <w:rsid w:val="0020180F"/>
    <w:rsid w:val="002018EC"/>
    <w:rsid w:val="00201A63"/>
    <w:rsid w:val="00201AAC"/>
    <w:rsid w:val="00201B18"/>
    <w:rsid w:val="00201D2B"/>
    <w:rsid w:val="00201DE3"/>
    <w:rsid w:val="00201E2F"/>
    <w:rsid w:val="00201EC8"/>
    <w:rsid w:val="00202033"/>
    <w:rsid w:val="002021EB"/>
    <w:rsid w:val="002021FC"/>
    <w:rsid w:val="0020223B"/>
    <w:rsid w:val="00202325"/>
    <w:rsid w:val="00202345"/>
    <w:rsid w:val="00202407"/>
    <w:rsid w:val="00202471"/>
    <w:rsid w:val="002024D7"/>
    <w:rsid w:val="00202573"/>
    <w:rsid w:val="002027DD"/>
    <w:rsid w:val="0020287A"/>
    <w:rsid w:val="00202976"/>
    <w:rsid w:val="00202A30"/>
    <w:rsid w:val="00202A4B"/>
    <w:rsid w:val="00202ACC"/>
    <w:rsid w:val="00202B6F"/>
    <w:rsid w:val="00202DFB"/>
    <w:rsid w:val="00202E9E"/>
    <w:rsid w:val="00202F3F"/>
    <w:rsid w:val="00202F79"/>
    <w:rsid w:val="00203001"/>
    <w:rsid w:val="0020314D"/>
    <w:rsid w:val="002032E5"/>
    <w:rsid w:val="0020335B"/>
    <w:rsid w:val="002034D7"/>
    <w:rsid w:val="002034E1"/>
    <w:rsid w:val="002036FF"/>
    <w:rsid w:val="00203743"/>
    <w:rsid w:val="002039A5"/>
    <w:rsid w:val="00203A1C"/>
    <w:rsid w:val="00203A53"/>
    <w:rsid w:val="00203C51"/>
    <w:rsid w:val="00203E17"/>
    <w:rsid w:val="00203E76"/>
    <w:rsid w:val="00203EF2"/>
    <w:rsid w:val="00203F84"/>
    <w:rsid w:val="0020400E"/>
    <w:rsid w:val="0020407B"/>
    <w:rsid w:val="002040D2"/>
    <w:rsid w:val="00204143"/>
    <w:rsid w:val="002041DE"/>
    <w:rsid w:val="0020434E"/>
    <w:rsid w:val="0020447E"/>
    <w:rsid w:val="0020449A"/>
    <w:rsid w:val="002044BE"/>
    <w:rsid w:val="0020457C"/>
    <w:rsid w:val="002046FA"/>
    <w:rsid w:val="002046FF"/>
    <w:rsid w:val="0020475D"/>
    <w:rsid w:val="0020477E"/>
    <w:rsid w:val="002047AF"/>
    <w:rsid w:val="00204884"/>
    <w:rsid w:val="0020488F"/>
    <w:rsid w:val="0020493B"/>
    <w:rsid w:val="002049A4"/>
    <w:rsid w:val="00204C24"/>
    <w:rsid w:val="00204CAB"/>
    <w:rsid w:val="00204E62"/>
    <w:rsid w:val="00204E7F"/>
    <w:rsid w:val="00204F4F"/>
    <w:rsid w:val="00204F8A"/>
    <w:rsid w:val="0020501D"/>
    <w:rsid w:val="00205172"/>
    <w:rsid w:val="00205299"/>
    <w:rsid w:val="002052C9"/>
    <w:rsid w:val="00205460"/>
    <w:rsid w:val="0020547F"/>
    <w:rsid w:val="00205612"/>
    <w:rsid w:val="0020567E"/>
    <w:rsid w:val="00205721"/>
    <w:rsid w:val="0020578B"/>
    <w:rsid w:val="00205797"/>
    <w:rsid w:val="00205953"/>
    <w:rsid w:val="00205A5C"/>
    <w:rsid w:val="00205AE9"/>
    <w:rsid w:val="00205B22"/>
    <w:rsid w:val="00205B61"/>
    <w:rsid w:val="00205BC3"/>
    <w:rsid w:val="00205C78"/>
    <w:rsid w:val="00205F0A"/>
    <w:rsid w:val="00205FBD"/>
    <w:rsid w:val="00205FEB"/>
    <w:rsid w:val="00206030"/>
    <w:rsid w:val="00206073"/>
    <w:rsid w:val="0020608F"/>
    <w:rsid w:val="00206218"/>
    <w:rsid w:val="0020627B"/>
    <w:rsid w:val="00206317"/>
    <w:rsid w:val="002063CF"/>
    <w:rsid w:val="00206594"/>
    <w:rsid w:val="0020660D"/>
    <w:rsid w:val="00206735"/>
    <w:rsid w:val="0020673F"/>
    <w:rsid w:val="00206863"/>
    <w:rsid w:val="002068C7"/>
    <w:rsid w:val="0020699C"/>
    <w:rsid w:val="00206A22"/>
    <w:rsid w:val="00206AEA"/>
    <w:rsid w:val="00206AEB"/>
    <w:rsid w:val="00206D3D"/>
    <w:rsid w:val="00206D51"/>
    <w:rsid w:val="00206DC7"/>
    <w:rsid w:val="00207011"/>
    <w:rsid w:val="00207117"/>
    <w:rsid w:val="0020716F"/>
    <w:rsid w:val="00207238"/>
    <w:rsid w:val="002072AD"/>
    <w:rsid w:val="002072CF"/>
    <w:rsid w:val="002072D1"/>
    <w:rsid w:val="0020731A"/>
    <w:rsid w:val="002073FA"/>
    <w:rsid w:val="0020745A"/>
    <w:rsid w:val="0020746D"/>
    <w:rsid w:val="00207521"/>
    <w:rsid w:val="00207523"/>
    <w:rsid w:val="00207537"/>
    <w:rsid w:val="00207762"/>
    <w:rsid w:val="00207789"/>
    <w:rsid w:val="002077F7"/>
    <w:rsid w:val="00207842"/>
    <w:rsid w:val="0020786E"/>
    <w:rsid w:val="00207905"/>
    <w:rsid w:val="00207A5B"/>
    <w:rsid w:val="00207B66"/>
    <w:rsid w:val="00207BBD"/>
    <w:rsid w:val="00207C44"/>
    <w:rsid w:val="00207C9A"/>
    <w:rsid w:val="00207D55"/>
    <w:rsid w:val="00207D64"/>
    <w:rsid w:val="00207EEC"/>
    <w:rsid w:val="00207EEF"/>
    <w:rsid w:val="00207FFA"/>
    <w:rsid w:val="00210023"/>
    <w:rsid w:val="0021006F"/>
    <w:rsid w:val="002100BC"/>
    <w:rsid w:val="002100E0"/>
    <w:rsid w:val="0021018A"/>
    <w:rsid w:val="0021025D"/>
    <w:rsid w:val="00210402"/>
    <w:rsid w:val="00210515"/>
    <w:rsid w:val="0021059C"/>
    <w:rsid w:val="002105BE"/>
    <w:rsid w:val="002105FA"/>
    <w:rsid w:val="00210616"/>
    <w:rsid w:val="002106AA"/>
    <w:rsid w:val="0021073F"/>
    <w:rsid w:val="00210744"/>
    <w:rsid w:val="00210773"/>
    <w:rsid w:val="002107A7"/>
    <w:rsid w:val="0021092D"/>
    <w:rsid w:val="0021092F"/>
    <w:rsid w:val="0021097A"/>
    <w:rsid w:val="00210AA2"/>
    <w:rsid w:val="00210C22"/>
    <w:rsid w:val="00210C45"/>
    <w:rsid w:val="00210E63"/>
    <w:rsid w:val="00211081"/>
    <w:rsid w:val="0021109D"/>
    <w:rsid w:val="002110DC"/>
    <w:rsid w:val="002110E0"/>
    <w:rsid w:val="002110F1"/>
    <w:rsid w:val="0021130D"/>
    <w:rsid w:val="00211356"/>
    <w:rsid w:val="00211446"/>
    <w:rsid w:val="00211522"/>
    <w:rsid w:val="0021159B"/>
    <w:rsid w:val="002116F6"/>
    <w:rsid w:val="0021175B"/>
    <w:rsid w:val="002117E0"/>
    <w:rsid w:val="00211840"/>
    <w:rsid w:val="002118C4"/>
    <w:rsid w:val="002119FD"/>
    <w:rsid w:val="00211A2F"/>
    <w:rsid w:val="00211ADE"/>
    <w:rsid w:val="00211BDD"/>
    <w:rsid w:val="00211C00"/>
    <w:rsid w:val="00211D06"/>
    <w:rsid w:val="00211D95"/>
    <w:rsid w:val="00211EE3"/>
    <w:rsid w:val="00211F70"/>
    <w:rsid w:val="0021201B"/>
    <w:rsid w:val="00212159"/>
    <w:rsid w:val="00212190"/>
    <w:rsid w:val="00212270"/>
    <w:rsid w:val="002122A6"/>
    <w:rsid w:val="00212312"/>
    <w:rsid w:val="0021236A"/>
    <w:rsid w:val="002126EC"/>
    <w:rsid w:val="00212889"/>
    <w:rsid w:val="00212A92"/>
    <w:rsid w:val="00212A93"/>
    <w:rsid w:val="00212B03"/>
    <w:rsid w:val="00212B3C"/>
    <w:rsid w:val="00212BC8"/>
    <w:rsid w:val="00212CF0"/>
    <w:rsid w:val="00212EAB"/>
    <w:rsid w:val="00212EAF"/>
    <w:rsid w:val="00213027"/>
    <w:rsid w:val="0021317E"/>
    <w:rsid w:val="002131ED"/>
    <w:rsid w:val="0021325A"/>
    <w:rsid w:val="0021327A"/>
    <w:rsid w:val="002133DC"/>
    <w:rsid w:val="0021341C"/>
    <w:rsid w:val="0021342A"/>
    <w:rsid w:val="002134F5"/>
    <w:rsid w:val="0021383B"/>
    <w:rsid w:val="0021385F"/>
    <w:rsid w:val="00213ABC"/>
    <w:rsid w:val="00213BD6"/>
    <w:rsid w:val="00213CA5"/>
    <w:rsid w:val="00213DA7"/>
    <w:rsid w:val="00214024"/>
    <w:rsid w:val="00214109"/>
    <w:rsid w:val="0021415B"/>
    <w:rsid w:val="002141D9"/>
    <w:rsid w:val="0021421F"/>
    <w:rsid w:val="0021441C"/>
    <w:rsid w:val="00214497"/>
    <w:rsid w:val="002145A8"/>
    <w:rsid w:val="002145C6"/>
    <w:rsid w:val="002145CF"/>
    <w:rsid w:val="002146CD"/>
    <w:rsid w:val="002146EE"/>
    <w:rsid w:val="00214934"/>
    <w:rsid w:val="00214962"/>
    <w:rsid w:val="00214A60"/>
    <w:rsid w:val="00214A72"/>
    <w:rsid w:val="00214B8E"/>
    <w:rsid w:val="00214BEC"/>
    <w:rsid w:val="00214C96"/>
    <w:rsid w:val="00214D80"/>
    <w:rsid w:val="00214D96"/>
    <w:rsid w:val="00214F9C"/>
    <w:rsid w:val="002154E6"/>
    <w:rsid w:val="002154E8"/>
    <w:rsid w:val="00215667"/>
    <w:rsid w:val="00215977"/>
    <w:rsid w:val="002159E8"/>
    <w:rsid w:val="00215B5E"/>
    <w:rsid w:val="00215C83"/>
    <w:rsid w:val="00215C84"/>
    <w:rsid w:val="00215E46"/>
    <w:rsid w:val="00215ED3"/>
    <w:rsid w:val="00215F39"/>
    <w:rsid w:val="00215FBB"/>
    <w:rsid w:val="002160DA"/>
    <w:rsid w:val="00216186"/>
    <w:rsid w:val="002164C0"/>
    <w:rsid w:val="00216555"/>
    <w:rsid w:val="0021668D"/>
    <w:rsid w:val="0021676B"/>
    <w:rsid w:val="002168D2"/>
    <w:rsid w:val="00216990"/>
    <w:rsid w:val="00216A6D"/>
    <w:rsid w:val="00216A8B"/>
    <w:rsid w:val="00216BE3"/>
    <w:rsid w:val="00216C9B"/>
    <w:rsid w:val="00216E6F"/>
    <w:rsid w:val="00216F2B"/>
    <w:rsid w:val="002170C6"/>
    <w:rsid w:val="002170C8"/>
    <w:rsid w:val="00217293"/>
    <w:rsid w:val="00217346"/>
    <w:rsid w:val="00217393"/>
    <w:rsid w:val="002173B9"/>
    <w:rsid w:val="00217580"/>
    <w:rsid w:val="002175AD"/>
    <w:rsid w:val="00217673"/>
    <w:rsid w:val="00217685"/>
    <w:rsid w:val="00217704"/>
    <w:rsid w:val="0021774A"/>
    <w:rsid w:val="00217784"/>
    <w:rsid w:val="0021778E"/>
    <w:rsid w:val="002177A7"/>
    <w:rsid w:val="002177DA"/>
    <w:rsid w:val="00217912"/>
    <w:rsid w:val="00217989"/>
    <w:rsid w:val="00217A23"/>
    <w:rsid w:val="00217A26"/>
    <w:rsid w:val="00217ABB"/>
    <w:rsid w:val="00217B32"/>
    <w:rsid w:val="00217B35"/>
    <w:rsid w:val="00217C5D"/>
    <w:rsid w:val="00217C7C"/>
    <w:rsid w:val="00217CA8"/>
    <w:rsid w:val="00217D49"/>
    <w:rsid w:val="00217DCF"/>
    <w:rsid w:val="00217E70"/>
    <w:rsid w:val="00217EBF"/>
    <w:rsid w:val="002201D4"/>
    <w:rsid w:val="0022026A"/>
    <w:rsid w:val="00220283"/>
    <w:rsid w:val="002202F1"/>
    <w:rsid w:val="00220386"/>
    <w:rsid w:val="002204D9"/>
    <w:rsid w:val="00220542"/>
    <w:rsid w:val="00220545"/>
    <w:rsid w:val="002205F3"/>
    <w:rsid w:val="00220616"/>
    <w:rsid w:val="00220784"/>
    <w:rsid w:val="00220950"/>
    <w:rsid w:val="00220A55"/>
    <w:rsid w:val="00220C9D"/>
    <w:rsid w:val="00220E01"/>
    <w:rsid w:val="00220E58"/>
    <w:rsid w:val="00220ECD"/>
    <w:rsid w:val="00220EDE"/>
    <w:rsid w:val="00220F6E"/>
    <w:rsid w:val="00220FC6"/>
    <w:rsid w:val="00220FDD"/>
    <w:rsid w:val="002210F9"/>
    <w:rsid w:val="00221163"/>
    <w:rsid w:val="00221281"/>
    <w:rsid w:val="002212AB"/>
    <w:rsid w:val="002214B7"/>
    <w:rsid w:val="002214E9"/>
    <w:rsid w:val="002215F6"/>
    <w:rsid w:val="0022163A"/>
    <w:rsid w:val="00221648"/>
    <w:rsid w:val="00221682"/>
    <w:rsid w:val="0022179D"/>
    <w:rsid w:val="002217EE"/>
    <w:rsid w:val="0022181E"/>
    <w:rsid w:val="00221A81"/>
    <w:rsid w:val="00221ACC"/>
    <w:rsid w:val="00221AE9"/>
    <w:rsid w:val="00221B75"/>
    <w:rsid w:val="00221C65"/>
    <w:rsid w:val="00221D0F"/>
    <w:rsid w:val="00221D2F"/>
    <w:rsid w:val="00221D7A"/>
    <w:rsid w:val="00221E81"/>
    <w:rsid w:val="002220AD"/>
    <w:rsid w:val="002221AE"/>
    <w:rsid w:val="002221BF"/>
    <w:rsid w:val="002221DE"/>
    <w:rsid w:val="00222286"/>
    <w:rsid w:val="002222CC"/>
    <w:rsid w:val="00222422"/>
    <w:rsid w:val="0022242E"/>
    <w:rsid w:val="002224CA"/>
    <w:rsid w:val="00222576"/>
    <w:rsid w:val="00222656"/>
    <w:rsid w:val="0022266B"/>
    <w:rsid w:val="00222788"/>
    <w:rsid w:val="0022287B"/>
    <w:rsid w:val="002229E3"/>
    <w:rsid w:val="00222AA9"/>
    <w:rsid w:val="00222AC0"/>
    <w:rsid w:val="00222AE1"/>
    <w:rsid w:val="00222B8D"/>
    <w:rsid w:val="00222C02"/>
    <w:rsid w:val="00222C8D"/>
    <w:rsid w:val="00222D54"/>
    <w:rsid w:val="00222DF3"/>
    <w:rsid w:val="00222E98"/>
    <w:rsid w:val="00222EBE"/>
    <w:rsid w:val="00222F4F"/>
    <w:rsid w:val="0022311C"/>
    <w:rsid w:val="0022320D"/>
    <w:rsid w:val="00223237"/>
    <w:rsid w:val="002232A5"/>
    <w:rsid w:val="0022349F"/>
    <w:rsid w:val="0022360A"/>
    <w:rsid w:val="002236C3"/>
    <w:rsid w:val="002236F3"/>
    <w:rsid w:val="002237B6"/>
    <w:rsid w:val="00223A58"/>
    <w:rsid w:val="00223A60"/>
    <w:rsid w:val="00223A66"/>
    <w:rsid w:val="00223C0B"/>
    <w:rsid w:val="00223C1B"/>
    <w:rsid w:val="00223C2C"/>
    <w:rsid w:val="00223C54"/>
    <w:rsid w:val="00223E37"/>
    <w:rsid w:val="00223E5D"/>
    <w:rsid w:val="00223F45"/>
    <w:rsid w:val="00224207"/>
    <w:rsid w:val="00224240"/>
    <w:rsid w:val="002242BA"/>
    <w:rsid w:val="0022453A"/>
    <w:rsid w:val="00224689"/>
    <w:rsid w:val="0022485F"/>
    <w:rsid w:val="00224926"/>
    <w:rsid w:val="0022497F"/>
    <w:rsid w:val="002249D6"/>
    <w:rsid w:val="00224B23"/>
    <w:rsid w:val="00224E17"/>
    <w:rsid w:val="00224EA4"/>
    <w:rsid w:val="00224F17"/>
    <w:rsid w:val="00224F6A"/>
    <w:rsid w:val="00224F78"/>
    <w:rsid w:val="00224FF7"/>
    <w:rsid w:val="0022504C"/>
    <w:rsid w:val="002250BC"/>
    <w:rsid w:val="002251DD"/>
    <w:rsid w:val="00225212"/>
    <w:rsid w:val="00225262"/>
    <w:rsid w:val="00225289"/>
    <w:rsid w:val="00225362"/>
    <w:rsid w:val="00225379"/>
    <w:rsid w:val="002253DE"/>
    <w:rsid w:val="00225555"/>
    <w:rsid w:val="002256D3"/>
    <w:rsid w:val="00225755"/>
    <w:rsid w:val="0022588C"/>
    <w:rsid w:val="00225898"/>
    <w:rsid w:val="0022592A"/>
    <w:rsid w:val="0022593A"/>
    <w:rsid w:val="00225B3F"/>
    <w:rsid w:val="00225C36"/>
    <w:rsid w:val="00225C47"/>
    <w:rsid w:val="00225C6F"/>
    <w:rsid w:val="00225DBD"/>
    <w:rsid w:val="00225E0C"/>
    <w:rsid w:val="00225EDB"/>
    <w:rsid w:val="00225F76"/>
    <w:rsid w:val="002260C4"/>
    <w:rsid w:val="002260DB"/>
    <w:rsid w:val="0022612E"/>
    <w:rsid w:val="0022619F"/>
    <w:rsid w:val="002261F6"/>
    <w:rsid w:val="00226222"/>
    <w:rsid w:val="00226399"/>
    <w:rsid w:val="002263C1"/>
    <w:rsid w:val="00226451"/>
    <w:rsid w:val="0022658E"/>
    <w:rsid w:val="00226590"/>
    <w:rsid w:val="002265EA"/>
    <w:rsid w:val="002265F6"/>
    <w:rsid w:val="00226634"/>
    <w:rsid w:val="0022664D"/>
    <w:rsid w:val="002266D9"/>
    <w:rsid w:val="002267BD"/>
    <w:rsid w:val="0022682D"/>
    <w:rsid w:val="0022685A"/>
    <w:rsid w:val="00226AB8"/>
    <w:rsid w:val="00226B01"/>
    <w:rsid w:val="00226BFF"/>
    <w:rsid w:val="00226C01"/>
    <w:rsid w:val="00226C2E"/>
    <w:rsid w:val="00226D3F"/>
    <w:rsid w:val="00226DAA"/>
    <w:rsid w:val="00226F32"/>
    <w:rsid w:val="00226F3B"/>
    <w:rsid w:val="0022725C"/>
    <w:rsid w:val="0022727F"/>
    <w:rsid w:val="002272C4"/>
    <w:rsid w:val="0022733D"/>
    <w:rsid w:val="00227394"/>
    <w:rsid w:val="002273E1"/>
    <w:rsid w:val="0022744B"/>
    <w:rsid w:val="002274CA"/>
    <w:rsid w:val="002274D9"/>
    <w:rsid w:val="002274F3"/>
    <w:rsid w:val="0022757E"/>
    <w:rsid w:val="00227587"/>
    <w:rsid w:val="002276C3"/>
    <w:rsid w:val="0022773B"/>
    <w:rsid w:val="002278AF"/>
    <w:rsid w:val="00227913"/>
    <w:rsid w:val="00227995"/>
    <w:rsid w:val="0022799B"/>
    <w:rsid w:val="002279F3"/>
    <w:rsid w:val="00227CE1"/>
    <w:rsid w:val="00227D43"/>
    <w:rsid w:val="00227D93"/>
    <w:rsid w:val="00227D9D"/>
    <w:rsid w:val="00227DCC"/>
    <w:rsid w:val="00227E7E"/>
    <w:rsid w:val="00227E82"/>
    <w:rsid w:val="00227E90"/>
    <w:rsid w:val="00230078"/>
    <w:rsid w:val="0023007A"/>
    <w:rsid w:val="00230112"/>
    <w:rsid w:val="00230128"/>
    <w:rsid w:val="0023013E"/>
    <w:rsid w:val="002301DB"/>
    <w:rsid w:val="0023053C"/>
    <w:rsid w:val="00230630"/>
    <w:rsid w:val="00230A09"/>
    <w:rsid w:val="00230A9E"/>
    <w:rsid w:val="00230B37"/>
    <w:rsid w:val="00230B6C"/>
    <w:rsid w:val="00230C0C"/>
    <w:rsid w:val="00230C3C"/>
    <w:rsid w:val="00230C5E"/>
    <w:rsid w:val="00230CE1"/>
    <w:rsid w:val="00230D05"/>
    <w:rsid w:val="00230DA8"/>
    <w:rsid w:val="00230DED"/>
    <w:rsid w:val="00230DFF"/>
    <w:rsid w:val="00230EC4"/>
    <w:rsid w:val="00230F3A"/>
    <w:rsid w:val="00230FD3"/>
    <w:rsid w:val="0023102D"/>
    <w:rsid w:val="00231138"/>
    <w:rsid w:val="00231168"/>
    <w:rsid w:val="002312B4"/>
    <w:rsid w:val="002312C4"/>
    <w:rsid w:val="00231473"/>
    <w:rsid w:val="00231573"/>
    <w:rsid w:val="00231789"/>
    <w:rsid w:val="002317EC"/>
    <w:rsid w:val="00231922"/>
    <w:rsid w:val="00231A7A"/>
    <w:rsid w:val="00231AB9"/>
    <w:rsid w:val="00231AC6"/>
    <w:rsid w:val="00231B4B"/>
    <w:rsid w:val="00231B55"/>
    <w:rsid w:val="00231BEA"/>
    <w:rsid w:val="00231D10"/>
    <w:rsid w:val="00231DAC"/>
    <w:rsid w:val="00231E15"/>
    <w:rsid w:val="00231EA7"/>
    <w:rsid w:val="002320AC"/>
    <w:rsid w:val="002321DF"/>
    <w:rsid w:val="00232219"/>
    <w:rsid w:val="0023224D"/>
    <w:rsid w:val="002322A0"/>
    <w:rsid w:val="0023243E"/>
    <w:rsid w:val="002326B5"/>
    <w:rsid w:val="002326B6"/>
    <w:rsid w:val="002326ED"/>
    <w:rsid w:val="00232911"/>
    <w:rsid w:val="0023297D"/>
    <w:rsid w:val="002329EE"/>
    <w:rsid w:val="00232AAB"/>
    <w:rsid w:val="00232ABB"/>
    <w:rsid w:val="00232BAC"/>
    <w:rsid w:val="00232C3D"/>
    <w:rsid w:val="00232CB7"/>
    <w:rsid w:val="00232D73"/>
    <w:rsid w:val="00232DD8"/>
    <w:rsid w:val="00232DE0"/>
    <w:rsid w:val="00233068"/>
    <w:rsid w:val="002330DC"/>
    <w:rsid w:val="0023320A"/>
    <w:rsid w:val="00233250"/>
    <w:rsid w:val="00233269"/>
    <w:rsid w:val="00233378"/>
    <w:rsid w:val="0023343B"/>
    <w:rsid w:val="002335D6"/>
    <w:rsid w:val="00233616"/>
    <w:rsid w:val="00233650"/>
    <w:rsid w:val="00233684"/>
    <w:rsid w:val="002337AD"/>
    <w:rsid w:val="002338EC"/>
    <w:rsid w:val="0023393E"/>
    <w:rsid w:val="00233A0A"/>
    <w:rsid w:val="00233A77"/>
    <w:rsid w:val="00233B55"/>
    <w:rsid w:val="00233C20"/>
    <w:rsid w:val="00233D09"/>
    <w:rsid w:val="00233D8F"/>
    <w:rsid w:val="00233E08"/>
    <w:rsid w:val="00233EF1"/>
    <w:rsid w:val="00233F43"/>
    <w:rsid w:val="00233F8C"/>
    <w:rsid w:val="0023413E"/>
    <w:rsid w:val="00234140"/>
    <w:rsid w:val="00234143"/>
    <w:rsid w:val="00234215"/>
    <w:rsid w:val="00234535"/>
    <w:rsid w:val="00234719"/>
    <w:rsid w:val="002347C8"/>
    <w:rsid w:val="002348B9"/>
    <w:rsid w:val="002348C4"/>
    <w:rsid w:val="00234921"/>
    <w:rsid w:val="00234AAD"/>
    <w:rsid w:val="00234B66"/>
    <w:rsid w:val="00234C01"/>
    <w:rsid w:val="00234C6B"/>
    <w:rsid w:val="00234E3A"/>
    <w:rsid w:val="00234F19"/>
    <w:rsid w:val="00235176"/>
    <w:rsid w:val="0023517B"/>
    <w:rsid w:val="00235206"/>
    <w:rsid w:val="0023532E"/>
    <w:rsid w:val="002354EB"/>
    <w:rsid w:val="0023553F"/>
    <w:rsid w:val="0023555F"/>
    <w:rsid w:val="00235734"/>
    <w:rsid w:val="0023596B"/>
    <w:rsid w:val="00235A80"/>
    <w:rsid w:val="00235C11"/>
    <w:rsid w:val="00235D0E"/>
    <w:rsid w:val="00235D48"/>
    <w:rsid w:val="00235DFA"/>
    <w:rsid w:val="00235E77"/>
    <w:rsid w:val="00235EB3"/>
    <w:rsid w:val="00235EBE"/>
    <w:rsid w:val="00235EE4"/>
    <w:rsid w:val="0023602C"/>
    <w:rsid w:val="002360D6"/>
    <w:rsid w:val="002361B4"/>
    <w:rsid w:val="002361E8"/>
    <w:rsid w:val="0023625C"/>
    <w:rsid w:val="002362BB"/>
    <w:rsid w:val="002362FA"/>
    <w:rsid w:val="0023634D"/>
    <w:rsid w:val="00236468"/>
    <w:rsid w:val="0023656B"/>
    <w:rsid w:val="00236642"/>
    <w:rsid w:val="00236643"/>
    <w:rsid w:val="002366BC"/>
    <w:rsid w:val="00236701"/>
    <w:rsid w:val="00236839"/>
    <w:rsid w:val="002368A0"/>
    <w:rsid w:val="0023698F"/>
    <w:rsid w:val="002369A9"/>
    <w:rsid w:val="00236A08"/>
    <w:rsid w:val="00236A41"/>
    <w:rsid w:val="00236B28"/>
    <w:rsid w:val="00236CB9"/>
    <w:rsid w:val="00236CEB"/>
    <w:rsid w:val="00236D1A"/>
    <w:rsid w:val="00236F4A"/>
    <w:rsid w:val="002370FC"/>
    <w:rsid w:val="0023714D"/>
    <w:rsid w:val="00237151"/>
    <w:rsid w:val="0023715D"/>
    <w:rsid w:val="0023726A"/>
    <w:rsid w:val="002372D9"/>
    <w:rsid w:val="00237465"/>
    <w:rsid w:val="00237492"/>
    <w:rsid w:val="002374A2"/>
    <w:rsid w:val="0023758C"/>
    <w:rsid w:val="00237625"/>
    <w:rsid w:val="00237A07"/>
    <w:rsid w:val="00237A55"/>
    <w:rsid w:val="00237B1A"/>
    <w:rsid w:val="00237CD5"/>
    <w:rsid w:val="00237DA1"/>
    <w:rsid w:val="00237DFE"/>
    <w:rsid w:val="00237E23"/>
    <w:rsid w:val="002400C2"/>
    <w:rsid w:val="0024019D"/>
    <w:rsid w:val="002401A1"/>
    <w:rsid w:val="002403C1"/>
    <w:rsid w:val="002405CA"/>
    <w:rsid w:val="002405E8"/>
    <w:rsid w:val="00240612"/>
    <w:rsid w:val="0024065D"/>
    <w:rsid w:val="0024070B"/>
    <w:rsid w:val="0024070C"/>
    <w:rsid w:val="0024083A"/>
    <w:rsid w:val="0024092E"/>
    <w:rsid w:val="0024099C"/>
    <w:rsid w:val="002409E0"/>
    <w:rsid w:val="00240B47"/>
    <w:rsid w:val="00240C6E"/>
    <w:rsid w:val="00240CE8"/>
    <w:rsid w:val="00240E30"/>
    <w:rsid w:val="00240F7C"/>
    <w:rsid w:val="00241013"/>
    <w:rsid w:val="002410A5"/>
    <w:rsid w:val="002411D9"/>
    <w:rsid w:val="00241299"/>
    <w:rsid w:val="00241389"/>
    <w:rsid w:val="0024138C"/>
    <w:rsid w:val="002413B9"/>
    <w:rsid w:val="002413F1"/>
    <w:rsid w:val="002414C4"/>
    <w:rsid w:val="00241511"/>
    <w:rsid w:val="002415B9"/>
    <w:rsid w:val="0024177B"/>
    <w:rsid w:val="0024177E"/>
    <w:rsid w:val="0024182D"/>
    <w:rsid w:val="0024184D"/>
    <w:rsid w:val="002419AE"/>
    <w:rsid w:val="00241B28"/>
    <w:rsid w:val="00241BB3"/>
    <w:rsid w:val="00241D9E"/>
    <w:rsid w:val="00241DC8"/>
    <w:rsid w:val="00241E5A"/>
    <w:rsid w:val="00241E71"/>
    <w:rsid w:val="00241E93"/>
    <w:rsid w:val="00241EDB"/>
    <w:rsid w:val="00241F6F"/>
    <w:rsid w:val="00242007"/>
    <w:rsid w:val="00242088"/>
    <w:rsid w:val="002421C0"/>
    <w:rsid w:val="002423AA"/>
    <w:rsid w:val="00242436"/>
    <w:rsid w:val="0024244B"/>
    <w:rsid w:val="00242650"/>
    <w:rsid w:val="002426B7"/>
    <w:rsid w:val="00242930"/>
    <w:rsid w:val="002429CC"/>
    <w:rsid w:val="00242A9E"/>
    <w:rsid w:val="00242B67"/>
    <w:rsid w:val="00242BA9"/>
    <w:rsid w:val="00242BBB"/>
    <w:rsid w:val="00242C7B"/>
    <w:rsid w:val="00242DC8"/>
    <w:rsid w:val="00242FBA"/>
    <w:rsid w:val="00242FC8"/>
    <w:rsid w:val="002430F3"/>
    <w:rsid w:val="002431D6"/>
    <w:rsid w:val="0024330E"/>
    <w:rsid w:val="002434FB"/>
    <w:rsid w:val="002436CE"/>
    <w:rsid w:val="0024375E"/>
    <w:rsid w:val="0024395E"/>
    <w:rsid w:val="00243B00"/>
    <w:rsid w:val="00243BC8"/>
    <w:rsid w:val="00243C44"/>
    <w:rsid w:val="00243D24"/>
    <w:rsid w:val="00243D9D"/>
    <w:rsid w:val="00243DB5"/>
    <w:rsid w:val="00243F6D"/>
    <w:rsid w:val="00244020"/>
    <w:rsid w:val="00244291"/>
    <w:rsid w:val="0024429B"/>
    <w:rsid w:val="0024440C"/>
    <w:rsid w:val="00244494"/>
    <w:rsid w:val="002446ED"/>
    <w:rsid w:val="0024480C"/>
    <w:rsid w:val="002448CB"/>
    <w:rsid w:val="0024491E"/>
    <w:rsid w:val="00244B27"/>
    <w:rsid w:val="00244BC6"/>
    <w:rsid w:val="00244BDE"/>
    <w:rsid w:val="00244C48"/>
    <w:rsid w:val="00244CEC"/>
    <w:rsid w:val="00244CF1"/>
    <w:rsid w:val="00244CFA"/>
    <w:rsid w:val="00244D1B"/>
    <w:rsid w:val="00244D2F"/>
    <w:rsid w:val="00244EC9"/>
    <w:rsid w:val="00244F77"/>
    <w:rsid w:val="00244F8E"/>
    <w:rsid w:val="00244F9E"/>
    <w:rsid w:val="002452FB"/>
    <w:rsid w:val="0024530D"/>
    <w:rsid w:val="002453B4"/>
    <w:rsid w:val="00245506"/>
    <w:rsid w:val="00245522"/>
    <w:rsid w:val="00245588"/>
    <w:rsid w:val="00245627"/>
    <w:rsid w:val="0024564E"/>
    <w:rsid w:val="00245652"/>
    <w:rsid w:val="0024565F"/>
    <w:rsid w:val="0024571C"/>
    <w:rsid w:val="002457C2"/>
    <w:rsid w:val="002457DE"/>
    <w:rsid w:val="00245912"/>
    <w:rsid w:val="00245AA3"/>
    <w:rsid w:val="00245ADF"/>
    <w:rsid w:val="00245D1E"/>
    <w:rsid w:val="00245DC4"/>
    <w:rsid w:val="00245DF6"/>
    <w:rsid w:val="00245E1A"/>
    <w:rsid w:val="00245E32"/>
    <w:rsid w:val="00245E8B"/>
    <w:rsid w:val="0024601C"/>
    <w:rsid w:val="00246060"/>
    <w:rsid w:val="00246143"/>
    <w:rsid w:val="002461EA"/>
    <w:rsid w:val="00246218"/>
    <w:rsid w:val="00246237"/>
    <w:rsid w:val="0024626A"/>
    <w:rsid w:val="002463AD"/>
    <w:rsid w:val="002463BA"/>
    <w:rsid w:val="002464FB"/>
    <w:rsid w:val="00246516"/>
    <w:rsid w:val="00246668"/>
    <w:rsid w:val="0024677F"/>
    <w:rsid w:val="002467E6"/>
    <w:rsid w:val="00246944"/>
    <w:rsid w:val="0024694D"/>
    <w:rsid w:val="002469A6"/>
    <w:rsid w:val="00246A2A"/>
    <w:rsid w:val="00246A4A"/>
    <w:rsid w:val="00246B67"/>
    <w:rsid w:val="00246BB9"/>
    <w:rsid w:val="00246BE3"/>
    <w:rsid w:val="00246D76"/>
    <w:rsid w:val="00246DC4"/>
    <w:rsid w:val="00246F89"/>
    <w:rsid w:val="002470D6"/>
    <w:rsid w:val="00247129"/>
    <w:rsid w:val="0024712A"/>
    <w:rsid w:val="00247211"/>
    <w:rsid w:val="00247216"/>
    <w:rsid w:val="00247353"/>
    <w:rsid w:val="0024745E"/>
    <w:rsid w:val="0024746A"/>
    <w:rsid w:val="00247652"/>
    <w:rsid w:val="002476C5"/>
    <w:rsid w:val="00247797"/>
    <w:rsid w:val="002477E2"/>
    <w:rsid w:val="002478B8"/>
    <w:rsid w:val="002478C7"/>
    <w:rsid w:val="00247A83"/>
    <w:rsid w:val="00247A9A"/>
    <w:rsid w:val="00247B05"/>
    <w:rsid w:val="00247C0D"/>
    <w:rsid w:val="00247C10"/>
    <w:rsid w:val="00247D59"/>
    <w:rsid w:val="00247F02"/>
    <w:rsid w:val="00250071"/>
    <w:rsid w:val="002501DA"/>
    <w:rsid w:val="002502D0"/>
    <w:rsid w:val="00250376"/>
    <w:rsid w:val="00250395"/>
    <w:rsid w:val="002503E6"/>
    <w:rsid w:val="0025046C"/>
    <w:rsid w:val="00250545"/>
    <w:rsid w:val="002506A2"/>
    <w:rsid w:val="002506B1"/>
    <w:rsid w:val="00250719"/>
    <w:rsid w:val="00250826"/>
    <w:rsid w:val="00250832"/>
    <w:rsid w:val="002508E9"/>
    <w:rsid w:val="00250949"/>
    <w:rsid w:val="002509EE"/>
    <w:rsid w:val="00250A60"/>
    <w:rsid w:val="00250A65"/>
    <w:rsid w:val="00250E0E"/>
    <w:rsid w:val="00250F9A"/>
    <w:rsid w:val="00250FF6"/>
    <w:rsid w:val="00251019"/>
    <w:rsid w:val="00251331"/>
    <w:rsid w:val="00251418"/>
    <w:rsid w:val="00251429"/>
    <w:rsid w:val="0025150D"/>
    <w:rsid w:val="00251642"/>
    <w:rsid w:val="0025168B"/>
    <w:rsid w:val="00251750"/>
    <w:rsid w:val="002517C2"/>
    <w:rsid w:val="002517C4"/>
    <w:rsid w:val="0025194D"/>
    <w:rsid w:val="00251A7E"/>
    <w:rsid w:val="00251BA3"/>
    <w:rsid w:val="00251BE6"/>
    <w:rsid w:val="00251D7E"/>
    <w:rsid w:val="00251E31"/>
    <w:rsid w:val="00251F33"/>
    <w:rsid w:val="00251F88"/>
    <w:rsid w:val="00252272"/>
    <w:rsid w:val="002522A6"/>
    <w:rsid w:val="0025232E"/>
    <w:rsid w:val="00252467"/>
    <w:rsid w:val="0025257D"/>
    <w:rsid w:val="002529DA"/>
    <w:rsid w:val="002529E1"/>
    <w:rsid w:val="00252A94"/>
    <w:rsid w:val="00252AF9"/>
    <w:rsid w:val="00252CE5"/>
    <w:rsid w:val="00252DD2"/>
    <w:rsid w:val="00252DF2"/>
    <w:rsid w:val="00252F3B"/>
    <w:rsid w:val="00252FBD"/>
    <w:rsid w:val="00252FDF"/>
    <w:rsid w:val="00252FE9"/>
    <w:rsid w:val="00253081"/>
    <w:rsid w:val="00253103"/>
    <w:rsid w:val="002532B0"/>
    <w:rsid w:val="00253457"/>
    <w:rsid w:val="002536D0"/>
    <w:rsid w:val="002538EE"/>
    <w:rsid w:val="00253919"/>
    <w:rsid w:val="0025394C"/>
    <w:rsid w:val="00253954"/>
    <w:rsid w:val="00253977"/>
    <w:rsid w:val="00253A3C"/>
    <w:rsid w:val="00253B1F"/>
    <w:rsid w:val="00253B3A"/>
    <w:rsid w:val="00253B89"/>
    <w:rsid w:val="00253CB3"/>
    <w:rsid w:val="00253D1A"/>
    <w:rsid w:val="00253EB0"/>
    <w:rsid w:val="002540BD"/>
    <w:rsid w:val="0025418B"/>
    <w:rsid w:val="00254361"/>
    <w:rsid w:val="00254400"/>
    <w:rsid w:val="00254435"/>
    <w:rsid w:val="00254443"/>
    <w:rsid w:val="0025446E"/>
    <w:rsid w:val="00254487"/>
    <w:rsid w:val="002544B8"/>
    <w:rsid w:val="002545A9"/>
    <w:rsid w:val="002545AE"/>
    <w:rsid w:val="0025463A"/>
    <w:rsid w:val="002546E3"/>
    <w:rsid w:val="00254834"/>
    <w:rsid w:val="0025486E"/>
    <w:rsid w:val="00254935"/>
    <w:rsid w:val="0025496B"/>
    <w:rsid w:val="00254B25"/>
    <w:rsid w:val="00254C77"/>
    <w:rsid w:val="00254E6A"/>
    <w:rsid w:val="00254E72"/>
    <w:rsid w:val="00254EBF"/>
    <w:rsid w:val="00254F7C"/>
    <w:rsid w:val="00255045"/>
    <w:rsid w:val="0025509D"/>
    <w:rsid w:val="00255203"/>
    <w:rsid w:val="00255403"/>
    <w:rsid w:val="002554C4"/>
    <w:rsid w:val="002554E7"/>
    <w:rsid w:val="002554F8"/>
    <w:rsid w:val="00255715"/>
    <w:rsid w:val="002557AE"/>
    <w:rsid w:val="002557F2"/>
    <w:rsid w:val="002557F7"/>
    <w:rsid w:val="00255932"/>
    <w:rsid w:val="0025598E"/>
    <w:rsid w:val="00255B53"/>
    <w:rsid w:val="00255BCC"/>
    <w:rsid w:val="00255BDF"/>
    <w:rsid w:val="00255D3C"/>
    <w:rsid w:val="00255DE5"/>
    <w:rsid w:val="00255E42"/>
    <w:rsid w:val="00255F52"/>
    <w:rsid w:val="00256130"/>
    <w:rsid w:val="00256287"/>
    <w:rsid w:val="0025665F"/>
    <w:rsid w:val="0025668C"/>
    <w:rsid w:val="00256724"/>
    <w:rsid w:val="002567B6"/>
    <w:rsid w:val="002568C3"/>
    <w:rsid w:val="00256983"/>
    <w:rsid w:val="002569DB"/>
    <w:rsid w:val="00256A07"/>
    <w:rsid w:val="00256B23"/>
    <w:rsid w:val="00256BD6"/>
    <w:rsid w:val="00256BF3"/>
    <w:rsid w:val="00256E53"/>
    <w:rsid w:val="00256F12"/>
    <w:rsid w:val="00256F49"/>
    <w:rsid w:val="00256F6B"/>
    <w:rsid w:val="0025705F"/>
    <w:rsid w:val="00257198"/>
    <w:rsid w:val="002572C2"/>
    <w:rsid w:val="00257426"/>
    <w:rsid w:val="002574E8"/>
    <w:rsid w:val="002575C2"/>
    <w:rsid w:val="0025762B"/>
    <w:rsid w:val="00257708"/>
    <w:rsid w:val="00257737"/>
    <w:rsid w:val="00257738"/>
    <w:rsid w:val="00257A08"/>
    <w:rsid w:val="00257A73"/>
    <w:rsid w:val="00257AAE"/>
    <w:rsid w:val="00257C9F"/>
    <w:rsid w:val="00257D30"/>
    <w:rsid w:val="00257D44"/>
    <w:rsid w:val="00257D6F"/>
    <w:rsid w:val="00257FA0"/>
    <w:rsid w:val="00257FA2"/>
    <w:rsid w:val="00260090"/>
    <w:rsid w:val="002600BC"/>
    <w:rsid w:val="002601CE"/>
    <w:rsid w:val="002601F9"/>
    <w:rsid w:val="00260217"/>
    <w:rsid w:val="002602A8"/>
    <w:rsid w:val="00260637"/>
    <w:rsid w:val="002606CD"/>
    <w:rsid w:val="0026073C"/>
    <w:rsid w:val="00260787"/>
    <w:rsid w:val="00260930"/>
    <w:rsid w:val="00260B0D"/>
    <w:rsid w:val="00260B0E"/>
    <w:rsid w:val="00260BF6"/>
    <w:rsid w:val="00260D1B"/>
    <w:rsid w:val="00260E49"/>
    <w:rsid w:val="0026109D"/>
    <w:rsid w:val="00261195"/>
    <w:rsid w:val="002611B3"/>
    <w:rsid w:val="0026121C"/>
    <w:rsid w:val="00261257"/>
    <w:rsid w:val="00261394"/>
    <w:rsid w:val="00261467"/>
    <w:rsid w:val="0026150F"/>
    <w:rsid w:val="00261557"/>
    <w:rsid w:val="00261732"/>
    <w:rsid w:val="00261744"/>
    <w:rsid w:val="0026190B"/>
    <w:rsid w:val="00261B2E"/>
    <w:rsid w:val="00261CE8"/>
    <w:rsid w:val="00261F90"/>
    <w:rsid w:val="0026201E"/>
    <w:rsid w:val="00262080"/>
    <w:rsid w:val="002620A3"/>
    <w:rsid w:val="002620C3"/>
    <w:rsid w:val="00262122"/>
    <w:rsid w:val="00262149"/>
    <w:rsid w:val="00262210"/>
    <w:rsid w:val="0026221E"/>
    <w:rsid w:val="0026222C"/>
    <w:rsid w:val="002625E5"/>
    <w:rsid w:val="0026265D"/>
    <w:rsid w:val="002626D5"/>
    <w:rsid w:val="002626EA"/>
    <w:rsid w:val="002627E2"/>
    <w:rsid w:val="002628EE"/>
    <w:rsid w:val="00262981"/>
    <w:rsid w:val="00262A40"/>
    <w:rsid w:val="00262CB1"/>
    <w:rsid w:val="00262D0B"/>
    <w:rsid w:val="00262D5F"/>
    <w:rsid w:val="00262D6A"/>
    <w:rsid w:val="00262EB8"/>
    <w:rsid w:val="00263089"/>
    <w:rsid w:val="00263262"/>
    <w:rsid w:val="002632AA"/>
    <w:rsid w:val="002633E6"/>
    <w:rsid w:val="002633F7"/>
    <w:rsid w:val="0026345A"/>
    <w:rsid w:val="0026362B"/>
    <w:rsid w:val="00263744"/>
    <w:rsid w:val="002638E1"/>
    <w:rsid w:val="00263AA2"/>
    <w:rsid w:val="00263AFB"/>
    <w:rsid w:val="00263B4B"/>
    <w:rsid w:val="00263BF2"/>
    <w:rsid w:val="00263C9B"/>
    <w:rsid w:val="00263CBF"/>
    <w:rsid w:val="00263D27"/>
    <w:rsid w:val="00263EA9"/>
    <w:rsid w:val="00263F58"/>
    <w:rsid w:val="00263FEC"/>
    <w:rsid w:val="0026408B"/>
    <w:rsid w:val="002640B7"/>
    <w:rsid w:val="002642F8"/>
    <w:rsid w:val="0026435D"/>
    <w:rsid w:val="00264362"/>
    <w:rsid w:val="00264439"/>
    <w:rsid w:val="00264509"/>
    <w:rsid w:val="00264564"/>
    <w:rsid w:val="0026457B"/>
    <w:rsid w:val="00264752"/>
    <w:rsid w:val="002649A8"/>
    <w:rsid w:val="00264BD6"/>
    <w:rsid w:val="00264D59"/>
    <w:rsid w:val="00264D79"/>
    <w:rsid w:val="00264E23"/>
    <w:rsid w:val="00264ECA"/>
    <w:rsid w:val="00264FBE"/>
    <w:rsid w:val="0026506E"/>
    <w:rsid w:val="00265104"/>
    <w:rsid w:val="0026510D"/>
    <w:rsid w:val="00265121"/>
    <w:rsid w:val="00265136"/>
    <w:rsid w:val="00265167"/>
    <w:rsid w:val="00265169"/>
    <w:rsid w:val="00265506"/>
    <w:rsid w:val="00265535"/>
    <w:rsid w:val="0026563D"/>
    <w:rsid w:val="00265650"/>
    <w:rsid w:val="002657C5"/>
    <w:rsid w:val="002658CF"/>
    <w:rsid w:val="002659F6"/>
    <w:rsid w:val="00265A81"/>
    <w:rsid w:val="00265BDD"/>
    <w:rsid w:val="00265CEE"/>
    <w:rsid w:val="00265D6F"/>
    <w:rsid w:val="00265E01"/>
    <w:rsid w:val="00265F4D"/>
    <w:rsid w:val="00265FF5"/>
    <w:rsid w:val="00266074"/>
    <w:rsid w:val="002661C3"/>
    <w:rsid w:val="00266269"/>
    <w:rsid w:val="00266649"/>
    <w:rsid w:val="002666F8"/>
    <w:rsid w:val="0026670A"/>
    <w:rsid w:val="00266771"/>
    <w:rsid w:val="002669F8"/>
    <w:rsid w:val="00266B91"/>
    <w:rsid w:val="00266C0E"/>
    <w:rsid w:val="00266C6B"/>
    <w:rsid w:val="00266D6B"/>
    <w:rsid w:val="00266EE3"/>
    <w:rsid w:val="00266FAE"/>
    <w:rsid w:val="00266FBB"/>
    <w:rsid w:val="002670FE"/>
    <w:rsid w:val="00267167"/>
    <w:rsid w:val="0026729D"/>
    <w:rsid w:val="0026733F"/>
    <w:rsid w:val="0026738A"/>
    <w:rsid w:val="002673B5"/>
    <w:rsid w:val="0026741C"/>
    <w:rsid w:val="00267629"/>
    <w:rsid w:val="00267768"/>
    <w:rsid w:val="00267B7A"/>
    <w:rsid w:val="00267D18"/>
    <w:rsid w:val="00267DA0"/>
    <w:rsid w:val="00267DCC"/>
    <w:rsid w:val="00267F50"/>
    <w:rsid w:val="00267F73"/>
    <w:rsid w:val="002700F7"/>
    <w:rsid w:val="0027019D"/>
    <w:rsid w:val="00270215"/>
    <w:rsid w:val="00270245"/>
    <w:rsid w:val="002702B3"/>
    <w:rsid w:val="002702D3"/>
    <w:rsid w:val="00270478"/>
    <w:rsid w:val="00270528"/>
    <w:rsid w:val="0027055F"/>
    <w:rsid w:val="002705B0"/>
    <w:rsid w:val="0027060E"/>
    <w:rsid w:val="002708EB"/>
    <w:rsid w:val="00270AE2"/>
    <w:rsid w:val="00270C81"/>
    <w:rsid w:val="00270D71"/>
    <w:rsid w:val="00270DD1"/>
    <w:rsid w:val="002711A8"/>
    <w:rsid w:val="002711C6"/>
    <w:rsid w:val="00271367"/>
    <w:rsid w:val="002714D7"/>
    <w:rsid w:val="002716B6"/>
    <w:rsid w:val="00271814"/>
    <w:rsid w:val="002718CD"/>
    <w:rsid w:val="002718FF"/>
    <w:rsid w:val="00271988"/>
    <w:rsid w:val="002719CB"/>
    <w:rsid w:val="00271A89"/>
    <w:rsid w:val="00271BF9"/>
    <w:rsid w:val="00271C6C"/>
    <w:rsid w:val="00271DA2"/>
    <w:rsid w:val="00271E9B"/>
    <w:rsid w:val="00271EB7"/>
    <w:rsid w:val="00271FA0"/>
    <w:rsid w:val="00272035"/>
    <w:rsid w:val="002720E2"/>
    <w:rsid w:val="002720F7"/>
    <w:rsid w:val="00272214"/>
    <w:rsid w:val="0027224B"/>
    <w:rsid w:val="00272382"/>
    <w:rsid w:val="00272459"/>
    <w:rsid w:val="002727D6"/>
    <w:rsid w:val="00272870"/>
    <w:rsid w:val="00272A48"/>
    <w:rsid w:val="00272AE5"/>
    <w:rsid w:val="00272B04"/>
    <w:rsid w:val="00272CA6"/>
    <w:rsid w:val="00272DC1"/>
    <w:rsid w:val="00272E6E"/>
    <w:rsid w:val="00272F3F"/>
    <w:rsid w:val="00272FF2"/>
    <w:rsid w:val="00273081"/>
    <w:rsid w:val="002731B9"/>
    <w:rsid w:val="0027321C"/>
    <w:rsid w:val="002733D5"/>
    <w:rsid w:val="0027344B"/>
    <w:rsid w:val="00273487"/>
    <w:rsid w:val="002734D5"/>
    <w:rsid w:val="002735F9"/>
    <w:rsid w:val="0027365A"/>
    <w:rsid w:val="00273754"/>
    <w:rsid w:val="002738B9"/>
    <w:rsid w:val="00273A1B"/>
    <w:rsid w:val="00273A34"/>
    <w:rsid w:val="00273AC4"/>
    <w:rsid w:val="00273B62"/>
    <w:rsid w:val="00273C7D"/>
    <w:rsid w:val="00273CD9"/>
    <w:rsid w:val="00273CF9"/>
    <w:rsid w:val="00273D0A"/>
    <w:rsid w:val="00273E7B"/>
    <w:rsid w:val="00273EE7"/>
    <w:rsid w:val="00273F2D"/>
    <w:rsid w:val="00273FCA"/>
    <w:rsid w:val="00273FF4"/>
    <w:rsid w:val="0027440E"/>
    <w:rsid w:val="00274454"/>
    <w:rsid w:val="002744BC"/>
    <w:rsid w:val="0027458B"/>
    <w:rsid w:val="00274592"/>
    <w:rsid w:val="00274680"/>
    <w:rsid w:val="0027475E"/>
    <w:rsid w:val="0027475F"/>
    <w:rsid w:val="002747B8"/>
    <w:rsid w:val="00274821"/>
    <w:rsid w:val="002749A9"/>
    <w:rsid w:val="002749FB"/>
    <w:rsid w:val="00274A77"/>
    <w:rsid w:val="00274B4C"/>
    <w:rsid w:val="00274D34"/>
    <w:rsid w:val="00274D69"/>
    <w:rsid w:val="00274DF0"/>
    <w:rsid w:val="00274E55"/>
    <w:rsid w:val="00274F18"/>
    <w:rsid w:val="00275030"/>
    <w:rsid w:val="002750B6"/>
    <w:rsid w:val="002750D4"/>
    <w:rsid w:val="00275126"/>
    <w:rsid w:val="00275179"/>
    <w:rsid w:val="002751E3"/>
    <w:rsid w:val="002753EA"/>
    <w:rsid w:val="002754AA"/>
    <w:rsid w:val="00275586"/>
    <w:rsid w:val="002755C5"/>
    <w:rsid w:val="00275674"/>
    <w:rsid w:val="002756E1"/>
    <w:rsid w:val="00275775"/>
    <w:rsid w:val="00275985"/>
    <w:rsid w:val="002759FC"/>
    <w:rsid w:val="00275A4B"/>
    <w:rsid w:val="00275A6D"/>
    <w:rsid w:val="00275A7F"/>
    <w:rsid w:val="00275AE3"/>
    <w:rsid w:val="00275B8E"/>
    <w:rsid w:val="00275BD8"/>
    <w:rsid w:val="00275D5A"/>
    <w:rsid w:val="00276001"/>
    <w:rsid w:val="0027603A"/>
    <w:rsid w:val="0027630C"/>
    <w:rsid w:val="00276321"/>
    <w:rsid w:val="0027654F"/>
    <w:rsid w:val="0027668E"/>
    <w:rsid w:val="00276714"/>
    <w:rsid w:val="00276799"/>
    <w:rsid w:val="002768A9"/>
    <w:rsid w:val="00276A7B"/>
    <w:rsid w:val="00276D02"/>
    <w:rsid w:val="00276D88"/>
    <w:rsid w:val="00276DF2"/>
    <w:rsid w:val="00276F9E"/>
    <w:rsid w:val="00277097"/>
    <w:rsid w:val="00277138"/>
    <w:rsid w:val="0027714E"/>
    <w:rsid w:val="002771EC"/>
    <w:rsid w:val="0027725F"/>
    <w:rsid w:val="002772BF"/>
    <w:rsid w:val="002772EB"/>
    <w:rsid w:val="0027736D"/>
    <w:rsid w:val="00277523"/>
    <w:rsid w:val="0027759C"/>
    <w:rsid w:val="0027768B"/>
    <w:rsid w:val="002777CE"/>
    <w:rsid w:val="0027788F"/>
    <w:rsid w:val="0027791B"/>
    <w:rsid w:val="00277A42"/>
    <w:rsid w:val="00277BB6"/>
    <w:rsid w:val="00277FCD"/>
    <w:rsid w:val="0028010D"/>
    <w:rsid w:val="002801C2"/>
    <w:rsid w:val="0028028C"/>
    <w:rsid w:val="00280347"/>
    <w:rsid w:val="002803C1"/>
    <w:rsid w:val="002804D3"/>
    <w:rsid w:val="0028067E"/>
    <w:rsid w:val="002806F0"/>
    <w:rsid w:val="00280745"/>
    <w:rsid w:val="002809DB"/>
    <w:rsid w:val="00280A23"/>
    <w:rsid w:val="00280AE0"/>
    <w:rsid w:val="00280C33"/>
    <w:rsid w:val="00280D4A"/>
    <w:rsid w:val="00280DA4"/>
    <w:rsid w:val="00280E70"/>
    <w:rsid w:val="002812BD"/>
    <w:rsid w:val="00281302"/>
    <w:rsid w:val="00281397"/>
    <w:rsid w:val="002813A5"/>
    <w:rsid w:val="002814AB"/>
    <w:rsid w:val="00281545"/>
    <w:rsid w:val="00281582"/>
    <w:rsid w:val="0028160D"/>
    <w:rsid w:val="00281689"/>
    <w:rsid w:val="00281776"/>
    <w:rsid w:val="00281851"/>
    <w:rsid w:val="002818D3"/>
    <w:rsid w:val="00281952"/>
    <w:rsid w:val="00281994"/>
    <w:rsid w:val="00281B11"/>
    <w:rsid w:val="00281CC4"/>
    <w:rsid w:val="00281D2D"/>
    <w:rsid w:val="00281D96"/>
    <w:rsid w:val="00281DC4"/>
    <w:rsid w:val="00281DDC"/>
    <w:rsid w:val="00281DF1"/>
    <w:rsid w:val="00281E32"/>
    <w:rsid w:val="00281E6A"/>
    <w:rsid w:val="00281FB5"/>
    <w:rsid w:val="0028208C"/>
    <w:rsid w:val="00282242"/>
    <w:rsid w:val="00282272"/>
    <w:rsid w:val="00282587"/>
    <w:rsid w:val="00282824"/>
    <w:rsid w:val="002828BF"/>
    <w:rsid w:val="002828DD"/>
    <w:rsid w:val="00282B0E"/>
    <w:rsid w:val="00282BCF"/>
    <w:rsid w:val="00282C9E"/>
    <w:rsid w:val="00282D73"/>
    <w:rsid w:val="00282DEB"/>
    <w:rsid w:val="00282FCD"/>
    <w:rsid w:val="0028303B"/>
    <w:rsid w:val="0028306D"/>
    <w:rsid w:val="0028308E"/>
    <w:rsid w:val="002831B8"/>
    <w:rsid w:val="0028325E"/>
    <w:rsid w:val="0028330B"/>
    <w:rsid w:val="00283416"/>
    <w:rsid w:val="002834B5"/>
    <w:rsid w:val="00283587"/>
    <w:rsid w:val="002836B7"/>
    <w:rsid w:val="00283783"/>
    <w:rsid w:val="0028378C"/>
    <w:rsid w:val="00283A18"/>
    <w:rsid w:val="00283B34"/>
    <w:rsid w:val="00283BA4"/>
    <w:rsid w:val="00283C8B"/>
    <w:rsid w:val="00283DCA"/>
    <w:rsid w:val="00283E18"/>
    <w:rsid w:val="00283EF5"/>
    <w:rsid w:val="002840EA"/>
    <w:rsid w:val="002842B5"/>
    <w:rsid w:val="00284365"/>
    <w:rsid w:val="00284569"/>
    <w:rsid w:val="0028480B"/>
    <w:rsid w:val="00284823"/>
    <w:rsid w:val="00284B50"/>
    <w:rsid w:val="00284C36"/>
    <w:rsid w:val="00284CBE"/>
    <w:rsid w:val="00284CF8"/>
    <w:rsid w:val="00284E2D"/>
    <w:rsid w:val="00284F43"/>
    <w:rsid w:val="00284F98"/>
    <w:rsid w:val="002850CB"/>
    <w:rsid w:val="0028512C"/>
    <w:rsid w:val="0028518A"/>
    <w:rsid w:val="002851CE"/>
    <w:rsid w:val="00285460"/>
    <w:rsid w:val="002854D0"/>
    <w:rsid w:val="002854FC"/>
    <w:rsid w:val="0028556B"/>
    <w:rsid w:val="002855F0"/>
    <w:rsid w:val="002857CF"/>
    <w:rsid w:val="00285A75"/>
    <w:rsid w:val="00285A8D"/>
    <w:rsid w:val="00285A93"/>
    <w:rsid w:val="00285AE9"/>
    <w:rsid w:val="00285B5D"/>
    <w:rsid w:val="00285C0A"/>
    <w:rsid w:val="00285C66"/>
    <w:rsid w:val="00285CAE"/>
    <w:rsid w:val="00285DB2"/>
    <w:rsid w:val="00285DD2"/>
    <w:rsid w:val="00285EC2"/>
    <w:rsid w:val="002860D7"/>
    <w:rsid w:val="00286381"/>
    <w:rsid w:val="00286388"/>
    <w:rsid w:val="002863C9"/>
    <w:rsid w:val="002863E1"/>
    <w:rsid w:val="0028649D"/>
    <w:rsid w:val="002865BF"/>
    <w:rsid w:val="0028681B"/>
    <w:rsid w:val="00286A6E"/>
    <w:rsid w:val="00286AC9"/>
    <w:rsid w:val="00286C22"/>
    <w:rsid w:val="00286C2A"/>
    <w:rsid w:val="00286CBF"/>
    <w:rsid w:val="00286D19"/>
    <w:rsid w:val="00286D9E"/>
    <w:rsid w:val="00286DEA"/>
    <w:rsid w:val="00286EB8"/>
    <w:rsid w:val="0028703C"/>
    <w:rsid w:val="00287174"/>
    <w:rsid w:val="002871B1"/>
    <w:rsid w:val="002871BB"/>
    <w:rsid w:val="002871ED"/>
    <w:rsid w:val="00287263"/>
    <w:rsid w:val="002873DD"/>
    <w:rsid w:val="002874FE"/>
    <w:rsid w:val="002875C2"/>
    <w:rsid w:val="002875EF"/>
    <w:rsid w:val="00287642"/>
    <w:rsid w:val="002876D4"/>
    <w:rsid w:val="002876DF"/>
    <w:rsid w:val="002876ED"/>
    <w:rsid w:val="0028774D"/>
    <w:rsid w:val="002877BE"/>
    <w:rsid w:val="0028781D"/>
    <w:rsid w:val="00287826"/>
    <w:rsid w:val="002878A0"/>
    <w:rsid w:val="002878DF"/>
    <w:rsid w:val="0028792F"/>
    <w:rsid w:val="00287A08"/>
    <w:rsid w:val="00287A10"/>
    <w:rsid w:val="00287A6B"/>
    <w:rsid w:val="00287AD6"/>
    <w:rsid w:val="00287AEF"/>
    <w:rsid w:val="00287B3F"/>
    <w:rsid w:val="00287C88"/>
    <w:rsid w:val="00287CAC"/>
    <w:rsid w:val="00287E81"/>
    <w:rsid w:val="00287EF9"/>
    <w:rsid w:val="00287F9C"/>
    <w:rsid w:val="00290275"/>
    <w:rsid w:val="00290337"/>
    <w:rsid w:val="00290446"/>
    <w:rsid w:val="00290534"/>
    <w:rsid w:val="00290681"/>
    <w:rsid w:val="00290717"/>
    <w:rsid w:val="00290965"/>
    <w:rsid w:val="002909D4"/>
    <w:rsid w:val="00290A07"/>
    <w:rsid w:val="00290ACD"/>
    <w:rsid w:val="00290B71"/>
    <w:rsid w:val="00290BEA"/>
    <w:rsid w:val="00290D47"/>
    <w:rsid w:val="00290D5D"/>
    <w:rsid w:val="00290D64"/>
    <w:rsid w:val="00290EBB"/>
    <w:rsid w:val="00290EDF"/>
    <w:rsid w:val="00290FDC"/>
    <w:rsid w:val="00291169"/>
    <w:rsid w:val="00291249"/>
    <w:rsid w:val="002912E0"/>
    <w:rsid w:val="00291365"/>
    <w:rsid w:val="0029152B"/>
    <w:rsid w:val="0029153E"/>
    <w:rsid w:val="002916BE"/>
    <w:rsid w:val="002916E0"/>
    <w:rsid w:val="00291701"/>
    <w:rsid w:val="00291895"/>
    <w:rsid w:val="002918F1"/>
    <w:rsid w:val="002918F7"/>
    <w:rsid w:val="00291956"/>
    <w:rsid w:val="0029198A"/>
    <w:rsid w:val="00291A4B"/>
    <w:rsid w:val="00291C70"/>
    <w:rsid w:val="00291D63"/>
    <w:rsid w:val="00291E3E"/>
    <w:rsid w:val="0029205F"/>
    <w:rsid w:val="002920CE"/>
    <w:rsid w:val="002920D3"/>
    <w:rsid w:val="00292268"/>
    <w:rsid w:val="00292470"/>
    <w:rsid w:val="00292504"/>
    <w:rsid w:val="002925A2"/>
    <w:rsid w:val="002926B4"/>
    <w:rsid w:val="002928E3"/>
    <w:rsid w:val="00292907"/>
    <w:rsid w:val="00292AA0"/>
    <w:rsid w:val="00292BAA"/>
    <w:rsid w:val="002931DB"/>
    <w:rsid w:val="002931F8"/>
    <w:rsid w:val="0029320C"/>
    <w:rsid w:val="0029362A"/>
    <w:rsid w:val="00293907"/>
    <w:rsid w:val="00293BE3"/>
    <w:rsid w:val="00293CAA"/>
    <w:rsid w:val="00293D3F"/>
    <w:rsid w:val="00293D60"/>
    <w:rsid w:val="00293E82"/>
    <w:rsid w:val="00293EE8"/>
    <w:rsid w:val="00294063"/>
    <w:rsid w:val="00294151"/>
    <w:rsid w:val="00294244"/>
    <w:rsid w:val="002942D9"/>
    <w:rsid w:val="002942E0"/>
    <w:rsid w:val="002942E8"/>
    <w:rsid w:val="002942FB"/>
    <w:rsid w:val="00294313"/>
    <w:rsid w:val="00294536"/>
    <w:rsid w:val="002945AE"/>
    <w:rsid w:val="002945CD"/>
    <w:rsid w:val="0029477E"/>
    <w:rsid w:val="0029478B"/>
    <w:rsid w:val="002947E5"/>
    <w:rsid w:val="002948CE"/>
    <w:rsid w:val="002949C2"/>
    <w:rsid w:val="00294A47"/>
    <w:rsid w:val="00294B88"/>
    <w:rsid w:val="00294BCB"/>
    <w:rsid w:val="00294C0B"/>
    <w:rsid w:val="00294C0F"/>
    <w:rsid w:val="00294C29"/>
    <w:rsid w:val="00294C3B"/>
    <w:rsid w:val="00294C7F"/>
    <w:rsid w:val="00294D4A"/>
    <w:rsid w:val="0029503F"/>
    <w:rsid w:val="0029513A"/>
    <w:rsid w:val="00295214"/>
    <w:rsid w:val="00295237"/>
    <w:rsid w:val="00295246"/>
    <w:rsid w:val="002952C5"/>
    <w:rsid w:val="002952FF"/>
    <w:rsid w:val="00295374"/>
    <w:rsid w:val="002953DF"/>
    <w:rsid w:val="00295462"/>
    <w:rsid w:val="00295570"/>
    <w:rsid w:val="002957F0"/>
    <w:rsid w:val="00295868"/>
    <w:rsid w:val="002958D8"/>
    <w:rsid w:val="00295951"/>
    <w:rsid w:val="00295AAA"/>
    <w:rsid w:val="00295B44"/>
    <w:rsid w:val="00295B82"/>
    <w:rsid w:val="00295C82"/>
    <w:rsid w:val="00295D82"/>
    <w:rsid w:val="00295DB6"/>
    <w:rsid w:val="00295DF6"/>
    <w:rsid w:val="00295FB7"/>
    <w:rsid w:val="002960D9"/>
    <w:rsid w:val="0029619E"/>
    <w:rsid w:val="00296235"/>
    <w:rsid w:val="00296265"/>
    <w:rsid w:val="00296282"/>
    <w:rsid w:val="002962EE"/>
    <w:rsid w:val="0029632E"/>
    <w:rsid w:val="002963AD"/>
    <w:rsid w:val="002963D2"/>
    <w:rsid w:val="00296423"/>
    <w:rsid w:val="0029645C"/>
    <w:rsid w:val="0029662B"/>
    <w:rsid w:val="00296794"/>
    <w:rsid w:val="002968CF"/>
    <w:rsid w:val="00296A52"/>
    <w:rsid w:val="00296D21"/>
    <w:rsid w:val="00296EDD"/>
    <w:rsid w:val="00296F4A"/>
    <w:rsid w:val="00296F90"/>
    <w:rsid w:val="002970D6"/>
    <w:rsid w:val="002970FE"/>
    <w:rsid w:val="00297111"/>
    <w:rsid w:val="00297170"/>
    <w:rsid w:val="00297188"/>
    <w:rsid w:val="0029719C"/>
    <w:rsid w:val="002971F1"/>
    <w:rsid w:val="002972C1"/>
    <w:rsid w:val="00297394"/>
    <w:rsid w:val="002973E5"/>
    <w:rsid w:val="00297465"/>
    <w:rsid w:val="00297480"/>
    <w:rsid w:val="002974AB"/>
    <w:rsid w:val="002974CD"/>
    <w:rsid w:val="002975B8"/>
    <w:rsid w:val="002975D9"/>
    <w:rsid w:val="00297665"/>
    <w:rsid w:val="002976D8"/>
    <w:rsid w:val="00297811"/>
    <w:rsid w:val="00297813"/>
    <w:rsid w:val="00297846"/>
    <w:rsid w:val="00297904"/>
    <w:rsid w:val="0029794F"/>
    <w:rsid w:val="0029797A"/>
    <w:rsid w:val="00297A87"/>
    <w:rsid w:val="00297C5D"/>
    <w:rsid w:val="00297CB3"/>
    <w:rsid w:val="00297D7B"/>
    <w:rsid w:val="00297E1F"/>
    <w:rsid w:val="00297E56"/>
    <w:rsid w:val="00297F6A"/>
    <w:rsid w:val="00298D2C"/>
    <w:rsid w:val="002A0045"/>
    <w:rsid w:val="002A00EF"/>
    <w:rsid w:val="002A0132"/>
    <w:rsid w:val="002A01CC"/>
    <w:rsid w:val="002A01D0"/>
    <w:rsid w:val="002A030D"/>
    <w:rsid w:val="002A039F"/>
    <w:rsid w:val="002A03C5"/>
    <w:rsid w:val="002A0434"/>
    <w:rsid w:val="002A0665"/>
    <w:rsid w:val="002A06CA"/>
    <w:rsid w:val="002A06FF"/>
    <w:rsid w:val="002A074D"/>
    <w:rsid w:val="002A07AB"/>
    <w:rsid w:val="002A0835"/>
    <w:rsid w:val="002A0862"/>
    <w:rsid w:val="002A09A0"/>
    <w:rsid w:val="002A09ED"/>
    <w:rsid w:val="002A0AEC"/>
    <w:rsid w:val="002A0B6F"/>
    <w:rsid w:val="002A0BC3"/>
    <w:rsid w:val="002A0BE2"/>
    <w:rsid w:val="002A0E56"/>
    <w:rsid w:val="002A109B"/>
    <w:rsid w:val="002A11C2"/>
    <w:rsid w:val="002A125E"/>
    <w:rsid w:val="002A13F3"/>
    <w:rsid w:val="002A14F3"/>
    <w:rsid w:val="002A150D"/>
    <w:rsid w:val="002A1675"/>
    <w:rsid w:val="002A1804"/>
    <w:rsid w:val="002A1885"/>
    <w:rsid w:val="002A189D"/>
    <w:rsid w:val="002A18B6"/>
    <w:rsid w:val="002A18EF"/>
    <w:rsid w:val="002A19EC"/>
    <w:rsid w:val="002A1ABA"/>
    <w:rsid w:val="002A1E2F"/>
    <w:rsid w:val="002A1EDB"/>
    <w:rsid w:val="002A1F4F"/>
    <w:rsid w:val="002A1FAD"/>
    <w:rsid w:val="002A1FEA"/>
    <w:rsid w:val="002A2024"/>
    <w:rsid w:val="002A20BF"/>
    <w:rsid w:val="002A216A"/>
    <w:rsid w:val="002A22E2"/>
    <w:rsid w:val="002A232A"/>
    <w:rsid w:val="002A2438"/>
    <w:rsid w:val="002A243D"/>
    <w:rsid w:val="002A2472"/>
    <w:rsid w:val="002A2558"/>
    <w:rsid w:val="002A256E"/>
    <w:rsid w:val="002A25D5"/>
    <w:rsid w:val="002A25F2"/>
    <w:rsid w:val="002A269F"/>
    <w:rsid w:val="002A2705"/>
    <w:rsid w:val="002A28A4"/>
    <w:rsid w:val="002A28AE"/>
    <w:rsid w:val="002A2A2D"/>
    <w:rsid w:val="002A2ADB"/>
    <w:rsid w:val="002A2AFA"/>
    <w:rsid w:val="002A2C9A"/>
    <w:rsid w:val="002A2CF4"/>
    <w:rsid w:val="002A2D45"/>
    <w:rsid w:val="002A2D49"/>
    <w:rsid w:val="002A2E1F"/>
    <w:rsid w:val="002A2E54"/>
    <w:rsid w:val="002A2F3D"/>
    <w:rsid w:val="002A323A"/>
    <w:rsid w:val="002A32A5"/>
    <w:rsid w:val="002A341F"/>
    <w:rsid w:val="002A3481"/>
    <w:rsid w:val="002A3487"/>
    <w:rsid w:val="002A349D"/>
    <w:rsid w:val="002A34EC"/>
    <w:rsid w:val="002A352C"/>
    <w:rsid w:val="002A3604"/>
    <w:rsid w:val="002A3824"/>
    <w:rsid w:val="002A38E0"/>
    <w:rsid w:val="002A3955"/>
    <w:rsid w:val="002A3977"/>
    <w:rsid w:val="002A39BA"/>
    <w:rsid w:val="002A3AAE"/>
    <w:rsid w:val="002A3AC0"/>
    <w:rsid w:val="002A3B62"/>
    <w:rsid w:val="002A3C55"/>
    <w:rsid w:val="002A3CFD"/>
    <w:rsid w:val="002A3D1D"/>
    <w:rsid w:val="002A3D94"/>
    <w:rsid w:val="002A3E1C"/>
    <w:rsid w:val="002A3EEE"/>
    <w:rsid w:val="002A3F9A"/>
    <w:rsid w:val="002A402C"/>
    <w:rsid w:val="002A4271"/>
    <w:rsid w:val="002A4274"/>
    <w:rsid w:val="002A4343"/>
    <w:rsid w:val="002A43D3"/>
    <w:rsid w:val="002A44F6"/>
    <w:rsid w:val="002A44F9"/>
    <w:rsid w:val="002A4583"/>
    <w:rsid w:val="002A462E"/>
    <w:rsid w:val="002A463E"/>
    <w:rsid w:val="002A46AE"/>
    <w:rsid w:val="002A4715"/>
    <w:rsid w:val="002A4735"/>
    <w:rsid w:val="002A4844"/>
    <w:rsid w:val="002A4856"/>
    <w:rsid w:val="002A4968"/>
    <w:rsid w:val="002A4982"/>
    <w:rsid w:val="002A4A38"/>
    <w:rsid w:val="002A4AA7"/>
    <w:rsid w:val="002A4AB9"/>
    <w:rsid w:val="002A4C07"/>
    <w:rsid w:val="002A4CE6"/>
    <w:rsid w:val="002A4D17"/>
    <w:rsid w:val="002A4D94"/>
    <w:rsid w:val="002A4F94"/>
    <w:rsid w:val="002A4FCD"/>
    <w:rsid w:val="002A5128"/>
    <w:rsid w:val="002A5152"/>
    <w:rsid w:val="002A53D9"/>
    <w:rsid w:val="002A5473"/>
    <w:rsid w:val="002A55D0"/>
    <w:rsid w:val="002A5682"/>
    <w:rsid w:val="002A571C"/>
    <w:rsid w:val="002A57AC"/>
    <w:rsid w:val="002A57F6"/>
    <w:rsid w:val="002A58CE"/>
    <w:rsid w:val="002A59D9"/>
    <w:rsid w:val="002A5A7A"/>
    <w:rsid w:val="002A5B21"/>
    <w:rsid w:val="002A5B28"/>
    <w:rsid w:val="002A5B44"/>
    <w:rsid w:val="002A5B61"/>
    <w:rsid w:val="002A5DCF"/>
    <w:rsid w:val="002A5E7D"/>
    <w:rsid w:val="002A61FE"/>
    <w:rsid w:val="002A623E"/>
    <w:rsid w:val="002A627D"/>
    <w:rsid w:val="002A6324"/>
    <w:rsid w:val="002A63A4"/>
    <w:rsid w:val="002A63D0"/>
    <w:rsid w:val="002A6431"/>
    <w:rsid w:val="002A64AD"/>
    <w:rsid w:val="002A6689"/>
    <w:rsid w:val="002A677A"/>
    <w:rsid w:val="002A677B"/>
    <w:rsid w:val="002A6806"/>
    <w:rsid w:val="002A6A6A"/>
    <w:rsid w:val="002A6B14"/>
    <w:rsid w:val="002A6BF8"/>
    <w:rsid w:val="002A6D02"/>
    <w:rsid w:val="002A6D3B"/>
    <w:rsid w:val="002A6D8B"/>
    <w:rsid w:val="002A6EB3"/>
    <w:rsid w:val="002A702B"/>
    <w:rsid w:val="002A70F4"/>
    <w:rsid w:val="002A71CB"/>
    <w:rsid w:val="002A72F5"/>
    <w:rsid w:val="002A732A"/>
    <w:rsid w:val="002A73F0"/>
    <w:rsid w:val="002A74DF"/>
    <w:rsid w:val="002A751B"/>
    <w:rsid w:val="002A75B8"/>
    <w:rsid w:val="002A775C"/>
    <w:rsid w:val="002A7824"/>
    <w:rsid w:val="002A7836"/>
    <w:rsid w:val="002A786E"/>
    <w:rsid w:val="002A7900"/>
    <w:rsid w:val="002A7ADE"/>
    <w:rsid w:val="002A7B0E"/>
    <w:rsid w:val="002A7B7C"/>
    <w:rsid w:val="002A7C25"/>
    <w:rsid w:val="002A7E0B"/>
    <w:rsid w:val="002B007B"/>
    <w:rsid w:val="002B0099"/>
    <w:rsid w:val="002B0121"/>
    <w:rsid w:val="002B01C2"/>
    <w:rsid w:val="002B0214"/>
    <w:rsid w:val="002B0255"/>
    <w:rsid w:val="002B0260"/>
    <w:rsid w:val="002B02ED"/>
    <w:rsid w:val="002B02F5"/>
    <w:rsid w:val="002B0434"/>
    <w:rsid w:val="002B0445"/>
    <w:rsid w:val="002B0674"/>
    <w:rsid w:val="002B0753"/>
    <w:rsid w:val="002B0804"/>
    <w:rsid w:val="002B098A"/>
    <w:rsid w:val="002B0A4C"/>
    <w:rsid w:val="002B0CB8"/>
    <w:rsid w:val="002B0D63"/>
    <w:rsid w:val="002B101A"/>
    <w:rsid w:val="002B103C"/>
    <w:rsid w:val="002B10B7"/>
    <w:rsid w:val="002B115E"/>
    <w:rsid w:val="002B14BF"/>
    <w:rsid w:val="002B157F"/>
    <w:rsid w:val="002B167A"/>
    <w:rsid w:val="002B1687"/>
    <w:rsid w:val="002B16E5"/>
    <w:rsid w:val="002B172E"/>
    <w:rsid w:val="002B182B"/>
    <w:rsid w:val="002B1895"/>
    <w:rsid w:val="002B1979"/>
    <w:rsid w:val="002B1B2B"/>
    <w:rsid w:val="002B1BF2"/>
    <w:rsid w:val="002B1D00"/>
    <w:rsid w:val="002B1EC8"/>
    <w:rsid w:val="002B1F67"/>
    <w:rsid w:val="002B1FA8"/>
    <w:rsid w:val="002B1FF6"/>
    <w:rsid w:val="002B21BF"/>
    <w:rsid w:val="002B221C"/>
    <w:rsid w:val="002B2322"/>
    <w:rsid w:val="002B24AA"/>
    <w:rsid w:val="002B24EA"/>
    <w:rsid w:val="002B2543"/>
    <w:rsid w:val="002B256F"/>
    <w:rsid w:val="002B2683"/>
    <w:rsid w:val="002B2803"/>
    <w:rsid w:val="002B294A"/>
    <w:rsid w:val="002B29EE"/>
    <w:rsid w:val="002B2A42"/>
    <w:rsid w:val="002B2C79"/>
    <w:rsid w:val="002B2CB0"/>
    <w:rsid w:val="002B2FFD"/>
    <w:rsid w:val="002B3073"/>
    <w:rsid w:val="002B30DB"/>
    <w:rsid w:val="002B31BC"/>
    <w:rsid w:val="002B3582"/>
    <w:rsid w:val="002B36B1"/>
    <w:rsid w:val="002B36F7"/>
    <w:rsid w:val="002B3712"/>
    <w:rsid w:val="002B3782"/>
    <w:rsid w:val="002B38AA"/>
    <w:rsid w:val="002B39E3"/>
    <w:rsid w:val="002B3BC1"/>
    <w:rsid w:val="002B3BCF"/>
    <w:rsid w:val="002B3CCD"/>
    <w:rsid w:val="002B3E1D"/>
    <w:rsid w:val="002B3FF9"/>
    <w:rsid w:val="002B40E0"/>
    <w:rsid w:val="002B4167"/>
    <w:rsid w:val="002B41A6"/>
    <w:rsid w:val="002B4265"/>
    <w:rsid w:val="002B4383"/>
    <w:rsid w:val="002B44A2"/>
    <w:rsid w:val="002B46A1"/>
    <w:rsid w:val="002B4755"/>
    <w:rsid w:val="002B4811"/>
    <w:rsid w:val="002B4830"/>
    <w:rsid w:val="002B4871"/>
    <w:rsid w:val="002B4986"/>
    <w:rsid w:val="002B49DF"/>
    <w:rsid w:val="002B4AD7"/>
    <w:rsid w:val="002B4B1D"/>
    <w:rsid w:val="002B4B6F"/>
    <w:rsid w:val="002B4B70"/>
    <w:rsid w:val="002B4BAF"/>
    <w:rsid w:val="002B4D41"/>
    <w:rsid w:val="002B4DC4"/>
    <w:rsid w:val="002B4E03"/>
    <w:rsid w:val="002B4E77"/>
    <w:rsid w:val="002B4FC6"/>
    <w:rsid w:val="002B4FE7"/>
    <w:rsid w:val="002B5039"/>
    <w:rsid w:val="002B522D"/>
    <w:rsid w:val="002B5315"/>
    <w:rsid w:val="002B5349"/>
    <w:rsid w:val="002B5426"/>
    <w:rsid w:val="002B5456"/>
    <w:rsid w:val="002B55BF"/>
    <w:rsid w:val="002B55C5"/>
    <w:rsid w:val="002B55D9"/>
    <w:rsid w:val="002B5667"/>
    <w:rsid w:val="002B572D"/>
    <w:rsid w:val="002B57A6"/>
    <w:rsid w:val="002B5822"/>
    <w:rsid w:val="002B5929"/>
    <w:rsid w:val="002B5AAE"/>
    <w:rsid w:val="002B5AC4"/>
    <w:rsid w:val="002B5B39"/>
    <w:rsid w:val="002B5BF2"/>
    <w:rsid w:val="002B5F10"/>
    <w:rsid w:val="002B6017"/>
    <w:rsid w:val="002B6070"/>
    <w:rsid w:val="002B620C"/>
    <w:rsid w:val="002B6298"/>
    <w:rsid w:val="002B6359"/>
    <w:rsid w:val="002B6562"/>
    <w:rsid w:val="002B6744"/>
    <w:rsid w:val="002B67B2"/>
    <w:rsid w:val="002B6919"/>
    <w:rsid w:val="002B69C4"/>
    <w:rsid w:val="002B6AAF"/>
    <w:rsid w:val="002B6D63"/>
    <w:rsid w:val="002B6D6C"/>
    <w:rsid w:val="002B6D7E"/>
    <w:rsid w:val="002B6DF2"/>
    <w:rsid w:val="002B6E20"/>
    <w:rsid w:val="002B6EBB"/>
    <w:rsid w:val="002B70DE"/>
    <w:rsid w:val="002B725D"/>
    <w:rsid w:val="002B730C"/>
    <w:rsid w:val="002B732A"/>
    <w:rsid w:val="002B740E"/>
    <w:rsid w:val="002B741E"/>
    <w:rsid w:val="002B7705"/>
    <w:rsid w:val="002B7954"/>
    <w:rsid w:val="002B7A6B"/>
    <w:rsid w:val="002B7AD2"/>
    <w:rsid w:val="002B7B98"/>
    <w:rsid w:val="002B7BE6"/>
    <w:rsid w:val="002B7D16"/>
    <w:rsid w:val="002B7D66"/>
    <w:rsid w:val="002B7D7C"/>
    <w:rsid w:val="002B7D9F"/>
    <w:rsid w:val="002B7DFB"/>
    <w:rsid w:val="002B7E44"/>
    <w:rsid w:val="002B7E97"/>
    <w:rsid w:val="002C006E"/>
    <w:rsid w:val="002C00B1"/>
    <w:rsid w:val="002C013D"/>
    <w:rsid w:val="002C0147"/>
    <w:rsid w:val="002C023D"/>
    <w:rsid w:val="002C0372"/>
    <w:rsid w:val="002C04A5"/>
    <w:rsid w:val="002C0622"/>
    <w:rsid w:val="002C064E"/>
    <w:rsid w:val="002C06B4"/>
    <w:rsid w:val="002C06EA"/>
    <w:rsid w:val="002C0769"/>
    <w:rsid w:val="002C0786"/>
    <w:rsid w:val="002C0856"/>
    <w:rsid w:val="002C0884"/>
    <w:rsid w:val="002C0903"/>
    <w:rsid w:val="002C0970"/>
    <w:rsid w:val="002C0A43"/>
    <w:rsid w:val="002C0A9A"/>
    <w:rsid w:val="002C0BF1"/>
    <w:rsid w:val="002C0D81"/>
    <w:rsid w:val="002C0D90"/>
    <w:rsid w:val="002C0E6A"/>
    <w:rsid w:val="002C0F95"/>
    <w:rsid w:val="002C11F1"/>
    <w:rsid w:val="002C12A2"/>
    <w:rsid w:val="002C12B1"/>
    <w:rsid w:val="002C13C3"/>
    <w:rsid w:val="002C140D"/>
    <w:rsid w:val="002C1449"/>
    <w:rsid w:val="002C1530"/>
    <w:rsid w:val="002C1555"/>
    <w:rsid w:val="002C1981"/>
    <w:rsid w:val="002C19EE"/>
    <w:rsid w:val="002C1A11"/>
    <w:rsid w:val="002C1B4E"/>
    <w:rsid w:val="002C1C7E"/>
    <w:rsid w:val="002C209C"/>
    <w:rsid w:val="002C21B9"/>
    <w:rsid w:val="002C222B"/>
    <w:rsid w:val="002C22F4"/>
    <w:rsid w:val="002C2514"/>
    <w:rsid w:val="002C2660"/>
    <w:rsid w:val="002C27C9"/>
    <w:rsid w:val="002C2976"/>
    <w:rsid w:val="002C29D6"/>
    <w:rsid w:val="002C2B1A"/>
    <w:rsid w:val="002C2C26"/>
    <w:rsid w:val="002C2E8D"/>
    <w:rsid w:val="002C2FAA"/>
    <w:rsid w:val="002C304F"/>
    <w:rsid w:val="002C305F"/>
    <w:rsid w:val="002C3217"/>
    <w:rsid w:val="002C32ED"/>
    <w:rsid w:val="002C34DE"/>
    <w:rsid w:val="002C3504"/>
    <w:rsid w:val="002C356F"/>
    <w:rsid w:val="002C3655"/>
    <w:rsid w:val="002C3757"/>
    <w:rsid w:val="002C3795"/>
    <w:rsid w:val="002C380C"/>
    <w:rsid w:val="002C3826"/>
    <w:rsid w:val="002C3B55"/>
    <w:rsid w:val="002C3B90"/>
    <w:rsid w:val="002C3C35"/>
    <w:rsid w:val="002C3C4A"/>
    <w:rsid w:val="002C3CC0"/>
    <w:rsid w:val="002C3FDA"/>
    <w:rsid w:val="002C4059"/>
    <w:rsid w:val="002C437B"/>
    <w:rsid w:val="002C4402"/>
    <w:rsid w:val="002C448B"/>
    <w:rsid w:val="002C455E"/>
    <w:rsid w:val="002C4661"/>
    <w:rsid w:val="002C46A4"/>
    <w:rsid w:val="002C470B"/>
    <w:rsid w:val="002C48B6"/>
    <w:rsid w:val="002C4912"/>
    <w:rsid w:val="002C4939"/>
    <w:rsid w:val="002C4A37"/>
    <w:rsid w:val="002C4BBA"/>
    <w:rsid w:val="002C4D6E"/>
    <w:rsid w:val="002C4DDB"/>
    <w:rsid w:val="002C4ED6"/>
    <w:rsid w:val="002C4F38"/>
    <w:rsid w:val="002C504D"/>
    <w:rsid w:val="002C5085"/>
    <w:rsid w:val="002C51AC"/>
    <w:rsid w:val="002C52B1"/>
    <w:rsid w:val="002C53CC"/>
    <w:rsid w:val="002C5411"/>
    <w:rsid w:val="002C5630"/>
    <w:rsid w:val="002C572E"/>
    <w:rsid w:val="002C57F2"/>
    <w:rsid w:val="002C58EA"/>
    <w:rsid w:val="002C5AA5"/>
    <w:rsid w:val="002C5ACB"/>
    <w:rsid w:val="002C5BD1"/>
    <w:rsid w:val="002C5D1F"/>
    <w:rsid w:val="002C5DCE"/>
    <w:rsid w:val="002C5E95"/>
    <w:rsid w:val="002C5EA1"/>
    <w:rsid w:val="002C5EF6"/>
    <w:rsid w:val="002C5F7B"/>
    <w:rsid w:val="002C6024"/>
    <w:rsid w:val="002C6072"/>
    <w:rsid w:val="002C610E"/>
    <w:rsid w:val="002C6163"/>
    <w:rsid w:val="002C6187"/>
    <w:rsid w:val="002C6207"/>
    <w:rsid w:val="002C62AD"/>
    <w:rsid w:val="002C634B"/>
    <w:rsid w:val="002C6378"/>
    <w:rsid w:val="002C63F6"/>
    <w:rsid w:val="002C63F9"/>
    <w:rsid w:val="002C6494"/>
    <w:rsid w:val="002C64AA"/>
    <w:rsid w:val="002C64D9"/>
    <w:rsid w:val="002C6640"/>
    <w:rsid w:val="002C66AF"/>
    <w:rsid w:val="002C66B3"/>
    <w:rsid w:val="002C6782"/>
    <w:rsid w:val="002C67AD"/>
    <w:rsid w:val="002C68F9"/>
    <w:rsid w:val="002C69D7"/>
    <w:rsid w:val="002C6A2F"/>
    <w:rsid w:val="002C6A32"/>
    <w:rsid w:val="002C6A4C"/>
    <w:rsid w:val="002C6A99"/>
    <w:rsid w:val="002C6B48"/>
    <w:rsid w:val="002C6B6A"/>
    <w:rsid w:val="002C6B80"/>
    <w:rsid w:val="002C6CB4"/>
    <w:rsid w:val="002C6CDE"/>
    <w:rsid w:val="002C6DC7"/>
    <w:rsid w:val="002C6E25"/>
    <w:rsid w:val="002C6E4B"/>
    <w:rsid w:val="002C6FEC"/>
    <w:rsid w:val="002C7006"/>
    <w:rsid w:val="002C7021"/>
    <w:rsid w:val="002C7155"/>
    <w:rsid w:val="002C71C1"/>
    <w:rsid w:val="002C7280"/>
    <w:rsid w:val="002C732B"/>
    <w:rsid w:val="002C7442"/>
    <w:rsid w:val="002C74E2"/>
    <w:rsid w:val="002C7678"/>
    <w:rsid w:val="002C7775"/>
    <w:rsid w:val="002C77D8"/>
    <w:rsid w:val="002C78FE"/>
    <w:rsid w:val="002C7966"/>
    <w:rsid w:val="002C7C41"/>
    <w:rsid w:val="002C7C75"/>
    <w:rsid w:val="002C7CE8"/>
    <w:rsid w:val="002C7D71"/>
    <w:rsid w:val="002C7D9D"/>
    <w:rsid w:val="002C7E52"/>
    <w:rsid w:val="002C7F95"/>
    <w:rsid w:val="002D0002"/>
    <w:rsid w:val="002D0247"/>
    <w:rsid w:val="002D0284"/>
    <w:rsid w:val="002D045B"/>
    <w:rsid w:val="002D063A"/>
    <w:rsid w:val="002D064F"/>
    <w:rsid w:val="002D06CF"/>
    <w:rsid w:val="002D07A6"/>
    <w:rsid w:val="002D0838"/>
    <w:rsid w:val="002D08BE"/>
    <w:rsid w:val="002D0999"/>
    <w:rsid w:val="002D0AB8"/>
    <w:rsid w:val="002D0AD4"/>
    <w:rsid w:val="002D0BD8"/>
    <w:rsid w:val="002D0C7E"/>
    <w:rsid w:val="002D0E53"/>
    <w:rsid w:val="002D0E58"/>
    <w:rsid w:val="002D0F61"/>
    <w:rsid w:val="002D0F97"/>
    <w:rsid w:val="002D0FDD"/>
    <w:rsid w:val="002D1056"/>
    <w:rsid w:val="002D1068"/>
    <w:rsid w:val="002D10A6"/>
    <w:rsid w:val="002D114E"/>
    <w:rsid w:val="002D1206"/>
    <w:rsid w:val="002D127E"/>
    <w:rsid w:val="002D12AB"/>
    <w:rsid w:val="002D1386"/>
    <w:rsid w:val="002D13B8"/>
    <w:rsid w:val="002D13C5"/>
    <w:rsid w:val="002D1407"/>
    <w:rsid w:val="002D1505"/>
    <w:rsid w:val="002D1512"/>
    <w:rsid w:val="002D15A7"/>
    <w:rsid w:val="002D15D2"/>
    <w:rsid w:val="002D160C"/>
    <w:rsid w:val="002D18C9"/>
    <w:rsid w:val="002D199C"/>
    <w:rsid w:val="002D1A63"/>
    <w:rsid w:val="002D1B1D"/>
    <w:rsid w:val="002D1B32"/>
    <w:rsid w:val="002D1DFB"/>
    <w:rsid w:val="002D1F58"/>
    <w:rsid w:val="002D1F8F"/>
    <w:rsid w:val="002D218B"/>
    <w:rsid w:val="002D2202"/>
    <w:rsid w:val="002D22EE"/>
    <w:rsid w:val="002D23E4"/>
    <w:rsid w:val="002D2529"/>
    <w:rsid w:val="002D27CB"/>
    <w:rsid w:val="002D2985"/>
    <w:rsid w:val="002D2998"/>
    <w:rsid w:val="002D2A24"/>
    <w:rsid w:val="002D2ABA"/>
    <w:rsid w:val="002D2BB3"/>
    <w:rsid w:val="002D2BFE"/>
    <w:rsid w:val="002D2C25"/>
    <w:rsid w:val="002D2C7A"/>
    <w:rsid w:val="002D2CB2"/>
    <w:rsid w:val="002D2DF3"/>
    <w:rsid w:val="002D2F4B"/>
    <w:rsid w:val="002D3025"/>
    <w:rsid w:val="002D30B9"/>
    <w:rsid w:val="002D31A7"/>
    <w:rsid w:val="002D322D"/>
    <w:rsid w:val="002D324F"/>
    <w:rsid w:val="002D35A6"/>
    <w:rsid w:val="002D3620"/>
    <w:rsid w:val="002D3710"/>
    <w:rsid w:val="002D37DF"/>
    <w:rsid w:val="002D37FC"/>
    <w:rsid w:val="002D380C"/>
    <w:rsid w:val="002D3942"/>
    <w:rsid w:val="002D397D"/>
    <w:rsid w:val="002D3B63"/>
    <w:rsid w:val="002D3BB1"/>
    <w:rsid w:val="002D3C91"/>
    <w:rsid w:val="002D3D93"/>
    <w:rsid w:val="002D3E3A"/>
    <w:rsid w:val="002D3F55"/>
    <w:rsid w:val="002D3FB9"/>
    <w:rsid w:val="002D40E1"/>
    <w:rsid w:val="002D40F7"/>
    <w:rsid w:val="002D4234"/>
    <w:rsid w:val="002D4239"/>
    <w:rsid w:val="002D4310"/>
    <w:rsid w:val="002D441D"/>
    <w:rsid w:val="002D4450"/>
    <w:rsid w:val="002D459B"/>
    <w:rsid w:val="002D45AF"/>
    <w:rsid w:val="002D45CE"/>
    <w:rsid w:val="002D4788"/>
    <w:rsid w:val="002D478F"/>
    <w:rsid w:val="002D4931"/>
    <w:rsid w:val="002D4983"/>
    <w:rsid w:val="002D4B6A"/>
    <w:rsid w:val="002D4BE0"/>
    <w:rsid w:val="002D4C69"/>
    <w:rsid w:val="002D4D07"/>
    <w:rsid w:val="002D4DD5"/>
    <w:rsid w:val="002D4EBC"/>
    <w:rsid w:val="002D4EFC"/>
    <w:rsid w:val="002D4FBC"/>
    <w:rsid w:val="002D500E"/>
    <w:rsid w:val="002D5012"/>
    <w:rsid w:val="002D51D3"/>
    <w:rsid w:val="002D5284"/>
    <w:rsid w:val="002D5365"/>
    <w:rsid w:val="002D5379"/>
    <w:rsid w:val="002D537F"/>
    <w:rsid w:val="002D5512"/>
    <w:rsid w:val="002D5532"/>
    <w:rsid w:val="002D553E"/>
    <w:rsid w:val="002D5598"/>
    <w:rsid w:val="002D575B"/>
    <w:rsid w:val="002D5866"/>
    <w:rsid w:val="002D59B1"/>
    <w:rsid w:val="002D5A01"/>
    <w:rsid w:val="002D5C22"/>
    <w:rsid w:val="002D5CC3"/>
    <w:rsid w:val="002D5CE7"/>
    <w:rsid w:val="002D5D05"/>
    <w:rsid w:val="002D5D0A"/>
    <w:rsid w:val="002D5EA7"/>
    <w:rsid w:val="002D5F73"/>
    <w:rsid w:val="002D624B"/>
    <w:rsid w:val="002D6257"/>
    <w:rsid w:val="002D6368"/>
    <w:rsid w:val="002D63B3"/>
    <w:rsid w:val="002D6403"/>
    <w:rsid w:val="002D660A"/>
    <w:rsid w:val="002D6649"/>
    <w:rsid w:val="002D6658"/>
    <w:rsid w:val="002D6774"/>
    <w:rsid w:val="002D6802"/>
    <w:rsid w:val="002D6816"/>
    <w:rsid w:val="002D691F"/>
    <w:rsid w:val="002D697F"/>
    <w:rsid w:val="002D6A63"/>
    <w:rsid w:val="002D6AEA"/>
    <w:rsid w:val="002D6C52"/>
    <w:rsid w:val="002D6C5F"/>
    <w:rsid w:val="002D6C75"/>
    <w:rsid w:val="002D6D34"/>
    <w:rsid w:val="002D6EE0"/>
    <w:rsid w:val="002D6F8E"/>
    <w:rsid w:val="002D715A"/>
    <w:rsid w:val="002D715C"/>
    <w:rsid w:val="002D73FB"/>
    <w:rsid w:val="002D74F9"/>
    <w:rsid w:val="002D7644"/>
    <w:rsid w:val="002D77C4"/>
    <w:rsid w:val="002D7898"/>
    <w:rsid w:val="002D7A37"/>
    <w:rsid w:val="002D7AAD"/>
    <w:rsid w:val="002D7AE0"/>
    <w:rsid w:val="002D7B39"/>
    <w:rsid w:val="002D7CDA"/>
    <w:rsid w:val="002D7CEE"/>
    <w:rsid w:val="002D7D24"/>
    <w:rsid w:val="002D7D44"/>
    <w:rsid w:val="002D7D7E"/>
    <w:rsid w:val="002D7DFB"/>
    <w:rsid w:val="002D7EE2"/>
    <w:rsid w:val="002D7FCF"/>
    <w:rsid w:val="002E008A"/>
    <w:rsid w:val="002E008D"/>
    <w:rsid w:val="002E0097"/>
    <w:rsid w:val="002E013D"/>
    <w:rsid w:val="002E02ED"/>
    <w:rsid w:val="002E0321"/>
    <w:rsid w:val="002E03E8"/>
    <w:rsid w:val="002E03EE"/>
    <w:rsid w:val="002E04AE"/>
    <w:rsid w:val="002E06D5"/>
    <w:rsid w:val="002E078F"/>
    <w:rsid w:val="002E0820"/>
    <w:rsid w:val="002E0846"/>
    <w:rsid w:val="002E084F"/>
    <w:rsid w:val="002E0A56"/>
    <w:rsid w:val="002E0BE3"/>
    <w:rsid w:val="002E0D20"/>
    <w:rsid w:val="002E0DD2"/>
    <w:rsid w:val="002E0DF8"/>
    <w:rsid w:val="002E0E3B"/>
    <w:rsid w:val="002E0F90"/>
    <w:rsid w:val="002E11A3"/>
    <w:rsid w:val="002E123D"/>
    <w:rsid w:val="002E14E8"/>
    <w:rsid w:val="002E16B5"/>
    <w:rsid w:val="002E16E1"/>
    <w:rsid w:val="002E1862"/>
    <w:rsid w:val="002E1B36"/>
    <w:rsid w:val="002E1B6C"/>
    <w:rsid w:val="002E1C4B"/>
    <w:rsid w:val="002E1CC8"/>
    <w:rsid w:val="002E1D40"/>
    <w:rsid w:val="002E1D44"/>
    <w:rsid w:val="002E1E94"/>
    <w:rsid w:val="002E1F3E"/>
    <w:rsid w:val="002E1FEC"/>
    <w:rsid w:val="002E2032"/>
    <w:rsid w:val="002E2146"/>
    <w:rsid w:val="002E21BA"/>
    <w:rsid w:val="002E21D7"/>
    <w:rsid w:val="002E2333"/>
    <w:rsid w:val="002E23E5"/>
    <w:rsid w:val="002E249F"/>
    <w:rsid w:val="002E2526"/>
    <w:rsid w:val="002E263A"/>
    <w:rsid w:val="002E26BC"/>
    <w:rsid w:val="002E29AA"/>
    <w:rsid w:val="002E2AD2"/>
    <w:rsid w:val="002E2B92"/>
    <w:rsid w:val="002E2C92"/>
    <w:rsid w:val="002E2D98"/>
    <w:rsid w:val="002E2DBB"/>
    <w:rsid w:val="002E2EA0"/>
    <w:rsid w:val="002E2F2A"/>
    <w:rsid w:val="002E2F63"/>
    <w:rsid w:val="002E2FBA"/>
    <w:rsid w:val="002E2FEF"/>
    <w:rsid w:val="002E2FFA"/>
    <w:rsid w:val="002E3066"/>
    <w:rsid w:val="002E308C"/>
    <w:rsid w:val="002E32C5"/>
    <w:rsid w:val="002E3384"/>
    <w:rsid w:val="002E33BF"/>
    <w:rsid w:val="002E3486"/>
    <w:rsid w:val="002E34A0"/>
    <w:rsid w:val="002E3623"/>
    <w:rsid w:val="002E3643"/>
    <w:rsid w:val="002E367D"/>
    <w:rsid w:val="002E3828"/>
    <w:rsid w:val="002E3948"/>
    <w:rsid w:val="002E3F55"/>
    <w:rsid w:val="002E3FAB"/>
    <w:rsid w:val="002E3FE1"/>
    <w:rsid w:val="002E3FE8"/>
    <w:rsid w:val="002E4072"/>
    <w:rsid w:val="002E41D4"/>
    <w:rsid w:val="002E45C2"/>
    <w:rsid w:val="002E46A7"/>
    <w:rsid w:val="002E472D"/>
    <w:rsid w:val="002E4781"/>
    <w:rsid w:val="002E47B5"/>
    <w:rsid w:val="002E47F9"/>
    <w:rsid w:val="002E4954"/>
    <w:rsid w:val="002E495A"/>
    <w:rsid w:val="002E4973"/>
    <w:rsid w:val="002E4A24"/>
    <w:rsid w:val="002E4ACE"/>
    <w:rsid w:val="002E4BB3"/>
    <w:rsid w:val="002E4D5A"/>
    <w:rsid w:val="002E4E0F"/>
    <w:rsid w:val="002E4E70"/>
    <w:rsid w:val="002E4F8A"/>
    <w:rsid w:val="002E4FC5"/>
    <w:rsid w:val="002E5238"/>
    <w:rsid w:val="002E5298"/>
    <w:rsid w:val="002E52FD"/>
    <w:rsid w:val="002E530F"/>
    <w:rsid w:val="002E5388"/>
    <w:rsid w:val="002E5498"/>
    <w:rsid w:val="002E54B2"/>
    <w:rsid w:val="002E54D2"/>
    <w:rsid w:val="002E54FA"/>
    <w:rsid w:val="002E5691"/>
    <w:rsid w:val="002E5784"/>
    <w:rsid w:val="002E5877"/>
    <w:rsid w:val="002E58E1"/>
    <w:rsid w:val="002E5972"/>
    <w:rsid w:val="002E598D"/>
    <w:rsid w:val="002E598E"/>
    <w:rsid w:val="002E5AB0"/>
    <w:rsid w:val="002E5ADB"/>
    <w:rsid w:val="002E5B6E"/>
    <w:rsid w:val="002E5BA8"/>
    <w:rsid w:val="002E5BC2"/>
    <w:rsid w:val="002E5CCC"/>
    <w:rsid w:val="002E5D51"/>
    <w:rsid w:val="002E5DB5"/>
    <w:rsid w:val="002E5DBA"/>
    <w:rsid w:val="002E5E23"/>
    <w:rsid w:val="002E5E8B"/>
    <w:rsid w:val="002E5E8D"/>
    <w:rsid w:val="002E6089"/>
    <w:rsid w:val="002E60AB"/>
    <w:rsid w:val="002E626C"/>
    <w:rsid w:val="002E6329"/>
    <w:rsid w:val="002E644D"/>
    <w:rsid w:val="002E64B4"/>
    <w:rsid w:val="002E6555"/>
    <w:rsid w:val="002E660F"/>
    <w:rsid w:val="002E672D"/>
    <w:rsid w:val="002E681E"/>
    <w:rsid w:val="002E6AB2"/>
    <w:rsid w:val="002E6AE0"/>
    <w:rsid w:val="002E6B88"/>
    <w:rsid w:val="002E6B8A"/>
    <w:rsid w:val="002E6D03"/>
    <w:rsid w:val="002E6D15"/>
    <w:rsid w:val="002E6D72"/>
    <w:rsid w:val="002E6EE0"/>
    <w:rsid w:val="002E6F2D"/>
    <w:rsid w:val="002E6F38"/>
    <w:rsid w:val="002E7086"/>
    <w:rsid w:val="002E70B9"/>
    <w:rsid w:val="002E73B1"/>
    <w:rsid w:val="002E754E"/>
    <w:rsid w:val="002E757F"/>
    <w:rsid w:val="002E75EF"/>
    <w:rsid w:val="002E7625"/>
    <w:rsid w:val="002E7667"/>
    <w:rsid w:val="002E77E6"/>
    <w:rsid w:val="002E7914"/>
    <w:rsid w:val="002E7922"/>
    <w:rsid w:val="002E792F"/>
    <w:rsid w:val="002E7A18"/>
    <w:rsid w:val="002E7A8B"/>
    <w:rsid w:val="002E7CA4"/>
    <w:rsid w:val="002E7CA8"/>
    <w:rsid w:val="002E7CC9"/>
    <w:rsid w:val="002E7DD6"/>
    <w:rsid w:val="002E7F54"/>
    <w:rsid w:val="002E7FBA"/>
    <w:rsid w:val="002F000C"/>
    <w:rsid w:val="002F000E"/>
    <w:rsid w:val="002F011A"/>
    <w:rsid w:val="002F01AD"/>
    <w:rsid w:val="002F01D5"/>
    <w:rsid w:val="002F0225"/>
    <w:rsid w:val="002F02CE"/>
    <w:rsid w:val="002F032A"/>
    <w:rsid w:val="002F041F"/>
    <w:rsid w:val="002F0444"/>
    <w:rsid w:val="002F0694"/>
    <w:rsid w:val="002F06A3"/>
    <w:rsid w:val="002F06C3"/>
    <w:rsid w:val="002F0889"/>
    <w:rsid w:val="002F0A28"/>
    <w:rsid w:val="002F0A6E"/>
    <w:rsid w:val="002F0AC9"/>
    <w:rsid w:val="002F0B5B"/>
    <w:rsid w:val="002F0D23"/>
    <w:rsid w:val="002F0D7D"/>
    <w:rsid w:val="002F0E02"/>
    <w:rsid w:val="002F0EDC"/>
    <w:rsid w:val="002F10A5"/>
    <w:rsid w:val="002F11FE"/>
    <w:rsid w:val="002F1239"/>
    <w:rsid w:val="002F13D6"/>
    <w:rsid w:val="002F14DE"/>
    <w:rsid w:val="002F1534"/>
    <w:rsid w:val="002F158E"/>
    <w:rsid w:val="002F1642"/>
    <w:rsid w:val="002F16EE"/>
    <w:rsid w:val="002F1713"/>
    <w:rsid w:val="002F1855"/>
    <w:rsid w:val="002F1931"/>
    <w:rsid w:val="002F19AA"/>
    <w:rsid w:val="002F1BC6"/>
    <w:rsid w:val="002F1C5A"/>
    <w:rsid w:val="002F1CC4"/>
    <w:rsid w:val="002F2005"/>
    <w:rsid w:val="002F2064"/>
    <w:rsid w:val="002F2069"/>
    <w:rsid w:val="002F2299"/>
    <w:rsid w:val="002F2316"/>
    <w:rsid w:val="002F2344"/>
    <w:rsid w:val="002F2360"/>
    <w:rsid w:val="002F2467"/>
    <w:rsid w:val="002F2692"/>
    <w:rsid w:val="002F26D0"/>
    <w:rsid w:val="002F2779"/>
    <w:rsid w:val="002F281E"/>
    <w:rsid w:val="002F28AB"/>
    <w:rsid w:val="002F28FA"/>
    <w:rsid w:val="002F29FE"/>
    <w:rsid w:val="002F2C77"/>
    <w:rsid w:val="002F2E91"/>
    <w:rsid w:val="002F2F75"/>
    <w:rsid w:val="002F300C"/>
    <w:rsid w:val="002F3099"/>
    <w:rsid w:val="002F30C1"/>
    <w:rsid w:val="002F312B"/>
    <w:rsid w:val="002F3487"/>
    <w:rsid w:val="002F3512"/>
    <w:rsid w:val="002F3570"/>
    <w:rsid w:val="002F3639"/>
    <w:rsid w:val="002F373B"/>
    <w:rsid w:val="002F3756"/>
    <w:rsid w:val="002F37AA"/>
    <w:rsid w:val="002F3964"/>
    <w:rsid w:val="002F3B6B"/>
    <w:rsid w:val="002F3B80"/>
    <w:rsid w:val="002F3B97"/>
    <w:rsid w:val="002F3B9E"/>
    <w:rsid w:val="002F3C04"/>
    <w:rsid w:val="002F3C0A"/>
    <w:rsid w:val="002F3C6B"/>
    <w:rsid w:val="002F3CA7"/>
    <w:rsid w:val="002F3CFE"/>
    <w:rsid w:val="002F3DED"/>
    <w:rsid w:val="002F3E65"/>
    <w:rsid w:val="002F3EC0"/>
    <w:rsid w:val="002F3F3F"/>
    <w:rsid w:val="002F4026"/>
    <w:rsid w:val="002F41D8"/>
    <w:rsid w:val="002F42F0"/>
    <w:rsid w:val="002F437F"/>
    <w:rsid w:val="002F446F"/>
    <w:rsid w:val="002F4473"/>
    <w:rsid w:val="002F44FB"/>
    <w:rsid w:val="002F4708"/>
    <w:rsid w:val="002F4799"/>
    <w:rsid w:val="002F493B"/>
    <w:rsid w:val="002F494C"/>
    <w:rsid w:val="002F4956"/>
    <w:rsid w:val="002F4A15"/>
    <w:rsid w:val="002F4A24"/>
    <w:rsid w:val="002F4A6A"/>
    <w:rsid w:val="002F4A84"/>
    <w:rsid w:val="002F4ABD"/>
    <w:rsid w:val="002F4B93"/>
    <w:rsid w:val="002F4C19"/>
    <w:rsid w:val="002F4DDD"/>
    <w:rsid w:val="002F4F90"/>
    <w:rsid w:val="002F5072"/>
    <w:rsid w:val="002F5094"/>
    <w:rsid w:val="002F51FC"/>
    <w:rsid w:val="002F52D8"/>
    <w:rsid w:val="002F56E0"/>
    <w:rsid w:val="002F581E"/>
    <w:rsid w:val="002F587B"/>
    <w:rsid w:val="002F5951"/>
    <w:rsid w:val="002F5980"/>
    <w:rsid w:val="002F59CF"/>
    <w:rsid w:val="002F5A3B"/>
    <w:rsid w:val="002F5A78"/>
    <w:rsid w:val="002F5A80"/>
    <w:rsid w:val="002F5AA1"/>
    <w:rsid w:val="002F5D09"/>
    <w:rsid w:val="002F5D0B"/>
    <w:rsid w:val="002F5D5E"/>
    <w:rsid w:val="002F5E46"/>
    <w:rsid w:val="002F5FC1"/>
    <w:rsid w:val="002F6026"/>
    <w:rsid w:val="002F6160"/>
    <w:rsid w:val="002F619A"/>
    <w:rsid w:val="002F627A"/>
    <w:rsid w:val="002F632F"/>
    <w:rsid w:val="002F6332"/>
    <w:rsid w:val="002F648B"/>
    <w:rsid w:val="002F65BE"/>
    <w:rsid w:val="002F66EE"/>
    <w:rsid w:val="002F6818"/>
    <w:rsid w:val="002F688E"/>
    <w:rsid w:val="002F68B6"/>
    <w:rsid w:val="002F6943"/>
    <w:rsid w:val="002F69F6"/>
    <w:rsid w:val="002F6AE2"/>
    <w:rsid w:val="002F6C27"/>
    <w:rsid w:val="002F6C87"/>
    <w:rsid w:val="002F6C91"/>
    <w:rsid w:val="002F6CAF"/>
    <w:rsid w:val="002F6D23"/>
    <w:rsid w:val="002F6E48"/>
    <w:rsid w:val="002F6EA5"/>
    <w:rsid w:val="002F6F77"/>
    <w:rsid w:val="002F72C6"/>
    <w:rsid w:val="002F73BF"/>
    <w:rsid w:val="002F74E1"/>
    <w:rsid w:val="002F752D"/>
    <w:rsid w:val="002F75DB"/>
    <w:rsid w:val="002F76DE"/>
    <w:rsid w:val="002F77C7"/>
    <w:rsid w:val="002F77CD"/>
    <w:rsid w:val="002F78E0"/>
    <w:rsid w:val="002F7901"/>
    <w:rsid w:val="002F7992"/>
    <w:rsid w:val="002F79DC"/>
    <w:rsid w:val="002F7B19"/>
    <w:rsid w:val="002F7CE7"/>
    <w:rsid w:val="002F7CF7"/>
    <w:rsid w:val="002F7DCE"/>
    <w:rsid w:val="002F7FB0"/>
    <w:rsid w:val="00300067"/>
    <w:rsid w:val="003000AC"/>
    <w:rsid w:val="00300192"/>
    <w:rsid w:val="003001F0"/>
    <w:rsid w:val="003003A7"/>
    <w:rsid w:val="003003D9"/>
    <w:rsid w:val="003003E3"/>
    <w:rsid w:val="0030040E"/>
    <w:rsid w:val="003004B0"/>
    <w:rsid w:val="003004E8"/>
    <w:rsid w:val="003005B0"/>
    <w:rsid w:val="003006D7"/>
    <w:rsid w:val="00300760"/>
    <w:rsid w:val="00300794"/>
    <w:rsid w:val="003007A8"/>
    <w:rsid w:val="003007FB"/>
    <w:rsid w:val="0030089D"/>
    <w:rsid w:val="0030096E"/>
    <w:rsid w:val="00300986"/>
    <w:rsid w:val="00300A3C"/>
    <w:rsid w:val="00300A47"/>
    <w:rsid w:val="00300A8B"/>
    <w:rsid w:val="00300ACC"/>
    <w:rsid w:val="00300CAE"/>
    <w:rsid w:val="00300CFE"/>
    <w:rsid w:val="00300EC2"/>
    <w:rsid w:val="00300F7E"/>
    <w:rsid w:val="0030108A"/>
    <w:rsid w:val="003010BA"/>
    <w:rsid w:val="00301166"/>
    <w:rsid w:val="0030124D"/>
    <w:rsid w:val="0030126B"/>
    <w:rsid w:val="00301281"/>
    <w:rsid w:val="00301282"/>
    <w:rsid w:val="003012ED"/>
    <w:rsid w:val="0030133C"/>
    <w:rsid w:val="0030135D"/>
    <w:rsid w:val="003015A9"/>
    <w:rsid w:val="003015EA"/>
    <w:rsid w:val="00301781"/>
    <w:rsid w:val="003017A8"/>
    <w:rsid w:val="00301816"/>
    <w:rsid w:val="003018CE"/>
    <w:rsid w:val="00301975"/>
    <w:rsid w:val="003019BA"/>
    <w:rsid w:val="00301A74"/>
    <w:rsid w:val="00301A91"/>
    <w:rsid w:val="00301B7C"/>
    <w:rsid w:val="00301BFC"/>
    <w:rsid w:val="00301CA1"/>
    <w:rsid w:val="00301D18"/>
    <w:rsid w:val="00301E5E"/>
    <w:rsid w:val="00301F1C"/>
    <w:rsid w:val="0030203B"/>
    <w:rsid w:val="00302076"/>
    <w:rsid w:val="003020DC"/>
    <w:rsid w:val="00302146"/>
    <w:rsid w:val="003021F6"/>
    <w:rsid w:val="00302278"/>
    <w:rsid w:val="003024BF"/>
    <w:rsid w:val="003024EC"/>
    <w:rsid w:val="00302781"/>
    <w:rsid w:val="003028A5"/>
    <w:rsid w:val="003028D9"/>
    <w:rsid w:val="00302909"/>
    <w:rsid w:val="0030290C"/>
    <w:rsid w:val="0030295C"/>
    <w:rsid w:val="003029E7"/>
    <w:rsid w:val="00302C88"/>
    <w:rsid w:val="00302CC2"/>
    <w:rsid w:val="00302E82"/>
    <w:rsid w:val="00302EEE"/>
    <w:rsid w:val="00302F99"/>
    <w:rsid w:val="00302FB8"/>
    <w:rsid w:val="00302FC3"/>
    <w:rsid w:val="00303049"/>
    <w:rsid w:val="0030308B"/>
    <w:rsid w:val="00303100"/>
    <w:rsid w:val="003031D1"/>
    <w:rsid w:val="003031D6"/>
    <w:rsid w:val="003031E8"/>
    <w:rsid w:val="0030325B"/>
    <w:rsid w:val="003032D5"/>
    <w:rsid w:val="003034E4"/>
    <w:rsid w:val="0030366A"/>
    <w:rsid w:val="00303796"/>
    <w:rsid w:val="003038F0"/>
    <w:rsid w:val="00303979"/>
    <w:rsid w:val="003039D1"/>
    <w:rsid w:val="00303A23"/>
    <w:rsid w:val="00303BC0"/>
    <w:rsid w:val="00303DC8"/>
    <w:rsid w:val="00303EC1"/>
    <w:rsid w:val="0030423B"/>
    <w:rsid w:val="003042B5"/>
    <w:rsid w:val="0030433D"/>
    <w:rsid w:val="0030435C"/>
    <w:rsid w:val="003044B7"/>
    <w:rsid w:val="0030459E"/>
    <w:rsid w:val="003045CF"/>
    <w:rsid w:val="00304655"/>
    <w:rsid w:val="00304744"/>
    <w:rsid w:val="00304769"/>
    <w:rsid w:val="0030498F"/>
    <w:rsid w:val="00304B72"/>
    <w:rsid w:val="00304C9A"/>
    <w:rsid w:val="00304CFA"/>
    <w:rsid w:val="00304E45"/>
    <w:rsid w:val="00304EF3"/>
    <w:rsid w:val="00304F0B"/>
    <w:rsid w:val="00304F75"/>
    <w:rsid w:val="00305113"/>
    <w:rsid w:val="00305255"/>
    <w:rsid w:val="0030577B"/>
    <w:rsid w:val="003059A9"/>
    <w:rsid w:val="00305A39"/>
    <w:rsid w:val="00305B14"/>
    <w:rsid w:val="00305C11"/>
    <w:rsid w:val="00305C69"/>
    <w:rsid w:val="00305CD3"/>
    <w:rsid w:val="00305D2A"/>
    <w:rsid w:val="00305D53"/>
    <w:rsid w:val="00305D8E"/>
    <w:rsid w:val="00305DC5"/>
    <w:rsid w:val="00305EFB"/>
    <w:rsid w:val="00305F12"/>
    <w:rsid w:val="00306007"/>
    <w:rsid w:val="00306123"/>
    <w:rsid w:val="003062A3"/>
    <w:rsid w:val="00306365"/>
    <w:rsid w:val="00306423"/>
    <w:rsid w:val="00306457"/>
    <w:rsid w:val="003064C9"/>
    <w:rsid w:val="00306513"/>
    <w:rsid w:val="003067DB"/>
    <w:rsid w:val="0030688D"/>
    <w:rsid w:val="0030689D"/>
    <w:rsid w:val="003068A5"/>
    <w:rsid w:val="003068A7"/>
    <w:rsid w:val="00306941"/>
    <w:rsid w:val="00306A73"/>
    <w:rsid w:val="00306BC5"/>
    <w:rsid w:val="00306CF7"/>
    <w:rsid w:val="00306DB1"/>
    <w:rsid w:val="00306F82"/>
    <w:rsid w:val="0030702C"/>
    <w:rsid w:val="00307053"/>
    <w:rsid w:val="003070B4"/>
    <w:rsid w:val="003070C0"/>
    <w:rsid w:val="003070DB"/>
    <w:rsid w:val="003070F6"/>
    <w:rsid w:val="00307341"/>
    <w:rsid w:val="003073BA"/>
    <w:rsid w:val="00307462"/>
    <w:rsid w:val="003075D5"/>
    <w:rsid w:val="0030767A"/>
    <w:rsid w:val="00307728"/>
    <w:rsid w:val="00307744"/>
    <w:rsid w:val="00307797"/>
    <w:rsid w:val="003077ED"/>
    <w:rsid w:val="0030780F"/>
    <w:rsid w:val="0030789A"/>
    <w:rsid w:val="003078B5"/>
    <w:rsid w:val="003078F7"/>
    <w:rsid w:val="003079E8"/>
    <w:rsid w:val="00307A18"/>
    <w:rsid w:val="00307A39"/>
    <w:rsid w:val="00307AF1"/>
    <w:rsid w:val="00307B40"/>
    <w:rsid w:val="00307BD0"/>
    <w:rsid w:val="00307C65"/>
    <w:rsid w:val="00307C77"/>
    <w:rsid w:val="00307E87"/>
    <w:rsid w:val="00307EDB"/>
    <w:rsid w:val="00310039"/>
    <w:rsid w:val="00310041"/>
    <w:rsid w:val="00310077"/>
    <w:rsid w:val="003100EE"/>
    <w:rsid w:val="00310100"/>
    <w:rsid w:val="00310219"/>
    <w:rsid w:val="003102BC"/>
    <w:rsid w:val="003102E3"/>
    <w:rsid w:val="003102F4"/>
    <w:rsid w:val="00310325"/>
    <w:rsid w:val="0031056D"/>
    <w:rsid w:val="00310626"/>
    <w:rsid w:val="003108C3"/>
    <w:rsid w:val="003109DC"/>
    <w:rsid w:val="003109F9"/>
    <w:rsid w:val="00310AD9"/>
    <w:rsid w:val="00310B0A"/>
    <w:rsid w:val="00310C43"/>
    <w:rsid w:val="00310C5F"/>
    <w:rsid w:val="00310D83"/>
    <w:rsid w:val="00310E70"/>
    <w:rsid w:val="00310E71"/>
    <w:rsid w:val="00310E9A"/>
    <w:rsid w:val="00310F64"/>
    <w:rsid w:val="0031100C"/>
    <w:rsid w:val="00311083"/>
    <w:rsid w:val="0031109A"/>
    <w:rsid w:val="00311331"/>
    <w:rsid w:val="003113FB"/>
    <w:rsid w:val="003114E3"/>
    <w:rsid w:val="0031150E"/>
    <w:rsid w:val="00311525"/>
    <w:rsid w:val="00311643"/>
    <w:rsid w:val="003116E0"/>
    <w:rsid w:val="0031172F"/>
    <w:rsid w:val="00311754"/>
    <w:rsid w:val="00311812"/>
    <w:rsid w:val="00311868"/>
    <w:rsid w:val="003118CD"/>
    <w:rsid w:val="00311A82"/>
    <w:rsid w:val="00311B14"/>
    <w:rsid w:val="00311B3B"/>
    <w:rsid w:val="00311CDF"/>
    <w:rsid w:val="00311E62"/>
    <w:rsid w:val="00311EB6"/>
    <w:rsid w:val="0031215E"/>
    <w:rsid w:val="00312199"/>
    <w:rsid w:val="00312486"/>
    <w:rsid w:val="00312599"/>
    <w:rsid w:val="00312748"/>
    <w:rsid w:val="003128B1"/>
    <w:rsid w:val="0031292F"/>
    <w:rsid w:val="00312982"/>
    <w:rsid w:val="00312AD2"/>
    <w:rsid w:val="00312B11"/>
    <w:rsid w:val="00312B99"/>
    <w:rsid w:val="00312BB2"/>
    <w:rsid w:val="00312E10"/>
    <w:rsid w:val="00312EB2"/>
    <w:rsid w:val="0031301D"/>
    <w:rsid w:val="003131AA"/>
    <w:rsid w:val="00313204"/>
    <w:rsid w:val="003132AC"/>
    <w:rsid w:val="00313343"/>
    <w:rsid w:val="00313396"/>
    <w:rsid w:val="00313465"/>
    <w:rsid w:val="003135F9"/>
    <w:rsid w:val="0031396C"/>
    <w:rsid w:val="00313991"/>
    <w:rsid w:val="003139D7"/>
    <w:rsid w:val="00313A5E"/>
    <w:rsid w:val="00313ABC"/>
    <w:rsid w:val="00313AE8"/>
    <w:rsid w:val="00313B2F"/>
    <w:rsid w:val="00313B31"/>
    <w:rsid w:val="00313C52"/>
    <w:rsid w:val="00313CDC"/>
    <w:rsid w:val="00313DBC"/>
    <w:rsid w:val="00313EF5"/>
    <w:rsid w:val="00313F34"/>
    <w:rsid w:val="003141D6"/>
    <w:rsid w:val="003143A4"/>
    <w:rsid w:val="00314590"/>
    <w:rsid w:val="003145A7"/>
    <w:rsid w:val="003145F8"/>
    <w:rsid w:val="00314665"/>
    <w:rsid w:val="0031469C"/>
    <w:rsid w:val="003146C3"/>
    <w:rsid w:val="003146E5"/>
    <w:rsid w:val="00314914"/>
    <w:rsid w:val="00314BAD"/>
    <w:rsid w:val="00314BDD"/>
    <w:rsid w:val="00314C40"/>
    <w:rsid w:val="00314CFC"/>
    <w:rsid w:val="00314D12"/>
    <w:rsid w:val="00314D44"/>
    <w:rsid w:val="00314DEC"/>
    <w:rsid w:val="00314FDF"/>
    <w:rsid w:val="0031504D"/>
    <w:rsid w:val="003151CF"/>
    <w:rsid w:val="003154F4"/>
    <w:rsid w:val="003155B6"/>
    <w:rsid w:val="003155DB"/>
    <w:rsid w:val="0031573B"/>
    <w:rsid w:val="003157ED"/>
    <w:rsid w:val="003158B1"/>
    <w:rsid w:val="003158C3"/>
    <w:rsid w:val="003158D7"/>
    <w:rsid w:val="003158FF"/>
    <w:rsid w:val="0031592F"/>
    <w:rsid w:val="003159CA"/>
    <w:rsid w:val="003159E0"/>
    <w:rsid w:val="00315AC7"/>
    <w:rsid w:val="00315B0D"/>
    <w:rsid w:val="00315B16"/>
    <w:rsid w:val="00315C1A"/>
    <w:rsid w:val="00315D60"/>
    <w:rsid w:val="00315EA2"/>
    <w:rsid w:val="00315F92"/>
    <w:rsid w:val="0031611E"/>
    <w:rsid w:val="00316255"/>
    <w:rsid w:val="00316258"/>
    <w:rsid w:val="0031625B"/>
    <w:rsid w:val="00316355"/>
    <w:rsid w:val="003163CC"/>
    <w:rsid w:val="00316437"/>
    <w:rsid w:val="0031648B"/>
    <w:rsid w:val="003164A4"/>
    <w:rsid w:val="0031658B"/>
    <w:rsid w:val="003165FB"/>
    <w:rsid w:val="003166DB"/>
    <w:rsid w:val="003168FF"/>
    <w:rsid w:val="00316A50"/>
    <w:rsid w:val="00316ACD"/>
    <w:rsid w:val="00316D7C"/>
    <w:rsid w:val="00316D8A"/>
    <w:rsid w:val="00316F8E"/>
    <w:rsid w:val="00316FA7"/>
    <w:rsid w:val="0031707F"/>
    <w:rsid w:val="003171F4"/>
    <w:rsid w:val="0031728D"/>
    <w:rsid w:val="00317391"/>
    <w:rsid w:val="00317491"/>
    <w:rsid w:val="003174D6"/>
    <w:rsid w:val="00317500"/>
    <w:rsid w:val="003175C3"/>
    <w:rsid w:val="003176F4"/>
    <w:rsid w:val="003177D0"/>
    <w:rsid w:val="003179AF"/>
    <w:rsid w:val="003179E6"/>
    <w:rsid w:val="00317B53"/>
    <w:rsid w:val="00317B8B"/>
    <w:rsid w:val="00317BA3"/>
    <w:rsid w:val="00317C98"/>
    <w:rsid w:val="00317CBE"/>
    <w:rsid w:val="00317D38"/>
    <w:rsid w:val="00317D3A"/>
    <w:rsid w:val="00317DA6"/>
    <w:rsid w:val="00317E48"/>
    <w:rsid w:val="00317EC1"/>
    <w:rsid w:val="00317FD3"/>
    <w:rsid w:val="0032019F"/>
    <w:rsid w:val="003203A5"/>
    <w:rsid w:val="003203BD"/>
    <w:rsid w:val="003203DD"/>
    <w:rsid w:val="00320400"/>
    <w:rsid w:val="00320405"/>
    <w:rsid w:val="0032044C"/>
    <w:rsid w:val="003204C9"/>
    <w:rsid w:val="00320556"/>
    <w:rsid w:val="003205D4"/>
    <w:rsid w:val="00320629"/>
    <w:rsid w:val="00320745"/>
    <w:rsid w:val="003207B7"/>
    <w:rsid w:val="003207F7"/>
    <w:rsid w:val="003208CC"/>
    <w:rsid w:val="00320994"/>
    <w:rsid w:val="0032099F"/>
    <w:rsid w:val="003209F6"/>
    <w:rsid w:val="00320C2A"/>
    <w:rsid w:val="00320C30"/>
    <w:rsid w:val="00320D20"/>
    <w:rsid w:val="00320EC6"/>
    <w:rsid w:val="00321218"/>
    <w:rsid w:val="00321277"/>
    <w:rsid w:val="0032134B"/>
    <w:rsid w:val="003214AE"/>
    <w:rsid w:val="00321784"/>
    <w:rsid w:val="003217C6"/>
    <w:rsid w:val="0032183F"/>
    <w:rsid w:val="00321859"/>
    <w:rsid w:val="0032195E"/>
    <w:rsid w:val="00321AF4"/>
    <w:rsid w:val="00321B27"/>
    <w:rsid w:val="00321B41"/>
    <w:rsid w:val="00321E53"/>
    <w:rsid w:val="00321E66"/>
    <w:rsid w:val="00321F1E"/>
    <w:rsid w:val="00321F6A"/>
    <w:rsid w:val="003220E3"/>
    <w:rsid w:val="003220FA"/>
    <w:rsid w:val="003222D0"/>
    <w:rsid w:val="00322374"/>
    <w:rsid w:val="00322397"/>
    <w:rsid w:val="003224B1"/>
    <w:rsid w:val="00322507"/>
    <w:rsid w:val="0032257D"/>
    <w:rsid w:val="0032260A"/>
    <w:rsid w:val="003227D0"/>
    <w:rsid w:val="00322925"/>
    <w:rsid w:val="003229B3"/>
    <w:rsid w:val="00322C70"/>
    <w:rsid w:val="00322F60"/>
    <w:rsid w:val="00323082"/>
    <w:rsid w:val="003230EA"/>
    <w:rsid w:val="00323104"/>
    <w:rsid w:val="00323111"/>
    <w:rsid w:val="0032312C"/>
    <w:rsid w:val="00323310"/>
    <w:rsid w:val="00323316"/>
    <w:rsid w:val="003233A4"/>
    <w:rsid w:val="0032341A"/>
    <w:rsid w:val="00323434"/>
    <w:rsid w:val="00323463"/>
    <w:rsid w:val="00323466"/>
    <w:rsid w:val="0032356C"/>
    <w:rsid w:val="003235D4"/>
    <w:rsid w:val="0032361B"/>
    <w:rsid w:val="003236A3"/>
    <w:rsid w:val="003236E0"/>
    <w:rsid w:val="00323A20"/>
    <w:rsid w:val="00323C40"/>
    <w:rsid w:val="00323CDB"/>
    <w:rsid w:val="00323D2D"/>
    <w:rsid w:val="00323F62"/>
    <w:rsid w:val="00324111"/>
    <w:rsid w:val="00324130"/>
    <w:rsid w:val="00324198"/>
    <w:rsid w:val="003241E3"/>
    <w:rsid w:val="003242D0"/>
    <w:rsid w:val="003242E8"/>
    <w:rsid w:val="003243DF"/>
    <w:rsid w:val="00324482"/>
    <w:rsid w:val="00324513"/>
    <w:rsid w:val="00324620"/>
    <w:rsid w:val="0032474D"/>
    <w:rsid w:val="00324888"/>
    <w:rsid w:val="00324AA8"/>
    <w:rsid w:val="00324C72"/>
    <w:rsid w:val="00324DAA"/>
    <w:rsid w:val="00324DB6"/>
    <w:rsid w:val="00324EBD"/>
    <w:rsid w:val="00324FA3"/>
    <w:rsid w:val="00324FAA"/>
    <w:rsid w:val="003253DE"/>
    <w:rsid w:val="003253E7"/>
    <w:rsid w:val="00325477"/>
    <w:rsid w:val="003254F8"/>
    <w:rsid w:val="003256BA"/>
    <w:rsid w:val="003256D3"/>
    <w:rsid w:val="003256EC"/>
    <w:rsid w:val="00325777"/>
    <w:rsid w:val="00325822"/>
    <w:rsid w:val="00325845"/>
    <w:rsid w:val="0032588E"/>
    <w:rsid w:val="00325956"/>
    <w:rsid w:val="00325A15"/>
    <w:rsid w:val="00325A82"/>
    <w:rsid w:val="00325AF2"/>
    <w:rsid w:val="00325CD2"/>
    <w:rsid w:val="00325CFB"/>
    <w:rsid w:val="00325F0A"/>
    <w:rsid w:val="00325F31"/>
    <w:rsid w:val="00326069"/>
    <w:rsid w:val="0032618B"/>
    <w:rsid w:val="00326280"/>
    <w:rsid w:val="0032634A"/>
    <w:rsid w:val="003263E8"/>
    <w:rsid w:val="00326437"/>
    <w:rsid w:val="0032658A"/>
    <w:rsid w:val="00326591"/>
    <w:rsid w:val="00326650"/>
    <w:rsid w:val="0032675E"/>
    <w:rsid w:val="003267DD"/>
    <w:rsid w:val="003267F2"/>
    <w:rsid w:val="00326855"/>
    <w:rsid w:val="0032688B"/>
    <w:rsid w:val="003269BB"/>
    <w:rsid w:val="00326A9C"/>
    <w:rsid w:val="00326ABF"/>
    <w:rsid w:val="00326B24"/>
    <w:rsid w:val="00326C75"/>
    <w:rsid w:val="00326CB9"/>
    <w:rsid w:val="00326DC3"/>
    <w:rsid w:val="00326E34"/>
    <w:rsid w:val="00326E73"/>
    <w:rsid w:val="00326EE5"/>
    <w:rsid w:val="00326F97"/>
    <w:rsid w:val="00327012"/>
    <w:rsid w:val="0032711D"/>
    <w:rsid w:val="003271D0"/>
    <w:rsid w:val="00327217"/>
    <w:rsid w:val="00327262"/>
    <w:rsid w:val="0032731D"/>
    <w:rsid w:val="00327333"/>
    <w:rsid w:val="0032733A"/>
    <w:rsid w:val="00327437"/>
    <w:rsid w:val="003274CC"/>
    <w:rsid w:val="003274CD"/>
    <w:rsid w:val="00327580"/>
    <w:rsid w:val="00327671"/>
    <w:rsid w:val="003277A4"/>
    <w:rsid w:val="003277B9"/>
    <w:rsid w:val="003277E4"/>
    <w:rsid w:val="0032781B"/>
    <w:rsid w:val="00327821"/>
    <w:rsid w:val="00327877"/>
    <w:rsid w:val="0032798A"/>
    <w:rsid w:val="00327B58"/>
    <w:rsid w:val="00327CE6"/>
    <w:rsid w:val="00327E3E"/>
    <w:rsid w:val="00327E5F"/>
    <w:rsid w:val="00327E86"/>
    <w:rsid w:val="00327E87"/>
    <w:rsid w:val="00327EA4"/>
    <w:rsid w:val="00327F08"/>
    <w:rsid w:val="00327F18"/>
    <w:rsid w:val="0033003F"/>
    <w:rsid w:val="00330109"/>
    <w:rsid w:val="00330225"/>
    <w:rsid w:val="00330491"/>
    <w:rsid w:val="003306CA"/>
    <w:rsid w:val="003306CB"/>
    <w:rsid w:val="00330775"/>
    <w:rsid w:val="003308C1"/>
    <w:rsid w:val="00330DC1"/>
    <w:rsid w:val="00330DFA"/>
    <w:rsid w:val="00330E17"/>
    <w:rsid w:val="00330E59"/>
    <w:rsid w:val="00330E64"/>
    <w:rsid w:val="00330E8F"/>
    <w:rsid w:val="00330ED0"/>
    <w:rsid w:val="00330F6F"/>
    <w:rsid w:val="003310ED"/>
    <w:rsid w:val="003311EC"/>
    <w:rsid w:val="00331306"/>
    <w:rsid w:val="00331350"/>
    <w:rsid w:val="003313CB"/>
    <w:rsid w:val="003313E3"/>
    <w:rsid w:val="003314BC"/>
    <w:rsid w:val="00331593"/>
    <w:rsid w:val="003315C9"/>
    <w:rsid w:val="003315F2"/>
    <w:rsid w:val="003316DD"/>
    <w:rsid w:val="003319AB"/>
    <w:rsid w:val="00331CF6"/>
    <w:rsid w:val="00331D7A"/>
    <w:rsid w:val="00331D9F"/>
    <w:rsid w:val="00331DB3"/>
    <w:rsid w:val="00331E4C"/>
    <w:rsid w:val="00331E7B"/>
    <w:rsid w:val="00331EDA"/>
    <w:rsid w:val="00331F79"/>
    <w:rsid w:val="00331F7A"/>
    <w:rsid w:val="00332053"/>
    <w:rsid w:val="003320D1"/>
    <w:rsid w:val="003320F7"/>
    <w:rsid w:val="00332213"/>
    <w:rsid w:val="0033228D"/>
    <w:rsid w:val="003322C3"/>
    <w:rsid w:val="00332439"/>
    <w:rsid w:val="003324AB"/>
    <w:rsid w:val="00332598"/>
    <w:rsid w:val="003325F6"/>
    <w:rsid w:val="00332674"/>
    <w:rsid w:val="0033278F"/>
    <w:rsid w:val="0033284E"/>
    <w:rsid w:val="0033286F"/>
    <w:rsid w:val="00332917"/>
    <w:rsid w:val="00332937"/>
    <w:rsid w:val="003329E0"/>
    <w:rsid w:val="00332A0D"/>
    <w:rsid w:val="00332AC0"/>
    <w:rsid w:val="00332B1D"/>
    <w:rsid w:val="00332B89"/>
    <w:rsid w:val="00332C2D"/>
    <w:rsid w:val="00332C89"/>
    <w:rsid w:val="00332CFB"/>
    <w:rsid w:val="00332D71"/>
    <w:rsid w:val="00332E21"/>
    <w:rsid w:val="00332F0C"/>
    <w:rsid w:val="00332F5C"/>
    <w:rsid w:val="00332F8A"/>
    <w:rsid w:val="0033311C"/>
    <w:rsid w:val="00333124"/>
    <w:rsid w:val="00333160"/>
    <w:rsid w:val="003331DE"/>
    <w:rsid w:val="003331EB"/>
    <w:rsid w:val="0033343B"/>
    <w:rsid w:val="003334D8"/>
    <w:rsid w:val="003334FB"/>
    <w:rsid w:val="00333534"/>
    <w:rsid w:val="0033372D"/>
    <w:rsid w:val="003337E6"/>
    <w:rsid w:val="0033392A"/>
    <w:rsid w:val="0033392D"/>
    <w:rsid w:val="00333AF3"/>
    <w:rsid w:val="00333CAE"/>
    <w:rsid w:val="00333D30"/>
    <w:rsid w:val="00333F74"/>
    <w:rsid w:val="00333F8A"/>
    <w:rsid w:val="00333FCF"/>
    <w:rsid w:val="00333FE3"/>
    <w:rsid w:val="003340F1"/>
    <w:rsid w:val="003341EB"/>
    <w:rsid w:val="0033423F"/>
    <w:rsid w:val="0033440C"/>
    <w:rsid w:val="00334598"/>
    <w:rsid w:val="00334873"/>
    <w:rsid w:val="00334B36"/>
    <w:rsid w:val="00334C1B"/>
    <w:rsid w:val="00334C57"/>
    <w:rsid w:val="00334E3B"/>
    <w:rsid w:val="00334EB3"/>
    <w:rsid w:val="00335065"/>
    <w:rsid w:val="003350D3"/>
    <w:rsid w:val="0033511F"/>
    <w:rsid w:val="003351F2"/>
    <w:rsid w:val="003352ED"/>
    <w:rsid w:val="00335310"/>
    <w:rsid w:val="00335354"/>
    <w:rsid w:val="00335377"/>
    <w:rsid w:val="003354CF"/>
    <w:rsid w:val="00335558"/>
    <w:rsid w:val="00335703"/>
    <w:rsid w:val="00335734"/>
    <w:rsid w:val="0033586E"/>
    <w:rsid w:val="00335AAC"/>
    <w:rsid w:val="00335B29"/>
    <w:rsid w:val="00335B5B"/>
    <w:rsid w:val="00335C26"/>
    <w:rsid w:val="00335C4E"/>
    <w:rsid w:val="00335D9F"/>
    <w:rsid w:val="00335E8E"/>
    <w:rsid w:val="00335F80"/>
    <w:rsid w:val="00336075"/>
    <w:rsid w:val="0033619C"/>
    <w:rsid w:val="003361DD"/>
    <w:rsid w:val="0033624F"/>
    <w:rsid w:val="00336316"/>
    <w:rsid w:val="00336452"/>
    <w:rsid w:val="00336512"/>
    <w:rsid w:val="0033652C"/>
    <w:rsid w:val="003366C1"/>
    <w:rsid w:val="0033670C"/>
    <w:rsid w:val="00336846"/>
    <w:rsid w:val="00336A03"/>
    <w:rsid w:val="00336B61"/>
    <w:rsid w:val="00336D1A"/>
    <w:rsid w:val="003370CA"/>
    <w:rsid w:val="0033712A"/>
    <w:rsid w:val="003371AD"/>
    <w:rsid w:val="003371D6"/>
    <w:rsid w:val="003374DF"/>
    <w:rsid w:val="0033759E"/>
    <w:rsid w:val="003375DC"/>
    <w:rsid w:val="0033767C"/>
    <w:rsid w:val="0033778B"/>
    <w:rsid w:val="003377C9"/>
    <w:rsid w:val="003379DC"/>
    <w:rsid w:val="00337A18"/>
    <w:rsid w:val="00337A8E"/>
    <w:rsid w:val="00337AEB"/>
    <w:rsid w:val="00337BB1"/>
    <w:rsid w:val="00337DD5"/>
    <w:rsid w:val="00337DE9"/>
    <w:rsid w:val="00337E16"/>
    <w:rsid w:val="0034011A"/>
    <w:rsid w:val="003401D7"/>
    <w:rsid w:val="0034027C"/>
    <w:rsid w:val="00340298"/>
    <w:rsid w:val="003402D6"/>
    <w:rsid w:val="0034035D"/>
    <w:rsid w:val="00340400"/>
    <w:rsid w:val="00340575"/>
    <w:rsid w:val="003405F6"/>
    <w:rsid w:val="00340602"/>
    <w:rsid w:val="00340690"/>
    <w:rsid w:val="0034071F"/>
    <w:rsid w:val="00340720"/>
    <w:rsid w:val="003408B3"/>
    <w:rsid w:val="00340A83"/>
    <w:rsid w:val="00340B98"/>
    <w:rsid w:val="00340BAA"/>
    <w:rsid w:val="00340CA0"/>
    <w:rsid w:val="00340D99"/>
    <w:rsid w:val="00340EE2"/>
    <w:rsid w:val="00340F41"/>
    <w:rsid w:val="00341066"/>
    <w:rsid w:val="00341153"/>
    <w:rsid w:val="00341218"/>
    <w:rsid w:val="00341294"/>
    <w:rsid w:val="003412B1"/>
    <w:rsid w:val="00341334"/>
    <w:rsid w:val="00341403"/>
    <w:rsid w:val="00341460"/>
    <w:rsid w:val="00341490"/>
    <w:rsid w:val="0034161D"/>
    <w:rsid w:val="00341717"/>
    <w:rsid w:val="0034187B"/>
    <w:rsid w:val="003418C5"/>
    <w:rsid w:val="00341901"/>
    <w:rsid w:val="00341916"/>
    <w:rsid w:val="00341951"/>
    <w:rsid w:val="00341983"/>
    <w:rsid w:val="00341A3C"/>
    <w:rsid w:val="00341A7C"/>
    <w:rsid w:val="00341BCD"/>
    <w:rsid w:val="00341D7A"/>
    <w:rsid w:val="00341F39"/>
    <w:rsid w:val="00342006"/>
    <w:rsid w:val="0034203E"/>
    <w:rsid w:val="003420D4"/>
    <w:rsid w:val="00342318"/>
    <w:rsid w:val="0034232F"/>
    <w:rsid w:val="00342401"/>
    <w:rsid w:val="00342577"/>
    <w:rsid w:val="0034268C"/>
    <w:rsid w:val="00342699"/>
    <w:rsid w:val="00342748"/>
    <w:rsid w:val="0034277D"/>
    <w:rsid w:val="003427BC"/>
    <w:rsid w:val="003427E9"/>
    <w:rsid w:val="00342AA5"/>
    <w:rsid w:val="00342CAE"/>
    <w:rsid w:val="00342D5F"/>
    <w:rsid w:val="003430EE"/>
    <w:rsid w:val="0034326A"/>
    <w:rsid w:val="003432BF"/>
    <w:rsid w:val="00343329"/>
    <w:rsid w:val="00343363"/>
    <w:rsid w:val="0034340B"/>
    <w:rsid w:val="003434F0"/>
    <w:rsid w:val="0034354C"/>
    <w:rsid w:val="003437C9"/>
    <w:rsid w:val="003438AA"/>
    <w:rsid w:val="003438D0"/>
    <w:rsid w:val="003438F7"/>
    <w:rsid w:val="00343945"/>
    <w:rsid w:val="003439B1"/>
    <w:rsid w:val="003439BA"/>
    <w:rsid w:val="00343AE2"/>
    <w:rsid w:val="00343AE4"/>
    <w:rsid w:val="00343B87"/>
    <w:rsid w:val="00343D61"/>
    <w:rsid w:val="00343D76"/>
    <w:rsid w:val="00343F14"/>
    <w:rsid w:val="0034412E"/>
    <w:rsid w:val="00344217"/>
    <w:rsid w:val="003442B5"/>
    <w:rsid w:val="00344467"/>
    <w:rsid w:val="003444BC"/>
    <w:rsid w:val="00344511"/>
    <w:rsid w:val="003445E7"/>
    <w:rsid w:val="0034483B"/>
    <w:rsid w:val="00344854"/>
    <w:rsid w:val="003448B2"/>
    <w:rsid w:val="00344917"/>
    <w:rsid w:val="0034491F"/>
    <w:rsid w:val="00344AD2"/>
    <w:rsid w:val="00344C9B"/>
    <w:rsid w:val="00344CB3"/>
    <w:rsid w:val="00344CDF"/>
    <w:rsid w:val="00344D05"/>
    <w:rsid w:val="00344EA7"/>
    <w:rsid w:val="00344F3F"/>
    <w:rsid w:val="00344F94"/>
    <w:rsid w:val="00345053"/>
    <w:rsid w:val="00345123"/>
    <w:rsid w:val="003451B6"/>
    <w:rsid w:val="0034537F"/>
    <w:rsid w:val="003453B2"/>
    <w:rsid w:val="003454E9"/>
    <w:rsid w:val="003454EB"/>
    <w:rsid w:val="003455A9"/>
    <w:rsid w:val="003456B2"/>
    <w:rsid w:val="00345700"/>
    <w:rsid w:val="00345704"/>
    <w:rsid w:val="00345952"/>
    <w:rsid w:val="003459C3"/>
    <w:rsid w:val="00345A98"/>
    <w:rsid w:val="00345AAC"/>
    <w:rsid w:val="00345AF5"/>
    <w:rsid w:val="00345B28"/>
    <w:rsid w:val="00345CA5"/>
    <w:rsid w:val="00345CB0"/>
    <w:rsid w:val="00345D41"/>
    <w:rsid w:val="00345ED4"/>
    <w:rsid w:val="00345F9F"/>
    <w:rsid w:val="00346097"/>
    <w:rsid w:val="0034614D"/>
    <w:rsid w:val="003463BD"/>
    <w:rsid w:val="003464A6"/>
    <w:rsid w:val="00346574"/>
    <w:rsid w:val="00346639"/>
    <w:rsid w:val="003466E8"/>
    <w:rsid w:val="0034671D"/>
    <w:rsid w:val="00346896"/>
    <w:rsid w:val="003469CE"/>
    <w:rsid w:val="00346A11"/>
    <w:rsid w:val="00346B11"/>
    <w:rsid w:val="00346B1C"/>
    <w:rsid w:val="00346C2C"/>
    <w:rsid w:val="00346D1B"/>
    <w:rsid w:val="00346DA4"/>
    <w:rsid w:val="00346E81"/>
    <w:rsid w:val="00346FF5"/>
    <w:rsid w:val="003470F5"/>
    <w:rsid w:val="0034729B"/>
    <w:rsid w:val="003472CF"/>
    <w:rsid w:val="00347335"/>
    <w:rsid w:val="00347473"/>
    <w:rsid w:val="003474C8"/>
    <w:rsid w:val="00347590"/>
    <w:rsid w:val="00347631"/>
    <w:rsid w:val="0034764E"/>
    <w:rsid w:val="00347671"/>
    <w:rsid w:val="0034788C"/>
    <w:rsid w:val="00347921"/>
    <w:rsid w:val="00347A05"/>
    <w:rsid w:val="00347ACE"/>
    <w:rsid w:val="00347CF2"/>
    <w:rsid w:val="00347DD5"/>
    <w:rsid w:val="00347E18"/>
    <w:rsid w:val="00347E82"/>
    <w:rsid w:val="00350053"/>
    <w:rsid w:val="00350181"/>
    <w:rsid w:val="0035023F"/>
    <w:rsid w:val="0035029D"/>
    <w:rsid w:val="0035042F"/>
    <w:rsid w:val="00350458"/>
    <w:rsid w:val="00350478"/>
    <w:rsid w:val="003504F3"/>
    <w:rsid w:val="003506B6"/>
    <w:rsid w:val="003506DF"/>
    <w:rsid w:val="0035075C"/>
    <w:rsid w:val="0035099B"/>
    <w:rsid w:val="00350C6F"/>
    <w:rsid w:val="00350C86"/>
    <w:rsid w:val="00350CCF"/>
    <w:rsid w:val="00350DF2"/>
    <w:rsid w:val="00350E58"/>
    <w:rsid w:val="00350E84"/>
    <w:rsid w:val="00350ED3"/>
    <w:rsid w:val="00350F6D"/>
    <w:rsid w:val="00350FE3"/>
    <w:rsid w:val="00351084"/>
    <w:rsid w:val="003510BC"/>
    <w:rsid w:val="00351243"/>
    <w:rsid w:val="003512FA"/>
    <w:rsid w:val="00351377"/>
    <w:rsid w:val="003513E8"/>
    <w:rsid w:val="00351421"/>
    <w:rsid w:val="0035145B"/>
    <w:rsid w:val="0035147B"/>
    <w:rsid w:val="00351603"/>
    <w:rsid w:val="00351885"/>
    <w:rsid w:val="003519AA"/>
    <w:rsid w:val="00351A7B"/>
    <w:rsid w:val="00351ABC"/>
    <w:rsid w:val="00351BC8"/>
    <w:rsid w:val="00351BF0"/>
    <w:rsid w:val="00351C59"/>
    <w:rsid w:val="00351D22"/>
    <w:rsid w:val="00351F58"/>
    <w:rsid w:val="00351F9D"/>
    <w:rsid w:val="003521A3"/>
    <w:rsid w:val="003521A6"/>
    <w:rsid w:val="00352247"/>
    <w:rsid w:val="0035228C"/>
    <w:rsid w:val="003522C4"/>
    <w:rsid w:val="003522D3"/>
    <w:rsid w:val="003522E5"/>
    <w:rsid w:val="0035237D"/>
    <w:rsid w:val="00352642"/>
    <w:rsid w:val="0035266F"/>
    <w:rsid w:val="0035268A"/>
    <w:rsid w:val="003526E9"/>
    <w:rsid w:val="003527AB"/>
    <w:rsid w:val="00352845"/>
    <w:rsid w:val="003528BE"/>
    <w:rsid w:val="003528F3"/>
    <w:rsid w:val="0035294F"/>
    <w:rsid w:val="00352AE1"/>
    <w:rsid w:val="00352B09"/>
    <w:rsid w:val="00352B38"/>
    <w:rsid w:val="00352C14"/>
    <w:rsid w:val="00352CDE"/>
    <w:rsid w:val="00352E07"/>
    <w:rsid w:val="00353014"/>
    <w:rsid w:val="00353057"/>
    <w:rsid w:val="0035314A"/>
    <w:rsid w:val="003531C9"/>
    <w:rsid w:val="0035335A"/>
    <w:rsid w:val="0035351D"/>
    <w:rsid w:val="00353936"/>
    <w:rsid w:val="00353AA7"/>
    <w:rsid w:val="00353B3D"/>
    <w:rsid w:val="00353BF0"/>
    <w:rsid w:val="00353C09"/>
    <w:rsid w:val="00353C4E"/>
    <w:rsid w:val="00353DA4"/>
    <w:rsid w:val="00353E50"/>
    <w:rsid w:val="0035409B"/>
    <w:rsid w:val="0035409E"/>
    <w:rsid w:val="003540CE"/>
    <w:rsid w:val="00354175"/>
    <w:rsid w:val="00354270"/>
    <w:rsid w:val="003542A0"/>
    <w:rsid w:val="003542EA"/>
    <w:rsid w:val="00354379"/>
    <w:rsid w:val="00354546"/>
    <w:rsid w:val="00354581"/>
    <w:rsid w:val="0035463F"/>
    <w:rsid w:val="003547C2"/>
    <w:rsid w:val="00354930"/>
    <w:rsid w:val="00354AB4"/>
    <w:rsid w:val="00354BB4"/>
    <w:rsid w:val="00354C10"/>
    <w:rsid w:val="00354D73"/>
    <w:rsid w:val="00354E6B"/>
    <w:rsid w:val="00354FD7"/>
    <w:rsid w:val="0035514D"/>
    <w:rsid w:val="003552FE"/>
    <w:rsid w:val="003553ED"/>
    <w:rsid w:val="00355675"/>
    <w:rsid w:val="003556ED"/>
    <w:rsid w:val="0035582A"/>
    <w:rsid w:val="00355A60"/>
    <w:rsid w:val="00355A66"/>
    <w:rsid w:val="00355BB7"/>
    <w:rsid w:val="00355C0C"/>
    <w:rsid w:val="00355D1B"/>
    <w:rsid w:val="00355D8F"/>
    <w:rsid w:val="00355F5A"/>
    <w:rsid w:val="00355FE3"/>
    <w:rsid w:val="00355FF3"/>
    <w:rsid w:val="00356085"/>
    <w:rsid w:val="00356443"/>
    <w:rsid w:val="003564C7"/>
    <w:rsid w:val="003564CA"/>
    <w:rsid w:val="003564DA"/>
    <w:rsid w:val="003565EA"/>
    <w:rsid w:val="00356705"/>
    <w:rsid w:val="00356837"/>
    <w:rsid w:val="00356847"/>
    <w:rsid w:val="0035686F"/>
    <w:rsid w:val="00356A6D"/>
    <w:rsid w:val="00356BBA"/>
    <w:rsid w:val="00356C41"/>
    <w:rsid w:val="00356C5E"/>
    <w:rsid w:val="00356C8B"/>
    <w:rsid w:val="00356D5D"/>
    <w:rsid w:val="00356E40"/>
    <w:rsid w:val="00356EEF"/>
    <w:rsid w:val="00357046"/>
    <w:rsid w:val="00357088"/>
    <w:rsid w:val="00357107"/>
    <w:rsid w:val="003571B8"/>
    <w:rsid w:val="00357248"/>
    <w:rsid w:val="00357312"/>
    <w:rsid w:val="00357391"/>
    <w:rsid w:val="003573D2"/>
    <w:rsid w:val="003573DB"/>
    <w:rsid w:val="003573E6"/>
    <w:rsid w:val="0035742F"/>
    <w:rsid w:val="00357444"/>
    <w:rsid w:val="003574F3"/>
    <w:rsid w:val="003574F7"/>
    <w:rsid w:val="0035752C"/>
    <w:rsid w:val="003575D2"/>
    <w:rsid w:val="00357620"/>
    <w:rsid w:val="00357678"/>
    <w:rsid w:val="00357764"/>
    <w:rsid w:val="003577FA"/>
    <w:rsid w:val="00357813"/>
    <w:rsid w:val="0035798F"/>
    <w:rsid w:val="00357A05"/>
    <w:rsid w:val="00357B64"/>
    <w:rsid w:val="00357CA9"/>
    <w:rsid w:val="00357D39"/>
    <w:rsid w:val="00357E1F"/>
    <w:rsid w:val="00357FBB"/>
    <w:rsid w:val="0036007A"/>
    <w:rsid w:val="00360131"/>
    <w:rsid w:val="003602F6"/>
    <w:rsid w:val="003602FD"/>
    <w:rsid w:val="00360321"/>
    <w:rsid w:val="00360460"/>
    <w:rsid w:val="00360485"/>
    <w:rsid w:val="003604BB"/>
    <w:rsid w:val="003604DB"/>
    <w:rsid w:val="003604F5"/>
    <w:rsid w:val="00360679"/>
    <w:rsid w:val="0036067A"/>
    <w:rsid w:val="0036068C"/>
    <w:rsid w:val="003606EC"/>
    <w:rsid w:val="0036080A"/>
    <w:rsid w:val="003608DE"/>
    <w:rsid w:val="00360A1F"/>
    <w:rsid w:val="00360A4E"/>
    <w:rsid w:val="00360AF4"/>
    <w:rsid w:val="00360CC5"/>
    <w:rsid w:val="00360CD1"/>
    <w:rsid w:val="00360E80"/>
    <w:rsid w:val="00360EFD"/>
    <w:rsid w:val="00360F90"/>
    <w:rsid w:val="00360FDE"/>
    <w:rsid w:val="00360FFF"/>
    <w:rsid w:val="0036100C"/>
    <w:rsid w:val="003610F7"/>
    <w:rsid w:val="00361149"/>
    <w:rsid w:val="003611F1"/>
    <w:rsid w:val="003612A1"/>
    <w:rsid w:val="003612D8"/>
    <w:rsid w:val="003612E0"/>
    <w:rsid w:val="00361343"/>
    <w:rsid w:val="0036146E"/>
    <w:rsid w:val="0036148B"/>
    <w:rsid w:val="003614B8"/>
    <w:rsid w:val="00361637"/>
    <w:rsid w:val="003616CF"/>
    <w:rsid w:val="00361A0C"/>
    <w:rsid w:val="00361A31"/>
    <w:rsid w:val="00361A7A"/>
    <w:rsid w:val="00361C67"/>
    <w:rsid w:val="00361CCA"/>
    <w:rsid w:val="00361DFF"/>
    <w:rsid w:val="00361E68"/>
    <w:rsid w:val="00361FAA"/>
    <w:rsid w:val="00361FB5"/>
    <w:rsid w:val="003620B4"/>
    <w:rsid w:val="00362176"/>
    <w:rsid w:val="0036219E"/>
    <w:rsid w:val="003622D6"/>
    <w:rsid w:val="003624A9"/>
    <w:rsid w:val="003624CF"/>
    <w:rsid w:val="00362507"/>
    <w:rsid w:val="00362634"/>
    <w:rsid w:val="00362713"/>
    <w:rsid w:val="00362777"/>
    <w:rsid w:val="003627A3"/>
    <w:rsid w:val="00362813"/>
    <w:rsid w:val="003628C2"/>
    <w:rsid w:val="003628FD"/>
    <w:rsid w:val="00362B3E"/>
    <w:rsid w:val="00362CD2"/>
    <w:rsid w:val="00362D07"/>
    <w:rsid w:val="00362D93"/>
    <w:rsid w:val="00362F3A"/>
    <w:rsid w:val="0036315D"/>
    <w:rsid w:val="00363484"/>
    <w:rsid w:val="00363573"/>
    <w:rsid w:val="003636EF"/>
    <w:rsid w:val="00363727"/>
    <w:rsid w:val="003639FC"/>
    <w:rsid w:val="00363A89"/>
    <w:rsid w:val="00363B14"/>
    <w:rsid w:val="00363BE9"/>
    <w:rsid w:val="00363BEA"/>
    <w:rsid w:val="00363C38"/>
    <w:rsid w:val="00363DBC"/>
    <w:rsid w:val="00363F18"/>
    <w:rsid w:val="00363F41"/>
    <w:rsid w:val="00363FF0"/>
    <w:rsid w:val="0036409B"/>
    <w:rsid w:val="00364116"/>
    <w:rsid w:val="003641B2"/>
    <w:rsid w:val="003642ED"/>
    <w:rsid w:val="0036435C"/>
    <w:rsid w:val="0036459C"/>
    <w:rsid w:val="00364773"/>
    <w:rsid w:val="003647EB"/>
    <w:rsid w:val="003647F1"/>
    <w:rsid w:val="003648E4"/>
    <w:rsid w:val="003648ED"/>
    <w:rsid w:val="00364A43"/>
    <w:rsid w:val="00364C47"/>
    <w:rsid w:val="00364CE5"/>
    <w:rsid w:val="00364D4D"/>
    <w:rsid w:val="00364ED7"/>
    <w:rsid w:val="00364F6C"/>
    <w:rsid w:val="00365085"/>
    <w:rsid w:val="00365092"/>
    <w:rsid w:val="0036528F"/>
    <w:rsid w:val="003652D7"/>
    <w:rsid w:val="00365363"/>
    <w:rsid w:val="00365413"/>
    <w:rsid w:val="00365464"/>
    <w:rsid w:val="00365472"/>
    <w:rsid w:val="003654B7"/>
    <w:rsid w:val="0036574E"/>
    <w:rsid w:val="00365763"/>
    <w:rsid w:val="00365785"/>
    <w:rsid w:val="00365810"/>
    <w:rsid w:val="00365836"/>
    <w:rsid w:val="003658C1"/>
    <w:rsid w:val="00365A4B"/>
    <w:rsid w:val="00365A82"/>
    <w:rsid w:val="00365C75"/>
    <w:rsid w:val="00365D67"/>
    <w:rsid w:val="00365DCA"/>
    <w:rsid w:val="00365E09"/>
    <w:rsid w:val="00366010"/>
    <w:rsid w:val="00366055"/>
    <w:rsid w:val="0036611D"/>
    <w:rsid w:val="003661DC"/>
    <w:rsid w:val="00366307"/>
    <w:rsid w:val="0036665E"/>
    <w:rsid w:val="0036672B"/>
    <w:rsid w:val="003667D6"/>
    <w:rsid w:val="003669B6"/>
    <w:rsid w:val="00366C72"/>
    <w:rsid w:val="00366F71"/>
    <w:rsid w:val="0036703C"/>
    <w:rsid w:val="0036710E"/>
    <w:rsid w:val="00367117"/>
    <w:rsid w:val="00367324"/>
    <w:rsid w:val="00367363"/>
    <w:rsid w:val="003674F0"/>
    <w:rsid w:val="00367518"/>
    <w:rsid w:val="0036757F"/>
    <w:rsid w:val="00367610"/>
    <w:rsid w:val="00367725"/>
    <w:rsid w:val="00367A76"/>
    <w:rsid w:val="00367B9E"/>
    <w:rsid w:val="00367BCE"/>
    <w:rsid w:val="00367CFA"/>
    <w:rsid w:val="00367D6D"/>
    <w:rsid w:val="00370003"/>
    <w:rsid w:val="003700D2"/>
    <w:rsid w:val="00370109"/>
    <w:rsid w:val="00370150"/>
    <w:rsid w:val="00370198"/>
    <w:rsid w:val="0037030D"/>
    <w:rsid w:val="00370424"/>
    <w:rsid w:val="0037045D"/>
    <w:rsid w:val="00370474"/>
    <w:rsid w:val="00370642"/>
    <w:rsid w:val="00370B3B"/>
    <w:rsid w:val="00370C85"/>
    <w:rsid w:val="00370D4A"/>
    <w:rsid w:val="00370DD6"/>
    <w:rsid w:val="00370EF6"/>
    <w:rsid w:val="00370FE8"/>
    <w:rsid w:val="00371023"/>
    <w:rsid w:val="0037109D"/>
    <w:rsid w:val="00371145"/>
    <w:rsid w:val="00371224"/>
    <w:rsid w:val="003713DA"/>
    <w:rsid w:val="0037140F"/>
    <w:rsid w:val="00371495"/>
    <w:rsid w:val="00371509"/>
    <w:rsid w:val="00371541"/>
    <w:rsid w:val="00371556"/>
    <w:rsid w:val="0037185E"/>
    <w:rsid w:val="00371988"/>
    <w:rsid w:val="00371A5B"/>
    <w:rsid w:val="00371B78"/>
    <w:rsid w:val="00371C4C"/>
    <w:rsid w:val="00371D84"/>
    <w:rsid w:val="00371E83"/>
    <w:rsid w:val="00371EE2"/>
    <w:rsid w:val="00371FBC"/>
    <w:rsid w:val="00372057"/>
    <w:rsid w:val="003721BB"/>
    <w:rsid w:val="003723EF"/>
    <w:rsid w:val="003723F0"/>
    <w:rsid w:val="00372620"/>
    <w:rsid w:val="00372732"/>
    <w:rsid w:val="00372902"/>
    <w:rsid w:val="0037294D"/>
    <w:rsid w:val="00372AE5"/>
    <w:rsid w:val="00372CA2"/>
    <w:rsid w:val="00372CED"/>
    <w:rsid w:val="00372E45"/>
    <w:rsid w:val="00372F77"/>
    <w:rsid w:val="00373232"/>
    <w:rsid w:val="003733A9"/>
    <w:rsid w:val="003734C1"/>
    <w:rsid w:val="00373739"/>
    <w:rsid w:val="003737ED"/>
    <w:rsid w:val="0037382A"/>
    <w:rsid w:val="00373A21"/>
    <w:rsid w:val="00373A5C"/>
    <w:rsid w:val="00373C19"/>
    <w:rsid w:val="00373D02"/>
    <w:rsid w:val="00373DFD"/>
    <w:rsid w:val="00373E01"/>
    <w:rsid w:val="00373E0F"/>
    <w:rsid w:val="00373E36"/>
    <w:rsid w:val="00373F41"/>
    <w:rsid w:val="00373FC2"/>
    <w:rsid w:val="00374017"/>
    <w:rsid w:val="0037408E"/>
    <w:rsid w:val="00374472"/>
    <w:rsid w:val="003744EF"/>
    <w:rsid w:val="00374586"/>
    <w:rsid w:val="0037483C"/>
    <w:rsid w:val="003748F3"/>
    <w:rsid w:val="003749DB"/>
    <w:rsid w:val="00374A5E"/>
    <w:rsid w:val="00374A91"/>
    <w:rsid w:val="00374BD7"/>
    <w:rsid w:val="00374BE9"/>
    <w:rsid w:val="00374CA5"/>
    <w:rsid w:val="00374CFD"/>
    <w:rsid w:val="00374FD3"/>
    <w:rsid w:val="0037508F"/>
    <w:rsid w:val="00375431"/>
    <w:rsid w:val="0037544D"/>
    <w:rsid w:val="003754B8"/>
    <w:rsid w:val="00375582"/>
    <w:rsid w:val="003756E4"/>
    <w:rsid w:val="00375703"/>
    <w:rsid w:val="00375755"/>
    <w:rsid w:val="003757F2"/>
    <w:rsid w:val="003758F0"/>
    <w:rsid w:val="0037590F"/>
    <w:rsid w:val="0037599C"/>
    <w:rsid w:val="003759B8"/>
    <w:rsid w:val="003759EA"/>
    <w:rsid w:val="00375A8E"/>
    <w:rsid w:val="00375AB1"/>
    <w:rsid w:val="00375B2F"/>
    <w:rsid w:val="00375B83"/>
    <w:rsid w:val="00375B9E"/>
    <w:rsid w:val="00375C5A"/>
    <w:rsid w:val="00375DD2"/>
    <w:rsid w:val="00375E11"/>
    <w:rsid w:val="00375E8D"/>
    <w:rsid w:val="00375F3E"/>
    <w:rsid w:val="00375F51"/>
    <w:rsid w:val="00375FFF"/>
    <w:rsid w:val="003761A6"/>
    <w:rsid w:val="003761DD"/>
    <w:rsid w:val="0037627D"/>
    <w:rsid w:val="00376377"/>
    <w:rsid w:val="0037660E"/>
    <w:rsid w:val="003767DD"/>
    <w:rsid w:val="003767E3"/>
    <w:rsid w:val="00376825"/>
    <w:rsid w:val="003768D6"/>
    <w:rsid w:val="003768D7"/>
    <w:rsid w:val="00376982"/>
    <w:rsid w:val="003769DF"/>
    <w:rsid w:val="003769FE"/>
    <w:rsid w:val="00376A9D"/>
    <w:rsid w:val="00376B37"/>
    <w:rsid w:val="00376B5C"/>
    <w:rsid w:val="00376B76"/>
    <w:rsid w:val="00376D25"/>
    <w:rsid w:val="00376D5F"/>
    <w:rsid w:val="00376DAB"/>
    <w:rsid w:val="00376DC9"/>
    <w:rsid w:val="00377034"/>
    <w:rsid w:val="003772D2"/>
    <w:rsid w:val="003773CD"/>
    <w:rsid w:val="003775A1"/>
    <w:rsid w:val="003775E6"/>
    <w:rsid w:val="00377807"/>
    <w:rsid w:val="0037783F"/>
    <w:rsid w:val="00377873"/>
    <w:rsid w:val="00377910"/>
    <w:rsid w:val="0037792A"/>
    <w:rsid w:val="003779EC"/>
    <w:rsid w:val="00377A69"/>
    <w:rsid w:val="00377C41"/>
    <w:rsid w:val="00377CFF"/>
    <w:rsid w:val="00377D15"/>
    <w:rsid w:val="00377D23"/>
    <w:rsid w:val="00377DD1"/>
    <w:rsid w:val="0038009A"/>
    <w:rsid w:val="003800F6"/>
    <w:rsid w:val="0038014D"/>
    <w:rsid w:val="00380172"/>
    <w:rsid w:val="00380228"/>
    <w:rsid w:val="00380251"/>
    <w:rsid w:val="003802EF"/>
    <w:rsid w:val="00380425"/>
    <w:rsid w:val="0038043B"/>
    <w:rsid w:val="00380569"/>
    <w:rsid w:val="003806AF"/>
    <w:rsid w:val="003806E0"/>
    <w:rsid w:val="003807B0"/>
    <w:rsid w:val="003808E0"/>
    <w:rsid w:val="003809B8"/>
    <w:rsid w:val="003809F9"/>
    <w:rsid w:val="00380A8E"/>
    <w:rsid w:val="00380AD8"/>
    <w:rsid w:val="00380BD6"/>
    <w:rsid w:val="00380C12"/>
    <w:rsid w:val="00380EB1"/>
    <w:rsid w:val="00380F87"/>
    <w:rsid w:val="0038107E"/>
    <w:rsid w:val="003810C0"/>
    <w:rsid w:val="003810F7"/>
    <w:rsid w:val="003810FE"/>
    <w:rsid w:val="00381180"/>
    <w:rsid w:val="003812C1"/>
    <w:rsid w:val="003812ED"/>
    <w:rsid w:val="00381331"/>
    <w:rsid w:val="00381415"/>
    <w:rsid w:val="0038171C"/>
    <w:rsid w:val="00381776"/>
    <w:rsid w:val="00381796"/>
    <w:rsid w:val="003817F2"/>
    <w:rsid w:val="003817F3"/>
    <w:rsid w:val="00381A8C"/>
    <w:rsid w:val="00381A97"/>
    <w:rsid w:val="00381B70"/>
    <w:rsid w:val="00381BD5"/>
    <w:rsid w:val="00381CA5"/>
    <w:rsid w:val="00381CD2"/>
    <w:rsid w:val="00381DB6"/>
    <w:rsid w:val="00381DEF"/>
    <w:rsid w:val="00381E4B"/>
    <w:rsid w:val="00381EDC"/>
    <w:rsid w:val="0038204C"/>
    <w:rsid w:val="003821AF"/>
    <w:rsid w:val="0038228B"/>
    <w:rsid w:val="003822EB"/>
    <w:rsid w:val="0038241F"/>
    <w:rsid w:val="00382448"/>
    <w:rsid w:val="00382472"/>
    <w:rsid w:val="003825B8"/>
    <w:rsid w:val="00382730"/>
    <w:rsid w:val="003827D4"/>
    <w:rsid w:val="0038294E"/>
    <w:rsid w:val="00382996"/>
    <w:rsid w:val="00382A9B"/>
    <w:rsid w:val="00382C47"/>
    <w:rsid w:val="00382CA7"/>
    <w:rsid w:val="00382D1C"/>
    <w:rsid w:val="00382DFD"/>
    <w:rsid w:val="00382FD9"/>
    <w:rsid w:val="0038301E"/>
    <w:rsid w:val="00383043"/>
    <w:rsid w:val="00383060"/>
    <w:rsid w:val="003830BA"/>
    <w:rsid w:val="003833AD"/>
    <w:rsid w:val="00383614"/>
    <w:rsid w:val="003836E5"/>
    <w:rsid w:val="00383A81"/>
    <w:rsid w:val="00383A92"/>
    <w:rsid w:val="00383AD3"/>
    <w:rsid w:val="00383B44"/>
    <w:rsid w:val="00383B7F"/>
    <w:rsid w:val="00383BA9"/>
    <w:rsid w:val="00383BAD"/>
    <w:rsid w:val="00383BC2"/>
    <w:rsid w:val="00383CAB"/>
    <w:rsid w:val="00383CC6"/>
    <w:rsid w:val="00383D9F"/>
    <w:rsid w:val="00383DAB"/>
    <w:rsid w:val="00383E27"/>
    <w:rsid w:val="00383E2A"/>
    <w:rsid w:val="00383EDD"/>
    <w:rsid w:val="00383F2B"/>
    <w:rsid w:val="00383F59"/>
    <w:rsid w:val="00383F94"/>
    <w:rsid w:val="003840D6"/>
    <w:rsid w:val="00384376"/>
    <w:rsid w:val="003843EC"/>
    <w:rsid w:val="0038451E"/>
    <w:rsid w:val="003845D0"/>
    <w:rsid w:val="00384683"/>
    <w:rsid w:val="0038468B"/>
    <w:rsid w:val="00384694"/>
    <w:rsid w:val="00384784"/>
    <w:rsid w:val="003847C6"/>
    <w:rsid w:val="00384898"/>
    <w:rsid w:val="003848FD"/>
    <w:rsid w:val="00384A82"/>
    <w:rsid w:val="00384B6C"/>
    <w:rsid w:val="00384B80"/>
    <w:rsid w:val="00384B90"/>
    <w:rsid w:val="00384C9D"/>
    <w:rsid w:val="00384DA4"/>
    <w:rsid w:val="00384E1D"/>
    <w:rsid w:val="00384E32"/>
    <w:rsid w:val="00384FD3"/>
    <w:rsid w:val="00384FF3"/>
    <w:rsid w:val="00385005"/>
    <w:rsid w:val="0038525A"/>
    <w:rsid w:val="003854C6"/>
    <w:rsid w:val="00385736"/>
    <w:rsid w:val="00385844"/>
    <w:rsid w:val="00385980"/>
    <w:rsid w:val="003859F1"/>
    <w:rsid w:val="00385AF2"/>
    <w:rsid w:val="00385CC8"/>
    <w:rsid w:val="00385D73"/>
    <w:rsid w:val="00385D7C"/>
    <w:rsid w:val="0038600F"/>
    <w:rsid w:val="0038616E"/>
    <w:rsid w:val="003861E0"/>
    <w:rsid w:val="00386201"/>
    <w:rsid w:val="00386203"/>
    <w:rsid w:val="0038621C"/>
    <w:rsid w:val="0038626E"/>
    <w:rsid w:val="0038634A"/>
    <w:rsid w:val="00386376"/>
    <w:rsid w:val="003866B4"/>
    <w:rsid w:val="003867F4"/>
    <w:rsid w:val="0038683E"/>
    <w:rsid w:val="003868C8"/>
    <w:rsid w:val="003868D9"/>
    <w:rsid w:val="003869D5"/>
    <w:rsid w:val="00386A99"/>
    <w:rsid w:val="00386AC2"/>
    <w:rsid w:val="00386C19"/>
    <w:rsid w:val="00386E2C"/>
    <w:rsid w:val="00386E37"/>
    <w:rsid w:val="00386EC2"/>
    <w:rsid w:val="0038706B"/>
    <w:rsid w:val="0038709F"/>
    <w:rsid w:val="003871A1"/>
    <w:rsid w:val="0038726D"/>
    <w:rsid w:val="00387509"/>
    <w:rsid w:val="003875F7"/>
    <w:rsid w:val="0038764A"/>
    <w:rsid w:val="00387736"/>
    <w:rsid w:val="0038785E"/>
    <w:rsid w:val="0038786B"/>
    <w:rsid w:val="00387976"/>
    <w:rsid w:val="00387A54"/>
    <w:rsid w:val="00387A60"/>
    <w:rsid w:val="00387A69"/>
    <w:rsid w:val="00387A7E"/>
    <w:rsid w:val="00387AF0"/>
    <w:rsid w:val="00387B8B"/>
    <w:rsid w:val="00387B90"/>
    <w:rsid w:val="00387C40"/>
    <w:rsid w:val="00387D43"/>
    <w:rsid w:val="00387D5C"/>
    <w:rsid w:val="00387DD0"/>
    <w:rsid w:val="00387E44"/>
    <w:rsid w:val="00387E75"/>
    <w:rsid w:val="00387F86"/>
    <w:rsid w:val="00390022"/>
    <w:rsid w:val="00390261"/>
    <w:rsid w:val="003907A7"/>
    <w:rsid w:val="00390812"/>
    <w:rsid w:val="00390A23"/>
    <w:rsid w:val="00390BAC"/>
    <w:rsid w:val="00390C65"/>
    <w:rsid w:val="00390DEE"/>
    <w:rsid w:val="00390E1E"/>
    <w:rsid w:val="00390E44"/>
    <w:rsid w:val="00390E96"/>
    <w:rsid w:val="00390EB2"/>
    <w:rsid w:val="00390F30"/>
    <w:rsid w:val="00390FD0"/>
    <w:rsid w:val="00390FED"/>
    <w:rsid w:val="00390FEE"/>
    <w:rsid w:val="0039102E"/>
    <w:rsid w:val="003910C0"/>
    <w:rsid w:val="0039120C"/>
    <w:rsid w:val="00391240"/>
    <w:rsid w:val="00391398"/>
    <w:rsid w:val="003913A9"/>
    <w:rsid w:val="0039141B"/>
    <w:rsid w:val="0039148D"/>
    <w:rsid w:val="003917F5"/>
    <w:rsid w:val="00391890"/>
    <w:rsid w:val="00391911"/>
    <w:rsid w:val="003919A7"/>
    <w:rsid w:val="00391B0E"/>
    <w:rsid w:val="00391B4F"/>
    <w:rsid w:val="00391D02"/>
    <w:rsid w:val="003921D9"/>
    <w:rsid w:val="00392386"/>
    <w:rsid w:val="003924BE"/>
    <w:rsid w:val="0039266E"/>
    <w:rsid w:val="0039267E"/>
    <w:rsid w:val="00392724"/>
    <w:rsid w:val="0039292B"/>
    <w:rsid w:val="003929BA"/>
    <w:rsid w:val="003929BC"/>
    <w:rsid w:val="003929EF"/>
    <w:rsid w:val="00392A44"/>
    <w:rsid w:val="00392B51"/>
    <w:rsid w:val="00392B80"/>
    <w:rsid w:val="00392BB1"/>
    <w:rsid w:val="00392CC9"/>
    <w:rsid w:val="00392E20"/>
    <w:rsid w:val="00392F02"/>
    <w:rsid w:val="00393051"/>
    <w:rsid w:val="00393142"/>
    <w:rsid w:val="00393190"/>
    <w:rsid w:val="003931CB"/>
    <w:rsid w:val="003933C3"/>
    <w:rsid w:val="00393461"/>
    <w:rsid w:val="0039369F"/>
    <w:rsid w:val="003936A3"/>
    <w:rsid w:val="00393775"/>
    <w:rsid w:val="0039381C"/>
    <w:rsid w:val="0039390D"/>
    <w:rsid w:val="003939F2"/>
    <w:rsid w:val="00393ACC"/>
    <w:rsid w:val="00393B6A"/>
    <w:rsid w:val="00393B8F"/>
    <w:rsid w:val="00393BB0"/>
    <w:rsid w:val="00393D30"/>
    <w:rsid w:val="00393E1E"/>
    <w:rsid w:val="00393ED8"/>
    <w:rsid w:val="0039403B"/>
    <w:rsid w:val="0039405D"/>
    <w:rsid w:val="00394093"/>
    <w:rsid w:val="0039409B"/>
    <w:rsid w:val="003941CC"/>
    <w:rsid w:val="003942D6"/>
    <w:rsid w:val="003944A7"/>
    <w:rsid w:val="003944F2"/>
    <w:rsid w:val="003944FA"/>
    <w:rsid w:val="00394515"/>
    <w:rsid w:val="003948E9"/>
    <w:rsid w:val="0039493D"/>
    <w:rsid w:val="00394947"/>
    <w:rsid w:val="003949B9"/>
    <w:rsid w:val="00394A1B"/>
    <w:rsid w:val="00394A9A"/>
    <w:rsid w:val="00394AE7"/>
    <w:rsid w:val="00394B04"/>
    <w:rsid w:val="00394BB5"/>
    <w:rsid w:val="00394C7F"/>
    <w:rsid w:val="00394CDB"/>
    <w:rsid w:val="00394DA1"/>
    <w:rsid w:val="00394E9D"/>
    <w:rsid w:val="00394FCC"/>
    <w:rsid w:val="0039506B"/>
    <w:rsid w:val="00395204"/>
    <w:rsid w:val="0039521A"/>
    <w:rsid w:val="003952B2"/>
    <w:rsid w:val="0039539C"/>
    <w:rsid w:val="003953F8"/>
    <w:rsid w:val="0039540D"/>
    <w:rsid w:val="0039546E"/>
    <w:rsid w:val="00395859"/>
    <w:rsid w:val="0039593E"/>
    <w:rsid w:val="00395979"/>
    <w:rsid w:val="0039599B"/>
    <w:rsid w:val="00395A16"/>
    <w:rsid w:val="00395A29"/>
    <w:rsid w:val="00395BAE"/>
    <w:rsid w:val="00395C5C"/>
    <w:rsid w:val="00395CB8"/>
    <w:rsid w:val="00395CDC"/>
    <w:rsid w:val="00395D23"/>
    <w:rsid w:val="00395E02"/>
    <w:rsid w:val="00395EDA"/>
    <w:rsid w:val="00395F0A"/>
    <w:rsid w:val="00395F11"/>
    <w:rsid w:val="00395FDD"/>
    <w:rsid w:val="003960D2"/>
    <w:rsid w:val="003961F0"/>
    <w:rsid w:val="003962FE"/>
    <w:rsid w:val="0039634B"/>
    <w:rsid w:val="003963F4"/>
    <w:rsid w:val="00396420"/>
    <w:rsid w:val="003965E9"/>
    <w:rsid w:val="0039674D"/>
    <w:rsid w:val="0039696E"/>
    <w:rsid w:val="00396B0C"/>
    <w:rsid w:val="00396BAE"/>
    <w:rsid w:val="00396D73"/>
    <w:rsid w:val="00396EDC"/>
    <w:rsid w:val="00396F8E"/>
    <w:rsid w:val="00397044"/>
    <w:rsid w:val="00397059"/>
    <w:rsid w:val="00397199"/>
    <w:rsid w:val="00397295"/>
    <w:rsid w:val="00397318"/>
    <w:rsid w:val="003975A4"/>
    <w:rsid w:val="00397780"/>
    <w:rsid w:val="00397951"/>
    <w:rsid w:val="003979ED"/>
    <w:rsid w:val="00397AF3"/>
    <w:rsid w:val="00397CB2"/>
    <w:rsid w:val="00397E87"/>
    <w:rsid w:val="00397ED8"/>
    <w:rsid w:val="00397F9E"/>
    <w:rsid w:val="003A010E"/>
    <w:rsid w:val="003A0169"/>
    <w:rsid w:val="003A0237"/>
    <w:rsid w:val="003A02B1"/>
    <w:rsid w:val="003A0415"/>
    <w:rsid w:val="003A0531"/>
    <w:rsid w:val="003A0718"/>
    <w:rsid w:val="003A0998"/>
    <w:rsid w:val="003A09EA"/>
    <w:rsid w:val="003A09FB"/>
    <w:rsid w:val="003A0B3A"/>
    <w:rsid w:val="003A0BC0"/>
    <w:rsid w:val="003A0E6C"/>
    <w:rsid w:val="003A0ED8"/>
    <w:rsid w:val="003A0F46"/>
    <w:rsid w:val="003A1283"/>
    <w:rsid w:val="003A130A"/>
    <w:rsid w:val="003A15C4"/>
    <w:rsid w:val="003A15FA"/>
    <w:rsid w:val="003A162D"/>
    <w:rsid w:val="003A168D"/>
    <w:rsid w:val="003A174D"/>
    <w:rsid w:val="003A178A"/>
    <w:rsid w:val="003A185D"/>
    <w:rsid w:val="003A19DE"/>
    <w:rsid w:val="003A1A04"/>
    <w:rsid w:val="003A1B86"/>
    <w:rsid w:val="003A1B90"/>
    <w:rsid w:val="003A1D67"/>
    <w:rsid w:val="003A1DE7"/>
    <w:rsid w:val="003A1E2F"/>
    <w:rsid w:val="003A1E83"/>
    <w:rsid w:val="003A1F1C"/>
    <w:rsid w:val="003A20C2"/>
    <w:rsid w:val="003A212C"/>
    <w:rsid w:val="003A2401"/>
    <w:rsid w:val="003A24AB"/>
    <w:rsid w:val="003A277B"/>
    <w:rsid w:val="003A2796"/>
    <w:rsid w:val="003A28F8"/>
    <w:rsid w:val="003A29C6"/>
    <w:rsid w:val="003A2A4C"/>
    <w:rsid w:val="003A2A6E"/>
    <w:rsid w:val="003A2ADA"/>
    <w:rsid w:val="003A2B47"/>
    <w:rsid w:val="003A2EE2"/>
    <w:rsid w:val="003A3057"/>
    <w:rsid w:val="003A30F0"/>
    <w:rsid w:val="003A3198"/>
    <w:rsid w:val="003A3249"/>
    <w:rsid w:val="003A32E2"/>
    <w:rsid w:val="003A3384"/>
    <w:rsid w:val="003A35CB"/>
    <w:rsid w:val="003A35E8"/>
    <w:rsid w:val="003A3626"/>
    <w:rsid w:val="003A362B"/>
    <w:rsid w:val="003A36AC"/>
    <w:rsid w:val="003A386B"/>
    <w:rsid w:val="003A3881"/>
    <w:rsid w:val="003A38B8"/>
    <w:rsid w:val="003A393D"/>
    <w:rsid w:val="003A393E"/>
    <w:rsid w:val="003A39E7"/>
    <w:rsid w:val="003A3B49"/>
    <w:rsid w:val="003A3C10"/>
    <w:rsid w:val="003A3EA4"/>
    <w:rsid w:val="003A3F7F"/>
    <w:rsid w:val="003A3F86"/>
    <w:rsid w:val="003A4030"/>
    <w:rsid w:val="003A415D"/>
    <w:rsid w:val="003A4199"/>
    <w:rsid w:val="003A41EA"/>
    <w:rsid w:val="003A457D"/>
    <w:rsid w:val="003A45A2"/>
    <w:rsid w:val="003A45C2"/>
    <w:rsid w:val="003A4610"/>
    <w:rsid w:val="003A463D"/>
    <w:rsid w:val="003A46F3"/>
    <w:rsid w:val="003A4708"/>
    <w:rsid w:val="003A470D"/>
    <w:rsid w:val="003A4731"/>
    <w:rsid w:val="003A473A"/>
    <w:rsid w:val="003A4788"/>
    <w:rsid w:val="003A47B4"/>
    <w:rsid w:val="003A4873"/>
    <w:rsid w:val="003A48EC"/>
    <w:rsid w:val="003A4B20"/>
    <w:rsid w:val="003A4B71"/>
    <w:rsid w:val="003A4F13"/>
    <w:rsid w:val="003A5096"/>
    <w:rsid w:val="003A50EA"/>
    <w:rsid w:val="003A5105"/>
    <w:rsid w:val="003A510C"/>
    <w:rsid w:val="003A51F3"/>
    <w:rsid w:val="003A5409"/>
    <w:rsid w:val="003A5510"/>
    <w:rsid w:val="003A560D"/>
    <w:rsid w:val="003A5709"/>
    <w:rsid w:val="003A57E7"/>
    <w:rsid w:val="003A58ED"/>
    <w:rsid w:val="003A595C"/>
    <w:rsid w:val="003A5CB1"/>
    <w:rsid w:val="003A5E02"/>
    <w:rsid w:val="003A5E27"/>
    <w:rsid w:val="003A5E4F"/>
    <w:rsid w:val="003A5EEC"/>
    <w:rsid w:val="003A5FB4"/>
    <w:rsid w:val="003A60F1"/>
    <w:rsid w:val="003A6295"/>
    <w:rsid w:val="003A6299"/>
    <w:rsid w:val="003A62E4"/>
    <w:rsid w:val="003A63F1"/>
    <w:rsid w:val="003A64D4"/>
    <w:rsid w:val="003A65B3"/>
    <w:rsid w:val="003A65DE"/>
    <w:rsid w:val="003A66A0"/>
    <w:rsid w:val="003A66BD"/>
    <w:rsid w:val="003A678C"/>
    <w:rsid w:val="003A67DB"/>
    <w:rsid w:val="003A6852"/>
    <w:rsid w:val="003A6A1B"/>
    <w:rsid w:val="003A6C45"/>
    <w:rsid w:val="003A6C87"/>
    <w:rsid w:val="003A6C9D"/>
    <w:rsid w:val="003A6D31"/>
    <w:rsid w:val="003A6D47"/>
    <w:rsid w:val="003A6E8E"/>
    <w:rsid w:val="003A6ED6"/>
    <w:rsid w:val="003A6F34"/>
    <w:rsid w:val="003A70B7"/>
    <w:rsid w:val="003A70F4"/>
    <w:rsid w:val="003A7154"/>
    <w:rsid w:val="003A716D"/>
    <w:rsid w:val="003A7195"/>
    <w:rsid w:val="003A71E9"/>
    <w:rsid w:val="003A728D"/>
    <w:rsid w:val="003A750B"/>
    <w:rsid w:val="003A75C2"/>
    <w:rsid w:val="003A7809"/>
    <w:rsid w:val="003A790D"/>
    <w:rsid w:val="003A7931"/>
    <w:rsid w:val="003A794E"/>
    <w:rsid w:val="003A7BC9"/>
    <w:rsid w:val="003A7C03"/>
    <w:rsid w:val="003A7C2E"/>
    <w:rsid w:val="003A7CCC"/>
    <w:rsid w:val="003A7D11"/>
    <w:rsid w:val="003A7DCD"/>
    <w:rsid w:val="003A7F44"/>
    <w:rsid w:val="003B0040"/>
    <w:rsid w:val="003B009D"/>
    <w:rsid w:val="003B0104"/>
    <w:rsid w:val="003B0199"/>
    <w:rsid w:val="003B02FC"/>
    <w:rsid w:val="003B0451"/>
    <w:rsid w:val="003B0469"/>
    <w:rsid w:val="003B05EB"/>
    <w:rsid w:val="003B062A"/>
    <w:rsid w:val="003B0726"/>
    <w:rsid w:val="003B07A5"/>
    <w:rsid w:val="003B07FE"/>
    <w:rsid w:val="003B0886"/>
    <w:rsid w:val="003B0ACF"/>
    <w:rsid w:val="003B0B7C"/>
    <w:rsid w:val="003B0BFF"/>
    <w:rsid w:val="003B0C98"/>
    <w:rsid w:val="003B0CE3"/>
    <w:rsid w:val="003B0CE5"/>
    <w:rsid w:val="003B0D5E"/>
    <w:rsid w:val="003B0D9E"/>
    <w:rsid w:val="003B0E11"/>
    <w:rsid w:val="003B0E16"/>
    <w:rsid w:val="003B0F7C"/>
    <w:rsid w:val="003B1220"/>
    <w:rsid w:val="003B12E5"/>
    <w:rsid w:val="003B13A0"/>
    <w:rsid w:val="003B13FB"/>
    <w:rsid w:val="003B156A"/>
    <w:rsid w:val="003B18CB"/>
    <w:rsid w:val="003B18F8"/>
    <w:rsid w:val="003B1A2E"/>
    <w:rsid w:val="003B1AF4"/>
    <w:rsid w:val="003B1B4C"/>
    <w:rsid w:val="003B1BAF"/>
    <w:rsid w:val="003B1D25"/>
    <w:rsid w:val="003B1E89"/>
    <w:rsid w:val="003B1EB1"/>
    <w:rsid w:val="003B1F7A"/>
    <w:rsid w:val="003B20E3"/>
    <w:rsid w:val="003B211A"/>
    <w:rsid w:val="003B2149"/>
    <w:rsid w:val="003B2184"/>
    <w:rsid w:val="003B2199"/>
    <w:rsid w:val="003B23E3"/>
    <w:rsid w:val="003B2590"/>
    <w:rsid w:val="003B2662"/>
    <w:rsid w:val="003B26EB"/>
    <w:rsid w:val="003B288A"/>
    <w:rsid w:val="003B2A32"/>
    <w:rsid w:val="003B2B02"/>
    <w:rsid w:val="003B2B29"/>
    <w:rsid w:val="003B2D53"/>
    <w:rsid w:val="003B30A8"/>
    <w:rsid w:val="003B347A"/>
    <w:rsid w:val="003B3557"/>
    <w:rsid w:val="003B35DC"/>
    <w:rsid w:val="003B3650"/>
    <w:rsid w:val="003B3804"/>
    <w:rsid w:val="003B3855"/>
    <w:rsid w:val="003B38D2"/>
    <w:rsid w:val="003B390B"/>
    <w:rsid w:val="003B3A7E"/>
    <w:rsid w:val="003B3A80"/>
    <w:rsid w:val="003B3BC6"/>
    <w:rsid w:val="003B3BD6"/>
    <w:rsid w:val="003B3CBE"/>
    <w:rsid w:val="003B3D46"/>
    <w:rsid w:val="003B3FF8"/>
    <w:rsid w:val="003B4015"/>
    <w:rsid w:val="003B4124"/>
    <w:rsid w:val="003B43DC"/>
    <w:rsid w:val="003B442B"/>
    <w:rsid w:val="003B444E"/>
    <w:rsid w:val="003B448E"/>
    <w:rsid w:val="003B44B7"/>
    <w:rsid w:val="003B4502"/>
    <w:rsid w:val="003B4531"/>
    <w:rsid w:val="003B4552"/>
    <w:rsid w:val="003B464C"/>
    <w:rsid w:val="003B4798"/>
    <w:rsid w:val="003B4814"/>
    <w:rsid w:val="003B4869"/>
    <w:rsid w:val="003B48F7"/>
    <w:rsid w:val="003B4907"/>
    <w:rsid w:val="003B4A03"/>
    <w:rsid w:val="003B4A96"/>
    <w:rsid w:val="003B4C44"/>
    <w:rsid w:val="003B4D0A"/>
    <w:rsid w:val="003B4F1E"/>
    <w:rsid w:val="003B4FC1"/>
    <w:rsid w:val="003B50D8"/>
    <w:rsid w:val="003B532E"/>
    <w:rsid w:val="003B534B"/>
    <w:rsid w:val="003B5416"/>
    <w:rsid w:val="003B5505"/>
    <w:rsid w:val="003B5508"/>
    <w:rsid w:val="003B55D5"/>
    <w:rsid w:val="003B568B"/>
    <w:rsid w:val="003B568F"/>
    <w:rsid w:val="003B569A"/>
    <w:rsid w:val="003B5707"/>
    <w:rsid w:val="003B5743"/>
    <w:rsid w:val="003B578D"/>
    <w:rsid w:val="003B579C"/>
    <w:rsid w:val="003B5868"/>
    <w:rsid w:val="003B58C4"/>
    <w:rsid w:val="003B58F4"/>
    <w:rsid w:val="003B5A68"/>
    <w:rsid w:val="003B5AE9"/>
    <w:rsid w:val="003B5B20"/>
    <w:rsid w:val="003B5B53"/>
    <w:rsid w:val="003B5C4F"/>
    <w:rsid w:val="003B60C0"/>
    <w:rsid w:val="003B60CC"/>
    <w:rsid w:val="003B61D0"/>
    <w:rsid w:val="003B6347"/>
    <w:rsid w:val="003B6392"/>
    <w:rsid w:val="003B6482"/>
    <w:rsid w:val="003B64A1"/>
    <w:rsid w:val="003B6521"/>
    <w:rsid w:val="003B6566"/>
    <w:rsid w:val="003B657B"/>
    <w:rsid w:val="003B661D"/>
    <w:rsid w:val="003B6728"/>
    <w:rsid w:val="003B6942"/>
    <w:rsid w:val="003B69C0"/>
    <w:rsid w:val="003B6AD3"/>
    <w:rsid w:val="003B6D02"/>
    <w:rsid w:val="003B6D74"/>
    <w:rsid w:val="003B6DB4"/>
    <w:rsid w:val="003B708D"/>
    <w:rsid w:val="003B70CF"/>
    <w:rsid w:val="003B7180"/>
    <w:rsid w:val="003B71AE"/>
    <w:rsid w:val="003B71CA"/>
    <w:rsid w:val="003B722E"/>
    <w:rsid w:val="003B7287"/>
    <w:rsid w:val="003B757A"/>
    <w:rsid w:val="003B775B"/>
    <w:rsid w:val="003B77B2"/>
    <w:rsid w:val="003B7819"/>
    <w:rsid w:val="003B78A8"/>
    <w:rsid w:val="003B78F1"/>
    <w:rsid w:val="003B7901"/>
    <w:rsid w:val="003B7945"/>
    <w:rsid w:val="003B79B3"/>
    <w:rsid w:val="003B7B4D"/>
    <w:rsid w:val="003B7C4C"/>
    <w:rsid w:val="003B7C75"/>
    <w:rsid w:val="003B7C86"/>
    <w:rsid w:val="003B7D4A"/>
    <w:rsid w:val="003B7DAD"/>
    <w:rsid w:val="003B7DB0"/>
    <w:rsid w:val="003B7EAE"/>
    <w:rsid w:val="003B7F55"/>
    <w:rsid w:val="003C010A"/>
    <w:rsid w:val="003C051F"/>
    <w:rsid w:val="003C0555"/>
    <w:rsid w:val="003C0779"/>
    <w:rsid w:val="003C07E8"/>
    <w:rsid w:val="003C085E"/>
    <w:rsid w:val="003C09C7"/>
    <w:rsid w:val="003C09EA"/>
    <w:rsid w:val="003C0B26"/>
    <w:rsid w:val="003C0B3A"/>
    <w:rsid w:val="003C0B96"/>
    <w:rsid w:val="003C0BAD"/>
    <w:rsid w:val="003C0C37"/>
    <w:rsid w:val="003C0F69"/>
    <w:rsid w:val="003C0FEB"/>
    <w:rsid w:val="003C1051"/>
    <w:rsid w:val="003C12D3"/>
    <w:rsid w:val="003C12D4"/>
    <w:rsid w:val="003C1409"/>
    <w:rsid w:val="003C1537"/>
    <w:rsid w:val="003C153B"/>
    <w:rsid w:val="003C1662"/>
    <w:rsid w:val="003C185E"/>
    <w:rsid w:val="003C1A86"/>
    <w:rsid w:val="003C1A9A"/>
    <w:rsid w:val="003C1BD8"/>
    <w:rsid w:val="003C1C59"/>
    <w:rsid w:val="003C1CDD"/>
    <w:rsid w:val="003C1D6A"/>
    <w:rsid w:val="003C1D86"/>
    <w:rsid w:val="003C1DF6"/>
    <w:rsid w:val="003C1E6A"/>
    <w:rsid w:val="003C213E"/>
    <w:rsid w:val="003C2257"/>
    <w:rsid w:val="003C232B"/>
    <w:rsid w:val="003C23B0"/>
    <w:rsid w:val="003C2432"/>
    <w:rsid w:val="003C24DA"/>
    <w:rsid w:val="003C252D"/>
    <w:rsid w:val="003C2568"/>
    <w:rsid w:val="003C25F8"/>
    <w:rsid w:val="003C2719"/>
    <w:rsid w:val="003C271E"/>
    <w:rsid w:val="003C2797"/>
    <w:rsid w:val="003C28AA"/>
    <w:rsid w:val="003C28C1"/>
    <w:rsid w:val="003C29E0"/>
    <w:rsid w:val="003C2A94"/>
    <w:rsid w:val="003C2C18"/>
    <w:rsid w:val="003C2CB2"/>
    <w:rsid w:val="003C2E51"/>
    <w:rsid w:val="003C2F1B"/>
    <w:rsid w:val="003C2F2F"/>
    <w:rsid w:val="003C2FCB"/>
    <w:rsid w:val="003C300F"/>
    <w:rsid w:val="003C3041"/>
    <w:rsid w:val="003C30EF"/>
    <w:rsid w:val="003C328D"/>
    <w:rsid w:val="003C3351"/>
    <w:rsid w:val="003C3439"/>
    <w:rsid w:val="003C35A6"/>
    <w:rsid w:val="003C35E5"/>
    <w:rsid w:val="003C3644"/>
    <w:rsid w:val="003C368D"/>
    <w:rsid w:val="003C370B"/>
    <w:rsid w:val="003C37A8"/>
    <w:rsid w:val="003C37D9"/>
    <w:rsid w:val="003C38AE"/>
    <w:rsid w:val="003C3A26"/>
    <w:rsid w:val="003C3BC4"/>
    <w:rsid w:val="003C3BD7"/>
    <w:rsid w:val="003C3C3C"/>
    <w:rsid w:val="003C3C55"/>
    <w:rsid w:val="003C3CF7"/>
    <w:rsid w:val="003C3E08"/>
    <w:rsid w:val="003C3FAF"/>
    <w:rsid w:val="003C4083"/>
    <w:rsid w:val="003C40A3"/>
    <w:rsid w:val="003C41A7"/>
    <w:rsid w:val="003C4222"/>
    <w:rsid w:val="003C4406"/>
    <w:rsid w:val="003C455E"/>
    <w:rsid w:val="003C47A0"/>
    <w:rsid w:val="003C4846"/>
    <w:rsid w:val="003C4860"/>
    <w:rsid w:val="003C48AE"/>
    <w:rsid w:val="003C4A1D"/>
    <w:rsid w:val="003C4A50"/>
    <w:rsid w:val="003C4C3D"/>
    <w:rsid w:val="003C4C6E"/>
    <w:rsid w:val="003C4C87"/>
    <w:rsid w:val="003C4EB4"/>
    <w:rsid w:val="003C50B6"/>
    <w:rsid w:val="003C5192"/>
    <w:rsid w:val="003C51EF"/>
    <w:rsid w:val="003C521F"/>
    <w:rsid w:val="003C53FA"/>
    <w:rsid w:val="003C54A7"/>
    <w:rsid w:val="003C54E3"/>
    <w:rsid w:val="003C551F"/>
    <w:rsid w:val="003C5546"/>
    <w:rsid w:val="003C573A"/>
    <w:rsid w:val="003C5806"/>
    <w:rsid w:val="003C589B"/>
    <w:rsid w:val="003C5960"/>
    <w:rsid w:val="003C5961"/>
    <w:rsid w:val="003C5B38"/>
    <w:rsid w:val="003C5B3B"/>
    <w:rsid w:val="003C5B3C"/>
    <w:rsid w:val="003C5C71"/>
    <w:rsid w:val="003C5E7E"/>
    <w:rsid w:val="003C5E8D"/>
    <w:rsid w:val="003C6075"/>
    <w:rsid w:val="003C614B"/>
    <w:rsid w:val="003C61B9"/>
    <w:rsid w:val="003C631E"/>
    <w:rsid w:val="003C6391"/>
    <w:rsid w:val="003C63AB"/>
    <w:rsid w:val="003C6695"/>
    <w:rsid w:val="003C6706"/>
    <w:rsid w:val="003C674E"/>
    <w:rsid w:val="003C676C"/>
    <w:rsid w:val="003C6814"/>
    <w:rsid w:val="003C69AA"/>
    <w:rsid w:val="003C69D7"/>
    <w:rsid w:val="003C6A10"/>
    <w:rsid w:val="003C6A48"/>
    <w:rsid w:val="003C6C99"/>
    <w:rsid w:val="003C6EF9"/>
    <w:rsid w:val="003C70AB"/>
    <w:rsid w:val="003C713F"/>
    <w:rsid w:val="003C71B0"/>
    <w:rsid w:val="003C735F"/>
    <w:rsid w:val="003C73CE"/>
    <w:rsid w:val="003C7431"/>
    <w:rsid w:val="003C75EA"/>
    <w:rsid w:val="003C775F"/>
    <w:rsid w:val="003C7929"/>
    <w:rsid w:val="003C7A6E"/>
    <w:rsid w:val="003C7B5B"/>
    <w:rsid w:val="003C7BA4"/>
    <w:rsid w:val="003C7C66"/>
    <w:rsid w:val="003C7D5E"/>
    <w:rsid w:val="003C7FD3"/>
    <w:rsid w:val="003D01F7"/>
    <w:rsid w:val="003D0494"/>
    <w:rsid w:val="003D05F0"/>
    <w:rsid w:val="003D0620"/>
    <w:rsid w:val="003D0653"/>
    <w:rsid w:val="003D0772"/>
    <w:rsid w:val="003D0986"/>
    <w:rsid w:val="003D0B51"/>
    <w:rsid w:val="003D0BE8"/>
    <w:rsid w:val="003D0BF0"/>
    <w:rsid w:val="003D0D36"/>
    <w:rsid w:val="003D0F09"/>
    <w:rsid w:val="003D0F9D"/>
    <w:rsid w:val="003D1022"/>
    <w:rsid w:val="003D10A6"/>
    <w:rsid w:val="003D11B6"/>
    <w:rsid w:val="003D11ED"/>
    <w:rsid w:val="003D14A2"/>
    <w:rsid w:val="003D152A"/>
    <w:rsid w:val="003D1601"/>
    <w:rsid w:val="003D1749"/>
    <w:rsid w:val="003D1796"/>
    <w:rsid w:val="003D179B"/>
    <w:rsid w:val="003D181E"/>
    <w:rsid w:val="003D1844"/>
    <w:rsid w:val="003D1A2A"/>
    <w:rsid w:val="003D1A40"/>
    <w:rsid w:val="003D1B38"/>
    <w:rsid w:val="003D1B53"/>
    <w:rsid w:val="003D1B7D"/>
    <w:rsid w:val="003D1C6F"/>
    <w:rsid w:val="003D1DA8"/>
    <w:rsid w:val="003D1DCA"/>
    <w:rsid w:val="003D1EA2"/>
    <w:rsid w:val="003D1EFA"/>
    <w:rsid w:val="003D1FA9"/>
    <w:rsid w:val="003D1FCB"/>
    <w:rsid w:val="003D1FE2"/>
    <w:rsid w:val="003D20EA"/>
    <w:rsid w:val="003D2211"/>
    <w:rsid w:val="003D231D"/>
    <w:rsid w:val="003D2337"/>
    <w:rsid w:val="003D24FD"/>
    <w:rsid w:val="003D25B0"/>
    <w:rsid w:val="003D2636"/>
    <w:rsid w:val="003D2796"/>
    <w:rsid w:val="003D2855"/>
    <w:rsid w:val="003D288E"/>
    <w:rsid w:val="003D28D2"/>
    <w:rsid w:val="003D291D"/>
    <w:rsid w:val="003D29FB"/>
    <w:rsid w:val="003D2B82"/>
    <w:rsid w:val="003D2BAB"/>
    <w:rsid w:val="003D2F28"/>
    <w:rsid w:val="003D2FCB"/>
    <w:rsid w:val="003D3215"/>
    <w:rsid w:val="003D346A"/>
    <w:rsid w:val="003D34ED"/>
    <w:rsid w:val="003D35FD"/>
    <w:rsid w:val="003D388E"/>
    <w:rsid w:val="003D39F2"/>
    <w:rsid w:val="003D3A40"/>
    <w:rsid w:val="003D3AC9"/>
    <w:rsid w:val="003D3B29"/>
    <w:rsid w:val="003D3C1D"/>
    <w:rsid w:val="003D3D2C"/>
    <w:rsid w:val="003D3EAC"/>
    <w:rsid w:val="003D3ECC"/>
    <w:rsid w:val="003D3EE9"/>
    <w:rsid w:val="003D3FE7"/>
    <w:rsid w:val="003D41E9"/>
    <w:rsid w:val="003D42A8"/>
    <w:rsid w:val="003D4372"/>
    <w:rsid w:val="003D439B"/>
    <w:rsid w:val="003D43DE"/>
    <w:rsid w:val="003D4553"/>
    <w:rsid w:val="003D45A1"/>
    <w:rsid w:val="003D489E"/>
    <w:rsid w:val="003D48B9"/>
    <w:rsid w:val="003D4968"/>
    <w:rsid w:val="003D496E"/>
    <w:rsid w:val="003D4A4D"/>
    <w:rsid w:val="003D4BCA"/>
    <w:rsid w:val="003D4CF5"/>
    <w:rsid w:val="003D4DDD"/>
    <w:rsid w:val="003D4ECE"/>
    <w:rsid w:val="003D4F6A"/>
    <w:rsid w:val="003D52CC"/>
    <w:rsid w:val="003D538F"/>
    <w:rsid w:val="003D5460"/>
    <w:rsid w:val="003D5474"/>
    <w:rsid w:val="003D5585"/>
    <w:rsid w:val="003D55C1"/>
    <w:rsid w:val="003D5654"/>
    <w:rsid w:val="003D59AD"/>
    <w:rsid w:val="003D59AF"/>
    <w:rsid w:val="003D5A79"/>
    <w:rsid w:val="003D5B35"/>
    <w:rsid w:val="003D5B9B"/>
    <w:rsid w:val="003D5BC8"/>
    <w:rsid w:val="003D5BFF"/>
    <w:rsid w:val="003D5D58"/>
    <w:rsid w:val="003D5DA3"/>
    <w:rsid w:val="003D5DC7"/>
    <w:rsid w:val="003D60CC"/>
    <w:rsid w:val="003D6228"/>
    <w:rsid w:val="003D627A"/>
    <w:rsid w:val="003D6371"/>
    <w:rsid w:val="003D6507"/>
    <w:rsid w:val="003D6529"/>
    <w:rsid w:val="003D66F7"/>
    <w:rsid w:val="003D6754"/>
    <w:rsid w:val="003D676D"/>
    <w:rsid w:val="003D6932"/>
    <w:rsid w:val="003D6952"/>
    <w:rsid w:val="003D6A04"/>
    <w:rsid w:val="003D6A51"/>
    <w:rsid w:val="003D6B2F"/>
    <w:rsid w:val="003D6BDD"/>
    <w:rsid w:val="003D6C13"/>
    <w:rsid w:val="003D6C55"/>
    <w:rsid w:val="003D6C87"/>
    <w:rsid w:val="003D6C93"/>
    <w:rsid w:val="003D6CA8"/>
    <w:rsid w:val="003D6E30"/>
    <w:rsid w:val="003D6E87"/>
    <w:rsid w:val="003D70E4"/>
    <w:rsid w:val="003D7240"/>
    <w:rsid w:val="003D728D"/>
    <w:rsid w:val="003D72F8"/>
    <w:rsid w:val="003D74D6"/>
    <w:rsid w:val="003D7746"/>
    <w:rsid w:val="003D77D4"/>
    <w:rsid w:val="003D785C"/>
    <w:rsid w:val="003D79C1"/>
    <w:rsid w:val="003D79CD"/>
    <w:rsid w:val="003D7A0B"/>
    <w:rsid w:val="003D7C68"/>
    <w:rsid w:val="003D7CA3"/>
    <w:rsid w:val="003D7D43"/>
    <w:rsid w:val="003D7E43"/>
    <w:rsid w:val="003D7FC8"/>
    <w:rsid w:val="003E0061"/>
    <w:rsid w:val="003E00FB"/>
    <w:rsid w:val="003E0164"/>
    <w:rsid w:val="003E0266"/>
    <w:rsid w:val="003E029E"/>
    <w:rsid w:val="003E048D"/>
    <w:rsid w:val="003E064D"/>
    <w:rsid w:val="003E082A"/>
    <w:rsid w:val="003E082D"/>
    <w:rsid w:val="003E093C"/>
    <w:rsid w:val="003E0979"/>
    <w:rsid w:val="003E0999"/>
    <w:rsid w:val="003E09DF"/>
    <w:rsid w:val="003E0ADE"/>
    <w:rsid w:val="003E0B7C"/>
    <w:rsid w:val="003E0DE0"/>
    <w:rsid w:val="003E0E1C"/>
    <w:rsid w:val="003E0F23"/>
    <w:rsid w:val="003E0F75"/>
    <w:rsid w:val="003E1093"/>
    <w:rsid w:val="003E123A"/>
    <w:rsid w:val="003E12DF"/>
    <w:rsid w:val="003E131A"/>
    <w:rsid w:val="003E1331"/>
    <w:rsid w:val="003E13DD"/>
    <w:rsid w:val="003E16E7"/>
    <w:rsid w:val="003E1718"/>
    <w:rsid w:val="003E17A9"/>
    <w:rsid w:val="003E186C"/>
    <w:rsid w:val="003E1887"/>
    <w:rsid w:val="003E190C"/>
    <w:rsid w:val="003E1963"/>
    <w:rsid w:val="003E1989"/>
    <w:rsid w:val="003E19A0"/>
    <w:rsid w:val="003E1A63"/>
    <w:rsid w:val="003E1AAE"/>
    <w:rsid w:val="003E1B78"/>
    <w:rsid w:val="003E1C29"/>
    <w:rsid w:val="003E1C30"/>
    <w:rsid w:val="003E1C4F"/>
    <w:rsid w:val="003E1D20"/>
    <w:rsid w:val="003E1D9A"/>
    <w:rsid w:val="003E1E65"/>
    <w:rsid w:val="003E1E84"/>
    <w:rsid w:val="003E1F1B"/>
    <w:rsid w:val="003E2141"/>
    <w:rsid w:val="003E21B3"/>
    <w:rsid w:val="003E2224"/>
    <w:rsid w:val="003E2276"/>
    <w:rsid w:val="003E22CD"/>
    <w:rsid w:val="003E234C"/>
    <w:rsid w:val="003E2508"/>
    <w:rsid w:val="003E266C"/>
    <w:rsid w:val="003E2719"/>
    <w:rsid w:val="003E274F"/>
    <w:rsid w:val="003E2770"/>
    <w:rsid w:val="003E27E9"/>
    <w:rsid w:val="003E2AC7"/>
    <w:rsid w:val="003E2C20"/>
    <w:rsid w:val="003E2D57"/>
    <w:rsid w:val="003E2E8F"/>
    <w:rsid w:val="003E2FAA"/>
    <w:rsid w:val="003E3029"/>
    <w:rsid w:val="003E30D6"/>
    <w:rsid w:val="003E30DC"/>
    <w:rsid w:val="003E31D3"/>
    <w:rsid w:val="003E3214"/>
    <w:rsid w:val="003E3220"/>
    <w:rsid w:val="003E327C"/>
    <w:rsid w:val="003E32D8"/>
    <w:rsid w:val="003E33BF"/>
    <w:rsid w:val="003E34D9"/>
    <w:rsid w:val="003E3503"/>
    <w:rsid w:val="003E359E"/>
    <w:rsid w:val="003E35EB"/>
    <w:rsid w:val="003E35FB"/>
    <w:rsid w:val="003E3688"/>
    <w:rsid w:val="003E36F5"/>
    <w:rsid w:val="003E3724"/>
    <w:rsid w:val="003E38C8"/>
    <w:rsid w:val="003E3A35"/>
    <w:rsid w:val="003E3B17"/>
    <w:rsid w:val="003E3B84"/>
    <w:rsid w:val="003E3BC7"/>
    <w:rsid w:val="003E3DC9"/>
    <w:rsid w:val="003E3E88"/>
    <w:rsid w:val="003E4040"/>
    <w:rsid w:val="003E4072"/>
    <w:rsid w:val="003E40A8"/>
    <w:rsid w:val="003E41C5"/>
    <w:rsid w:val="003E41DD"/>
    <w:rsid w:val="003E42B4"/>
    <w:rsid w:val="003E43FA"/>
    <w:rsid w:val="003E444D"/>
    <w:rsid w:val="003E444E"/>
    <w:rsid w:val="003E44DC"/>
    <w:rsid w:val="003E46A8"/>
    <w:rsid w:val="003E4755"/>
    <w:rsid w:val="003E477C"/>
    <w:rsid w:val="003E4A72"/>
    <w:rsid w:val="003E4A77"/>
    <w:rsid w:val="003E4AED"/>
    <w:rsid w:val="003E4C9C"/>
    <w:rsid w:val="003E4CBD"/>
    <w:rsid w:val="003E4E33"/>
    <w:rsid w:val="003E4EF7"/>
    <w:rsid w:val="003E5184"/>
    <w:rsid w:val="003E51FA"/>
    <w:rsid w:val="003E528E"/>
    <w:rsid w:val="003E52D0"/>
    <w:rsid w:val="003E5351"/>
    <w:rsid w:val="003E53D3"/>
    <w:rsid w:val="003E5421"/>
    <w:rsid w:val="003E5B8B"/>
    <w:rsid w:val="003E5BE4"/>
    <w:rsid w:val="003E5C1E"/>
    <w:rsid w:val="003E5D97"/>
    <w:rsid w:val="003E5DAE"/>
    <w:rsid w:val="003E5EAE"/>
    <w:rsid w:val="003E5EFB"/>
    <w:rsid w:val="003E5F85"/>
    <w:rsid w:val="003E6005"/>
    <w:rsid w:val="003E6033"/>
    <w:rsid w:val="003E60AB"/>
    <w:rsid w:val="003E61A2"/>
    <w:rsid w:val="003E6219"/>
    <w:rsid w:val="003E640F"/>
    <w:rsid w:val="003E6459"/>
    <w:rsid w:val="003E6509"/>
    <w:rsid w:val="003E666D"/>
    <w:rsid w:val="003E68EE"/>
    <w:rsid w:val="003E6CFA"/>
    <w:rsid w:val="003E6D17"/>
    <w:rsid w:val="003E6D7D"/>
    <w:rsid w:val="003E6E14"/>
    <w:rsid w:val="003E6EB1"/>
    <w:rsid w:val="003E70F0"/>
    <w:rsid w:val="003E7204"/>
    <w:rsid w:val="003E7397"/>
    <w:rsid w:val="003E7554"/>
    <w:rsid w:val="003E762A"/>
    <w:rsid w:val="003E77A4"/>
    <w:rsid w:val="003E780F"/>
    <w:rsid w:val="003E7863"/>
    <w:rsid w:val="003E7A40"/>
    <w:rsid w:val="003E7A4C"/>
    <w:rsid w:val="003E7AB6"/>
    <w:rsid w:val="003E7ABF"/>
    <w:rsid w:val="003E7B4A"/>
    <w:rsid w:val="003E7D38"/>
    <w:rsid w:val="003E7D53"/>
    <w:rsid w:val="003E7FE1"/>
    <w:rsid w:val="003F00F8"/>
    <w:rsid w:val="003F0109"/>
    <w:rsid w:val="003F02AA"/>
    <w:rsid w:val="003F03BF"/>
    <w:rsid w:val="003F048C"/>
    <w:rsid w:val="003F04D0"/>
    <w:rsid w:val="003F0662"/>
    <w:rsid w:val="003F0682"/>
    <w:rsid w:val="003F076B"/>
    <w:rsid w:val="003F080D"/>
    <w:rsid w:val="003F0893"/>
    <w:rsid w:val="003F08C9"/>
    <w:rsid w:val="003F098A"/>
    <w:rsid w:val="003F0A63"/>
    <w:rsid w:val="003F0B24"/>
    <w:rsid w:val="003F0B3C"/>
    <w:rsid w:val="003F0D12"/>
    <w:rsid w:val="003F0D9C"/>
    <w:rsid w:val="003F0EBA"/>
    <w:rsid w:val="003F0ECE"/>
    <w:rsid w:val="003F0FA5"/>
    <w:rsid w:val="003F1012"/>
    <w:rsid w:val="003F1139"/>
    <w:rsid w:val="003F118E"/>
    <w:rsid w:val="003F11FE"/>
    <w:rsid w:val="003F124A"/>
    <w:rsid w:val="003F1275"/>
    <w:rsid w:val="003F12D5"/>
    <w:rsid w:val="003F1740"/>
    <w:rsid w:val="003F183D"/>
    <w:rsid w:val="003F1843"/>
    <w:rsid w:val="003F1888"/>
    <w:rsid w:val="003F192F"/>
    <w:rsid w:val="003F1947"/>
    <w:rsid w:val="003F19D4"/>
    <w:rsid w:val="003F1AE2"/>
    <w:rsid w:val="003F1BCE"/>
    <w:rsid w:val="003F1D14"/>
    <w:rsid w:val="003F1FB0"/>
    <w:rsid w:val="003F1FC9"/>
    <w:rsid w:val="003F1FCD"/>
    <w:rsid w:val="003F2140"/>
    <w:rsid w:val="003F21F3"/>
    <w:rsid w:val="003F21F9"/>
    <w:rsid w:val="003F22EB"/>
    <w:rsid w:val="003F2465"/>
    <w:rsid w:val="003F24DD"/>
    <w:rsid w:val="003F258F"/>
    <w:rsid w:val="003F25A5"/>
    <w:rsid w:val="003F26A1"/>
    <w:rsid w:val="003F2747"/>
    <w:rsid w:val="003F2784"/>
    <w:rsid w:val="003F27D2"/>
    <w:rsid w:val="003F2B36"/>
    <w:rsid w:val="003F2B76"/>
    <w:rsid w:val="003F2BC9"/>
    <w:rsid w:val="003F2CD6"/>
    <w:rsid w:val="003F2D0F"/>
    <w:rsid w:val="003F2FAB"/>
    <w:rsid w:val="003F3194"/>
    <w:rsid w:val="003F3217"/>
    <w:rsid w:val="003F33C4"/>
    <w:rsid w:val="003F3501"/>
    <w:rsid w:val="003F3779"/>
    <w:rsid w:val="003F37AD"/>
    <w:rsid w:val="003F3897"/>
    <w:rsid w:val="003F3943"/>
    <w:rsid w:val="003F39F0"/>
    <w:rsid w:val="003F3AD6"/>
    <w:rsid w:val="003F3BDE"/>
    <w:rsid w:val="003F3D71"/>
    <w:rsid w:val="003F3E26"/>
    <w:rsid w:val="003F3E62"/>
    <w:rsid w:val="003F3FAA"/>
    <w:rsid w:val="003F413B"/>
    <w:rsid w:val="003F4269"/>
    <w:rsid w:val="003F4272"/>
    <w:rsid w:val="003F427E"/>
    <w:rsid w:val="003F4284"/>
    <w:rsid w:val="003F43B2"/>
    <w:rsid w:val="003F45B8"/>
    <w:rsid w:val="003F45CA"/>
    <w:rsid w:val="003F4650"/>
    <w:rsid w:val="003F470D"/>
    <w:rsid w:val="003F4C54"/>
    <w:rsid w:val="003F4D7A"/>
    <w:rsid w:val="003F4E95"/>
    <w:rsid w:val="003F4EC0"/>
    <w:rsid w:val="003F5015"/>
    <w:rsid w:val="003F51B1"/>
    <w:rsid w:val="003F525E"/>
    <w:rsid w:val="003F52BA"/>
    <w:rsid w:val="003F536F"/>
    <w:rsid w:val="003F53FE"/>
    <w:rsid w:val="003F54C8"/>
    <w:rsid w:val="003F558B"/>
    <w:rsid w:val="003F56E2"/>
    <w:rsid w:val="003F575C"/>
    <w:rsid w:val="003F5808"/>
    <w:rsid w:val="003F5904"/>
    <w:rsid w:val="003F590B"/>
    <w:rsid w:val="003F5926"/>
    <w:rsid w:val="003F5C2C"/>
    <w:rsid w:val="003F5C6F"/>
    <w:rsid w:val="003F5D46"/>
    <w:rsid w:val="003F5D7A"/>
    <w:rsid w:val="003F5F64"/>
    <w:rsid w:val="003F60B4"/>
    <w:rsid w:val="003F6176"/>
    <w:rsid w:val="003F61A6"/>
    <w:rsid w:val="003F61F1"/>
    <w:rsid w:val="003F622E"/>
    <w:rsid w:val="003F632A"/>
    <w:rsid w:val="003F63EF"/>
    <w:rsid w:val="003F642C"/>
    <w:rsid w:val="003F6464"/>
    <w:rsid w:val="003F651B"/>
    <w:rsid w:val="003F6538"/>
    <w:rsid w:val="003F65A1"/>
    <w:rsid w:val="003F65AF"/>
    <w:rsid w:val="003F65F7"/>
    <w:rsid w:val="003F6632"/>
    <w:rsid w:val="003F674D"/>
    <w:rsid w:val="003F67D6"/>
    <w:rsid w:val="003F682A"/>
    <w:rsid w:val="003F68AE"/>
    <w:rsid w:val="003F6996"/>
    <w:rsid w:val="003F6A20"/>
    <w:rsid w:val="003F6BAD"/>
    <w:rsid w:val="003F6C47"/>
    <w:rsid w:val="003F6DA3"/>
    <w:rsid w:val="003F6E15"/>
    <w:rsid w:val="003F6F3B"/>
    <w:rsid w:val="003F6F3D"/>
    <w:rsid w:val="003F6F5E"/>
    <w:rsid w:val="003F6FA1"/>
    <w:rsid w:val="003F701A"/>
    <w:rsid w:val="003F70D8"/>
    <w:rsid w:val="003F70FF"/>
    <w:rsid w:val="003F712D"/>
    <w:rsid w:val="003F713D"/>
    <w:rsid w:val="003F729D"/>
    <w:rsid w:val="003F7334"/>
    <w:rsid w:val="003F7340"/>
    <w:rsid w:val="003F748B"/>
    <w:rsid w:val="003F74BE"/>
    <w:rsid w:val="003F7583"/>
    <w:rsid w:val="003F75FF"/>
    <w:rsid w:val="003F7639"/>
    <w:rsid w:val="003F7648"/>
    <w:rsid w:val="003F7716"/>
    <w:rsid w:val="003F77DD"/>
    <w:rsid w:val="003F7A8C"/>
    <w:rsid w:val="003F7A99"/>
    <w:rsid w:val="003F7ADB"/>
    <w:rsid w:val="003F7E30"/>
    <w:rsid w:val="00400017"/>
    <w:rsid w:val="004000CF"/>
    <w:rsid w:val="00400360"/>
    <w:rsid w:val="0040048E"/>
    <w:rsid w:val="004004C2"/>
    <w:rsid w:val="00400502"/>
    <w:rsid w:val="004005B0"/>
    <w:rsid w:val="004005EC"/>
    <w:rsid w:val="004007ED"/>
    <w:rsid w:val="00400828"/>
    <w:rsid w:val="00400968"/>
    <w:rsid w:val="00400A66"/>
    <w:rsid w:val="00400AEB"/>
    <w:rsid w:val="00400B4A"/>
    <w:rsid w:val="00400C59"/>
    <w:rsid w:val="00400C89"/>
    <w:rsid w:val="00400D9A"/>
    <w:rsid w:val="00401002"/>
    <w:rsid w:val="00401190"/>
    <w:rsid w:val="0040121B"/>
    <w:rsid w:val="004012A9"/>
    <w:rsid w:val="0040132E"/>
    <w:rsid w:val="00401359"/>
    <w:rsid w:val="004014DF"/>
    <w:rsid w:val="00401620"/>
    <w:rsid w:val="00401641"/>
    <w:rsid w:val="00401732"/>
    <w:rsid w:val="00401745"/>
    <w:rsid w:val="0040184C"/>
    <w:rsid w:val="00401865"/>
    <w:rsid w:val="00401AC6"/>
    <w:rsid w:val="00401C35"/>
    <w:rsid w:val="00401CEC"/>
    <w:rsid w:val="00401E50"/>
    <w:rsid w:val="00401F0B"/>
    <w:rsid w:val="00401F18"/>
    <w:rsid w:val="00401F9A"/>
    <w:rsid w:val="00402049"/>
    <w:rsid w:val="0040224C"/>
    <w:rsid w:val="004022BA"/>
    <w:rsid w:val="004022D7"/>
    <w:rsid w:val="00402303"/>
    <w:rsid w:val="00402377"/>
    <w:rsid w:val="00402520"/>
    <w:rsid w:val="0040277C"/>
    <w:rsid w:val="00402857"/>
    <w:rsid w:val="0040294C"/>
    <w:rsid w:val="00402B12"/>
    <w:rsid w:val="00402B84"/>
    <w:rsid w:val="00402D16"/>
    <w:rsid w:val="00402E12"/>
    <w:rsid w:val="00402E25"/>
    <w:rsid w:val="00402EE5"/>
    <w:rsid w:val="00402F18"/>
    <w:rsid w:val="00402F4B"/>
    <w:rsid w:val="00402F90"/>
    <w:rsid w:val="0040306D"/>
    <w:rsid w:val="00403185"/>
    <w:rsid w:val="004031B7"/>
    <w:rsid w:val="004031E2"/>
    <w:rsid w:val="00403202"/>
    <w:rsid w:val="0040355A"/>
    <w:rsid w:val="00403572"/>
    <w:rsid w:val="00403719"/>
    <w:rsid w:val="00403760"/>
    <w:rsid w:val="00403854"/>
    <w:rsid w:val="004038E3"/>
    <w:rsid w:val="004038E8"/>
    <w:rsid w:val="0040398C"/>
    <w:rsid w:val="00403A44"/>
    <w:rsid w:val="00403B94"/>
    <w:rsid w:val="00403C15"/>
    <w:rsid w:val="00403D25"/>
    <w:rsid w:val="00403E6A"/>
    <w:rsid w:val="00403EEE"/>
    <w:rsid w:val="00403F2D"/>
    <w:rsid w:val="00404089"/>
    <w:rsid w:val="004040E4"/>
    <w:rsid w:val="004040F6"/>
    <w:rsid w:val="00404376"/>
    <w:rsid w:val="004043C2"/>
    <w:rsid w:val="004048C3"/>
    <w:rsid w:val="004048E0"/>
    <w:rsid w:val="004049C5"/>
    <w:rsid w:val="00404AEC"/>
    <w:rsid w:val="00404B69"/>
    <w:rsid w:val="00404C0F"/>
    <w:rsid w:val="00404C12"/>
    <w:rsid w:val="00404C42"/>
    <w:rsid w:val="00404C72"/>
    <w:rsid w:val="00404DA6"/>
    <w:rsid w:val="00404DE6"/>
    <w:rsid w:val="00404E37"/>
    <w:rsid w:val="00404E4D"/>
    <w:rsid w:val="00404ECB"/>
    <w:rsid w:val="00404EEA"/>
    <w:rsid w:val="00404F0D"/>
    <w:rsid w:val="00405199"/>
    <w:rsid w:val="004051B2"/>
    <w:rsid w:val="00405207"/>
    <w:rsid w:val="004053A6"/>
    <w:rsid w:val="004054E4"/>
    <w:rsid w:val="004056DF"/>
    <w:rsid w:val="00405703"/>
    <w:rsid w:val="0040575D"/>
    <w:rsid w:val="00405A1F"/>
    <w:rsid w:val="00405A90"/>
    <w:rsid w:val="00405B96"/>
    <w:rsid w:val="00405CED"/>
    <w:rsid w:val="00405E0A"/>
    <w:rsid w:val="00405E24"/>
    <w:rsid w:val="00405E8F"/>
    <w:rsid w:val="00405E95"/>
    <w:rsid w:val="00405EE5"/>
    <w:rsid w:val="00405F6A"/>
    <w:rsid w:val="00405FCC"/>
    <w:rsid w:val="00405FE7"/>
    <w:rsid w:val="004060ED"/>
    <w:rsid w:val="004061F0"/>
    <w:rsid w:val="00406218"/>
    <w:rsid w:val="0040624C"/>
    <w:rsid w:val="004062EF"/>
    <w:rsid w:val="00406388"/>
    <w:rsid w:val="004064BC"/>
    <w:rsid w:val="00406531"/>
    <w:rsid w:val="0040672C"/>
    <w:rsid w:val="0040679D"/>
    <w:rsid w:val="0040689D"/>
    <w:rsid w:val="004068F0"/>
    <w:rsid w:val="0040690C"/>
    <w:rsid w:val="00406949"/>
    <w:rsid w:val="00406AED"/>
    <w:rsid w:val="00406B69"/>
    <w:rsid w:val="00406BDB"/>
    <w:rsid w:val="00406BFE"/>
    <w:rsid w:val="00406C1C"/>
    <w:rsid w:val="00406D6D"/>
    <w:rsid w:val="00406FCE"/>
    <w:rsid w:val="0040728D"/>
    <w:rsid w:val="004072B5"/>
    <w:rsid w:val="00407369"/>
    <w:rsid w:val="00407418"/>
    <w:rsid w:val="004075BE"/>
    <w:rsid w:val="004075E2"/>
    <w:rsid w:val="0040761D"/>
    <w:rsid w:val="00407742"/>
    <w:rsid w:val="0040774A"/>
    <w:rsid w:val="004077B6"/>
    <w:rsid w:val="0040793C"/>
    <w:rsid w:val="004079FD"/>
    <w:rsid w:val="00407A64"/>
    <w:rsid w:val="00407CF9"/>
    <w:rsid w:val="00407E0F"/>
    <w:rsid w:val="00407E1C"/>
    <w:rsid w:val="00407EA8"/>
    <w:rsid w:val="0041013C"/>
    <w:rsid w:val="0041024D"/>
    <w:rsid w:val="004102C4"/>
    <w:rsid w:val="00410347"/>
    <w:rsid w:val="004104EF"/>
    <w:rsid w:val="00410570"/>
    <w:rsid w:val="0041068F"/>
    <w:rsid w:val="0041080F"/>
    <w:rsid w:val="004108E1"/>
    <w:rsid w:val="00410943"/>
    <w:rsid w:val="00410BF6"/>
    <w:rsid w:val="00410C7C"/>
    <w:rsid w:val="00410C9A"/>
    <w:rsid w:val="00410E6E"/>
    <w:rsid w:val="00410ECC"/>
    <w:rsid w:val="00410FD0"/>
    <w:rsid w:val="0041105C"/>
    <w:rsid w:val="00411157"/>
    <w:rsid w:val="004111D7"/>
    <w:rsid w:val="0041130B"/>
    <w:rsid w:val="00411396"/>
    <w:rsid w:val="0041139D"/>
    <w:rsid w:val="004113D5"/>
    <w:rsid w:val="00411414"/>
    <w:rsid w:val="004114C6"/>
    <w:rsid w:val="00411541"/>
    <w:rsid w:val="00411636"/>
    <w:rsid w:val="00411670"/>
    <w:rsid w:val="00411688"/>
    <w:rsid w:val="004116F1"/>
    <w:rsid w:val="0041177D"/>
    <w:rsid w:val="00411859"/>
    <w:rsid w:val="0041189D"/>
    <w:rsid w:val="004118F4"/>
    <w:rsid w:val="00411A19"/>
    <w:rsid w:val="00411AC2"/>
    <w:rsid w:val="00411AC7"/>
    <w:rsid w:val="00411AD6"/>
    <w:rsid w:val="00411B39"/>
    <w:rsid w:val="00411B3E"/>
    <w:rsid w:val="00411C3D"/>
    <w:rsid w:val="00411C92"/>
    <w:rsid w:val="00411CBC"/>
    <w:rsid w:val="00411CE8"/>
    <w:rsid w:val="00411D2F"/>
    <w:rsid w:val="00411E0F"/>
    <w:rsid w:val="004120AF"/>
    <w:rsid w:val="00412188"/>
    <w:rsid w:val="004122B8"/>
    <w:rsid w:val="00412323"/>
    <w:rsid w:val="00412400"/>
    <w:rsid w:val="0041243B"/>
    <w:rsid w:val="0041246D"/>
    <w:rsid w:val="004125A1"/>
    <w:rsid w:val="004125E6"/>
    <w:rsid w:val="0041267A"/>
    <w:rsid w:val="004127A3"/>
    <w:rsid w:val="0041283E"/>
    <w:rsid w:val="0041289A"/>
    <w:rsid w:val="004128C1"/>
    <w:rsid w:val="004129A3"/>
    <w:rsid w:val="00412A42"/>
    <w:rsid w:val="00412AF9"/>
    <w:rsid w:val="00412C3B"/>
    <w:rsid w:val="00412CC7"/>
    <w:rsid w:val="00412E4C"/>
    <w:rsid w:val="00412E93"/>
    <w:rsid w:val="00412F4C"/>
    <w:rsid w:val="00413136"/>
    <w:rsid w:val="004131F8"/>
    <w:rsid w:val="0041322D"/>
    <w:rsid w:val="004132F6"/>
    <w:rsid w:val="004134E7"/>
    <w:rsid w:val="00413523"/>
    <w:rsid w:val="004136DE"/>
    <w:rsid w:val="00413863"/>
    <w:rsid w:val="00413902"/>
    <w:rsid w:val="00413A17"/>
    <w:rsid w:val="00413B22"/>
    <w:rsid w:val="00413FD2"/>
    <w:rsid w:val="004140BF"/>
    <w:rsid w:val="004141D8"/>
    <w:rsid w:val="004142D0"/>
    <w:rsid w:val="004143E2"/>
    <w:rsid w:val="004144C5"/>
    <w:rsid w:val="0041456E"/>
    <w:rsid w:val="0041464D"/>
    <w:rsid w:val="00414668"/>
    <w:rsid w:val="0041475B"/>
    <w:rsid w:val="004147D9"/>
    <w:rsid w:val="004148FF"/>
    <w:rsid w:val="004149AD"/>
    <w:rsid w:val="004149F1"/>
    <w:rsid w:val="00414AC2"/>
    <w:rsid w:val="00414BA7"/>
    <w:rsid w:val="00414C9E"/>
    <w:rsid w:val="00414D8D"/>
    <w:rsid w:val="00414DD9"/>
    <w:rsid w:val="00414DDE"/>
    <w:rsid w:val="00414DE1"/>
    <w:rsid w:val="00414E9A"/>
    <w:rsid w:val="00414FBD"/>
    <w:rsid w:val="004150AF"/>
    <w:rsid w:val="004150DF"/>
    <w:rsid w:val="00415297"/>
    <w:rsid w:val="00415311"/>
    <w:rsid w:val="0041533E"/>
    <w:rsid w:val="004155CB"/>
    <w:rsid w:val="00415719"/>
    <w:rsid w:val="0041571C"/>
    <w:rsid w:val="004157F3"/>
    <w:rsid w:val="0041583B"/>
    <w:rsid w:val="004158E4"/>
    <w:rsid w:val="004159C6"/>
    <w:rsid w:val="00415A20"/>
    <w:rsid w:val="00415A5C"/>
    <w:rsid w:val="00415A71"/>
    <w:rsid w:val="00415ABD"/>
    <w:rsid w:val="00415AF8"/>
    <w:rsid w:val="00415C1B"/>
    <w:rsid w:val="00415D34"/>
    <w:rsid w:val="00415DDE"/>
    <w:rsid w:val="00415E53"/>
    <w:rsid w:val="00415E91"/>
    <w:rsid w:val="00415F4D"/>
    <w:rsid w:val="00416043"/>
    <w:rsid w:val="0041620A"/>
    <w:rsid w:val="0041628C"/>
    <w:rsid w:val="0041632C"/>
    <w:rsid w:val="00416389"/>
    <w:rsid w:val="0041642D"/>
    <w:rsid w:val="004165B8"/>
    <w:rsid w:val="00416649"/>
    <w:rsid w:val="00416817"/>
    <w:rsid w:val="004168B0"/>
    <w:rsid w:val="004168C9"/>
    <w:rsid w:val="00416AAE"/>
    <w:rsid w:val="00416AEF"/>
    <w:rsid w:val="00416B94"/>
    <w:rsid w:val="00416BFB"/>
    <w:rsid w:val="00416C66"/>
    <w:rsid w:val="00416C95"/>
    <w:rsid w:val="00416D04"/>
    <w:rsid w:val="00416D77"/>
    <w:rsid w:val="00416E02"/>
    <w:rsid w:val="00416F02"/>
    <w:rsid w:val="00417240"/>
    <w:rsid w:val="00417293"/>
    <w:rsid w:val="004172BC"/>
    <w:rsid w:val="00417375"/>
    <w:rsid w:val="00417559"/>
    <w:rsid w:val="0041758B"/>
    <w:rsid w:val="00417662"/>
    <w:rsid w:val="004176A2"/>
    <w:rsid w:val="00417790"/>
    <w:rsid w:val="00417803"/>
    <w:rsid w:val="004178DA"/>
    <w:rsid w:val="004179EC"/>
    <w:rsid w:val="00417A19"/>
    <w:rsid w:val="00417B37"/>
    <w:rsid w:val="00417C8E"/>
    <w:rsid w:val="00417D42"/>
    <w:rsid w:val="00417F44"/>
    <w:rsid w:val="00417F71"/>
    <w:rsid w:val="00417F76"/>
    <w:rsid w:val="00420069"/>
    <w:rsid w:val="00420070"/>
    <w:rsid w:val="004200AF"/>
    <w:rsid w:val="00420108"/>
    <w:rsid w:val="0042012D"/>
    <w:rsid w:val="0042019C"/>
    <w:rsid w:val="0042028F"/>
    <w:rsid w:val="004202CE"/>
    <w:rsid w:val="004202FC"/>
    <w:rsid w:val="004203EA"/>
    <w:rsid w:val="004205B8"/>
    <w:rsid w:val="004207B2"/>
    <w:rsid w:val="004207D8"/>
    <w:rsid w:val="004208D5"/>
    <w:rsid w:val="004208D9"/>
    <w:rsid w:val="00420974"/>
    <w:rsid w:val="00420A9E"/>
    <w:rsid w:val="00420AFB"/>
    <w:rsid w:val="00420B1B"/>
    <w:rsid w:val="00420B3F"/>
    <w:rsid w:val="00420BC9"/>
    <w:rsid w:val="00420BDF"/>
    <w:rsid w:val="00420D22"/>
    <w:rsid w:val="00420E21"/>
    <w:rsid w:val="00420E89"/>
    <w:rsid w:val="00420EEC"/>
    <w:rsid w:val="00420EF5"/>
    <w:rsid w:val="00420F9C"/>
    <w:rsid w:val="00421300"/>
    <w:rsid w:val="00421368"/>
    <w:rsid w:val="004213E5"/>
    <w:rsid w:val="0042140D"/>
    <w:rsid w:val="00421725"/>
    <w:rsid w:val="004219ED"/>
    <w:rsid w:val="00421AF0"/>
    <w:rsid w:val="00421C3E"/>
    <w:rsid w:val="00421CBA"/>
    <w:rsid w:val="00421CF1"/>
    <w:rsid w:val="00421E10"/>
    <w:rsid w:val="00421E83"/>
    <w:rsid w:val="00421EE6"/>
    <w:rsid w:val="00421F08"/>
    <w:rsid w:val="004220CD"/>
    <w:rsid w:val="0042210A"/>
    <w:rsid w:val="0042215F"/>
    <w:rsid w:val="00422169"/>
    <w:rsid w:val="004222E0"/>
    <w:rsid w:val="00422328"/>
    <w:rsid w:val="00422349"/>
    <w:rsid w:val="00422397"/>
    <w:rsid w:val="004223AA"/>
    <w:rsid w:val="004224AD"/>
    <w:rsid w:val="004225D7"/>
    <w:rsid w:val="0042262A"/>
    <w:rsid w:val="0042263B"/>
    <w:rsid w:val="0042273F"/>
    <w:rsid w:val="0042282B"/>
    <w:rsid w:val="00422993"/>
    <w:rsid w:val="00422A04"/>
    <w:rsid w:val="00422A2C"/>
    <w:rsid w:val="00422BC4"/>
    <w:rsid w:val="00422BD0"/>
    <w:rsid w:val="00422CA7"/>
    <w:rsid w:val="00422CA8"/>
    <w:rsid w:val="00422D58"/>
    <w:rsid w:val="00422F85"/>
    <w:rsid w:val="0042305C"/>
    <w:rsid w:val="00423090"/>
    <w:rsid w:val="0042318A"/>
    <w:rsid w:val="004231DC"/>
    <w:rsid w:val="0042321A"/>
    <w:rsid w:val="0042324A"/>
    <w:rsid w:val="0042326E"/>
    <w:rsid w:val="004232BE"/>
    <w:rsid w:val="0042335B"/>
    <w:rsid w:val="00423407"/>
    <w:rsid w:val="00423521"/>
    <w:rsid w:val="00423580"/>
    <w:rsid w:val="004235A2"/>
    <w:rsid w:val="004235DF"/>
    <w:rsid w:val="004236AE"/>
    <w:rsid w:val="00423722"/>
    <w:rsid w:val="00423733"/>
    <w:rsid w:val="00423761"/>
    <w:rsid w:val="004237BA"/>
    <w:rsid w:val="004238F2"/>
    <w:rsid w:val="00423A88"/>
    <w:rsid w:val="00423AB3"/>
    <w:rsid w:val="00423B0F"/>
    <w:rsid w:val="00423B22"/>
    <w:rsid w:val="00423B2A"/>
    <w:rsid w:val="00423B6C"/>
    <w:rsid w:val="00423BDC"/>
    <w:rsid w:val="00423DA2"/>
    <w:rsid w:val="00423E4D"/>
    <w:rsid w:val="00423E71"/>
    <w:rsid w:val="00423E7C"/>
    <w:rsid w:val="00423F4E"/>
    <w:rsid w:val="00424293"/>
    <w:rsid w:val="004243F9"/>
    <w:rsid w:val="004246A7"/>
    <w:rsid w:val="0042476F"/>
    <w:rsid w:val="0042483F"/>
    <w:rsid w:val="004249C8"/>
    <w:rsid w:val="00424B3C"/>
    <w:rsid w:val="00424C2C"/>
    <w:rsid w:val="00424D4D"/>
    <w:rsid w:val="00424EE5"/>
    <w:rsid w:val="00424F4F"/>
    <w:rsid w:val="00424F63"/>
    <w:rsid w:val="00424FBE"/>
    <w:rsid w:val="00425103"/>
    <w:rsid w:val="00425159"/>
    <w:rsid w:val="00425290"/>
    <w:rsid w:val="004252E6"/>
    <w:rsid w:val="00425411"/>
    <w:rsid w:val="004257C5"/>
    <w:rsid w:val="0042582B"/>
    <w:rsid w:val="00425891"/>
    <w:rsid w:val="0042589E"/>
    <w:rsid w:val="004258B1"/>
    <w:rsid w:val="004258CE"/>
    <w:rsid w:val="00425963"/>
    <w:rsid w:val="004259FB"/>
    <w:rsid w:val="00425B36"/>
    <w:rsid w:val="00425DC3"/>
    <w:rsid w:val="00425E29"/>
    <w:rsid w:val="00425FFB"/>
    <w:rsid w:val="00426069"/>
    <w:rsid w:val="004260CE"/>
    <w:rsid w:val="004261BA"/>
    <w:rsid w:val="00426224"/>
    <w:rsid w:val="0042622B"/>
    <w:rsid w:val="004262C2"/>
    <w:rsid w:val="004263A1"/>
    <w:rsid w:val="004263CC"/>
    <w:rsid w:val="004263DB"/>
    <w:rsid w:val="0042641A"/>
    <w:rsid w:val="00426447"/>
    <w:rsid w:val="004264A4"/>
    <w:rsid w:val="004265F2"/>
    <w:rsid w:val="0042674E"/>
    <w:rsid w:val="004267CA"/>
    <w:rsid w:val="00426876"/>
    <w:rsid w:val="004268BB"/>
    <w:rsid w:val="00426B8C"/>
    <w:rsid w:val="00426BC6"/>
    <w:rsid w:val="00426BCC"/>
    <w:rsid w:val="00426CFD"/>
    <w:rsid w:val="00426E3B"/>
    <w:rsid w:val="00426EB6"/>
    <w:rsid w:val="00426FE2"/>
    <w:rsid w:val="00427074"/>
    <w:rsid w:val="00427156"/>
    <w:rsid w:val="00427411"/>
    <w:rsid w:val="00427434"/>
    <w:rsid w:val="0042746D"/>
    <w:rsid w:val="004274B1"/>
    <w:rsid w:val="004274F6"/>
    <w:rsid w:val="00427605"/>
    <w:rsid w:val="0042781F"/>
    <w:rsid w:val="00427833"/>
    <w:rsid w:val="00427950"/>
    <w:rsid w:val="00427B4F"/>
    <w:rsid w:val="00427CC7"/>
    <w:rsid w:val="00427D50"/>
    <w:rsid w:val="00427DD8"/>
    <w:rsid w:val="00427E15"/>
    <w:rsid w:val="00427EDC"/>
    <w:rsid w:val="00427F15"/>
    <w:rsid w:val="00427F19"/>
    <w:rsid w:val="00430170"/>
    <w:rsid w:val="0043019F"/>
    <w:rsid w:val="004301AC"/>
    <w:rsid w:val="004301AD"/>
    <w:rsid w:val="004301B3"/>
    <w:rsid w:val="004301C7"/>
    <w:rsid w:val="004301F4"/>
    <w:rsid w:val="00430284"/>
    <w:rsid w:val="004302A2"/>
    <w:rsid w:val="00430442"/>
    <w:rsid w:val="004304A2"/>
    <w:rsid w:val="0043050A"/>
    <w:rsid w:val="00430577"/>
    <w:rsid w:val="00430657"/>
    <w:rsid w:val="0043068F"/>
    <w:rsid w:val="00430762"/>
    <w:rsid w:val="0043082D"/>
    <w:rsid w:val="00430A55"/>
    <w:rsid w:val="00430AEE"/>
    <w:rsid w:val="00430CE3"/>
    <w:rsid w:val="00430ED6"/>
    <w:rsid w:val="00430EE4"/>
    <w:rsid w:val="00430EF3"/>
    <w:rsid w:val="0043102E"/>
    <w:rsid w:val="004310A7"/>
    <w:rsid w:val="004311FD"/>
    <w:rsid w:val="0043124A"/>
    <w:rsid w:val="004312B9"/>
    <w:rsid w:val="00431387"/>
    <w:rsid w:val="004314C3"/>
    <w:rsid w:val="00431659"/>
    <w:rsid w:val="0043169F"/>
    <w:rsid w:val="00431702"/>
    <w:rsid w:val="004317D4"/>
    <w:rsid w:val="00431A24"/>
    <w:rsid w:val="00431A4E"/>
    <w:rsid w:val="00431ACD"/>
    <w:rsid w:val="00431BDB"/>
    <w:rsid w:val="00431CD6"/>
    <w:rsid w:val="00431D22"/>
    <w:rsid w:val="00431E1D"/>
    <w:rsid w:val="00431E6C"/>
    <w:rsid w:val="00431F84"/>
    <w:rsid w:val="0043201B"/>
    <w:rsid w:val="0043202A"/>
    <w:rsid w:val="00432205"/>
    <w:rsid w:val="0043229E"/>
    <w:rsid w:val="0043233C"/>
    <w:rsid w:val="004323FB"/>
    <w:rsid w:val="004324E7"/>
    <w:rsid w:val="004325F5"/>
    <w:rsid w:val="00432633"/>
    <w:rsid w:val="00432843"/>
    <w:rsid w:val="004328B3"/>
    <w:rsid w:val="0043293C"/>
    <w:rsid w:val="004329A2"/>
    <w:rsid w:val="00432A62"/>
    <w:rsid w:val="00432A75"/>
    <w:rsid w:val="00432AB7"/>
    <w:rsid w:val="00432B1C"/>
    <w:rsid w:val="00432E05"/>
    <w:rsid w:val="00432E2E"/>
    <w:rsid w:val="00432E6C"/>
    <w:rsid w:val="004330FB"/>
    <w:rsid w:val="00433155"/>
    <w:rsid w:val="00433262"/>
    <w:rsid w:val="0043329C"/>
    <w:rsid w:val="004332D4"/>
    <w:rsid w:val="004332F3"/>
    <w:rsid w:val="0043332A"/>
    <w:rsid w:val="004333E2"/>
    <w:rsid w:val="0043344B"/>
    <w:rsid w:val="00433479"/>
    <w:rsid w:val="004334AD"/>
    <w:rsid w:val="0043354A"/>
    <w:rsid w:val="0043356D"/>
    <w:rsid w:val="004335AE"/>
    <w:rsid w:val="00433868"/>
    <w:rsid w:val="0043397A"/>
    <w:rsid w:val="00433983"/>
    <w:rsid w:val="00433AE7"/>
    <w:rsid w:val="00433B0D"/>
    <w:rsid w:val="00433B4B"/>
    <w:rsid w:val="00433B7A"/>
    <w:rsid w:val="00433DCF"/>
    <w:rsid w:val="00433F4E"/>
    <w:rsid w:val="00434133"/>
    <w:rsid w:val="00434136"/>
    <w:rsid w:val="004341B1"/>
    <w:rsid w:val="00434212"/>
    <w:rsid w:val="00434213"/>
    <w:rsid w:val="0043421A"/>
    <w:rsid w:val="004342A5"/>
    <w:rsid w:val="00434387"/>
    <w:rsid w:val="004343B9"/>
    <w:rsid w:val="0043460E"/>
    <w:rsid w:val="004346C3"/>
    <w:rsid w:val="004348F6"/>
    <w:rsid w:val="004348FB"/>
    <w:rsid w:val="0043491A"/>
    <w:rsid w:val="00434B87"/>
    <w:rsid w:val="00434BD3"/>
    <w:rsid w:val="00434BE1"/>
    <w:rsid w:val="00434CC7"/>
    <w:rsid w:val="00434DF0"/>
    <w:rsid w:val="00435182"/>
    <w:rsid w:val="004353B5"/>
    <w:rsid w:val="004354C3"/>
    <w:rsid w:val="00435691"/>
    <w:rsid w:val="00435794"/>
    <w:rsid w:val="00435821"/>
    <w:rsid w:val="00435B2C"/>
    <w:rsid w:val="00435BE4"/>
    <w:rsid w:val="00435CE0"/>
    <w:rsid w:val="00435E34"/>
    <w:rsid w:val="00435E9B"/>
    <w:rsid w:val="00435EF7"/>
    <w:rsid w:val="00435EFA"/>
    <w:rsid w:val="0043611F"/>
    <w:rsid w:val="00436205"/>
    <w:rsid w:val="00436233"/>
    <w:rsid w:val="0043628D"/>
    <w:rsid w:val="0043654B"/>
    <w:rsid w:val="00436574"/>
    <w:rsid w:val="004365B5"/>
    <w:rsid w:val="00436607"/>
    <w:rsid w:val="004366E7"/>
    <w:rsid w:val="00436739"/>
    <w:rsid w:val="0043676C"/>
    <w:rsid w:val="004367CF"/>
    <w:rsid w:val="0043684A"/>
    <w:rsid w:val="004369A0"/>
    <w:rsid w:val="00436AC9"/>
    <w:rsid w:val="00436BA6"/>
    <w:rsid w:val="00436C06"/>
    <w:rsid w:val="00436D49"/>
    <w:rsid w:val="00436EAC"/>
    <w:rsid w:val="00436EDC"/>
    <w:rsid w:val="00436F8D"/>
    <w:rsid w:val="00436FB3"/>
    <w:rsid w:val="00436FC3"/>
    <w:rsid w:val="004370D2"/>
    <w:rsid w:val="00437153"/>
    <w:rsid w:val="0043715D"/>
    <w:rsid w:val="00437161"/>
    <w:rsid w:val="004372CC"/>
    <w:rsid w:val="004373F2"/>
    <w:rsid w:val="00437400"/>
    <w:rsid w:val="004374AB"/>
    <w:rsid w:val="00437557"/>
    <w:rsid w:val="004375AD"/>
    <w:rsid w:val="00437800"/>
    <w:rsid w:val="004378BD"/>
    <w:rsid w:val="004378D3"/>
    <w:rsid w:val="00437A3B"/>
    <w:rsid w:val="00437AA7"/>
    <w:rsid w:val="00437B34"/>
    <w:rsid w:val="00437DAB"/>
    <w:rsid w:val="00437E7F"/>
    <w:rsid w:val="0044031B"/>
    <w:rsid w:val="00440330"/>
    <w:rsid w:val="00440438"/>
    <w:rsid w:val="00440455"/>
    <w:rsid w:val="0044064D"/>
    <w:rsid w:val="0044065A"/>
    <w:rsid w:val="0044068D"/>
    <w:rsid w:val="004406EB"/>
    <w:rsid w:val="00440725"/>
    <w:rsid w:val="00440796"/>
    <w:rsid w:val="004408AA"/>
    <w:rsid w:val="004408CF"/>
    <w:rsid w:val="00440AC8"/>
    <w:rsid w:val="00440BA7"/>
    <w:rsid w:val="00440C43"/>
    <w:rsid w:val="00440CB7"/>
    <w:rsid w:val="00440DB2"/>
    <w:rsid w:val="00440E33"/>
    <w:rsid w:val="00440E88"/>
    <w:rsid w:val="00441039"/>
    <w:rsid w:val="004410EC"/>
    <w:rsid w:val="004410FB"/>
    <w:rsid w:val="004411CB"/>
    <w:rsid w:val="00441230"/>
    <w:rsid w:val="004414D8"/>
    <w:rsid w:val="004416FC"/>
    <w:rsid w:val="004417ED"/>
    <w:rsid w:val="00441837"/>
    <w:rsid w:val="0044190A"/>
    <w:rsid w:val="004419B7"/>
    <w:rsid w:val="00441AD9"/>
    <w:rsid w:val="00441B13"/>
    <w:rsid w:val="00441C30"/>
    <w:rsid w:val="00441CDE"/>
    <w:rsid w:val="00441DC6"/>
    <w:rsid w:val="00441E8C"/>
    <w:rsid w:val="00441F1C"/>
    <w:rsid w:val="00441F27"/>
    <w:rsid w:val="00441F2B"/>
    <w:rsid w:val="00441F62"/>
    <w:rsid w:val="0044213C"/>
    <w:rsid w:val="00442237"/>
    <w:rsid w:val="0044223D"/>
    <w:rsid w:val="004424D5"/>
    <w:rsid w:val="00442668"/>
    <w:rsid w:val="0044268C"/>
    <w:rsid w:val="0044269C"/>
    <w:rsid w:val="004427B9"/>
    <w:rsid w:val="00442821"/>
    <w:rsid w:val="0044284C"/>
    <w:rsid w:val="00442941"/>
    <w:rsid w:val="00442976"/>
    <w:rsid w:val="0044297F"/>
    <w:rsid w:val="00442C3E"/>
    <w:rsid w:val="00442C59"/>
    <w:rsid w:val="00442C5F"/>
    <w:rsid w:val="00442C77"/>
    <w:rsid w:val="00442C7F"/>
    <w:rsid w:val="00442E45"/>
    <w:rsid w:val="0044300A"/>
    <w:rsid w:val="004430E1"/>
    <w:rsid w:val="00443122"/>
    <w:rsid w:val="00443161"/>
    <w:rsid w:val="00443166"/>
    <w:rsid w:val="00443189"/>
    <w:rsid w:val="00443277"/>
    <w:rsid w:val="004432EC"/>
    <w:rsid w:val="00443321"/>
    <w:rsid w:val="00443347"/>
    <w:rsid w:val="0044335D"/>
    <w:rsid w:val="004433FA"/>
    <w:rsid w:val="0044353B"/>
    <w:rsid w:val="004435E2"/>
    <w:rsid w:val="00443624"/>
    <w:rsid w:val="00443684"/>
    <w:rsid w:val="004438AC"/>
    <w:rsid w:val="004438D1"/>
    <w:rsid w:val="0044390F"/>
    <w:rsid w:val="00443984"/>
    <w:rsid w:val="004439CD"/>
    <w:rsid w:val="00443A39"/>
    <w:rsid w:val="00443A4F"/>
    <w:rsid w:val="00443ACA"/>
    <w:rsid w:val="00443AFE"/>
    <w:rsid w:val="00443D3B"/>
    <w:rsid w:val="00443DFC"/>
    <w:rsid w:val="00443F19"/>
    <w:rsid w:val="00444209"/>
    <w:rsid w:val="00444210"/>
    <w:rsid w:val="00444541"/>
    <w:rsid w:val="004446D4"/>
    <w:rsid w:val="00444769"/>
    <w:rsid w:val="0044496A"/>
    <w:rsid w:val="004449DE"/>
    <w:rsid w:val="00444C1F"/>
    <w:rsid w:val="00444C9C"/>
    <w:rsid w:val="00444CEA"/>
    <w:rsid w:val="00444D32"/>
    <w:rsid w:val="00444D72"/>
    <w:rsid w:val="00445069"/>
    <w:rsid w:val="0044513B"/>
    <w:rsid w:val="004452A9"/>
    <w:rsid w:val="004452F2"/>
    <w:rsid w:val="00445379"/>
    <w:rsid w:val="004453A0"/>
    <w:rsid w:val="004453E7"/>
    <w:rsid w:val="004454A1"/>
    <w:rsid w:val="00445509"/>
    <w:rsid w:val="00445593"/>
    <w:rsid w:val="00445732"/>
    <w:rsid w:val="00445737"/>
    <w:rsid w:val="00445864"/>
    <w:rsid w:val="0044586C"/>
    <w:rsid w:val="004459CF"/>
    <w:rsid w:val="00445AE9"/>
    <w:rsid w:val="00445B96"/>
    <w:rsid w:val="00445C3B"/>
    <w:rsid w:val="00445DA7"/>
    <w:rsid w:val="00445E0D"/>
    <w:rsid w:val="00445F67"/>
    <w:rsid w:val="0044605B"/>
    <w:rsid w:val="004460A5"/>
    <w:rsid w:val="00446121"/>
    <w:rsid w:val="0044621D"/>
    <w:rsid w:val="0044639F"/>
    <w:rsid w:val="00446426"/>
    <w:rsid w:val="00446627"/>
    <w:rsid w:val="0044665F"/>
    <w:rsid w:val="00446740"/>
    <w:rsid w:val="00446818"/>
    <w:rsid w:val="00446C47"/>
    <w:rsid w:val="00446DA8"/>
    <w:rsid w:val="00446DF4"/>
    <w:rsid w:val="00446E44"/>
    <w:rsid w:val="00447027"/>
    <w:rsid w:val="00447047"/>
    <w:rsid w:val="004470C4"/>
    <w:rsid w:val="004471AA"/>
    <w:rsid w:val="00447312"/>
    <w:rsid w:val="00447703"/>
    <w:rsid w:val="00447808"/>
    <w:rsid w:val="0044781E"/>
    <w:rsid w:val="004478FC"/>
    <w:rsid w:val="00447997"/>
    <w:rsid w:val="00447BC8"/>
    <w:rsid w:val="00447C46"/>
    <w:rsid w:val="00447DCD"/>
    <w:rsid w:val="00447E33"/>
    <w:rsid w:val="00447E6F"/>
    <w:rsid w:val="00447ED3"/>
    <w:rsid w:val="00447FC7"/>
    <w:rsid w:val="00447FCA"/>
    <w:rsid w:val="00447FEE"/>
    <w:rsid w:val="00450109"/>
    <w:rsid w:val="00450333"/>
    <w:rsid w:val="00450574"/>
    <w:rsid w:val="004506D7"/>
    <w:rsid w:val="004506F1"/>
    <w:rsid w:val="004507D0"/>
    <w:rsid w:val="004507EC"/>
    <w:rsid w:val="00450834"/>
    <w:rsid w:val="00450907"/>
    <w:rsid w:val="00450918"/>
    <w:rsid w:val="00450B69"/>
    <w:rsid w:val="00450E75"/>
    <w:rsid w:val="00450EE4"/>
    <w:rsid w:val="00450F3F"/>
    <w:rsid w:val="00451058"/>
    <w:rsid w:val="004510F3"/>
    <w:rsid w:val="0045111A"/>
    <w:rsid w:val="0045122C"/>
    <w:rsid w:val="004513CF"/>
    <w:rsid w:val="0045146B"/>
    <w:rsid w:val="00451539"/>
    <w:rsid w:val="00451551"/>
    <w:rsid w:val="00451619"/>
    <w:rsid w:val="004516A1"/>
    <w:rsid w:val="004516E2"/>
    <w:rsid w:val="00451875"/>
    <w:rsid w:val="00451883"/>
    <w:rsid w:val="004519DE"/>
    <w:rsid w:val="00451B1E"/>
    <w:rsid w:val="00451B2F"/>
    <w:rsid w:val="00451D24"/>
    <w:rsid w:val="00451D50"/>
    <w:rsid w:val="00451DF9"/>
    <w:rsid w:val="00451ED4"/>
    <w:rsid w:val="00452202"/>
    <w:rsid w:val="00452210"/>
    <w:rsid w:val="0045227F"/>
    <w:rsid w:val="00452303"/>
    <w:rsid w:val="00452343"/>
    <w:rsid w:val="0045236A"/>
    <w:rsid w:val="00452392"/>
    <w:rsid w:val="004525DC"/>
    <w:rsid w:val="0045267B"/>
    <w:rsid w:val="00452770"/>
    <w:rsid w:val="0045280F"/>
    <w:rsid w:val="0045283A"/>
    <w:rsid w:val="00452849"/>
    <w:rsid w:val="0045287F"/>
    <w:rsid w:val="00452CE8"/>
    <w:rsid w:val="00452CFF"/>
    <w:rsid w:val="00452D4E"/>
    <w:rsid w:val="00452D51"/>
    <w:rsid w:val="00452FE6"/>
    <w:rsid w:val="00453052"/>
    <w:rsid w:val="00453074"/>
    <w:rsid w:val="004530B6"/>
    <w:rsid w:val="004530FA"/>
    <w:rsid w:val="004531EC"/>
    <w:rsid w:val="00453434"/>
    <w:rsid w:val="0045345A"/>
    <w:rsid w:val="004534C0"/>
    <w:rsid w:val="00453556"/>
    <w:rsid w:val="004535B1"/>
    <w:rsid w:val="004535C0"/>
    <w:rsid w:val="00453603"/>
    <w:rsid w:val="0045365A"/>
    <w:rsid w:val="0045368E"/>
    <w:rsid w:val="0045370A"/>
    <w:rsid w:val="004538D2"/>
    <w:rsid w:val="0045392F"/>
    <w:rsid w:val="00453A34"/>
    <w:rsid w:val="00453AC5"/>
    <w:rsid w:val="00453C62"/>
    <w:rsid w:val="00453DE5"/>
    <w:rsid w:val="00453E7D"/>
    <w:rsid w:val="00453EFE"/>
    <w:rsid w:val="00453F41"/>
    <w:rsid w:val="00454143"/>
    <w:rsid w:val="004541EE"/>
    <w:rsid w:val="004542C5"/>
    <w:rsid w:val="00454428"/>
    <w:rsid w:val="0045448C"/>
    <w:rsid w:val="0045449F"/>
    <w:rsid w:val="00454575"/>
    <w:rsid w:val="00454587"/>
    <w:rsid w:val="004545CF"/>
    <w:rsid w:val="00454604"/>
    <w:rsid w:val="00454823"/>
    <w:rsid w:val="00454B70"/>
    <w:rsid w:val="00454B88"/>
    <w:rsid w:val="00454C51"/>
    <w:rsid w:val="00454CE1"/>
    <w:rsid w:val="00454D70"/>
    <w:rsid w:val="00454D96"/>
    <w:rsid w:val="00454DC8"/>
    <w:rsid w:val="00454DFB"/>
    <w:rsid w:val="00454F5C"/>
    <w:rsid w:val="00454FAF"/>
    <w:rsid w:val="00454FEC"/>
    <w:rsid w:val="0045502D"/>
    <w:rsid w:val="00455066"/>
    <w:rsid w:val="004550DA"/>
    <w:rsid w:val="0045515C"/>
    <w:rsid w:val="004551CB"/>
    <w:rsid w:val="00455270"/>
    <w:rsid w:val="00455351"/>
    <w:rsid w:val="00455540"/>
    <w:rsid w:val="00455601"/>
    <w:rsid w:val="00455A19"/>
    <w:rsid w:val="00455AFF"/>
    <w:rsid w:val="00455B2E"/>
    <w:rsid w:val="00455B69"/>
    <w:rsid w:val="00455BCC"/>
    <w:rsid w:val="00455D3D"/>
    <w:rsid w:val="00455E12"/>
    <w:rsid w:val="00455EF3"/>
    <w:rsid w:val="00455F0A"/>
    <w:rsid w:val="00455FA0"/>
    <w:rsid w:val="00455FD2"/>
    <w:rsid w:val="0045607B"/>
    <w:rsid w:val="0045618E"/>
    <w:rsid w:val="00456498"/>
    <w:rsid w:val="00456519"/>
    <w:rsid w:val="00456579"/>
    <w:rsid w:val="00456586"/>
    <w:rsid w:val="004565D8"/>
    <w:rsid w:val="0045662F"/>
    <w:rsid w:val="00456975"/>
    <w:rsid w:val="00456A1B"/>
    <w:rsid w:val="00456A5E"/>
    <w:rsid w:val="00456C85"/>
    <w:rsid w:val="00456F9B"/>
    <w:rsid w:val="00456FD6"/>
    <w:rsid w:val="00456FF8"/>
    <w:rsid w:val="00457015"/>
    <w:rsid w:val="0045707B"/>
    <w:rsid w:val="00457083"/>
    <w:rsid w:val="004572A1"/>
    <w:rsid w:val="004572FB"/>
    <w:rsid w:val="004573E2"/>
    <w:rsid w:val="00457405"/>
    <w:rsid w:val="0045770F"/>
    <w:rsid w:val="004577F1"/>
    <w:rsid w:val="00457825"/>
    <w:rsid w:val="00457A46"/>
    <w:rsid w:val="00457ACA"/>
    <w:rsid w:val="00457BFD"/>
    <w:rsid w:val="00457C19"/>
    <w:rsid w:val="00457C89"/>
    <w:rsid w:val="00457DC7"/>
    <w:rsid w:val="00460210"/>
    <w:rsid w:val="00460252"/>
    <w:rsid w:val="00460409"/>
    <w:rsid w:val="004604BA"/>
    <w:rsid w:val="004605DA"/>
    <w:rsid w:val="0046060E"/>
    <w:rsid w:val="0046064B"/>
    <w:rsid w:val="0046070E"/>
    <w:rsid w:val="0046071C"/>
    <w:rsid w:val="004607D5"/>
    <w:rsid w:val="00460811"/>
    <w:rsid w:val="00460981"/>
    <w:rsid w:val="00460A5A"/>
    <w:rsid w:val="00460A65"/>
    <w:rsid w:val="00460CC4"/>
    <w:rsid w:val="00460CEF"/>
    <w:rsid w:val="00460D70"/>
    <w:rsid w:val="00460E90"/>
    <w:rsid w:val="00460F29"/>
    <w:rsid w:val="004610CD"/>
    <w:rsid w:val="0046119F"/>
    <w:rsid w:val="0046120A"/>
    <w:rsid w:val="00461322"/>
    <w:rsid w:val="004613F9"/>
    <w:rsid w:val="004613FB"/>
    <w:rsid w:val="004614EB"/>
    <w:rsid w:val="004616B2"/>
    <w:rsid w:val="004616D1"/>
    <w:rsid w:val="00461771"/>
    <w:rsid w:val="0046185E"/>
    <w:rsid w:val="0046187D"/>
    <w:rsid w:val="004618A8"/>
    <w:rsid w:val="00461A2D"/>
    <w:rsid w:val="00461AC1"/>
    <w:rsid w:val="00461BD4"/>
    <w:rsid w:val="00461CCF"/>
    <w:rsid w:val="00461D11"/>
    <w:rsid w:val="00461D3D"/>
    <w:rsid w:val="00461D7C"/>
    <w:rsid w:val="00461EE9"/>
    <w:rsid w:val="004620DB"/>
    <w:rsid w:val="0046213F"/>
    <w:rsid w:val="0046216F"/>
    <w:rsid w:val="00462311"/>
    <w:rsid w:val="00462368"/>
    <w:rsid w:val="00462374"/>
    <w:rsid w:val="004623F4"/>
    <w:rsid w:val="00462410"/>
    <w:rsid w:val="00462421"/>
    <w:rsid w:val="004624B6"/>
    <w:rsid w:val="004627BD"/>
    <w:rsid w:val="00462836"/>
    <w:rsid w:val="0046283C"/>
    <w:rsid w:val="00462860"/>
    <w:rsid w:val="00462A0E"/>
    <w:rsid w:val="00462A14"/>
    <w:rsid w:val="00462B16"/>
    <w:rsid w:val="00462B52"/>
    <w:rsid w:val="00462BC6"/>
    <w:rsid w:val="00462BEE"/>
    <w:rsid w:val="00462C13"/>
    <w:rsid w:val="00462C9A"/>
    <w:rsid w:val="00462D78"/>
    <w:rsid w:val="00462ED3"/>
    <w:rsid w:val="00462FC1"/>
    <w:rsid w:val="0046311C"/>
    <w:rsid w:val="004631CF"/>
    <w:rsid w:val="0046322A"/>
    <w:rsid w:val="00463256"/>
    <w:rsid w:val="004633D5"/>
    <w:rsid w:val="00463419"/>
    <w:rsid w:val="004634C1"/>
    <w:rsid w:val="004634EC"/>
    <w:rsid w:val="0046351F"/>
    <w:rsid w:val="004635C3"/>
    <w:rsid w:val="0046374D"/>
    <w:rsid w:val="004637E5"/>
    <w:rsid w:val="004637F5"/>
    <w:rsid w:val="00463851"/>
    <w:rsid w:val="004639E3"/>
    <w:rsid w:val="00463D29"/>
    <w:rsid w:val="00463D7D"/>
    <w:rsid w:val="00463D80"/>
    <w:rsid w:val="00463E8F"/>
    <w:rsid w:val="00463EAE"/>
    <w:rsid w:val="0046411E"/>
    <w:rsid w:val="00464488"/>
    <w:rsid w:val="004644EC"/>
    <w:rsid w:val="00464609"/>
    <w:rsid w:val="00464723"/>
    <w:rsid w:val="00464928"/>
    <w:rsid w:val="0046492B"/>
    <w:rsid w:val="00464978"/>
    <w:rsid w:val="00464A7F"/>
    <w:rsid w:val="00464D16"/>
    <w:rsid w:val="00464E71"/>
    <w:rsid w:val="00464EC6"/>
    <w:rsid w:val="00464F59"/>
    <w:rsid w:val="00464FA2"/>
    <w:rsid w:val="00464FB2"/>
    <w:rsid w:val="0046502F"/>
    <w:rsid w:val="00465105"/>
    <w:rsid w:val="00465153"/>
    <w:rsid w:val="0046518A"/>
    <w:rsid w:val="004651A9"/>
    <w:rsid w:val="00465215"/>
    <w:rsid w:val="004654F8"/>
    <w:rsid w:val="00465519"/>
    <w:rsid w:val="004655E3"/>
    <w:rsid w:val="00465686"/>
    <w:rsid w:val="004656F3"/>
    <w:rsid w:val="00465827"/>
    <w:rsid w:val="004658CA"/>
    <w:rsid w:val="00465904"/>
    <w:rsid w:val="004659CF"/>
    <w:rsid w:val="00465A5F"/>
    <w:rsid w:val="00465CD4"/>
    <w:rsid w:val="00465DF8"/>
    <w:rsid w:val="00465ED4"/>
    <w:rsid w:val="00465F7E"/>
    <w:rsid w:val="00465FCB"/>
    <w:rsid w:val="00465FE2"/>
    <w:rsid w:val="00466123"/>
    <w:rsid w:val="00466227"/>
    <w:rsid w:val="0046625C"/>
    <w:rsid w:val="00466311"/>
    <w:rsid w:val="0046634D"/>
    <w:rsid w:val="00466390"/>
    <w:rsid w:val="00466456"/>
    <w:rsid w:val="00466697"/>
    <w:rsid w:val="004667B1"/>
    <w:rsid w:val="00466846"/>
    <w:rsid w:val="004668F3"/>
    <w:rsid w:val="004669B2"/>
    <w:rsid w:val="00466A00"/>
    <w:rsid w:val="00466A4F"/>
    <w:rsid w:val="00466B6A"/>
    <w:rsid w:val="00466C82"/>
    <w:rsid w:val="00466D1F"/>
    <w:rsid w:val="00466E17"/>
    <w:rsid w:val="00466E4B"/>
    <w:rsid w:val="00466E61"/>
    <w:rsid w:val="00466FD8"/>
    <w:rsid w:val="00467079"/>
    <w:rsid w:val="004670A8"/>
    <w:rsid w:val="0046719E"/>
    <w:rsid w:val="004672A4"/>
    <w:rsid w:val="004672A9"/>
    <w:rsid w:val="004672C3"/>
    <w:rsid w:val="0046730D"/>
    <w:rsid w:val="00467312"/>
    <w:rsid w:val="0046735B"/>
    <w:rsid w:val="00467459"/>
    <w:rsid w:val="00467463"/>
    <w:rsid w:val="0046746D"/>
    <w:rsid w:val="004674A8"/>
    <w:rsid w:val="00467552"/>
    <w:rsid w:val="004675E1"/>
    <w:rsid w:val="004676C1"/>
    <w:rsid w:val="00467818"/>
    <w:rsid w:val="00467964"/>
    <w:rsid w:val="00467B31"/>
    <w:rsid w:val="00467CC3"/>
    <w:rsid w:val="0047002B"/>
    <w:rsid w:val="0047003D"/>
    <w:rsid w:val="00470047"/>
    <w:rsid w:val="00470054"/>
    <w:rsid w:val="004700C1"/>
    <w:rsid w:val="00470345"/>
    <w:rsid w:val="00470412"/>
    <w:rsid w:val="0047041D"/>
    <w:rsid w:val="0047051D"/>
    <w:rsid w:val="00470534"/>
    <w:rsid w:val="004705DD"/>
    <w:rsid w:val="00470616"/>
    <w:rsid w:val="0047068B"/>
    <w:rsid w:val="004706BC"/>
    <w:rsid w:val="0047071B"/>
    <w:rsid w:val="00470962"/>
    <w:rsid w:val="00470972"/>
    <w:rsid w:val="00470A92"/>
    <w:rsid w:val="00470AA8"/>
    <w:rsid w:val="00470B2F"/>
    <w:rsid w:val="00470B5A"/>
    <w:rsid w:val="00470D27"/>
    <w:rsid w:val="00470D32"/>
    <w:rsid w:val="00470D43"/>
    <w:rsid w:val="00470DAB"/>
    <w:rsid w:val="00470E07"/>
    <w:rsid w:val="00471011"/>
    <w:rsid w:val="00471016"/>
    <w:rsid w:val="0047101E"/>
    <w:rsid w:val="004710EB"/>
    <w:rsid w:val="0047110D"/>
    <w:rsid w:val="0047115E"/>
    <w:rsid w:val="004711D0"/>
    <w:rsid w:val="004711FA"/>
    <w:rsid w:val="004712B7"/>
    <w:rsid w:val="004712D2"/>
    <w:rsid w:val="004712ED"/>
    <w:rsid w:val="004713E6"/>
    <w:rsid w:val="0047145F"/>
    <w:rsid w:val="004715B6"/>
    <w:rsid w:val="00471604"/>
    <w:rsid w:val="004716F5"/>
    <w:rsid w:val="0047173D"/>
    <w:rsid w:val="004717B7"/>
    <w:rsid w:val="00471829"/>
    <w:rsid w:val="00471846"/>
    <w:rsid w:val="00471862"/>
    <w:rsid w:val="00471948"/>
    <w:rsid w:val="00471A50"/>
    <w:rsid w:val="00471A56"/>
    <w:rsid w:val="00471ABF"/>
    <w:rsid w:val="00471BFD"/>
    <w:rsid w:val="00471C7F"/>
    <w:rsid w:val="00471EAC"/>
    <w:rsid w:val="00471EEC"/>
    <w:rsid w:val="00471FFB"/>
    <w:rsid w:val="0047201B"/>
    <w:rsid w:val="00472043"/>
    <w:rsid w:val="004720F3"/>
    <w:rsid w:val="00472227"/>
    <w:rsid w:val="00472287"/>
    <w:rsid w:val="0047233E"/>
    <w:rsid w:val="004723CC"/>
    <w:rsid w:val="00472A20"/>
    <w:rsid w:val="00472A50"/>
    <w:rsid w:val="00472AD4"/>
    <w:rsid w:val="00472BBB"/>
    <w:rsid w:val="00472CAE"/>
    <w:rsid w:val="00472E06"/>
    <w:rsid w:val="00472E50"/>
    <w:rsid w:val="00472E93"/>
    <w:rsid w:val="004730D6"/>
    <w:rsid w:val="004731DD"/>
    <w:rsid w:val="00473269"/>
    <w:rsid w:val="004733B4"/>
    <w:rsid w:val="0047362D"/>
    <w:rsid w:val="00473752"/>
    <w:rsid w:val="00473759"/>
    <w:rsid w:val="00473850"/>
    <w:rsid w:val="00473868"/>
    <w:rsid w:val="0047386C"/>
    <w:rsid w:val="004738E3"/>
    <w:rsid w:val="0047396C"/>
    <w:rsid w:val="00473A0D"/>
    <w:rsid w:val="00473A0F"/>
    <w:rsid w:val="00473BCC"/>
    <w:rsid w:val="00473C6D"/>
    <w:rsid w:val="00473D08"/>
    <w:rsid w:val="00473E44"/>
    <w:rsid w:val="00473E51"/>
    <w:rsid w:val="0047400A"/>
    <w:rsid w:val="0047407D"/>
    <w:rsid w:val="00474117"/>
    <w:rsid w:val="00474394"/>
    <w:rsid w:val="00474495"/>
    <w:rsid w:val="00474497"/>
    <w:rsid w:val="00474529"/>
    <w:rsid w:val="00474745"/>
    <w:rsid w:val="00474767"/>
    <w:rsid w:val="00474795"/>
    <w:rsid w:val="004747DA"/>
    <w:rsid w:val="004747F9"/>
    <w:rsid w:val="0047491B"/>
    <w:rsid w:val="004749A3"/>
    <w:rsid w:val="00474A3F"/>
    <w:rsid w:val="00474ACF"/>
    <w:rsid w:val="00474B28"/>
    <w:rsid w:val="00474BEA"/>
    <w:rsid w:val="00474BF7"/>
    <w:rsid w:val="00474D2F"/>
    <w:rsid w:val="00474D4C"/>
    <w:rsid w:val="00474E5B"/>
    <w:rsid w:val="00474F35"/>
    <w:rsid w:val="00475085"/>
    <w:rsid w:val="0047519D"/>
    <w:rsid w:val="00475217"/>
    <w:rsid w:val="00475293"/>
    <w:rsid w:val="00475414"/>
    <w:rsid w:val="00475529"/>
    <w:rsid w:val="0047558B"/>
    <w:rsid w:val="004755B2"/>
    <w:rsid w:val="0047571F"/>
    <w:rsid w:val="00475762"/>
    <w:rsid w:val="0047576B"/>
    <w:rsid w:val="004758C2"/>
    <w:rsid w:val="00475906"/>
    <w:rsid w:val="00475B36"/>
    <w:rsid w:val="00475BE4"/>
    <w:rsid w:val="00475F2C"/>
    <w:rsid w:val="00476012"/>
    <w:rsid w:val="0047612F"/>
    <w:rsid w:val="00476196"/>
    <w:rsid w:val="00476252"/>
    <w:rsid w:val="004762F9"/>
    <w:rsid w:val="0047630C"/>
    <w:rsid w:val="004763CB"/>
    <w:rsid w:val="004763E1"/>
    <w:rsid w:val="004764A1"/>
    <w:rsid w:val="00476561"/>
    <w:rsid w:val="00476668"/>
    <w:rsid w:val="0047668E"/>
    <w:rsid w:val="0047681D"/>
    <w:rsid w:val="004768FA"/>
    <w:rsid w:val="00476963"/>
    <w:rsid w:val="00476ABB"/>
    <w:rsid w:val="00476ADC"/>
    <w:rsid w:val="00476BBD"/>
    <w:rsid w:val="00476BCD"/>
    <w:rsid w:val="00476D34"/>
    <w:rsid w:val="00476D4B"/>
    <w:rsid w:val="00476E79"/>
    <w:rsid w:val="00476FE5"/>
    <w:rsid w:val="004770C2"/>
    <w:rsid w:val="00477387"/>
    <w:rsid w:val="0047743F"/>
    <w:rsid w:val="0047754B"/>
    <w:rsid w:val="0047757B"/>
    <w:rsid w:val="00477582"/>
    <w:rsid w:val="00477636"/>
    <w:rsid w:val="00477642"/>
    <w:rsid w:val="004776ED"/>
    <w:rsid w:val="00477829"/>
    <w:rsid w:val="0047788A"/>
    <w:rsid w:val="00477CB7"/>
    <w:rsid w:val="00477D73"/>
    <w:rsid w:val="00477E47"/>
    <w:rsid w:val="00477F39"/>
    <w:rsid w:val="0048003F"/>
    <w:rsid w:val="004801A1"/>
    <w:rsid w:val="004801F8"/>
    <w:rsid w:val="004802B3"/>
    <w:rsid w:val="004804B4"/>
    <w:rsid w:val="004806FD"/>
    <w:rsid w:val="0048070D"/>
    <w:rsid w:val="004807AF"/>
    <w:rsid w:val="004807D0"/>
    <w:rsid w:val="0048084A"/>
    <w:rsid w:val="00480A23"/>
    <w:rsid w:val="00480D5B"/>
    <w:rsid w:val="00480DB5"/>
    <w:rsid w:val="00480F00"/>
    <w:rsid w:val="00480F04"/>
    <w:rsid w:val="00480F69"/>
    <w:rsid w:val="00480F74"/>
    <w:rsid w:val="00480FDA"/>
    <w:rsid w:val="004810DB"/>
    <w:rsid w:val="004813F8"/>
    <w:rsid w:val="00481513"/>
    <w:rsid w:val="004816F0"/>
    <w:rsid w:val="00481760"/>
    <w:rsid w:val="004818C8"/>
    <w:rsid w:val="00481AF8"/>
    <w:rsid w:val="00481B43"/>
    <w:rsid w:val="00481BAC"/>
    <w:rsid w:val="00481C4C"/>
    <w:rsid w:val="00481DDE"/>
    <w:rsid w:val="00481F55"/>
    <w:rsid w:val="00481FA1"/>
    <w:rsid w:val="00482088"/>
    <w:rsid w:val="00482090"/>
    <w:rsid w:val="0048213A"/>
    <w:rsid w:val="004821DC"/>
    <w:rsid w:val="004821F9"/>
    <w:rsid w:val="00482253"/>
    <w:rsid w:val="004822FF"/>
    <w:rsid w:val="0048234F"/>
    <w:rsid w:val="004823A2"/>
    <w:rsid w:val="0048248C"/>
    <w:rsid w:val="004824B9"/>
    <w:rsid w:val="00482621"/>
    <w:rsid w:val="00482802"/>
    <w:rsid w:val="00482819"/>
    <w:rsid w:val="0048281A"/>
    <w:rsid w:val="004828B3"/>
    <w:rsid w:val="00482940"/>
    <w:rsid w:val="004829A9"/>
    <w:rsid w:val="00482A25"/>
    <w:rsid w:val="00482A5B"/>
    <w:rsid w:val="00482A73"/>
    <w:rsid w:val="00482BD0"/>
    <w:rsid w:val="00482C0A"/>
    <w:rsid w:val="00482C48"/>
    <w:rsid w:val="00483047"/>
    <w:rsid w:val="0048305E"/>
    <w:rsid w:val="00483151"/>
    <w:rsid w:val="00483258"/>
    <w:rsid w:val="00483262"/>
    <w:rsid w:val="004832AC"/>
    <w:rsid w:val="00483318"/>
    <w:rsid w:val="00483573"/>
    <w:rsid w:val="0048360E"/>
    <w:rsid w:val="0048360F"/>
    <w:rsid w:val="0048368F"/>
    <w:rsid w:val="00483692"/>
    <w:rsid w:val="004836EA"/>
    <w:rsid w:val="00483731"/>
    <w:rsid w:val="004837D6"/>
    <w:rsid w:val="00483893"/>
    <w:rsid w:val="004838D0"/>
    <w:rsid w:val="004838D5"/>
    <w:rsid w:val="004839D3"/>
    <w:rsid w:val="00483BC3"/>
    <w:rsid w:val="00483D53"/>
    <w:rsid w:val="00483E27"/>
    <w:rsid w:val="00483E85"/>
    <w:rsid w:val="00483FFB"/>
    <w:rsid w:val="00484128"/>
    <w:rsid w:val="00484160"/>
    <w:rsid w:val="00484162"/>
    <w:rsid w:val="0048416F"/>
    <w:rsid w:val="004841D4"/>
    <w:rsid w:val="004842BF"/>
    <w:rsid w:val="00484335"/>
    <w:rsid w:val="004843C9"/>
    <w:rsid w:val="004843FC"/>
    <w:rsid w:val="004845D0"/>
    <w:rsid w:val="004845DE"/>
    <w:rsid w:val="0048468D"/>
    <w:rsid w:val="00484703"/>
    <w:rsid w:val="00484744"/>
    <w:rsid w:val="004847F3"/>
    <w:rsid w:val="004847FE"/>
    <w:rsid w:val="0048497E"/>
    <w:rsid w:val="0048498C"/>
    <w:rsid w:val="00484B40"/>
    <w:rsid w:val="00484BC7"/>
    <w:rsid w:val="00484D3B"/>
    <w:rsid w:val="00484DC4"/>
    <w:rsid w:val="00484E06"/>
    <w:rsid w:val="00484E87"/>
    <w:rsid w:val="00484F05"/>
    <w:rsid w:val="00485222"/>
    <w:rsid w:val="00485259"/>
    <w:rsid w:val="004857A0"/>
    <w:rsid w:val="004857C8"/>
    <w:rsid w:val="00485965"/>
    <w:rsid w:val="00485A26"/>
    <w:rsid w:val="00485B14"/>
    <w:rsid w:val="00485C1D"/>
    <w:rsid w:val="00485CB6"/>
    <w:rsid w:val="00485D29"/>
    <w:rsid w:val="00485D8A"/>
    <w:rsid w:val="00485E3E"/>
    <w:rsid w:val="0048604D"/>
    <w:rsid w:val="00486066"/>
    <w:rsid w:val="00486084"/>
    <w:rsid w:val="004860BB"/>
    <w:rsid w:val="004861C5"/>
    <w:rsid w:val="0048628C"/>
    <w:rsid w:val="0048636C"/>
    <w:rsid w:val="0048657C"/>
    <w:rsid w:val="00486619"/>
    <w:rsid w:val="0048664B"/>
    <w:rsid w:val="00486667"/>
    <w:rsid w:val="00486752"/>
    <w:rsid w:val="00486848"/>
    <w:rsid w:val="00486946"/>
    <w:rsid w:val="0048696B"/>
    <w:rsid w:val="0048697B"/>
    <w:rsid w:val="00486CE6"/>
    <w:rsid w:val="00486D46"/>
    <w:rsid w:val="00486DC6"/>
    <w:rsid w:val="00486E0F"/>
    <w:rsid w:val="00486EF1"/>
    <w:rsid w:val="00486EF7"/>
    <w:rsid w:val="00486F87"/>
    <w:rsid w:val="00486FC3"/>
    <w:rsid w:val="0048702B"/>
    <w:rsid w:val="0048706E"/>
    <w:rsid w:val="004870A5"/>
    <w:rsid w:val="004870A6"/>
    <w:rsid w:val="00487198"/>
    <w:rsid w:val="004871D0"/>
    <w:rsid w:val="00487346"/>
    <w:rsid w:val="0048755B"/>
    <w:rsid w:val="00487584"/>
    <w:rsid w:val="004875D6"/>
    <w:rsid w:val="00487682"/>
    <w:rsid w:val="00487D3C"/>
    <w:rsid w:val="00487D70"/>
    <w:rsid w:val="00487D99"/>
    <w:rsid w:val="00487E49"/>
    <w:rsid w:val="00487E6D"/>
    <w:rsid w:val="00487E97"/>
    <w:rsid w:val="00487F6A"/>
    <w:rsid w:val="004900C3"/>
    <w:rsid w:val="00490107"/>
    <w:rsid w:val="00490111"/>
    <w:rsid w:val="00490145"/>
    <w:rsid w:val="00490172"/>
    <w:rsid w:val="0049037E"/>
    <w:rsid w:val="004903B8"/>
    <w:rsid w:val="00490456"/>
    <w:rsid w:val="004905B9"/>
    <w:rsid w:val="0049078C"/>
    <w:rsid w:val="004907DC"/>
    <w:rsid w:val="004908DC"/>
    <w:rsid w:val="00490A81"/>
    <w:rsid w:val="00490AE8"/>
    <w:rsid w:val="00490AEA"/>
    <w:rsid w:val="00490D39"/>
    <w:rsid w:val="00490E76"/>
    <w:rsid w:val="00490F47"/>
    <w:rsid w:val="00490F6A"/>
    <w:rsid w:val="004910C7"/>
    <w:rsid w:val="00491245"/>
    <w:rsid w:val="00491277"/>
    <w:rsid w:val="004912EB"/>
    <w:rsid w:val="00491485"/>
    <w:rsid w:val="0049157B"/>
    <w:rsid w:val="00491580"/>
    <w:rsid w:val="004915EB"/>
    <w:rsid w:val="00491702"/>
    <w:rsid w:val="00491777"/>
    <w:rsid w:val="004917C1"/>
    <w:rsid w:val="00491897"/>
    <w:rsid w:val="00491907"/>
    <w:rsid w:val="004919E4"/>
    <w:rsid w:val="00491ABC"/>
    <w:rsid w:val="00491C6C"/>
    <w:rsid w:val="00491DEB"/>
    <w:rsid w:val="00491E55"/>
    <w:rsid w:val="00491F07"/>
    <w:rsid w:val="00491FE2"/>
    <w:rsid w:val="004921D8"/>
    <w:rsid w:val="004921FD"/>
    <w:rsid w:val="0049235D"/>
    <w:rsid w:val="00492372"/>
    <w:rsid w:val="004923BF"/>
    <w:rsid w:val="004923C1"/>
    <w:rsid w:val="00492419"/>
    <w:rsid w:val="00492464"/>
    <w:rsid w:val="004925F2"/>
    <w:rsid w:val="0049268F"/>
    <w:rsid w:val="00492715"/>
    <w:rsid w:val="00492783"/>
    <w:rsid w:val="00492A34"/>
    <w:rsid w:val="00492A73"/>
    <w:rsid w:val="00492A7F"/>
    <w:rsid w:val="00492B02"/>
    <w:rsid w:val="00492B0A"/>
    <w:rsid w:val="00492BEC"/>
    <w:rsid w:val="00492CEC"/>
    <w:rsid w:val="00492E21"/>
    <w:rsid w:val="00492ECD"/>
    <w:rsid w:val="00492F53"/>
    <w:rsid w:val="004931C7"/>
    <w:rsid w:val="004932AE"/>
    <w:rsid w:val="00493367"/>
    <w:rsid w:val="004933AC"/>
    <w:rsid w:val="004933BD"/>
    <w:rsid w:val="004933E6"/>
    <w:rsid w:val="004934C6"/>
    <w:rsid w:val="004934CF"/>
    <w:rsid w:val="0049354C"/>
    <w:rsid w:val="00493595"/>
    <w:rsid w:val="004935C4"/>
    <w:rsid w:val="0049374D"/>
    <w:rsid w:val="00493851"/>
    <w:rsid w:val="004939B3"/>
    <w:rsid w:val="004939F9"/>
    <w:rsid w:val="00493A54"/>
    <w:rsid w:val="00493BCC"/>
    <w:rsid w:val="00493D0E"/>
    <w:rsid w:val="00493F54"/>
    <w:rsid w:val="00493F7F"/>
    <w:rsid w:val="004940D7"/>
    <w:rsid w:val="00494138"/>
    <w:rsid w:val="00494152"/>
    <w:rsid w:val="004941BF"/>
    <w:rsid w:val="004941D6"/>
    <w:rsid w:val="004943B4"/>
    <w:rsid w:val="0049443E"/>
    <w:rsid w:val="004944E7"/>
    <w:rsid w:val="00494542"/>
    <w:rsid w:val="004945AA"/>
    <w:rsid w:val="00494622"/>
    <w:rsid w:val="00494706"/>
    <w:rsid w:val="00494797"/>
    <w:rsid w:val="004947AA"/>
    <w:rsid w:val="004949DE"/>
    <w:rsid w:val="00494AF6"/>
    <w:rsid w:val="00494B2E"/>
    <w:rsid w:val="00494B3F"/>
    <w:rsid w:val="00494BC6"/>
    <w:rsid w:val="00494F2C"/>
    <w:rsid w:val="004951C3"/>
    <w:rsid w:val="00495366"/>
    <w:rsid w:val="0049539F"/>
    <w:rsid w:val="0049540C"/>
    <w:rsid w:val="00495472"/>
    <w:rsid w:val="004955FB"/>
    <w:rsid w:val="00495626"/>
    <w:rsid w:val="004956DC"/>
    <w:rsid w:val="004957DE"/>
    <w:rsid w:val="00495A3C"/>
    <w:rsid w:val="00495A87"/>
    <w:rsid w:val="00495B4C"/>
    <w:rsid w:val="00495B4D"/>
    <w:rsid w:val="00495C7F"/>
    <w:rsid w:val="00495D12"/>
    <w:rsid w:val="00495D93"/>
    <w:rsid w:val="00495E19"/>
    <w:rsid w:val="00495EB3"/>
    <w:rsid w:val="00495F7D"/>
    <w:rsid w:val="00496127"/>
    <w:rsid w:val="0049613C"/>
    <w:rsid w:val="004961FA"/>
    <w:rsid w:val="0049622E"/>
    <w:rsid w:val="00496335"/>
    <w:rsid w:val="004963F6"/>
    <w:rsid w:val="0049642D"/>
    <w:rsid w:val="00496490"/>
    <w:rsid w:val="0049682C"/>
    <w:rsid w:val="004968E0"/>
    <w:rsid w:val="00496A0E"/>
    <w:rsid w:val="00496A1C"/>
    <w:rsid w:val="00496A2A"/>
    <w:rsid w:val="00496B64"/>
    <w:rsid w:val="00496BCD"/>
    <w:rsid w:val="00496C1E"/>
    <w:rsid w:val="00496CF7"/>
    <w:rsid w:val="00496D59"/>
    <w:rsid w:val="00496ED9"/>
    <w:rsid w:val="00496F39"/>
    <w:rsid w:val="00496F3F"/>
    <w:rsid w:val="00496FF8"/>
    <w:rsid w:val="00497004"/>
    <w:rsid w:val="00497124"/>
    <w:rsid w:val="0049713E"/>
    <w:rsid w:val="00497203"/>
    <w:rsid w:val="004972F7"/>
    <w:rsid w:val="004973EA"/>
    <w:rsid w:val="00497497"/>
    <w:rsid w:val="00497517"/>
    <w:rsid w:val="00497591"/>
    <w:rsid w:val="004975E7"/>
    <w:rsid w:val="0049760F"/>
    <w:rsid w:val="004976F5"/>
    <w:rsid w:val="00497930"/>
    <w:rsid w:val="00497A0A"/>
    <w:rsid w:val="00497AC7"/>
    <w:rsid w:val="00497B02"/>
    <w:rsid w:val="00497C81"/>
    <w:rsid w:val="00497CED"/>
    <w:rsid w:val="00497D18"/>
    <w:rsid w:val="00497FF5"/>
    <w:rsid w:val="004A00D8"/>
    <w:rsid w:val="004A00F9"/>
    <w:rsid w:val="004A020D"/>
    <w:rsid w:val="004A024F"/>
    <w:rsid w:val="004A0253"/>
    <w:rsid w:val="004A0295"/>
    <w:rsid w:val="004A029A"/>
    <w:rsid w:val="004A0414"/>
    <w:rsid w:val="004A041D"/>
    <w:rsid w:val="004A050E"/>
    <w:rsid w:val="004A051B"/>
    <w:rsid w:val="004A0572"/>
    <w:rsid w:val="004A05C6"/>
    <w:rsid w:val="004A0681"/>
    <w:rsid w:val="004A06F7"/>
    <w:rsid w:val="004A073F"/>
    <w:rsid w:val="004A0816"/>
    <w:rsid w:val="004A083D"/>
    <w:rsid w:val="004A094B"/>
    <w:rsid w:val="004A094E"/>
    <w:rsid w:val="004A096A"/>
    <w:rsid w:val="004A0C1C"/>
    <w:rsid w:val="004A0E1B"/>
    <w:rsid w:val="004A0EB0"/>
    <w:rsid w:val="004A0F7A"/>
    <w:rsid w:val="004A0FAE"/>
    <w:rsid w:val="004A131E"/>
    <w:rsid w:val="004A142D"/>
    <w:rsid w:val="004A1615"/>
    <w:rsid w:val="004A167F"/>
    <w:rsid w:val="004A16D4"/>
    <w:rsid w:val="004A171E"/>
    <w:rsid w:val="004A172D"/>
    <w:rsid w:val="004A17CA"/>
    <w:rsid w:val="004A183E"/>
    <w:rsid w:val="004A1873"/>
    <w:rsid w:val="004A18F9"/>
    <w:rsid w:val="004A1967"/>
    <w:rsid w:val="004A1B0F"/>
    <w:rsid w:val="004A1B10"/>
    <w:rsid w:val="004A1DC9"/>
    <w:rsid w:val="004A212A"/>
    <w:rsid w:val="004A2154"/>
    <w:rsid w:val="004A21BD"/>
    <w:rsid w:val="004A23CE"/>
    <w:rsid w:val="004A24A6"/>
    <w:rsid w:val="004A25FB"/>
    <w:rsid w:val="004A2709"/>
    <w:rsid w:val="004A2789"/>
    <w:rsid w:val="004A2794"/>
    <w:rsid w:val="004A27B9"/>
    <w:rsid w:val="004A2833"/>
    <w:rsid w:val="004A28AA"/>
    <w:rsid w:val="004A28F0"/>
    <w:rsid w:val="004A2924"/>
    <w:rsid w:val="004A2940"/>
    <w:rsid w:val="004A2946"/>
    <w:rsid w:val="004A29FF"/>
    <w:rsid w:val="004A2A1B"/>
    <w:rsid w:val="004A2AAF"/>
    <w:rsid w:val="004A2AF4"/>
    <w:rsid w:val="004A2B78"/>
    <w:rsid w:val="004A2BCB"/>
    <w:rsid w:val="004A2FFA"/>
    <w:rsid w:val="004A302A"/>
    <w:rsid w:val="004A3066"/>
    <w:rsid w:val="004A328A"/>
    <w:rsid w:val="004A32D5"/>
    <w:rsid w:val="004A331F"/>
    <w:rsid w:val="004A3427"/>
    <w:rsid w:val="004A348E"/>
    <w:rsid w:val="004A3590"/>
    <w:rsid w:val="004A35C4"/>
    <w:rsid w:val="004A35ED"/>
    <w:rsid w:val="004A36E6"/>
    <w:rsid w:val="004A37E2"/>
    <w:rsid w:val="004A38AD"/>
    <w:rsid w:val="004A3A83"/>
    <w:rsid w:val="004A3A96"/>
    <w:rsid w:val="004A3BE9"/>
    <w:rsid w:val="004A3DBC"/>
    <w:rsid w:val="004A3DD0"/>
    <w:rsid w:val="004A3DD1"/>
    <w:rsid w:val="004A3F65"/>
    <w:rsid w:val="004A4017"/>
    <w:rsid w:val="004A41E7"/>
    <w:rsid w:val="004A4366"/>
    <w:rsid w:val="004A4514"/>
    <w:rsid w:val="004A4902"/>
    <w:rsid w:val="004A49F8"/>
    <w:rsid w:val="004A4AF1"/>
    <w:rsid w:val="004A4B69"/>
    <w:rsid w:val="004A4E81"/>
    <w:rsid w:val="004A4EBB"/>
    <w:rsid w:val="004A4F61"/>
    <w:rsid w:val="004A5076"/>
    <w:rsid w:val="004A52B8"/>
    <w:rsid w:val="004A52BF"/>
    <w:rsid w:val="004A5439"/>
    <w:rsid w:val="004A5454"/>
    <w:rsid w:val="004A54C1"/>
    <w:rsid w:val="004A558B"/>
    <w:rsid w:val="004A56F4"/>
    <w:rsid w:val="004A5714"/>
    <w:rsid w:val="004A5747"/>
    <w:rsid w:val="004A57DF"/>
    <w:rsid w:val="004A57FD"/>
    <w:rsid w:val="004A5841"/>
    <w:rsid w:val="004A5842"/>
    <w:rsid w:val="004A5A08"/>
    <w:rsid w:val="004A5B37"/>
    <w:rsid w:val="004A5BBE"/>
    <w:rsid w:val="004A5CBC"/>
    <w:rsid w:val="004A5F6F"/>
    <w:rsid w:val="004A603A"/>
    <w:rsid w:val="004A6071"/>
    <w:rsid w:val="004A6170"/>
    <w:rsid w:val="004A61C7"/>
    <w:rsid w:val="004A64AE"/>
    <w:rsid w:val="004A64BD"/>
    <w:rsid w:val="004A67E4"/>
    <w:rsid w:val="004A67ED"/>
    <w:rsid w:val="004A692C"/>
    <w:rsid w:val="004A69A6"/>
    <w:rsid w:val="004A6A2E"/>
    <w:rsid w:val="004A6B34"/>
    <w:rsid w:val="004A6B4A"/>
    <w:rsid w:val="004A6CED"/>
    <w:rsid w:val="004A6EC7"/>
    <w:rsid w:val="004A6F25"/>
    <w:rsid w:val="004A7014"/>
    <w:rsid w:val="004A701D"/>
    <w:rsid w:val="004A707A"/>
    <w:rsid w:val="004A708A"/>
    <w:rsid w:val="004A7105"/>
    <w:rsid w:val="004A7146"/>
    <w:rsid w:val="004A7179"/>
    <w:rsid w:val="004A7180"/>
    <w:rsid w:val="004A721E"/>
    <w:rsid w:val="004A7235"/>
    <w:rsid w:val="004A7268"/>
    <w:rsid w:val="004A732D"/>
    <w:rsid w:val="004A741F"/>
    <w:rsid w:val="004A75A5"/>
    <w:rsid w:val="004A75E5"/>
    <w:rsid w:val="004A7722"/>
    <w:rsid w:val="004A77E8"/>
    <w:rsid w:val="004A7A21"/>
    <w:rsid w:val="004A7A6F"/>
    <w:rsid w:val="004A7AEA"/>
    <w:rsid w:val="004A7B6F"/>
    <w:rsid w:val="004A7B7D"/>
    <w:rsid w:val="004A7C62"/>
    <w:rsid w:val="004A7C69"/>
    <w:rsid w:val="004A7D0F"/>
    <w:rsid w:val="004A7E99"/>
    <w:rsid w:val="004A7FA5"/>
    <w:rsid w:val="004B00C6"/>
    <w:rsid w:val="004B0155"/>
    <w:rsid w:val="004B023B"/>
    <w:rsid w:val="004B037B"/>
    <w:rsid w:val="004B053D"/>
    <w:rsid w:val="004B054C"/>
    <w:rsid w:val="004B05B3"/>
    <w:rsid w:val="004B0752"/>
    <w:rsid w:val="004B076A"/>
    <w:rsid w:val="004B07A2"/>
    <w:rsid w:val="004B0807"/>
    <w:rsid w:val="004B0953"/>
    <w:rsid w:val="004B0969"/>
    <w:rsid w:val="004B09A6"/>
    <w:rsid w:val="004B0B12"/>
    <w:rsid w:val="004B0C2B"/>
    <w:rsid w:val="004B0C8F"/>
    <w:rsid w:val="004B0D7A"/>
    <w:rsid w:val="004B0E12"/>
    <w:rsid w:val="004B0E1B"/>
    <w:rsid w:val="004B0F08"/>
    <w:rsid w:val="004B0F52"/>
    <w:rsid w:val="004B0F59"/>
    <w:rsid w:val="004B0FD2"/>
    <w:rsid w:val="004B0FEB"/>
    <w:rsid w:val="004B1292"/>
    <w:rsid w:val="004B12CB"/>
    <w:rsid w:val="004B12E9"/>
    <w:rsid w:val="004B142D"/>
    <w:rsid w:val="004B1462"/>
    <w:rsid w:val="004B1478"/>
    <w:rsid w:val="004B1975"/>
    <w:rsid w:val="004B2022"/>
    <w:rsid w:val="004B20B1"/>
    <w:rsid w:val="004B21DD"/>
    <w:rsid w:val="004B21E7"/>
    <w:rsid w:val="004B22BF"/>
    <w:rsid w:val="004B245D"/>
    <w:rsid w:val="004B24BD"/>
    <w:rsid w:val="004B26D2"/>
    <w:rsid w:val="004B2704"/>
    <w:rsid w:val="004B273D"/>
    <w:rsid w:val="004B2866"/>
    <w:rsid w:val="004B28B0"/>
    <w:rsid w:val="004B29C9"/>
    <w:rsid w:val="004B2A42"/>
    <w:rsid w:val="004B2ACB"/>
    <w:rsid w:val="004B2B1B"/>
    <w:rsid w:val="004B2C11"/>
    <w:rsid w:val="004B2C2F"/>
    <w:rsid w:val="004B2C9D"/>
    <w:rsid w:val="004B2CF7"/>
    <w:rsid w:val="004B2DD8"/>
    <w:rsid w:val="004B2F7C"/>
    <w:rsid w:val="004B3010"/>
    <w:rsid w:val="004B3045"/>
    <w:rsid w:val="004B3167"/>
    <w:rsid w:val="004B3303"/>
    <w:rsid w:val="004B331F"/>
    <w:rsid w:val="004B34B5"/>
    <w:rsid w:val="004B34FC"/>
    <w:rsid w:val="004B364C"/>
    <w:rsid w:val="004B3659"/>
    <w:rsid w:val="004B390B"/>
    <w:rsid w:val="004B39D2"/>
    <w:rsid w:val="004B3AD0"/>
    <w:rsid w:val="004B3B1C"/>
    <w:rsid w:val="004B3C16"/>
    <w:rsid w:val="004B3C38"/>
    <w:rsid w:val="004B3F42"/>
    <w:rsid w:val="004B3F8D"/>
    <w:rsid w:val="004B4053"/>
    <w:rsid w:val="004B4077"/>
    <w:rsid w:val="004B4093"/>
    <w:rsid w:val="004B40DF"/>
    <w:rsid w:val="004B40E1"/>
    <w:rsid w:val="004B4162"/>
    <w:rsid w:val="004B41F1"/>
    <w:rsid w:val="004B41F3"/>
    <w:rsid w:val="004B4217"/>
    <w:rsid w:val="004B42F1"/>
    <w:rsid w:val="004B4335"/>
    <w:rsid w:val="004B43CC"/>
    <w:rsid w:val="004B440D"/>
    <w:rsid w:val="004B4499"/>
    <w:rsid w:val="004B4620"/>
    <w:rsid w:val="004B4621"/>
    <w:rsid w:val="004B4646"/>
    <w:rsid w:val="004B46DA"/>
    <w:rsid w:val="004B475D"/>
    <w:rsid w:val="004B4852"/>
    <w:rsid w:val="004B486E"/>
    <w:rsid w:val="004B48D4"/>
    <w:rsid w:val="004B48F8"/>
    <w:rsid w:val="004B491B"/>
    <w:rsid w:val="004B4B46"/>
    <w:rsid w:val="004B4B64"/>
    <w:rsid w:val="004B4C7C"/>
    <w:rsid w:val="004B4D16"/>
    <w:rsid w:val="004B4D26"/>
    <w:rsid w:val="004B4D39"/>
    <w:rsid w:val="004B4E09"/>
    <w:rsid w:val="004B4F4E"/>
    <w:rsid w:val="004B4F56"/>
    <w:rsid w:val="004B4F66"/>
    <w:rsid w:val="004B4FC4"/>
    <w:rsid w:val="004B4FD8"/>
    <w:rsid w:val="004B516B"/>
    <w:rsid w:val="004B521A"/>
    <w:rsid w:val="004B52C7"/>
    <w:rsid w:val="004B5363"/>
    <w:rsid w:val="004B53FD"/>
    <w:rsid w:val="004B541A"/>
    <w:rsid w:val="004B5485"/>
    <w:rsid w:val="004B5498"/>
    <w:rsid w:val="004B54C8"/>
    <w:rsid w:val="004B5528"/>
    <w:rsid w:val="004B558E"/>
    <w:rsid w:val="004B55B5"/>
    <w:rsid w:val="004B57A7"/>
    <w:rsid w:val="004B57BD"/>
    <w:rsid w:val="004B5952"/>
    <w:rsid w:val="004B595D"/>
    <w:rsid w:val="004B59F6"/>
    <w:rsid w:val="004B5B60"/>
    <w:rsid w:val="004B5C52"/>
    <w:rsid w:val="004B5C59"/>
    <w:rsid w:val="004B5CAB"/>
    <w:rsid w:val="004B5D42"/>
    <w:rsid w:val="004B5DD8"/>
    <w:rsid w:val="004B5DF2"/>
    <w:rsid w:val="004B5ECB"/>
    <w:rsid w:val="004B5F40"/>
    <w:rsid w:val="004B5F88"/>
    <w:rsid w:val="004B6037"/>
    <w:rsid w:val="004B6114"/>
    <w:rsid w:val="004B6151"/>
    <w:rsid w:val="004B6257"/>
    <w:rsid w:val="004B634F"/>
    <w:rsid w:val="004B63A6"/>
    <w:rsid w:val="004B6464"/>
    <w:rsid w:val="004B65BE"/>
    <w:rsid w:val="004B65D3"/>
    <w:rsid w:val="004B6633"/>
    <w:rsid w:val="004B6663"/>
    <w:rsid w:val="004B6753"/>
    <w:rsid w:val="004B6823"/>
    <w:rsid w:val="004B68E5"/>
    <w:rsid w:val="004B6964"/>
    <w:rsid w:val="004B696E"/>
    <w:rsid w:val="004B6A2E"/>
    <w:rsid w:val="004B6A5D"/>
    <w:rsid w:val="004B6B23"/>
    <w:rsid w:val="004B6B30"/>
    <w:rsid w:val="004B6BE9"/>
    <w:rsid w:val="004B6C94"/>
    <w:rsid w:val="004B6DA3"/>
    <w:rsid w:val="004B6DA7"/>
    <w:rsid w:val="004B6F53"/>
    <w:rsid w:val="004B70D4"/>
    <w:rsid w:val="004B72E6"/>
    <w:rsid w:val="004B749E"/>
    <w:rsid w:val="004B74A0"/>
    <w:rsid w:val="004B75AF"/>
    <w:rsid w:val="004B75C3"/>
    <w:rsid w:val="004B75CB"/>
    <w:rsid w:val="004B764D"/>
    <w:rsid w:val="004B7711"/>
    <w:rsid w:val="004B77B1"/>
    <w:rsid w:val="004B7BE0"/>
    <w:rsid w:val="004B7E5C"/>
    <w:rsid w:val="004B9A29"/>
    <w:rsid w:val="004C003D"/>
    <w:rsid w:val="004C0139"/>
    <w:rsid w:val="004C0288"/>
    <w:rsid w:val="004C02A2"/>
    <w:rsid w:val="004C02F3"/>
    <w:rsid w:val="004C0351"/>
    <w:rsid w:val="004C038E"/>
    <w:rsid w:val="004C051F"/>
    <w:rsid w:val="004C055C"/>
    <w:rsid w:val="004C076B"/>
    <w:rsid w:val="004C07F4"/>
    <w:rsid w:val="004C0844"/>
    <w:rsid w:val="004C0A00"/>
    <w:rsid w:val="004C0A06"/>
    <w:rsid w:val="004C0A2B"/>
    <w:rsid w:val="004C0B15"/>
    <w:rsid w:val="004C0B60"/>
    <w:rsid w:val="004C0D97"/>
    <w:rsid w:val="004C0F6E"/>
    <w:rsid w:val="004C0FAA"/>
    <w:rsid w:val="004C0FB3"/>
    <w:rsid w:val="004C0FC6"/>
    <w:rsid w:val="004C1017"/>
    <w:rsid w:val="004C1033"/>
    <w:rsid w:val="004C10F9"/>
    <w:rsid w:val="004C126A"/>
    <w:rsid w:val="004C12AA"/>
    <w:rsid w:val="004C13C7"/>
    <w:rsid w:val="004C1569"/>
    <w:rsid w:val="004C1576"/>
    <w:rsid w:val="004C168B"/>
    <w:rsid w:val="004C16A2"/>
    <w:rsid w:val="004C1771"/>
    <w:rsid w:val="004C1773"/>
    <w:rsid w:val="004C1779"/>
    <w:rsid w:val="004C17E4"/>
    <w:rsid w:val="004C19F1"/>
    <w:rsid w:val="004C1BAF"/>
    <w:rsid w:val="004C1D5C"/>
    <w:rsid w:val="004C1DD5"/>
    <w:rsid w:val="004C1E13"/>
    <w:rsid w:val="004C1FDD"/>
    <w:rsid w:val="004C20BF"/>
    <w:rsid w:val="004C20F0"/>
    <w:rsid w:val="004C2169"/>
    <w:rsid w:val="004C2245"/>
    <w:rsid w:val="004C2341"/>
    <w:rsid w:val="004C2456"/>
    <w:rsid w:val="004C27ED"/>
    <w:rsid w:val="004C289F"/>
    <w:rsid w:val="004C293C"/>
    <w:rsid w:val="004C2A60"/>
    <w:rsid w:val="004C2ADF"/>
    <w:rsid w:val="004C2BB9"/>
    <w:rsid w:val="004C2BE3"/>
    <w:rsid w:val="004C2CBD"/>
    <w:rsid w:val="004C2EDE"/>
    <w:rsid w:val="004C2FFA"/>
    <w:rsid w:val="004C3073"/>
    <w:rsid w:val="004C3251"/>
    <w:rsid w:val="004C3291"/>
    <w:rsid w:val="004C32BE"/>
    <w:rsid w:val="004C3331"/>
    <w:rsid w:val="004C33E5"/>
    <w:rsid w:val="004C3408"/>
    <w:rsid w:val="004C3582"/>
    <w:rsid w:val="004C358C"/>
    <w:rsid w:val="004C3798"/>
    <w:rsid w:val="004C37F9"/>
    <w:rsid w:val="004C3A1D"/>
    <w:rsid w:val="004C3B40"/>
    <w:rsid w:val="004C3B53"/>
    <w:rsid w:val="004C3CAC"/>
    <w:rsid w:val="004C3E53"/>
    <w:rsid w:val="004C40A6"/>
    <w:rsid w:val="004C428B"/>
    <w:rsid w:val="004C43E8"/>
    <w:rsid w:val="004C4628"/>
    <w:rsid w:val="004C466F"/>
    <w:rsid w:val="004C46F6"/>
    <w:rsid w:val="004C47E6"/>
    <w:rsid w:val="004C4817"/>
    <w:rsid w:val="004C4879"/>
    <w:rsid w:val="004C495D"/>
    <w:rsid w:val="004C4C40"/>
    <w:rsid w:val="004C4C67"/>
    <w:rsid w:val="004C4D10"/>
    <w:rsid w:val="004C4D83"/>
    <w:rsid w:val="004C4DC2"/>
    <w:rsid w:val="004C4E34"/>
    <w:rsid w:val="004C4EA1"/>
    <w:rsid w:val="004C4EFB"/>
    <w:rsid w:val="004C5013"/>
    <w:rsid w:val="004C50A0"/>
    <w:rsid w:val="004C5122"/>
    <w:rsid w:val="004C5166"/>
    <w:rsid w:val="004C51E4"/>
    <w:rsid w:val="004C5216"/>
    <w:rsid w:val="004C53BC"/>
    <w:rsid w:val="004C56F2"/>
    <w:rsid w:val="004C570C"/>
    <w:rsid w:val="004C5759"/>
    <w:rsid w:val="004C57E2"/>
    <w:rsid w:val="004C5834"/>
    <w:rsid w:val="004C58CA"/>
    <w:rsid w:val="004C5A25"/>
    <w:rsid w:val="004C5A33"/>
    <w:rsid w:val="004C5B71"/>
    <w:rsid w:val="004C5BD2"/>
    <w:rsid w:val="004C5C90"/>
    <w:rsid w:val="004C5C97"/>
    <w:rsid w:val="004C5CFB"/>
    <w:rsid w:val="004C5D01"/>
    <w:rsid w:val="004C5D89"/>
    <w:rsid w:val="004C5ED3"/>
    <w:rsid w:val="004C5FA6"/>
    <w:rsid w:val="004C60C3"/>
    <w:rsid w:val="004C620D"/>
    <w:rsid w:val="004C6219"/>
    <w:rsid w:val="004C62AA"/>
    <w:rsid w:val="004C64A2"/>
    <w:rsid w:val="004C64BA"/>
    <w:rsid w:val="004C6525"/>
    <w:rsid w:val="004C65D2"/>
    <w:rsid w:val="004C672E"/>
    <w:rsid w:val="004C6773"/>
    <w:rsid w:val="004C6798"/>
    <w:rsid w:val="004C68D0"/>
    <w:rsid w:val="004C69D3"/>
    <w:rsid w:val="004C6AB1"/>
    <w:rsid w:val="004C6ACE"/>
    <w:rsid w:val="004C6C65"/>
    <w:rsid w:val="004C6C68"/>
    <w:rsid w:val="004C6DBA"/>
    <w:rsid w:val="004C6E8B"/>
    <w:rsid w:val="004C6F3B"/>
    <w:rsid w:val="004C7048"/>
    <w:rsid w:val="004C7229"/>
    <w:rsid w:val="004C72E7"/>
    <w:rsid w:val="004C73A7"/>
    <w:rsid w:val="004C73E6"/>
    <w:rsid w:val="004C74DE"/>
    <w:rsid w:val="004C74EF"/>
    <w:rsid w:val="004C75F7"/>
    <w:rsid w:val="004C766E"/>
    <w:rsid w:val="004C769E"/>
    <w:rsid w:val="004C76FC"/>
    <w:rsid w:val="004C7831"/>
    <w:rsid w:val="004C785A"/>
    <w:rsid w:val="004C7947"/>
    <w:rsid w:val="004C79DE"/>
    <w:rsid w:val="004C79FB"/>
    <w:rsid w:val="004C7A9A"/>
    <w:rsid w:val="004C7AC0"/>
    <w:rsid w:val="004C7C0B"/>
    <w:rsid w:val="004C7CE9"/>
    <w:rsid w:val="004C7D88"/>
    <w:rsid w:val="004C7DE7"/>
    <w:rsid w:val="004C7E50"/>
    <w:rsid w:val="004C7E57"/>
    <w:rsid w:val="004C7E64"/>
    <w:rsid w:val="004D0103"/>
    <w:rsid w:val="004D0113"/>
    <w:rsid w:val="004D01B6"/>
    <w:rsid w:val="004D01D9"/>
    <w:rsid w:val="004D01E1"/>
    <w:rsid w:val="004D03F4"/>
    <w:rsid w:val="004D048E"/>
    <w:rsid w:val="004D05DE"/>
    <w:rsid w:val="004D0666"/>
    <w:rsid w:val="004D0680"/>
    <w:rsid w:val="004D07D5"/>
    <w:rsid w:val="004D0924"/>
    <w:rsid w:val="004D092F"/>
    <w:rsid w:val="004D0A32"/>
    <w:rsid w:val="004D0B1D"/>
    <w:rsid w:val="004D0B9F"/>
    <w:rsid w:val="004D0C2A"/>
    <w:rsid w:val="004D112B"/>
    <w:rsid w:val="004D11EC"/>
    <w:rsid w:val="004D1384"/>
    <w:rsid w:val="004D13E5"/>
    <w:rsid w:val="004D1465"/>
    <w:rsid w:val="004D1708"/>
    <w:rsid w:val="004D1843"/>
    <w:rsid w:val="004D1887"/>
    <w:rsid w:val="004D18B3"/>
    <w:rsid w:val="004D18BB"/>
    <w:rsid w:val="004D1B47"/>
    <w:rsid w:val="004D1B6A"/>
    <w:rsid w:val="004D1BD8"/>
    <w:rsid w:val="004D1BDD"/>
    <w:rsid w:val="004D1C26"/>
    <w:rsid w:val="004D1CF9"/>
    <w:rsid w:val="004D1CFE"/>
    <w:rsid w:val="004D1D1D"/>
    <w:rsid w:val="004D1F44"/>
    <w:rsid w:val="004D1FFC"/>
    <w:rsid w:val="004D2213"/>
    <w:rsid w:val="004D2427"/>
    <w:rsid w:val="004D247B"/>
    <w:rsid w:val="004D2497"/>
    <w:rsid w:val="004D249E"/>
    <w:rsid w:val="004D259A"/>
    <w:rsid w:val="004D272F"/>
    <w:rsid w:val="004D2792"/>
    <w:rsid w:val="004D27AA"/>
    <w:rsid w:val="004D297A"/>
    <w:rsid w:val="004D2C7A"/>
    <w:rsid w:val="004D2D43"/>
    <w:rsid w:val="004D2D71"/>
    <w:rsid w:val="004D2D84"/>
    <w:rsid w:val="004D2DBD"/>
    <w:rsid w:val="004D2DC9"/>
    <w:rsid w:val="004D2E6B"/>
    <w:rsid w:val="004D2E8F"/>
    <w:rsid w:val="004D304B"/>
    <w:rsid w:val="004D3487"/>
    <w:rsid w:val="004D34A5"/>
    <w:rsid w:val="004D3571"/>
    <w:rsid w:val="004D3574"/>
    <w:rsid w:val="004D357F"/>
    <w:rsid w:val="004D366E"/>
    <w:rsid w:val="004D369C"/>
    <w:rsid w:val="004D36B6"/>
    <w:rsid w:val="004D37D8"/>
    <w:rsid w:val="004D37D9"/>
    <w:rsid w:val="004D37F7"/>
    <w:rsid w:val="004D38A4"/>
    <w:rsid w:val="004D38AB"/>
    <w:rsid w:val="004D3973"/>
    <w:rsid w:val="004D3A28"/>
    <w:rsid w:val="004D3A29"/>
    <w:rsid w:val="004D3A50"/>
    <w:rsid w:val="004D3A65"/>
    <w:rsid w:val="004D3BCB"/>
    <w:rsid w:val="004D3C83"/>
    <w:rsid w:val="004D3E53"/>
    <w:rsid w:val="004D40CC"/>
    <w:rsid w:val="004D4200"/>
    <w:rsid w:val="004D425B"/>
    <w:rsid w:val="004D433F"/>
    <w:rsid w:val="004D439F"/>
    <w:rsid w:val="004D455B"/>
    <w:rsid w:val="004D4636"/>
    <w:rsid w:val="004D472C"/>
    <w:rsid w:val="004D477E"/>
    <w:rsid w:val="004D47AA"/>
    <w:rsid w:val="004D4874"/>
    <w:rsid w:val="004D4BCF"/>
    <w:rsid w:val="004D4C4C"/>
    <w:rsid w:val="004D4CD5"/>
    <w:rsid w:val="004D4EFC"/>
    <w:rsid w:val="004D4F2A"/>
    <w:rsid w:val="004D4FBB"/>
    <w:rsid w:val="004D5041"/>
    <w:rsid w:val="004D52C2"/>
    <w:rsid w:val="004D5427"/>
    <w:rsid w:val="004D54B3"/>
    <w:rsid w:val="004D54F4"/>
    <w:rsid w:val="004D555A"/>
    <w:rsid w:val="004D570F"/>
    <w:rsid w:val="004D577F"/>
    <w:rsid w:val="004D5824"/>
    <w:rsid w:val="004D5825"/>
    <w:rsid w:val="004D59F5"/>
    <w:rsid w:val="004D5A2B"/>
    <w:rsid w:val="004D5B9A"/>
    <w:rsid w:val="004D5C73"/>
    <w:rsid w:val="004D5CA2"/>
    <w:rsid w:val="004D5E84"/>
    <w:rsid w:val="004D5EB3"/>
    <w:rsid w:val="004D5F6C"/>
    <w:rsid w:val="004D5FDF"/>
    <w:rsid w:val="004D6190"/>
    <w:rsid w:val="004D62C2"/>
    <w:rsid w:val="004D6310"/>
    <w:rsid w:val="004D6383"/>
    <w:rsid w:val="004D6441"/>
    <w:rsid w:val="004D64E3"/>
    <w:rsid w:val="004D65B2"/>
    <w:rsid w:val="004D661A"/>
    <w:rsid w:val="004D67BC"/>
    <w:rsid w:val="004D68C7"/>
    <w:rsid w:val="004D6AAC"/>
    <w:rsid w:val="004D6EC8"/>
    <w:rsid w:val="004D7178"/>
    <w:rsid w:val="004D720B"/>
    <w:rsid w:val="004D73D0"/>
    <w:rsid w:val="004D73D1"/>
    <w:rsid w:val="004D745A"/>
    <w:rsid w:val="004D765A"/>
    <w:rsid w:val="004D77DF"/>
    <w:rsid w:val="004D782A"/>
    <w:rsid w:val="004D7859"/>
    <w:rsid w:val="004D78EA"/>
    <w:rsid w:val="004D78EF"/>
    <w:rsid w:val="004D795E"/>
    <w:rsid w:val="004D796F"/>
    <w:rsid w:val="004D7A30"/>
    <w:rsid w:val="004D7A32"/>
    <w:rsid w:val="004D7B05"/>
    <w:rsid w:val="004D7B5F"/>
    <w:rsid w:val="004D7DE7"/>
    <w:rsid w:val="004D7E7C"/>
    <w:rsid w:val="004D7F09"/>
    <w:rsid w:val="004D7FA2"/>
    <w:rsid w:val="004E0044"/>
    <w:rsid w:val="004E0197"/>
    <w:rsid w:val="004E0199"/>
    <w:rsid w:val="004E0240"/>
    <w:rsid w:val="004E02BB"/>
    <w:rsid w:val="004E043C"/>
    <w:rsid w:val="004E0486"/>
    <w:rsid w:val="004E0501"/>
    <w:rsid w:val="004E0625"/>
    <w:rsid w:val="004E0750"/>
    <w:rsid w:val="004E07E2"/>
    <w:rsid w:val="004E0850"/>
    <w:rsid w:val="004E0AA5"/>
    <w:rsid w:val="004E0AA6"/>
    <w:rsid w:val="004E0D0E"/>
    <w:rsid w:val="004E0EF8"/>
    <w:rsid w:val="004E1057"/>
    <w:rsid w:val="004E109B"/>
    <w:rsid w:val="004E1374"/>
    <w:rsid w:val="004E1463"/>
    <w:rsid w:val="004E1467"/>
    <w:rsid w:val="004E15CA"/>
    <w:rsid w:val="004E15DB"/>
    <w:rsid w:val="004E161E"/>
    <w:rsid w:val="004E189C"/>
    <w:rsid w:val="004E19DE"/>
    <w:rsid w:val="004E1A9B"/>
    <w:rsid w:val="004E1B45"/>
    <w:rsid w:val="004E1BD3"/>
    <w:rsid w:val="004E1DC1"/>
    <w:rsid w:val="004E2252"/>
    <w:rsid w:val="004E22E2"/>
    <w:rsid w:val="004E254D"/>
    <w:rsid w:val="004E258C"/>
    <w:rsid w:val="004E25E0"/>
    <w:rsid w:val="004E2796"/>
    <w:rsid w:val="004E2857"/>
    <w:rsid w:val="004E2864"/>
    <w:rsid w:val="004E2866"/>
    <w:rsid w:val="004E2A79"/>
    <w:rsid w:val="004E2B1C"/>
    <w:rsid w:val="004E2BDE"/>
    <w:rsid w:val="004E2CAE"/>
    <w:rsid w:val="004E2DDC"/>
    <w:rsid w:val="004E3071"/>
    <w:rsid w:val="004E32B1"/>
    <w:rsid w:val="004E3338"/>
    <w:rsid w:val="004E339A"/>
    <w:rsid w:val="004E33A5"/>
    <w:rsid w:val="004E34F8"/>
    <w:rsid w:val="004E3535"/>
    <w:rsid w:val="004E35E4"/>
    <w:rsid w:val="004E3608"/>
    <w:rsid w:val="004E3883"/>
    <w:rsid w:val="004E388C"/>
    <w:rsid w:val="004E3AB0"/>
    <w:rsid w:val="004E3AD0"/>
    <w:rsid w:val="004E3C8A"/>
    <w:rsid w:val="004E3D29"/>
    <w:rsid w:val="004E3D5C"/>
    <w:rsid w:val="004E3EFA"/>
    <w:rsid w:val="004E3F44"/>
    <w:rsid w:val="004E3F7F"/>
    <w:rsid w:val="004E3FE1"/>
    <w:rsid w:val="004E413F"/>
    <w:rsid w:val="004E4156"/>
    <w:rsid w:val="004E4306"/>
    <w:rsid w:val="004E442D"/>
    <w:rsid w:val="004E4443"/>
    <w:rsid w:val="004E4444"/>
    <w:rsid w:val="004E4663"/>
    <w:rsid w:val="004E4850"/>
    <w:rsid w:val="004E4856"/>
    <w:rsid w:val="004E4965"/>
    <w:rsid w:val="004E49FF"/>
    <w:rsid w:val="004E4A98"/>
    <w:rsid w:val="004E4ABA"/>
    <w:rsid w:val="004E4AFA"/>
    <w:rsid w:val="004E4B0E"/>
    <w:rsid w:val="004E4B6B"/>
    <w:rsid w:val="004E4B8A"/>
    <w:rsid w:val="004E4CF6"/>
    <w:rsid w:val="004E4EEE"/>
    <w:rsid w:val="004E4F6B"/>
    <w:rsid w:val="004E50AF"/>
    <w:rsid w:val="004E51AF"/>
    <w:rsid w:val="004E53EB"/>
    <w:rsid w:val="004E5544"/>
    <w:rsid w:val="004E5561"/>
    <w:rsid w:val="004E57B7"/>
    <w:rsid w:val="004E5819"/>
    <w:rsid w:val="004E5864"/>
    <w:rsid w:val="004E58CD"/>
    <w:rsid w:val="004E5A5A"/>
    <w:rsid w:val="004E5ABD"/>
    <w:rsid w:val="004E5BE3"/>
    <w:rsid w:val="004E5E04"/>
    <w:rsid w:val="004E5E77"/>
    <w:rsid w:val="004E6079"/>
    <w:rsid w:val="004E61B0"/>
    <w:rsid w:val="004E62CE"/>
    <w:rsid w:val="004E62E3"/>
    <w:rsid w:val="004E638F"/>
    <w:rsid w:val="004E63BF"/>
    <w:rsid w:val="004E6441"/>
    <w:rsid w:val="004E64FF"/>
    <w:rsid w:val="004E656D"/>
    <w:rsid w:val="004E65EE"/>
    <w:rsid w:val="004E6666"/>
    <w:rsid w:val="004E6880"/>
    <w:rsid w:val="004E6BF8"/>
    <w:rsid w:val="004E6C30"/>
    <w:rsid w:val="004E6C71"/>
    <w:rsid w:val="004E6CC0"/>
    <w:rsid w:val="004E6D34"/>
    <w:rsid w:val="004E6D44"/>
    <w:rsid w:val="004E6DB7"/>
    <w:rsid w:val="004E6DD3"/>
    <w:rsid w:val="004E6EE5"/>
    <w:rsid w:val="004E6F1E"/>
    <w:rsid w:val="004E7003"/>
    <w:rsid w:val="004E705A"/>
    <w:rsid w:val="004E70B5"/>
    <w:rsid w:val="004E70B9"/>
    <w:rsid w:val="004E72A8"/>
    <w:rsid w:val="004E7353"/>
    <w:rsid w:val="004E7364"/>
    <w:rsid w:val="004E73F8"/>
    <w:rsid w:val="004E73FE"/>
    <w:rsid w:val="004E7510"/>
    <w:rsid w:val="004E75A2"/>
    <w:rsid w:val="004E7783"/>
    <w:rsid w:val="004E7907"/>
    <w:rsid w:val="004E7956"/>
    <w:rsid w:val="004E7A5A"/>
    <w:rsid w:val="004E7AB7"/>
    <w:rsid w:val="004E7AD1"/>
    <w:rsid w:val="004E7CE2"/>
    <w:rsid w:val="004E7DE8"/>
    <w:rsid w:val="004E7E6D"/>
    <w:rsid w:val="004E7EE1"/>
    <w:rsid w:val="004E7F28"/>
    <w:rsid w:val="004E7F9B"/>
    <w:rsid w:val="004F005E"/>
    <w:rsid w:val="004F00E6"/>
    <w:rsid w:val="004F0185"/>
    <w:rsid w:val="004F02A9"/>
    <w:rsid w:val="004F02B1"/>
    <w:rsid w:val="004F0460"/>
    <w:rsid w:val="004F062B"/>
    <w:rsid w:val="004F065F"/>
    <w:rsid w:val="004F0674"/>
    <w:rsid w:val="004F073A"/>
    <w:rsid w:val="004F08A2"/>
    <w:rsid w:val="004F0936"/>
    <w:rsid w:val="004F097C"/>
    <w:rsid w:val="004F09F4"/>
    <w:rsid w:val="004F0B43"/>
    <w:rsid w:val="004F0D0E"/>
    <w:rsid w:val="004F0EAC"/>
    <w:rsid w:val="004F0FD4"/>
    <w:rsid w:val="004F1023"/>
    <w:rsid w:val="004F10F2"/>
    <w:rsid w:val="004F1178"/>
    <w:rsid w:val="004F1220"/>
    <w:rsid w:val="004F13CC"/>
    <w:rsid w:val="004F150C"/>
    <w:rsid w:val="004F161B"/>
    <w:rsid w:val="004F16C8"/>
    <w:rsid w:val="004F16F0"/>
    <w:rsid w:val="004F16F6"/>
    <w:rsid w:val="004F1C2D"/>
    <w:rsid w:val="004F1D11"/>
    <w:rsid w:val="004F2254"/>
    <w:rsid w:val="004F22A7"/>
    <w:rsid w:val="004F22BD"/>
    <w:rsid w:val="004F24C6"/>
    <w:rsid w:val="004F2560"/>
    <w:rsid w:val="004F256F"/>
    <w:rsid w:val="004F25F9"/>
    <w:rsid w:val="004F264E"/>
    <w:rsid w:val="004F2656"/>
    <w:rsid w:val="004F27DB"/>
    <w:rsid w:val="004F27E6"/>
    <w:rsid w:val="004F29C2"/>
    <w:rsid w:val="004F2B3E"/>
    <w:rsid w:val="004F2BC4"/>
    <w:rsid w:val="004F2C54"/>
    <w:rsid w:val="004F2D11"/>
    <w:rsid w:val="004F2D47"/>
    <w:rsid w:val="004F2D8F"/>
    <w:rsid w:val="004F2E12"/>
    <w:rsid w:val="004F2E5F"/>
    <w:rsid w:val="004F2FAE"/>
    <w:rsid w:val="004F2FEA"/>
    <w:rsid w:val="004F305F"/>
    <w:rsid w:val="004F3069"/>
    <w:rsid w:val="004F31C1"/>
    <w:rsid w:val="004F323D"/>
    <w:rsid w:val="004F3390"/>
    <w:rsid w:val="004F3465"/>
    <w:rsid w:val="004F34B8"/>
    <w:rsid w:val="004F3562"/>
    <w:rsid w:val="004F35F1"/>
    <w:rsid w:val="004F368A"/>
    <w:rsid w:val="004F37C8"/>
    <w:rsid w:val="004F39BF"/>
    <w:rsid w:val="004F39DD"/>
    <w:rsid w:val="004F3ADD"/>
    <w:rsid w:val="004F3B19"/>
    <w:rsid w:val="004F3C62"/>
    <w:rsid w:val="004F3D1C"/>
    <w:rsid w:val="004F3F46"/>
    <w:rsid w:val="004F3FE0"/>
    <w:rsid w:val="004F414A"/>
    <w:rsid w:val="004F41EA"/>
    <w:rsid w:val="004F4238"/>
    <w:rsid w:val="004F425F"/>
    <w:rsid w:val="004F4463"/>
    <w:rsid w:val="004F4666"/>
    <w:rsid w:val="004F46C0"/>
    <w:rsid w:val="004F46C6"/>
    <w:rsid w:val="004F46CF"/>
    <w:rsid w:val="004F47EF"/>
    <w:rsid w:val="004F480A"/>
    <w:rsid w:val="004F4898"/>
    <w:rsid w:val="004F4A86"/>
    <w:rsid w:val="004F4AA9"/>
    <w:rsid w:val="004F4B9E"/>
    <w:rsid w:val="004F4C21"/>
    <w:rsid w:val="004F4DA1"/>
    <w:rsid w:val="004F4DF8"/>
    <w:rsid w:val="004F4E4D"/>
    <w:rsid w:val="004F5056"/>
    <w:rsid w:val="004F51F2"/>
    <w:rsid w:val="004F52B2"/>
    <w:rsid w:val="004F535E"/>
    <w:rsid w:val="004F53FE"/>
    <w:rsid w:val="004F5414"/>
    <w:rsid w:val="004F560B"/>
    <w:rsid w:val="004F562C"/>
    <w:rsid w:val="004F56D2"/>
    <w:rsid w:val="004F5790"/>
    <w:rsid w:val="004F58FB"/>
    <w:rsid w:val="004F5973"/>
    <w:rsid w:val="004F59D0"/>
    <w:rsid w:val="004F5CCD"/>
    <w:rsid w:val="004F5E3F"/>
    <w:rsid w:val="004F5F02"/>
    <w:rsid w:val="004F5FF8"/>
    <w:rsid w:val="004F614C"/>
    <w:rsid w:val="004F6352"/>
    <w:rsid w:val="004F6474"/>
    <w:rsid w:val="004F6556"/>
    <w:rsid w:val="004F6616"/>
    <w:rsid w:val="004F6672"/>
    <w:rsid w:val="004F6799"/>
    <w:rsid w:val="004F68F7"/>
    <w:rsid w:val="004F695D"/>
    <w:rsid w:val="004F69C0"/>
    <w:rsid w:val="004F6A46"/>
    <w:rsid w:val="004F6E10"/>
    <w:rsid w:val="004F6E3F"/>
    <w:rsid w:val="004F7085"/>
    <w:rsid w:val="004F7112"/>
    <w:rsid w:val="004F71B1"/>
    <w:rsid w:val="004F71C9"/>
    <w:rsid w:val="004F73A1"/>
    <w:rsid w:val="004F73E4"/>
    <w:rsid w:val="004F75AA"/>
    <w:rsid w:val="004F75AD"/>
    <w:rsid w:val="004F76AA"/>
    <w:rsid w:val="004F76D7"/>
    <w:rsid w:val="004F7752"/>
    <w:rsid w:val="004F77C7"/>
    <w:rsid w:val="004F77F7"/>
    <w:rsid w:val="004F7898"/>
    <w:rsid w:val="004F79BB"/>
    <w:rsid w:val="004F7A5F"/>
    <w:rsid w:val="004F7B9B"/>
    <w:rsid w:val="004F7DE8"/>
    <w:rsid w:val="004F7DEC"/>
    <w:rsid w:val="004F7E1C"/>
    <w:rsid w:val="004F7F3E"/>
    <w:rsid w:val="004F7F9A"/>
    <w:rsid w:val="0050023E"/>
    <w:rsid w:val="00500257"/>
    <w:rsid w:val="0050028D"/>
    <w:rsid w:val="005002BE"/>
    <w:rsid w:val="0050037D"/>
    <w:rsid w:val="005003C7"/>
    <w:rsid w:val="005003D7"/>
    <w:rsid w:val="00500404"/>
    <w:rsid w:val="00500664"/>
    <w:rsid w:val="005006F8"/>
    <w:rsid w:val="0050073C"/>
    <w:rsid w:val="0050078B"/>
    <w:rsid w:val="00500796"/>
    <w:rsid w:val="005007D0"/>
    <w:rsid w:val="005009E2"/>
    <w:rsid w:val="00500B98"/>
    <w:rsid w:val="00500C53"/>
    <w:rsid w:val="00500C61"/>
    <w:rsid w:val="00500E86"/>
    <w:rsid w:val="00500EA0"/>
    <w:rsid w:val="00500EEC"/>
    <w:rsid w:val="00501025"/>
    <w:rsid w:val="00501139"/>
    <w:rsid w:val="00501248"/>
    <w:rsid w:val="005012E8"/>
    <w:rsid w:val="005012FC"/>
    <w:rsid w:val="00501450"/>
    <w:rsid w:val="005014A6"/>
    <w:rsid w:val="005014DD"/>
    <w:rsid w:val="005014DE"/>
    <w:rsid w:val="00501610"/>
    <w:rsid w:val="00501677"/>
    <w:rsid w:val="0050181E"/>
    <w:rsid w:val="005018C6"/>
    <w:rsid w:val="00501951"/>
    <w:rsid w:val="005019EC"/>
    <w:rsid w:val="00501CC6"/>
    <w:rsid w:val="00501D5C"/>
    <w:rsid w:val="00501D6A"/>
    <w:rsid w:val="00501EB1"/>
    <w:rsid w:val="00501FFF"/>
    <w:rsid w:val="00502048"/>
    <w:rsid w:val="00502112"/>
    <w:rsid w:val="005021AC"/>
    <w:rsid w:val="0050238F"/>
    <w:rsid w:val="00502430"/>
    <w:rsid w:val="005027BB"/>
    <w:rsid w:val="00502823"/>
    <w:rsid w:val="005029D5"/>
    <w:rsid w:val="005029E1"/>
    <w:rsid w:val="00502C2D"/>
    <w:rsid w:val="00502DF1"/>
    <w:rsid w:val="00502E4C"/>
    <w:rsid w:val="00502EB8"/>
    <w:rsid w:val="00502EC1"/>
    <w:rsid w:val="00502F4E"/>
    <w:rsid w:val="00502F8A"/>
    <w:rsid w:val="00503121"/>
    <w:rsid w:val="005031B1"/>
    <w:rsid w:val="005032E6"/>
    <w:rsid w:val="00503443"/>
    <w:rsid w:val="005034B0"/>
    <w:rsid w:val="005034C1"/>
    <w:rsid w:val="0050382F"/>
    <w:rsid w:val="005038C1"/>
    <w:rsid w:val="005038D6"/>
    <w:rsid w:val="00503923"/>
    <w:rsid w:val="00503B92"/>
    <w:rsid w:val="005040CE"/>
    <w:rsid w:val="005040E9"/>
    <w:rsid w:val="00504159"/>
    <w:rsid w:val="00504193"/>
    <w:rsid w:val="005041DA"/>
    <w:rsid w:val="00504244"/>
    <w:rsid w:val="005042E9"/>
    <w:rsid w:val="005043FE"/>
    <w:rsid w:val="00504454"/>
    <w:rsid w:val="00504770"/>
    <w:rsid w:val="005047F7"/>
    <w:rsid w:val="005049BA"/>
    <w:rsid w:val="00504BFB"/>
    <w:rsid w:val="00504CA9"/>
    <w:rsid w:val="00504DAD"/>
    <w:rsid w:val="00504F85"/>
    <w:rsid w:val="00504F86"/>
    <w:rsid w:val="00505044"/>
    <w:rsid w:val="0050510B"/>
    <w:rsid w:val="00505124"/>
    <w:rsid w:val="00505132"/>
    <w:rsid w:val="00505185"/>
    <w:rsid w:val="00505293"/>
    <w:rsid w:val="00505360"/>
    <w:rsid w:val="005053F3"/>
    <w:rsid w:val="005054DD"/>
    <w:rsid w:val="0050553E"/>
    <w:rsid w:val="00505547"/>
    <w:rsid w:val="0050554D"/>
    <w:rsid w:val="00505639"/>
    <w:rsid w:val="00505737"/>
    <w:rsid w:val="00505AD0"/>
    <w:rsid w:val="00505C93"/>
    <w:rsid w:val="00505CAC"/>
    <w:rsid w:val="00505D05"/>
    <w:rsid w:val="00505DED"/>
    <w:rsid w:val="00505E4C"/>
    <w:rsid w:val="00505FA2"/>
    <w:rsid w:val="0050613D"/>
    <w:rsid w:val="00506163"/>
    <w:rsid w:val="005062E5"/>
    <w:rsid w:val="00506449"/>
    <w:rsid w:val="005065E1"/>
    <w:rsid w:val="0050676C"/>
    <w:rsid w:val="0050693D"/>
    <w:rsid w:val="00506988"/>
    <w:rsid w:val="005069B6"/>
    <w:rsid w:val="00506A2A"/>
    <w:rsid w:val="00506AD3"/>
    <w:rsid w:val="00506B5A"/>
    <w:rsid w:val="00506DF7"/>
    <w:rsid w:val="00506FB1"/>
    <w:rsid w:val="00506FBC"/>
    <w:rsid w:val="00506FD2"/>
    <w:rsid w:val="0050714B"/>
    <w:rsid w:val="005071C7"/>
    <w:rsid w:val="00507367"/>
    <w:rsid w:val="005073B7"/>
    <w:rsid w:val="005075C8"/>
    <w:rsid w:val="00507685"/>
    <w:rsid w:val="005076AE"/>
    <w:rsid w:val="005076C8"/>
    <w:rsid w:val="005076D5"/>
    <w:rsid w:val="005077EF"/>
    <w:rsid w:val="005077F1"/>
    <w:rsid w:val="00507831"/>
    <w:rsid w:val="00507D52"/>
    <w:rsid w:val="00507DDE"/>
    <w:rsid w:val="00507E4E"/>
    <w:rsid w:val="00507E68"/>
    <w:rsid w:val="00507EE2"/>
    <w:rsid w:val="00510009"/>
    <w:rsid w:val="00510190"/>
    <w:rsid w:val="005101AE"/>
    <w:rsid w:val="005101B2"/>
    <w:rsid w:val="0051023D"/>
    <w:rsid w:val="0051024B"/>
    <w:rsid w:val="00510257"/>
    <w:rsid w:val="005102E0"/>
    <w:rsid w:val="0051030F"/>
    <w:rsid w:val="00510390"/>
    <w:rsid w:val="005103E0"/>
    <w:rsid w:val="00510438"/>
    <w:rsid w:val="00510470"/>
    <w:rsid w:val="00510518"/>
    <w:rsid w:val="005105A1"/>
    <w:rsid w:val="00510660"/>
    <w:rsid w:val="00510867"/>
    <w:rsid w:val="0051089A"/>
    <w:rsid w:val="00510A3A"/>
    <w:rsid w:val="00510ADD"/>
    <w:rsid w:val="00510BAB"/>
    <w:rsid w:val="00510C1B"/>
    <w:rsid w:val="00510CBD"/>
    <w:rsid w:val="00510CCB"/>
    <w:rsid w:val="00510CDE"/>
    <w:rsid w:val="00510D32"/>
    <w:rsid w:val="00511025"/>
    <w:rsid w:val="00511088"/>
    <w:rsid w:val="00511296"/>
    <w:rsid w:val="0051136D"/>
    <w:rsid w:val="005113DB"/>
    <w:rsid w:val="00511473"/>
    <w:rsid w:val="00511520"/>
    <w:rsid w:val="005116CC"/>
    <w:rsid w:val="005116DC"/>
    <w:rsid w:val="00511723"/>
    <w:rsid w:val="005118A1"/>
    <w:rsid w:val="0051190A"/>
    <w:rsid w:val="0051193C"/>
    <w:rsid w:val="00511A2A"/>
    <w:rsid w:val="00511A7B"/>
    <w:rsid w:val="00511AE4"/>
    <w:rsid w:val="00511AEF"/>
    <w:rsid w:val="00511B55"/>
    <w:rsid w:val="00511D11"/>
    <w:rsid w:val="00511F19"/>
    <w:rsid w:val="00511F31"/>
    <w:rsid w:val="00511F8C"/>
    <w:rsid w:val="00511F94"/>
    <w:rsid w:val="00511FDE"/>
    <w:rsid w:val="00512097"/>
    <w:rsid w:val="00512135"/>
    <w:rsid w:val="0051226A"/>
    <w:rsid w:val="00512276"/>
    <w:rsid w:val="005122C7"/>
    <w:rsid w:val="005122CF"/>
    <w:rsid w:val="00512437"/>
    <w:rsid w:val="0051248E"/>
    <w:rsid w:val="005124F1"/>
    <w:rsid w:val="0051289C"/>
    <w:rsid w:val="00512936"/>
    <w:rsid w:val="00512973"/>
    <w:rsid w:val="005129F2"/>
    <w:rsid w:val="00512A3A"/>
    <w:rsid w:val="00512B1B"/>
    <w:rsid w:val="00512CBA"/>
    <w:rsid w:val="00512CC2"/>
    <w:rsid w:val="00512CC9"/>
    <w:rsid w:val="00512D09"/>
    <w:rsid w:val="00512E1A"/>
    <w:rsid w:val="00512E60"/>
    <w:rsid w:val="00512E64"/>
    <w:rsid w:val="00512FB4"/>
    <w:rsid w:val="00512FE0"/>
    <w:rsid w:val="00513002"/>
    <w:rsid w:val="0051303F"/>
    <w:rsid w:val="00513049"/>
    <w:rsid w:val="00513056"/>
    <w:rsid w:val="005131DC"/>
    <w:rsid w:val="005135DF"/>
    <w:rsid w:val="00513704"/>
    <w:rsid w:val="0051378C"/>
    <w:rsid w:val="00513966"/>
    <w:rsid w:val="00514098"/>
    <w:rsid w:val="00514186"/>
    <w:rsid w:val="005141A1"/>
    <w:rsid w:val="005142EF"/>
    <w:rsid w:val="005142F8"/>
    <w:rsid w:val="00514309"/>
    <w:rsid w:val="00514360"/>
    <w:rsid w:val="0051444B"/>
    <w:rsid w:val="005145DF"/>
    <w:rsid w:val="00514A76"/>
    <w:rsid w:val="00514BCD"/>
    <w:rsid w:val="00514C9E"/>
    <w:rsid w:val="00514CC9"/>
    <w:rsid w:val="00514CE1"/>
    <w:rsid w:val="00514D0C"/>
    <w:rsid w:val="00514D3E"/>
    <w:rsid w:val="00514DB0"/>
    <w:rsid w:val="00514DDE"/>
    <w:rsid w:val="00514E19"/>
    <w:rsid w:val="00514E26"/>
    <w:rsid w:val="00515074"/>
    <w:rsid w:val="005152EB"/>
    <w:rsid w:val="0051533B"/>
    <w:rsid w:val="0051548D"/>
    <w:rsid w:val="005155A1"/>
    <w:rsid w:val="005156BE"/>
    <w:rsid w:val="00515737"/>
    <w:rsid w:val="0051580D"/>
    <w:rsid w:val="00515888"/>
    <w:rsid w:val="0051590F"/>
    <w:rsid w:val="00515927"/>
    <w:rsid w:val="0051592D"/>
    <w:rsid w:val="00515AC3"/>
    <w:rsid w:val="00515B02"/>
    <w:rsid w:val="00515BEF"/>
    <w:rsid w:val="00515C58"/>
    <w:rsid w:val="00515F50"/>
    <w:rsid w:val="00515F9A"/>
    <w:rsid w:val="00515FE8"/>
    <w:rsid w:val="005162B4"/>
    <w:rsid w:val="005164A1"/>
    <w:rsid w:val="0051660E"/>
    <w:rsid w:val="00516616"/>
    <w:rsid w:val="0051676B"/>
    <w:rsid w:val="005167C1"/>
    <w:rsid w:val="005169AE"/>
    <w:rsid w:val="00516A4A"/>
    <w:rsid w:val="00516AD4"/>
    <w:rsid w:val="00516E36"/>
    <w:rsid w:val="00516FA5"/>
    <w:rsid w:val="00517044"/>
    <w:rsid w:val="00517078"/>
    <w:rsid w:val="005170B0"/>
    <w:rsid w:val="005170D5"/>
    <w:rsid w:val="005173F0"/>
    <w:rsid w:val="005173F5"/>
    <w:rsid w:val="00517424"/>
    <w:rsid w:val="00517676"/>
    <w:rsid w:val="00517719"/>
    <w:rsid w:val="00517826"/>
    <w:rsid w:val="0051787A"/>
    <w:rsid w:val="0051787F"/>
    <w:rsid w:val="00517934"/>
    <w:rsid w:val="00517959"/>
    <w:rsid w:val="005179C6"/>
    <w:rsid w:val="005179D6"/>
    <w:rsid w:val="005179E4"/>
    <w:rsid w:val="00517AFE"/>
    <w:rsid w:val="00517B31"/>
    <w:rsid w:val="00517E58"/>
    <w:rsid w:val="00517FB4"/>
    <w:rsid w:val="00517FF0"/>
    <w:rsid w:val="005200EA"/>
    <w:rsid w:val="005201D0"/>
    <w:rsid w:val="005201FC"/>
    <w:rsid w:val="0052022E"/>
    <w:rsid w:val="00520339"/>
    <w:rsid w:val="00520438"/>
    <w:rsid w:val="005204C6"/>
    <w:rsid w:val="00520522"/>
    <w:rsid w:val="005206F7"/>
    <w:rsid w:val="00520700"/>
    <w:rsid w:val="005207D3"/>
    <w:rsid w:val="005207E2"/>
    <w:rsid w:val="005208FA"/>
    <w:rsid w:val="0052099E"/>
    <w:rsid w:val="00520A2D"/>
    <w:rsid w:val="00520A55"/>
    <w:rsid w:val="00520A60"/>
    <w:rsid w:val="00520B74"/>
    <w:rsid w:val="00520B78"/>
    <w:rsid w:val="00520BA1"/>
    <w:rsid w:val="00520F1B"/>
    <w:rsid w:val="00520F83"/>
    <w:rsid w:val="00521001"/>
    <w:rsid w:val="00521034"/>
    <w:rsid w:val="00521044"/>
    <w:rsid w:val="005210C5"/>
    <w:rsid w:val="00521257"/>
    <w:rsid w:val="0052126E"/>
    <w:rsid w:val="005212E6"/>
    <w:rsid w:val="00521455"/>
    <w:rsid w:val="00521506"/>
    <w:rsid w:val="0052154D"/>
    <w:rsid w:val="005215CD"/>
    <w:rsid w:val="00521978"/>
    <w:rsid w:val="005219FD"/>
    <w:rsid w:val="00521AD0"/>
    <w:rsid w:val="00521C97"/>
    <w:rsid w:val="00521D90"/>
    <w:rsid w:val="00521E91"/>
    <w:rsid w:val="00521EEE"/>
    <w:rsid w:val="00521F19"/>
    <w:rsid w:val="00522066"/>
    <w:rsid w:val="005220C3"/>
    <w:rsid w:val="005221DC"/>
    <w:rsid w:val="005221E3"/>
    <w:rsid w:val="0052223A"/>
    <w:rsid w:val="005223FF"/>
    <w:rsid w:val="00522471"/>
    <w:rsid w:val="005224C1"/>
    <w:rsid w:val="005225C5"/>
    <w:rsid w:val="005227DF"/>
    <w:rsid w:val="00522A38"/>
    <w:rsid w:val="00522C0C"/>
    <w:rsid w:val="00522CBB"/>
    <w:rsid w:val="00522D27"/>
    <w:rsid w:val="00522D58"/>
    <w:rsid w:val="00522E0F"/>
    <w:rsid w:val="00522E87"/>
    <w:rsid w:val="00523000"/>
    <w:rsid w:val="0052311A"/>
    <w:rsid w:val="0052311E"/>
    <w:rsid w:val="00523335"/>
    <w:rsid w:val="00523339"/>
    <w:rsid w:val="00523355"/>
    <w:rsid w:val="005233CB"/>
    <w:rsid w:val="00523480"/>
    <w:rsid w:val="005234C1"/>
    <w:rsid w:val="005234CB"/>
    <w:rsid w:val="005234DC"/>
    <w:rsid w:val="00523775"/>
    <w:rsid w:val="00523943"/>
    <w:rsid w:val="00523976"/>
    <w:rsid w:val="0052399D"/>
    <w:rsid w:val="005239DB"/>
    <w:rsid w:val="005239F1"/>
    <w:rsid w:val="00523B07"/>
    <w:rsid w:val="00523B12"/>
    <w:rsid w:val="00523B1B"/>
    <w:rsid w:val="00523CB8"/>
    <w:rsid w:val="00523E59"/>
    <w:rsid w:val="00523E81"/>
    <w:rsid w:val="00523F02"/>
    <w:rsid w:val="00523FC0"/>
    <w:rsid w:val="005241D3"/>
    <w:rsid w:val="00524300"/>
    <w:rsid w:val="00524307"/>
    <w:rsid w:val="005244CB"/>
    <w:rsid w:val="00524571"/>
    <w:rsid w:val="005245EB"/>
    <w:rsid w:val="005247A0"/>
    <w:rsid w:val="005247CC"/>
    <w:rsid w:val="005247D4"/>
    <w:rsid w:val="0052492A"/>
    <w:rsid w:val="005249B4"/>
    <w:rsid w:val="00524A24"/>
    <w:rsid w:val="00524A8B"/>
    <w:rsid w:val="00524A95"/>
    <w:rsid w:val="00524AB5"/>
    <w:rsid w:val="00524B62"/>
    <w:rsid w:val="00524CBC"/>
    <w:rsid w:val="00524D00"/>
    <w:rsid w:val="00524E83"/>
    <w:rsid w:val="00525133"/>
    <w:rsid w:val="00525164"/>
    <w:rsid w:val="005251D1"/>
    <w:rsid w:val="005251D9"/>
    <w:rsid w:val="005251F9"/>
    <w:rsid w:val="00525283"/>
    <w:rsid w:val="005252F3"/>
    <w:rsid w:val="00525360"/>
    <w:rsid w:val="005253AF"/>
    <w:rsid w:val="005253CF"/>
    <w:rsid w:val="0052552C"/>
    <w:rsid w:val="0052564A"/>
    <w:rsid w:val="005257B5"/>
    <w:rsid w:val="005257E5"/>
    <w:rsid w:val="0052582F"/>
    <w:rsid w:val="0052591B"/>
    <w:rsid w:val="00525A00"/>
    <w:rsid w:val="00525B48"/>
    <w:rsid w:val="00525B54"/>
    <w:rsid w:val="00525BD6"/>
    <w:rsid w:val="00525CE7"/>
    <w:rsid w:val="00525D7D"/>
    <w:rsid w:val="00525F1F"/>
    <w:rsid w:val="00525F85"/>
    <w:rsid w:val="00526057"/>
    <w:rsid w:val="005260AB"/>
    <w:rsid w:val="005260C9"/>
    <w:rsid w:val="00526213"/>
    <w:rsid w:val="0052622D"/>
    <w:rsid w:val="0052632D"/>
    <w:rsid w:val="0052637C"/>
    <w:rsid w:val="00526420"/>
    <w:rsid w:val="005266F3"/>
    <w:rsid w:val="0052672D"/>
    <w:rsid w:val="0052692F"/>
    <w:rsid w:val="005269F6"/>
    <w:rsid w:val="00526B72"/>
    <w:rsid w:val="00526BB4"/>
    <w:rsid w:val="00526D19"/>
    <w:rsid w:val="00526D54"/>
    <w:rsid w:val="00526E9B"/>
    <w:rsid w:val="00526FEB"/>
    <w:rsid w:val="0052704F"/>
    <w:rsid w:val="00527127"/>
    <w:rsid w:val="0052717B"/>
    <w:rsid w:val="005273DB"/>
    <w:rsid w:val="0052742E"/>
    <w:rsid w:val="00527440"/>
    <w:rsid w:val="00527493"/>
    <w:rsid w:val="00527527"/>
    <w:rsid w:val="005275A0"/>
    <w:rsid w:val="00527655"/>
    <w:rsid w:val="0052769B"/>
    <w:rsid w:val="00527900"/>
    <w:rsid w:val="00527C1D"/>
    <w:rsid w:val="00527C26"/>
    <w:rsid w:val="00527D14"/>
    <w:rsid w:val="0053005E"/>
    <w:rsid w:val="005300A9"/>
    <w:rsid w:val="005300AD"/>
    <w:rsid w:val="005300E4"/>
    <w:rsid w:val="00530155"/>
    <w:rsid w:val="0053017D"/>
    <w:rsid w:val="00530209"/>
    <w:rsid w:val="00530252"/>
    <w:rsid w:val="0053033F"/>
    <w:rsid w:val="0053042F"/>
    <w:rsid w:val="005304C5"/>
    <w:rsid w:val="005304CA"/>
    <w:rsid w:val="00530621"/>
    <w:rsid w:val="005308D6"/>
    <w:rsid w:val="00530918"/>
    <w:rsid w:val="0053095F"/>
    <w:rsid w:val="00530B32"/>
    <w:rsid w:val="00530C17"/>
    <w:rsid w:val="00530E6A"/>
    <w:rsid w:val="00530EDD"/>
    <w:rsid w:val="0053105F"/>
    <w:rsid w:val="00531267"/>
    <w:rsid w:val="005312F6"/>
    <w:rsid w:val="0053137D"/>
    <w:rsid w:val="00531461"/>
    <w:rsid w:val="00531502"/>
    <w:rsid w:val="0053158E"/>
    <w:rsid w:val="005315C3"/>
    <w:rsid w:val="0053167C"/>
    <w:rsid w:val="0053169F"/>
    <w:rsid w:val="00531703"/>
    <w:rsid w:val="00531789"/>
    <w:rsid w:val="00531808"/>
    <w:rsid w:val="00531BFD"/>
    <w:rsid w:val="00531C81"/>
    <w:rsid w:val="00531D26"/>
    <w:rsid w:val="00531D52"/>
    <w:rsid w:val="00531E50"/>
    <w:rsid w:val="00531FE0"/>
    <w:rsid w:val="0053207C"/>
    <w:rsid w:val="00532459"/>
    <w:rsid w:val="00532555"/>
    <w:rsid w:val="005325D6"/>
    <w:rsid w:val="0053262B"/>
    <w:rsid w:val="0053270D"/>
    <w:rsid w:val="00532A70"/>
    <w:rsid w:val="00532B5D"/>
    <w:rsid w:val="00532DD3"/>
    <w:rsid w:val="00532F00"/>
    <w:rsid w:val="00532F28"/>
    <w:rsid w:val="00532FD9"/>
    <w:rsid w:val="0053301B"/>
    <w:rsid w:val="00533038"/>
    <w:rsid w:val="00533257"/>
    <w:rsid w:val="0053325B"/>
    <w:rsid w:val="005332E6"/>
    <w:rsid w:val="005333C5"/>
    <w:rsid w:val="0053343C"/>
    <w:rsid w:val="0053346C"/>
    <w:rsid w:val="005334E1"/>
    <w:rsid w:val="005334F0"/>
    <w:rsid w:val="0053354A"/>
    <w:rsid w:val="0053368F"/>
    <w:rsid w:val="005337C7"/>
    <w:rsid w:val="005337CD"/>
    <w:rsid w:val="005337E9"/>
    <w:rsid w:val="005337FA"/>
    <w:rsid w:val="005338B7"/>
    <w:rsid w:val="005338F0"/>
    <w:rsid w:val="00533C46"/>
    <w:rsid w:val="00533C85"/>
    <w:rsid w:val="00533C9F"/>
    <w:rsid w:val="00533FB5"/>
    <w:rsid w:val="00534009"/>
    <w:rsid w:val="0053405D"/>
    <w:rsid w:val="00534262"/>
    <w:rsid w:val="00534564"/>
    <w:rsid w:val="005345FE"/>
    <w:rsid w:val="00534603"/>
    <w:rsid w:val="005346F1"/>
    <w:rsid w:val="0053478B"/>
    <w:rsid w:val="005347A3"/>
    <w:rsid w:val="0053480B"/>
    <w:rsid w:val="00534A5B"/>
    <w:rsid w:val="00534D7A"/>
    <w:rsid w:val="00534F7B"/>
    <w:rsid w:val="005350FB"/>
    <w:rsid w:val="005350FD"/>
    <w:rsid w:val="005352B4"/>
    <w:rsid w:val="005352FC"/>
    <w:rsid w:val="00535324"/>
    <w:rsid w:val="00535387"/>
    <w:rsid w:val="00535407"/>
    <w:rsid w:val="00535491"/>
    <w:rsid w:val="005355AE"/>
    <w:rsid w:val="005355F5"/>
    <w:rsid w:val="005356B4"/>
    <w:rsid w:val="005356E5"/>
    <w:rsid w:val="00535745"/>
    <w:rsid w:val="00535768"/>
    <w:rsid w:val="00535776"/>
    <w:rsid w:val="00535844"/>
    <w:rsid w:val="005358F4"/>
    <w:rsid w:val="00535924"/>
    <w:rsid w:val="00535950"/>
    <w:rsid w:val="0053595D"/>
    <w:rsid w:val="00535A2C"/>
    <w:rsid w:val="00535C5A"/>
    <w:rsid w:val="00535CA6"/>
    <w:rsid w:val="00535CCB"/>
    <w:rsid w:val="00535E23"/>
    <w:rsid w:val="00535E9A"/>
    <w:rsid w:val="00535F11"/>
    <w:rsid w:val="00535FBB"/>
    <w:rsid w:val="005360F4"/>
    <w:rsid w:val="005362DC"/>
    <w:rsid w:val="00536381"/>
    <w:rsid w:val="005363F2"/>
    <w:rsid w:val="0053647F"/>
    <w:rsid w:val="00536630"/>
    <w:rsid w:val="00536722"/>
    <w:rsid w:val="00536758"/>
    <w:rsid w:val="00536779"/>
    <w:rsid w:val="0053677A"/>
    <w:rsid w:val="00536918"/>
    <w:rsid w:val="00536958"/>
    <w:rsid w:val="005369A4"/>
    <w:rsid w:val="005369B4"/>
    <w:rsid w:val="00536B01"/>
    <w:rsid w:val="00536B8E"/>
    <w:rsid w:val="00536BEC"/>
    <w:rsid w:val="00536C93"/>
    <w:rsid w:val="00536CAF"/>
    <w:rsid w:val="00536D07"/>
    <w:rsid w:val="00536D0D"/>
    <w:rsid w:val="00536DB8"/>
    <w:rsid w:val="00536DEB"/>
    <w:rsid w:val="00536F27"/>
    <w:rsid w:val="00536F84"/>
    <w:rsid w:val="00536FA6"/>
    <w:rsid w:val="00537022"/>
    <w:rsid w:val="00537025"/>
    <w:rsid w:val="005371EB"/>
    <w:rsid w:val="00537269"/>
    <w:rsid w:val="005372A4"/>
    <w:rsid w:val="00537502"/>
    <w:rsid w:val="005375D5"/>
    <w:rsid w:val="00537756"/>
    <w:rsid w:val="00537A55"/>
    <w:rsid w:val="00537A84"/>
    <w:rsid w:val="00537A92"/>
    <w:rsid w:val="00537BB6"/>
    <w:rsid w:val="00537D47"/>
    <w:rsid w:val="00537DEF"/>
    <w:rsid w:val="00537EAB"/>
    <w:rsid w:val="005400A4"/>
    <w:rsid w:val="00540116"/>
    <w:rsid w:val="0054012B"/>
    <w:rsid w:val="005401B0"/>
    <w:rsid w:val="005401BD"/>
    <w:rsid w:val="00540224"/>
    <w:rsid w:val="00540342"/>
    <w:rsid w:val="00540366"/>
    <w:rsid w:val="005403B3"/>
    <w:rsid w:val="00540574"/>
    <w:rsid w:val="005405A9"/>
    <w:rsid w:val="00540898"/>
    <w:rsid w:val="005409EE"/>
    <w:rsid w:val="005409F9"/>
    <w:rsid w:val="00540A6B"/>
    <w:rsid w:val="00540B2E"/>
    <w:rsid w:val="00540DCD"/>
    <w:rsid w:val="00540DEC"/>
    <w:rsid w:val="00540F27"/>
    <w:rsid w:val="005410B9"/>
    <w:rsid w:val="00541121"/>
    <w:rsid w:val="0054115E"/>
    <w:rsid w:val="00541164"/>
    <w:rsid w:val="00541274"/>
    <w:rsid w:val="0054128E"/>
    <w:rsid w:val="005412A0"/>
    <w:rsid w:val="005412F8"/>
    <w:rsid w:val="0054139A"/>
    <w:rsid w:val="0054147C"/>
    <w:rsid w:val="005414A8"/>
    <w:rsid w:val="005414B5"/>
    <w:rsid w:val="005416B8"/>
    <w:rsid w:val="005417F2"/>
    <w:rsid w:val="0054198C"/>
    <w:rsid w:val="00541B33"/>
    <w:rsid w:val="00541B85"/>
    <w:rsid w:val="00541BDB"/>
    <w:rsid w:val="00541E0B"/>
    <w:rsid w:val="00541EE3"/>
    <w:rsid w:val="00541F79"/>
    <w:rsid w:val="00541F87"/>
    <w:rsid w:val="0054209C"/>
    <w:rsid w:val="005420E0"/>
    <w:rsid w:val="00542188"/>
    <w:rsid w:val="005421D6"/>
    <w:rsid w:val="005423A2"/>
    <w:rsid w:val="0054255F"/>
    <w:rsid w:val="00542693"/>
    <w:rsid w:val="00542694"/>
    <w:rsid w:val="005426FE"/>
    <w:rsid w:val="005427D8"/>
    <w:rsid w:val="005428C6"/>
    <w:rsid w:val="00542C4D"/>
    <w:rsid w:val="00542EED"/>
    <w:rsid w:val="00542F7E"/>
    <w:rsid w:val="00542FBC"/>
    <w:rsid w:val="00543008"/>
    <w:rsid w:val="005431B2"/>
    <w:rsid w:val="005432A9"/>
    <w:rsid w:val="00543323"/>
    <w:rsid w:val="00543329"/>
    <w:rsid w:val="0054332F"/>
    <w:rsid w:val="0054333C"/>
    <w:rsid w:val="0054337E"/>
    <w:rsid w:val="0054338F"/>
    <w:rsid w:val="005433C0"/>
    <w:rsid w:val="00543410"/>
    <w:rsid w:val="00543494"/>
    <w:rsid w:val="0054370E"/>
    <w:rsid w:val="00543737"/>
    <w:rsid w:val="00543783"/>
    <w:rsid w:val="00543834"/>
    <w:rsid w:val="0054383F"/>
    <w:rsid w:val="0054389D"/>
    <w:rsid w:val="005438C0"/>
    <w:rsid w:val="00543A7F"/>
    <w:rsid w:val="00543B33"/>
    <w:rsid w:val="00543BC6"/>
    <w:rsid w:val="00543C6F"/>
    <w:rsid w:val="00543D43"/>
    <w:rsid w:val="00543D4A"/>
    <w:rsid w:val="00543E35"/>
    <w:rsid w:val="00543EEC"/>
    <w:rsid w:val="00543F00"/>
    <w:rsid w:val="00543FD7"/>
    <w:rsid w:val="005440A5"/>
    <w:rsid w:val="005442D3"/>
    <w:rsid w:val="005442EF"/>
    <w:rsid w:val="00544433"/>
    <w:rsid w:val="00544455"/>
    <w:rsid w:val="005445E2"/>
    <w:rsid w:val="0054469F"/>
    <w:rsid w:val="005446E2"/>
    <w:rsid w:val="0054472C"/>
    <w:rsid w:val="00544755"/>
    <w:rsid w:val="005447E2"/>
    <w:rsid w:val="005447F8"/>
    <w:rsid w:val="00544832"/>
    <w:rsid w:val="0054483B"/>
    <w:rsid w:val="005449A6"/>
    <w:rsid w:val="005449D3"/>
    <w:rsid w:val="00544A7E"/>
    <w:rsid w:val="00544D7D"/>
    <w:rsid w:val="00544F73"/>
    <w:rsid w:val="00545061"/>
    <w:rsid w:val="005450A8"/>
    <w:rsid w:val="005453F9"/>
    <w:rsid w:val="00545429"/>
    <w:rsid w:val="0054549E"/>
    <w:rsid w:val="005454E6"/>
    <w:rsid w:val="00545555"/>
    <w:rsid w:val="005455F5"/>
    <w:rsid w:val="00545615"/>
    <w:rsid w:val="00545662"/>
    <w:rsid w:val="005457C6"/>
    <w:rsid w:val="00545855"/>
    <w:rsid w:val="005458BC"/>
    <w:rsid w:val="005458F4"/>
    <w:rsid w:val="0054590C"/>
    <w:rsid w:val="00545945"/>
    <w:rsid w:val="00545A0B"/>
    <w:rsid w:val="00545B5D"/>
    <w:rsid w:val="00545B7C"/>
    <w:rsid w:val="00545C08"/>
    <w:rsid w:val="00545DD1"/>
    <w:rsid w:val="00545DE5"/>
    <w:rsid w:val="00545E14"/>
    <w:rsid w:val="00545E17"/>
    <w:rsid w:val="00545F38"/>
    <w:rsid w:val="00545F83"/>
    <w:rsid w:val="00545F8C"/>
    <w:rsid w:val="00545FAC"/>
    <w:rsid w:val="00546100"/>
    <w:rsid w:val="0054612A"/>
    <w:rsid w:val="00546490"/>
    <w:rsid w:val="005464FC"/>
    <w:rsid w:val="0054651E"/>
    <w:rsid w:val="00546679"/>
    <w:rsid w:val="005468B7"/>
    <w:rsid w:val="00546A3B"/>
    <w:rsid w:val="00546A60"/>
    <w:rsid w:val="00546AA6"/>
    <w:rsid w:val="00546B21"/>
    <w:rsid w:val="00546B3C"/>
    <w:rsid w:val="00546D56"/>
    <w:rsid w:val="00546DA2"/>
    <w:rsid w:val="00546E8E"/>
    <w:rsid w:val="00546FBC"/>
    <w:rsid w:val="00546FD9"/>
    <w:rsid w:val="00547026"/>
    <w:rsid w:val="005470FB"/>
    <w:rsid w:val="0054715D"/>
    <w:rsid w:val="005471FD"/>
    <w:rsid w:val="00547260"/>
    <w:rsid w:val="005473EF"/>
    <w:rsid w:val="005475E1"/>
    <w:rsid w:val="005475FD"/>
    <w:rsid w:val="0054762D"/>
    <w:rsid w:val="005477E6"/>
    <w:rsid w:val="0054788D"/>
    <w:rsid w:val="00547893"/>
    <w:rsid w:val="005478C3"/>
    <w:rsid w:val="00547907"/>
    <w:rsid w:val="00547A1A"/>
    <w:rsid w:val="00547A62"/>
    <w:rsid w:val="00547B7E"/>
    <w:rsid w:val="00547BBD"/>
    <w:rsid w:val="00547C13"/>
    <w:rsid w:val="00547DE7"/>
    <w:rsid w:val="00547FE4"/>
    <w:rsid w:val="005500C6"/>
    <w:rsid w:val="005500E6"/>
    <w:rsid w:val="0055010A"/>
    <w:rsid w:val="005501B5"/>
    <w:rsid w:val="00550227"/>
    <w:rsid w:val="005502C9"/>
    <w:rsid w:val="005502FF"/>
    <w:rsid w:val="005504B5"/>
    <w:rsid w:val="005505AE"/>
    <w:rsid w:val="005505BB"/>
    <w:rsid w:val="00550622"/>
    <w:rsid w:val="005506B0"/>
    <w:rsid w:val="005506B8"/>
    <w:rsid w:val="00550811"/>
    <w:rsid w:val="00550880"/>
    <w:rsid w:val="005508A9"/>
    <w:rsid w:val="005509D9"/>
    <w:rsid w:val="005509F6"/>
    <w:rsid w:val="00550B18"/>
    <w:rsid w:val="00550BA9"/>
    <w:rsid w:val="00550C64"/>
    <w:rsid w:val="00550C72"/>
    <w:rsid w:val="00550C8A"/>
    <w:rsid w:val="00550E89"/>
    <w:rsid w:val="00550F5F"/>
    <w:rsid w:val="005511C9"/>
    <w:rsid w:val="005513E0"/>
    <w:rsid w:val="00551457"/>
    <w:rsid w:val="0055150B"/>
    <w:rsid w:val="00551583"/>
    <w:rsid w:val="0055161F"/>
    <w:rsid w:val="00551620"/>
    <w:rsid w:val="005516A9"/>
    <w:rsid w:val="00551808"/>
    <w:rsid w:val="005518FE"/>
    <w:rsid w:val="0055193F"/>
    <w:rsid w:val="00551998"/>
    <w:rsid w:val="00551B86"/>
    <w:rsid w:val="00551D2C"/>
    <w:rsid w:val="00551D95"/>
    <w:rsid w:val="00551DFB"/>
    <w:rsid w:val="00551EA7"/>
    <w:rsid w:val="00551ECC"/>
    <w:rsid w:val="0055205D"/>
    <w:rsid w:val="005520C5"/>
    <w:rsid w:val="005521DB"/>
    <w:rsid w:val="00552227"/>
    <w:rsid w:val="00552238"/>
    <w:rsid w:val="00552296"/>
    <w:rsid w:val="005522EE"/>
    <w:rsid w:val="0055231B"/>
    <w:rsid w:val="00552461"/>
    <w:rsid w:val="00552565"/>
    <w:rsid w:val="00552602"/>
    <w:rsid w:val="00552648"/>
    <w:rsid w:val="0055271B"/>
    <w:rsid w:val="0055279B"/>
    <w:rsid w:val="005527F6"/>
    <w:rsid w:val="005528E0"/>
    <w:rsid w:val="005529B3"/>
    <w:rsid w:val="005529C6"/>
    <w:rsid w:val="00552A33"/>
    <w:rsid w:val="00552A6A"/>
    <w:rsid w:val="00552A6D"/>
    <w:rsid w:val="00552A7F"/>
    <w:rsid w:val="00552BE0"/>
    <w:rsid w:val="00552BE8"/>
    <w:rsid w:val="00552C23"/>
    <w:rsid w:val="00552C3F"/>
    <w:rsid w:val="00552CF4"/>
    <w:rsid w:val="00552D90"/>
    <w:rsid w:val="00552DEA"/>
    <w:rsid w:val="00552E11"/>
    <w:rsid w:val="00552EA5"/>
    <w:rsid w:val="00552F76"/>
    <w:rsid w:val="0055319E"/>
    <w:rsid w:val="00553314"/>
    <w:rsid w:val="005533DF"/>
    <w:rsid w:val="00553440"/>
    <w:rsid w:val="005534DB"/>
    <w:rsid w:val="00553543"/>
    <w:rsid w:val="00553666"/>
    <w:rsid w:val="00553684"/>
    <w:rsid w:val="00553790"/>
    <w:rsid w:val="00553A18"/>
    <w:rsid w:val="00553AA2"/>
    <w:rsid w:val="00553B20"/>
    <w:rsid w:val="00553B52"/>
    <w:rsid w:val="00553B85"/>
    <w:rsid w:val="00553CD0"/>
    <w:rsid w:val="00553D06"/>
    <w:rsid w:val="00553D1C"/>
    <w:rsid w:val="00553DCA"/>
    <w:rsid w:val="0055408B"/>
    <w:rsid w:val="0055409F"/>
    <w:rsid w:val="0055426A"/>
    <w:rsid w:val="00554343"/>
    <w:rsid w:val="0055443A"/>
    <w:rsid w:val="00554461"/>
    <w:rsid w:val="005544E6"/>
    <w:rsid w:val="00554538"/>
    <w:rsid w:val="005545B6"/>
    <w:rsid w:val="005546B6"/>
    <w:rsid w:val="0055480E"/>
    <w:rsid w:val="00554907"/>
    <w:rsid w:val="00554909"/>
    <w:rsid w:val="00554A7E"/>
    <w:rsid w:val="00554B92"/>
    <w:rsid w:val="00554C78"/>
    <w:rsid w:val="00554E5B"/>
    <w:rsid w:val="00554F80"/>
    <w:rsid w:val="0055504E"/>
    <w:rsid w:val="005550DD"/>
    <w:rsid w:val="00555295"/>
    <w:rsid w:val="0055529F"/>
    <w:rsid w:val="005553AE"/>
    <w:rsid w:val="00555401"/>
    <w:rsid w:val="005554E8"/>
    <w:rsid w:val="0055550B"/>
    <w:rsid w:val="00555731"/>
    <w:rsid w:val="0055583D"/>
    <w:rsid w:val="0055586C"/>
    <w:rsid w:val="0055595B"/>
    <w:rsid w:val="00555A90"/>
    <w:rsid w:val="00555B5E"/>
    <w:rsid w:val="00555CB1"/>
    <w:rsid w:val="00555E7A"/>
    <w:rsid w:val="00556014"/>
    <w:rsid w:val="0055615A"/>
    <w:rsid w:val="00556164"/>
    <w:rsid w:val="005563D4"/>
    <w:rsid w:val="0055642A"/>
    <w:rsid w:val="0055654F"/>
    <w:rsid w:val="005566A6"/>
    <w:rsid w:val="005566BF"/>
    <w:rsid w:val="00556725"/>
    <w:rsid w:val="00556738"/>
    <w:rsid w:val="00556A8A"/>
    <w:rsid w:val="00556A92"/>
    <w:rsid w:val="00556AA4"/>
    <w:rsid w:val="00556B4E"/>
    <w:rsid w:val="00556D50"/>
    <w:rsid w:val="00556FA5"/>
    <w:rsid w:val="00557062"/>
    <w:rsid w:val="0055719E"/>
    <w:rsid w:val="005571A0"/>
    <w:rsid w:val="0055726E"/>
    <w:rsid w:val="005573D4"/>
    <w:rsid w:val="005574AA"/>
    <w:rsid w:val="005574DB"/>
    <w:rsid w:val="005575E2"/>
    <w:rsid w:val="00557614"/>
    <w:rsid w:val="00557678"/>
    <w:rsid w:val="00557681"/>
    <w:rsid w:val="00557698"/>
    <w:rsid w:val="0055772F"/>
    <w:rsid w:val="0055784C"/>
    <w:rsid w:val="0055785D"/>
    <w:rsid w:val="00557970"/>
    <w:rsid w:val="00557CD1"/>
    <w:rsid w:val="00557D15"/>
    <w:rsid w:val="00557D65"/>
    <w:rsid w:val="00557E80"/>
    <w:rsid w:val="00557E93"/>
    <w:rsid w:val="00557F02"/>
    <w:rsid w:val="00560043"/>
    <w:rsid w:val="00560176"/>
    <w:rsid w:val="005601DB"/>
    <w:rsid w:val="0056026D"/>
    <w:rsid w:val="005603A8"/>
    <w:rsid w:val="005605F3"/>
    <w:rsid w:val="005606C5"/>
    <w:rsid w:val="005607DA"/>
    <w:rsid w:val="00560A1A"/>
    <w:rsid w:val="00560A47"/>
    <w:rsid w:val="00560A8B"/>
    <w:rsid w:val="00560C03"/>
    <w:rsid w:val="00560C58"/>
    <w:rsid w:val="00560C63"/>
    <w:rsid w:val="00560D94"/>
    <w:rsid w:val="00560DEA"/>
    <w:rsid w:val="00560EEA"/>
    <w:rsid w:val="00560F08"/>
    <w:rsid w:val="00560FEE"/>
    <w:rsid w:val="00561051"/>
    <w:rsid w:val="005610FE"/>
    <w:rsid w:val="005611DC"/>
    <w:rsid w:val="00561279"/>
    <w:rsid w:val="0056145F"/>
    <w:rsid w:val="00561483"/>
    <w:rsid w:val="005615FB"/>
    <w:rsid w:val="005616D7"/>
    <w:rsid w:val="005617D9"/>
    <w:rsid w:val="005617E9"/>
    <w:rsid w:val="005618BB"/>
    <w:rsid w:val="005618FB"/>
    <w:rsid w:val="00561A93"/>
    <w:rsid w:val="00561BBB"/>
    <w:rsid w:val="00561D37"/>
    <w:rsid w:val="00561FAA"/>
    <w:rsid w:val="0056209A"/>
    <w:rsid w:val="00562222"/>
    <w:rsid w:val="0056223D"/>
    <w:rsid w:val="00562274"/>
    <w:rsid w:val="00562276"/>
    <w:rsid w:val="00562470"/>
    <w:rsid w:val="005624AC"/>
    <w:rsid w:val="0056251B"/>
    <w:rsid w:val="00562533"/>
    <w:rsid w:val="00562754"/>
    <w:rsid w:val="00562758"/>
    <w:rsid w:val="005627CB"/>
    <w:rsid w:val="005627E3"/>
    <w:rsid w:val="00562814"/>
    <w:rsid w:val="0056281C"/>
    <w:rsid w:val="00562FA6"/>
    <w:rsid w:val="005630F1"/>
    <w:rsid w:val="005632BD"/>
    <w:rsid w:val="005633F5"/>
    <w:rsid w:val="005634A8"/>
    <w:rsid w:val="00563694"/>
    <w:rsid w:val="00563A56"/>
    <w:rsid w:val="00563CE7"/>
    <w:rsid w:val="00563DB8"/>
    <w:rsid w:val="0056417E"/>
    <w:rsid w:val="005642A9"/>
    <w:rsid w:val="0056452A"/>
    <w:rsid w:val="0056474A"/>
    <w:rsid w:val="0056490F"/>
    <w:rsid w:val="005649E8"/>
    <w:rsid w:val="00564AA8"/>
    <w:rsid w:val="00564D37"/>
    <w:rsid w:val="00564DD0"/>
    <w:rsid w:val="00564E91"/>
    <w:rsid w:val="00565034"/>
    <w:rsid w:val="0056508E"/>
    <w:rsid w:val="0056533D"/>
    <w:rsid w:val="00565340"/>
    <w:rsid w:val="005653CC"/>
    <w:rsid w:val="005655A6"/>
    <w:rsid w:val="00565685"/>
    <w:rsid w:val="005656BA"/>
    <w:rsid w:val="005657D2"/>
    <w:rsid w:val="00565805"/>
    <w:rsid w:val="0056583C"/>
    <w:rsid w:val="005658FE"/>
    <w:rsid w:val="00565A28"/>
    <w:rsid w:val="00565A4F"/>
    <w:rsid w:val="00565EA3"/>
    <w:rsid w:val="00565EEF"/>
    <w:rsid w:val="00565F44"/>
    <w:rsid w:val="00565FC3"/>
    <w:rsid w:val="005660B6"/>
    <w:rsid w:val="0056617A"/>
    <w:rsid w:val="00566214"/>
    <w:rsid w:val="0056623A"/>
    <w:rsid w:val="0056632E"/>
    <w:rsid w:val="0056638F"/>
    <w:rsid w:val="0056644D"/>
    <w:rsid w:val="0056648A"/>
    <w:rsid w:val="0056666A"/>
    <w:rsid w:val="0056669D"/>
    <w:rsid w:val="0056676E"/>
    <w:rsid w:val="00566824"/>
    <w:rsid w:val="005668AD"/>
    <w:rsid w:val="005668E6"/>
    <w:rsid w:val="0056691F"/>
    <w:rsid w:val="00566B88"/>
    <w:rsid w:val="00566BB0"/>
    <w:rsid w:val="00566CF0"/>
    <w:rsid w:val="00566D48"/>
    <w:rsid w:val="00566E0D"/>
    <w:rsid w:val="005670AB"/>
    <w:rsid w:val="005670BC"/>
    <w:rsid w:val="00567125"/>
    <w:rsid w:val="005671CB"/>
    <w:rsid w:val="00567202"/>
    <w:rsid w:val="0056721B"/>
    <w:rsid w:val="0056723C"/>
    <w:rsid w:val="005674E2"/>
    <w:rsid w:val="00567697"/>
    <w:rsid w:val="005676BF"/>
    <w:rsid w:val="0056799D"/>
    <w:rsid w:val="00567C49"/>
    <w:rsid w:val="00567CE6"/>
    <w:rsid w:val="00567EF2"/>
    <w:rsid w:val="00570004"/>
    <w:rsid w:val="00570092"/>
    <w:rsid w:val="00570294"/>
    <w:rsid w:val="005702C8"/>
    <w:rsid w:val="00570488"/>
    <w:rsid w:val="005704B5"/>
    <w:rsid w:val="00570658"/>
    <w:rsid w:val="00570698"/>
    <w:rsid w:val="005706D3"/>
    <w:rsid w:val="0057083E"/>
    <w:rsid w:val="0057084E"/>
    <w:rsid w:val="0057086A"/>
    <w:rsid w:val="00570A0A"/>
    <w:rsid w:val="00570AAF"/>
    <w:rsid w:val="00570D2F"/>
    <w:rsid w:val="00570D83"/>
    <w:rsid w:val="00570EC1"/>
    <w:rsid w:val="00570F87"/>
    <w:rsid w:val="005710B5"/>
    <w:rsid w:val="00571137"/>
    <w:rsid w:val="00571188"/>
    <w:rsid w:val="005711AF"/>
    <w:rsid w:val="005712BE"/>
    <w:rsid w:val="005713E1"/>
    <w:rsid w:val="00571436"/>
    <w:rsid w:val="005714BE"/>
    <w:rsid w:val="0057162A"/>
    <w:rsid w:val="00571696"/>
    <w:rsid w:val="00571698"/>
    <w:rsid w:val="00571A69"/>
    <w:rsid w:val="00571ADD"/>
    <w:rsid w:val="00571C2B"/>
    <w:rsid w:val="00571C69"/>
    <w:rsid w:val="00571D1F"/>
    <w:rsid w:val="00571FC8"/>
    <w:rsid w:val="00571FD0"/>
    <w:rsid w:val="00572076"/>
    <w:rsid w:val="0057219B"/>
    <w:rsid w:val="005721EF"/>
    <w:rsid w:val="00572207"/>
    <w:rsid w:val="00572268"/>
    <w:rsid w:val="0057228C"/>
    <w:rsid w:val="005722E2"/>
    <w:rsid w:val="005723B6"/>
    <w:rsid w:val="005724AD"/>
    <w:rsid w:val="0057252C"/>
    <w:rsid w:val="0057256F"/>
    <w:rsid w:val="0057267A"/>
    <w:rsid w:val="0057271D"/>
    <w:rsid w:val="00572B2B"/>
    <w:rsid w:val="00572B70"/>
    <w:rsid w:val="00572D02"/>
    <w:rsid w:val="00572E92"/>
    <w:rsid w:val="00572F1C"/>
    <w:rsid w:val="00572F73"/>
    <w:rsid w:val="00572FC9"/>
    <w:rsid w:val="005731FB"/>
    <w:rsid w:val="005733D5"/>
    <w:rsid w:val="00573413"/>
    <w:rsid w:val="0057351F"/>
    <w:rsid w:val="005735B0"/>
    <w:rsid w:val="005735BD"/>
    <w:rsid w:val="005735C4"/>
    <w:rsid w:val="005735D3"/>
    <w:rsid w:val="00573746"/>
    <w:rsid w:val="00573929"/>
    <w:rsid w:val="00573977"/>
    <w:rsid w:val="005739F1"/>
    <w:rsid w:val="00573A3E"/>
    <w:rsid w:val="00573D63"/>
    <w:rsid w:val="00573ED6"/>
    <w:rsid w:val="00573F37"/>
    <w:rsid w:val="00573FEA"/>
    <w:rsid w:val="00574001"/>
    <w:rsid w:val="00574090"/>
    <w:rsid w:val="005740C3"/>
    <w:rsid w:val="0057423C"/>
    <w:rsid w:val="005742CD"/>
    <w:rsid w:val="005743E7"/>
    <w:rsid w:val="0057443F"/>
    <w:rsid w:val="00574683"/>
    <w:rsid w:val="0057472D"/>
    <w:rsid w:val="005748A6"/>
    <w:rsid w:val="0057498D"/>
    <w:rsid w:val="005749BF"/>
    <w:rsid w:val="005749C1"/>
    <w:rsid w:val="00574A18"/>
    <w:rsid w:val="00574A56"/>
    <w:rsid w:val="00574C17"/>
    <w:rsid w:val="00574C53"/>
    <w:rsid w:val="00574D30"/>
    <w:rsid w:val="00574FFE"/>
    <w:rsid w:val="00575115"/>
    <w:rsid w:val="00575147"/>
    <w:rsid w:val="0057517B"/>
    <w:rsid w:val="005751DB"/>
    <w:rsid w:val="00575216"/>
    <w:rsid w:val="00575244"/>
    <w:rsid w:val="0057542A"/>
    <w:rsid w:val="005754BD"/>
    <w:rsid w:val="0057577A"/>
    <w:rsid w:val="005757A5"/>
    <w:rsid w:val="005757DE"/>
    <w:rsid w:val="005757F7"/>
    <w:rsid w:val="00575905"/>
    <w:rsid w:val="00575B4D"/>
    <w:rsid w:val="00575BAE"/>
    <w:rsid w:val="00575C94"/>
    <w:rsid w:val="00575D76"/>
    <w:rsid w:val="00575EAD"/>
    <w:rsid w:val="00575F95"/>
    <w:rsid w:val="00576003"/>
    <w:rsid w:val="005760C6"/>
    <w:rsid w:val="005761DF"/>
    <w:rsid w:val="00576283"/>
    <w:rsid w:val="0057629C"/>
    <w:rsid w:val="005762E7"/>
    <w:rsid w:val="00576365"/>
    <w:rsid w:val="005765E8"/>
    <w:rsid w:val="005766AB"/>
    <w:rsid w:val="0057678D"/>
    <w:rsid w:val="00576964"/>
    <w:rsid w:val="00576966"/>
    <w:rsid w:val="00576A1A"/>
    <w:rsid w:val="00576A23"/>
    <w:rsid w:val="00576CC1"/>
    <w:rsid w:val="00576DB2"/>
    <w:rsid w:val="00576DFB"/>
    <w:rsid w:val="00576E42"/>
    <w:rsid w:val="00576F19"/>
    <w:rsid w:val="005771D0"/>
    <w:rsid w:val="005771D2"/>
    <w:rsid w:val="005772E5"/>
    <w:rsid w:val="0057734A"/>
    <w:rsid w:val="005773BD"/>
    <w:rsid w:val="00577473"/>
    <w:rsid w:val="0057749E"/>
    <w:rsid w:val="00577671"/>
    <w:rsid w:val="0057768F"/>
    <w:rsid w:val="0057770F"/>
    <w:rsid w:val="00577781"/>
    <w:rsid w:val="005778DD"/>
    <w:rsid w:val="0057794D"/>
    <w:rsid w:val="00577A3A"/>
    <w:rsid w:val="00577A45"/>
    <w:rsid w:val="00577C44"/>
    <w:rsid w:val="00577C67"/>
    <w:rsid w:val="00577C77"/>
    <w:rsid w:val="00577DCA"/>
    <w:rsid w:val="00577E3B"/>
    <w:rsid w:val="00577F3D"/>
    <w:rsid w:val="00577FB2"/>
    <w:rsid w:val="00577FBA"/>
    <w:rsid w:val="00580069"/>
    <w:rsid w:val="005800A7"/>
    <w:rsid w:val="00580114"/>
    <w:rsid w:val="00580165"/>
    <w:rsid w:val="00580214"/>
    <w:rsid w:val="0058026D"/>
    <w:rsid w:val="00580281"/>
    <w:rsid w:val="00580364"/>
    <w:rsid w:val="00580368"/>
    <w:rsid w:val="005803C4"/>
    <w:rsid w:val="00580458"/>
    <w:rsid w:val="00580566"/>
    <w:rsid w:val="00580616"/>
    <w:rsid w:val="005806CB"/>
    <w:rsid w:val="005807D7"/>
    <w:rsid w:val="00580865"/>
    <w:rsid w:val="0058091C"/>
    <w:rsid w:val="005809B6"/>
    <w:rsid w:val="005809D0"/>
    <w:rsid w:val="00580A82"/>
    <w:rsid w:val="00580AD3"/>
    <w:rsid w:val="00580B50"/>
    <w:rsid w:val="00580B6D"/>
    <w:rsid w:val="00580BAB"/>
    <w:rsid w:val="00580BEB"/>
    <w:rsid w:val="00580D21"/>
    <w:rsid w:val="00580D3A"/>
    <w:rsid w:val="00580FD7"/>
    <w:rsid w:val="00581123"/>
    <w:rsid w:val="00581175"/>
    <w:rsid w:val="005813C1"/>
    <w:rsid w:val="005814E2"/>
    <w:rsid w:val="00581676"/>
    <w:rsid w:val="0058180F"/>
    <w:rsid w:val="0058195A"/>
    <w:rsid w:val="00581A86"/>
    <w:rsid w:val="00581AAE"/>
    <w:rsid w:val="00581AC2"/>
    <w:rsid w:val="00581B0F"/>
    <w:rsid w:val="00581BCD"/>
    <w:rsid w:val="00581D37"/>
    <w:rsid w:val="00581D3A"/>
    <w:rsid w:val="00581D5E"/>
    <w:rsid w:val="00581E17"/>
    <w:rsid w:val="00581E98"/>
    <w:rsid w:val="00582022"/>
    <w:rsid w:val="00582029"/>
    <w:rsid w:val="0058224E"/>
    <w:rsid w:val="00582299"/>
    <w:rsid w:val="005822C7"/>
    <w:rsid w:val="00582398"/>
    <w:rsid w:val="005824F4"/>
    <w:rsid w:val="0058252D"/>
    <w:rsid w:val="00582608"/>
    <w:rsid w:val="0058277E"/>
    <w:rsid w:val="005829A9"/>
    <w:rsid w:val="00582A3F"/>
    <w:rsid w:val="00582A52"/>
    <w:rsid w:val="00582AB7"/>
    <w:rsid w:val="00582BE4"/>
    <w:rsid w:val="00582C3B"/>
    <w:rsid w:val="00582C90"/>
    <w:rsid w:val="00582DA8"/>
    <w:rsid w:val="00582E3D"/>
    <w:rsid w:val="00582EA0"/>
    <w:rsid w:val="0058315F"/>
    <w:rsid w:val="00583220"/>
    <w:rsid w:val="005832EB"/>
    <w:rsid w:val="00583462"/>
    <w:rsid w:val="0058367C"/>
    <w:rsid w:val="00583819"/>
    <w:rsid w:val="005838E2"/>
    <w:rsid w:val="005839E9"/>
    <w:rsid w:val="00583A72"/>
    <w:rsid w:val="00583A78"/>
    <w:rsid w:val="00583C3A"/>
    <w:rsid w:val="00583D39"/>
    <w:rsid w:val="00583D91"/>
    <w:rsid w:val="00583F60"/>
    <w:rsid w:val="005840BD"/>
    <w:rsid w:val="005840EF"/>
    <w:rsid w:val="00584264"/>
    <w:rsid w:val="005842FC"/>
    <w:rsid w:val="0058436C"/>
    <w:rsid w:val="00584403"/>
    <w:rsid w:val="00584459"/>
    <w:rsid w:val="005844C4"/>
    <w:rsid w:val="00584538"/>
    <w:rsid w:val="00584557"/>
    <w:rsid w:val="005846F5"/>
    <w:rsid w:val="00584747"/>
    <w:rsid w:val="005847E8"/>
    <w:rsid w:val="0058488B"/>
    <w:rsid w:val="00584917"/>
    <w:rsid w:val="00584976"/>
    <w:rsid w:val="00584A79"/>
    <w:rsid w:val="00584B6C"/>
    <w:rsid w:val="00584C3D"/>
    <w:rsid w:val="00584EAE"/>
    <w:rsid w:val="00584FED"/>
    <w:rsid w:val="0058504A"/>
    <w:rsid w:val="00585094"/>
    <w:rsid w:val="00585198"/>
    <w:rsid w:val="005851D5"/>
    <w:rsid w:val="005851D8"/>
    <w:rsid w:val="0058529D"/>
    <w:rsid w:val="00585506"/>
    <w:rsid w:val="0058557E"/>
    <w:rsid w:val="005856CC"/>
    <w:rsid w:val="005857D9"/>
    <w:rsid w:val="005857E0"/>
    <w:rsid w:val="005858CC"/>
    <w:rsid w:val="005858E9"/>
    <w:rsid w:val="00585A29"/>
    <w:rsid w:val="00585B3A"/>
    <w:rsid w:val="00586189"/>
    <w:rsid w:val="00586256"/>
    <w:rsid w:val="0058629C"/>
    <w:rsid w:val="00586508"/>
    <w:rsid w:val="0058657A"/>
    <w:rsid w:val="005866DC"/>
    <w:rsid w:val="005866FC"/>
    <w:rsid w:val="00586762"/>
    <w:rsid w:val="00586832"/>
    <w:rsid w:val="00586842"/>
    <w:rsid w:val="00586A2B"/>
    <w:rsid w:val="00586D16"/>
    <w:rsid w:val="00586D6C"/>
    <w:rsid w:val="00586DF2"/>
    <w:rsid w:val="00586E22"/>
    <w:rsid w:val="00586EB5"/>
    <w:rsid w:val="00586F0D"/>
    <w:rsid w:val="00586FE4"/>
    <w:rsid w:val="0058705C"/>
    <w:rsid w:val="00587136"/>
    <w:rsid w:val="005873BE"/>
    <w:rsid w:val="0058757E"/>
    <w:rsid w:val="00587655"/>
    <w:rsid w:val="0058781E"/>
    <w:rsid w:val="005878FD"/>
    <w:rsid w:val="00587A07"/>
    <w:rsid w:val="00587A5A"/>
    <w:rsid w:val="00587D26"/>
    <w:rsid w:val="00587D3E"/>
    <w:rsid w:val="00587D73"/>
    <w:rsid w:val="00587E84"/>
    <w:rsid w:val="00590081"/>
    <w:rsid w:val="0059011C"/>
    <w:rsid w:val="005901E1"/>
    <w:rsid w:val="005901ED"/>
    <w:rsid w:val="00590221"/>
    <w:rsid w:val="00590304"/>
    <w:rsid w:val="0059032F"/>
    <w:rsid w:val="0059033F"/>
    <w:rsid w:val="00590380"/>
    <w:rsid w:val="005903E8"/>
    <w:rsid w:val="0059058F"/>
    <w:rsid w:val="0059069E"/>
    <w:rsid w:val="005906FA"/>
    <w:rsid w:val="005908F5"/>
    <w:rsid w:val="005909B5"/>
    <w:rsid w:val="00590B0E"/>
    <w:rsid w:val="00590B54"/>
    <w:rsid w:val="00590C71"/>
    <w:rsid w:val="00590CFF"/>
    <w:rsid w:val="00590D16"/>
    <w:rsid w:val="00590D1B"/>
    <w:rsid w:val="00590E6F"/>
    <w:rsid w:val="005912C8"/>
    <w:rsid w:val="00591302"/>
    <w:rsid w:val="00591318"/>
    <w:rsid w:val="00591355"/>
    <w:rsid w:val="005914CA"/>
    <w:rsid w:val="0059183B"/>
    <w:rsid w:val="00591960"/>
    <w:rsid w:val="00591A40"/>
    <w:rsid w:val="00591A8C"/>
    <w:rsid w:val="00591C2C"/>
    <w:rsid w:val="00591C71"/>
    <w:rsid w:val="00591CC9"/>
    <w:rsid w:val="00592032"/>
    <w:rsid w:val="005922C3"/>
    <w:rsid w:val="005925B7"/>
    <w:rsid w:val="0059262A"/>
    <w:rsid w:val="00592633"/>
    <w:rsid w:val="0059266D"/>
    <w:rsid w:val="00592703"/>
    <w:rsid w:val="005929E8"/>
    <w:rsid w:val="00592A43"/>
    <w:rsid w:val="00592B9E"/>
    <w:rsid w:val="00592D44"/>
    <w:rsid w:val="00592DA2"/>
    <w:rsid w:val="0059308A"/>
    <w:rsid w:val="005930EC"/>
    <w:rsid w:val="005931F5"/>
    <w:rsid w:val="00593336"/>
    <w:rsid w:val="00593365"/>
    <w:rsid w:val="00593394"/>
    <w:rsid w:val="00593449"/>
    <w:rsid w:val="0059377D"/>
    <w:rsid w:val="005937AA"/>
    <w:rsid w:val="00593882"/>
    <w:rsid w:val="005938A0"/>
    <w:rsid w:val="00593A85"/>
    <w:rsid w:val="00593B6F"/>
    <w:rsid w:val="00593BE3"/>
    <w:rsid w:val="00593C04"/>
    <w:rsid w:val="00593C0E"/>
    <w:rsid w:val="00593C80"/>
    <w:rsid w:val="00593CC2"/>
    <w:rsid w:val="00593CC6"/>
    <w:rsid w:val="00593DDC"/>
    <w:rsid w:val="00593DF7"/>
    <w:rsid w:val="00593FA0"/>
    <w:rsid w:val="00594024"/>
    <w:rsid w:val="00594061"/>
    <w:rsid w:val="005940F9"/>
    <w:rsid w:val="00594265"/>
    <w:rsid w:val="00594275"/>
    <w:rsid w:val="00594314"/>
    <w:rsid w:val="00594645"/>
    <w:rsid w:val="005946E5"/>
    <w:rsid w:val="00594830"/>
    <w:rsid w:val="0059488C"/>
    <w:rsid w:val="00594924"/>
    <w:rsid w:val="00594928"/>
    <w:rsid w:val="005949DB"/>
    <w:rsid w:val="00594D6D"/>
    <w:rsid w:val="00594F56"/>
    <w:rsid w:val="00594FCA"/>
    <w:rsid w:val="00595003"/>
    <w:rsid w:val="00595231"/>
    <w:rsid w:val="0059545B"/>
    <w:rsid w:val="005954C0"/>
    <w:rsid w:val="00595534"/>
    <w:rsid w:val="0059558D"/>
    <w:rsid w:val="005955FF"/>
    <w:rsid w:val="0059574C"/>
    <w:rsid w:val="00595760"/>
    <w:rsid w:val="00595808"/>
    <w:rsid w:val="00595837"/>
    <w:rsid w:val="0059583D"/>
    <w:rsid w:val="005958A2"/>
    <w:rsid w:val="005958BC"/>
    <w:rsid w:val="00595917"/>
    <w:rsid w:val="00595A5E"/>
    <w:rsid w:val="00595A86"/>
    <w:rsid w:val="00595B09"/>
    <w:rsid w:val="00595C6D"/>
    <w:rsid w:val="00595D88"/>
    <w:rsid w:val="00595EC8"/>
    <w:rsid w:val="00595F75"/>
    <w:rsid w:val="00595FD9"/>
    <w:rsid w:val="00596023"/>
    <w:rsid w:val="00596081"/>
    <w:rsid w:val="005960B9"/>
    <w:rsid w:val="005960D8"/>
    <w:rsid w:val="00596316"/>
    <w:rsid w:val="0059641D"/>
    <w:rsid w:val="00596481"/>
    <w:rsid w:val="00596494"/>
    <w:rsid w:val="00596605"/>
    <w:rsid w:val="00596691"/>
    <w:rsid w:val="0059672B"/>
    <w:rsid w:val="00596864"/>
    <w:rsid w:val="00596909"/>
    <w:rsid w:val="00596A1A"/>
    <w:rsid w:val="00596B0D"/>
    <w:rsid w:val="00596B2C"/>
    <w:rsid w:val="00596C57"/>
    <w:rsid w:val="00596CDE"/>
    <w:rsid w:val="00596D35"/>
    <w:rsid w:val="00596E56"/>
    <w:rsid w:val="00596E8D"/>
    <w:rsid w:val="00596F68"/>
    <w:rsid w:val="00596FDA"/>
    <w:rsid w:val="00596FE6"/>
    <w:rsid w:val="00597105"/>
    <w:rsid w:val="0059722E"/>
    <w:rsid w:val="00597276"/>
    <w:rsid w:val="00597296"/>
    <w:rsid w:val="00597377"/>
    <w:rsid w:val="005974F0"/>
    <w:rsid w:val="00597626"/>
    <w:rsid w:val="005976A9"/>
    <w:rsid w:val="005977B5"/>
    <w:rsid w:val="0059784B"/>
    <w:rsid w:val="005978C5"/>
    <w:rsid w:val="005978D4"/>
    <w:rsid w:val="005978E2"/>
    <w:rsid w:val="005979C0"/>
    <w:rsid w:val="00597A78"/>
    <w:rsid w:val="00597B14"/>
    <w:rsid w:val="00597B63"/>
    <w:rsid w:val="00597CD3"/>
    <w:rsid w:val="00597D5E"/>
    <w:rsid w:val="00597E8D"/>
    <w:rsid w:val="005A009C"/>
    <w:rsid w:val="005A01C6"/>
    <w:rsid w:val="005A037D"/>
    <w:rsid w:val="005A049E"/>
    <w:rsid w:val="005A0621"/>
    <w:rsid w:val="005A0680"/>
    <w:rsid w:val="005A080E"/>
    <w:rsid w:val="005A08E1"/>
    <w:rsid w:val="005A0955"/>
    <w:rsid w:val="005A0962"/>
    <w:rsid w:val="005A09FF"/>
    <w:rsid w:val="005A0AA2"/>
    <w:rsid w:val="005A0B40"/>
    <w:rsid w:val="005A0B4E"/>
    <w:rsid w:val="005A0B91"/>
    <w:rsid w:val="005A0CD9"/>
    <w:rsid w:val="005A0D9A"/>
    <w:rsid w:val="005A0E2E"/>
    <w:rsid w:val="005A0FBA"/>
    <w:rsid w:val="005A1094"/>
    <w:rsid w:val="005A10A1"/>
    <w:rsid w:val="005A1101"/>
    <w:rsid w:val="005A1107"/>
    <w:rsid w:val="005A11D9"/>
    <w:rsid w:val="005A1244"/>
    <w:rsid w:val="005A1278"/>
    <w:rsid w:val="005A12E4"/>
    <w:rsid w:val="005A1355"/>
    <w:rsid w:val="005A1371"/>
    <w:rsid w:val="005A140E"/>
    <w:rsid w:val="005A1456"/>
    <w:rsid w:val="005A1663"/>
    <w:rsid w:val="005A16CB"/>
    <w:rsid w:val="005A1742"/>
    <w:rsid w:val="005A1822"/>
    <w:rsid w:val="005A1AD4"/>
    <w:rsid w:val="005A1B07"/>
    <w:rsid w:val="005A1B50"/>
    <w:rsid w:val="005A1B5D"/>
    <w:rsid w:val="005A1CCD"/>
    <w:rsid w:val="005A1D9A"/>
    <w:rsid w:val="005A1DB9"/>
    <w:rsid w:val="005A1E27"/>
    <w:rsid w:val="005A1F80"/>
    <w:rsid w:val="005A1FF7"/>
    <w:rsid w:val="005A20CA"/>
    <w:rsid w:val="005A21B4"/>
    <w:rsid w:val="005A2295"/>
    <w:rsid w:val="005A2388"/>
    <w:rsid w:val="005A23E1"/>
    <w:rsid w:val="005A245F"/>
    <w:rsid w:val="005A2479"/>
    <w:rsid w:val="005A250F"/>
    <w:rsid w:val="005A2767"/>
    <w:rsid w:val="005A2806"/>
    <w:rsid w:val="005A2870"/>
    <w:rsid w:val="005A2A59"/>
    <w:rsid w:val="005A2BB7"/>
    <w:rsid w:val="005A2BE4"/>
    <w:rsid w:val="005A2C28"/>
    <w:rsid w:val="005A2CF7"/>
    <w:rsid w:val="005A2D75"/>
    <w:rsid w:val="005A2DD9"/>
    <w:rsid w:val="005A2E62"/>
    <w:rsid w:val="005A302D"/>
    <w:rsid w:val="005A3092"/>
    <w:rsid w:val="005A30DB"/>
    <w:rsid w:val="005A3151"/>
    <w:rsid w:val="005A315E"/>
    <w:rsid w:val="005A31A4"/>
    <w:rsid w:val="005A31E6"/>
    <w:rsid w:val="005A3338"/>
    <w:rsid w:val="005A3344"/>
    <w:rsid w:val="005A3513"/>
    <w:rsid w:val="005A37A8"/>
    <w:rsid w:val="005A37E0"/>
    <w:rsid w:val="005A3875"/>
    <w:rsid w:val="005A3895"/>
    <w:rsid w:val="005A3963"/>
    <w:rsid w:val="005A397B"/>
    <w:rsid w:val="005A399D"/>
    <w:rsid w:val="005A3A10"/>
    <w:rsid w:val="005A3A43"/>
    <w:rsid w:val="005A3BEB"/>
    <w:rsid w:val="005A3C44"/>
    <w:rsid w:val="005A3C61"/>
    <w:rsid w:val="005A3CD0"/>
    <w:rsid w:val="005A3FB2"/>
    <w:rsid w:val="005A417E"/>
    <w:rsid w:val="005A4233"/>
    <w:rsid w:val="005A429F"/>
    <w:rsid w:val="005A44B9"/>
    <w:rsid w:val="005A44C4"/>
    <w:rsid w:val="005A44D0"/>
    <w:rsid w:val="005A4557"/>
    <w:rsid w:val="005A461E"/>
    <w:rsid w:val="005A4643"/>
    <w:rsid w:val="005A46D4"/>
    <w:rsid w:val="005A4742"/>
    <w:rsid w:val="005A4CC3"/>
    <w:rsid w:val="005A4D6A"/>
    <w:rsid w:val="005A4EE1"/>
    <w:rsid w:val="005A4F05"/>
    <w:rsid w:val="005A5040"/>
    <w:rsid w:val="005A5089"/>
    <w:rsid w:val="005A512A"/>
    <w:rsid w:val="005A523F"/>
    <w:rsid w:val="005A52D6"/>
    <w:rsid w:val="005A5425"/>
    <w:rsid w:val="005A5550"/>
    <w:rsid w:val="005A55D5"/>
    <w:rsid w:val="005A56EF"/>
    <w:rsid w:val="005A5743"/>
    <w:rsid w:val="005A5828"/>
    <w:rsid w:val="005A5836"/>
    <w:rsid w:val="005A583D"/>
    <w:rsid w:val="005A58D6"/>
    <w:rsid w:val="005A5937"/>
    <w:rsid w:val="005A5DB7"/>
    <w:rsid w:val="005A5E8A"/>
    <w:rsid w:val="005A6023"/>
    <w:rsid w:val="005A6087"/>
    <w:rsid w:val="005A60EB"/>
    <w:rsid w:val="005A62E5"/>
    <w:rsid w:val="005A62FE"/>
    <w:rsid w:val="005A6316"/>
    <w:rsid w:val="005A646F"/>
    <w:rsid w:val="005A6495"/>
    <w:rsid w:val="005A6548"/>
    <w:rsid w:val="005A65B4"/>
    <w:rsid w:val="005A65BC"/>
    <w:rsid w:val="005A65F9"/>
    <w:rsid w:val="005A663C"/>
    <w:rsid w:val="005A66AC"/>
    <w:rsid w:val="005A66C2"/>
    <w:rsid w:val="005A66C8"/>
    <w:rsid w:val="005A6787"/>
    <w:rsid w:val="005A6888"/>
    <w:rsid w:val="005A68B2"/>
    <w:rsid w:val="005A68CD"/>
    <w:rsid w:val="005A6B51"/>
    <w:rsid w:val="005A6B8F"/>
    <w:rsid w:val="005A6B9E"/>
    <w:rsid w:val="005A6C81"/>
    <w:rsid w:val="005A6CC1"/>
    <w:rsid w:val="005A6D3D"/>
    <w:rsid w:val="005A6E89"/>
    <w:rsid w:val="005A6EB1"/>
    <w:rsid w:val="005A6FB0"/>
    <w:rsid w:val="005A707A"/>
    <w:rsid w:val="005A728D"/>
    <w:rsid w:val="005A7344"/>
    <w:rsid w:val="005A7346"/>
    <w:rsid w:val="005A73F0"/>
    <w:rsid w:val="005A7417"/>
    <w:rsid w:val="005A7429"/>
    <w:rsid w:val="005A7460"/>
    <w:rsid w:val="005A74A5"/>
    <w:rsid w:val="005A74AA"/>
    <w:rsid w:val="005A753A"/>
    <w:rsid w:val="005A77A3"/>
    <w:rsid w:val="005A77E6"/>
    <w:rsid w:val="005A7C27"/>
    <w:rsid w:val="005A7C2B"/>
    <w:rsid w:val="005A7C3E"/>
    <w:rsid w:val="005A7C91"/>
    <w:rsid w:val="005A7CB3"/>
    <w:rsid w:val="005A7D16"/>
    <w:rsid w:val="005A7D28"/>
    <w:rsid w:val="005A7E91"/>
    <w:rsid w:val="005B000C"/>
    <w:rsid w:val="005B00C5"/>
    <w:rsid w:val="005B015B"/>
    <w:rsid w:val="005B021E"/>
    <w:rsid w:val="005B0321"/>
    <w:rsid w:val="005B040A"/>
    <w:rsid w:val="005B053B"/>
    <w:rsid w:val="005B05CF"/>
    <w:rsid w:val="005B05DF"/>
    <w:rsid w:val="005B0613"/>
    <w:rsid w:val="005B066E"/>
    <w:rsid w:val="005B0920"/>
    <w:rsid w:val="005B093D"/>
    <w:rsid w:val="005B09C7"/>
    <w:rsid w:val="005B0A64"/>
    <w:rsid w:val="005B0AAB"/>
    <w:rsid w:val="005B0C3E"/>
    <w:rsid w:val="005B0C77"/>
    <w:rsid w:val="005B0C95"/>
    <w:rsid w:val="005B0D0D"/>
    <w:rsid w:val="005B0DA0"/>
    <w:rsid w:val="005B0F89"/>
    <w:rsid w:val="005B0FCB"/>
    <w:rsid w:val="005B100E"/>
    <w:rsid w:val="005B101E"/>
    <w:rsid w:val="005B103D"/>
    <w:rsid w:val="005B109C"/>
    <w:rsid w:val="005B1177"/>
    <w:rsid w:val="005B131B"/>
    <w:rsid w:val="005B134E"/>
    <w:rsid w:val="005B136D"/>
    <w:rsid w:val="005B1383"/>
    <w:rsid w:val="005B138F"/>
    <w:rsid w:val="005B1427"/>
    <w:rsid w:val="005B14B2"/>
    <w:rsid w:val="005B1601"/>
    <w:rsid w:val="005B1677"/>
    <w:rsid w:val="005B16B0"/>
    <w:rsid w:val="005B1776"/>
    <w:rsid w:val="005B1790"/>
    <w:rsid w:val="005B17C2"/>
    <w:rsid w:val="005B17F4"/>
    <w:rsid w:val="005B182D"/>
    <w:rsid w:val="005B186A"/>
    <w:rsid w:val="005B1B65"/>
    <w:rsid w:val="005B1D42"/>
    <w:rsid w:val="005B1F4C"/>
    <w:rsid w:val="005B1F6F"/>
    <w:rsid w:val="005B1F88"/>
    <w:rsid w:val="005B2305"/>
    <w:rsid w:val="005B2327"/>
    <w:rsid w:val="005B250F"/>
    <w:rsid w:val="005B2518"/>
    <w:rsid w:val="005B2593"/>
    <w:rsid w:val="005B25B4"/>
    <w:rsid w:val="005B2780"/>
    <w:rsid w:val="005B27C3"/>
    <w:rsid w:val="005B287C"/>
    <w:rsid w:val="005B287F"/>
    <w:rsid w:val="005B28A4"/>
    <w:rsid w:val="005B2A6F"/>
    <w:rsid w:val="005B2AC8"/>
    <w:rsid w:val="005B2B82"/>
    <w:rsid w:val="005B2C47"/>
    <w:rsid w:val="005B2CD6"/>
    <w:rsid w:val="005B2D4C"/>
    <w:rsid w:val="005B2DD7"/>
    <w:rsid w:val="005B2EA5"/>
    <w:rsid w:val="005B320A"/>
    <w:rsid w:val="005B32E0"/>
    <w:rsid w:val="005B32E7"/>
    <w:rsid w:val="005B3399"/>
    <w:rsid w:val="005B33DC"/>
    <w:rsid w:val="005B340B"/>
    <w:rsid w:val="005B34A4"/>
    <w:rsid w:val="005B3519"/>
    <w:rsid w:val="005B3531"/>
    <w:rsid w:val="005B3637"/>
    <w:rsid w:val="005B366F"/>
    <w:rsid w:val="005B36ED"/>
    <w:rsid w:val="005B37AB"/>
    <w:rsid w:val="005B38DA"/>
    <w:rsid w:val="005B39B2"/>
    <w:rsid w:val="005B39C7"/>
    <w:rsid w:val="005B3A99"/>
    <w:rsid w:val="005B3B55"/>
    <w:rsid w:val="005B3CE6"/>
    <w:rsid w:val="005B3E35"/>
    <w:rsid w:val="005B3FED"/>
    <w:rsid w:val="005B4396"/>
    <w:rsid w:val="005B4548"/>
    <w:rsid w:val="005B457A"/>
    <w:rsid w:val="005B4604"/>
    <w:rsid w:val="005B4609"/>
    <w:rsid w:val="005B4786"/>
    <w:rsid w:val="005B47D1"/>
    <w:rsid w:val="005B4B9D"/>
    <w:rsid w:val="005B4C10"/>
    <w:rsid w:val="005B4C6C"/>
    <w:rsid w:val="005B4CAB"/>
    <w:rsid w:val="005B4DE1"/>
    <w:rsid w:val="005B4DE8"/>
    <w:rsid w:val="005B4E32"/>
    <w:rsid w:val="005B4E90"/>
    <w:rsid w:val="005B4E93"/>
    <w:rsid w:val="005B4EA9"/>
    <w:rsid w:val="005B4ECE"/>
    <w:rsid w:val="005B5007"/>
    <w:rsid w:val="005B50E2"/>
    <w:rsid w:val="005B50E4"/>
    <w:rsid w:val="005B5198"/>
    <w:rsid w:val="005B52DA"/>
    <w:rsid w:val="005B5323"/>
    <w:rsid w:val="005B53B8"/>
    <w:rsid w:val="005B5604"/>
    <w:rsid w:val="005B5697"/>
    <w:rsid w:val="005B56E9"/>
    <w:rsid w:val="005B57E3"/>
    <w:rsid w:val="005B583C"/>
    <w:rsid w:val="005B5865"/>
    <w:rsid w:val="005B5A6C"/>
    <w:rsid w:val="005B5B26"/>
    <w:rsid w:val="005B5BB9"/>
    <w:rsid w:val="005B5BD2"/>
    <w:rsid w:val="005B5CE7"/>
    <w:rsid w:val="005B5DE5"/>
    <w:rsid w:val="005B600B"/>
    <w:rsid w:val="005B608F"/>
    <w:rsid w:val="005B6333"/>
    <w:rsid w:val="005B638F"/>
    <w:rsid w:val="005B63BB"/>
    <w:rsid w:val="005B656E"/>
    <w:rsid w:val="005B6607"/>
    <w:rsid w:val="005B666F"/>
    <w:rsid w:val="005B667F"/>
    <w:rsid w:val="005B66CF"/>
    <w:rsid w:val="005B676B"/>
    <w:rsid w:val="005B67B9"/>
    <w:rsid w:val="005B69D1"/>
    <w:rsid w:val="005B6B8D"/>
    <w:rsid w:val="005B6BD0"/>
    <w:rsid w:val="005B6FF4"/>
    <w:rsid w:val="005B7066"/>
    <w:rsid w:val="005B7107"/>
    <w:rsid w:val="005B7230"/>
    <w:rsid w:val="005B727E"/>
    <w:rsid w:val="005B72F8"/>
    <w:rsid w:val="005B7399"/>
    <w:rsid w:val="005B73F9"/>
    <w:rsid w:val="005B7410"/>
    <w:rsid w:val="005B748F"/>
    <w:rsid w:val="005B7886"/>
    <w:rsid w:val="005B78C5"/>
    <w:rsid w:val="005B78CB"/>
    <w:rsid w:val="005B78D9"/>
    <w:rsid w:val="005B7B0D"/>
    <w:rsid w:val="005B7C2E"/>
    <w:rsid w:val="005C002D"/>
    <w:rsid w:val="005C00F9"/>
    <w:rsid w:val="005C011D"/>
    <w:rsid w:val="005C0150"/>
    <w:rsid w:val="005C0157"/>
    <w:rsid w:val="005C0197"/>
    <w:rsid w:val="005C01B1"/>
    <w:rsid w:val="005C01B2"/>
    <w:rsid w:val="005C01B7"/>
    <w:rsid w:val="005C02BC"/>
    <w:rsid w:val="005C0303"/>
    <w:rsid w:val="005C035C"/>
    <w:rsid w:val="005C0478"/>
    <w:rsid w:val="005C0522"/>
    <w:rsid w:val="005C062D"/>
    <w:rsid w:val="005C066E"/>
    <w:rsid w:val="005C068A"/>
    <w:rsid w:val="005C06AD"/>
    <w:rsid w:val="005C0817"/>
    <w:rsid w:val="005C0915"/>
    <w:rsid w:val="005C091B"/>
    <w:rsid w:val="005C0949"/>
    <w:rsid w:val="005C098D"/>
    <w:rsid w:val="005C0BD8"/>
    <w:rsid w:val="005C0C73"/>
    <w:rsid w:val="005C0C80"/>
    <w:rsid w:val="005C0D27"/>
    <w:rsid w:val="005C0E0F"/>
    <w:rsid w:val="005C0EB2"/>
    <w:rsid w:val="005C0EB7"/>
    <w:rsid w:val="005C1029"/>
    <w:rsid w:val="005C102B"/>
    <w:rsid w:val="005C1190"/>
    <w:rsid w:val="005C1343"/>
    <w:rsid w:val="005C135E"/>
    <w:rsid w:val="005C14C7"/>
    <w:rsid w:val="005C168D"/>
    <w:rsid w:val="005C1947"/>
    <w:rsid w:val="005C199F"/>
    <w:rsid w:val="005C1C4D"/>
    <w:rsid w:val="005C1CB3"/>
    <w:rsid w:val="005C1E87"/>
    <w:rsid w:val="005C1EBB"/>
    <w:rsid w:val="005C20C7"/>
    <w:rsid w:val="005C212A"/>
    <w:rsid w:val="005C215E"/>
    <w:rsid w:val="005C216C"/>
    <w:rsid w:val="005C21C9"/>
    <w:rsid w:val="005C23F5"/>
    <w:rsid w:val="005C2485"/>
    <w:rsid w:val="005C254F"/>
    <w:rsid w:val="005C25DD"/>
    <w:rsid w:val="005C2746"/>
    <w:rsid w:val="005C28C6"/>
    <w:rsid w:val="005C29AE"/>
    <w:rsid w:val="005C2AA0"/>
    <w:rsid w:val="005C2ABB"/>
    <w:rsid w:val="005C2B26"/>
    <w:rsid w:val="005C2BBA"/>
    <w:rsid w:val="005C2C34"/>
    <w:rsid w:val="005C2C3B"/>
    <w:rsid w:val="005C2D3B"/>
    <w:rsid w:val="005C2E20"/>
    <w:rsid w:val="005C2E90"/>
    <w:rsid w:val="005C2F39"/>
    <w:rsid w:val="005C30DC"/>
    <w:rsid w:val="005C3497"/>
    <w:rsid w:val="005C34A8"/>
    <w:rsid w:val="005C34C1"/>
    <w:rsid w:val="005C3572"/>
    <w:rsid w:val="005C35D9"/>
    <w:rsid w:val="005C35EE"/>
    <w:rsid w:val="005C3616"/>
    <w:rsid w:val="005C3697"/>
    <w:rsid w:val="005C382F"/>
    <w:rsid w:val="005C39F3"/>
    <w:rsid w:val="005C3A77"/>
    <w:rsid w:val="005C3C86"/>
    <w:rsid w:val="005C3DAA"/>
    <w:rsid w:val="005C3E4D"/>
    <w:rsid w:val="005C3F09"/>
    <w:rsid w:val="005C3FAF"/>
    <w:rsid w:val="005C3FE0"/>
    <w:rsid w:val="005C404C"/>
    <w:rsid w:val="005C4298"/>
    <w:rsid w:val="005C4336"/>
    <w:rsid w:val="005C46C6"/>
    <w:rsid w:val="005C48C1"/>
    <w:rsid w:val="005C49C6"/>
    <w:rsid w:val="005C4BBA"/>
    <w:rsid w:val="005C4C17"/>
    <w:rsid w:val="005C4C86"/>
    <w:rsid w:val="005C4CD0"/>
    <w:rsid w:val="005C4D0F"/>
    <w:rsid w:val="005C4E09"/>
    <w:rsid w:val="005C4EF8"/>
    <w:rsid w:val="005C4F69"/>
    <w:rsid w:val="005C4FC5"/>
    <w:rsid w:val="005C5263"/>
    <w:rsid w:val="005C538B"/>
    <w:rsid w:val="005C53F5"/>
    <w:rsid w:val="005C5424"/>
    <w:rsid w:val="005C54A3"/>
    <w:rsid w:val="005C5554"/>
    <w:rsid w:val="005C55E4"/>
    <w:rsid w:val="005C566C"/>
    <w:rsid w:val="005C56B5"/>
    <w:rsid w:val="005C56B6"/>
    <w:rsid w:val="005C56E5"/>
    <w:rsid w:val="005C576F"/>
    <w:rsid w:val="005C5A32"/>
    <w:rsid w:val="005C5CBC"/>
    <w:rsid w:val="005C5E4F"/>
    <w:rsid w:val="005C6283"/>
    <w:rsid w:val="005C6323"/>
    <w:rsid w:val="005C64DD"/>
    <w:rsid w:val="005C65F4"/>
    <w:rsid w:val="005C66BD"/>
    <w:rsid w:val="005C6763"/>
    <w:rsid w:val="005C687F"/>
    <w:rsid w:val="005C6AB9"/>
    <w:rsid w:val="005C6CAD"/>
    <w:rsid w:val="005C6D11"/>
    <w:rsid w:val="005C6DBA"/>
    <w:rsid w:val="005C6E09"/>
    <w:rsid w:val="005C6F08"/>
    <w:rsid w:val="005C6F19"/>
    <w:rsid w:val="005C6F20"/>
    <w:rsid w:val="005C6FF4"/>
    <w:rsid w:val="005C7048"/>
    <w:rsid w:val="005C7092"/>
    <w:rsid w:val="005C7369"/>
    <w:rsid w:val="005C7496"/>
    <w:rsid w:val="005C7508"/>
    <w:rsid w:val="005C76B0"/>
    <w:rsid w:val="005C7778"/>
    <w:rsid w:val="005C77B1"/>
    <w:rsid w:val="005C780F"/>
    <w:rsid w:val="005C78BF"/>
    <w:rsid w:val="005C7B10"/>
    <w:rsid w:val="005C7B65"/>
    <w:rsid w:val="005C7B7D"/>
    <w:rsid w:val="005C7BBC"/>
    <w:rsid w:val="005C7BE2"/>
    <w:rsid w:val="005C7FD6"/>
    <w:rsid w:val="005D002C"/>
    <w:rsid w:val="005D003D"/>
    <w:rsid w:val="005D0045"/>
    <w:rsid w:val="005D0197"/>
    <w:rsid w:val="005D0200"/>
    <w:rsid w:val="005D0296"/>
    <w:rsid w:val="005D02AF"/>
    <w:rsid w:val="005D04C8"/>
    <w:rsid w:val="005D0807"/>
    <w:rsid w:val="005D08B6"/>
    <w:rsid w:val="005D09C7"/>
    <w:rsid w:val="005D0AB5"/>
    <w:rsid w:val="005D0AE1"/>
    <w:rsid w:val="005D0B9A"/>
    <w:rsid w:val="005D0C7B"/>
    <w:rsid w:val="005D0CDC"/>
    <w:rsid w:val="005D0CE4"/>
    <w:rsid w:val="005D0CF6"/>
    <w:rsid w:val="005D0D40"/>
    <w:rsid w:val="005D0E69"/>
    <w:rsid w:val="005D0F79"/>
    <w:rsid w:val="005D12A3"/>
    <w:rsid w:val="005D1448"/>
    <w:rsid w:val="005D17E9"/>
    <w:rsid w:val="005D1813"/>
    <w:rsid w:val="005D1886"/>
    <w:rsid w:val="005D18F5"/>
    <w:rsid w:val="005D1A9B"/>
    <w:rsid w:val="005D1B3E"/>
    <w:rsid w:val="005D1C0E"/>
    <w:rsid w:val="005D1D47"/>
    <w:rsid w:val="005D1EAD"/>
    <w:rsid w:val="005D1F7C"/>
    <w:rsid w:val="005D20C8"/>
    <w:rsid w:val="005D2140"/>
    <w:rsid w:val="005D2190"/>
    <w:rsid w:val="005D21A4"/>
    <w:rsid w:val="005D21EC"/>
    <w:rsid w:val="005D225B"/>
    <w:rsid w:val="005D2278"/>
    <w:rsid w:val="005D22DF"/>
    <w:rsid w:val="005D23EA"/>
    <w:rsid w:val="005D246A"/>
    <w:rsid w:val="005D26A3"/>
    <w:rsid w:val="005D2703"/>
    <w:rsid w:val="005D2A60"/>
    <w:rsid w:val="005D2B67"/>
    <w:rsid w:val="005D2BB2"/>
    <w:rsid w:val="005D2C5A"/>
    <w:rsid w:val="005D2C6E"/>
    <w:rsid w:val="005D2C76"/>
    <w:rsid w:val="005D2EAF"/>
    <w:rsid w:val="005D2EB3"/>
    <w:rsid w:val="005D2F44"/>
    <w:rsid w:val="005D2FEE"/>
    <w:rsid w:val="005D30AC"/>
    <w:rsid w:val="005D3136"/>
    <w:rsid w:val="005D3147"/>
    <w:rsid w:val="005D32DC"/>
    <w:rsid w:val="005D33F5"/>
    <w:rsid w:val="005D3412"/>
    <w:rsid w:val="005D3509"/>
    <w:rsid w:val="005D3559"/>
    <w:rsid w:val="005D3567"/>
    <w:rsid w:val="005D357B"/>
    <w:rsid w:val="005D369E"/>
    <w:rsid w:val="005D3717"/>
    <w:rsid w:val="005D381F"/>
    <w:rsid w:val="005D383F"/>
    <w:rsid w:val="005D3877"/>
    <w:rsid w:val="005D3ABA"/>
    <w:rsid w:val="005D3B2F"/>
    <w:rsid w:val="005D3BD8"/>
    <w:rsid w:val="005D3CC2"/>
    <w:rsid w:val="005D3CD6"/>
    <w:rsid w:val="005D3D86"/>
    <w:rsid w:val="005D3E09"/>
    <w:rsid w:val="005D3F2D"/>
    <w:rsid w:val="005D3FFC"/>
    <w:rsid w:val="005D400B"/>
    <w:rsid w:val="005D4082"/>
    <w:rsid w:val="005D41B4"/>
    <w:rsid w:val="005D41B6"/>
    <w:rsid w:val="005D41BE"/>
    <w:rsid w:val="005D4255"/>
    <w:rsid w:val="005D434F"/>
    <w:rsid w:val="005D4360"/>
    <w:rsid w:val="005D43A5"/>
    <w:rsid w:val="005D4487"/>
    <w:rsid w:val="005D4508"/>
    <w:rsid w:val="005D45F2"/>
    <w:rsid w:val="005D45FB"/>
    <w:rsid w:val="005D470F"/>
    <w:rsid w:val="005D4792"/>
    <w:rsid w:val="005D47F9"/>
    <w:rsid w:val="005D4A85"/>
    <w:rsid w:val="005D4C2A"/>
    <w:rsid w:val="005D4CD0"/>
    <w:rsid w:val="005D4D10"/>
    <w:rsid w:val="005D4D43"/>
    <w:rsid w:val="005D4DCD"/>
    <w:rsid w:val="005D4DDD"/>
    <w:rsid w:val="005D4DFB"/>
    <w:rsid w:val="005D4E4A"/>
    <w:rsid w:val="005D4ED7"/>
    <w:rsid w:val="005D4F06"/>
    <w:rsid w:val="005D4FF5"/>
    <w:rsid w:val="005D5037"/>
    <w:rsid w:val="005D514C"/>
    <w:rsid w:val="005D5254"/>
    <w:rsid w:val="005D526A"/>
    <w:rsid w:val="005D53D6"/>
    <w:rsid w:val="005D54FE"/>
    <w:rsid w:val="005D5542"/>
    <w:rsid w:val="005D562F"/>
    <w:rsid w:val="005D56F7"/>
    <w:rsid w:val="005D56FC"/>
    <w:rsid w:val="005D56FF"/>
    <w:rsid w:val="005D5708"/>
    <w:rsid w:val="005D57A4"/>
    <w:rsid w:val="005D585B"/>
    <w:rsid w:val="005D5898"/>
    <w:rsid w:val="005D589C"/>
    <w:rsid w:val="005D58E7"/>
    <w:rsid w:val="005D59DF"/>
    <w:rsid w:val="005D5A03"/>
    <w:rsid w:val="005D5A45"/>
    <w:rsid w:val="005D5B75"/>
    <w:rsid w:val="005D5CCB"/>
    <w:rsid w:val="005D5CF9"/>
    <w:rsid w:val="005D5D46"/>
    <w:rsid w:val="005D5D63"/>
    <w:rsid w:val="005D5D93"/>
    <w:rsid w:val="005D5D9D"/>
    <w:rsid w:val="005D5EFC"/>
    <w:rsid w:val="005D5F10"/>
    <w:rsid w:val="005D5F23"/>
    <w:rsid w:val="005D60B4"/>
    <w:rsid w:val="005D60CA"/>
    <w:rsid w:val="005D6226"/>
    <w:rsid w:val="005D6246"/>
    <w:rsid w:val="005D6248"/>
    <w:rsid w:val="005D6509"/>
    <w:rsid w:val="005D663F"/>
    <w:rsid w:val="005D69B2"/>
    <w:rsid w:val="005D6A19"/>
    <w:rsid w:val="005D6AEF"/>
    <w:rsid w:val="005D6B8F"/>
    <w:rsid w:val="005D6C06"/>
    <w:rsid w:val="005D6C1C"/>
    <w:rsid w:val="005D6C9B"/>
    <w:rsid w:val="005D6D35"/>
    <w:rsid w:val="005D6EEB"/>
    <w:rsid w:val="005D6F1E"/>
    <w:rsid w:val="005D705E"/>
    <w:rsid w:val="005D733E"/>
    <w:rsid w:val="005D7356"/>
    <w:rsid w:val="005D742C"/>
    <w:rsid w:val="005D7578"/>
    <w:rsid w:val="005D7621"/>
    <w:rsid w:val="005D7803"/>
    <w:rsid w:val="005D7931"/>
    <w:rsid w:val="005D794E"/>
    <w:rsid w:val="005D7A98"/>
    <w:rsid w:val="005D7AA3"/>
    <w:rsid w:val="005D7B3D"/>
    <w:rsid w:val="005D7BF7"/>
    <w:rsid w:val="005D7C51"/>
    <w:rsid w:val="005D7D01"/>
    <w:rsid w:val="005D7DF5"/>
    <w:rsid w:val="005D7E08"/>
    <w:rsid w:val="005D7EC2"/>
    <w:rsid w:val="005D7F2C"/>
    <w:rsid w:val="005D7F82"/>
    <w:rsid w:val="005D7F84"/>
    <w:rsid w:val="005E00A0"/>
    <w:rsid w:val="005E043D"/>
    <w:rsid w:val="005E0487"/>
    <w:rsid w:val="005E04CC"/>
    <w:rsid w:val="005E053B"/>
    <w:rsid w:val="005E05E6"/>
    <w:rsid w:val="005E0648"/>
    <w:rsid w:val="005E06E3"/>
    <w:rsid w:val="005E07B7"/>
    <w:rsid w:val="005E0845"/>
    <w:rsid w:val="005E0BA4"/>
    <w:rsid w:val="005E0EB6"/>
    <w:rsid w:val="005E0FF8"/>
    <w:rsid w:val="005E107C"/>
    <w:rsid w:val="005E10BE"/>
    <w:rsid w:val="005E11B3"/>
    <w:rsid w:val="005E1323"/>
    <w:rsid w:val="005E1348"/>
    <w:rsid w:val="005E1509"/>
    <w:rsid w:val="005E154D"/>
    <w:rsid w:val="005E1574"/>
    <w:rsid w:val="005E16A0"/>
    <w:rsid w:val="005E16C5"/>
    <w:rsid w:val="005E1A49"/>
    <w:rsid w:val="005E1A5B"/>
    <w:rsid w:val="005E1BE1"/>
    <w:rsid w:val="005E1CEC"/>
    <w:rsid w:val="005E1D0B"/>
    <w:rsid w:val="005E1EAB"/>
    <w:rsid w:val="005E1F02"/>
    <w:rsid w:val="005E2062"/>
    <w:rsid w:val="005E21A0"/>
    <w:rsid w:val="005E2338"/>
    <w:rsid w:val="005E237D"/>
    <w:rsid w:val="005E23B4"/>
    <w:rsid w:val="005E23ED"/>
    <w:rsid w:val="005E25D6"/>
    <w:rsid w:val="005E2619"/>
    <w:rsid w:val="005E2620"/>
    <w:rsid w:val="005E27AC"/>
    <w:rsid w:val="005E27E5"/>
    <w:rsid w:val="005E27E7"/>
    <w:rsid w:val="005E28B7"/>
    <w:rsid w:val="005E29D1"/>
    <w:rsid w:val="005E29FE"/>
    <w:rsid w:val="005E2BAB"/>
    <w:rsid w:val="005E2C09"/>
    <w:rsid w:val="005E2CEE"/>
    <w:rsid w:val="005E2D0C"/>
    <w:rsid w:val="005E2D11"/>
    <w:rsid w:val="005E2F64"/>
    <w:rsid w:val="005E2F77"/>
    <w:rsid w:val="005E30DA"/>
    <w:rsid w:val="005E30FB"/>
    <w:rsid w:val="005E33D6"/>
    <w:rsid w:val="005E3591"/>
    <w:rsid w:val="005E3640"/>
    <w:rsid w:val="005E366E"/>
    <w:rsid w:val="005E383E"/>
    <w:rsid w:val="005E3BAC"/>
    <w:rsid w:val="005E3C23"/>
    <w:rsid w:val="005E3CB9"/>
    <w:rsid w:val="005E3CD4"/>
    <w:rsid w:val="005E3D5C"/>
    <w:rsid w:val="005E3DCE"/>
    <w:rsid w:val="005E3EB1"/>
    <w:rsid w:val="005E3F2E"/>
    <w:rsid w:val="005E40CC"/>
    <w:rsid w:val="005E40D9"/>
    <w:rsid w:val="005E41EB"/>
    <w:rsid w:val="005E42AE"/>
    <w:rsid w:val="005E4382"/>
    <w:rsid w:val="005E465D"/>
    <w:rsid w:val="005E4680"/>
    <w:rsid w:val="005E4833"/>
    <w:rsid w:val="005E4930"/>
    <w:rsid w:val="005E4A72"/>
    <w:rsid w:val="005E4B08"/>
    <w:rsid w:val="005E4B14"/>
    <w:rsid w:val="005E4B2E"/>
    <w:rsid w:val="005E4D79"/>
    <w:rsid w:val="005E4D9C"/>
    <w:rsid w:val="005E4DD3"/>
    <w:rsid w:val="005E4EAE"/>
    <w:rsid w:val="005E4EC3"/>
    <w:rsid w:val="005E5080"/>
    <w:rsid w:val="005E50B9"/>
    <w:rsid w:val="005E5132"/>
    <w:rsid w:val="005E53D3"/>
    <w:rsid w:val="005E5512"/>
    <w:rsid w:val="005E5657"/>
    <w:rsid w:val="005E57E6"/>
    <w:rsid w:val="005E5819"/>
    <w:rsid w:val="005E5991"/>
    <w:rsid w:val="005E59D4"/>
    <w:rsid w:val="005E5C5C"/>
    <w:rsid w:val="005E5C71"/>
    <w:rsid w:val="005E5C88"/>
    <w:rsid w:val="005E5CA5"/>
    <w:rsid w:val="005E5CB8"/>
    <w:rsid w:val="005E5E17"/>
    <w:rsid w:val="005E5EB8"/>
    <w:rsid w:val="005E5F2B"/>
    <w:rsid w:val="005E5FAD"/>
    <w:rsid w:val="005E611E"/>
    <w:rsid w:val="005E614E"/>
    <w:rsid w:val="005E6276"/>
    <w:rsid w:val="005E62E0"/>
    <w:rsid w:val="005E6380"/>
    <w:rsid w:val="005E63CD"/>
    <w:rsid w:val="005E64C5"/>
    <w:rsid w:val="005E6502"/>
    <w:rsid w:val="005E6510"/>
    <w:rsid w:val="005E652B"/>
    <w:rsid w:val="005E6588"/>
    <w:rsid w:val="005E6659"/>
    <w:rsid w:val="005E673D"/>
    <w:rsid w:val="005E674A"/>
    <w:rsid w:val="005E683D"/>
    <w:rsid w:val="005E68F6"/>
    <w:rsid w:val="005E6A58"/>
    <w:rsid w:val="005E6ADA"/>
    <w:rsid w:val="005E6B47"/>
    <w:rsid w:val="005E6C6E"/>
    <w:rsid w:val="005E6CC0"/>
    <w:rsid w:val="005E6D1F"/>
    <w:rsid w:val="005E6E3E"/>
    <w:rsid w:val="005E6E93"/>
    <w:rsid w:val="005E6F2D"/>
    <w:rsid w:val="005E6F67"/>
    <w:rsid w:val="005E6FA9"/>
    <w:rsid w:val="005E71A0"/>
    <w:rsid w:val="005E72DD"/>
    <w:rsid w:val="005E736D"/>
    <w:rsid w:val="005E7467"/>
    <w:rsid w:val="005E75E4"/>
    <w:rsid w:val="005E7649"/>
    <w:rsid w:val="005E774B"/>
    <w:rsid w:val="005E7870"/>
    <w:rsid w:val="005E7A1F"/>
    <w:rsid w:val="005E7AE8"/>
    <w:rsid w:val="005E7B6A"/>
    <w:rsid w:val="005E7BC7"/>
    <w:rsid w:val="005E7BFE"/>
    <w:rsid w:val="005E7D84"/>
    <w:rsid w:val="005E7E01"/>
    <w:rsid w:val="005E7E16"/>
    <w:rsid w:val="005E7F7E"/>
    <w:rsid w:val="005E7FA1"/>
    <w:rsid w:val="005F00FD"/>
    <w:rsid w:val="005F0173"/>
    <w:rsid w:val="005F018B"/>
    <w:rsid w:val="005F02A4"/>
    <w:rsid w:val="005F034C"/>
    <w:rsid w:val="005F037E"/>
    <w:rsid w:val="005F03F6"/>
    <w:rsid w:val="005F041C"/>
    <w:rsid w:val="005F04B2"/>
    <w:rsid w:val="005F05FB"/>
    <w:rsid w:val="005F0683"/>
    <w:rsid w:val="005F074A"/>
    <w:rsid w:val="005F07CF"/>
    <w:rsid w:val="005F099C"/>
    <w:rsid w:val="005F0A05"/>
    <w:rsid w:val="005F0A3B"/>
    <w:rsid w:val="005F0A45"/>
    <w:rsid w:val="005F0B10"/>
    <w:rsid w:val="005F0C6F"/>
    <w:rsid w:val="005F0E54"/>
    <w:rsid w:val="005F0FD5"/>
    <w:rsid w:val="005F10D0"/>
    <w:rsid w:val="005F114A"/>
    <w:rsid w:val="005F131B"/>
    <w:rsid w:val="005F14A4"/>
    <w:rsid w:val="005F14D6"/>
    <w:rsid w:val="005F1563"/>
    <w:rsid w:val="005F168A"/>
    <w:rsid w:val="005F16A0"/>
    <w:rsid w:val="005F16D3"/>
    <w:rsid w:val="005F17DA"/>
    <w:rsid w:val="005F1812"/>
    <w:rsid w:val="005F1BBD"/>
    <w:rsid w:val="005F1CB1"/>
    <w:rsid w:val="005F1EC4"/>
    <w:rsid w:val="005F1F68"/>
    <w:rsid w:val="005F1F8D"/>
    <w:rsid w:val="005F210D"/>
    <w:rsid w:val="005F2117"/>
    <w:rsid w:val="005F2152"/>
    <w:rsid w:val="005F21AE"/>
    <w:rsid w:val="005F228C"/>
    <w:rsid w:val="005F2457"/>
    <w:rsid w:val="005F2594"/>
    <w:rsid w:val="005F25C6"/>
    <w:rsid w:val="005F2600"/>
    <w:rsid w:val="005F2611"/>
    <w:rsid w:val="005F26D7"/>
    <w:rsid w:val="005F26F8"/>
    <w:rsid w:val="005F2721"/>
    <w:rsid w:val="005F27BA"/>
    <w:rsid w:val="005F28F9"/>
    <w:rsid w:val="005F291A"/>
    <w:rsid w:val="005F2A4D"/>
    <w:rsid w:val="005F2A68"/>
    <w:rsid w:val="005F2A9F"/>
    <w:rsid w:val="005F2C89"/>
    <w:rsid w:val="005F2E55"/>
    <w:rsid w:val="005F2EDE"/>
    <w:rsid w:val="005F2F18"/>
    <w:rsid w:val="005F30CB"/>
    <w:rsid w:val="005F3117"/>
    <w:rsid w:val="005F3146"/>
    <w:rsid w:val="005F3362"/>
    <w:rsid w:val="005F34D0"/>
    <w:rsid w:val="005F3507"/>
    <w:rsid w:val="005F362D"/>
    <w:rsid w:val="005F3685"/>
    <w:rsid w:val="005F370B"/>
    <w:rsid w:val="005F37C8"/>
    <w:rsid w:val="005F3BF5"/>
    <w:rsid w:val="005F3D22"/>
    <w:rsid w:val="005F3D5C"/>
    <w:rsid w:val="005F3DA6"/>
    <w:rsid w:val="005F3E62"/>
    <w:rsid w:val="005F3E95"/>
    <w:rsid w:val="005F400D"/>
    <w:rsid w:val="005F4146"/>
    <w:rsid w:val="005F415A"/>
    <w:rsid w:val="005F4185"/>
    <w:rsid w:val="005F419B"/>
    <w:rsid w:val="005F4284"/>
    <w:rsid w:val="005F42CC"/>
    <w:rsid w:val="005F4359"/>
    <w:rsid w:val="005F43D5"/>
    <w:rsid w:val="005F4414"/>
    <w:rsid w:val="005F4487"/>
    <w:rsid w:val="005F451C"/>
    <w:rsid w:val="005F473D"/>
    <w:rsid w:val="005F4765"/>
    <w:rsid w:val="005F47A7"/>
    <w:rsid w:val="005F488F"/>
    <w:rsid w:val="005F48F4"/>
    <w:rsid w:val="005F494A"/>
    <w:rsid w:val="005F494F"/>
    <w:rsid w:val="005F49A0"/>
    <w:rsid w:val="005F4AA4"/>
    <w:rsid w:val="005F4ADC"/>
    <w:rsid w:val="005F4B5F"/>
    <w:rsid w:val="005F4B84"/>
    <w:rsid w:val="005F4D82"/>
    <w:rsid w:val="005F4E22"/>
    <w:rsid w:val="005F4EEC"/>
    <w:rsid w:val="005F4F3A"/>
    <w:rsid w:val="005F51A2"/>
    <w:rsid w:val="005F51B8"/>
    <w:rsid w:val="005F5211"/>
    <w:rsid w:val="005F52ED"/>
    <w:rsid w:val="005F5318"/>
    <w:rsid w:val="005F5408"/>
    <w:rsid w:val="005F5415"/>
    <w:rsid w:val="005F5632"/>
    <w:rsid w:val="005F5697"/>
    <w:rsid w:val="005F56B9"/>
    <w:rsid w:val="005F5721"/>
    <w:rsid w:val="005F5832"/>
    <w:rsid w:val="005F5C26"/>
    <w:rsid w:val="005F5C30"/>
    <w:rsid w:val="005F5C98"/>
    <w:rsid w:val="005F5D5B"/>
    <w:rsid w:val="005F5D60"/>
    <w:rsid w:val="005F5E6E"/>
    <w:rsid w:val="005F5E76"/>
    <w:rsid w:val="005F5EA6"/>
    <w:rsid w:val="005F5EF3"/>
    <w:rsid w:val="005F5FE4"/>
    <w:rsid w:val="005F6301"/>
    <w:rsid w:val="005F63A6"/>
    <w:rsid w:val="005F63B6"/>
    <w:rsid w:val="005F63BC"/>
    <w:rsid w:val="005F63E2"/>
    <w:rsid w:val="005F676F"/>
    <w:rsid w:val="005F693B"/>
    <w:rsid w:val="005F69E3"/>
    <w:rsid w:val="005F6A59"/>
    <w:rsid w:val="005F6B00"/>
    <w:rsid w:val="005F6B84"/>
    <w:rsid w:val="005F6E43"/>
    <w:rsid w:val="005F6E76"/>
    <w:rsid w:val="005F6E83"/>
    <w:rsid w:val="005F6EAB"/>
    <w:rsid w:val="005F6EF9"/>
    <w:rsid w:val="005F703F"/>
    <w:rsid w:val="005F70CA"/>
    <w:rsid w:val="005F71B5"/>
    <w:rsid w:val="005F71FA"/>
    <w:rsid w:val="005F720F"/>
    <w:rsid w:val="005F724F"/>
    <w:rsid w:val="005F731A"/>
    <w:rsid w:val="005F73C3"/>
    <w:rsid w:val="005F75F1"/>
    <w:rsid w:val="005F7822"/>
    <w:rsid w:val="005F794F"/>
    <w:rsid w:val="005F7A1D"/>
    <w:rsid w:val="005F7BFA"/>
    <w:rsid w:val="005F7CE0"/>
    <w:rsid w:val="005F7E3F"/>
    <w:rsid w:val="005F7E62"/>
    <w:rsid w:val="005F7F68"/>
    <w:rsid w:val="006000B7"/>
    <w:rsid w:val="006001FD"/>
    <w:rsid w:val="00600290"/>
    <w:rsid w:val="006002F6"/>
    <w:rsid w:val="0060032E"/>
    <w:rsid w:val="00600363"/>
    <w:rsid w:val="006003C7"/>
    <w:rsid w:val="006003E7"/>
    <w:rsid w:val="00600422"/>
    <w:rsid w:val="006004DC"/>
    <w:rsid w:val="00600615"/>
    <w:rsid w:val="006006BC"/>
    <w:rsid w:val="006006DD"/>
    <w:rsid w:val="00600776"/>
    <w:rsid w:val="00600791"/>
    <w:rsid w:val="0060098D"/>
    <w:rsid w:val="00600AA0"/>
    <w:rsid w:val="00600AEA"/>
    <w:rsid w:val="00600B82"/>
    <w:rsid w:val="00600BC9"/>
    <w:rsid w:val="00600C65"/>
    <w:rsid w:val="00600CD7"/>
    <w:rsid w:val="00600D67"/>
    <w:rsid w:val="00600E3B"/>
    <w:rsid w:val="00601086"/>
    <w:rsid w:val="00601209"/>
    <w:rsid w:val="00601355"/>
    <w:rsid w:val="0060145D"/>
    <w:rsid w:val="0060145F"/>
    <w:rsid w:val="00601483"/>
    <w:rsid w:val="00601558"/>
    <w:rsid w:val="006015FE"/>
    <w:rsid w:val="0060167C"/>
    <w:rsid w:val="006016AB"/>
    <w:rsid w:val="0060175D"/>
    <w:rsid w:val="00601885"/>
    <w:rsid w:val="00601945"/>
    <w:rsid w:val="00601B21"/>
    <w:rsid w:val="00601B96"/>
    <w:rsid w:val="00601BF9"/>
    <w:rsid w:val="00601D80"/>
    <w:rsid w:val="00601D8B"/>
    <w:rsid w:val="006020A4"/>
    <w:rsid w:val="00602236"/>
    <w:rsid w:val="0060226F"/>
    <w:rsid w:val="006022ED"/>
    <w:rsid w:val="00602367"/>
    <w:rsid w:val="006023B3"/>
    <w:rsid w:val="00602452"/>
    <w:rsid w:val="0060247F"/>
    <w:rsid w:val="00602648"/>
    <w:rsid w:val="006026BA"/>
    <w:rsid w:val="006026D2"/>
    <w:rsid w:val="00602764"/>
    <w:rsid w:val="00602786"/>
    <w:rsid w:val="006027AD"/>
    <w:rsid w:val="00602833"/>
    <w:rsid w:val="00602893"/>
    <w:rsid w:val="006028B0"/>
    <w:rsid w:val="00602A34"/>
    <w:rsid w:val="00602F88"/>
    <w:rsid w:val="00603035"/>
    <w:rsid w:val="0060303B"/>
    <w:rsid w:val="0060304A"/>
    <w:rsid w:val="00603067"/>
    <w:rsid w:val="006030E5"/>
    <w:rsid w:val="006031C7"/>
    <w:rsid w:val="00603483"/>
    <w:rsid w:val="006035B0"/>
    <w:rsid w:val="006035B5"/>
    <w:rsid w:val="006035C9"/>
    <w:rsid w:val="00603778"/>
    <w:rsid w:val="006037DF"/>
    <w:rsid w:val="006037E5"/>
    <w:rsid w:val="00603903"/>
    <w:rsid w:val="00603909"/>
    <w:rsid w:val="00603A27"/>
    <w:rsid w:val="00603A47"/>
    <w:rsid w:val="00603A93"/>
    <w:rsid w:val="00603BF1"/>
    <w:rsid w:val="00603D5A"/>
    <w:rsid w:val="00603DA3"/>
    <w:rsid w:val="00603DD9"/>
    <w:rsid w:val="00603E07"/>
    <w:rsid w:val="00603E80"/>
    <w:rsid w:val="00603E9E"/>
    <w:rsid w:val="00603F3B"/>
    <w:rsid w:val="00604061"/>
    <w:rsid w:val="0060419A"/>
    <w:rsid w:val="0060438B"/>
    <w:rsid w:val="00604788"/>
    <w:rsid w:val="006047A9"/>
    <w:rsid w:val="006047D4"/>
    <w:rsid w:val="0060486D"/>
    <w:rsid w:val="00604914"/>
    <w:rsid w:val="00604927"/>
    <w:rsid w:val="00604947"/>
    <w:rsid w:val="00604A88"/>
    <w:rsid w:val="00604B41"/>
    <w:rsid w:val="00604C31"/>
    <w:rsid w:val="00604E4D"/>
    <w:rsid w:val="00604EB5"/>
    <w:rsid w:val="00604F73"/>
    <w:rsid w:val="00605005"/>
    <w:rsid w:val="00605013"/>
    <w:rsid w:val="0060509A"/>
    <w:rsid w:val="0060523C"/>
    <w:rsid w:val="006052DB"/>
    <w:rsid w:val="0060537C"/>
    <w:rsid w:val="006053A6"/>
    <w:rsid w:val="006054A4"/>
    <w:rsid w:val="006054A5"/>
    <w:rsid w:val="006054A9"/>
    <w:rsid w:val="00605630"/>
    <w:rsid w:val="006056B2"/>
    <w:rsid w:val="00605788"/>
    <w:rsid w:val="0060583D"/>
    <w:rsid w:val="0060589D"/>
    <w:rsid w:val="006058CB"/>
    <w:rsid w:val="00605A51"/>
    <w:rsid w:val="00605A62"/>
    <w:rsid w:val="00605AF6"/>
    <w:rsid w:val="00605C40"/>
    <w:rsid w:val="00605C42"/>
    <w:rsid w:val="00605C68"/>
    <w:rsid w:val="00605D1B"/>
    <w:rsid w:val="00605DD8"/>
    <w:rsid w:val="00605DEE"/>
    <w:rsid w:val="0060601D"/>
    <w:rsid w:val="006060BB"/>
    <w:rsid w:val="006060BE"/>
    <w:rsid w:val="0060610E"/>
    <w:rsid w:val="00606268"/>
    <w:rsid w:val="006062B7"/>
    <w:rsid w:val="00606383"/>
    <w:rsid w:val="006064AD"/>
    <w:rsid w:val="00606521"/>
    <w:rsid w:val="006065B4"/>
    <w:rsid w:val="0060676A"/>
    <w:rsid w:val="00606865"/>
    <w:rsid w:val="006069AF"/>
    <w:rsid w:val="006069B7"/>
    <w:rsid w:val="006069BF"/>
    <w:rsid w:val="00606B62"/>
    <w:rsid w:val="00606B63"/>
    <w:rsid w:val="00606C9E"/>
    <w:rsid w:val="00606CE8"/>
    <w:rsid w:val="00606D94"/>
    <w:rsid w:val="00606DCB"/>
    <w:rsid w:val="00606DD7"/>
    <w:rsid w:val="00606E15"/>
    <w:rsid w:val="00606EEB"/>
    <w:rsid w:val="0060700E"/>
    <w:rsid w:val="006070D6"/>
    <w:rsid w:val="006071A5"/>
    <w:rsid w:val="006071B7"/>
    <w:rsid w:val="00607275"/>
    <w:rsid w:val="006073B9"/>
    <w:rsid w:val="006073EE"/>
    <w:rsid w:val="00607777"/>
    <w:rsid w:val="006077B4"/>
    <w:rsid w:val="00607804"/>
    <w:rsid w:val="00607850"/>
    <w:rsid w:val="006078FD"/>
    <w:rsid w:val="00607A45"/>
    <w:rsid w:val="00607A7F"/>
    <w:rsid w:val="00607AF9"/>
    <w:rsid w:val="00607E54"/>
    <w:rsid w:val="00607E86"/>
    <w:rsid w:val="00607F1E"/>
    <w:rsid w:val="00610042"/>
    <w:rsid w:val="00610187"/>
    <w:rsid w:val="0061025F"/>
    <w:rsid w:val="006102B9"/>
    <w:rsid w:val="0061034C"/>
    <w:rsid w:val="0061039D"/>
    <w:rsid w:val="006103A7"/>
    <w:rsid w:val="006104E4"/>
    <w:rsid w:val="006105B9"/>
    <w:rsid w:val="00610687"/>
    <w:rsid w:val="00610785"/>
    <w:rsid w:val="006107EC"/>
    <w:rsid w:val="006108C4"/>
    <w:rsid w:val="006108D3"/>
    <w:rsid w:val="00610901"/>
    <w:rsid w:val="006109B1"/>
    <w:rsid w:val="00610A42"/>
    <w:rsid w:val="00610B43"/>
    <w:rsid w:val="00610B85"/>
    <w:rsid w:val="00610BE7"/>
    <w:rsid w:val="00610D56"/>
    <w:rsid w:val="00610E4F"/>
    <w:rsid w:val="00610EF7"/>
    <w:rsid w:val="00610F68"/>
    <w:rsid w:val="00610FA9"/>
    <w:rsid w:val="00611047"/>
    <w:rsid w:val="006110A5"/>
    <w:rsid w:val="006111B8"/>
    <w:rsid w:val="0061120D"/>
    <w:rsid w:val="0061123F"/>
    <w:rsid w:val="0061124C"/>
    <w:rsid w:val="006112EC"/>
    <w:rsid w:val="0061139E"/>
    <w:rsid w:val="00611412"/>
    <w:rsid w:val="00611528"/>
    <w:rsid w:val="006115FA"/>
    <w:rsid w:val="00611706"/>
    <w:rsid w:val="00611793"/>
    <w:rsid w:val="006117B0"/>
    <w:rsid w:val="006117D5"/>
    <w:rsid w:val="006118DA"/>
    <w:rsid w:val="006118FE"/>
    <w:rsid w:val="0061190F"/>
    <w:rsid w:val="00611969"/>
    <w:rsid w:val="006119E1"/>
    <w:rsid w:val="00611A92"/>
    <w:rsid w:val="00611AB5"/>
    <w:rsid w:val="00611ABD"/>
    <w:rsid w:val="00611AE4"/>
    <w:rsid w:val="00611B34"/>
    <w:rsid w:val="00611B94"/>
    <w:rsid w:val="00611BCD"/>
    <w:rsid w:val="00611BF0"/>
    <w:rsid w:val="00611C1E"/>
    <w:rsid w:val="00611CCF"/>
    <w:rsid w:val="00611CD3"/>
    <w:rsid w:val="00611DE2"/>
    <w:rsid w:val="00611F6B"/>
    <w:rsid w:val="006120A1"/>
    <w:rsid w:val="006121B4"/>
    <w:rsid w:val="006121C7"/>
    <w:rsid w:val="0061226B"/>
    <w:rsid w:val="0061249F"/>
    <w:rsid w:val="00612555"/>
    <w:rsid w:val="00612596"/>
    <w:rsid w:val="006125B6"/>
    <w:rsid w:val="00612616"/>
    <w:rsid w:val="00612627"/>
    <w:rsid w:val="00612756"/>
    <w:rsid w:val="00612789"/>
    <w:rsid w:val="00612D15"/>
    <w:rsid w:val="00612D8F"/>
    <w:rsid w:val="00612F7F"/>
    <w:rsid w:val="00612F9B"/>
    <w:rsid w:val="00613068"/>
    <w:rsid w:val="00613088"/>
    <w:rsid w:val="006130D3"/>
    <w:rsid w:val="00613250"/>
    <w:rsid w:val="00613398"/>
    <w:rsid w:val="006133C5"/>
    <w:rsid w:val="00613478"/>
    <w:rsid w:val="006134A0"/>
    <w:rsid w:val="006134AF"/>
    <w:rsid w:val="00613567"/>
    <w:rsid w:val="00613644"/>
    <w:rsid w:val="006136BE"/>
    <w:rsid w:val="00613789"/>
    <w:rsid w:val="00613796"/>
    <w:rsid w:val="006138CE"/>
    <w:rsid w:val="00613928"/>
    <w:rsid w:val="006139D7"/>
    <w:rsid w:val="006139F2"/>
    <w:rsid w:val="00613A6D"/>
    <w:rsid w:val="00613C21"/>
    <w:rsid w:val="00613C78"/>
    <w:rsid w:val="00613DB6"/>
    <w:rsid w:val="00613DB7"/>
    <w:rsid w:val="00613EE7"/>
    <w:rsid w:val="00613EEC"/>
    <w:rsid w:val="00613F97"/>
    <w:rsid w:val="00613F99"/>
    <w:rsid w:val="00613FBC"/>
    <w:rsid w:val="00613FD6"/>
    <w:rsid w:val="0061402B"/>
    <w:rsid w:val="006140AD"/>
    <w:rsid w:val="00614146"/>
    <w:rsid w:val="00614158"/>
    <w:rsid w:val="0061419F"/>
    <w:rsid w:val="0061424E"/>
    <w:rsid w:val="00614253"/>
    <w:rsid w:val="0061454D"/>
    <w:rsid w:val="0061456E"/>
    <w:rsid w:val="00614641"/>
    <w:rsid w:val="00614762"/>
    <w:rsid w:val="006147F6"/>
    <w:rsid w:val="0061481C"/>
    <w:rsid w:val="006148EA"/>
    <w:rsid w:val="006149C5"/>
    <w:rsid w:val="00614AB2"/>
    <w:rsid w:val="00614C3A"/>
    <w:rsid w:val="00614D9E"/>
    <w:rsid w:val="00614FAB"/>
    <w:rsid w:val="00614FC5"/>
    <w:rsid w:val="006150FB"/>
    <w:rsid w:val="006151BB"/>
    <w:rsid w:val="0061538D"/>
    <w:rsid w:val="006153BF"/>
    <w:rsid w:val="00615425"/>
    <w:rsid w:val="0061543E"/>
    <w:rsid w:val="006154F3"/>
    <w:rsid w:val="00615713"/>
    <w:rsid w:val="00615735"/>
    <w:rsid w:val="006158EC"/>
    <w:rsid w:val="00615901"/>
    <w:rsid w:val="0061593D"/>
    <w:rsid w:val="00615A78"/>
    <w:rsid w:val="00615AFF"/>
    <w:rsid w:val="00615B4E"/>
    <w:rsid w:val="00615B7F"/>
    <w:rsid w:val="00615D00"/>
    <w:rsid w:val="00615E73"/>
    <w:rsid w:val="00615EDF"/>
    <w:rsid w:val="00615F0D"/>
    <w:rsid w:val="00615F92"/>
    <w:rsid w:val="0061605D"/>
    <w:rsid w:val="00616076"/>
    <w:rsid w:val="006160B3"/>
    <w:rsid w:val="0061612F"/>
    <w:rsid w:val="00616155"/>
    <w:rsid w:val="00616187"/>
    <w:rsid w:val="006161CB"/>
    <w:rsid w:val="0061662F"/>
    <w:rsid w:val="00616695"/>
    <w:rsid w:val="006166F7"/>
    <w:rsid w:val="00616754"/>
    <w:rsid w:val="006169AE"/>
    <w:rsid w:val="00616C77"/>
    <w:rsid w:val="00616D72"/>
    <w:rsid w:val="00616DB0"/>
    <w:rsid w:val="00616F48"/>
    <w:rsid w:val="00616FEC"/>
    <w:rsid w:val="00616FF4"/>
    <w:rsid w:val="006170E5"/>
    <w:rsid w:val="006170ED"/>
    <w:rsid w:val="00617104"/>
    <w:rsid w:val="0061711E"/>
    <w:rsid w:val="006171B5"/>
    <w:rsid w:val="0061731D"/>
    <w:rsid w:val="006173BD"/>
    <w:rsid w:val="006174A9"/>
    <w:rsid w:val="0061798F"/>
    <w:rsid w:val="006179BC"/>
    <w:rsid w:val="00617A6B"/>
    <w:rsid w:val="00617AF6"/>
    <w:rsid w:val="00617B99"/>
    <w:rsid w:val="00617C3B"/>
    <w:rsid w:val="00617E1A"/>
    <w:rsid w:val="00617EE8"/>
    <w:rsid w:val="00617F8A"/>
    <w:rsid w:val="00617FA5"/>
    <w:rsid w:val="00617FE2"/>
    <w:rsid w:val="006201D2"/>
    <w:rsid w:val="0062024B"/>
    <w:rsid w:val="00620432"/>
    <w:rsid w:val="00620571"/>
    <w:rsid w:val="006207B8"/>
    <w:rsid w:val="00620837"/>
    <w:rsid w:val="00620987"/>
    <w:rsid w:val="00620AEF"/>
    <w:rsid w:val="00620BFF"/>
    <w:rsid w:val="00620CE9"/>
    <w:rsid w:val="00620E6A"/>
    <w:rsid w:val="0062109E"/>
    <w:rsid w:val="006210C2"/>
    <w:rsid w:val="0062135E"/>
    <w:rsid w:val="0062148B"/>
    <w:rsid w:val="00621671"/>
    <w:rsid w:val="00621749"/>
    <w:rsid w:val="00621776"/>
    <w:rsid w:val="006217F5"/>
    <w:rsid w:val="00621888"/>
    <w:rsid w:val="006219B5"/>
    <w:rsid w:val="006219FF"/>
    <w:rsid w:val="00621A50"/>
    <w:rsid w:val="00621B14"/>
    <w:rsid w:val="00621B93"/>
    <w:rsid w:val="00621CA9"/>
    <w:rsid w:val="00621CEB"/>
    <w:rsid w:val="00621D33"/>
    <w:rsid w:val="00621D37"/>
    <w:rsid w:val="00621D92"/>
    <w:rsid w:val="00621E34"/>
    <w:rsid w:val="00621EFB"/>
    <w:rsid w:val="00622070"/>
    <w:rsid w:val="006221DE"/>
    <w:rsid w:val="00622305"/>
    <w:rsid w:val="006223BB"/>
    <w:rsid w:val="0062245F"/>
    <w:rsid w:val="00622513"/>
    <w:rsid w:val="006226C6"/>
    <w:rsid w:val="006228EF"/>
    <w:rsid w:val="00622BAF"/>
    <w:rsid w:val="00622CB1"/>
    <w:rsid w:val="00622CBC"/>
    <w:rsid w:val="00622CEE"/>
    <w:rsid w:val="00622E0C"/>
    <w:rsid w:val="00622E79"/>
    <w:rsid w:val="00622F1D"/>
    <w:rsid w:val="00622F97"/>
    <w:rsid w:val="00623058"/>
    <w:rsid w:val="006231A3"/>
    <w:rsid w:val="006231C9"/>
    <w:rsid w:val="00623275"/>
    <w:rsid w:val="0062327D"/>
    <w:rsid w:val="00623323"/>
    <w:rsid w:val="00623450"/>
    <w:rsid w:val="006234B9"/>
    <w:rsid w:val="00623673"/>
    <w:rsid w:val="006236C4"/>
    <w:rsid w:val="006236C7"/>
    <w:rsid w:val="0062388D"/>
    <w:rsid w:val="006238D3"/>
    <w:rsid w:val="0062392F"/>
    <w:rsid w:val="00623973"/>
    <w:rsid w:val="00623A11"/>
    <w:rsid w:val="00623AB2"/>
    <w:rsid w:val="00623BEB"/>
    <w:rsid w:val="00623CA8"/>
    <w:rsid w:val="00623D18"/>
    <w:rsid w:val="00623D74"/>
    <w:rsid w:val="00623D8F"/>
    <w:rsid w:val="00623EF3"/>
    <w:rsid w:val="00623F12"/>
    <w:rsid w:val="006241D9"/>
    <w:rsid w:val="00624227"/>
    <w:rsid w:val="00624530"/>
    <w:rsid w:val="00624633"/>
    <w:rsid w:val="00624957"/>
    <w:rsid w:val="0062497B"/>
    <w:rsid w:val="00624A79"/>
    <w:rsid w:val="00624B6C"/>
    <w:rsid w:val="00624CAE"/>
    <w:rsid w:val="00624D8C"/>
    <w:rsid w:val="00624DEB"/>
    <w:rsid w:val="00624EB3"/>
    <w:rsid w:val="00624F5F"/>
    <w:rsid w:val="0062509F"/>
    <w:rsid w:val="006250A5"/>
    <w:rsid w:val="006250D8"/>
    <w:rsid w:val="00625144"/>
    <w:rsid w:val="00625183"/>
    <w:rsid w:val="0062533B"/>
    <w:rsid w:val="006253F1"/>
    <w:rsid w:val="00625404"/>
    <w:rsid w:val="0062544A"/>
    <w:rsid w:val="00625512"/>
    <w:rsid w:val="006255AB"/>
    <w:rsid w:val="006256BF"/>
    <w:rsid w:val="0062576F"/>
    <w:rsid w:val="00625828"/>
    <w:rsid w:val="00625A98"/>
    <w:rsid w:val="00625ABD"/>
    <w:rsid w:val="00625AF0"/>
    <w:rsid w:val="00625B70"/>
    <w:rsid w:val="00625EB7"/>
    <w:rsid w:val="00625F7A"/>
    <w:rsid w:val="00625FFC"/>
    <w:rsid w:val="006260C5"/>
    <w:rsid w:val="0062626F"/>
    <w:rsid w:val="006262B4"/>
    <w:rsid w:val="006262E1"/>
    <w:rsid w:val="006263A3"/>
    <w:rsid w:val="006263B5"/>
    <w:rsid w:val="006263D1"/>
    <w:rsid w:val="0062641A"/>
    <w:rsid w:val="00626430"/>
    <w:rsid w:val="00626442"/>
    <w:rsid w:val="0062649B"/>
    <w:rsid w:val="006264D6"/>
    <w:rsid w:val="00626652"/>
    <w:rsid w:val="006266DC"/>
    <w:rsid w:val="00626731"/>
    <w:rsid w:val="00626752"/>
    <w:rsid w:val="00626763"/>
    <w:rsid w:val="0062679C"/>
    <w:rsid w:val="006268B3"/>
    <w:rsid w:val="00626A01"/>
    <w:rsid w:val="00626A45"/>
    <w:rsid w:val="00626B24"/>
    <w:rsid w:val="00626B4F"/>
    <w:rsid w:val="00626B92"/>
    <w:rsid w:val="00626CA1"/>
    <w:rsid w:val="00626CAB"/>
    <w:rsid w:val="00626DF6"/>
    <w:rsid w:val="00626ECC"/>
    <w:rsid w:val="00626FBB"/>
    <w:rsid w:val="006271F9"/>
    <w:rsid w:val="006272BB"/>
    <w:rsid w:val="006272D2"/>
    <w:rsid w:val="006272F9"/>
    <w:rsid w:val="006273A5"/>
    <w:rsid w:val="006273B6"/>
    <w:rsid w:val="0062740C"/>
    <w:rsid w:val="0062746F"/>
    <w:rsid w:val="006274FF"/>
    <w:rsid w:val="00627570"/>
    <w:rsid w:val="00627718"/>
    <w:rsid w:val="0062772E"/>
    <w:rsid w:val="006278F4"/>
    <w:rsid w:val="006279C3"/>
    <w:rsid w:val="00627B20"/>
    <w:rsid w:val="00627CB0"/>
    <w:rsid w:val="00627CC5"/>
    <w:rsid w:val="00627D12"/>
    <w:rsid w:val="00627F25"/>
    <w:rsid w:val="00627F4B"/>
    <w:rsid w:val="00627FB3"/>
    <w:rsid w:val="00630154"/>
    <w:rsid w:val="0063026E"/>
    <w:rsid w:val="0063041D"/>
    <w:rsid w:val="00630482"/>
    <w:rsid w:val="00630517"/>
    <w:rsid w:val="0063052E"/>
    <w:rsid w:val="006305D9"/>
    <w:rsid w:val="00630779"/>
    <w:rsid w:val="0063079B"/>
    <w:rsid w:val="006307DF"/>
    <w:rsid w:val="006309FF"/>
    <w:rsid w:val="00630AF2"/>
    <w:rsid w:val="00630D2D"/>
    <w:rsid w:val="00630D61"/>
    <w:rsid w:val="00630D8B"/>
    <w:rsid w:val="00630DA5"/>
    <w:rsid w:val="00630DEC"/>
    <w:rsid w:val="00630F26"/>
    <w:rsid w:val="006310FB"/>
    <w:rsid w:val="00631173"/>
    <w:rsid w:val="0063120D"/>
    <w:rsid w:val="00631238"/>
    <w:rsid w:val="0063136C"/>
    <w:rsid w:val="00631391"/>
    <w:rsid w:val="006314F4"/>
    <w:rsid w:val="006315FA"/>
    <w:rsid w:val="00631616"/>
    <w:rsid w:val="006316BB"/>
    <w:rsid w:val="006316F7"/>
    <w:rsid w:val="00631886"/>
    <w:rsid w:val="006318BE"/>
    <w:rsid w:val="00631B2D"/>
    <w:rsid w:val="00631EF6"/>
    <w:rsid w:val="00631F4E"/>
    <w:rsid w:val="00631F8F"/>
    <w:rsid w:val="00631FBF"/>
    <w:rsid w:val="00632031"/>
    <w:rsid w:val="006320FB"/>
    <w:rsid w:val="00632231"/>
    <w:rsid w:val="006322D1"/>
    <w:rsid w:val="006324A8"/>
    <w:rsid w:val="006324C3"/>
    <w:rsid w:val="006324C4"/>
    <w:rsid w:val="006324E1"/>
    <w:rsid w:val="0063254F"/>
    <w:rsid w:val="00632599"/>
    <w:rsid w:val="0063259D"/>
    <w:rsid w:val="006325DE"/>
    <w:rsid w:val="006326C9"/>
    <w:rsid w:val="006328EE"/>
    <w:rsid w:val="00632A89"/>
    <w:rsid w:val="00632F2B"/>
    <w:rsid w:val="00632F40"/>
    <w:rsid w:val="00632F72"/>
    <w:rsid w:val="00632FBF"/>
    <w:rsid w:val="00632FEE"/>
    <w:rsid w:val="0063313D"/>
    <w:rsid w:val="00633293"/>
    <w:rsid w:val="0063331E"/>
    <w:rsid w:val="00633385"/>
    <w:rsid w:val="00633391"/>
    <w:rsid w:val="00633557"/>
    <w:rsid w:val="006336F5"/>
    <w:rsid w:val="006338BE"/>
    <w:rsid w:val="00633B3F"/>
    <w:rsid w:val="00633C7E"/>
    <w:rsid w:val="00633C88"/>
    <w:rsid w:val="00633CB4"/>
    <w:rsid w:val="00633CE6"/>
    <w:rsid w:val="00633D3F"/>
    <w:rsid w:val="00633E8E"/>
    <w:rsid w:val="00633EDA"/>
    <w:rsid w:val="00633F90"/>
    <w:rsid w:val="00633FF8"/>
    <w:rsid w:val="006342D5"/>
    <w:rsid w:val="0063433C"/>
    <w:rsid w:val="0063434D"/>
    <w:rsid w:val="00634376"/>
    <w:rsid w:val="00634575"/>
    <w:rsid w:val="006345A3"/>
    <w:rsid w:val="00634632"/>
    <w:rsid w:val="006346DB"/>
    <w:rsid w:val="0063474C"/>
    <w:rsid w:val="00634796"/>
    <w:rsid w:val="006348BE"/>
    <w:rsid w:val="00634A78"/>
    <w:rsid w:val="00634B06"/>
    <w:rsid w:val="00634C02"/>
    <w:rsid w:val="00634E5F"/>
    <w:rsid w:val="00634F2F"/>
    <w:rsid w:val="00634FB5"/>
    <w:rsid w:val="00634FF7"/>
    <w:rsid w:val="00635076"/>
    <w:rsid w:val="00635101"/>
    <w:rsid w:val="006351E9"/>
    <w:rsid w:val="0063552D"/>
    <w:rsid w:val="00635591"/>
    <w:rsid w:val="00635673"/>
    <w:rsid w:val="0063585C"/>
    <w:rsid w:val="00635877"/>
    <w:rsid w:val="00635AC6"/>
    <w:rsid w:val="00635C64"/>
    <w:rsid w:val="00635C92"/>
    <w:rsid w:val="00635D5B"/>
    <w:rsid w:val="00635D79"/>
    <w:rsid w:val="00635D90"/>
    <w:rsid w:val="006360DA"/>
    <w:rsid w:val="006360F0"/>
    <w:rsid w:val="00636154"/>
    <w:rsid w:val="006361B1"/>
    <w:rsid w:val="00636217"/>
    <w:rsid w:val="006362E9"/>
    <w:rsid w:val="0063632F"/>
    <w:rsid w:val="0063641C"/>
    <w:rsid w:val="006364EF"/>
    <w:rsid w:val="00636863"/>
    <w:rsid w:val="00636937"/>
    <w:rsid w:val="00636963"/>
    <w:rsid w:val="00636A0C"/>
    <w:rsid w:val="00636A1F"/>
    <w:rsid w:val="00636CF3"/>
    <w:rsid w:val="00636DB2"/>
    <w:rsid w:val="00636DF7"/>
    <w:rsid w:val="00636E23"/>
    <w:rsid w:val="00637005"/>
    <w:rsid w:val="0063706F"/>
    <w:rsid w:val="006370BB"/>
    <w:rsid w:val="006371E2"/>
    <w:rsid w:val="006371F9"/>
    <w:rsid w:val="00637344"/>
    <w:rsid w:val="006374CC"/>
    <w:rsid w:val="006378A8"/>
    <w:rsid w:val="006379CF"/>
    <w:rsid w:val="00637A44"/>
    <w:rsid w:val="00637A77"/>
    <w:rsid w:val="00637B58"/>
    <w:rsid w:val="00637BBC"/>
    <w:rsid w:val="00637BD9"/>
    <w:rsid w:val="00637D88"/>
    <w:rsid w:val="00637E2E"/>
    <w:rsid w:val="00637E41"/>
    <w:rsid w:val="00637EAF"/>
    <w:rsid w:val="00637FE1"/>
    <w:rsid w:val="006400AB"/>
    <w:rsid w:val="006400C2"/>
    <w:rsid w:val="0064027B"/>
    <w:rsid w:val="006402FC"/>
    <w:rsid w:val="0064043E"/>
    <w:rsid w:val="0064046E"/>
    <w:rsid w:val="006404B4"/>
    <w:rsid w:val="006404F4"/>
    <w:rsid w:val="006405CE"/>
    <w:rsid w:val="0064064A"/>
    <w:rsid w:val="006406C9"/>
    <w:rsid w:val="0064090A"/>
    <w:rsid w:val="0064094F"/>
    <w:rsid w:val="00640A79"/>
    <w:rsid w:val="00640AD7"/>
    <w:rsid w:val="00640AE7"/>
    <w:rsid w:val="00640C22"/>
    <w:rsid w:val="00640DC2"/>
    <w:rsid w:val="00640E4F"/>
    <w:rsid w:val="00640E6D"/>
    <w:rsid w:val="00640F6A"/>
    <w:rsid w:val="00641052"/>
    <w:rsid w:val="0064105C"/>
    <w:rsid w:val="006413A5"/>
    <w:rsid w:val="006413DE"/>
    <w:rsid w:val="0064158D"/>
    <w:rsid w:val="00641770"/>
    <w:rsid w:val="006418A0"/>
    <w:rsid w:val="006418D5"/>
    <w:rsid w:val="00641A20"/>
    <w:rsid w:val="00641A7D"/>
    <w:rsid w:val="00641AE6"/>
    <w:rsid w:val="00641C7E"/>
    <w:rsid w:val="00641D56"/>
    <w:rsid w:val="00641E23"/>
    <w:rsid w:val="00641EB0"/>
    <w:rsid w:val="00641EBB"/>
    <w:rsid w:val="00641F10"/>
    <w:rsid w:val="00641FD6"/>
    <w:rsid w:val="00641FDE"/>
    <w:rsid w:val="0064216A"/>
    <w:rsid w:val="00642213"/>
    <w:rsid w:val="0064239E"/>
    <w:rsid w:val="0064255C"/>
    <w:rsid w:val="0064268D"/>
    <w:rsid w:val="00642756"/>
    <w:rsid w:val="0064275C"/>
    <w:rsid w:val="00642858"/>
    <w:rsid w:val="0064293A"/>
    <w:rsid w:val="006429C9"/>
    <w:rsid w:val="00642A4A"/>
    <w:rsid w:val="00642CCE"/>
    <w:rsid w:val="00642DBF"/>
    <w:rsid w:val="00642E49"/>
    <w:rsid w:val="00642F2E"/>
    <w:rsid w:val="00642F5C"/>
    <w:rsid w:val="00642F73"/>
    <w:rsid w:val="00642FFF"/>
    <w:rsid w:val="0064301A"/>
    <w:rsid w:val="006430C9"/>
    <w:rsid w:val="00643139"/>
    <w:rsid w:val="006431E5"/>
    <w:rsid w:val="006431FA"/>
    <w:rsid w:val="006432D8"/>
    <w:rsid w:val="0064334B"/>
    <w:rsid w:val="006433E9"/>
    <w:rsid w:val="00643405"/>
    <w:rsid w:val="00643452"/>
    <w:rsid w:val="00643496"/>
    <w:rsid w:val="006434DD"/>
    <w:rsid w:val="0064359D"/>
    <w:rsid w:val="00643611"/>
    <w:rsid w:val="0064365F"/>
    <w:rsid w:val="00643713"/>
    <w:rsid w:val="00643775"/>
    <w:rsid w:val="0064385B"/>
    <w:rsid w:val="00643882"/>
    <w:rsid w:val="006438B3"/>
    <w:rsid w:val="006438B8"/>
    <w:rsid w:val="006438FF"/>
    <w:rsid w:val="00643AD1"/>
    <w:rsid w:val="00643B14"/>
    <w:rsid w:val="00643B6D"/>
    <w:rsid w:val="00643BEA"/>
    <w:rsid w:val="00643C79"/>
    <w:rsid w:val="00643C9D"/>
    <w:rsid w:val="00643D07"/>
    <w:rsid w:val="00643D21"/>
    <w:rsid w:val="00643D92"/>
    <w:rsid w:val="00643DA0"/>
    <w:rsid w:val="00643E52"/>
    <w:rsid w:val="0064406D"/>
    <w:rsid w:val="006440FB"/>
    <w:rsid w:val="006441B6"/>
    <w:rsid w:val="006443EE"/>
    <w:rsid w:val="0064445D"/>
    <w:rsid w:val="0064451E"/>
    <w:rsid w:val="006445B4"/>
    <w:rsid w:val="00644A04"/>
    <w:rsid w:val="00644A15"/>
    <w:rsid w:val="00644B61"/>
    <w:rsid w:val="00644B65"/>
    <w:rsid w:val="00644BB7"/>
    <w:rsid w:val="00644C71"/>
    <w:rsid w:val="00644D11"/>
    <w:rsid w:val="00644D91"/>
    <w:rsid w:val="00644DF4"/>
    <w:rsid w:val="00644FF9"/>
    <w:rsid w:val="00645178"/>
    <w:rsid w:val="00645244"/>
    <w:rsid w:val="006454D9"/>
    <w:rsid w:val="00645544"/>
    <w:rsid w:val="006457D4"/>
    <w:rsid w:val="00645899"/>
    <w:rsid w:val="006458A3"/>
    <w:rsid w:val="00645905"/>
    <w:rsid w:val="00645946"/>
    <w:rsid w:val="006459AA"/>
    <w:rsid w:val="00645B3F"/>
    <w:rsid w:val="00645B8E"/>
    <w:rsid w:val="00645C64"/>
    <w:rsid w:val="00645CCB"/>
    <w:rsid w:val="00645CE0"/>
    <w:rsid w:val="00645E72"/>
    <w:rsid w:val="00645E86"/>
    <w:rsid w:val="00645FA6"/>
    <w:rsid w:val="00646089"/>
    <w:rsid w:val="006460CD"/>
    <w:rsid w:val="00646162"/>
    <w:rsid w:val="006461BA"/>
    <w:rsid w:val="00646508"/>
    <w:rsid w:val="006465EF"/>
    <w:rsid w:val="00646650"/>
    <w:rsid w:val="0064698D"/>
    <w:rsid w:val="006469FB"/>
    <w:rsid w:val="00646B00"/>
    <w:rsid w:val="00646B75"/>
    <w:rsid w:val="00646B90"/>
    <w:rsid w:val="00646B95"/>
    <w:rsid w:val="00646CA8"/>
    <w:rsid w:val="00646D0C"/>
    <w:rsid w:val="00646E24"/>
    <w:rsid w:val="00647008"/>
    <w:rsid w:val="00647096"/>
    <w:rsid w:val="006470C4"/>
    <w:rsid w:val="00647277"/>
    <w:rsid w:val="0064735A"/>
    <w:rsid w:val="0064736D"/>
    <w:rsid w:val="00647372"/>
    <w:rsid w:val="00647446"/>
    <w:rsid w:val="00647469"/>
    <w:rsid w:val="00647546"/>
    <w:rsid w:val="00647555"/>
    <w:rsid w:val="006475B1"/>
    <w:rsid w:val="006475FF"/>
    <w:rsid w:val="006476A1"/>
    <w:rsid w:val="006476A2"/>
    <w:rsid w:val="0064783C"/>
    <w:rsid w:val="006478AA"/>
    <w:rsid w:val="006478AB"/>
    <w:rsid w:val="00647951"/>
    <w:rsid w:val="00647A6D"/>
    <w:rsid w:val="00647BC7"/>
    <w:rsid w:val="00647BFD"/>
    <w:rsid w:val="00647C7E"/>
    <w:rsid w:val="00647C96"/>
    <w:rsid w:val="00647D08"/>
    <w:rsid w:val="00647D23"/>
    <w:rsid w:val="00647E22"/>
    <w:rsid w:val="00647E6F"/>
    <w:rsid w:val="00647EDE"/>
    <w:rsid w:val="00650236"/>
    <w:rsid w:val="00650261"/>
    <w:rsid w:val="00650468"/>
    <w:rsid w:val="006504C4"/>
    <w:rsid w:val="00650809"/>
    <w:rsid w:val="0065080A"/>
    <w:rsid w:val="006508F3"/>
    <w:rsid w:val="00650A92"/>
    <w:rsid w:val="00650ABA"/>
    <w:rsid w:val="00650AF1"/>
    <w:rsid w:val="00650BF1"/>
    <w:rsid w:val="00650C85"/>
    <w:rsid w:val="00650CDF"/>
    <w:rsid w:val="00650E70"/>
    <w:rsid w:val="00650F0D"/>
    <w:rsid w:val="00651054"/>
    <w:rsid w:val="006510D0"/>
    <w:rsid w:val="006512E1"/>
    <w:rsid w:val="006512F7"/>
    <w:rsid w:val="0065130E"/>
    <w:rsid w:val="00651406"/>
    <w:rsid w:val="00651436"/>
    <w:rsid w:val="006514A0"/>
    <w:rsid w:val="006514BD"/>
    <w:rsid w:val="00651531"/>
    <w:rsid w:val="00651543"/>
    <w:rsid w:val="0065154C"/>
    <w:rsid w:val="00651798"/>
    <w:rsid w:val="0065180A"/>
    <w:rsid w:val="00651841"/>
    <w:rsid w:val="00651894"/>
    <w:rsid w:val="006519B7"/>
    <w:rsid w:val="00651AD6"/>
    <w:rsid w:val="00651C8B"/>
    <w:rsid w:val="00651C9A"/>
    <w:rsid w:val="00651DAB"/>
    <w:rsid w:val="00651DB7"/>
    <w:rsid w:val="00651DEF"/>
    <w:rsid w:val="00651E20"/>
    <w:rsid w:val="00651E2A"/>
    <w:rsid w:val="00651E46"/>
    <w:rsid w:val="00651EA0"/>
    <w:rsid w:val="00651EE3"/>
    <w:rsid w:val="006521AB"/>
    <w:rsid w:val="006521AC"/>
    <w:rsid w:val="006522A7"/>
    <w:rsid w:val="006525CD"/>
    <w:rsid w:val="0065270D"/>
    <w:rsid w:val="006527A1"/>
    <w:rsid w:val="00652885"/>
    <w:rsid w:val="00652894"/>
    <w:rsid w:val="006528E0"/>
    <w:rsid w:val="006528EE"/>
    <w:rsid w:val="00652A1C"/>
    <w:rsid w:val="00652BF2"/>
    <w:rsid w:val="00652C45"/>
    <w:rsid w:val="00652CDE"/>
    <w:rsid w:val="00652DA0"/>
    <w:rsid w:val="00652DA8"/>
    <w:rsid w:val="00652E27"/>
    <w:rsid w:val="00652E4B"/>
    <w:rsid w:val="00652F09"/>
    <w:rsid w:val="00652F74"/>
    <w:rsid w:val="00652F80"/>
    <w:rsid w:val="00652F9F"/>
    <w:rsid w:val="00653072"/>
    <w:rsid w:val="0065308B"/>
    <w:rsid w:val="00653191"/>
    <w:rsid w:val="00653205"/>
    <w:rsid w:val="006532BA"/>
    <w:rsid w:val="006532D6"/>
    <w:rsid w:val="006534CD"/>
    <w:rsid w:val="00653536"/>
    <w:rsid w:val="00653586"/>
    <w:rsid w:val="00653663"/>
    <w:rsid w:val="0065379D"/>
    <w:rsid w:val="0065380D"/>
    <w:rsid w:val="00653821"/>
    <w:rsid w:val="006538E8"/>
    <w:rsid w:val="006538EF"/>
    <w:rsid w:val="00653916"/>
    <w:rsid w:val="00653989"/>
    <w:rsid w:val="006539AD"/>
    <w:rsid w:val="006539F3"/>
    <w:rsid w:val="00653B28"/>
    <w:rsid w:val="00653BB4"/>
    <w:rsid w:val="00653CBB"/>
    <w:rsid w:val="00653CF4"/>
    <w:rsid w:val="00653D00"/>
    <w:rsid w:val="00653D0D"/>
    <w:rsid w:val="00653D8C"/>
    <w:rsid w:val="00653F01"/>
    <w:rsid w:val="00653FBE"/>
    <w:rsid w:val="00654053"/>
    <w:rsid w:val="0065409A"/>
    <w:rsid w:val="00654178"/>
    <w:rsid w:val="006541BE"/>
    <w:rsid w:val="00654263"/>
    <w:rsid w:val="006544F6"/>
    <w:rsid w:val="0065457F"/>
    <w:rsid w:val="0065468F"/>
    <w:rsid w:val="00654744"/>
    <w:rsid w:val="006547A0"/>
    <w:rsid w:val="00654893"/>
    <w:rsid w:val="006548AA"/>
    <w:rsid w:val="006548C7"/>
    <w:rsid w:val="00654956"/>
    <w:rsid w:val="0065497C"/>
    <w:rsid w:val="00654A92"/>
    <w:rsid w:val="00654B1B"/>
    <w:rsid w:val="00654B38"/>
    <w:rsid w:val="00654B4A"/>
    <w:rsid w:val="00654E90"/>
    <w:rsid w:val="0065504B"/>
    <w:rsid w:val="0065504E"/>
    <w:rsid w:val="00655050"/>
    <w:rsid w:val="006550C2"/>
    <w:rsid w:val="006550D0"/>
    <w:rsid w:val="0065512F"/>
    <w:rsid w:val="006551BE"/>
    <w:rsid w:val="0065533F"/>
    <w:rsid w:val="006553D7"/>
    <w:rsid w:val="006554E1"/>
    <w:rsid w:val="00655515"/>
    <w:rsid w:val="006556F9"/>
    <w:rsid w:val="0065570F"/>
    <w:rsid w:val="006557B0"/>
    <w:rsid w:val="00655846"/>
    <w:rsid w:val="006558F2"/>
    <w:rsid w:val="00655942"/>
    <w:rsid w:val="006559CC"/>
    <w:rsid w:val="00655B4A"/>
    <w:rsid w:val="00655CD3"/>
    <w:rsid w:val="00655F25"/>
    <w:rsid w:val="00655F90"/>
    <w:rsid w:val="00655FE2"/>
    <w:rsid w:val="00656054"/>
    <w:rsid w:val="00656090"/>
    <w:rsid w:val="00656148"/>
    <w:rsid w:val="006561D4"/>
    <w:rsid w:val="0065623E"/>
    <w:rsid w:val="00656333"/>
    <w:rsid w:val="0065641D"/>
    <w:rsid w:val="0065652B"/>
    <w:rsid w:val="006565E4"/>
    <w:rsid w:val="00656706"/>
    <w:rsid w:val="00656779"/>
    <w:rsid w:val="006567DA"/>
    <w:rsid w:val="006567E9"/>
    <w:rsid w:val="006567F9"/>
    <w:rsid w:val="00656866"/>
    <w:rsid w:val="006568F9"/>
    <w:rsid w:val="00656D2F"/>
    <w:rsid w:val="00656DC8"/>
    <w:rsid w:val="00656E43"/>
    <w:rsid w:val="00656E6F"/>
    <w:rsid w:val="0065710E"/>
    <w:rsid w:val="0065725E"/>
    <w:rsid w:val="0065732D"/>
    <w:rsid w:val="00657350"/>
    <w:rsid w:val="006573C0"/>
    <w:rsid w:val="00657414"/>
    <w:rsid w:val="006574CA"/>
    <w:rsid w:val="006574F4"/>
    <w:rsid w:val="0065751E"/>
    <w:rsid w:val="006576BD"/>
    <w:rsid w:val="006576DD"/>
    <w:rsid w:val="00657846"/>
    <w:rsid w:val="00657909"/>
    <w:rsid w:val="006579F6"/>
    <w:rsid w:val="00657C01"/>
    <w:rsid w:val="00657CD7"/>
    <w:rsid w:val="00657DA4"/>
    <w:rsid w:val="00657FD5"/>
    <w:rsid w:val="00660093"/>
    <w:rsid w:val="00660127"/>
    <w:rsid w:val="006602D6"/>
    <w:rsid w:val="006606C9"/>
    <w:rsid w:val="00660839"/>
    <w:rsid w:val="006608B2"/>
    <w:rsid w:val="006609AE"/>
    <w:rsid w:val="006609D1"/>
    <w:rsid w:val="00660AB5"/>
    <w:rsid w:val="00660AB6"/>
    <w:rsid w:val="00660ABC"/>
    <w:rsid w:val="00660B18"/>
    <w:rsid w:val="00660C16"/>
    <w:rsid w:val="00660C84"/>
    <w:rsid w:val="00660CD0"/>
    <w:rsid w:val="00660CEE"/>
    <w:rsid w:val="00660DB0"/>
    <w:rsid w:val="00660E8B"/>
    <w:rsid w:val="00660ED3"/>
    <w:rsid w:val="00660F1E"/>
    <w:rsid w:val="00660F28"/>
    <w:rsid w:val="00660F65"/>
    <w:rsid w:val="00661237"/>
    <w:rsid w:val="00661274"/>
    <w:rsid w:val="006612E5"/>
    <w:rsid w:val="00661383"/>
    <w:rsid w:val="00661411"/>
    <w:rsid w:val="0066146E"/>
    <w:rsid w:val="0066147C"/>
    <w:rsid w:val="00661544"/>
    <w:rsid w:val="006616C7"/>
    <w:rsid w:val="00661743"/>
    <w:rsid w:val="00661807"/>
    <w:rsid w:val="006618D9"/>
    <w:rsid w:val="00661B43"/>
    <w:rsid w:val="00661B9F"/>
    <w:rsid w:val="00661DDE"/>
    <w:rsid w:val="00661E3B"/>
    <w:rsid w:val="00661FA2"/>
    <w:rsid w:val="00661FAC"/>
    <w:rsid w:val="00661FCF"/>
    <w:rsid w:val="00662030"/>
    <w:rsid w:val="00662124"/>
    <w:rsid w:val="0066212C"/>
    <w:rsid w:val="006625B8"/>
    <w:rsid w:val="00662622"/>
    <w:rsid w:val="006626FF"/>
    <w:rsid w:val="006627AB"/>
    <w:rsid w:val="00662834"/>
    <w:rsid w:val="00662853"/>
    <w:rsid w:val="006628C4"/>
    <w:rsid w:val="006629D1"/>
    <w:rsid w:val="006629DE"/>
    <w:rsid w:val="00662BAF"/>
    <w:rsid w:val="00662D17"/>
    <w:rsid w:val="00662D1A"/>
    <w:rsid w:val="00662DBB"/>
    <w:rsid w:val="00662DDD"/>
    <w:rsid w:val="00662F51"/>
    <w:rsid w:val="00662FA0"/>
    <w:rsid w:val="00663016"/>
    <w:rsid w:val="0066311B"/>
    <w:rsid w:val="00663123"/>
    <w:rsid w:val="0066318B"/>
    <w:rsid w:val="00663243"/>
    <w:rsid w:val="00663299"/>
    <w:rsid w:val="00663379"/>
    <w:rsid w:val="00663425"/>
    <w:rsid w:val="006634F9"/>
    <w:rsid w:val="00663638"/>
    <w:rsid w:val="00663670"/>
    <w:rsid w:val="0066367E"/>
    <w:rsid w:val="00663791"/>
    <w:rsid w:val="006637C7"/>
    <w:rsid w:val="00663847"/>
    <w:rsid w:val="006638C3"/>
    <w:rsid w:val="006638EB"/>
    <w:rsid w:val="006639E1"/>
    <w:rsid w:val="00663A80"/>
    <w:rsid w:val="00663CFC"/>
    <w:rsid w:val="00663E5E"/>
    <w:rsid w:val="00663EB2"/>
    <w:rsid w:val="006641D3"/>
    <w:rsid w:val="0066431B"/>
    <w:rsid w:val="0066452A"/>
    <w:rsid w:val="00664585"/>
    <w:rsid w:val="006645FE"/>
    <w:rsid w:val="006647DB"/>
    <w:rsid w:val="00664886"/>
    <w:rsid w:val="0066489F"/>
    <w:rsid w:val="00664B46"/>
    <w:rsid w:val="00664BB2"/>
    <w:rsid w:val="00664BD6"/>
    <w:rsid w:val="00664C3B"/>
    <w:rsid w:val="00664E45"/>
    <w:rsid w:val="00664E7D"/>
    <w:rsid w:val="0066505D"/>
    <w:rsid w:val="00665081"/>
    <w:rsid w:val="00665159"/>
    <w:rsid w:val="006651E2"/>
    <w:rsid w:val="00665291"/>
    <w:rsid w:val="00665534"/>
    <w:rsid w:val="00665631"/>
    <w:rsid w:val="006656E6"/>
    <w:rsid w:val="006658B7"/>
    <w:rsid w:val="00665977"/>
    <w:rsid w:val="00665A44"/>
    <w:rsid w:val="00665AE5"/>
    <w:rsid w:val="00665B36"/>
    <w:rsid w:val="00665BFC"/>
    <w:rsid w:val="00665C21"/>
    <w:rsid w:val="00665CF0"/>
    <w:rsid w:val="00665DD2"/>
    <w:rsid w:val="00665DDE"/>
    <w:rsid w:val="0066608D"/>
    <w:rsid w:val="00666141"/>
    <w:rsid w:val="00666185"/>
    <w:rsid w:val="0066649D"/>
    <w:rsid w:val="0066651B"/>
    <w:rsid w:val="0066652B"/>
    <w:rsid w:val="006666AC"/>
    <w:rsid w:val="0066671B"/>
    <w:rsid w:val="006667D8"/>
    <w:rsid w:val="006667DA"/>
    <w:rsid w:val="006669DE"/>
    <w:rsid w:val="006669F0"/>
    <w:rsid w:val="00666A76"/>
    <w:rsid w:val="00666BC5"/>
    <w:rsid w:val="00666C7A"/>
    <w:rsid w:val="00666DF9"/>
    <w:rsid w:val="00666EAC"/>
    <w:rsid w:val="0066712F"/>
    <w:rsid w:val="006673DB"/>
    <w:rsid w:val="006673E4"/>
    <w:rsid w:val="0066741C"/>
    <w:rsid w:val="00667479"/>
    <w:rsid w:val="0066748F"/>
    <w:rsid w:val="006675C5"/>
    <w:rsid w:val="0066778F"/>
    <w:rsid w:val="00667807"/>
    <w:rsid w:val="006678DC"/>
    <w:rsid w:val="00667A1C"/>
    <w:rsid w:val="00667A75"/>
    <w:rsid w:val="00667AB7"/>
    <w:rsid w:val="00667B5A"/>
    <w:rsid w:val="00667C33"/>
    <w:rsid w:val="00667C5F"/>
    <w:rsid w:val="00667D1B"/>
    <w:rsid w:val="00667F9C"/>
    <w:rsid w:val="00667FBF"/>
    <w:rsid w:val="006701CB"/>
    <w:rsid w:val="006701F5"/>
    <w:rsid w:val="00670234"/>
    <w:rsid w:val="006702FF"/>
    <w:rsid w:val="006703E1"/>
    <w:rsid w:val="006703F3"/>
    <w:rsid w:val="006704AB"/>
    <w:rsid w:val="0067080E"/>
    <w:rsid w:val="0067083F"/>
    <w:rsid w:val="0067084D"/>
    <w:rsid w:val="00670850"/>
    <w:rsid w:val="006709E4"/>
    <w:rsid w:val="00670A11"/>
    <w:rsid w:val="00670ACE"/>
    <w:rsid w:val="00670C2D"/>
    <w:rsid w:val="0067111B"/>
    <w:rsid w:val="00671259"/>
    <w:rsid w:val="006712EE"/>
    <w:rsid w:val="00671300"/>
    <w:rsid w:val="00671334"/>
    <w:rsid w:val="00671502"/>
    <w:rsid w:val="00671565"/>
    <w:rsid w:val="0067159F"/>
    <w:rsid w:val="00671688"/>
    <w:rsid w:val="0067173B"/>
    <w:rsid w:val="006719BE"/>
    <w:rsid w:val="00671C9D"/>
    <w:rsid w:val="00671D1F"/>
    <w:rsid w:val="00671D5F"/>
    <w:rsid w:val="00671DA9"/>
    <w:rsid w:val="00671F01"/>
    <w:rsid w:val="00672039"/>
    <w:rsid w:val="00672152"/>
    <w:rsid w:val="0067215B"/>
    <w:rsid w:val="00672189"/>
    <w:rsid w:val="0067219C"/>
    <w:rsid w:val="006722F1"/>
    <w:rsid w:val="0067255D"/>
    <w:rsid w:val="00672578"/>
    <w:rsid w:val="0067261C"/>
    <w:rsid w:val="00672858"/>
    <w:rsid w:val="00672998"/>
    <w:rsid w:val="00672B43"/>
    <w:rsid w:val="00672BF9"/>
    <w:rsid w:val="00672C32"/>
    <w:rsid w:val="00672CF6"/>
    <w:rsid w:val="00672DAC"/>
    <w:rsid w:val="00672DB7"/>
    <w:rsid w:val="00672DE0"/>
    <w:rsid w:val="00672F25"/>
    <w:rsid w:val="00673015"/>
    <w:rsid w:val="00673232"/>
    <w:rsid w:val="00673314"/>
    <w:rsid w:val="006733AA"/>
    <w:rsid w:val="00673426"/>
    <w:rsid w:val="00673456"/>
    <w:rsid w:val="0067349C"/>
    <w:rsid w:val="006734B9"/>
    <w:rsid w:val="00673692"/>
    <w:rsid w:val="00673879"/>
    <w:rsid w:val="0067397A"/>
    <w:rsid w:val="006739DF"/>
    <w:rsid w:val="00673A09"/>
    <w:rsid w:val="00673B09"/>
    <w:rsid w:val="00673B75"/>
    <w:rsid w:val="00673BA4"/>
    <w:rsid w:val="00673CD7"/>
    <w:rsid w:val="00673F8A"/>
    <w:rsid w:val="0067415D"/>
    <w:rsid w:val="00674175"/>
    <w:rsid w:val="006741E9"/>
    <w:rsid w:val="006741F8"/>
    <w:rsid w:val="00674272"/>
    <w:rsid w:val="006743F9"/>
    <w:rsid w:val="00674426"/>
    <w:rsid w:val="006744BE"/>
    <w:rsid w:val="0067451A"/>
    <w:rsid w:val="00674594"/>
    <w:rsid w:val="00674654"/>
    <w:rsid w:val="0067470A"/>
    <w:rsid w:val="0067473D"/>
    <w:rsid w:val="00674812"/>
    <w:rsid w:val="0067484F"/>
    <w:rsid w:val="0067490D"/>
    <w:rsid w:val="006749E9"/>
    <w:rsid w:val="00674C31"/>
    <w:rsid w:val="00674D71"/>
    <w:rsid w:val="00674DB5"/>
    <w:rsid w:val="00675027"/>
    <w:rsid w:val="0067508B"/>
    <w:rsid w:val="00675096"/>
    <w:rsid w:val="00675114"/>
    <w:rsid w:val="00675209"/>
    <w:rsid w:val="006752C4"/>
    <w:rsid w:val="00675317"/>
    <w:rsid w:val="006753BF"/>
    <w:rsid w:val="006754B5"/>
    <w:rsid w:val="00675560"/>
    <w:rsid w:val="006755AA"/>
    <w:rsid w:val="006755FF"/>
    <w:rsid w:val="0067562E"/>
    <w:rsid w:val="00675662"/>
    <w:rsid w:val="00675875"/>
    <w:rsid w:val="00675927"/>
    <w:rsid w:val="006759AF"/>
    <w:rsid w:val="00675A84"/>
    <w:rsid w:val="00675AB6"/>
    <w:rsid w:val="00675AEB"/>
    <w:rsid w:val="00675BDC"/>
    <w:rsid w:val="00675D06"/>
    <w:rsid w:val="00675D92"/>
    <w:rsid w:val="00675DBD"/>
    <w:rsid w:val="00675E83"/>
    <w:rsid w:val="00675EFA"/>
    <w:rsid w:val="00676039"/>
    <w:rsid w:val="006762F7"/>
    <w:rsid w:val="00676312"/>
    <w:rsid w:val="006763B4"/>
    <w:rsid w:val="0067659E"/>
    <w:rsid w:val="0067671B"/>
    <w:rsid w:val="00676771"/>
    <w:rsid w:val="006767A2"/>
    <w:rsid w:val="00676B67"/>
    <w:rsid w:val="00676BE0"/>
    <w:rsid w:val="00676CDC"/>
    <w:rsid w:val="00676CF5"/>
    <w:rsid w:val="00676D54"/>
    <w:rsid w:val="00676E40"/>
    <w:rsid w:val="00676FFF"/>
    <w:rsid w:val="006770D1"/>
    <w:rsid w:val="00677116"/>
    <w:rsid w:val="00677167"/>
    <w:rsid w:val="00677177"/>
    <w:rsid w:val="0067757E"/>
    <w:rsid w:val="00677585"/>
    <w:rsid w:val="006776D1"/>
    <w:rsid w:val="006776E7"/>
    <w:rsid w:val="00677720"/>
    <w:rsid w:val="0067774D"/>
    <w:rsid w:val="00677807"/>
    <w:rsid w:val="006779CB"/>
    <w:rsid w:val="006779CC"/>
    <w:rsid w:val="006779E1"/>
    <w:rsid w:val="00677A17"/>
    <w:rsid w:val="00677A7D"/>
    <w:rsid w:val="00677BDD"/>
    <w:rsid w:val="00677D70"/>
    <w:rsid w:val="00677EAB"/>
    <w:rsid w:val="00677EDD"/>
    <w:rsid w:val="00680065"/>
    <w:rsid w:val="0068017E"/>
    <w:rsid w:val="006802BE"/>
    <w:rsid w:val="0068034A"/>
    <w:rsid w:val="006805F7"/>
    <w:rsid w:val="00680728"/>
    <w:rsid w:val="0068093A"/>
    <w:rsid w:val="0068096B"/>
    <w:rsid w:val="00680A4A"/>
    <w:rsid w:val="00680BC0"/>
    <w:rsid w:val="00680BDE"/>
    <w:rsid w:val="00680FB9"/>
    <w:rsid w:val="00681039"/>
    <w:rsid w:val="0068128A"/>
    <w:rsid w:val="006812C8"/>
    <w:rsid w:val="00681429"/>
    <w:rsid w:val="006814D4"/>
    <w:rsid w:val="0068150F"/>
    <w:rsid w:val="00681619"/>
    <w:rsid w:val="00681694"/>
    <w:rsid w:val="00681698"/>
    <w:rsid w:val="0068175A"/>
    <w:rsid w:val="00681A3C"/>
    <w:rsid w:val="00681AC4"/>
    <w:rsid w:val="00681B38"/>
    <w:rsid w:val="00681C95"/>
    <w:rsid w:val="00681CE4"/>
    <w:rsid w:val="00681E8F"/>
    <w:rsid w:val="00681EC9"/>
    <w:rsid w:val="00682163"/>
    <w:rsid w:val="00682279"/>
    <w:rsid w:val="006822BE"/>
    <w:rsid w:val="006822F6"/>
    <w:rsid w:val="00682325"/>
    <w:rsid w:val="006823B6"/>
    <w:rsid w:val="00682579"/>
    <w:rsid w:val="0068261B"/>
    <w:rsid w:val="006826B2"/>
    <w:rsid w:val="006826FB"/>
    <w:rsid w:val="00682766"/>
    <w:rsid w:val="0068276D"/>
    <w:rsid w:val="006827F1"/>
    <w:rsid w:val="006828AF"/>
    <w:rsid w:val="00682A35"/>
    <w:rsid w:val="00682A64"/>
    <w:rsid w:val="00682AD6"/>
    <w:rsid w:val="00682BD6"/>
    <w:rsid w:val="00682C0E"/>
    <w:rsid w:val="00682DA7"/>
    <w:rsid w:val="00682EF0"/>
    <w:rsid w:val="0068309B"/>
    <w:rsid w:val="00683176"/>
    <w:rsid w:val="006831F1"/>
    <w:rsid w:val="00683276"/>
    <w:rsid w:val="0068329A"/>
    <w:rsid w:val="0068337A"/>
    <w:rsid w:val="0068348D"/>
    <w:rsid w:val="0068356D"/>
    <w:rsid w:val="006836D2"/>
    <w:rsid w:val="00683721"/>
    <w:rsid w:val="00683772"/>
    <w:rsid w:val="0068390B"/>
    <w:rsid w:val="0068396A"/>
    <w:rsid w:val="00683A8C"/>
    <w:rsid w:val="00683AC5"/>
    <w:rsid w:val="00683B19"/>
    <w:rsid w:val="00683C07"/>
    <w:rsid w:val="00683C7B"/>
    <w:rsid w:val="00683CFB"/>
    <w:rsid w:val="00683DBC"/>
    <w:rsid w:val="00683E67"/>
    <w:rsid w:val="00683E6C"/>
    <w:rsid w:val="00683EE0"/>
    <w:rsid w:val="00683F3A"/>
    <w:rsid w:val="00683F53"/>
    <w:rsid w:val="00683FCE"/>
    <w:rsid w:val="00684075"/>
    <w:rsid w:val="006840A3"/>
    <w:rsid w:val="00684125"/>
    <w:rsid w:val="006842B2"/>
    <w:rsid w:val="00684456"/>
    <w:rsid w:val="006845D3"/>
    <w:rsid w:val="00684684"/>
    <w:rsid w:val="00684746"/>
    <w:rsid w:val="006847FB"/>
    <w:rsid w:val="0068484A"/>
    <w:rsid w:val="00684854"/>
    <w:rsid w:val="00684990"/>
    <w:rsid w:val="006849B9"/>
    <w:rsid w:val="00684A13"/>
    <w:rsid w:val="00684ACD"/>
    <w:rsid w:val="00684C37"/>
    <w:rsid w:val="00684C99"/>
    <w:rsid w:val="00684D13"/>
    <w:rsid w:val="00684D8A"/>
    <w:rsid w:val="00684DC1"/>
    <w:rsid w:val="00684F01"/>
    <w:rsid w:val="00684F86"/>
    <w:rsid w:val="0068525F"/>
    <w:rsid w:val="0068536B"/>
    <w:rsid w:val="00685467"/>
    <w:rsid w:val="0068559F"/>
    <w:rsid w:val="00685709"/>
    <w:rsid w:val="00685723"/>
    <w:rsid w:val="0068587C"/>
    <w:rsid w:val="00685924"/>
    <w:rsid w:val="00685969"/>
    <w:rsid w:val="0068598B"/>
    <w:rsid w:val="00685AF6"/>
    <w:rsid w:val="00685C09"/>
    <w:rsid w:val="00685CDA"/>
    <w:rsid w:val="00685DA3"/>
    <w:rsid w:val="00685F63"/>
    <w:rsid w:val="00686061"/>
    <w:rsid w:val="00686062"/>
    <w:rsid w:val="00686087"/>
    <w:rsid w:val="006861C1"/>
    <w:rsid w:val="00686253"/>
    <w:rsid w:val="00686383"/>
    <w:rsid w:val="0068647C"/>
    <w:rsid w:val="006864E4"/>
    <w:rsid w:val="0068654E"/>
    <w:rsid w:val="006865F5"/>
    <w:rsid w:val="00686660"/>
    <w:rsid w:val="00686672"/>
    <w:rsid w:val="006868CF"/>
    <w:rsid w:val="006869CD"/>
    <w:rsid w:val="006869FB"/>
    <w:rsid w:val="00686A42"/>
    <w:rsid w:val="00686A95"/>
    <w:rsid w:val="00686B16"/>
    <w:rsid w:val="00686DBE"/>
    <w:rsid w:val="00686F04"/>
    <w:rsid w:val="00686F0C"/>
    <w:rsid w:val="00686F23"/>
    <w:rsid w:val="00686F47"/>
    <w:rsid w:val="00686FDA"/>
    <w:rsid w:val="00687004"/>
    <w:rsid w:val="00687121"/>
    <w:rsid w:val="006871D6"/>
    <w:rsid w:val="0068724A"/>
    <w:rsid w:val="00687377"/>
    <w:rsid w:val="006873A0"/>
    <w:rsid w:val="006874E1"/>
    <w:rsid w:val="00687618"/>
    <w:rsid w:val="00687631"/>
    <w:rsid w:val="006876C5"/>
    <w:rsid w:val="00687721"/>
    <w:rsid w:val="0068784A"/>
    <w:rsid w:val="00687980"/>
    <w:rsid w:val="00687984"/>
    <w:rsid w:val="00687AAE"/>
    <w:rsid w:val="00687AF5"/>
    <w:rsid w:val="00687C2E"/>
    <w:rsid w:val="00687CF1"/>
    <w:rsid w:val="00687E4B"/>
    <w:rsid w:val="00687EBA"/>
    <w:rsid w:val="00687FC9"/>
    <w:rsid w:val="00687FD2"/>
    <w:rsid w:val="00687FDD"/>
    <w:rsid w:val="00687FFB"/>
    <w:rsid w:val="006900D3"/>
    <w:rsid w:val="006901BA"/>
    <w:rsid w:val="006901FF"/>
    <w:rsid w:val="00690224"/>
    <w:rsid w:val="00690322"/>
    <w:rsid w:val="0069037D"/>
    <w:rsid w:val="006903C6"/>
    <w:rsid w:val="0069041F"/>
    <w:rsid w:val="006905E1"/>
    <w:rsid w:val="00690720"/>
    <w:rsid w:val="00690814"/>
    <w:rsid w:val="00690999"/>
    <w:rsid w:val="00690A36"/>
    <w:rsid w:val="00690A3B"/>
    <w:rsid w:val="00690AF4"/>
    <w:rsid w:val="00690B7C"/>
    <w:rsid w:val="00690BBD"/>
    <w:rsid w:val="00690BF2"/>
    <w:rsid w:val="00690C3D"/>
    <w:rsid w:val="00690DE1"/>
    <w:rsid w:val="00690DF2"/>
    <w:rsid w:val="00690E5E"/>
    <w:rsid w:val="00690E85"/>
    <w:rsid w:val="00690ECB"/>
    <w:rsid w:val="00690EF9"/>
    <w:rsid w:val="00690F41"/>
    <w:rsid w:val="00690F80"/>
    <w:rsid w:val="00690FA1"/>
    <w:rsid w:val="00690FA6"/>
    <w:rsid w:val="00690FFD"/>
    <w:rsid w:val="00691103"/>
    <w:rsid w:val="0069110E"/>
    <w:rsid w:val="00691172"/>
    <w:rsid w:val="0069123D"/>
    <w:rsid w:val="006912FD"/>
    <w:rsid w:val="00691366"/>
    <w:rsid w:val="0069140D"/>
    <w:rsid w:val="0069165F"/>
    <w:rsid w:val="0069173D"/>
    <w:rsid w:val="00691A69"/>
    <w:rsid w:val="00691ADC"/>
    <w:rsid w:val="00691B13"/>
    <w:rsid w:val="00691B92"/>
    <w:rsid w:val="00691C33"/>
    <w:rsid w:val="00691E21"/>
    <w:rsid w:val="00691FEF"/>
    <w:rsid w:val="0069207B"/>
    <w:rsid w:val="006921FF"/>
    <w:rsid w:val="0069252E"/>
    <w:rsid w:val="00692624"/>
    <w:rsid w:val="0069279C"/>
    <w:rsid w:val="006927B4"/>
    <w:rsid w:val="006928EA"/>
    <w:rsid w:val="0069295E"/>
    <w:rsid w:val="006929AB"/>
    <w:rsid w:val="006929D6"/>
    <w:rsid w:val="006929FB"/>
    <w:rsid w:val="00692A6A"/>
    <w:rsid w:val="00692AC0"/>
    <w:rsid w:val="00692B72"/>
    <w:rsid w:val="00692BCE"/>
    <w:rsid w:val="00692F67"/>
    <w:rsid w:val="00693088"/>
    <w:rsid w:val="006930C8"/>
    <w:rsid w:val="006930ED"/>
    <w:rsid w:val="006930F4"/>
    <w:rsid w:val="006931BC"/>
    <w:rsid w:val="0069322A"/>
    <w:rsid w:val="00693233"/>
    <w:rsid w:val="00693437"/>
    <w:rsid w:val="006934FE"/>
    <w:rsid w:val="006935C8"/>
    <w:rsid w:val="006935FB"/>
    <w:rsid w:val="00693654"/>
    <w:rsid w:val="00693673"/>
    <w:rsid w:val="00693762"/>
    <w:rsid w:val="006937F2"/>
    <w:rsid w:val="00693895"/>
    <w:rsid w:val="00693979"/>
    <w:rsid w:val="00693C3A"/>
    <w:rsid w:val="00693CE8"/>
    <w:rsid w:val="00693D32"/>
    <w:rsid w:val="00693DA6"/>
    <w:rsid w:val="00693DC1"/>
    <w:rsid w:val="00693F07"/>
    <w:rsid w:val="00693FF9"/>
    <w:rsid w:val="0069407F"/>
    <w:rsid w:val="006940B5"/>
    <w:rsid w:val="006940E1"/>
    <w:rsid w:val="0069411E"/>
    <w:rsid w:val="00694135"/>
    <w:rsid w:val="00694354"/>
    <w:rsid w:val="006943F1"/>
    <w:rsid w:val="006945BC"/>
    <w:rsid w:val="006945E5"/>
    <w:rsid w:val="006946CD"/>
    <w:rsid w:val="006946D6"/>
    <w:rsid w:val="00694779"/>
    <w:rsid w:val="00694859"/>
    <w:rsid w:val="006948F7"/>
    <w:rsid w:val="006949CF"/>
    <w:rsid w:val="00694ABB"/>
    <w:rsid w:val="00694B73"/>
    <w:rsid w:val="00694C38"/>
    <w:rsid w:val="00694CC3"/>
    <w:rsid w:val="00694CC9"/>
    <w:rsid w:val="00694D21"/>
    <w:rsid w:val="00694DF1"/>
    <w:rsid w:val="006951E3"/>
    <w:rsid w:val="00695228"/>
    <w:rsid w:val="006952DD"/>
    <w:rsid w:val="00695433"/>
    <w:rsid w:val="00695496"/>
    <w:rsid w:val="00695608"/>
    <w:rsid w:val="0069560F"/>
    <w:rsid w:val="0069570D"/>
    <w:rsid w:val="006958C7"/>
    <w:rsid w:val="00695904"/>
    <w:rsid w:val="00695AE2"/>
    <w:rsid w:val="00695BB1"/>
    <w:rsid w:val="00695C35"/>
    <w:rsid w:val="00695CC4"/>
    <w:rsid w:val="00695D9C"/>
    <w:rsid w:val="00695FB2"/>
    <w:rsid w:val="00696065"/>
    <w:rsid w:val="00696070"/>
    <w:rsid w:val="006960C7"/>
    <w:rsid w:val="006965FD"/>
    <w:rsid w:val="00696648"/>
    <w:rsid w:val="00696802"/>
    <w:rsid w:val="00696A2F"/>
    <w:rsid w:val="00696A4B"/>
    <w:rsid w:val="00696B2A"/>
    <w:rsid w:val="00696C0F"/>
    <w:rsid w:val="00696F48"/>
    <w:rsid w:val="00696F7C"/>
    <w:rsid w:val="00697396"/>
    <w:rsid w:val="0069743B"/>
    <w:rsid w:val="006974A4"/>
    <w:rsid w:val="00697629"/>
    <w:rsid w:val="006976C9"/>
    <w:rsid w:val="00697701"/>
    <w:rsid w:val="006977DE"/>
    <w:rsid w:val="006977F6"/>
    <w:rsid w:val="0069795E"/>
    <w:rsid w:val="006979B7"/>
    <w:rsid w:val="00697A61"/>
    <w:rsid w:val="00697AB8"/>
    <w:rsid w:val="00697B5A"/>
    <w:rsid w:val="00697B79"/>
    <w:rsid w:val="00697C88"/>
    <w:rsid w:val="00697CBD"/>
    <w:rsid w:val="00697EB0"/>
    <w:rsid w:val="006A008C"/>
    <w:rsid w:val="006A01A5"/>
    <w:rsid w:val="006A0255"/>
    <w:rsid w:val="006A03E5"/>
    <w:rsid w:val="006A057C"/>
    <w:rsid w:val="006A06C5"/>
    <w:rsid w:val="006A06E1"/>
    <w:rsid w:val="006A07A2"/>
    <w:rsid w:val="006A0A56"/>
    <w:rsid w:val="006A0B4A"/>
    <w:rsid w:val="006A0B59"/>
    <w:rsid w:val="006A0C98"/>
    <w:rsid w:val="006A0E34"/>
    <w:rsid w:val="006A0ECC"/>
    <w:rsid w:val="006A0F3B"/>
    <w:rsid w:val="006A0F73"/>
    <w:rsid w:val="006A0F77"/>
    <w:rsid w:val="006A0FC7"/>
    <w:rsid w:val="006A10F8"/>
    <w:rsid w:val="006A113D"/>
    <w:rsid w:val="006A1236"/>
    <w:rsid w:val="006A1244"/>
    <w:rsid w:val="006A1272"/>
    <w:rsid w:val="006A13BF"/>
    <w:rsid w:val="006A150F"/>
    <w:rsid w:val="006A15B3"/>
    <w:rsid w:val="006A176C"/>
    <w:rsid w:val="006A17A8"/>
    <w:rsid w:val="006A1901"/>
    <w:rsid w:val="006A1918"/>
    <w:rsid w:val="006A1A8C"/>
    <w:rsid w:val="006A1BE8"/>
    <w:rsid w:val="006A1C85"/>
    <w:rsid w:val="006A1D92"/>
    <w:rsid w:val="006A1E60"/>
    <w:rsid w:val="006A1FBC"/>
    <w:rsid w:val="006A240B"/>
    <w:rsid w:val="006A2496"/>
    <w:rsid w:val="006A24F7"/>
    <w:rsid w:val="006A27B1"/>
    <w:rsid w:val="006A27D6"/>
    <w:rsid w:val="006A2837"/>
    <w:rsid w:val="006A2888"/>
    <w:rsid w:val="006A2966"/>
    <w:rsid w:val="006A29A4"/>
    <w:rsid w:val="006A2A83"/>
    <w:rsid w:val="006A2AD6"/>
    <w:rsid w:val="006A2BB2"/>
    <w:rsid w:val="006A2CB7"/>
    <w:rsid w:val="006A2D01"/>
    <w:rsid w:val="006A2E13"/>
    <w:rsid w:val="006A2E46"/>
    <w:rsid w:val="006A2E6A"/>
    <w:rsid w:val="006A2F41"/>
    <w:rsid w:val="006A310F"/>
    <w:rsid w:val="006A3134"/>
    <w:rsid w:val="006A31FA"/>
    <w:rsid w:val="006A3226"/>
    <w:rsid w:val="006A323D"/>
    <w:rsid w:val="006A3288"/>
    <w:rsid w:val="006A333D"/>
    <w:rsid w:val="006A3472"/>
    <w:rsid w:val="006A34A1"/>
    <w:rsid w:val="006A34FD"/>
    <w:rsid w:val="006A35F7"/>
    <w:rsid w:val="006A36AD"/>
    <w:rsid w:val="006A37D9"/>
    <w:rsid w:val="006A387B"/>
    <w:rsid w:val="006A393A"/>
    <w:rsid w:val="006A39AB"/>
    <w:rsid w:val="006A3A3A"/>
    <w:rsid w:val="006A3A8E"/>
    <w:rsid w:val="006A3BC9"/>
    <w:rsid w:val="006A3BE4"/>
    <w:rsid w:val="006A3C99"/>
    <w:rsid w:val="006A3D53"/>
    <w:rsid w:val="006A3E61"/>
    <w:rsid w:val="006A3FBF"/>
    <w:rsid w:val="006A3FD0"/>
    <w:rsid w:val="006A3FD4"/>
    <w:rsid w:val="006A403F"/>
    <w:rsid w:val="006A407F"/>
    <w:rsid w:val="006A4084"/>
    <w:rsid w:val="006A40CC"/>
    <w:rsid w:val="006A41A3"/>
    <w:rsid w:val="006A41FC"/>
    <w:rsid w:val="006A423C"/>
    <w:rsid w:val="006A43BE"/>
    <w:rsid w:val="006A45D4"/>
    <w:rsid w:val="006A47AB"/>
    <w:rsid w:val="006A48A2"/>
    <w:rsid w:val="006A48C9"/>
    <w:rsid w:val="006A4A44"/>
    <w:rsid w:val="006A4A55"/>
    <w:rsid w:val="006A4A76"/>
    <w:rsid w:val="006A4AA7"/>
    <w:rsid w:val="006A4BDD"/>
    <w:rsid w:val="006A4C5D"/>
    <w:rsid w:val="006A4C86"/>
    <w:rsid w:val="006A4D5D"/>
    <w:rsid w:val="006A4E13"/>
    <w:rsid w:val="006A4EF5"/>
    <w:rsid w:val="006A4EFC"/>
    <w:rsid w:val="006A5132"/>
    <w:rsid w:val="006A5134"/>
    <w:rsid w:val="006A521A"/>
    <w:rsid w:val="006A525F"/>
    <w:rsid w:val="006A5364"/>
    <w:rsid w:val="006A53E3"/>
    <w:rsid w:val="006A549F"/>
    <w:rsid w:val="006A54C2"/>
    <w:rsid w:val="006A5622"/>
    <w:rsid w:val="006A5716"/>
    <w:rsid w:val="006A57D1"/>
    <w:rsid w:val="006A58AD"/>
    <w:rsid w:val="006A5909"/>
    <w:rsid w:val="006A5A5E"/>
    <w:rsid w:val="006A5AF0"/>
    <w:rsid w:val="006A5C10"/>
    <w:rsid w:val="006A5C43"/>
    <w:rsid w:val="006A5D16"/>
    <w:rsid w:val="006A5D4C"/>
    <w:rsid w:val="006A5D53"/>
    <w:rsid w:val="006A5F71"/>
    <w:rsid w:val="006A5FB8"/>
    <w:rsid w:val="006A6058"/>
    <w:rsid w:val="006A60EF"/>
    <w:rsid w:val="006A617F"/>
    <w:rsid w:val="006A61CA"/>
    <w:rsid w:val="006A61D1"/>
    <w:rsid w:val="006A61FE"/>
    <w:rsid w:val="006A6341"/>
    <w:rsid w:val="006A6396"/>
    <w:rsid w:val="006A6430"/>
    <w:rsid w:val="006A6472"/>
    <w:rsid w:val="006A6787"/>
    <w:rsid w:val="006A6A97"/>
    <w:rsid w:val="006A6AAA"/>
    <w:rsid w:val="006A6ADF"/>
    <w:rsid w:val="006A6C4E"/>
    <w:rsid w:val="006A6CAD"/>
    <w:rsid w:val="006A6DEF"/>
    <w:rsid w:val="006A6ECD"/>
    <w:rsid w:val="006A6F5E"/>
    <w:rsid w:val="006A6FEB"/>
    <w:rsid w:val="006A72A8"/>
    <w:rsid w:val="006A72DF"/>
    <w:rsid w:val="006A7516"/>
    <w:rsid w:val="006A7520"/>
    <w:rsid w:val="006A7523"/>
    <w:rsid w:val="006A75D4"/>
    <w:rsid w:val="006A7623"/>
    <w:rsid w:val="006A76E2"/>
    <w:rsid w:val="006A770E"/>
    <w:rsid w:val="006A77AA"/>
    <w:rsid w:val="006A77B3"/>
    <w:rsid w:val="006A77E4"/>
    <w:rsid w:val="006A7AB8"/>
    <w:rsid w:val="006A7ADD"/>
    <w:rsid w:val="006A7B55"/>
    <w:rsid w:val="006A7B98"/>
    <w:rsid w:val="006A7BA9"/>
    <w:rsid w:val="006A7BAB"/>
    <w:rsid w:val="006A7D8D"/>
    <w:rsid w:val="006A7E67"/>
    <w:rsid w:val="006A7F6A"/>
    <w:rsid w:val="006A7FD2"/>
    <w:rsid w:val="006B010D"/>
    <w:rsid w:val="006B018E"/>
    <w:rsid w:val="006B01B9"/>
    <w:rsid w:val="006B0298"/>
    <w:rsid w:val="006B041F"/>
    <w:rsid w:val="006B0446"/>
    <w:rsid w:val="006B04BA"/>
    <w:rsid w:val="006B0578"/>
    <w:rsid w:val="006B058E"/>
    <w:rsid w:val="006B0677"/>
    <w:rsid w:val="006B0790"/>
    <w:rsid w:val="006B0934"/>
    <w:rsid w:val="006B09AD"/>
    <w:rsid w:val="006B0AE4"/>
    <w:rsid w:val="006B0AFF"/>
    <w:rsid w:val="006B0B6B"/>
    <w:rsid w:val="006B0BB2"/>
    <w:rsid w:val="006B0C57"/>
    <w:rsid w:val="006B0E88"/>
    <w:rsid w:val="006B0FD5"/>
    <w:rsid w:val="006B0FED"/>
    <w:rsid w:val="006B112F"/>
    <w:rsid w:val="006B11AB"/>
    <w:rsid w:val="006B11CD"/>
    <w:rsid w:val="006B1582"/>
    <w:rsid w:val="006B1881"/>
    <w:rsid w:val="006B1931"/>
    <w:rsid w:val="006B1946"/>
    <w:rsid w:val="006B197E"/>
    <w:rsid w:val="006B19AE"/>
    <w:rsid w:val="006B19AF"/>
    <w:rsid w:val="006B1B50"/>
    <w:rsid w:val="006B1BD8"/>
    <w:rsid w:val="006B1C9D"/>
    <w:rsid w:val="006B1D08"/>
    <w:rsid w:val="006B1D7D"/>
    <w:rsid w:val="006B1DAD"/>
    <w:rsid w:val="006B1E79"/>
    <w:rsid w:val="006B1ED6"/>
    <w:rsid w:val="006B1F25"/>
    <w:rsid w:val="006B200A"/>
    <w:rsid w:val="006B212A"/>
    <w:rsid w:val="006B2168"/>
    <w:rsid w:val="006B21D0"/>
    <w:rsid w:val="006B2294"/>
    <w:rsid w:val="006B22C7"/>
    <w:rsid w:val="006B2363"/>
    <w:rsid w:val="006B23B3"/>
    <w:rsid w:val="006B240F"/>
    <w:rsid w:val="006B243D"/>
    <w:rsid w:val="006B247C"/>
    <w:rsid w:val="006B2645"/>
    <w:rsid w:val="006B273A"/>
    <w:rsid w:val="006B2901"/>
    <w:rsid w:val="006B29DF"/>
    <w:rsid w:val="006B2B04"/>
    <w:rsid w:val="006B2B3D"/>
    <w:rsid w:val="006B2CBE"/>
    <w:rsid w:val="006B2CC0"/>
    <w:rsid w:val="006B2CE8"/>
    <w:rsid w:val="006B2D53"/>
    <w:rsid w:val="006B2EC9"/>
    <w:rsid w:val="006B2ECD"/>
    <w:rsid w:val="006B2EE3"/>
    <w:rsid w:val="006B2F46"/>
    <w:rsid w:val="006B2FCD"/>
    <w:rsid w:val="006B3246"/>
    <w:rsid w:val="006B32CD"/>
    <w:rsid w:val="006B3313"/>
    <w:rsid w:val="006B3348"/>
    <w:rsid w:val="006B34D2"/>
    <w:rsid w:val="006B34D4"/>
    <w:rsid w:val="006B3546"/>
    <w:rsid w:val="006B3790"/>
    <w:rsid w:val="006B3951"/>
    <w:rsid w:val="006B39E1"/>
    <w:rsid w:val="006B39FF"/>
    <w:rsid w:val="006B3A6B"/>
    <w:rsid w:val="006B3A7A"/>
    <w:rsid w:val="006B3AED"/>
    <w:rsid w:val="006B3B0F"/>
    <w:rsid w:val="006B3B13"/>
    <w:rsid w:val="006B3C67"/>
    <w:rsid w:val="006B3D2D"/>
    <w:rsid w:val="006B3EC9"/>
    <w:rsid w:val="006B3F1C"/>
    <w:rsid w:val="006B4055"/>
    <w:rsid w:val="006B4084"/>
    <w:rsid w:val="006B4123"/>
    <w:rsid w:val="006B41AF"/>
    <w:rsid w:val="006B4246"/>
    <w:rsid w:val="006B42A9"/>
    <w:rsid w:val="006B4422"/>
    <w:rsid w:val="006B4428"/>
    <w:rsid w:val="006B45DA"/>
    <w:rsid w:val="006B479D"/>
    <w:rsid w:val="006B483A"/>
    <w:rsid w:val="006B4900"/>
    <w:rsid w:val="006B4975"/>
    <w:rsid w:val="006B4A74"/>
    <w:rsid w:val="006B4A7D"/>
    <w:rsid w:val="006B4B68"/>
    <w:rsid w:val="006B4C07"/>
    <w:rsid w:val="006B4D20"/>
    <w:rsid w:val="006B4D3E"/>
    <w:rsid w:val="006B4DCF"/>
    <w:rsid w:val="006B4EF4"/>
    <w:rsid w:val="006B4FF1"/>
    <w:rsid w:val="006B4FFB"/>
    <w:rsid w:val="006B5001"/>
    <w:rsid w:val="006B50C6"/>
    <w:rsid w:val="006B521E"/>
    <w:rsid w:val="006B52A4"/>
    <w:rsid w:val="006B5323"/>
    <w:rsid w:val="006B5367"/>
    <w:rsid w:val="006B55A9"/>
    <w:rsid w:val="006B55B9"/>
    <w:rsid w:val="006B5734"/>
    <w:rsid w:val="006B5755"/>
    <w:rsid w:val="006B5805"/>
    <w:rsid w:val="006B5A26"/>
    <w:rsid w:val="006B5AF3"/>
    <w:rsid w:val="006B5B2E"/>
    <w:rsid w:val="006B5BBE"/>
    <w:rsid w:val="006B5C16"/>
    <w:rsid w:val="006B5D71"/>
    <w:rsid w:val="006B5E15"/>
    <w:rsid w:val="006B5F0A"/>
    <w:rsid w:val="006B5F0F"/>
    <w:rsid w:val="006B5F56"/>
    <w:rsid w:val="006B5FA9"/>
    <w:rsid w:val="006B60A4"/>
    <w:rsid w:val="006B6100"/>
    <w:rsid w:val="006B619D"/>
    <w:rsid w:val="006B61C8"/>
    <w:rsid w:val="006B633A"/>
    <w:rsid w:val="006B6391"/>
    <w:rsid w:val="006B63E2"/>
    <w:rsid w:val="006B6405"/>
    <w:rsid w:val="006B644D"/>
    <w:rsid w:val="006B6530"/>
    <w:rsid w:val="006B658A"/>
    <w:rsid w:val="006B6602"/>
    <w:rsid w:val="006B660D"/>
    <w:rsid w:val="006B6ACB"/>
    <w:rsid w:val="006B6BC5"/>
    <w:rsid w:val="006B6E04"/>
    <w:rsid w:val="006B6F6E"/>
    <w:rsid w:val="006B7002"/>
    <w:rsid w:val="006B7012"/>
    <w:rsid w:val="006B7032"/>
    <w:rsid w:val="006B70A9"/>
    <w:rsid w:val="006B7187"/>
    <w:rsid w:val="006B7266"/>
    <w:rsid w:val="006B726A"/>
    <w:rsid w:val="006B72A7"/>
    <w:rsid w:val="006B72B8"/>
    <w:rsid w:val="006B72E5"/>
    <w:rsid w:val="006B73BB"/>
    <w:rsid w:val="006B74FD"/>
    <w:rsid w:val="006B75EC"/>
    <w:rsid w:val="006B76B1"/>
    <w:rsid w:val="006B7855"/>
    <w:rsid w:val="006B7915"/>
    <w:rsid w:val="006B79F3"/>
    <w:rsid w:val="006B7A2C"/>
    <w:rsid w:val="006B7A55"/>
    <w:rsid w:val="006B7AF2"/>
    <w:rsid w:val="006B7B49"/>
    <w:rsid w:val="006B7BFA"/>
    <w:rsid w:val="006B7C50"/>
    <w:rsid w:val="006B7C51"/>
    <w:rsid w:val="006B7C5C"/>
    <w:rsid w:val="006B7C77"/>
    <w:rsid w:val="006B7CBC"/>
    <w:rsid w:val="006B7F81"/>
    <w:rsid w:val="006B7F9A"/>
    <w:rsid w:val="006B7FFA"/>
    <w:rsid w:val="006C0015"/>
    <w:rsid w:val="006C006C"/>
    <w:rsid w:val="006C00F8"/>
    <w:rsid w:val="006C012B"/>
    <w:rsid w:val="006C0379"/>
    <w:rsid w:val="006C04B9"/>
    <w:rsid w:val="006C0553"/>
    <w:rsid w:val="006C05B6"/>
    <w:rsid w:val="006C05B9"/>
    <w:rsid w:val="006C0858"/>
    <w:rsid w:val="006C0947"/>
    <w:rsid w:val="006C09A4"/>
    <w:rsid w:val="006C0A72"/>
    <w:rsid w:val="006C0B03"/>
    <w:rsid w:val="006C0B71"/>
    <w:rsid w:val="006C0BAB"/>
    <w:rsid w:val="006C0C0E"/>
    <w:rsid w:val="006C0C87"/>
    <w:rsid w:val="006C0E02"/>
    <w:rsid w:val="006C0FA2"/>
    <w:rsid w:val="006C105F"/>
    <w:rsid w:val="006C10C3"/>
    <w:rsid w:val="006C122E"/>
    <w:rsid w:val="006C1350"/>
    <w:rsid w:val="006C1401"/>
    <w:rsid w:val="006C1575"/>
    <w:rsid w:val="006C15CB"/>
    <w:rsid w:val="006C17A5"/>
    <w:rsid w:val="006C17D1"/>
    <w:rsid w:val="006C1805"/>
    <w:rsid w:val="006C18B2"/>
    <w:rsid w:val="006C18D9"/>
    <w:rsid w:val="006C1BBF"/>
    <w:rsid w:val="006C1C29"/>
    <w:rsid w:val="006C1CCC"/>
    <w:rsid w:val="006C1E36"/>
    <w:rsid w:val="006C1EF0"/>
    <w:rsid w:val="006C1FDF"/>
    <w:rsid w:val="006C2006"/>
    <w:rsid w:val="006C20CD"/>
    <w:rsid w:val="006C20FF"/>
    <w:rsid w:val="006C23BD"/>
    <w:rsid w:val="006C25E7"/>
    <w:rsid w:val="006C26E7"/>
    <w:rsid w:val="006C284A"/>
    <w:rsid w:val="006C2B5C"/>
    <w:rsid w:val="006C2C06"/>
    <w:rsid w:val="006C2C9C"/>
    <w:rsid w:val="006C2D9B"/>
    <w:rsid w:val="006C2E40"/>
    <w:rsid w:val="006C2F87"/>
    <w:rsid w:val="006C305E"/>
    <w:rsid w:val="006C30F9"/>
    <w:rsid w:val="006C3124"/>
    <w:rsid w:val="006C31D6"/>
    <w:rsid w:val="006C324C"/>
    <w:rsid w:val="006C3503"/>
    <w:rsid w:val="006C358B"/>
    <w:rsid w:val="006C36BD"/>
    <w:rsid w:val="006C36E1"/>
    <w:rsid w:val="006C36F9"/>
    <w:rsid w:val="006C3753"/>
    <w:rsid w:val="006C3787"/>
    <w:rsid w:val="006C39A8"/>
    <w:rsid w:val="006C3A23"/>
    <w:rsid w:val="006C3AF8"/>
    <w:rsid w:val="006C3EA2"/>
    <w:rsid w:val="006C4012"/>
    <w:rsid w:val="006C402E"/>
    <w:rsid w:val="006C4071"/>
    <w:rsid w:val="006C40F1"/>
    <w:rsid w:val="006C4166"/>
    <w:rsid w:val="006C41B7"/>
    <w:rsid w:val="006C42A3"/>
    <w:rsid w:val="006C4384"/>
    <w:rsid w:val="006C4413"/>
    <w:rsid w:val="006C4477"/>
    <w:rsid w:val="006C47BA"/>
    <w:rsid w:val="006C47DD"/>
    <w:rsid w:val="006C49A3"/>
    <w:rsid w:val="006C4A02"/>
    <w:rsid w:val="006C4B2B"/>
    <w:rsid w:val="006C4EA3"/>
    <w:rsid w:val="006C4EC1"/>
    <w:rsid w:val="006C4F9C"/>
    <w:rsid w:val="006C50A1"/>
    <w:rsid w:val="006C56CB"/>
    <w:rsid w:val="006C5807"/>
    <w:rsid w:val="006C5B46"/>
    <w:rsid w:val="006C5DA2"/>
    <w:rsid w:val="006C5F2C"/>
    <w:rsid w:val="006C6403"/>
    <w:rsid w:val="006C6432"/>
    <w:rsid w:val="006C65BA"/>
    <w:rsid w:val="006C65C5"/>
    <w:rsid w:val="006C65CB"/>
    <w:rsid w:val="006C6657"/>
    <w:rsid w:val="006C667A"/>
    <w:rsid w:val="006C66B9"/>
    <w:rsid w:val="006C67D1"/>
    <w:rsid w:val="006C68EB"/>
    <w:rsid w:val="006C6932"/>
    <w:rsid w:val="006C6CA8"/>
    <w:rsid w:val="006C6E2A"/>
    <w:rsid w:val="006C6E38"/>
    <w:rsid w:val="006C6E67"/>
    <w:rsid w:val="006C6E79"/>
    <w:rsid w:val="006C6F93"/>
    <w:rsid w:val="006C6FB6"/>
    <w:rsid w:val="006C6FBB"/>
    <w:rsid w:val="006C700B"/>
    <w:rsid w:val="006C7086"/>
    <w:rsid w:val="006C716A"/>
    <w:rsid w:val="006C724A"/>
    <w:rsid w:val="006C7369"/>
    <w:rsid w:val="006C7536"/>
    <w:rsid w:val="006C756C"/>
    <w:rsid w:val="006C75B2"/>
    <w:rsid w:val="006C75BD"/>
    <w:rsid w:val="006C77C6"/>
    <w:rsid w:val="006C7A15"/>
    <w:rsid w:val="006C7B64"/>
    <w:rsid w:val="006C7B6D"/>
    <w:rsid w:val="006C7BCF"/>
    <w:rsid w:val="006C7C0F"/>
    <w:rsid w:val="006C7C9F"/>
    <w:rsid w:val="006C7D63"/>
    <w:rsid w:val="006C7DCC"/>
    <w:rsid w:val="006C7DE9"/>
    <w:rsid w:val="006C7F28"/>
    <w:rsid w:val="006C7F39"/>
    <w:rsid w:val="006D001D"/>
    <w:rsid w:val="006D0094"/>
    <w:rsid w:val="006D0143"/>
    <w:rsid w:val="006D021A"/>
    <w:rsid w:val="006D02B5"/>
    <w:rsid w:val="006D03B1"/>
    <w:rsid w:val="006D045B"/>
    <w:rsid w:val="006D0796"/>
    <w:rsid w:val="006D07E0"/>
    <w:rsid w:val="006D0934"/>
    <w:rsid w:val="006D0A18"/>
    <w:rsid w:val="006D0AB2"/>
    <w:rsid w:val="006D0BBB"/>
    <w:rsid w:val="006D0C88"/>
    <w:rsid w:val="006D0D2F"/>
    <w:rsid w:val="006D0D5F"/>
    <w:rsid w:val="006D0DBF"/>
    <w:rsid w:val="006D0DDC"/>
    <w:rsid w:val="006D1086"/>
    <w:rsid w:val="006D10F8"/>
    <w:rsid w:val="006D115D"/>
    <w:rsid w:val="006D11E3"/>
    <w:rsid w:val="006D1258"/>
    <w:rsid w:val="006D12F0"/>
    <w:rsid w:val="006D135B"/>
    <w:rsid w:val="006D138E"/>
    <w:rsid w:val="006D1448"/>
    <w:rsid w:val="006D155C"/>
    <w:rsid w:val="006D15DD"/>
    <w:rsid w:val="006D1614"/>
    <w:rsid w:val="006D1637"/>
    <w:rsid w:val="006D16FF"/>
    <w:rsid w:val="006D1741"/>
    <w:rsid w:val="006D17E9"/>
    <w:rsid w:val="006D1818"/>
    <w:rsid w:val="006D18A0"/>
    <w:rsid w:val="006D1A95"/>
    <w:rsid w:val="006D1B0E"/>
    <w:rsid w:val="006D1BC0"/>
    <w:rsid w:val="006D1C42"/>
    <w:rsid w:val="006D1CE5"/>
    <w:rsid w:val="006D1DFE"/>
    <w:rsid w:val="006D1FFA"/>
    <w:rsid w:val="006D2013"/>
    <w:rsid w:val="006D2057"/>
    <w:rsid w:val="006D234C"/>
    <w:rsid w:val="006D2393"/>
    <w:rsid w:val="006D244E"/>
    <w:rsid w:val="006D2457"/>
    <w:rsid w:val="006D2952"/>
    <w:rsid w:val="006D29C0"/>
    <w:rsid w:val="006D2AF4"/>
    <w:rsid w:val="006D2D0D"/>
    <w:rsid w:val="006D2F40"/>
    <w:rsid w:val="006D3079"/>
    <w:rsid w:val="006D3321"/>
    <w:rsid w:val="006D33CC"/>
    <w:rsid w:val="006D36A1"/>
    <w:rsid w:val="006D36B5"/>
    <w:rsid w:val="006D37D9"/>
    <w:rsid w:val="006D3835"/>
    <w:rsid w:val="006D38A0"/>
    <w:rsid w:val="006D38B6"/>
    <w:rsid w:val="006D396F"/>
    <w:rsid w:val="006D3AE3"/>
    <w:rsid w:val="006D3B63"/>
    <w:rsid w:val="006D3BE9"/>
    <w:rsid w:val="006D3CCC"/>
    <w:rsid w:val="006D3F17"/>
    <w:rsid w:val="006D3F41"/>
    <w:rsid w:val="006D40F7"/>
    <w:rsid w:val="006D411D"/>
    <w:rsid w:val="006D42D8"/>
    <w:rsid w:val="006D4363"/>
    <w:rsid w:val="006D4469"/>
    <w:rsid w:val="006D44A4"/>
    <w:rsid w:val="006D460D"/>
    <w:rsid w:val="006D46D0"/>
    <w:rsid w:val="006D46E3"/>
    <w:rsid w:val="006D481A"/>
    <w:rsid w:val="006D489C"/>
    <w:rsid w:val="006D498C"/>
    <w:rsid w:val="006D4A1E"/>
    <w:rsid w:val="006D4CD5"/>
    <w:rsid w:val="006D4DB5"/>
    <w:rsid w:val="006D4F16"/>
    <w:rsid w:val="006D4FE4"/>
    <w:rsid w:val="006D5133"/>
    <w:rsid w:val="006D517D"/>
    <w:rsid w:val="006D5587"/>
    <w:rsid w:val="006D5684"/>
    <w:rsid w:val="006D5738"/>
    <w:rsid w:val="006D57C7"/>
    <w:rsid w:val="006D5815"/>
    <w:rsid w:val="006D5818"/>
    <w:rsid w:val="006D5A18"/>
    <w:rsid w:val="006D5ADD"/>
    <w:rsid w:val="006D5B90"/>
    <w:rsid w:val="006D5C97"/>
    <w:rsid w:val="006D5E91"/>
    <w:rsid w:val="006D5FA6"/>
    <w:rsid w:val="006D6061"/>
    <w:rsid w:val="006D6071"/>
    <w:rsid w:val="006D618E"/>
    <w:rsid w:val="006D61E5"/>
    <w:rsid w:val="006D623C"/>
    <w:rsid w:val="006D6253"/>
    <w:rsid w:val="006D6371"/>
    <w:rsid w:val="006D63A2"/>
    <w:rsid w:val="006D65B8"/>
    <w:rsid w:val="006D6636"/>
    <w:rsid w:val="006D6642"/>
    <w:rsid w:val="006D66AE"/>
    <w:rsid w:val="006D678A"/>
    <w:rsid w:val="006D67B2"/>
    <w:rsid w:val="006D67C6"/>
    <w:rsid w:val="006D67E2"/>
    <w:rsid w:val="006D680B"/>
    <w:rsid w:val="006D6892"/>
    <w:rsid w:val="006D68D6"/>
    <w:rsid w:val="006D6A4F"/>
    <w:rsid w:val="006D6AD0"/>
    <w:rsid w:val="006D6BBC"/>
    <w:rsid w:val="006D6D7B"/>
    <w:rsid w:val="006D6E3A"/>
    <w:rsid w:val="006D6F10"/>
    <w:rsid w:val="006D6F16"/>
    <w:rsid w:val="006D6F29"/>
    <w:rsid w:val="006D6F78"/>
    <w:rsid w:val="006D702E"/>
    <w:rsid w:val="006D705D"/>
    <w:rsid w:val="006D707F"/>
    <w:rsid w:val="006D71BB"/>
    <w:rsid w:val="006D72A9"/>
    <w:rsid w:val="006D73B1"/>
    <w:rsid w:val="006D73D8"/>
    <w:rsid w:val="006D7401"/>
    <w:rsid w:val="006D7403"/>
    <w:rsid w:val="006D744A"/>
    <w:rsid w:val="006D7489"/>
    <w:rsid w:val="006D7525"/>
    <w:rsid w:val="006D7620"/>
    <w:rsid w:val="006D7880"/>
    <w:rsid w:val="006D790D"/>
    <w:rsid w:val="006D7A0B"/>
    <w:rsid w:val="006D7BD6"/>
    <w:rsid w:val="006D7C20"/>
    <w:rsid w:val="006D7C8C"/>
    <w:rsid w:val="006D7EA0"/>
    <w:rsid w:val="006D7EC8"/>
    <w:rsid w:val="006E001C"/>
    <w:rsid w:val="006E00E8"/>
    <w:rsid w:val="006E00ED"/>
    <w:rsid w:val="006E014F"/>
    <w:rsid w:val="006E0255"/>
    <w:rsid w:val="006E0271"/>
    <w:rsid w:val="006E0345"/>
    <w:rsid w:val="006E036E"/>
    <w:rsid w:val="006E0582"/>
    <w:rsid w:val="006E05BA"/>
    <w:rsid w:val="006E06CE"/>
    <w:rsid w:val="006E07FB"/>
    <w:rsid w:val="006E08EA"/>
    <w:rsid w:val="006E09D8"/>
    <w:rsid w:val="006E0AE0"/>
    <w:rsid w:val="006E0D0D"/>
    <w:rsid w:val="006E0D20"/>
    <w:rsid w:val="006E0D53"/>
    <w:rsid w:val="006E0DB5"/>
    <w:rsid w:val="006E0F3C"/>
    <w:rsid w:val="006E1077"/>
    <w:rsid w:val="006E10CC"/>
    <w:rsid w:val="006E10E5"/>
    <w:rsid w:val="006E11A4"/>
    <w:rsid w:val="006E136B"/>
    <w:rsid w:val="006E1462"/>
    <w:rsid w:val="006E15B7"/>
    <w:rsid w:val="006E15F4"/>
    <w:rsid w:val="006E1654"/>
    <w:rsid w:val="006E1677"/>
    <w:rsid w:val="006E168B"/>
    <w:rsid w:val="006E16FB"/>
    <w:rsid w:val="006E1741"/>
    <w:rsid w:val="006E18E2"/>
    <w:rsid w:val="006E1A14"/>
    <w:rsid w:val="006E1A9E"/>
    <w:rsid w:val="006E1D58"/>
    <w:rsid w:val="006E1DD9"/>
    <w:rsid w:val="006E1F47"/>
    <w:rsid w:val="006E1F97"/>
    <w:rsid w:val="006E2133"/>
    <w:rsid w:val="006E2195"/>
    <w:rsid w:val="006E21EF"/>
    <w:rsid w:val="006E2203"/>
    <w:rsid w:val="006E22F8"/>
    <w:rsid w:val="006E2350"/>
    <w:rsid w:val="006E2365"/>
    <w:rsid w:val="006E23B8"/>
    <w:rsid w:val="006E2461"/>
    <w:rsid w:val="006E25B1"/>
    <w:rsid w:val="006E262A"/>
    <w:rsid w:val="006E27D8"/>
    <w:rsid w:val="006E2837"/>
    <w:rsid w:val="006E2A10"/>
    <w:rsid w:val="006E2A8F"/>
    <w:rsid w:val="006E2B51"/>
    <w:rsid w:val="006E2C6D"/>
    <w:rsid w:val="006E2CA6"/>
    <w:rsid w:val="006E2CE5"/>
    <w:rsid w:val="006E2D0B"/>
    <w:rsid w:val="006E2DAD"/>
    <w:rsid w:val="006E2DEC"/>
    <w:rsid w:val="006E2E80"/>
    <w:rsid w:val="006E2E9A"/>
    <w:rsid w:val="006E2F21"/>
    <w:rsid w:val="006E3082"/>
    <w:rsid w:val="006E30AE"/>
    <w:rsid w:val="006E31D9"/>
    <w:rsid w:val="006E3203"/>
    <w:rsid w:val="006E3212"/>
    <w:rsid w:val="006E324B"/>
    <w:rsid w:val="006E32BD"/>
    <w:rsid w:val="006E332E"/>
    <w:rsid w:val="006E33C9"/>
    <w:rsid w:val="006E33CA"/>
    <w:rsid w:val="006E33D9"/>
    <w:rsid w:val="006E3443"/>
    <w:rsid w:val="006E35AD"/>
    <w:rsid w:val="006E39D1"/>
    <w:rsid w:val="006E3BAB"/>
    <w:rsid w:val="006E3D37"/>
    <w:rsid w:val="006E3D4A"/>
    <w:rsid w:val="006E3D5C"/>
    <w:rsid w:val="006E3F71"/>
    <w:rsid w:val="006E3F8E"/>
    <w:rsid w:val="006E3FB0"/>
    <w:rsid w:val="006E3FC9"/>
    <w:rsid w:val="006E3FCE"/>
    <w:rsid w:val="006E404F"/>
    <w:rsid w:val="006E4076"/>
    <w:rsid w:val="006E423C"/>
    <w:rsid w:val="006E425F"/>
    <w:rsid w:val="006E4329"/>
    <w:rsid w:val="006E4333"/>
    <w:rsid w:val="006E4434"/>
    <w:rsid w:val="006E44B7"/>
    <w:rsid w:val="006E45E1"/>
    <w:rsid w:val="006E46FD"/>
    <w:rsid w:val="006E4B0C"/>
    <w:rsid w:val="006E4C36"/>
    <w:rsid w:val="006E4C84"/>
    <w:rsid w:val="006E4E0D"/>
    <w:rsid w:val="006E4E5D"/>
    <w:rsid w:val="006E4F97"/>
    <w:rsid w:val="006E50AD"/>
    <w:rsid w:val="006E50ED"/>
    <w:rsid w:val="006E511E"/>
    <w:rsid w:val="006E538D"/>
    <w:rsid w:val="006E55CF"/>
    <w:rsid w:val="006E569F"/>
    <w:rsid w:val="006E5715"/>
    <w:rsid w:val="006E5A92"/>
    <w:rsid w:val="006E5AFB"/>
    <w:rsid w:val="006E5B3F"/>
    <w:rsid w:val="006E5BC0"/>
    <w:rsid w:val="006E5BCF"/>
    <w:rsid w:val="006E5C0B"/>
    <w:rsid w:val="006E5CA7"/>
    <w:rsid w:val="006E5CD2"/>
    <w:rsid w:val="006E5D47"/>
    <w:rsid w:val="006E5DD4"/>
    <w:rsid w:val="006E5E18"/>
    <w:rsid w:val="006E5F9E"/>
    <w:rsid w:val="006E5F9F"/>
    <w:rsid w:val="006E61EC"/>
    <w:rsid w:val="006E62F7"/>
    <w:rsid w:val="006E632A"/>
    <w:rsid w:val="006E636B"/>
    <w:rsid w:val="006E649D"/>
    <w:rsid w:val="006E66B8"/>
    <w:rsid w:val="006E689F"/>
    <w:rsid w:val="006E68CF"/>
    <w:rsid w:val="006E68F9"/>
    <w:rsid w:val="006E6964"/>
    <w:rsid w:val="006E696A"/>
    <w:rsid w:val="006E6AB7"/>
    <w:rsid w:val="006E6B06"/>
    <w:rsid w:val="006E6B24"/>
    <w:rsid w:val="006E6B39"/>
    <w:rsid w:val="006E6BA5"/>
    <w:rsid w:val="006E6BD4"/>
    <w:rsid w:val="006E6CCF"/>
    <w:rsid w:val="006E6D83"/>
    <w:rsid w:val="006E6D90"/>
    <w:rsid w:val="006E6E3B"/>
    <w:rsid w:val="006E702A"/>
    <w:rsid w:val="006E72DE"/>
    <w:rsid w:val="006E7342"/>
    <w:rsid w:val="006E73B6"/>
    <w:rsid w:val="006E7440"/>
    <w:rsid w:val="006E7461"/>
    <w:rsid w:val="006E754B"/>
    <w:rsid w:val="006E7611"/>
    <w:rsid w:val="006E76F6"/>
    <w:rsid w:val="006E7736"/>
    <w:rsid w:val="006E776F"/>
    <w:rsid w:val="006E7788"/>
    <w:rsid w:val="006E7827"/>
    <w:rsid w:val="006E78C8"/>
    <w:rsid w:val="006E78D3"/>
    <w:rsid w:val="006E78E2"/>
    <w:rsid w:val="006E78FC"/>
    <w:rsid w:val="006E790C"/>
    <w:rsid w:val="006E7957"/>
    <w:rsid w:val="006E79A3"/>
    <w:rsid w:val="006E79F2"/>
    <w:rsid w:val="006E7A23"/>
    <w:rsid w:val="006E7AD5"/>
    <w:rsid w:val="006E7BB8"/>
    <w:rsid w:val="006E7CE4"/>
    <w:rsid w:val="006E7DD5"/>
    <w:rsid w:val="006E7E59"/>
    <w:rsid w:val="006E7EA3"/>
    <w:rsid w:val="006E7FFD"/>
    <w:rsid w:val="006F029A"/>
    <w:rsid w:val="006F0319"/>
    <w:rsid w:val="006F03ED"/>
    <w:rsid w:val="006F04BC"/>
    <w:rsid w:val="006F04C6"/>
    <w:rsid w:val="006F0571"/>
    <w:rsid w:val="006F05F8"/>
    <w:rsid w:val="006F0757"/>
    <w:rsid w:val="006F07AB"/>
    <w:rsid w:val="006F085F"/>
    <w:rsid w:val="006F08BD"/>
    <w:rsid w:val="006F08CA"/>
    <w:rsid w:val="006F0A61"/>
    <w:rsid w:val="006F0ADF"/>
    <w:rsid w:val="006F0B9F"/>
    <w:rsid w:val="006F0C82"/>
    <w:rsid w:val="006F0D01"/>
    <w:rsid w:val="006F0D2C"/>
    <w:rsid w:val="006F0DC4"/>
    <w:rsid w:val="006F0E91"/>
    <w:rsid w:val="006F0FA1"/>
    <w:rsid w:val="006F1004"/>
    <w:rsid w:val="006F1009"/>
    <w:rsid w:val="006F101A"/>
    <w:rsid w:val="006F10A9"/>
    <w:rsid w:val="006F10EF"/>
    <w:rsid w:val="006F1180"/>
    <w:rsid w:val="006F1258"/>
    <w:rsid w:val="006F1293"/>
    <w:rsid w:val="006F1306"/>
    <w:rsid w:val="006F1348"/>
    <w:rsid w:val="006F13D5"/>
    <w:rsid w:val="006F1474"/>
    <w:rsid w:val="006F16CF"/>
    <w:rsid w:val="006F175D"/>
    <w:rsid w:val="006F17FB"/>
    <w:rsid w:val="006F19C0"/>
    <w:rsid w:val="006F19C2"/>
    <w:rsid w:val="006F1B0A"/>
    <w:rsid w:val="006F1BC4"/>
    <w:rsid w:val="006F1BCD"/>
    <w:rsid w:val="006F1BEB"/>
    <w:rsid w:val="006F1BF8"/>
    <w:rsid w:val="006F1D35"/>
    <w:rsid w:val="006F1DBF"/>
    <w:rsid w:val="006F1F7F"/>
    <w:rsid w:val="006F2075"/>
    <w:rsid w:val="006F2308"/>
    <w:rsid w:val="006F24ED"/>
    <w:rsid w:val="006F2584"/>
    <w:rsid w:val="006F26AD"/>
    <w:rsid w:val="006F274E"/>
    <w:rsid w:val="006F2795"/>
    <w:rsid w:val="006F297B"/>
    <w:rsid w:val="006F29B9"/>
    <w:rsid w:val="006F29C5"/>
    <w:rsid w:val="006F29C9"/>
    <w:rsid w:val="006F2B00"/>
    <w:rsid w:val="006F2D99"/>
    <w:rsid w:val="006F2EC3"/>
    <w:rsid w:val="006F2ED3"/>
    <w:rsid w:val="006F3213"/>
    <w:rsid w:val="006F32F1"/>
    <w:rsid w:val="006F32F9"/>
    <w:rsid w:val="006F32FA"/>
    <w:rsid w:val="006F348B"/>
    <w:rsid w:val="006F3493"/>
    <w:rsid w:val="006F34D5"/>
    <w:rsid w:val="006F3731"/>
    <w:rsid w:val="006F3740"/>
    <w:rsid w:val="006F37B2"/>
    <w:rsid w:val="006F39E5"/>
    <w:rsid w:val="006F3CF4"/>
    <w:rsid w:val="006F3DA7"/>
    <w:rsid w:val="006F3E5A"/>
    <w:rsid w:val="006F3F04"/>
    <w:rsid w:val="006F3F31"/>
    <w:rsid w:val="006F3FDA"/>
    <w:rsid w:val="006F4057"/>
    <w:rsid w:val="006F41AA"/>
    <w:rsid w:val="006F42C2"/>
    <w:rsid w:val="006F475B"/>
    <w:rsid w:val="006F47DB"/>
    <w:rsid w:val="006F49C7"/>
    <w:rsid w:val="006F4A3E"/>
    <w:rsid w:val="006F4A5F"/>
    <w:rsid w:val="006F4A6F"/>
    <w:rsid w:val="006F4B9F"/>
    <w:rsid w:val="006F4BAE"/>
    <w:rsid w:val="006F4D0F"/>
    <w:rsid w:val="006F4D1A"/>
    <w:rsid w:val="006F4DDC"/>
    <w:rsid w:val="006F4E84"/>
    <w:rsid w:val="006F4F2C"/>
    <w:rsid w:val="006F5011"/>
    <w:rsid w:val="006F52A8"/>
    <w:rsid w:val="006F53DE"/>
    <w:rsid w:val="006F5470"/>
    <w:rsid w:val="006F55B7"/>
    <w:rsid w:val="006F572A"/>
    <w:rsid w:val="006F5742"/>
    <w:rsid w:val="006F57D1"/>
    <w:rsid w:val="006F57E0"/>
    <w:rsid w:val="006F59B5"/>
    <w:rsid w:val="006F5A0E"/>
    <w:rsid w:val="006F5C4B"/>
    <w:rsid w:val="006F5D02"/>
    <w:rsid w:val="006F5D2D"/>
    <w:rsid w:val="006F6099"/>
    <w:rsid w:val="006F60AB"/>
    <w:rsid w:val="006F60BB"/>
    <w:rsid w:val="006F60D7"/>
    <w:rsid w:val="006F610E"/>
    <w:rsid w:val="006F620C"/>
    <w:rsid w:val="006F622F"/>
    <w:rsid w:val="006F628B"/>
    <w:rsid w:val="006F6521"/>
    <w:rsid w:val="006F655B"/>
    <w:rsid w:val="006F664B"/>
    <w:rsid w:val="006F6879"/>
    <w:rsid w:val="006F69E5"/>
    <w:rsid w:val="006F6A31"/>
    <w:rsid w:val="006F6AD2"/>
    <w:rsid w:val="006F6B1B"/>
    <w:rsid w:val="006F6C3E"/>
    <w:rsid w:val="006F6FB4"/>
    <w:rsid w:val="006F6FE8"/>
    <w:rsid w:val="006F7028"/>
    <w:rsid w:val="006F7252"/>
    <w:rsid w:val="006F725E"/>
    <w:rsid w:val="006F72C9"/>
    <w:rsid w:val="006F7346"/>
    <w:rsid w:val="006F74C7"/>
    <w:rsid w:val="006F74FA"/>
    <w:rsid w:val="006F7547"/>
    <w:rsid w:val="006F756F"/>
    <w:rsid w:val="006F7598"/>
    <w:rsid w:val="006F761E"/>
    <w:rsid w:val="006F7719"/>
    <w:rsid w:val="006F7815"/>
    <w:rsid w:val="006F79E8"/>
    <w:rsid w:val="006F7A37"/>
    <w:rsid w:val="006F7A93"/>
    <w:rsid w:val="006F7B07"/>
    <w:rsid w:val="006F7D14"/>
    <w:rsid w:val="006F7E9F"/>
    <w:rsid w:val="006F7EFC"/>
    <w:rsid w:val="006F7EFE"/>
    <w:rsid w:val="00700116"/>
    <w:rsid w:val="007001EA"/>
    <w:rsid w:val="00700355"/>
    <w:rsid w:val="007004DF"/>
    <w:rsid w:val="00700504"/>
    <w:rsid w:val="00700510"/>
    <w:rsid w:val="0070056F"/>
    <w:rsid w:val="0070074D"/>
    <w:rsid w:val="007007D3"/>
    <w:rsid w:val="00700CA8"/>
    <w:rsid w:val="00700D43"/>
    <w:rsid w:val="00700D6F"/>
    <w:rsid w:val="00700D98"/>
    <w:rsid w:val="00700F50"/>
    <w:rsid w:val="00700FBD"/>
    <w:rsid w:val="00700FDC"/>
    <w:rsid w:val="00701023"/>
    <w:rsid w:val="0070105F"/>
    <w:rsid w:val="007011A8"/>
    <w:rsid w:val="007012B6"/>
    <w:rsid w:val="0070145A"/>
    <w:rsid w:val="0070145C"/>
    <w:rsid w:val="0070155A"/>
    <w:rsid w:val="0070160B"/>
    <w:rsid w:val="00701633"/>
    <w:rsid w:val="0070164D"/>
    <w:rsid w:val="00701693"/>
    <w:rsid w:val="007016A9"/>
    <w:rsid w:val="0070174F"/>
    <w:rsid w:val="00701785"/>
    <w:rsid w:val="00701B68"/>
    <w:rsid w:val="00701D41"/>
    <w:rsid w:val="00701D59"/>
    <w:rsid w:val="00701DD7"/>
    <w:rsid w:val="00701E58"/>
    <w:rsid w:val="00701FA5"/>
    <w:rsid w:val="00702076"/>
    <w:rsid w:val="00702083"/>
    <w:rsid w:val="007020C7"/>
    <w:rsid w:val="00702131"/>
    <w:rsid w:val="00702257"/>
    <w:rsid w:val="00702385"/>
    <w:rsid w:val="0070242B"/>
    <w:rsid w:val="007024C1"/>
    <w:rsid w:val="007024C9"/>
    <w:rsid w:val="007024DB"/>
    <w:rsid w:val="007024E9"/>
    <w:rsid w:val="007025BE"/>
    <w:rsid w:val="007025ED"/>
    <w:rsid w:val="007026F4"/>
    <w:rsid w:val="00702824"/>
    <w:rsid w:val="0070285A"/>
    <w:rsid w:val="007028A0"/>
    <w:rsid w:val="00702AF2"/>
    <w:rsid w:val="00702B7D"/>
    <w:rsid w:val="00702BA3"/>
    <w:rsid w:val="00702BFB"/>
    <w:rsid w:val="00702CF4"/>
    <w:rsid w:val="00702D06"/>
    <w:rsid w:val="00702F0B"/>
    <w:rsid w:val="00702F66"/>
    <w:rsid w:val="00702FA1"/>
    <w:rsid w:val="00703086"/>
    <w:rsid w:val="007030D0"/>
    <w:rsid w:val="00703135"/>
    <w:rsid w:val="0070317F"/>
    <w:rsid w:val="007031EF"/>
    <w:rsid w:val="0070324E"/>
    <w:rsid w:val="00703360"/>
    <w:rsid w:val="007033A5"/>
    <w:rsid w:val="007034ED"/>
    <w:rsid w:val="00703533"/>
    <w:rsid w:val="007035C3"/>
    <w:rsid w:val="0070360D"/>
    <w:rsid w:val="00703665"/>
    <w:rsid w:val="00703717"/>
    <w:rsid w:val="0070373D"/>
    <w:rsid w:val="0070374C"/>
    <w:rsid w:val="007037DC"/>
    <w:rsid w:val="00703815"/>
    <w:rsid w:val="007039F8"/>
    <w:rsid w:val="00703CB9"/>
    <w:rsid w:val="00703CD2"/>
    <w:rsid w:val="00703CEF"/>
    <w:rsid w:val="00703D29"/>
    <w:rsid w:val="00703D5D"/>
    <w:rsid w:val="00703D9B"/>
    <w:rsid w:val="00703E6B"/>
    <w:rsid w:val="00703EA0"/>
    <w:rsid w:val="00703F0D"/>
    <w:rsid w:val="00703F30"/>
    <w:rsid w:val="00703FCA"/>
    <w:rsid w:val="007041FF"/>
    <w:rsid w:val="007042F2"/>
    <w:rsid w:val="0070437E"/>
    <w:rsid w:val="007043D2"/>
    <w:rsid w:val="007043E5"/>
    <w:rsid w:val="00704609"/>
    <w:rsid w:val="00704745"/>
    <w:rsid w:val="007047A6"/>
    <w:rsid w:val="007047C2"/>
    <w:rsid w:val="00704BD9"/>
    <w:rsid w:val="00704E5B"/>
    <w:rsid w:val="00704EA2"/>
    <w:rsid w:val="00704EE0"/>
    <w:rsid w:val="00704EF2"/>
    <w:rsid w:val="00704F01"/>
    <w:rsid w:val="00704F87"/>
    <w:rsid w:val="007050C5"/>
    <w:rsid w:val="0070515C"/>
    <w:rsid w:val="00705352"/>
    <w:rsid w:val="007053D8"/>
    <w:rsid w:val="007054B5"/>
    <w:rsid w:val="007054D1"/>
    <w:rsid w:val="00705722"/>
    <w:rsid w:val="00705867"/>
    <w:rsid w:val="0070587D"/>
    <w:rsid w:val="007058C2"/>
    <w:rsid w:val="00705916"/>
    <w:rsid w:val="00705976"/>
    <w:rsid w:val="00705AC3"/>
    <w:rsid w:val="00705BAC"/>
    <w:rsid w:val="00705E1E"/>
    <w:rsid w:val="00705EDA"/>
    <w:rsid w:val="00705F0D"/>
    <w:rsid w:val="00705F68"/>
    <w:rsid w:val="00705FFD"/>
    <w:rsid w:val="00706000"/>
    <w:rsid w:val="007060BF"/>
    <w:rsid w:val="0070618B"/>
    <w:rsid w:val="0070638F"/>
    <w:rsid w:val="0070641D"/>
    <w:rsid w:val="0070643F"/>
    <w:rsid w:val="00706530"/>
    <w:rsid w:val="00706638"/>
    <w:rsid w:val="0070678C"/>
    <w:rsid w:val="00706A64"/>
    <w:rsid w:val="00706B59"/>
    <w:rsid w:val="00706B71"/>
    <w:rsid w:val="00706B8F"/>
    <w:rsid w:val="00706D41"/>
    <w:rsid w:val="00706DFC"/>
    <w:rsid w:val="00706F04"/>
    <w:rsid w:val="007070BB"/>
    <w:rsid w:val="00707236"/>
    <w:rsid w:val="007073D1"/>
    <w:rsid w:val="00707401"/>
    <w:rsid w:val="007074DD"/>
    <w:rsid w:val="00707603"/>
    <w:rsid w:val="00707688"/>
    <w:rsid w:val="007076BF"/>
    <w:rsid w:val="00707790"/>
    <w:rsid w:val="007077E1"/>
    <w:rsid w:val="00707974"/>
    <w:rsid w:val="00707A39"/>
    <w:rsid w:val="00707B34"/>
    <w:rsid w:val="00707B5C"/>
    <w:rsid w:val="00707E0D"/>
    <w:rsid w:val="00707E9A"/>
    <w:rsid w:val="00707EF9"/>
    <w:rsid w:val="0071001C"/>
    <w:rsid w:val="007100B9"/>
    <w:rsid w:val="007100CA"/>
    <w:rsid w:val="007100DA"/>
    <w:rsid w:val="00710187"/>
    <w:rsid w:val="007101A3"/>
    <w:rsid w:val="007101F3"/>
    <w:rsid w:val="007102F2"/>
    <w:rsid w:val="00710345"/>
    <w:rsid w:val="00710373"/>
    <w:rsid w:val="00710376"/>
    <w:rsid w:val="00710388"/>
    <w:rsid w:val="007104B6"/>
    <w:rsid w:val="007105E9"/>
    <w:rsid w:val="007106BD"/>
    <w:rsid w:val="00710963"/>
    <w:rsid w:val="00710CD9"/>
    <w:rsid w:val="00710D65"/>
    <w:rsid w:val="00710E0F"/>
    <w:rsid w:val="00710E13"/>
    <w:rsid w:val="00710F3D"/>
    <w:rsid w:val="007112BB"/>
    <w:rsid w:val="00711316"/>
    <w:rsid w:val="0071145E"/>
    <w:rsid w:val="0071146E"/>
    <w:rsid w:val="00711539"/>
    <w:rsid w:val="0071156D"/>
    <w:rsid w:val="00711612"/>
    <w:rsid w:val="00711624"/>
    <w:rsid w:val="00711719"/>
    <w:rsid w:val="0071171C"/>
    <w:rsid w:val="00711779"/>
    <w:rsid w:val="007117F8"/>
    <w:rsid w:val="00711B7F"/>
    <w:rsid w:val="00711C63"/>
    <w:rsid w:val="00711DD0"/>
    <w:rsid w:val="00711EA5"/>
    <w:rsid w:val="00712059"/>
    <w:rsid w:val="0071207E"/>
    <w:rsid w:val="0071215E"/>
    <w:rsid w:val="00712528"/>
    <w:rsid w:val="0071254F"/>
    <w:rsid w:val="007125E7"/>
    <w:rsid w:val="00712765"/>
    <w:rsid w:val="00712A3F"/>
    <w:rsid w:val="00712CD9"/>
    <w:rsid w:val="00712E51"/>
    <w:rsid w:val="00712F60"/>
    <w:rsid w:val="00712FA2"/>
    <w:rsid w:val="0071305A"/>
    <w:rsid w:val="007130BF"/>
    <w:rsid w:val="007131B7"/>
    <w:rsid w:val="00713256"/>
    <w:rsid w:val="00713486"/>
    <w:rsid w:val="007134BC"/>
    <w:rsid w:val="00713598"/>
    <w:rsid w:val="00713683"/>
    <w:rsid w:val="00713687"/>
    <w:rsid w:val="0071380F"/>
    <w:rsid w:val="0071390B"/>
    <w:rsid w:val="00713994"/>
    <w:rsid w:val="00713A5C"/>
    <w:rsid w:val="00713A78"/>
    <w:rsid w:val="00713A98"/>
    <w:rsid w:val="00713AF3"/>
    <w:rsid w:val="00713C69"/>
    <w:rsid w:val="00713CC3"/>
    <w:rsid w:val="00713D44"/>
    <w:rsid w:val="00713DEB"/>
    <w:rsid w:val="00713E03"/>
    <w:rsid w:val="00713E31"/>
    <w:rsid w:val="00713E50"/>
    <w:rsid w:val="0071405E"/>
    <w:rsid w:val="0071411E"/>
    <w:rsid w:val="007142B1"/>
    <w:rsid w:val="0071444E"/>
    <w:rsid w:val="0071457B"/>
    <w:rsid w:val="0071460D"/>
    <w:rsid w:val="0071478C"/>
    <w:rsid w:val="0071483C"/>
    <w:rsid w:val="007148BF"/>
    <w:rsid w:val="00714920"/>
    <w:rsid w:val="0071493C"/>
    <w:rsid w:val="00714AC0"/>
    <w:rsid w:val="00714BC1"/>
    <w:rsid w:val="00714BFE"/>
    <w:rsid w:val="0071520C"/>
    <w:rsid w:val="0071525B"/>
    <w:rsid w:val="0071528D"/>
    <w:rsid w:val="007152F0"/>
    <w:rsid w:val="00715546"/>
    <w:rsid w:val="00715745"/>
    <w:rsid w:val="00715865"/>
    <w:rsid w:val="00715879"/>
    <w:rsid w:val="007158C2"/>
    <w:rsid w:val="007158F0"/>
    <w:rsid w:val="007158FD"/>
    <w:rsid w:val="007159EA"/>
    <w:rsid w:val="00715BF0"/>
    <w:rsid w:val="00715BF9"/>
    <w:rsid w:val="00715C6E"/>
    <w:rsid w:val="00715CD2"/>
    <w:rsid w:val="00715E08"/>
    <w:rsid w:val="00715E8B"/>
    <w:rsid w:val="00715F41"/>
    <w:rsid w:val="00715F8C"/>
    <w:rsid w:val="00715F96"/>
    <w:rsid w:val="00715FE9"/>
    <w:rsid w:val="0071607D"/>
    <w:rsid w:val="00716278"/>
    <w:rsid w:val="007162DF"/>
    <w:rsid w:val="0071634D"/>
    <w:rsid w:val="0071646B"/>
    <w:rsid w:val="00716588"/>
    <w:rsid w:val="0071665B"/>
    <w:rsid w:val="007166CA"/>
    <w:rsid w:val="007166D2"/>
    <w:rsid w:val="007167E5"/>
    <w:rsid w:val="00716987"/>
    <w:rsid w:val="007169A8"/>
    <w:rsid w:val="007169C4"/>
    <w:rsid w:val="00716A07"/>
    <w:rsid w:val="00716A6D"/>
    <w:rsid w:val="00716B07"/>
    <w:rsid w:val="00716B7B"/>
    <w:rsid w:val="00716C79"/>
    <w:rsid w:val="00716D80"/>
    <w:rsid w:val="00716D8B"/>
    <w:rsid w:val="00716E0B"/>
    <w:rsid w:val="007170B2"/>
    <w:rsid w:val="0071720D"/>
    <w:rsid w:val="00717270"/>
    <w:rsid w:val="00717298"/>
    <w:rsid w:val="00717328"/>
    <w:rsid w:val="0071735C"/>
    <w:rsid w:val="00717363"/>
    <w:rsid w:val="007173ED"/>
    <w:rsid w:val="007174B8"/>
    <w:rsid w:val="0071752C"/>
    <w:rsid w:val="00717595"/>
    <w:rsid w:val="0071765C"/>
    <w:rsid w:val="007177A0"/>
    <w:rsid w:val="007177F3"/>
    <w:rsid w:val="00717806"/>
    <w:rsid w:val="007178D2"/>
    <w:rsid w:val="00717918"/>
    <w:rsid w:val="00717990"/>
    <w:rsid w:val="00717A3F"/>
    <w:rsid w:val="00717A8F"/>
    <w:rsid w:val="00717AE9"/>
    <w:rsid w:val="00717BB1"/>
    <w:rsid w:val="00717C9D"/>
    <w:rsid w:val="00717CF4"/>
    <w:rsid w:val="00717D7A"/>
    <w:rsid w:val="00717DA0"/>
    <w:rsid w:val="00717E6E"/>
    <w:rsid w:val="007200A0"/>
    <w:rsid w:val="007200C4"/>
    <w:rsid w:val="007201B3"/>
    <w:rsid w:val="007202BE"/>
    <w:rsid w:val="0072038D"/>
    <w:rsid w:val="007203B9"/>
    <w:rsid w:val="007204F5"/>
    <w:rsid w:val="0072053E"/>
    <w:rsid w:val="0072054F"/>
    <w:rsid w:val="00720568"/>
    <w:rsid w:val="0072057F"/>
    <w:rsid w:val="00720613"/>
    <w:rsid w:val="007207C9"/>
    <w:rsid w:val="007207CD"/>
    <w:rsid w:val="00720831"/>
    <w:rsid w:val="00720971"/>
    <w:rsid w:val="00720ABC"/>
    <w:rsid w:val="00720AC8"/>
    <w:rsid w:val="00720B70"/>
    <w:rsid w:val="00720C51"/>
    <w:rsid w:val="00720DDB"/>
    <w:rsid w:val="00720DDF"/>
    <w:rsid w:val="00720E91"/>
    <w:rsid w:val="00720F1B"/>
    <w:rsid w:val="00720F26"/>
    <w:rsid w:val="00720FB3"/>
    <w:rsid w:val="0072116E"/>
    <w:rsid w:val="0072140C"/>
    <w:rsid w:val="00721414"/>
    <w:rsid w:val="00721486"/>
    <w:rsid w:val="007214C7"/>
    <w:rsid w:val="007216C8"/>
    <w:rsid w:val="0072174D"/>
    <w:rsid w:val="00721772"/>
    <w:rsid w:val="007219B9"/>
    <w:rsid w:val="00721A77"/>
    <w:rsid w:val="00721B81"/>
    <w:rsid w:val="00721BB1"/>
    <w:rsid w:val="00721BC2"/>
    <w:rsid w:val="00721BEB"/>
    <w:rsid w:val="00721DD2"/>
    <w:rsid w:val="00721E3C"/>
    <w:rsid w:val="00721E8D"/>
    <w:rsid w:val="00721FEF"/>
    <w:rsid w:val="00722000"/>
    <w:rsid w:val="0072200B"/>
    <w:rsid w:val="00722093"/>
    <w:rsid w:val="007220DE"/>
    <w:rsid w:val="007223AD"/>
    <w:rsid w:val="007223DB"/>
    <w:rsid w:val="00722407"/>
    <w:rsid w:val="00722415"/>
    <w:rsid w:val="00722423"/>
    <w:rsid w:val="00722435"/>
    <w:rsid w:val="007224F7"/>
    <w:rsid w:val="007226A1"/>
    <w:rsid w:val="00722771"/>
    <w:rsid w:val="0072288A"/>
    <w:rsid w:val="0072294D"/>
    <w:rsid w:val="00722974"/>
    <w:rsid w:val="00722AF0"/>
    <w:rsid w:val="00722B2D"/>
    <w:rsid w:val="00722BD4"/>
    <w:rsid w:val="00722E6B"/>
    <w:rsid w:val="00723019"/>
    <w:rsid w:val="0072310C"/>
    <w:rsid w:val="00723132"/>
    <w:rsid w:val="00723328"/>
    <w:rsid w:val="0072332E"/>
    <w:rsid w:val="00723392"/>
    <w:rsid w:val="00723397"/>
    <w:rsid w:val="007234DB"/>
    <w:rsid w:val="0072354A"/>
    <w:rsid w:val="0072355E"/>
    <w:rsid w:val="0072368B"/>
    <w:rsid w:val="007236BC"/>
    <w:rsid w:val="00723783"/>
    <w:rsid w:val="007237F4"/>
    <w:rsid w:val="0072397A"/>
    <w:rsid w:val="00723B1A"/>
    <w:rsid w:val="00723BC0"/>
    <w:rsid w:val="00723DC7"/>
    <w:rsid w:val="00723DF6"/>
    <w:rsid w:val="00723E16"/>
    <w:rsid w:val="00723E1E"/>
    <w:rsid w:val="00723E50"/>
    <w:rsid w:val="00723F3C"/>
    <w:rsid w:val="007240D8"/>
    <w:rsid w:val="0072416A"/>
    <w:rsid w:val="0072447A"/>
    <w:rsid w:val="00724579"/>
    <w:rsid w:val="007245CF"/>
    <w:rsid w:val="007245F9"/>
    <w:rsid w:val="00724633"/>
    <w:rsid w:val="007247D8"/>
    <w:rsid w:val="007247FB"/>
    <w:rsid w:val="0072482D"/>
    <w:rsid w:val="00724847"/>
    <w:rsid w:val="007248E7"/>
    <w:rsid w:val="0072499F"/>
    <w:rsid w:val="00724A7E"/>
    <w:rsid w:val="00724C01"/>
    <w:rsid w:val="00724C75"/>
    <w:rsid w:val="00724C8D"/>
    <w:rsid w:val="00724C9E"/>
    <w:rsid w:val="00724CBC"/>
    <w:rsid w:val="00724CFE"/>
    <w:rsid w:val="00725114"/>
    <w:rsid w:val="00725248"/>
    <w:rsid w:val="00725265"/>
    <w:rsid w:val="007254B8"/>
    <w:rsid w:val="00725532"/>
    <w:rsid w:val="00725550"/>
    <w:rsid w:val="007255D1"/>
    <w:rsid w:val="007256D6"/>
    <w:rsid w:val="00725804"/>
    <w:rsid w:val="007258A7"/>
    <w:rsid w:val="0072592D"/>
    <w:rsid w:val="00725981"/>
    <w:rsid w:val="00725E07"/>
    <w:rsid w:val="00725F14"/>
    <w:rsid w:val="00725F99"/>
    <w:rsid w:val="0072605D"/>
    <w:rsid w:val="007260B4"/>
    <w:rsid w:val="00726270"/>
    <w:rsid w:val="00726451"/>
    <w:rsid w:val="0072646F"/>
    <w:rsid w:val="00726529"/>
    <w:rsid w:val="007265C9"/>
    <w:rsid w:val="00726608"/>
    <w:rsid w:val="007267B8"/>
    <w:rsid w:val="0072690D"/>
    <w:rsid w:val="00726943"/>
    <w:rsid w:val="00726A79"/>
    <w:rsid w:val="00726B6D"/>
    <w:rsid w:val="00726F32"/>
    <w:rsid w:val="00726F82"/>
    <w:rsid w:val="007270A2"/>
    <w:rsid w:val="0072716F"/>
    <w:rsid w:val="007271F4"/>
    <w:rsid w:val="007272E5"/>
    <w:rsid w:val="00727433"/>
    <w:rsid w:val="007275D4"/>
    <w:rsid w:val="007276A3"/>
    <w:rsid w:val="007276EB"/>
    <w:rsid w:val="00727739"/>
    <w:rsid w:val="007277EB"/>
    <w:rsid w:val="007278C7"/>
    <w:rsid w:val="007279B0"/>
    <w:rsid w:val="00727A27"/>
    <w:rsid w:val="00727BBF"/>
    <w:rsid w:val="00727C3D"/>
    <w:rsid w:val="00727D69"/>
    <w:rsid w:val="00727D9D"/>
    <w:rsid w:val="00727E73"/>
    <w:rsid w:val="00727E7B"/>
    <w:rsid w:val="007301D0"/>
    <w:rsid w:val="007301DC"/>
    <w:rsid w:val="0073030E"/>
    <w:rsid w:val="007303BC"/>
    <w:rsid w:val="00730426"/>
    <w:rsid w:val="007305E5"/>
    <w:rsid w:val="0073064C"/>
    <w:rsid w:val="007306A9"/>
    <w:rsid w:val="0073077E"/>
    <w:rsid w:val="007307E8"/>
    <w:rsid w:val="00730831"/>
    <w:rsid w:val="00730A5E"/>
    <w:rsid w:val="00730A6A"/>
    <w:rsid w:val="00730D60"/>
    <w:rsid w:val="00730E51"/>
    <w:rsid w:val="007310C5"/>
    <w:rsid w:val="007312AC"/>
    <w:rsid w:val="0073134F"/>
    <w:rsid w:val="0073143B"/>
    <w:rsid w:val="007315EF"/>
    <w:rsid w:val="0073166F"/>
    <w:rsid w:val="00731865"/>
    <w:rsid w:val="007318EA"/>
    <w:rsid w:val="0073190C"/>
    <w:rsid w:val="00731945"/>
    <w:rsid w:val="00731ACE"/>
    <w:rsid w:val="00731B18"/>
    <w:rsid w:val="00731B47"/>
    <w:rsid w:val="00731BBB"/>
    <w:rsid w:val="00731C40"/>
    <w:rsid w:val="00731C49"/>
    <w:rsid w:val="00731DEA"/>
    <w:rsid w:val="007320DB"/>
    <w:rsid w:val="007320FA"/>
    <w:rsid w:val="00732239"/>
    <w:rsid w:val="0073224C"/>
    <w:rsid w:val="0073240A"/>
    <w:rsid w:val="00732469"/>
    <w:rsid w:val="0073261D"/>
    <w:rsid w:val="00732686"/>
    <w:rsid w:val="00732770"/>
    <w:rsid w:val="00732786"/>
    <w:rsid w:val="00732912"/>
    <w:rsid w:val="007329A5"/>
    <w:rsid w:val="00732A16"/>
    <w:rsid w:val="00732AE6"/>
    <w:rsid w:val="00732B3D"/>
    <w:rsid w:val="00732CFD"/>
    <w:rsid w:val="00732D7C"/>
    <w:rsid w:val="00732E33"/>
    <w:rsid w:val="00732E75"/>
    <w:rsid w:val="00733004"/>
    <w:rsid w:val="0073310C"/>
    <w:rsid w:val="00733269"/>
    <w:rsid w:val="00733311"/>
    <w:rsid w:val="0073333D"/>
    <w:rsid w:val="007333A1"/>
    <w:rsid w:val="007333E9"/>
    <w:rsid w:val="00733445"/>
    <w:rsid w:val="007334EB"/>
    <w:rsid w:val="00733538"/>
    <w:rsid w:val="0073365B"/>
    <w:rsid w:val="0073381F"/>
    <w:rsid w:val="00733882"/>
    <w:rsid w:val="007338C9"/>
    <w:rsid w:val="00733920"/>
    <w:rsid w:val="00733992"/>
    <w:rsid w:val="00733A41"/>
    <w:rsid w:val="00733D2B"/>
    <w:rsid w:val="00733E8A"/>
    <w:rsid w:val="00733EFA"/>
    <w:rsid w:val="00733F47"/>
    <w:rsid w:val="00734032"/>
    <w:rsid w:val="0073414F"/>
    <w:rsid w:val="007341E4"/>
    <w:rsid w:val="0073434C"/>
    <w:rsid w:val="007343F3"/>
    <w:rsid w:val="0073443B"/>
    <w:rsid w:val="0073443D"/>
    <w:rsid w:val="00734494"/>
    <w:rsid w:val="00734661"/>
    <w:rsid w:val="0073476D"/>
    <w:rsid w:val="00734779"/>
    <w:rsid w:val="007347DA"/>
    <w:rsid w:val="0073498D"/>
    <w:rsid w:val="007349DB"/>
    <w:rsid w:val="007349E3"/>
    <w:rsid w:val="007349E5"/>
    <w:rsid w:val="00734AF8"/>
    <w:rsid w:val="00734B9C"/>
    <w:rsid w:val="00734BFC"/>
    <w:rsid w:val="00734D3E"/>
    <w:rsid w:val="00734E39"/>
    <w:rsid w:val="00734FFD"/>
    <w:rsid w:val="007350CF"/>
    <w:rsid w:val="0073523E"/>
    <w:rsid w:val="0073542F"/>
    <w:rsid w:val="00735438"/>
    <w:rsid w:val="007354F3"/>
    <w:rsid w:val="00735639"/>
    <w:rsid w:val="007356A3"/>
    <w:rsid w:val="0073578F"/>
    <w:rsid w:val="007359CF"/>
    <w:rsid w:val="00735B49"/>
    <w:rsid w:val="00735B83"/>
    <w:rsid w:val="00735D28"/>
    <w:rsid w:val="00735EC1"/>
    <w:rsid w:val="00735FE5"/>
    <w:rsid w:val="0073619E"/>
    <w:rsid w:val="00736299"/>
    <w:rsid w:val="00736338"/>
    <w:rsid w:val="00736342"/>
    <w:rsid w:val="0073639F"/>
    <w:rsid w:val="007364D7"/>
    <w:rsid w:val="00736746"/>
    <w:rsid w:val="007367C5"/>
    <w:rsid w:val="00736883"/>
    <w:rsid w:val="00736B8C"/>
    <w:rsid w:val="00736DDA"/>
    <w:rsid w:val="00736EE0"/>
    <w:rsid w:val="00736F13"/>
    <w:rsid w:val="00736F26"/>
    <w:rsid w:val="00736F2A"/>
    <w:rsid w:val="00736F2B"/>
    <w:rsid w:val="00736F65"/>
    <w:rsid w:val="00736FA7"/>
    <w:rsid w:val="00737105"/>
    <w:rsid w:val="0073720E"/>
    <w:rsid w:val="00737283"/>
    <w:rsid w:val="00737301"/>
    <w:rsid w:val="0073732D"/>
    <w:rsid w:val="007375D5"/>
    <w:rsid w:val="0073767E"/>
    <w:rsid w:val="00737740"/>
    <w:rsid w:val="00737791"/>
    <w:rsid w:val="00737854"/>
    <w:rsid w:val="0073794F"/>
    <w:rsid w:val="00737B9E"/>
    <w:rsid w:val="00737BBC"/>
    <w:rsid w:val="00737C65"/>
    <w:rsid w:val="00737D02"/>
    <w:rsid w:val="00737DA8"/>
    <w:rsid w:val="00737F3C"/>
    <w:rsid w:val="00737F48"/>
    <w:rsid w:val="00737F71"/>
    <w:rsid w:val="00737F85"/>
    <w:rsid w:val="00737F94"/>
    <w:rsid w:val="00737FCE"/>
    <w:rsid w:val="007400C6"/>
    <w:rsid w:val="007401D3"/>
    <w:rsid w:val="007401EF"/>
    <w:rsid w:val="007402C6"/>
    <w:rsid w:val="007403D8"/>
    <w:rsid w:val="007403EC"/>
    <w:rsid w:val="00740434"/>
    <w:rsid w:val="00740573"/>
    <w:rsid w:val="0074060C"/>
    <w:rsid w:val="0074067F"/>
    <w:rsid w:val="00740752"/>
    <w:rsid w:val="007407CA"/>
    <w:rsid w:val="00740826"/>
    <w:rsid w:val="0074094B"/>
    <w:rsid w:val="00740AD1"/>
    <w:rsid w:val="00740BA1"/>
    <w:rsid w:val="00740BDD"/>
    <w:rsid w:val="00740C88"/>
    <w:rsid w:val="00740D52"/>
    <w:rsid w:val="00740E89"/>
    <w:rsid w:val="00741070"/>
    <w:rsid w:val="00741110"/>
    <w:rsid w:val="00741190"/>
    <w:rsid w:val="0074143A"/>
    <w:rsid w:val="00741568"/>
    <w:rsid w:val="007415D2"/>
    <w:rsid w:val="0074165E"/>
    <w:rsid w:val="007416BE"/>
    <w:rsid w:val="007416C0"/>
    <w:rsid w:val="00741782"/>
    <w:rsid w:val="0074183B"/>
    <w:rsid w:val="007418CB"/>
    <w:rsid w:val="0074193C"/>
    <w:rsid w:val="007419FE"/>
    <w:rsid w:val="00741A24"/>
    <w:rsid w:val="00741B65"/>
    <w:rsid w:val="00741B9B"/>
    <w:rsid w:val="00741CD4"/>
    <w:rsid w:val="00741D6D"/>
    <w:rsid w:val="00741E00"/>
    <w:rsid w:val="00741F8A"/>
    <w:rsid w:val="00742022"/>
    <w:rsid w:val="0074203C"/>
    <w:rsid w:val="0074209B"/>
    <w:rsid w:val="00742118"/>
    <w:rsid w:val="007423DD"/>
    <w:rsid w:val="0074248F"/>
    <w:rsid w:val="007428D4"/>
    <w:rsid w:val="00742A44"/>
    <w:rsid w:val="00742AA7"/>
    <w:rsid w:val="00742AC7"/>
    <w:rsid w:val="00742AF9"/>
    <w:rsid w:val="00742C21"/>
    <w:rsid w:val="00742C27"/>
    <w:rsid w:val="00742E11"/>
    <w:rsid w:val="00742EE5"/>
    <w:rsid w:val="00742FC2"/>
    <w:rsid w:val="00743009"/>
    <w:rsid w:val="00743083"/>
    <w:rsid w:val="007430DF"/>
    <w:rsid w:val="00743124"/>
    <w:rsid w:val="00743149"/>
    <w:rsid w:val="007431F8"/>
    <w:rsid w:val="00743226"/>
    <w:rsid w:val="007432C7"/>
    <w:rsid w:val="0074341F"/>
    <w:rsid w:val="00743422"/>
    <w:rsid w:val="00743498"/>
    <w:rsid w:val="00743506"/>
    <w:rsid w:val="007435CA"/>
    <w:rsid w:val="00743605"/>
    <w:rsid w:val="007436FB"/>
    <w:rsid w:val="00743767"/>
    <w:rsid w:val="0074384F"/>
    <w:rsid w:val="0074386E"/>
    <w:rsid w:val="00743D8B"/>
    <w:rsid w:val="00743DC4"/>
    <w:rsid w:val="00743DC7"/>
    <w:rsid w:val="00743E34"/>
    <w:rsid w:val="00743EB3"/>
    <w:rsid w:val="00743F12"/>
    <w:rsid w:val="00743F52"/>
    <w:rsid w:val="00743F6D"/>
    <w:rsid w:val="00743F81"/>
    <w:rsid w:val="00743FC1"/>
    <w:rsid w:val="00744078"/>
    <w:rsid w:val="007440C1"/>
    <w:rsid w:val="0074418E"/>
    <w:rsid w:val="007441AA"/>
    <w:rsid w:val="0074423A"/>
    <w:rsid w:val="007442CB"/>
    <w:rsid w:val="00744372"/>
    <w:rsid w:val="00744388"/>
    <w:rsid w:val="007443C7"/>
    <w:rsid w:val="0074449D"/>
    <w:rsid w:val="0074460C"/>
    <w:rsid w:val="007447EF"/>
    <w:rsid w:val="007448DB"/>
    <w:rsid w:val="00744901"/>
    <w:rsid w:val="00744929"/>
    <w:rsid w:val="00744C85"/>
    <w:rsid w:val="00744CB8"/>
    <w:rsid w:val="00744F41"/>
    <w:rsid w:val="0074505A"/>
    <w:rsid w:val="007450AF"/>
    <w:rsid w:val="0074510E"/>
    <w:rsid w:val="00745195"/>
    <w:rsid w:val="00745215"/>
    <w:rsid w:val="0074539C"/>
    <w:rsid w:val="00745436"/>
    <w:rsid w:val="0074569B"/>
    <w:rsid w:val="00745727"/>
    <w:rsid w:val="00745793"/>
    <w:rsid w:val="007457DD"/>
    <w:rsid w:val="0074583D"/>
    <w:rsid w:val="00745873"/>
    <w:rsid w:val="007458F4"/>
    <w:rsid w:val="00745A5B"/>
    <w:rsid w:val="00745A65"/>
    <w:rsid w:val="00745C40"/>
    <w:rsid w:val="00745C44"/>
    <w:rsid w:val="00745D31"/>
    <w:rsid w:val="00745D7F"/>
    <w:rsid w:val="00745DFE"/>
    <w:rsid w:val="00745E7D"/>
    <w:rsid w:val="00745F25"/>
    <w:rsid w:val="00745F46"/>
    <w:rsid w:val="00745F65"/>
    <w:rsid w:val="00745F9B"/>
    <w:rsid w:val="00746017"/>
    <w:rsid w:val="00746112"/>
    <w:rsid w:val="0074623F"/>
    <w:rsid w:val="007463ED"/>
    <w:rsid w:val="0074655A"/>
    <w:rsid w:val="007466CD"/>
    <w:rsid w:val="00746949"/>
    <w:rsid w:val="007469A1"/>
    <w:rsid w:val="00746A0C"/>
    <w:rsid w:val="00746A5C"/>
    <w:rsid w:val="00746AAA"/>
    <w:rsid w:val="00746B06"/>
    <w:rsid w:val="00746B68"/>
    <w:rsid w:val="00746C60"/>
    <w:rsid w:val="00746DB1"/>
    <w:rsid w:val="00746F31"/>
    <w:rsid w:val="00746F33"/>
    <w:rsid w:val="00746F39"/>
    <w:rsid w:val="00747037"/>
    <w:rsid w:val="007470B3"/>
    <w:rsid w:val="00747407"/>
    <w:rsid w:val="00747455"/>
    <w:rsid w:val="007474BC"/>
    <w:rsid w:val="007476C4"/>
    <w:rsid w:val="0074773B"/>
    <w:rsid w:val="00747950"/>
    <w:rsid w:val="00747965"/>
    <w:rsid w:val="007479B5"/>
    <w:rsid w:val="00747A3A"/>
    <w:rsid w:val="00747B26"/>
    <w:rsid w:val="00747BBB"/>
    <w:rsid w:val="00747D39"/>
    <w:rsid w:val="00747D53"/>
    <w:rsid w:val="00747F6D"/>
    <w:rsid w:val="00747FAD"/>
    <w:rsid w:val="00750210"/>
    <w:rsid w:val="007502A3"/>
    <w:rsid w:val="007502A6"/>
    <w:rsid w:val="007502CF"/>
    <w:rsid w:val="0075036D"/>
    <w:rsid w:val="007504D7"/>
    <w:rsid w:val="00750564"/>
    <w:rsid w:val="00750599"/>
    <w:rsid w:val="0075060E"/>
    <w:rsid w:val="007506C9"/>
    <w:rsid w:val="0075073A"/>
    <w:rsid w:val="00750774"/>
    <w:rsid w:val="00750969"/>
    <w:rsid w:val="007509B8"/>
    <w:rsid w:val="007509C3"/>
    <w:rsid w:val="007509CC"/>
    <w:rsid w:val="00750A35"/>
    <w:rsid w:val="00750A4F"/>
    <w:rsid w:val="00750AF2"/>
    <w:rsid w:val="00750B23"/>
    <w:rsid w:val="00750BEC"/>
    <w:rsid w:val="00750D4E"/>
    <w:rsid w:val="00750D83"/>
    <w:rsid w:val="00750E0F"/>
    <w:rsid w:val="00750E9E"/>
    <w:rsid w:val="00750F06"/>
    <w:rsid w:val="00750F71"/>
    <w:rsid w:val="007510B9"/>
    <w:rsid w:val="007510D2"/>
    <w:rsid w:val="007510E1"/>
    <w:rsid w:val="007511B4"/>
    <w:rsid w:val="007511C6"/>
    <w:rsid w:val="007511D7"/>
    <w:rsid w:val="0075128C"/>
    <w:rsid w:val="007512F8"/>
    <w:rsid w:val="0075131E"/>
    <w:rsid w:val="0075136D"/>
    <w:rsid w:val="007513E8"/>
    <w:rsid w:val="007513F3"/>
    <w:rsid w:val="00751407"/>
    <w:rsid w:val="007514CF"/>
    <w:rsid w:val="00751587"/>
    <w:rsid w:val="007515F6"/>
    <w:rsid w:val="0075161C"/>
    <w:rsid w:val="00751792"/>
    <w:rsid w:val="007518FC"/>
    <w:rsid w:val="00751A79"/>
    <w:rsid w:val="00751AB5"/>
    <w:rsid w:val="00751AC4"/>
    <w:rsid w:val="00751EF6"/>
    <w:rsid w:val="00751FBD"/>
    <w:rsid w:val="00752018"/>
    <w:rsid w:val="00752042"/>
    <w:rsid w:val="00752066"/>
    <w:rsid w:val="0075209A"/>
    <w:rsid w:val="00752149"/>
    <w:rsid w:val="0075219D"/>
    <w:rsid w:val="007521D6"/>
    <w:rsid w:val="007522B9"/>
    <w:rsid w:val="007522CD"/>
    <w:rsid w:val="007523D2"/>
    <w:rsid w:val="0075258E"/>
    <w:rsid w:val="007526AC"/>
    <w:rsid w:val="00752D54"/>
    <w:rsid w:val="00752DF4"/>
    <w:rsid w:val="00752E2C"/>
    <w:rsid w:val="00752FF3"/>
    <w:rsid w:val="00753120"/>
    <w:rsid w:val="0075325B"/>
    <w:rsid w:val="00753335"/>
    <w:rsid w:val="007534D7"/>
    <w:rsid w:val="0075353B"/>
    <w:rsid w:val="007535A4"/>
    <w:rsid w:val="007535D0"/>
    <w:rsid w:val="007535D4"/>
    <w:rsid w:val="0075362B"/>
    <w:rsid w:val="00753653"/>
    <w:rsid w:val="007538D9"/>
    <w:rsid w:val="007538F1"/>
    <w:rsid w:val="007539A1"/>
    <w:rsid w:val="00753E8C"/>
    <w:rsid w:val="00753ED1"/>
    <w:rsid w:val="00753EEE"/>
    <w:rsid w:val="00753F0A"/>
    <w:rsid w:val="00753F1D"/>
    <w:rsid w:val="007540E7"/>
    <w:rsid w:val="007541C3"/>
    <w:rsid w:val="00754212"/>
    <w:rsid w:val="007542B7"/>
    <w:rsid w:val="0075432E"/>
    <w:rsid w:val="00754346"/>
    <w:rsid w:val="007543F2"/>
    <w:rsid w:val="00754491"/>
    <w:rsid w:val="007545DB"/>
    <w:rsid w:val="007545E3"/>
    <w:rsid w:val="007548C2"/>
    <w:rsid w:val="00754972"/>
    <w:rsid w:val="0075499E"/>
    <w:rsid w:val="00754CEF"/>
    <w:rsid w:val="00754E7F"/>
    <w:rsid w:val="00754F33"/>
    <w:rsid w:val="00754F42"/>
    <w:rsid w:val="00754F8B"/>
    <w:rsid w:val="00755005"/>
    <w:rsid w:val="007550FC"/>
    <w:rsid w:val="007552A0"/>
    <w:rsid w:val="007552C2"/>
    <w:rsid w:val="007552E5"/>
    <w:rsid w:val="0075536A"/>
    <w:rsid w:val="0075557F"/>
    <w:rsid w:val="007557C1"/>
    <w:rsid w:val="00755A39"/>
    <w:rsid w:val="00755C69"/>
    <w:rsid w:val="00755D7F"/>
    <w:rsid w:val="00755DE7"/>
    <w:rsid w:val="00755E91"/>
    <w:rsid w:val="00755FBB"/>
    <w:rsid w:val="00756029"/>
    <w:rsid w:val="0075627B"/>
    <w:rsid w:val="007562C5"/>
    <w:rsid w:val="0075632C"/>
    <w:rsid w:val="00756340"/>
    <w:rsid w:val="00756468"/>
    <w:rsid w:val="00756501"/>
    <w:rsid w:val="00756524"/>
    <w:rsid w:val="0075659C"/>
    <w:rsid w:val="007565D2"/>
    <w:rsid w:val="0075662A"/>
    <w:rsid w:val="00756753"/>
    <w:rsid w:val="007567D9"/>
    <w:rsid w:val="007569AD"/>
    <w:rsid w:val="007569F8"/>
    <w:rsid w:val="00756BDE"/>
    <w:rsid w:val="00756BF4"/>
    <w:rsid w:val="00756D2B"/>
    <w:rsid w:val="00756D77"/>
    <w:rsid w:val="00756E04"/>
    <w:rsid w:val="00756EBB"/>
    <w:rsid w:val="00756F3A"/>
    <w:rsid w:val="00756F94"/>
    <w:rsid w:val="0075708D"/>
    <w:rsid w:val="007572BE"/>
    <w:rsid w:val="00757331"/>
    <w:rsid w:val="007574F5"/>
    <w:rsid w:val="00757530"/>
    <w:rsid w:val="00757568"/>
    <w:rsid w:val="00757619"/>
    <w:rsid w:val="0075785D"/>
    <w:rsid w:val="007578D3"/>
    <w:rsid w:val="0075799E"/>
    <w:rsid w:val="00757A28"/>
    <w:rsid w:val="00757A7A"/>
    <w:rsid w:val="00757B12"/>
    <w:rsid w:val="00757BB0"/>
    <w:rsid w:val="00757CF3"/>
    <w:rsid w:val="00757E79"/>
    <w:rsid w:val="00757EB2"/>
    <w:rsid w:val="0076012C"/>
    <w:rsid w:val="007601BA"/>
    <w:rsid w:val="0076021E"/>
    <w:rsid w:val="007604FF"/>
    <w:rsid w:val="0076050D"/>
    <w:rsid w:val="00760519"/>
    <w:rsid w:val="0076057F"/>
    <w:rsid w:val="007606D5"/>
    <w:rsid w:val="007606DA"/>
    <w:rsid w:val="0076078B"/>
    <w:rsid w:val="007608A6"/>
    <w:rsid w:val="00760935"/>
    <w:rsid w:val="007609BC"/>
    <w:rsid w:val="00760B7D"/>
    <w:rsid w:val="00760B86"/>
    <w:rsid w:val="00760BA7"/>
    <w:rsid w:val="00760BBA"/>
    <w:rsid w:val="00760DD8"/>
    <w:rsid w:val="00760DDA"/>
    <w:rsid w:val="00760E9D"/>
    <w:rsid w:val="00760F82"/>
    <w:rsid w:val="0076100E"/>
    <w:rsid w:val="0076111F"/>
    <w:rsid w:val="00761204"/>
    <w:rsid w:val="007612D5"/>
    <w:rsid w:val="00761309"/>
    <w:rsid w:val="007613AC"/>
    <w:rsid w:val="00761406"/>
    <w:rsid w:val="00761645"/>
    <w:rsid w:val="0076182D"/>
    <w:rsid w:val="007618D4"/>
    <w:rsid w:val="007618FA"/>
    <w:rsid w:val="00761937"/>
    <w:rsid w:val="00761DB9"/>
    <w:rsid w:val="00761E2C"/>
    <w:rsid w:val="00761E43"/>
    <w:rsid w:val="00761E9E"/>
    <w:rsid w:val="00761F1A"/>
    <w:rsid w:val="00761F8A"/>
    <w:rsid w:val="007620CD"/>
    <w:rsid w:val="00762150"/>
    <w:rsid w:val="007621C4"/>
    <w:rsid w:val="00762269"/>
    <w:rsid w:val="007623AD"/>
    <w:rsid w:val="00762435"/>
    <w:rsid w:val="00762454"/>
    <w:rsid w:val="00762472"/>
    <w:rsid w:val="007625F4"/>
    <w:rsid w:val="0076261B"/>
    <w:rsid w:val="007626C5"/>
    <w:rsid w:val="00762754"/>
    <w:rsid w:val="00762767"/>
    <w:rsid w:val="007627B4"/>
    <w:rsid w:val="007627EC"/>
    <w:rsid w:val="007628D5"/>
    <w:rsid w:val="007629D1"/>
    <w:rsid w:val="007629DE"/>
    <w:rsid w:val="00762B15"/>
    <w:rsid w:val="00762D6B"/>
    <w:rsid w:val="00762DDE"/>
    <w:rsid w:val="00762E6A"/>
    <w:rsid w:val="007632D5"/>
    <w:rsid w:val="007633CC"/>
    <w:rsid w:val="007634FF"/>
    <w:rsid w:val="00763507"/>
    <w:rsid w:val="0076352B"/>
    <w:rsid w:val="00763570"/>
    <w:rsid w:val="00763762"/>
    <w:rsid w:val="00763782"/>
    <w:rsid w:val="0076388D"/>
    <w:rsid w:val="007639A0"/>
    <w:rsid w:val="00763AAA"/>
    <w:rsid w:val="00763BD8"/>
    <w:rsid w:val="00763C19"/>
    <w:rsid w:val="00763C9F"/>
    <w:rsid w:val="00763D05"/>
    <w:rsid w:val="00763D1F"/>
    <w:rsid w:val="00763DA0"/>
    <w:rsid w:val="00763F63"/>
    <w:rsid w:val="00763FCB"/>
    <w:rsid w:val="00764019"/>
    <w:rsid w:val="00764067"/>
    <w:rsid w:val="00764177"/>
    <w:rsid w:val="0076422A"/>
    <w:rsid w:val="00764245"/>
    <w:rsid w:val="0076437C"/>
    <w:rsid w:val="007643E1"/>
    <w:rsid w:val="007643FA"/>
    <w:rsid w:val="00764436"/>
    <w:rsid w:val="0076451C"/>
    <w:rsid w:val="0076454D"/>
    <w:rsid w:val="00764608"/>
    <w:rsid w:val="0076460B"/>
    <w:rsid w:val="00764768"/>
    <w:rsid w:val="00764A27"/>
    <w:rsid w:val="00764A94"/>
    <w:rsid w:val="00764AA7"/>
    <w:rsid w:val="00764AD3"/>
    <w:rsid w:val="00764B51"/>
    <w:rsid w:val="00764BBD"/>
    <w:rsid w:val="00764BE0"/>
    <w:rsid w:val="00764BFF"/>
    <w:rsid w:val="00764C37"/>
    <w:rsid w:val="00764C62"/>
    <w:rsid w:val="00764CA2"/>
    <w:rsid w:val="00764CE3"/>
    <w:rsid w:val="00764DC6"/>
    <w:rsid w:val="00764E10"/>
    <w:rsid w:val="00764E1F"/>
    <w:rsid w:val="00764EAD"/>
    <w:rsid w:val="00764EED"/>
    <w:rsid w:val="00764FCF"/>
    <w:rsid w:val="007650D7"/>
    <w:rsid w:val="007651E5"/>
    <w:rsid w:val="00765221"/>
    <w:rsid w:val="00765354"/>
    <w:rsid w:val="007654E8"/>
    <w:rsid w:val="007657D5"/>
    <w:rsid w:val="0076593E"/>
    <w:rsid w:val="007659E0"/>
    <w:rsid w:val="00765AFE"/>
    <w:rsid w:val="00765D27"/>
    <w:rsid w:val="00765FE2"/>
    <w:rsid w:val="0076602E"/>
    <w:rsid w:val="00766143"/>
    <w:rsid w:val="0076615B"/>
    <w:rsid w:val="0076628C"/>
    <w:rsid w:val="0076629F"/>
    <w:rsid w:val="007664D7"/>
    <w:rsid w:val="007664FD"/>
    <w:rsid w:val="00766515"/>
    <w:rsid w:val="0076653A"/>
    <w:rsid w:val="0076664D"/>
    <w:rsid w:val="00766659"/>
    <w:rsid w:val="0076679D"/>
    <w:rsid w:val="00766BF0"/>
    <w:rsid w:val="00766E81"/>
    <w:rsid w:val="00766E87"/>
    <w:rsid w:val="00766F0E"/>
    <w:rsid w:val="00766F82"/>
    <w:rsid w:val="00766FA3"/>
    <w:rsid w:val="00766FB3"/>
    <w:rsid w:val="00766FBE"/>
    <w:rsid w:val="00767018"/>
    <w:rsid w:val="0076704C"/>
    <w:rsid w:val="0076719E"/>
    <w:rsid w:val="007671AC"/>
    <w:rsid w:val="0076732C"/>
    <w:rsid w:val="0076753D"/>
    <w:rsid w:val="007675DE"/>
    <w:rsid w:val="007675F3"/>
    <w:rsid w:val="00767636"/>
    <w:rsid w:val="0076777B"/>
    <w:rsid w:val="00767827"/>
    <w:rsid w:val="007678A3"/>
    <w:rsid w:val="007679DD"/>
    <w:rsid w:val="00767AB0"/>
    <w:rsid w:val="00767C32"/>
    <w:rsid w:val="00767CA2"/>
    <w:rsid w:val="00767D10"/>
    <w:rsid w:val="00767DC8"/>
    <w:rsid w:val="00767E44"/>
    <w:rsid w:val="00767EA1"/>
    <w:rsid w:val="00767F19"/>
    <w:rsid w:val="00770030"/>
    <w:rsid w:val="00770066"/>
    <w:rsid w:val="0077011E"/>
    <w:rsid w:val="0077021D"/>
    <w:rsid w:val="007702E9"/>
    <w:rsid w:val="00770324"/>
    <w:rsid w:val="007703EC"/>
    <w:rsid w:val="007703ED"/>
    <w:rsid w:val="007704F3"/>
    <w:rsid w:val="007709FF"/>
    <w:rsid w:val="00770A37"/>
    <w:rsid w:val="00770AF8"/>
    <w:rsid w:val="00770B18"/>
    <w:rsid w:val="00770BE0"/>
    <w:rsid w:val="00770DDC"/>
    <w:rsid w:val="00771030"/>
    <w:rsid w:val="00771094"/>
    <w:rsid w:val="007710C9"/>
    <w:rsid w:val="00771108"/>
    <w:rsid w:val="0077118E"/>
    <w:rsid w:val="00771234"/>
    <w:rsid w:val="0077159C"/>
    <w:rsid w:val="007715FC"/>
    <w:rsid w:val="00771624"/>
    <w:rsid w:val="00771809"/>
    <w:rsid w:val="00771896"/>
    <w:rsid w:val="00771B6D"/>
    <w:rsid w:val="00771DB6"/>
    <w:rsid w:val="00771F0B"/>
    <w:rsid w:val="007720A7"/>
    <w:rsid w:val="007720D7"/>
    <w:rsid w:val="00772100"/>
    <w:rsid w:val="00772187"/>
    <w:rsid w:val="00772207"/>
    <w:rsid w:val="00772259"/>
    <w:rsid w:val="0077233C"/>
    <w:rsid w:val="00772500"/>
    <w:rsid w:val="007725C3"/>
    <w:rsid w:val="007725F5"/>
    <w:rsid w:val="007727DC"/>
    <w:rsid w:val="007727EF"/>
    <w:rsid w:val="00772977"/>
    <w:rsid w:val="00772A33"/>
    <w:rsid w:val="00772AE4"/>
    <w:rsid w:val="00772B23"/>
    <w:rsid w:val="00772B27"/>
    <w:rsid w:val="00772B61"/>
    <w:rsid w:val="00772BD4"/>
    <w:rsid w:val="00772CCC"/>
    <w:rsid w:val="00772CD5"/>
    <w:rsid w:val="00772D57"/>
    <w:rsid w:val="00772E1B"/>
    <w:rsid w:val="00772E97"/>
    <w:rsid w:val="00772FA7"/>
    <w:rsid w:val="0077302A"/>
    <w:rsid w:val="0077319F"/>
    <w:rsid w:val="007731C1"/>
    <w:rsid w:val="0077329E"/>
    <w:rsid w:val="0077331E"/>
    <w:rsid w:val="0077357E"/>
    <w:rsid w:val="0077380F"/>
    <w:rsid w:val="00773877"/>
    <w:rsid w:val="0077389B"/>
    <w:rsid w:val="0077393E"/>
    <w:rsid w:val="00773A3B"/>
    <w:rsid w:val="00773ACD"/>
    <w:rsid w:val="00773B47"/>
    <w:rsid w:val="00773B88"/>
    <w:rsid w:val="00773C89"/>
    <w:rsid w:val="00773CF2"/>
    <w:rsid w:val="00773E2C"/>
    <w:rsid w:val="00773F0D"/>
    <w:rsid w:val="00773F47"/>
    <w:rsid w:val="00773F4C"/>
    <w:rsid w:val="00773FB9"/>
    <w:rsid w:val="00774109"/>
    <w:rsid w:val="007744B3"/>
    <w:rsid w:val="007744FC"/>
    <w:rsid w:val="00774517"/>
    <w:rsid w:val="007746C2"/>
    <w:rsid w:val="007747E1"/>
    <w:rsid w:val="00774854"/>
    <w:rsid w:val="00774883"/>
    <w:rsid w:val="00774896"/>
    <w:rsid w:val="007748DC"/>
    <w:rsid w:val="007749F0"/>
    <w:rsid w:val="00774ACB"/>
    <w:rsid w:val="00774AE7"/>
    <w:rsid w:val="00774C02"/>
    <w:rsid w:val="00774CF4"/>
    <w:rsid w:val="00774EF7"/>
    <w:rsid w:val="0077502C"/>
    <w:rsid w:val="007751A5"/>
    <w:rsid w:val="00775506"/>
    <w:rsid w:val="0077556F"/>
    <w:rsid w:val="0077562B"/>
    <w:rsid w:val="0077570E"/>
    <w:rsid w:val="00775972"/>
    <w:rsid w:val="00775977"/>
    <w:rsid w:val="00775A01"/>
    <w:rsid w:val="00775A0C"/>
    <w:rsid w:val="00775ACC"/>
    <w:rsid w:val="00775BCF"/>
    <w:rsid w:val="00775D02"/>
    <w:rsid w:val="00775D36"/>
    <w:rsid w:val="00775DF7"/>
    <w:rsid w:val="00775E0B"/>
    <w:rsid w:val="00775FC6"/>
    <w:rsid w:val="007760F2"/>
    <w:rsid w:val="00776211"/>
    <w:rsid w:val="007762D8"/>
    <w:rsid w:val="007762DA"/>
    <w:rsid w:val="007763B2"/>
    <w:rsid w:val="007764E2"/>
    <w:rsid w:val="00776541"/>
    <w:rsid w:val="0077662E"/>
    <w:rsid w:val="0077663B"/>
    <w:rsid w:val="00776678"/>
    <w:rsid w:val="0077679B"/>
    <w:rsid w:val="007767B6"/>
    <w:rsid w:val="007767C2"/>
    <w:rsid w:val="00776801"/>
    <w:rsid w:val="007768A1"/>
    <w:rsid w:val="00776948"/>
    <w:rsid w:val="00776990"/>
    <w:rsid w:val="00776ACE"/>
    <w:rsid w:val="00776AD2"/>
    <w:rsid w:val="00776E01"/>
    <w:rsid w:val="00776E67"/>
    <w:rsid w:val="00776E6F"/>
    <w:rsid w:val="00776E87"/>
    <w:rsid w:val="00776F81"/>
    <w:rsid w:val="00777027"/>
    <w:rsid w:val="007770B3"/>
    <w:rsid w:val="00777139"/>
    <w:rsid w:val="007771C5"/>
    <w:rsid w:val="00777221"/>
    <w:rsid w:val="00777231"/>
    <w:rsid w:val="007772C7"/>
    <w:rsid w:val="0077741B"/>
    <w:rsid w:val="007774F2"/>
    <w:rsid w:val="00777515"/>
    <w:rsid w:val="00777572"/>
    <w:rsid w:val="007775E5"/>
    <w:rsid w:val="00777659"/>
    <w:rsid w:val="0077772B"/>
    <w:rsid w:val="00777A70"/>
    <w:rsid w:val="00777AD3"/>
    <w:rsid w:val="00777AFC"/>
    <w:rsid w:val="00777B82"/>
    <w:rsid w:val="00777B84"/>
    <w:rsid w:val="00777BD2"/>
    <w:rsid w:val="00777CC6"/>
    <w:rsid w:val="00777CDC"/>
    <w:rsid w:val="00777F82"/>
    <w:rsid w:val="0078004C"/>
    <w:rsid w:val="007800FD"/>
    <w:rsid w:val="00780136"/>
    <w:rsid w:val="007801E5"/>
    <w:rsid w:val="007802A4"/>
    <w:rsid w:val="007802C1"/>
    <w:rsid w:val="007803D2"/>
    <w:rsid w:val="00780473"/>
    <w:rsid w:val="007804DF"/>
    <w:rsid w:val="0078059F"/>
    <w:rsid w:val="007805D2"/>
    <w:rsid w:val="00780619"/>
    <w:rsid w:val="007807DF"/>
    <w:rsid w:val="00780880"/>
    <w:rsid w:val="007809EB"/>
    <w:rsid w:val="00780B46"/>
    <w:rsid w:val="00780BAB"/>
    <w:rsid w:val="00780CE3"/>
    <w:rsid w:val="00780D21"/>
    <w:rsid w:val="00780D78"/>
    <w:rsid w:val="00780ED6"/>
    <w:rsid w:val="00781023"/>
    <w:rsid w:val="007810EF"/>
    <w:rsid w:val="00781192"/>
    <w:rsid w:val="0078126A"/>
    <w:rsid w:val="007813F5"/>
    <w:rsid w:val="00781415"/>
    <w:rsid w:val="007815D9"/>
    <w:rsid w:val="007815FB"/>
    <w:rsid w:val="0078175D"/>
    <w:rsid w:val="007817F9"/>
    <w:rsid w:val="00781817"/>
    <w:rsid w:val="00781821"/>
    <w:rsid w:val="0078185A"/>
    <w:rsid w:val="00781983"/>
    <w:rsid w:val="007819E4"/>
    <w:rsid w:val="00781A80"/>
    <w:rsid w:val="00781B8E"/>
    <w:rsid w:val="00781B95"/>
    <w:rsid w:val="00781C31"/>
    <w:rsid w:val="00781C5F"/>
    <w:rsid w:val="00781DAF"/>
    <w:rsid w:val="00781E14"/>
    <w:rsid w:val="00781EE7"/>
    <w:rsid w:val="00781F02"/>
    <w:rsid w:val="00781F33"/>
    <w:rsid w:val="00781F6D"/>
    <w:rsid w:val="007820C4"/>
    <w:rsid w:val="00782140"/>
    <w:rsid w:val="0078224D"/>
    <w:rsid w:val="007825D6"/>
    <w:rsid w:val="007827EA"/>
    <w:rsid w:val="00782973"/>
    <w:rsid w:val="00782A62"/>
    <w:rsid w:val="00782A89"/>
    <w:rsid w:val="00782A98"/>
    <w:rsid w:val="00782BCB"/>
    <w:rsid w:val="00782C57"/>
    <w:rsid w:val="00782C8F"/>
    <w:rsid w:val="00782CA8"/>
    <w:rsid w:val="00782DB0"/>
    <w:rsid w:val="00782DC1"/>
    <w:rsid w:val="0078304A"/>
    <w:rsid w:val="00783059"/>
    <w:rsid w:val="0078307A"/>
    <w:rsid w:val="007830FF"/>
    <w:rsid w:val="00783169"/>
    <w:rsid w:val="00783183"/>
    <w:rsid w:val="007831BA"/>
    <w:rsid w:val="0078321C"/>
    <w:rsid w:val="0078329E"/>
    <w:rsid w:val="00783360"/>
    <w:rsid w:val="007833AC"/>
    <w:rsid w:val="0078365B"/>
    <w:rsid w:val="007836D8"/>
    <w:rsid w:val="007837C9"/>
    <w:rsid w:val="00783879"/>
    <w:rsid w:val="007838FD"/>
    <w:rsid w:val="007839E4"/>
    <w:rsid w:val="00783A14"/>
    <w:rsid w:val="00783A9F"/>
    <w:rsid w:val="00783B95"/>
    <w:rsid w:val="00783CA9"/>
    <w:rsid w:val="00783E5C"/>
    <w:rsid w:val="00783F03"/>
    <w:rsid w:val="00783F65"/>
    <w:rsid w:val="00783FE2"/>
    <w:rsid w:val="007840D7"/>
    <w:rsid w:val="00784193"/>
    <w:rsid w:val="00784218"/>
    <w:rsid w:val="007842C4"/>
    <w:rsid w:val="007843AA"/>
    <w:rsid w:val="007843C9"/>
    <w:rsid w:val="00784500"/>
    <w:rsid w:val="0078452E"/>
    <w:rsid w:val="007845A6"/>
    <w:rsid w:val="007845AC"/>
    <w:rsid w:val="007845AE"/>
    <w:rsid w:val="00784664"/>
    <w:rsid w:val="007846B4"/>
    <w:rsid w:val="00784962"/>
    <w:rsid w:val="007849E3"/>
    <w:rsid w:val="00784A64"/>
    <w:rsid w:val="00784DC3"/>
    <w:rsid w:val="00784E3F"/>
    <w:rsid w:val="00784E44"/>
    <w:rsid w:val="00785107"/>
    <w:rsid w:val="0078520D"/>
    <w:rsid w:val="00785336"/>
    <w:rsid w:val="007853FD"/>
    <w:rsid w:val="00785464"/>
    <w:rsid w:val="0078547C"/>
    <w:rsid w:val="007854CD"/>
    <w:rsid w:val="007855D5"/>
    <w:rsid w:val="007856FE"/>
    <w:rsid w:val="00785836"/>
    <w:rsid w:val="0078588E"/>
    <w:rsid w:val="00785929"/>
    <w:rsid w:val="0078599C"/>
    <w:rsid w:val="00785B3A"/>
    <w:rsid w:val="00785C0C"/>
    <w:rsid w:val="00785CA8"/>
    <w:rsid w:val="00785DD8"/>
    <w:rsid w:val="00785E42"/>
    <w:rsid w:val="00785EB7"/>
    <w:rsid w:val="0078608C"/>
    <w:rsid w:val="00786195"/>
    <w:rsid w:val="007861BB"/>
    <w:rsid w:val="0078643A"/>
    <w:rsid w:val="00786578"/>
    <w:rsid w:val="007865FC"/>
    <w:rsid w:val="00786632"/>
    <w:rsid w:val="0078668B"/>
    <w:rsid w:val="007867B2"/>
    <w:rsid w:val="007868BA"/>
    <w:rsid w:val="007869DD"/>
    <w:rsid w:val="007869F9"/>
    <w:rsid w:val="00786AA8"/>
    <w:rsid w:val="00786ACF"/>
    <w:rsid w:val="00786D0C"/>
    <w:rsid w:val="00786DCF"/>
    <w:rsid w:val="00786EEA"/>
    <w:rsid w:val="00786FFC"/>
    <w:rsid w:val="00787098"/>
    <w:rsid w:val="0078727B"/>
    <w:rsid w:val="0078734A"/>
    <w:rsid w:val="00787407"/>
    <w:rsid w:val="0078751F"/>
    <w:rsid w:val="007879AA"/>
    <w:rsid w:val="00787A98"/>
    <w:rsid w:val="00787B79"/>
    <w:rsid w:val="00787C1A"/>
    <w:rsid w:val="00787C86"/>
    <w:rsid w:val="00787CC9"/>
    <w:rsid w:val="00787E64"/>
    <w:rsid w:val="00790172"/>
    <w:rsid w:val="0079031F"/>
    <w:rsid w:val="00790400"/>
    <w:rsid w:val="0079049E"/>
    <w:rsid w:val="0079069E"/>
    <w:rsid w:val="00790732"/>
    <w:rsid w:val="007908EC"/>
    <w:rsid w:val="00790A24"/>
    <w:rsid w:val="00790A8E"/>
    <w:rsid w:val="00790B8C"/>
    <w:rsid w:val="00790BB2"/>
    <w:rsid w:val="00790BE5"/>
    <w:rsid w:val="00790C17"/>
    <w:rsid w:val="00790C30"/>
    <w:rsid w:val="00790C6B"/>
    <w:rsid w:val="00790C95"/>
    <w:rsid w:val="00790D95"/>
    <w:rsid w:val="00790EA3"/>
    <w:rsid w:val="00790F1B"/>
    <w:rsid w:val="00790F8B"/>
    <w:rsid w:val="00790FDD"/>
    <w:rsid w:val="007910C0"/>
    <w:rsid w:val="007910E9"/>
    <w:rsid w:val="00791107"/>
    <w:rsid w:val="007911DC"/>
    <w:rsid w:val="00791201"/>
    <w:rsid w:val="007912CD"/>
    <w:rsid w:val="007912F0"/>
    <w:rsid w:val="007913E9"/>
    <w:rsid w:val="0079146C"/>
    <w:rsid w:val="007915F6"/>
    <w:rsid w:val="00791643"/>
    <w:rsid w:val="00791791"/>
    <w:rsid w:val="00791882"/>
    <w:rsid w:val="00791915"/>
    <w:rsid w:val="00791B1B"/>
    <w:rsid w:val="00791B35"/>
    <w:rsid w:val="00791B5E"/>
    <w:rsid w:val="00791C17"/>
    <w:rsid w:val="00791D62"/>
    <w:rsid w:val="00791EE3"/>
    <w:rsid w:val="00791EED"/>
    <w:rsid w:val="00791FE7"/>
    <w:rsid w:val="0079211C"/>
    <w:rsid w:val="0079218A"/>
    <w:rsid w:val="00792358"/>
    <w:rsid w:val="00792411"/>
    <w:rsid w:val="007925FE"/>
    <w:rsid w:val="00792640"/>
    <w:rsid w:val="0079265D"/>
    <w:rsid w:val="00792666"/>
    <w:rsid w:val="0079282A"/>
    <w:rsid w:val="00792838"/>
    <w:rsid w:val="00792A20"/>
    <w:rsid w:val="00792A5A"/>
    <w:rsid w:val="00792BD2"/>
    <w:rsid w:val="00792C4F"/>
    <w:rsid w:val="00792CD7"/>
    <w:rsid w:val="00792DF9"/>
    <w:rsid w:val="00792E83"/>
    <w:rsid w:val="00792E84"/>
    <w:rsid w:val="00792ED5"/>
    <w:rsid w:val="00792EE2"/>
    <w:rsid w:val="00792F9C"/>
    <w:rsid w:val="007930DB"/>
    <w:rsid w:val="00793296"/>
    <w:rsid w:val="0079329B"/>
    <w:rsid w:val="00793309"/>
    <w:rsid w:val="00793311"/>
    <w:rsid w:val="00793361"/>
    <w:rsid w:val="007933A5"/>
    <w:rsid w:val="007933C4"/>
    <w:rsid w:val="00793400"/>
    <w:rsid w:val="00793466"/>
    <w:rsid w:val="007934A2"/>
    <w:rsid w:val="007935FD"/>
    <w:rsid w:val="00793655"/>
    <w:rsid w:val="00793686"/>
    <w:rsid w:val="00793715"/>
    <w:rsid w:val="0079373F"/>
    <w:rsid w:val="0079376B"/>
    <w:rsid w:val="007937EA"/>
    <w:rsid w:val="007938AA"/>
    <w:rsid w:val="007938C8"/>
    <w:rsid w:val="00793945"/>
    <w:rsid w:val="007939B7"/>
    <w:rsid w:val="007939BB"/>
    <w:rsid w:val="00793A64"/>
    <w:rsid w:val="00793B44"/>
    <w:rsid w:val="00793D09"/>
    <w:rsid w:val="00793D9B"/>
    <w:rsid w:val="00793EF9"/>
    <w:rsid w:val="00793F1A"/>
    <w:rsid w:val="00793F81"/>
    <w:rsid w:val="00793FBC"/>
    <w:rsid w:val="00793FE6"/>
    <w:rsid w:val="00794016"/>
    <w:rsid w:val="0079403D"/>
    <w:rsid w:val="007940E3"/>
    <w:rsid w:val="007945CA"/>
    <w:rsid w:val="00794741"/>
    <w:rsid w:val="007948D2"/>
    <w:rsid w:val="00794985"/>
    <w:rsid w:val="00794AD5"/>
    <w:rsid w:val="00794B07"/>
    <w:rsid w:val="00794B56"/>
    <w:rsid w:val="00794C11"/>
    <w:rsid w:val="00794DB9"/>
    <w:rsid w:val="00794E35"/>
    <w:rsid w:val="00794F8D"/>
    <w:rsid w:val="00795029"/>
    <w:rsid w:val="00795072"/>
    <w:rsid w:val="007951BB"/>
    <w:rsid w:val="00795270"/>
    <w:rsid w:val="007952CE"/>
    <w:rsid w:val="007952F2"/>
    <w:rsid w:val="00795356"/>
    <w:rsid w:val="007954E0"/>
    <w:rsid w:val="00795508"/>
    <w:rsid w:val="00795547"/>
    <w:rsid w:val="0079565D"/>
    <w:rsid w:val="0079574E"/>
    <w:rsid w:val="00795879"/>
    <w:rsid w:val="00795913"/>
    <w:rsid w:val="007959D5"/>
    <w:rsid w:val="00795A43"/>
    <w:rsid w:val="00795AE1"/>
    <w:rsid w:val="00795B04"/>
    <w:rsid w:val="00795C6E"/>
    <w:rsid w:val="00795CEB"/>
    <w:rsid w:val="00795FC1"/>
    <w:rsid w:val="00795FEC"/>
    <w:rsid w:val="0079603A"/>
    <w:rsid w:val="007961BA"/>
    <w:rsid w:val="007962E0"/>
    <w:rsid w:val="007962EC"/>
    <w:rsid w:val="00796373"/>
    <w:rsid w:val="007963D6"/>
    <w:rsid w:val="00796475"/>
    <w:rsid w:val="0079657A"/>
    <w:rsid w:val="007965F4"/>
    <w:rsid w:val="00796637"/>
    <w:rsid w:val="00796642"/>
    <w:rsid w:val="00796711"/>
    <w:rsid w:val="0079675B"/>
    <w:rsid w:val="00796920"/>
    <w:rsid w:val="00796A5E"/>
    <w:rsid w:val="00796AEF"/>
    <w:rsid w:val="00796B03"/>
    <w:rsid w:val="00796B18"/>
    <w:rsid w:val="00796B3E"/>
    <w:rsid w:val="00796BE6"/>
    <w:rsid w:val="00796C4F"/>
    <w:rsid w:val="00796D6E"/>
    <w:rsid w:val="00796EAB"/>
    <w:rsid w:val="00796EBC"/>
    <w:rsid w:val="00796F19"/>
    <w:rsid w:val="00796F7B"/>
    <w:rsid w:val="00796FC8"/>
    <w:rsid w:val="00796FE7"/>
    <w:rsid w:val="007970C1"/>
    <w:rsid w:val="00797125"/>
    <w:rsid w:val="00797176"/>
    <w:rsid w:val="00797468"/>
    <w:rsid w:val="00797482"/>
    <w:rsid w:val="00797503"/>
    <w:rsid w:val="007975EE"/>
    <w:rsid w:val="0079768E"/>
    <w:rsid w:val="007976D1"/>
    <w:rsid w:val="007976D7"/>
    <w:rsid w:val="007976D9"/>
    <w:rsid w:val="0079773A"/>
    <w:rsid w:val="00797755"/>
    <w:rsid w:val="00797773"/>
    <w:rsid w:val="007977E7"/>
    <w:rsid w:val="00797B10"/>
    <w:rsid w:val="00797C0A"/>
    <w:rsid w:val="00797C36"/>
    <w:rsid w:val="00797C50"/>
    <w:rsid w:val="00797C9C"/>
    <w:rsid w:val="00797CAF"/>
    <w:rsid w:val="00797CB9"/>
    <w:rsid w:val="00797EAE"/>
    <w:rsid w:val="00797F4A"/>
    <w:rsid w:val="00797F96"/>
    <w:rsid w:val="00797FAB"/>
    <w:rsid w:val="00797FB3"/>
    <w:rsid w:val="007A00D4"/>
    <w:rsid w:val="007A0126"/>
    <w:rsid w:val="007A01B2"/>
    <w:rsid w:val="007A01DA"/>
    <w:rsid w:val="007A0302"/>
    <w:rsid w:val="007A03A8"/>
    <w:rsid w:val="007A05AD"/>
    <w:rsid w:val="007A05D8"/>
    <w:rsid w:val="007A062D"/>
    <w:rsid w:val="007A069B"/>
    <w:rsid w:val="007A069F"/>
    <w:rsid w:val="007A077C"/>
    <w:rsid w:val="007A0793"/>
    <w:rsid w:val="007A0805"/>
    <w:rsid w:val="007A094E"/>
    <w:rsid w:val="007A09C1"/>
    <w:rsid w:val="007A0A38"/>
    <w:rsid w:val="007A0A3B"/>
    <w:rsid w:val="007A0A3D"/>
    <w:rsid w:val="007A0A41"/>
    <w:rsid w:val="007A0B33"/>
    <w:rsid w:val="007A0CA9"/>
    <w:rsid w:val="007A0CF3"/>
    <w:rsid w:val="007A0DDF"/>
    <w:rsid w:val="007A0E13"/>
    <w:rsid w:val="007A0E3F"/>
    <w:rsid w:val="007A0EEC"/>
    <w:rsid w:val="007A0F54"/>
    <w:rsid w:val="007A105D"/>
    <w:rsid w:val="007A11A6"/>
    <w:rsid w:val="007A1307"/>
    <w:rsid w:val="007A13D7"/>
    <w:rsid w:val="007A1501"/>
    <w:rsid w:val="007A1556"/>
    <w:rsid w:val="007A179C"/>
    <w:rsid w:val="007A17A9"/>
    <w:rsid w:val="007A18E5"/>
    <w:rsid w:val="007A1964"/>
    <w:rsid w:val="007A1AC6"/>
    <w:rsid w:val="007A1BB5"/>
    <w:rsid w:val="007A1BF9"/>
    <w:rsid w:val="007A1C36"/>
    <w:rsid w:val="007A1CCB"/>
    <w:rsid w:val="007A1D62"/>
    <w:rsid w:val="007A1DF1"/>
    <w:rsid w:val="007A1E4A"/>
    <w:rsid w:val="007A1FB3"/>
    <w:rsid w:val="007A2081"/>
    <w:rsid w:val="007A20C1"/>
    <w:rsid w:val="007A20F2"/>
    <w:rsid w:val="007A23B2"/>
    <w:rsid w:val="007A23D0"/>
    <w:rsid w:val="007A244B"/>
    <w:rsid w:val="007A24B1"/>
    <w:rsid w:val="007A24CA"/>
    <w:rsid w:val="007A255E"/>
    <w:rsid w:val="007A2668"/>
    <w:rsid w:val="007A26BD"/>
    <w:rsid w:val="007A26E4"/>
    <w:rsid w:val="007A284F"/>
    <w:rsid w:val="007A28FC"/>
    <w:rsid w:val="007A297D"/>
    <w:rsid w:val="007A2B5A"/>
    <w:rsid w:val="007A2BFD"/>
    <w:rsid w:val="007A2C9D"/>
    <w:rsid w:val="007A2D39"/>
    <w:rsid w:val="007A2D48"/>
    <w:rsid w:val="007A2E58"/>
    <w:rsid w:val="007A2E8A"/>
    <w:rsid w:val="007A2EF1"/>
    <w:rsid w:val="007A30F5"/>
    <w:rsid w:val="007A3144"/>
    <w:rsid w:val="007A31B6"/>
    <w:rsid w:val="007A31DA"/>
    <w:rsid w:val="007A31DC"/>
    <w:rsid w:val="007A31FF"/>
    <w:rsid w:val="007A343C"/>
    <w:rsid w:val="007A3515"/>
    <w:rsid w:val="007A356D"/>
    <w:rsid w:val="007A3628"/>
    <w:rsid w:val="007A36F1"/>
    <w:rsid w:val="007A36F3"/>
    <w:rsid w:val="007A374F"/>
    <w:rsid w:val="007A3778"/>
    <w:rsid w:val="007A383B"/>
    <w:rsid w:val="007A38F4"/>
    <w:rsid w:val="007A3A0C"/>
    <w:rsid w:val="007A3A9A"/>
    <w:rsid w:val="007A3D2F"/>
    <w:rsid w:val="007A3D44"/>
    <w:rsid w:val="007A3E90"/>
    <w:rsid w:val="007A3EAA"/>
    <w:rsid w:val="007A3F50"/>
    <w:rsid w:val="007A3FFE"/>
    <w:rsid w:val="007A400D"/>
    <w:rsid w:val="007A414B"/>
    <w:rsid w:val="007A41DD"/>
    <w:rsid w:val="007A43A7"/>
    <w:rsid w:val="007A4404"/>
    <w:rsid w:val="007A45D2"/>
    <w:rsid w:val="007A4625"/>
    <w:rsid w:val="007A4658"/>
    <w:rsid w:val="007A465D"/>
    <w:rsid w:val="007A4671"/>
    <w:rsid w:val="007A47B3"/>
    <w:rsid w:val="007A48A0"/>
    <w:rsid w:val="007A48BF"/>
    <w:rsid w:val="007A48F5"/>
    <w:rsid w:val="007A4AB1"/>
    <w:rsid w:val="007A4AC2"/>
    <w:rsid w:val="007A4C39"/>
    <w:rsid w:val="007A4C3B"/>
    <w:rsid w:val="007A4CAF"/>
    <w:rsid w:val="007A4D5C"/>
    <w:rsid w:val="007A4EC9"/>
    <w:rsid w:val="007A4F1F"/>
    <w:rsid w:val="007A5037"/>
    <w:rsid w:val="007A50C9"/>
    <w:rsid w:val="007A51B3"/>
    <w:rsid w:val="007A51D9"/>
    <w:rsid w:val="007A55E0"/>
    <w:rsid w:val="007A55E5"/>
    <w:rsid w:val="007A56C8"/>
    <w:rsid w:val="007A56EE"/>
    <w:rsid w:val="007A571A"/>
    <w:rsid w:val="007A5728"/>
    <w:rsid w:val="007A57E8"/>
    <w:rsid w:val="007A59B1"/>
    <w:rsid w:val="007A5A61"/>
    <w:rsid w:val="007A5A98"/>
    <w:rsid w:val="007A5ABA"/>
    <w:rsid w:val="007A5CA9"/>
    <w:rsid w:val="007A5D4C"/>
    <w:rsid w:val="007A5D9D"/>
    <w:rsid w:val="007A5DDD"/>
    <w:rsid w:val="007A5EF5"/>
    <w:rsid w:val="007A5F24"/>
    <w:rsid w:val="007A60B5"/>
    <w:rsid w:val="007A60C4"/>
    <w:rsid w:val="007A60DA"/>
    <w:rsid w:val="007A60ED"/>
    <w:rsid w:val="007A6254"/>
    <w:rsid w:val="007A6279"/>
    <w:rsid w:val="007A6362"/>
    <w:rsid w:val="007A6805"/>
    <w:rsid w:val="007A6A12"/>
    <w:rsid w:val="007A6A7D"/>
    <w:rsid w:val="007A6AF2"/>
    <w:rsid w:val="007A6AF6"/>
    <w:rsid w:val="007A6BA1"/>
    <w:rsid w:val="007A6C40"/>
    <w:rsid w:val="007A6CF5"/>
    <w:rsid w:val="007A6DDB"/>
    <w:rsid w:val="007A6EA0"/>
    <w:rsid w:val="007A6F0B"/>
    <w:rsid w:val="007A7034"/>
    <w:rsid w:val="007A70B4"/>
    <w:rsid w:val="007A721B"/>
    <w:rsid w:val="007A72E6"/>
    <w:rsid w:val="007A742B"/>
    <w:rsid w:val="007A74CB"/>
    <w:rsid w:val="007A7783"/>
    <w:rsid w:val="007A786F"/>
    <w:rsid w:val="007A7B4B"/>
    <w:rsid w:val="007A7C4C"/>
    <w:rsid w:val="007A7C6C"/>
    <w:rsid w:val="007A7C74"/>
    <w:rsid w:val="007A7CB4"/>
    <w:rsid w:val="007A7D4D"/>
    <w:rsid w:val="007A7DA1"/>
    <w:rsid w:val="007A7DE6"/>
    <w:rsid w:val="007A7DE7"/>
    <w:rsid w:val="007A7E87"/>
    <w:rsid w:val="007A7EBF"/>
    <w:rsid w:val="007A7F0B"/>
    <w:rsid w:val="007A7FCF"/>
    <w:rsid w:val="007B0275"/>
    <w:rsid w:val="007B02B1"/>
    <w:rsid w:val="007B030E"/>
    <w:rsid w:val="007B0409"/>
    <w:rsid w:val="007B04F3"/>
    <w:rsid w:val="007B051E"/>
    <w:rsid w:val="007B0529"/>
    <w:rsid w:val="007B05B4"/>
    <w:rsid w:val="007B064E"/>
    <w:rsid w:val="007B0656"/>
    <w:rsid w:val="007B0809"/>
    <w:rsid w:val="007B0812"/>
    <w:rsid w:val="007B098B"/>
    <w:rsid w:val="007B0B2F"/>
    <w:rsid w:val="007B0E96"/>
    <w:rsid w:val="007B0EDE"/>
    <w:rsid w:val="007B104D"/>
    <w:rsid w:val="007B1066"/>
    <w:rsid w:val="007B11E9"/>
    <w:rsid w:val="007B11EB"/>
    <w:rsid w:val="007B1215"/>
    <w:rsid w:val="007B1331"/>
    <w:rsid w:val="007B13BF"/>
    <w:rsid w:val="007B14FC"/>
    <w:rsid w:val="007B15FE"/>
    <w:rsid w:val="007B1806"/>
    <w:rsid w:val="007B18E6"/>
    <w:rsid w:val="007B19E0"/>
    <w:rsid w:val="007B1B6D"/>
    <w:rsid w:val="007B1CA0"/>
    <w:rsid w:val="007B1D1A"/>
    <w:rsid w:val="007B1DF1"/>
    <w:rsid w:val="007B1E4A"/>
    <w:rsid w:val="007B2147"/>
    <w:rsid w:val="007B2212"/>
    <w:rsid w:val="007B22C1"/>
    <w:rsid w:val="007B2480"/>
    <w:rsid w:val="007B2638"/>
    <w:rsid w:val="007B277A"/>
    <w:rsid w:val="007B2793"/>
    <w:rsid w:val="007B27D1"/>
    <w:rsid w:val="007B2A8E"/>
    <w:rsid w:val="007B2AEC"/>
    <w:rsid w:val="007B2B7B"/>
    <w:rsid w:val="007B2C0E"/>
    <w:rsid w:val="007B2C2F"/>
    <w:rsid w:val="007B2CF5"/>
    <w:rsid w:val="007B2D07"/>
    <w:rsid w:val="007B2D2B"/>
    <w:rsid w:val="007B2E02"/>
    <w:rsid w:val="007B2E63"/>
    <w:rsid w:val="007B2E7A"/>
    <w:rsid w:val="007B2F83"/>
    <w:rsid w:val="007B302C"/>
    <w:rsid w:val="007B303D"/>
    <w:rsid w:val="007B31A0"/>
    <w:rsid w:val="007B33BE"/>
    <w:rsid w:val="007B3491"/>
    <w:rsid w:val="007B366C"/>
    <w:rsid w:val="007B36A4"/>
    <w:rsid w:val="007B36CA"/>
    <w:rsid w:val="007B36CD"/>
    <w:rsid w:val="007B379F"/>
    <w:rsid w:val="007B381C"/>
    <w:rsid w:val="007B382A"/>
    <w:rsid w:val="007B3BD6"/>
    <w:rsid w:val="007B3BE1"/>
    <w:rsid w:val="007B3EE7"/>
    <w:rsid w:val="007B3EF7"/>
    <w:rsid w:val="007B3F54"/>
    <w:rsid w:val="007B3F6A"/>
    <w:rsid w:val="007B3F83"/>
    <w:rsid w:val="007B3FAD"/>
    <w:rsid w:val="007B41BB"/>
    <w:rsid w:val="007B420A"/>
    <w:rsid w:val="007B4246"/>
    <w:rsid w:val="007B42B2"/>
    <w:rsid w:val="007B4605"/>
    <w:rsid w:val="007B4668"/>
    <w:rsid w:val="007B47A8"/>
    <w:rsid w:val="007B48C8"/>
    <w:rsid w:val="007B494E"/>
    <w:rsid w:val="007B4A85"/>
    <w:rsid w:val="007B4AB4"/>
    <w:rsid w:val="007B4B43"/>
    <w:rsid w:val="007B4B4A"/>
    <w:rsid w:val="007B4D23"/>
    <w:rsid w:val="007B4D49"/>
    <w:rsid w:val="007B4EDB"/>
    <w:rsid w:val="007B4F31"/>
    <w:rsid w:val="007B5180"/>
    <w:rsid w:val="007B52C7"/>
    <w:rsid w:val="007B52F5"/>
    <w:rsid w:val="007B533C"/>
    <w:rsid w:val="007B5391"/>
    <w:rsid w:val="007B53EC"/>
    <w:rsid w:val="007B540D"/>
    <w:rsid w:val="007B565E"/>
    <w:rsid w:val="007B5722"/>
    <w:rsid w:val="007B5832"/>
    <w:rsid w:val="007B5C5E"/>
    <w:rsid w:val="007B5D5E"/>
    <w:rsid w:val="007B5D61"/>
    <w:rsid w:val="007B5D6F"/>
    <w:rsid w:val="007B5E6C"/>
    <w:rsid w:val="007B5F2D"/>
    <w:rsid w:val="007B6082"/>
    <w:rsid w:val="007B610B"/>
    <w:rsid w:val="007B61EA"/>
    <w:rsid w:val="007B6271"/>
    <w:rsid w:val="007B6280"/>
    <w:rsid w:val="007B6342"/>
    <w:rsid w:val="007B63BF"/>
    <w:rsid w:val="007B6434"/>
    <w:rsid w:val="007B654E"/>
    <w:rsid w:val="007B665D"/>
    <w:rsid w:val="007B6665"/>
    <w:rsid w:val="007B66A4"/>
    <w:rsid w:val="007B66DC"/>
    <w:rsid w:val="007B677A"/>
    <w:rsid w:val="007B67EE"/>
    <w:rsid w:val="007B6927"/>
    <w:rsid w:val="007B6956"/>
    <w:rsid w:val="007B6957"/>
    <w:rsid w:val="007B69D8"/>
    <w:rsid w:val="007B6A30"/>
    <w:rsid w:val="007B6B78"/>
    <w:rsid w:val="007B6B94"/>
    <w:rsid w:val="007B6DFC"/>
    <w:rsid w:val="007B6EB9"/>
    <w:rsid w:val="007B6EDB"/>
    <w:rsid w:val="007B6F59"/>
    <w:rsid w:val="007B70C6"/>
    <w:rsid w:val="007B7183"/>
    <w:rsid w:val="007B7184"/>
    <w:rsid w:val="007B73B4"/>
    <w:rsid w:val="007B744C"/>
    <w:rsid w:val="007B79A7"/>
    <w:rsid w:val="007B79C7"/>
    <w:rsid w:val="007B7B3C"/>
    <w:rsid w:val="007B7C8E"/>
    <w:rsid w:val="007B7EF4"/>
    <w:rsid w:val="007B7F3C"/>
    <w:rsid w:val="007C00D6"/>
    <w:rsid w:val="007C00DE"/>
    <w:rsid w:val="007C02B0"/>
    <w:rsid w:val="007C046D"/>
    <w:rsid w:val="007C0485"/>
    <w:rsid w:val="007C0498"/>
    <w:rsid w:val="007C04BD"/>
    <w:rsid w:val="007C0590"/>
    <w:rsid w:val="007C06FD"/>
    <w:rsid w:val="007C0750"/>
    <w:rsid w:val="007C0B78"/>
    <w:rsid w:val="007C0C5E"/>
    <w:rsid w:val="007C0D0C"/>
    <w:rsid w:val="007C0DA7"/>
    <w:rsid w:val="007C0E54"/>
    <w:rsid w:val="007C0F7B"/>
    <w:rsid w:val="007C0FD1"/>
    <w:rsid w:val="007C108A"/>
    <w:rsid w:val="007C10CA"/>
    <w:rsid w:val="007C125B"/>
    <w:rsid w:val="007C12EC"/>
    <w:rsid w:val="007C1581"/>
    <w:rsid w:val="007C15DD"/>
    <w:rsid w:val="007C16FA"/>
    <w:rsid w:val="007C1726"/>
    <w:rsid w:val="007C1736"/>
    <w:rsid w:val="007C1783"/>
    <w:rsid w:val="007C17BF"/>
    <w:rsid w:val="007C186B"/>
    <w:rsid w:val="007C186E"/>
    <w:rsid w:val="007C1970"/>
    <w:rsid w:val="007C1AF5"/>
    <w:rsid w:val="007C1B5D"/>
    <w:rsid w:val="007C1BD5"/>
    <w:rsid w:val="007C1C19"/>
    <w:rsid w:val="007C1C56"/>
    <w:rsid w:val="007C1CDA"/>
    <w:rsid w:val="007C1EBA"/>
    <w:rsid w:val="007C2031"/>
    <w:rsid w:val="007C20D8"/>
    <w:rsid w:val="007C20FD"/>
    <w:rsid w:val="007C228E"/>
    <w:rsid w:val="007C22CF"/>
    <w:rsid w:val="007C22E4"/>
    <w:rsid w:val="007C2316"/>
    <w:rsid w:val="007C242C"/>
    <w:rsid w:val="007C2457"/>
    <w:rsid w:val="007C2479"/>
    <w:rsid w:val="007C2554"/>
    <w:rsid w:val="007C259E"/>
    <w:rsid w:val="007C25A8"/>
    <w:rsid w:val="007C27AE"/>
    <w:rsid w:val="007C283C"/>
    <w:rsid w:val="007C28BF"/>
    <w:rsid w:val="007C28F5"/>
    <w:rsid w:val="007C2991"/>
    <w:rsid w:val="007C29B0"/>
    <w:rsid w:val="007C2AB5"/>
    <w:rsid w:val="007C2BC5"/>
    <w:rsid w:val="007C2CD4"/>
    <w:rsid w:val="007C2D96"/>
    <w:rsid w:val="007C2FAE"/>
    <w:rsid w:val="007C2FFF"/>
    <w:rsid w:val="007C316D"/>
    <w:rsid w:val="007C321F"/>
    <w:rsid w:val="007C338A"/>
    <w:rsid w:val="007C33D7"/>
    <w:rsid w:val="007C33EC"/>
    <w:rsid w:val="007C3412"/>
    <w:rsid w:val="007C3495"/>
    <w:rsid w:val="007C350D"/>
    <w:rsid w:val="007C3633"/>
    <w:rsid w:val="007C37ED"/>
    <w:rsid w:val="007C3899"/>
    <w:rsid w:val="007C38AA"/>
    <w:rsid w:val="007C39D8"/>
    <w:rsid w:val="007C3BEA"/>
    <w:rsid w:val="007C3CC7"/>
    <w:rsid w:val="007C3CE1"/>
    <w:rsid w:val="007C3E57"/>
    <w:rsid w:val="007C3E5E"/>
    <w:rsid w:val="007C3F38"/>
    <w:rsid w:val="007C3F51"/>
    <w:rsid w:val="007C3FCC"/>
    <w:rsid w:val="007C4073"/>
    <w:rsid w:val="007C40C8"/>
    <w:rsid w:val="007C4216"/>
    <w:rsid w:val="007C42A2"/>
    <w:rsid w:val="007C439A"/>
    <w:rsid w:val="007C4479"/>
    <w:rsid w:val="007C44C0"/>
    <w:rsid w:val="007C4596"/>
    <w:rsid w:val="007C46FA"/>
    <w:rsid w:val="007C4795"/>
    <w:rsid w:val="007C4820"/>
    <w:rsid w:val="007C48E4"/>
    <w:rsid w:val="007C4A88"/>
    <w:rsid w:val="007C4AA7"/>
    <w:rsid w:val="007C4BAC"/>
    <w:rsid w:val="007C4BC3"/>
    <w:rsid w:val="007C4C34"/>
    <w:rsid w:val="007C4D11"/>
    <w:rsid w:val="007C4E35"/>
    <w:rsid w:val="007C4E48"/>
    <w:rsid w:val="007C4EB4"/>
    <w:rsid w:val="007C4EFC"/>
    <w:rsid w:val="007C4FE9"/>
    <w:rsid w:val="007C50F7"/>
    <w:rsid w:val="007C511B"/>
    <w:rsid w:val="007C51AA"/>
    <w:rsid w:val="007C533B"/>
    <w:rsid w:val="007C53FB"/>
    <w:rsid w:val="007C541A"/>
    <w:rsid w:val="007C5443"/>
    <w:rsid w:val="007C54D9"/>
    <w:rsid w:val="007C54DA"/>
    <w:rsid w:val="007C5576"/>
    <w:rsid w:val="007C55DF"/>
    <w:rsid w:val="007C5611"/>
    <w:rsid w:val="007C589A"/>
    <w:rsid w:val="007C59D8"/>
    <w:rsid w:val="007C5A4C"/>
    <w:rsid w:val="007C5A72"/>
    <w:rsid w:val="007C5A8C"/>
    <w:rsid w:val="007C5BC3"/>
    <w:rsid w:val="007C5E32"/>
    <w:rsid w:val="007C5F74"/>
    <w:rsid w:val="007C6035"/>
    <w:rsid w:val="007C621B"/>
    <w:rsid w:val="007C62E4"/>
    <w:rsid w:val="007C6300"/>
    <w:rsid w:val="007C63D1"/>
    <w:rsid w:val="007C63DE"/>
    <w:rsid w:val="007C63EA"/>
    <w:rsid w:val="007C64A6"/>
    <w:rsid w:val="007C6687"/>
    <w:rsid w:val="007C67EC"/>
    <w:rsid w:val="007C69CE"/>
    <w:rsid w:val="007C6AC6"/>
    <w:rsid w:val="007C6C27"/>
    <w:rsid w:val="007C6CC8"/>
    <w:rsid w:val="007C6DDE"/>
    <w:rsid w:val="007C6F60"/>
    <w:rsid w:val="007C6F9E"/>
    <w:rsid w:val="007C71C9"/>
    <w:rsid w:val="007C725F"/>
    <w:rsid w:val="007C73AC"/>
    <w:rsid w:val="007C742B"/>
    <w:rsid w:val="007C75FD"/>
    <w:rsid w:val="007C7886"/>
    <w:rsid w:val="007C799C"/>
    <w:rsid w:val="007C7D2D"/>
    <w:rsid w:val="007C7E75"/>
    <w:rsid w:val="007D016D"/>
    <w:rsid w:val="007D01B8"/>
    <w:rsid w:val="007D02B5"/>
    <w:rsid w:val="007D03B9"/>
    <w:rsid w:val="007D03E6"/>
    <w:rsid w:val="007D04B8"/>
    <w:rsid w:val="007D0569"/>
    <w:rsid w:val="007D0856"/>
    <w:rsid w:val="007D098F"/>
    <w:rsid w:val="007D0990"/>
    <w:rsid w:val="007D09A5"/>
    <w:rsid w:val="007D0AD2"/>
    <w:rsid w:val="007D0B40"/>
    <w:rsid w:val="007D0D1D"/>
    <w:rsid w:val="007D0D20"/>
    <w:rsid w:val="007D0D75"/>
    <w:rsid w:val="007D0DEE"/>
    <w:rsid w:val="007D0E66"/>
    <w:rsid w:val="007D0F96"/>
    <w:rsid w:val="007D1117"/>
    <w:rsid w:val="007D1148"/>
    <w:rsid w:val="007D11B2"/>
    <w:rsid w:val="007D126B"/>
    <w:rsid w:val="007D12F8"/>
    <w:rsid w:val="007D13F4"/>
    <w:rsid w:val="007D147A"/>
    <w:rsid w:val="007D151A"/>
    <w:rsid w:val="007D1536"/>
    <w:rsid w:val="007D153A"/>
    <w:rsid w:val="007D15F0"/>
    <w:rsid w:val="007D1616"/>
    <w:rsid w:val="007D16C4"/>
    <w:rsid w:val="007D175E"/>
    <w:rsid w:val="007D196D"/>
    <w:rsid w:val="007D1996"/>
    <w:rsid w:val="007D1AAB"/>
    <w:rsid w:val="007D1B07"/>
    <w:rsid w:val="007D1BD7"/>
    <w:rsid w:val="007D1C1D"/>
    <w:rsid w:val="007D1C34"/>
    <w:rsid w:val="007D1D17"/>
    <w:rsid w:val="007D1DE4"/>
    <w:rsid w:val="007D1EBF"/>
    <w:rsid w:val="007D1FE7"/>
    <w:rsid w:val="007D20D4"/>
    <w:rsid w:val="007D2149"/>
    <w:rsid w:val="007D219C"/>
    <w:rsid w:val="007D21BA"/>
    <w:rsid w:val="007D2223"/>
    <w:rsid w:val="007D2305"/>
    <w:rsid w:val="007D2422"/>
    <w:rsid w:val="007D2551"/>
    <w:rsid w:val="007D26B9"/>
    <w:rsid w:val="007D272F"/>
    <w:rsid w:val="007D2804"/>
    <w:rsid w:val="007D2866"/>
    <w:rsid w:val="007D29D5"/>
    <w:rsid w:val="007D2A55"/>
    <w:rsid w:val="007D2A6C"/>
    <w:rsid w:val="007D2C28"/>
    <w:rsid w:val="007D2C98"/>
    <w:rsid w:val="007D2D7B"/>
    <w:rsid w:val="007D2DF3"/>
    <w:rsid w:val="007D2E1B"/>
    <w:rsid w:val="007D2F42"/>
    <w:rsid w:val="007D30A5"/>
    <w:rsid w:val="007D317A"/>
    <w:rsid w:val="007D319B"/>
    <w:rsid w:val="007D3223"/>
    <w:rsid w:val="007D32B7"/>
    <w:rsid w:val="007D32CA"/>
    <w:rsid w:val="007D32D9"/>
    <w:rsid w:val="007D3317"/>
    <w:rsid w:val="007D3345"/>
    <w:rsid w:val="007D346D"/>
    <w:rsid w:val="007D349B"/>
    <w:rsid w:val="007D34C1"/>
    <w:rsid w:val="007D3552"/>
    <w:rsid w:val="007D355A"/>
    <w:rsid w:val="007D3606"/>
    <w:rsid w:val="007D3652"/>
    <w:rsid w:val="007D3693"/>
    <w:rsid w:val="007D3766"/>
    <w:rsid w:val="007D382A"/>
    <w:rsid w:val="007D39F7"/>
    <w:rsid w:val="007D3A51"/>
    <w:rsid w:val="007D3ACB"/>
    <w:rsid w:val="007D3B27"/>
    <w:rsid w:val="007D3BC7"/>
    <w:rsid w:val="007D3D8E"/>
    <w:rsid w:val="007D3DD9"/>
    <w:rsid w:val="007D3F25"/>
    <w:rsid w:val="007D3FF5"/>
    <w:rsid w:val="007D4019"/>
    <w:rsid w:val="007D41C1"/>
    <w:rsid w:val="007D41EA"/>
    <w:rsid w:val="007D42F8"/>
    <w:rsid w:val="007D43D5"/>
    <w:rsid w:val="007D43FE"/>
    <w:rsid w:val="007D443E"/>
    <w:rsid w:val="007D4448"/>
    <w:rsid w:val="007D44C4"/>
    <w:rsid w:val="007D471B"/>
    <w:rsid w:val="007D4781"/>
    <w:rsid w:val="007D47F2"/>
    <w:rsid w:val="007D4820"/>
    <w:rsid w:val="007D4864"/>
    <w:rsid w:val="007D493A"/>
    <w:rsid w:val="007D4F14"/>
    <w:rsid w:val="007D4F1B"/>
    <w:rsid w:val="007D4FA6"/>
    <w:rsid w:val="007D4FCD"/>
    <w:rsid w:val="007D5028"/>
    <w:rsid w:val="007D50B9"/>
    <w:rsid w:val="007D5103"/>
    <w:rsid w:val="007D51F2"/>
    <w:rsid w:val="007D529C"/>
    <w:rsid w:val="007D532C"/>
    <w:rsid w:val="007D56EE"/>
    <w:rsid w:val="007D592B"/>
    <w:rsid w:val="007D59B1"/>
    <w:rsid w:val="007D59CE"/>
    <w:rsid w:val="007D59F5"/>
    <w:rsid w:val="007D5A2F"/>
    <w:rsid w:val="007D5AAA"/>
    <w:rsid w:val="007D5AD5"/>
    <w:rsid w:val="007D5ADB"/>
    <w:rsid w:val="007D5AE1"/>
    <w:rsid w:val="007D5AEE"/>
    <w:rsid w:val="007D5B1C"/>
    <w:rsid w:val="007D5D27"/>
    <w:rsid w:val="007D5E35"/>
    <w:rsid w:val="007D5EE8"/>
    <w:rsid w:val="007D5F1F"/>
    <w:rsid w:val="007D5F32"/>
    <w:rsid w:val="007D5F4A"/>
    <w:rsid w:val="007D5F67"/>
    <w:rsid w:val="007D6041"/>
    <w:rsid w:val="007D616D"/>
    <w:rsid w:val="007D6172"/>
    <w:rsid w:val="007D61A9"/>
    <w:rsid w:val="007D6274"/>
    <w:rsid w:val="007D62E8"/>
    <w:rsid w:val="007D631C"/>
    <w:rsid w:val="007D63D0"/>
    <w:rsid w:val="007D6416"/>
    <w:rsid w:val="007D6475"/>
    <w:rsid w:val="007D664C"/>
    <w:rsid w:val="007D66A5"/>
    <w:rsid w:val="007D6732"/>
    <w:rsid w:val="007D675F"/>
    <w:rsid w:val="007D67A9"/>
    <w:rsid w:val="007D6819"/>
    <w:rsid w:val="007D688D"/>
    <w:rsid w:val="007D68E5"/>
    <w:rsid w:val="007D6A3D"/>
    <w:rsid w:val="007D6B6A"/>
    <w:rsid w:val="007D6C85"/>
    <w:rsid w:val="007D6DA5"/>
    <w:rsid w:val="007D6E49"/>
    <w:rsid w:val="007D6E86"/>
    <w:rsid w:val="007D6FF9"/>
    <w:rsid w:val="007D706C"/>
    <w:rsid w:val="007D71AC"/>
    <w:rsid w:val="007D7222"/>
    <w:rsid w:val="007D734D"/>
    <w:rsid w:val="007D753C"/>
    <w:rsid w:val="007D76AB"/>
    <w:rsid w:val="007D797F"/>
    <w:rsid w:val="007D7A39"/>
    <w:rsid w:val="007D7CA7"/>
    <w:rsid w:val="007D7CB4"/>
    <w:rsid w:val="007D7CD1"/>
    <w:rsid w:val="007D7CD2"/>
    <w:rsid w:val="007D7D4B"/>
    <w:rsid w:val="007D7E31"/>
    <w:rsid w:val="007E023A"/>
    <w:rsid w:val="007E0286"/>
    <w:rsid w:val="007E03A5"/>
    <w:rsid w:val="007E03F4"/>
    <w:rsid w:val="007E0428"/>
    <w:rsid w:val="007E0468"/>
    <w:rsid w:val="007E049B"/>
    <w:rsid w:val="007E049C"/>
    <w:rsid w:val="007E0616"/>
    <w:rsid w:val="007E07D1"/>
    <w:rsid w:val="007E0868"/>
    <w:rsid w:val="007E09B7"/>
    <w:rsid w:val="007E0A9B"/>
    <w:rsid w:val="007E0B30"/>
    <w:rsid w:val="007E0C34"/>
    <w:rsid w:val="007E0D26"/>
    <w:rsid w:val="007E0DFE"/>
    <w:rsid w:val="007E0FAC"/>
    <w:rsid w:val="007E0FEF"/>
    <w:rsid w:val="007E110E"/>
    <w:rsid w:val="007E11DE"/>
    <w:rsid w:val="007E141D"/>
    <w:rsid w:val="007E1474"/>
    <w:rsid w:val="007E149D"/>
    <w:rsid w:val="007E15D2"/>
    <w:rsid w:val="007E1692"/>
    <w:rsid w:val="007E16D7"/>
    <w:rsid w:val="007E16E5"/>
    <w:rsid w:val="007E180F"/>
    <w:rsid w:val="007E19B1"/>
    <w:rsid w:val="007E1A74"/>
    <w:rsid w:val="007E1B21"/>
    <w:rsid w:val="007E1BCA"/>
    <w:rsid w:val="007E1DB6"/>
    <w:rsid w:val="007E1F2B"/>
    <w:rsid w:val="007E1FC2"/>
    <w:rsid w:val="007E202A"/>
    <w:rsid w:val="007E20BD"/>
    <w:rsid w:val="007E223C"/>
    <w:rsid w:val="007E22AA"/>
    <w:rsid w:val="007E2309"/>
    <w:rsid w:val="007E2395"/>
    <w:rsid w:val="007E248D"/>
    <w:rsid w:val="007E24E1"/>
    <w:rsid w:val="007E24E9"/>
    <w:rsid w:val="007E25E8"/>
    <w:rsid w:val="007E262E"/>
    <w:rsid w:val="007E2634"/>
    <w:rsid w:val="007E26B9"/>
    <w:rsid w:val="007E2789"/>
    <w:rsid w:val="007E282F"/>
    <w:rsid w:val="007E290E"/>
    <w:rsid w:val="007E29D3"/>
    <w:rsid w:val="007E2AD1"/>
    <w:rsid w:val="007E2B5A"/>
    <w:rsid w:val="007E2BD6"/>
    <w:rsid w:val="007E2C2B"/>
    <w:rsid w:val="007E2C2C"/>
    <w:rsid w:val="007E2C3C"/>
    <w:rsid w:val="007E2E0E"/>
    <w:rsid w:val="007E2EA4"/>
    <w:rsid w:val="007E310E"/>
    <w:rsid w:val="007E3120"/>
    <w:rsid w:val="007E332D"/>
    <w:rsid w:val="007E3362"/>
    <w:rsid w:val="007E33CF"/>
    <w:rsid w:val="007E34F0"/>
    <w:rsid w:val="007E35B5"/>
    <w:rsid w:val="007E35FC"/>
    <w:rsid w:val="007E3619"/>
    <w:rsid w:val="007E37E6"/>
    <w:rsid w:val="007E37EA"/>
    <w:rsid w:val="007E389D"/>
    <w:rsid w:val="007E39C9"/>
    <w:rsid w:val="007E3A42"/>
    <w:rsid w:val="007E3AC1"/>
    <w:rsid w:val="007E3FA1"/>
    <w:rsid w:val="007E3FAB"/>
    <w:rsid w:val="007E3FC4"/>
    <w:rsid w:val="007E4065"/>
    <w:rsid w:val="007E413C"/>
    <w:rsid w:val="007E41B1"/>
    <w:rsid w:val="007E41B4"/>
    <w:rsid w:val="007E4278"/>
    <w:rsid w:val="007E4327"/>
    <w:rsid w:val="007E434E"/>
    <w:rsid w:val="007E4352"/>
    <w:rsid w:val="007E43BD"/>
    <w:rsid w:val="007E4589"/>
    <w:rsid w:val="007E48D8"/>
    <w:rsid w:val="007E493D"/>
    <w:rsid w:val="007E49D8"/>
    <w:rsid w:val="007E4A51"/>
    <w:rsid w:val="007E4A8B"/>
    <w:rsid w:val="007E4B28"/>
    <w:rsid w:val="007E4B3E"/>
    <w:rsid w:val="007E4B6B"/>
    <w:rsid w:val="007E4C16"/>
    <w:rsid w:val="007E4D37"/>
    <w:rsid w:val="007E4D3C"/>
    <w:rsid w:val="007E4DC4"/>
    <w:rsid w:val="007E4E0C"/>
    <w:rsid w:val="007E4E27"/>
    <w:rsid w:val="007E4E67"/>
    <w:rsid w:val="007E4EC8"/>
    <w:rsid w:val="007E4FC2"/>
    <w:rsid w:val="007E5097"/>
    <w:rsid w:val="007E5180"/>
    <w:rsid w:val="007E5201"/>
    <w:rsid w:val="007E52B7"/>
    <w:rsid w:val="007E52B9"/>
    <w:rsid w:val="007E5356"/>
    <w:rsid w:val="007E5484"/>
    <w:rsid w:val="007E550E"/>
    <w:rsid w:val="007E558C"/>
    <w:rsid w:val="007E560B"/>
    <w:rsid w:val="007E560F"/>
    <w:rsid w:val="007E56A2"/>
    <w:rsid w:val="007E59CC"/>
    <w:rsid w:val="007E59F3"/>
    <w:rsid w:val="007E5BFD"/>
    <w:rsid w:val="007E5E95"/>
    <w:rsid w:val="007E5F35"/>
    <w:rsid w:val="007E5F60"/>
    <w:rsid w:val="007E5F90"/>
    <w:rsid w:val="007E603F"/>
    <w:rsid w:val="007E6058"/>
    <w:rsid w:val="007E60B4"/>
    <w:rsid w:val="007E6110"/>
    <w:rsid w:val="007E619B"/>
    <w:rsid w:val="007E6658"/>
    <w:rsid w:val="007E66BF"/>
    <w:rsid w:val="007E6709"/>
    <w:rsid w:val="007E6990"/>
    <w:rsid w:val="007E6B52"/>
    <w:rsid w:val="007E6CFF"/>
    <w:rsid w:val="007E6D4B"/>
    <w:rsid w:val="007E6E2B"/>
    <w:rsid w:val="007E6E96"/>
    <w:rsid w:val="007E6E98"/>
    <w:rsid w:val="007E6EBA"/>
    <w:rsid w:val="007E7122"/>
    <w:rsid w:val="007E72A4"/>
    <w:rsid w:val="007E731D"/>
    <w:rsid w:val="007E7514"/>
    <w:rsid w:val="007E751C"/>
    <w:rsid w:val="007E75F8"/>
    <w:rsid w:val="007E7653"/>
    <w:rsid w:val="007E76B1"/>
    <w:rsid w:val="007E7753"/>
    <w:rsid w:val="007E7D58"/>
    <w:rsid w:val="007E7F5F"/>
    <w:rsid w:val="007E7FAB"/>
    <w:rsid w:val="007F001F"/>
    <w:rsid w:val="007F00A5"/>
    <w:rsid w:val="007F02F2"/>
    <w:rsid w:val="007F0513"/>
    <w:rsid w:val="007F058A"/>
    <w:rsid w:val="007F05BD"/>
    <w:rsid w:val="007F0600"/>
    <w:rsid w:val="007F064E"/>
    <w:rsid w:val="007F06C5"/>
    <w:rsid w:val="007F07CD"/>
    <w:rsid w:val="007F0845"/>
    <w:rsid w:val="007F085C"/>
    <w:rsid w:val="007F0B53"/>
    <w:rsid w:val="007F0BCA"/>
    <w:rsid w:val="007F0C2B"/>
    <w:rsid w:val="007F0FA4"/>
    <w:rsid w:val="007F0FC6"/>
    <w:rsid w:val="007F1138"/>
    <w:rsid w:val="007F1169"/>
    <w:rsid w:val="007F11B1"/>
    <w:rsid w:val="007F1201"/>
    <w:rsid w:val="007F12A9"/>
    <w:rsid w:val="007F1331"/>
    <w:rsid w:val="007F1363"/>
    <w:rsid w:val="007F13B1"/>
    <w:rsid w:val="007F13F9"/>
    <w:rsid w:val="007F13FF"/>
    <w:rsid w:val="007F14D0"/>
    <w:rsid w:val="007F15AC"/>
    <w:rsid w:val="007F15E5"/>
    <w:rsid w:val="007F1708"/>
    <w:rsid w:val="007F170B"/>
    <w:rsid w:val="007F17D2"/>
    <w:rsid w:val="007F17E0"/>
    <w:rsid w:val="007F18E7"/>
    <w:rsid w:val="007F1991"/>
    <w:rsid w:val="007F19B2"/>
    <w:rsid w:val="007F1A47"/>
    <w:rsid w:val="007F1C26"/>
    <w:rsid w:val="007F1CC4"/>
    <w:rsid w:val="007F1CDD"/>
    <w:rsid w:val="007F1CFE"/>
    <w:rsid w:val="007F1D2B"/>
    <w:rsid w:val="007F1D3D"/>
    <w:rsid w:val="007F1D40"/>
    <w:rsid w:val="007F1E14"/>
    <w:rsid w:val="007F1E3E"/>
    <w:rsid w:val="007F1E66"/>
    <w:rsid w:val="007F1E8E"/>
    <w:rsid w:val="007F1F01"/>
    <w:rsid w:val="007F2004"/>
    <w:rsid w:val="007F2040"/>
    <w:rsid w:val="007F208C"/>
    <w:rsid w:val="007F20DA"/>
    <w:rsid w:val="007F221A"/>
    <w:rsid w:val="007F222A"/>
    <w:rsid w:val="007F2338"/>
    <w:rsid w:val="007F24AC"/>
    <w:rsid w:val="007F2535"/>
    <w:rsid w:val="007F268E"/>
    <w:rsid w:val="007F26B6"/>
    <w:rsid w:val="007F2721"/>
    <w:rsid w:val="007F2765"/>
    <w:rsid w:val="007F276E"/>
    <w:rsid w:val="007F287E"/>
    <w:rsid w:val="007F2935"/>
    <w:rsid w:val="007F2BC2"/>
    <w:rsid w:val="007F2CCD"/>
    <w:rsid w:val="007F3000"/>
    <w:rsid w:val="007F3025"/>
    <w:rsid w:val="007F30B2"/>
    <w:rsid w:val="007F312A"/>
    <w:rsid w:val="007F31A4"/>
    <w:rsid w:val="007F31BE"/>
    <w:rsid w:val="007F3319"/>
    <w:rsid w:val="007F34C4"/>
    <w:rsid w:val="007F34CA"/>
    <w:rsid w:val="007F34EE"/>
    <w:rsid w:val="007F3639"/>
    <w:rsid w:val="007F3875"/>
    <w:rsid w:val="007F3974"/>
    <w:rsid w:val="007F3A17"/>
    <w:rsid w:val="007F3A2A"/>
    <w:rsid w:val="007F3A3F"/>
    <w:rsid w:val="007F3AE3"/>
    <w:rsid w:val="007F3AF9"/>
    <w:rsid w:val="007F3D39"/>
    <w:rsid w:val="007F3D4A"/>
    <w:rsid w:val="007F3E24"/>
    <w:rsid w:val="007F3E5F"/>
    <w:rsid w:val="007F3EB7"/>
    <w:rsid w:val="007F405A"/>
    <w:rsid w:val="007F40C0"/>
    <w:rsid w:val="007F41AD"/>
    <w:rsid w:val="007F42F5"/>
    <w:rsid w:val="007F4356"/>
    <w:rsid w:val="007F43EE"/>
    <w:rsid w:val="007F48DC"/>
    <w:rsid w:val="007F4C72"/>
    <w:rsid w:val="007F4D32"/>
    <w:rsid w:val="007F4D95"/>
    <w:rsid w:val="007F4D9A"/>
    <w:rsid w:val="007F4DE2"/>
    <w:rsid w:val="007F4E03"/>
    <w:rsid w:val="007F4E3D"/>
    <w:rsid w:val="007F4E56"/>
    <w:rsid w:val="007F4F5A"/>
    <w:rsid w:val="007F5054"/>
    <w:rsid w:val="007F50DA"/>
    <w:rsid w:val="007F5282"/>
    <w:rsid w:val="007F5396"/>
    <w:rsid w:val="007F5500"/>
    <w:rsid w:val="007F55CF"/>
    <w:rsid w:val="007F5617"/>
    <w:rsid w:val="007F56B8"/>
    <w:rsid w:val="007F5980"/>
    <w:rsid w:val="007F5A19"/>
    <w:rsid w:val="007F5A25"/>
    <w:rsid w:val="007F5A95"/>
    <w:rsid w:val="007F5B2D"/>
    <w:rsid w:val="007F5C2B"/>
    <w:rsid w:val="007F5D39"/>
    <w:rsid w:val="007F5D49"/>
    <w:rsid w:val="007F5F2C"/>
    <w:rsid w:val="007F5FF3"/>
    <w:rsid w:val="007F60C9"/>
    <w:rsid w:val="007F6115"/>
    <w:rsid w:val="007F6165"/>
    <w:rsid w:val="007F6191"/>
    <w:rsid w:val="007F62D1"/>
    <w:rsid w:val="007F6329"/>
    <w:rsid w:val="007F6440"/>
    <w:rsid w:val="007F65C9"/>
    <w:rsid w:val="007F66E0"/>
    <w:rsid w:val="007F6775"/>
    <w:rsid w:val="007F6839"/>
    <w:rsid w:val="007F6953"/>
    <w:rsid w:val="007F6A32"/>
    <w:rsid w:val="007F6A4C"/>
    <w:rsid w:val="007F6B21"/>
    <w:rsid w:val="007F6B6B"/>
    <w:rsid w:val="007F6BC6"/>
    <w:rsid w:val="007F6CCB"/>
    <w:rsid w:val="007F6D30"/>
    <w:rsid w:val="007F6D74"/>
    <w:rsid w:val="007F6E44"/>
    <w:rsid w:val="007F6F56"/>
    <w:rsid w:val="007F6F77"/>
    <w:rsid w:val="007F6FE4"/>
    <w:rsid w:val="007F7045"/>
    <w:rsid w:val="007F7051"/>
    <w:rsid w:val="007F7169"/>
    <w:rsid w:val="007F71B5"/>
    <w:rsid w:val="007F725D"/>
    <w:rsid w:val="007F73F6"/>
    <w:rsid w:val="007F73FC"/>
    <w:rsid w:val="007F74AF"/>
    <w:rsid w:val="007F75D7"/>
    <w:rsid w:val="007F7654"/>
    <w:rsid w:val="007F76E2"/>
    <w:rsid w:val="007F7758"/>
    <w:rsid w:val="007F7844"/>
    <w:rsid w:val="007F7873"/>
    <w:rsid w:val="007F7907"/>
    <w:rsid w:val="007F79C3"/>
    <w:rsid w:val="007F7A54"/>
    <w:rsid w:val="007F7B65"/>
    <w:rsid w:val="007F7B9A"/>
    <w:rsid w:val="007F7BC0"/>
    <w:rsid w:val="007F7C02"/>
    <w:rsid w:val="007F7CA3"/>
    <w:rsid w:val="007F7DF4"/>
    <w:rsid w:val="007F7F8E"/>
    <w:rsid w:val="007F7FA2"/>
    <w:rsid w:val="007F7FEE"/>
    <w:rsid w:val="007F7FF5"/>
    <w:rsid w:val="008000EE"/>
    <w:rsid w:val="00800141"/>
    <w:rsid w:val="008001A3"/>
    <w:rsid w:val="008001F6"/>
    <w:rsid w:val="00800264"/>
    <w:rsid w:val="008002A8"/>
    <w:rsid w:val="008002B4"/>
    <w:rsid w:val="00800396"/>
    <w:rsid w:val="008003E3"/>
    <w:rsid w:val="008003F8"/>
    <w:rsid w:val="008004B5"/>
    <w:rsid w:val="008004F3"/>
    <w:rsid w:val="00800637"/>
    <w:rsid w:val="0080075A"/>
    <w:rsid w:val="008008C5"/>
    <w:rsid w:val="00800B5E"/>
    <w:rsid w:val="00800BB3"/>
    <w:rsid w:val="00800D1A"/>
    <w:rsid w:val="00800D9E"/>
    <w:rsid w:val="00800DBD"/>
    <w:rsid w:val="00800DDF"/>
    <w:rsid w:val="00800EA5"/>
    <w:rsid w:val="00800EC6"/>
    <w:rsid w:val="00800ED2"/>
    <w:rsid w:val="00800F37"/>
    <w:rsid w:val="00800FDD"/>
    <w:rsid w:val="00800FF0"/>
    <w:rsid w:val="008010F2"/>
    <w:rsid w:val="0080110B"/>
    <w:rsid w:val="0080111E"/>
    <w:rsid w:val="008013EF"/>
    <w:rsid w:val="00801402"/>
    <w:rsid w:val="00801414"/>
    <w:rsid w:val="00801476"/>
    <w:rsid w:val="00801542"/>
    <w:rsid w:val="008015AC"/>
    <w:rsid w:val="008019C8"/>
    <w:rsid w:val="008019E4"/>
    <w:rsid w:val="00801AF3"/>
    <w:rsid w:val="00801B6E"/>
    <w:rsid w:val="00801C38"/>
    <w:rsid w:val="00801D03"/>
    <w:rsid w:val="00801E35"/>
    <w:rsid w:val="00801E52"/>
    <w:rsid w:val="00801E7A"/>
    <w:rsid w:val="00801EBF"/>
    <w:rsid w:val="00801F3E"/>
    <w:rsid w:val="00801F6F"/>
    <w:rsid w:val="00801FA9"/>
    <w:rsid w:val="00802134"/>
    <w:rsid w:val="0080218C"/>
    <w:rsid w:val="008022D7"/>
    <w:rsid w:val="008024A5"/>
    <w:rsid w:val="008024BC"/>
    <w:rsid w:val="008025AF"/>
    <w:rsid w:val="0080275B"/>
    <w:rsid w:val="008027BE"/>
    <w:rsid w:val="00802842"/>
    <w:rsid w:val="008028D5"/>
    <w:rsid w:val="008029DE"/>
    <w:rsid w:val="00802AFA"/>
    <w:rsid w:val="00802B8F"/>
    <w:rsid w:val="00802BAA"/>
    <w:rsid w:val="00802CDD"/>
    <w:rsid w:val="00802DDC"/>
    <w:rsid w:val="00802F73"/>
    <w:rsid w:val="00803273"/>
    <w:rsid w:val="008032A8"/>
    <w:rsid w:val="008032E8"/>
    <w:rsid w:val="008033A3"/>
    <w:rsid w:val="008033F6"/>
    <w:rsid w:val="00803449"/>
    <w:rsid w:val="0080348C"/>
    <w:rsid w:val="00803491"/>
    <w:rsid w:val="008034CA"/>
    <w:rsid w:val="00803527"/>
    <w:rsid w:val="008035A7"/>
    <w:rsid w:val="0080363A"/>
    <w:rsid w:val="00803697"/>
    <w:rsid w:val="008036AB"/>
    <w:rsid w:val="00803724"/>
    <w:rsid w:val="0080377F"/>
    <w:rsid w:val="00803829"/>
    <w:rsid w:val="00803906"/>
    <w:rsid w:val="0080392A"/>
    <w:rsid w:val="008039BB"/>
    <w:rsid w:val="00803A3E"/>
    <w:rsid w:val="00803B10"/>
    <w:rsid w:val="00803B53"/>
    <w:rsid w:val="00803C9C"/>
    <w:rsid w:val="00803E85"/>
    <w:rsid w:val="00803F00"/>
    <w:rsid w:val="008040DD"/>
    <w:rsid w:val="00804158"/>
    <w:rsid w:val="008041B2"/>
    <w:rsid w:val="008041DB"/>
    <w:rsid w:val="008041EA"/>
    <w:rsid w:val="008042DB"/>
    <w:rsid w:val="00804376"/>
    <w:rsid w:val="008043AE"/>
    <w:rsid w:val="008043CF"/>
    <w:rsid w:val="00804511"/>
    <w:rsid w:val="008045F8"/>
    <w:rsid w:val="0080464D"/>
    <w:rsid w:val="0080469C"/>
    <w:rsid w:val="008046EF"/>
    <w:rsid w:val="008047DD"/>
    <w:rsid w:val="008047E4"/>
    <w:rsid w:val="008048D1"/>
    <w:rsid w:val="008048EB"/>
    <w:rsid w:val="008049D1"/>
    <w:rsid w:val="00804B75"/>
    <w:rsid w:val="00804B87"/>
    <w:rsid w:val="00804BCC"/>
    <w:rsid w:val="00804C51"/>
    <w:rsid w:val="00804CD1"/>
    <w:rsid w:val="00804CDF"/>
    <w:rsid w:val="00804CE2"/>
    <w:rsid w:val="00804DB1"/>
    <w:rsid w:val="00804E15"/>
    <w:rsid w:val="00804E48"/>
    <w:rsid w:val="00804F15"/>
    <w:rsid w:val="00805079"/>
    <w:rsid w:val="00805143"/>
    <w:rsid w:val="00805277"/>
    <w:rsid w:val="0080528D"/>
    <w:rsid w:val="008052DB"/>
    <w:rsid w:val="008053A1"/>
    <w:rsid w:val="008053F0"/>
    <w:rsid w:val="0080546B"/>
    <w:rsid w:val="008054BC"/>
    <w:rsid w:val="008054EA"/>
    <w:rsid w:val="008058A4"/>
    <w:rsid w:val="008058C2"/>
    <w:rsid w:val="008058C8"/>
    <w:rsid w:val="00805947"/>
    <w:rsid w:val="0080596C"/>
    <w:rsid w:val="00805A4B"/>
    <w:rsid w:val="00805A9A"/>
    <w:rsid w:val="00805B02"/>
    <w:rsid w:val="00805B28"/>
    <w:rsid w:val="00805B6C"/>
    <w:rsid w:val="00805D1A"/>
    <w:rsid w:val="00805E30"/>
    <w:rsid w:val="00805EF9"/>
    <w:rsid w:val="00805F69"/>
    <w:rsid w:val="00805FA1"/>
    <w:rsid w:val="00806004"/>
    <w:rsid w:val="00806017"/>
    <w:rsid w:val="00806144"/>
    <w:rsid w:val="0080630F"/>
    <w:rsid w:val="008066F6"/>
    <w:rsid w:val="00806705"/>
    <w:rsid w:val="0080687F"/>
    <w:rsid w:val="00806888"/>
    <w:rsid w:val="0080688C"/>
    <w:rsid w:val="00806921"/>
    <w:rsid w:val="00806995"/>
    <w:rsid w:val="008069CD"/>
    <w:rsid w:val="00806AA2"/>
    <w:rsid w:val="00806B3F"/>
    <w:rsid w:val="00806B5C"/>
    <w:rsid w:val="00806D97"/>
    <w:rsid w:val="00806DE5"/>
    <w:rsid w:val="00806F15"/>
    <w:rsid w:val="00807004"/>
    <w:rsid w:val="00807085"/>
    <w:rsid w:val="0080718E"/>
    <w:rsid w:val="008071B7"/>
    <w:rsid w:val="0080725A"/>
    <w:rsid w:val="00807289"/>
    <w:rsid w:val="0080728E"/>
    <w:rsid w:val="008072C3"/>
    <w:rsid w:val="00807548"/>
    <w:rsid w:val="00807664"/>
    <w:rsid w:val="00807732"/>
    <w:rsid w:val="00807A3B"/>
    <w:rsid w:val="00807A47"/>
    <w:rsid w:val="00807AED"/>
    <w:rsid w:val="00807BA4"/>
    <w:rsid w:val="00807DAF"/>
    <w:rsid w:val="00807EF4"/>
    <w:rsid w:val="00807F14"/>
    <w:rsid w:val="00807F52"/>
    <w:rsid w:val="0081004A"/>
    <w:rsid w:val="008100B4"/>
    <w:rsid w:val="00810184"/>
    <w:rsid w:val="0081025D"/>
    <w:rsid w:val="00810292"/>
    <w:rsid w:val="00810433"/>
    <w:rsid w:val="0081051C"/>
    <w:rsid w:val="008105D6"/>
    <w:rsid w:val="008109DC"/>
    <w:rsid w:val="00810A93"/>
    <w:rsid w:val="00810A9C"/>
    <w:rsid w:val="00810AFD"/>
    <w:rsid w:val="00810CBC"/>
    <w:rsid w:val="00810CEE"/>
    <w:rsid w:val="00810DBE"/>
    <w:rsid w:val="00810DF8"/>
    <w:rsid w:val="008111CB"/>
    <w:rsid w:val="0081125D"/>
    <w:rsid w:val="008112AF"/>
    <w:rsid w:val="0081138F"/>
    <w:rsid w:val="008113BA"/>
    <w:rsid w:val="00811451"/>
    <w:rsid w:val="0081145D"/>
    <w:rsid w:val="00811492"/>
    <w:rsid w:val="008115AE"/>
    <w:rsid w:val="008115CC"/>
    <w:rsid w:val="00811601"/>
    <w:rsid w:val="008117AE"/>
    <w:rsid w:val="008117B8"/>
    <w:rsid w:val="00811A39"/>
    <w:rsid w:val="00811A42"/>
    <w:rsid w:val="00811A71"/>
    <w:rsid w:val="00811AF1"/>
    <w:rsid w:val="00811CA0"/>
    <w:rsid w:val="00811DD2"/>
    <w:rsid w:val="00811EF7"/>
    <w:rsid w:val="008120D3"/>
    <w:rsid w:val="00812137"/>
    <w:rsid w:val="008121B9"/>
    <w:rsid w:val="0081222D"/>
    <w:rsid w:val="008122DB"/>
    <w:rsid w:val="0081246B"/>
    <w:rsid w:val="008124C8"/>
    <w:rsid w:val="0081285B"/>
    <w:rsid w:val="00812914"/>
    <w:rsid w:val="00812977"/>
    <w:rsid w:val="00812AD2"/>
    <w:rsid w:val="00812B10"/>
    <w:rsid w:val="00812B3C"/>
    <w:rsid w:val="00812BBD"/>
    <w:rsid w:val="00812C6C"/>
    <w:rsid w:val="00812C7A"/>
    <w:rsid w:val="00812D7A"/>
    <w:rsid w:val="00812E0C"/>
    <w:rsid w:val="00812E50"/>
    <w:rsid w:val="00812E62"/>
    <w:rsid w:val="00812ED0"/>
    <w:rsid w:val="00812F25"/>
    <w:rsid w:val="0081310F"/>
    <w:rsid w:val="0081313E"/>
    <w:rsid w:val="0081333B"/>
    <w:rsid w:val="008134E0"/>
    <w:rsid w:val="008134EC"/>
    <w:rsid w:val="00813502"/>
    <w:rsid w:val="008135C1"/>
    <w:rsid w:val="00813698"/>
    <w:rsid w:val="008136A1"/>
    <w:rsid w:val="00813701"/>
    <w:rsid w:val="0081370E"/>
    <w:rsid w:val="008138DD"/>
    <w:rsid w:val="00813C9B"/>
    <w:rsid w:val="00813CE9"/>
    <w:rsid w:val="00813E5F"/>
    <w:rsid w:val="00813FCE"/>
    <w:rsid w:val="008140DC"/>
    <w:rsid w:val="0081414E"/>
    <w:rsid w:val="00814188"/>
    <w:rsid w:val="0081431F"/>
    <w:rsid w:val="00814573"/>
    <w:rsid w:val="008145D6"/>
    <w:rsid w:val="0081469C"/>
    <w:rsid w:val="0081489E"/>
    <w:rsid w:val="00814B72"/>
    <w:rsid w:val="00814BE6"/>
    <w:rsid w:val="00814CAE"/>
    <w:rsid w:val="00814F39"/>
    <w:rsid w:val="008150B5"/>
    <w:rsid w:val="008150F0"/>
    <w:rsid w:val="008152BD"/>
    <w:rsid w:val="008153BC"/>
    <w:rsid w:val="00815432"/>
    <w:rsid w:val="00815522"/>
    <w:rsid w:val="0081564E"/>
    <w:rsid w:val="00815698"/>
    <w:rsid w:val="0081577F"/>
    <w:rsid w:val="00815804"/>
    <w:rsid w:val="0081593D"/>
    <w:rsid w:val="00815B6E"/>
    <w:rsid w:val="00815BB2"/>
    <w:rsid w:val="00815C1A"/>
    <w:rsid w:val="00815C3E"/>
    <w:rsid w:val="00815CA4"/>
    <w:rsid w:val="00815D0A"/>
    <w:rsid w:val="00815D37"/>
    <w:rsid w:val="00815EF2"/>
    <w:rsid w:val="00815F15"/>
    <w:rsid w:val="00816041"/>
    <w:rsid w:val="0081617B"/>
    <w:rsid w:val="0081618B"/>
    <w:rsid w:val="00816241"/>
    <w:rsid w:val="00816261"/>
    <w:rsid w:val="0081632C"/>
    <w:rsid w:val="008163B6"/>
    <w:rsid w:val="008165A4"/>
    <w:rsid w:val="008166B0"/>
    <w:rsid w:val="008167A3"/>
    <w:rsid w:val="008169C6"/>
    <w:rsid w:val="00816B78"/>
    <w:rsid w:val="00816BAC"/>
    <w:rsid w:val="00816CB2"/>
    <w:rsid w:val="00816E64"/>
    <w:rsid w:val="00816E6E"/>
    <w:rsid w:val="00816EBD"/>
    <w:rsid w:val="00816F10"/>
    <w:rsid w:val="0081712F"/>
    <w:rsid w:val="00817179"/>
    <w:rsid w:val="008171BF"/>
    <w:rsid w:val="00817251"/>
    <w:rsid w:val="0081732E"/>
    <w:rsid w:val="00817359"/>
    <w:rsid w:val="008174DF"/>
    <w:rsid w:val="008174F9"/>
    <w:rsid w:val="00817555"/>
    <w:rsid w:val="0081771F"/>
    <w:rsid w:val="0081778F"/>
    <w:rsid w:val="008177CD"/>
    <w:rsid w:val="0081780B"/>
    <w:rsid w:val="0081781E"/>
    <w:rsid w:val="008178A4"/>
    <w:rsid w:val="008178D5"/>
    <w:rsid w:val="008178E6"/>
    <w:rsid w:val="0081794A"/>
    <w:rsid w:val="00817AD2"/>
    <w:rsid w:val="00817C0B"/>
    <w:rsid w:val="00817CDA"/>
    <w:rsid w:val="00817F21"/>
    <w:rsid w:val="00817FCE"/>
    <w:rsid w:val="0082004C"/>
    <w:rsid w:val="00820065"/>
    <w:rsid w:val="00820079"/>
    <w:rsid w:val="008200B4"/>
    <w:rsid w:val="008201CA"/>
    <w:rsid w:val="008201D0"/>
    <w:rsid w:val="00820299"/>
    <w:rsid w:val="00820353"/>
    <w:rsid w:val="00820373"/>
    <w:rsid w:val="0082039D"/>
    <w:rsid w:val="0082048E"/>
    <w:rsid w:val="00820539"/>
    <w:rsid w:val="008209D0"/>
    <w:rsid w:val="00820A7E"/>
    <w:rsid w:val="00820C02"/>
    <w:rsid w:val="00820E15"/>
    <w:rsid w:val="00820EA5"/>
    <w:rsid w:val="00821301"/>
    <w:rsid w:val="00821467"/>
    <w:rsid w:val="00821518"/>
    <w:rsid w:val="00821612"/>
    <w:rsid w:val="0082175E"/>
    <w:rsid w:val="0082181C"/>
    <w:rsid w:val="008218B8"/>
    <w:rsid w:val="0082199F"/>
    <w:rsid w:val="00821A7F"/>
    <w:rsid w:val="00821A8E"/>
    <w:rsid w:val="00821AA1"/>
    <w:rsid w:val="00821B39"/>
    <w:rsid w:val="00821BA2"/>
    <w:rsid w:val="00821BDF"/>
    <w:rsid w:val="00821C7F"/>
    <w:rsid w:val="00821E55"/>
    <w:rsid w:val="00821E7B"/>
    <w:rsid w:val="00821E8E"/>
    <w:rsid w:val="00821EA4"/>
    <w:rsid w:val="00821F98"/>
    <w:rsid w:val="00822022"/>
    <w:rsid w:val="00822056"/>
    <w:rsid w:val="00822224"/>
    <w:rsid w:val="0082233C"/>
    <w:rsid w:val="008225FF"/>
    <w:rsid w:val="00822699"/>
    <w:rsid w:val="00822769"/>
    <w:rsid w:val="00822772"/>
    <w:rsid w:val="00822792"/>
    <w:rsid w:val="008227F3"/>
    <w:rsid w:val="008228BC"/>
    <w:rsid w:val="008229E6"/>
    <w:rsid w:val="00822A0A"/>
    <w:rsid w:val="00822A43"/>
    <w:rsid w:val="00822ACE"/>
    <w:rsid w:val="00822C72"/>
    <w:rsid w:val="00822D33"/>
    <w:rsid w:val="00822D48"/>
    <w:rsid w:val="00822D93"/>
    <w:rsid w:val="00822E35"/>
    <w:rsid w:val="00822F12"/>
    <w:rsid w:val="00822F8E"/>
    <w:rsid w:val="008230F7"/>
    <w:rsid w:val="00823222"/>
    <w:rsid w:val="008232A9"/>
    <w:rsid w:val="008232FC"/>
    <w:rsid w:val="0082335D"/>
    <w:rsid w:val="008233F0"/>
    <w:rsid w:val="008234CD"/>
    <w:rsid w:val="0082357F"/>
    <w:rsid w:val="008235D8"/>
    <w:rsid w:val="008235E9"/>
    <w:rsid w:val="008236EB"/>
    <w:rsid w:val="00823752"/>
    <w:rsid w:val="008237BF"/>
    <w:rsid w:val="00823B9A"/>
    <w:rsid w:val="00823CE4"/>
    <w:rsid w:val="00823CF1"/>
    <w:rsid w:val="00823D44"/>
    <w:rsid w:val="00823E22"/>
    <w:rsid w:val="00823E80"/>
    <w:rsid w:val="00823E96"/>
    <w:rsid w:val="00823F6E"/>
    <w:rsid w:val="00823F7A"/>
    <w:rsid w:val="0082403E"/>
    <w:rsid w:val="00824169"/>
    <w:rsid w:val="008241EC"/>
    <w:rsid w:val="0082421A"/>
    <w:rsid w:val="00824293"/>
    <w:rsid w:val="00824304"/>
    <w:rsid w:val="00824316"/>
    <w:rsid w:val="00824433"/>
    <w:rsid w:val="0082443D"/>
    <w:rsid w:val="008244AB"/>
    <w:rsid w:val="00824574"/>
    <w:rsid w:val="00824593"/>
    <w:rsid w:val="008247BD"/>
    <w:rsid w:val="008248D4"/>
    <w:rsid w:val="008248E6"/>
    <w:rsid w:val="00824C53"/>
    <w:rsid w:val="00824C5E"/>
    <w:rsid w:val="00824C71"/>
    <w:rsid w:val="00824C85"/>
    <w:rsid w:val="00824C8E"/>
    <w:rsid w:val="00824D35"/>
    <w:rsid w:val="00824E27"/>
    <w:rsid w:val="0082513C"/>
    <w:rsid w:val="0082513D"/>
    <w:rsid w:val="00825381"/>
    <w:rsid w:val="008253B3"/>
    <w:rsid w:val="00825439"/>
    <w:rsid w:val="00825445"/>
    <w:rsid w:val="008254B9"/>
    <w:rsid w:val="00825550"/>
    <w:rsid w:val="0082555D"/>
    <w:rsid w:val="00825736"/>
    <w:rsid w:val="0082587C"/>
    <w:rsid w:val="00825A46"/>
    <w:rsid w:val="00825ADA"/>
    <w:rsid w:val="00825ADF"/>
    <w:rsid w:val="00825B49"/>
    <w:rsid w:val="00825BCC"/>
    <w:rsid w:val="00825D3A"/>
    <w:rsid w:val="00825EAD"/>
    <w:rsid w:val="00825FE7"/>
    <w:rsid w:val="0082609B"/>
    <w:rsid w:val="00826189"/>
    <w:rsid w:val="008261B9"/>
    <w:rsid w:val="0082638E"/>
    <w:rsid w:val="0082671C"/>
    <w:rsid w:val="00826845"/>
    <w:rsid w:val="0082690A"/>
    <w:rsid w:val="008269FB"/>
    <w:rsid w:val="00826A37"/>
    <w:rsid w:val="00826BEC"/>
    <w:rsid w:val="00826C22"/>
    <w:rsid w:val="00826C71"/>
    <w:rsid w:val="00826E83"/>
    <w:rsid w:val="00826F17"/>
    <w:rsid w:val="00827074"/>
    <w:rsid w:val="0082707D"/>
    <w:rsid w:val="0082708F"/>
    <w:rsid w:val="008270DF"/>
    <w:rsid w:val="008271D3"/>
    <w:rsid w:val="0082721B"/>
    <w:rsid w:val="00827221"/>
    <w:rsid w:val="00827260"/>
    <w:rsid w:val="00827292"/>
    <w:rsid w:val="0082736B"/>
    <w:rsid w:val="00827371"/>
    <w:rsid w:val="00827453"/>
    <w:rsid w:val="008274A6"/>
    <w:rsid w:val="008275A4"/>
    <w:rsid w:val="00827672"/>
    <w:rsid w:val="0082770B"/>
    <w:rsid w:val="008277DB"/>
    <w:rsid w:val="008277EF"/>
    <w:rsid w:val="00827904"/>
    <w:rsid w:val="00827969"/>
    <w:rsid w:val="00827A0E"/>
    <w:rsid w:val="00827A19"/>
    <w:rsid w:val="00827DD6"/>
    <w:rsid w:val="00827E90"/>
    <w:rsid w:val="00827F51"/>
    <w:rsid w:val="008300F3"/>
    <w:rsid w:val="0083023C"/>
    <w:rsid w:val="00830261"/>
    <w:rsid w:val="008303CB"/>
    <w:rsid w:val="00830405"/>
    <w:rsid w:val="0083054C"/>
    <w:rsid w:val="0083065D"/>
    <w:rsid w:val="0083073C"/>
    <w:rsid w:val="0083078B"/>
    <w:rsid w:val="0083079E"/>
    <w:rsid w:val="008308F6"/>
    <w:rsid w:val="0083093A"/>
    <w:rsid w:val="00830972"/>
    <w:rsid w:val="00830B52"/>
    <w:rsid w:val="00830BCA"/>
    <w:rsid w:val="00830C1F"/>
    <w:rsid w:val="00830CE8"/>
    <w:rsid w:val="00830E8D"/>
    <w:rsid w:val="00830EB6"/>
    <w:rsid w:val="00830F7B"/>
    <w:rsid w:val="00831039"/>
    <w:rsid w:val="008310DF"/>
    <w:rsid w:val="00831141"/>
    <w:rsid w:val="00831280"/>
    <w:rsid w:val="00831373"/>
    <w:rsid w:val="00831446"/>
    <w:rsid w:val="00831483"/>
    <w:rsid w:val="008314CD"/>
    <w:rsid w:val="00831636"/>
    <w:rsid w:val="0083163D"/>
    <w:rsid w:val="00831662"/>
    <w:rsid w:val="0083168A"/>
    <w:rsid w:val="00831715"/>
    <w:rsid w:val="00831762"/>
    <w:rsid w:val="0083188F"/>
    <w:rsid w:val="0083189D"/>
    <w:rsid w:val="008318EE"/>
    <w:rsid w:val="00831972"/>
    <w:rsid w:val="00831A5F"/>
    <w:rsid w:val="00831B88"/>
    <w:rsid w:val="00831BB0"/>
    <w:rsid w:val="00831BD0"/>
    <w:rsid w:val="00831C50"/>
    <w:rsid w:val="00831F1F"/>
    <w:rsid w:val="008320B3"/>
    <w:rsid w:val="008321DB"/>
    <w:rsid w:val="008325D2"/>
    <w:rsid w:val="008328C6"/>
    <w:rsid w:val="00832977"/>
    <w:rsid w:val="008329C3"/>
    <w:rsid w:val="008329E2"/>
    <w:rsid w:val="00832A34"/>
    <w:rsid w:val="00832AB2"/>
    <w:rsid w:val="00832AB4"/>
    <w:rsid w:val="00832C40"/>
    <w:rsid w:val="00832D40"/>
    <w:rsid w:val="00832DE1"/>
    <w:rsid w:val="00832DEB"/>
    <w:rsid w:val="00832EBA"/>
    <w:rsid w:val="00832F14"/>
    <w:rsid w:val="00833004"/>
    <w:rsid w:val="00833006"/>
    <w:rsid w:val="0083302B"/>
    <w:rsid w:val="008331EC"/>
    <w:rsid w:val="008333A1"/>
    <w:rsid w:val="00833538"/>
    <w:rsid w:val="00833621"/>
    <w:rsid w:val="008336BC"/>
    <w:rsid w:val="00833847"/>
    <w:rsid w:val="00833936"/>
    <w:rsid w:val="0083394C"/>
    <w:rsid w:val="00833980"/>
    <w:rsid w:val="00833B11"/>
    <w:rsid w:val="00833B40"/>
    <w:rsid w:val="00833B55"/>
    <w:rsid w:val="00833CC9"/>
    <w:rsid w:val="00833CD7"/>
    <w:rsid w:val="00833D08"/>
    <w:rsid w:val="00833D30"/>
    <w:rsid w:val="00833FB9"/>
    <w:rsid w:val="008340FF"/>
    <w:rsid w:val="00834185"/>
    <w:rsid w:val="00834263"/>
    <w:rsid w:val="00834668"/>
    <w:rsid w:val="0083470E"/>
    <w:rsid w:val="00834727"/>
    <w:rsid w:val="00834743"/>
    <w:rsid w:val="00834798"/>
    <w:rsid w:val="008347FD"/>
    <w:rsid w:val="00834808"/>
    <w:rsid w:val="0083488D"/>
    <w:rsid w:val="008348E2"/>
    <w:rsid w:val="008348EB"/>
    <w:rsid w:val="00834944"/>
    <w:rsid w:val="00834A22"/>
    <w:rsid w:val="00834D12"/>
    <w:rsid w:val="00834D72"/>
    <w:rsid w:val="00834D91"/>
    <w:rsid w:val="00834E82"/>
    <w:rsid w:val="00834E9D"/>
    <w:rsid w:val="00834F4D"/>
    <w:rsid w:val="0083511B"/>
    <w:rsid w:val="0083522F"/>
    <w:rsid w:val="0083533D"/>
    <w:rsid w:val="0083553E"/>
    <w:rsid w:val="00835A71"/>
    <w:rsid w:val="00835A7D"/>
    <w:rsid w:val="00835CAF"/>
    <w:rsid w:val="00835D22"/>
    <w:rsid w:val="00835EF6"/>
    <w:rsid w:val="00835F7F"/>
    <w:rsid w:val="00835F99"/>
    <w:rsid w:val="0083608C"/>
    <w:rsid w:val="008360E4"/>
    <w:rsid w:val="0083613E"/>
    <w:rsid w:val="0083622B"/>
    <w:rsid w:val="008362EF"/>
    <w:rsid w:val="0083653E"/>
    <w:rsid w:val="00836575"/>
    <w:rsid w:val="00836724"/>
    <w:rsid w:val="0083677C"/>
    <w:rsid w:val="008368D0"/>
    <w:rsid w:val="0083696F"/>
    <w:rsid w:val="00836AA0"/>
    <w:rsid w:val="00836AAA"/>
    <w:rsid w:val="00836B8E"/>
    <w:rsid w:val="00836E07"/>
    <w:rsid w:val="00836EC0"/>
    <w:rsid w:val="00837038"/>
    <w:rsid w:val="00837058"/>
    <w:rsid w:val="008370A4"/>
    <w:rsid w:val="008370C0"/>
    <w:rsid w:val="008370DF"/>
    <w:rsid w:val="008371C0"/>
    <w:rsid w:val="00837219"/>
    <w:rsid w:val="00837366"/>
    <w:rsid w:val="008373E0"/>
    <w:rsid w:val="008373F6"/>
    <w:rsid w:val="00837501"/>
    <w:rsid w:val="00837539"/>
    <w:rsid w:val="00837753"/>
    <w:rsid w:val="0083798E"/>
    <w:rsid w:val="00837B16"/>
    <w:rsid w:val="00837B2E"/>
    <w:rsid w:val="00837C71"/>
    <w:rsid w:val="00837CC9"/>
    <w:rsid w:val="00837D01"/>
    <w:rsid w:val="00837D37"/>
    <w:rsid w:val="00837F09"/>
    <w:rsid w:val="00837F50"/>
    <w:rsid w:val="0084008B"/>
    <w:rsid w:val="008400D0"/>
    <w:rsid w:val="0084014B"/>
    <w:rsid w:val="00840154"/>
    <w:rsid w:val="008401BD"/>
    <w:rsid w:val="008401F9"/>
    <w:rsid w:val="00840236"/>
    <w:rsid w:val="008402F9"/>
    <w:rsid w:val="0084035F"/>
    <w:rsid w:val="008403A7"/>
    <w:rsid w:val="0084045A"/>
    <w:rsid w:val="008404CC"/>
    <w:rsid w:val="008406D1"/>
    <w:rsid w:val="00840701"/>
    <w:rsid w:val="008408DB"/>
    <w:rsid w:val="008408E1"/>
    <w:rsid w:val="00840984"/>
    <w:rsid w:val="00840A72"/>
    <w:rsid w:val="00840CEC"/>
    <w:rsid w:val="00840FD2"/>
    <w:rsid w:val="008410B4"/>
    <w:rsid w:val="008410D1"/>
    <w:rsid w:val="008412A2"/>
    <w:rsid w:val="008413AD"/>
    <w:rsid w:val="0084143F"/>
    <w:rsid w:val="00841510"/>
    <w:rsid w:val="00841537"/>
    <w:rsid w:val="00841619"/>
    <w:rsid w:val="00841885"/>
    <w:rsid w:val="00841B12"/>
    <w:rsid w:val="00841BB2"/>
    <w:rsid w:val="00841BE8"/>
    <w:rsid w:val="00841C17"/>
    <w:rsid w:val="00841E5D"/>
    <w:rsid w:val="00841EE1"/>
    <w:rsid w:val="00841F05"/>
    <w:rsid w:val="00841F21"/>
    <w:rsid w:val="00842151"/>
    <w:rsid w:val="008424DD"/>
    <w:rsid w:val="00842639"/>
    <w:rsid w:val="0084265C"/>
    <w:rsid w:val="00842773"/>
    <w:rsid w:val="0084289E"/>
    <w:rsid w:val="00842960"/>
    <w:rsid w:val="008429D7"/>
    <w:rsid w:val="008429E0"/>
    <w:rsid w:val="00842D57"/>
    <w:rsid w:val="00842DA8"/>
    <w:rsid w:val="00842DE2"/>
    <w:rsid w:val="00842E36"/>
    <w:rsid w:val="00842E94"/>
    <w:rsid w:val="00843062"/>
    <w:rsid w:val="008430C1"/>
    <w:rsid w:val="0084345D"/>
    <w:rsid w:val="00843466"/>
    <w:rsid w:val="008435EB"/>
    <w:rsid w:val="00843652"/>
    <w:rsid w:val="00843845"/>
    <w:rsid w:val="008439D4"/>
    <w:rsid w:val="00843AC1"/>
    <w:rsid w:val="00843B05"/>
    <w:rsid w:val="00843CB7"/>
    <w:rsid w:val="00843EC7"/>
    <w:rsid w:val="00843F07"/>
    <w:rsid w:val="00843FFA"/>
    <w:rsid w:val="008440FE"/>
    <w:rsid w:val="00844118"/>
    <w:rsid w:val="00844157"/>
    <w:rsid w:val="00844194"/>
    <w:rsid w:val="008441DA"/>
    <w:rsid w:val="008441E0"/>
    <w:rsid w:val="0084427C"/>
    <w:rsid w:val="0084437B"/>
    <w:rsid w:val="008443BE"/>
    <w:rsid w:val="00844494"/>
    <w:rsid w:val="00844681"/>
    <w:rsid w:val="008446C2"/>
    <w:rsid w:val="00844A4F"/>
    <w:rsid w:val="00844B9B"/>
    <w:rsid w:val="00844CB0"/>
    <w:rsid w:val="00844D0D"/>
    <w:rsid w:val="00844D20"/>
    <w:rsid w:val="00844DDB"/>
    <w:rsid w:val="00844E45"/>
    <w:rsid w:val="00844F04"/>
    <w:rsid w:val="008450CF"/>
    <w:rsid w:val="008452BF"/>
    <w:rsid w:val="008452EC"/>
    <w:rsid w:val="0084535D"/>
    <w:rsid w:val="0084535E"/>
    <w:rsid w:val="00845478"/>
    <w:rsid w:val="008454AA"/>
    <w:rsid w:val="00845500"/>
    <w:rsid w:val="00845767"/>
    <w:rsid w:val="00845783"/>
    <w:rsid w:val="00845797"/>
    <w:rsid w:val="00845980"/>
    <w:rsid w:val="00845A45"/>
    <w:rsid w:val="00845AAB"/>
    <w:rsid w:val="00845B55"/>
    <w:rsid w:val="00845BBC"/>
    <w:rsid w:val="00845E81"/>
    <w:rsid w:val="00845F15"/>
    <w:rsid w:val="00845F3C"/>
    <w:rsid w:val="00845F4C"/>
    <w:rsid w:val="00845F7C"/>
    <w:rsid w:val="00846036"/>
    <w:rsid w:val="008460C2"/>
    <w:rsid w:val="00846230"/>
    <w:rsid w:val="0084637B"/>
    <w:rsid w:val="00846381"/>
    <w:rsid w:val="008463E3"/>
    <w:rsid w:val="00846498"/>
    <w:rsid w:val="0084653A"/>
    <w:rsid w:val="008465FA"/>
    <w:rsid w:val="00846730"/>
    <w:rsid w:val="00846752"/>
    <w:rsid w:val="008469FC"/>
    <w:rsid w:val="00846A24"/>
    <w:rsid w:val="00846A9C"/>
    <w:rsid w:val="00846AAE"/>
    <w:rsid w:val="00846AEF"/>
    <w:rsid w:val="00846B48"/>
    <w:rsid w:val="00846C3C"/>
    <w:rsid w:val="00846C49"/>
    <w:rsid w:val="00846C52"/>
    <w:rsid w:val="00846D87"/>
    <w:rsid w:val="00846DEC"/>
    <w:rsid w:val="00847025"/>
    <w:rsid w:val="0084706C"/>
    <w:rsid w:val="008474D5"/>
    <w:rsid w:val="00847597"/>
    <w:rsid w:val="00847598"/>
    <w:rsid w:val="008475D1"/>
    <w:rsid w:val="00847646"/>
    <w:rsid w:val="008477CD"/>
    <w:rsid w:val="008477E1"/>
    <w:rsid w:val="008478BE"/>
    <w:rsid w:val="00847C68"/>
    <w:rsid w:val="00847C7A"/>
    <w:rsid w:val="00847D85"/>
    <w:rsid w:val="00847DC8"/>
    <w:rsid w:val="00847DFB"/>
    <w:rsid w:val="00847EA0"/>
    <w:rsid w:val="00847F62"/>
    <w:rsid w:val="00847FC4"/>
    <w:rsid w:val="008500CE"/>
    <w:rsid w:val="00850160"/>
    <w:rsid w:val="0085050E"/>
    <w:rsid w:val="008505BE"/>
    <w:rsid w:val="00850650"/>
    <w:rsid w:val="00850688"/>
    <w:rsid w:val="008506A4"/>
    <w:rsid w:val="00850762"/>
    <w:rsid w:val="00850868"/>
    <w:rsid w:val="00850897"/>
    <w:rsid w:val="00850A46"/>
    <w:rsid w:val="00850A6A"/>
    <w:rsid w:val="00850D0B"/>
    <w:rsid w:val="00850DBF"/>
    <w:rsid w:val="00850EF1"/>
    <w:rsid w:val="0085117E"/>
    <w:rsid w:val="008511D5"/>
    <w:rsid w:val="0085121D"/>
    <w:rsid w:val="0085124D"/>
    <w:rsid w:val="00851286"/>
    <w:rsid w:val="00851296"/>
    <w:rsid w:val="008512D0"/>
    <w:rsid w:val="00851319"/>
    <w:rsid w:val="008513E8"/>
    <w:rsid w:val="0085142B"/>
    <w:rsid w:val="00851433"/>
    <w:rsid w:val="00851836"/>
    <w:rsid w:val="00851879"/>
    <w:rsid w:val="00851923"/>
    <w:rsid w:val="0085197D"/>
    <w:rsid w:val="00851983"/>
    <w:rsid w:val="008519A7"/>
    <w:rsid w:val="008519BF"/>
    <w:rsid w:val="008519D5"/>
    <w:rsid w:val="008519D8"/>
    <w:rsid w:val="00851A84"/>
    <w:rsid w:val="00851C72"/>
    <w:rsid w:val="00851CA5"/>
    <w:rsid w:val="00851CCE"/>
    <w:rsid w:val="00851D70"/>
    <w:rsid w:val="00851DFB"/>
    <w:rsid w:val="00851E23"/>
    <w:rsid w:val="00851FD7"/>
    <w:rsid w:val="00852151"/>
    <w:rsid w:val="008521A5"/>
    <w:rsid w:val="008522DE"/>
    <w:rsid w:val="008522FD"/>
    <w:rsid w:val="00852447"/>
    <w:rsid w:val="00852465"/>
    <w:rsid w:val="0085247D"/>
    <w:rsid w:val="008524F3"/>
    <w:rsid w:val="00852536"/>
    <w:rsid w:val="00852685"/>
    <w:rsid w:val="008527C2"/>
    <w:rsid w:val="0085288C"/>
    <w:rsid w:val="008528A6"/>
    <w:rsid w:val="008529DC"/>
    <w:rsid w:val="00852B06"/>
    <w:rsid w:val="00852BCD"/>
    <w:rsid w:val="00852BEC"/>
    <w:rsid w:val="00852C63"/>
    <w:rsid w:val="00852CD7"/>
    <w:rsid w:val="00852DF8"/>
    <w:rsid w:val="00852E63"/>
    <w:rsid w:val="00852F2E"/>
    <w:rsid w:val="00852FDE"/>
    <w:rsid w:val="00852FF0"/>
    <w:rsid w:val="00853006"/>
    <w:rsid w:val="0085305B"/>
    <w:rsid w:val="008530B2"/>
    <w:rsid w:val="008530C5"/>
    <w:rsid w:val="00853126"/>
    <w:rsid w:val="008531AB"/>
    <w:rsid w:val="00853236"/>
    <w:rsid w:val="008533A6"/>
    <w:rsid w:val="008534A1"/>
    <w:rsid w:val="0085359A"/>
    <w:rsid w:val="008536FE"/>
    <w:rsid w:val="00853711"/>
    <w:rsid w:val="0085374C"/>
    <w:rsid w:val="008538DF"/>
    <w:rsid w:val="00853E1F"/>
    <w:rsid w:val="00853E2F"/>
    <w:rsid w:val="00853E36"/>
    <w:rsid w:val="00853E58"/>
    <w:rsid w:val="00853F82"/>
    <w:rsid w:val="00853FD4"/>
    <w:rsid w:val="0085408A"/>
    <w:rsid w:val="0085449F"/>
    <w:rsid w:val="008544AC"/>
    <w:rsid w:val="0085454E"/>
    <w:rsid w:val="00854562"/>
    <w:rsid w:val="0085460B"/>
    <w:rsid w:val="0085466C"/>
    <w:rsid w:val="00854832"/>
    <w:rsid w:val="008548FA"/>
    <w:rsid w:val="008549AF"/>
    <w:rsid w:val="00854AEF"/>
    <w:rsid w:val="00854C62"/>
    <w:rsid w:val="00854CF4"/>
    <w:rsid w:val="00854DD9"/>
    <w:rsid w:val="00854FCE"/>
    <w:rsid w:val="008550CC"/>
    <w:rsid w:val="0085519B"/>
    <w:rsid w:val="008553C7"/>
    <w:rsid w:val="00855480"/>
    <w:rsid w:val="008554F2"/>
    <w:rsid w:val="008556F6"/>
    <w:rsid w:val="00855793"/>
    <w:rsid w:val="0085593B"/>
    <w:rsid w:val="008559D6"/>
    <w:rsid w:val="00855B9C"/>
    <w:rsid w:val="00855BCA"/>
    <w:rsid w:val="00855C32"/>
    <w:rsid w:val="00855C7A"/>
    <w:rsid w:val="00855D6E"/>
    <w:rsid w:val="00855E69"/>
    <w:rsid w:val="0085605A"/>
    <w:rsid w:val="0085632D"/>
    <w:rsid w:val="008564C1"/>
    <w:rsid w:val="0085658F"/>
    <w:rsid w:val="0085667C"/>
    <w:rsid w:val="008566C4"/>
    <w:rsid w:val="00856720"/>
    <w:rsid w:val="008567B3"/>
    <w:rsid w:val="00856830"/>
    <w:rsid w:val="00856866"/>
    <w:rsid w:val="008568F4"/>
    <w:rsid w:val="008568FB"/>
    <w:rsid w:val="0085690D"/>
    <w:rsid w:val="00856B02"/>
    <w:rsid w:val="00856D22"/>
    <w:rsid w:val="00856F67"/>
    <w:rsid w:val="00856FC3"/>
    <w:rsid w:val="00857202"/>
    <w:rsid w:val="00857254"/>
    <w:rsid w:val="00857261"/>
    <w:rsid w:val="00857383"/>
    <w:rsid w:val="008573F7"/>
    <w:rsid w:val="00857414"/>
    <w:rsid w:val="008575A8"/>
    <w:rsid w:val="008576A2"/>
    <w:rsid w:val="0085771F"/>
    <w:rsid w:val="00857803"/>
    <w:rsid w:val="008578AF"/>
    <w:rsid w:val="00857B16"/>
    <w:rsid w:val="00857B4D"/>
    <w:rsid w:val="00857B80"/>
    <w:rsid w:val="00857CFC"/>
    <w:rsid w:val="00857D00"/>
    <w:rsid w:val="00857D4B"/>
    <w:rsid w:val="00857E94"/>
    <w:rsid w:val="008600BA"/>
    <w:rsid w:val="008600CC"/>
    <w:rsid w:val="00860187"/>
    <w:rsid w:val="00860197"/>
    <w:rsid w:val="00860207"/>
    <w:rsid w:val="008602A7"/>
    <w:rsid w:val="008602DF"/>
    <w:rsid w:val="00860329"/>
    <w:rsid w:val="00860595"/>
    <w:rsid w:val="008605DE"/>
    <w:rsid w:val="008606E2"/>
    <w:rsid w:val="008608F2"/>
    <w:rsid w:val="008609C6"/>
    <w:rsid w:val="00860A32"/>
    <w:rsid w:val="00860AD3"/>
    <w:rsid w:val="00860B35"/>
    <w:rsid w:val="00860B3A"/>
    <w:rsid w:val="00860BBB"/>
    <w:rsid w:val="00860CC3"/>
    <w:rsid w:val="00860E57"/>
    <w:rsid w:val="00860E80"/>
    <w:rsid w:val="00860FAE"/>
    <w:rsid w:val="00861090"/>
    <w:rsid w:val="0086133B"/>
    <w:rsid w:val="00861391"/>
    <w:rsid w:val="00861488"/>
    <w:rsid w:val="008615AE"/>
    <w:rsid w:val="008615C2"/>
    <w:rsid w:val="00861717"/>
    <w:rsid w:val="008617BC"/>
    <w:rsid w:val="008617ED"/>
    <w:rsid w:val="00861857"/>
    <w:rsid w:val="00861AE7"/>
    <w:rsid w:val="00861B74"/>
    <w:rsid w:val="00861BC6"/>
    <w:rsid w:val="00861C22"/>
    <w:rsid w:val="00861C2E"/>
    <w:rsid w:val="00861C94"/>
    <w:rsid w:val="00861D81"/>
    <w:rsid w:val="00861F28"/>
    <w:rsid w:val="00862248"/>
    <w:rsid w:val="00862466"/>
    <w:rsid w:val="008624BE"/>
    <w:rsid w:val="008624D1"/>
    <w:rsid w:val="00862598"/>
    <w:rsid w:val="0086272E"/>
    <w:rsid w:val="008627C5"/>
    <w:rsid w:val="008627F9"/>
    <w:rsid w:val="008629D9"/>
    <w:rsid w:val="008629EA"/>
    <w:rsid w:val="00862B55"/>
    <w:rsid w:val="00862C1A"/>
    <w:rsid w:val="00862C9C"/>
    <w:rsid w:val="00862D5A"/>
    <w:rsid w:val="00862EA5"/>
    <w:rsid w:val="00862EE8"/>
    <w:rsid w:val="00862FE2"/>
    <w:rsid w:val="00863181"/>
    <w:rsid w:val="008631EC"/>
    <w:rsid w:val="0086320E"/>
    <w:rsid w:val="008632F2"/>
    <w:rsid w:val="00863336"/>
    <w:rsid w:val="00863398"/>
    <w:rsid w:val="008633AB"/>
    <w:rsid w:val="00863422"/>
    <w:rsid w:val="00863496"/>
    <w:rsid w:val="0086397B"/>
    <w:rsid w:val="00863AC6"/>
    <w:rsid w:val="00863ADE"/>
    <w:rsid w:val="00863C14"/>
    <w:rsid w:val="00863CB6"/>
    <w:rsid w:val="00863E63"/>
    <w:rsid w:val="0086409C"/>
    <w:rsid w:val="00864203"/>
    <w:rsid w:val="00864281"/>
    <w:rsid w:val="0086437C"/>
    <w:rsid w:val="008644C8"/>
    <w:rsid w:val="00864602"/>
    <w:rsid w:val="008646E8"/>
    <w:rsid w:val="00864708"/>
    <w:rsid w:val="008647A9"/>
    <w:rsid w:val="00864948"/>
    <w:rsid w:val="00864A72"/>
    <w:rsid w:val="00864DDB"/>
    <w:rsid w:val="00864E96"/>
    <w:rsid w:val="00864EC8"/>
    <w:rsid w:val="00864ECA"/>
    <w:rsid w:val="00864EF2"/>
    <w:rsid w:val="00864F26"/>
    <w:rsid w:val="00864F84"/>
    <w:rsid w:val="00865133"/>
    <w:rsid w:val="008652BA"/>
    <w:rsid w:val="008652C1"/>
    <w:rsid w:val="008652C6"/>
    <w:rsid w:val="00865367"/>
    <w:rsid w:val="00865434"/>
    <w:rsid w:val="00865469"/>
    <w:rsid w:val="00865610"/>
    <w:rsid w:val="0086563A"/>
    <w:rsid w:val="0086566F"/>
    <w:rsid w:val="008656DC"/>
    <w:rsid w:val="00865728"/>
    <w:rsid w:val="00865874"/>
    <w:rsid w:val="00865A27"/>
    <w:rsid w:val="00865B0C"/>
    <w:rsid w:val="00865BA2"/>
    <w:rsid w:val="00865D9A"/>
    <w:rsid w:val="00865DF8"/>
    <w:rsid w:val="00865EB0"/>
    <w:rsid w:val="00865F8F"/>
    <w:rsid w:val="00866014"/>
    <w:rsid w:val="008660AB"/>
    <w:rsid w:val="008660B9"/>
    <w:rsid w:val="00866104"/>
    <w:rsid w:val="008661B1"/>
    <w:rsid w:val="008661D7"/>
    <w:rsid w:val="0086631B"/>
    <w:rsid w:val="0086648A"/>
    <w:rsid w:val="00866553"/>
    <w:rsid w:val="00866588"/>
    <w:rsid w:val="00866689"/>
    <w:rsid w:val="008666C3"/>
    <w:rsid w:val="008666EC"/>
    <w:rsid w:val="0086670F"/>
    <w:rsid w:val="00866892"/>
    <w:rsid w:val="008668C5"/>
    <w:rsid w:val="00866924"/>
    <w:rsid w:val="00866A45"/>
    <w:rsid w:val="00866ADD"/>
    <w:rsid w:val="00866BC3"/>
    <w:rsid w:val="00866CC1"/>
    <w:rsid w:val="00866CC7"/>
    <w:rsid w:val="00866D2E"/>
    <w:rsid w:val="00866D91"/>
    <w:rsid w:val="00866D93"/>
    <w:rsid w:val="00866E0E"/>
    <w:rsid w:val="00866F44"/>
    <w:rsid w:val="00866F76"/>
    <w:rsid w:val="008677E4"/>
    <w:rsid w:val="00867844"/>
    <w:rsid w:val="008678EA"/>
    <w:rsid w:val="008678EB"/>
    <w:rsid w:val="008679D2"/>
    <w:rsid w:val="00867A6F"/>
    <w:rsid w:val="00867BD4"/>
    <w:rsid w:val="00867C93"/>
    <w:rsid w:val="008700AF"/>
    <w:rsid w:val="00870104"/>
    <w:rsid w:val="008701B8"/>
    <w:rsid w:val="008702BB"/>
    <w:rsid w:val="008702CB"/>
    <w:rsid w:val="00870355"/>
    <w:rsid w:val="0087039F"/>
    <w:rsid w:val="008703BF"/>
    <w:rsid w:val="0087060A"/>
    <w:rsid w:val="00870640"/>
    <w:rsid w:val="008708B1"/>
    <w:rsid w:val="00870942"/>
    <w:rsid w:val="00870A0C"/>
    <w:rsid w:val="00870AF7"/>
    <w:rsid w:val="00870B51"/>
    <w:rsid w:val="00870C96"/>
    <w:rsid w:val="00870D7B"/>
    <w:rsid w:val="00870E2F"/>
    <w:rsid w:val="00870EF7"/>
    <w:rsid w:val="00871090"/>
    <w:rsid w:val="008710A5"/>
    <w:rsid w:val="008710CA"/>
    <w:rsid w:val="008713C6"/>
    <w:rsid w:val="008714AB"/>
    <w:rsid w:val="00871543"/>
    <w:rsid w:val="00871590"/>
    <w:rsid w:val="0087159C"/>
    <w:rsid w:val="0087166C"/>
    <w:rsid w:val="00871750"/>
    <w:rsid w:val="00871778"/>
    <w:rsid w:val="008717A5"/>
    <w:rsid w:val="008717B4"/>
    <w:rsid w:val="00871908"/>
    <w:rsid w:val="00871AB1"/>
    <w:rsid w:val="00871B1E"/>
    <w:rsid w:val="00871CA9"/>
    <w:rsid w:val="00871D07"/>
    <w:rsid w:val="00871D12"/>
    <w:rsid w:val="00871D63"/>
    <w:rsid w:val="00871EBB"/>
    <w:rsid w:val="00871F8B"/>
    <w:rsid w:val="00871FA7"/>
    <w:rsid w:val="00871FBF"/>
    <w:rsid w:val="0087206E"/>
    <w:rsid w:val="00872088"/>
    <w:rsid w:val="008721AC"/>
    <w:rsid w:val="00872261"/>
    <w:rsid w:val="0087236B"/>
    <w:rsid w:val="00872373"/>
    <w:rsid w:val="00872544"/>
    <w:rsid w:val="0087268B"/>
    <w:rsid w:val="008726E7"/>
    <w:rsid w:val="008726ED"/>
    <w:rsid w:val="008727E5"/>
    <w:rsid w:val="00872824"/>
    <w:rsid w:val="00872867"/>
    <w:rsid w:val="00872960"/>
    <w:rsid w:val="00872970"/>
    <w:rsid w:val="00872A66"/>
    <w:rsid w:val="00872AB7"/>
    <w:rsid w:val="00872C26"/>
    <w:rsid w:val="00872D9C"/>
    <w:rsid w:val="00872E7D"/>
    <w:rsid w:val="00872F33"/>
    <w:rsid w:val="00872F55"/>
    <w:rsid w:val="0087307C"/>
    <w:rsid w:val="008730E4"/>
    <w:rsid w:val="008731B2"/>
    <w:rsid w:val="008731E0"/>
    <w:rsid w:val="0087327B"/>
    <w:rsid w:val="0087328F"/>
    <w:rsid w:val="00873312"/>
    <w:rsid w:val="008733C1"/>
    <w:rsid w:val="008733CD"/>
    <w:rsid w:val="00873507"/>
    <w:rsid w:val="0087357D"/>
    <w:rsid w:val="008735DD"/>
    <w:rsid w:val="00873681"/>
    <w:rsid w:val="008736CA"/>
    <w:rsid w:val="00873852"/>
    <w:rsid w:val="0087397D"/>
    <w:rsid w:val="00873A07"/>
    <w:rsid w:val="00873A2D"/>
    <w:rsid w:val="00873A32"/>
    <w:rsid w:val="00873B06"/>
    <w:rsid w:val="00873BD1"/>
    <w:rsid w:val="00873C2B"/>
    <w:rsid w:val="00873F05"/>
    <w:rsid w:val="00873FCC"/>
    <w:rsid w:val="00874130"/>
    <w:rsid w:val="008741D3"/>
    <w:rsid w:val="0087435C"/>
    <w:rsid w:val="008743CF"/>
    <w:rsid w:val="00874592"/>
    <w:rsid w:val="00874738"/>
    <w:rsid w:val="00874741"/>
    <w:rsid w:val="00874A48"/>
    <w:rsid w:val="00874ACD"/>
    <w:rsid w:val="00874B2D"/>
    <w:rsid w:val="00874C53"/>
    <w:rsid w:val="00874C94"/>
    <w:rsid w:val="00874CC7"/>
    <w:rsid w:val="00874D16"/>
    <w:rsid w:val="00874FB8"/>
    <w:rsid w:val="008752B4"/>
    <w:rsid w:val="00875327"/>
    <w:rsid w:val="008753F5"/>
    <w:rsid w:val="00875492"/>
    <w:rsid w:val="008754B1"/>
    <w:rsid w:val="00875586"/>
    <w:rsid w:val="008755BA"/>
    <w:rsid w:val="008756C5"/>
    <w:rsid w:val="008756E3"/>
    <w:rsid w:val="008756FE"/>
    <w:rsid w:val="00875788"/>
    <w:rsid w:val="0087590F"/>
    <w:rsid w:val="0087596D"/>
    <w:rsid w:val="00875999"/>
    <w:rsid w:val="00875A33"/>
    <w:rsid w:val="00875A3A"/>
    <w:rsid w:val="00875AD3"/>
    <w:rsid w:val="00875C31"/>
    <w:rsid w:val="00875DA2"/>
    <w:rsid w:val="00875DF8"/>
    <w:rsid w:val="00875E48"/>
    <w:rsid w:val="00875F7D"/>
    <w:rsid w:val="00875FD1"/>
    <w:rsid w:val="00875FF4"/>
    <w:rsid w:val="00876512"/>
    <w:rsid w:val="00876556"/>
    <w:rsid w:val="0087660A"/>
    <w:rsid w:val="008767C8"/>
    <w:rsid w:val="0087683A"/>
    <w:rsid w:val="008768BB"/>
    <w:rsid w:val="008769F0"/>
    <w:rsid w:val="00876A68"/>
    <w:rsid w:val="00876AAB"/>
    <w:rsid w:val="00876B31"/>
    <w:rsid w:val="00876D7A"/>
    <w:rsid w:val="00876DCE"/>
    <w:rsid w:val="00876DCF"/>
    <w:rsid w:val="00876F6B"/>
    <w:rsid w:val="00876FB2"/>
    <w:rsid w:val="00876FEF"/>
    <w:rsid w:val="0087708F"/>
    <w:rsid w:val="0087721F"/>
    <w:rsid w:val="008772C7"/>
    <w:rsid w:val="00877334"/>
    <w:rsid w:val="008773C1"/>
    <w:rsid w:val="008773D9"/>
    <w:rsid w:val="00877465"/>
    <w:rsid w:val="008775E6"/>
    <w:rsid w:val="00877733"/>
    <w:rsid w:val="0087777F"/>
    <w:rsid w:val="008777E0"/>
    <w:rsid w:val="00877926"/>
    <w:rsid w:val="00877A2C"/>
    <w:rsid w:val="00877A3E"/>
    <w:rsid w:val="00877A97"/>
    <w:rsid w:val="00877AED"/>
    <w:rsid w:val="00877AF7"/>
    <w:rsid w:val="00877B93"/>
    <w:rsid w:val="00877C23"/>
    <w:rsid w:val="00877EA7"/>
    <w:rsid w:val="00877EBB"/>
    <w:rsid w:val="00877F13"/>
    <w:rsid w:val="0088002F"/>
    <w:rsid w:val="0088007D"/>
    <w:rsid w:val="00880333"/>
    <w:rsid w:val="00880337"/>
    <w:rsid w:val="0088045E"/>
    <w:rsid w:val="00880540"/>
    <w:rsid w:val="0088062C"/>
    <w:rsid w:val="0088068C"/>
    <w:rsid w:val="008806EF"/>
    <w:rsid w:val="00880BD9"/>
    <w:rsid w:val="00880CA1"/>
    <w:rsid w:val="00880E5F"/>
    <w:rsid w:val="00880EC0"/>
    <w:rsid w:val="00880F3C"/>
    <w:rsid w:val="00880F74"/>
    <w:rsid w:val="008810BD"/>
    <w:rsid w:val="008811FD"/>
    <w:rsid w:val="008813A2"/>
    <w:rsid w:val="00881483"/>
    <w:rsid w:val="00881506"/>
    <w:rsid w:val="008818CB"/>
    <w:rsid w:val="00881BA2"/>
    <w:rsid w:val="00881C58"/>
    <w:rsid w:val="00881C98"/>
    <w:rsid w:val="00881CAD"/>
    <w:rsid w:val="00881CB9"/>
    <w:rsid w:val="00881DDE"/>
    <w:rsid w:val="00881E99"/>
    <w:rsid w:val="00882064"/>
    <w:rsid w:val="008820B4"/>
    <w:rsid w:val="008820F4"/>
    <w:rsid w:val="00882114"/>
    <w:rsid w:val="00882123"/>
    <w:rsid w:val="008822EC"/>
    <w:rsid w:val="008823E3"/>
    <w:rsid w:val="0088246C"/>
    <w:rsid w:val="0088251B"/>
    <w:rsid w:val="008828D0"/>
    <w:rsid w:val="008828E5"/>
    <w:rsid w:val="00882941"/>
    <w:rsid w:val="00882943"/>
    <w:rsid w:val="008829B0"/>
    <w:rsid w:val="00882AEC"/>
    <w:rsid w:val="00882B3A"/>
    <w:rsid w:val="00882D37"/>
    <w:rsid w:val="00882E16"/>
    <w:rsid w:val="0088306B"/>
    <w:rsid w:val="008830E7"/>
    <w:rsid w:val="00883270"/>
    <w:rsid w:val="008833E0"/>
    <w:rsid w:val="0088359A"/>
    <w:rsid w:val="00883608"/>
    <w:rsid w:val="00883627"/>
    <w:rsid w:val="008836A1"/>
    <w:rsid w:val="008836F4"/>
    <w:rsid w:val="008836FE"/>
    <w:rsid w:val="008837A5"/>
    <w:rsid w:val="008838DC"/>
    <w:rsid w:val="00883918"/>
    <w:rsid w:val="0088393C"/>
    <w:rsid w:val="008839D8"/>
    <w:rsid w:val="00883A81"/>
    <w:rsid w:val="00883AB3"/>
    <w:rsid w:val="00883B49"/>
    <w:rsid w:val="00883B9B"/>
    <w:rsid w:val="00883C84"/>
    <w:rsid w:val="00883E42"/>
    <w:rsid w:val="00883F43"/>
    <w:rsid w:val="00883F9F"/>
    <w:rsid w:val="00884010"/>
    <w:rsid w:val="00884019"/>
    <w:rsid w:val="00884053"/>
    <w:rsid w:val="00884088"/>
    <w:rsid w:val="0088409D"/>
    <w:rsid w:val="00884100"/>
    <w:rsid w:val="00884260"/>
    <w:rsid w:val="00884262"/>
    <w:rsid w:val="0088439D"/>
    <w:rsid w:val="008843D5"/>
    <w:rsid w:val="00884473"/>
    <w:rsid w:val="0088450E"/>
    <w:rsid w:val="0088466F"/>
    <w:rsid w:val="008847C1"/>
    <w:rsid w:val="00884C9A"/>
    <w:rsid w:val="00884D4A"/>
    <w:rsid w:val="00884F84"/>
    <w:rsid w:val="00884FBD"/>
    <w:rsid w:val="00884FCD"/>
    <w:rsid w:val="0088516E"/>
    <w:rsid w:val="008852B8"/>
    <w:rsid w:val="008852CB"/>
    <w:rsid w:val="00885523"/>
    <w:rsid w:val="00885553"/>
    <w:rsid w:val="00885756"/>
    <w:rsid w:val="00885883"/>
    <w:rsid w:val="008859B8"/>
    <w:rsid w:val="00885A10"/>
    <w:rsid w:val="00885AF5"/>
    <w:rsid w:val="00885B4F"/>
    <w:rsid w:val="00885D17"/>
    <w:rsid w:val="00885D63"/>
    <w:rsid w:val="00885DAD"/>
    <w:rsid w:val="00885DCB"/>
    <w:rsid w:val="00885DD4"/>
    <w:rsid w:val="00885E12"/>
    <w:rsid w:val="00885EFE"/>
    <w:rsid w:val="00886123"/>
    <w:rsid w:val="0088639D"/>
    <w:rsid w:val="00886646"/>
    <w:rsid w:val="008866AE"/>
    <w:rsid w:val="0088683A"/>
    <w:rsid w:val="00886969"/>
    <w:rsid w:val="00886A9A"/>
    <w:rsid w:val="00886C7A"/>
    <w:rsid w:val="00886C96"/>
    <w:rsid w:val="00886D55"/>
    <w:rsid w:val="00886DAF"/>
    <w:rsid w:val="00886E19"/>
    <w:rsid w:val="00886E56"/>
    <w:rsid w:val="00886EAE"/>
    <w:rsid w:val="00886EB4"/>
    <w:rsid w:val="00886F38"/>
    <w:rsid w:val="0088701F"/>
    <w:rsid w:val="0088705E"/>
    <w:rsid w:val="008870C1"/>
    <w:rsid w:val="0088722B"/>
    <w:rsid w:val="00887362"/>
    <w:rsid w:val="008873E0"/>
    <w:rsid w:val="008874A7"/>
    <w:rsid w:val="00887575"/>
    <w:rsid w:val="00887615"/>
    <w:rsid w:val="0088768C"/>
    <w:rsid w:val="0088770E"/>
    <w:rsid w:val="008877A4"/>
    <w:rsid w:val="008877BD"/>
    <w:rsid w:val="008877CE"/>
    <w:rsid w:val="00887840"/>
    <w:rsid w:val="0088785D"/>
    <w:rsid w:val="00887942"/>
    <w:rsid w:val="00887984"/>
    <w:rsid w:val="008879C1"/>
    <w:rsid w:val="008879C5"/>
    <w:rsid w:val="00887BFD"/>
    <w:rsid w:val="00887CE6"/>
    <w:rsid w:val="00887E15"/>
    <w:rsid w:val="00887FA0"/>
    <w:rsid w:val="0089005D"/>
    <w:rsid w:val="008900AA"/>
    <w:rsid w:val="008901A6"/>
    <w:rsid w:val="0089020C"/>
    <w:rsid w:val="00890210"/>
    <w:rsid w:val="008902A4"/>
    <w:rsid w:val="008902B1"/>
    <w:rsid w:val="008903C9"/>
    <w:rsid w:val="00890443"/>
    <w:rsid w:val="0089059F"/>
    <w:rsid w:val="008906F7"/>
    <w:rsid w:val="00890827"/>
    <w:rsid w:val="008908FB"/>
    <w:rsid w:val="00890902"/>
    <w:rsid w:val="00890971"/>
    <w:rsid w:val="00890987"/>
    <w:rsid w:val="008909AF"/>
    <w:rsid w:val="00890A17"/>
    <w:rsid w:val="00890A62"/>
    <w:rsid w:val="00890A68"/>
    <w:rsid w:val="00890A7C"/>
    <w:rsid w:val="00890B7C"/>
    <w:rsid w:val="00890BCC"/>
    <w:rsid w:val="00890BD1"/>
    <w:rsid w:val="00890CB7"/>
    <w:rsid w:val="00890D39"/>
    <w:rsid w:val="00890E8A"/>
    <w:rsid w:val="00891081"/>
    <w:rsid w:val="0089108D"/>
    <w:rsid w:val="008910B5"/>
    <w:rsid w:val="00891117"/>
    <w:rsid w:val="008912DA"/>
    <w:rsid w:val="00891467"/>
    <w:rsid w:val="008915CE"/>
    <w:rsid w:val="008915D1"/>
    <w:rsid w:val="00891652"/>
    <w:rsid w:val="008916EE"/>
    <w:rsid w:val="0089189E"/>
    <w:rsid w:val="00891986"/>
    <w:rsid w:val="00891A16"/>
    <w:rsid w:val="00891B9B"/>
    <w:rsid w:val="00891D5A"/>
    <w:rsid w:val="00891D65"/>
    <w:rsid w:val="00891DCB"/>
    <w:rsid w:val="00891E53"/>
    <w:rsid w:val="00891EB4"/>
    <w:rsid w:val="00891F48"/>
    <w:rsid w:val="008920EB"/>
    <w:rsid w:val="00892175"/>
    <w:rsid w:val="0089237D"/>
    <w:rsid w:val="008923DA"/>
    <w:rsid w:val="00892550"/>
    <w:rsid w:val="00892586"/>
    <w:rsid w:val="00892613"/>
    <w:rsid w:val="0089266C"/>
    <w:rsid w:val="008928A0"/>
    <w:rsid w:val="00892919"/>
    <w:rsid w:val="00892930"/>
    <w:rsid w:val="00892D51"/>
    <w:rsid w:val="00892E06"/>
    <w:rsid w:val="00892E62"/>
    <w:rsid w:val="00892F7D"/>
    <w:rsid w:val="00892FFA"/>
    <w:rsid w:val="0089315F"/>
    <w:rsid w:val="0089317B"/>
    <w:rsid w:val="0089339F"/>
    <w:rsid w:val="00893455"/>
    <w:rsid w:val="0089349D"/>
    <w:rsid w:val="00893552"/>
    <w:rsid w:val="008935E5"/>
    <w:rsid w:val="0089361F"/>
    <w:rsid w:val="0089367D"/>
    <w:rsid w:val="008937CB"/>
    <w:rsid w:val="008938E2"/>
    <w:rsid w:val="008938EB"/>
    <w:rsid w:val="008938F7"/>
    <w:rsid w:val="008939D1"/>
    <w:rsid w:val="00893A9A"/>
    <w:rsid w:val="00893B01"/>
    <w:rsid w:val="00893B2C"/>
    <w:rsid w:val="00893B6D"/>
    <w:rsid w:val="00893BC0"/>
    <w:rsid w:val="00893DFA"/>
    <w:rsid w:val="00893FFC"/>
    <w:rsid w:val="0089403B"/>
    <w:rsid w:val="00894131"/>
    <w:rsid w:val="00894166"/>
    <w:rsid w:val="008941BE"/>
    <w:rsid w:val="008941E3"/>
    <w:rsid w:val="00894339"/>
    <w:rsid w:val="00894353"/>
    <w:rsid w:val="00894401"/>
    <w:rsid w:val="00894422"/>
    <w:rsid w:val="0089444D"/>
    <w:rsid w:val="00894581"/>
    <w:rsid w:val="00894592"/>
    <w:rsid w:val="008945D4"/>
    <w:rsid w:val="00894612"/>
    <w:rsid w:val="0089468A"/>
    <w:rsid w:val="00894880"/>
    <w:rsid w:val="008948FD"/>
    <w:rsid w:val="0089491B"/>
    <w:rsid w:val="0089491E"/>
    <w:rsid w:val="00894A67"/>
    <w:rsid w:val="00894A70"/>
    <w:rsid w:val="00894AE4"/>
    <w:rsid w:val="00894BD7"/>
    <w:rsid w:val="00894C24"/>
    <w:rsid w:val="00894D23"/>
    <w:rsid w:val="00894F9E"/>
    <w:rsid w:val="0089501E"/>
    <w:rsid w:val="00895259"/>
    <w:rsid w:val="008952A4"/>
    <w:rsid w:val="00895328"/>
    <w:rsid w:val="008953C1"/>
    <w:rsid w:val="008954E5"/>
    <w:rsid w:val="008954EB"/>
    <w:rsid w:val="008954F0"/>
    <w:rsid w:val="008955DC"/>
    <w:rsid w:val="0089569C"/>
    <w:rsid w:val="008956FE"/>
    <w:rsid w:val="008957A5"/>
    <w:rsid w:val="008957F8"/>
    <w:rsid w:val="0089596D"/>
    <w:rsid w:val="008959EE"/>
    <w:rsid w:val="00895AC6"/>
    <w:rsid w:val="00895B3D"/>
    <w:rsid w:val="00895C42"/>
    <w:rsid w:val="00895C47"/>
    <w:rsid w:val="00895C65"/>
    <w:rsid w:val="00895D53"/>
    <w:rsid w:val="00895D73"/>
    <w:rsid w:val="00895D75"/>
    <w:rsid w:val="00895E0F"/>
    <w:rsid w:val="00895E19"/>
    <w:rsid w:val="00895E95"/>
    <w:rsid w:val="00895EF9"/>
    <w:rsid w:val="00895F4E"/>
    <w:rsid w:val="0089606A"/>
    <w:rsid w:val="0089620C"/>
    <w:rsid w:val="008963E1"/>
    <w:rsid w:val="00896507"/>
    <w:rsid w:val="00896595"/>
    <w:rsid w:val="0089667E"/>
    <w:rsid w:val="00896721"/>
    <w:rsid w:val="0089679A"/>
    <w:rsid w:val="008967F2"/>
    <w:rsid w:val="00896AEE"/>
    <w:rsid w:val="00896B7E"/>
    <w:rsid w:val="00896B9A"/>
    <w:rsid w:val="00896BA4"/>
    <w:rsid w:val="00896BFC"/>
    <w:rsid w:val="00896FBA"/>
    <w:rsid w:val="00896FF1"/>
    <w:rsid w:val="00897015"/>
    <w:rsid w:val="008972D0"/>
    <w:rsid w:val="008973E1"/>
    <w:rsid w:val="00897451"/>
    <w:rsid w:val="008974F0"/>
    <w:rsid w:val="0089752D"/>
    <w:rsid w:val="0089758F"/>
    <w:rsid w:val="008976D4"/>
    <w:rsid w:val="00897770"/>
    <w:rsid w:val="00897A6F"/>
    <w:rsid w:val="00897B11"/>
    <w:rsid w:val="00897CF3"/>
    <w:rsid w:val="00897D11"/>
    <w:rsid w:val="00897E36"/>
    <w:rsid w:val="00897E3A"/>
    <w:rsid w:val="00897ECA"/>
    <w:rsid w:val="00897F25"/>
    <w:rsid w:val="00897F54"/>
    <w:rsid w:val="00897FA3"/>
    <w:rsid w:val="00897FC5"/>
    <w:rsid w:val="008A007E"/>
    <w:rsid w:val="008A0139"/>
    <w:rsid w:val="008A01CE"/>
    <w:rsid w:val="008A0293"/>
    <w:rsid w:val="008A02C0"/>
    <w:rsid w:val="008A03D1"/>
    <w:rsid w:val="008A0414"/>
    <w:rsid w:val="008A0668"/>
    <w:rsid w:val="008A0688"/>
    <w:rsid w:val="008A08F9"/>
    <w:rsid w:val="008A0AAB"/>
    <w:rsid w:val="008A0B21"/>
    <w:rsid w:val="008A0C29"/>
    <w:rsid w:val="008A0EBA"/>
    <w:rsid w:val="008A11D1"/>
    <w:rsid w:val="008A1251"/>
    <w:rsid w:val="008A1268"/>
    <w:rsid w:val="008A133B"/>
    <w:rsid w:val="008A1379"/>
    <w:rsid w:val="008A140E"/>
    <w:rsid w:val="008A1460"/>
    <w:rsid w:val="008A14A4"/>
    <w:rsid w:val="008A14BD"/>
    <w:rsid w:val="008A164F"/>
    <w:rsid w:val="008A1742"/>
    <w:rsid w:val="008A17F3"/>
    <w:rsid w:val="008A1865"/>
    <w:rsid w:val="008A18C4"/>
    <w:rsid w:val="008A19A5"/>
    <w:rsid w:val="008A1A36"/>
    <w:rsid w:val="008A1B82"/>
    <w:rsid w:val="008A1C56"/>
    <w:rsid w:val="008A1D29"/>
    <w:rsid w:val="008A1DCA"/>
    <w:rsid w:val="008A1E82"/>
    <w:rsid w:val="008A1F13"/>
    <w:rsid w:val="008A1F97"/>
    <w:rsid w:val="008A208F"/>
    <w:rsid w:val="008A22E9"/>
    <w:rsid w:val="008A245F"/>
    <w:rsid w:val="008A25CF"/>
    <w:rsid w:val="008A26EA"/>
    <w:rsid w:val="008A29D0"/>
    <w:rsid w:val="008A2BEA"/>
    <w:rsid w:val="008A2CB3"/>
    <w:rsid w:val="008A2D41"/>
    <w:rsid w:val="008A2E83"/>
    <w:rsid w:val="008A2F42"/>
    <w:rsid w:val="008A2FB5"/>
    <w:rsid w:val="008A300A"/>
    <w:rsid w:val="008A30E8"/>
    <w:rsid w:val="008A311A"/>
    <w:rsid w:val="008A328D"/>
    <w:rsid w:val="008A335D"/>
    <w:rsid w:val="008A338C"/>
    <w:rsid w:val="008A355C"/>
    <w:rsid w:val="008A384D"/>
    <w:rsid w:val="008A3878"/>
    <w:rsid w:val="008A3922"/>
    <w:rsid w:val="008A3BAE"/>
    <w:rsid w:val="008A3CAA"/>
    <w:rsid w:val="008A3D49"/>
    <w:rsid w:val="008A3E08"/>
    <w:rsid w:val="008A3E2F"/>
    <w:rsid w:val="008A3E68"/>
    <w:rsid w:val="008A3E78"/>
    <w:rsid w:val="008A3F7E"/>
    <w:rsid w:val="008A409D"/>
    <w:rsid w:val="008A411F"/>
    <w:rsid w:val="008A426D"/>
    <w:rsid w:val="008A4280"/>
    <w:rsid w:val="008A4356"/>
    <w:rsid w:val="008A4363"/>
    <w:rsid w:val="008A43C5"/>
    <w:rsid w:val="008A4557"/>
    <w:rsid w:val="008A45F6"/>
    <w:rsid w:val="008A45F8"/>
    <w:rsid w:val="008A46EE"/>
    <w:rsid w:val="008A4766"/>
    <w:rsid w:val="008A4A45"/>
    <w:rsid w:val="008A4A9C"/>
    <w:rsid w:val="008A4B86"/>
    <w:rsid w:val="008A4CBC"/>
    <w:rsid w:val="008A4CD9"/>
    <w:rsid w:val="008A4DE0"/>
    <w:rsid w:val="008A4F73"/>
    <w:rsid w:val="008A4FAA"/>
    <w:rsid w:val="008A5232"/>
    <w:rsid w:val="008A5294"/>
    <w:rsid w:val="008A5302"/>
    <w:rsid w:val="008A534C"/>
    <w:rsid w:val="008A5401"/>
    <w:rsid w:val="008A5607"/>
    <w:rsid w:val="008A5617"/>
    <w:rsid w:val="008A5667"/>
    <w:rsid w:val="008A568F"/>
    <w:rsid w:val="008A56D8"/>
    <w:rsid w:val="008A56DB"/>
    <w:rsid w:val="008A582A"/>
    <w:rsid w:val="008A584D"/>
    <w:rsid w:val="008A58B0"/>
    <w:rsid w:val="008A5AC9"/>
    <w:rsid w:val="008A5ADF"/>
    <w:rsid w:val="008A5BBB"/>
    <w:rsid w:val="008A5C0A"/>
    <w:rsid w:val="008A5CD9"/>
    <w:rsid w:val="008A5D9F"/>
    <w:rsid w:val="008A5E68"/>
    <w:rsid w:val="008A5E92"/>
    <w:rsid w:val="008A5F12"/>
    <w:rsid w:val="008A605E"/>
    <w:rsid w:val="008A62F3"/>
    <w:rsid w:val="008A631D"/>
    <w:rsid w:val="008A6328"/>
    <w:rsid w:val="008A644B"/>
    <w:rsid w:val="008A6535"/>
    <w:rsid w:val="008A653B"/>
    <w:rsid w:val="008A65EB"/>
    <w:rsid w:val="008A68F2"/>
    <w:rsid w:val="008A6A84"/>
    <w:rsid w:val="008A6A9C"/>
    <w:rsid w:val="008A6B05"/>
    <w:rsid w:val="008A6B58"/>
    <w:rsid w:val="008A6B7E"/>
    <w:rsid w:val="008A6D91"/>
    <w:rsid w:val="008A6F22"/>
    <w:rsid w:val="008A737E"/>
    <w:rsid w:val="008A73F3"/>
    <w:rsid w:val="008A7465"/>
    <w:rsid w:val="008A7B10"/>
    <w:rsid w:val="008A7B90"/>
    <w:rsid w:val="008A7D84"/>
    <w:rsid w:val="008A7E3F"/>
    <w:rsid w:val="008A7FC5"/>
    <w:rsid w:val="008B007B"/>
    <w:rsid w:val="008B012F"/>
    <w:rsid w:val="008B0223"/>
    <w:rsid w:val="008B022D"/>
    <w:rsid w:val="008B0341"/>
    <w:rsid w:val="008B0402"/>
    <w:rsid w:val="008B0422"/>
    <w:rsid w:val="008B0653"/>
    <w:rsid w:val="008B0990"/>
    <w:rsid w:val="008B09A3"/>
    <w:rsid w:val="008B0A16"/>
    <w:rsid w:val="008B0AEE"/>
    <w:rsid w:val="008B0B88"/>
    <w:rsid w:val="008B0C3C"/>
    <w:rsid w:val="008B0D84"/>
    <w:rsid w:val="008B0DE6"/>
    <w:rsid w:val="008B0DF6"/>
    <w:rsid w:val="008B0EA4"/>
    <w:rsid w:val="008B0F0E"/>
    <w:rsid w:val="008B0F2F"/>
    <w:rsid w:val="008B0FDF"/>
    <w:rsid w:val="008B150A"/>
    <w:rsid w:val="008B1595"/>
    <w:rsid w:val="008B162C"/>
    <w:rsid w:val="008B1730"/>
    <w:rsid w:val="008B1982"/>
    <w:rsid w:val="008B1AE8"/>
    <w:rsid w:val="008B1B73"/>
    <w:rsid w:val="008B1D1F"/>
    <w:rsid w:val="008B1DDD"/>
    <w:rsid w:val="008B1E28"/>
    <w:rsid w:val="008B1F16"/>
    <w:rsid w:val="008B211D"/>
    <w:rsid w:val="008B220E"/>
    <w:rsid w:val="008B226C"/>
    <w:rsid w:val="008B233A"/>
    <w:rsid w:val="008B2402"/>
    <w:rsid w:val="008B2512"/>
    <w:rsid w:val="008B2555"/>
    <w:rsid w:val="008B28D6"/>
    <w:rsid w:val="008B2BA6"/>
    <w:rsid w:val="008B2CD0"/>
    <w:rsid w:val="008B2E01"/>
    <w:rsid w:val="008B2F27"/>
    <w:rsid w:val="008B32F8"/>
    <w:rsid w:val="008B3407"/>
    <w:rsid w:val="008B35D9"/>
    <w:rsid w:val="008B37A9"/>
    <w:rsid w:val="008B38F2"/>
    <w:rsid w:val="008B39BF"/>
    <w:rsid w:val="008B3B88"/>
    <w:rsid w:val="008B3BD2"/>
    <w:rsid w:val="008B3DAF"/>
    <w:rsid w:val="008B3E43"/>
    <w:rsid w:val="008B3EA3"/>
    <w:rsid w:val="008B3FE9"/>
    <w:rsid w:val="008B40CB"/>
    <w:rsid w:val="008B4199"/>
    <w:rsid w:val="008B41C6"/>
    <w:rsid w:val="008B42D0"/>
    <w:rsid w:val="008B4338"/>
    <w:rsid w:val="008B4364"/>
    <w:rsid w:val="008B44A1"/>
    <w:rsid w:val="008B44AE"/>
    <w:rsid w:val="008B45C5"/>
    <w:rsid w:val="008B460D"/>
    <w:rsid w:val="008B461D"/>
    <w:rsid w:val="008B4622"/>
    <w:rsid w:val="008B47BE"/>
    <w:rsid w:val="008B49E1"/>
    <w:rsid w:val="008B4A02"/>
    <w:rsid w:val="008B4ADF"/>
    <w:rsid w:val="008B4D2C"/>
    <w:rsid w:val="008B4D88"/>
    <w:rsid w:val="008B4F64"/>
    <w:rsid w:val="008B5071"/>
    <w:rsid w:val="008B512A"/>
    <w:rsid w:val="008B517C"/>
    <w:rsid w:val="008B5193"/>
    <w:rsid w:val="008B51F4"/>
    <w:rsid w:val="008B528E"/>
    <w:rsid w:val="008B52EA"/>
    <w:rsid w:val="008B530E"/>
    <w:rsid w:val="008B53C5"/>
    <w:rsid w:val="008B549F"/>
    <w:rsid w:val="008B55A8"/>
    <w:rsid w:val="008B561A"/>
    <w:rsid w:val="008B5663"/>
    <w:rsid w:val="008B570A"/>
    <w:rsid w:val="008B57C3"/>
    <w:rsid w:val="008B583D"/>
    <w:rsid w:val="008B58F4"/>
    <w:rsid w:val="008B5A47"/>
    <w:rsid w:val="008B5A48"/>
    <w:rsid w:val="008B5B04"/>
    <w:rsid w:val="008B5BBF"/>
    <w:rsid w:val="008B5C8A"/>
    <w:rsid w:val="008B5CD1"/>
    <w:rsid w:val="008B5D41"/>
    <w:rsid w:val="008B5E55"/>
    <w:rsid w:val="008B5F34"/>
    <w:rsid w:val="008B5FF6"/>
    <w:rsid w:val="008B6063"/>
    <w:rsid w:val="008B606A"/>
    <w:rsid w:val="008B61DB"/>
    <w:rsid w:val="008B62C6"/>
    <w:rsid w:val="008B6380"/>
    <w:rsid w:val="008B6448"/>
    <w:rsid w:val="008B664B"/>
    <w:rsid w:val="008B669E"/>
    <w:rsid w:val="008B66B7"/>
    <w:rsid w:val="008B6757"/>
    <w:rsid w:val="008B6774"/>
    <w:rsid w:val="008B6BEA"/>
    <w:rsid w:val="008B6C31"/>
    <w:rsid w:val="008B6C41"/>
    <w:rsid w:val="008B6C7F"/>
    <w:rsid w:val="008B6E5B"/>
    <w:rsid w:val="008B6F35"/>
    <w:rsid w:val="008B6F3D"/>
    <w:rsid w:val="008B702B"/>
    <w:rsid w:val="008B71C2"/>
    <w:rsid w:val="008B7206"/>
    <w:rsid w:val="008B7221"/>
    <w:rsid w:val="008B747E"/>
    <w:rsid w:val="008B7516"/>
    <w:rsid w:val="008B7596"/>
    <w:rsid w:val="008B76D5"/>
    <w:rsid w:val="008B7818"/>
    <w:rsid w:val="008B78DE"/>
    <w:rsid w:val="008B7955"/>
    <w:rsid w:val="008B7A09"/>
    <w:rsid w:val="008B7AFF"/>
    <w:rsid w:val="008B7C36"/>
    <w:rsid w:val="008B7C8A"/>
    <w:rsid w:val="008B7D18"/>
    <w:rsid w:val="008B7F00"/>
    <w:rsid w:val="008B7F59"/>
    <w:rsid w:val="008C00AD"/>
    <w:rsid w:val="008C0194"/>
    <w:rsid w:val="008C01AE"/>
    <w:rsid w:val="008C0269"/>
    <w:rsid w:val="008C0458"/>
    <w:rsid w:val="008C0733"/>
    <w:rsid w:val="008C07C2"/>
    <w:rsid w:val="008C07EA"/>
    <w:rsid w:val="008C098F"/>
    <w:rsid w:val="008C0AD3"/>
    <w:rsid w:val="008C0B1D"/>
    <w:rsid w:val="008C0C35"/>
    <w:rsid w:val="008C0C80"/>
    <w:rsid w:val="008C0C83"/>
    <w:rsid w:val="008C0D5A"/>
    <w:rsid w:val="008C0E19"/>
    <w:rsid w:val="008C0F04"/>
    <w:rsid w:val="008C0F70"/>
    <w:rsid w:val="008C0FA9"/>
    <w:rsid w:val="008C0FF3"/>
    <w:rsid w:val="008C10C1"/>
    <w:rsid w:val="008C10DE"/>
    <w:rsid w:val="008C111F"/>
    <w:rsid w:val="008C1198"/>
    <w:rsid w:val="008C12C4"/>
    <w:rsid w:val="008C147C"/>
    <w:rsid w:val="008C14DF"/>
    <w:rsid w:val="008C1681"/>
    <w:rsid w:val="008C1880"/>
    <w:rsid w:val="008C1985"/>
    <w:rsid w:val="008C19A6"/>
    <w:rsid w:val="008C19F4"/>
    <w:rsid w:val="008C19FE"/>
    <w:rsid w:val="008C1C38"/>
    <w:rsid w:val="008C1C55"/>
    <w:rsid w:val="008C1D34"/>
    <w:rsid w:val="008C1D53"/>
    <w:rsid w:val="008C1FB7"/>
    <w:rsid w:val="008C206E"/>
    <w:rsid w:val="008C220E"/>
    <w:rsid w:val="008C236F"/>
    <w:rsid w:val="008C239C"/>
    <w:rsid w:val="008C241A"/>
    <w:rsid w:val="008C247F"/>
    <w:rsid w:val="008C24A4"/>
    <w:rsid w:val="008C254B"/>
    <w:rsid w:val="008C25E2"/>
    <w:rsid w:val="008C26A5"/>
    <w:rsid w:val="008C272E"/>
    <w:rsid w:val="008C2808"/>
    <w:rsid w:val="008C2812"/>
    <w:rsid w:val="008C2816"/>
    <w:rsid w:val="008C28C4"/>
    <w:rsid w:val="008C2AE8"/>
    <w:rsid w:val="008C2BD1"/>
    <w:rsid w:val="008C2C66"/>
    <w:rsid w:val="008C2CF2"/>
    <w:rsid w:val="008C2D1F"/>
    <w:rsid w:val="008C2F9A"/>
    <w:rsid w:val="008C30AE"/>
    <w:rsid w:val="008C31E2"/>
    <w:rsid w:val="008C3351"/>
    <w:rsid w:val="008C3372"/>
    <w:rsid w:val="008C337A"/>
    <w:rsid w:val="008C349E"/>
    <w:rsid w:val="008C34A3"/>
    <w:rsid w:val="008C34E7"/>
    <w:rsid w:val="008C364B"/>
    <w:rsid w:val="008C36FC"/>
    <w:rsid w:val="008C3740"/>
    <w:rsid w:val="008C3789"/>
    <w:rsid w:val="008C3AA6"/>
    <w:rsid w:val="008C3AC9"/>
    <w:rsid w:val="008C3B1E"/>
    <w:rsid w:val="008C3BCA"/>
    <w:rsid w:val="008C3CD9"/>
    <w:rsid w:val="008C3CE0"/>
    <w:rsid w:val="008C3E0D"/>
    <w:rsid w:val="008C3E9A"/>
    <w:rsid w:val="008C3F70"/>
    <w:rsid w:val="008C3FC2"/>
    <w:rsid w:val="008C40D3"/>
    <w:rsid w:val="008C412F"/>
    <w:rsid w:val="008C4185"/>
    <w:rsid w:val="008C41CF"/>
    <w:rsid w:val="008C442B"/>
    <w:rsid w:val="008C452A"/>
    <w:rsid w:val="008C4593"/>
    <w:rsid w:val="008C4649"/>
    <w:rsid w:val="008C46F9"/>
    <w:rsid w:val="008C47FE"/>
    <w:rsid w:val="008C480A"/>
    <w:rsid w:val="008C4812"/>
    <w:rsid w:val="008C4829"/>
    <w:rsid w:val="008C48FA"/>
    <w:rsid w:val="008C4966"/>
    <w:rsid w:val="008C4A96"/>
    <w:rsid w:val="008C4C21"/>
    <w:rsid w:val="008C4CCD"/>
    <w:rsid w:val="008C4DE1"/>
    <w:rsid w:val="008C4EFA"/>
    <w:rsid w:val="008C4F4B"/>
    <w:rsid w:val="008C51FA"/>
    <w:rsid w:val="008C5276"/>
    <w:rsid w:val="008C530D"/>
    <w:rsid w:val="008C5339"/>
    <w:rsid w:val="008C550A"/>
    <w:rsid w:val="008C557D"/>
    <w:rsid w:val="008C566B"/>
    <w:rsid w:val="008C569C"/>
    <w:rsid w:val="008C56A3"/>
    <w:rsid w:val="008C570D"/>
    <w:rsid w:val="008C5885"/>
    <w:rsid w:val="008C5A8E"/>
    <w:rsid w:val="008C5B24"/>
    <w:rsid w:val="008C5CCF"/>
    <w:rsid w:val="008C5FA1"/>
    <w:rsid w:val="008C609D"/>
    <w:rsid w:val="008C611C"/>
    <w:rsid w:val="008C615D"/>
    <w:rsid w:val="008C6168"/>
    <w:rsid w:val="008C617D"/>
    <w:rsid w:val="008C61AF"/>
    <w:rsid w:val="008C624C"/>
    <w:rsid w:val="008C63E5"/>
    <w:rsid w:val="008C6430"/>
    <w:rsid w:val="008C6541"/>
    <w:rsid w:val="008C6901"/>
    <w:rsid w:val="008C69B8"/>
    <w:rsid w:val="008C6A74"/>
    <w:rsid w:val="008C6A8B"/>
    <w:rsid w:val="008C6B5E"/>
    <w:rsid w:val="008C6CB5"/>
    <w:rsid w:val="008C6D16"/>
    <w:rsid w:val="008C6D89"/>
    <w:rsid w:val="008C6DFB"/>
    <w:rsid w:val="008C6EB3"/>
    <w:rsid w:val="008C7080"/>
    <w:rsid w:val="008C7124"/>
    <w:rsid w:val="008C718D"/>
    <w:rsid w:val="008C71C1"/>
    <w:rsid w:val="008C73F2"/>
    <w:rsid w:val="008C740B"/>
    <w:rsid w:val="008C759E"/>
    <w:rsid w:val="008C7656"/>
    <w:rsid w:val="008C7662"/>
    <w:rsid w:val="008C770F"/>
    <w:rsid w:val="008C772B"/>
    <w:rsid w:val="008C7733"/>
    <w:rsid w:val="008C780B"/>
    <w:rsid w:val="008C7893"/>
    <w:rsid w:val="008C7999"/>
    <w:rsid w:val="008C7A51"/>
    <w:rsid w:val="008C7C2B"/>
    <w:rsid w:val="008C7DA1"/>
    <w:rsid w:val="008C7DB5"/>
    <w:rsid w:val="008C7DE5"/>
    <w:rsid w:val="008C7E10"/>
    <w:rsid w:val="008C7E70"/>
    <w:rsid w:val="008C7E7C"/>
    <w:rsid w:val="008C7EC0"/>
    <w:rsid w:val="008C7EFF"/>
    <w:rsid w:val="008C7F42"/>
    <w:rsid w:val="008D0095"/>
    <w:rsid w:val="008D00A1"/>
    <w:rsid w:val="008D02B2"/>
    <w:rsid w:val="008D02BC"/>
    <w:rsid w:val="008D02D4"/>
    <w:rsid w:val="008D0527"/>
    <w:rsid w:val="008D0597"/>
    <w:rsid w:val="008D05CF"/>
    <w:rsid w:val="008D06E7"/>
    <w:rsid w:val="008D0906"/>
    <w:rsid w:val="008D0964"/>
    <w:rsid w:val="008D0B64"/>
    <w:rsid w:val="008D0BC4"/>
    <w:rsid w:val="008D0BDC"/>
    <w:rsid w:val="008D0D1A"/>
    <w:rsid w:val="008D0D4B"/>
    <w:rsid w:val="008D0DD9"/>
    <w:rsid w:val="008D0E06"/>
    <w:rsid w:val="008D0E6D"/>
    <w:rsid w:val="008D0FD9"/>
    <w:rsid w:val="008D115B"/>
    <w:rsid w:val="008D11D3"/>
    <w:rsid w:val="008D13FA"/>
    <w:rsid w:val="008D1419"/>
    <w:rsid w:val="008D16C2"/>
    <w:rsid w:val="008D1772"/>
    <w:rsid w:val="008D18FB"/>
    <w:rsid w:val="008D1A0F"/>
    <w:rsid w:val="008D1A11"/>
    <w:rsid w:val="008D1A55"/>
    <w:rsid w:val="008D1A79"/>
    <w:rsid w:val="008D1B29"/>
    <w:rsid w:val="008D1BEA"/>
    <w:rsid w:val="008D1C49"/>
    <w:rsid w:val="008D1D07"/>
    <w:rsid w:val="008D1E20"/>
    <w:rsid w:val="008D1F30"/>
    <w:rsid w:val="008D1F38"/>
    <w:rsid w:val="008D1F73"/>
    <w:rsid w:val="008D2083"/>
    <w:rsid w:val="008D2090"/>
    <w:rsid w:val="008D20AA"/>
    <w:rsid w:val="008D2249"/>
    <w:rsid w:val="008D22EC"/>
    <w:rsid w:val="008D24B8"/>
    <w:rsid w:val="008D2502"/>
    <w:rsid w:val="008D2593"/>
    <w:rsid w:val="008D25B0"/>
    <w:rsid w:val="008D2641"/>
    <w:rsid w:val="008D27A2"/>
    <w:rsid w:val="008D27C0"/>
    <w:rsid w:val="008D27FD"/>
    <w:rsid w:val="008D28F9"/>
    <w:rsid w:val="008D2942"/>
    <w:rsid w:val="008D295D"/>
    <w:rsid w:val="008D2B11"/>
    <w:rsid w:val="008D2BAF"/>
    <w:rsid w:val="008D2D50"/>
    <w:rsid w:val="008D2D58"/>
    <w:rsid w:val="008D2E30"/>
    <w:rsid w:val="008D2E32"/>
    <w:rsid w:val="008D2E65"/>
    <w:rsid w:val="008D2E81"/>
    <w:rsid w:val="008D3014"/>
    <w:rsid w:val="008D3040"/>
    <w:rsid w:val="008D3081"/>
    <w:rsid w:val="008D310A"/>
    <w:rsid w:val="008D32B5"/>
    <w:rsid w:val="008D33D1"/>
    <w:rsid w:val="008D341D"/>
    <w:rsid w:val="008D3445"/>
    <w:rsid w:val="008D34CA"/>
    <w:rsid w:val="008D3542"/>
    <w:rsid w:val="008D369F"/>
    <w:rsid w:val="008D36E7"/>
    <w:rsid w:val="008D385F"/>
    <w:rsid w:val="008D39C2"/>
    <w:rsid w:val="008D3A9E"/>
    <w:rsid w:val="008D3B1F"/>
    <w:rsid w:val="008D3B55"/>
    <w:rsid w:val="008D3B64"/>
    <w:rsid w:val="008D3BA2"/>
    <w:rsid w:val="008D3BAA"/>
    <w:rsid w:val="008D3DE7"/>
    <w:rsid w:val="008D3DF4"/>
    <w:rsid w:val="008D3F06"/>
    <w:rsid w:val="008D4004"/>
    <w:rsid w:val="008D4051"/>
    <w:rsid w:val="008D40B7"/>
    <w:rsid w:val="008D40BA"/>
    <w:rsid w:val="008D4201"/>
    <w:rsid w:val="008D4215"/>
    <w:rsid w:val="008D4289"/>
    <w:rsid w:val="008D42BB"/>
    <w:rsid w:val="008D42E7"/>
    <w:rsid w:val="008D46BA"/>
    <w:rsid w:val="008D46FA"/>
    <w:rsid w:val="008D4936"/>
    <w:rsid w:val="008D49E3"/>
    <w:rsid w:val="008D4A30"/>
    <w:rsid w:val="008D4A60"/>
    <w:rsid w:val="008D4B06"/>
    <w:rsid w:val="008D4B46"/>
    <w:rsid w:val="008D4B4F"/>
    <w:rsid w:val="008D4C43"/>
    <w:rsid w:val="008D4C8E"/>
    <w:rsid w:val="008D4CB7"/>
    <w:rsid w:val="008D4CEC"/>
    <w:rsid w:val="008D4F51"/>
    <w:rsid w:val="008D5085"/>
    <w:rsid w:val="008D51AE"/>
    <w:rsid w:val="008D5245"/>
    <w:rsid w:val="008D5255"/>
    <w:rsid w:val="008D5280"/>
    <w:rsid w:val="008D5345"/>
    <w:rsid w:val="008D53E4"/>
    <w:rsid w:val="008D5518"/>
    <w:rsid w:val="008D55E6"/>
    <w:rsid w:val="008D575B"/>
    <w:rsid w:val="008D58CE"/>
    <w:rsid w:val="008D58D9"/>
    <w:rsid w:val="008D5A05"/>
    <w:rsid w:val="008D5A5D"/>
    <w:rsid w:val="008D5AF3"/>
    <w:rsid w:val="008D5C9C"/>
    <w:rsid w:val="008D5D4A"/>
    <w:rsid w:val="008D5DFA"/>
    <w:rsid w:val="008D5F3C"/>
    <w:rsid w:val="008D6048"/>
    <w:rsid w:val="008D60B6"/>
    <w:rsid w:val="008D6356"/>
    <w:rsid w:val="008D644D"/>
    <w:rsid w:val="008D64B0"/>
    <w:rsid w:val="008D658B"/>
    <w:rsid w:val="008D65BF"/>
    <w:rsid w:val="008D6663"/>
    <w:rsid w:val="008D6686"/>
    <w:rsid w:val="008D67F7"/>
    <w:rsid w:val="008D697E"/>
    <w:rsid w:val="008D6A9E"/>
    <w:rsid w:val="008D6B8F"/>
    <w:rsid w:val="008D6BCB"/>
    <w:rsid w:val="008D6CA0"/>
    <w:rsid w:val="008D6D5E"/>
    <w:rsid w:val="008D6D63"/>
    <w:rsid w:val="008D6F9B"/>
    <w:rsid w:val="008D704B"/>
    <w:rsid w:val="008D7067"/>
    <w:rsid w:val="008D70C9"/>
    <w:rsid w:val="008D714D"/>
    <w:rsid w:val="008D734F"/>
    <w:rsid w:val="008D7367"/>
    <w:rsid w:val="008D745B"/>
    <w:rsid w:val="008D74BA"/>
    <w:rsid w:val="008D74E1"/>
    <w:rsid w:val="008D7697"/>
    <w:rsid w:val="008D77C4"/>
    <w:rsid w:val="008D7912"/>
    <w:rsid w:val="008D79EE"/>
    <w:rsid w:val="008D7A1B"/>
    <w:rsid w:val="008D7A7B"/>
    <w:rsid w:val="008D7C22"/>
    <w:rsid w:val="008D7C67"/>
    <w:rsid w:val="008D7CEF"/>
    <w:rsid w:val="008D7D1F"/>
    <w:rsid w:val="008D7E17"/>
    <w:rsid w:val="008D7E55"/>
    <w:rsid w:val="008D7F78"/>
    <w:rsid w:val="008D7FAE"/>
    <w:rsid w:val="008E025D"/>
    <w:rsid w:val="008E0291"/>
    <w:rsid w:val="008E04BE"/>
    <w:rsid w:val="008E08BE"/>
    <w:rsid w:val="008E0916"/>
    <w:rsid w:val="008E09C0"/>
    <w:rsid w:val="008E09E8"/>
    <w:rsid w:val="008E0B47"/>
    <w:rsid w:val="008E0BDB"/>
    <w:rsid w:val="008E0DDA"/>
    <w:rsid w:val="008E0DE1"/>
    <w:rsid w:val="008E0EAB"/>
    <w:rsid w:val="008E0EBF"/>
    <w:rsid w:val="008E0EDA"/>
    <w:rsid w:val="008E0EE3"/>
    <w:rsid w:val="008E0F6D"/>
    <w:rsid w:val="008E0F8B"/>
    <w:rsid w:val="008E0F97"/>
    <w:rsid w:val="008E110C"/>
    <w:rsid w:val="008E121D"/>
    <w:rsid w:val="008E1262"/>
    <w:rsid w:val="008E12ED"/>
    <w:rsid w:val="008E13BF"/>
    <w:rsid w:val="008E1461"/>
    <w:rsid w:val="008E15F5"/>
    <w:rsid w:val="008E166B"/>
    <w:rsid w:val="008E16B3"/>
    <w:rsid w:val="008E16B6"/>
    <w:rsid w:val="008E16C7"/>
    <w:rsid w:val="008E1814"/>
    <w:rsid w:val="008E1843"/>
    <w:rsid w:val="008E19AD"/>
    <w:rsid w:val="008E1A5A"/>
    <w:rsid w:val="008E1BF3"/>
    <w:rsid w:val="008E1C6B"/>
    <w:rsid w:val="008E1C6D"/>
    <w:rsid w:val="008E1D50"/>
    <w:rsid w:val="008E1D5F"/>
    <w:rsid w:val="008E1D7C"/>
    <w:rsid w:val="008E1D92"/>
    <w:rsid w:val="008E2059"/>
    <w:rsid w:val="008E22AD"/>
    <w:rsid w:val="008E234C"/>
    <w:rsid w:val="008E25E7"/>
    <w:rsid w:val="008E260F"/>
    <w:rsid w:val="008E2624"/>
    <w:rsid w:val="008E263D"/>
    <w:rsid w:val="008E2773"/>
    <w:rsid w:val="008E29CB"/>
    <w:rsid w:val="008E2A8F"/>
    <w:rsid w:val="008E2AD9"/>
    <w:rsid w:val="008E2BDB"/>
    <w:rsid w:val="008E2D68"/>
    <w:rsid w:val="008E2EA6"/>
    <w:rsid w:val="008E2EE4"/>
    <w:rsid w:val="008E2F91"/>
    <w:rsid w:val="008E30DA"/>
    <w:rsid w:val="008E318F"/>
    <w:rsid w:val="008E31AA"/>
    <w:rsid w:val="008E31B9"/>
    <w:rsid w:val="008E3246"/>
    <w:rsid w:val="008E3255"/>
    <w:rsid w:val="008E325F"/>
    <w:rsid w:val="008E32FF"/>
    <w:rsid w:val="008E335A"/>
    <w:rsid w:val="008E336A"/>
    <w:rsid w:val="008E338F"/>
    <w:rsid w:val="008E33B4"/>
    <w:rsid w:val="008E33E1"/>
    <w:rsid w:val="008E36DC"/>
    <w:rsid w:val="008E3937"/>
    <w:rsid w:val="008E3975"/>
    <w:rsid w:val="008E3A39"/>
    <w:rsid w:val="008E3BDF"/>
    <w:rsid w:val="008E3C8F"/>
    <w:rsid w:val="008E3E09"/>
    <w:rsid w:val="008E3F6E"/>
    <w:rsid w:val="008E3FB2"/>
    <w:rsid w:val="008E3FC2"/>
    <w:rsid w:val="008E3FED"/>
    <w:rsid w:val="008E4012"/>
    <w:rsid w:val="008E4075"/>
    <w:rsid w:val="008E4149"/>
    <w:rsid w:val="008E41AA"/>
    <w:rsid w:val="008E41B1"/>
    <w:rsid w:val="008E41D5"/>
    <w:rsid w:val="008E4274"/>
    <w:rsid w:val="008E43AF"/>
    <w:rsid w:val="008E4433"/>
    <w:rsid w:val="008E443A"/>
    <w:rsid w:val="008E44C0"/>
    <w:rsid w:val="008E455A"/>
    <w:rsid w:val="008E464E"/>
    <w:rsid w:val="008E4709"/>
    <w:rsid w:val="008E47BE"/>
    <w:rsid w:val="008E4AF8"/>
    <w:rsid w:val="008E4C1D"/>
    <w:rsid w:val="008E4C8A"/>
    <w:rsid w:val="008E4D76"/>
    <w:rsid w:val="008E4DB4"/>
    <w:rsid w:val="008E4E1E"/>
    <w:rsid w:val="008E4F5F"/>
    <w:rsid w:val="008E4F71"/>
    <w:rsid w:val="008E50CB"/>
    <w:rsid w:val="008E50E0"/>
    <w:rsid w:val="008E5104"/>
    <w:rsid w:val="008E5241"/>
    <w:rsid w:val="008E5249"/>
    <w:rsid w:val="008E5267"/>
    <w:rsid w:val="008E5438"/>
    <w:rsid w:val="008E54E6"/>
    <w:rsid w:val="008E5552"/>
    <w:rsid w:val="008E56C3"/>
    <w:rsid w:val="008E570D"/>
    <w:rsid w:val="008E573B"/>
    <w:rsid w:val="008E5803"/>
    <w:rsid w:val="008E59A9"/>
    <w:rsid w:val="008E59FC"/>
    <w:rsid w:val="008E5A36"/>
    <w:rsid w:val="008E5B2E"/>
    <w:rsid w:val="008E5C51"/>
    <w:rsid w:val="008E5D13"/>
    <w:rsid w:val="008E5D52"/>
    <w:rsid w:val="008E5D7D"/>
    <w:rsid w:val="008E5F60"/>
    <w:rsid w:val="008E600A"/>
    <w:rsid w:val="008E615C"/>
    <w:rsid w:val="008E6210"/>
    <w:rsid w:val="008E6299"/>
    <w:rsid w:val="008E62D0"/>
    <w:rsid w:val="008E652B"/>
    <w:rsid w:val="008E6658"/>
    <w:rsid w:val="008E6706"/>
    <w:rsid w:val="008E6A0C"/>
    <w:rsid w:val="008E6AEE"/>
    <w:rsid w:val="008E6B74"/>
    <w:rsid w:val="008E6C66"/>
    <w:rsid w:val="008E6D27"/>
    <w:rsid w:val="008E6D39"/>
    <w:rsid w:val="008E6D5F"/>
    <w:rsid w:val="008E6FB4"/>
    <w:rsid w:val="008E70F0"/>
    <w:rsid w:val="008E71BD"/>
    <w:rsid w:val="008E7252"/>
    <w:rsid w:val="008E7277"/>
    <w:rsid w:val="008E73BC"/>
    <w:rsid w:val="008E74C5"/>
    <w:rsid w:val="008E766F"/>
    <w:rsid w:val="008E76D1"/>
    <w:rsid w:val="008E77A8"/>
    <w:rsid w:val="008E77B5"/>
    <w:rsid w:val="008E79E9"/>
    <w:rsid w:val="008E7A1E"/>
    <w:rsid w:val="008E7ADE"/>
    <w:rsid w:val="008E7BDB"/>
    <w:rsid w:val="008E7C4B"/>
    <w:rsid w:val="008E7DE7"/>
    <w:rsid w:val="008E7E75"/>
    <w:rsid w:val="008E7ED1"/>
    <w:rsid w:val="008E7F12"/>
    <w:rsid w:val="008E7FDF"/>
    <w:rsid w:val="008F007C"/>
    <w:rsid w:val="008F00D9"/>
    <w:rsid w:val="008F01DD"/>
    <w:rsid w:val="008F0214"/>
    <w:rsid w:val="008F034F"/>
    <w:rsid w:val="008F03B9"/>
    <w:rsid w:val="008F0410"/>
    <w:rsid w:val="008F063B"/>
    <w:rsid w:val="008F0674"/>
    <w:rsid w:val="008F073B"/>
    <w:rsid w:val="008F077B"/>
    <w:rsid w:val="008F09C7"/>
    <w:rsid w:val="008F09D5"/>
    <w:rsid w:val="008F0BE8"/>
    <w:rsid w:val="008F0BFF"/>
    <w:rsid w:val="008F0D72"/>
    <w:rsid w:val="008F0E9A"/>
    <w:rsid w:val="008F1063"/>
    <w:rsid w:val="008F1157"/>
    <w:rsid w:val="008F126B"/>
    <w:rsid w:val="008F12F6"/>
    <w:rsid w:val="008F1541"/>
    <w:rsid w:val="008F1635"/>
    <w:rsid w:val="008F163E"/>
    <w:rsid w:val="008F1724"/>
    <w:rsid w:val="008F18B1"/>
    <w:rsid w:val="008F18EC"/>
    <w:rsid w:val="008F1A2A"/>
    <w:rsid w:val="008F1A73"/>
    <w:rsid w:val="008F1CB7"/>
    <w:rsid w:val="008F1CC3"/>
    <w:rsid w:val="008F1E15"/>
    <w:rsid w:val="008F1F8E"/>
    <w:rsid w:val="008F1FD9"/>
    <w:rsid w:val="008F2141"/>
    <w:rsid w:val="008F215F"/>
    <w:rsid w:val="008F21A4"/>
    <w:rsid w:val="008F2253"/>
    <w:rsid w:val="008F22AD"/>
    <w:rsid w:val="008F22CE"/>
    <w:rsid w:val="008F2339"/>
    <w:rsid w:val="008F23BC"/>
    <w:rsid w:val="008F243E"/>
    <w:rsid w:val="008F257C"/>
    <w:rsid w:val="008F26ED"/>
    <w:rsid w:val="008F2871"/>
    <w:rsid w:val="008F28AC"/>
    <w:rsid w:val="008F292A"/>
    <w:rsid w:val="008F29FC"/>
    <w:rsid w:val="008F2AB7"/>
    <w:rsid w:val="008F2B16"/>
    <w:rsid w:val="008F2B34"/>
    <w:rsid w:val="008F2D60"/>
    <w:rsid w:val="008F2D66"/>
    <w:rsid w:val="008F2E3B"/>
    <w:rsid w:val="008F2E73"/>
    <w:rsid w:val="008F2E75"/>
    <w:rsid w:val="008F2EA6"/>
    <w:rsid w:val="008F30D1"/>
    <w:rsid w:val="008F316E"/>
    <w:rsid w:val="008F317C"/>
    <w:rsid w:val="008F318D"/>
    <w:rsid w:val="008F31A9"/>
    <w:rsid w:val="008F33A5"/>
    <w:rsid w:val="008F33E9"/>
    <w:rsid w:val="008F3477"/>
    <w:rsid w:val="008F347B"/>
    <w:rsid w:val="008F34B0"/>
    <w:rsid w:val="008F35F2"/>
    <w:rsid w:val="008F366D"/>
    <w:rsid w:val="008F3698"/>
    <w:rsid w:val="008F3728"/>
    <w:rsid w:val="008F3841"/>
    <w:rsid w:val="008F3860"/>
    <w:rsid w:val="008F395E"/>
    <w:rsid w:val="008F3985"/>
    <w:rsid w:val="008F39B3"/>
    <w:rsid w:val="008F3A0D"/>
    <w:rsid w:val="008F3BA6"/>
    <w:rsid w:val="008F3BD8"/>
    <w:rsid w:val="008F3BF8"/>
    <w:rsid w:val="008F3D3B"/>
    <w:rsid w:val="008F3D8F"/>
    <w:rsid w:val="008F3FF6"/>
    <w:rsid w:val="008F4024"/>
    <w:rsid w:val="008F4095"/>
    <w:rsid w:val="008F4213"/>
    <w:rsid w:val="008F42F7"/>
    <w:rsid w:val="008F4322"/>
    <w:rsid w:val="008F4382"/>
    <w:rsid w:val="008F43AC"/>
    <w:rsid w:val="008F44C9"/>
    <w:rsid w:val="008F452D"/>
    <w:rsid w:val="008F4929"/>
    <w:rsid w:val="008F49C0"/>
    <w:rsid w:val="008F4A43"/>
    <w:rsid w:val="008F4B03"/>
    <w:rsid w:val="008F4B38"/>
    <w:rsid w:val="008F4B5B"/>
    <w:rsid w:val="008F4DAE"/>
    <w:rsid w:val="008F4E63"/>
    <w:rsid w:val="008F4E79"/>
    <w:rsid w:val="008F4E8A"/>
    <w:rsid w:val="008F4EF5"/>
    <w:rsid w:val="008F4F72"/>
    <w:rsid w:val="008F502C"/>
    <w:rsid w:val="008F50F0"/>
    <w:rsid w:val="008F5149"/>
    <w:rsid w:val="008F5184"/>
    <w:rsid w:val="008F523F"/>
    <w:rsid w:val="008F5292"/>
    <w:rsid w:val="008F5349"/>
    <w:rsid w:val="008F5427"/>
    <w:rsid w:val="008F54D0"/>
    <w:rsid w:val="008F54DE"/>
    <w:rsid w:val="008F5520"/>
    <w:rsid w:val="008F552D"/>
    <w:rsid w:val="008F55E5"/>
    <w:rsid w:val="008F5610"/>
    <w:rsid w:val="008F5790"/>
    <w:rsid w:val="008F57E6"/>
    <w:rsid w:val="008F5860"/>
    <w:rsid w:val="008F59BE"/>
    <w:rsid w:val="008F5D45"/>
    <w:rsid w:val="008F5EB4"/>
    <w:rsid w:val="008F5FD2"/>
    <w:rsid w:val="008F61DE"/>
    <w:rsid w:val="008F63D1"/>
    <w:rsid w:val="008F6426"/>
    <w:rsid w:val="008F65FD"/>
    <w:rsid w:val="008F663A"/>
    <w:rsid w:val="008F6702"/>
    <w:rsid w:val="008F6778"/>
    <w:rsid w:val="008F67C0"/>
    <w:rsid w:val="008F67CA"/>
    <w:rsid w:val="008F67D7"/>
    <w:rsid w:val="008F689A"/>
    <w:rsid w:val="008F690C"/>
    <w:rsid w:val="008F69F5"/>
    <w:rsid w:val="008F6A98"/>
    <w:rsid w:val="008F6AFD"/>
    <w:rsid w:val="008F6B3A"/>
    <w:rsid w:val="008F6CFB"/>
    <w:rsid w:val="008F6CFD"/>
    <w:rsid w:val="008F6DAB"/>
    <w:rsid w:val="008F6E39"/>
    <w:rsid w:val="008F6EC9"/>
    <w:rsid w:val="008F7113"/>
    <w:rsid w:val="008F7141"/>
    <w:rsid w:val="008F7170"/>
    <w:rsid w:val="008F71DB"/>
    <w:rsid w:val="008F7236"/>
    <w:rsid w:val="008F7327"/>
    <w:rsid w:val="008F7337"/>
    <w:rsid w:val="008F7376"/>
    <w:rsid w:val="008F7411"/>
    <w:rsid w:val="008F75CE"/>
    <w:rsid w:val="008F7628"/>
    <w:rsid w:val="008F7655"/>
    <w:rsid w:val="008F7684"/>
    <w:rsid w:val="008F76C9"/>
    <w:rsid w:val="008F76D5"/>
    <w:rsid w:val="008F77E4"/>
    <w:rsid w:val="008F7837"/>
    <w:rsid w:val="008F7952"/>
    <w:rsid w:val="008F7992"/>
    <w:rsid w:val="008F7A36"/>
    <w:rsid w:val="008F7AD0"/>
    <w:rsid w:val="008F7BCF"/>
    <w:rsid w:val="008F7D6C"/>
    <w:rsid w:val="008F7EA2"/>
    <w:rsid w:val="00900048"/>
    <w:rsid w:val="00900058"/>
    <w:rsid w:val="00900072"/>
    <w:rsid w:val="00900123"/>
    <w:rsid w:val="00900132"/>
    <w:rsid w:val="00900168"/>
    <w:rsid w:val="00900169"/>
    <w:rsid w:val="0090025F"/>
    <w:rsid w:val="00900272"/>
    <w:rsid w:val="009002B4"/>
    <w:rsid w:val="00900390"/>
    <w:rsid w:val="0090084F"/>
    <w:rsid w:val="00900A38"/>
    <w:rsid w:val="00900B75"/>
    <w:rsid w:val="00900C20"/>
    <w:rsid w:val="00900CB3"/>
    <w:rsid w:val="00900CC6"/>
    <w:rsid w:val="00900D7D"/>
    <w:rsid w:val="00900E6A"/>
    <w:rsid w:val="00900E97"/>
    <w:rsid w:val="00900F22"/>
    <w:rsid w:val="00900F53"/>
    <w:rsid w:val="00901124"/>
    <w:rsid w:val="00901257"/>
    <w:rsid w:val="009012AF"/>
    <w:rsid w:val="0090130D"/>
    <w:rsid w:val="009015B7"/>
    <w:rsid w:val="00901623"/>
    <w:rsid w:val="00901649"/>
    <w:rsid w:val="00901C42"/>
    <w:rsid w:val="00901DFE"/>
    <w:rsid w:val="00901E56"/>
    <w:rsid w:val="00901E75"/>
    <w:rsid w:val="00901F9E"/>
    <w:rsid w:val="009020EE"/>
    <w:rsid w:val="009020FB"/>
    <w:rsid w:val="009021B2"/>
    <w:rsid w:val="009021E9"/>
    <w:rsid w:val="00902289"/>
    <w:rsid w:val="009022F9"/>
    <w:rsid w:val="00902569"/>
    <w:rsid w:val="00902588"/>
    <w:rsid w:val="00902603"/>
    <w:rsid w:val="0090263E"/>
    <w:rsid w:val="0090272A"/>
    <w:rsid w:val="0090273F"/>
    <w:rsid w:val="0090275E"/>
    <w:rsid w:val="00902937"/>
    <w:rsid w:val="00902A1C"/>
    <w:rsid w:val="00902A32"/>
    <w:rsid w:val="00902A62"/>
    <w:rsid w:val="00902C6F"/>
    <w:rsid w:val="00902CD8"/>
    <w:rsid w:val="00902D67"/>
    <w:rsid w:val="00902D70"/>
    <w:rsid w:val="00902F2E"/>
    <w:rsid w:val="0090303C"/>
    <w:rsid w:val="009030D1"/>
    <w:rsid w:val="009032C2"/>
    <w:rsid w:val="009032EE"/>
    <w:rsid w:val="0090353D"/>
    <w:rsid w:val="00903541"/>
    <w:rsid w:val="009035B8"/>
    <w:rsid w:val="0090361F"/>
    <w:rsid w:val="00903868"/>
    <w:rsid w:val="00903957"/>
    <w:rsid w:val="00903A49"/>
    <w:rsid w:val="00903B15"/>
    <w:rsid w:val="00903BD0"/>
    <w:rsid w:val="00903C7F"/>
    <w:rsid w:val="00903CFB"/>
    <w:rsid w:val="0090400C"/>
    <w:rsid w:val="00904064"/>
    <w:rsid w:val="00904162"/>
    <w:rsid w:val="009041B1"/>
    <w:rsid w:val="00904222"/>
    <w:rsid w:val="00904448"/>
    <w:rsid w:val="00904462"/>
    <w:rsid w:val="009044EA"/>
    <w:rsid w:val="0090458A"/>
    <w:rsid w:val="00904676"/>
    <w:rsid w:val="0090471B"/>
    <w:rsid w:val="00904733"/>
    <w:rsid w:val="0090477C"/>
    <w:rsid w:val="0090478C"/>
    <w:rsid w:val="009048CC"/>
    <w:rsid w:val="00904AF0"/>
    <w:rsid w:val="00904B85"/>
    <w:rsid w:val="00904C0E"/>
    <w:rsid w:val="00904C26"/>
    <w:rsid w:val="00904CE1"/>
    <w:rsid w:val="00904DDC"/>
    <w:rsid w:val="00904ED5"/>
    <w:rsid w:val="00905148"/>
    <w:rsid w:val="00905303"/>
    <w:rsid w:val="0090539C"/>
    <w:rsid w:val="009053DE"/>
    <w:rsid w:val="0090541B"/>
    <w:rsid w:val="0090541C"/>
    <w:rsid w:val="009054B3"/>
    <w:rsid w:val="009054EC"/>
    <w:rsid w:val="0090569B"/>
    <w:rsid w:val="009057EA"/>
    <w:rsid w:val="0090581A"/>
    <w:rsid w:val="00905893"/>
    <w:rsid w:val="0090593A"/>
    <w:rsid w:val="009059E4"/>
    <w:rsid w:val="00905A64"/>
    <w:rsid w:val="00905A90"/>
    <w:rsid w:val="00905AE6"/>
    <w:rsid w:val="00905B4D"/>
    <w:rsid w:val="00905B9D"/>
    <w:rsid w:val="00905CA1"/>
    <w:rsid w:val="00905CFF"/>
    <w:rsid w:val="00905DFC"/>
    <w:rsid w:val="00905E13"/>
    <w:rsid w:val="00905E97"/>
    <w:rsid w:val="0090602D"/>
    <w:rsid w:val="00906036"/>
    <w:rsid w:val="0090617D"/>
    <w:rsid w:val="00906214"/>
    <w:rsid w:val="009062AB"/>
    <w:rsid w:val="009063CF"/>
    <w:rsid w:val="00906408"/>
    <w:rsid w:val="00906409"/>
    <w:rsid w:val="00906511"/>
    <w:rsid w:val="00906550"/>
    <w:rsid w:val="009065BD"/>
    <w:rsid w:val="009069BC"/>
    <w:rsid w:val="009069BE"/>
    <w:rsid w:val="00906E60"/>
    <w:rsid w:val="00906F1A"/>
    <w:rsid w:val="00906F7D"/>
    <w:rsid w:val="009070A2"/>
    <w:rsid w:val="009071CA"/>
    <w:rsid w:val="00907570"/>
    <w:rsid w:val="009076A7"/>
    <w:rsid w:val="00907860"/>
    <w:rsid w:val="00907879"/>
    <w:rsid w:val="0090793A"/>
    <w:rsid w:val="00907941"/>
    <w:rsid w:val="00907A46"/>
    <w:rsid w:val="00907BDF"/>
    <w:rsid w:val="00907C4E"/>
    <w:rsid w:val="00907CD0"/>
    <w:rsid w:val="00907EAA"/>
    <w:rsid w:val="00907EE6"/>
    <w:rsid w:val="00907F02"/>
    <w:rsid w:val="00907FAB"/>
    <w:rsid w:val="00907FD5"/>
    <w:rsid w:val="00910056"/>
    <w:rsid w:val="009100A8"/>
    <w:rsid w:val="009100AC"/>
    <w:rsid w:val="0091017A"/>
    <w:rsid w:val="009102FF"/>
    <w:rsid w:val="009104EA"/>
    <w:rsid w:val="00910618"/>
    <w:rsid w:val="00910668"/>
    <w:rsid w:val="009106B4"/>
    <w:rsid w:val="0091072E"/>
    <w:rsid w:val="009108BC"/>
    <w:rsid w:val="00910913"/>
    <w:rsid w:val="00910B24"/>
    <w:rsid w:val="00910CD8"/>
    <w:rsid w:val="00910DA9"/>
    <w:rsid w:val="00910E9E"/>
    <w:rsid w:val="00910F27"/>
    <w:rsid w:val="00911061"/>
    <w:rsid w:val="00911088"/>
    <w:rsid w:val="0091112D"/>
    <w:rsid w:val="009111F7"/>
    <w:rsid w:val="00911274"/>
    <w:rsid w:val="0091132D"/>
    <w:rsid w:val="0091150D"/>
    <w:rsid w:val="009115F7"/>
    <w:rsid w:val="009117E8"/>
    <w:rsid w:val="009119F7"/>
    <w:rsid w:val="00911A60"/>
    <w:rsid w:val="00911C63"/>
    <w:rsid w:val="00911D19"/>
    <w:rsid w:val="00911E4B"/>
    <w:rsid w:val="00911F0F"/>
    <w:rsid w:val="009120E7"/>
    <w:rsid w:val="00912101"/>
    <w:rsid w:val="0091219B"/>
    <w:rsid w:val="009122C8"/>
    <w:rsid w:val="0091235C"/>
    <w:rsid w:val="009123D3"/>
    <w:rsid w:val="009124B2"/>
    <w:rsid w:val="00912537"/>
    <w:rsid w:val="0091266F"/>
    <w:rsid w:val="0091272A"/>
    <w:rsid w:val="00912843"/>
    <w:rsid w:val="009128F2"/>
    <w:rsid w:val="0091292B"/>
    <w:rsid w:val="00912940"/>
    <w:rsid w:val="00912AEF"/>
    <w:rsid w:val="00912B49"/>
    <w:rsid w:val="00912CB2"/>
    <w:rsid w:val="00912E56"/>
    <w:rsid w:val="0091306D"/>
    <w:rsid w:val="00913101"/>
    <w:rsid w:val="00913147"/>
    <w:rsid w:val="009132EE"/>
    <w:rsid w:val="00913369"/>
    <w:rsid w:val="009134E1"/>
    <w:rsid w:val="0091355B"/>
    <w:rsid w:val="009135B4"/>
    <w:rsid w:val="0091361A"/>
    <w:rsid w:val="0091363C"/>
    <w:rsid w:val="00913748"/>
    <w:rsid w:val="009138BC"/>
    <w:rsid w:val="00913958"/>
    <w:rsid w:val="00913AAA"/>
    <w:rsid w:val="00913AED"/>
    <w:rsid w:val="00913B62"/>
    <w:rsid w:val="00913C62"/>
    <w:rsid w:val="00913C7B"/>
    <w:rsid w:val="00913D77"/>
    <w:rsid w:val="00913DA8"/>
    <w:rsid w:val="00913E15"/>
    <w:rsid w:val="00913FBA"/>
    <w:rsid w:val="0091408B"/>
    <w:rsid w:val="0091412D"/>
    <w:rsid w:val="009141E7"/>
    <w:rsid w:val="009141FD"/>
    <w:rsid w:val="009142F6"/>
    <w:rsid w:val="00914384"/>
    <w:rsid w:val="0091438C"/>
    <w:rsid w:val="009143EB"/>
    <w:rsid w:val="009143FB"/>
    <w:rsid w:val="0091451B"/>
    <w:rsid w:val="00914538"/>
    <w:rsid w:val="00914618"/>
    <w:rsid w:val="009146EC"/>
    <w:rsid w:val="00914881"/>
    <w:rsid w:val="009149E4"/>
    <w:rsid w:val="00914BD8"/>
    <w:rsid w:val="00914C55"/>
    <w:rsid w:val="00914EB6"/>
    <w:rsid w:val="00914F2A"/>
    <w:rsid w:val="00914F3C"/>
    <w:rsid w:val="00914FFD"/>
    <w:rsid w:val="00915016"/>
    <w:rsid w:val="00915096"/>
    <w:rsid w:val="0091515F"/>
    <w:rsid w:val="0091525F"/>
    <w:rsid w:val="009152D9"/>
    <w:rsid w:val="00915387"/>
    <w:rsid w:val="009153B1"/>
    <w:rsid w:val="00915526"/>
    <w:rsid w:val="00915697"/>
    <w:rsid w:val="009156EF"/>
    <w:rsid w:val="0091573E"/>
    <w:rsid w:val="00915750"/>
    <w:rsid w:val="00915DBC"/>
    <w:rsid w:val="00915DC6"/>
    <w:rsid w:val="00915E0F"/>
    <w:rsid w:val="00915FCD"/>
    <w:rsid w:val="009160CA"/>
    <w:rsid w:val="0091617D"/>
    <w:rsid w:val="009161FA"/>
    <w:rsid w:val="00916288"/>
    <w:rsid w:val="009162D2"/>
    <w:rsid w:val="009162D6"/>
    <w:rsid w:val="0091645B"/>
    <w:rsid w:val="00916579"/>
    <w:rsid w:val="0091668C"/>
    <w:rsid w:val="00916802"/>
    <w:rsid w:val="0091692F"/>
    <w:rsid w:val="009169D8"/>
    <w:rsid w:val="00916C71"/>
    <w:rsid w:val="00916CA2"/>
    <w:rsid w:val="00916EF9"/>
    <w:rsid w:val="00916F0A"/>
    <w:rsid w:val="00916F38"/>
    <w:rsid w:val="00916FE1"/>
    <w:rsid w:val="00917006"/>
    <w:rsid w:val="0091706D"/>
    <w:rsid w:val="009173D2"/>
    <w:rsid w:val="00917400"/>
    <w:rsid w:val="009174DE"/>
    <w:rsid w:val="00917663"/>
    <w:rsid w:val="009177D7"/>
    <w:rsid w:val="009179D6"/>
    <w:rsid w:val="00917A07"/>
    <w:rsid w:val="00917B95"/>
    <w:rsid w:val="00917C69"/>
    <w:rsid w:val="00917CAF"/>
    <w:rsid w:val="00917CCE"/>
    <w:rsid w:val="00920044"/>
    <w:rsid w:val="0092006B"/>
    <w:rsid w:val="009200A2"/>
    <w:rsid w:val="0092018E"/>
    <w:rsid w:val="009201E5"/>
    <w:rsid w:val="009202EB"/>
    <w:rsid w:val="00920370"/>
    <w:rsid w:val="00920471"/>
    <w:rsid w:val="009204CA"/>
    <w:rsid w:val="00920502"/>
    <w:rsid w:val="00920524"/>
    <w:rsid w:val="0092056F"/>
    <w:rsid w:val="00920577"/>
    <w:rsid w:val="009205AB"/>
    <w:rsid w:val="009205F9"/>
    <w:rsid w:val="0092063D"/>
    <w:rsid w:val="0092065D"/>
    <w:rsid w:val="0092066B"/>
    <w:rsid w:val="0092084F"/>
    <w:rsid w:val="0092093E"/>
    <w:rsid w:val="00920A15"/>
    <w:rsid w:val="00920A2B"/>
    <w:rsid w:val="00920AC0"/>
    <w:rsid w:val="00920D91"/>
    <w:rsid w:val="00920DA2"/>
    <w:rsid w:val="00920F48"/>
    <w:rsid w:val="00920F8E"/>
    <w:rsid w:val="00921039"/>
    <w:rsid w:val="009210FE"/>
    <w:rsid w:val="0092129D"/>
    <w:rsid w:val="009212ED"/>
    <w:rsid w:val="0092130D"/>
    <w:rsid w:val="009213BB"/>
    <w:rsid w:val="009213DF"/>
    <w:rsid w:val="00921582"/>
    <w:rsid w:val="00921598"/>
    <w:rsid w:val="009216B2"/>
    <w:rsid w:val="009216FF"/>
    <w:rsid w:val="0092191C"/>
    <w:rsid w:val="009219AC"/>
    <w:rsid w:val="009219EB"/>
    <w:rsid w:val="00921AED"/>
    <w:rsid w:val="00921B0A"/>
    <w:rsid w:val="00921B6E"/>
    <w:rsid w:val="00921C5D"/>
    <w:rsid w:val="00921C78"/>
    <w:rsid w:val="00921DA3"/>
    <w:rsid w:val="00921F42"/>
    <w:rsid w:val="0092224D"/>
    <w:rsid w:val="009222BE"/>
    <w:rsid w:val="00922315"/>
    <w:rsid w:val="009223AA"/>
    <w:rsid w:val="0092241C"/>
    <w:rsid w:val="00922457"/>
    <w:rsid w:val="0092247C"/>
    <w:rsid w:val="0092282C"/>
    <w:rsid w:val="009228EE"/>
    <w:rsid w:val="009229B7"/>
    <w:rsid w:val="009229C6"/>
    <w:rsid w:val="00922BB0"/>
    <w:rsid w:val="00922C24"/>
    <w:rsid w:val="00922C6C"/>
    <w:rsid w:val="00922CEB"/>
    <w:rsid w:val="00922D51"/>
    <w:rsid w:val="00922E53"/>
    <w:rsid w:val="00922EDF"/>
    <w:rsid w:val="009231FF"/>
    <w:rsid w:val="00923316"/>
    <w:rsid w:val="0092340F"/>
    <w:rsid w:val="00923535"/>
    <w:rsid w:val="00923587"/>
    <w:rsid w:val="009236C9"/>
    <w:rsid w:val="00923730"/>
    <w:rsid w:val="0092376D"/>
    <w:rsid w:val="0092377E"/>
    <w:rsid w:val="0092378C"/>
    <w:rsid w:val="009237B9"/>
    <w:rsid w:val="00923802"/>
    <w:rsid w:val="009238BB"/>
    <w:rsid w:val="009238D6"/>
    <w:rsid w:val="009239D5"/>
    <w:rsid w:val="00923A71"/>
    <w:rsid w:val="00923AAF"/>
    <w:rsid w:val="00923B6F"/>
    <w:rsid w:val="00923B95"/>
    <w:rsid w:val="00923BF0"/>
    <w:rsid w:val="00923CB9"/>
    <w:rsid w:val="00923D00"/>
    <w:rsid w:val="00923DF6"/>
    <w:rsid w:val="00923E3E"/>
    <w:rsid w:val="00923E57"/>
    <w:rsid w:val="00923ED0"/>
    <w:rsid w:val="00923FD3"/>
    <w:rsid w:val="00923FE5"/>
    <w:rsid w:val="00924137"/>
    <w:rsid w:val="009241A7"/>
    <w:rsid w:val="0092420C"/>
    <w:rsid w:val="0092424B"/>
    <w:rsid w:val="0092424C"/>
    <w:rsid w:val="00924466"/>
    <w:rsid w:val="009244DD"/>
    <w:rsid w:val="00924527"/>
    <w:rsid w:val="00924596"/>
    <w:rsid w:val="009246B8"/>
    <w:rsid w:val="0092470C"/>
    <w:rsid w:val="00924781"/>
    <w:rsid w:val="009248EE"/>
    <w:rsid w:val="009249B7"/>
    <w:rsid w:val="009249ED"/>
    <w:rsid w:val="00924B32"/>
    <w:rsid w:val="00924B6E"/>
    <w:rsid w:val="00924C24"/>
    <w:rsid w:val="00924C38"/>
    <w:rsid w:val="00924CEC"/>
    <w:rsid w:val="00924D14"/>
    <w:rsid w:val="00924E20"/>
    <w:rsid w:val="00924E23"/>
    <w:rsid w:val="00924ED2"/>
    <w:rsid w:val="00925045"/>
    <w:rsid w:val="00925092"/>
    <w:rsid w:val="00925132"/>
    <w:rsid w:val="00925311"/>
    <w:rsid w:val="009253AF"/>
    <w:rsid w:val="00925495"/>
    <w:rsid w:val="009254E6"/>
    <w:rsid w:val="00925506"/>
    <w:rsid w:val="009255F0"/>
    <w:rsid w:val="00925730"/>
    <w:rsid w:val="00925753"/>
    <w:rsid w:val="0092576A"/>
    <w:rsid w:val="009258CF"/>
    <w:rsid w:val="00925941"/>
    <w:rsid w:val="00925A7E"/>
    <w:rsid w:val="00925B78"/>
    <w:rsid w:val="00925BB8"/>
    <w:rsid w:val="00925DA1"/>
    <w:rsid w:val="00925E8F"/>
    <w:rsid w:val="00925F24"/>
    <w:rsid w:val="00925F51"/>
    <w:rsid w:val="00925F71"/>
    <w:rsid w:val="009260B1"/>
    <w:rsid w:val="00926149"/>
    <w:rsid w:val="009261F4"/>
    <w:rsid w:val="00926236"/>
    <w:rsid w:val="00926405"/>
    <w:rsid w:val="00926458"/>
    <w:rsid w:val="00926513"/>
    <w:rsid w:val="0092663C"/>
    <w:rsid w:val="00926650"/>
    <w:rsid w:val="00926658"/>
    <w:rsid w:val="009266BE"/>
    <w:rsid w:val="009266E9"/>
    <w:rsid w:val="009266EC"/>
    <w:rsid w:val="00926736"/>
    <w:rsid w:val="009267C1"/>
    <w:rsid w:val="009268E4"/>
    <w:rsid w:val="00926963"/>
    <w:rsid w:val="009269DA"/>
    <w:rsid w:val="00926A82"/>
    <w:rsid w:val="00926B31"/>
    <w:rsid w:val="00926DD1"/>
    <w:rsid w:val="00926EAF"/>
    <w:rsid w:val="0092713F"/>
    <w:rsid w:val="00927157"/>
    <w:rsid w:val="00927183"/>
    <w:rsid w:val="00927199"/>
    <w:rsid w:val="009271D1"/>
    <w:rsid w:val="00927272"/>
    <w:rsid w:val="00927333"/>
    <w:rsid w:val="00927533"/>
    <w:rsid w:val="009275F9"/>
    <w:rsid w:val="00927600"/>
    <w:rsid w:val="0092772F"/>
    <w:rsid w:val="00927764"/>
    <w:rsid w:val="00927836"/>
    <w:rsid w:val="009278DE"/>
    <w:rsid w:val="00927957"/>
    <w:rsid w:val="00927AAB"/>
    <w:rsid w:val="00927B58"/>
    <w:rsid w:val="00927D4C"/>
    <w:rsid w:val="00927E9F"/>
    <w:rsid w:val="00927F72"/>
    <w:rsid w:val="0093001F"/>
    <w:rsid w:val="00930059"/>
    <w:rsid w:val="0093010B"/>
    <w:rsid w:val="00930281"/>
    <w:rsid w:val="009302B1"/>
    <w:rsid w:val="0093036F"/>
    <w:rsid w:val="009303C1"/>
    <w:rsid w:val="009303E5"/>
    <w:rsid w:val="009303E8"/>
    <w:rsid w:val="0093066E"/>
    <w:rsid w:val="0093068C"/>
    <w:rsid w:val="009309F3"/>
    <w:rsid w:val="00930A12"/>
    <w:rsid w:val="00930AB9"/>
    <w:rsid w:val="00930E6E"/>
    <w:rsid w:val="00930F97"/>
    <w:rsid w:val="009310E7"/>
    <w:rsid w:val="0093111A"/>
    <w:rsid w:val="0093114A"/>
    <w:rsid w:val="0093120A"/>
    <w:rsid w:val="00931297"/>
    <w:rsid w:val="009312DA"/>
    <w:rsid w:val="009312DD"/>
    <w:rsid w:val="00931311"/>
    <w:rsid w:val="009314A3"/>
    <w:rsid w:val="00931602"/>
    <w:rsid w:val="009316D7"/>
    <w:rsid w:val="00931766"/>
    <w:rsid w:val="009319EB"/>
    <w:rsid w:val="00931ABD"/>
    <w:rsid w:val="00931B2A"/>
    <w:rsid w:val="00931BE7"/>
    <w:rsid w:val="00931C33"/>
    <w:rsid w:val="00931C56"/>
    <w:rsid w:val="00931E2F"/>
    <w:rsid w:val="00931E70"/>
    <w:rsid w:val="00931E73"/>
    <w:rsid w:val="00931F71"/>
    <w:rsid w:val="00931F96"/>
    <w:rsid w:val="00931FF0"/>
    <w:rsid w:val="009320D0"/>
    <w:rsid w:val="00932103"/>
    <w:rsid w:val="00932245"/>
    <w:rsid w:val="009323B6"/>
    <w:rsid w:val="009323E5"/>
    <w:rsid w:val="009323E8"/>
    <w:rsid w:val="009328E2"/>
    <w:rsid w:val="009328F3"/>
    <w:rsid w:val="009329BC"/>
    <w:rsid w:val="00932AFB"/>
    <w:rsid w:val="00932B6E"/>
    <w:rsid w:val="00932B8F"/>
    <w:rsid w:val="00932C0A"/>
    <w:rsid w:val="00932D0B"/>
    <w:rsid w:val="00932D87"/>
    <w:rsid w:val="00932DA4"/>
    <w:rsid w:val="00932DC5"/>
    <w:rsid w:val="00932DF7"/>
    <w:rsid w:val="00932EDC"/>
    <w:rsid w:val="00932F30"/>
    <w:rsid w:val="00932F7D"/>
    <w:rsid w:val="00932F84"/>
    <w:rsid w:val="009330C3"/>
    <w:rsid w:val="0093313C"/>
    <w:rsid w:val="009331AE"/>
    <w:rsid w:val="009332CD"/>
    <w:rsid w:val="00933604"/>
    <w:rsid w:val="00933616"/>
    <w:rsid w:val="0093363B"/>
    <w:rsid w:val="009336F7"/>
    <w:rsid w:val="0093388B"/>
    <w:rsid w:val="009338B2"/>
    <w:rsid w:val="009338C6"/>
    <w:rsid w:val="009338EC"/>
    <w:rsid w:val="009339AD"/>
    <w:rsid w:val="009339BE"/>
    <w:rsid w:val="00933A88"/>
    <w:rsid w:val="00933B54"/>
    <w:rsid w:val="00933B68"/>
    <w:rsid w:val="00933B87"/>
    <w:rsid w:val="00933C69"/>
    <w:rsid w:val="00933D07"/>
    <w:rsid w:val="00933D3E"/>
    <w:rsid w:val="00933D4B"/>
    <w:rsid w:val="00933DE1"/>
    <w:rsid w:val="00933ED0"/>
    <w:rsid w:val="00933FA6"/>
    <w:rsid w:val="00934199"/>
    <w:rsid w:val="0093422F"/>
    <w:rsid w:val="00934239"/>
    <w:rsid w:val="00934281"/>
    <w:rsid w:val="009342B1"/>
    <w:rsid w:val="009342E9"/>
    <w:rsid w:val="00934778"/>
    <w:rsid w:val="00934785"/>
    <w:rsid w:val="009348EA"/>
    <w:rsid w:val="009348F0"/>
    <w:rsid w:val="00934924"/>
    <w:rsid w:val="00934A03"/>
    <w:rsid w:val="00934A04"/>
    <w:rsid w:val="00934B3B"/>
    <w:rsid w:val="00934B95"/>
    <w:rsid w:val="00934C54"/>
    <w:rsid w:val="00934CE3"/>
    <w:rsid w:val="00934CE5"/>
    <w:rsid w:val="00934E3A"/>
    <w:rsid w:val="00934FAE"/>
    <w:rsid w:val="0093507B"/>
    <w:rsid w:val="009350FD"/>
    <w:rsid w:val="009353A9"/>
    <w:rsid w:val="0093541F"/>
    <w:rsid w:val="00935443"/>
    <w:rsid w:val="0093567E"/>
    <w:rsid w:val="00935711"/>
    <w:rsid w:val="0093573F"/>
    <w:rsid w:val="00935794"/>
    <w:rsid w:val="00935899"/>
    <w:rsid w:val="00935920"/>
    <w:rsid w:val="00935A09"/>
    <w:rsid w:val="00935A73"/>
    <w:rsid w:val="00935A95"/>
    <w:rsid w:val="00935BFF"/>
    <w:rsid w:val="00935C2B"/>
    <w:rsid w:val="00935C59"/>
    <w:rsid w:val="00935F2A"/>
    <w:rsid w:val="00935F5B"/>
    <w:rsid w:val="009360D3"/>
    <w:rsid w:val="00936126"/>
    <w:rsid w:val="00936212"/>
    <w:rsid w:val="00936215"/>
    <w:rsid w:val="009362EF"/>
    <w:rsid w:val="009363F8"/>
    <w:rsid w:val="00936541"/>
    <w:rsid w:val="0093655E"/>
    <w:rsid w:val="0093663F"/>
    <w:rsid w:val="00936684"/>
    <w:rsid w:val="0093669C"/>
    <w:rsid w:val="00936858"/>
    <w:rsid w:val="00936A10"/>
    <w:rsid w:val="00936A20"/>
    <w:rsid w:val="00936A8C"/>
    <w:rsid w:val="00936AE7"/>
    <w:rsid w:val="00936BBD"/>
    <w:rsid w:val="00936DC7"/>
    <w:rsid w:val="00936ED9"/>
    <w:rsid w:val="00936FDF"/>
    <w:rsid w:val="00937006"/>
    <w:rsid w:val="009370C5"/>
    <w:rsid w:val="0093720B"/>
    <w:rsid w:val="00937305"/>
    <w:rsid w:val="009373D4"/>
    <w:rsid w:val="0093743C"/>
    <w:rsid w:val="009374B4"/>
    <w:rsid w:val="0093755C"/>
    <w:rsid w:val="00937574"/>
    <w:rsid w:val="00937AC4"/>
    <w:rsid w:val="00937AF6"/>
    <w:rsid w:val="00937CDE"/>
    <w:rsid w:val="00937EE0"/>
    <w:rsid w:val="00937FB9"/>
    <w:rsid w:val="00937FE3"/>
    <w:rsid w:val="00940042"/>
    <w:rsid w:val="00940193"/>
    <w:rsid w:val="009401F9"/>
    <w:rsid w:val="00940222"/>
    <w:rsid w:val="009402FC"/>
    <w:rsid w:val="009408D0"/>
    <w:rsid w:val="00940BB9"/>
    <w:rsid w:val="00940D19"/>
    <w:rsid w:val="00940E4D"/>
    <w:rsid w:val="00941333"/>
    <w:rsid w:val="00941351"/>
    <w:rsid w:val="00941412"/>
    <w:rsid w:val="009414BA"/>
    <w:rsid w:val="00941666"/>
    <w:rsid w:val="00941739"/>
    <w:rsid w:val="009418A2"/>
    <w:rsid w:val="00941938"/>
    <w:rsid w:val="00941970"/>
    <w:rsid w:val="009419EE"/>
    <w:rsid w:val="00941A4E"/>
    <w:rsid w:val="00941AF4"/>
    <w:rsid w:val="00941C2E"/>
    <w:rsid w:val="00941C42"/>
    <w:rsid w:val="00941CC9"/>
    <w:rsid w:val="00941DB7"/>
    <w:rsid w:val="00941EFD"/>
    <w:rsid w:val="00941F22"/>
    <w:rsid w:val="00941F68"/>
    <w:rsid w:val="00941F82"/>
    <w:rsid w:val="0094222E"/>
    <w:rsid w:val="009422AC"/>
    <w:rsid w:val="00942358"/>
    <w:rsid w:val="0094235A"/>
    <w:rsid w:val="0094237C"/>
    <w:rsid w:val="009423DB"/>
    <w:rsid w:val="009424C9"/>
    <w:rsid w:val="0094251E"/>
    <w:rsid w:val="009425F5"/>
    <w:rsid w:val="00942701"/>
    <w:rsid w:val="0094284E"/>
    <w:rsid w:val="009428FE"/>
    <w:rsid w:val="00942956"/>
    <w:rsid w:val="00942A3C"/>
    <w:rsid w:val="00942AB0"/>
    <w:rsid w:val="00942B10"/>
    <w:rsid w:val="00942C2C"/>
    <w:rsid w:val="00942C59"/>
    <w:rsid w:val="00942D51"/>
    <w:rsid w:val="00942EF3"/>
    <w:rsid w:val="00942F2D"/>
    <w:rsid w:val="0094309C"/>
    <w:rsid w:val="0094324C"/>
    <w:rsid w:val="0094331E"/>
    <w:rsid w:val="00943393"/>
    <w:rsid w:val="009433B3"/>
    <w:rsid w:val="00943445"/>
    <w:rsid w:val="009434B2"/>
    <w:rsid w:val="0094354D"/>
    <w:rsid w:val="00943975"/>
    <w:rsid w:val="00943A62"/>
    <w:rsid w:val="00943AA5"/>
    <w:rsid w:val="00943AFA"/>
    <w:rsid w:val="00943B4A"/>
    <w:rsid w:val="00943CB0"/>
    <w:rsid w:val="00943D73"/>
    <w:rsid w:val="00943F29"/>
    <w:rsid w:val="00944022"/>
    <w:rsid w:val="0094403A"/>
    <w:rsid w:val="009441CB"/>
    <w:rsid w:val="00944256"/>
    <w:rsid w:val="009442F6"/>
    <w:rsid w:val="00944305"/>
    <w:rsid w:val="00944495"/>
    <w:rsid w:val="00944498"/>
    <w:rsid w:val="009444AF"/>
    <w:rsid w:val="0094457C"/>
    <w:rsid w:val="00944690"/>
    <w:rsid w:val="009447BC"/>
    <w:rsid w:val="009447F2"/>
    <w:rsid w:val="00944BF6"/>
    <w:rsid w:val="00944C48"/>
    <w:rsid w:val="00944C59"/>
    <w:rsid w:val="00944E4D"/>
    <w:rsid w:val="00944EBC"/>
    <w:rsid w:val="00944F4B"/>
    <w:rsid w:val="00944FE1"/>
    <w:rsid w:val="009452BD"/>
    <w:rsid w:val="009453A8"/>
    <w:rsid w:val="009453C3"/>
    <w:rsid w:val="00945402"/>
    <w:rsid w:val="00945475"/>
    <w:rsid w:val="00945586"/>
    <w:rsid w:val="009455AA"/>
    <w:rsid w:val="00945623"/>
    <w:rsid w:val="009458FF"/>
    <w:rsid w:val="00945ACB"/>
    <w:rsid w:val="00945C90"/>
    <w:rsid w:val="00945CE0"/>
    <w:rsid w:val="00945D58"/>
    <w:rsid w:val="00945EF3"/>
    <w:rsid w:val="00945F37"/>
    <w:rsid w:val="00945FEF"/>
    <w:rsid w:val="00945FF7"/>
    <w:rsid w:val="0094609D"/>
    <w:rsid w:val="00946113"/>
    <w:rsid w:val="00946211"/>
    <w:rsid w:val="0094638C"/>
    <w:rsid w:val="00946412"/>
    <w:rsid w:val="009464DF"/>
    <w:rsid w:val="0094658F"/>
    <w:rsid w:val="009465FC"/>
    <w:rsid w:val="00946677"/>
    <w:rsid w:val="009466AA"/>
    <w:rsid w:val="00946726"/>
    <w:rsid w:val="00946730"/>
    <w:rsid w:val="00946AFA"/>
    <w:rsid w:val="00946BE4"/>
    <w:rsid w:val="00946D68"/>
    <w:rsid w:val="00946E4C"/>
    <w:rsid w:val="00946E77"/>
    <w:rsid w:val="00946F5E"/>
    <w:rsid w:val="00946FB1"/>
    <w:rsid w:val="00947098"/>
    <w:rsid w:val="009473CF"/>
    <w:rsid w:val="009473D0"/>
    <w:rsid w:val="009475A1"/>
    <w:rsid w:val="009475A3"/>
    <w:rsid w:val="0094760E"/>
    <w:rsid w:val="009476EA"/>
    <w:rsid w:val="00947772"/>
    <w:rsid w:val="009478F8"/>
    <w:rsid w:val="00947A6D"/>
    <w:rsid w:val="00947AC6"/>
    <w:rsid w:val="00947B0B"/>
    <w:rsid w:val="00947B99"/>
    <w:rsid w:val="00947BD6"/>
    <w:rsid w:val="00947CB8"/>
    <w:rsid w:val="00947CD8"/>
    <w:rsid w:val="00947CE1"/>
    <w:rsid w:val="00947D06"/>
    <w:rsid w:val="00947D52"/>
    <w:rsid w:val="00947D9B"/>
    <w:rsid w:val="00947E0B"/>
    <w:rsid w:val="00947F9C"/>
    <w:rsid w:val="00950052"/>
    <w:rsid w:val="00950226"/>
    <w:rsid w:val="009502F7"/>
    <w:rsid w:val="00950420"/>
    <w:rsid w:val="00950485"/>
    <w:rsid w:val="00950489"/>
    <w:rsid w:val="009504F6"/>
    <w:rsid w:val="009507FF"/>
    <w:rsid w:val="0095083D"/>
    <w:rsid w:val="0095087A"/>
    <w:rsid w:val="00950934"/>
    <w:rsid w:val="009509F9"/>
    <w:rsid w:val="00950A01"/>
    <w:rsid w:val="00950C43"/>
    <w:rsid w:val="00950D34"/>
    <w:rsid w:val="00950EC1"/>
    <w:rsid w:val="00950F56"/>
    <w:rsid w:val="0095102D"/>
    <w:rsid w:val="0095112B"/>
    <w:rsid w:val="00951212"/>
    <w:rsid w:val="0095134E"/>
    <w:rsid w:val="00951516"/>
    <w:rsid w:val="00951711"/>
    <w:rsid w:val="009519A9"/>
    <w:rsid w:val="00951A34"/>
    <w:rsid w:val="00951AE4"/>
    <w:rsid w:val="00951B04"/>
    <w:rsid w:val="00951B1B"/>
    <w:rsid w:val="00951CD0"/>
    <w:rsid w:val="00951E79"/>
    <w:rsid w:val="00951F1D"/>
    <w:rsid w:val="00951FFD"/>
    <w:rsid w:val="00952025"/>
    <w:rsid w:val="009521AE"/>
    <w:rsid w:val="009521EF"/>
    <w:rsid w:val="00952298"/>
    <w:rsid w:val="0095230F"/>
    <w:rsid w:val="00952426"/>
    <w:rsid w:val="00952530"/>
    <w:rsid w:val="0095260D"/>
    <w:rsid w:val="00952615"/>
    <w:rsid w:val="009526EF"/>
    <w:rsid w:val="00952773"/>
    <w:rsid w:val="00952AB2"/>
    <w:rsid w:val="00952B9C"/>
    <w:rsid w:val="00952BE2"/>
    <w:rsid w:val="00952D4B"/>
    <w:rsid w:val="00952E6D"/>
    <w:rsid w:val="00952F0C"/>
    <w:rsid w:val="00952F3F"/>
    <w:rsid w:val="009531E3"/>
    <w:rsid w:val="009531FF"/>
    <w:rsid w:val="009532DD"/>
    <w:rsid w:val="0095346A"/>
    <w:rsid w:val="0095346E"/>
    <w:rsid w:val="009534DD"/>
    <w:rsid w:val="00953525"/>
    <w:rsid w:val="00953625"/>
    <w:rsid w:val="00953774"/>
    <w:rsid w:val="009537B4"/>
    <w:rsid w:val="009537DC"/>
    <w:rsid w:val="009537EE"/>
    <w:rsid w:val="009538BE"/>
    <w:rsid w:val="009538D2"/>
    <w:rsid w:val="00953999"/>
    <w:rsid w:val="009539BF"/>
    <w:rsid w:val="00953A60"/>
    <w:rsid w:val="00953B4E"/>
    <w:rsid w:val="00953C4D"/>
    <w:rsid w:val="00953CCF"/>
    <w:rsid w:val="00953D64"/>
    <w:rsid w:val="00953E18"/>
    <w:rsid w:val="00953E41"/>
    <w:rsid w:val="00953ED2"/>
    <w:rsid w:val="0095410E"/>
    <w:rsid w:val="00954140"/>
    <w:rsid w:val="00954199"/>
    <w:rsid w:val="00954205"/>
    <w:rsid w:val="00954372"/>
    <w:rsid w:val="009543EF"/>
    <w:rsid w:val="00954441"/>
    <w:rsid w:val="00954563"/>
    <w:rsid w:val="0095456D"/>
    <w:rsid w:val="009546D7"/>
    <w:rsid w:val="00954713"/>
    <w:rsid w:val="00954939"/>
    <w:rsid w:val="00954A65"/>
    <w:rsid w:val="00954AA3"/>
    <w:rsid w:val="00954AD7"/>
    <w:rsid w:val="00954B3F"/>
    <w:rsid w:val="00954C05"/>
    <w:rsid w:val="00954EA8"/>
    <w:rsid w:val="00954F33"/>
    <w:rsid w:val="00954F7F"/>
    <w:rsid w:val="00954FCD"/>
    <w:rsid w:val="00955196"/>
    <w:rsid w:val="009552A2"/>
    <w:rsid w:val="009552BB"/>
    <w:rsid w:val="0095560C"/>
    <w:rsid w:val="0095562E"/>
    <w:rsid w:val="00955786"/>
    <w:rsid w:val="0095587C"/>
    <w:rsid w:val="009558DF"/>
    <w:rsid w:val="009558E4"/>
    <w:rsid w:val="00955953"/>
    <w:rsid w:val="009559A9"/>
    <w:rsid w:val="00955A29"/>
    <w:rsid w:val="00955AAA"/>
    <w:rsid w:val="00955AC9"/>
    <w:rsid w:val="00955B47"/>
    <w:rsid w:val="00955B98"/>
    <w:rsid w:val="00956187"/>
    <w:rsid w:val="00956248"/>
    <w:rsid w:val="00956281"/>
    <w:rsid w:val="009562AA"/>
    <w:rsid w:val="009562E2"/>
    <w:rsid w:val="0095649A"/>
    <w:rsid w:val="0095649E"/>
    <w:rsid w:val="0095652C"/>
    <w:rsid w:val="00956532"/>
    <w:rsid w:val="00956547"/>
    <w:rsid w:val="009565B9"/>
    <w:rsid w:val="00956665"/>
    <w:rsid w:val="00956960"/>
    <w:rsid w:val="009569CC"/>
    <w:rsid w:val="00956A04"/>
    <w:rsid w:val="00956A13"/>
    <w:rsid w:val="00956A5A"/>
    <w:rsid w:val="00956B96"/>
    <w:rsid w:val="00956C0F"/>
    <w:rsid w:val="00956C1D"/>
    <w:rsid w:val="00956C5D"/>
    <w:rsid w:val="00956D13"/>
    <w:rsid w:val="00956DDC"/>
    <w:rsid w:val="00956DFB"/>
    <w:rsid w:val="00956FA9"/>
    <w:rsid w:val="009571A7"/>
    <w:rsid w:val="009571C5"/>
    <w:rsid w:val="00957208"/>
    <w:rsid w:val="009572D3"/>
    <w:rsid w:val="009572FD"/>
    <w:rsid w:val="00957302"/>
    <w:rsid w:val="009573DB"/>
    <w:rsid w:val="009574FF"/>
    <w:rsid w:val="00957503"/>
    <w:rsid w:val="00957544"/>
    <w:rsid w:val="00957729"/>
    <w:rsid w:val="009577E4"/>
    <w:rsid w:val="00957859"/>
    <w:rsid w:val="00957907"/>
    <w:rsid w:val="00957A4A"/>
    <w:rsid w:val="00957A5E"/>
    <w:rsid w:val="00957D28"/>
    <w:rsid w:val="00957DFE"/>
    <w:rsid w:val="00957EF4"/>
    <w:rsid w:val="00957F2C"/>
    <w:rsid w:val="00957F8D"/>
    <w:rsid w:val="00957FF0"/>
    <w:rsid w:val="0096007A"/>
    <w:rsid w:val="0096008F"/>
    <w:rsid w:val="00960165"/>
    <w:rsid w:val="00960327"/>
    <w:rsid w:val="00960340"/>
    <w:rsid w:val="00960355"/>
    <w:rsid w:val="00960687"/>
    <w:rsid w:val="00960706"/>
    <w:rsid w:val="00960794"/>
    <w:rsid w:val="00960858"/>
    <w:rsid w:val="009608C3"/>
    <w:rsid w:val="00960963"/>
    <w:rsid w:val="009609C9"/>
    <w:rsid w:val="00960A07"/>
    <w:rsid w:val="00960B6C"/>
    <w:rsid w:val="00960BDD"/>
    <w:rsid w:val="00960C8E"/>
    <w:rsid w:val="00960C96"/>
    <w:rsid w:val="00960CCA"/>
    <w:rsid w:val="00960EA0"/>
    <w:rsid w:val="00960F31"/>
    <w:rsid w:val="009610A6"/>
    <w:rsid w:val="009610AF"/>
    <w:rsid w:val="00961116"/>
    <w:rsid w:val="00961233"/>
    <w:rsid w:val="0096125A"/>
    <w:rsid w:val="009612CB"/>
    <w:rsid w:val="00961479"/>
    <w:rsid w:val="00961554"/>
    <w:rsid w:val="0096157A"/>
    <w:rsid w:val="009615B5"/>
    <w:rsid w:val="0096172C"/>
    <w:rsid w:val="009617EA"/>
    <w:rsid w:val="00961851"/>
    <w:rsid w:val="0096193F"/>
    <w:rsid w:val="0096195B"/>
    <w:rsid w:val="00961B00"/>
    <w:rsid w:val="00961C90"/>
    <w:rsid w:val="00961D2B"/>
    <w:rsid w:val="00961D63"/>
    <w:rsid w:val="00961E41"/>
    <w:rsid w:val="00961EEC"/>
    <w:rsid w:val="00961EF8"/>
    <w:rsid w:val="00961F79"/>
    <w:rsid w:val="00961F8D"/>
    <w:rsid w:val="0096204A"/>
    <w:rsid w:val="009620C7"/>
    <w:rsid w:val="00962199"/>
    <w:rsid w:val="00962252"/>
    <w:rsid w:val="009622AA"/>
    <w:rsid w:val="009622B2"/>
    <w:rsid w:val="00962494"/>
    <w:rsid w:val="009624B1"/>
    <w:rsid w:val="009624BB"/>
    <w:rsid w:val="00962599"/>
    <w:rsid w:val="009625AF"/>
    <w:rsid w:val="009626CB"/>
    <w:rsid w:val="00962D2C"/>
    <w:rsid w:val="00962D79"/>
    <w:rsid w:val="00962EAB"/>
    <w:rsid w:val="00962EDC"/>
    <w:rsid w:val="00962FD0"/>
    <w:rsid w:val="00962FD6"/>
    <w:rsid w:val="00963010"/>
    <w:rsid w:val="009631FD"/>
    <w:rsid w:val="00963286"/>
    <w:rsid w:val="009632EB"/>
    <w:rsid w:val="00963346"/>
    <w:rsid w:val="0096341C"/>
    <w:rsid w:val="0096343F"/>
    <w:rsid w:val="00963450"/>
    <w:rsid w:val="00963499"/>
    <w:rsid w:val="0096358F"/>
    <w:rsid w:val="009635A7"/>
    <w:rsid w:val="00963600"/>
    <w:rsid w:val="00963656"/>
    <w:rsid w:val="00963747"/>
    <w:rsid w:val="00963797"/>
    <w:rsid w:val="009637B6"/>
    <w:rsid w:val="00963823"/>
    <w:rsid w:val="0096390E"/>
    <w:rsid w:val="00963A4A"/>
    <w:rsid w:val="00963A5A"/>
    <w:rsid w:val="00963B0C"/>
    <w:rsid w:val="00963CA0"/>
    <w:rsid w:val="00963E82"/>
    <w:rsid w:val="00963EB6"/>
    <w:rsid w:val="00963EE8"/>
    <w:rsid w:val="00963F64"/>
    <w:rsid w:val="00963FBB"/>
    <w:rsid w:val="00963FD5"/>
    <w:rsid w:val="00964038"/>
    <w:rsid w:val="0096410A"/>
    <w:rsid w:val="009641ED"/>
    <w:rsid w:val="009641EF"/>
    <w:rsid w:val="0096427F"/>
    <w:rsid w:val="00964349"/>
    <w:rsid w:val="00964380"/>
    <w:rsid w:val="0096439F"/>
    <w:rsid w:val="009644E2"/>
    <w:rsid w:val="009644FA"/>
    <w:rsid w:val="009645E8"/>
    <w:rsid w:val="00964635"/>
    <w:rsid w:val="00964718"/>
    <w:rsid w:val="009647FF"/>
    <w:rsid w:val="009649C9"/>
    <w:rsid w:val="009649E9"/>
    <w:rsid w:val="00964A9C"/>
    <w:rsid w:val="00964C39"/>
    <w:rsid w:val="00964CC2"/>
    <w:rsid w:val="00964EAA"/>
    <w:rsid w:val="00964F27"/>
    <w:rsid w:val="00964F3D"/>
    <w:rsid w:val="00965072"/>
    <w:rsid w:val="009650B2"/>
    <w:rsid w:val="009650DB"/>
    <w:rsid w:val="00965149"/>
    <w:rsid w:val="009652B8"/>
    <w:rsid w:val="0096549B"/>
    <w:rsid w:val="00965560"/>
    <w:rsid w:val="009656AA"/>
    <w:rsid w:val="00965842"/>
    <w:rsid w:val="00965923"/>
    <w:rsid w:val="0096596F"/>
    <w:rsid w:val="00965BA8"/>
    <w:rsid w:val="00965BB2"/>
    <w:rsid w:val="00965D6A"/>
    <w:rsid w:val="00965D9F"/>
    <w:rsid w:val="00965DE8"/>
    <w:rsid w:val="00965F40"/>
    <w:rsid w:val="00965FCE"/>
    <w:rsid w:val="009660C7"/>
    <w:rsid w:val="00966133"/>
    <w:rsid w:val="00966166"/>
    <w:rsid w:val="0096624F"/>
    <w:rsid w:val="009662B1"/>
    <w:rsid w:val="009662B7"/>
    <w:rsid w:val="00966333"/>
    <w:rsid w:val="00966366"/>
    <w:rsid w:val="009663B4"/>
    <w:rsid w:val="0096648C"/>
    <w:rsid w:val="0096655B"/>
    <w:rsid w:val="00966770"/>
    <w:rsid w:val="009667DE"/>
    <w:rsid w:val="009667E4"/>
    <w:rsid w:val="009668D8"/>
    <w:rsid w:val="00966A94"/>
    <w:rsid w:val="00966BED"/>
    <w:rsid w:val="00966C67"/>
    <w:rsid w:val="00966CDE"/>
    <w:rsid w:val="00966D39"/>
    <w:rsid w:val="00966FF8"/>
    <w:rsid w:val="0096704C"/>
    <w:rsid w:val="009670A3"/>
    <w:rsid w:val="00967125"/>
    <w:rsid w:val="00967219"/>
    <w:rsid w:val="0096721B"/>
    <w:rsid w:val="0096740A"/>
    <w:rsid w:val="00967461"/>
    <w:rsid w:val="009674B0"/>
    <w:rsid w:val="00967515"/>
    <w:rsid w:val="009676E8"/>
    <w:rsid w:val="00967825"/>
    <w:rsid w:val="00967978"/>
    <w:rsid w:val="009679E0"/>
    <w:rsid w:val="009679F2"/>
    <w:rsid w:val="00967A0D"/>
    <w:rsid w:val="00967B7F"/>
    <w:rsid w:val="00967BEE"/>
    <w:rsid w:val="00967BFB"/>
    <w:rsid w:val="00967C7E"/>
    <w:rsid w:val="00967E79"/>
    <w:rsid w:val="00967EB0"/>
    <w:rsid w:val="00967FC7"/>
    <w:rsid w:val="009700CC"/>
    <w:rsid w:val="009702D4"/>
    <w:rsid w:val="00970625"/>
    <w:rsid w:val="00970842"/>
    <w:rsid w:val="00970C6C"/>
    <w:rsid w:val="00970C97"/>
    <w:rsid w:val="00970E5C"/>
    <w:rsid w:val="00970EF3"/>
    <w:rsid w:val="00970F13"/>
    <w:rsid w:val="00970FFE"/>
    <w:rsid w:val="0097124E"/>
    <w:rsid w:val="00971471"/>
    <w:rsid w:val="0097149A"/>
    <w:rsid w:val="00971554"/>
    <w:rsid w:val="00971579"/>
    <w:rsid w:val="00971663"/>
    <w:rsid w:val="009716F7"/>
    <w:rsid w:val="009718A1"/>
    <w:rsid w:val="009718BE"/>
    <w:rsid w:val="009718D7"/>
    <w:rsid w:val="009718FC"/>
    <w:rsid w:val="009719A8"/>
    <w:rsid w:val="009719ED"/>
    <w:rsid w:val="00971A0A"/>
    <w:rsid w:val="00971AD8"/>
    <w:rsid w:val="00971DB9"/>
    <w:rsid w:val="00971FA0"/>
    <w:rsid w:val="00971FD1"/>
    <w:rsid w:val="009720A4"/>
    <w:rsid w:val="00972138"/>
    <w:rsid w:val="00972149"/>
    <w:rsid w:val="0097221E"/>
    <w:rsid w:val="0097225B"/>
    <w:rsid w:val="00972296"/>
    <w:rsid w:val="009722D7"/>
    <w:rsid w:val="0097230E"/>
    <w:rsid w:val="00972374"/>
    <w:rsid w:val="009724E7"/>
    <w:rsid w:val="009726D3"/>
    <w:rsid w:val="009726EA"/>
    <w:rsid w:val="00972849"/>
    <w:rsid w:val="00972867"/>
    <w:rsid w:val="0097288F"/>
    <w:rsid w:val="009729B3"/>
    <w:rsid w:val="009729BD"/>
    <w:rsid w:val="00972A09"/>
    <w:rsid w:val="00972A31"/>
    <w:rsid w:val="00972A37"/>
    <w:rsid w:val="00972B5D"/>
    <w:rsid w:val="00972EFE"/>
    <w:rsid w:val="00972FA4"/>
    <w:rsid w:val="009730B1"/>
    <w:rsid w:val="009730CD"/>
    <w:rsid w:val="009731F0"/>
    <w:rsid w:val="00973323"/>
    <w:rsid w:val="0097346F"/>
    <w:rsid w:val="0097377B"/>
    <w:rsid w:val="00973A50"/>
    <w:rsid w:val="00973A7D"/>
    <w:rsid w:val="00973AF0"/>
    <w:rsid w:val="00973D42"/>
    <w:rsid w:val="00973DF3"/>
    <w:rsid w:val="00973E67"/>
    <w:rsid w:val="00973E72"/>
    <w:rsid w:val="00973F11"/>
    <w:rsid w:val="00973FC5"/>
    <w:rsid w:val="00973FF3"/>
    <w:rsid w:val="00974048"/>
    <w:rsid w:val="00974105"/>
    <w:rsid w:val="0097414F"/>
    <w:rsid w:val="00974176"/>
    <w:rsid w:val="0097423D"/>
    <w:rsid w:val="0097437D"/>
    <w:rsid w:val="009745AB"/>
    <w:rsid w:val="009745C9"/>
    <w:rsid w:val="009746F5"/>
    <w:rsid w:val="00974897"/>
    <w:rsid w:val="0097489A"/>
    <w:rsid w:val="0097490A"/>
    <w:rsid w:val="00974B8D"/>
    <w:rsid w:val="00974CAD"/>
    <w:rsid w:val="00974D12"/>
    <w:rsid w:val="00974DC4"/>
    <w:rsid w:val="00974E1B"/>
    <w:rsid w:val="00974F0E"/>
    <w:rsid w:val="009752A7"/>
    <w:rsid w:val="0097532F"/>
    <w:rsid w:val="009753D7"/>
    <w:rsid w:val="009755FD"/>
    <w:rsid w:val="00975730"/>
    <w:rsid w:val="009757D0"/>
    <w:rsid w:val="009758C4"/>
    <w:rsid w:val="009758EC"/>
    <w:rsid w:val="0097595A"/>
    <w:rsid w:val="0097595C"/>
    <w:rsid w:val="00975AF5"/>
    <w:rsid w:val="00975B58"/>
    <w:rsid w:val="00975D4D"/>
    <w:rsid w:val="009760E6"/>
    <w:rsid w:val="009760EC"/>
    <w:rsid w:val="00976403"/>
    <w:rsid w:val="00976545"/>
    <w:rsid w:val="009765D7"/>
    <w:rsid w:val="0097669D"/>
    <w:rsid w:val="0097688D"/>
    <w:rsid w:val="009768C0"/>
    <w:rsid w:val="009768E8"/>
    <w:rsid w:val="00976AF4"/>
    <w:rsid w:val="00976BEB"/>
    <w:rsid w:val="00976C03"/>
    <w:rsid w:val="00976D6B"/>
    <w:rsid w:val="00976DBB"/>
    <w:rsid w:val="00976E4C"/>
    <w:rsid w:val="00976EA4"/>
    <w:rsid w:val="00976EC8"/>
    <w:rsid w:val="0097702B"/>
    <w:rsid w:val="009771C3"/>
    <w:rsid w:val="009771DF"/>
    <w:rsid w:val="00977284"/>
    <w:rsid w:val="00977336"/>
    <w:rsid w:val="00977415"/>
    <w:rsid w:val="009774B2"/>
    <w:rsid w:val="00977590"/>
    <w:rsid w:val="009775B3"/>
    <w:rsid w:val="009775EC"/>
    <w:rsid w:val="009777A5"/>
    <w:rsid w:val="009777AF"/>
    <w:rsid w:val="009777C5"/>
    <w:rsid w:val="009778D9"/>
    <w:rsid w:val="00977A11"/>
    <w:rsid w:val="00977AEC"/>
    <w:rsid w:val="00977B25"/>
    <w:rsid w:val="00977B8D"/>
    <w:rsid w:val="00977BCE"/>
    <w:rsid w:val="00977C23"/>
    <w:rsid w:val="00977CE5"/>
    <w:rsid w:val="00977D1E"/>
    <w:rsid w:val="00977D24"/>
    <w:rsid w:val="00977D6A"/>
    <w:rsid w:val="00977D72"/>
    <w:rsid w:val="00977F59"/>
    <w:rsid w:val="009800BC"/>
    <w:rsid w:val="00980152"/>
    <w:rsid w:val="00980251"/>
    <w:rsid w:val="0098028F"/>
    <w:rsid w:val="009802B6"/>
    <w:rsid w:val="009802E3"/>
    <w:rsid w:val="00980642"/>
    <w:rsid w:val="00980770"/>
    <w:rsid w:val="00980775"/>
    <w:rsid w:val="009807A7"/>
    <w:rsid w:val="009807FE"/>
    <w:rsid w:val="0098083C"/>
    <w:rsid w:val="009808A2"/>
    <w:rsid w:val="00980A10"/>
    <w:rsid w:val="00980A12"/>
    <w:rsid w:val="00980B34"/>
    <w:rsid w:val="00980B59"/>
    <w:rsid w:val="00980BF0"/>
    <w:rsid w:val="00980C85"/>
    <w:rsid w:val="00980D96"/>
    <w:rsid w:val="00980EF9"/>
    <w:rsid w:val="009810A8"/>
    <w:rsid w:val="00981128"/>
    <w:rsid w:val="009811E9"/>
    <w:rsid w:val="00981233"/>
    <w:rsid w:val="0098139D"/>
    <w:rsid w:val="009814E5"/>
    <w:rsid w:val="009814E8"/>
    <w:rsid w:val="0098155A"/>
    <w:rsid w:val="009815DF"/>
    <w:rsid w:val="00981776"/>
    <w:rsid w:val="009817AF"/>
    <w:rsid w:val="009817D2"/>
    <w:rsid w:val="009818B2"/>
    <w:rsid w:val="0098194E"/>
    <w:rsid w:val="00981A88"/>
    <w:rsid w:val="00981B71"/>
    <w:rsid w:val="00981BE1"/>
    <w:rsid w:val="00981E16"/>
    <w:rsid w:val="00981EFB"/>
    <w:rsid w:val="009820E1"/>
    <w:rsid w:val="009820FE"/>
    <w:rsid w:val="009821A8"/>
    <w:rsid w:val="009821FE"/>
    <w:rsid w:val="00982595"/>
    <w:rsid w:val="00982666"/>
    <w:rsid w:val="00982741"/>
    <w:rsid w:val="009827C1"/>
    <w:rsid w:val="00982941"/>
    <w:rsid w:val="00982994"/>
    <w:rsid w:val="009829A4"/>
    <w:rsid w:val="009829EC"/>
    <w:rsid w:val="00982AEF"/>
    <w:rsid w:val="00982BB6"/>
    <w:rsid w:val="00982C96"/>
    <w:rsid w:val="00982CC8"/>
    <w:rsid w:val="00982F79"/>
    <w:rsid w:val="00983037"/>
    <w:rsid w:val="0098310D"/>
    <w:rsid w:val="00983178"/>
    <w:rsid w:val="009831F0"/>
    <w:rsid w:val="00983297"/>
    <w:rsid w:val="009834BF"/>
    <w:rsid w:val="00983567"/>
    <w:rsid w:val="009835F5"/>
    <w:rsid w:val="00983658"/>
    <w:rsid w:val="00983684"/>
    <w:rsid w:val="00983777"/>
    <w:rsid w:val="0098378A"/>
    <w:rsid w:val="009837CF"/>
    <w:rsid w:val="009837F7"/>
    <w:rsid w:val="00983806"/>
    <w:rsid w:val="00983812"/>
    <w:rsid w:val="00983928"/>
    <w:rsid w:val="00983AA2"/>
    <w:rsid w:val="00983AE3"/>
    <w:rsid w:val="00983B57"/>
    <w:rsid w:val="00983CB0"/>
    <w:rsid w:val="00983CD2"/>
    <w:rsid w:val="00983E05"/>
    <w:rsid w:val="00983EB2"/>
    <w:rsid w:val="00983FD4"/>
    <w:rsid w:val="009840FE"/>
    <w:rsid w:val="00984303"/>
    <w:rsid w:val="00984392"/>
    <w:rsid w:val="009843C4"/>
    <w:rsid w:val="009843F9"/>
    <w:rsid w:val="0098447E"/>
    <w:rsid w:val="009844C2"/>
    <w:rsid w:val="009847AE"/>
    <w:rsid w:val="009847B8"/>
    <w:rsid w:val="009847DC"/>
    <w:rsid w:val="0098482E"/>
    <w:rsid w:val="00984912"/>
    <w:rsid w:val="00984999"/>
    <w:rsid w:val="00984AE3"/>
    <w:rsid w:val="00984BEF"/>
    <w:rsid w:val="00984C50"/>
    <w:rsid w:val="00984D83"/>
    <w:rsid w:val="00984DE6"/>
    <w:rsid w:val="00984EF4"/>
    <w:rsid w:val="00984F72"/>
    <w:rsid w:val="009850E8"/>
    <w:rsid w:val="00985173"/>
    <w:rsid w:val="00985188"/>
    <w:rsid w:val="009852A4"/>
    <w:rsid w:val="00985356"/>
    <w:rsid w:val="00985370"/>
    <w:rsid w:val="00985425"/>
    <w:rsid w:val="00985477"/>
    <w:rsid w:val="00985548"/>
    <w:rsid w:val="009856A8"/>
    <w:rsid w:val="009856F2"/>
    <w:rsid w:val="0098575F"/>
    <w:rsid w:val="009857BA"/>
    <w:rsid w:val="009857D3"/>
    <w:rsid w:val="00985808"/>
    <w:rsid w:val="009858EB"/>
    <w:rsid w:val="009858EF"/>
    <w:rsid w:val="00985B31"/>
    <w:rsid w:val="00985BA8"/>
    <w:rsid w:val="00985C62"/>
    <w:rsid w:val="00985EB7"/>
    <w:rsid w:val="00986093"/>
    <w:rsid w:val="0098618B"/>
    <w:rsid w:val="00986212"/>
    <w:rsid w:val="009862B1"/>
    <w:rsid w:val="0098633A"/>
    <w:rsid w:val="00986368"/>
    <w:rsid w:val="0098640C"/>
    <w:rsid w:val="009865EE"/>
    <w:rsid w:val="00986604"/>
    <w:rsid w:val="0098668F"/>
    <w:rsid w:val="0098672C"/>
    <w:rsid w:val="0098689A"/>
    <w:rsid w:val="009868FD"/>
    <w:rsid w:val="0098693F"/>
    <w:rsid w:val="00986952"/>
    <w:rsid w:val="009869ED"/>
    <w:rsid w:val="009869FC"/>
    <w:rsid w:val="00986A25"/>
    <w:rsid w:val="00986A70"/>
    <w:rsid w:val="00986B09"/>
    <w:rsid w:val="00986B3E"/>
    <w:rsid w:val="00986B73"/>
    <w:rsid w:val="00986CCC"/>
    <w:rsid w:val="00986FB3"/>
    <w:rsid w:val="00986FF9"/>
    <w:rsid w:val="00987063"/>
    <w:rsid w:val="0098710A"/>
    <w:rsid w:val="0098717E"/>
    <w:rsid w:val="009872CC"/>
    <w:rsid w:val="009874C4"/>
    <w:rsid w:val="009875D6"/>
    <w:rsid w:val="009875ED"/>
    <w:rsid w:val="0098761E"/>
    <w:rsid w:val="009876C1"/>
    <w:rsid w:val="00987714"/>
    <w:rsid w:val="009878E7"/>
    <w:rsid w:val="009878EF"/>
    <w:rsid w:val="00987922"/>
    <w:rsid w:val="00987A13"/>
    <w:rsid w:val="00987AA4"/>
    <w:rsid w:val="00987ADF"/>
    <w:rsid w:val="00987AFF"/>
    <w:rsid w:val="00987D99"/>
    <w:rsid w:val="00987DCD"/>
    <w:rsid w:val="00987E8E"/>
    <w:rsid w:val="00987F1B"/>
    <w:rsid w:val="0099004C"/>
    <w:rsid w:val="00990078"/>
    <w:rsid w:val="0099008D"/>
    <w:rsid w:val="009900F5"/>
    <w:rsid w:val="0099016C"/>
    <w:rsid w:val="0099027B"/>
    <w:rsid w:val="009902CF"/>
    <w:rsid w:val="0099037D"/>
    <w:rsid w:val="00990380"/>
    <w:rsid w:val="009903E6"/>
    <w:rsid w:val="009904D5"/>
    <w:rsid w:val="00990818"/>
    <w:rsid w:val="00990884"/>
    <w:rsid w:val="009908C3"/>
    <w:rsid w:val="0099098B"/>
    <w:rsid w:val="009909B5"/>
    <w:rsid w:val="00990A9E"/>
    <w:rsid w:val="00990ADB"/>
    <w:rsid w:val="00990F60"/>
    <w:rsid w:val="0099105C"/>
    <w:rsid w:val="00991076"/>
    <w:rsid w:val="00991200"/>
    <w:rsid w:val="009914DB"/>
    <w:rsid w:val="0099150C"/>
    <w:rsid w:val="009915B7"/>
    <w:rsid w:val="009915E7"/>
    <w:rsid w:val="0099177E"/>
    <w:rsid w:val="009917B4"/>
    <w:rsid w:val="009917F3"/>
    <w:rsid w:val="0099189B"/>
    <w:rsid w:val="00991BFB"/>
    <w:rsid w:val="00991C00"/>
    <w:rsid w:val="00991C4D"/>
    <w:rsid w:val="00991D54"/>
    <w:rsid w:val="00991F18"/>
    <w:rsid w:val="00991FBA"/>
    <w:rsid w:val="00992063"/>
    <w:rsid w:val="00992321"/>
    <w:rsid w:val="00992490"/>
    <w:rsid w:val="00992600"/>
    <w:rsid w:val="0099260C"/>
    <w:rsid w:val="009926F8"/>
    <w:rsid w:val="0099276D"/>
    <w:rsid w:val="009927EA"/>
    <w:rsid w:val="0099281A"/>
    <w:rsid w:val="009928B1"/>
    <w:rsid w:val="009928DF"/>
    <w:rsid w:val="0099299E"/>
    <w:rsid w:val="009929B2"/>
    <w:rsid w:val="00992B62"/>
    <w:rsid w:val="00992B93"/>
    <w:rsid w:val="00992C2D"/>
    <w:rsid w:val="00992CC8"/>
    <w:rsid w:val="00992E07"/>
    <w:rsid w:val="00992E49"/>
    <w:rsid w:val="00992F37"/>
    <w:rsid w:val="00992FAB"/>
    <w:rsid w:val="0099300E"/>
    <w:rsid w:val="009932F1"/>
    <w:rsid w:val="009933F1"/>
    <w:rsid w:val="0099376F"/>
    <w:rsid w:val="0099379E"/>
    <w:rsid w:val="00993824"/>
    <w:rsid w:val="00993980"/>
    <w:rsid w:val="00993A77"/>
    <w:rsid w:val="00993AB9"/>
    <w:rsid w:val="00993B93"/>
    <w:rsid w:val="00993D43"/>
    <w:rsid w:val="00993D52"/>
    <w:rsid w:val="00993E71"/>
    <w:rsid w:val="00993F12"/>
    <w:rsid w:val="00993F2C"/>
    <w:rsid w:val="0099414E"/>
    <w:rsid w:val="00994164"/>
    <w:rsid w:val="0099438F"/>
    <w:rsid w:val="009943E7"/>
    <w:rsid w:val="0099456B"/>
    <w:rsid w:val="009945C7"/>
    <w:rsid w:val="00994706"/>
    <w:rsid w:val="0099480D"/>
    <w:rsid w:val="00994A59"/>
    <w:rsid w:val="00994B61"/>
    <w:rsid w:val="00994F57"/>
    <w:rsid w:val="0099503E"/>
    <w:rsid w:val="0099505F"/>
    <w:rsid w:val="0099513C"/>
    <w:rsid w:val="0099516B"/>
    <w:rsid w:val="009951C1"/>
    <w:rsid w:val="009951DB"/>
    <w:rsid w:val="00995213"/>
    <w:rsid w:val="009952A0"/>
    <w:rsid w:val="009952DF"/>
    <w:rsid w:val="00995414"/>
    <w:rsid w:val="0099541F"/>
    <w:rsid w:val="0099547F"/>
    <w:rsid w:val="00995486"/>
    <w:rsid w:val="0099565D"/>
    <w:rsid w:val="009956B1"/>
    <w:rsid w:val="009956C4"/>
    <w:rsid w:val="009956D8"/>
    <w:rsid w:val="0099581F"/>
    <w:rsid w:val="00995870"/>
    <w:rsid w:val="009958F4"/>
    <w:rsid w:val="009958F7"/>
    <w:rsid w:val="009959AE"/>
    <w:rsid w:val="009959B5"/>
    <w:rsid w:val="00995ADB"/>
    <w:rsid w:val="00995B6D"/>
    <w:rsid w:val="00995C92"/>
    <w:rsid w:val="00995CA7"/>
    <w:rsid w:val="00995DF9"/>
    <w:rsid w:val="00995E36"/>
    <w:rsid w:val="00995E67"/>
    <w:rsid w:val="00995F15"/>
    <w:rsid w:val="009961B4"/>
    <w:rsid w:val="00996268"/>
    <w:rsid w:val="0099636C"/>
    <w:rsid w:val="00996408"/>
    <w:rsid w:val="0099644C"/>
    <w:rsid w:val="00996503"/>
    <w:rsid w:val="00996531"/>
    <w:rsid w:val="0099655F"/>
    <w:rsid w:val="00996598"/>
    <w:rsid w:val="009965C5"/>
    <w:rsid w:val="009966C2"/>
    <w:rsid w:val="00996708"/>
    <w:rsid w:val="0099676C"/>
    <w:rsid w:val="0099686B"/>
    <w:rsid w:val="00996C12"/>
    <w:rsid w:val="00996C8C"/>
    <w:rsid w:val="00996D67"/>
    <w:rsid w:val="00996FC4"/>
    <w:rsid w:val="00997015"/>
    <w:rsid w:val="00997066"/>
    <w:rsid w:val="0099740A"/>
    <w:rsid w:val="0099750B"/>
    <w:rsid w:val="0099761E"/>
    <w:rsid w:val="009977D3"/>
    <w:rsid w:val="00997896"/>
    <w:rsid w:val="00997976"/>
    <w:rsid w:val="009979ED"/>
    <w:rsid w:val="00997DCE"/>
    <w:rsid w:val="00997E52"/>
    <w:rsid w:val="00997EB1"/>
    <w:rsid w:val="009A00AE"/>
    <w:rsid w:val="009A0102"/>
    <w:rsid w:val="009A0164"/>
    <w:rsid w:val="009A01EA"/>
    <w:rsid w:val="009A02F3"/>
    <w:rsid w:val="009A057C"/>
    <w:rsid w:val="009A06F8"/>
    <w:rsid w:val="009A0855"/>
    <w:rsid w:val="009A0A71"/>
    <w:rsid w:val="009A0A74"/>
    <w:rsid w:val="009A0B65"/>
    <w:rsid w:val="009A0C25"/>
    <w:rsid w:val="009A0DC2"/>
    <w:rsid w:val="009A0DE0"/>
    <w:rsid w:val="009A0E45"/>
    <w:rsid w:val="009A1003"/>
    <w:rsid w:val="009A1089"/>
    <w:rsid w:val="009A1135"/>
    <w:rsid w:val="009A1178"/>
    <w:rsid w:val="009A11A6"/>
    <w:rsid w:val="009A12D9"/>
    <w:rsid w:val="009A12EB"/>
    <w:rsid w:val="009A13E0"/>
    <w:rsid w:val="009A140A"/>
    <w:rsid w:val="009A146A"/>
    <w:rsid w:val="009A148D"/>
    <w:rsid w:val="009A15F7"/>
    <w:rsid w:val="009A16A1"/>
    <w:rsid w:val="009A1730"/>
    <w:rsid w:val="009A187F"/>
    <w:rsid w:val="009A1939"/>
    <w:rsid w:val="009A19D9"/>
    <w:rsid w:val="009A1A16"/>
    <w:rsid w:val="009A1A5A"/>
    <w:rsid w:val="009A1A8D"/>
    <w:rsid w:val="009A1BC4"/>
    <w:rsid w:val="009A1C52"/>
    <w:rsid w:val="009A1CC0"/>
    <w:rsid w:val="009A1D3D"/>
    <w:rsid w:val="009A1EE1"/>
    <w:rsid w:val="009A1F79"/>
    <w:rsid w:val="009A1FAE"/>
    <w:rsid w:val="009A1FBC"/>
    <w:rsid w:val="009A201C"/>
    <w:rsid w:val="009A2082"/>
    <w:rsid w:val="009A20E8"/>
    <w:rsid w:val="009A211A"/>
    <w:rsid w:val="009A2140"/>
    <w:rsid w:val="009A21B7"/>
    <w:rsid w:val="009A21D4"/>
    <w:rsid w:val="009A226C"/>
    <w:rsid w:val="009A240D"/>
    <w:rsid w:val="009A2416"/>
    <w:rsid w:val="009A2521"/>
    <w:rsid w:val="009A2598"/>
    <w:rsid w:val="009A2655"/>
    <w:rsid w:val="009A2702"/>
    <w:rsid w:val="009A271A"/>
    <w:rsid w:val="009A2795"/>
    <w:rsid w:val="009A27DF"/>
    <w:rsid w:val="009A2838"/>
    <w:rsid w:val="009A29BF"/>
    <w:rsid w:val="009A2AFD"/>
    <w:rsid w:val="009A2D5D"/>
    <w:rsid w:val="009A2EEF"/>
    <w:rsid w:val="009A2F97"/>
    <w:rsid w:val="009A3022"/>
    <w:rsid w:val="009A308F"/>
    <w:rsid w:val="009A3119"/>
    <w:rsid w:val="009A327E"/>
    <w:rsid w:val="009A3364"/>
    <w:rsid w:val="009A3500"/>
    <w:rsid w:val="009A3540"/>
    <w:rsid w:val="009A35D6"/>
    <w:rsid w:val="009A3812"/>
    <w:rsid w:val="009A381C"/>
    <w:rsid w:val="009A38E4"/>
    <w:rsid w:val="009A3925"/>
    <w:rsid w:val="009A3A00"/>
    <w:rsid w:val="009A3AE5"/>
    <w:rsid w:val="009A3BB1"/>
    <w:rsid w:val="009A3CB1"/>
    <w:rsid w:val="009A3D11"/>
    <w:rsid w:val="009A3D66"/>
    <w:rsid w:val="009A3E42"/>
    <w:rsid w:val="009A3F69"/>
    <w:rsid w:val="009A400C"/>
    <w:rsid w:val="009A406A"/>
    <w:rsid w:val="009A43A2"/>
    <w:rsid w:val="009A43B9"/>
    <w:rsid w:val="009A4412"/>
    <w:rsid w:val="009A4665"/>
    <w:rsid w:val="009A47D3"/>
    <w:rsid w:val="009A489A"/>
    <w:rsid w:val="009A4934"/>
    <w:rsid w:val="009A4AEC"/>
    <w:rsid w:val="009A4B06"/>
    <w:rsid w:val="009A4BBC"/>
    <w:rsid w:val="009A4C17"/>
    <w:rsid w:val="009A4C98"/>
    <w:rsid w:val="009A4CA2"/>
    <w:rsid w:val="009A4D47"/>
    <w:rsid w:val="009A4D66"/>
    <w:rsid w:val="009A4D7F"/>
    <w:rsid w:val="009A4F17"/>
    <w:rsid w:val="009A4F9A"/>
    <w:rsid w:val="009A5144"/>
    <w:rsid w:val="009A5236"/>
    <w:rsid w:val="009A5245"/>
    <w:rsid w:val="009A5250"/>
    <w:rsid w:val="009A5697"/>
    <w:rsid w:val="009A56EE"/>
    <w:rsid w:val="009A574A"/>
    <w:rsid w:val="009A576F"/>
    <w:rsid w:val="009A57DF"/>
    <w:rsid w:val="009A5810"/>
    <w:rsid w:val="009A5896"/>
    <w:rsid w:val="009A58A0"/>
    <w:rsid w:val="009A58F3"/>
    <w:rsid w:val="009A5982"/>
    <w:rsid w:val="009A598F"/>
    <w:rsid w:val="009A59FF"/>
    <w:rsid w:val="009A5B43"/>
    <w:rsid w:val="009A5C07"/>
    <w:rsid w:val="009A5C60"/>
    <w:rsid w:val="009A5D0D"/>
    <w:rsid w:val="009A5DDB"/>
    <w:rsid w:val="009A5ED4"/>
    <w:rsid w:val="009A5FA0"/>
    <w:rsid w:val="009A5FCE"/>
    <w:rsid w:val="009A5FFA"/>
    <w:rsid w:val="009A603F"/>
    <w:rsid w:val="009A60BF"/>
    <w:rsid w:val="009A60D4"/>
    <w:rsid w:val="009A61A2"/>
    <w:rsid w:val="009A61A9"/>
    <w:rsid w:val="009A62BB"/>
    <w:rsid w:val="009A63B7"/>
    <w:rsid w:val="009A661E"/>
    <w:rsid w:val="009A6655"/>
    <w:rsid w:val="009A6798"/>
    <w:rsid w:val="009A68D6"/>
    <w:rsid w:val="009A6A48"/>
    <w:rsid w:val="009A6BFF"/>
    <w:rsid w:val="009A6E34"/>
    <w:rsid w:val="009A6F07"/>
    <w:rsid w:val="009A6F7C"/>
    <w:rsid w:val="009A7012"/>
    <w:rsid w:val="009A70DA"/>
    <w:rsid w:val="009A7329"/>
    <w:rsid w:val="009A7485"/>
    <w:rsid w:val="009A7609"/>
    <w:rsid w:val="009A7612"/>
    <w:rsid w:val="009A7A83"/>
    <w:rsid w:val="009A7A9F"/>
    <w:rsid w:val="009A7AA4"/>
    <w:rsid w:val="009A7AB8"/>
    <w:rsid w:val="009A7AFB"/>
    <w:rsid w:val="009A7D11"/>
    <w:rsid w:val="009A7E83"/>
    <w:rsid w:val="009B0094"/>
    <w:rsid w:val="009B00C4"/>
    <w:rsid w:val="009B019D"/>
    <w:rsid w:val="009B01CB"/>
    <w:rsid w:val="009B02B2"/>
    <w:rsid w:val="009B03EF"/>
    <w:rsid w:val="009B0723"/>
    <w:rsid w:val="009B0797"/>
    <w:rsid w:val="009B08A3"/>
    <w:rsid w:val="009B08A5"/>
    <w:rsid w:val="009B0958"/>
    <w:rsid w:val="009B0A93"/>
    <w:rsid w:val="009B0AA2"/>
    <w:rsid w:val="009B0B86"/>
    <w:rsid w:val="009B0C0C"/>
    <w:rsid w:val="009B0C1F"/>
    <w:rsid w:val="009B0C8F"/>
    <w:rsid w:val="009B0CEB"/>
    <w:rsid w:val="009B0CF7"/>
    <w:rsid w:val="009B0CF8"/>
    <w:rsid w:val="009B0CF9"/>
    <w:rsid w:val="009B0CFA"/>
    <w:rsid w:val="009B0E93"/>
    <w:rsid w:val="009B0F55"/>
    <w:rsid w:val="009B1127"/>
    <w:rsid w:val="009B118D"/>
    <w:rsid w:val="009B11CD"/>
    <w:rsid w:val="009B11FD"/>
    <w:rsid w:val="009B122B"/>
    <w:rsid w:val="009B1269"/>
    <w:rsid w:val="009B14E2"/>
    <w:rsid w:val="009B1571"/>
    <w:rsid w:val="009B157E"/>
    <w:rsid w:val="009B16C3"/>
    <w:rsid w:val="009B1749"/>
    <w:rsid w:val="009B1867"/>
    <w:rsid w:val="009B197E"/>
    <w:rsid w:val="009B1A14"/>
    <w:rsid w:val="009B1B4F"/>
    <w:rsid w:val="009B1E1E"/>
    <w:rsid w:val="009B1EFB"/>
    <w:rsid w:val="009B2069"/>
    <w:rsid w:val="009B20AB"/>
    <w:rsid w:val="009B20C2"/>
    <w:rsid w:val="009B2144"/>
    <w:rsid w:val="009B21D3"/>
    <w:rsid w:val="009B2335"/>
    <w:rsid w:val="009B233E"/>
    <w:rsid w:val="009B2349"/>
    <w:rsid w:val="009B243A"/>
    <w:rsid w:val="009B2510"/>
    <w:rsid w:val="009B252E"/>
    <w:rsid w:val="009B29B6"/>
    <w:rsid w:val="009B29C3"/>
    <w:rsid w:val="009B29D8"/>
    <w:rsid w:val="009B29E5"/>
    <w:rsid w:val="009B29E9"/>
    <w:rsid w:val="009B2A33"/>
    <w:rsid w:val="009B2C02"/>
    <w:rsid w:val="009B2E8C"/>
    <w:rsid w:val="009B2FF4"/>
    <w:rsid w:val="009B31C5"/>
    <w:rsid w:val="009B32A0"/>
    <w:rsid w:val="009B32A6"/>
    <w:rsid w:val="009B340F"/>
    <w:rsid w:val="009B347A"/>
    <w:rsid w:val="009B34C7"/>
    <w:rsid w:val="009B3576"/>
    <w:rsid w:val="009B357B"/>
    <w:rsid w:val="009B3583"/>
    <w:rsid w:val="009B3637"/>
    <w:rsid w:val="009B36ED"/>
    <w:rsid w:val="009B385E"/>
    <w:rsid w:val="009B3923"/>
    <w:rsid w:val="009B3BB3"/>
    <w:rsid w:val="009B3CD1"/>
    <w:rsid w:val="009B3F76"/>
    <w:rsid w:val="009B4030"/>
    <w:rsid w:val="009B415C"/>
    <w:rsid w:val="009B41B9"/>
    <w:rsid w:val="009B41C9"/>
    <w:rsid w:val="009B426F"/>
    <w:rsid w:val="009B43AB"/>
    <w:rsid w:val="009B44DA"/>
    <w:rsid w:val="009B46D3"/>
    <w:rsid w:val="009B4778"/>
    <w:rsid w:val="009B47DB"/>
    <w:rsid w:val="009B4937"/>
    <w:rsid w:val="009B494B"/>
    <w:rsid w:val="009B496D"/>
    <w:rsid w:val="009B4AB0"/>
    <w:rsid w:val="009B4B09"/>
    <w:rsid w:val="009B4B9D"/>
    <w:rsid w:val="009B4D1E"/>
    <w:rsid w:val="009B4D8C"/>
    <w:rsid w:val="009B5137"/>
    <w:rsid w:val="009B5152"/>
    <w:rsid w:val="009B515B"/>
    <w:rsid w:val="009B520A"/>
    <w:rsid w:val="009B523E"/>
    <w:rsid w:val="009B5279"/>
    <w:rsid w:val="009B52EF"/>
    <w:rsid w:val="009B550B"/>
    <w:rsid w:val="009B5698"/>
    <w:rsid w:val="009B56EA"/>
    <w:rsid w:val="009B571F"/>
    <w:rsid w:val="009B575B"/>
    <w:rsid w:val="009B57C7"/>
    <w:rsid w:val="009B5939"/>
    <w:rsid w:val="009B5BE2"/>
    <w:rsid w:val="009B5C2E"/>
    <w:rsid w:val="009B5D63"/>
    <w:rsid w:val="009B5E3E"/>
    <w:rsid w:val="009B5E6B"/>
    <w:rsid w:val="009B5EEE"/>
    <w:rsid w:val="009B5F8D"/>
    <w:rsid w:val="009B5FFA"/>
    <w:rsid w:val="009B609A"/>
    <w:rsid w:val="009B623E"/>
    <w:rsid w:val="009B626A"/>
    <w:rsid w:val="009B6545"/>
    <w:rsid w:val="009B6592"/>
    <w:rsid w:val="009B6641"/>
    <w:rsid w:val="009B676F"/>
    <w:rsid w:val="009B6784"/>
    <w:rsid w:val="009B6876"/>
    <w:rsid w:val="009B68CC"/>
    <w:rsid w:val="009B68F6"/>
    <w:rsid w:val="009B6BFE"/>
    <w:rsid w:val="009B6C13"/>
    <w:rsid w:val="009B6D13"/>
    <w:rsid w:val="009B6D84"/>
    <w:rsid w:val="009B70E3"/>
    <w:rsid w:val="009B7541"/>
    <w:rsid w:val="009B776E"/>
    <w:rsid w:val="009B777B"/>
    <w:rsid w:val="009B781D"/>
    <w:rsid w:val="009B783C"/>
    <w:rsid w:val="009B7842"/>
    <w:rsid w:val="009B7914"/>
    <w:rsid w:val="009B7A1B"/>
    <w:rsid w:val="009B7AA0"/>
    <w:rsid w:val="009B7BB8"/>
    <w:rsid w:val="009B7C2F"/>
    <w:rsid w:val="009B7D0D"/>
    <w:rsid w:val="009B7D15"/>
    <w:rsid w:val="009B7DC0"/>
    <w:rsid w:val="009B7EC5"/>
    <w:rsid w:val="009B7EE1"/>
    <w:rsid w:val="009B7F72"/>
    <w:rsid w:val="009C002F"/>
    <w:rsid w:val="009C0098"/>
    <w:rsid w:val="009C00EC"/>
    <w:rsid w:val="009C0152"/>
    <w:rsid w:val="009C01B3"/>
    <w:rsid w:val="009C025A"/>
    <w:rsid w:val="009C03C9"/>
    <w:rsid w:val="009C03DB"/>
    <w:rsid w:val="009C0434"/>
    <w:rsid w:val="009C04B0"/>
    <w:rsid w:val="009C06DE"/>
    <w:rsid w:val="009C075D"/>
    <w:rsid w:val="009C0785"/>
    <w:rsid w:val="009C090E"/>
    <w:rsid w:val="009C093B"/>
    <w:rsid w:val="009C0A84"/>
    <w:rsid w:val="009C0C9B"/>
    <w:rsid w:val="009C0D07"/>
    <w:rsid w:val="009C0E43"/>
    <w:rsid w:val="009C1136"/>
    <w:rsid w:val="009C1150"/>
    <w:rsid w:val="009C117F"/>
    <w:rsid w:val="009C11FA"/>
    <w:rsid w:val="009C1200"/>
    <w:rsid w:val="009C14BA"/>
    <w:rsid w:val="009C17B7"/>
    <w:rsid w:val="009C181E"/>
    <w:rsid w:val="009C1853"/>
    <w:rsid w:val="009C1939"/>
    <w:rsid w:val="009C1A45"/>
    <w:rsid w:val="009C1A4E"/>
    <w:rsid w:val="009C1B0C"/>
    <w:rsid w:val="009C1B77"/>
    <w:rsid w:val="009C1E94"/>
    <w:rsid w:val="009C1F49"/>
    <w:rsid w:val="009C1F86"/>
    <w:rsid w:val="009C2064"/>
    <w:rsid w:val="009C21E4"/>
    <w:rsid w:val="009C221D"/>
    <w:rsid w:val="009C2315"/>
    <w:rsid w:val="009C2319"/>
    <w:rsid w:val="009C23FF"/>
    <w:rsid w:val="009C260D"/>
    <w:rsid w:val="009C2688"/>
    <w:rsid w:val="009C26CF"/>
    <w:rsid w:val="009C2701"/>
    <w:rsid w:val="009C271D"/>
    <w:rsid w:val="009C2725"/>
    <w:rsid w:val="009C2811"/>
    <w:rsid w:val="009C2948"/>
    <w:rsid w:val="009C2CC0"/>
    <w:rsid w:val="009C2D3A"/>
    <w:rsid w:val="009C2D6A"/>
    <w:rsid w:val="009C2E64"/>
    <w:rsid w:val="009C2FA1"/>
    <w:rsid w:val="009C2FB9"/>
    <w:rsid w:val="009C2FBC"/>
    <w:rsid w:val="009C2FC0"/>
    <w:rsid w:val="009C3005"/>
    <w:rsid w:val="009C302A"/>
    <w:rsid w:val="009C3233"/>
    <w:rsid w:val="009C325B"/>
    <w:rsid w:val="009C327D"/>
    <w:rsid w:val="009C32BE"/>
    <w:rsid w:val="009C3355"/>
    <w:rsid w:val="009C3369"/>
    <w:rsid w:val="009C33B8"/>
    <w:rsid w:val="009C3406"/>
    <w:rsid w:val="009C362B"/>
    <w:rsid w:val="009C362D"/>
    <w:rsid w:val="009C3984"/>
    <w:rsid w:val="009C39B1"/>
    <w:rsid w:val="009C3B99"/>
    <w:rsid w:val="009C3C29"/>
    <w:rsid w:val="009C3F8F"/>
    <w:rsid w:val="009C400E"/>
    <w:rsid w:val="009C40A9"/>
    <w:rsid w:val="009C4166"/>
    <w:rsid w:val="009C41B0"/>
    <w:rsid w:val="009C41EB"/>
    <w:rsid w:val="009C4239"/>
    <w:rsid w:val="009C4476"/>
    <w:rsid w:val="009C44E5"/>
    <w:rsid w:val="009C4585"/>
    <w:rsid w:val="009C464F"/>
    <w:rsid w:val="009C471D"/>
    <w:rsid w:val="009C4817"/>
    <w:rsid w:val="009C499F"/>
    <w:rsid w:val="009C49E3"/>
    <w:rsid w:val="009C49E6"/>
    <w:rsid w:val="009C4A3B"/>
    <w:rsid w:val="009C4AAE"/>
    <w:rsid w:val="009C4BB1"/>
    <w:rsid w:val="009C4BBC"/>
    <w:rsid w:val="009C4F84"/>
    <w:rsid w:val="009C5025"/>
    <w:rsid w:val="009C51B3"/>
    <w:rsid w:val="009C5461"/>
    <w:rsid w:val="009C5489"/>
    <w:rsid w:val="009C54BB"/>
    <w:rsid w:val="009C553D"/>
    <w:rsid w:val="009C59EE"/>
    <w:rsid w:val="009C5C78"/>
    <w:rsid w:val="009C5CE2"/>
    <w:rsid w:val="009C5FE4"/>
    <w:rsid w:val="009C6125"/>
    <w:rsid w:val="009C6126"/>
    <w:rsid w:val="009C617D"/>
    <w:rsid w:val="009C61ED"/>
    <w:rsid w:val="009C6269"/>
    <w:rsid w:val="009C644F"/>
    <w:rsid w:val="009C6464"/>
    <w:rsid w:val="009C6494"/>
    <w:rsid w:val="009C64D7"/>
    <w:rsid w:val="009C651B"/>
    <w:rsid w:val="009C669D"/>
    <w:rsid w:val="009C673D"/>
    <w:rsid w:val="009C6755"/>
    <w:rsid w:val="009C677A"/>
    <w:rsid w:val="009C67A0"/>
    <w:rsid w:val="009C6839"/>
    <w:rsid w:val="009C6840"/>
    <w:rsid w:val="009C6854"/>
    <w:rsid w:val="009C691B"/>
    <w:rsid w:val="009C6A46"/>
    <w:rsid w:val="009C6C12"/>
    <w:rsid w:val="009C6C25"/>
    <w:rsid w:val="009C6C5B"/>
    <w:rsid w:val="009C6C72"/>
    <w:rsid w:val="009C6DCB"/>
    <w:rsid w:val="009C6E86"/>
    <w:rsid w:val="009C6FD9"/>
    <w:rsid w:val="009C70D5"/>
    <w:rsid w:val="009C70E2"/>
    <w:rsid w:val="009C7168"/>
    <w:rsid w:val="009C720D"/>
    <w:rsid w:val="009C721C"/>
    <w:rsid w:val="009C72F3"/>
    <w:rsid w:val="009C732D"/>
    <w:rsid w:val="009C74E1"/>
    <w:rsid w:val="009C74E3"/>
    <w:rsid w:val="009C74FC"/>
    <w:rsid w:val="009C753B"/>
    <w:rsid w:val="009C76DD"/>
    <w:rsid w:val="009C77BD"/>
    <w:rsid w:val="009C7805"/>
    <w:rsid w:val="009C780D"/>
    <w:rsid w:val="009C78F4"/>
    <w:rsid w:val="009C7922"/>
    <w:rsid w:val="009C7955"/>
    <w:rsid w:val="009C7957"/>
    <w:rsid w:val="009C7995"/>
    <w:rsid w:val="009C7A78"/>
    <w:rsid w:val="009C7B77"/>
    <w:rsid w:val="009C7BEF"/>
    <w:rsid w:val="009C7C06"/>
    <w:rsid w:val="009C7C7B"/>
    <w:rsid w:val="009C7E21"/>
    <w:rsid w:val="009D004A"/>
    <w:rsid w:val="009D0136"/>
    <w:rsid w:val="009D01B4"/>
    <w:rsid w:val="009D01D1"/>
    <w:rsid w:val="009D0271"/>
    <w:rsid w:val="009D02CC"/>
    <w:rsid w:val="009D0466"/>
    <w:rsid w:val="009D0690"/>
    <w:rsid w:val="009D06AC"/>
    <w:rsid w:val="009D0702"/>
    <w:rsid w:val="009D0828"/>
    <w:rsid w:val="009D0861"/>
    <w:rsid w:val="009D086F"/>
    <w:rsid w:val="009D08F5"/>
    <w:rsid w:val="009D090D"/>
    <w:rsid w:val="009D0912"/>
    <w:rsid w:val="009D0BD5"/>
    <w:rsid w:val="009D0BEF"/>
    <w:rsid w:val="009D0C0D"/>
    <w:rsid w:val="009D0D37"/>
    <w:rsid w:val="009D0D69"/>
    <w:rsid w:val="009D0F23"/>
    <w:rsid w:val="009D1241"/>
    <w:rsid w:val="009D1460"/>
    <w:rsid w:val="009D14D4"/>
    <w:rsid w:val="009D15A8"/>
    <w:rsid w:val="009D16C0"/>
    <w:rsid w:val="009D1734"/>
    <w:rsid w:val="009D1791"/>
    <w:rsid w:val="009D1797"/>
    <w:rsid w:val="009D181A"/>
    <w:rsid w:val="009D1825"/>
    <w:rsid w:val="009D1859"/>
    <w:rsid w:val="009D1996"/>
    <w:rsid w:val="009D1B7B"/>
    <w:rsid w:val="009D1D9B"/>
    <w:rsid w:val="009D1DCB"/>
    <w:rsid w:val="009D1E99"/>
    <w:rsid w:val="009D1F9F"/>
    <w:rsid w:val="009D20D9"/>
    <w:rsid w:val="009D2238"/>
    <w:rsid w:val="009D223B"/>
    <w:rsid w:val="009D22F9"/>
    <w:rsid w:val="009D2366"/>
    <w:rsid w:val="009D246C"/>
    <w:rsid w:val="009D26D1"/>
    <w:rsid w:val="009D281C"/>
    <w:rsid w:val="009D2851"/>
    <w:rsid w:val="009D2865"/>
    <w:rsid w:val="009D2952"/>
    <w:rsid w:val="009D29D1"/>
    <w:rsid w:val="009D2B77"/>
    <w:rsid w:val="009D2D93"/>
    <w:rsid w:val="009D2DEE"/>
    <w:rsid w:val="009D2E20"/>
    <w:rsid w:val="009D2EF6"/>
    <w:rsid w:val="009D2FA7"/>
    <w:rsid w:val="009D319C"/>
    <w:rsid w:val="009D3311"/>
    <w:rsid w:val="009D34DB"/>
    <w:rsid w:val="009D34FE"/>
    <w:rsid w:val="009D392B"/>
    <w:rsid w:val="009D3999"/>
    <w:rsid w:val="009D39CD"/>
    <w:rsid w:val="009D3BCB"/>
    <w:rsid w:val="009D3D15"/>
    <w:rsid w:val="009D3E1A"/>
    <w:rsid w:val="009D3ED2"/>
    <w:rsid w:val="009D3EDD"/>
    <w:rsid w:val="009D3F64"/>
    <w:rsid w:val="009D3F65"/>
    <w:rsid w:val="009D4061"/>
    <w:rsid w:val="009D40A6"/>
    <w:rsid w:val="009D40A8"/>
    <w:rsid w:val="009D4246"/>
    <w:rsid w:val="009D42C4"/>
    <w:rsid w:val="009D42F0"/>
    <w:rsid w:val="009D4408"/>
    <w:rsid w:val="009D4497"/>
    <w:rsid w:val="009D45C3"/>
    <w:rsid w:val="009D4697"/>
    <w:rsid w:val="009D4742"/>
    <w:rsid w:val="009D47BF"/>
    <w:rsid w:val="009D47E8"/>
    <w:rsid w:val="009D492D"/>
    <w:rsid w:val="009D49F3"/>
    <w:rsid w:val="009D4EAD"/>
    <w:rsid w:val="009D50BA"/>
    <w:rsid w:val="009D5192"/>
    <w:rsid w:val="009D519E"/>
    <w:rsid w:val="009D51BC"/>
    <w:rsid w:val="009D51E2"/>
    <w:rsid w:val="009D5389"/>
    <w:rsid w:val="009D53E5"/>
    <w:rsid w:val="009D5432"/>
    <w:rsid w:val="009D54B8"/>
    <w:rsid w:val="009D5531"/>
    <w:rsid w:val="009D55EA"/>
    <w:rsid w:val="009D58F7"/>
    <w:rsid w:val="009D592A"/>
    <w:rsid w:val="009D5973"/>
    <w:rsid w:val="009D59B6"/>
    <w:rsid w:val="009D5BF1"/>
    <w:rsid w:val="009D5C29"/>
    <w:rsid w:val="009D5E44"/>
    <w:rsid w:val="009D5F4A"/>
    <w:rsid w:val="009D5F52"/>
    <w:rsid w:val="009D611E"/>
    <w:rsid w:val="009D6156"/>
    <w:rsid w:val="009D6192"/>
    <w:rsid w:val="009D629B"/>
    <w:rsid w:val="009D63FD"/>
    <w:rsid w:val="009D66BB"/>
    <w:rsid w:val="009D674F"/>
    <w:rsid w:val="009D675F"/>
    <w:rsid w:val="009D6765"/>
    <w:rsid w:val="009D6862"/>
    <w:rsid w:val="009D68B1"/>
    <w:rsid w:val="009D68FF"/>
    <w:rsid w:val="009D6989"/>
    <w:rsid w:val="009D6B9E"/>
    <w:rsid w:val="009D6F2D"/>
    <w:rsid w:val="009D7180"/>
    <w:rsid w:val="009D7185"/>
    <w:rsid w:val="009D71F5"/>
    <w:rsid w:val="009D735B"/>
    <w:rsid w:val="009D7401"/>
    <w:rsid w:val="009D79B5"/>
    <w:rsid w:val="009D79C8"/>
    <w:rsid w:val="009D7A2C"/>
    <w:rsid w:val="009D7B4A"/>
    <w:rsid w:val="009D7C04"/>
    <w:rsid w:val="009D7CF3"/>
    <w:rsid w:val="009D7D3B"/>
    <w:rsid w:val="009D7D45"/>
    <w:rsid w:val="009D7FD3"/>
    <w:rsid w:val="009E0039"/>
    <w:rsid w:val="009E0287"/>
    <w:rsid w:val="009E02CC"/>
    <w:rsid w:val="009E0481"/>
    <w:rsid w:val="009E059C"/>
    <w:rsid w:val="009E0638"/>
    <w:rsid w:val="009E07A1"/>
    <w:rsid w:val="009E07D6"/>
    <w:rsid w:val="009E0846"/>
    <w:rsid w:val="009E09E4"/>
    <w:rsid w:val="009E0AFB"/>
    <w:rsid w:val="009E0D9C"/>
    <w:rsid w:val="009E0E09"/>
    <w:rsid w:val="009E0F23"/>
    <w:rsid w:val="009E0F7A"/>
    <w:rsid w:val="009E0F8F"/>
    <w:rsid w:val="009E1006"/>
    <w:rsid w:val="009E1096"/>
    <w:rsid w:val="009E1626"/>
    <w:rsid w:val="009E16C5"/>
    <w:rsid w:val="009E16D7"/>
    <w:rsid w:val="009E1773"/>
    <w:rsid w:val="009E1879"/>
    <w:rsid w:val="009E1899"/>
    <w:rsid w:val="009E18DC"/>
    <w:rsid w:val="009E1CF7"/>
    <w:rsid w:val="009E1F96"/>
    <w:rsid w:val="009E1FB8"/>
    <w:rsid w:val="009E208A"/>
    <w:rsid w:val="009E20D3"/>
    <w:rsid w:val="009E21D1"/>
    <w:rsid w:val="009E2334"/>
    <w:rsid w:val="009E2367"/>
    <w:rsid w:val="009E23E5"/>
    <w:rsid w:val="009E2454"/>
    <w:rsid w:val="009E2486"/>
    <w:rsid w:val="009E24F6"/>
    <w:rsid w:val="009E2524"/>
    <w:rsid w:val="009E264A"/>
    <w:rsid w:val="009E26D5"/>
    <w:rsid w:val="009E2725"/>
    <w:rsid w:val="009E2744"/>
    <w:rsid w:val="009E2B7B"/>
    <w:rsid w:val="009E2DC9"/>
    <w:rsid w:val="009E2EC7"/>
    <w:rsid w:val="009E2F4A"/>
    <w:rsid w:val="009E30BE"/>
    <w:rsid w:val="009E31A4"/>
    <w:rsid w:val="009E33D3"/>
    <w:rsid w:val="009E3432"/>
    <w:rsid w:val="009E35E8"/>
    <w:rsid w:val="009E369B"/>
    <w:rsid w:val="009E3749"/>
    <w:rsid w:val="009E37EF"/>
    <w:rsid w:val="009E386B"/>
    <w:rsid w:val="009E38DC"/>
    <w:rsid w:val="009E39B2"/>
    <w:rsid w:val="009E3A33"/>
    <w:rsid w:val="009E3AF5"/>
    <w:rsid w:val="009E3B34"/>
    <w:rsid w:val="009E3DF2"/>
    <w:rsid w:val="009E3E97"/>
    <w:rsid w:val="009E3F07"/>
    <w:rsid w:val="009E3FB4"/>
    <w:rsid w:val="009E4118"/>
    <w:rsid w:val="009E4217"/>
    <w:rsid w:val="009E4231"/>
    <w:rsid w:val="009E4293"/>
    <w:rsid w:val="009E4311"/>
    <w:rsid w:val="009E4558"/>
    <w:rsid w:val="009E45F5"/>
    <w:rsid w:val="009E47B1"/>
    <w:rsid w:val="009E480E"/>
    <w:rsid w:val="009E4811"/>
    <w:rsid w:val="009E4850"/>
    <w:rsid w:val="009E48A8"/>
    <w:rsid w:val="009E4930"/>
    <w:rsid w:val="009E49E5"/>
    <w:rsid w:val="009E4A01"/>
    <w:rsid w:val="009E4A49"/>
    <w:rsid w:val="009E4B20"/>
    <w:rsid w:val="009E4BAA"/>
    <w:rsid w:val="009E4D7C"/>
    <w:rsid w:val="009E4DA0"/>
    <w:rsid w:val="009E4E19"/>
    <w:rsid w:val="009E50B7"/>
    <w:rsid w:val="009E5130"/>
    <w:rsid w:val="009E5146"/>
    <w:rsid w:val="009E5348"/>
    <w:rsid w:val="009E5351"/>
    <w:rsid w:val="009E539B"/>
    <w:rsid w:val="009E53D5"/>
    <w:rsid w:val="009E5433"/>
    <w:rsid w:val="009E553E"/>
    <w:rsid w:val="009E5649"/>
    <w:rsid w:val="009E56B3"/>
    <w:rsid w:val="009E577D"/>
    <w:rsid w:val="009E5907"/>
    <w:rsid w:val="009E5909"/>
    <w:rsid w:val="009E5A69"/>
    <w:rsid w:val="009E5ABA"/>
    <w:rsid w:val="009E5B9E"/>
    <w:rsid w:val="009E5BA8"/>
    <w:rsid w:val="009E5C1F"/>
    <w:rsid w:val="009E5CD1"/>
    <w:rsid w:val="009E5D4B"/>
    <w:rsid w:val="009E5DD9"/>
    <w:rsid w:val="009E5E9D"/>
    <w:rsid w:val="009E5F1F"/>
    <w:rsid w:val="009E6298"/>
    <w:rsid w:val="009E6324"/>
    <w:rsid w:val="009E63DA"/>
    <w:rsid w:val="009E6424"/>
    <w:rsid w:val="009E645F"/>
    <w:rsid w:val="009E64CC"/>
    <w:rsid w:val="009E653E"/>
    <w:rsid w:val="009E655F"/>
    <w:rsid w:val="009E6608"/>
    <w:rsid w:val="009E6A21"/>
    <w:rsid w:val="009E6AEC"/>
    <w:rsid w:val="009E6E7F"/>
    <w:rsid w:val="009E6EA7"/>
    <w:rsid w:val="009E6FE9"/>
    <w:rsid w:val="009E710E"/>
    <w:rsid w:val="009E71EC"/>
    <w:rsid w:val="009E724B"/>
    <w:rsid w:val="009E72BB"/>
    <w:rsid w:val="009E72C7"/>
    <w:rsid w:val="009E72E7"/>
    <w:rsid w:val="009E72EF"/>
    <w:rsid w:val="009E7351"/>
    <w:rsid w:val="009E73C1"/>
    <w:rsid w:val="009E7404"/>
    <w:rsid w:val="009E7642"/>
    <w:rsid w:val="009E7673"/>
    <w:rsid w:val="009E7792"/>
    <w:rsid w:val="009E77FB"/>
    <w:rsid w:val="009E78E2"/>
    <w:rsid w:val="009E7903"/>
    <w:rsid w:val="009E7908"/>
    <w:rsid w:val="009E794B"/>
    <w:rsid w:val="009E7A83"/>
    <w:rsid w:val="009E7AA9"/>
    <w:rsid w:val="009E7B11"/>
    <w:rsid w:val="009E7B44"/>
    <w:rsid w:val="009E7CDA"/>
    <w:rsid w:val="009E7D43"/>
    <w:rsid w:val="009E7D8D"/>
    <w:rsid w:val="009E7E01"/>
    <w:rsid w:val="009E7EA7"/>
    <w:rsid w:val="009F0061"/>
    <w:rsid w:val="009F017B"/>
    <w:rsid w:val="009F01A0"/>
    <w:rsid w:val="009F0261"/>
    <w:rsid w:val="009F02ED"/>
    <w:rsid w:val="009F031B"/>
    <w:rsid w:val="009F041E"/>
    <w:rsid w:val="009F0466"/>
    <w:rsid w:val="009F04C3"/>
    <w:rsid w:val="009F04F7"/>
    <w:rsid w:val="009F0685"/>
    <w:rsid w:val="009F06D0"/>
    <w:rsid w:val="009F06F0"/>
    <w:rsid w:val="009F0720"/>
    <w:rsid w:val="009F07EF"/>
    <w:rsid w:val="009F0841"/>
    <w:rsid w:val="009F0BD4"/>
    <w:rsid w:val="009F0C7A"/>
    <w:rsid w:val="009F0C9D"/>
    <w:rsid w:val="009F0D41"/>
    <w:rsid w:val="009F0E0D"/>
    <w:rsid w:val="009F0F26"/>
    <w:rsid w:val="009F1032"/>
    <w:rsid w:val="009F111A"/>
    <w:rsid w:val="009F11BF"/>
    <w:rsid w:val="009F1245"/>
    <w:rsid w:val="009F12AD"/>
    <w:rsid w:val="009F140C"/>
    <w:rsid w:val="009F1525"/>
    <w:rsid w:val="009F1539"/>
    <w:rsid w:val="009F1569"/>
    <w:rsid w:val="009F15A1"/>
    <w:rsid w:val="009F165A"/>
    <w:rsid w:val="009F16E7"/>
    <w:rsid w:val="009F17BF"/>
    <w:rsid w:val="009F180A"/>
    <w:rsid w:val="009F180F"/>
    <w:rsid w:val="009F1BCF"/>
    <w:rsid w:val="009F1BF1"/>
    <w:rsid w:val="009F1DF0"/>
    <w:rsid w:val="009F1FFB"/>
    <w:rsid w:val="009F21D7"/>
    <w:rsid w:val="009F21FF"/>
    <w:rsid w:val="009F246F"/>
    <w:rsid w:val="009F2496"/>
    <w:rsid w:val="009F2525"/>
    <w:rsid w:val="009F2579"/>
    <w:rsid w:val="009F2599"/>
    <w:rsid w:val="009F25F1"/>
    <w:rsid w:val="009F263D"/>
    <w:rsid w:val="009F2662"/>
    <w:rsid w:val="009F26F2"/>
    <w:rsid w:val="009F2733"/>
    <w:rsid w:val="009F2875"/>
    <w:rsid w:val="009F2A1A"/>
    <w:rsid w:val="009F2A21"/>
    <w:rsid w:val="009F2ABC"/>
    <w:rsid w:val="009F2AE0"/>
    <w:rsid w:val="009F2C69"/>
    <w:rsid w:val="009F2CE7"/>
    <w:rsid w:val="009F2D28"/>
    <w:rsid w:val="009F2E1B"/>
    <w:rsid w:val="009F2EAA"/>
    <w:rsid w:val="009F3157"/>
    <w:rsid w:val="009F31F9"/>
    <w:rsid w:val="009F334B"/>
    <w:rsid w:val="009F338C"/>
    <w:rsid w:val="009F3437"/>
    <w:rsid w:val="009F34F4"/>
    <w:rsid w:val="009F368D"/>
    <w:rsid w:val="009F36CF"/>
    <w:rsid w:val="009F36D9"/>
    <w:rsid w:val="009F3765"/>
    <w:rsid w:val="009F376C"/>
    <w:rsid w:val="009F396C"/>
    <w:rsid w:val="009F39CD"/>
    <w:rsid w:val="009F39E5"/>
    <w:rsid w:val="009F3B06"/>
    <w:rsid w:val="009F3B2D"/>
    <w:rsid w:val="009F3BED"/>
    <w:rsid w:val="009F3DD3"/>
    <w:rsid w:val="009F3E75"/>
    <w:rsid w:val="009F3EA9"/>
    <w:rsid w:val="009F4283"/>
    <w:rsid w:val="009F4337"/>
    <w:rsid w:val="009F435C"/>
    <w:rsid w:val="009F441A"/>
    <w:rsid w:val="009F452D"/>
    <w:rsid w:val="009F4539"/>
    <w:rsid w:val="009F4546"/>
    <w:rsid w:val="009F456E"/>
    <w:rsid w:val="009F45A4"/>
    <w:rsid w:val="009F467B"/>
    <w:rsid w:val="009F4855"/>
    <w:rsid w:val="009F48CC"/>
    <w:rsid w:val="009F4AB0"/>
    <w:rsid w:val="009F4ACB"/>
    <w:rsid w:val="009F4AE7"/>
    <w:rsid w:val="009F4B3C"/>
    <w:rsid w:val="009F4BA0"/>
    <w:rsid w:val="009F4BB7"/>
    <w:rsid w:val="009F4CEE"/>
    <w:rsid w:val="009F4D03"/>
    <w:rsid w:val="009F4DA1"/>
    <w:rsid w:val="009F4DF7"/>
    <w:rsid w:val="009F4E57"/>
    <w:rsid w:val="009F4EF1"/>
    <w:rsid w:val="009F4F60"/>
    <w:rsid w:val="009F507A"/>
    <w:rsid w:val="009F5091"/>
    <w:rsid w:val="009F523F"/>
    <w:rsid w:val="009F52CA"/>
    <w:rsid w:val="009F5531"/>
    <w:rsid w:val="009F5568"/>
    <w:rsid w:val="009F5573"/>
    <w:rsid w:val="009F5711"/>
    <w:rsid w:val="009F57E0"/>
    <w:rsid w:val="009F57FB"/>
    <w:rsid w:val="009F5805"/>
    <w:rsid w:val="009F5898"/>
    <w:rsid w:val="009F5A0F"/>
    <w:rsid w:val="009F5A33"/>
    <w:rsid w:val="009F5A59"/>
    <w:rsid w:val="009F5B98"/>
    <w:rsid w:val="009F5D0D"/>
    <w:rsid w:val="009F5D37"/>
    <w:rsid w:val="009F5E06"/>
    <w:rsid w:val="009F5F01"/>
    <w:rsid w:val="009F5FE2"/>
    <w:rsid w:val="009F5FEF"/>
    <w:rsid w:val="009F6119"/>
    <w:rsid w:val="009F6221"/>
    <w:rsid w:val="009F62FD"/>
    <w:rsid w:val="009F657E"/>
    <w:rsid w:val="009F6589"/>
    <w:rsid w:val="009F6629"/>
    <w:rsid w:val="009F6854"/>
    <w:rsid w:val="009F697C"/>
    <w:rsid w:val="009F69DA"/>
    <w:rsid w:val="009F6B10"/>
    <w:rsid w:val="009F6BDC"/>
    <w:rsid w:val="009F6C39"/>
    <w:rsid w:val="009F6C57"/>
    <w:rsid w:val="009F6C71"/>
    <w:rsid w:val="009F6D75"/>
    <w:rsid w:val="009F6D7F"/>
    <w:rsid w:val="009F6DAD"/>
    <w:rsid w:val="009F6DDA"/>
    <w:rsid w:val="009F6E0F"/>
    <w:rsid w:val="009F6E1A"/>
    <w:rsid w:val="009F6F29"/>
    <w:rsid w:val="009F7185"/>
    <w:rsid w:val="009F7298"/>
    <w:rsid w:val="009F74E9"/>
    <w:rsid w:val="009F74F4"/>
    <w:rsid w:val="009F781E"/>
    <w:rsid w:val="009F78B5"/>
    <w:rsid w:val="009F7A26"/>
    <w:rsid w:val="009F7B02"/>
    <w:rsid w:val="009F7B51"/>
    <w:rsid w:val="009F7C5C"/>
    <w:rsid w:val="009F7C6A"/>
    <w:rsid w:val="009F7F0E"/>
    <w:rsid w:val="00A00041"/>
    <w:rsid w:val="00A000B9"/>
    <w:rsid w:val="00A00197"/>
    <w:rsid w:val="00A00229"/>
    <w:rsid w:val="00A00393"/>
    <w:rsid w:val="00A003D6"/>
    <w:rsid w:val="00A00421"/>
    <w:rsid w:val="00A00596"/>
    <w:rsid w:val="00A00711"/>
    <w:rsid w:val="00A0078F"/>
    <w:rsid w:val="00A00962"/>
    <w:rsid w:val="00A00978"/>
    <w:rsid w:val="00A00B0F"/>
    <w:rsid w:val="00A00C24"/>
    <w:rsid w:val="00A00C56"/>
    <w:rsid w:val="00A00D3D"/>
    <w:rsid w:val="00A00D4D"/>
    <w:rsid w:val="00A01051"/>
    <w:rsid w:val="00A0117F"/>
    <w:rsid w:val="00A011E8"/>
    <w:rsid w:val="00A0122D"/>
    <w:rsid w:val="00A01298"/>
    <w:rsid w:val="00A012C7"/>
    <w:rsid w:val="00A012F6"/>
    <w:rsid w:val="00A01424"/>
    <w:rsid w:val="00A01516"/>
    <w:rsid w:val="00A015DE"/>
    <w:rsid w:val="00A0160E"/>
    <w:rsid w:val="00A01753"/>
    <w:rsid w:val="00A01792"/>
    <w:rsid w:val="00A018EA"/>
    <w:rsid w:val="00A019E5"/>
    <w:rsid w:val="00A01AEE"/>
    <w:rsid w:val="00A01BF2"/>
    <w:rsid w:val="00A01DDA"/>
    <w:rsid w:val="00A01F73"/>
    <w:rsid w:val="00A01F80"/>
    <w:rsid w:val="00A01F89"/>
    <w:rsid w:val="00A020AC"/>
    <w:rsid w:val="00A0219A"/>
    <w:rsid w:val="00A0227E"/>
    <w:rsid w:val="00A023DA"/>
    <w:rsid w:val="00A02459"/>
    <w:rsid w:val="00A02492"/>
    <w:rsid w:val="00A024AC"/>
    <w:rsid w:val="00A0252D"/>
    <w:rsid w:val="00A028F2"/>
    <w:rsid w:val="00A029DC"/>
    <w:rsid w:val="00A02A6B"/>
    <w:rsid w:val="00A02B9C"/>
    <w:rsid w:val="00A02E07"/>
    <w:rsid w:val="00A02F30"/>
    <w:rsid w:val="00A02FDC"/>
    <w:rsid w:val="00A02FE7"/>
    <w:rsid w:val="00A031AF"/>
    <w:rsid w:val="00A0321B"/>
    <w:rsid w:val="00A0329F"/>
    <w:rsid w:val="00A032C3"/>
    <w:rsid w:val="00A03304"/>
    <w:rsid w:val="00A03368"/>
    <w:rsid w:val="00A033C4"/>
    <w:rsid w:val="00A034F9"/>
    <w:rsid w:val="00A035A3"/>
    <w:rsid w:val="00A03634"/>
    <w:rsid w:val="00A03715"/>
    <w:rsid w:val="00A0387A"/>
    <w:rsid w:val="00A038B4"/>
    <w:rsid w:val="00A03A91"/>
    <w:rsid w:val="00A03AF6"/>
    <w:rsid w:val="00A03B75"/>
    <w:rsid w:val="00A03D95"/>
    <w:rsid w:val="00A0404F"/>
    <w:rsid w:val="00A040E5"/>
    <w:rsid w:val="00A041F3"/>
    <w:rsid w:val="00A042AC"/>
    <w:rsid w:val="00A042FB"/>
    <w:rsid w:val="00A046A1"/>
    <w:rsid w:val="00A04701"/>
    <w:rsid w:val="00A0499C"/>
    <w:rsid w:val="00A049D6"/>
    <w:rsid w:val="00A04A0C"/>
    <w:rsid w:val="00A04B97"/>
    <w:rsid w:val="00A04BB9"/>
    <w:rsid w:val="00A04C34"/>
    <w:rsid w:val="00A04C8A"/>
    <w:rsid w:val="00A04D94"/>
    <w:rsid w:val="00A05012"/>
    <w:rsid w:val="00A052ED"/>
    <w:rsid w:val="00A052F1"/>
    <w:rsid w:val="00A05313"/>
    <w:rsid w:val="00A053A8"/>
    <w:rsid w:val="00A0544A"/>
    <w:rsid w:val="00A05492"/>
    <w:rsid w:val="00A054E0"/>
    <w:rsid w:val="00A0552A"/>
    <w:rsid w:val="00A05535"/>
    <w:rsid w:val="00A0556F"/>
    <w:rsid w:val="00A0568F"/>
    <w:rsid w:val="00A05752"/>
    <w:rsid w:val="00A0577C"/>
    <w:rsid w:val="00A057E5"/>
    <w:rsid w:val="00A0591F"/>
    <w:rsid w:val="00A05920"/>
    <w:rsid w:val="00A05956"/>
    <w:rsid w:val="00A0597E"/>
    <w:rsid w:val="00A059C1"/>
    <w:rsid w:val="00A05A22"/>
    <w:rsid w:val="00A05A61"/>
    <w:rsid w:val="00A05C3C"/>
    <w:rsid w:val="00A05CAB"/>
    <w:rsid w:val="00A05CFE"/>
    <w:rsid w:val="00A05D0B"/>
    <w:rsid w:val="00A05D10"/>
    <w:rsid w:val="00A05D55"/>
    <w:rsid w:val="00A05F29"/>
    <w:rsid w:val="00A05FCD"/>
    <w:rsid w:val="00A06015"/>
    <w:rsid w:val="00A0601D"/>
    <w:rsid w:val="00A060BA"/>
    <w:rsid w:val="00A06136"/>
    <w:rsid w:val="00A061C8"/>
    <w:rsid w:val="00A061F0"/>
    <w:rsid w:val="00A0631E"/>
    <w:rsid w:val="00A0636C"/>
    <w:rsid w:val="00A063E9"/>
    <w:rsid w:val="00A0650E"/>
    <w:rsid w:val="00A0660E"/>
    <w:rsid w:val="00A067B4"/>
    <w:rsid w:val="00A0697E"/>
    <w:rsid w:val="00A069D3"/>
    <w:rsid w:val="00A06B04"/>
    <w:rsid w:val="00A06B0E"/>
    <w:rsid w:val="00A06B61"/>
    <w:rsid w:val="00A06BC8"/>
    <w:rsid w:val="00A06D2C"/>
    <w:rsid w:val="00A06D41"/>
    <w:rsid w:val="00A06D71"/>
    <w:rsid w:val="00A06DE3"/>
    <w:rsid w:val="00A06ECA"/>
    <w:rsid w:val="00A06FDE"/>
    <w:rsid w:val="00A07061"/>
    <w:rsid w:val="00A0708C"/>
    <w:rsid w:val="00A071E5"/>
    <w:rsid w:val="00A0723A"/>
    <w:rsid w:val="00A072DD"/>
    <w:rsid w:val="00A0744B"/>
    <w:rsid w:val="00A0759D"/>
    <w:rsid w:val="00A075AC"/>
    <w:rsid w:val="00A07643"/>
    <w:rsid w:val="00A076FD"/>
    <w:rsid w:val="00A07701"/>
    <w:rsid w:val="00A077D7"/>
    <w:rsid w:val="00A077F9"/>
    <w:rsid w:val="00A0785E"/>
    <w:rsid w:val="00A07899"/>
    <w:rsid w:val="00A07A6B"/>
    <w:rsid w:val="00A07C41"/>
    <w:rsid w:val="00A07DA8"/>
    <w:rsid w:val="00A07DED"/>
    <w:rsid w:val="00A07E68"/>
    <w:rsid w:val="00A07FCE"/>
    <w:rsid w:val="00A07FF4"/>
    <w:rsid w:val="00A10135"/>
    <w:rsid w:val="00A10175"/>
    <w:rsid w:val="00A10210"/>
    <w:rsid w:val="00A10264"/>
    <w:rsid w:val="00A102CB"/>
    <w:rsid w:val="00A102E9"/>
    <w:rsid w:val="00A102EE"/>
    <w:rsid w:val="00A102FD"/>
    <w:rsid w:val="00A10340"/>
    <w:rsid w:val="00A1039E"/>
    <w:rsid w:val="00A1049B"/>
    <w:rsid w:val="00A104A0"/>
    <w:rsid w:val="00A10513"/>
    <w:rsid w:val="00A106C2"/>
    <w:rsid w:val="00A10761"/>
    <w:rsid w:val="00A1076A"/>
    <w:rsid w:val="00A1078E"/>
    <w:rsid w:val="00A107ED"/>
    <w:rsid w:val="00A10812"/>
    <w:rsid w:val="00A10856"/>
    <w:rsid w:val="00A10866"/>
    <w:rsid w:val="00A1086E"/>
    <w:rsid w:val="00A10A8A"/>
    <w:rsid w:val="00A10B89"/>
    <w:rsid w:val="00A10C30"/>
    <w:rsid w:val="00A10C5D"/>
    <w:rsid w:val="00A10CAE"/>
    <w:rsid w:val="00A10EDF"/>
    <w:rsid w:val="00A11020"/>
    <w:rsid w:val="00A11036"/>
    <w:rsid w:val="00A111ED"/>
    <w:rsid w:val="00A112B1"/>
    <w:rsid w:val="00A113FC"/>
    <w:rsid w:val="00A1157D"/>
    <w:rsid w:val="00A11591"/>
    <w:rsid w:val="00A116D9"/>
    <w:rsid w:val="00A116DB"/>
    <w:rsid w:val="00A11746"/>
    <w:rsid w:val="00A11780"/>
    <w:rsid w:val="00A11807"/>
    <w:rsid w:val="00A11851"/>
    <w:rsid w:val="00A118B7"/>
    <w:rsid w:val="00A1191C"/>
    <w:rsid w:val="00A119D0"/>
    <w:rsid w:val="00A11C73"/>
    <w:rsid w:val="00A11D5A"/>
    <w:rsid w:val="00A11D83"/>
    <w:rsid w:val="00A11DAA"/>
    <w:rsid w:val="00A11F58"/>
    <w:rsid w:val="00A12000"/>
    <w:rsid w:val="00A1201D"/>
    <w:rsid w:val="00A120FE"/>
    <w:rsid w:val="00A122F3"/>
    <w:rsid w:val="00A123B2"/>
    <w:rsid w:val="00A1244B"/>
    <w:rsid w:val="00A12453"/>
    <w:rsid w:val="00A126C5"/>
    <w:rsid w:val="00A1275F"/>
    <w:rsid w:val="00A12786"/>
    <w:rsid w:val="00A12AAD"/>
    <w:rsid w:val="00A12AB6"/>
    <w:rsid w:val="00A12C67"/>
    <w:rsid w:val="00A12D40"/>
    <w:rsid w:val="00A12F1F"/>
    <w:rsid w:val="00A12FF6"/>
    <w:rsid w:val="00A13043"/>
    <w:rsid w:val="00A130F7"/>
    <w:rsid w:val="00A131DA"/>
    <w:rsid w:val="00A13295"/>
    <w:rsid w:val="00A132D6"/>
    <w:rsid w:val="00A13332"/>
    <w:rsid w:val="00A13392"/>
    <w:rsid w:val="00A13400"/>
    <w:rsid w:val="00A13780"/>
    <w:rsid w:val="00A1379A"/>
    <w:rsid w:val="00A13819"/>
    <w:rsid w:val="00A1381D"/>
    <w:rsid w:val="00A13A52"/>
    <w:rsid w:val="00A13C45"/>
    <w:rsid w:val="00A13CD0"/>
    <w:rsid w:val="00A13D66"/>
    <w:rsid w:val="00A13D8B"/>
    <w:rsid w:val="00A13DE6"/>
    <w:rsid w:val="00A13E58"/>
    <w:rsid w:val="00A13F3C"/>
    <w:rsid w:val="00A14180"/>
    <w:rsid w:val="00A141F7"/>
    <w:rsid w:val="00A1421B"/>
    <w:rsid w:val="00A14230"/>
    <w:rsid w:val="00A142B3"/>
    <w:rsid w:val="00A143C7"/>
    <w:rsid w:val="00A14440"/>
    <w:rsid w:val="00A144C2"/>
    <w:rsid w:val="00A1472B"/>
    <w:rsid w:val="00A1478C"/>
    <w:rsid w:val="00A1482A"/>
    <w:rsid w:val="00A14ABA"/>
    <w:rsid w:val="00A14AF3"/>
    <w:rsid w:val="00A14B8D"/>
    <w:rsid w:val="00A14C74"/>
    <w:rsid w:val="00A14D22"/>
    <w:rsid w:val="00A14E71"/>
    <w:rsid w:val="00A14F65"/>
    <w:rsid w:val="00A14FBC"/>
    <w:rsid w:val="00A15078"/>
    <w:rsid w:val="00A150B6"/>
    <w:rsid w:val="00A1523C"/>
    <w:rsid w:val="00A152D1"/>
    <w:rsid w:val="00A152EC"/>
    <w:rsid w:val="00A153AB"/>
    <w:rsid w:val="00A153AE"/>
    <w:rsid w:val="00A15440"/>
    <w:rsid w:val="00A154A0"/>
    <w:rsid w:val="00A154E7"/>
    <w:rsid w:val="00A15530"/>
    <w:rsid w:val="00A1560D"/>
    <w:rsid w:val="00A15650"/>
    <w:rsid w:val="00A156F0"/>
    <w:rsid w:val="00A158BF"/>
    <w:rsid w:val="00A15A09"/>
    <w:rsid w:val="00A15A18"/>
    <w:rsid w:val="00A15A93"/>
    <w:rsid w:val="00A15B48"/>
    <w:rsid w:val="00A15BE6"/>
    <w:rsid w:val="00A15C4E"/>
    <w:rsid w:val="00A15D40"/>
    <w:rsid w:val="00A15D99"/>
    <w:rsid w:val="00A15E5C"/>
    <w:rsid w:val="00A15FE9"/>
    <w:rsid w:val="00A16078"/>
    <w:rsid w:val="00A160CD"/>
    <w:rsid w:val="00A1617D"/>
    <w:rsid w:val="00A16210"/>
    <w:rsid w:val="00A163D4"/>
    <w:rsid w:val="00A164D9"/>
    <w:rsid w:val="00A16738"/>
    <w:rsid w:val="00A16779"/>
    <w:rsid w:val="00A167B2"/>
    <w:rsid w:val="00A1693D"/>
    <w:rsid w:val="00A16B79"/>
    <w:rsid w:val="00A16B8A"/>
    <w:rsid w:val="00A16C92"/>
    <w:rsid w:val="00A16CB5"/>
    <w:rsid w:val="00A16D33"/>
    <w:rsid w:val="00A16E3C"/>
    <w:rsid w:val="00A17008"/>
    <w:rsid w:val="00A170E6"/>
    <w:rsid w:val="00A171B5"/>
    <w:rsid w:val="00A171C2"/>
    <w:rsid w:val="00A17300"/>
    <w:rsid w:val="00A17406"/>
    <w:rsid w:val="00A17442"/>
    <w:rsid w:val="00A17531"/>
    <w:rsid w:val="00A17541"/>
    <w:rsid w:val="00A17662"/>
    <w:rsid w:val="00A176AC"/>
    <w:rsid w:val="00A1775D"/>
    <w:rsid w:val="00A177BA"/>
    <w:rsid w:val="00A1792A"/>
    <w:rsid w:val="00A17A56"/>
    <w:rsid w:val="00A17BCC"/>
    <w:rsid w:val="00A17C04"/>
    <w:rsid w:val="00A17DA2"/>
    <w:rsid w:val="00A17DFA"/>
    <w:rsid w:val="00A17E78"/>
    <w:rsid w:val="00A17F2B"/>
    <w:rsid w:val="00A20054"/>
    <w:rsid w:val="00A201AB"/>
    <w:rsid w:val="00A20224"/>
    <w:rsid w:val="00A20251"/>
    <w:rsid w:val="00A20819"/>
    <w:rsid w:val="00A2083D"/>
    <w:rsid w:val="00A20894"/>
    <w:rsid w:val="00A208A9"/>
    <w:rsid w:val="00A209B6"/>
    <w:rsid w:val="00A209E8"/>
    <w:rsid w:val="00A20AD2"/>
    <w:rsid w:val="00A20B67"/>
    <w:rsid w:val="00A20CE0"/>
    <w:rsid w:val="00A20DAC"/>
    <w:rsid w:val="00A20DAD"/>
    <w:rsid w:val="00A20E44"/>
    <w:rsid w:val="00A20F4C"/>
    <w:rsid w:val="00A210D7"/>
    <w:rsid w:val="00A210E9"/>
    <w:rsid w:val="00A21100"/>
    <w:rsid w:val="00A21260"/>
    <w:rsid w:val="00A2132C"/>
    <w:rsid w:val="00A213B1"/>
    <w:rsid w:val="00A21547"/>
    <w:rsid w:val="00A215F9"/>
    <w:rsid w:val="00A2163A"/>
    <w:rsid w:val="00A216DB"/>
    <w:rsid w:val="00A21714"/>
    <w:rsid w:val="00A2178D"/>
    <w:rsid w:val="00A21814"/>
    <w:rsid w:val="00A2185E"/>
    <w:rsid w:val="00A21B7B"/>
    <w:rsid w:val="00A21BAC"/>
    <w:rsid w:val="00A21BD1"/>
    <w:rsid w:val="00A21E4D"/>
    <w:rsid w:val="00A21E7E"/>
    <w:rsid w:val="00A21F33"/>
    <w:rsid w:val="00A22190"/>
    <w:rsid w:val="00A2229E"/>
    <w:rsid w:val="00A22314"/>
    <w:rsid w:val="00A22490"/>
    <w:rsid w:val="00A2255A"/>
    <w:rsid w:val="00A2267A"/>
    <w:rsid w:val="00A226B6"/>
    <w:rsid w:val="00A226BA"/>
    <w:rsid w:val="00A22714"/>
    <w:rsid w:val="00A22724"/>
    <w:rsid w:val="00A227D6"/>
    <w:rsid w:val="00A227EA"/>
    <w:rsid w:val="00A229BD"/>
    <w:rsid w:val="00A22C6B"/>
    <w:rsid w:val="00A22C80"/>
    <w:rsid w:val="00A22C8E"/>
    <w:rsid w:val="00A22CF4"/>
    <w:rsid w:val="00A22DBB"/>
    <w:rsid w:val="00A22E41"/>
    <w:rsid w:val="00A232FE"/>
    <w:rsid w:val="00A2332C"/>
    <w:rsid w:val="00A233B1"/>
    <w:rsid w:val="00A2342C"/>
    <w:rsid w:val="00A23450"/>
    <w:rsid w:val="00A23512"/>
    <w:rsid w:val="00A23531"/>
    <w:rsid w:val="00A2372F"/>
    <w:rsid w:val="00A238B1"/>
    <w:rsid w:val="00A238D5"/>
    <w:rsid w:val="00A238F3"/>
    <w:rsid w:val="00A239A5"/>
    <w:rsid w:val="00A23A1E"/>
    <w:rsid w:val="00A23A72"/>
    <w:rsid w:val="00A23AE3"/>
    <w:rsid w:val="00A23EEE"/>
    <w:rsid w:val="00A23FB6"/>
    <w:rsid w:val="00A24043"/>
    <w:rsid w:val="00A24155"/>
    <w:rsid w:val="00A24166"/>
    <w:rsid w:val="00A242C9"/>
    <w:rsid w:val="00A2447A"/>
    <w:rsid w:val="00A2453C"/>
    <w:rsid w:val="00A24565"/>
    <w:rsid w:val="00A24618"/>
    <w:rsid w:val="00A24641"/>
    <w:rsid w:val="00A24703"/>
    <w:rsid w:val="00A247CB"/>
    <w:rsid w:val="00A24809"/>
    <w:rsid w:val="00A2497F"/>
    <w:rsid w:val="00A2499C"/>
    <w:rsid w:val="00A249B5"/>
    <w:rsid w:val="00A24A4A"/>
    <w:rsid w:val="00A24A81"/>
    <w:rsid w:val="00A24ADA"/>
    <w:rsid w:val="00A24B52"/>
    <w:rsid w:val="00A24B79"/>
    <w:rsid w:val="00A24DAE"/>
    <w:rsid w:val="00A24E3B"/>
    <w:rsid w:val="00A24EBC"/>
    <w:rsid w:val="00A24EEA"/>
    <w:rsid w:val="00A24F1D"/>
    <w:rsid w:val="00A24F41"/>
    <w:rsid w:val="00A24FBA"/>
    <w:rsid w:val="00A25039"/>
    <w:rsid w:val="00A250DF"/>
    <w:rsid w:val="00A2510E"/>
    <w:rsid w:val="00A25159"/>
    <w:rsid w:val="00A251AF"/>
    <w:rsid w:val="00A251BE"/>
    <w:rsid w:val="00A252D6"/>
    <w:rsid w:val="00A253B4"/>
    <w:rsid w:val="00A2553A"/>
    <w:rsid w:val="00A2577F"/>
    <w:rsid w:val="00A257D5"/>
    <w:rsid w:val="00A25895"/>
    <w:rsid w:val="00A259ED"/>
    <w:rsid w:val="00A25AC0"/>
    <w:rsid w:val="00A25C5E"/>
    <w:rsid w:val="00A25C7F"/>
    <w:rsid w:val="00A25E2B"/>
    <w:rsid w:val="00A25E6B"/>
    <w:rsid w:val="00A25E82"/>
    <w:rsid w:val="00A25EA8"/>
    <w:rsid w:val="00A25F3E"/>
    <w:rsid w:val="00A2600B"/>
    <w:rsid w:val="00A260AD"/>
    <w:rsid w:val="00A260F6"/>
    <w:rsid w:val="00A26127"/>
    <w:rsid w:val="00A2633A"/>
    <w:rsid w:val="00A26396"/>
    <w:rsid w:val="00A26530"/>
    <w:rsid w:val="00A2694F"/>
    <w:rsid w:val="00A2695E"/>
    <w:rsid w:val="00A26ADB"/>
    <w:rsid w:val="00A26B4A"/>
    <w:rsid w:val="00A26BDF"/>
    <w:rsid w:val="00A26DDB"/>
    <w:rsid w:val="00A26E90"/>
    <w:rsid w:val="00A26EFA"/>
    <w:rsid w:val="00A26F26"/>
    <w:rsid w:val="00A27050"/>
    <w:rsid w:val="00A27054"/>
    <w:rsid w:val="00A270A3"/>
    <w:rsid w:val="00A2746B"/>
    <w:rsid w:val="00A2748F"/>
    <w:rsid w:val="00A27495"/>
    <w:rsid w:val="00A274A0"/>
    <w:rsid w:val="00A274BB"/>
    <w:rsid w:val="00A27505"/>
    <w:rsid w:val="00A27567"/>
    <w:rsid w:val="00A27682"/>
    <w:rsid w:val="00A2770C"/>
    <w:rsid w:val="00A27753"/>
    <w:rsid w:val="00A2785E"/>
    <w:rsid w:val="00A27A0D"/>
    <w:rsid w:val="00A27B6C"/>
    <w:rsid w:val="00A27CA0"/>
    <w:rsid w:val="00A27E8A"/>
    <w:rsid w:val="00A27F06"/>
    <w:rsid w:val="00A27F4A"/>
    <w:rsid w:val="00A3018B"/>
    <w:rsid w:val="00A30323"/>
    <w:rsid w:val="00A30326"/>
    <w:rsid w:val="00A305DE"/>
    <w:rsid w:val="00A30746"/>
    <w:rsid w:val="00A308EA"/>
    <w:rsid w:val="00A308FE"/>
    <w:rsid w:val="00A30987"/>
    <w:rsid w:val="00A30B2A"/>
    <w:rsid w:val="00A30BA2"/>
    <w:rsid w:val="00A30C15"/>
    <w:rsid w:val="00A30CD1"/>
    <w:rsid w:val="00A30D04"/>
    <w:rsid w:val="00A30E26"/>
    <w:rsid w:val="00A30F13"/>
    <w:rsid w:val="00A311AA"/>
    <w:rsid w:val="00A311DC"/>
    <w:rsid w:val="00A311F5"/>
    <w:rsid w:val="00A31205"/>
    <w:rsid w:val="00A3125C"/>
    <w:rsid w:val="00A312D8"/>
    <w:rsid w:val="00A3136E"/>
    <w:rsid w:val="00A314F9"/>
    <w:rsid w:val="00A315CD"/>
    <w:rsid w:val="00A316D9"/>
    <w:rsid w:val="00A31801"/>
    <w:rsid w:val="00A31964"/>
    <w:rsid w:val="00A3197E"/>
    <w:rsid w:val="00A3198D"/>
    <w:rsid w:val="00A319CB"/>
    <w:rsid w:val="00A31A0E"/>
    <w:rsid w:val="00A31B39"/>
    <w:rsid w:val="00A31C3F"/>
    <w:rsid w:val="00A31D7C"/>
    <w:rsid w:val="00A31DAC"/>
    <w:rsid w:val="00A31ED6"/>
    <w:rsid w:val="00A32021"/>
    <w:rsid w:val="00A3205D"/>
    <w:rsid w:val="00A3209B"/>
    <w:rsid w:val="00A320BB"/>
    <w:rsid w:val="00A320CB"/>
    <w:rsid w:val="00A321EB"/>
    <w:rsid w:val="00A322DC"/>
    <w:rsid w:val="00A3232F"/>
    <w:rsid w:val="00A3238A"/>
    <w:rsid w:val="00A3241C"/>
    <w:rsid w:val="00A32447"/>
    <w:rsid w:val="00A324F2"/>
    <w:rsid w:val="00A325CF"/>
    <w:rsid w:val="00A32743"/>
    <w:rsid w:val="00A327FC"/>
    <w:rsid w:val="00A3286E"/>
    <w:rsid w:val="00A3294F"/>
    <w:rsid w:val="00A32AB9"/>
    <w:rsid w:val="00A32BB6"/>
    <w:rsid w:val="00A32CBA"/>
    <w:rsid w:val="00A32D1C"/>
    <w:rsid w:val="00A32DAB"/>
    <w:rsid w:val="00A32F54"/>
    <w:rsid w:val="00A32FED"/>
    <w:rsid w:val="00A33077"/>
    <w:rsid w:val="00A330B3"/>
    <w:rsid w:val="00A334B5"/>
    <w:rsid w:val="00A3351F"/>
    <w:rsid w:val="00A33778"/>
    <w:rsid w:val="00A338BE"/>
    <w:rsid w:val="00A3393A"/>
    <w:rsid w:val="00A33951"/>
    <w:rsid w:val="00A33A1F"/>
    <w:rsid w:val="00A33A9D"/>
    <w:rsid w:val="00A33BDA"/>
    <w:rsid w:val="00A33C59"/>
    <w:rsid w:val="00A33D7A"/>
    <w:rsid w:val="00A33DDC"/>
    <w:rsid w:val="00A3407F"/>
    <w:rsid w:val="00A341B1"/>
    <w:rsid w:val="00A34219"/>
    <w:rsid w:val="00A3425F"/>
    <w:rsid w:val="00A342A5"/>
    <w:rsid w:val="00A342E9"/>
    <w:rsid w:val="00A34379"/>
    <w:rsid w:val="00A34383"/>
    <w:rsid w:val="00A34399"/>
    <w:rsid w:val="00A3450C"/>
    <w:rsid w:val="00A34657"/>
    <w:rsid w:val="00A3467C"/>
    <w:rsid w:val="00A34769"/>
    <w:rsid w:val="00A348DB"/>
    <w:rsid w:val="00A3492F"/>
    <w:rsid w:val="00A34AB5"/>
    <w:rsid w:val="00A34B09"/>
    <w:rsid w:val="00A34BAF"/>
    <w:rsid w:val="00A34BC3"/>
    <w:rsid w:val="00A34C8E"/>
    <w:rsid w:val="00A34D13"/>
    <w:rsid w:val="00A34D63"/>
    <w:rsid w:val="00A34DD9"/>
    <w:rsid w:val="00A34DF5"/>
    <w:rsid w:val="00A34E8E"/>
    <w:rsid w:val="00A34E94"/>
    <w:rsid w:val="00A34EB9"/>
    <w:rsid w:val="00A34F3B"/>
    <w:rsid w:val="00A34F8A"/>
    <w:rsid w:val="00A35114"/>
    <w:rsid w:val="00A351E4"/>
    <w:rsid w:val="00A35310"/>
    <w:rsid w:val="00A35318"/>
    <w:rsid w:val="00A3539C"/>
    <w:rsid w:val="00A3541B"/>
    <w:rsid w:val="00A35449"/>
    <w:rsid w:val="00A355F0"/>
    <w:rsid w:val="00A35691"/>
    <w:rsid w:val="00A3571A"/>
    <w:rsid w:val="00A3575A"/>
    <w:rsid w:val="00A35800"/>
    <w:rsid w:val="00A35850"/>
    <w:rsid w:val="00A35962"/>
    <w:rsid w:val="00A359AB"/>
    <w:rsid w:val="00A359CE"/>
    <w:rsid w:val="00A35A7A"/>
    <w:rsid w:val="00A35B65"/>
    <w:rsid w:val="00A35C50"/>
    <w:rsid w:val="00A35CA9"/>
    <w:rsid w:val="00A35DA9"/>
    <w:rsid w:val="00A35DBB"/>
    <w:rsid w:val="00A35E67"/>
    <w:rsid w:val="00A35FBA"/>
    <w:rsid w:val="00A36004"/>
    <w:rsid w:val="00A36085"/>
    <w:rsid w:val="00A3613C"/>
    <w:rsid w:val="00A3620F"/>
    <w:rsid w:val="00A364A4"/>
    <w:rsid w:val="00A364E1"/>
    <w:rsid w:val="00A36716"/>
    <w:rsid w:val="00A36731"/>
    <w:rsid w:val="00A36765"/>
    <w:rsid w:val="00A3693E"/>
    <w:rsid w:val="00A3693F"/>
    <w:rsid w:val="00A369FF"/>
    <w:rsid w:val="00A36B0F"/>
    <w:rsid w:val="00A36C6E"/>
    <w:rsid w:val="00A36CC4"/>
    <w:rsid w:val="00A36D09"/>
    <w:rsid w:val="00A36E88"/>
    <w:rsid w:val="00A37044"/>
    <w:rsid w:val="00A37116"/>
    <w:rsid w:val="00A37134"/>
    <w:rsid w:val="00A371B0"/>
    <w:rsid w:val="00A371FD"/>
    <w:rsid w:val="00A3730A"/>
    <w:rsid w:val="00A3731E"/>
    <w:rsid w:val="00A3739F"/>
    <w:rsid w:val="00A37500"/>
    <w:rsid w:val="00A375B4"/>
    <w:rsid w:val="00A375CB"/>
    <w:rsid w:val="00A375CD"/>
    <w:rsid w:val="00A37621"/>
    <w:rsid w:val="00A376DD"/>
    <w:rsid w:val="00A3770C"/>
    <w:rsid w:val="00A377E6"/>
    <w:rsid w:val="00A3787F"/>
    <w:rsid w:val="00A378FB"/>
    <w:rsid w:val="00A37B7D"/>
    <w:rsid w:val="00A37B8C"/>
    <w:rsid w:val="00A37CE3"/>
    <w:rsid w:val="00A37E34"/>
    <w:rsid w:val="00A37EB9"/>
    <w:rsid w:val="00A37F34"/>
    <w:rsid w:val="00A37F38"/>
    <w:rsid w:val="00A37F94"/>
    <w:rsid w:val="00A37FB8"/>
    <w:rsid w:val="00A40098"/>
    <w:rsid w:val="00A4013D"/>
    <w:rsid w:val="00A401D3"/>
    <w:rsid w:val="00A401D4"/>
    <w:rsid w:val="00A40206"/>
    <w:rsid w:val="00A405E8"/>
    <w:rsid w:val="00A407C9"/>
    <w:rsid w:val="00A40909"/>
    <w:rsid w:val="00A409A1"/>
    <w:rsid w:val="00A409A4"/>
    <w:rsid w:val="00A40A6D"/>
    <w:rsid w:val="00A40B46"/>
    <w:rsid w:val="00A40BB4"/>
    <w:rsid w:val="00A40D8D"/>
    <w:rsid w:val="00A40F36"/>
    <w:rsid w:val="00A40F4F"/>
    <w:rsid w:val="00A40F86"/>
    <w:rsid w:val="00A40FDF"/>
    <w:rsid w:val="00A41058"/>
    <w:rsid w:val="00A41127"/>
    <w:rsid w:val="00A411D6"/>
    <w:rsid w:val="00A411DE"/>
    <w:rsid w:val="00A41447"/>
    <w:rsid w:val="00A41458"/>
    <w:rsid w:val="00A41468"/>
    <w:rsid w:val="00A4146B"/>
    <w:rsid w:val="00A41721"/>
    <w:rsid w:val="00A41808"/>
    <w:rsid w:val="00A41904"/>
    <w:rsid w:val="00A41913"/>
    <w:rsid w:val="00A419BD"/>
    <w:rsid w:val="00A41A73"/>
    <w:rsid w:val="00A41A88"/>
    <w:rsid w:val="00A41BAC"/>
    <w:rsid w:val="00A41C05"/>
    <w:rsid w:val="00A41C0E"/>
    <w:rsid w:val="00A41C5A"/>
    <w:rsid w:val="00A41C82"/>
    <w:rsid w:val="00A41C99"/>
    <w:rsid w:val="00A41D00"/>
    <w:rsid w:val="00A41D21"/>
    <w:rsid w:val="00A41E06"/>
    <w:rsid w:val="00A41EBF"/>
    <w:rsid w:val="00A41EE2"/>
    <w:rsid w:val="00A4200D"/>
    <w:rsid w:val="00A420B7"/>
    <w:rsid w:val="00A4210F"/>
    <w:rsid w:val="00A4220A"/>
    <w:rsid w:val="00A423CC"/>
    <w:rsid w:val="00A4249A"/>
    <w:rsid w:val="00A4255A"/>
    <w:rsid w:val="00A425C6"/>
    <w:rsid w:val="00A42602"/>
    <w:rsid w:val="00A427AB"/>
    <w:rsid w:val="00A42939"/>
    <w:rsid w:val="00A42BE9"/>
    <w:rsid w:val="00A42D5D"/>
    <w:rsid w:val="00A42EEC"/>
    <w:rsid w:val="00A42F49"/>
    <w:rsid w:val="00A42FFC"/>
    <w:rsid w:val="00A43172"/>
    <w:rsid w:val="00A431AC"/>
    <w:rsid w:val="00A432BB"/>
    <w:rsid w:val="00A432C4"/>
    <w:rsid w:val="00A434FC"/>
    <w:rsid w:val="00A4377F"/>
    <w:rsid w:val="00A437A3"/>
    <w:rsid w:val="00A439BF"/>
    <w:rsid w:val="00A43AB1"/>
    <w:rsid w:val="00A43AFE"/>
    <w:rsid w:val="00A43B3A"/>
    <w:rsid w:val="00A43CD5"/>
    <w:rsid w:val="00A43D21"/>
    <w:rsid w:val="00A43D5A"/>
    <w:rsid w:val="00A43E0E"/>
    <w:rsid w:val="00A43E3F"/>
    <w:rsid w:val="00A43E91"/>
    <w:rsid w:val="00A43EE3"/>
    <w:rsid w:val="00A43F76"/>
    <w:rsid w:val="00A44137"/>
    <w:rsid w:val="00A44158"/>
    <w:rsid w:val="00A44186"/>
    <w:rsid w:val="00A441CC"/>
    <w:rsid w:val="00A44358"/>
    <w:rsid w:val="00A4435A"/>
    <w:rsid w:val="00A4438F"/>
    <w:rsid w:val="00A4439E"/>
    <w:rsid w:val="00A444B9"/>
    <w:rsid w:val="00A444BB"/>
    <w:rsid w:val="00A44502"/>
    <w:rsid w:val="00A4459A"/>
    <w:rsid w:val="00A4463A"/>
    <w:rsid w:val="00A446F9"/>
    <w:rsid w:val="00A44729"/>
    <w:rsid w:val="00A4472D"/>
    <w:rsid w:val="00A44888"/>
    <w:rsid w:val="00A44A6D"/>
    <w:rsid w:val="00A44A7C"/>
    <w:rsid w:val="00A44AC7"/>
    <w:rsid w:val="00A44B06"/>
    <w:rsid w:val="00A44C6D"/>
    <w:rsid w:val="00A44E7D"/>
    <w:rsid w:val="00A44E9C"/>
    <w:rsid w:val="00A44EE1"/>
    <w:rsid w:val="00A450A8"/>
    <w:rsid w:val="00A4513A"/>
    <w:rsid w:val="00A45221"/>
    <w:rsid w:val="00A45383"/>
    <w:rsid w:val="00A45429"/>
    <w:rsid w:val="00A455BB"/>
    <w:rsid w:val="00A45674"/>
    <w:rsid w:val="00A45802"/>
    <w:rsid w:val="00A459F4"/>
    <w:rsid w:val="00A45A13"/>
    <w:rsid w:val="00A45A38"/>
    <w:rsid w:val="00A45C89"/>
    <w:rsid w:val="00A45E86"/>
    <w:rsid w:val="00A45FD7"/>
    <w:rsid w:val="00A4613B"/>
    <w:rsid w:val="00A46279"/>
    <w:rsid w:val="00A46364"/>
    <w:rsid w:val="00A4647F"/>
    <w:rsid w:val="00A46593"/>
    <w:rsid w:val="00A465B9"/>
    <w:rsid w:val="00A46661"/>
    <w:rsid w:val="00A46695"/>
    <w:rsid w:val="00A466C0"/>
    <w:rsid w:val="00A4670B"/>
    <w:rsid w:val="00A46796"/>
    <w:rsid w:val="00A467B4"/>
    <w:rsid w:val="00A469E4"/>
    <w:rsid w:val="00A46B54"/>
    <w:rsid w:val="00A46C22"/>
    <w:rsid w:val="00A46ECB"/>
    <w:rsid w:val="00A46ED6"/>
    <w:rsid w:val="00A4716E"/>
    <w:rsid w:val="00A47238"/>
    <w:rsid w:val="00A4744F"/>
    <w:rsid w:val="00A47469"/>
    <w:rsid w:val="00A47598"/>
    <w:rsid w:val="00A4761A"/>
    <w:rsid w:val="00A4768F"/>
    <w:rsid w:val="00A476B4"/>
    <w:rsid w:val="00A47953"/>
    <w:rsid w:val="00A4795E"/>
    <w:rsid w:val="00A479E5"/>
    <w:rsid w:val="00A47B6D"/>
    <w:rsid w:val="00A47BD6"/>
    <w:rsid w:val="00A47BF6"/>
    <w:rsid w:val="00A47D63"/>
    <w:rsid w:val="00A47DF5"/>
    <w:rsid w:val="00A47FD5"/>
    <w:rsid w:val="00A500A5"/>
    <w:rsid w:val="00A500D4"/>
    <w:rsid w:val="00A501E6"/>
    <w:rsid w:val="00A50341"/>
    <w:rsid w:val="00A50425"/>
    <w:rsid w:val="00A5048A"/>
    <w:rsid w:val="00A50641"/>
    <w:rsid w:val="00A5099A"/>
    <w:rsid w:val="00A509A5"/>
    <w:rsid w:val="00A50AE8"/>
    <w:rsid w:val="00A50AEF"/>
    <w:rsid w:val="00A50B33"/>
    <w:rsid w:val="00A50B6E"/>
    <w:rsid w:val="00A50BCC"/>
    <w:rsid w:val="00A50C67"/>
    <w:rsid w:val="00A50CAA"/>
    <w:rsid w:val="00A50D6A"/>
    <w:rsid w:val="00A50D7A"/>
    <w:rsid w:val="00A50D80"/>
    <w:rsid w:val="00A50D9E"/>
    <w:rsid w:val="00A51093"/>
    <w:rsid w:val="00A511D7"/>
    <w:rsid w:val="00A511F1"/>
    <w:rsid w:val="00A513A7"/>
    <w:rsid w:val="00A513FF"/>
    <w:rsid w:val="00A51534"/>
    <w:rsid w:val="00A515C2"/>
    <w:rsid w:val="00A5171D"/>
    <w:rsid w:val="00A51772"/>
    <w:rsid w:val="00A5185B"/>
    <w:rsid w:val="00A518B5"/>
    <w:rsid w:val="00A518EB"/>
    <w:rsid w:val="00A5190A"/>
    <w:rsid w:val="00A51A7D"/>
    <w:rsid w:val="00A51AAF"/>
    <w:rsid w:val="00A51B97"/>
    <w:rsid w:val="00A51BEB"/>
    <w:rsid w:val="00A51C29"/>
    <w:rsid w:val="00A51CC8"/>
    <w:rsid w:val="00A51DBA"/>
    <w:rsid w:val="00A51ED2"/>
    <w:rsid w:val="00A51FC0"/>
    <w:rsid w:val="00A522CD"/>
    <w:rsid w:val="00A52342"/>
    <w:rsid w:val="00A523EE"/>
    <w:rsid w:val="00A5240E"/>
    <w:rsid w:val="00A52602"/>
    <w:rsid w:val="00A52613"/>
    <w:rsid w:val="00A528E7"/>
    <w:rsid w:val="00A52946"/>
    <w:rsid w:val="00A529B5"/>
    <w:rsid w:val="00A52CD7"/>
    <w:rsid w:val="00A52D06"/>
    <w:rsid w:val="00A52D73"/>
    <w:rsid w:val="00A52DF2"/>
    <w:rsid w:val="00A52EA8"/>
    <w:rsid w:val="00A52F76"/>
    <w:rsid w:val="00A53055"/>
    <w:rsid w:val="00A533FA"/>
    <w:rsid w:val="00A536D5"/>
    <w:rsid w:val="00A53707"/>
    <w:rsid w:val="00A53738"/>
    <w:rsid w:val="00A5378D"/>
    <w:rsid w:val="00A537FC"/>
    <w:rsid w:val="00A53851"/>
    <w:rsid w:val="00A53871"/>
    <w:rsid w:val="00A53A43"/>
    <w:rsid w:val="00A53A48"/>
    <w:rsid w:val="00A53A8D"/>
    <w:rsid w:val="00A53BC6"/>
    <w:rsid w:val="00A53C22"/>
    <w:rsid w:val="00A53D03"/>
    <w:rsid w:val="00A53D67"/>
    <w:rsid w:val="00A53DA3"/>
    <w:rsid w:val="00A53DAF"/>
    <w:rsid w:val="00A53DB4"/>
    <w:rsid w:val="00A53DC9"/>
    <w:rsid w:val="00A53EFD"/>
    <w:rsid w:val="00A54062"/>
    <w:rsid w:val="00A5420F"/>
    <w:rsid w:val="00A542BC"/>
    <w:rsid w:val="00A54348"/>
    <w:rsid w:val="00A544DE"/>
    <w:rsid w:val="00A5454B"/>
    <w:rsid w:val="00A5454E"/>
    <w:rsid w:val="00A546D9"/>
    <w:rsid w:val="00A546FE"/>
    <w:rsid w:val="00A54B03"/>
    <w:rsid w:val="00A54DCD"/>
    <w:rsid w:val="00A54DF9"/>
    <w:rsid w:val="00A54E63"/>
    <w:rsid w:val="00A54ED8"/>
    <w:rsid w:val="00A54F4A"/>
    <w:rsid w:val="00A55005"/>
    <w:rsid w:val="00A550C4"/>
    <w:rsid w:val="00A55111"/>
    <w:rsid w:val="00A5515B"/>
    <w:rsid w:val="00A55331"/>
    <w:rsid w:val="00A55350"/>
    <w:rsid w:val="00A554A9"/>
    <w:rsid w:val="00A554AC"/>
    <w:rsid w:val="00A55657"/>
    <w:rsid w:val="00A556F8"/>
    <w:rsid w:val="00A5580E"/>
    <w:rsid w:val="00A55A1D"/>
    <w:rsid w:val="00A55AA6"/>
    <w:rsid w:val="00A55B12"/>
    <w:rsid w:val="00A55B61"/>
    <w:rsid w:val="00A55B64"/>
    <w:rsid w:val="00A55C4D"/>
    <w:rsid w:val="00A55DD0"/>
    <w:rsid w:val="00A55F8E"/>
    <w:rsid w:val="00A56128"/>
    <w:rsid w:val="00A562C4"/>
    <w:rsid w:val="00A56328"/>
    <w:rsid w:val="00A563F8"/>
    <w:rsid w:val="00A56422"/>
    <w:rsid w:val="00A5644B"/>
    <w:rsid w:val="00A5645C"/>
    <w:rsid w:val="00A5647B"/>
    <w:rsid w:val="00A564CB"/>
    <w:rsid w:val="00A564D6"/>
    <w:rsid w:val="00A5655B"/>
    <w:rsid w:val="00A565A6"/>
    <w:rsid w:val="00A567E6"/>
    <w:rsid w:val="00A56879"/>
    <w:rsid w:val="00A568C9"/>
    <w:rsid w:val="00A56989"/>
    <w:rsid w:val="00A56A6A"/>
    <w:rsid w:val="00A56A93"/>
    <w:rsid w:val="00A56D5A"/>
    <w:rsid w:val="00A56DEB"/>
    <w:rsid w:val="00A56F4F"/>
    <w:rsid w:val="00A56F6D"/>
    <w:rsid w:val="00A5713D"/>
    <w:rsid w:val="00A571DD"/>
    <w:rsid w:val="00A572B2"/>
    <w:rsid w:val="00A57309"/>
    <w:rsid w:val="00A57355"/>
    <w:rsid w:val="00A57439"/>
    <w:rsid w:val="00A5746B"/>
    <w:rsid w:val="00A57471"/>
    <w:rsid w:val="00A574CD"/>
    <w:rsid w:val="00A57565"/>
    <w:rsid w:val="00A575BE"/>
    <w:rsid w:val="00A57773"/>
    <w:rsid w:val="00A57795"/>
    <w:rsid w:val="00A579FA"/>
    <w:rsid w:val="00A57A1B"/>
    <w:rsid w:val="00A57A29"/>
    <w:rsid w:val="00A57B01"/>
    <w:rsid w:val="00A57D48"/>
    <w:rsid w:val="00A57D4D"/>
    <w:rsid w:val="00A57D84"/>
    <w:rsid w:val="00A57DB1"/>
    <w:rsid w:val="00A57DEA"/>
    <w:rsid w:val="00A57F7C"/>
    <w:rsid w:val="00A6017B"/>
    <w:rsid w:val="00A60505"/>
    <w:rsid w:val="00A605E9"/>
    <w:rsid w:val="00A6060B"/>
    <w:rsid w:val="00A6068D"/>
    <w:rsid w:val="00A606BB"/>
    <w:rsid w:val="00A607CE"/>
    <w:rsid w:val="00A60869"/>
    <w:rsid w:val="00A6099C"/>
    <w:rsid w:val="00A60A82"/>
    <w:rsid w:val="00A60A89"/>
    <w:rsid w:val="00A60AE0"/>
    <w:rsid w:val="00A60AE9"/>
    <w:rsid w:val="00A60B3B"/>
    <w:rsid w:val="00A60B53"/>
    <w:rsid w:val="00A60D52"/>
    <w:rsid w:val="00A60F90"/>
    <w:rsid w:val="00A61108"/>
    <w:rsid w:val="00A6111A"/>
    <w:rsid w:val="00A6117B"/>
    <w:rsid w:val="00A6118C"/>
    <w:rsid w:val="00A6120B"/>
    <w:rsid w:val="00A61249"/>
    <w:rsid w:val="00A61320"/>
    <w:rsid w:val="00A61329"/>
    <w:rsid w:val="00A61410"/>
    <w:rsid w:val="00A614AF"/>
    <w:rsid w:val="00A6150F"/>
    <w:rsid w:val="00A6156F"/>
    <w:rsid w:val="00A6171C"/>
    <w:rsid w:val="00A6187D"/>
    <w:rsid w:val="00A618FB"/>
    <w:rsid w:val="00A61AEE"/>
    <w:rsid w:val="00A61B0E"/>
    <w:rsid w:val="00A61CEA"/>
    <w:rsid w:val="00A61D13"/>
    <w:rsid w:val="00A61D69"/>
    <w:rsid w:val="00A61EEA"/>
    <w:rsid w:val="00A6223C"/>
    <w:rsid w:val="00A622B0"/>
    <w:rsid w:val="00A623FD"/>
    <w:rsid w:val="00A6246E"/>
    <w:rsid w:val="00A624C1"/>
    <w:rsid w:val="00A625D3"/>
    <w:rsid w:val="00A6273F"/>
    <w:rsid w:val="00A628FF"/>
    <w:rsid w:val="00A62ACE"/>
    <w:rsid w:val="00A62B63"/>
    <w:rsid w:val="00A62B8B"/>
    <w:rsid w:val="00A62C20"/>
    <w:rsid w:val="00A62D38"/>
    <w:rsid w:val="00A62D79"/>
    <w:rsid w:val="00A62DDF"/>
    <w:rsid w:val="00A62DF0"/>
    <w:rsid w:val="00A62E6F"/>
    <w:rsid w:val="00A62E73"/>
    <w:rsid w:val="00A62E7D"/>
    <w:rsid w:val="00A62F7A"/>
    <w:rsid w:val="00A62F9B"/>
    <w:rsid w:val="00A62FA9"/>
    <w:rsid w:val="00A6311F"/>
    <w:rsid w:val="00A63140"/>
    <w:rsid w:val="00A63282"/>
    <w:rsid w:val="00A632B4"/>
    <w:rsid w:val="00A63312"/>
    <w:rsid w:val="00A63383"/>
    <w:rsid w:val="00A63399"/>
    <w:rsid w:val="00A633F6"/>
    <w:rsid w:val="00A637AD"/>
    <w:rsid w:val="00A637CD"/>
    <w:rsid w:val="00A6381C"/>
    <w:rsid w:val="00A638DD"/>
    <w:rsid w:val="00A6391F"/>
    <w:rsid w:val="00A63BAF"/>
    <w:rsid w:val="00A63BE7"/>
    <w:rsid w:val="00A640AA"/>
    <w:rsid w:val="00A64168"/>
    <w:rsid w:val="00A64353"/>
    <w:rsid w:val="00A643A0"/>
    <w:rsid w:val="00A644BD"/>
    <w:rsid w:val="00A64628"/>
    <w:rsid w:val="00A6462B"/>
    <w:rsid w:val="00A646D3"/>
    <w:rsid w:val="00A647A3"/>
    <w:rsid w:val="00A6490A"/>
    <w:rsid w:val="00A6494B"/>
    <w:rsid w:val="00A6494E"/>
    <w:rsid w:val="00A6497F"/>
    <w:rsid w:val="00A64993"/>
    <w:rsid w:val="00A64A1C"/>
    <w:rsid w:val="00A64A99"/>
    <w:rsid w:val="00A64C8F"/>
    <w:rsid w:val="00A650D0"/>
    <w:rsid w:val="00A65109"/>
    <w:rsid w:val="00A6519D"/>
    <w:rsid w:val="00A651E4"/>
    <w:rsid w:val="00A65351"/>
    <w:rsid w:val="00A65393"/>
    <w:rsid w:val="00A653A9"/>
    <w:rsid w:val="00A653CC"/>
    <w:rsid w:val="00A6542C"/>
    <w:rsid w:val="00A654B0"/>
    <w:rsid w:val="00A655A3"/>
    <w:rsid w:val="00A655D5"/>
    <w:rsid w:val="00A657DB"/>
    <w:rsid w:val="00A658A2"/>
    <w:rsid w:val="00A6590F"/>
    <w:rsid w:val="00A65A0E"/>
    <w:rsid w:val="00A65B29"/>
    <w:rsid w:val="00A65B42"/>
    <w:rsid w:val="00A65B5B"/>
    <w:rsid w:val="00A65C3A"/>
    <w:rsid w:val="00A65CEB"/>
    <w:rsid w:val="00A65E8A"/>
    <w:rsid w:val="00A65EA8"/>
    <w:rsid w:val="00A65EE7"/>
    <w:rsid w:val="00A65F28"/>
    <w:rsid w:val="00A66123"/>
    <w:rsid w:val="00A66158"/>
    <w:rsid w:val="00A6618D"/>
    <w:rsid w:val="00A66351"/>
    <w:rsid w:val="00A665E3"/>
    <w:rsid w:val="00A665EE"/>
    <w:rsid w:val="00A665FD"/>
    <w:rsid w:val="00A666F9"/>
    <w:rsid w:val="00A668B9"/>
    <w:rsid w:val="00A669D9"/>
    <w:rsid w:val="00A66A47"/>
    <w:rsid w:val="00A66ACD"/>
    <w:rsid w:val="00A66BFC"/>
    <w:rsid w:val="00A66D0C"/>
    <w:rsid w:val="00A66D4C"/>
    <w:rsid w:val="00A66F8E"/>
    <w:rsid w:val="00A66F9F"/>
    <w:rsid w:val="00A67118"/>
    <w:rsid w:val="00A67232"/>
    <w:rsid w:val="00A673FA"/>
    <w:rsid w:val="00A676FC"/>
    <w:rsid w:val="00A6773B"/>
    <w:rsid w:val="00A677FC"/>
    <w:rsid w:val="00A677FD"/>
    <w:rsid w:val="00A678D0"/>
    <w:rsid w:val="00A678DC"/>
    <w:rsid w:val="00A679BB"/>
    <w:rsid w:val="00A67A00"/>
    <w:rsid w:val="00A67C2E"/>
    <w:rsid w:val="00A67CB1"/>
    <w:rsid w:val="00A67CC1"/>
    <w:rsid w:val="00A67D31"/>
    <w:rsid w:val="00A67D46"/>
    <w:rsid w:val="00A67EF1"/>
    <w:rsid w:val="00A67EF8"/>
    <w:rsid w:val="00A67FA3"/>
    <w:rsid w:val="00A70084"/>
    <w:rsid w:val="00A70087"/>
    <w:rsid w:val="00A700D4"/>
    <w:rsid w:val="00A700F6"/>
    <w:rsid w:val="00A7018A"/>
    <w:rsid w:val="00A7019E"/>
    <w:rsid w:val="00A701A1"/>
    <w:rsid w:val="00A701A7"/>
    <w:rsid w:val="00A7029C"/>
    <w:rsid w:val="00A704CF"/>
    <w:rsid w:val="00A707E5"/>
    <w:rsid w:val="00A707ED"/>
    <w:rsid w:val="00A7080D"/>
    <w:rsid w:val="00A70819"/>
    <w:rsid w:val="00A70AEC"/>
    <w:rsid w:val="00A70B0F"/>
    <w:rsid w:val="00A70B47"/>
    <w:rsid w:val="00A70B92"/>
    <w:rsid w:val="00A70CED"/>
    <w:rsid w:val="00A70DFA"/>
    <w:rsid w:val="00A70E8A"/>
    <w:rsid w:val="00A7105C"/>
    <w:rsid w:val="00A71099"/>
    <w:rsid w:val="00A71137"/>
    <w:rsid w:val="00A711AE"/>
    <w:rsid w:val="00A713C9"/>
    <w:rsid w:val="00A713E5"/>
    <w:rsid w:val="00A71555"/>
    <w:rsid w:val="00A7192A"/>
    <w:rsid w:val="00A71B05"/>
    <w:rsid w:val="00A71B15"/>
    <w:rsid w:val="00A71B4F"/>
    <w:rsid w:val="00A71BB0"/>
    <w:rsid w:val="00A71DEB"/>
    <w:rsid w:val="00A71E70"/>
    <w:rsid w:val="00A71EC9"/>
    <w:rsid w:val="00A72041"/>
    <w:rsid w:val="00A72133"/>
    <w:rsid w:val="00A72160"/>
    <w:rsid w:val="00A72357"/>
    <w:rsid w:val="00A7239D"/>
    <w:rsid w:val="00A7242F"/>
    <w:rsid w:val="00A724AB"/>
    <w:rsid w:val="00A7257D"/>
    <w:rsid w:val="00A725BC"/>
    <w:rsid w:val="00A72A1C"/>
    <w:rsid w:val="00A72BBA"/>
    <w:rsid w:val="00A72CB6"/>
    <w:rsid w:val="00A73024"/>
    <w:rsid w:val="00A7302E"/>
    <w:rsid w:val="00A7306A"/>
    <w:rsid w:val="00A731BF"/>
    <w:rsid w:val="00A73329"/>
    <w:rsid w:val="00A73337"/>
    <w:rsid w:val="00A733A8"/>
    <w:rsid w:val="00A733EC"/>
    <w:rsid w:val="00A734AD"/>
    <w:rsid w:val="00A734DD"/>
    <w:rsid w:val="00A73662"/>
    <w:rsid w:val="00A73775"/>
    <w:rsid w:val="00A7378C"/>
    <w:rsid w:val="00A737FB"/>
    <w:rsid w:val="00A7384E"/>
    <w:rsid w:val="00A7385C"/>
    <w:rsid w:val="00A73A2D"/>
    <w:rsid w:val="00A73A8C"/>
    <w:rsid w:val="00A73C0C"/>
    <w:rsid w:val="00A73CF9"/>
    <w:rsid w:val="00A73E31"/>
    <w:rsid w:val="00A73E72"/>
    <w:rsid w:val="00A73F91"/>
    <w:rsid w:val="00A73FFF"/>
    <w:rsid w:val="00A74022"/>
    <w:rsid w:val="00A74160"/>
    <w:rsid w:val="00A74170"/>
    <w:rsid w:val="00A7423A"/>
    <w:rsid w:val="00A7428C"/>
    <w:rsid w:val="00A742D2"/>
    <w:rsid w:val="00A742D6"/>
    <w:rsid w:val="00A74309"/>
    <w:rsid w:val="00A744D7"/>
    <w:rsid w:val="00A74551"/>
    <w:rsid w:val="00A74626"/>
    <w:rsid w:val="00A7462E"/>
    <w:rsid w:val="00A74655"/>
    <w:rsid w:val="00A7486D"/>
    <w:rsid w:val="00A74A57"/>
    <w:rsid w:val="00A74A92"/>
    <w:rsid w:val="00A74B89"/>
    <w:rsid w:val="00A74C23"/>
    <w:rsid w:val="00A74C8B"/>
    <w:rsid w:val="00A74CCE"/>
    <w:rsid w:val="00A74F51"/>
    <w:rsid w:val="00A74FCC"/>
    <w:rsid w:val="00A7507A"/>
    <w:rsid w:val="00A7528A"/>
    <w:rsid w:val="00A7546A"/>
    <w:rsid w:val="00A7552D"/>
    <w:rsid w:val="00A7558F"/>
    <w:rsid w:val="00A755BD"/>
    <w:rsid w:val="00A7567E"/>
    <w:rsid w:val="00A7579F"/>
    <w:rsid w:val="00A75938"/>
    <w:rsid w:val="00A75991"/>
    <w:rsid w:val="00A759DF"/>
    <w:rsid w:val="00A75ABA"/>
    <w:rsid w:val="00A75BEC"/>
    <w:rsid w:val="00A75C9E"/>
    <w:rsid w:val="00A75CFF"/>
    <w:rsid w:val="00A75D1A"/>
    <w:rsid w:val="00A75D73"/>
    <w:rsid w:val="00A75D93"/>
    <w:rsid w:val="00A75ECD"/>
    <w:rsid w:val="00A75FE5"/>
    <w:rsid w:val="00A75FFF"/>
    <w:rsid w:val="00A7601D"/>
    <w:rsid w:val="00A76053"/>
    <w:rsid w:val="00A76148"/>
    <w:rsid w:val="00A76246"/>
    <w:rsid w:val="00A7628B"/>
    <w:rsid w:val="00A76345"/>
    <w:rsid w:val="00A763C8"/>
    <w:rsid w:val="00A7650C"/>
    <w:rsid w:val="00A76573"/>
    <w:rsid w:val="00A76613"/>
    <w:rsid w:val="00A76639"/>
    <w:rsid w:val="00A76713"/>
    <w:rsid w:val="00A76788"/>
    <w:rsid w:val="00A76849"/>
    <w:rsid w:val="00A76896"/>
    <w:rsid w:val="00A768A3"/>
    <w:rsid w:val="00A7698F"/>
    <w:rsid w:val="00A769E0"/>
    <w:rsid w:val="00A76A6D"/>
    <w:rsid w:val="00A76B70"/>
    <w:rsid w:val="00A76B8E"/>
    <w:rsid w:val="00A76BDC"/>
    <w:rsid w:val="00A76CC2"/>
    <w:rsid w:val="00A76CF4"/>
    <w:rsid w:val="00A76E46"/>
    <w:rsid w:val="00A76E55"/>
    <w:rsid w:val="00A76F07"/>
    <w:rsid w:val="00A76F63"/>
    <w:rsid w:val="00A77012"/>
    <w:rsid w:val="00A77172"/>
    <w:rsid w:val="00A7717F"/>
    <w:rsid w:val="00A771D9"/>
    <w:rsid w:val="00A771DA"/>
    <w:rsid w:val="00A77282"/>
    <w:rsid w:val="00A774EA"/>
    <w:rsid w:val="00A775A4"/>
    <w:rsid w:val="00A7762F"/>
    <w:rsid w:val="00A776AD"/>
    <w:rsid w:val="00A776D6"/>
    <w:rsid w:val="00A777F4"/>
    <w:rsid w:val="00A77933"/>
    <w:rsid w:val="00A77A06"/>
    <w:rsid w:val="00A77BDE"/>
    <w:rsid w:val="00A77BF4"/>
    <w:rsid w:val="00A77C47"/>
    <w:rsid w:val="00A77D62"/>
    <w:rsid w:val="00A77E36"/>
    <w:rsid w:val="00A77E38"/>
    <w:rsid w:val="00A80131"/>
    <w:rsid w:val="00A80390"/>
    <w:rsid w:val="00A8061C"/>
    <w:rsid w:val="00A808BE"/>
    <w:rsid w:val="00A80964"/>
    <w:rsid w:val="00A809D3"/>
    <w:rsid w:val="00A80A0A"/>
    <w:rsid w:val="00A80A71"/>
    <w:rsid w:val="00A80AA8"/>
    <w:rsid w:val="00A80B60"/>
    <w:rsid w:val="00A80C24"/>
    <w:rsid w:val="00A80DAB"/>
    <w:rsid w:val="00A80E30"/>
    <w:rsid w:val="00A80E8B"/>
    <w:rsid w:val="00A80F44"/>
    <w:rsid w:val="00A8115F"/>
    <w:rsid w:val="00A812C3"/>
    <w:rsid w:val="00A81394"/>
    <w:rsid w:val="00A81486"/>
    <w:rsid w:val="00A815CE"/>
    <w:rsid w:val="00A81607"/>
    <w:rsid w:val="00A81672"/>
    <w:rsid w:val="00A81693"/>
    <w:rsid w:val="00A8171A"/>
    <w:rsid w:val="00A817A6"/>
    <w:rsid w:val="00A818A1"/>
    <w:rsid w:val="00A818B2"/>
    <w:rsid w:val="00A818C7"/>
    <w:rsid w:val="00A819C0"/>
    <w:rsid w:val="00A81AB3"/>
    <w:rsid w:val="00A81B5B"/>
    <w:rsid w:val="00A81BDE"/>
    <w:rsid w:val="00A81C51"/>
    <w:rsid w:val="00A81C68"/>
    <w:rsid w:val="00A81CF2"/>
    <w:rsid w:val="00A81D78"/>
    <w:rsid w:val="00A81DDC"/>
    <w:rsid w:val="00A81E0C"/>
    <w:rsid w:val="00A81E64"/>
    <w:rsid w:val="00A81F87"/>
    <w:rsid w:val="00A81F88"/>
    <w:rsid w:val="00A81F9C"/>
    <w:rsid w:val="00A820D0"/>
    <w:rsid w:val="00A82253"/>
    <w:rsid w:val="00A8227E"/>
    <w:rsid w:val="00A82379"/>
    <w:rsid w:val="00A82406"/>
    <w:rsid w:val="00A8242C"/>
    <w:rsid w:val="00A82665"/>
    <w:rsid w:val="00A82697"/>
    <w:rsid w:val="00A8281C"/>
    <w:rsid w:val="00A829B4"/>
    <w:rsid w:val="00A82ACF"/>
    <w:rsid w:val="00A82B9D"/>
    <w:rsid w:val="00A82C06"/>
    <w:rsid w:val="00A82D28"/>
    <w:rsid w:val="00A82D49"/>
    <w:rsid w:val="00A82E08"/>
    <w:rsid w:val="00A82FE1"/>
    <w:rsid w:val="00A832E7"/>
    <w:rsid w:val="00A83325"/>
    <w:rsid w:val="00A833F8"/>
    <w:rsid w:val="00A83449"/>
    <w:rsid w:val="00A8348F"/>
    <w:rsid w:val="00A835DF"/>
    <w:rsid w:val="00A8378D"/>
    <w:rsid w:val="00A83803"/>
    <w:rsid w:val="00A83870"/>
    <w:rsid w:val="00A8390A"/>
    <w:rsid w:val="00A83939"/>
    <w:rsid w:val="00A8394C"/>
    <w:rsid w:val="00A83A70"/>
    <w:rsid w:val="00A83B05"/>
    <w:rsid w:val="00A83B7C"/>
    <w:rsid w:val="00A83BF0"/>
    <w:rsid w:val="00A83BF9"/>
    <w:rsid w:val="00A83DA2"/>
    <w:rsid w:val="00A83E81"/>
    <w:rsid w:val="00A83EDB"/>
    <w:rsid w:val="00A84009"/>
    <w:rsid w:val="00A84255"/>
    <w:rsid w:val="00A845BC"/>
    <w:rsid w:val="00A8461A"/>
    <w:rsid w:val="00A84633"/>
    <w:rsid w:val="00A8463C"/>
    <w:rsid w:val="00A8465F"/>
    <w:rsid w:val="00A846CA"/>
    <w:rsid w:val="00A847F7"/>
    <w:rsid w:val="00A84B82"/>
    <w:rsid w:val="00A84B9E"/>
    <w:rsid w:val="00A84C09"/>
    <w:rsid w:val="00A84C83"/>
    <w:rsid w:val="00A84F58"/>
    <w:rsid w:val="00A8500A"/>
    <w:rsid w:val="00A851B9"/>
    <w:rsid w:val="00A851CB"/>
    <w:rsid w:val="00A85232"/>
    <w:rsid w:val="00A8525E"/>
    <w:rsid w:val="00A8526F"/>
    <w:rsid w:val="00A8529B"/>
    <w:rsid w:val="00A852DF"/>
    <w:rsid w:val="00A852E1"/>
    <w:rsid w:val="00A8536F"/>
    <w:rsid w:val="00A8556B"/>
    <w:rsid w:val="00A8560B"/>
    <w:rsid w:val="00A85719"/>
    <w:rsid w:val="00A8576F"/>
    <w:rsid w:val="00A8579E"/>
    <w:rsid w:val="00A857A8"/>
    <w:rsid w:val="00A857C7"/>
    <w:rsid w:val="00A857CB"/>
    <w:rsid w:val="00A85805"/>
    <w:rsid w:val="00A8580B"/>
    <w:rsid w:val="00A85847"/>
    <w:rsid w:val="00A858A6"/>
    <w:rsid w:val="00A85B59"/>
    <w:rsid w:val="00A85E07"/>
    <w:rsid w:val="00A85F5E"/>
    <w:rsid w:val="00A85F85"/>
    <w:rsid w:val="00A85F8B"/>
    <w:rsid w:val="00A861E6"/>
    <w:rsid w:val="00A862A8"/>
    <w:rsid w:val="00A86328"/>
    <w:rsid w:val="00A8633F"/>
    <w:rsid w:val="00A86369"/>
    <w:rsid w:val="00A86375"/>
    <w:rsid w:val="00A86443"/>
    <w:rsid w:val="00A864B3"/>
    <w:rsid w:val="00A86616"/>
    <w:rsid w:val="00A8670A"/>
    <w:rsid w:val="00A86731"/>
    <w:rsid w:val="00A8678F"/>
    <w:rsid w:val="00A867D9"/>
    <w:rsid w:val="00A8688F"/>
    <w:rsid w:val="00A868FB"/>
    <w:rsid w:val="00A869DB"/>
    <w:rsid w:val="00A869FF"/>
    <w:rsid w:val="00A86A01"/>
    <w:rsid w:val="00A86A08"/>
    <w:rsid w:val="00A86A10"/>
    <w:rsid w:val="00A86AAB"/>
    <w:rsid w:val="00A86B86"/>
    <w:rsid w:val="00A86CF9"/>
    <w:rsid w:val="00A86D0D"/>
    <w:rsid w:val="00A86D4F"/>
    <w:rsid w:val="00A86F95"/>
    <w:rsid w:val="00A87003"/>
    <w:rsid w:val="00A870C1"/>
    <w:rsid w:val="00A871F8"/>
    <w:rsid w:val="00A8742A"/>
    <w:rsid w:val="00A87528"/>
    <w:rsid w:val="00A87578"/>
    <w:rsid w:val="00A87780"/>
    <w:rsid w:val="00A8784A"/>
    <w:rsid w:val="00A878C3"/>
    <w:rsid w:val="00A879FC"/>
    <w:rsid w:val="00A87A15"/>
    <w:rsid w:val="00A87A81"/>
    <w:rsid w:val="00A87E22"/>
    <w:rsid w:val="00A87F1C"/>
    <w:rsid w:val="00A87FA1"/>
    <w:rsid w:val="00A9007B"/>
    <w:rsid w:val="00A9013C"/>
    <w:rsid w:val="00A90261"/>
    <w:rsid w:val="00A902F1"/>
    <w:rsid w:val="00A902F5"/>
    <w:rsid w:val="00A904BA"/>
    <w:rsid w:val="00A9064E"/>
    <w:rsid w:val="00A90750"/>
    <w:rsid w:val="00A90840"/>
    <w:rsid w:val="00A90A7A"/>
    <w:rsid w:val="00A90C3A"/>
    <w:rsid w:val="00A90CA2"/>
    <w:rsid w:val="00A90DFD"/>
    <w:rsid w:val="00A90E84"/>
    <w:rsid w:val="00A90E9A"/>
    <w:rsid w:val="00A90E9B"/>
    <w:rsid w:val="00A90EAF"/>
    <w:rsid w:val="00A90EEE"/>
    <w:rsid w:val="00A90F42"/>
    <w:rsid w:val="00A90FD7"/>
    <w:rsid w:val="00A90FE5"/>
    <w:rsid w:val="00A91047"/>
    <w:rsid w:val="00A910BC"/>
    <w:rsid w:val="00A910D2"/>
    <w:rsid w:val="00A91110"/>
    <w:rsid w:val="00A9116E"/>
    <w:rsid w:val="00A911C1"/>
    <w:rsid w:val="00A911DC"/>
    <w:rsid w:val="00A912F1"/>
    <w:rsid w:val="00A91477"/>
    <w:rsid w:val="00A917C7"/>
    <w:rsid w:val="00A9183D"/>
    <w:rsid w:val="00A919AC"/>
    <w:rsid w:val="00A91ADE"/>
    <w:rsid w:val="00A91B8D"/>
    <w:rsid w:val="00A91D2F"/>
    <w:rsid w:val="00A91FAD"/>
    <w:rsid w:val="00A92030"/>
    <w:rsid w:val="00A922E3"/>
    <w:rsid w:val="00A923B5"/>
    <w:rsid w:val="00A9246A"/>
    <w:rsid w:val="00A92480"/>
    <w:rsid w:val="00A924F8"/>
    <w:rsid w:val="00A92507"/>
    <w:rsid w:val="00A92597"/>
    <w:rsid w:val="00A925B3"/>
    <w:rsid w:val="00A92633"/>
    <w:rsid w:val="00A9265F"/>
    <w:rsid w:val="00A92676"/>
    <w:rsid w:val="00A9269D"/>
    <w:rsid w:val="00A926B1"/>
    <w:rsid w:val="00A92732"/>
    <w:rsid w:val="00A9279A"/>
    <w:rsid w:val="00A928C0"/>
    <w:rsid w:val="00A92967"/>
    <w:rsid w:val="00A92B10"/>
    <w:rsid w:val="00A92B44"/>
    <w:rsid w:val="00A92B65"/>
    <w:rsid w:val="00A92C0F"/>
    <w:rsid w:val="00A92DCE"/>
    <w:rsid w:val="00A92E2F"/>
    <w:rsid w:val="00A92F2A"/>
    <w:rsid w:val="00A9300B"/>
    <w:rsid w:val="00A93032"/>
    <w:rsid w:val="00A934DC"/>
    <w:rsid w:val="00A935EA"/>
    <w:rsid w:val="00A93668"/>
    <w:rsid w:val="00A93731"/>
    <w:rsid w:val="00A938EE"/>
    <w:rsid w:val="00A938F7"/>
    <w:rsid w:val="00A939A9"/>
    <w:rsid w:val="00A93A64"/>
    <w:rsid w:val="00A93A85"/>
    <w:rsid w:val="00A93A91"/>
    <w:rsid w:val="00A93B93"/>
    <w:rsid w:val="00A93B9E"/>
    <w:rsid w:val="00A93C94"/>
    <w:rsid w:val="00A93C9A"/>
    <w:rsid w:val="00A93D60"/>
    <w:rsid w:val="00A93DD1"/>
    <w:rsid w:val="00A93F2E"/>
    <w:rsid w:val="00A93F6D"/>
    <w:rsid w:val="00A93F82"/>
    <w:rsid w:val="00A94098"/>
    <w:rsid w:val="00A940A0"/>
    <w:rsid w:val="00A940AA"/>
    <w:rsid w:val="00A940B7"/>
    <w:rsid w:val="00A9412B"/>
    <w:rsid w:val="00A9419D"/>
    <w:rsid w:val="00A941DE"/>
    <w:rsid w:val="00A94279"/>
    <w:rsid w:val="00A94320"/>
    <w:rsid w:val="00A944D6"/>
    <w:rsid w:val="00A944D8"/>
    <w:rsid w:val="00A944DA"/>
    <w:rsid w:val="00A944FC"/>
    <w:rsid w:val="00A9453D"/>
    <w:rsid w:val="00A945FA"/>
    <w:rsid w:val="00A94A56"/>
    <w:rsid w:val="00A94B2A"/>
    <w:rsid w:val="00A94C11"/>
    <w:rsid w:val="00A94D1D"/>
    <w:rsid w:val="00A94D24"/>
    <w:rsid w:val="00A94E4D"/>
    <w:rsid w:val="00A94ED5"/>
    <w:rsid w:val="00A95030"/>
    <w:rsid w:val="00A9512C"/>
    <w:rsid w:val="00A951D5"/>
    <w:rsid w:val="00A951FD"/>
    <w:rsid w:val="00A9527F"/>
    <w:rsid w:val="00A953AF"/>
    <w:rsid w:val="00A954DD"/>
    <w:rsid w:val="00A954E3"/>
    <w:rsid w:val="00A95532"/>
    <w:rsid w:val="00A955B7"/>
    <w:rsid w:val="00A95896"/>
    <w:rsid w:val="00A958B1"/>
    <w:rsid w:val="00A958B4"/>
    <w:rsid w:val="00A958BF"/>
    <w:rsid w:val="00A958CB"/>
    <w:rsid w:val="00A9599B"/>
    <w:rsid w:val="00A959A8"/>
    <w:rsid w:val="00A959BE"/>
    <w:rsid w:val="00A95B09"/>
    <w:rsid w:val="00A95B0A"/>
    <w:rsid w:val="00A95B4D"/>
    <w:rsid w:val="00A95BF0"/>
    <w:rsid w:val="00A95D33"/>
    <w:rsid w:val="00A9605F"/>
    <w:rsid w:val="00A961EF"/>
    <w:rsid w:val="00A963C7"/>
    <w:rsid w:val="00A96435"/>
    <w:rsid w:val="00A96530"/>
    <w:rsid w:val="00A9655B"/>
    <w:rsid w:val="00A96689"/>
    <w:rsid w:val="00A96697"/>
    <w:rsid w:val="00A967FC"/>
    <w:rsid w:val="00A9682D"/>
    <w:rsid w:val="00A968B0"/>
    <w:rsid w:val="00A968FC"/>
    <w:rsid w:val="00A96930"/>
    <w:rsid w:val="00A96951"/>
    <w:rsid w:val="00A969A3"/>
    <w:rsid w:val="00A96A3B"/>
    <w:rsid w:val="00A96ABD"/>
    <w:rsid w:val="00A96C34"/>
    <w:rsid w:val="00A96CCA"/>
    <w:rsid w:val="00A96D10"/>
    <w:rsid w:val="00A96E3B"/>
    <w:rsid w:val="00A96EAF"/>
    <w:rsid w:val="00A96EC7"/>
    <w:rsid w:val="00A96EDC"/>
    <w:rsid w:val="00A96F63"/>
    <w:rsid w:val="00A97126"/>
    <w:rsid w:val="00A9719B"/>
    <w:rsid w:val="00A97212"/>
    <w:rsid w:val="00A973AB"/>
    <w:rsid w:val="00A97459"/>
    <w:rsid w:val="00A974F1"/>
    <w:rsid w:val="00A975C1"/>
    <w:rsid w:val="00A9765F"/>
    <w:rsid w:val="00A976D1"/>
    <w:rsid w:val="00A976D9"/>
    <w:rsid w:val="00A97968"/>
    <w:rsid w:val="00A97A74"/>
    <w:rsid w:val="00A97B11"/>
    <w:rsid w:val="00A97B41"/>
    <w:rsid w:val="00A97C52"/>
    <w:rsid w:val="00A97DA2"/>
    <w:rsid w:val="00A97DD7"/>
    <w:rsid w:val="00A97E66"/>
    <w:rsid w:val="00A97E80"/>
    <w:rsid w:val="00A97EEC"/>
    <w:rsid w:val="00AA0059"/>
    <w:rsid w:val="00AA0114"/>
    <w:rsid w:val="00AA0277"/>
    <w:rsid w:val="00AA0279"/>
    <w:rsid w:val="00AA02EB"/>
    <w:rsid w:val="00AA033C"/>
    <w:rsid w:val="00AA034F"/>
    <w:rsid w:val="00AA03C9"/>
    <w:rsid w:val="00AA0435"/>
    <w:rsid w:val="00AA04DE"/>
    <w:rsid w:val="00AA0558"/>
    <w:rsid w:val="00AA055C"/>
    <w:rsid w:val="00AA06B5"/>
    <w:rsid w:val="00AA071A"/>
    <w:rsid w:val="00AA08C5"/>
    <w:rsid w:val="00AA098B"/>
    <w:rsid w:val="00AA0998"/>
    <w:rsid w:val="00AA0ABE"/>
    <w:rsid w:val="00AA0B27"/>
    <w:rsid w:val="00AA0B7E"/>
    <w:rsid w:val="00AA0C11"/>
    <w:rsid w:val="00AA0C37"/>
    <w:rsid w:val="00AA0DFF"/>
    <w:rsid w:val="00AA0E7A"/>
    <w:rsid w:val="00AA0E9B"/>
    <w:rsid w:val="00AA0F42"/>
    <w:rsid w:val="00AA100A"/>
    <w:rsid w:val="00AA10E8"/>
    <w:rsid w:val="00AA1283"/>
    <w:rsid w:val="00AA13B4"/>
    <w:rsid w:val="00AA141D"/>
    <w:rsid w:val="00AA14A9"/>
    <w:rsid w:val="00AA1570"/>
    <w:rsid w:val="00AA157F"/>
    <w:rsid w:val="00AA1622"/>
    <w:rsid w:val="00AA1632"/>
    <w:rsid w:val="00AA1642"/>
    <w:rsid w:val="00AA1694"/>
    <w:rsid w:val="00AA175F"/>
    <w:rsid w:val="00AA178F"/>
    <w:rsid w:val="00AA192C"/>
    <w:rsid w:val="00AA1985"/>
    <w:rsid w:val="00AA19AC"/>
    <w:rsid w:val="00AA1BA6"/>
    <w:rsid w:val="00AA1BDE"/>
    <w:rsid w:val="00AA1BFC"/>
    <w:rsid w:val="00AA1C14"/>
    <w:rsid w:val="00AA1C2D"/>
    <w:rsid w:val="00AA1DDD"/>
    <w:rsid w:val="00AA1DF0"/>
    <w:rsid w:val="00AA2044"/>
    <w:rsid w:val="00AA2087"/>
    <w:rsid w:val="00AA20CF"/>
    <w:rsid w:val="00AA2192"/>
    <w:rsid w:val="00AA2212"/>
    <w:rsid w:val="00AA2224"/>
    <w:rsid w:val="00AA22A4"/>
    <w:rsid w:val="00AA22FA"/>
    <w:rsid w:val="00AA23BC"/>
    <w:rsid w:val="00AA2492"/>
    <w:rsid w:val="00AA2498"/>
    <w:rsid w:val="00AA2503"/>
    <w:rsid w:val="00AA2563"/>
    <w:rsid w:val="00AA25B0"/>
    <w:rsid w:val="00AA261D"/>
    <w:rsid w:val="00AA276B"/>
    <w:rsid w:val="00AA27E3"/>
    <w:rsid w:val="00AA27E5"/>
    <w:rsid w:val="00AA2989"/>
    <w:rsid w:val="00AA2A6C"/>
    <w:rsid w:val="00AA2AC4"/>
    <w:rsid w:val="00AA2B7D"/>
    <w:rsid w:val="00AA2B90"/>
    <w:rsid w:val="00AA2BA0"/>
    <w:rsid w:val="00AA2DBC"/>
    <w:rsid w:val="00AA2DBE"/>
    <w:rsid w:val="00AA2E32"/>
    <w:rsid w:val="00AA2E8E"/>
    <w:rsid w:val="00AA30E1"/>
    <w:rsid w:val="00AA3212"/>
    <w:rsid w:val="00AA321D"/>
    <w:rsid w:val="00AA325C"/>
    <w:rsid w:val="00AA32D4"/>
    <w:rsid w:val="00AA34A4"/>
    <w:rsid w:val="00AA3540"/>
    <w:rsid w:val="00AA35CB"/>
    <w:rsid w:val="00AA36FA"/>
    <w:rsid w:val="00AA3730"/>
    <w:rsid w:val="00AA376F"/>
    <w:rsid w:val="00AA3825"/>
    <w:rsid w:val="00AA388C"/>
    <w:rsid w:val="00AA392A"/>
    <w:rsid w:val="00AA3931"/>
    <w:rsid w:val="00AA3A1E"/>
    <w:rsid w:val="00AA3B3A"/>
    <w:rsid w:val="00AA3B53"/>
    <w:rsid w:val="00AA3BEB"/>
    <w:rsid w:val="00AA3C99"/>
    <w:rsid w:val="00AA3CEA"/>
    <w:rsid w:val="00AA3D38"/>
    <w:rsid w:val="00AA3D3E"/>
    <w:rsid w:val="00AA3ED3"/>
    <w:rsid w:val="00AA3F9E"/>
    <w:rsid w:val="00AA3FE4"/>
    <w:rsid w:val="00AA40C0"/>
    <w:rsid w:val="00AA40C3"/>
    <w:rsid w:val="00AA41D6"/>
    <w:rsid w:val="00AA42AD"/>
    <w:rsid w:val="00AA4434"/>
    <w:rsid w:val="00AA4459"/>
    <w:rsid w:val="00AA44D7"/>
    <w:rsid w:val="00AA451C"/>
    <w:rsid w:val="00AA45BB"/>
    <w:rsid w:val="00AA45DF"/>
    <w:rsid w:val="00AA46D4"/>
    <w:rsid w:val="00AA472B"/>
    <w:rsid w:val="00AA472C"/>
    <w:rsid w:val="00AA482E"/>
    <w:rsid w:val="00AA485E"/>
    <w:rsid w:val="00AA48DE"/>
    <w:rsid w:val="00AA49A1"/>
    <w:rsid w:val="00AA4A33"/>
    <w:rsid w:val="00AA4AA1"/>
    <w:rsid w:val="00AA4AF7"/>
    <w:rsid w:val="00AA50B1"/>
    <w:rsid w:val="00AA5354"/>
    <w:rsid w:val="00AA5561"/>
    <w:rsid w:val="00AA5636"/>
    <w:rsid w:val="00AA56EE"/>
    <w:rsid w:val="00AA57AA"/>
    <w:rsid w:val="00AA57BD"/>
    <w:rsid w:val="00AA5A37"/>
    <w:rsid w:val="00AA5A4E"/>
    <w:rsid w:val="00AA5B8C"/>
    <w:rsid w:val="00AA5B9E"/>
    <w:rsid w:val="00AA5D1C"/>
    <w:rsid w:val="00AA5D39"/>
    <w:rsid w:val="00AA5D64"/>
    <w:rsid w:val="00AA5EAA"/>
    <w:rsid w:val="00AA5F8B"/>
    <w:rsid w:val="00AA6386"/>
    <w:rsid w:val="00AA63DD"/>
    <w:rsid w:val="00AA63F6"/>
    <w:rsid w:val="00AA6413"/>
    <w:rsid w:val="00AA64D8"/>
    <w:rsid w:val="00AA6847"/>
    <w:rsid w:val="00AA68E8"/>
    <w:rsid w:val="00AA6A8A"/>
    <w:rsid w:val="00AA6AF4"/>
    <w:rsid w:val="00AA6B06"/>
    <w:rsid w:val="00AA6DDD"/>
    <w:rsid w:val="00AA6EA2"/>
    <w:rsid w:val="00AA6F04"/>
    <w:rsid w:val="00AA7032"/>
    <w:rsid w:val="00AA708C"/>
    <w:rsid w:val="00AA709F"/>
    <w:rsid w:val="00AA7136"/>
    <w:rsid w:val="00AA722A"/>
    <w:rsid w:val="00AA72EE"/>
    <w:rsid w:val="00AA72F9"/>
    <w:rsid w:val="00AA7321"/>
    <w:rsid w:val="00AA7336"/>
    <w:rsid w:val="00AA735E"/>
    <w:rsid w:val="00AA743C"/>
    <w:rsid w:val="00AA758A"/>
    <w:rsid w:val="00AA75B4"/>
    <w:rsid w:val="00AA761A"/>
    <w:rsid w:val="00AA780B"/>
    <w:rsid w:val="00AA784F"/>
    <w:rsid w:val="00AA794C"/>
    <w:rsid w:val="00AA7A69"/>
    <w:rsid w:val="00AA7B30"/>
    <w:rsid w:val="00AA7EC6"/>
    <w:rsid w:val="00AB006D"/>
    <w:rsid w:val="00AB0085"/>
    <w:rsid w:val="00AB0198"/>
    <w:rsid w:val="00AB0349"/>
    <w:rsid w:val="00AB03CD"/>
    <w:rsid w:val="00AB0461"/>
    <w:rsid w:val="00AB04E8"/>
    <w:rsid w:val="00AB0549"/>
    <w:rsid w:val="00AB05D0"/>
    <w:rsid w:val="00AB0622"/>
    <w:rsid w:val="00AB07C6"/>
    <w:rsid w:val="00AB07E1"/>
    <w:rsid w:val="00AB0865"/>
    <w:rsid w:val="00AB091E"/>
    <w:rsid w:val="00AB0ADE"/>
    <w:rsid w:val="00AB0B81"/>
    <w:rsid w:val="00AB0B8C"/>
    <w:rsid w:val="00AB0CF1"/>
    <w:rsid w:val="00AB0E0F"/>
    <w:rsid w:val="00AB0F48"/>
    <w:rsid w:val="00AB1038"/>
    <w:rsid w:val="00AB105E"/>
    <w:rsid w:val="00AB107F"/>
    <w:rsid w:val="00AB10AF"/>
    <w:rsid w:val="00AB10F7"/>
    <w:rsid w:val="00AB1194"/>
    <w:rsid w:val="00AB129C"/>
    <w:rsid w:val="00AB1467"/>
    <w:rsid w:val="00AB14A0"/>
    <w:rsid w:val="00AB1544"/>
    <w:rsid w:val="00AB16BE"/>
    <w:rsid w:val="00AB1841"/>
    <w:rsid w:val="00AB1A8C"/>
    <w:rsid w:val="00AB1AAD"/>
    <w:rsid w:val="00AB1ACB"/>
    <w:rsid w:val="00AB1BFE"/>
    <w:rsid w:val="00AB1C16"/>
    <w:rsid w:val="00AB1C77"/>
    <w:rsid w:val="00AB1C9C"/>
    <w:rsid w:val="00AB1F8F"/>
    <w:rsid w:val="00AB208D"/>
    <w:rsid w:val="00AB2318"/>
    <w:rsid w:val="00AB236E"/>
    <w:rsid w:val="00AB23AD"/>
    <w:rsid w:val="00AB241F"/>
    <w:rsid w:val="00AB2454"/>
    <w:rsid w:val="00AB2470"/>
    <w:rsid w:val="00AB25EA"/>
    <w:rsid w:val="00AB281F"/>
    <w:rsid w:val="00AB28A7"/>
    <w:rsid w:val="00AB2B46"/>
    <w:rsid w:val="00AB2BE3"/>
    <w:rsid w:val="00AB2C7D"/>
    <w:rsid w:val="00AB2DA4"/>
    <w:rsid w:val="00AB2DB9"/>
    <w:rsid w:val="00AB2EFB"/>
    <w:rsid w:val="00AB2F00"/>
    <w:rsid w:val="00AB2F90"/>
    <w:rsid w:val="00AB2FC7"/>
    <w:rsid w:val="00AB303F"/>
    <w:rsid w:val="00AB3133"/>
    <w:rsid w:val="00AB3210"/>
    <w:rsid w:val="00AB3332"/>
    <w:rsid w:val="00AB33CB"/>
    <w:rsid w:val="00AB3531"/>
    <w:rsid w:val="00AB35B6"/>
    <w:rsid w:val="00AB361D"/>
    <w:rsid w:val="00AB375E"/>
    <w:rsid w:val="00AB377A"/>
    <w:rsid w:val="00AB38C6"/>
    <w:rsid w:val="00AB3985"/>
    <w:rsid w:val="00AB39AD"/>
    <w:rsid w:val="00AB3A47"/>
    <w:rsid w:val="00AB3A7C"/>
    <w:rsid w:val="00AB3AEF"/>
    <w:rsid w:val="00AB3B02"/>
    <w:rsid w:val="00AB3B53"/>
    <w:rsid w:val="00AB3D2F"/>
    <w:rsid w:val="00AB3D37"/>
    <w:rsid w:val="00AB3D72"/>
    <w:rsid w:val="00AB3E94"/>
    <w:rsid w:val="00AB3EF0"/>
    <w:rsid w:val="00AB3F01"/>
    <w:rsid w:val="00AB3FA3"/>
    <w:rsid w:val="00AB3FE0"/>
    <w:rsid w:val="00AB40C0"/>
    <w:rsid w:val="00AB4224"/>
    <w:rsid w:val="00AB42E2"/>
    <w:rsid w:val="00AB4360"/>
    <w:rsid w:val="00AB4574"/>
    <w:rsid w:val="00AB459F"/>
    <w:rsid w:val="00AB4633"/>
    <w:rsid w:val="00AB4642"/>
    <w:rsid w:val="00AB4977"/>
    <w:rsid w:val="00AB4A29"/>
    <w:rsid w:val="00AB4AB9"/>
    <w:rsid w:val="00AB4B9D"/>
    <w:rsid w:val="00AB4BE1"/>
    <w:rsid w:val="00AB4BE7"/>
    <w:rsid w:val="00AB4C06"/>
    <w:rsid w:val="00AB4C37"/>
    <w:rsid w:val="00AB4F72"/>
    <w:rsid w:val="00AB5051"/>
    <w:rsid w:val="00AB5306"/>
    <w:rsid w:val="00AB53A6"/>
    <w:rsid w:val="00AB53CD"/>
    <w:rsid w:val="00AB5442"/>
    <w:rsid w:val="00AB54ED"/>
    <w:rsid w:val="00AB558F"/>
    <w:rsid w:val="00AB55F8"/>
    <w:rsid w:val="00AB568C"/>
    <w:rsid w:val="00AB5762"/>
    <w:rsid w:val="00AB5809"/>
    <w:rsid w:val="00AB58F8"/>
    <w:rsid w:val="00AB5955"/>
    <w:rsid w:val="00AB59B5"/>
    <w:rsid w:val="00AB5A0A"/>
    <w:rsid w:val="00AB5C55"/>
    <w:rsid w:val="00AB5DAA"/>
    <w:rsid w:val="00AB5FE8"/>
    <w:rsid w:val="00AB600C"/>
    <w:rsid w:val="00AB602F"/>
    <w:rsid w:val="00AB60BA"/>
    <w:rsid w:val="00AB60EB"/>
    <w:rsid w:val="00AB62D5"/>
    <w:rsid w:val="00AB6350"/>
    <w:rsid w:val="00AB63A0"/>
    <w:rsid w:val="00AB64A1"/>
    <w:rsid w:val="00AB64AD"/>
    <w:rsid w:val="00AB6538"/>
    <w:rsid w:val="00AB6560"/>
    <w:rsid w:val="00AB656E"/>
    <w:rsid w:val="00AB67FB"/>
    <w:rsid w:val="00AB6874"/>
    <w:rsid w:val="00AB6A82"/>
    <w:rsid w:val="00AB6B59"/>
    <w:rsid w:val="00AB6BDC"/>
    <w:rsid w:val="00AB6CB8"/>
    <w:rsid w:val="00AB6CFA"/>
    <w:rsid w:val="00AB6DB1"/>
    <w:rsid w:val="00AB6DE4"/>
    <w:rsid w:val="00AB6E72"/>
    <w:rsid w:val="00AB717F"/>
    <w:rsid w:val="00AB71FC"/>
    <w:rsid w:val="00AB7320"/>
    <w:rsid w:val="00AB748B"/>
    <w:rsid w:val="00AB7595"/>
    <w:rsid w:val="00AB766A"/>
    <w:rsid w:val="00AB769E"/>
    <w:rsid w:val="00AB771C"/>
    <w:rsid w:val="00AB77A4"/>
    <w:rsid w:val="00AB78C0"/>
    <w:rsid w:val="00AB7AA5"/>
    <w:rsid w:val="00AB7BFE"/>
    <w:rsid w:val="00AB7C28"/>
    <w:rsid w:val="00AB7D16"/>
    <w:rsid w:val="00AB7DC3"/>
    <w:rsid w:val="00AB7E49"/>
    <w:rsid w:val="00AB7E94"/>
    <w:rsid w:val="00AB7F28"/>
    <w:rsid w:val="00AB7FE4"/>
    <w:rsid w:val="00ABE18F"/>
    <w:rsid w:val="00AC000B"/>
    <w:rsid w:val="00AC0035"/>
    <w:rsid w:val="00AC00F5"/>
    <w:rsid w:val="00AC0108"/>
    <w:rsid w:val="00AC0155"/>
    <w:rsid w:val="00AC0233"/>
    <w:rsid w:val="00AC0313"/>
    <w:rsid w:val="00AC0359"/>
    <w:rsid w:val="00AC0371"/>
    <w:rsid w:val="00AC0394"/>
    <w:rsid w:val="00AC0406"/>
    <w:rsid w:val="00AC0440"/>
    <w:rsid w:val="00AC046C"/>
    <w:rsid w:val="00AC04B5"/>
    <w:rsid w:val="00AC060C"/>
    <w:rsid w:val="00AC0C58"/>
    <w:rsid w:val="00AC0D1A"/>
    <w:rsid w:val="00AC0D59"/>
    <w:rsid w:val="00AC0DBA"/>
    <w:rsid w:val="00AC0DE8"/>
    <w:rsid w:val="00AC0ED2"/>
    <w:rsid w:val="00AC10A4"/>
    <w:rsid w:val="00AC10D2"/>
    <w:rsid w:val="00AC1141"/>
    <w:rsid w:val="00AC11D5"/>
    <w:rsid w:val="00AC1316"/>
    <w:rsid w:val="00AC1329"/>
    <w:rsid w:val="00AC1337"/>
    <w:rsid w:val="00AC14A6"/>
    <w:rsid w:val="00AC14D7"/>
    <w:rsid w:val="00AC15B4"/>
    <w:rsid w:val="00AC161F"/>
    <w:rsid w:val="00AC1737"/>
    <w:rsid w:val="00AC175E"/>
    <w:rsid w:val="00AC191F"/>
    <w:rsid w:val="00AC1936"/>
    <w:rsid w:val="00AC19B7"/>
    <w:rsid w:val="00AC1B17"/>
    <w:rsid w:val="00AC1BEA"/>
    <w:rsid w:val="00AC1E7F"/>
    <w:rsid w:val="00AC1EAE"/>
    <w:rsid w:val="00AC1F50"/>
    <w:rsid w:val="00AC1F74"/>
    <w:rsid w:val="00AC227D"/>
    <w:rsid w:val="00AC242B"/>
    <w:rsid w:val="00AC2617"/>
    <w:rsid w:val="00AC2749"/>
    <w:rsid w:val="00AC29EE"/>
    <w:rsid w:val="00AC2A98"/>
    <w:rsid w:val="00AC2B64"/>
    <w:rsid w:val="00AC2D0F"/>
    <w:rsid w:val="00AC2DFA"/>
    <w:rsid w:val="00AC3226"/>
    <w:rsid w:val="00AC324F"/>
    <w:rsid w:val="00AC3313"/>
    <w:rsid w:val="00AC3354"/>
    <w:rsid w:val="00AC33B3"/>
    <w:rsid w:val="00AC3559"/>
    <w:rsid w:val="00AC357E"/>
    <w:rsid w:val="00AC35AD"/>
    <w:rsid w:val="00AC35E2"/>
    <w:rsid w:val="00AC3632"/>
    <w:rsid w:val="00AC366E"/>
    <w:rsid w:val="00AC3709"/>
    <w:rsid w:val="00AC3747"/>
    <w:rsid w:val="00AC3781"/>
    <w:rsid w:val="00AC37B5"/>
    <w:rsid w:val="00AC386C"/>
    <w:rsid w:val="00AC39B3"/>
    <w:rsid w:val="00AC3C97"/>
    <w:rsid w:val="00AC3CE5"/>
    <w:rsid w:val="00AC3DAB"/>
    <w:rsid w:val="00AC3FC8"/>
    <w:rsid w:val="00AC4004"/>
    <w:rsid w:val="00AC401A"/>
    <w:rsid w:val="00AC408E"/>
    <w:rsid w:val="00AC40C4"/>
    <w:rsid w:val="00AC41F6"/>
    <w:rsid w:val="00AC4231"/>
    <w:rsid w:val="00AC426F"/>
    <w:rsid w:val="00AC436B"/>
    <w:rsid w:val="00AC439E"/>
    <w:rsid w:val="00AC44D8"/>
    <w:rsid w:val="00AC4548"/>
    <w:rsid w:val="00AC4673"/>
    <w:rsid w:val="00AC467B"/>
    <w:rsid w:val="00AC474F"/>
    <w:rsid w:val="00AC4889"/>
    <w:rsid w:val="00AC49A9"/>
    <w:rsid w:val="00AC4A57"/>
    <w:rsid w:val="00AC4A95"/>
    <w:rsid w:val="00AC4B28"/>
    <w:rsid w:val="00AC4B74"/>
    <w:rsid w:val="00AC4BB4"/>
    <w:rsid w:val="00AC4C46"/>
    <w:rsid w:val="00AC5065"/>
    <w:rsid w:val="00AC5068"/>
    <w:rsid w:val="00AC5080"/>
    <w:rsid w:val="00AC50BE"/>
    <w:rsid w:val="00AC513B"/>
    <w:rsid w:val="00AC5201"/>
    <w:rsid w:val="00AC5380"/>
    <w:rsid w:val="00AC545C"/>
    <w:rsid w:val="00AC5511"/>
    <w:rsid w:val="00AC559D"/>
    <w:rsid w:val="00AC55CC"/>
    <w:rsid w:val="00AC5676"/>
    <w:rsid w:val="00AC57A8"/>
    <w:rsid w:val="00AC5929"/>
    <w:rsid w:val="00AC59A9"/>
    <w:rsid w:val="00AC5A91"/>
    <w:rsid w:val="00AC5C04"/>
    <w:rsid w:val="00AC5C28"/>
    <w:rsid w:val="00AC5D70"/>
    <w:rsid w:val="00AC5D92"/>
    <w:rsid w:val="00AC5E37"/>
    <w:rsid w:val="00AC5F6D"/>
    <w:rsid w:val="00AC5FFA"/>
    <w:rsid w:val="00AC603C"/>
    <w:rsid w:val="00AC6070"/>
    <w:rsid w:val="00AC623E"/>
    <w:rsid w:val="00AC634E"/>
    <w:rsid w:val="00AC63EC"/>
    <w:rsid w:val="00AC640F"/>
    <w:rsid w:val="00AC6438"/>
    <w:rsid w:val="00AC6442"/>
    <w:rsid w:val="00AC6486"/>
    <w:rsid w:val="00AC6497"/>
    <w:rsid w:val="00AC6628"/>
    <w:rsid w:val="00AC6685"/>
    <w:rsid w:val="00AC668A"/>
    <w:rsid w:val="00AC676E"/>
    <w:rsid w:val="00AC67E2"/>
    <w:rsid w:val="00AC6876"/>
    <w:rsid w:val="00AC68A3"/>
    <w:rsid w:val="00AC68F3"/>
    <w:rsid w:val="00AC69B6"/>
    <w:rsid w:val="00AC6A0C"/>
    <w:rsid w:val="00AC6AE2"/>
    <w:rsid w:val="00AC6C18"/>
    <w:rsid w:val="00AC6C64"/>
    <w:rsid w:val="00AC6D24"/>
    <w:rsid w:val="00AC6E43"/>
    <w:rsid w:val="00AC6F6B"/>
    <w:rsid w:val="00AC6F72"/>
    <w:rsid w:val="00AC7052"/>
    <w:rsid w:val="00AC70D8"/>
    <w:rsid w:val="00AC7111"/>
    <w:rsid w:val="00AC724F"/>
    <w:rsid w:val="00AC72BD"/>
    <w:rsid w:val="00AC731B"/>
    <w:rsid w:val="00AC73F4"/>
    <w:rsid w:val="00AC7469"/>
    <w:rsid w:val="00AC7507"/>
    <w:rsid w:val="00AC7599"/>
    <w:rsid w:val="00AC7682"/>
    <w:rsid w:val="00AC77AA"/>
    <w:rsid w:val="00AC7A9F"/>
    <w:rsid w:val="00AC7ADC"/>
    <w:rsid w:val="00AC7B21"/>
    <w:rsid w:val="00AC7C4E"/>
    <w:rsid w:val="00AC7D50"/>
    <w:rsid w:val="00AC7D51"/>
    <w:rsid w:val="00AC7FBE"/>
    <w:rsid w:val="00AD0043"/>
    <w:rsid w:val="00AD01BD"/>
    <w:rsid w:val="00AD0237"/>
    <w:rsid w:val="00AD0337"/>
    <w:rsid w:val="00AD0531"/>
    <w:rsid w:val="00AD053D"/>
    <w:rsid w:val="00AD078D"/>
    <w:rsid w:val="00AD07C6"/>
    <w:rsid w:val="00AD0862"/>
    <w:rsid w:val="00AD090A"/>
    <w:rsid w:val="00AD09FC"/>
    <w:rsid w:val="00AD0AB2"/>
    <w:rsid w:val="00AD0C03"/>
    <w:rsid w:val="00AD0D21"/>
    <w:rsid w:val="00AD0E5A"/>
    <w:rsid w:val="00AD0F51"/>
    <w:rsid w:val="00AD1131"/>
    <w:rsid w:val="00AD1178"/>
    <w:rsid w:val="00AD1202"/>
    <w:rsid w:val="00AD122E"/>
    <w:rsid w:val="00AD1409"/>
    <w:rsid w:val="00AD161E"/>
    <w:rsid w:val="00AD16C1"/>
    <w:rsid w:val="00AD176D"/>
    <w:rsid w:val="00AD180E"/>
    <w:rsid w:val="00AD185C"/>
    <w:rsid w:val="00AD1C0A"/>
    <w:rsid w:val="00AD1C27"/>
    <w:rsid w:val="00AD1CE2"/>
    <w:rsid w:val="00AD1CF9"/>
    <w:rsid w:val="00AD1E0C"/>
    <w:rsid w:val="00AD1F24"/>
    <w:rsid w:val="00AD201B"/>
    <w:rsid w:val="00AD21DD"/>
    <w:rsid w:val="00AD242A"/>
    <w:rsid w:val="00AD247F"/>
    <w:rsid w:val="00AD24CC"/>
    <w:rsid w:val="00AD26DC"/>
    <w:rsid w:val="00AD26DD"/>
    <w:rsid w:val="00AD26E8"/>
    <w:rsid w:val="00AD287F"/>
    <w:rsid w:val="00AD2942"/>
    <w:rsid w:val="00AD2A25"/>
    <w:rsid w:val="00AD2AD1"/>
    <w:rsid w:val="00AD2B2D"/>
    <w:rsid w:val="00AD2BFD"/>
    <w:rsid w:val="00AD2D36"/>
    <w:rsid w:val="00AD2DFC"/>
    <w:rsid w:val="00AD2F4E"/>
    <w:rsid w:val="00AD2F73"/>
    <w:rsid w:val="00AD2FC5"/>
    <w:rsid w:val="00AD3234"/>
    <w:rsid w:val="00AD3261"/>
    <w:rsid w:val="00AD3285"/>
    <w:rsid w:val="00AD338B"/>
    <w:rsid w:val="00AD3541"/>
    <w:rsid w:val="00AD3603"/>
    <w:rsid w:val="00AD3683"/>
    <w:rsid w:val="00AD384C"/>
    <w:rsid w:val="00AD38CA"/>
    <w:rsid w:val="00AD38CF"/>
    <w:rsid w:val="00AD3BE3"/>
    <w:rsid w:val="00AD3C59"/>
    <w:rsid w:val="00AD3CED"/>
    <w:rsid w:val="00AD3DCC"/>
    <w:rsid w:val="00AD412B"/>
    <w:rsid w:val="00AD41C1"/>
    <w:rsid w:val="00AD420D"/>
    <w:rsid w:val="00AD4375"/>
    <w:rsid w:val="00AD43C6"/>
    <w:rsid w:val="00AD4420"/>
    <w:rsid w:val="00AD4565"/>
    <w:rsid w:val="00AD456C"/>
    <w:rsid w:val="00AD45E6"/>
    <w:rsid w:val="00AD462F"/>
    <w:rsid w:val="00AD46FC"/>
    <w:rsid w:val="00AD4866"/>
    <w:rsid w:val="00AD491A"/>
    <w:rsid w:val="00AD4953"/>
    <w:rsid w:val="00AD4A00"/>
    <w:rsid w:val="00AD4B71"/>
    <w:rsid w:val="00AD4CBC"/>
    <w:rsid w:val="00AD4E4C"/>
    <w:rsid w:val="00AD4EB6"/>
    <w:rsid w:val="00AD4EC8"/>
    <w:rsid w:val="00AD51A5"/>
    <w:rsid w:val="00AD5218"/>
    <w:rsid w:val="00AD524E"/>
    <w:rsid w:val="00AD5288"/>
    <w:rsid w:val="00AD5425"/>
    <w:rsid w:val="00AD55B0"/>
    <w:rsid w:val="00AD56F7"/>
    <w:rsid w:val="00AD5706"/>
    <w:rsid w:val="00AD5776"/>
    <w:rsid w:val="00AD582D"/>
    <w:rsid w:val="00AD5895"/>
    <w:rsid w:val="00AD58D3"/>
    <w:rsid w:val="00AD597E"/>
    <w:rsid w:val="00AD59B4"/>
    <w:rsid w:val="00AD59C2"/>
    <w:rsid w:val="00AD5A0A"/>
    <w:rsid w:val="00AD5A29"/>
    <w:rsid w:val="00AD5A82"/>
    <w:rsid w:val="00AD5ABF"/>
    <w:rsid w:val="00AD5BF1"/>
    <w:rsid w:val="00AD5C75"/>
    <w:rsid w:val="00AD5E81"/>
    <w:rsid w:val="00AD5EDC"/>
    <w:rsid w:val="00AD5EFF"/>
    <w:rsid w:val="00AD5F04"/>
    <w:rsid w:val="00AD5F06"/>
    <w:rsid w:val="00AD5F91"/>
    <w:rsid w:val="00AD61D0"/>
    <w:rsid w:val="00AD62D9"/>
    <w:rsid w:val="00AD62EA"/>
    <w:rsid w:val="00AD65BB"/>
    <w:rsid w:val="00AD6672"/>
    <w:rsid w:val="00AD6731"/>
    <w:rsid w:val="00AD6743"/>
    <w:rsid w:val="00AD67A1"/>
    <w:rsid w:val="00AD67B8"/>
    <w:rsid w:val="00AD67D9"/>
    <w:rsid w:val="00AD6B36"/>
    <w:rsid w:val="00AD6B67"/>
    <w:rsid w:val="00AD6CF9"/>
    <w:rsid w:val="00AD6DF4"/>
    <w:rsid w:val="00AD6E06"/>
    <w:rsid w:val="00AD6E64"/>
    <w:rsid w:val="00AD6E8A"/>
    <w:rsid w:val="00AD6F54"/>
    <w:rsid w:val="00AD6F6C"/>
    <w:rsid w:val="00AD6F71"/>
    <w:rsid w:val="00AD6FD2"/>
    <w:rsid w:val="00AD715D"/>
    <w:rsid w:val="00AD73C9"/>
    <w:rsid w:val="00AD7436"/>
    <w:rsid w:val="00AD74B7"/>
    <w:rsid w:val="00AD76E0"/>
    <w:rsid w:val="00AD7A6C"/>
    <w:rsid w:val="00AD7AE7"/>
    <w:rsid w:val="00AD7AEC"/>
    <w:rsid w:val="00AD7B6F"/>
    <w:rsid w:val="00AD7BFF"/>
    <w:rsid w:val="00AD7C0B"/>
    <w:rsid w:val="00AD7C10"/>
    <w:rsid w:val="00AD7C9F"/>
    <w:rsid w:val="00AD7CFE"/>
    <w:rsid w:val="00AD7D16"/>
    <w:rsid w:val="00AD7E00"/>
    <w:rsid w:val="00AD7F5C"/>
    <w:rsid w:val="00AD7FC8"/>
    <w:rsid w:val="00AE0257"/>
    <w:rsid w:val="00AE0309"/>
    <w:rsid w:val="00AE03C8"/>
    <w:rsid w:val="00AE0435"/>
    <w:rsid w:val="00AE058C"/>
    <w:rsid w:val="00AE092A"/>
    <w:rsid w:val="00AE0966"/>
    <w:rsid w:val="00AE0A19"/>
    <w:rsid w:val="00AE0A3D"/>
    <w:rsid w:val="00AE0AB7"/>
    <w:rsid w:val="00AE0D1B"/>
    <w:rsid w:val="00AE0D72"/>
    <w:rsid w:val="00AE0DAF"/>
    <w:rsid w:val="00AE0E72"/>
    <w:rsid w:val="00AE0F16"/>
    <w:rsid w:val="00AE0F53"/>
    <w:rsid w:val="00AE1051"/>
    <w:rsid w:val="00AE10D0"/>
    <w:rsid w:val="00AE117F"/>
    <w:rsid w:val="00AE1339"/>
    <w:rsid w:val="00AE139B"/>
    <w:rsid w:val="00AE15D7"/>
    <w:rsid w:val="00AE1605"/>
    <w:rsid w:val="00AE1622"/>
    <w:rsid w:val="00AE168D"/>
    <w:rsid w:val="00AE17DA"/>
    <w:rsid w:val="00AE17E9"/>
    <w:rsid w:val="00AE1981"/>
    <w:rsid w:val="00AE19F0"/>
    <w:rsid w:val="00AE1B56"/>
    <w:rsid w:val="00AE1C28"/>
    <w:rsid w:val="00AE1C6D"/>
    <w:rsid w:val="00AE1C94"/>
    <w:rsid w:val="00AE1E01"/>
    <w:rsid w:val="00AE1F30"/>
    <w:rsid w:val="00AE1F5F"/>
    <w:rsid w:val="00AE215C"/>
    <w:rsid w:val="00AE2208"/>
    <w:rsid w:val="00AE220B"/>
    <w:rsid w:val="00AE220F"/>
    <w:rsid w:val="00AE2236"/>
    <w:rsid w:val="00AE2442"/>
    <w:rsid w:val="00AE2496"/>
    <w:rsid w:val="00AE2614"/>
    <w:rsid w:val="00AE26A2"/>
    <w:rsid w:val="00AE26AA"/>
    <w:rsid w:val="00AE27AD"/>
    <w:rsid w:val="00AE282B"/>
    <w:rsid w:val="00AE2916"/>
    <w:rsid w:val="00AE2A53"/>
    <w:rsid w:val="00AE2A55"/>
    <w:rsid w:val="00AE2D2B"/>
    <w:rsid w:val="00AE2E53"/>
    <w:rsid w:val="00AE2E7C"/>
    <w:rsid w:val="00AE2F0C"/>
    <w:rsid w:val="00AE2F5E"/>
    <w:rsid w:val="00AE2FA0"/>
    <w:rsid w:val="00AE2FE9"/>
    <w:rsid w:val="00AE2FF2"/>
    <w:rsid w:val="00AE30A1"/>
    <w:rsid w:val="00AE30E1"/>
    <w:rsid w:val="00AE3124"/>
    <w:rsid w:val="00AE31A6"/>
    <w:rsid w:val="00AE31B6"/>
    <w:rsid w:val="00AE322B"/>
    <w:rsid w:val="00AE3243"/>
    <w:rsid w:val="00AE326D"/>
    <w:rsid w:val="00AE3301"/>
    <w:rsid w:val="00AE3332"/>
    <w:rsid w:val="00AE3424"/>
    <w:rsid w:val="00AE34C1"/>
    <w:rsid w:val="00AE3597"/>
    <w:rsid w:val="00AE37DD"/>
    <w:rsid w:val="00AE3897"/>
    <w:rsid w:val="00AE38B1"/>
    <w:rsid w:val="00AE390F"/>
    <w:rsid w:val="00AE3ACF"/>
    <w:rsid w:val="00AE3BC2"/>
    <w:rsid w:val="00AE3BDA"/>
    <w:rsid w:val="00AE3D44"/>
    <w:rsid w:val="00AE3E6B"/>
    <w:rsid w:val="00AE3F28"/>
    <w:rsid w:val="00AE3F5C"/>
    <w:rsid w:val="00AE3F9E"/>
    <w:rsid w:val="00AE406D"/>
    <w:rsid w:val="00AE413B"/>
    <w:rsid w:val="00AE41B1"/>
    <w:rsid w:val="00AE41EB"/>
    <w:rsid w:val="00AE4238"/>
    <w:rsid w:val="00AE4252"/>
    <w:rsid w:val="00AE4550"/>
    <w:rsid w:val="00AE45E2"/>
    <w:rsid w:val="00AE46AD"/>
    <w:rsid w:val="00AE4764"/>
    <w:rsid w:val="00AE4798"/>
    <w:rsid w:val="00AE4819"/>
    <w:rsid w:val="00AE4930"/>
    <w:rsid w:val="00AE4980"/>
    <w:rsid w:val="00AE4A3C"/>
    <w:rsid w:val="00AE4AEC"/>
    <w:rsid w:val="00AE4AFE"/>
    <w:rsid w:val="00AE4B8B"/>
    <w:rsid w:val="00AE4C09"/>
    <w:rsid w:val="00AE4CDB"/>
    <w:rsid w:val="00AE4D42"/>
    <w:rsid w:val="00AE4E09"/>
    <w:rsid w:val="00AE4E2A"/>
    <w:rsid w:val="00AE4E3F"/>
    <w:rsid w:val="00AE4EB8"/>
    <w:rsid w:val="00AE5034"/>
    <w:rsid w:val="00AE50B1"/>
    <w:rsid w:val="00AE50FD"/>
    <w:rsid w:val="00AE5145"/>
    <w:rsid w:val="00AE51D1"/>
    <w:rsid w:val="00AE5259"/>
    <w:rsid w:val="00AE5292"/>
    <w:rsid w:val="00AE544E"/>
    <w:rsid w:val="00AE5507"/>
    <w:rsid w:val="00AE55AC"/>
    <w:rsid w:val="00AE5634"/>
    <w:rsid w:val="00AE5696"/>
    <w:rsid w:val="00AE57BB"/>
    <w:rsid w:val="00AE5805"/>
    <w:rsid w:val="00AE584B"/>
    <w:rsid w:val="00AE587C"/>
    <w:rsid w:val="00AE58A6"/>
    <w:rsid w:val="00AE5A11"/>
    <w:rsid w:val="00AE5AFB"/>
    <w:rsid w:val="00AE5BB5"/>
    <w:rsid w:val="00AE5D50"/>
    <w:rsid w:val="00AE5DAF"/>
    <w:rsid w:val="00AE5DC9"/>
    <w:rsid w:val="00AE5F35"/>
    <w:rsid w:val="00AE629F"/>
    <w:rsid w:val="00AE6357"/>
    <w:rsid w:val="00AE63D0"/>
    <w:rsid w:val="00AE645C"/>
    <w:rsid w:val="00AE650F"/>
    <w:rsid w:val="00AE65CE"/>
    <w:rsid w:val="00AE65FE"/>
    <w:rsid w:val="00AE6649"/>
    <w:rsid w:val="00AE6671"/>
    <w:rsid w:val="00AE6702"/>
    <w:rsid w:val="00AE6807"/>
    <w:rsid w:val="00AE686C"/>
    <w:rsid w:val="00AE69DE"/>
    <w:rsid w:val="00AE6B2D"/>
    <w:rsid w:val="00AE6BF6"/>
    <w:rsid w:val="00AE6CC5"/>
    <w:rsid w:val="00AE6EFD"/>
    <w:rsid w:val="00AE708A"/>
    <w:rsid w:val="00AE70E1"/>
    <w:rsid w:val="00AE7150"/>
    <w:rsid w:val="00AE7188"/>
    <w:rsid w:val="00AE7251"/>
    <w:rsid w:val="00AE7275"/>
    <w:rsid w:val="00AE735A"/>
    <w:rsid w:val="00AE737C"/>
    <w:rsid w:val="00AE747D"/>
    <w:rsid w:val="00AE758A"/>
    <w:rsid w:val="00AE75BB"/>
    <w:rsid w:val="00AE75DE"/>
    <w:rsid w:val="00AE778E"/>
    <w:rsid w:val="00AE77A5"/>
    <w:rsid w:val="00AE7933"/>
    <w:rsid w:val="00AE7968"/>
    <w:rsid w:val="00AE79CB"/>
    <w:rsid w:val="00AE7ABA"/>
    <w:rsid w:val="00AE7B11"/>
    <w:rsid w:val="00AE7BA5"/>
    <w:rsid w:val="00AE7D04"/>
    <w:rsid w:val="00AE7FA9"/>
    <w:rsid w:val="00AF0001"/>
    <w:rsid w:val="00AF0131"/>
    <w:rsid w:val="00AF01A7"/>
    <w:rsid w:val="00AF02DB"/>
    <w:rsid w:val="00AF036F"/>
    <w:rsid w:val="00AF0440"/>
    <w:rsid w:val="00AF0444"/>
    <w:rsid w:val="00AF0538"/>
    <w:rsid w:val="00AF07AA"/>
    <w:rsid w:val="00AF07C8"/>
    <w:rsid w:val="00AF08DB"/>
    <w:rsid w:val="00AF0993"/>
    <w:rsid w:val="00AF09F3"/>
    <w:rsid w:val="00AF0A1C"/>
    <w:rsid w:val="00AF0A56"/>
    <w:rsid w:val="00AF0B54"/>
    <w:rsid w:val="00AF0B76"/>
    <w:rsid w:val="00AF0B7A"/>
    <w:rsid w:val="00AF0C2B"/>
    <w:rsid w:val="00AF0F10"/>
    <w:rsid w:val="00AF0F4B"/>
    <w:rsid w:val="00AF107E"/>
    <w:rsid w:val="00AF1086"/>
    <w:rsid w:val="00AF11F6"/>
    <w:rsid w:val="00AF11F8"/>
    <w:rsid w:val="00AF1209"/>
    <w:rsid w:val="00AF1218"/>
    <w:rsid w:val="00AF1375"/>
    <w:rsid w:val="00AF1586"/>
    <w:rsid w:val="00AF1603"/>
    <w:rsid w:val="00AF1640"/>
    <w:rsid w:val="00AF16C8"/>
    <w:rsid w:val="00AF16E8"/>
    <w:rsid w:val="00AF187C"/>
    <w:rsid w:val="00AF192C"/>
    <w:rsid w:val="00AF193B"/>
    <w:rsid w:val="00AF198A"/>
    <w:rsid w:val="00AF1AA6"/>
    <w:rsid w:val="00AF1AEE"/>
    <w:rsid w:val="00AF1B07"/>
    <w:rsid w:val="00AF1C3B"/>
    <w:rsid w:val="00AF1DD1"/>
    <w:rsid w:val="00AF1DD5"/>
    <w:rsid w:val="00AF1E48"/>
    <w:rsid w:val="00AF1EF5"/>
    <w:rsid w:val="00AF1F1A"/>
    <w:rsid w:val="00AF1F34"/>
    <w:rsid w:val="00AF1F4A"/>
    <w:rsid w:val="00AF2000"/>
    <w:rsid w:val="00AF213C"/>
    <w:rsid w:val="00AF21B5"/>
    <w:rsid w:val="00AF2336"/>
    <w:rsid w:val="00AF2370"/>
    <w:rsid w:val="00AF2440"/>
    <w:rsid w:val="00AF249E"/>
    <w:rsid w:val="00AF24C4"/>
    <w:rsid w:val="00AF25E1"/>
    <w:rsid w:val="00AF2621"/>
    <w:rsid w:val="00AF2681"/>
    <w:rsid w:val="00AF268C"/>
    <w:rsid w:val="00AF2732"/>
    <w:rsid w:val="00AF27BF"/>
    <w:rsid w:val="00AF2900"/>
    <w:rsid w:val="00AF2997"/>
    <w:rsid w:val="00AF29AB"/>
    <w:rsid w:val="00AF29AC"/>
    <w:rsid w:val="00AF29CC"/>
    <w:rsid w:val="00AF2A56"/>
    <w:rsid w:val="00AF2BFE"/>
    <w:rsid w:val="00AF2C01"/>
    <w:rsid w:val="00AF2C7D"/>
    <w:rsid w:val="00AF2CB1"/>
    <w:rsid w:val="00AF2D86"/>
    <w:rsid w:val="00AF2DB0"/>
    <w:rsid w:val="00AF2EC0"/>
    <w:rsid w:val="00AF2F2D"/>
    <w:rsid w:val="00AF2F71"/>
    <w:rsid w:val="00AF2F76"/>
    <w:rsid w:val="00AF2F83"/>
    <w:rsid w:val="00AF305F"/>
    <w:rsid w:val="00AF3073"/>
    <w:rsid w:val="00AF3147"/>
    <w:rsid w:val="00AF316E"/>
    <w:rsid w:val="00AF3229"/>
    <w:rsid w:val="00AF326D"/>
    <w:rsid w:val="00AF33E4"/>
    <w:rsid w:val="00AF343E"/>
    <w:rsid w:val="00AF346F"/>
    <w:rsid w:val="00AF350D"/>
    <w:rsid w:val="00AF3543"/>
    <w:rsid w:val="00AF3677"/>
    <w:rsid w:val="00AF3794"/>
    <w:rsid w:val="00AF37BF"/>
    <w:rsid w:val="00AF39DB"/>
    <w:rsid w:val="00AF3A1A"/>
    <w:rsid w:val="00AF3A2D"/>
    <w:rsid w:val="00AF3D1C"/>
    <w:rsid w:val="00AF3DD1"/>
    <w:rsid w:val="00AF3DEF"/>
    <w:rsid w:val="00AF3E82"/>
    <w:rsid w:val="00AF3F50"/>
    <w:rsid w:val="00AF401E"/>
    <w:rsid w:val="00AF4106"/>
    <w:rsid w:val="00AF4176"/>
    <w:rsid w:val="00AF42BB"/>
    <w:rsid w:val="00AF42DC"/>
    <w:rsid w:val="00AF434F"/>
    <w:rsid w:val="00AF43C4"/>
    <w:rsid w:val="00AF4479"/>
    <w:rsid w:val="00AF4506"/>
    <w:rsid w:val="00AF4591"/>
    <w:rsid w:val="00AF45EE"/>
    <w:rsid w:val="00AF482B"/>
    <w:rsid w:val="00AF486F"/>
    <w:rsid w:val="00AF48BD"/>
    <w:rsid w:val="00AF48F4"/>
    <w:rsid w:val="00AF4A65"/>
    <w:rsid w:val="00AF4AA0"/>
    <w:rsid w:val="00AF4B98"/>
    <w:rsid w:val="00AF4C0B"/>
    <w:rsid w:val="00AF4DA7"/>
    <w:rsid w:val="00AF4E2D"/>
    <w:rsid w:val="00AF4E4A"/>
    <w:rsid w:val="00AF4EE1"/>
    <w:rsid w:val="00AF5028"/>
    <w:rsid w:val="00AF56A2"/>
    <w:rsid w:val="00AF57C2"/>
    <w:rsid w:val="00AF5AB6"/>
    <w:rsid w:val="00AF5B1B"/>
    <w:rsid w:val="00AF5B1D"/>
    <w:rsid w:val="00AF5B4B"/>
    <w:rsid w:val="00AF5BCC"/>
    <w:rsid w:val="00AF5C53"/>
    <w:rsid w:val="00AF5D9C"/>
    <w:rsid w:val="00AF5F29"/>
    <w:rsid w:val="00AF5F54"/>
    <w:rsid w:val="00AF605D"/>
    <w:rsid w:val="00AF606C"/>
    <w:rsid w:val="00AF6147"/>
    <w:rsid w:val="00AF623B"/>
    <w:rsid w:val="00AF6274"/>
    <w:rsid w:val="00AF6336"/>
    <w:rsid w:val="00AF63C7"/>
    <w:rsid w:val="00AF657C"/>
    <w:rsid w:val="00AF66BF"/>
    <w:rsid w:val="00AF6769"/>
    <w:rsid w:val="00AF6928"/>
    <w:rsid w:val="00AF6974"/>
    <w:rsid w:val="00AF6999"/>
    <w:rsid w:val="00AF6A49"/>
    <w:rsid w:val="00AF6AD2"/>
    <w:rsid w:val="00AF6C6E"/>
    <w:rsid w:val="00AF6DBE"/>
    <w:rsid w:val="00AF6E9F"/>
    <w:rsid w:val="00AF6EC4"/>
    <w:rsid w:val="00AF6FF8"/>
    <w:rsid w:val="00AF7067"/>
    <w:rsid w:val="00AF7084"/>
    <w:rsid w:val="00AF7498"/>
    <w:rsid w:val="00AF7718"/>
    <w:rsid w:val="00AF780E"/>
    <w:rsid w:val="00AF7864"/>
    <w:rsid w:val="00AF788F"/>
    <w:rsid w:val="00AF79C1"/>
    <w:rsid w:val="00AF7A29"/>
    <w:rsid w:val="00AF7A59"/>
    <w:rsid w:val="00AF7C1B"/>
    <w:rsid w:val="00AF7CDB"/>
    <w:rsid w:val="00AF7DA6"/>
    <w:rsid w:val="00AF7E7C"/>
    <w:rsid w:val="00AF7F2D"/>
    <w:rsid w:val="00AF7FAC"/>
    <w:rsid w:val="00B0000A"/>
    <w:rsid w:val="00B000E9"/>
    <w:rsid w:val="00B001F2"/>
    <w:rsid w:val="00B002E2"/>
    <w:rsid w:val="00B00411"/>
    <w:rsid w:val="00B004CE"/>
    <w:rsid w:val="00B0055D"/>
    <w:rsid w:val="00B00595"/>
    <w:rsid w:val="00B0062E"/>
    <w:rsid w:val="00B007C0"/>
    <w:rsid w:val="00B007D3"/>
    <w:rsid w:val="00B007DD"/>
    <w:rsid w:val="00B008A0"/>
    <w:rsid w:val="00B00B1F"/>
    <w:rsid w:val="00B00C56"/>
    <w:rsid w:val="00B00CEA"/>
    <w:rsid w:val="00B00EE5"/>
    <w:rsid w:val="00B00EF9"/>
    <w:rsid w:val="00B00FDB"/>
    <w:rsid w:val="00B01090"/>
    <w:rsid w:val="00B0109F"/>
    <w:rsid w:val="00B010CA"/>
    <w:rsid w:val="00B01119"/>
    <w:rsid w:val="00B01125"/>
    <w:rsid w:val="00B012A0"/>
    <w:rsid w:val="00B012DF"/>
    <w:rsid w:val="00B01372"/>
    <w:rsid w:val="00B01373"/>
    <w:rsid w:val="00B01398"/>
    <w:rsid w:val="00B01412"/>
    <w:rsid w:val="00B014D4"/>
    <w:rsid w:val="00B0155E"/>
    <w:rsid w:val="00B0161D"/>
    <w:rsid w:val="00B0168E"/>
    <w:rsid w:val="00B01697"/>
    <w:rsid w:val="00B016CB"/>
    <w:rsid w:val="00B017F4"/>
    <w:rsid w:val="00B017FC"/>
    <w:rsid w:val="00B0180D"/>
    <w:rsid w:val="00B01950"/>
    <w:rsid w:val="00B01AC3"/>
    <w:rsid w:val="00B01C8D"/>
    <w:rsid w:val="00B01E25"/>
    <w:rsid w:val="00B01EA4"/>
    <w:rsid w:val="00B02011"/>
    <w:rsid w:val="00B0205D"/>
    <w:rsid w:val="00B0214E"/>
    <w:rsid w:val="00B02255"/>
    <w:rsid w:val="00B022B7"/>
    <w:rsid w:val="00B02343"/>
    <w:rsid w:val="00B024B4"/>
    <w:rsid w:val="00B0267D"/>
    <w:rsid w:val="00B02789"/>
    <w:rsid w:val="00B029F4"/>
    <w:rsid w:val="00B02AF8"/>
    <w:rsid w:val="00B02B5C"/>
    <w:rsid w:val="00B02D0B"/>
    <w:rsid w:val="00B02D20"/>
    <w:rsid w:val="00B02E04"/>
    <w:rsid w:val="00B02ED2"/>
    <w:rsid w:val="00B02F80"/>
    <w:rsid w:val="00B02FEE"/>
    <w:rsid w:val="00B03041"/>
    <w:rsid w:val="00B031F1"/>
    <w:rsid w:val="00B0335E"/>
    <w:rsid w:val="00B0337D"/>
    <w:rsid w:val="00B03465"/>
    <w:rsid w:val="00B03477"/>
    <w:rsid w:val="00B034BA"/>
    <w:rsid w:val="00B034DD"/>
    <w:rsid w:val="00B0366D"/>
    <w:rsid w:val="00B036F2"/>
    <w:rsid w:val="00B0370C"/>
    <w:rsid w:val="00B037C5"/>
    <w:rsid w:val="00B038B4"/>
    <w:rsid w:val="00B038ED"/>
    <w:rsid w:val="00B039B0"/>
    <w:rsid w:val="00B039D7"/>
    <w:rsid w:val="00B03A6D"/>
    <w:rsid w:val="00B03C90"/>
    <w:rsid w:val="00B03CF1"/>
    <w:rsid w:val="00B03E65"/>
    <w:rsid w:val="00B03F04"/>
    <w:rsid w:val="00B03F5C"/>
    <w:rsid w:val="00B03F88"/>
    <w:rsid w:val="00B04047"/>
    <w:rsid w:val="00B04310"/>
    <w:rsid w:val="00B044FF"/>
    <w:rsid w:val="00B04557"/>
    <w:rsid w:val="00B04576"/>
    <w:rsid w:val="00B0457A"/>
    <w:rsid w:val="00B04619"/>
    <w:rsid w:val="00B04777"/>
    <w:rsid w:val="00B0485D"/>
    <w:rsid w:val="00B04ADD"/>
    <w:rsid w:val="00B04B50"/>
    <w:rsid w:val="00B04BD9"/>
    <w:rsid w:val="00B04C63"/>
    <w:rsid w:val="00B04D24"/>
    <w:rsid w:val="00B04D3F"/>
    <w:rsid w:val="00B04E2B"/>
    <w:rsid w:val="00B04EE2"/>
    <w:rsid w:val="00B04F80"/>
    <w:rsid w:val="00B05134"/>
    <w:rsid w:val="00B0514F"/>
    <w:rsid w:val="00B0516A"/>
    <w:rsid w:val="00B05279"/>
    <w:rsid w:val="00B05342"/>
    <w:rsid w:val="00B053A4"/>
    <w:rsid w:val="00B05421"/>
    <w:rsid w:val="00B0543F"/>
    <w:rsid w:val="00B05488"/>
    <w:rsid w:val="00B0548B"/>
    <w:rsid w:val="00B05A01"/>
    <w:rsid w:val="00B05A56"/>
    <w:rsid w:val="00B05A6F"/>
    <w:rsid w:val="00B05A97"/>
    <w:rsid w:val="00B05AA9"/>
    <w:rsid w:val="00B05B60"/>
    <w:rsid w:val="00B05BB6"/>
    <w:rsid w:val="00B05BD3"/>
    <w:rsid w:val="00B05C00"/>
    <w:rsid w:val="00B05C99"/>
    <w:rsid w:val="00B05EA8"/>
    <w:rsid w:val="00B05F32"/>
    <w:rsid w:val="00B0603D"/>
    <w:rsid w:val="00B06079"/>
    <w:rsid w:val="00B0622E"/>
    <w:rsid w:val="00B062AF"/>
    <w:rsid w:val="00B063C9"/>
    <w:rsid w:val="00B06440"/>
    <w:rsid w:val="00B064D3"/>
    <w:rsid w:val="00B06541"/>
    <w:rsid w:val="00B068DB"/>
    <w:rsid w:val="00B06BE0"/>
    <w:rsid w:val="00B06C73"/>
    <w:rsid w:val="00B06CE3"/>
    <w:rsid w:val="00B06D97"/>
    <w:rsid w:val="00B06DD7"/>
    <w:rsid w:val="00B06EDA"/>
    <w:rsid w:val="00B07020"/>
    <w:rsid w:val="00B07127"/>
    <w:rsid w:val="00B071A2"/>
    <w:rsid w:val="00B071D0"/>
    <w:rsid w:val="00B071E3"/>
    <w:rsid w:val="00B07203"/>
    <w:rsid w:val="00B07208"/>
    <w:rsid w:val="00B07311"/>
    <w:rsid w:val="00B073E8"/>
    <w:rsid w:val="00B07627"/>
    <w:rsid w:val="00B076B1"/>
    <w:rsid w:val="00B0775C"/>
    <w:rsid w:val="00B077FC"/>
    <w:rsid w:val="00B0782A"/>
    <w:rsid w:val="00B07882"/>
    <w:rsid w:val="00B0788E"/>
    <w:rsid w:val="00B078BF"/>
    <w:rsid w:val="00B078DF"/>
    <w:rsid w:val="00B07920"/>
    <w:rsid w:val="00B0795B"/>
    <w:rsid w:val="00B07A8D"/>
    <w:rsid w:val="00B07AFB"/>
    <w:rsid w:val="00B07C2B"/>
    <w:rsid w:val="00B07D59"/>
    <w:rsid w:val="00B07D9B"/>
    <w:rsid w:val="00B10103"/>
    <w:rsid w:val="00B1014A"/>
    <w:rsid w:val="00B10264"/>
    <w:rsid w:val="00B1037D"/>
    <w:rsid w:val="00B10397"/>
    <w:rsid w:val="00B10490"/>
    <w:rsid w:val="00B104CE"/>
    <w:rsid w:val="00B1058B"/>
    <w:rsid w:val="00B10625"/>
    <w:rsid w:val="00B10722"/>
    <w:rsid w:val="00B107AE"/>
    <w:rsid w:val="00B1080B"/>
    <w:rsid w:val="00B10851"/>
    <w:rsid w:val="00B109D7"/>
    <w:rsid w:val="00B10A05"/>
    <w:rsid w:val="00B10A57"/>
    <w:rsid w:val="00B10A67"/>
    <w:rsid w:val="00B10C24"/>
    <w:rsid w:val="00B10CD4"/>
    <w:rsid w:val="00B10E88"/>
    <w:rsid w:val="00B10EF6"/>
    <w:rsid w:val="00B10F33"/>
    <w:rsid w:val="00B1100F"/>
    <w:rsid w:val="00B11185"/>
    <w:rsid w:val="00B11418"/>
    <w:rsid w:val="00B114C9"/>
    <w:rsid w:val="00B115F7"/>
    <w:rsid w:val="00B116CE"/>
    <w:rsid w:val="00B11849"/>
    <w:rsid w:val="00B1195D"/>
    <w:rsid w:val="00B11A7F"/>
    <w:rsid w:val="00B11B41"/>
    <w:rsid w:val="00B11BAC"/>
    <w:rsid w:val="00B11BEA"/>
    <w:rsid w:val="00B11CB6"/>
    <w:rsid w:val="00B11EC3"/>
    <w:rsid w:val="00B11FEB"/>
    <w:rsid w:val="00B1202F"/>
    <w:rsid w:val="00B120A9"/>
    <w:rsid w:val="00B1224E"/>
    <w:rsid w:val="00B12290"/>
    <w:rsid w:val="00B122E9"/>
    <w:rsid w:val="00B12490"/>
    <w:rsid w:val="00B1257B"/>
    <w:rsid w:val="00B125A9"/>
    <w:rsid w:val="00B125FE"/>
    <w:rsid w:val="00B1272E"/>
    <w:rsid w:val="00B1279B"/>
    <w:rsid w:val="00B128A6"/>
    <w:rsid w:val="00B128D0"/>
    <w:rsid w:val="00B128F5"/>
    <w:rsid w:val="00B1291E"/>
    <w:rsid w:val="00B12A6D"/>
    <w:rsid w:val="00B12BD0"/>
    <w:rsid w:val="00B12C5B"/>
    <w:rsid w:val="00B12E38"/>
    <w:rsid w:val="00B12EF7"/>
    <w:rsid w:val="00B12F4A"/>
    <w:rsid w:val="00B12FAA"/>
    <w:rsid w:val="00B13192"/>
    <w:rsid w:val="00B13312"/>
    <w:rsid w:val="00B13507"/>
    <w:rsid w:val="00B1353F"/>
    <w:rsid w:val="00B135B4"/>
    <w:rsid w:val="00B135EA"/>
    <w:rsid w:val="00B13639"/>
    <w:rsid w:val="00B13667"/>
    <w:rsid w:val="00B136FC"/>
    <w:rsid w:val="00B137D7"/>
    <w:rsid w:val="00B13842"/>
    <w:rsid w:val="00B1392C"/>
    <w:rsid w:val="00B13956"/>
    <w:rsid w:val="00B1397E"/>
    <w:rsid w:val="00B13996"/>
    <w:rsid w:val="00B139E7"/>
    <w:rsid w:val="00B13A44"/>
    <w:rsid w:val="00B13C56"/>
    <w:rsid w:val="00B13D14"/>
    <w:rsid w:val="00B13DC4"/>
    <w:rsid w:val="00B13E7B"/>
    <w:rsid w:val="00B13F58"/>
    <w:rsid w:val="00B13FFE"/>
    <w:rsid w:val="00B14167"/>
    <w:rsid w:val="00B1418C"/>
    <w:rsid w:val="00B143E1"/>
    <w:rsid w:val="00B1452B"/>
    <w:rsid w:val="00B14604"/>
    <w:rsid w:val="00B146A0"/>
    <w:rsid w:val="00B1473B"/>
    <w:rsid w:val="00B147E3"/>
    <w:rsid w:val="00B14804"/>
    <w:rsid w:val="00B14815"/>
    <w:rsid w:val="00B148A1"/>
    <w:rsid w:val="00B14978"/>
    <w:rsid w:val="00B14A63"/>
    <w:rsid w:val="00B14B01"/>
    <w:rsid w:val="00B14CDC"/>
    <w:rsid w:val="00B14D89"/>
    <w:rsid w:val="00B14E0A"/>
    <w:rsid w:val="00B15026"/>
    <w:rsid w:val="00B1522B"/>
    <w:rsid w:val="00B1548A"/>
    <w:rsid w:val="00B154D9"/>
    <w:rsid w:val="00B15535"/>
    <w:rsid w:val="00B1560F"/>
    <w:rsid w:val="00B156B5"/>
    <w:rsid w:val="00B1577D"/>
    <w:rsid w:val="00B15793"/>
    <w:rsid w:val="00B15878"/>
    <w:rsid w:val="00B158B9"/>
    <w:rsid w:val="00B15A14"/>
    <w:rsid w:val="00B15BCE"/>
    <w:rsid w:val="00B15C39"/>
    <w:rsid w:val="00B15C75"/>
    <w:rsid w:val="00B15C7B"/>
    <w:rsid w:val="00B15CB4"/>
    <w:rsid w:val="00B16173"/>
    <w:rsid w:val="00B16188"/>
    <w:rsid w:val="00B161AC"/>
    <w:rsid w:val="00B16254"/>
    <w:rsid w:val="00B16381"/>
    <w:rsid w:val="00B163AA"/>
    <w:rsid w:val="00B163C0"/>
    <w:rsid w:val="00B164AB"/>
    <w:rsid w:val="00B164BD"/>
    <w:rsid w:val="00B16565"/>
    <w:rsid w:val="00B165CA"/>
    <w:rsid w:val="00B166A3"/>
    <w:rsid w:val="00B167C0"/>
    <w:rsid w:val="00B167C3"/>
    <w:rsid w:val="00B16891"/>
    <w:rsid w:val="00B168B8"/>
    <w:rsid w:val="00B168C3"/>
    <w:rsid w:val="00B168D7"/>
    <w:rsid w:val="00B16A54"/>
    <w:rsid w:val="00B16C7E"/>
    <w:rsid w:val="00B16DED"/>
    <w:rsid w:val="00B16E0F"/>
    <w:rsid w:val="00B16EEB"/>
    <w:rsid w:val="00B16F57"/>
    <w:rsid w:val="00B16F5E"/>
    <w:rsid w:val="00B17014"/>
    <w:rsid w:val="00B1707F"/>
    <w:rsid w:val="00B170C0"/>
    <w:rsid w:val="00B17216"/>
    <w:rsid w:val="00B17264"/>
    <w:rsid w:val="00B17445"/>
    <w:rsid w:val="00B17451"/>
    <w:rsid w:val="00B17593"/>
    <w:rsid w:val="00B17596"/>
    <w:rsid w:val="00B17703"/>
    <w:rsid w:val="00B17735"/>
    <w:rsid w:val="00B1779D"/>
    <w:rsid w:val="00B177E0"/>
    <w:rsid w:val="00B177FA"/>
    <w:rsid w:val="00B17977"/>
    <w:rsid w:val="00B179EC"/>
    <w:rsid w:val="00B17BFC"/>
    <w:rsid w:val="00B17C40"/>
    <w:rsid w:val="00B17C43"/>
    <w:rsid w:val="00B17C7F"/>
    <w:rsid w:val="00B17CC8"/>
    <w:rsid w:val="00B17CD8"/>
    <w:rsid w:val="00B17E31"/>
    <w:rsid w:val="00B17EC9"/>
    <w:rsid w:val="00B17F53"/>
    <w:rsid w:val="00B17FA4"/>
    <w:rsid w:val="00B17FC9"/>
    <w:rsid w:val="00B2008C"/>
    <w:rsid w:val="00B200A7"/>
    <w:rsid w:val="00B200D9"/>
    <w:rsid w:val="00B200FE"/>
    <w:rsid w:val="00B2031F"/>
    <w:rsid w:val="00B2032F"/>
    <w:rsid w:val="00B20418"/>
    <w:rsid w:val="00B2048A"/>
    <w:rsid w:val="00B20581"/>
    <w:rsid w:val="00B20634"/>
    <w:rsid w:val="00B2077C"/>
    <w:rsid w:val="00B2077E"/>
    <w:rsid w:val="00B207B0"/>
    <w:rsid w:val="00B20829"/>
    <w:rsid w:val="00B20880"/>
    <w:rsid w:val="00B208C3"/>
    <w:rsid w:val="00B208E2"/>
    <w:rsid w:val="00B20921"/>
    <w:rsid w:val="00B20AD8"/>
    <w:rsid w:val="00B20B05"/>
    <w:rsid w:val="00B20B53"/>
    <w:rsid w:val="00B20C84"/>
    <w:rsid w:val="00B20CA3"/>
    <w:rsid w:val="00B20DF5"/>
    <w:rsid w:val="00B20F34"/>
    <w:rsid w:val="00B20FAF"/>
    <w:rsid w:val="00B2102A"/>
    <w:rsid w:val="00B21266"/>
    <w:rsid w:val="00B21413"/>
    <w:rsid w:val="00B215B0"/>
    <w:rsid w:val="00B21615"/>
    <w:rsid w:val="00B21633"/>
    <w:rsid w:val="00B2167A"/>
    <w:rsid w:val="00B21680"/>
    <w:rsid w:val="00B216C8"/>
    <w:rsid w:val="00B2173A"/>
    <w:rsid w:val="00B217FF"/>
    <w:rsid w:val="00B21B7F"/>
    <w:rsid w:val="00B21B9C"/>
    <w:rsid w:val="00B21D15"/>
    <w:rsid w:val="00B21EB9"/>
    <w:rsid w:val="00B21FE5"/>
    <w:rsid w:val="00B2202B"/>
    <w:rsid w:val="00B22069"/>
    <w:rsid w:val="00B22155"/>
    <w:rsid w:val="00B221CD"/>
    <w:rsid w:val="00B22457"/>
    <w:rsid w:val="00B22720"/>
    <w:rsid w:val="00B22769"/>
    <w:rsid w:val="00B228AC"/>
    <w:rsid w:val="00B228EA"/>
    <w:rsid w:val="00B229B1"/>
    <w:rsid w:val="00B229C2"/>
    <w:rsid w:val="00B22AE5"/>
    <w:rsid w:val="00B22B82"/>
    <w:rsid w:val="00B22CDE"/>
    <w:rsid w:val="00B22FD7"/>
    <w:rsid w:val="00B230AA"/>
    <w:rsid w:val="00B230AB"/>
    <w:rsid w:val="00B232E3"/>
    <w:rsid w:val="00B233FE"/>
    <w:rsid w:val="00B2343C"/>
    <w:rsid w:val="00B234B9"/>
    <w:rsid w:val="00B234C9"/>
    <w:rsid w:val="00B23562"/>
    <w:rsid w:val="00B2359C"/>
    <w:rsid w:val="00B237F2"/>
    <w:rsid w:val="00B239BD"/>
    <w:rsid w:val="00B239E1"/>
    <w:rsid w:val="00B23A8A"/>
    <w:rsid w:val="00B23AD0"/>
    <w:rsid w:val="00B23BF5"/>
    <w:rsid w:val="00B23C4F"/>
    <w:rsid w:val="00B23C9B"/>
    <w:rsid w:val="00B23CFE"/>
    <w:rsid w:val="00B23D40"/>
    <w:rsid w:val="00B23D41"/>
    <w:rsid w:val="00B23D6D"/>
    <w:rsid w:val="00B23D9A"/>
    <w:rsid w:val="00B23DA8"/>
    <w:rsid w:val="00B23F21"/>
    <w:rsid w:val="00B23F2A"/>
    <w:rsid w:val="00B23FC9"/>
    <w:rsid w:val="00B24178"/>
    <w:rsid w:val="00B241F8"/>
    <w:rsid w:val="00B2421E"/>
    <w:rsid w:val="00B24286"/>
    <w:rsid w:val="00B242AB"/>
    <w:rsid w:val="00B24307"/>
    <w:rsid w:val="00B24349"/>
    <w:rsid w:val="00B24497"/>
    <w:rsid w:val="00B244FF"/>
    <w:rsid w:val="00B24544"/>
    <w:rsid w:val="00B24697"/>
    <w:rsid w:val="00B24743"/>
    <w:rsid w:val="00B247E0"/>
    <w:rsid w:val="00B2485A"/>
    <w:rsid w:val="00B24895"/>
    <w:rsid w:val="00B24944"/>
    <w:rsid w:val="00B24B58"/>
    <w:rsid w:val="00B24C45"/>
    <w:rsid w:val="00B24D32"/>
    <w:rsid w:val="00B24D9F"/>
    <w:rsid w:val="00B24E39"/>
    <w:rsid w:val="00B24E6F"/>
    <w:rsid w:val="00B24E9E"/>
    <w:rsid w:val="00B24F29"/>
    <w:rsid w:val="00B24F38"/>
    <w:rsid w:val="00B24F5A"/>
    <w:rsid w:val="00B250BC"/>
    <w:rsid w:val="00B251A4"/>
    <w:rsid w:val="00B251BD"/>
    <w:rsid w:val="00B251FE"/>
    <w:rsid w:val="00B25239"/>
    <w:rsid w:val="00B254D8"/>
    <w:rsid w:val="00B254FB"/>
    <w:rsid w:val="00B25571"/>
    <w:rsid w:val="00B255F5"/>
    <w:rsid w:val="00B2565A"/>
    <w:rsid w:val="00B257E6"/>
    <w:rsid w:val="00B2584E"/>
    <w:rsid w:val="00B25871"/>
    <w:rsid w:val="00B25CDA"/>
    <w:rsid w:val="00B25CF0"/>
    <w:rsid w:val="00B25D3B"/>
    <w:rsid w:val="00B26055"/>
    <w:rsid w:val="00B26065"/>
    <w:rsid w:val="00B26279"/>
    <w:rsid w:val="00B26287"/>
    <w:rsid w:val="00B2646C"/>
    <w:rsid w:val="00B2652B"/>
    <w:rsid w:val="00B265CD"/>
    <w:rsid w:val="00B26733"/>
    <w:rsid w:val="00B26768"/>
    <w:rsid w:val="00B2677C"/>
    <w:rsid w:val="00B26849"/>
    <w:rsid w:val="00B2690F"/>
    <w:rsid w:val="00B2695E"/>
    <w:rsid w:val="00B26A31"/>
    <w:rsid w:val="00B26A84"/>
    <w:rsid w:val="00B26B00"/>
    <w:rsid w:val="00B26BDB"/>
    <w:rsid w:val="00B26C2D"/>
    <w:rsid w:val="00B26FDF"/>
    <w:rsid w:val="00B27032"/>
    <w:rsid w:val="00B27182"/>
    <w:rsid w:val="00B2726C"/>
    <w:rsid w:val="00B272C1"/>
    <w:rsid w:val="00B27314"/>
    <w:rsid w:val="00B273CB"/>
    <w:rsid w:val="00B27497"/>
    <w:rsid w:val="00B276E3"/>
    <w:rsid w:val="00B277C4"/>
    <w:rsid w:val="00B277F3"/>
    <w:rsid w:val="00B2785F"/>
    <w:rsid w:val="00B2789A"/>
    <w:rsid w:val="00B27908"/>
    <w:rsid w:val="00B27A37"/>
    <w:rsid w:val="00B27B06"/>
    <w:rsid w:val="00B27BBD"/>
    <w:rsid w:val="00B27D58"/>
    <w:rsid w:val="00B27D6F"/>
    <w:rsid w:val="00B27E55"/>
    <w:rsid w:val="00B27F81"/>
    <w:rsid w:val="00B27FA8"/>
    <w:rsid w:val="00B301D1"/>
    <w:rsid w:val="00B30224"/>
    <w:rsid w:val="00B30272"/>
    <w:rsid w:val="00B3063D"/>
    <w:rsid w:val="00B30688"/>
    <w:rsid w:val="00B308B9"/>
    <w:rsid w:val="00B3092F"/>
    <w:rsid w:val="00B30958"/>
    <w:rsid w:val="00B30A73"/>
    <w:rsid w:val="00B30A8F"/>
    <w:rsid w:val="00B30C1C"/>
    <w:rsid w:val="00B30C8A"/>
    <w:rsid w:val="00B30C8B"/>
    <w:rsid w:val="00B30CC8"/>
    <w:rsid w:val="00B30D0B"/>
    <w:rsid w:val="00B30D1E"/>
    <w:rsid w:val="00B30D44"/>
    <w:rsid w:val="00B30D53"/>
    <w:rsid w:val="00B30FBB"/>
    <w:rsid w:val="00B30FF3"/>
    <w:rsid w:val="00B3122A"/>
    <w:rsid w:val="00B3130B"/>
    <w:rsid w:val="00B31364"/>
    <w:rsid w:val="00B3139D"/>
    <w:rsid w:val="00B313A7"/>
    <w:rsid w:val="00B31457"/>
    <w:rsid w:val="00B3149F"/>
    <w:rsid w:val="00B3150F"/>
    <w:rsid w:val="00B3153F"/>
    <w:rsid w:val="00B31581"/>
    <w:rsid w:val="00B316FB"/>
    <w:rsid w:val="00B318E2"/>
    <w:rsid w:val="00B3190C"/>
    <w:rsid w:val="00B31A9B"/>
    <w:rsid w:val="00B31B26"/>
    <w:rsid w:val="00B31C92"/>
    <w:rsid w:val="00B31CE4"/>
    <w:rsid w:val="00B31D19"/>
    <w:rsid w:val="00B31DDC"/>
    <w:rsid w:val="00B31E19"/>
    <w:rsid w:val="00B31E67"/>
    <w:rsid w:val="00B31F56"/>
    <w:rsid w:val="00B32120"/>
    <w:rsid w:val="00B32240"/>
    <w:rsid w:val="00B32289"/>
    <w:rsid w:val="00B323C6"/>
    <w:rsid w:val="00B3258B"/>
    <w:rsid w:val="00B325C4"/>
    <w:rsid w:val="00B32666"/>
    <w:rsid w:val="00B32750"/>
    <w:rsid w:val="00B3275B"/>
    <w:rsid w:val="00B327D9"/>
    <w:rsid w:val="00B32806"/>
    <w:rsid w:val="00B32832"/>
    <w:rsid w:val="00B32918"/>
    <w:rsid w:val="00B3291A"/>
    <w:rsid w:val="00B32A7D"/>
    <w:rsid w:val="00B32AFD"/>
    <w:rsid w:val="00B32B30"/>
    <w:rsid w:val="00B32B38"/>
    <w:rsid w:val="00B32C7B"/>
    <w:rsid w:val="00B32DBE"/>
    <w:rsid w:val="00B32DC7"/>
    <w:rsid w:val="00B32E07"/>
    <w:rsid w:val="00B32EA4"/>
    <w:rsid w:val="00B3308F"/>
    <w:rsid w:val="00B33137"/>
    <w:rsid w:val="00B3314D"/>
    <w:rsid w:val="00B33257"/>
    <w:rsid w:val="00B3336E"/>
    <w:rsid w:val="00B33391"/>
    <w:rsid w:val="00B333F5"/>
    <w:rsid w:val="00B3340F"/>
    <w:rsid w:val="00B33491"/>
    <w:rsid w:val="00B3359F"/>
    <w:rsid w:val="00B336C2"/>
    <w:rsid w:val="00B33779"/>
    <w:rsid w:val="00B337A1"/>
    <w:rsid w:val="00B33A60"/>
    <w:rsid w:val="00B33AC1"/>
    <w:rsid w:val="00B33BDC"/>
    <w:rsid w:val="00B33DE8"/>
    <w:rsid w:val="00B33E29"/>
    <w:rsid w:val="00B33E6D"/>
    <w:rsid w:val="00B33F6D"/>
    <w:rsid w:val="00B341CE"/>
    <w:rsid w:val="00B3456A"/>
    <w:rsid w:val="00B345F6"/>
    <w:rsid w:val="00B346D7"/>
    <w:rsid w:val="00B34741"/>
    <w:rsid w:val="00B34A08"/>
    <w:rsid w:val="00B34B61"/>
    <w:rsid w:val="00B34B78"/>
    <w:rsid w:val="00B34BB3"/>
    <w:rsid w:val="00B34BF0"/>
    <w:rsid w:val="00B34C31"/>
    <w:rsid w:val="00B34C4F"/>
    <w:rsid w:val="00B34CE8"/>
    <w:rsid w:val="00B34CF9"/>
    <w:rsid w:val="00B34E15"/>
    <w:rsid w:val="00B34FC5"/>
    <w:rsid w:val="00B35012"/>
    <w:rsid w:val="00B35062"/>
    <w:rsid w:val="00B35086"/>
    <w:rsid w:val="00B350C7"/>
    <w:rsid w:val="00B3512D"/>
    <w:rsid w:val="00B35285"/>
    <w:rsid w:val="00B352C1"/>
    <w:rsid w:val="00B35354"/>
    <w:rsid w:val="00B35448"/>
    <w:rsid w:val="00B354F6"/>
    <w:rsid w:val="00B355CC"/>
    <w:rsid w:val="00B3564E"/>
    <w:rsid w:val="00B357A9"/>
    <w:rsid w:val="00B358C6"/>
    <w:rsid w:val="00B35A14"/>
    <w:rsid w:val="00B35A91"/>
    <w:rsid w:val="00B35AC0"/>
    <w:rsid w:val="00B35B7B"/>
    <w:rsid w:val="00B35C38"/>
    <w:rsid w:val="00B35C5A"/>
    <w:rsid w:val="00B35C8A"/>
    <w:rsid w:val="00B35CD4"/>
    <w:rsid w:val="00B35E5C"/>
    <w:rsid w:val="00B35ECD"/>
    <w:rsid w:val="00B3611C"/>
    <w:rsid w:val="00B36156"/>
    <w:rsid w:val="00B361E5"/>
    <w:rsid w:val="00B36328"/>
    <w:rsid w:val="00B36354"/>
    <w:rsid w:val="00B36423"/>
    <w:rsid w:val="00B364BB"/>
    <w:rsid w:val="00B3682A"/>
    <w:rsid w:val="00B3692F"/>
    <w:rsid w:val="00B36A5D"/>
    <w:rsid w:val="00B36AE9"/>
    <w:rsid w:val="00B36B51"/>
    <w:rsid w:val="00B36C48"/>
    <w:rsid w:val="00B36D54"/>
    <w:rsid w:val="00B36DF1"/>
    <w:rsid w:val="00B36E29"/>
    <w:rsid w:val="00B36FBB"/>
    <w:rsid w:val="00B3713A"/>
    <w:rsid w:val="00B37179"/>
    <w:rsid w:val="00B3722F"/>
    <w:rsid w:val="00B3726F"/>
    <w:rsid w:val="00B37683"/>
    <w:rsid w:val="00B37709"/>
    <w:rsid w:val="00B37822"/>
    <w:rsid w:val="00B378EF"/>
    <w:rsid w:val="00B379A4"/>
    <w:rsid w:val="00B37B9E"/>
    <w:rsid w:val="00B37C9E"/>
    <w:rsid w:val="00B37D7D"/>
    <w:rsid w:val="00B37D83"/>
    <w:rsid w:val="00B37E2A"/>
    <w:rsid w:val="00B37EC2"/>
    <w:rsid w:val="00B37EF4"/>
    <w:rsid w:val="00B37FDE"/>
    <w:rsid w:val="00B37FFA"/>
    <w:rsid w:val="00B40023"/>
    <w:rsid w:val="00B40091"/>
    <w:rsid w:val="00B4009B"/>
    <w:rsid w:val="00B40263"/>
    <w:rsid w:val="00B4029E"/>
    <w:rsid w:val="00B403C0"/>
    <w:rsid w:val="00B4056F"/>
    <w:rsid w:val="00B40667"/>
    <w:rsid w:val="00B407B2"/>
    <w:rsid w:val="00B4095E"/>
    <w:rsid w:val="00B40A15"/>
    <w:rsid w:val="00B40ACF"/>
    <w:rsid w:val="00B40B06"/>
    <w:rsid w:val="00B40BB3"/>
    <w:rsid w:val="00B40BDC"/>
    <w:rsid w:val="00B40C75"/>
    <w:rsid w:val="00B40DC3"/>
    <w:rsid w:val="00B40EDA"/>
    <w:rsid w:val="00B40F91"/>
    <w:rsid w:val="00B40FB5"/>
    <w:rsid w:val="00B4106B"/>
    <w:rsid w:val="00B41089"/>
    <w:rsid w:val="00B410E7"/>
    <w:rsid w:val="00B411AB"/>
    <w:rsid w:val="00B411E7"/>
    <w:rsid w:val="00B41280"/>
    <w:rsid w:val="00B412FB"/>
    <w:rsid w:val="00B4137E"/>
    <w:rsid w:val="00B41470"/>
    <w:rsid w:val="00B414BB"/>
    <w:rsid w:val="00B4155B"/>
    <w:rsid w:val="00B41734"/>
    <w:rsid w:val="00B4179B"/>
    <w:rsid w:val="00B41896"/>
    <w:rsid w:val="00B418F9"/>
    <w:rsid w:val="00B419F6"/>
    <w:rsid w:val="00B41A12"/>
    <w:rsid w:val="00B41E31"/>
    <w:rsid w:val="00B41EB0"/>
    <w:rsid w:val="00B41F25"/>
    <w:rsid w:val="00B41F29"/>
    <w:rsid w:val="00B41F5B"/>
    <w:rsid w:val="00B41F61"/>
    <w:rsid w:val="00B41FAF"/>
    <w:rsid w:val="00B42166"/>
    <w:rsid w:val="00B42177"/>
    <w:rsid w:val="00B42194"/>
    <w:rsid w:val="00B42326"/>
    <w:rsid w:val="00B42345"/>
    <w:rsid w:val="00B4241A"/>
    <w:rsid w:val="00B4247E"/>
    <w:rsid w:val="00B42500"/>
    <w:rsid w:val="00B4255F"/>
    <w:rsid w:val="00B426A8"/>
    <w:rsid w:val="00B426ED"/>
    <w:rsid w:val="00B42710"/>
    <w:rsid w:val="00B427BE"/>
    <w:rsid w:val="00B429E0"/>
    <w:rsid w:val="00B42A04"/>
    <w:rsid w:val="00B42AB9"/>
    <w:rsid w:val="00B42B6B"/>
    <w:rsid w:val="00B42C0D"/>
    <w:rsid w:val="00B42D22"/>
    <w:rsid w:val="00B42DF9"/>
    <w:rsid w:val="00B42E6A"/>
    <w:rsid w:val="00B42EF6"/>
    <w:rsid w:val="00B42F82"/>
    <w:rsid w:val="00B42FC1"/>
    <w:rsid w:val="00B43020"/>
    <w:rsid w:val="00B43041"/>
    <w:rsid w:val="00B4306A"/>
    <w:rsid w:val="00B433D7"/>
    <w:rsid w:val="00B4340E"/>
    <w:rsid w:val="00B43485"/>
    <w:rsid w:val="00B4349A"/>
    <w:rsid w:val="00B434E4"/>
    <w:rsid w:val="00B436B6"/>
    <w:rsid w:val="00B436C4"/>
    <w:rsid w:val="00B436C9"/>
    <w:rsid w:val="00B4374A"/>
    <w:rsid w:val="00B43808"/>
    <w:rsid w:val="00B43A51"/>
    <w:rsid w:val="00B43A84"/>
    <w:rsid w:val="00B43AB8"/>
    <w:rsid w:val="00B43B68"/>
    <w:rsid w:val="00B43C06"/>
    <w:rsid w:val="00B43C7C"/>
    <w:rsid w:val="00B43E8D"/>
    <w:rsid w:val="00B43F6F"/>
    <w:rsid w:val="00B44077"/>
    <w:rsid w:val="00B442A0"/>
    <w:rsid w:val="00B442B2"/>
    <w:rsid w:val="00B44334"/>
    <w:rsid w:val="00B443AF"/>
    <w:rsid w:val="00B4450B"/>
    <w:rsid w:val="00B4450D"/>
    <w:rsid w:val="00B44516"/>
    <w:rsid w:val="00B4460F"/>
    <w:rsid w:val="00B4464E"/>
    <w:rsid w:val="00B44650"/>
    <w:rsid w:val="00B447CE"/>
    <w:rsid w:val="00B44815"/>
    <w:rsid w:val="00B44980"/>
    <w:rsid w:val="00B44A29"/>
    <w:rsid w:val="00B44ABD"/>
    <w:rsid w:val="00B44BA9"/>
    <w:rsid w:val="00B44BAC"/>
    <w:rsid w:val="00B44BBF"/>
    <w:rsid w:val="00B44C0D"/>
    <w:rsid w:val="00B44D14"/>
    <w:rsid w:val="00B44EDB"/>
    <w:rsid w:val="00B44F76"/>
    <w:rsid w:val="00B44FEF"/>
    <w:rsid w:val="00B450C7"/>
    <w:rsid w:val="00B45178"/>
    <w:rsid w:val="00B45195"/>
    <w:rsid w:val="00B451BE"/>
    <w:rsid w:val="00B45547"/>
    <w:rsid w:val="00B4556A"/>
    <w:rsid w:val="00B455EF"/>
    <w:rsid w:val="00B45625"/>
    <w:rsid w:val="00B456DB"/>
    <w:rsid w:val="00B4570C"/>
    <w:rsid w:val="00B45756"/>
    <w:rsid w:val="00B458AC"/>
    <w:rsid w:val="00B4598C"/>
    <w:rsid w:val="00B459D1"/>
    <w:rsid w:val="00B45B7A"/>
    <w:rsid w:val="00B45C51"/>
    <w:rsid w:val="00B45DD9"/>
    <w:rsid w:val="00B45ECA"/>
    <w:rsid w:val="00B45EE2"/>
    <w:rsid w:val="00B45F2C"/>
    <w:rsid w:val="00B45FF6"/>
    <w:rsid w:val="00B460B3"/>
    <w:rsid w:val="00B466C1"/>
    <w:rsid w:val="00B4670E"/>
    <w:rsid w:val="00B467FE"/>
    <w:rsid w:val="00B468ED"/>
    <w:rsid w:val="00B46959"/>
    <w:rsid w:val="00B4695D"/>
    <w:rsid w:val="00B4699D"/>
    <w:rsid w:val="00B46A08"/>
    <w:rsid w:val="00B46AC6"/>
    <w:rsid w:val="00B46B66"/>
    <w:rsid w:val="00B46C3A"/>
    <w:rsid w:val="00B46C7D"/>
    <w:rsid w:val="00B46CEA"/>
    <w:rsid w:val="00B46DCB"/>
    <w:rsid w:val="00B46F7D"/>
    <w:rsid w:val="00B46FB7"/>
    <w:rsid w:val="00B47076"/>
    <w:rsid w:val="00B47153"/>
    <w:rsid w:val="00B47162"/>
    <w:rsid w:val="00B47324"/>
    <w:rsid w:val="00B47439"/>
    <w:rsid w:val="00B474D2"/>
    <w:rsid w:val="00B475BE"/>
    <w:rsid w:val="00B476CA"/>
    <w:rsid w:val="00B476E5"/>
    <w:rsid w:val="00B47747"/>
    <w:rsid w:val="00B47789"/>
    <w:rsid w:val="00B47A5C"/>
    <w:rsid w:val="00B47C7F"/>
    <w:rsid w:val="00B47D62"/>
    <w:rsid w:val="00B47D6F"/>
    <w:rsid w:val="00B47DE1"/>
    <w:rsid w:val="00B5003E"/>
    <w:rsid w:val="00B50063"/>
    <w:rsid w:val="00B503A9"/>
    <w:rsid w:val="00B503D3"/>
    <w:rsid w:val="00B50423"/>
    <w:rsid w:val="00B50432"/>
    <w:rsid w:val="00B50492"/>
    <w:rsid w:val="00B5056F"/>
    <w:rsid w:val="00B5061A"/>
    <w:rsid w:val="00B5062E"/>
    <w:rsid w:val="00B507B3"/>
    <w:rsid w:val="00B50850"/>
    <w:rsid w:val="00B50872"/>
    <w:rsid w:val="00B50904"/>
    <w:rsid w:val="00B5094E"/>
    <w:rsid w:val="00B5096A"/>
    <w:rsid w:val="00B50AAA"/>
    <w:rsid w:val="00B50BCA"/>
    <w:rsid w:val="00B50D70"/>
    <w:rsid w:val="00B50D9F"/>
    <w:rsid w:val="00B50EBD"/>
    <w:rsid w:val="00B50F4B"/>
    <w:rsid w:val="00B50F51"/>
    <w:rsid w:val="00B50F9B"/>
    <w:rsid w:val="00B50FC9"/>
    <w:rsid w:val="00B51009"/>
    <w:rsid w:val="00B510C6"/>
    <w:rsid w:val="00B51165"/>
    <w:rsid w:val="00B5119A"/>
    <w:rsid w:val="00B512F1"/>
    <w:rsid w:val="00B5131D"/>
    <w:rsid w:val="00B5131E"/>
    <w:rsid w:val="00B51436"/>
    <w:rsid w:val="00B51481"/>
    <w:rsid w:val="00B517FF"/>
    <w:rsid w:val="00B518BF"/>
    <w:rsid w:val="00B51926"/>
    <w:rsid w:val="00B51A54"/>
    <w:rsid w:val="00B51B61"/>
    <w:rsid w:val="00B51B9F"/>
    <w:rsid w:val="00B51E4B"/>
    <w:rsid w:val="00B51F42"/>
    <w:rsid w:val="00B51FC1"/>
    <w:rsid w:val="00B52383"/>
    <w:rsid w:val="00B5245A"/>
    <w:rsid w:val="00B52460"/>
    <w:rsid w:val="00B524BD"/>
    <w:rsid w:val="00B5251A"/>
    <w:rsid w:val="00B52AF8"/>
    <w:rsid w:val="00B52B22"/>
    <w:rsid w:val="00B52C5B"/>
    <w:rsid w:val="00B52C9A"/>
    <w:rsid w:val="00B52CB2"/>
    <w:rsid w:val="00B52E4C"/>
    <w:rsid w:val="00B52EB2"/>
    <w:rsid w:val="00B52F86"/>
    <w:rsid w:val="00B52FFA"/>
    <w:rsid w:val="00B5303F"/>
    <w:rsid w:val="00B5304D"/>
    <w:rsid w:val="00B53069"/>
    <w:rsid w:val="00B53191"/>
    <w:rsid w:val="00B531EA"/>
    <w:rsid w:val="00B532AD"/>
    <w:rsid w:val="00B5337C"/>
    <w:rsid w:val="00B533A2"/>
    <w:rsid w:val="00B53643"/>
    <w:rsid w:val="00B536EF"/>
    <w:rsid w:val="00B539C7"/>
    <w:rsid w:val="00B539FA"/>
    <w:rsid w:val="00B53B49"/>
    <w:rsid w:val="00B53C05"/>
    <w:rsid w:val="00B53C34"/>
    <w:rsid w:val="00B53D11"/>
    <w:rsid w:val="00B53D69"/>
    <w:rsid w:val="00B53E19"/>
    <w:rsid w:val="00B53E2D"/>
    <w:rsid w:val="00B53F70"/>
    <w:rsid w:val="00B53FB0"/>
    <w:rsid w:val="00B540E0"/>
    <w:rsid w:val="00B54111"/>
    <w:rsid w:val="00B542A2"/>
    <w:rsid w:val="00B543E5"/>
    <w:rsid w:val="00B544FB"/>
    <w:rsid w:val="00B5475D"/>
    <w:rsid w:val="00B5489E"/>
    <w:rsid w:val="00B549F0"/>
    <w:rsid w:val="00B54A0C"/>
    <w:rsid w:val="00B54A17"/>
    <w:rsid w:val="00B54AC5"/>
    <w:rsid w:val="00B54BD7"/>
    <w:rsid w:val="00B54C99"/>
    <w:rsid w:val="00B54CD9"/>
    <w:rsid w:val="00B54D4F"/>
    <w:rsid w:val="00B54DE7"/>
    <w:rsid w:val="00B54E56"/>
    <w:rsid w:val="00B54E5A"/>
    <w:rsid w:val="00B54FAC"/>
    <w:rsid w:val="00B54FCC"/>
    <w:rsid w:val="00B550C9"/>
    <w:rsid w:val="00B551BC"/>
    <w:rsid w:val="00B551C6"/>
    <w:rsid w:val="00B55287"/>
    <w:rsid w:val="00B552C6"/>
    <w:rsid w:val="00B55533"/>
    <w:rsid w:val="00B5565F"/>
    <w:rsid w:val="00B5566F"/>
    <w:rsid w:val="00B5568C"/>
    <w:rsid w:val="00B557E4"/>
    <w:rsid w:val="00B55A3D"/>
    <w:rsid w:val="00B55A5F"/>
    <w:rsid w:val="00B55A63"/>
    <w:rsid w:val="00B55A96"/>
    <w:rsid w:val="00B55C4B"/>
    <w:rsid w:val="00B55CCC"/>
    <w:rsid w:val="00B55EF1"/>
    <w:rsid w:val="00B561F1"/>
    <w:rsid w:val="00B565CC"/>
    <w:rsid w:val="00B56837"/>
    <w:rsid w:val="00B5686A"/>
    <w:rsid w:val="00B568DF"/>
    <w:rsid w:val="00B569FC"/>
    <w:rsid w:val="00B56A0D"/>
    <w:rsid w:val="00B56A35"/>
    <w:rsid w:val="00B56AC0"/>
    <w:rsid w:val="00B56BE2"/>
    <w:rsid w:val="00B56EF5"/>
    <w:rsid w:val="00B57229"/>
    <w:rsid w:val="00B5724B"/>
    <w:rsid w:val="00B57351"/>
    <w:rsid w:val="00B574A5"/>
    <w:rsid w:val="00B57673"/>
    <w:rsid w:val="00B578DC"/>
    <w:rsid w:val="00B579EA"/>
    <w:rsid w:val="00B57A18"/>
    <w:rsid w:val="00B57AF8"/>
    <w:rsid w:val="00B57B30"/>
    <w:rsid w:val="00B57B7C"/>
    <w:rsid w:val="00B57D0F"/>
    <w:rsid w:val="00B57D24"/>
    <w:rsid w:val="00B57E4B"/>
    <w:rsid w:val="00B57FB6"/>
    <w:rsid w:val="00B57FC4"/>
    <w:rsid w:val="00B6003E"/>
    <w:rsid w:val="00B600B7"/>
    <w:rsid w:val="00B60145"/>
    <w:rsid w:val="00B601CC"/>
    <w:rsid w:val="00B602D9"/>
    <w:rsid w:val="00B60431"/>
    <w:rsid w:val="00B60472"/>
    <w:rsid w:val="00B6051B"/>
    <w:rsid w:val="00B605F9"/>
    <w:rsid w:val="00B606A5"/>
    <w:rsid w:val="00B6078D"/>
    <w:rsid w:val="00B60792"/>
    <w:rsid w:val="00B608A9"/>
    <w:rsid w:val="00B60A1B"/>
    <w:rsid w:val="00B60A4F"/>
    <w:rsid w:val="00B60B91"/>
    <w:rsid w:val="00B60C8D"/>
    <w:rsid w:val="00B60CDB"/>
    <w:rsid w:val="00B60D51"/>
    <w:rsid w:val="00B60D6D"/>
    <w:rsid w:val="00B60E7C"/>
    <w:rsid w:val="00B60E90"/>
    <w:rsid w:val="00B60EE4"/>
    <w:rsid w:val="00B60F2B"/>
    <w:rsid w:val="00B6115E"/>
    <w:rsid w:val="00B61573"/>
    <w:rsid w:val="00B6169E"/>
    <w:rsid w:val="00B6177E"/>
    <w:rsid w:val="00B617D2"/>
    <w:rsid w:val="00B618DF"/>
    <w:rsid w:val="00B61946"/>
    <w:rsid w:val="00B619FF"/>
    <w:rsid w:val="00B61A2F"/>
    <w:rsid w:val="00B61A90"/>
    <w:rsid w:val="00B61B07"/>
    <w:rsid w:val="00B61B22"/>
    <w:rsid w:val="00B61CA4"/>
    <w:rsid w:val="00B61DAD"/>
    <w:rsid w:val="00B61DC4"/>
    <w:rsid w:val="00B61E21"/>
    <w:rsid w:val="00B61E50"/>
    <w:rsid w:val="00B61E58"/>
    <w:rsid w:val="00B61F46"/>
    <w:rsid w:val="00B61FB5"/>
    <w:rsid w:val="00B6205E"/>
    <w:rsid w:val="00B6206C"/>
    <w:rsid w:val="00B62149"/>
    <w:rsid w:val="00B62202"/>
    <w:rsid w:val="00B62223"/>
    <w:rsid w:val="00B6224B"/>
    <w:rsid w:val="00B62255"/>
    <w:rsid w:val="00B62293"/>
    <w:rsid w:val="00B6230E"/>
    <w:rsid w:val="00B623BC"/>
    <w:rsid w:val="00B62411"/>
    <w:rsid w:val="00B62591"/>
    <w:rsid w:val="00B6268D"/>
    <w:rsid w:val="00B62699"/>
    <w:rsid w:val="00B626A2"/>
    <w:rsid w:val="00B626DA"/>
    <w:rsid w:val="00B62798"/>
    <w:rsid w:val="00B627C4"/>
    <w:rsid w:val="00B62924"/>
    <w:rsid w:val="00B62A7B"/>
    <w:rsid w:val="00B62B00"/>
    <w:rsid w:val="00B62C0B"/>
    <w:rsid w:val="00B62C36"/>
    <w:rsid w:val="00B62C3C"/>
    <w:rsid w:val="00B6305B"/>
    <w:rsid w:val="00B6308B"/>
    <w:rsid w:val="00B63133"/>
    <w:rsid w:val="00B631C0"/>
    <w:rsid w:val="00B63269"/>
    <w:rsid w:val="00B632BF"/>
    <w:rsid w:val="00B635D9"/>
    <w:rsid w:val="00B635DA"/>
    <w:rsid w:val="00B635F4"/>
    <w:rsid w:val="00B6370D"/>
    <w:rsid w:val="00B63986"/>
    <w:rsid w:val="00B639F6"/>
    <w:rsid w:val="00B63C1A"/>
    <w:rsid w:val="00B63CFA"/>
    <w:rsid w:val="00B63D14"/>
    <w:rsid w:val="00B63D69"/>
    <w:rsid w:val="00B63F03"/>
    <w:rsid w:val="00B63F4D"/>
    <w:rsid w:val="00B640EE"/>
    <w:rsid w:val="00B640F3"/>
    <w:rsid w:val="00B64148"/>
    <w:rsid w:val="00B64219"/>
    <w:rsid w:val="00B642F3"/>
    <w:rsid w:val="00B64366"/>
    <w:rsid w:val="00B643A0"/>
    <w:rsid w:val="00B6450A"/>
    <w:rsid w:val="00B64605"/>
    <w:rsid w:val="00B64633"/>
    <w:rsid w:val="00B646C7"/>
    <w:rsid w:val="00B648A6"/>
    <w:rsid w:val="00B648D2"/>
    <w:rsid w:val="00B64905"/>
    <w:rsid w:val="00B64972"/>
    <w:rsid w:val="00B649C7"/>
    <w:rsid w:val="00B64A32"/>
    <w:rsid w:val="00B64AD6"/>
    <w:rsid w:val="00B64BBD"/>
    <w:rsid w:val="00B64C25"/>
    <w:rsid w:val="00B64CE0"/>
    <w:rsid w:val="00B64D4E"/>
    <w:rsid w:val="00B64E3F"/>
    <w:rsid w:val="00B64F23"/>
    <w:rsid w:val="00B65031"/>
    <w:rsid w:val="00B65132"/>
    <w:rsid w:val="00B65144"/>
    <w:rsid w:val="00B651DE"/>
    <w:rsid w:val="00B6543C"/>
    <w:rsid w:val="00B65492"/>
    <w:rsid w:val="00B654A6"/>
    <w:rsid w:val="00B6562C"/>
    <w:rsid w:val="00B65641"/>
    <w:rsid w:val="00B6585D"/>
    <w:rsid w:val="00B65878"/>
    <w:rsid w:val="00B658AE"/>
    <w:rsid w:val="00B659B6"/>
    <w:rsid w:val="00B65AD7"/>
    <w:rsid w:val="00B65B60"/>
    <w:rsid w:val="00B65B81"/>
    <w:rsid w:val="00B65C19"/>
    <w:rsid w:val="00B65C5C"/>
    <w:rsid w:val="00B65D87"/>
    <w:rsid w:val="00B65E20"/>
    <w:rsid w:val="00B65EDD"/>
    <w:rsid w:val="00B65F47"/>
    <w:rsid w:val="00B66009"/>
    <w:rsid w:val="00B6610E"/>
    <w:rsid w:val="00B6622D"/>
    <w:rsid w:val="00B66395"/>
    <w:rsid w:val="00B664A9"/>
    <w:rsid w:val="00B66547"/>
    <w:rsid w:val="00B66605"/>
    <w:rsid w:val="00B666AD"/>
    <w:rsid w:val="00B666CC"/>
    <w:rsid w:val="00B667A9"/>
    <w:rsid w:val="00B66867"/>
    <w:rsid w:val="00B668C0"/>
    <w:rsid w:val="00B66937"/>
    <w:rsid w:val="00B66A38"/>
    <w:rsid w:val="00B66B36"/>
    <w:rsid w:val="00B66CF6"/>
    <w:rsid w:val="00B66D15"/>
    <w:rsid w:val="00B66D99"/>
    <w:rsid w:val="00B66E0D"/>
    <w:rsid w:val="00B66F43"/>
    <w:rsid w:val="00B66F4A"/>
    <w:rsid w:val="00B66F5D"/>
    <w:rsid w:val="00B66F9E"/>
    <w:rsid w:val="00B67194"/>
    <w:rsid w:val="00B67294"/>
    <w:rsid w:val="00B673B1"/>
    <w:rsid w:val="00B6777F"/>
    <w:rsid w:val="00B67867"/>
    <w:rsid w:val="00B67869"/>
    <w:rsid w:val="00B679F5"/>
    <w:rsid w:val="00B67A77"/>
    <w:rsid w:val="00B67A99"/>
    <w:rsid w:val="00B67B58"/>
    <w:rsid w:val="00B67B6C"/>
    <w:rsid w:val="00B67BC0"/>
    <w:rsid w:val="00B67BD9"/>
    <w:rsid w:val="00B67C54"/>
    <w:rsid w:val="00B67DBF"/>
    <w:rsid w:val="00B67F29"/>
    <w:rsid w:val="00B67F4C"/>
    <w:rsid w:val="00B67FCA"/>
    <w:rsid w:val="00B6BDED"/>
    <w:rsid w:val="00B70023"/>
    <w:rsid w:val="00B70033"/>
    <w:rsid w:val="00B70056"/>
    <w:rsid w:val="00B700A5"/>
    <w:rsid w:val="00B70256"/>
    <w:rsid w:val="00B70407"/>
    <w:rsid w:val="00B704C9"/>
    <w:rsid w:val="00B704E4"/>
    <w:rsid w:val="00B70662"/>
    <w:rsid w:val="00B7073D"/>
    <w:rsid w:val="00B708F4"/>
    <w:rsid w:val="00B70958"/>
    <w:rsid w:val="00B70982"/>
    <w:rsid w:val="00B709C6"/>
    <w:rsid w:val="00B70A01"/>
    <w:rsid w:val="00B70A3B"/>
    <w:rsid w:val="00B70A50"/>
    <w:rsid w:val="00B70A9B"/>
    <w:rsid w:val="00B70BC1"/>
    <w:rsid w:val="00B70BD7"/>
    <w:rsid w:val="00B70C06"/>
    <w:rsid w:val="00B70C7E"/>
    <w:rsid w:val="00B70D8D"/>
    <w:rsid w:val="00B70E47"/>
    <w:rsid w:val="00B71016"/>
    <w:rsid w:val="00B710FF"/>
    <w:rsid w:val="00B71168"/>
    <w:rsid w:val="00B71195"/>
    <w:rsid w:val="00B7136A"/>
    <w:rsid w:val="00B714FE"/>
    <w:rsid w:val="00B71645"/>
    <w:rsid w:val="00B71664"/>
    <w:rsid w:val="00B71669"/>
    <w:rsid w:val="00B7173D"/>
    <w:rsid w:val="00B7176A"/>
    <w:rsid w:val="00B71896"/>
    <w:rsid w:val="00B718C8"/>
    <w:rsid w:val="00B7197E"/>
    <w:rsid w:val="00B719E9"/>
    <w:rsid w:val="00B719F9"/>
    <w:rsid w:val="00B71AA5"/>
    <w:rsid w:val="00B71DB1"/>
    <w:rsid w:val="00B71DC6"/>
    <w:rsid w:val="00B71DED"/>
    <w:rsid w:val="00B71ED7"/>
    <w:rsid w:val="00B71FF3"/>
    <w:rsid w:val="00B71FFD"/>
    <w:rsid w:val="00B721E6"/>
    <w:rsid w:val="00B7221B"/>
    <w:rsid w:val="00B72222"/>
    <w:rsid w:val="00B72235"/>
    <w:rsid w:val="00B72363"/>
    <w:rsid w:val="00B72377"/>
    <w:rsid w:val="00B7240B"/>
    <w:rsid w:val="00B7243C"/>
    <w:rsid w:val="00B72520"/>
    <w:rsid w:val="00B725AA"/>
    <w:rsid w:val="00B7261B"/>
    <w:rsid w:val="00B7276E"/>
    <w:rsid w:val="00B7278D"/>
    <w:rsid w:val="00B7282B"/>
    <w:rsid w:val="00B728BD"/>
    <w:rsid w:val="00B72986"/>
    <w:rsid w:val="00B72A39"/>
    <w:rsid w:val="00B72AE6"/>
    <w:rsid w:val="00B72BA5"/>
    <w:rsid w:val="00B72C6E"/>
    <w:rsid w:val="00B72CC7"/>
    <w:rsid w:val="00B72CD3"/>
    <w:rsid w:val="00B72D7E"/>
    <w:rsid w:val="00B72DED"/>
    <w:rsid w:val="00B72E0C"/>
    <w:rsid w:val="00B7336D"/>
    <w:rsid w:val="00B73370"/>
    <w:rsid w:val="00B7342D"/>
    <w:rsid w:val="00B73430"/>
    <w:rsid w:val="00B73481"/>
    <w:rsid w:val="00B73529"/>
    <w:rsid w:val="00B7367C"/>
    <w:rsid w:val="00B73695"/>
    <w:rsid w:val="00B736E9"/>
    <w:rsid w:val="00B73858"/>
    <w:rsid w:val="00B738CF"/>
    <w:rsid w:val="00B73AD6"/>
    <w:rsid w:val="00B73AD9"/>
    <w:rsid w:val="00B73C27"/>
    <w:rsid w:val="00B73D10"/>
    <w:rsid w:val="00B73D6E"/>
    <w:rsid w:val="00B73E30"/>
    <w:rsid w:val="00B73E4A"/>
    <w:rsid w:val="00B73E7A"/>
    <w:rsid w:val="00B73E9E"/>
    <w:rsid w:val="00B73F26"/>
    <w:rsid w:val="00B73F46"/>
    <w:rsid w:val="00B73FB1"/>
    <w:rsid w:val="00B741D0"/>
    <w:rsid w:val="00B74268"/>
    <w:rsid w:val="00B742F3"/>
    <w:rsid w:val="00B743C0"/>
    <w:rsid w:val="00B7441F"/>
    <w:rsid w:val="00B7450D"/>
    <w:rsid w:val="00B7452D"/>
    <w:rsid w:val="00B74568"/>
    <w:rsid w:val="00B7456B"/>
    <w:rsid w:val="00B74582"/>
    <w:rsid w:val="00B7466C"/>
    <w:rsid w:val="00B74670"/>
    <w:rsid w:val="00B74724"/>
    <w:rsid w:val="00B7477A"/>
    <w:rsid w:val="00B74783"/>
    <w:rsid w:val="00B74789"/>
    <w:rsid w:val="00B74816"/>
    <w:rsid w:val="00B74840"/>
    <w:rsid w:val="00B7493B"/>
    <w:rsid w:val="00B74A34"/>
    <w:rsid w:val="00B74AA3"/>
    <w:rsid w:val="00B74C12"/>
    <w:rsid w:val="00B74D06"/>
    <w:rsid w:val="00B74D59"/>
    <w:rsid w:val="00B74DD2"/>
    <w:rsid w:val="00B74ED9"/>
    <w:rsid w:val="00B74F26"/>
    <w:rsid w:val="00B74F51"/>
    <w:rsid w:val="00B74F8D"/>
    <w:rsid w:val="00B74F96"/>
    <w:rsid w:val="00B74FB8"/>
    <w:rsid w:val="00B74FCA"/>
    <w:rsid w:val="00B7511B"/>
    <w:rsid w:val="00B7521D"/>
    <w:rsid w:val="00B75442"/>
    <w:rsid w:val="00B7577E"/>
    <w:rsid w:val="00B757CD"/>
    <w:rsid w:val="00B7591F"/>
    <w:rsid w:val="00B75985"/>
    <w:rsid w:val="00B75998"/>
    <w:rsid w:val="00B7599F"/>
    <w:rsid w:val="00B75D90"/>
    <w:rsid w:val="00B75F71"/>
    <w:rsid w:val="00B7616E"/>
    <w:rsid w:val="00B76190"/>
    <w:rsid w:val="00B76194"/>
    <w:rsid w:val="00B76332"/>
    <w:rsid w:val="00B76345"/>
    <w:rsid w:val="00B76604"/>
    <w:rsid w:val="00B76633"/>
    <w:rsid w:val="00B7666B"/>
    <w:rsid w:val="00B766AA"/>
    <w:rsid w:val="00B76840"/>
    <w:rsid w:val="00B7689E"/>
    <w:rsid w:val="00B76961"/>
    <w:rsid w:val="00B76A04"/>
    <w:rsid w:val="00B76AA1"/>
    <w:rsid w:val="00B76B30"/>
    <w:rsid w:val="00B76BFC"/>
    <w:rsid w:val="00B76C1B"/>
    <w:rsid w:val="00B76F08"/>
    <w:rsid w:val="00B76FF9"/>
    <w:rsid w:val="00B7715D"/>
    <w:rsid w:val="00B771A7"/>
    <w:rsid w:val="00B771DE"/>
    <w:rsid w:val="00B7721B"/>
    <w:rsid w:val="00B77257"/>
    <w:rsid w:val="00B7727D"/>
    <w:rsid w:val="00B772AD"/>
    <w:rsid w:val="00B772FC"/>
    <w:rsid w:val="00B77432"/>
    <w:rsid w:val="00B7743F"/>
    <w:rsid w:val="00B77453"/>
    <w:rsid w:val="00B7763B"/>
    <w:rsid w:val="00B77648"/>
    <w:rsid w:val="00B77669"/>
    <w:rsid w:val="00B776FF"/>
    <w:rsid w:val="00B777D0"/>
    <w:rsid w:val="00B778D3"/>
    <w:rsid w:val="00B77947"/>
    <w:rsid w:val="00B779BD"/>
    <w:rsid w:val="00B77A1B"/>
    <w:rsid w:val="00B77AFC"/>
    <w:rsid w:val="00B77C28"/>
    <w:rsid w:val="00B77C49"/>
    <w:rsid w:val="00B77C4B"/>
    <w:rsid w:val="00B77C8F"/>
    <w:rsid w:val="00B77DF1"/>
    <w:rsid w:val="00B77EA0"/>
    <w:rsid w:val="00B77EAA"/>
    <w:rsid w:val="00B77ED2"/>
    <w:rsid w:val="00B800A5"/>
    <w:rsid w:val="00B8017C"/>
    <w:rsid w:val="00B80187"/>
    <w:rsid w:val="00B805E7"/>
    <w:rsid w:val="00B80620"/>
    <w:rsid w:val="00B808F0"/>
    <w:rsid w:val="00B8090E"/>
    <w:rsid w:val="00B809CF"/>
    <w:rsid w:val="00B80A29"/>
    <w:rsid w:val="00B80A3F"/>
    <w:rsid w:val="00B80C54"/>
    <w:rsid w:val="00B80C79"/>
    <w:rsid w:val="00B80CED"/>
    <w:rsid w:val="00B80D47"/>
    <w:rsid w:val="00B80E40"/>
    <w:rsid w:val="00B80ED6"/>
    <w:rsid w:val="00B81440"/>
    <w:rsid w:val="00B8173C"/>
    <w:rsid w:val="00B8175E"/>
    <w:rsid w:val="00B817C4"/>
    <w:rsid w:val="00B8182C"/>
    <w:rsid w:val="00B81857"/>
    <w:rsid w:val="00B81A91"/>
    <w:rsid w:val="00B81BF6"/>
    <w:rsid w:val="00B81C3C"/>
    <w:rsid w:val="00B81EF6"/>
    <w:rsid w:val="00B81F6A"/>
    <w:rsid w:val="00B81FAF"/>
    <w:rsid w:val="00B82027"/>
    <w:rsid w:val="00B820BF"/>
    <w:rsid w:val="00B821E7"/>
    <w:rsid w:val="00B821EC"/>
    <w:rsid w:val="00B82254"/>
    <w:rsid w:val="00B822E8"/>
    <w:rsid w:val="00B823F5"/>
    <w:rsid w:val="00B824BE"/>
    <w:rsid w:val="00B8261A"/>
    <w:rsid w:val="00B82631"/>
    <w:rsid w:val="00B8269C"/>
    <w:rsid w:val="00B826C2"/>
    <w:rsid w:val="00B82714"/>
    <w:rsid w:val="00B8276A"/>
    <w:rsid w:val="00B828C8"/>
    <w:rsid w:val="00B82918"/>
    <w:rsid w:val="00B82A93"/>
    <w:rsid w:val="00B82AF8"/>
    <w:rsid w:val="00B82B06"/>
    <w:rsid w:val="00B82C3B"/>
    <w:rsid w:val="00B82C83"/>
    <w:rsid w:val="00B82C9B"/>
    <w:rsid w:val="00B82CA6"/>
    <w:rsid w:val="00B82D16"/>
    <w:rsid w:val="00B82FFC"/>
    <w:rsid w:val="00B83277"/>
    <w:rsid w:val="00B83367"/>
    <w:rsid w:val="00B8344A"/>
    <w:rsid w:val="00B83520"/>
    <w:rsid w:val="00B8375D"/>
    <w:rsid w:val="00B838EE"/>
    <w:rsid w:val="00B838F8"/>
    <w:rsid w:val="00B839FD"/>
    <w:rsid w:val="00B83A22"/>
    <w:rsid w:val="00B83DD2"/>
    <w:rsid w:val="00B840DA"/>
    <w:rsid w:val="00B84248"/>
    <w:rsid w:val="00B8428B"/>
    <w:rsid w:val="00B842F0"/>
    <w:rsid w:val="00B8440E"/>
    <w:rsid w:val="00B84569"/>
    <w:rsid w:val="00B8483C"/>
    <w:rsid w:val="00B849A7"/>
    <w:rsid w:val="00B84A32"/>
    <w:rsid w:val="00B84A7B"/>
    <w:rsid w:val="00B84AF9"/>
    <w:rsid w:val="00B84CB1"/>
    <w:rsid w:val="00B84CC1"/>
    <w:rsid w:val="00B84D85"/>
    <w:rsid w:val="00B850EC"/>
    <w:rsid w:val="00B851C5"/>
    <w:rsid w:val="00B851EE"/>
    <w:rsid w:val="00B8532D"/>
    <w:rsid w:val="00B85595"/>
    <w:rsid w:val="00B85661"/>
    <w:rsid w:val="00B8568C"/>
    <w:rsid w:val="00B85767"/>
    <w:rsid w:val="00B857DE"/>
    <w:rsid w:val="00B859CD"/>
    <w:rsid w:val="00B85A2C"/>
    <w:rsid w:val="00B85D28"/>
    <w:rsid w:val="00B85D7F"/>
    <w:rsid w:val="00B85EC7"/>
    <w:rsid w:val="00B85F18"/>
    <w:rsid w:val="00B85F2D"/>
    <w:rsid w:val="00B86068"/>
    <w:rsid w:val="00B8618B"/>
    <w:rsid w:val="00B861E7"/>
    <w:rsid w:val="00B86418"/>
    <w:rsid w:val="00B8645B"/>
    <w:rsid w:val="00B864D8"/>
    <w:rsid w:val="00B865C6"/>
    <w:rsid w:val="00B86876"/>
    <w:rsid w:val="00B869D1"/>
    <w:rsid w:val="00B86A11"/>
    <w:rsid w:val="00B86AD1"/>
    <w:rsid w:val="00B86D53"/>
    <w:rsid w:val="00B86D7D"/>
    <w:rsid w:val="00B86E04"/>
    <w:rsid w:val="00B86FB2"/>
    <w:rsid w:val="00B8702E"/>
    <w:rsid w:val="00B872C5"/>
    <w:rsid w:val="00B872DF"/>
    <w:rsid w:val="00B87367"/>
    <w:rsid w:val="00B874D2"/>
    <w:rsid w:val="00B875E9"/>
    <w:rsid w:val="00B877C7"/>
    <w:rsid w:val="00B87853"/>
    <w:rsid w:val="00B878B1"/>
    <w:rsid w:val="00B8794D"/>
    <w:rsid w:val="00B87982"/>
    <w:rsid w:val="00B87A89"/>
    <w:rsid w:val="00B87B41"/>
    <w:rsid w:val="00B87BEA"/>
    <w:rsid w:val="00B87C42"/>
    <w:rsid w:val="00B87CA1"/>
    <w:rsid w:val="00B87D04"/>
    <w:rsid w:val="00B87D77"/>
    <w:rsid w:val="00B87E48"/>
    <w:rsid w:val="00B87FB0"/>
    <w:rsid w:val="00B9004A"/>
    <w:rsid w:val="00B9011D"/>
    <w:rsid w:val="00B90425"/>
    <w:rsid w:val="00B9052A"/>
    <w:rsid w:val="00B905B9"/>
    <w:rsid w:val="00B90652"/>
    <w:rsid w:val="00B90739"/>
    <w:rsid w:val="00B90776"/>
    <w:rsid w:val="00B90823"/>
    <w:rsid w:val="00B9083A"/>
    <w:rsid w:val="00B90A71"/>
    <w:rsid w:val="00B90AA9"/>
    <w:rsid w:val="00B90B6A"/>
    <w:rsid w:val="00B90C62"/>
    <w:rsid w:val="00B90F58"/>
    <w:rsid w:val="00B90FEB"/>
    <w:rsid w:val="00B911A4"/>
    <w:rsid w:val="00B911B7"/>
    <w:rsid w:val="00B91226"/>
    <w:rsid w:val="00B91245"/>
    <w:rsid w:val="00B91279"/>
    <w:rsid w:val="00B9156B"/>
    <w:rsid w:val="00B916AF"/>
    <w:rsid w:val="00B91799"/>
    <w:rsid w:val="00B9181A"/>
    <w:rsid w:val="00B9183B"/>
    <w:rsid w:val="00B918C6"/>
    <w:rsid w:val="00B91956"/>
    <w:rsid w:val="00B91986"/>
    <w:rsid w:val="00B91B52"/>
    <w:rsid w:val="00B91B54"/>
    <w:rsid w:val="00B91B76"/>
    <w:rsid w:val="00B91B79"/>
    <w:rsid w:val="00B91BB0"/>
    <w:rsid w:val="00B91C29"/>
    <w:rsid w:val="00B91CF2"/>
    <w:rsid w:val="00B91D9C"/>
    <w:rsid w:val="00B91E49"/>
    <w:rsid w:val="00B91E4A"/>
    <w:rsid w:val="00B91E50"/>
    <w:rsid w:val="00B91EEC"/>
    <w:rsid w:val="00B91F52"/>
    <w:rsid w:val="00B91F5E"/>
    <w:rsid w:val="00B920A2"/>
    <w:rsid w:val="00B92130"/>
    <w:rsid w:val="00B9223C"/>
    <w:rsid w:val="00B92481"/>
    <w:rsid w:val="00B925D2"/>
    <w:rsid w:val="00B92662"/>
    <w:rsid w:val="00B92838"/>
    <w:rsid w:val="00B92867"/>
    <w:rsid w:val="00B92A84"/>
    <w:rsid w:val="00B92AC5"/>
    <w:rsid w:val="00B92AD8"/>
    <w:rsid w:val="00B92AEF"/>
    <w:rsid w:val="00B92EA9"/>
    <w:rsid w:val="00B92FB5"/>
    <w:rsid w:val="00B92FE9"/>
    <w:rsid w:val="00B93009"/>
    <w:rsid w:val="00B93052"/>
    <w:rsid w:val="00B9315C"/>
    <w:rsid w:val="00B931E8"/>
    <w:rsid w:val="00B933E9"/>
    <w:rsid w:val="00B93452"/>
    <w:rsid w:val="00B9352F"/>
    <w:rsid w:val="00B93743"/>
    <w:rsid w:val="00B93753"/>
    <w:rsid w:val="00B93765"/>
    <w:rsid w:val="00B93812"/>
    <w:rsid w:val="00B9383E"/>
    <w:rsid w:val="00B93986"/>
    <w:rsid w:val="00B939A5"/>
    <w:rsid w:val="00B939C7"/>
    <w:rsid w:val="00B93B43"/>
    <w:rsid w:val="00B93C34"/>
    <w:rsid w:val="00B93C40"/>
    <w:rsid w:val="00B93E1E"/>
    <w:rsid w:val="00B93E22"/>
    <w:rsid w:val="00B93EBC"/>
    <w:rsid w:val="00B93F09"/>
    <w:rsid w:val="00B93F77"/>
    <w:rsid w:val="00B9420B"/>
    <w:rsid w:val="00B94339"/>
    <w:rsid w:val="00B943CA"/>
    <w:rsid w:val="00B94438"/>
    <w:rsid w:val="00B944D2"/>
    <w:rsid w:val="00B9474F"/>
    <w:rsid w:val="00B94842"/>
    <w:rsid w:val="00B94880"/>
    <w:rsid w:val="00B948D1"/>
    <w:rsid w:val="00B9494C"/>
    <w:rsid w:val="00B94A0A"/>
    <w:rsid w:val="00B94A56"/>
    <w:rsid w:val="00B94A71"/>
    <w:rsid w:val="00B94C56"/>
    <w:rsid w:val="00B94D89"/>
    <w:rsid w:val="00B94E06"/>
    <w:rsid w:val="00B94FE9"/>
    <w:rsid w:val="00B95019"/>
    <w:rsid w:val="00B950C0"/>
    <w:rsid w:val="00B950D4"/>
    <w:rsid w:val="00B952A8"/>
    <w:rsid w:val="00B9567E"/>
    <w:rsid w:val="00B95680"/>
    <w:rsid w:val="00B956D7"/>
    <w:rsid w:val="00B957C6"/>
    <w:rsid w:val="00B957EA"/>
    <w:rsid w:val="00B95872"/>
    <w:rsid w:val="00B958E2"/>
    <w:rsid w:val="00B95912"/>
    <w:rsid w:val="00B959CB"/>
    <w:rsid w:val="00B959E7"/>
    <w:rsid w:val="00B95AD9"/>
    <w:rsid w:val="00B95BCA"/>
    <w:rsid w:val="00B95D54"/>
    <w:rsid w:val="00B95D5E"/>
    <w:rsid w:val="00B95DA5"/>
    <w:rsid w:val="00B95DB4"/>
    <w:rsid w:val="00B95DFD"/>
    <w:rsid w:val="00B95E00"/>
    <w:rsid w:val="00B95E5A"/>
    <w:rsid w:val="00B95EF8"/>
    <w:rsid w:val="00B9605B"/>
    <w:rsid w:val="00B96062"/>
    <w:rsid w:val="00B9618A"/>
    <w:rsid w:val="00B96274"/>
    <w:rsid w:val="00B962B7"/>
    <w:rsid w:val="00B9630B"/>
    <w:rsid w:val="00B963CA"/>
    <w:rsid w:val="00B9653F"/>
    <w:rsid w:val="00B965A1"/>
    <w:rsid w:val="00B965D1"/>
    <w:rsid w:val="00B96698"/>
    <w:rsid w:val="00B967BE"/>
    <w:rsid w:val="00B96850"/>
    <w:rsid w:val="00B968A0"/>
    <w:rsid w:val="00B968FE"/>
    <w:rsid w:val="00B969D3"/>
    <w:rsid w:val="00B96B38"/>
    <w:rsid w:val="00B96C86"/>
    <w:rsid w:val="00B96CF4"/>
    <w:rsid w:val="00B96D21"/>
    <w:rsid w:val="00B96D3A"/>
    <w:rsid w:val="00B96ED7"/>
    <w:rsid w:val="00B96F2F"/>
    <w:rsid w:val="00B97365"/>
    <w:rsid w:val="00B9740D"/>
    <w:rsid w:val="00B974EE"/>
    <w:rsid w:val="00B97666"/>
    <w:rsid w:val="00B97741"/>
    <w:rsid w:val="00B9774B"/>
    <w:rsid w:val="00B977A4"/>
    <w:rsid w:val="00B977BE"/>
    <w:rsid w:val="00B97860"/>
    <w:rsid w:val="00B9789C"/>
    <w:rsid w:val="00B97930"/>
    <w:rsid w:val="00B97974"/>
    <w:rsid w:val="00B97976"/>
    <w:rsid w:val="00B97A43"/>
    <w:rsid w:val="00B97B64"/>
    <w:rsid w:val="00B97B9C"/>
    <w:rsid w:val="00B97C29"/>
    <w:rsid w:val="00B97C76"/>
    <w:rsid w:val="00B97CB4"/>
    <w:rsid w:val="00B97D7D"/>
    <w:rsid w:val="00B97DE4"/>
    <w:rsid w:val="00B97EB8"/>
    <w:rsid w:val="00B97F9E"/>
    <w:rsid w:val="00BA0062"/>
    <w:rsid w:val="00BA00EE"/>
    <w:rsid w:val="00BA0113"/>
    <w:rsid w:val="00BA0185"/>
    <w:rsid w:val="00BA0234"/>
    <w:rsid w:val="00BA0254"/>
    <w:rsid w:val="00BA02F5"/>
    <w:rsid w:val="00BA0302"/>
    <w:rsid w:val="00BA046B"/>
    <w:rsid w:val="00BA051F"/>
    <w:rsid w:val="00BA057B"/>
    <w:rsid w:val="00BA05A5"/>
    <w:rsid w:val="00BA05A6"/>
    <w:rsid w:val="00BA06EB"/>
    <w:rsid w:val="00BA073E"/>
    <w:rsid w:val="00BA07C4"/>
    <w:rsid w:val="00BA08B2"/>
    <w:rsid w:val="00BA097B"/>
    <w:rsid w:val="00BA0988"/>
    <w:rsid w:val="00BA0B20"/>
    <w:rsid w:val="00BA0C1B"/>
    <w:rsid w:val="00BA0C81"/>
    <w:rsid w:val="00BA0E2F"/>
    <w:rsid w:val="00BA0E35"/>
    <w:rsid w:val="00BA0F0C"/>
    <w:rsid w:val="00BA0FBF"/>
    <w:rsid w:val="00BA10E1"/>
    <w:rsid w:val="00BA11EB"/>
    <w:rsid w:val="00BA12B9"/>
    <w:rsid w:val="00BA12D6"/>
    <w:rsid w:val="00BA1327"/>
    <w:rsid w:val="00BA14CA"/>
    <w:rsid w:val="00BA15AA"/>
    <w:rsid w:val="00BA15FB"/>
    <w:rsid w:val="00BA1633"/>
    <w:rsid w:val="00BA1634"/>
    <w:rsid w:val="00BA169C"/>
    <w:rsid w:val="00BA16CC"/>
    <w:rsid w:val="00BA1759"/>
    <w:rsid w:val="00BA1909"/>
    <w:rsid w:val="00BA1A4E"/>
    <w:rsid w:val="00BA1AEF"/>
    <w:rsid w:val="00BA1BE0"/>
    <w:rsid w:val="00BA1C12"/>
    <w:rsid w:val="00BA1C7B"/>
    <w:rsid w:val="00BA1D8C"/>
    <w:rsid w:val="00BA1DD6"/>
    <w:rsid w:val="00BA1E3C"/>
    <w:rsid w:val="00BA1E6B"/>
    <w:rsid w:val="00BA1E83"/>
    <w:rsid w:val="00BA1F05"/>
    <w:rsid w:val="00BA1F13"/>
    <w:rsid w:val="00BA20DB"/>
    <w:rsid w:val="00BA211B"/>
    <w:rsid w:val="00BA22F3"/>
    <w:rsid w:val="00BA23A2"/>
    <w:rsid w:val="00BA2495"/>
    <w:rsid w:val="00BA264D"/>
    <w:rsid w:val="00BA26A0"/>
    <w:rsid w:val="00BA26BB"/>
    <w:rsid w:val="00BA2781"/>
    <w:rsid w:val="00BA283E"/>
    <w:rsid w:val="00BA2885"/>
    <w:rsid w:val="00BA29A8"/>
    <w:rsid w:val="00BA2A02"/>
    <w:rsid w:val="00BA3008"/>
    <w:rsid w:val="00BA315F"/>
    <w:rsid w:val="00BA322A"/>
    <w:rsid w:val="00BA32C5"/>
    <w:rsid w:val="00BA33A1"/>
    <w:rsid w:val="00BA33AF"/>
    <w:rsid w:val="00BA34F0"/>
    <w:rsid w:val="00BA3590"/>
    <w:rsid w:val="00BA35ED"/>
    <w:rsid w:val="00BA3658"/>
    <w:rsid w:val="00BA375A"/>
    <w:rsid w:val="00BA37BF"/>
    <w:rsid w:val="00BA385B"/>
    <w:rsid w:val="00BA3867"/>
    <w:rsid w:val="00BA3881"/>
    <w:rsid w:val="00BA3A72"/>
    <w:rsid w:val="00BA3C4A"/>
    <w:rsid w:val="00BA3CCD"/>
    <w:rsid w:val="00BA3D59"/>
    <w:rsid w:val="00BA3DA4"/>
    <w:rsid w:val="00BA3DB6"/>
    <w:rsid w:val="00BA3FA3"/>
    <w:rsid w:val="00BA4113"/>
    <w:rsid w:val="00BA4286"/>
    <w:rsid w:val="00BA43C8"/>
    <w:rsid w:val="00BA43D3"/>
    <w:rsid w:val="00BA4503"/>
    <w:rsid w:val="00BA4597"/>
    <w:rsid w:val="00BA459F"/>
    <w:rsid w:val="00BA46AD"/>
    <w:rsid w:val="00BA46E1"/>
    <w:rsid w:val="00BA4752"/>
    <w:rsid w:val="00BA47D9"/>
    <w:rsid w:val="00BA48AB"/>
    <w:rsid w:val="00BA495F"/>
    <w:rsid w:val="00BA497F"/>
    <w:rsid w:val="00BA4A29"/>
    <w:rsid w:val="00BA4AD5"/>
    <w:rsid w:val="00BA4AF8"/>
    <w:rsid w:val="00BA4C62"/>
    <w:rsid w:val="00BA4D73"/>
    <w:rsid w:val="00BA4DDB"/>
    <w:rsid w:val="00BA4F02"/>
    <w:rsid w:val="00BA4F3D"/>
    <w:rsid w:val="00BA510A"/>
    <w:rsid w:val="00BA5139"/>
    <w:rsid w:val="00BA53C3"/>
    <w:rsid w:val="00BA5401"/>
    <w:rsid w:val="00BA550F"/>
    <w:rsid w:val="00BA5531"/>
    <w:rsid w:val="00BA5581"/>
    <w:rsid w:val="00BA5775"/>
    <w:rsid w:val="00BA5840"/>
    <w:rsid w:val="00BA58FE"/>
    <w:rsid w:val="00BA592F"/>
    <w:rsid w:val="00BA59C4"/>
    <w:rsid w:val="00BA5A27"/>
    <w:rsid w:val="00BA5B48"/>
    <w:rsid w:val="00BA5C96"/>
    <w:rsid w:val="00BA5E9B"/>
    <w:rsid w:val="00BA5EAC"/>
    <w:rsid w:val="00BA5F22"/>
    <w:rsid w:val="00BA60A7"/>
    <w:rsid w:val="00BA60DA"/>
    <w:rsid w:val="00BA612F"/>
    <w:rsid w:val="00BA61D2"/>
    <w:rsid w:val="00BA61F6"/>
    <w:rsid w:val="00BA627C"/>
    <w:rsid w:val="00BA639D"/>
    <w:rsid w:val="00BA63A9"/>
    <w:rsid w:val="00BA63C1"/>
    <w:rsid w:val="00BA6482"/>
    <w:rsid w:val="00BA6500"/>
    <w:rsid w:val="00BA65AA"/>
    <w:rsid w:val="00BA65E4"/>
    <w:rsid w:val="00BA6665"/>
    <w:rsid w:val="00BA66DC"/>
    <w:rsid w:val="00BA68F0"/>
    <w:rsid w:val="00BA6B59"/>
    <w:rsid w:val="00BA6C7E"/>
    <w:rsid w:val="00BA6CFF"/>
    <w:rsid w:val="00BA6D36"/>
    <w:rsid w:val="00BA6D7E"/>
    <w:rsid w:val="00BA6DBF"/>
    <w:rsid w:val="00BA6E21"/>
    <w:rsid w:val="00BA6EBA"/>
    <w:rsid w:val="00BA6EF3"/>
    <w:rsid w:val="00BA6F0D"/>
    <w:rsid w:val="00BA6FD2"/>
    <w:rsid w:val="00BA71ED"/>
    <w:rsid w:val="00BA727A"/>
    <w:rsid w:val="00BA72FB"/>
    <w:rsid w:val="00BA7772"/>
    <w:rsid w:val="00BA78C8"/>
    <w:rsid w:val="00BA79C8"/>
    <w:rsid w:val="00BA7AFC"/>
    <w:rsid w:val="00BA7B0A"/>
    <w:rsid w:val="00BA7B40"/>
    <w:rsid w:val="00BA7BCD"/>
    <w:rsid w:val="00BA7C0A"/>
    <w:rsid w:val="00BA7FC0"/>
    <w:rsid w:val="00BA7FFE"/>
    <w:rsid w:val="00BB006F"/>
    <w:rsid w:val="00BB0090"/>
    <w:rsid w:val="00BB00DF"/>
    <w:rsid w:val="00BB04A1"/>
    <w:rsid w:val="00BB06A0"/>
    <w:rsid w:val="00BB06BC"/>
    <w:rsid w:val="00BB0737"/>
    <w:rsid w:val="00BB07B6"/>
    <w:rsid w:val="00BB0976"/>
    <w:rsid w:val="00BB0A32"/>
    <w:rsid w:val="00BB0B09"/>
    <w:rsid w:val="00BB0BDD"/>
    <w:rsid w:val="00BB0BE6"/>
    <w:rsid w:val="00BB0C00"/>
    <w:rsid w:val="00BB0C12"/>
    <w:rsid w:val="00BB0C58"/>
    <w:rsid w:val="00BB0CD2"/>
    <w:rsid w:val="00BB0D27"/>
    <w:rsid w:val="00BB0D97"/>
    <w:rsid w:val="00BB0DDE"/>
    <w:rsid w:val="00BB0E81"/>
    <w:rsid w:val="00BB0EED"/>
    <w:rsid w:val="00BB0FEA"/>
    <w:rsid w:val="00BB10EF"/>
    <w:rsid w:val="00BB134F"/>
    <w:rsid w:val="00BB1422"/>
    <w:rsid w:val="00BB1498"/>
    <w:rsid w:val="00BB1531"/>
    <w:rsid w:val="00BB1594"/>
    <w:rsid w:val="00BB17C2"/>
    <w:rsid w:val="00BB1831"/>
    <w:rsid w:val="00BB18A1"/>
    <w:rsid w:val="00BB192E"/>
    <w:rsid w:val="00BB1994"/>
    <w:rsid w:val="00BB1AD2"/>
    <w:rsid w:val="00BB1B0F"/>
    <w:rsid w:val="00BB1B5D"/>
    <w:rsid w:val="00BB1B98"/>
    <w:rsid w:val="00BB1BFC"/>
    <w:rsid w:val="00BB1CA0"/>
    <w:rsid w:val="00BB1CB2"/>
    <w:rsid w:val="00BB1D36"/>
    <w:rsid w:val="00BB1DDD"/>
    <w:rsid w:val="00BB1E49"/>
    <w:rsid w:val="00BB1F83"/>
    <w:rsid w:val="00BB2045"/>
    <w:rsid w:val="00BB2074"/>
    <w:rsid w:val="00BB21AE"/>
    <w:rsid w:val="00BB21C0"/>
    <w:rsid w:val="00BB21CC"/>
    <w:rsid w:val="00BB23BE"/>
    <w:rsid w:val="00BB23F5"/>
    <w:rsid w:val="00BB244A"/>
    <w:rsid w:val="00BB24CB"/>
    <w:rsid w:val="00BB2606"/>
    <w:rsid w:val="00BB272F"/>
    <w:rsid w:val="00BB286C"/>
    <w:rsid w:val="00BB28E4"/>
    <w:rsid w:val="00BB2A3B"/>
    <w:rsid w:val="00BB2AA6"/>
    <w:rsid w:val="00BB2B40"/>
    <w:rsid w:val="00BB2E7C"/>
    <w:rsid w:val="00BB2E91"/>
    <w:rsid w:val="00BB311D"/>
    <w:rsid w:val="00BB3147"/>
    <w:rsid w:val="00BB326D"/>
    <w:rsid w:val="00BB3519"/>
    <w:rsid w:val="00BB359A"/>
    <w:rsid w:val="00BB35A6"/>
    <w:rsid w:val="00BB36FF"/>
    <w:rsid w:val="00BB37D2"/>
    <w:rsid w:val="00BB3808"/>
    <w:rsid w:val="00BB3A76"/>
    <w:rsid w:val="00BB3BA8"/>
    <w:rsid w:val="00BB3BDB"/>
    <w:rsid w:val="00BB3D30"/>
    <w:rsid w:val="00BB4017"/>
    <w:rsid w:val="00BB43FC"/>
    <w:rsid w:val="00BB4503"/>
    <w:rsid w:val="00BB453B"/>
    <w:rsid w:val="00BB469E"/>
    <w:rsid w:val="00BB46FC"/>
    <w:rsid w:val="00BB4710"/>
    <w:rsid w:val="00BB47DC"/>
    <w:rsid w:val="00BB4985"/>
    <w:rsid w:val="00BB49CA"/>
    <w:rsid w:val="00BB4A21"/>
    <w:rsid w:val="00BB4A3A"/>
    <w:rsid w:val="00BB4B86"/>
    <w:rsid w:val="00BB4BEE"/>
    <w:rsid w:val="00BB4C6C"/>
    <w:rsid w:val="00BB4D37"/>
    <w:rsid w:val="00BB4D9C"/>
    <w:rsid w:val="00BB4EB2"/>
    <w:rsid w:val="00BB4F76"/>
    <w:rsid w:val="00BB500F"/>
    <w:rsid w:val="00BB5039"/>
    <w:rsid w:val="00BB5046"/>
    <w:rsid w:val="00BB5049"/>
    <w:rsid w:val="00BB5098"/>
    <w:rsid w:val="00BB5182"/>
    <w:rsid w:val="00BB51A5"/>
    <w:rsid w:val="00BB5264"/>
    <w:rsid w:val="00BB53F6"/>
    <w:rsid w:val="00BB5437"/>
    <w:rsid w:val="00BB5931"/>
    <w:rsid w:val="00BB59E1"/>
    <w:rsid w:val="00BB5A3B"/>
    <w:rsid w:val="00BB5C0F"/>
    <w:rsid w:val="00BB5D44"/>
    <w:rsid w:val="00BB5D9B"/>
    <w:rsid w:val="00BB5DA7"/>
    <w:rsid w:val="00BB5E4F"/>
    <w:rsid w:val="00BB5E6B"/>
    <w:rsid w:val="00BB5F0E"/>
    <w:rsid w:val="00BB5F75"/>
    <w:rsid w:val="00BB6128"/>
    <w:rsid w:val="00BB6134"/>
    <w:rsid w:val="00BB6158"/>
    <w:rsid w:val="00BB622D"/>
    <w:rsid w:val="00BB623D"/>
    <w:rsid w:val="00BB6279"/>
    <w:rsid w:val="00BB6415"/>
    <w:rsid w:val="00BB65D0"/>
    <w:rsid w:val="00BB670D"/>
    <w:rsid w:val="00BB67CB"/>
    <w:rsid w:val="00BB68FF"/>
    <w:rsid w:val="00BB69EE"/>
    <w:rsid w:val="00BB6A0F"/>
    <w:rsid w:val="00BB6AFA"/>
    <w:rsid w:val="00BB6B26"/>
    <w:rsid w:val="00BB6C44"/>
    <w:rsid w:val="00BB6CEA"/>
    <w:rsid w:val="00BB6CEE"/>
    <w:rsid w:val="00BB6F6A"/>
    <w:rsid w:val="00BB7000"/>
    <w:rsid w:val="00BB708D"/>
    <w:rsid w:val="00BB709A"/>
    <w:rsid w:val="00BB7142"/>
    <w:rsid w:val="00BB7145"/>
    <w:rsid w:val="00BB716A"/>
    <w:rsid w:val="00BB717A"/>
    <w:rsid w:val="00BB71B2"/>
    <w:rsid w:val="00BB725A"/>
    <w:rsid w:val="00BB7309"/>
    <w:rsid w:val="00BB7366"/>
    <w:rsid w:val="00BB75E5"/>
    <w:rsid w:val="00BB760D"/>
    <w:rsid w:val="00BB761D"/>
    <w:rsid w:val="00BB7767"/>
    <w:rsid w:val="00BB7776"/>
    <w:rsid w:val="00BB77A1"/>
    <w:rsid w:val="00BB7909"/>
    <w:rsid w:val="00BB7A7C"/>
    <w:rsid w:val="00BB7AD8"/>
    <w:rsid w:val="00BB7B9D"/>
    <w:rsid w:val="00BB7BC8"/>
    <w:rsid w:val="00BB7BD2"/>
    <w:rsid w:val="00BB7D16"/>
    <w:rsid w:val="00BB7DAE"/>
    <w:rsid w:val="00BB7F48"/>
    <w:rsid w:val="00BC0266"/>
    <w:rsid w:val="00BC02B5"/>
    <w:rsid w:val="00BC048E"/>
    <w:rsid w:val="00BC0602"/>
    <w:rsid w:val="00BC060E"/>
    <w:rsid w:val="00BC06DE"/>
    <w:rsid w:val="00BC08C5"/>
    <w:rsid w:val="00BC08CB"/>
    <w:rsid w:val="00BC096C"/>
    <w:rsid w:val="00BC099A"/>
    <w:rsid w:val="00BC099D"/>
    <w:rsid w:val="00BC0B90"/>
    <w:rsid w:val="00BC0C22"/>
    <w:rsid w:val="00BC0C23"/>
    <w:rsid w:val="00BC0E92"/>
    <w:rsid w:val="00BC0F96"/>
    <w:rsid w:val="00BC0FA0"/>
    <w:rsid w:val="00BC0FBA"/>
    <w:rsid w:val="00BC1092"/>
    <w:rsid w:val="00BC1101"/>
    <w:rsid w:val="00BC114A"/>
    <w:rsid w:val="00BC11A3"/>
    <w:rsid w:val="00BC1241"/>
    <w:rsid w:val="00BC126D"/>
    <w:rsid w:val="00BC12D4"/>
    <w:rsid w:val="00BC13D3"/>
    <w:rsid w:val="00BC1404"/>
    <w:rsid w:val="00BC14D8"/>
    <w:rsid w:val="00BC155E"/>
    <w:rsid w:val="00BC1693"/>
    <w:rsid w:val="00BC17D4"/>
    <w:rsid w:val="00BC17F0"/>
    <w:rsid w:val="00BC1881"/>
    <w:rsid w:val="00BC19E6"/>
    <w:rsid w:val="00BC1A76"/>
    <w:rsid w:val="00BC1BA8"/>
    <w:rsid w:val="00BC1DB8"/>
    <w:rsid w:val="00BC1DBD"/>
    <w:rsid w:val="00BC1DBF"/>
    <w:rsid w:val="00BC1F0D"/>
    <w:rsid w:val="00BC1F73"/>
    <w:rsid w:val="00BC2054"/>
    <w:rsid w:val="00BC209B"/>
    <w:rsid w:val="00BC211E"/>
    <w:rsid w:val="00BC215C"/>
    <w:rsid w:val="00BC2339"/>
    <w:rsid w:val="00BC2356"/>
    <w:rsid w:val="00BC238F"/>
    <w:rsid w:val="00BC2574"/>
    <w:rsid w:val="00BC2598"/>
    <w:rsid w:val="00BC26AE"/>
    <w:rsid w:val="00BC26BD"/>
    <w:rsid w:val="00BC26D1"/>
    <w:rsid w:val="00BC273B"/>
    <w:rsid w:val="00BC281B"/>
    <w:rsid w:val="00BC28CA"/>
    <w:rsid w:val="00BC2998"/>
    <w:rsid w:val="00BC29DA"/>
    <w:rsid w:val="00BC2A47"/>
    <w:rsid w:val="00BC2B71"/>
    <w:rsid w:val="00BC2BAB"/>
    <w:rsid w:val="00BC2C47"/>
    <w:rsid w:val="00BC2D4F"/>
    <w:rsid w:val="00BC2E0A"/>
    <w:rsid w:val="00BC2E3E"/>
    <w:rsid w:val="00BC3063"/>
    <w:rsid w:val="00BC30F5"/>
    <w:rsid w:val="00BC31BD"/>
    <w:rsid w:val="00BC326D"/>
    <w:rsid w:val="00BC328A"/>
    <w:rsid w:val="00BC32A4"/>
    <w:rsid w:val="00BC347F"/>
    <w:rsid w:val="00BC34FE"/>
    <w:rsid w:val="00BC3619"/>
    <w:rsid w:val="00BC3640"/>
    <w:rsid w:val="00BC36A6"/>
    <w:rsid w:val="00BC3861"/>
    <w:rsid w:val="00BC3896"/>
    <w:rsid w:val="00BC395E"/>
    <w:rsid w:val="00BC3A73"/>
    <w:rsid w:val="00BC3B1E"/>
    <w:rsid w:val="00BC3B2F"/>
    <w:rsid w:val="00BC3C59"/>
    <w:rsid w:val="00BC3D3F"/>
    <w:rsid w:val="00BC3D4C"/>
    <w:rsid w:val="00BC3DF7"/>
    <w:rsid w:val="00BC407C"/>
    <w:rsid w:val="00BC414D"/>
    <w:rsid w:val="00BC420C"/>
    <w:rsid w:val="00BC432B"/>
    <w:rsid w:val="00BC4362"/>
    <w:rsid w:val="00BC445E"/>
    <w:rsid w:val="00BC44DB"/>
    <w:rsid w:val="00BC457F"/>
    <w:rsid w:val="00BC463C"/>
    <w:rsid w:val="00BC4659"/>
    <w:rsid w:val="00BC4671"/>
    <w:rsid w:val="00BC4722"/>
    <w:rsid w:val="00BC472F"/>
    <w:rsid w:val="00BC47A4"/>
    <w:rsid w:val="00BC47CB"/>
    <w:rsid w:val="00BC47E6"/>
    <w:rsid w:val="00BC48FE"/>
    <w:rsid w:val="00BC4A36"/>
    <w:rsid w:val="00BC4A40"/>
    <w:rsid w:val="00BC4AAA"/>
    <w:rsid w:val="00BC4AD4"/>
    <w:rsid w:val="00BC4C09"/>
    <w:rsid w:val="00BC4C5F"/>
    <w:rsid w:val="00BC4DAD"/>
    <w:rsid w:val="00BC4E09"/>
    <w:rsid w:val="00BC5053"/>
    <w:rsid w:val="00BC5083"/>
    <w:rsid w:val="00BC513A"/>
    <w:rsid w:val="00BC5219"/>
    <w:rsid w:val="00BC5507"/>
    <w:rsid w:val="00BC55D8"/>
    <w:rsid w:val="00BC5741"/>
    <w:rsid w:val="00BC57E8"/>
    <w:rsid w:val="00BC5999"/>
    <w:rsid w:val="00BC5A20"/>
    <w:rsid w:val="00BC5B3D"/>
    <w:rsid w:val="00BC5B90"/>
    <w:rsid w:val="00BC5BBF"/>
    <w:rsid w:val="00BC5BE4"/>
    <w:rsid w:val="00BC5CF7"/>
    <w:rsid w:val="00BC5E5B"/>
    <w:rsid w:val="00BC5EC8"/>
    <w:rsid w:val="00BC6286"/>
    <w:rsid w:val="00BC6377"/>
    <w:rsid w:val="00BC654D"/>
    <w:rsid w:val="00BC673D"/>
    <w:rsid w:val="00BC6751"/>
    <w:rsid w:val="00BC68BF"/>
    <w:rsid w:val="00BC68D2"/>
    <w:rsid w:val="00BC6908"/>
    <w:rsid w:val="00BC6939"/>
    <w:rsid w:val="00BC6990"/>
    <w:rsid w:val="00BC6A57"/>
    <w:rsid w:val="00BC6A74"/>
    <w:rsid w:val="00BC6B0E"/>
    <w:rsid w:val="00BC6B14"/>
    <w:rsid w:val="00BC6B17"/>
    <w:rsid w:val="00BC6C66"/>
    <w:rsid w:val="00BC6CBC"/>
    <w:rsid w:val="00BC701E"/>
    <w:rsid w:val="00BC702B"/>
    <w:rsid w:val="00BC70F6"/>
    <w:rsid w:val="00BC724D"/>
    <w:rsid w:val="00BC72F0"/>
    <w:rsid w:val="00BC7355"/>
    <w:rsid w:val="00BC7451"/>
    <w:rsid w:val="00BC76FE"/>
    <w:rsid w:val="00BC772F"/>
    <w:rsid w:val="00BC77DB"/>
    <w:rsid w:val="00BC78C7"/>
    <w:rsid w:val="00BC7A6F"/>
    <w:rsid w:val="00BC7A8D"/>
    <w:rsid w:val="00BC7C60"/>
    <w:rsid w:val="00BC7DC0"/>
    <w:rsid w:val="00BC7E24"/>
    <w:rsid w:val="00BC7E3B"/>
    <w:rsid w:val="00BC7E44"/>
    <w:rsid w:val="00BC7E8E"/>
    <w:rsid w:val="00BC7EC6"/>
    <w:rsid w:val="00BD004E"/>
    <w:rsid w:val="00BD00E7"/>
    <w:rsid w:val="00BD032E"/>
    <w:rsid w:val="00BD04E3"/>
    <w:rsid w:val="00BD054C"/>
    <w:rsid w:val="00BD05F7"/>
    <w:rsid w:val="00BD0647"/>
    <w:rsid w:val="00BD0654"/>
    <w:rsid w:val="00BD069F"/>
    <w:rsid w:val="00BD08CA"/>
    <w:rsid w:val="00BD09A1"/>
    <w:rsid w:val="00BD0A1A"/>
    <w:rsid w:val="00BD0A75"/>
    <w:rsid w:val="00BD0B5B"/>
    <w:rsid w:val="00BD0BE1"/>
    <w:rsid w:val="00BD0BE7"/>
    <w:rsid w:val="00BD0E5C"/>
    <w:rsid w:val="00BD0F35"/>
    <w:rsid w:val="00BD0F87"/>
    <w:rsid w:val="00BD12E8"/>
    <w:rsid w:val="00BD14CE"/>
    <w:rsid w:val="00BD14D0"/>
    <w:rsid w:val="00BD16F6"/>
    <w:rsid w:val="00BD18B0"/>
    <w:rsid w:val="00BD191D"/>
    <w:rsid w:val="00BD1A64"/>
    <w:rsid w:val="00BD1B3D"/>
    <w:rsid w:val="00BD1B84"/>
    <w:rsid w:val="00BD1CB4"/>
    <w:rsid w:val="00BD1CD0"/>
    <w:rsid w:val="00BD1E00"/>
    <w:rsid w:val="00BD1E70"/>
    <w:rsid w:val="00BD1EC4"/>
    <w:rsid w:val="00BD1F3D"/>
    <w:rsid w:val="00BD203E"/>
    <w:rsid w:val="00BD21BF"/>
    <w:rsid w:val="00BD21F8"/>
    <w:rsid w:val="00BD238F"/>
    <w:rsid w:val="00BD24AD"/>
    <w:rsid w:val="00BD26B5"/>
    <w:rsid w:val="00BD26BE"/>
    <w:rsid w:val="00BD26CB"/>
    <w:rsid w:val="00BD280B"/>
    <w:rsid w:val="00BD28CA"/>
    <w:rsid w:val="00BD2903"/>
    <w:rsid w:val="00BD2970"/>
    <w:rsid w:val="00BD298B"/>
    <w:rsid w:val="00BD2A64"/>
    <w:rsid w:val="00BD2A8F"/>
    <w:rsid w:val="00BD2AF3"/>
    <w:rsid w:val="00BD2DB6"/>
    <w:rsid w:val="00BD2FD2"/>
    <w:rsid w:val="00BD30D4"/>
    <w:rsid w:val="00BD30F5"/>
    <w:rsid w:val="00BD315F"/>
    <w:rsid w:val="00BD34D3"/>
    <w:rsid w:val="00BD34F1"/>
    <w:rsid w:val="00BD3562"/>
    <w:rsid w:val="00BD35B7"/>
    <w:rsid w:val="00BD35C8"/>
    <w:rsid w:val="00BD3659"/>
    <w:rsid w:val="00BD3664"/>
    <w:rsid w:val="00BD36B1"/>
    <w:rsid w:val="00BD3720"/>
    <w:rsid w:val="00BD3768"/>
    <w:rsid w:val="00BD388B"/>
    <w:rsid w:val="00BD38C8"/>
    <w:rsid w:val="00BD39A9"/>
    <w:rsid w:val="00BD3C37"/>
    <w:rsid w:val="00BD3DB0"/>
    <w:rsid w:val="00BD3E68"/>
    <w:rsid w:val="00BD3E81"/>
    <w:rsid w:val="00BD4067"/>
    <w:rsid w:val="00BD4169"/>
    <w:rsid w:val="00BD4189"/>
    <w:rsid w:val="00BD418C"/>
    <w:rsid w:val="00BD4382"/>
    <w:rsid w:val="00BD445B"/>
    <w:rsid w:val="00BD468E"/>
    <w:rsid w:val="00BD47FB"/>
    <w:rsid w:val="00BD4889"/>
    <w:rsid w:val="00BD4954"/>
    <w:rsid w:val="00BD4AA7"/>
    <w:rsid w:val="00BD4B4A"/>
    <w:rsid w:val="00BD4C5B"/>
    <w:rsid w:val="00BD4E38"/>
    <w:rsid w:val="00BD4E3E"/>
    <w:rsid w:val="00BD4F3F"/>
    <w:rsid w:val="00BD5094"/>
    <w:rsid w:val="00BD50AE"/>
    <w:rsid w:val="00BD51B5"/>
    <w:rsid w:val="00BD5388"/>
    <w:rsid w:val="00BD53C7"/>
    <w:rsid w:val="00BD551C"/>
    <w:rsid w:val="00BD5764"/>
    <w:rsid w:val="00BD59E8"/>
    <w:rsid w:val="00BD5ADF"/>
    <w:rsid w:val="00BD5B0C"/>
    <w:rsid w:val="00BD5B8E"/>
    <w:rsid w:val="00BD5BD8"/>
    <w:rsid w:val="00BD5BF3"/>
    <w:rsid w:val="00BD5C42"/>
    <w:rsid w:val="00BD5C4D"/>
    <w:rsid w:val="00BD5C90"/>
    <w:rsid w:val="00BD5CA3"/>
    <w:rsid w:val="00BD5CB2"/>
    <w:rsid w:val="00BD5E1D"/>
    <w:rsid w:val="00BD5EFA"/>
    <w:rsid w:val="00BD60B6"/>
    <w:rsid w:val="00BD619D"/>
    <w:rsid w:val="00BD633A"/>
    <w:rsid w:val="00BD6359"/>
    <w:rsid w:val="00BD63B6"/>
    <w:rsid w:val="00BD63F5"/>
    <w:rsid w:val="00BD6661"/>
    <w:rsid w:val="00BD6710"/>
    <w:rsid w:val="00BD68C0"/>
    <w:rsid w:val="00BD691A"/>
    <w:rsid w:val="00BD6A00"/>
    <w:rsid w:val="00BD6A4A"/>
    <w:rsid w:val="00BD6B36"/>
    <w:rsid w:val="00BD6B9B"/>
    <w:rsid w:val="00BD6D9B"/>
    <w:rsid w:val="00BD6FA2"/>
    <w:rsid w:val="00BD6FE2"/>
    <w:rsid w:val="00BD702C"/>
    <w:rsid w:val="00BD70A3"/>
    <w:rsid w:val="00BD70C5"/>
    <w:rsid w:val="00BD714C"/>
    <w:rsid w:val="00BD7189"/>
    <w:rsid w:val="00BD72E3"/>
    <w:rsid w:val="00BD7372"/>
    <w:rsid w:val="00BD7431"/>
    <w:rsid w:val="00BD7500"/>
    <w:rsid w:val="00BD7515"/>
    <w:rsid w:val="00BD7559"/>
    <w:rsid w:val="00BD7586"/>
    <w:rsid w:val="00BD7638"/>
    <w:rsid w:val="00BD76D6"/>
    <w:rsid w:val="00BD772F"/>
    <w:rsid w:val="00BD7779"/>
    <w:rsid w:val="00BD7948"/>
    <w:rsid w:val="00BD7975"/>
    <w:rsid w:val="00BD79A1"/>
    <w:rsid w:val="00BD7AEA"/>
    <w:rsid w:val="00BD7B04"/>
    <w:rsid w:val="00BD7B09"/>
    <w:rsid w:val="00BD7BCD"/>
    <w:rsid w:val="00BD7D86"/>
    <w:rsid w:val="00BD7DCC"/>
    <w:rsid w:val="00BE01C0"/>
    <w:rsid w:val="00BE0206"/>
    <w:rsid w:val="00BE0219"/>
    <w:rsid w:val="00BE02AA"/>
    <w:rsid w:val="00BE03EA"/>
    <w:rsid w:val="00BE04BA"/>
    <w:rsid w:val="00BE0559"/>
    <w:rsid w:val="00BE07C0"/>
    <w:rsid w:val="00BE0827"/>
    <w:rsid w:val="00BE088B"/>
    <w:rsid w:val="00BE0925"/>
    <w:rsid w:val="00BE096B"/>
    <w:rsid w:val="00BE0A00"/>
    <w:rsid w:val="00BE0A54"/>
    <w:rsid w:val="00BE0BCE"/>
    <w:rsid w:val="00BE0C0A"/>
    <w:rsid w:val="00BE0C51"/>
    <w:rsid w:val="00BE0E90"/>
    <w:rsid w:val="00BE0ED3"/>
    <w:rsid w:val="00BE0EEE"/>
    <w:rsid w:val="00BE0F22"/>
    <w:rsid w:val="00BE0F3E"/>
    <w:rsid w:val="00BE0FA4"/>
    <w:rsid w:val="00BE102D"/>
    <w:rsid w:val="00BE1031"/>
    <w:rsid w:val="00BE10E9"/>
    <w:rsid w:val="00BE1138"/>
    <w:rsid w:val="00BE1158"/>
    <w:rsid w:val="00BE116C"/>
    <w:rsid w:val="00BE1271"/>
    <w:rsid w:val="00BE129E"/>
    <w:rsid w:val="00BE12DD"/>
    <w:rsid w:val="00BE12FC"/>
    <w:rsid w:val="00BE143E"/>
    <w:rsid w:val="00BE1489"/>
    <w:rsid w:val="00BE1551"/>
    <w:rsid w:val="00BE15A9"/>
    <w:rsid w:val="00BE15C0"/>
    <w:rsid w:val="00BE1772"/>
    <w:rsid w:val="00BE1790"/>
    <w:rsid w:val="00BE1845"/>
    <w:rsid w:val="00BE18C6"/>
    <w:rsid w:val="00BE1A2C"/>
    <w:rsid w:val="00BE1C5A"/>
    <w:rsid w:val="00BE1CB7"/>
    <w:rsid w:val="00BE1CD8"/>
    <w:rsid w:val="00BE1CDD"/>
    <w:rsid w:val="00BE1D2D"/>
    <w:rsid w:val="00BE1E92"/>
    <w:rsid w:val="00BE1F12"/>
    <w:rsid w:val="00BE1F1B"/>
    <w:rsid w:val="00BE20B1"/>
    <w:rsid w:val="00BE2243"/>
    <w:rsid w:val="00BE23B4"/>
    <w:rsid w:val="00BE24A3"/>
    <w:rsid w:val="00BE24F3"/>
    <w:rsid w:val="00BE26D6"/>
    <w:rsid w:val="00BE282B"/>
    <w:rsid w:val="00BE297F"/>
    <w:rsid w:val="00BE29FE"/>
    <w:rsid w:val="00BE2AA8"/>
    <w:rsid w:val="00BE2BA0"/>
    <w:rsid w:val="00BE2BD5"/>
    <w:rsid w:val="00BE2CF8"/>
    <w:rsid w:val="00BE2D15"/>
    <w:rsid w:val="00BE2D54"/>
    <w:rsid w:val="00BE2E27"/>
    <w:rsid w:val="00BE2FEA"/>
    <w:rsid w:val="00BE31E3"/>
    <w:rsid w:val="00BE3260"/>
    <w:rsid w:val="00BE32A4"/>
    <w:rsid w:val="00BE32D5"/>
    <w:rsid w:val="00BE3590"/>
    <w:rsid w:val="00BE35EB"/>
    <w:rsid w:val="00BE399F"/>
    <w:rsid w:val="00BE3AAF"/>
    <w:rsid w:val="00BE3C8A"/>
    <w:rsid w:val="00BE3CED"/>
    <w:rsid w:val="00BE3F22"/>
    <w:rsid w:val="00BE3FB3"/>
    <w:rsid w:val="00BE3FE8"/>
    <w:rsid w:val="00BE415D"/>
    <w:rsid w:val="00BE417D"/>
    <w:rsid w:val="00BE4246"/>
    <w:rsid w:val="00BE43A1"/>
    <w:rsid w:val="00BE444F"/>
    <w:rsid w:val="00BE445A"/>
    <w:rsid w:val="00BE44B2"/>
    <w:rsid w:val="00BE45E3"/>
    <w:rsid w:val="00BE4624"/>
    <w:rsid w:val="00BE4861"/>
    <w:rsid w:val="00BE48DA"/>
    <w:rsid w:val="00BE48F1"/>
    <w:rsid w:val="00BE49B1"/>
    <w:rsid w:val="00BE4E16"/>
    <w:rsid w:val="00BE4E59"/>
    <w:rsid w:val="00BE4F2D"/>
    <w:rsid w:val="00BE4F8B"/>
    <w:rsid w:val="00BE5048"/>
    <w:rsid w:val="00BE5059"/>
    <w:rsid w:val="00BE508B"/>
    <w:rsid w:val="00BE5379"/>
    <w:rsid w:val="00BE543A"/>
    <w:rsid w:val="00BE54E1"/>
    <w:rsid w:val="00BE5538"/>
    <w:rsid w:val="00BE5565"/>
    <w:rsid w:val="00BE559B"/>
    <w:rsid w:val="00BE5658"/>
    <w:rsid w:val="00BE5840"/>
    <w:rsid w:val="00BE58C0"/>
    <w:rsid w:val="00BE5926"/>
    <w:rsid w:val="00BE599E"/>
    <w:rsid w:val="00BE5A22"/>
    <w:rsid w:val="00BE5B53"/>
    <w:rsid w:val="00BE5DA0"/>
    <w:rsid w:val="00BE5F10"/>
    <w:rsid w:val="00BE5FAB"/>
    <w:rsid w:val="00BE6014"/>
    <w:rsid w:val="00BE6024"/>
    <w:rsid w:val="00BE6061"/>
    <w:rsid w:val="00BE60D2"/>
    <w:rsid w:val="00BE6220"/>
    <w:rsid w:val="00BE6352"/>
    <w:rsid w:val="00BE63B9"/>
    <w:rsid w:val="00BE664F"/>
    <w:rsid w:val="00BE6AC7"/>
    <w:rsid w:val="00BE6B37"/>
    <w:rsid w:val="00BE6F7A"/>
    <w:rsid w:val="00BE7117"/>
    <w:rsid w:val="00BE713D"/>
    <w:rsid w:val="00BE7220"/>
    <w:rsid w:val="00BE7304"/>
    <w:rsid w:val="00BE7315"/>
    <w:rsid w:val="00BE748D"/>
    <w:rsid w:val="00BE764F"/>
    <w:rsid w:val="00BE767B"/>
    <w:rsid w:val="00BE77CF"/>
    <w:rsid w:val="00BE7C09"/>
    <w:rsid w:val="00BE7C21"/>
    <w:rsid w:val="00BE7C7B"/>
    <w:rsid w:val="00BE7D12"/>
    <w:rsid w:val="00BE7D65"/>
    <w:rsid w:val="00BE7D81"/>
    <w:rsid w:val="00BE7ED0"/>
    <w:rsid w:val="00BF0039"/>
    <w:rsid w:val="00BF015E"/>
    <w:rsid w:val="00BF0312"/>
    <w:rsid w:val="00BF0410"/>
    <w:rsid w:val="00BF04ED"/>
    <w:rsid w:val="00BF050A"/>
    <w:rsid w:val="00BF058C"/>
    <w:rsid w:val="00BF05F0"/>
    <w:rsid w:val="00BF061D"/>
    <w:rsid w:val="00BF0661"/>
    <w:rsid w:val="00BF07A1"/>
    <w:rsid w:val="00BF07E9"/>
    <w:rsid w:val="00BF07F0"/>
    <w:rsid w:val="00BF084C"/>
    <w:rsid w:val="00BF08E3"/>
    <w:rsid w:val="00BF09E8"/>
    <w:rsid w:val="00BF0A05"/>
    <w:rsid w:val="00BF0A07"/>
    <w:rsid w:val="00BF0A5E"/>
    <w:rsid w:val="00BF0C61"/>
    <w:rsid w:val="00BF0D4E"/>
    <w:rsid w:val="00BF0DC4"/>
    <w:rsid w:val="00BF0EB3"/>
    <w:rsid w:val="00BF0F52"/>
    <w:rsid w:val="00BF0F5C"/>
    <w:rsid w:val="00BF11C3"/>
    <w:rsid w:val="00BF1447"/>
    <w:rsid w:val="00BF15D3"/>
    <w:rsid w:val="00BF16AF"/>
    <w:rsid w:val="00BF175E"/>
    <w:rsid w:val="00BF17A1"/>
    <w:rsid w:val="00BF17C0"/>
    <w:rsid w:val="00BF190A"/>
    <w:rsid w:val="00BF19AD"/>
    <w:rsid w:val="00BF1C82"/>
    <w:rsid w:val="00BF1CB4"/>
    <w:rsid w:val="00BF1DE1"/>
    <w:rsid w:val="00BF1E37"/>
    <w:rsid w:val="00BF2177"/>
    <w:rsid w:val="00BF225E"/>
    <w:rsid w:val="00BF22C1"/>
    <w:rsid w:val="00BF22D0"/>
    <w:rsid w:val="00BF23AB"/>
    <w:rsid w:val="00BF24A4"/>
    <w:rsid w:val="00BF2585"/>
    <w:rsid w:val="00BF25BF"/>
    <w:rsid w:val="00BF2646"/>
    <w:rsid w:val="00BF26FA"/>
    <w:rsid w:val="00BF27AA"/>
    <w:rsid w:val="00BF286B"/>
    <w:rsid w:val="00BF28D2"/>
    <w:rsid w:val="00BF29AB"/>
    <w:rsid w:val="00BF2A9A"/>
    <w:rsid w:val="00BF2AA9"/>
    <w:rsid w:val="00BF2AC1"/>
    <w:rsid w:val="00BF2B42"/>
    <w:rsid w:val="00BF2B9E"/>
    <w:rsid w:val="00BF2C54"/>
    <w:rsid w:val="00BF2C85"/>
    <w:rsid w:val="00BF2DA6"/>
    <w:rsid w:val="00BF2E08"/>
    <w:rsid w:val="00BF2ED7"/>
    <w:rsid w:val="00BF2F3A"/>
    <w:rsid w:val="00BF3071"/>
    <w:rsid w:val="00BF3094"/>
    <w:rsid w:val="00BF3183"/>
    <w:rsid w:val="00BF33A8"/>
    <w:rsid w:val="00BF3560"/>
    <w:rsid w:val="00BF365D"/>
    <w:rsid w:val="00BF367E"/>
    <w:rsid w:val="00BF374E"/>
    <w:rsid w:val="00BF37D6"/>
    <w:rsid w:val="00BF37DB"/>
    <w:rsid w:val="00BF3C2C"/>
    <w:rsid w:val="00BF3CEC"/>
    <w:rsid w:val="00BF3D0A"/>
    <w:rsid w:val="00BF3D0F"/>
    <w:rsid w:val="00BF3DC2"/>
    <w:rsid w:val="00BF3F95"/>
    <w:rsid w:val="00BF40E7"/>
    <w:rsid w:val="00BF4158"/>
    <w:rsid w:val="00BF422D"/>
    <w:rsid w:val="00BF43FC"/>
    <w:rsid w:val="00BF4424"/>
    <w:rsid w:val="00BF44AD"/>
    <w:rsid w:val="00BF4665"/>
    <w:rsid w:val="00BF4809"/>
    <w:rsid w:val="00BF485D"/>
    <w:rsid w:val="00BF486A"/>
    <w:rsid w:val="00BF48D3"/>
    <w:rsid w:val="00BF497D"/>
    <w:rsid w:val="00BF49E1"/>
    <w:rsid w:val="00BF4BC5"/>
    <w:rsid w:val="00BF4CDC"/>
    <w:rsid w:val="00BF4D06"/>
    <w:rsid w:val="00BF4D9C"/>
    <w:rsid w:val="00BF4E51"/>
    <w:rsid w:val="00BF4EFC"/>
    <w:rsid w:val="00BF4F70"/>
    <w:rsid w:val="00BF5049"/>
    <w:rsid w:val="00BF505E"/>
    <w:rsid w:val="00BF50ED"/>
    <w:rsid w:val="00BF50F3"/>
    <w:rsid w:val="00BF5114"/>
    <w:rsid w:val="00BF52AF"/>
    <w:rsid w:val="00BF52F2"/>
    <w:rsid w:val="00BF5524"/>
    <w:rsid w:val="00BF5526"/>
    <w:rsid w:val="00BF55B7"/>
    <w:rsid w:val="00BF55CA"/>
    <w:rsid w:val="00BF5771"/>
    <w:rsid w:val="00BF5793"/>
    <w:rsid w:val="00BF5971"/>
    <w:rsid w:val="00BF59AA"/>
    <w:rsid w:val="00BF59FC"/>
    <w:rsid w:val="00BF5A5C"/>
    <w:rsid w:val="00BF5A88"/>
    <w:rsid w:val="00BF5D6F"/>
    <w:rsid w:val="00BF5DDD"/>
    <w:rsid w:val="00BF6039"/>
    <w:rsid w:val="00BF611E"/>
    <w:rsid w:val="00BF61D1"/>
    <w:rsid w:val="00BF6421"/>
    <w:rsid w:val="00BF6474"/>
    <w:rsid w:val="00BF6626"/>
    <w:rsid w:val="00BF6656"/>
    <w:rsid w:val="00BF681A"/>
    <w:rsid w:val="00BF69CC"/>
    <w:rsid w:val="00BF69FA"/>
    <w:rsid w:val="00BF6A9D"/>
    <w:rsid w:val="00BF6B31"/>
    <w:rsid w:val="00BF6BCB"/>
    <w:rsid w:val="00BF6BD4"/>
    <w:rsid w:val="00BF6C13"/>
    <w:rsid w:val="00BF6C66"/>
    <w:rsid w:val="00BF6E7E"/>
    <w:rsid w:val="00BF6FFD"/>
    <w:rsid w:val="00BF7231"/>
    <w:rsid w:val="00BF7305"/>
    <w:rsid w:val="00BF748D"/>
    <w:rsid w:val="00BF754B"/>
    <w:rsid w:val="00BF75B5"/>
    <w:rsid w:val="00BF7694"/>
    <w:rsid w:val="00BF7816"/>
    <w:rsid w:val="00BF7913"/>
    <w:rsid w:val="00BF79E2"/>
    <w:rsid w:val="00BF79F7"/>
    <w:rsid w:val="00BF7A24"/>
    <w:rsid w:val="00BF7CF8"/>
    <w:rsid w:val="00BF7CFE"/>
    <w:rsid w:val="00BF7E14"/>
    <w:rsid w:val="00BF7FC8"/>
    <w:rsid w:val="00C001AA"/>
    <w:rsid w:val="00C001E9"/>
    <w:rsid w:val="00C003A7"/>
    <w:rsid w:val="00C00416"/>
    <w:rsid w:val="00C00438"/>
    <w:rsid w:val="00C004D8"/>
    <w:rsid w:val="00C00667"/>
    <w:rsid w:val="00C00719"/>
    <w:rsid w:val="00C007A9"/>
    <w:rsid w:val="00C008A7"/>
    <w:rsid w:val="00C009C0"/>
    <w:rsid w:val="00C00A78"/>
    <w:rsid w:val="00C00AC2"/>
    <w:rsid w:val="00C00B6A"/>
    <w:rsid w:val="00C00BCE"/>
    <w:rsid w:val="00C00BD1"/>
    <w:rsid w:val="00C00C12"/>
    <w:rsid w:val="00C00CAE"/>
    <w:rsid w:val="00C00CBF"/>
    <w:rsid w:val="00C00CC2"/>
    <w:rsid w:val="00C00DAA"/>
    <w:rsid w:val="00C00ED3"/>
    <w:rsid w:val="00C0101E"/>
    <w:rsid w:val="00C01243"/>
    <w:rsid w:val="00C012A2"/>
    <w:rsid w:val="00C01322"/>
    <w:rsid w:val="00C01492"/>
    <w:rsid w:val="00C014F6"/>
    <w:rsid w:val="00C0154A"/>
    <w:rsid w:val="00C015DD"/>
    <w:rsid w:val="00C01683"/>
    <w:rsid w:val="00C016AC"/>
    <w:rsid w:val="00C016B3"/>
    <w:rsid w:val="00C016BB"/>
    <w:rsid w:val="00C016E3"/>
    <w:rsid w:val="00C01700"/>
    <w:rsid w:val="00C0177B"/>
    <w:rsid w:val="00C019D6"/>
    <w:rsid w:val="00C019F0"/>
    <w:rsid w:val="00C01AFC"/>
    <w:rsid w:val="00C01B92"/>
    <w:rsid w:val="00C01CD7"/>
    <w:rsid w:val="00C01E0C"/>
    <w:rsid w:val="00C01E19"/>
    <w:rsid w:val="00C01EA7"/>
    <w:rsid w:val="00C01EBB"/>
    <w:rsid w:val="00C02062"/>
    <w:rsid w:val="00C025BC"/>
    <w:rsid w:val="00C02660"/>
    <w:rsid w:val="00C02ACA"/>
    <w:rsid w:val="00C02B30"/>
    <w:rsid w:val="00C02B5F"/>
    <w:rsid w:val="00C02BB5"/>
    <w:rsid w:val="00C02D11"/>
    <w:rsid w:val="00C02E0C"/>
    <w:rsid w:val="00C03016"/>
    <w:rsid w:val="00C031A6"/>
    <w:rsid w:val="00C03337"/>
    <w:rsid w:val="00C03410"/>
    <w:rsid w:val="00C034DF"/>
    <w:rsid w:val="00C035F7"/>
    <w:rsid w:val="00C03660"/>
    <w:rsid w:val="00C03748"/>
    <w:rsid w:val="00C037E0"/>
    <w:rsid w:val="00C0399C"/>
    <w:rsid w:val="00C03A6E"/>
    <w:rsid w:val="00C03A73"/>
    <w:rsid w:val="00C03B26"/>
    <w:rsid w:val="00C03BB4"/>
    <w:rsid w:val="00C03C5E"/>
    <w:rsid w:val="00C03DC4"/>
    <w:rsid w:val="00C03E07"/>
    <w:rsid w:val="00C03EA1"/>
    <w:rsid w:val="00C03F14"/>
    <w:rsid w:val="00C03F20"/>
    <w:rsid w:val="00C03F60"/>
    <w:rsid w:val="00C0422A"/>
    <w:rsid w:val="00C04262"/>
    <w:rsid w:val="00C04334"/>
    <w:rsid w:val="00C043D7"/>
    <w:rsid w:val="00C04403"/>
    <w:rsid w:val="00C04438"/>
    <w:rsid w:val="00C04486"/>
    <w:rsid w:val="00C045AC"/>
    <w:rsid w:val="00C0486F"/>
    <w:rsid w:val="00C048E1"/>
    <w:rsid w:val="00C04A09"/>
    <w:rsid w:val="00C04CAF"/>
    <w:rsid w:val="00C04D24"/>
    <w:rsid w:val="00C04D41"/>
    <w:rsid w:val="00C04DF9"/>
    <w:rsid w:val="00C04E02"/>
    <w:rsid w:val="00C04EC2"/>
    <w:rsid w:val="00C04F53"/>
    <w:rsid w:val="00C04FF1"/>
    <w:rsid w:val="00C05013"/>
    <w:rsid w:val="00C05033"/>
    <w:rsid w:val="00C0518D"/>
    <w:rsid w:val="00C05193"/>
    <w:rsid w:val="00C0526B"/>
    <w:rsid w:val="00C05271"/>
    <w:rsid w:val="00C052E5"/>
    <w:rsid w:val="00C052F8"/>
    <w:rsid w:val="00C05412"/>
    <w:rsid w:val="00C0543A"/>
    <w:rsid w:val="00C0567B"/>
    <w:rsid w:val="00C056DD"/>
    <w:rsid w:val="00C057B3"/>
    <w:rsid w:val="00C057E3"/>
    <w:rsid w:val="00C0581C"/>
    <w:rsid w:val="00C058CE"/>
    <w:rsid w:val="00C0590C"/>
    <w:rsid w:val="00C05911"/>
    <w:rsid w:val="00C05A0D"/>
    <w:rsid w:val="00C05B45"/>
    <w:rsid w:val="00C05B7A"/>
    <w:rsid w:val="00C05C66"/>
    <w:rsid w:val="00C05D20"/>
    <w:rsid w:val="00C05DA7"/>
    <w:rsid w:val="00C05EAE"/>
    <w:rsid w:val="00C05F06"/>
    <w:rsid w:val="00C05F51"/>
    <w:rsid w:val="00C05FB5"/>
    <w:rsid w:val="00C06099"/>
    <w:rsid w:val="00C0612D"/>
    <w:rsid w:val="00C0619A"/>
    <w:rsid w:val="00C0620E"/>
    <w:rsid w:val="00C06425"/>
    <w:rsid w:val="00C064EB"/>
    <w:rsid w:val="00C06607"/>
    <w:rsid w:val="00C066D8"/>
    <w:rsid w:val="00C066F5"/>
    <w:rsid w:val="00C06720"/>
    <w:rsid w:val="00C06721"/>
    <w:rsid w:val="00C0674B"/>
    <w:rsid w:val="00C06893"/>
    <w:rsid w:val="00C068D9"/>
    <w:rsid w:val="00C06972"/>
    <w:rsid w:val="00C06AF9"/>
    <w:rsid w:val="00C06B16"/>
    <w:rsid w:val="00C06B27"/>
    <w:rsid w:val="00C06B67"/>
    <w:rsid w:val="00C06D3D"/>
    <w:rsid w:val="00C06D8C"/>
    <w:rsid w:val="00C0708E"/>
    <w:rsid w:val="00C070A4"/>
    <w:rsid w:val="00C07180"/>
    <w:rsid w:val="00C07218"/>
    <w:rsid w:val="00C072A9"/>
    <w:rsid w:val="00C07306"/>
    <w:rsid w:val="00C0754E"/>
    <w:rsid w:val="00C0757E"/>
    <w:rsid w:val="00C075D7"/>
    <w:rsid w:val="00C0760E"/>
    <w:rsid w:val="00C0763E"/>
    <w:rsid w:val="00C0772B"/>
    <w:rsid w:val="00C0776D"/>
    <w:rsid w:val="00C07928"/>
    <w:rsid w:val="00C0798F"/>
    <w:rsid w:val="00C07B7D"/>
    <w:rsid w:val="00C07E62"/>
    <w:rsid w:val="00C07EAF"/>
    <w:rsid w:val="00C07FA1"/>
    <w:rsid w:val="00C1006F"/>
    <w:rsid w:val="00C101DC"/>
    <w:rsid w:val="00C10301"/>
    <w:rsid w:val="00C10513"/>
    <w:rsid w:val="00C1054C"/>
    <w:rsid w:val="00C105F0"/>
    <w:rsid w:val="00C10814"/>
    <w:rsid w:val="00C10820"/>
    <w:rsid w:val="00C1089C"/>
    <w:rsid w:val="00C108DE"/>
    <w:rsid w:val="00C10905"/>
    <w:rsid w:val="00C109A4"/>
    <w:rsid w:val="00C109E4"/>
    <w:rsid w:val="00C10C21"/>
    <w:rsid w:val="00C10CDD"/>
    <w:rsid w:val="00C10DCE"/>
    <w:rsid w:val="00C10DDA"/>
    <w:rsid w:val="00C10EE3"/>
    <w:rsid w:val="00C10FCE"/>
    <w:rsid w:val="00C10FF3"/>
    <w:rsid w:val="00C11184"/>
    <w:rsid w:val="00C113F0"/>
    <w:rsid w:val="00C11440"/>
    <w:rsid w:val="00C1196C"/>
    <w:rsid w:val="00C11ACA"/>
    <w:rsid w:val="00C11BA1"/>
    <w:rsid w:val="00C11BAE"/>
    <w:rsid w:val="00C11C06"/>
    <w:rsid w:val="00C11CDC"/>
    <w:rsid w:val="00C11DAC"/>
    <w:rsid w:val="00C11EDF"/>
    <w:rsid w:val="00C11FBC"/>
    <w:rsid w:val="00C120D0"/>
    <w:rsid w:val="00C12131"/>
    <w:rsid w:val="00C12197"/>
    <w:rsid w:val="00C12227"/>
    <w:rsid w:val="00C12238"/>
    <w:rsid w:val="00C122B9"/>
    <w:rsid w:val="00C122D3"/>
    <w:rsid w:val="00C1233B"/>
    <w:rsid w:val="00C123A1"/>
    <w:rsid w:val="00C124AF"/>
    <w:rsid w:val="00C12576"/>
    <w:rsid w:val="00C12594"/>
    <w:rsid w:val="00C12605"/>
    <w:rsid w:val="00C12642"/>
    <w:rsid w:val="00C1268F"/>
    <w:rsid w:val="00C126BA"/>
    <w:rsid w:val="00C1294A"/>
    <w:rsid w:val="00C12AF9"/>
    <w:rsid w:val="00C12B80"/>
    <w:rsid w:val="00C12C4D"/>
    <w:rsid w:val="00C12D5F"/>
    <w:rsid w:val="00C12DE9"/>
    <w:rsid w:val="00C12E05"/>
    <w:rsid w:val="00C12F12"/>
    <w:rsid w:val="00C12F28"/>
    <w:rsid w:val="00C12FBD"/>
    <w:rsid w:val="00C13038"/>
    <w:rsid w:val="00C130D8"/>
    <w:rsid w:val="00C130DF"/>
    <w:rsid w:val="00C131D7"/>
    <w:rsid w:val="00C133CE"/>
    <w:rsid w:val="00C133EC"/>
    <w:rsid w:val="00C13403"/>
    <w:rsid w:val="00C13542"/>
    <w:rsid w:val="00C13583"/>
    <w:rsid w:val="00C1376C"/>
    <w:rsid w:val="00C138B6"/>
    <w:rsid w:val="00C1392B"/>
    <w:rsid w:val="00C13A82"/>
    <w:rsid w:val="00C13AB9"/>
    <w:rsid w:val="00C13CED"/>
    <w:rsid w:val="00C13D2A"/>
    <w:rsid w:val="00C13D81"/>
    <w:rsid w:val="00C13D82"/>
    <w:rsid w:val="00C13D84"/>
    <w:rsid w:val="00C13E7B"/>
    <w:rsid w:val="00C13ECD"/>
    <w:rsid w:val="00C1400F"/>
    <w:rsid w:val="00C14186"/>
    <w:rsid w:val="00C141C7"/>
    <w:rsid w:val="00C14309"/>
    <w:rsid w:val="00C14524"/>
    <w:rsid w:val="00C145AC"/>
    <w:rsid w:val="00C1469A"/>
    <w:rsid w:val="00C14796"/>
    <w:rsid w:val="00C147D8"/>
    <w:rsid w:val="00C1480C"/>
    <w:rsid w:val="00C1483B"/>
    <w:rsid w:val="00C149EF"/>
    <w:rsid w:val="00C14A70"/>
    <w:rsid w:val="00C14AB5"/>
    <w:rsid w:val="00C14B6D"/>
    <w:rsid w:val="00C14BEC"/>
    <w:rsid w:val="00C14CCC"/>
    <w:rsid w:val="00C14E24"/>
    <w:rsid w:val="00C14E39"/>
    <w:rsid w:val="00C14E50"/>
    <w:rsid w:val="00C14E7E"/>
    <w:rsid w:val="00C14F94"/>
    <w:rsid w:val="00C1504D"/>
    <w:rsid w:val="00C1528A"/>
    <w:rsid w:val="00C152CF"/>
    <w:rsid w:val="00C152DE"/>
    <w:rsid w:val="00C15325"/>
    <w:rsid w:val="00C1566B"/>
    <w:rsid w:val="00C1568D"/>
    <w:rsid w:val="00C1569A"/>
    <w:rsid w:val="00C157B3"/>
    <w:rsid w:val="00C1585A"/>
    <w:rsid w:val="00C15888"/>
    <w:rsid w:val="00C15902"/>
    <w:rsid w:val="00C15938"/>
    <w:rsid w:val="00C15ACA"/>
    <w:rsid w:val="00C15CBF"/>
    <w:rsid w:val="00C15CDA"/>
    <w:rsid w:val="00C15F00"/>
    <w:rsid w:val="00C15F71"/>
    <w:rsid w:val="00C1600A"/>
    <w:rsid w:val="00C16069"/>
    <w:rsid w:val="00C1609A"/>
    <w:rsid w:val="00C160F3"/>
    <w:rsid w:val="00C16258"/>
    <w:rsid w:val="00C1631B"/>
    <w:rsid w:val="00C16534"/>
    <w:rsid w:val="00C1656E"/>
    <w:rsid w:val="00C16671"/>
    <w:rsid w:val="00C167C4"/>
    <w:rsid w:val="00C16830"/>
    <w:rsid w:val="00C1684E"/>
    <w:rsid w:val="00C16871"/>
    <w:rsid w:val="00C16928"/>
    <w:rsid w:val="00C16953"/>
    <w:rsid w:val="00C169C6"/>
    <w:rsid w:val="00C169D8"/>
    <w:rsid w:val="00C16BC7"/>
    <w:rsid w:val="00C16C89"/>
    <w:rsid w:val="00C16CC4"/>
    <w:rsid w:val="00C16D97"/>
    <w:rsid w:val="00C16DBD"/>
    <w:rsid w:val="00C16E5A"/>
    <w:rsid w:val="00C16F34"/>
    <w:rsid w:val="00C16FB5"/>
    <w:rsid w:val="00C17009"/>
    <w:rsid w:val="00C17072"/>
    <w:rsid w:val="00C170D2"/>
    <w:rsid w:val="00C1710A"/>
    <w:rsid w:val="00C17129"/>
    <w:rsid w:val="00C171C9"/>
    <w:rsid w:val="00C17282"/>
    <w:rsid w:val="00C172A8"/>
    <w:rsid w:val="00C172B5"/>
    <w:rsid w:val="00C172C3"/>
    <w:rsid w:val="00C17431"/>
    <w:rsid w:val="00C17459"/>
    <w:rsid w:val="00C1745A"/>
    <w:rsid w:val="00C1756B"/>
    <w:rsid w:val="00C177DF"/>
    <w:rsid w:val="00C178CD"/>
    <w:rsid w:val="00C17A4F"/>
    <w:rsid w:val="00C17B5D"/>
    <w:rsid w:val="00C17CC6"/>
    <w:rsid w:val="00C17CDD"/>
    <w:rsid w:val="00C17D53"/>
    <w:rsid w:val="00C17E21"/>
    <w:rsid w:val="00C17E75"/>
    <w:rsid w:val="00C17EC6"/>
    <w:rsid w:val="00C17F48"/>
    <w:rsid w:val="00C17F67"/>
    <w:rsid w:val="00C20084"/>
    <w:rsid w:val="00C20100"/>
    <w:rsid w:val="00C20176"/>
    <w:rsid w:val="00C20214"/>
    <w:rsid w:val="00C20313"/>
    <w:rsid w:val="00C2035E"/>
    <w:rsid w:val="00C203DF"/>
    <w:rsid w:val="00C2045C"/>
    <w:rsid w:val="00C2046E"/>
    <w:rsid w:val="00C2056C"/>
    <w:rsid w:val="00C207E7"/>
    <w:rsid w:val="00C20918"/>
    <w:rsid w:val="00C20AC9"/>
    <w:rsid w:val="00C20B36"/>
    <w:rsid w:val="00C20B59"/>
    <w:rsid w:val="00C20B69"/>
    <w:rsid w:val="00C20B90"/>
    <w:rsid w:val="00C20BF1"/>
    <w:rsid w:val="00C20CCA"/>
    <w:rsid w:val="00C20CD4"/>
    <w:rsid w:val="00C20D59"/>
    <w:rsid w:val="00C20D68"/>
    <w:rsid w:val="00C20E44"/>
    <w:rsid w:val="00C20EF9"/>
    <w:rsid w:val="00C20F1D"/>
    <w:rsid w:val="00C20FBD"/>
    <w:rsid w:val="00C21004"/>
    <w:rsid w:val="00C2103F"/>
    <w:rsid w:val="00C21382"/>
    <w:rsid w:val="00C2144F"/>
    <w:rsid w:val="00C214E0"/>
    <w:rsid w:val="00C2153B"/>
    <w:rsid w:val="00C21551"/>
    <w:rsid w:val="00C2155F"/>
    <w:rsid w:val="00C215E6"/>
    <w:rsid w:val="00C21718"/>
    <w:rsid w:val="00C218E2"/>
    <w:rsid w:val="00C219C0"/>
    <w:rsid w:val="00C21A6E"/>
    <w:rsid w:val="00C21ABA"/>
    <w:rsid w:val="00C21B5D"/>
    <w:rsid w:val="00C21B79"/>
    <w:rsid w:val="00C21CC2"/>
    <w:rsid w:val="00C21E55"/>
    <w:rsid w:val="00C21E90"/>
    <w:rsid w:val="00C21F26"/>
    <w:rsid w:val="00C21FE4"/>
    <w:rsid w:val="00C220BB"/>
    <w:rsid w:val="00C2213E"/>
    <w:rsid w:val="00C22203"/>
    <w:rsid w:val="00C224BD"/>
    <w:rsid w:val="00C224C7"/>
    <w:rsid w:val="00C22544"/>
    <w:rsid w:val="00C225B8"/>
    <w:rsid w:val="00C225F1"/>
    <w:rsid w:val="00C225F4"/>
    <w:rsid w:val="00C225FF"/>
    <w:rsid w:val="00C226BD"/>
    <w:rsid w:val="00C228D2"/>
    <w:rsid w:val="00C22922"/>
    <w:rsid w:val="00C2296C"/>
    <w:rsid w:val="00C22B0B"/>
    <w:rsid w:val="00C22C0C"/>
    <w:rsid w:val="00C22CE7"/>
    <w:rsid w:val="00C22CEB"/>
    <w:rsid w:val="00C22D96"/>
    <w:rsid w:val="00C22E06"/>
    <w:rsid w:val="00C22E5F"/>
    <w:rsid w:val="00C22E81"/>
    <w:rsid w:val="00C230DC"/>
    <w:rsid w:val="00C2318F"/>
    <w:rsid w:val="00C2328C"/>
    <w:rsid w:val="00C23343"/>
    <w:rsid w:val="00C233A3"/>
    <w:rsid w:val="00C234E2"/>
    <w:rsid w:val="00C23524"/>
    <w:rsid w:val="00C23669"/>
    <w:rsid w:val="00C236CE"/>
    <w:rsid w:val="00C23744"/>
    <w:rsid w:val="00C238B6"/>
    <w:rsid w:val="00C23991"/>
    <w:rsid w:val="00C23AE1"/>
    <w:rsid w:val="00C23B11"/>
    <w:rsid w:val="00C23D8B"/>
    <w:rsid w:val="00C23E01"/>
    <w:rsid w:val="00C23E74"/>
    <w:rsid w:val="00C23F87"/>
    <w:rsid w:val="00C23F89"/>
    <w:rsid w:val="00C24067"/>
    <w:rsid w:val="00C2414C"/>
    <w:rsid w:val="00C241E3"/>
    <w:rsid w:val="00C241FD"/>
    <w:rsid w:val="00C243D1"/>
    <w:rsid w:val="00C24426"/>
    <w:rsid w:val="00C2445B"/>
    <w:rsid w:val="00C244EC"/>
    <w:rsid w:val="00C245B1"/>
    <w:rsid w:val="00C245D9"/>
    <w:rsid w:val="00C2461C"/>
    <w:rsid w:val="00C246CE"/>
    <w:rsid w:val="00C24730"/>
    <w:rsid w:val="00C24ACE"/>
    <w:rsid w:val="00C24B10"/>
    <w:rsid w:val="00C24BD5"/>
    <w:rsid w:val="00C24BF7"/>
    <w:rsid w:val="00C24C13"/>
    <w:rsid w:val="00C24CEF"/>
    <w:rsid w:val="00C24CF9"/>
    <w:rsid w:val="00C24E3B"/>
    <w:rsid w:val="00C24EA4"/>
    <w:rsid w:val="00C24F64"/>
    <w:rsid w:val="00C24FD0"/>
    <w:rsid w:val="00C24FF7"/>
    <w:rsid w:val="00C251A1"/>
    <w:rsid w:val="00C251E2"/>
    <w:rsid w:val="00C251F4"/>
    <w:rsid w:val="00C2523B"/>
    <w:rsid w:val="00C25255"/>
    <w:rsid w:val="00C252F9"/>
    <w:rsid w:val="00C253B4"/>
    <w:rsid w:val="00C2542D"/>
    <w:rsid w:val="00C2547E"/>
    <w:rsid w:val="00C255D7"/>
    <w:rsid w:val="00C25720"/>
    <w:rsid w:val="00C2572C"/>
    <w:rsid w:val="00C2573E"/>
    <w:rsid w:val="00C25781"/>
    <w:rsid w:val="00C258E3"/>
    <w:rsid w:val="00C2597F"/>
    <w:rsid w:val="00C25A34"/>
    <w:rsid w:val="00C25BC5"/>
    <w:rsid w:val="00C25CBB"/>
    <w:rsid w:val="00C25CFF"/>
    <w:rsid w:val="00C25DF3"/>
    <w:rsid w:val="00C25EF0"/>
    <w:rsid w:val="00C25F13"/>
    <w:rsid w:val="00C25F26"/>
    <w:rsid w:val="00C25FE8"/>
    <w:rsid w:val="00C2612C"/>
    <w:rsid w:val="00C2620E"/>
    <w:rsid w:val="00C26255"/>
    <w:rsid w:val="00C26295"/>
    <w:rsid w:val="00C262F7"/>
    <w:rsid w:val="00C26408"/>
    <w:rsid w:val="00C26412"/>
    <w:rsid w:val="00C2646C"/>
    <w:rsid w:val="00C2650C"/>
    <w:rsid w:val="00C267E8"/>
    <w:rsid w:val="00C26825"/>
    <w:rsid w:val="00C26984"/>
    <w:rsid w:val="00C269C1"/>
    <w:rsid w:val="00C26C94"/>
    <w:rsid w:val="00C26E4F"/>
    <w:rsid w:val="00C26EA4"/>
    <w:rsid w:val="00C26F07"/>
    <w:rsid w:val="00C26F4E"/>
    <w:rsid w:val="00C26FB0"/>
    <w:rsid w:val="00C26FC6"/>
    <w:rsid w:val="00C270C7"/>
    <w:rsid w:val="00C271EA"/>
    <w:rsid w:val="00C2727A"/>
    <w:rsid w:val="00C27361"/>
    <w:rsid w:val="00C27390"/>
    <w:rsid w:val="00C2748C"/>
    <w:rsid w:val="00C2754B"/>
    <w:rsid w:val="00C275ED"/>
    <w:rsid w:val="00C27724"/>
    <w:rsid w:val="00C278A4"/>
    <w:rsid w:val="00C27912"/>
    <w:rsid w:val="00C27A44"/>
    <w:rsid w:val="00C27C6A"/>
    <w:rsid w:val="00C27D67"/>
    <w:rsid w:val="00C27F0A"/>
    <w:rsid w:val="00C3009A"/>
    <w:rsid w:val="00C30105"/>
    <w:rsid w:val="00C3019E"/>
    <w:rsid w:val="00C30297"/>
    <w:rsid w:val="00C303AD"/>
    <w:rsid w:val="00C30423"/>
    <w:rsid w:val="00C304F7"/>
    <w:rsid w:val="00C30548"/>
    <w:rsid w:val="00C30639"/>
    <w:rsid w:val="00C30796"/>
    <w:rsid w:val="00C307CB"/>
    <w:rsid w:val="00C307DC"/>
    <w:rsid w:val="00C3082B"/>
    <w:rsid w:val="00C30858"/>
    <w:rsid w:val="00C30908"/>
    <w:rsid w:val="00C3094D"/>
    <w:rsid w:val="00C30994"/>
    <w:rsid w:val="00C30AEC"/>
    <w:rsid w:val="00C30AFD"/>
    <w:rsid w:val="00C30BCB"/>
    <w:rsid w:val="00C30E76"/>
    <w:rsid w:val="00C30F6A"/>
    <w:rsid w:val="00C310C2"/>
    <w:rsid w:val="00C3116E"/>
    <w:rsid w:val="00C3127A"/>
    <w:rsid w:val="00C312B1"/>
    <w:rsid w:val="00C31321"/>
    <w:rsid w:val="00C31524"/>
    <w:rsid w:val="00C315CB"/>
    <w:rsid w:val="00C3172B"/>
    <w:rsid w:val="00C31756"/>
    <w:rsid w:val="00C3176F"/>
    <w:rsid w:val="00C31994"/>
    <w:rsid w:val="00C31B20"/>
    <w:rsid w:val="00C31D3C"/>
    <w:rsid w:val="00C31E84"/>
    <w:rsid w:val="00C31EA5"/>
    <w:rsid w:val="00C31EED"/>
    <w:rsid w:val="00C31FDD"/>
    <w:rsid w:val="00C31FDE"/>
    <w:rsid w:val="00C32001"/>
    <w:rsid w:val="00C320C3"/>
    <w:rsid w:val="00C320FB"/>
    <w:rsid w:val="00C3218E"/>
    <w:rsid w:val="00C322F3"/>
    <w:rsid w:val="00C324C9"/>
    <w:rsid w:val="00C324CD"/>
    <w:rsid w:val="00C324E6"/>
    <w:rsid w:val="00C32565"/>
    <w:rsid w:val="00C3270A"/>
    <w:rsid w:val="00C327FF"/>
    <w:rsid w:val="00C3280C"/>
    <w:rsid w:val="00C32954"/>
    <w:rsid w:val="00C329A2"/>
    <w:rsid w:val="00C329D4"/>
    <w:rsid w:val="00C32BC1"/>
    <w:rsid w:val="00C32C91"/>
    <w:rsid w:val="00C32EC6"/>
    <w:rsid w:val="00C330AA"/>
    <w:rsid w:val="00C330B9"/>
    <w:rsid w:val="00C3319B"/>
    <w:rsid w:val="00C33282"/>
    <w:rsid w:val="00C33445"/>
    <w:rsid w:val="00C334A5"/>
    <w:rsid w:val="00C334A6"/>
    <w:rsid w:val="00C33574"/>
    <w:rsid w:val="00C3357F"/>
    <w:rsid w:val="00C335A9"/>
    <w:rsid w:val="00C33630"/>
    <w:rsid w:val="00C337A4"/>
    <w:rsid w:val="00C33873"/>
    <w:rsid w:val="00C33878"/>
    <w:rsid w:val="00C3390F"/>
    <w:rsid w:val="00C33A53"/>
    <w:rsid w:val="00C33A80"/>
    <w:rsid w:val="00C33ADC"/>
    <w:rsid w:val="00C33B07"/>
    <w:rsid w:val="00C33C5C"/>
    <w:rsid w:val="00C33C8C"/>
    <w:rsid w:val="00C33C9E"/>
    <w:rsid w:val="00C33D13"/>
    <w:rsid w:val="00C33DF2"/>
    <w:rsid w:val="00C33ECC"/>
    <w:rsid w:val="00C33EE6"/>
    <w:rsid w:val="00C34122"/>
    <w:rsid w:val="00C341D4"/>
    <w:rsid w:val="00C3422B"/>
    <w:rsid w:val="00C34232"/>
    <w:rsid w:val="00C34286"/>
    <w:rsid w:val="00C3428F"/>
    <w:rsid w:val="00C342F4"/>
    <w:rsid w:val="00C3431D"/>
    <w:rsid w:val="00C34349"/>
    <w:rsid w:val="00C344EA"/>
    <w:rsid w:val="00C3456C"/>
    <w:rsid w:val="00C34607"/>
    <w:rsid w:val="00C347D3"/>
    <w:rsid w:val="00C347F1"/>
    <w:rsid w:val="00C34800"/>
    <w:rsid w:val="00C348B0"/>
    <w:rsid w:val="00C34919"/>
    <w:rsid w:val="00C349B1"/>
    <w:rsid w:val="00C34AAC"/>
    <w:rsid w:val="00C34B0E"/>
    <w:rsid w:val="00C34C18"/>
    <w:rsid w:val="00C34D86"/>
    <w:rsid w:val="00C34F5A"/>
    <w:rsid w:val="00C34FAA"/>
    <w:rsid w:val="00C34FD7"/>
    <w:rsid w:val="00C350B7"/>
    <w:rsid w:val="00C3521D"/>
    <w:rsid w:val="00C3524C"/>
    <w:rsid w:val="00C35304"/>
    <w:rsid w:val="00C355B1"/>
    <w:rsid w:val="00C3581B"/>
    <w:rsid w:val="00C35846"/>
    <w:rsid w:val="00C35867"/>
    <w:rsid w:val="00C3587E"/>
    <w:rsid w:val="00C358D1"/>
    <w:rsid w:val="00C35A88"/>
    <w:rsid w:val="00C35BA2"/>
    <w:rsid w:val="00C35C65"/>
    <w:rsid w:val="00C35F17"/>
    <w:rsid w:val="00C35F3A"/>
    <w:rsid w:val="00C35F76"/>
    <w:rsid w:val="00C36087"/>
    <w:rsid w:val="00C360A5"/>
    <w:rsid w:val="00C36169"/>
    <w:rsid w:val="00C363E6"/>
    <w:rsid w:val="00C36422"/>
    <w:rsid w:val="00C364E9"/>
    <w:rsid w:val="00C36639"/>
    <w:rsid w:val="00C36657"/>
    <w:rsid w:val="00C366D8"/>
    <w:rsid w:val="00C36C06"/>
    <w:rsid w:val="00C36C8D"/>
    <w:rsid w:val="00C36CB1"/>
    <w:rsid w:val="00C36CB9"/>
    <w:rsid w:val="00C36D69"/>
    <w:rsid w:val="00C36DAE"/>
    <w:rsid w:val="00C36F1F"/>
    <w:rsid w:val="00C36F53"/>
    <w:rsid w:val="00C36FC0"/>
    <w:rsid w:val="00C36FCE"/>
    <w:rsid w:val="00C37035"/>
    <w:rsid w:val="00C37298"/>
    <w:rsid w:val="00C372C5"/>
    <w:rsid w:val="00C374A8"/>
    <w:rsid w:val="00C37621"/>
    <w:rsid w:val="00C37626"/>
    <w:rsid w:val="00C377C8"/>
    <w:rsid w:val="00C37857"/>
    <w:rsid w:val="00C378DB"/>
    <w:rsid w:val="00C37B11"/>
    <w:rsid w:val="00C37B3F"/>
    <w:rsid w:val="00C37C51"/>
    <w:rsid w:val="00C37C8E"/>
    <w:rsid w:val="00C37CFB"/>
    <w:rsid w:val="00C37D0B"/>
    <w:rsid w:val="00C37D8C"/>
    <w:rsid w:val="00C37D8F"/>
    <w:rsid w:val="00C37D9D"/>
    <w:rsid w:val="00C37DBB"/>
    <w:rsid w:val="00C37E0A"/>
    <w:rsid w:val="00C37E83"/>
    <w:rsid w:val="00C37E9E"/>
    <w:rsid w:val="00C37EF5"/>
    <w:rsid w:val="00C40026"/>
    <w:rsid w:val="00C40057"/>
    <w:rsid w:val="00C40072"/>
    <w:rsid w:val="00C402FE"/>
    <w:rsid w:val="00C403FA"/>
    <w:rsid w:val="00C40533"/>
    <w:rsid w:val="00C405B3"/>
    <w:rsid w:val="00C406B5"/>
    <w:rsid w:val="00C406C9"/>
    <w:rsid w:val="00C40849"/>
    <w:rsid w:val="00C408D2"/>
    <w:rsid w:val="00C408D8"/>
    <w:rsid w:val="00C40A39"/>
    <w:rsid w:val="00C40C37"/>
    <w:rsid w:val="00C40C5F"/>
    <w:rsid w:val="00C40C6F"/>
    <w:rsid w:val="00C40D6B"/>
    <w:rsid w:val="00C40DDD"/>
    <w:rsid w:val="00C40FDA"/>
    <w:rsid w:val="00C4103E"/>
    <w:rsid w:val="00C4105C"/>
    <w:rsid w:val="00C4108C"/>
    <w:rsid w:val="00C41168"/>
    <w:rsid w:val="00C4116B"/>
    <w:rsid w:val="00C41251"/>
    <w:rsid w:val="00C412D0"/>
    <w:rsid w:val="00C41312"/>
    <w:rsid w:val="00C41328"/>
    <w:rsid w:val="00C41527"/>
    <w:rsid w:val="00C415CB"/>
    <w:rsid w:val="00C415FA"/>
    <w:rsid w:val="00C416FF"/>
    <w:rsid w:val="00C41780"/>
    <w:rsid w:val="00C4181D"/>
    <w:rsid w:val="00C41850"/>
    <w:rsid w:val="00C418F9"/>
    <w:rsid w:val="00C41A5D"/>
    <w:rsid w:val="00C41AC1"/>
    <w:rsid w:val="00C41ACD"/>
    <w:rsid w:val="00C41B3D"/>
    <w:rsid w:val="00C41BC2"/>
    <w:rsid w:val="00C41C68"/>
    <w:rsid w:val="00C41C9F"/>
    <w:rsid w:val="00C41E62"/>
    <w:rsid w:val="00C41EC9"/>
    <w:rsid w:val="00C41EE4"/>
    <w:rsid w:val="00C42008"/>
    <w:rsid w:val="00C42188"/>
    <w:rsid w:val="00C4224C"/>
    <w:rsid w:val="00C42336"/>
    <w:rsid w:val="00C423B4"/>
    <w:rsid w:val="00C424D6"/>
    <w:rsid w:val="00C4258E"/>
    <w:rsid w:val="00C42795"/>
    <w:rsid w:val="00C428BA"/>
    <w:rsid w:val="00C4291D"/>
    <w:rsid w:val="00C4293B"/>
    <w:rsid w:val="00C4295C"/>
    <w:rsid w:val="00C429C3"/>
    <w:rsid w:val="00C42A19"/>
    <w:rsid w:val="00C42D53"/>
    <w:rsid w:val="00C42DC2"/>
    <w:rsid w:val="00C42DCC"/>
    <w:rsid w:val="00C42E3B"/>
    <w:rsid w:val="00C42E64"/>
    <w:rsid w:val="00C42F62"/>
    <w:rsid w:val="00C43027"/>
    <w:rsid w:val="00C43205"/>
    <w:rsid w:val="00C432E8"/>
    <w:rsid w:val="00C43396"/>
    <w:rsid w:val="00C43568"/>
    <w:rsid w:val="00C4361C"/>
    <w:rsid w:val="00C436CC"/>
    <w:rsid w:val="00C4372F"/>
    <w:rsid w:val="00C4379B"/>
    <w:rsid w:val="00C437D5"/>
    <w:rsid w:val="00C4395B"/>
    <w:rsid w:val="00C43961"/>
    <w:rsid w:val="00C439CA"/>
    <w:rsid w:val="00C43A00"/>
    <w:rsid w:val="00C43A64"/>
    <w:rsid w:val="00C43BB5"/>
    <w:rsid w:val="00C43E56"/>
    <w:rsid w:val="00C44053"/>
    <w:rsid w:val="00C44237"/>
    <w:rsid w:val="00C44251"/>
    <w:rsid w:val="00C4437D"/>
    <w:rsid w:val="00C44427"/>
    <w:rsid w:val="00C4452A"/>
    <w:rsid w:val="00C44860"/>
    <w:rsid w:val="00C4486F"/>
    <w:rsid w:val="00C448AF"/>
    <w:rsid w:val="00C449A6"/>
    <w:rsid w:val="00C44A57"/>
    <w:rsid w:val="00C44A5A"/>
    <w:rsid w:val="00C44AA1"/>
    <w:rsid w:val="00C44B8C"/>
    <w:rsid w:val="00C44C00"/>
    <w:rsid w:val="00C44C37"/>
    <w:rsid w:val="00C44D46"/>
    <w:rsid w:val="00C44D8F"/>
    <w:rsid w:val="00C44F4D"/>
    <w:rsid w:val="00C44F4E"/>
    <w:rsid w:val="00C45092"/>
    <w:rsid w:val="00C450DF"/>
    <w:rsid w:val="00C451B8"/>
    <w:rsid w:val="00C451F7"/>
    <w:rsid w:val="00C45260"/>
    <w:rsid w:val="00C45272"/>
    <w:rsid w:val="00C453DB"/>
    <w:rsid w:val="00C454E8"/>
    <w:rsid w:val="00C45555"/>
    <w:rsid w:val="00C456E3"/>
    <w:rsid w:val="00C457AB"/>
    <w:rsid w:val="00C458D6"/>
    <w:rsid w:val="00C45939"/>
    <w:rsid w:val="00C4595A"/>
    <w:rsid w:val="00C459AB"/>
    <w:rsid w:val="00C45A2F"/>
    <w:rsid w:val="00C45B28"/>
    <w:rsid w:val="00C45B78"/>
    <w:rsid w:val="00C45BC9"/>
    <w:rsid w:val="00C45E17"/>
    <w:rsid w:val="00C45F08"/>
    <w:rsid w:val="00C45F2B"/>
    <w:rsid w:val="00C45F4D"/>
    <w:rsid w:val="00C461C0"/>
    <w:rsid w:val="00C462F2"/>
    <w:rsid w:val="00C462F5"/>
    <w:rsid w:val="00C463A6"/>
    <w:rsid w:val="00C463DE"/>
    <w:rsid w:val="00C4655E"/>
    <w:rsid w:val="00C4664A"/>
    <w:rsid w:val="00C466A6"/>
    <w:rsid w:val="00C466DB"/>
    <w:rsid w:val="00C46748"/>
    <w:rsid w:val="00C467F4"/>
    <w:rsid w:val="00C4683B"/>
    <w:rsid w:val="00C46868"/>
    <w:rsid w:val="00C46905"/>
    <w:rsid w:val="00C46980"/>
    <w:rsid w:val="00C46A4A"/>
    <w:rsid w:val="00C46A7C"/>
    <w:rsid w:val="00C46B52"/>
    <w:rsid w:val="00C46C25"/>
    <w:rsid w:val="00C46CBE"/>
    <w:rsid w:val="00C46D0C"/>
    <w:rsid w:val="00C46DBD"/>
    <w:rsid w:val="00C46E15"/>
    <w:rsid w:val="00C46EA3"/>
    <w:rsid w:val="00C46F14"/>
    <w:rsid w:val="00C470B9"/>
    <w:rsid w:val="00C470E7"/>
    <w:rsid w:val="00C47192"/>
    <w:rsid w:val="00C47449"/>
    <w:rsid w:val="00C476F6"/>
    <w:rsid w:val="00C4774A"/>
    <w:rsid w:val="00C47896"/>
    <w:rsid w:val="00C478E2"/>
    <w:rsid w:val="00C4791D"/>
    <w:rsid w:val="00C479E8"/>
    <w:rsid w:val="00C47B41"/>
    <w:rsid w:val="00C47B42"/>
    <w:rsid w:val="00C47B92"/>
    <w:rsid w:val="00C47BED"/>
    <w:rsid w:val="00C47C17"/>
    <w:rsid w:val="00C47CA2"/>
    <w:rsid w:val="00C47E19"/>
    <w:rsid w:val="00C47E74"/>
    <w:rsid w:val="00C47EB8"/>
    <w:rsid w:val="00C47EFB"/>
    <w:rsid w:val="00C50075"/>
    <w:rsid w:val="00C501F3"/>
    <w:rsid w:val="00C50314"/>
    <w:rsid w:val="00C50410"/>
    <w:rsid w:val="00C5061B"/>
    <w:rsid w:val="00C50668"/>
    <w:rsid w:val="00C50798"/>
    <w:rsid w:val="00C5082F"/>
    <w:rsid w:val="00C5083B"/>
    <w:rsid w:val="00C5087C"/>
    <w:rsid w:val="00C50A23"/>
    <w:rsid w:val="00C50A67"/>
    <w:rsid w:val="00C50AB3"/>
    <w:rsid w:val="00C50B1D"/>
    <w:rsid w:val="00C50B55"/>
    <w:rsid w:val="00C50C1D"/>
    <w:rsid w:val="00C50D36"/>
    <w:rsid w:val="00C50D74"/>
    <w:rsid w:val="00C50D7D"/>
    <w:rsid w:val="00C50DD8"/>
    <w:rsid w:val="00C50DF7"/>
    <w:rsid w:val="00C50E54"/>
    <w:rsid w:val="00C50F60"/>
    <w:rsid w:val="00C51096"/>
    <w:rsid w:val="00C51183"/>
    <w:rsid w:val="00C51250"/>
    <w:rsid w:val="00C512C2"/>
    <w:rsid w:val="00C5139F"/>
    <w:rsid w:val="00C513A6"/>
    <w:rsid w:val="00C51405"/>
    <w:rsid w:val="00C5165C"/>
    <w:rsid w:val="00C5175D"/>
    <w:rsid w:val="00C5198C"/>
    <w:rsid w:val="00C51A71"/>
    <w:rsid w:val="00C51CC2"/>
    <w:rsid w:val="00C51E00"/>
    <w:rsid w:val="00C51F82"/>
    <w:rsid w:val="00C52045"/>
    <w:rsid w:val="00C52049"/>
    <w:rsid w:val="00C5206B"/>
    <w:rsid w:val="00C52109"/>
    <w:rsid w:val="00C52323"/>
    <w:rsid w:val="00C5232F"/>
    <w:rsid w:val="00C5233A"/>
    <w:rsid w:val="00C52363"/>
    <w:rsid w:val="00C5246B"/>
    <w:rsid w:val="00C52495"/>
    <w:rsid w:val="00C524EA"/>
    <w:rsid w:val="00C52603"/>
    <w:rsid w:val="00C5278C"/>
    <w:rsid w:val="00C5280B"/>
    <w:rsid w:val="00C52832"/>
    <w:rsid w:val="00C5290C"/>
    <w:rsid w:val="00C529A4"/>
    <w:rsid w:val="00C52AB0"/>
    <w:rsid w:val="00C52ABE"/>
    <w:rsid w:val="00C52AF3"/>
    <w:rsid w:val="00C52B18"/>
    <w:rsid w:val="00C52B39"/>
    <w:rsid w:val="00C52B64"/>
    <w:rsid w:val="00C52B76"/>
    <w:rsid w:val="00C52D62"/>
    <w:rsid w:val="00C53105"/>
    <w:rsid w:val="00C531B1"/>
    <w:rsid w:val="00C531B8"/>
    <w:rsid w:val="00C532D0"/>
    <w:rsid w:val="00C53337"/>
    <w:rsid w:val="00C5335E"/>
    <w:rsid w:val="00C53414"/>
    <w:rsid w:val="00C5356B"/>
    <w:rsid w:val="00C535D0"/>
    <w:rsid w:val="00C53623"/>
    <w:rsid w:val="00C53665"/>
    <w:rsid w:val="00C5368B"/>
    <w:rsid w:val="00C537E8"/>
    <w:rsid w:val="00C5382C"/>
    <w:rsid w:val="00C53926"/>
    <w:rsid w:val="00C53950"/>
    <w:rsid w:val="00C539B0"/>
    <w:rsid w:val="00C53A7A"/>
    <w:rsid w:val="00C53BAE"/>
    <w:rsid w:val="00C53D18"/>
    <w:rsid w:val="00C53E87"/>
    <w:rsid w:val="00C53F42"/>
    <w:rsid w:val="00C53F4A"/>
    <w:rsid w:val="00C54122"/>
    <w:rsid w:val="00C54137"/>
    <w:rsid w:val="00C5418E"/>
    <w:rsid w:val="00C5432B"/>
    <w:rsid w:val="00C5464F"/>
    <w:rsid w:val="00C546AF"/>
    <w:rsid w:val="00C548E8"/>
    <w:rsid w:val="00C54949"/>
    <w:rsid w:val="00C549F3"/>
    <w:rsid w:val="00C54A96"/>
    <w:rsid w:val="00C54AA2"/>
    <w:rsid w:val="00C54B11"/>
    <w:rsid w:val="00C54C03"/>
    <w:rsid w:val="00C54C4B"/>
    <w:rsid w:val="00C54EB3"/>
    <w:rsid w:val="00C552AD"/>
    <w:rsid w:val="00C552D0"/>
    <w:rsid w:val="00C5532D"/>
    <w:rsid w:val="00C55413"/>
    <w:rsid w:val="00C55461"/>
    <w:rsid w:val="00C554B9"/>
    <w:rsid w:val="00C555C4"/>
    <w:rsid w:val="00C555E4"/>
    <w:rsid w:val="00C55619"/>
    <w:rsid w:val="00C556AF"/>
    <w:rsid w:val="00C556D3"/>
    <w:rsid w:val="00C556F0"/>
    <w:rsid w:val="00C55753"/>
    <w:rsid w:val="00C55844"/>
    <w:rsid w:val="00C55895"/>
    <w:rsid w:val="00C5595E"/>
    <w:rsid w:val="00C55A2D"/>
    <w:rsid w:val="00C55A5C"/>
    <w:rsid w:val="00C55B1D"/>
    <w:rsid w:val="00C55BB9"/>
    <w:rsid w:val="00C55C59"/>
    <w:rsid w:val="00C55DE0"/>
    <w:rsid w:val="00C55ECF"/>
    <w:rsid w:val="00C55F4F"/>
    <w:rsid w:val="00C5603E"/>
    <w:rsid w:val="00C56119"/>
    <w:rsid w:val="00C5611F"/>
    <w:rsid w:val="00C56193"/>
    <w:rsid w:val="00C561D5"/>
    <w:rsid w:val="00C56235"/>
    <w:rsid w:val="00C565F5"/>
    <w:rsid w:val="00C56700"/>
    <w:rsid w:val="00C56880"/>
    <w:rsid w:val="00C5689F"/>
    <w:rsid w:val="00C5693C"/>
    <w:rsid w:val="00C56A00"/>
    <w:rsid w:val="00C56A16"/>
    <w:rsid w:val="00C56BC9"/>
    <w:rsid w:val="00C56C6F"/>
    <w:rsid w:val="00C56C8F"/>
    <w:rsid w:val="00C56DA9"/>
    <w:rsid w:val="00C56F77"/>
    <w:rsid w:val="00C56FC7"/>
    <w:rsid w:val="00C570C9"/>
    <w:rsid w:val="00C57201"/>
    <w:rsid w:val="00C5720D"/>
    <w:rsid w:val="00C57492"/>
    <w:rsid w:val="00C574DD"/>
    <w:rsid w:val="00C57519"/>
    <w:rsid w:val="00C5770A"/>
    <w:rsid w:val="00C5774F"/>
    <w:rsid w:val="00C5777D"/>
    <w:rsid w:val="00C5782A"/>
    <w:rsid w:val="00C578C1"/>
    <w:rsid w:val="00C57913"/>
    <w:rsid w:val="00C57952"/>
    <w:rsid w:val="00C579CD"/>
    <w:rsid w:val="00C57AE6"/>
    <w:rsid w:val="00C57CB2"/>
    <w:rsid w:val="00C57CE6"/>
    <w:rsid w:val="00C57D80"/>
    <w:rsid w:val="00C57DE8"/>
    <w:rsid w:val="00C57E16"/>
    <w:rsid w:val="00C60031"/>
    <w:rsid w:val="00C60035"/>
    <w:rsid w:val="00C602C2"/>
    <w:rsid w:val="00C604EE"/>
    <w:rsid w:val="00C606A0"/>
    <w:rsid w:val="00C60806"/>
    <w:rsid w:val="00C608C1"/>
    <w:rsid w:val="00C60923"/>
    <w:rsid w:val="00C6097E"/>
    <w:rsid w:val="00C6098C"/>
    <w:rsid w:val="00C60A56"/>
    <w:rsid w:val="00C60A96"/>
    <w:rsid w:val="00C60AA9"/>
    <w:rsid w:val="00C60BBD"/>
    <w:rsid w:val="00C60C47"/>
    <w:rsid w:val="00C60C88"/>
    <w:rsid w:val="00C60E61"/>
    <w:rsid w:val="00C60F80"/>
    <w:rsid w:val="00C6119D"/>
    <w:rsid w:val="00C6122E"/>
    <w:rsid w:val="00C612D9"/>
    <w:rsid w:val="00C612E5"/>
    <w:rsid w:val="00C6131B"/>
    <w:rsid w:val="00C613AA"/>
    <w:rsid w:val="00C613AB"/>
    <w:rsid w:val="00C61486"/>
    <w:rsid w:val="00C61616"/>
    <w:rsid w:val="00C61721"/>
    <w:rsid w:val="00C61729"/>
    <w:rsid w:val="00C6187E"/>
    <w:rsid w:val="00C618CA"/>
    <w:rsid w:val="00C618FA"/>
    <w:rsid w:val="00C6195F"/>
    <w:rsid w:val="00C61ABA"/>
    <w:rsid w:val="00C61BA5"/>
    <w:rsid w:val="00C61BE7"/>
    <w:rsid w:val="00C61C2F"/>
    <w:rsid w:val="00C61DD3"/>
    <w:rsid w:val="00C61DE8"/>
    <w:rsid w:val="00C61E5C"/>
    <w:rsid w:val="00C61EEE"/>
    <w:rsid w:val="00C6207F"/>
    <w:rsid w:val="00C62293"/>
    <w:rsid w:val="00C62337"/>
    <w:rsid w:val="00C62397"/>
    <w:rsid w:val="00C62409"/>
    <w:rsid w:val="00C62419"/>
    <w:rsid w:val="00C62478"/>
    <w:rsid w:val="00C62673"/>
    <w:rsid w:val="00C62680"/>
    <w:rsid w:val="00C62707"/>
    <w:rsid w:val="00C627A8"/>
    <w:rsid w:val="00C6282A"/>
    <w:rsid w:val="00C62917"/>
    <w:rsid w:val="00C6298C"/>
    <w:rsid w:val="00C629D3"/>
    <w:rsid w:val="00C62AFE"/>
    <w:rsid w:val="00C62B3D"/>
    <w:rsid w:val="00C62B40"/>
    <w:rsid w:val="00C62B87"/>
    <w:rsid w:val="00C62C58"/>
    <w:rsid w:val="00C62EF2"/>
    <w:rsid w:val="00C630FD"/>
    <w:rsid w:val="00C6336E"/>
    <w:rsid w:val="00C633CC"/>
    <w:rsid w:val="00C6353B"/>
    <w:rsid w:val="00C63626"/>
    <w:rsid w:val="00C6384C"/>
    <w:rsid w:val="00C638B9"/>
    <w:rsid w:val="00C6391E"/>
    <w:rsid w:val="00C639E3"/>
    <w:rsid w:val="00C63ABF"/>
    <w:rsid w:val="00C63B0E"/>
    <w:rsid w:val="00C63B83"/>
    <w:rsid w:val="00C63CE4"/>
    <w:rsid w:val="00C63D58"/>
    <w:rsid w:val="00C63DEE"/>
    <w:rsid w:val="00C63E7D"/>
    <w:rsid w:val="00C63EB5"/>
    <w:rsid w:val="00C63EFC"/>
    <w:rsid w:val="00C63F23"/>
    <w:rsid w:val="00C63F98"/>
    <w:rsid w:val="00C64000"/>
    <w:rsid w:val="00C6400D"/>
    <w:rsid w:val="00C64051"/>
    <w:rsid w:val="00C6418F"/>
    <w:rsid w:val="00C64197"/>
    <w:rsid w:val="00C641B6"/>
    <w:rsid w:val="00C643E6"/>
    <w:rsid w:val="00C64458"/>
    <w:rsid w:val="00C644C4"/>
    <w:rsid w:val="00C644D0"/>
    <w:rsid w:val="00C645E9"/>
    <w:rsid w:val="00C64779"/>
    <w:rsid w:val="00C648DC"/>
    <w:rsid w:val="00C6494E"/>
    <w:rsid w:val="00C649A6"/>
    <w:rsid w:val="00C649E8"/>
    <w:rsid w:val="00C64A32"/>
    <w:rsid w:val="00C64A50"/>
    <w:rsid w:val="00C64AFD"/>
    <w:rsid w:val="00C64D9F"/>
    <w:rsid w:val="00C64DB4"/>
    <w:rsid w:val="00C64E1B"/>
    <w:rsid w:val="00C64EE3"/>
    <w:rsid w:val="00C64FAE"/>
    <w:rsid w:val="00C65022"/>
    <w:rsid w:val="00C651FF"/>
    <w:rsid w:val="00C653A3"/>
    <w:rsid w:val="00C65403"/>
    <w:rsid w:val="00C65740"/>
    <w:rsid w:val="00C65901"/>
    <w:rsid w:val="00C65B4F"/>
    <w:rsid w:val="00C65E0F"/>
    <w:rsid w:val="00C65E46"/>
    <w:rsid w:val="00C65FA4"/>
    <w:rsid w:val="00C6616F"/>
    <w:rsid w:val="00C663C8"/>
    <w:rsid w:val="00C664B5"/>
    <w:rsid w:val="00C666F8"/>
    <w:rsid w:val="00C66767"/>
    <w:rsid w:val="00C668F4"/>
    <w:rsid w:val="00C66947"/>
    <w:rsid w:val="00C669E9"/>
    <w:rsid w:val="00C66A04"/>
    <w:rsid w:val="00C66A13"/>
    <w:rsid w:val="00C66D4E"/>
    <w:rsid w:val="00C66D99"/>
    <w:rsid w:val="00C66E0C"/>
    <w:rsid w:val="00C66E30"/>
    <w:rsid w:val="00C66E58"/>
    <w:rsid w:val="00C67129"/>
    <w:rsid w:val="00C67503"/>
    <w:rsid w:val="00C6750D"/>
    <w:rsid w:val="00C6757A"/>
    <w:rsid w:val="00C67782"/>
    <w:rsid w:val="00C6781B"/>
    <w:rsid w:val="00C67C3E"/>
    <w:rsid w:val="00C67C42"/>
    <w:rsid w:val="00C67C66"/>
    <w:rsid w:val="00C67E5C"/>
    <w:rsid w:val="00C67E6D"/>
    <w:rsid w:val="00C67F6C"/>
    <w:rsid w:val="00C701CD"/>
    <w:rsid w:val="00C701D0"/>
    <w:rsid w:val="00C70203"/>
    <w:rsid w:val="00C7031D"/>
    <w:rsid w:val="00C7038B"/>
    <w:rsid w:val="00C703B4"/>
    <w:rsid w:val="00C70632"/>
    <w:rsid w:val="00C706E1"/>
    <w:rsid w:val="00C7072D"/>
    <w:rsid w:val="00C708DD"/>
    <w:rsid w:val="00C708F2"/>
    <w:rsid w:val="00C709C7"/>
    <w:rsid w:val="00C70A4E"/>
    <w:rsid w:val="00C70D82"/>
    <w:rsid w:val="00C70DCB"/>
    <w:rsid w:val="00C70E35"/>
    <w:rsid w:val="00C70EDC"/>
    <w:rsid w:val="00C70FFC"/>
    <w:rsid w:val="00C71431"/>
    <w:rsid w:val="00C7156C"/>
    <w:rsid w:val="00C716F5"/>
    <w:rsid w:val="00C717FC"/>
    <w:rsid w:val="00C7199A"/>
    <w:rsid w:val="00C71B69"/>
    <w:rsid w:val="00C71BBB"/>
    <w:rsid w:val="00C71DA7"/>
    <w:rsid w:val="00C71E84"/>
    <w:rsid w:val="00C71E8A"/>
    <w:rsid w:val="00C72079"/>
    <w:rsid w:val="00C7214F"/>
    <w:rsid w:val="00C72164"/>
    <w:rsid w:val="00C721C4"/>
    <w:rsid w:val="00C723E3"/>
    <w:rsid w:val="00C7256C"/>
    <w:rsid w:val="00C726C5"/>
    <w:rsid w:val="00C72749"/>
    <w:rsid w:val="00C7279D"/>
    <w:rsid w:val="00C728D0"/>
    <w:rsid w:val="00C72903"/>
    <w:rsid w:val="00C72B1B"/>
    <w:rsid w:val="00C72BC5"/>
    <w:rsid w:val="00C72C06"/>
    <w:rsid w:val="00C72C18"/>
    <w:rsid w:val="00C72C8E"/>
    <w:rsid w:val="00C72C91"/>
    <w:rsid w:val="00C72CE2"/>
    <w:rsid w:val="00C72DCB"/>
    <w:rsid w:val="00C7305F"/>
    <w:rsid w:val="00C73197"/>
    <w:rsid w:val="00C73263"/>
    <w:rsid w:val="00C732FD"/>
    <w:rsid w:val="00C73375"/>
    <w:rsid w:val="00C733AA"/>
    <w:rsid w:val="00C734A9"/>
    <w:rsid w:val="00C73633"/>
    <w:rsid w:val="00C736B9"/>
    <w:rsid w:val="00C736FD"/>
    <w:rsid w:val="00C73719"/>
    <w:rsid w:val="00C73740"/>
    <w:rsid w:val="00C738A3"/>
    <w:rsid w:val="00C738AA"/>
    <w:rsid w:val="00C73986"/>
    <w:rsid w:val="00C73989"/>
    <w:rsid w:val="00C739E7"/>
    <w:rsid w:val="00C739F2"/>
    <w:rsid w:val="00C73B07"/>
    <w:rsid w:val="00C73B1E"/>
    <w:rsid w:val="00C73BE3"/>
    <w:rsid w:val="00C73CA1"/>
    <w:rsid w:val="00C73CAA"/>
    <w:rsid w:val="00C73D72"/>
    <w:rsid w:val="00C73E8B"/>
    <w:rsid w:val="00C73F3A"/>
    <w:rsid w:val="00C7410F"/>
    <w:rsid w:val="00C74181"/>
    <w:rsid w:val="00C7418C"/>
    <w:rsid w:val="00C7422C"/>
    <w:rsid w:val="00C7426E"/>
    <w:rsid w:val="00C742F9"/>
    <w:rsid w:val="00C74695"/>
    <w:rsid w:val="00C7469B"/>
    <w:rsid w:val="00C746B2"/>
    <w:rsid w:val="00C7470C"/>
    <w:rsid w:val="00C74824"/>
    <w:rsid w:val="00C7485B"/>
    <w:rsid w:val="00C74AD6"/>
    <w:rsid w:val="00C74B13"/>
    <w:rsid w:val="00C74CB4"/>
    <w:rsid w:val="00C74CE7"/>
    <w:rsid w:val="00C74E6E"/>
    <w:rsid w:val="00C74E8E"/>
    <w:rsid w:val="00C751B2"/>
    <w:rsid w:val="00C751B6"/>
    <w:rsid w:val="00C75270"/>
    <w:rsid w:val="00C752A2"/>
    <w:rsid w:val="00C757A9"/>
    <w:rsid w:val="00C75867"/>
    <w:rsid w:val="00C75AA9"/>
    <w:rsid w:val="00C75AD2"/>
    <w:rsid w:val="00C75B61"/>
    <w:rsid w:val="00C75DD1"/>
    <w:rsid w:val="00C75F94"/>
    <w:rsid w:val="00C7606A"/>
    <w:rsid w:val="00C76083"/>
    <w:rsid w:val="00C760AB"/>
    <w:rsid w:val="00C760BE"/>
    <w:rsid w:val="00C760D2"/>
    <w:rsid w:val="00C76208"/>
    <w:rsid w:val="00C76303"/>
    <w:rsid w:val="00C76476"/>
    <w:rsid w:val="00C764D6"/>
    <w:rsid w:val="00C764EB"/>
    <w:rsid w:val="00C765DF"/>
    <w:rsid w:val="00C76A4F"/>
    <w:rsid w:val="00C76A63"/>
    <w:rsid w:val="00C76C1B"/>
    <w:rsid w:val="00C76C1E"/>
    <w:rsid w:val="00C76C7E"/>
    <w:rsid w:val="00C76E15"/>
    <w:rsid w:val="00C76E93"/>
    <w:rsid w:val="00C76EF3"/>
    <w:rsid w:val="00C76F50"/>
    <w:rsid w:val="00C76F5A"/>
    <w:rsid w:val="00C76F80"/>
    <w:rsid w:val="00C770C4"/>
    <w:rsid w:val="00C77109"/>
    <w:rsid w:val="00C77196"/>
    <w:rsid w:val="00C77271"/>
    <w:rsid w:val="00C77284"/>
    <w:rsid w:val="00C773BE"/>
    <w:rsid w:val="00C77404"/>
    <w:rsid w:val="00C77481"/>
    <w:rsid w:val="00C7753C"/>
    <w:rsid w:val="00C77571"/>
    <w:rsid w:val="00C77619"/>
    <w:rsid w:val="00C7776F"/>
    <w:rsid w:val="00C778D9"/>
    <w:rsid w:val="00C77C44"/>
    <w:rsid w:val="00C77D37"/>
    <w:rsid w:val="00C77DDD"/>
    <w:rsid w:val="00C77DE4"/>
    <w:rsid w:val="00C77E2E"/>
    <w:rsid w:val="00C77E5B"/>
    <w:rsid w:val="00C77F28"/>
    <w:rsid w:val="00C77F78"/>
    <w:rsid w:val="00C77FF7"/>
    <w:rsid w:val="00C800C9"/>
    <w:rsid w:val="00C801AB"/>
    <w:rsid w:val="00C8037D"/>
    <w:rsid w:val="00C804CF"/>
    <w:rsid w:val="00C80509"/>
    <w:rsid w:val="00C80510"/>
    <w:rsid w:val="00C8063C"/>
    <w:rsid w:val="00C806AB"/>
    <w:rsid w:val="00C808D1"/>
    <w:rsid w:val="00C80A98"/>
    <w:rsid w:val="00C80B14"/>
    <w:rsid w:val="00C80B3C"/>
    <w:rsid w:val="00C80B61"/>
    <w:rsid w:val="00C80B6D"/>
    <w:rsid w:val="00C80BFF"/>
    <w:rsid w:val="00C80D0E"/>
    <w:rsid w:val="00C80D16"/>
    <w:rsid w:val="00C80DBC"/>
    <w:rsid w:val="00C80E1C"/>
    <w:rsid w:val="00C80FF4"/>
    <w:rsid w:val="00C8105A"/>
    <w:rsid w:val="00C8107A"/>
    <w:rsid w:val="00C81091"/>
    <w:rsid w:val="00C81237"/>
    <w:rsid w:val="00C8134B"/>
    <w:rsid w:val="00C813BD"/>
    <w:rsid w:val="00C8146B"/>
    <w:rsid w:val="00C816DB"/>
    <w:rsid w:val="00C81849"/>
    <w:rsid w:val="00C81918"/>
    <w:rsid w:val="00C8192A"/>
    <w:rsid w:val="00C81A8D"/>
    <w:rsid w:val="00C81B10"/>
    <w:rsid w:val="00C81B16"/>
    <w:rsid w:val="00C81C49"/>
    <w:rsid w:val="00C81CDE"/>
    <w:rsid w:val="00C81E5E"/>
    <w:rsid w:val="00C81E6D"/>
    <w:rsid w:val="00C81EC4"/>
    <w:rsid w:val="00C82303"/>
    <w:rsid w:val="00C82386"/>
    <w:rsid w:val="00C8238A"/>
    <w:rsid w:val="00C823AB"/>
    <w:rsid w:val="00C8253E"/>
    <w:rsid w:val="00C82587"/>
    <w:rsid w:val="00C825A6"/>
    <w:rsid w:val="00C825FA"/>
    <w:rsid w:val="00C826A4"/>
    <w:rsid w:val="00C82769"/>
    <w:rsid w:val="00C827AD"/>
    <w:rsid w:val="00C82834"/>
    <w:rsid w:val="00C82969"/>
    <w:rsid w:val="00C82988"/>
    <w:rsid w:val="00C82AC1"/>
    <w:rsid w:val="00C82AD1"/>
    <w:rsid w:val="00C82AF9"/>
    <w:rsid w:val="00C82C77"/>
    <w:rsid w:val="00C82CCB"/>
    <w:rsid w:val="00C82E1D"/>
    <w:rsid w:val="00C82F52"/>
    <w:rsid w:val="00C83109"/>
    <w:rsid w:val="00C831CA"/>
    <w:rsid w:val="00C83217"/>
    <w:rsid w:val="00C83257"/>
    <w:rsid w:val="00C83270"/>
    <w:rsid w:val="00C83375"/>
    <w:rsid w:val="00C8344E"/>
    <w:rsid w:val="00C834BE"/>
    <w:rsid w:val="00C83558"/>
    <w:rsid w:val="00C8368A"/>
    <w:rsid w:val="00C8387F"/>
    <w:rsid w:val="00C83884"/>
    <w:rsid w:val="00C83C60"/>
    <w:rsid w:val="00C83E38"/>
    <w:rsid w:val="00C83F14"/>
    <w:rsid w:val="00C83F15"/>
    <w:rsid w:val="00C8439A"/>
    <w:rsid w:val="00C843C0"/>
    <w:rsid w:val="00C843C3"/>
    <w:rsid w:val="00C843E2"/>
    <w:rsid w:val="00C84485"/>
    <w:rsid w:val="00C8456C"/>
    <w:rsid w:val="00C84705"/>
    <w:rsid w:val="00C84793"/>
    <w:rsid w:val="00C84A4E"/>
    <w:rsid w:val="00C84AD0"/>
    <w:rsid w:val="00C84B1A"/>
    <w:rsid w:val="00C84B48"/>
    <w:rsid w:val="00C84BF4"/>
    <w:rsid w:val="00C84D09"/>
    <w:rsid w:val="00C84D82"/>
    <w:rsid w:val="00C84E34"/>
    <w:rsid w:val="00C84F88"/>
    <w:rsid w:val="00C850A8"/>
    <w:rsid w:val="00C851E6"/>
    <w:rsid w:val="00C85210"/>
    <w:rsid w:val="00C8538A"/>
    <w:rsid w:val="00C853C0"/>
    <w:rsid w:val="00C85451"/>
    <w:rsid w:val="00C85494"/>
    <w:rsid w:val="00C854C2"/>
    <w:rsid w:val="00C85548"/>
    <w:rsid w:val="00C8558A"/>
    <w:rsid w:val="00C8563B"/>
    <w:rsid w:val="00C85717"/>
    <w:rsid w:val="00C85729"/>
    <w:rsid w:val="00C85789"/>
    <w:rsid w:val="00C857D2"/>
    <w:rsid w:val="00C857DE"/>
    <w:rsid w:val="00C858F2"/>
    <w:rsid w:val="00C85945"/>
    <w:rsid w:val="00C85949"/>
    <w:rsid w:val="00C85984"/>
    <w:rsid w:val="00C859CF"/>
    <w:rsid w:val="00C85AAB"/>
    <w:rsid w:val="00C85AE7"/>
    <w:rsid w:val="00C85BF5"/>
    <w:rsid w:val="00C85C97"/>
    <w:rsid w:val="00C85D17"/>
    <w:rsid w:val="00C85D2C"/>
    <w:rsid w:val="00C85E49"/>
    <w:rsid w:val="00C85E9F"/>
    <w:rsid w:val="00C85EED"/>
    <w:rsid w:val="00C8604E"/>
    <w:rsid w:val="00C86066"/>
    <w:rsid w:val="00C861C5"/>
    <w:rsid w:val="00C86261"/>
    <w:rsid w:val="00C86424"/>
    <w:rsid w:val="00C864D7"/>
    <w:rsid w:val="00C865AA"/>
    <w:rsid w:val="00C865B5"/>
    <w:rsid w:val="00C865C1"/>
    <w:rsid w:val="00C86607"/>
    <w:rsid w:val="00C8663B"/>
    <w:rsid w:val="00C86772"/>
    <w:rsid w:val="00C869AF"/>
    <w:rsid w:val="00C86A10"/>
    <w:rsid w:val="00C86AE9"/>
    <w:rsid w:val="00C86B9D"/>
    <w:rsid w:val="00C86BFE"/>
    <w:rsid w:val="00C86D24"/>
    <w:rsid w:val="00C86DF7"/>
    <w:rsid w:val="00C86F62"/>
    <w:rsid w:val="00C8704A"/>
    <w:rsid w:val="00C873BA"/>
    <w:rsid w:val="00C87494"/>
    <w:rsid w:val="00C87585"/>
    <w:rsid w:val="00C876B2"/>
    <w:rsid w:val="00C87A81"/>
    <w:rsid w:val="00C87AD4"/>
    <w:rsid w:val="00C87C5C"/>
    <w:rsid w:val="00C87D29"/>
    <w:rsid w:val="00C87DE0"/>
    <w:rsid w:val="00C87E5B"/>
    <w:rsid w:val="00C87E87"/>
    <w:rsid w:val="00C87FCD"/>
    <w:rsid w:val="00C90080"/>
    <w:rsid w:val="00C901BB"/>
    <w:rsid w:val="00C90254"/>
    <w:rsid w:val="00C9026C"/>
    <w:rsid w:val="00C902B0"/>
    <w:rsid w:val="00C90358"/>
    <w:rsid w:val="00C903E4"/>
    <w:rsid w:val="00C9042D"/>
    <w:rsid w:val="00C90457"/>
    <w:rsid w:val="00C9063A"/>
    <w:rsid w:val="00C9067D"/>
    <w:rsid w:val="00C90865"/>
    <w:rsid w:val="00C90982"/>
    <w:rsid w:val="00C90AAA"/>
    <w:rsid w:val="00C90CCB"/>
    <w:rsid w:val="00C90D15"/>
    <w:rsid w:val="00C90E4C"/>
    <w:rsid w:val="00C90F3B"/>
    <w:rsid w:val="00C910A6"/>
    <w:rsid w:val="00C910C2"/>
    <w:rsid w:val="00C910F5"/>
    <w:rsid w:val="00C91313"/>
    <w:rsid w:val="00C9146E"/>
    <w:rsid w:val="00C914F8"/>
    <w:rsid w:val="00C915D9"/>
    <w:rsid w:val="00C915F2"/>
    <w:rsid w:val="00C9166E"/>
    <w:rsid w:val="00C91691"/>
    <w:rsid w:val="00C916D5"/>
    <w:rsid w:val="00C917ED"/>
    <w:rsid w:val="00C91949"/>
    <w:rsid w:val="00C919FB"/>
    <w:rsid w:val="00C91AD2"/>
    <w:rsid w:val="00C91AF2"/>
    <w:rsid w:val="00C91B04"/>
    <w:rsid w:val="00C91B67"/>
    <w:rsid w:val="00C91DC6"/>
    <w:rsid w:val="00C91FE5"/>
    <w:rsid w:val="00C9204D"/>
    <w:rsid w:val="00C92130"/>
    <w:rsid w:val="00C9214A"/>
    <w:rsid w:val="00C9214F"/>
    <w:rsid w:val="00C9232E"/>
    <w:rsid w:val="00C9237B"/>
    <w:rsid w:val="00C92683"/>
    <w:rsid w:val="00C92753"/>
    <w:rsid w:val="00C9292E"/>
    <w:rsid w:val="00C929AA"/>
    <w:rsid w:val="00C92B0C"/>
    <w:rsid w:val="00C92B8C"/>
    <w:rsid w:val="00C92C47"/>
    <w:rsid w:val="00C92D0A"/>
    <w:rsid w:val="00C92D22"/>
    <w:rsid w:val="00C92DF8"/>
    <w:rsid w:val="00C92EC4"/>
    <w:rsid w:val="00C931DC"/>
    <w:rsid w:val="00C932C4"/>
    <w:rsid w:val="00C9332D"/>
    <w:rsid w:val="00C9334F"/>
    <w:rsid w:val="00C9345C"/>
    <w:rsid w:val="00C935E6"/>
    <w:rsid w:val="00C936B8"/>
    <w:rsid w:val="00C93763"/>
    <w:rsid w:val="00C937B8"/>
    <w:rsid w:val="00C93892"/>
    <w:rsid w:val="00C938D6"/>
    <w:rsid w:val="00C9399F"/>
    <w:rsid w:val="00C93ADF"/>
    <w:rsid w:val="00C93BC0"/>
    <w:rsid w:val="00C93C32"/>
    <w:rsid w:val="00C93DE0"/>
    <w:rsid w:val="00C93DF2"/>
    <w:rsid w:val="00C93EF2"/>
    <w:rsid w:val="00C93FAF"/>
    <w:rsid w:val="00C9405A"/>
    <w:rsid w:val="00C94147"/>
    <w:rsid w:val="00C9425B"/>
    <w:rsid w:val="00C94430"/>
    <w:rsid w:val="00C94449"/>
    <w:rsid w:val="00C945B2"/>
    <w:rsid w:val="00C9493A"/>
    <w:rsid w:val="00C949A6"/>
    <w:rsid w:val="00C949BC"/>
    <w:rsid w:val="00C949F0"/>
    <w:rsid w:val="00C94A46"/>
    <w:rsid w:val="00C94B01"/>
    <w:rsid w:val="00C94D92"/>
    <w:rsid w:val="00C94D93"/>
    <w:rsid w:val="00C94FFC"/>
    <w:rsid w:val="00C950D7"/>
    <w:rsid w:val="00C950D8"/>
    <w:rsid w:val="00C9525C"/>
    <w:rsid w:val="00C95287"/>
    <w:rsid w:val="00C952CE"/>
    <w:rsid w:val="00C952D1"/>
    <w:rsid w:val="00C953F0"/>
    <w:rsid w:val="00C9541C"/>
    <w:rsid w:val="00C95499"/>
    <w:rsid w:val="00C95579"/>
    <w:rsid w:val="00C957D1"/>
    <w:rsid w:val="00C9588B"/>
    <w:rsid w:val="00C95A83"/>
    <w:rsid w:val="00C95BD6"/>
    <w:rsid w:val="00C95BF4"/>
    <w:rsid w:val="00C95E23"/>
    <w:rsid w:val="00C95EEF"/>
    <w:rsid w:val="00C95FAE"/>
    <w:rsid w:val="00C9613A"/>
    <w:rsid w:val="00C963F9"/>
    <w:rsid w:val="00C96413"/>
    <w:rsid w:val="00C96495"/>
    <w:rsid w:val="00C96532"/>
    <w:rsid w:val="00C96738"/>
    <w:rsid w:val="00C9681A"/>
    <w:rsid w:val="00C969B8"/>
    <w:rsid w:val="00C96A55"/>
    <w:rsid w:val="00C96A80"/>
    <w:rsid w:val="00C96B1E"/>
    <w:rsid w:val="00C96B51"/>
    <w:rsid w:val="00C96C40"/>
    <w:rsid w:val="00C96CB2"/>
    <w:rsid w:val="00C96D79"/>
    <w:rsid w:val="00C96D92"/>
    <w:rsid w:val="00C96DD7"/>
    <w:rsid w:val="00C96E32"/>
    <w:rsid w:val="00C96E8C"/>
    <w:rsid w:val="00C96E93"/>
    <w:rsid w:val="00C96F2D"/>
    <w:rsid w:val="00C96F55"/>
    <w:rsid w:val="00C96FCF"/>
    <w:rsid w:val="00C96FE9"/>
    <w:rsid w:val="00C97073"/>
    <w:rsid w:val="00C970EE"/>
    <w:rsid w:val="00C97341"/>
    <w:rsid w:val="00C97368"/>
    <w:rsid w:val="00C973A9"/>
    <w:rsid w:val="00C97440"/>
    <w:rsid w:val="00C97469"/>
    <w:rsid w:val="00C974AC"/>
    <w:rsid w:val="00C974CB"/>
    <w:rsid w:val="00C975CF"/>
    <w:rsid w:val="00C97609"/>
    <w:rsid w:val="00C97626"/>
    <w:rsid w:val="00C9770A"/>
    <w:rsid w:val="00C979DE"/>
    <w:rsid w:val="00C97A18"/>
    <w:rsid w:val="00C97B01"/>
    <w:rsid w:val="00C97BCA"/>
    <w:rsid w:val="00C97CE3"/>
    <w:rsid w:val="00C97D44"/>
    <w:rsid w:val="00C97DEC"/>
    <w:rsid w:val="00C97F68"/>
    <w:rsid w:val="00C97FCC"/>
    <w:rsid w:val="00CA0012"/>
    <w:rsid w:val="00CA0042"/>
    <w:rsid w:val="00CA0111"/>
    <w:rsid w:val="00CA01D2"/>
    <w:rsid w:val="00CA0339"/>
    <w:rsid w:val="00CA0564"/>
    <w:rsid w:val="00CA0578"/>
    <w:rsid w:val="00CA0616"/>
    <w:rsid w:val="00CA06DF"/>
    <w:rsid w:val="00CA0A46"/>
    <w:rsid w:val="00CA0B8F"/>
    <w:rsid w:val="00CA0C0D"/>
    <w:rsid w:val="00CA0DCB"/>
    <w:rsid w:val="00CA0E1C"/>
    <w:rsid w:val="00CA0E1E"/>
    <w:rsid w:val="00CA1097"/>
    <w:rsid w:val="00CA113A"/>
    <w:rsid w:val="00CA1294"/>
    <w:rsid w:val="00CA1296"/>
    <w:rsid w:val="00CA12CC"/>
    <w:rsid w:val="00CA12ED"/>
    <w:rsid w:val="00CA1413"/>
    <w:rsid w:val="00CA14E8"/>
    <w:rsid w:val="00CA1535"/>
    <w:rsid w:val="00CA1597"/>
    <w:rsid w:val="00CA15FA"/>
    <w:rsid w:val="00CA1701"/>
    <w:rsid w:val="00CA189D"/>
    <w:rsid w:val="00CA18D0"/>
    <w:rsid w:val="00CA195F"/>
    <w:rsid w:val="00CA1976"/>
    <w:rsid w:val="00CA19DA"/>
    <w:rsid w:val="00CA1A36"/>
    <w:rsid w:val="00CA1A77"/>
    <w:rsid w:val="00CA1B3B"/>
    <w:rsid w:val="00CA1B82"/>
    <w:rsid w:val="00CA1DE8"/>
    <w:rsid w:val="00CA1F46"/>
    <w:rsid w:val="00CA1F84"/>
    <w:rsid w:val="00CA2007"/>
    <w:rsid w:val="00CA20C6"/>
    <w:rsid w:val="00CA222F"/>
    <w:rsid w:val="00CA2271"/>
    <w:rsid w:val="00CA24A2"/>
    <w:rsid w:val="00CA24BF"/>
    <w:rsid w:val="00CA25BB"/>
    <w:rsid w:val="00CA25E0"/>
    <w:rsid w:val="00CA2636"/>
    <w:rsid w:val="00CA2637"/>
    <w:rsid w:val="00CA26EC"/>
    <w:rsid w:val="00CA270A"/>
    <w:rsid w:val="00CA2941"/>
    <w:rsid w:val="00CA29F7"/>
    <w:rsid w:val="00CA2C36"/>
    <w:rsid w:val="00CA2D05"/>
    <w:rsid w:val="00CA2EE8"/>
    <w:rsid w:val="00CA2F3D"/>
    <w:rsid w:val="00CA303C"/>
    <w:rsid w:val="00CA3276"/>
    <w:rsid w:val="00CA363A"/>
    <w:rsid w:val="00CA3694"/>
    <w:rsid w:val="00CA3756"/>
    <w:rsid w:val="00CA37AB"/>
    <w:rsid w:val="00CA37B8"/>
    <w:rsid w:val="00CA37DC"/>
    <w:rsid w:val="00CA3872"/>
    <w:rsid w:val="00CA388B"/>
    <w:rsid w:val="00CA39EE"/>
    <w:rsid w:val="00CA3A30"/>
    <w:rsid w:val="00CA3E64"/>
    <w:rsid w:val="00CA3ECF"/>
    <w:rsid w:val="00CA3EF4"/>
    <w:rsid w:val="00CA3FAD"/>
    <w:rsid w:val="00CA4029"/>
    <w:rsid w:val="00CA4137"/>
    <w:rsid w:val="00CA42FE"/>
    <w:rsid w:val="00CA4441"/>
    <w:rsid w:val="00CA4557"/>
    <w:rsid w:val="00CA4575"/>
    <w:rsid w:val="00CA45CA"/>
    <w:rsid w:val="00CA46A3"/>
    <w:rsid w:val="00CA46FE"/>
    <w:rsid w:val="00CA4A36"/>
    <w:rsid w:val="00CA4BAA"/>
    <w:rsid w:val="00CA4D23"/>
    <w:rsid w:val="00CA4DB1"/>
    <w:rsid w:val="00CA4E9C"/>
    <w:rsid w:val="00CA4EDA"/>
    <w:rsid w:val="00CA4EDC"/>
    <w:rsid w:val="00CA4F2C"/>
    <w:rsid w:val="00CA4F87"/>
    <w:rsid w:val="00CA4FE1"/>
    <w:rsid w:val="00CA50A3"/>
    <w:rsid w:val="00CA51D6"/>
    <w:rsid w:val="00CA51F7"/>
    <w:rsid w:val="00CA5200"/>
    <w:rsid w:val="00CA5295"/>
    <w:rsid w:val="00CA535F"/>
    <w:rsid w:val="00CA5399"/>
    <w:rsid w:val="00CA53B3"/>
    <w:rsid w:val="00CA5425"/>
    <w:rsid w:val="00CA54FB"/>
    <w:rsid w:val="00CA5630"/>
    <w:rsid w:val="00CA5634"/>
    <w:rsid w:val="00CA570F"/>
    <w:rsid w:val="00CA57D4"/>
    <w:rsid w:val="00CA582D"/>
    <w:rsid w:val="00CA583D"/>
    <w:rsid w:val="00CA5849"/>
    <w:rsid w:val="00CA594C"/>
    <w:rsid w:val="00CA598D"/>
    <w:rsid w:val="00CA5A4F"/>
    <w:rsid w:val="00CA5AD0"/>
    <w:rsid w:val="00CA5C3D"/>
    <w:rsid w:val="00CA5C5E"/>
    <w:rsid w:val="00CA5C65"/>
    <w:rsid w:val="00CA5C70"/>
    <w:rsid w:val="00CA5CC2"/>
    <w:rsid w:val="00CA5D33"/>
    <w:rsid w:val="00CA5EA9"/>
    <w:rsid w:val="00CA6075"/>
    <w:rsid w:val="00CA61C1"/>
    <w:rsid w:val="00CA6302"/>
    <w:rsid w:val="00CA63EF"/>
    <w:rsid w:val="00CA6445"/>
    <w:rsid w:val="00CA645E"/>
    <w:rsid w:val="00CA64EB"/>
    <w:rsid w:val="00CA654B"/>
    <w:rsid w:val="00CA65F7"/>
    <w:rsid w:val="00CA6659"/>
    <w:rsid w:val="00CA6702"/>
    <w:rsid w:val="00CA675C"/>
    <w:rsid w:val="00CA6824"/>
    <w:rsid w:val="00CA6AC1"/>
    <w:rsid w:val="00CA6AD7"/>
    <w:rsid w:val="00CA6B95"/>
    <w:rsid w:val="00CA6CD1"/>
    <w:rsid w:val="00CA6D12"/>
    <w:rsid w:val="00CA6E40"/>
    <w:rsid w:val="00CA6EA4"/>
    <w:rsid w:val="00CA702F"/>
    <w:rsid w:val="00CA70BB"/>
    <w:rsid w:val="00CA71B4"/>
    <w:rsid w:val="00CA7247"/>
    <w:rsid w:val="00CA74C6"/>
    <w:rsid w:val="00CA7562"/>
    <w:rsid w:val="00CA76EC"/>
    <w:rsid w:val="00CA7767"/>
    <w:rsid w:val="00CA78CC"/>
    <w:rsid w:val="00CA7B23"/>
    <w:rsid w:val="00CA7B6E"/>
    <w:rsid w:val="00CA7BD7"/>
    <w:rsid w:val="00CA7E88"/>
    <w:rsid w:val="00CA7ED4"/>
    <w:rsid w:val="00CA7EEF"/>
    <w:rsid w:val="00CB0112"/>
    <w:rsid w:val="00CB01AC"/>
    <w:rsid w:val="00CB02EF"/>
    <w:rsid w:val="00CB0514"/>
    <w:rsid w:val="00CB0632"/>
    <w:rsid w:val="00CB072B"/>
    <w:rsid w:val="00CB083E"/>
    <w:rsid w:val="00CB0928"/>
    <w:rsid w:val="00CB0BD6"/>
    <w:rsid w:val="00CB0D02"/>
    <w:rsid w:val="00CB0D4E"/>
    <w:rsid w:val="00CB0E43"/>
    <w:rsid w:val="00CB0EA1"/>
    <w:rsid w:val="00CB0EAB"/>
    <w:rsid w:val="00CB0EEA"/>
    <w:rsid w:val="00CB11FB"/>
    <w:rsid w:val="00CB1391"/>
    <w:rsid w:val="00CB1395"/>
    <w:rsid w:val="00CB13F4"/>
    <w:rsid w:val="00CB1449"/>
    <w:rsid w:val="00CB1520"/>
    <w:rsid w:val="00CB15C8"/>
    <w:rsid w:val="00CB176C"/>
    <w:rsid w:val="00CB18CC"/>
    <w:rsid w:val="00CB18D1"/>
    <w:rsid w:val="00CB1944"/>
    <w:rsid w:val="00CB1989"/>
    <w:rsid w:val="00CB1B52"/>
    <w:rsid w:val="00CB1BBE"/>
    <w:rsid w:val="00CB20D2"/>
    <w:rsid w:val="00CB2272"/>
    <w:rsid w:val="00CB227A"/>
    <w:rsid w:val="00CB22B1"/>
    <w:rsid w:val="00CB23C6"/>
    <w:rsid w:val="00CB2443"/>
    <w:rsid w:val="00CB2470"/>
    <w:rsid w:val="00CB24F2"/>
    <w:rsid w:val="00CB268C"/>
    <w:rsid w:val="00CB2733"/>
    <w:rsid w:val="00CB2882"/>
    <w:rsid w:val="00CB2A18"/>
    <w:rsid w:val="00CB2A3D"/>
    <w:rsid w:val="00CB2AFB"/>
    <w:rsid w:val="00CB2C00"/>
    <w:rsid w:val="00CB2C09"/>
    <w:rsid w:val="00CB2C91"/>
    <w:rsid w:val="00CB2CEC"/>
    <w:rsid w:val="00CB2E1C"/>
    <w:rsid w:val="00CB2E5A"/>
    <w:rsid w:val="00CB308C"/>
    <w:rsid w:val="00CB3161"/>
    <w:rsid w:val="00CB31B7"/>
    <w:rsid w:val="00CB321C"/>
    <w:rsid w:val="00CB32AB"/>
    <w:rsid w:val="00CB33B6"/>
    <w:rsid w:val="00CB33C3"/>
    <w:rsid w:val="00CB340D"/>
    <w:rsid w:val="00CB3461"/>
    <w:rsid w:val="00CB352F"/>
    <w:rsid w:val="00CB3536"/>
    <w:rsid w:val="00CB37BA"/>
    <w:rsid w:val="00CB399C"/>
    <w:rsid w:val="00CB3A0E"/>
    <w:rsid w:val="00CB3A7C"/>
    <w:rsid w:val="00CB3B2B"/>
    <w:rsid w:val="00CB3B94"/>
    <w:rsid w:val="00CB3CC8"/>
    <w:rsid w:val="00CB3D5B"/>
    <w:rsid w:val="00CB3F04"/>
    <w:rsid w:val="00CB3FEE"/>
    <w:rsid w:val="00CB4075"/>
    <w:rsid w:val="00CB4080"/>
    <w:rsid w:val="00CB40FE"/>
    <w:rsid w:val="00CB42B8"/>
    <w:rsid w:val="00CB4361"/>
    <w:rsid w:val="00CB436A"/>
    <w:rsid w:val="00CB4409"/>
    <w:rsid w:val="00CB450B"/>
    <w:rsid w:val="00CB45BA"/>
    <w:rsid w:val="00CB466C"/>
    <w:rsid w:val="00CB4705"/>
    <w:rsid w:val="00CB47AA"/>
    <w:rsid w:val="00CB48D1"/>
    <w:rsid w:val="00CB49E3"/>
    <w:rsid w:val="00CB4AFA"/>
    <w:rsid w:val="00CB4DA0"/>
    <w:rsid w:val="00CB4E0D"/>
    <w:rsid w:val="00CB4EDC"/>
    <w:rsid w:val="00CB4EF9"/>
    <w:rsid w:val="00CB4F4F"/>
    <w:rsid w:val="00CB4F5D"/>
    <w:rsid w:val="00CB4FE7"/>
    <w:rsid w:val="00CB501B"/>
    <w:rsid w:val="00CB507A"/>
    <w:rsid w:val="00CB5096"/>
    <w:rsid w:val="00CB5135"/>
    <w:rsid w:val="00CB52C7"/>
    <w:rsid w:val="00CB531F"/>
    <w:rsid w:val="00CB53CC"/>
    <w:rsid w:val="00CB5476"/>
    <w:rsid w:val="00CB54A7"/>
    <w:rsid w:val="00CB54E5"/>
    <w:rsid w:val="00CB5797"/>
    <w:rsid w:val="00CB57A0"/>
    <w:rsid w:val="00CB57FB"/>
    <w:rsid w:val="00CB5933"/>
    <w:rsid w:val="00CB5941"/>
    <w:rsid w:val="00CB5AB1"/>
    <w:rsid w:val="00CB5AE5"/>
    <w:rsid w:val="00CB5B01"/>
    <w:rsid w:val="00CB5B2F"/>
    <w:rsid w:val="00CB5C10"/>
    <w:rsid w:val="00CB5CEC"/>
    <w:rsid w:val="00CB5D88"/>
    <w:rsid w:val="00CB5E46"/>
    <w:rsid w:val="00CB5E7C"/>
    <w:rsid w:val="00CB60B4"/>
    <w:rsid w:val="00CB6233"/>
    <w:rsid w:val="00CB66AB"/>
    <w:rsid w:val="00CB6705"/>
    <w:rsid w:val="00CB6749"/>
    <w:rsid w:val="00CB67B7"/>
    <w:rsid w:val="00CB6838"/>
    <w:rsid w:val="00CB694E"/>
    <w:rsid w:val="00CB6A9E"/>
    <w:rsid w:val="00CB6BAD"/>
    <w:rsid w:val="00CB6C35"/>
    <w:rsid w:val="00CB6D7C"/>
    <w:rsid w:val="00CB6DAF"/>
    <w:rsid w:val="00CB6F03"/>
    <w:rsid w:val="00CB7030"/>
    <w:rsid w:val="00CB730B"/>
    <w:rsid w:val="00CB73D6"/>
    <w:rsid w:val="00CB73F3"/>
    <w:rsid w:val="00CB7559"/>
    <w:rsid w:val="00CB7657"/>
    <w:rsid w:val="00CB76DE"/>
    <w:rsid w:val="00CB7756"/>
    <w:rsid w:val="00CB78C1"/>
    <w:rsid w:val="00CB7972"/>
    <w:rsid w:val="00CB7B29"/>
    <w:rsid w:val="00CB7BC0"/>
    <w:rsid w:val="00CB7CA5"/>
    <w:rsid w:val="00CB7FF6"/>
    <w:rsid w:val="00CC03B9"/>
    <w:rsid w:val="00CC03C1"/>
    <w:rsid w:val="00CC03DB"/>
    <w:rsid w:val="00CC04AD"/>
    <w:rsid w:val="00CC0579"/>
    <w:rsid w:val="00CC0729"/>
    <w:rsid w:val="00CC0819"/>
    <w:rsid w:val="00CC0855"/>
    <w:rsid w:val="00CC08C0"/>
    <w:rsid w:val="00CC0917"/>
    <w:rsid w:val="00CC0AF6"/>
    <w:rsid w:val="00CC0BBA"/>
    <w:rsid w:val="00CC0F11"/>
    <w:rsid w:val="00CC0FDF"/>
    <w:rsid w:val="00CC10DA"/>
    <w:rsid w:val="00CC1406"/>
    <w:rsid w:val="00CC16AC"/>
    <w:rsid w:val="00CC1724"/>
    <w:rsid w:val="00CC17D9"/>
    <w:rsid w:val="00CC18FF"/>
    <w:rsid w:val="00CC19CF"/>
    <w:rsid w:val="00CC1A75"/>
    <w:rsid w:val="00CC1A7D"/>
    <w:rsid w:val="00CC1B5F"/>
    <w:rsid w:val="00CC1B7E"/>
    <w:rsid w:val="00CC1DF7"/>
    <w:rsid w:val="00CC1F7F"/>
    <w:rsid w:val="00CC2063"/>
    <w:rsid w:val="00CC2098"/>
    <w:rsid w:val="00CC21E8"/>
    <w:rsid w:val="00CC22EA"/>
    <w:rsid w:val="00CC23E4"/>
    <w:rsid w:val="00CC2444"/>
    <w:rsid w:val="00CC250A"/>
    <w:rsid w:val="00CC25EC"/>
    <w:rsid w:val="00CC2617"/>
    <w:rsid w:val="00CC2659"/>
    <w:rsid w:val="00CC27B6"/>
    <w:rsid w:val="00CC2905"/>
    <w:rsid w:val="00CC2960"/>
    <w:rsid w:val="00CC297C"/>
    <w:rsid w:val="00CC2A23"/>
    <w:rsid w:val="00CC2ADB"/>
    <w:rsid w:val="00CC2B75"/>
    <w:rsid w:val="00CC2C98"/>
    <w:rsid w:val="00CC2D4B"/>
    <w:rsid w:val="00CC2DF6"/>
    <w:rsid w:val="00CC2E32"/>
    <w:rsid w:val="00CC2E3B"/>
    <w:rsid w:val="00CC2E41"/>
    <w:rsid w:val="00CC2ED8"/>
    <w:rsid w:val="00CC30C0"/>
    <w:rsid w:val="00CC30C5"/>
    <w:rsid w:val="00CC3223"/>
    <w:rsid w:val="00CC3403"/>
    <w:rsid w:val="00CC35AF"/>
    <w:rsid w:val="00CC3750"/>
    <w:rsid w:val="00CC376E"/>
    <w:rsid w:val="00CC37D8"/>
    <w:rsid w:val="00CC37F0"/>
    <w:rsid w:val="00CC3887"/>
    <w:rsid w:val="00CC39E0"/>
    <w:rsid w:val="00CC3A5F"/>
    <w:rsid w:val="00CC3B1B"/>
    <w:rsid w:val="00CC3C44"/>
    <w:rsid w:val="00CC3F74"/>
    <w:rsid w:val="00CC3FFA"/>
    <w:rsid w:val="00CC40FC"/>
    <w:rsid w:val="00CC41DB"/>
    <w:rsid w:val="00CC4324"/>
    <w:rsid w:val="00CC4343"/>
    <w:rsid w:val="00CC4352"/>
    <w:rsid w:val="00CC4456"/>
    <w:rsid w:val="00CC4567"/>
    <w:rsid w:val="00CC4585"/>
    <w:rsid w:val="00CC4633"/>
    <w:rsid w:val="00CC46BD"/>
    <w:rsid w:val="00CC46EC"/>
    <w:rsid w:val="00CC46F0"/>
    <w:rsid w:val="00CC4730"/>
    <w:rsid w:val="00CC4809"/>
    <w:rsid w:val="00CC492C"/>
    <w:rsid w:val="00CC494F"/>
    <w:rsid w:val="00CC4A3D"/>
    <w:rsid w:val="00CC4A8B"/>
    <w:rsid w:val="00CC4D1E"/>
    <w:rsid w:val="00CC4EFE"/>
    <w:rsid w:val="00CC4FA2"/>
    <w:rsid w:val="00CC5104"/>
    <w:rsid w:val="00CC5121"/>
    <w:rsid w:val="00CC5133"/>
    <w:rsid w:val="00CC51B1"/>
    <w:rsid w:val="00CC526E"/>
    <w:rsid w:val="00CC52A2"/>
    <w:rsid w:val="00CC56E2"/>
    <w:rsid w:val="00CC573B"/>
    <w:rsid w:val="00CC583D"/>
    <w:rsid w:val="00CC593C"/>
    <w:rsid w:val="00CC59A2"/>
    <w:rsid w:val="00CC5A48"/>
    <w:rsid w:val="00CC5AB6"/>
    <w:rsid w:val="00CC5C76"/>
    <w:rsid w:val="00CC5D11"/>
    <w:rsid w:val="00CC5DD7"/>
    <w:rsid w:val="00CC5E58"/>
    <w:rsid w:val="00CC5ED7"/>
    <w:rsid w:val="00CC5F9A"/>
    <w:rsid w:val="00CC61DB"/>
    <w:rsid w:val="00CC62E3"/>
    <w:rsid w:val="00CC6309"/>
    <w:rsid w:val="00CC6396"/>
    <w:rsid w:val="00CC6407"/>
    <w:rsid w:val="00CC6570"/>
    <w:rsid w:val="00CC66D2"/>
    <w:rsid w:val="00CC678D"/>
    <w:rsid w:val="00CC67AC"/>
    <w:rsid w:val="00CC68C9"/>
    <w:rsid w:val="00CC68D7"/>
    <w:rsid w:val="00CC6908"/>
    <w:rsid w:val="00CC69EA"/>
    <w:rsid w:val="00CC6A51"/>
    <w:rsid w:val="00CC6AD7"/>
    <w:rsid w:val="00CC6AE5"/>
    <w:rsid w:val="00CC6B7B"/>
    <w:rsid w:val="00CC6B83"/>
    <w:rsid w:val="00CC6BB2"/>
    <w:rsid w:val="00CC6C52"/>
    <w:rsid w:val="00CC6C74"/>
    <w:rsid w:val="00CC6C87"/>
    <w:rsid w:val="00CC6C97"/>
    <w:rsid w:val="00CC6CA2"/>
    <w:rsid w:val="00CC6CBD"/>
    <w:rsid w:val="00CC6CD9"/>
    <w:rsid w:val="00CC6D3C"/>
    <w:rsid w:val="00CC6D3D"/>
    <w:rsid w:val="00CC6E3C"/>
    <w:rsid w:val="00CC6EAA"/>
    <w:rsid w:val="00CC6F0C"/>
    <w:rsid w:val="00CC6F4E"/>
    <w:rsid w:val="00CC7028"/>
    <w:rsid w:val="00CC7129"/>
    <w:rsid w:val="00CC7138"/>
    <w:rsid w:val="00CC7280"/>
    <w:rsid w:val="00CC72BB"/>
    <w:rsid w:val="00CC730E"/>
    <w:rsid w:val="00CC7329"/>
    <w:rsid w:val="00CC7408"/>
    <w:rsid w:val="00CC74E4"/>
    <w:rsid w:val="00CC7616"/>
    <w:rsid w:val="00CC7768"/>
    <w:rsid w:val="00CC7886"/>
    <w:rsid w:val="00CC78F4"/>
    <w:rsid w:val="00CC7993"/>
    <w:rsid w:val="00CC79B7"/>
    <w:rsid w:val="00CC79C1"/>
    <w:rsid w:val="00CC7ABA"/>
    <w:rsid w:val="00CC7AD2"/>
    <w:rsid w:val="00CC7ADD"/>
    <w:rsid w:val="00CC7B80"/>
    <w:rsid w:val="00CC7BC7"/>
    <w:rsid w:val="00CC7E5D"/>
    <w:rsid w:val="00CC7F3E"/>
    <w:rsid w:val="00CC7F4A"/>
    <w:rsid w:val="00CC7F9F"/>
    <w:rsid w:val="00CD0500"/>
    <w:rsid w:val="00CD0549"/>
    <w:rsid w:val="00CD05E3"/>
    <w:rsid w:val="00CD063C"/>
    <w:rsid w:val="00CD06BB"/>
    <w:rsid w:val="00CD0963"/>
    <w:rsid w:val="00CD0990"/>
    <w:rsid w:val="00CD0BA8"/>
    <w:rsid w:val="00CD0C98"/>
    <w:rsid w:val="00CD0F9C"/>
    <w:rsid w:val="00CD1022"/>
    <w:rsid w:val="00CD105F"/>
    <w:rsid w:val="00CD1080"/>
    <w:rsid w:val="00CD10F6"/>
    <w:rsid w:val="00CD10F9"/>
    <w:rsid w:val="00CD1140"/>
    <w:rsid w:val="00CD11C6"/>
    <w:rsid w:val="00CD11C9"/>
    <w:rsid w:val="00CD12B7"/>
    <w:rsid w:val="00CD1395"/>
    <w:rsid w:val="00CD13EC"/>
    <w:rsid w:val="00CD1420"/>
    <w:rsid w:val="00CD14DD"/>
    <w:rsid w:val="00CD150E"/>
    <w:rsid w:val="00CD160B"/>
    <w:rsid w:val="00CD16DA"/>
    <w:rsid w:val="00CD1774"/>
    <w:rsid w:val="00CD19FD"/>
    <w:rsid w:val="00CD1AC9"/>
    <w:rsid w:val="00CD1B9E"/>
    <w:rsid w:val="00CD1C50"/>
    <w:rsid w:val="00CD1D94"/>
    <w:rsid w:val="00CD1E68"/>
    <w:rsid w:val="00CD2277"/>
    <w:rsid w:val="00CD23D7"/>
    <w:rsid w:val="00CD24F5"/>
    <w:rsid w:val="00CD2565"/>
    <w:rsid w:val="00CD2587"/>
    <w:rsid w:val="00CD25A8"/>
    <w:rsid w:val="00CD266C"/>
    <w:rsid w:val="00CD28D6"/>
    <w:rsid w:val="00CD2980"/>
    <w:rsid w:val="00CD2A9E"/>
    <w:rsid w:val="00CD2B59"/>
    <w:rsid w:val="00CD2E43"/>
    <w:rsid w:val="00CD2EB1"/>
    <w:rsid w:val="00CD2ECE"/>
    <w:rsid w:val="00CD2EF4"/>
    <w:rsid w:val="00CD2F47"/>
    <w:rsid w:val="00CD3199"/>
    <w:rsid w:val="00CD325D"/>
    <w:rsid w:val="00CD339F"/>
    <w:rsid w:val="00CD33D5"/>
    <w:rsid w:val="00CD35D5"/>
    <w:rsid w:val="00CD36A7"/>
    <w:rsid w:val="00CD37F5"/>
    <w:rsid w:val="00CD385F"/>
    <w:rsid w:val="00CD3910"/>
    <w:rsid w:val="00CD39B6"/>
    <w:rsid w:val="00CD39FE"/>
    <w:rsid w:val="00CD3A7C"/>
    <w:rsid w:val="00CD3B2D"/>
    <w:rsid w:val="00CD3B69"/>
    <w:rsid w:val="00CD3C10"/>
    <w:rsid w:val="00CD3D0A"/>
    <w:rsid w:val="00CD3D0C"/>
    <w:rsid w:val="00CD3D33"/>
    <w:rsid w:val="00CD3DA9"/>
    <w:rsid w:val="00CD3DAE"/>
    <w:rsid w:val="00CD3E5C"/>
    <w:rsid w:val="00CD3F42"/>
    <w:rsid w:val="00CD3FCC"/>
    <w:rsid w:val="00CD4165"/>
    <w:rsid w:val="00CD41B0"/>
    <w:rsid w:val="00CD42F4"/>
    <w:rsid w:val="00CD4491"/>
    <w:rsid w:val="00CD44A3"/>
    <w:rsid w:val="00CD44C6"/>
    <w:rsid w:val="00CD44E8"/>
    <w:rsid w:val="00CD4698"/>
    <w:rsid w:val="00CD4912"/>
    <w:rsid w:val="00CD4958"/>
    <w:rsid w:val="00CD495E"/>
    <w:rsid w:val="00CD4A58"/>
    <w:rsid w:val="00CD4B75"/>
    <w:rsid w:val="00CD4BEA"/>
    <w:rsid w:val="00CD4ECC"/>
    <w:rsid w:val="00CD503A"/>
    <w:rsid w:val="00CD507E"/>
    <w:rsid w:val="00CD5167"/>
    <w:rsid w:val="00CD519F"/>
    <w:rsid w:val="00CD51B0"/>
    <w:rsid w:val="00CD51B2"/>
    <w:rsid w:val="00CD52B1"/>
    <w:rsid w:val="00CD5387"/>
    <w:rsid w:val="00CD5420"/>
    <w:rsid w:val="00CD544D"/>
    <w:rsid w:val="00CD5473"/>
    <w:rsid w:val="00CD5688"/>
    <w:rsid w:val="00CD5708"/>
    <w:rsid w:val="00CD5765"/>
    <w:rsid w:val="00CD57C1"/>
    <w:rsid w:val="00CD57F8"/>
    <w:rsid w:val="00CD584A"/>
    <w:rsid w:val="00CD5AC2"/>
    <w:rsid w:val="00CD5AC4"/>
    <w:rsid w:val="00CD5C54"/>
    <w:rsid w:val="00CD5C94"/>
    <w:rsid w:val="00CD5F41"/>
    <w:rsid w:val="00CD5FDF"/>
    <w:rsid w:val="00CD601F"/>
    <w:rsid w:val="00CD6111"/>
    <w:rsid w:val="00CD63AF"/>
    <w:rsid w:val="00CD6477"/>
    <w:rsid w:val="00CD6491"/>
    <w:rsid w:val="00CD64B2"/>
    <w:rsid w:val="00CD64FB"/>
    <w:rsid w:val="00CD6670"/>
    <w:rsid w:val="00CD67D5"/>
    <w:rsid w:val="00CD68AF"/>
    <w:rsid w:val="00CD68FA"/>
    <w:rsid w:val="00CD6902"/>
    <w:rsid w:val="00CD6976"/>
    <w:rsid w:val="00CD6A76"/>
    <w:rsid w:val="00CD6AED"/>
    <w:rsid w:val="00CD6B62"/>
    <w:rsid w:val="00CD6C58"/>
    <w:rsid w:val="00CD70B9"/>
    <w:rsid w:val="00CD712F"/>
    <w:rsid w:val="00CD7227"/>
    <w:rsid w:val="00CD724E"/>
    <w:rsid w:val="00CD7264"/>
    <w:rsid w:val="00CD73DF"/>
    <w:rsid w:val="00CD7471"/>
    <w:rsid w:val="00CD76CF"/>
    <w:rsid w:val="00CD76F1"/>
    <w:rsid w:val="00CD774A"/>
    <w:rsid w:val="00CD7775"/>
    <w:rsid w:val="00CD7A0A"/>
    <w:rsid w:val="00CD7A5F"/>
    <w:rsid w:val="00CD7B56"/>
    <w:rsid w:val="00CD7C37"/>
    <w:rsid w:val="00CD7C6F"/>
    <w:rsid w:val="00CD7E00"/>
    <w:rsid w:val="00CD7F9E"/>
    <w:rsid w:val="00CD7FA6"/>
    <w:rsid w:val="00CD7FD2"/>
    <w:rsid w:val="00CE01A4"/>
    <w:rsid w:val="00CE01BF"/>
    <w:rsid w:val="00CE0256"/>
    <w:rsid w:val="00CE027B"/>
    <w:rsid w:val="00CE03C3"/>
    <w:rsid w:val="00CE03DC"/>
    <w:rsid w:val="00CE05D6"/>
    <w:rsid w:val="00CE05E7"/>
    <w:rsid w:val="00CE0726"/>
    <w:rsid w:val="00CE076B"/>
    <w:rsid w:val="00CE07EC"/>
    <w:rsid w:val="00CE080E"/>
    <w:rsid w:val="00CE0A1A"/>
    <w:rsid w:val="00CE0AAF"/>
    <w:rsid w:val="00CE0D29"/>
    <w:rsid w:val="00CE0E3A"/>
    <w:rsid w:val="00CE101D"/>
    <w:rsid w:val="00CE10AB"/>
    <w:rsid w:val="00CE1105"/>
    <w:rsid w:val="00CE1158"/>
    <w:rsid w:val="00CE1179"/>
    <w:rsid w:val="00CE122A"/>
    <w:rsid w:val="00CE1332"/>
    <w:rsid w:val="00CE148E"/>
    <w:rsid w:val="00CE1613"/>
    <w:rsid w:val="00CE1727"/>
    <w:rsid w:val="00CE176B"/>
    <w:rsid w:val="00CE18D5"/>
    <w:rsid w:val="00CE18E5"/>
    <w:rsid w:val="00CE18FD"/>
    <w:rsid w:val="00CE194D"/>
    <w:rsid w:val="00CE198B"/>
    <w:rsid w:val="00CE19F3"/>
    <w:rsid w:val="00CE1A6D"/>
    <w:rsid w:val="00CE1B07"/>
    <w:rsid w:val="00CE1B95"/>
    <w:rsid w:val="00CE1BDB"/>
    <w:rsid w:val="00CE1C7C"/>
    <w:rsid w:val="00CE1C84"/>
    <w:rsid w:val="00CE1C9C"/>
    <w:rsid w:val="00CE1D64"/>
    <w:rsid w:val="00CE1DA7"/>
    <w:rsid w:val="00CE1DAB"/>
    <w:rsid w:val="00CE1DF1"/>
    <w:rsid w:val="00CE1EB7"/>
    <w:rsid w:val="00CE1EC5"/>
    <w:rsid w:val="00CE2005"/>
    <w:rsid w:val="00CE20A5"/>
    <w:rsid w:val="00CE21A2"/>
    <w:rsid w:val="00CE21F6"/>
    <w:rsid w:val="00CE2388"/>
    <w:rsid w:val="00CE269D"/>
    <w:rsid w:val="00CE2715"/>
    <w:rsid w:val="00CE2794"/>
    <w:rsid w:val="00CE2827"/>
    <w:rsid w:val="00CE28F3"/>
    <w:rsid w:val="00CE2964"/>
    <w:rsid w:val="00CE2993"/>
    <w:rsid w:val="00CE2A94"/>
    <w:rsid w:val="00CE2C15"/>
    <w:rsid w:val="00CE2C40"/>
    <w:rsid w:val="00CE2C76"/>
    <w:rsid w:val="00CE2D5A"/>
    <w:rsid w:val="00CE2D5C"/>
    <w:rsid w:val="00CE2EAD"/>
    <w:rsid w:val="00CE2EEC"/>
    <w:rsid w:val="00CE2F38"/>
    <w:rsid w:val="00CE2F40"/>
    <w:rsid w:val="00CE3082"/>
    <w:rsid w:val="00CE321B"/>
    <w:rsid w:val="00CE3392"/>
    <w:rsid w:val="00CE3487"/>
    <w:rsid w:val="00CE34FB"/>
    <w:rsid w:val="00CE3594"/>
    <w:rsid w:val="00CE35F4"/>
    <w:rsid w:val="00CE380B"/>
    <w:rsid w:val="00CE397B"/>
    <w:rsid w:val="00CE3A6C"/>
    <w:rsid w:val="00CE3A7E"/>
    <w:rsid w:val="00CE3AE6"/>
    <w:rsid w:val="00CE3AFE"/>
    <w:rsid w:val="00CE3CE3"/>
    <w:rsid w:val="00CE3CE7"/>
    <w:rsid w:val="00CE3D1D"/>
    <w:rsid w:val="00CE3FAF"/>
    <w:rsid w:val="00CE402D"/>
    <w:rsid w:val="00CE4398"/>
    <w:rsid w:val="00CE4497"/>
    <w:rsid w:val="00CE4517"/>
    <w:rsid w:val="00CE4572"/>
    <w:rsid w:val="00CE4573"/>
    <w:rsid w:val="00CE45DF"/>
    <w:rsid w:val="00CE45FE"/>
    <w:rsid w:val="00CE476E"/>
    <w:rsid w:val="00CE478B"/>
    <w:rsid w:val="00CE49E6"/>
    <w:rsid w:val="00CE4B9D"/>
    <w:rsid w:val="00CE5036"/>
    <w:rsid w:val="00CE5037"/>
    <w:rsid w:val="00CE5042"/>
    <w:rsid w:val="00CE51C0"/>
    <w:rsid w:val="00CE51F7"/>
    <w:rsid w:val="00CE5273"/>
    <w:rsid w:val="00CE532D"/>
    <w:rsid w:val="00CE534D"/>
    <w:rsid w:val="00CE5481"/>
    <w:rsid w:val="00CE55B0"/>
    <w:rsid w:val="00CE55FF"/>
    <w:rsid w:val="00CE57E0"/>
    <w:rsid w:val="00CE5832"/>
    <w:rsid w:val="00CE5CBD"/>
    <w:rsid w:val="00CE603D"/>
    <w:rsid w:val="00CE6072"/>
    <w:rsid w:val="00CE625D"/>
    <w:rsid w:val="00CE62D6"/>
    <w:rsid w:val="00CE63C8"/>
    <w:rsid w:val="00CE63D7"/>
    <w:rsid w:val="00CE6457"/>
    <w:rsid w:val="00CE6472"/>
    <w:rsid w:val="00CE648E"/>
    <w:rsid w:val="00CE6568"/>
    <w:rsid w:val="00CE66F9"/>
    <w:rsid w:val="00CE679E"/>
    <w:rsid w:val="00CE684F"/>
    <w:rsid w:val="00CE6908"/>
    <w:rsid w:val="00CE6B44"/>
    <w:rsid w:val="00CE6B63"/>
    <w:rsid w:val="00CE6BCC"/>
    <w:rsid w:val="00CE6BFD"/>
    <w:rsid w:val="00CE6CF5"/>
    <w:rsid w:val="00CE6DFF"/>
    <w:rsid w:val="00CE6FAC"/>
    <w:rsid w:val="00CE7030"/>
    <w:rsid w:val="00CE7051"/>
    <w:rsid w:val="00CE707D"/>
    <w:rsid w:val="00CE7129"/>
    <w:rsid w:val="00CE719E"/>
    <w:rsid w:val="00CE721C"/>
    <w:rsid w:val="00CE7359"/>
    <w:rsid w:val="00CE73D0"/>
    <w:rsid w:val="00CE7416"/>
    <w:rsid w:val="00CE74A8"/>
    <w:rsid w:val="00CE7501"/>
    <w:rsid w:val="00CE7565"/>
    <w:rsid w:val="00CE7954"/>
    <w:rsid w:val="00CE7B45"/>
    <w:rsid w:val="00CE7C4D"/>
    <w:rsid w:val="00CE7C89"/>
    <w:rsid w:val="00CE7D52"/>
    <w:rsid w:val="00CE7D9C"/>
    <w:rsid w:val="00CE7FD9"/>
    <w:rsid w:val="00CF0090"/>
    <w:rsid w:val="00CF00C2"/>
    <w:rsid w:val="00CF0123"/>
    <w:rsid w:val="00CF0252"/>
    <w:rsid w:val="00CF0259"/>
    <w:rsid w:val="00CF031C"/>
    <w:rsid w:val="00CF0413"/>
    <w:rsid w:val="00CF044E"/>
    <w:rsid w:val="00CF054B"/>
    <w:rsid w:val="00CF05EB"/>
    <w:rsid w:val="00CF05F0"/>
    <w:rsid w:val="00CF0612"/>
    <w:rsid w:val="00CF0676"/>
    <w:rsid w:val="00CF078B"/>
    <w:rsid w:val="00CF083F"/>
    <w:rsid w:val="00CF0911"/>
    <w:rsid w:val="00CF09E8"/>
    <w:rsid w:val="00CF0C5D"/>
    <w:rsid w:val="00CF0CED"/>
    <w:rsid w:val="00CF0D77"/>
    <w:rsid w:val="00CF101E"/>
    <w:rsid w:val="00CF1021"/>
    <w:rsid w:val="00CF1048"/>
    <w:rsid w:val="00CF115A"/>
    <w:rsid w:val="00CF1417"/>
    <w:rsid w:val="00CF1436"/>
    <w:rsid w:val="00CF147E"/>
    <w:rsid w:val="00CF1536"/>
    <w:rsid w:val="00CF16FB"/>
    <w:rsid w:val="00CF175A"/>
    <w:rsid w:val="00CF1768"/>
    <w:rsid w:val="00CF17C2"/>
    <w:rsid w:val="00CF18EF"/>
    <w:rsid w:val="00CF1940"/>
    <w:rsid w:val="00CF19AC"/>
    <w:rsid w:val="00CF1A2A"/>
    <w:rsid w:val="00CF1B19"/>
    <w:rsid w:val="00CF1C2B"/>
    <w:rsid w:val="00CF1D87"/>
    <w:rsid w:val="00CF1DD3"/>
    <w:rsid w:val="00CF1DD9"/>
    <w:rsid w:val="00CF1FE6"/>
    <w:rsid w:val="00CF1FF7"/>
    <w:rsid w:val="00CF217E"/>
    <w:rsid w:val="00CF238D"/>
    <w:rsid w:val="00CF2407"/>
    <w:rsid w:val="00CF25EF"/>
    <w:rsid w:val="00CF273D"/>
    <w:rsid w:val="00CF2751"/>
    <w:rsid w:val="00CF27D9"/>
    <w:rsid w:val="00CF281C"/>
    <w:rsid w:val="00CF2838"/>
    <w:rsid w:val="00CF28EA"/>
    <w:rsid w:val="00CF294C"/>
    <w:rsid w:val="00CF2A83"/>
    <w:rsid w:val="00CF2B2D"/>
    <w:rsid w:val="00CF2B36"/>
    <w:rsid w:val="00CF2B39"/>
    <w:rsid w:val="00CF2C16"/>
    <w:rsid w:val="00CF2C90"/>
    <w:rsid w:val="00CF2DBC"/>
    <w:rsid w:val="00CF2E55"/>
    <w:rsid w:val="00CF2E76"/>
    <w:rsid w:val="00CF2EDD"/>
    <w:rsid w:val="00CF2F14"/>
    <w:rsid w:val="00CF2FE4"/>
    <w:rsid w:val="00CF2FF9"/>
    <w:rsid w:val="00CF3100"/>
    <w:rsid w:val="00CF317B"/>
    <w:rsid w:val="00CF31EB"/>
    <w:rsid w:val="00CF3239"/>
    <w:rsid w:val="00CF32CD"/>
    <w:rsid w:val="00CF3333"/>
    <w:rsid w:val="00CF33A0"/>
    <w:rsid w:val="00CF35AE"/>
    <w:rsid w:val="00CF35D3"/>
    <w:rsid w:val="00CF3877"/>
    <w:rsid w:val="00CF391F"/>
    <w:rsid w:val="00CF3972"/>
    <w:rsid w:val="00CF3A86"/>
    <w:rsid w:val="00CF3AA6"/>
    <w:rsid w:val="00CF3AC0"/>
    <w:rsid w:val="00CF3C1F"/>
    <w:rsid w:val="00CF3DC1"/>
    <w:rsid w:val="00CF3F37"/>
    <w:rsid w:val="00CF40F3"/>
    <w:rsid w:val="00CF4199"/>
    <w:rsid w:val="00CF41F9"/>
    <w:rsid w:val="00CF4304"/>
    <w:rsid w:val="00CF43A8"/>
    <w:rsid w:val="00CF4428"/>
    <w:rsid w:val="00CF4488"/>
    <w:rsid w:val="00CF4491"/>
    <w:rsid w:val="00CF44CB"/>
    <w:rsid w:val="00CF45B2"/>
    <w:rsid w:val="00CF45B8"/>
    <w:rsid w:val="00CF462F"/>
    <w:rsid w:val="00CF491D"/>
    <w:rsid w:val="00CF49C3"/>
    <w:rsid w:val="00CF4AA9"/>
    <w:rsid w:val="00CF4C29"/>
    <w:rsid w:val="00CF4D4F"/>
    <w:rsid w:val="00CF4D72"/>
    <w:rsid w:val="00CF4D76"/>
    <w:rsid w:val="00CF4EE2"/>
    <w:rsid w:val="00CF5086"/>
    <w:rsid w:val="00CF5103"/>
    <w:rsid w:val="00CF51E8"/>
    <w:rsid w:val="00CF5321"/>
    <w:rsid w:val="00CF54D0"/>
    <w:rsid w:val="00CF54FA"/>
    <w:rsid w:val="00CF5654"/>
    <w:rsid w:val="00CF5661"/>
    <w:rsid w:val="00CF56B3"/>
    <w:rsid w:val="00CF56DC"/>
    <w:rsid w:val="00CF579D"/>
    <w:rsid w:val="00CF57F5"/>
    <w:rsid w:val="00CF586D"/>
    <w:rsid w:val="00CF588E"/>
    <w:rsid w:val="00CF58A0"/>
    <w:rsid w:val="00CF5C0B"/>
    <w:rsid w:val="00CF5CE0"/>
    <w:rsid w:val="00CF5DD6"/>
    <w:rsid w:val="00CF5F2A"/>
    <w:rsid w:val="00CF6125"/>
    <w:rsid w:val="00CF614C"/>
    <w:rsid w:val="00CF6221"/>
    <w:rsid w:val="00CF62E8"/>
    <w:rsid w:val="00CF6304"/>
    <w:rsid w:val="00CF6367"/>
    <w:rsid w:val="00CF649B"/>
    <w:rsid w:val="00CF658F"/>
    <w:rsid w:val="00CF659C"/>
    <w:rsid w:val="00CF65F5"/>
    <w:rsid w:val="00CF66B7"/>
    <w:rsid w:val="00CF67C9"/>
    <w:rsid w:val="00CF681E"/>
    <w:rsid w:val="00CF698C"/>
    <w:rsid w:val="00CF6A63"/>
    <w:rsid w:val="00CF6A75"/>
    <w:rsid w:val="00CF6B25"/>
    <w:rsid w:val="00CF6B4F"/>
    <w:rsid w:val="00CF6CA7"/>
    <w:rsid w:val="00CF6CDA"/>
    <w:rsid w:val="00CF6F4E"/>
    <w:rsid w:val="00CF6F4F"/>
    <w:rsid w:val="00CF6F74"/>
    <w:rsid w:val="00CF6FA5"/>
    <w:rsid w:val="00CF7118"/>
    <w:rsid w:val="00CF7237"/>
    <w:rsid w:val="00CF736D"/>
    <w:rsid w:val="00CF73EC"/>
    <w:rsid w:val="00CF74D6"/>
    <w:rsid w:val="00CF750E"/>
    <w:rsid w:val="00CF7740"/>
    <w:rsid w:val="00CF784C"/>
    <w:rsid w:val="00CF78EC"/>
    <w:rsid w:val="00CF78F0"/>
    <w:rsid w:val="00CF795D"/>
    <w:rsid w:val="00CF79BF"/>
    <w:rsid w:val="00CF7A84"/>
    <w:rsid w:val="00CF7BA0"/>
    <w:rsid w:val="00CF7C31"/>
    <w:rsid w:val="00CF7CA5"/>
    <w:rsid w:val="00CF7D77"/>
    <w:rsid w:val="00CF7D93"/>
    <w:rsid w:val="00CF7DD8"/>
    <w:rsid w:val="00CF7FF6"/>
    <w:rsid w:val="00D000FE"/>
    <w:rsid w:val="00D00182"/>
    <w:rsid w:val="00D001AC"/>
    <w:rsid w:val="00D001CF"/>
    <w:rsid w:val="00D002F4"/>
    <w:rsid w:val="00D00342"/>
    <w:rsid w:val="00D00470"/>
    <w:rsid w:val="00D00625"/>
    <w:rsid w:val="00D0067F"/>
    <w:rsid w:val="00D0070D"/>
    <w:rsid w:val="00D0084D"/>
    <w:rsid w:val="00D00864"/>
    <w:rsid w:val="00D008CC"/>
    <w:rsid w:val="00D008E4"/>
    <w:rsid w:val="00D009C5"/>
    <w:rsid w:val="00D009F9"/>
    <w:rsid w:val="00D00BD6"/>
    <w:rsid w:val="00D00CEC"/>
    <w:rsid w:val="00D00DAC"/>
    <w:rsid w:val="00D00ECE"/>
    <w:rsid w:val="00D00F59"/>
    <w:rsid w:val="00D00FAD"/>
    <w:rsid w:val="00D0100D"/>
    <w:rsid w:val="00D0107E"/>
    <w:rsid w:val="00D01184"/>
    <w:rsid w:val="00D011C5"/>
    <w:rsid w:val="00D0125A"/>
    <w:rsid w:val="00D0133E"/>
    <w:rsid w:val="00D01430"/>
    <w:rsid w:val="00D01499"/>
    <w:rsid w:val="00D016C1"/>
    <w:rsid w:val="00D016E2"/>
    <w:rsid w:val="00D01737"/>
    <w:rsid w:val="00D01771"/>
    <w:rsid w:val="00D017B8"/>
    <w:rsid w:val="00D019C5"/>
    <w:rsid w:val="00D01AA7"/>
    <w:rsid w:val="00D01AB0"/>
    <w:rsid w:val="00D01BD6"/>
    <w:rsid w:val="00D01C06"/>
    <w:rsid w:val="00D01C15"/>
    <w:rsid w:val="00D01CA1"/>
    <w:rsid w:val="00D01D10"/>
    <w:rsid w:val="00D01D5C"/>
    <w:rsid w:val="00D01E0D"/>
    <w:rsid w:val="00D01F59"/>
    <w:rsid w:val="00D0201E"/>
    <w:rsid w:val="00D0208B"/>
    <w:rsid w:val="00D0228B"/>
    <w:rsid w:val="00D0228C"/>
    <w:rsid w:val="00D0234B"/>
    <w:rsid w:val="00D023AB"/>
    <w:rsid w:val="00D02562"/>
    <w:rsid w:val="00D0274E"/>
    <w:rsid w:val="00D02779"/>
    <w:rsid w:val="00D029F4"/>
    <w:rsid w:val="00D02A94"/>
    <w:rsid w:val="00D02B97"/>
    <w:rsid w:val="00D02BA7"/>
    <w:rsid w:val="00D02D81"/>
    <w:rsid w:val="00D02E6D"/>
    <w:rsid w:val="00D02F25"/>
    <w:rsid w:val="00D02F30"/>
    <w:rsid w:val="00D03008"/>
    <w:rsid w:val="00D030CD"/>
    <w:rsid w:val="00D03253"/>
    <w:rsid w:val="00D0330B"/>
    <w:rsid w:val="00D03397"/>
    <w:rsid w:val="00D033B2"/>
    <w:rsid w:val="00D03503"/>
    <w:rsid w:val="00D03531"/>
    <w:rsid w:val="00D03572"/>
    <w:rsid w:val="00D037CD"/>
    <w:rsid w:val="00D037D2"/>
    <w:rsid w:val="00D038CA"/>
    <w:rsid w:val="00D0395C"/>
    <w:rsid w:val="00D039EB"/>
    <w:rsid w:val="00D03A1F"/>
    <w:rsid w:val="00D03AC8"/>
    <w:rsid w:val="00D03C63"/>
    <w:rsid w:val="00D03F61"/>
    <w:rsid w:val="00D0401C"/>
    <w:rsid w:val="00D0403C"/>
    <w:rsid w:val="00D0420E"/>
    <w:rsid w:val="00D042E0"/>
    <w:rsid w:val="00D0436A"/>
    <w:rsid w:val="00D043CA"/>
    <w:rsid w:val="00D0444C"/>
    <w:rsid w:val="00D045CF"/>
    <w:rsid w:val="00D045EB"/>
    <w:rsid w:val="00D04861"/>
    <w:rsid w:val="00D0488C"/>
    <w:rsid w:val="00D04B2A"/>
    <w:rsid w:val="00D04D26"/>
    <w:rsid w:val="00D04D84"/>
    <w:rsid w:val="00D04D95"/>
    <w:rsid w:val="00D04E2B"/>
    <w:rsid w:val="00D04E93"/>
    <w:rsid w:val="00D04EA2"/>
    <w:rsid w:val="00D04EBC"/>
    <w:rsid w:val="00D04F11"/>
    <w:rsid w:val="00D04F56"/>
    <w:rsid w:val="00D050CE"/>
    <w:rsid w:val="00D050E3"/>
    <w:rsid w:val="00D0517F"/>
    <w:rsid w:val="00D051CE"/>
    <w:rsid w:val="00D051DD"/>
    <w:rsid w:val="00D051FF"/>
    <w:rsid w:val="00D05354"/>
    <w:rsid w:val="00D053DD"/>
    <w:rsid w:val="00D05493"/>
    <w:rsid w:val="00D05747"/>
    <w:rsid w:val="00D058B8"/>
    <w:rsid w:val="00D058E3"/>
    <w:rsid w:val="00D05BCE"/>
    <w:rsid w:val="00D05D19"/>
    <w:rsid w:val="00D05D5C"/>
    <w:rsid w:val="00D05D7E"/>
    <w:rsid w:val="00D05DF0"/>
    <w:rsid w:val="00D05E28"/>
    <w:rsid w:val="00D05EB7"/>
    <w:rsid w:val="00D05F32"/>
    <w:rsid w:val="00D05F9A"/>
    <w:rsid w:val="00D0609B"/>
    <w:rsid w:val="00D0623B"/>
    <w:rsid w:val="00D064D6"/>
    <w:rsid w:val="00D06576"/>
    <w:rsid w:val="00D0685A"/>
    <w:rsid w:val="00D068FF"/>
    <w:rsid w:val="00D06B06"/>
    <w:rsid w:val="00D06C74"/>
    <w:rsid w:val="00D06CFF"/>
    <w:rsid w:val="00D06D27"/>
    <w:rsid w:val="00D06D2F"/>
    <w:rsid w:val="00D06F28"/>
    <w:rsid w:val="00D06FC2"/>
    <w:rsid w:val="00D06FCF"/>
    <w:rsid w:val="00D07045"/>
    <w:rsid w:val="00D0717B"/>
    <w:rsid w:val="00D071A2"/>
    <w:rsid w:val="00D07290"/>
    <w:rsid w:val="00D07384"/>
    <w:rsid w:val="00D07412"/>
    <w:rsid w:val="00D074D1"/>
    <w:rsid w:val="00D07534"/>
    <w:rsid w:val="00D075B7"/>
    <w:rsid w:val="00D075CF"/>
    <w:rsid w:val="00D07629"/>
    <w:rsid w:val="00D0765E"/>
    <w:rsid w:val="00D0766E"/>
    <w:rsid w:val="00D07885"/>
    <w:rsid w:val="00D078A9"/>
    <w:rsid w:val="00D078B8"/>
    <w:rsid w:val="00D07A1B"/>
    <w:rsid w:val="00D07A9B"/>
    <w:rsid w:val="00D07B8B"/>
    <w:rsid w:val="00D07BE0"/>
    <w:rsid w:val="00D07C25"/>
    <w:rsid w:val="00D07DFC"/>
    <w:rsid w:val="00D07E5F"/>
    <w:rsid w:val="00D07E8D"/>
    <w:rsid w:val="00D07FB5"/>
    <w:rsid w:val="00D10036"/>
    <w:rsid w:val="00D10078"/>
    <w:rsid w:val="00D10210"/>
    <w:rsid w:val="00D1021B"/>
    <w:rsid w:val="00D107BE"/>
    <w:rsid w:val="00D1091C"/>
    <w:rsid w:val="00D10923"/>
    <w:rsid w:val="00D10A3B"/>
    <w:rsid w:val="00D10A9A"/>
    <w:rsid w:val="00D10AF1"/>
    <w:rsid w:val="00D10BBA"/>
    <w:rsid w:val="00D10DA5"/>
    <w:rsid w:val="00D10E14"/>
    <w:rsid w:val="00D10E38"/>
    <w:rsid w:val="00D10E52"/>
    <w:rsid w:val="00D10EDD"/>
    <w:rsid w:val="00D10FED"/>
    <w:rsid w:val="00D11100"/>
    <w:rsid w:val="00D11107"/>
    <w:rsid w:val="00D11181"/>
    <w:rsid w:val="00D111EB"/>
    <w:rsid w:val="00D11276"/>
    <w:rsid w:val="00D112D3"/>
    <w:rsid w:val="00D11384"/>
    <w:rsid w:val="00D113C8"/>
    <w:rsid w:val="00D1148D"/>
    <w:rsid w:val="00D1148E"/>
    <w:rsid w:val="00D11554"/>
    <w:rsid w:val="00D11619"/>
    <w:rsid w:val="00D116B1"/>
    <w:rsid w:val="00D1178C"/>
    <w:rsid w:val="00D118A2"/>
    <w:rsid w:val="00D1190C"/>
    <w:rsid w:val="00D119A2"/>
    <w:rsid w:val="00D11A0B"/>
    <w:rsid w:val="00D11A88"/>
    <w:rsid w:val="00D11B2D"/>
    <w:rsid w:val="00D11B36"/>
    <w:rsid w:val="00D11B59"/>
    <w:rsid w:val="00D11B7D"/>
    <w:rsid w:val="00D11EBA"/>
    <w:rsid w:val="00D11EFF"/>
    <w:rsid w:val="00D11F6A"/>
    <w:rsid w:val="00D12026"/>
    <w:rsid w:val="00D12211"/>
    <w:rsid w:val="00D122AE"/>
    <w:rsid w:val="00D122B5"/>
    <w:rsid w:val="00D124B8"/>
    <w:rsid w:val="00D124D3"/>
    <w:rsid w:val="00D12556"/>
    <w:rsid w:val="00D1261D"/>
    <w:rsid w:val="00D128A3"/>
    <w:rsid w:val="00D12940"/>
    <w:rsid w:val="00D129A7"/>
    <w:rsid w:val="00D129D0"/>
    <w:rsid w:val="00D129E7"/>
    <w:rsid w:val="00D12A88"/>
    <w:rsid w:val="00D12B0A"/>
    <w:rsid w:val="00D12B99"/>
    <w:rsid w:val="00D12C19"/>
    <w:rsid w:val="00D12C67"/>
    <w:rsid w:val="00D12D4B"/>
    <w:rsid w:val="00D12E79"/>
    <w:rsid w:val="00D12EAE"/>
    <w:rsid w:val="00D12FD5"/>
    <w:rsid w:val="00D1300C"/>
    <w:rsid w:val="00D130B3"/>
    <w:rsid w:val="00D130DA"/>
    <w:rsid w:val="00D13175"/>
    <w:rsid w:val="00D13227"/>
    <w:rsid w:val="00D1324E"/>
    <w:rsid w:val="00D1328F"/>
    <w:rsid w:val="00D132EF"/>
    <w:rsid w:val="00D1347F"/>
    <w:rsid w:val="00D1349D"/>
    <w:rsid w:val="00D134BF"/>
    <w:rsid w:val="00D1352E"/>
    <w:rsid w:val="00D13556"/>
    <w:rsid w:val="00D13799"/>
    <w:rsid w:val="00D137A5"/>
    <w:rsid w:val="00D13934"/>
    <w:rsid w:val="00D13A7C"/>
    <w:rsid w:val="00D13AFA"/>
    <w:rsid w:val="00D13D12"/>
    <w:rsid w:val="00D13D4E"/>
    <w:rsid w:val="00D13E3F"/>
    <w:rsid w:val="00D13EAE"/>
    <w:rsid w:val="00D13FEB"/>
    <w:rsid w:val="00D142B3"/>
    <w:rsid w:val="00D142F5"/>
    <w:rsid w:val="00D142F6"/>
    <w:rsid w:val="00D1456D"/>
    <w:rsid w:val="00D14590"/>
    <w:rsid w:val="00D146CB"/>
    <w:rsid w:val="00D14754"/>
    <w:rsid w:val="00D1478A"/>
    <w:rsid w:val="00D1492D"/>
    <w:rsid w:val="00D14962"/>
    <w:rsid w:val="00D14A57"/>
    <w:rsid w:val="00D14BEA"/>
    <w:rsid w:val="00D14C2E"/>
    <w:rsid w:val="00D14CD9"/>
    <w:rsid w:val="00D14E8A"/>
    <w:rsid w:val="00D15067"/>
    <w:rsid w:val="00D150D6"/>
    <w:rsid w:val="00D15119"/>
    <w:rsid w:val="00D1543A"/>
    <w:rsid w:val="00D15572"/>
    <w:rsid w:val="00D15631"/>
    <w:rsid w:val="00D1566D"/>
    <w:rsid w:val="00D1570A"/>
    <w:rsid w:val="00D1580D"/>
    <w:rsid w:val="00D1585E"/>
    <w:rsid w:val="00D15871"/>
    <w:rsid w:val="00D1587A"/>
    <w:rsid w:val="00D158A6"/>
    <w:rsid w:val="00D15953"/>
    <w:rsid w:val="00D15955"/>
    <w:rsid w:val="00D15A2D"/>
    <w:rsid w:val="00D15A5D"/>
    <w:rsid w:val="00D15A71"/>
    <w:rsid w:val="00D15D33"/>
    <w:rsid w:val="00D15D96"/>
    <w:rsid w:val="00D15E38"/>
    <w:rsid w:val="00D15E7B"/>
    <w:rsid w:val="00D15EDF"/>
    <w:rsid w:val="00D15EEA"/>
    <w:rsid w:val="00D15F38"/>
    <w:rsid w:val="00D16085"/>
    <w:rsid w:val="00D160B9"/>
    <w:rsid w:val="00D161AB"/>
    <w:rsid w:val="00D1626B"/>
    <w:rsid w:val="00D1633C"/>
    <w:rsid w:val="00D165E9"/>
    <w:rsid w:val="00D167FD"/>
    <w:rsid w:val="00D168A7"/>
    <w:rsid w:val="00D168B9"/>
    <w:rsid w:val="00D168D2"/>
    <w:rsid w:val="00D168D4"/>
    <w:rsid w:val="00D16A5A"/>
    <w:rsid w:val="00D16B98"/>
    <w:rsid w:val="00D16BE8"/>
    <w:rsid w:val="00D16C30"/>
    <w:rsid w:val="00D16C77"/>
    <w:rsid w:val="00D16D35"/>
    <w:rsid w:val="00D16DFC"/>
    <w:rsid w:val="00D17056"/>
    <w:rsid w:val="00D1705C"/>
    <w:rsid w:val="00D1706F"/>
    <w:rsid w:val="00D17095"/>
    <w:rsid w:val="00D17171"/>
    <w:rsid w:val="00D17190"/>
    <w:rsid w:val="00D171BA"/>
    <w:rsid w:val="00D172DB"/>
    <w:rsid w:val="00D17525"/>
    <w:rsid w:val="00D1753A"/>
    <w:rsid w:val="00D17758"/>
    <w:rsid w:val="00D179FD"/>
    <w:rsid w:val="00D17A53"/>
    <w:rsid w:val="00D17C37"/>
    <w:rsid w:val="00D17D00"/>
    <w:rsid w:val="00D17DE1"/>
    <w:rsid w:val="00D200B7"/>
    <w:rsid w:val="00D2037D"/>
    <w:rsid w:val="00D20504"/>
    <w:rsid w:val="00D20513"/>
    <w:rsid w:val="00D20530"/>
    <w:rsid w:val="00D20580"/>
    <w:rsid w:val="00D2061F"/>
    <w:rsid w:val="00D206A5"/>
    <w:rsid w:val="00D2088F"/>
    <w:rsid w:val="00D2091B"/>
    <w:rsid w:val="00D2094C"/>
    <w:rsid w:val="00D2097A"/>
    <w:rsid w:val="00D20AF2"/>
    <w:rsid w:val="00D20CEC"/>
    <w:rsid w:val="00D20D0B"/>
    <w:rsid w:val="00D20DF0"/>
    <w:rsid w:val="00D20EE0"/>
    <w:rsid w:val="00D20FB6"/>
    <w:rsid w:val="00D20FFD"/>
    <w:rsid w:val="00D210EC"/>
    <w:rsid w:val="00D21104"/>
    <w:rsid w:val="00D2115E"/>
    <w:rsid w:val="00D21199"/>
    <w:rsid w:val="00D211A6"/>
    <w:rsid w:val="00D21295"/>
    <w:rsid w:val="00D212EC"/>
    <w:rsid w:val="00D213E9"/>
    <w:rsid w:val="00D2148E"/>
    <w:rsid w:val="00D215D8"/>
    <w:rsid w:val="00D215FF"/>
    <w:rsid w:val="00D21704"/>
    <w:rsid w:val="00D21975"/>
    <w:rsid w:val="00D21986"/>
    <w:rsid w:val="00D219E7"/>
    <w:rsid w:val="00D21C79"/>
    <w:rsid w:val="00D21D96"/>
    <w:rsid w:val="00D21E64"/>
    <w:rsid w:val="00D21EBF"/>
    <w:rsid w:val="00D22148"/>
    <w:rsid w:val="00D222BB"/>
    <w:rsid w:val="00D222F9"/>
    <w:rsid w:val="00D223B9"/>
    <w:rsid w:val="00D223E9"/>
    <w:rsid w:val="00D224AB"/>
    <w:rsid w:val="00D22600"/>
    <w:rsid w:val="00D226A1"/>
    <w:rsid w:val="00D22839"/>
    <w:rsid w:val="00D228B9"/>
    <w:rsid w:val="00D22928"/>
    <w:rsid w:val="00D22966"/>
    <w:rsid w:val="00D229D5"/>
    <w:rsid w:val="00D22A2E"/>
    <w:rsid w:val="00D22CFB"/>
    <w:rsid w:val="00D22DE6"/>
    <w:rsid w:val="00D22E06"/>
    <w:rsid w:val="00D22E28"/>
    <w:rsid w:val="00D22FC1"/>
    <w:rsid w:val="00D23065"/>
    <w:rsid w:val="00D23090"/>
    <w:rsid w:val="00D2311A"/>
    <w:rsid w:val="00D23164"/>
    <w:rsid w:val="00D23326"/>
    <w:rsid w:val="00D23501"/>
    <w:rsid w:val="00D23530"/>
    <w:rsid w:val="00D23611"/>
    <w:rsid w:val="00D236A6"/>
    <w:rsid w:val="00D2371C"/>
    <w:rsid w:val="00D23781"/>
    <w:rsid w:val="00D2389E"/>
    <w:rsid w:val="00D23909"/>
    <w:rsid w:val="00D2391D"/>
    <w:rsid w:val="00D23A0B"/>
    <w:rsid w:val="00D23A53"/>
    <w:rsid w:val="00D23A79"/>
    <w:rsid w:val="00D23AC7"/>
    <w:rsid w:val="00D23B1D"/>
    <w:rsid w:val="00D23B7A"/>
    <w:rsid w:val="00D23C75"/>
    <w:rsid w:val="00D23CA1"/>
    <w:rsid w:val="00D23CB0"/>
    <w:rsid w:val="00D23D8B"/>
    <w:rsid w:val="00D23E1B"/>
    <w:rsid w:val="00D23EE7"/>
    <w:rsid w:val="00D23FC3"/>
    <w:rsid w:val="00D24004"/>
    <w:rsid w:val="00D24026"/>
    <w:rsid w:val="00D240C8"/>
    <w:rsid w:val="00D24134"/>
    <w:rsid w:val="00D24186"/>
    <w:rsid w:val="00D2419B"/>
    <w:rsid w:val="00D2429D"/>
    <w:rsid w:val="00D242F2"/>
    <w:rsid w:val="00D24316"/>
    <w:rsid w:val="00D244B8"/>
    <w:rsid w:val="00D24570"/>
    <w:rsid w:val="00D245A6"/>
    <w:rsid w:val="00D245CE"/>
    <w:rsid w:val="00D2465C"/>
    <w:rsid w:val="00D24721"/>
    <w:rsid w:val="00D2475E"/>
    <w:rsid w:val="00D247A9"/>
    <w:rsid w:val="00D247CC"/>
    <w:rsid w:val="00D247ED"/>
    <w:rsid w:val="00D2489B"/>
    <w:rsid w:val="00D249F4"/>
    <w:rsid w:val="00D24AAF"/>
    <w:rsid w:val="00D24AD6"/>
    <w:rsid w:val="00D24B03"/>
    <w:rsid w:val="00D24BC9"/>
    <w:rsid w:val="00D24C16"/>
    <w:rsid w:val="00D24DAA"/>
    <w:rsid w:val="00D2501B"/>
    <w:rsid w:val="00D250F6"/>
    <w:rsid w:val="00D251BF"/>
    <w:rsid w:val="00D25531"/>
    <w:rsid w:val="00D2556C"/>
    <w:rsid w:val="00D2563D"/>
    <w:rsid w:val="00D25808"/>
    <w:rsid w:val="00D2592A"/>
    <w:rsid w:val="00D25953"/>
    <w:rsid w:val="00D25A43"/>
    <w:rsid w:val="00D25A76"/>
    <w:rsid w:val="00D25AD3"/>
    <w:rsid w:val="00D25B64"/>
    <w:rsid w:val="00D25BE2"/>
    <w:rsid w:val="00D25BEA"/>
    <w:rsid w:val="00D25F0F"/>
    <w:rsid w:val="00D25F14"/>
    <w:rsid w:val="00D25F1D"/>
    <w:rsid w:val="00D25FF9"/>
    <w:rsid w:val="00D260AD"/>
    <w:rsid w:val="00D26137"/>
    <w:rsid w:val="00D26151"/>
    <w:rsid w:val="00D26240"/>
    <w:rsid w:val="00D262FA"/>
    <w:rsid w:val="00D2633D"/>
    <w:rsid w:val="00D26394"/>
    <w:rsid w:val="00D26420"/>
    <w:rsid w:val="00D26606"/>
    <w:rsid w:val="00D2660A"/>
    <w:rsid w:val="00D26632"/>
    <w:rsid w:val="00D26706"/>
    <w:rsid w:val="00D26721"/>
    <w:rsid w:val="00D2673A"/>
    <w:rsid w:val="00D267A5"/>
    <w:rsid w:val="00D267A8"/>
    <w:rsid w:val="00D26821"/>
    <w:rsid w:val="00D2682D"/>
    <w:rsid w:val="00D2683B"/>
    <w:rsid w:val="00D2698B"/>
    <w:rsid w:val="00D269B1"/>
    <w:rsid w:val="00D26A39"/>
    <w:rsid w:val="00D26ACA"/>
    <w:rsid w:val="00D26AD5"/>
    <w:rsid w:val="00D26AF0"/>
    <w:rsid w:val="00D26BF3"/>
    <w:rsid w:val="00D26F1E"/>
    <w:rsid w:val="00D26F5C"/>
    <w:rsid w:val="00D27208"/>
    <w:rsid w:val="00D2738B"/>
    <w:rsid w:val="00D2746E"/>
    <w:rsid w:val="00D27472"/>
    <w:rsid w:val="00D274C4"/>
    <w:rsid w:val="00D2750E"/>
    <w:rsid w:val="00D27668"/>
    <w:rsid w:val="00D2790F"/>
    <w:rsid w:val="00D2794E"/>
    <w:rsid w:val="00D27C18"/>
    <w:rsid w:val="00D27DB9"/>
    <w:rsid w:val="00D27F73"/>
    <w:rsid w:val="00D27FD4"/>
    <w:rsid w:val="00D30008"/>
    <w:rsid w:val="00D30053"/>
    <w:rsid w:val="00D3021A"/>
    <w:rsid w:val="00D30483"/>
    <w:rsid w:val="00D3058E"/>
    <w:rsid w:val="00D305DE"/>
    <w:rsid w:val="00D306E7"/>
    <w:rsid w:val="00D30833"/>
    <w:rsid w:val="00D308DE"/>
    <w:rsid w:val="00D30913"/>
    <w:rsid w:val="00D3094E"/>
    <w:rsid w:val="00D309F8"/>
    <w:rsid w:val="00D30BAF"/>
    <w:rsid w:val="00D30CBA"/>
    <w:rsid w:val="00D30D6D"/>
    <w:rsid w:val="00D30E85"/>
    <w:rsid w:val="00D3115C"/>
    <w:rsid w:val="00D313DD"/>
    <w:rsid w:val="00D314DB"/>
    <w:rsid w:val="00D31507"/>
    <w:rsid w:val="00D31624"/>
    <w:rsid w:val="00D31805"/>
    <w:rsid w:val="00D31920"/>
    <w:rsid w:val="00D319AC"/>
    <w:rsid w:val="00D31A0B"/>
    <w:rsid w:val="00D31AAE"/>
    <w:rsid w:val="00D31B1D"/>
    <w:rsid w:val="00D31BFB"/>
    <w:rsid w:val="00D31D55"/>
    <w:rsid w:val="00D31DE1"/>
    <w:rsid w:val="00D31E8B"/>
    <w:rsid w:val="00D31FC6"/>
    <w:rsid w:val="00D31FD8"/>
    <w:rsid w:val="00D322BE"/>
    <w:rsid w:val="00D3233D"/>
    <w:rsid w:val="00D32737"/>
    <w:rsid w:val="00D3293E"/>
    <w:rsid w:val="00D32AAF"/>
    <w:rsid w:val="00D32ABC"/>
    <w:rsid w:val="00D32C5E"/>
    <w:rsid w:val="00D32D42"/>
    <w:rsid w:val="00D32F1E"/>
    <w:rsid w:val="00D32FCA"/>
    <w:rsid w:val="00D33029"/>
    <w:rsid w:val="00D3308E"/>
    <w:rsid w:val="00D33244"/>
    <w:rsid w:val="00D333BF"/>
    <w:rsid w:val="00D3354F"/>
    <w:rsid w:val="00D33667"/>
    <w:rsid w:val="00D33725"/>
    <w:rsid w:val="00D33875"/>
    <w:rsid w:val="00D339B0"/>
    <w:rsid w:val="00D33B13"/>
    <w:rsid w:val="00D33B22"/>
    <w:rsid w:val="00D33C81"/>
    <w:rsid w:val="00D33DA7"/>
    <w:rsid w:val="00D33FE2"/>
    <w:rsid w:val="00D34075"/>
    <w:rsid w:val="00D34083"/>
    <w:rsid w:val="00D3410A"/>
    <w:rsid w:val="00D34178"/>
    <w:rsid w:val="00D34205"/>
    <w:rsid w:val="00D3424B"/>
    <w:rsid w:val="00D3427F"/>
    <w:rsid w:val="00D342A5"/>
    <w:rsid w:val="00D342D7"/>
    <w:rsid w:val="00D343A5"/>
    <w:rsid w:val="00D344FB"/>
    <w:rsid w:val="00D346A2"/>
    <w:rsid w:val="00D34889"/>
    <w:rsid w:val="00D34A2C"/>
    <w:rsid w:val="00D34B00"/>
    <w:rsid w:val="00D34B57"/>
    <w:rsid w:val="00D34D57"/>
    <w:rsid w:val="00D34EC6"/>
    <w:rsid w:val="00D34F40"/>
    <w:rsid w:val="00D350EF"/>
    <w:rsid w:val="00D35161"/>
    <w:rsid w:val="00D35220"/>
    <w:rsid w:val="00D352AB"/>
    <w:rsid w:val="00D35377"/>
    <w:rsid w:val="00D354E6"/>
    <w:rsid w:val="00D3556D"/>
    <w:rsid w:val="00D3561B"/>
    <w:rsid w:val="00D35658"/>
    <w:rsid w:val="00D35954"/>
    <w:rsid w:val="00D35A13"/>
    <w:rsid w:val="00D35A58"/>
    <w:rsid w:val="00D35C13"/>
    <w:rsid w:val="00D35C4D"/>
    <w:rsid w:val="00D35C68"/>
    <w:rsid w:val="00D35DDE"/>
    <w:rsid w:val="00D35E06"/>
    <w:rsid w:val="00D35E2E"/>
    <w:rsid w:val="00D35E56"/>
    <w:rsid w:val="00D35EF7"/>
    <w:rsid w:val="00D35F14"/>
    <w:rsid w:val="00D35F3C"/>
    <w:rsid w:val="00D35F7E"/>
    <w:rsid w:val="00D36022"/>
    <w:rsid w:val="00D3606E"/>
    <w:rsid w:val="00D3609A"/>
    <w:rsid w:val="00D362A2"/>
    <w:rsid w:val="00D36320"/>
    <w:rsid w:val="00D3637B"/>
    <w:rsid w:val="00D36583"/>
    <w:rsid w:val="00D365A8"/>
    <w:rsid w:val="00D365EC"/>
    <w:rsid w:val="00D367A8"/>
    <w:rsid w:val="00D367E6"/>
    <w:rsid w:val="00D367F5"/>
    <w:rsid w:val="00D367F6"/>
    <w:rsid w:val="00D36AE3"/>
    <w:rsid w:val="00D36B11"/>
    <w:rsid w:val="00D36BB8"/>
    <w:rsid w:val="00D36BDF"/>
    <w:rsid w:val="00D36C7A"/>
    <w:rsid w:val="00D36F00"/>
    <w:rsid w:val="00D36F26"/>
    <w:rsid w:val="00D371A8"/>
    <w:rsid w:val="00D371AB"/>
    <w:rsid w:val="00D371AF"/>
    <w:rsid w:val="00D372B4"/>
    <w:rsid w:val="00D3736B"/>
    <w:rsid w:val="00D373E2"/>
    <w:rsid w:val="00D374AA"/>
    <w:rsid w:val="00D374BE"/>
    <w:rsid w:val="00D37555"/>
    <w:rsid w:val="00D375CA"/>
    <w:rsid w:val="00D37657"/>
    <w:rsid w:val="00D377CF"/>
    <w:rsid w:val="00D3796B"/>
    <w:rsid w:val="00D3797A"/>
    <w:rsid w:val="00D37993"/>
    <w:rsid w:val="00D37A54"/>
    <w:rsid w:val="00D37C53"/>
    <w:rsid w:val="00D37C6C"/>
    <w:rsid w:val="00D37CD0"/>
    <w:rsid w:val="00D37E6D"/>
    <w:rsid w:val="00D37FB4"/>
    <w:rsid w:val="00D37FDE"/>
    <w:rsid w:val="00D37FFC"/>
    <w:rsid w:val="00D40036"/>
    <w:rsid w:val="00D40163"/>
    <w:rsid w:val="00D401F8"/>
    <w:rsid w:val="00D4021A"/>
    <w:rsid w:val="00D40302"/>
    <w:rsid w:val="00D4042A"/>
    <w:rsid w:val="00D4046A"/>
    <w:rsid w:val="00D404EB"/>
    <w:rsid w:val="00D40586"/>
    <w:rsid w:val="00D405AF"/>
    <w:rsid w:val="00D405C8"/>
    <w:rsid w:val="00D406ED"/>
    <w:rsid w:val="00D40763"/>
    <w:rsid w:val="00D40855"/>
    <w:rsid w:val="00D40957"/>
    <w:rsid w:val="00D4096C"/>
    <w:rsid w:val="00D4098A"/>
    <w:rsid w:val="00D40AB9"/>
    <w:rsid w:val="00D40C0A"/>
    <w:rsid w:val="00D40E3A"/>
    <w:rsid w:val="00D4106D"/>
    <w:rsid w:val="00D4119C"/>
    <w:rsid w:val="00D411E6"/>
    <w:rsid w:val="00D4126E"/>
    <w:rsid w:val="00D416C0"/>
    <w:rsid w:val="00D418BB"/>
    <w:rsid w:val="00D41BE8"/>
    <w:rsid w:val="00D41DCF"/>
    <w:rsid w:val="00D41F58"/>
    <w:rsid w:val="00D42060"/>
    <w:rsid w:val="00D42112"/>
    <w:rsid w:val="00D42180"/>
    <w:rsid w:val="00D4235D"/>
    <w:rsid w:val="00D4251B"/>
    <w:rsid w:val="00D42597"/>
    <w:rsid w:val="00D425FB"/>
    <w:rsid w:val="00D426B6"/>
    <w:rsid w:val="00D428AB"/>
    <w:rsid w:val="00D42994"/>
    <w:rsid w:val="00D42A11"/>
    <w:rsid w:val="00D42ABF"/>
    <w:rsid w:val="00D42B22"/>
    <w:rsid w:val="00D42BF7"/>
    <w:rsid w:val="00D42C8C"/>
    <w:rsid w:val="00D42D21"/>
    <w:rsid w:val="00D42D43"/>
    <w:rsid w:val="00D42E14"/>
    <w:rsid w:val="00D42EDF"/>
    <w:rsid w:val="00D4305F"/>
    <w:rsid w:val="00D431A6"/>
    <w:rsid w:val="00D432A0"/>
    <w:rsid w:val="00D4335B"/>
    <w:rsid w:val="00D43420"/>
    <w:rsid w:val="00D434BA"/>
    <w:rsid w:val="00D4356E"/>
    <w:rsid w:val="00D4371B"/>
    <w:rsid w:val="00D437BB"/>
    <w:rsid w:val="00D438CC"/>
    <w:rsid w:val="00D43B13"/>
    <w:rsid w:val="00D43B83"/>
    <w:rsid w:val="00D43E9D"/>
    <w:rsid w:val="00D44133"/>
    <w:rsid w:val="00D443E9"/>
    <w:rsid w:val="00D4446E"/>
    <w:rsid w:val="00D4454B"/>
    <w:rsid w:val="00D4458D"/>
    <w:rsid w:val="00D445BB"/>
    <w:rsid w:val="00D44625"/>
    <w:rsid w:val="00D44904"/>
    <w:rsid w:val="00D44958"/>
    <w:rsid w:val="00D449B4"/>
    <w:rsid w:val="00D44A72"/>
    <w:rsid w:val="00D44B7C"/>
    <w:rsid w:val="00D44C1B"/>
    <w:rsid w:val="00D44E24"/>
    <w:rsid w:val="00D44E49"/>
    <w:rsid w:val="00D44E4A"/>
    <w:rsid w:val="00D44E94"/>
    <w:rsid w:val="00D44EA6"/>
    <w:rsid w:val="00D45136"/>
    <w:rsid w:val="00D451B6"/>
    <w:rsid w:val="00D4531B"/>
    <w:rsid w:val="00D45410"/>
    <w:rsid w:val="00D4542C"/>
    <w:rsid w:val="00D45522"/>
    <w:rsid w:val="00D45591"/>
    <w:rsid w:val="00D458DD"/>
    <w:rsid w:val="00D45AE4"/>
    <w:rsid w:val="00D45BCC"/>
    <w:rsid w:val="00D45CB0"/>
    <w:rsid w:val="00D45E32"/>
    <w:rsid w:val="00D45F18"/>
    <w:rsid w:val="00D46055"/>
    <w:rsid w:val="00D460D8"/>
    <w:rsid w:val="00D462EF"/>
    <w:rsid w:val="00D465E4"/>
    <w:rsid w:val="00D46620"/>
    <w:rsid w:val="00D46807"/>
    <w:rsid w:val="00D46C02"/>
    <w:rsid w:val="00D46C0F"/>
    <w:rsid w:val="00D46CE4"/>
    <w:rsid w:val="00D46D06"/>
    <w:rsid w:val="00D46E46"/>
    <w:rsid w:val="00D47008"/>
    <w:rsid w:val="00D47267"/>
    <w:rsid w:val="00D472BF"/>
    <w:rsid w:val="00D4744C"/>
    <w:rsid w:val="00D475A5"/>
    <w:rsid w:val="00D476FD"/>
    <w:rsid w:val="00D47754"/>
    <w:rsid w:val="00D477DC"/>
    <w:rsid w:val="00D47856"/>
    <w:rsid w:val="00D47A6C"/>
    <w:rsid w:val="00D47B8F"/>
    <w:rsid w:val="00D47C65"/>
    <w:rsid w:val="00D47E35"/>
    <w:rsid w:val="00D47F29"/>
    <w:rsid w:val="00D500B3"/>
    <w:rsid w:val="00D501F6"/>
    <w:rsid w:val="00D5025F"/>
    <w:rsid w:val="00D503E3"/>
    <w:rsid w:val="00D506CA"/>
    <w:rsid w:val="00D5077A"/>
    <w:rsid w:val="00D5092D"/>
    <w:rsid w:val="00D50ACF"/>
    <w:rsid w:val="00D50CD6"/>
    <w:rsid w:val="00D50D65"/>
    <w:rsid w:val="00D50EA6"/>
    <w:rsid w:val="00D50ED2"/>
    <w:rsid w:val="00D50F66"/>
    <w:rsid w:val="00D50F90"/>
    <w:rsid w:val="00D510F2"/>
    <w:rsid w:val="00D513A5"/>
    <w:rsid w:val="00D515F5"/>
    <w:rsid w:val="00D516FA"/>
    <w:rsid w:val="00D51705"/>
    <w:rsid w:val="00D517C5"/>
    <w:rsid w:val="00D5189B"/>
    <w:rsid w:val="00D51937"/>
    <w:rsid w:val="00D519F2"/>
    <w:rsid w:val="00D51B47"/>
    <w:rsid w:val="00D51BD0"/>
    <w:rsid w:val="00D51C35"/>
    <w:rsid w:val="00D51C39"/>
    <w:rsid w:val="00D51C52"/>
    <w:rsid w:val="00D52013"/>
    <w:rsid w:val="00D52088"/>
    <w:rsid w:val="00D521DC"/>
    <w:rsid w:val="00D523A5"/>
    <w:rsid w:val="00D524F3"/>
    <w:rsid w:val="00D525C5"/>
    <w:rsid w:val="00D52600"/>
    <w:rsid w:val="00D5265C"/>
    <w:rsid w:val="00D52676"/>
    <w:rsid w:val="00D5269C"/>
    <w:rsid w:val="00D527F5"/>
    <w:rsid w:val="00D5286F"/>
    <w:rsid w:val="00D5298F"/>
    <w:rsid w:val="00D52A00"/>
    <w:rsid w:val="00D52B5B"/>
    <w:rsid w:val="00D52B5C"/>
    <w:rsid w:val="00D52E3C"/>
    <w:rsid w:val="00D52E95"/>
    <w:rsid w:val="00D52ED4"/>
    <w:rsid w:val="00D530C8"/>
    <w:rsid w:val="00D53206"/>
    <w:rsid w:val="00D532C8"/>
    <w:rsid w:val="00D53400"/>
    <w:rsid w:val="00D53514"/>
    <w:rsid w:val="00D53584"/>
    <w:rsid w:val="00D535B1"/>
    <w:rsid w:val="00D53659"/>
    <w:rsid w:val="00D53676"/>
    <w:rsid w:val="00D53680"/>
    <w:rsid w:val="00D536D5"/>
    <w:rsid w:val="00D53723"/>
    <w:rsid w:val="00D537EB"/>
    <w:rsid w:val="00D53C76"/>
    <w:rsid w:val="00D53DBB"/>
    <w:rsid w:val="00D5405E"/>
    <w:rsid w:val="00D54063"/>
    <w:rsid w:val="00D5406C"/>
    <w:rsid w:val="00D54194"/>
    <w:rsid w:val="00D54219"/>
    <w:rsid w:val="00D543F6"/>
    <w:rsid w:val="00D544BA"/>
    <w:rsid w:val="00D544CA"/>
    <w:rsid w:val="00D544F1"/>
    <w:rsid w:val="00D546AB"/>
    <w:rsid w:val="00D5479E"/>
    <w:rsid w:val="00D5490F"/>
    <w:rsid w:val="00D549B7"/>
    <w:rsid w:val="00D54A19"/>
    <w:rsid w:val="00D54A99"/>
    <w:rsid w:val="00D54B5C"/>
    <w:rsid w:val="00D54D67"/>
    <w:rsid w:val="00D54E0B"/>
    <w:rsid w:val="00D54EA4"/>
    <w:rsid w:val="00D55094"/>
    <w:rsid w:val="00D55096"/>
    <w:rsid w:val="00D55173"/>
    <w:rsid w:val="00D55297"/>
    <w:rsid w:val="00D553EA"/>
    <w:rsid w:val="00D554F9"/>
    <w:rsid w:val="00D556DC"/>
    <w:rsid w:val="00D55865"/>
    <w:rsid w:val="00D558AA"/>
    <w:rsid w:val="00D55C69"/>
    <w:rsid w:val="00D55CA4"/>
    <w:rsid w:val="00D55CD0"/>
    <w:rsid w:val="00D55D59"/>
    <w:rsid w:val="00D55D98"/>
    <w:rsid w:val="00D55E04"/>
    <w:rsid w:val="00D55F55"/>
    <w:rsid w:val="00D55FD4"/>
    <w:rsid w:val="00D55FE4"/>
    <w:rsid w:val="00D56009"/>
    <w:rsid w:val="00D56323"/>
    <w:rsid w:val="00D5634A"/>
    <w:rsid w:val="00D563D7"/>
    <w:rsid w:val="00D564A0"/>
    <w:rsid w:val="00D564E8"/>
    <w:rsid w:val="00D56565"/>
    <w:rsid w:val="00D56646"/>
    <w:rsid w:val="00D566A9"/>
    <w:rsid w:val="00D566AA"/>
    <w:rsid w:val="00D5677B"/>
    <w:rsid w:val="00D56881"/>
    <w:rsid w:val="00D56967"/>
    <w:rsid w:val="00D569C6"/>
    <w:rsid w:val="00D56A9F"/>
    <w:rsid w:val="00D56B39"/>
    <w:rsid w:val="00D56C86"/>
    <w:rsid w:val="00D56DE1"/>
    <w:rsid w:val="00D56E71"/>
    <w:rsid w:val="00D56ED3"/>
    <w:rsid w:val="00D56ED8"/>
    <w:rsid w:val="00D56F6F"/>
    <w:rsid w:val="00D56FB5"/>
    <w:rsid w:val="00D5701A"/>
    <w:rsid w:val="00D57154"/>
    <w:rsid w:val="00D571BC"/>
    <w:rsid w:val="00D5731F"/>
    <w:rsid w:val="00D573A9"/>
    <w:rsid w:val="00D57449"/>
    <w:rsid w:val="00D5745D"/>
    <w:rsid w:val="00D57602"/>
    <w:rsid w:val="00D577E7"/>
    <w:rsid w:val="00D57803"/>
    <w:rsid w:val="00D5790B"/>
    <w:rsid w:val="00D57B7F"/>
    <w:rsid w:val="00D57C56"/>
    <w:rsid w:val="00D57D9A"/>
    <w:rsid w:val="00D57E3D"/>
    <w:rsid w:val="00D57E8F"/>
    <w:rsid w:val="00D57F84"/>
    <w:rsid w:val="00D60011"/>
    <w:rsid w:val="00D6004B"/>
    <w:rsid w:val="00D60059"/>
    <w:rsid w:val="00D60086"/>
    <w:rsid w:val="00D600D0"/>
    <w:rsid w:val="00D6012A"/>
    <w:rsid w:val="00D6033B"/>
    <w:rsid w:val="00D60365"/>
    <w:rsid w:val="00D6040F"/>
    <w:rsid w:val="00D60526"/>
    <w:rsid w:val="00D607C1"/>
    <w:rsid w:val="00D6089A"/>
    <w:rsid w:val="00D608A2"/>
    <w:rsid w:val="00D609B3"/>
    <w:rsid w:val="00D60D84"/>
    <w:rsid w:val="00D60E25"/>
    <w:rsid w:val="00D6104A"/>
    <w:rsid w:val="00D612A1"/>
    <w:rsid w:val="00D61391"/>
    <w:rsid w:val="00D613BA"/>
    <w:rsid w:val="00D613C2"/>
    <w:rsid w:val="00D61456"/>
    <w:rsid w:val="00D614FF"/>
    <w:rsid w:val="00D61576"/>
    <w:rsid w:val="00D61619"/>
    <w:rsid w:val="00D6161C"/>
    <w:rsid w:val="00D61641"/>
    <w:rsid w:val="00D61657"/>
    <w:rsid w:val="00D618FA"/>
    <w:rsid w:val="00D6196B"/>
    <w:rsid w:val="00D61992"/>
    <w:rsid w:val="00D619DC"/>
    <w:rsid w:val="00D61D80"/>
    <w:rsid w:val="00D61F02"/>
    <w:rsid w:val="00D61F59"/>
    <w:rsid w:val="00D62083"/>
    <w:rsid w:val="00D6216D"/>
    <w:rsid w:val="00D6239E"/>
    <w:rsid w:val="00D623D0"/>
    <w:rsid w:val="00D62423"/>
    <w:rsid w:val="00D6267F"/>
    <w:rsid w:val="00D626FB"/>
    <w:rsid w:val="00D62920"/>
    <w:rsid w:val="00D62A59"/>
    <w:rsid w:val="00D62AFE"/>
    <w:rsid w:val="00D62B0B"/>
    <w:rsid w:val="00D62DD5"/>
    <w:rsid w:val="00D62DD8"/>
    <w:rsid w:val="00D62E1F"/>
    <w:rsid w:val="00D6300A"/>
    <w:rsid w:val="00D6317E"/>
    <w:rsid w:val="00D63229"/>
    <w:rsid w:val="00D63230"/>
    <w:rsid w:val="00D6324A"/>
    <w:rsid w:val="00D63268"/>
    <w:rsid w:val="00D6326B"/>
    <w:rsid w:val="00D63279"/>
    <w:rsid w:val="00D63290"/>
    <w:rsid w:val="00D633B0"/>
    <w:rsid w:val="00D63518"/>
    <w:rsid w:val="00D63637"/>
    <w:rsid w:val="00D63677"/>
    <w:rsid w:val="00D63681"/>
    <w:rsid w:val="00D636AA"/>
    <w:rsid w:val="00D6374E"/>
    <w:rsid w:val="00D6383D"/>
    <w:rsid w:val="00D638D1"/>
    <w:rsid w:val="00D63B84"/>
    <w:rsid w:val="00D63BA0"/>
    <w:rsid w:val="00D63BA9"/>
    <w:rsid w:val="00D63BBE"/>
    <w:rsid w:val="00D63C70"/>
    <w:rsid w:val="00D63C7D"/>
    <w:rsid w:val="00D63C87"/>
    <w:rsid w:val="00D63E7D"/>
    <w:rsid w:val="00D63E94"/>
    <w:rsid w:val="00D63F2D"/>
    <w:rsid w:val="00D641E0"/>
    <w:rsid w:val="00D64216"/>
    <w:rsid w:val="00D64477"/>
    <w:rsid w:val="00D64536"/>
    <w:rsid w:val="00D6460D"/>
    <w:rsid w:val="00D646AF"/>
    <w:rsid w:val="00D646F5"/>
    <w:rsid w:val="00D6474B"/>
    <w:rsid w:val="00D647E5"/>
    <w:rsid w:val="00D6492B"/>
    <w:rsid w:val="00D64930"/>
    <w:rsid w:val="00D649CB"/>
    <w:rsid w:val="00D649CF"/>
    <w:rsid w:val="00D64A5F"/>
    <w:rsid w:val="00D64B3F"/>
    <w:rsid w:val="00D64C57"/>
    <w:rsid w:val="00D64C83"/>
    <w:rsid w:val="00D64CA2"/>
    <w:rsid w:val="00D64D8B"/>
    <w:rsid w:val="00D64D99"/>
    <w:rsid w:val="00D64EF7"/>
    <w:rsid w:val="00D64F64"/>
    <w:rsid w:val="00D65096"/>
    <w:rsid w:val="00D65212"/>
    <w:rsid w:val="00D65379"/>
    <w:rsid w:val="00D6537C"/>
    <w:rsid w:val="00D653A8"/>
    <w:rsid w:val="00D653E0"/>
    <w:rsid w:val="00D65518"/>
    <w:rsid w:val="00D6556B"/>
    <w:rsid w:val="00D655CE"/>
    <w:rsid w:val="00D6574C"/>
    <w:rsid w:val="00D65765"/>
    <w:rsid w:val="00D6576A"/>
    <w:rsid w:val="00D657AD"/>
    <w:rsid w:val="00D6581B"/>
    <w:rsid w:val="00D6583D"/>
    <w:rsid w:val="00D65C5B"/>
    <w:rsid w:val="00D65FD4"/>
    <w:rsid w:val="00D66167"/>
    <w:rsid w:val="00D662CB"/>
    <w:rsid w:val="00D6642C"/>
    <w:rsid w:val="00D664BD"/>
    <w:rsid w:val="00D6652C"/>
    <w:rsid w:val="00D66554"/>
    <w:rsid w:val="00D66672"/>
    <w:rsid w:val="00D66679"/>
    <w:rsid w:val="00D6667A"/>
    <w:rsid w:val="00D66822"/>
    <w:rsid w:val="00D6686A"/>
    <w:rsid w:val="00D668B7"/>
    <w:rsid w:val="00D66A46"/>
    <w:rsid w:val="00D66A8C"/>
    <w:rsid w:val="00D66AD6"/>
    <w:rsid w:val="00D66AF0"/>
    <w:rsid w:val="00D66C66"/>
    <w:rsid w:val="00D66D37"/>
    <w:rsid w:val="00D66E71"/>
    <w:rsid w:val="00D66F78"/>
    <w:rsid w:val="00D67067"/>
    <w:rsid w:val="00D6716D"/>
    <w:rsid w:val="00D67567"/>
    <w:rsid w:val="00D67621"/>
    <w:rsid w:val="00D67667"/>
    <w:rsid w:val="00D676FA"/>
    <w:rsid w:val="00D6781B"/>
    <w:rsid w:val="00D678D2"/>
    <w:rsid w:val="00D67A26"/>
    <w:rsid w:val="00D67A31"/>
    <w:rsid w:val="00D67B88"/>
    <w:rsid w:val="00D67C1F"/>
    <w:rsid w:val="00D67C6D"/>
    <w:rsid w:val="00D67C85"/>
    <w:rsid w:val="00D67CE1"/>
    <w:rsid w:val="00D67CE2"/>
    <w:rsid w:val="00D67D36"/>
    <w:rsid w:val="00D67E39"/>
    <w:rsid w:val="00D67F18"/>
    <w:rsid w:val="00D67F3B"/>
    <w:rsid w:val="00D67FCD"/>
    <w:rsid w:val="00D70045"/>
    <w:rsid w:val="00D700B3"/>
    <w:rsid w:val="00D700FC"/>
    <w:rsid w:val="00D701B9"/>
    <w:rsid w:val="00D70213"/>
    <w:rsid w:val="00D7023E"/>
    <w:rsid w:val="00D7026E"/>
    <w:rsid w:val="00D706D0"/>
    <w:rsid w:val="00D70754"/>
    <w:rsid w:val="00D70865"/>
    <w:rsid w:val="00D70966"/>
    <w:rsid w:val="00D709CF"/>
    <w:rsid w:val="00D70B3B"/>
    <w:rsid w:val="00D70B8E"/>
    <w:rsid w:val="00D70BAF"/>
    <w:rsid w:val="00D70C6C"/>
    <w:rsid w:val="00D70CB8"/>
    <w:rsid w:val="00D70DE7"/>
    <w:rsid w:val="00D70EC1"/>
    <w:rsid w:val="00D71018"/>
    <w:rsid w:val="00D710E5"/>
    <w:rsid w:val="00D71198"/>
    <w:rsid w:val="00D7119F"/>
    <w:rsid w:val="00D71209"/>
    <w:rsid w:val="00D7124C"/>
    <w:rsid w:val="00D7128C"/>
    <w:rsid w:val="00D7148B"/>
    <w:rsid w:val="00D71637"/>
    <w:rsid w:val="00D71640"/>
    <w:rsid w:val="00D71679"/>
    <w:rsid w:val="00D717A4"/>
    <w:rsid w:val="00D717BB"/>
    <w:rsid w:val="00D71B1A"/>
    <w:rsid w:val="00D71B4F"/>
    <w:rsid w:val="00D71D79"/>
    <w:rsid w:val="00D71D7E"/>
    <w:rsid w:val="00D71DDE"/>
    <w:rsid w:val="00D71F7C"/>
    <w:rsid w:val="00D72087"/>
    <w:rsid w:val="00D72135"/>
    <w:rsid w:val="00D72223"/>
    <w:rsid w:val="00D72300"/>
    <w:rsid w:val="00D723BB"/>
    <w:rsid w:val="00D7249F"/>
    <w:rsid w:val="00D72562"/>
    <w:rsid w:val="00D72749"/>
    <w:rsid w:val="00D72774"/>
    <w:rsid w:val="00D72807"/>
    <w:rsid w:val="00D72854"/>
    <w:rsid w:val="00D728FC"/>
    <w:rsid w:val="00D72918"/>
    <w:rsid w:val="00D7293F"/>
    <w:rsid w:val="00D72A0E"/>
    <w:rsid w:val="00D72A86"/>
    <w:rsid w:val="00D72AFA"/>
    <w:rsid w:val="00D72B14"/>
    <w:rsid w:val="00D72CFD"/>
    <w:rsid w:val="00D72E29"/>
    <w:rsid w:val="00D72FD4"/>
    <w:rsid w:val="00D73007"/>
    <w:rsid w:val="00D73053"/>
    <w:rsid w:val="00D73248"/>
    <w:rsid w:val="00D732B1"/>
    <w:rsid w:val="00D733B6"/>
    <w:rsid w:val="00D734C8"/>
    <w:rsid w:val="00D73568"/>
    <w:rsid w:val="00D7361D"/>
    <w:rsid w:val="00D739A9"/>
    <w:rsid w:val="00D73A0B"/>
    <w:rsid w:val="00D73A54"/>
    <w:rsid w:val="00D73A8F"/>
    <w:rsid w:val="00D73B53"/>
    <w:rsid w:val="00D73B55"/>
    <w:rsid w:val="00D73B74"/>
    <w:rsid w:val="00D73BB9"/>
    <w:rsid w:val="00D73BC8"/>
    <w:rsid w:val="00D73CCE"/>
    <w:rsid w:val="00D73D55"/>
    <w:rsid w:val="00D73DD9"/>
    <w:rsid w:val="00D73E01"/>
    <w:rsid w:val="00D73ECE"/>
    <w:rsid w:val="00D73F95"/>
    <w:rsid w:val="00D73FCB"/>
    <w:rsid w:val="00D74006"/>
    <w:rsid w:val="00D74023"/>
    <w:rsid w:val="00D7408D"/>
    <w:rsid w:val="00D740D8"/>
    <w:rsid w:val="00D74146"/>
    <w:rsid w:val="00D7415E"/>
    <w:rsid w:val="00D74197"/>
    <w:rsid w:val="00D74319"/>
    <w:rsid w:val="00D744BA"/>
    <w:rsid w:val="00D74528"/>
    <w:rsid w:val="00D745F1"/>
    <w:rsid w:val="00D746CD"/>
    <w:rsid w:val="00D74754"/>
    <w:rsid w:val="00D747CB"/>
    <w:rsid w:val="00D747E2"/>
    <w:rsid w:val="00D747EE"/>
    <w:rsid w:val="00D7488E"/>
    <w:rsid w:val="00D74B2C"/>
    <w:rsid w:val="00D74C03"/>
    <w:rsid w:val="00D74C3B"/>
    <w:rsid w:val="00D74D5F"/>
    <w:rsid w:val="00D74D94"/>
    <w:rsid w:val="00D74E99"/>
    <w:rsid w:val="00D75068"/>
    <w:rsid w:val="00D750A9"/>
    <w:rsid w:val="00D75141"/>
    <w:rsid w:val="00D7518E"/>
    <w:rsid w:val="00D7520B"/>
    <w:rsid w:val="00D7521D"/>
    <w:rsid w:val="00D75286"/>
    <w:rsid w:val="00D7536A"/>
    <w:rsid w:val="00D75402"/>
    <w:rsid w:val="00D7582B"/>
    <w:rsid w:val="00D75857"/>
    <w:rsid w:val="00D75876"/>
    <w:rsid w:val="00D758B4"/>
    <w:rsid w:val="00D758E7"/>
    <w:rsid w:val="00D75960"/>
    <w:rsid w:val="00D75A26"/>
    <w:rsid w:val="00D75AF9"/>
    <w:rsid w:val="00D75CAE"/>
    <w:rsid w:val="00D75CB0"/>
    <w:rsid w:val="00D75D5F"/>
    <w:rsid w:val="00D75E28"/>
    <w:rsid w:val="00D75E93"/>
    <w:rsid w:val="00D76138"/>
    <w:rsid w:val="00D7622A"/>
    <w:rsid w:val="00D764BE"/>
    <w:rsid w:val="00D764DD"/>
    <w:rsid w:val="00D76526"/>
    <w:rsid w:val="00D7658B"/>
    <w:rsid w:val="00D76632"/>
    <w:rsid w:val="00D766F8"/>
    <w:rsid w:val="00D76B2C"/>
    <w:rsid w:val="00D76BC9"/>
    <w:rsid w:val="00D76CE3"/>
    <w:rsid w:val="00D76DC0"/>
    <w:rsid w:val="00D76E38"/>
    <w:rsid w:val="00D76E76"/>
    <w:rsid w:val="00D76EB3"/>
    <w:rsid w:val="00D76F9A"/>
    <w:rsid w:val="00D76FC2"/>
    <w:rsid w:val="00D7713E"/>
    <w:rsid w:val="00D77157"/>
    <w:rsid w:val="00D771DD"/>
    <w:rsid w:val="00D7729D"/>
    <w:rsid w:val="00D772CB"/>
    <w:rsid w:val="00D77332"/>
    <w:rsid w:val="00D775EA"/>
    <w:rsid w:val="00D77608"/>
    <w:rsid w:val="00D777D9"/>
    <w:rsid w:val="00D778A0"/>
    <w:rsid w:val="00D778B7"/>
    <w:rsid w:val="00D77995"/>
    <w:rsid w:val="00D77A58"/>
    <w:rsid w:val="00D77A68"/>
    <w:rsid w:val="00D77A7E"/>
    <w:rsid w:val="00D77B23"/>
    <w:rsid w:val="00D77BA7"/>
    <w:rsid w:val="00D77BF6"/>
    <w:rsid w:val="00D77D2E"/>
    <w:rsid w:val="00D77E97"/>
    <w:rsid w:val="00D77F4E"/>
    <w:rsid w:val="00D77FB9"/>
    <w:rsid w:val="00D80066"/>
    <w:rsid w:val="00D800EA"/>
    <w:rsid w:val="00D801A7"/>
    <w:rsid w:val="00D80248"/>
    <w:rsid w:val="00D802A0"/>
    <w:rsid w:val="00D8073D"/>
    <w:rsid w:val="00D80B29"/>
    <w:rsid w:val="00D80B32"/>
    <w:rsid w:val="00D80BA1"/>
    <w:rsid w:val="00D80BAE"/>
    <w:rsid w:val="00D80BCB"/>
    <w:rsid w:val="00D80E35"/>
    <w:rsid w:val="00D80EED"/>
    <w:rsid w:val="00D80FDE"/>
    <w:rsid w:val="00D80FF0"/>
    <w:rsid w:val="00D8105E"/>
    <w:rsid w:val="00D810B1"/>
    <w:rsid w:val="00D810C6"/>
    <w:rsid w:val="00D81173"/>
    <w:rsid w:val="00D81330"/>
    <w:rsid w:val="00D8141C"/>
    <w:rsid w:val="00D8141E"/>
    <w:rsid w:val="00D8150E"/>
    <w:rsid w:val="00D816B4"/>
    <w:rsid w:val="00D81749"/>
    <w:rsid w:val="00D81816"/>
    <w:rsid w:val="00D81981"/>
    <w:rsid w:val="00D81A9E"/>
    <w:rsid w:val="00D81D0A"/>
    <w:rsid w:val="00D81D1C"/>
    <w:rsid w:val="00D81D26"/>
    <w:rsid w:val="00D81F71"/>
    <w:rsid w:val="00D821F2"/>
    <w:rsid w:val="00D82228"/>
    <w:rsid w:val="00D825BA"/>
    <w:rsid w:val="00D82651"/>
    <w:rsid w:val="00D82748"/>
    <w:rsid w:val="00D8283B"/>
    <w:rsid w:val="00D828E3"/>
    <w:rsid w:val="00D82957"/>
    <w:rsid w:val="00D82B50"/>
    <w:rsid w:val="00D82B59"/>
    <w:rsid w:val="00D82BB2"/>
    <w:rsid w:val="00D82C29"/>
    <w:rsid w:val="00D82C31"/>
    <w:rsid w:val="00D82CC8"/>
    <w:rsid w:val="00D82E1A"/>
    <w:rsid w:val="00D82EAC"/>
    <w:rsid w:val="00D82EF9"/>
    <w:rsid w:val="00D82F8F"/>
    <w:rsid w:val="00D83005"/>
    <w:rsid w:val="00D83054"/>
    <w:rsid w:val="00D8310F"/>
    <w:rsid w:val="00D831A6"/>
    <w:rsid w:val="00D8323B"/>
    <w:rsid w:val="00D832F9"/>
    <w:rsid w:val="00D83366"/>
    <w:rsid w:val="00D83473"/>
    <w:rsid w:val="00D834F3"/>
    <w:rsid w:val="00D835FA"/>
    <w:rsid w:val="00D83614"/>
    <w:rsid w:val="00D8365B"/>
    <w:rsid w:val="00D83747"/>
    <w:rsid w:val="00D839CA"/>
    <w:rsid w:val="00D83ADD"/>
    <w:rsid w:val="00D83B96"/>
    <w:rsid w:val="00D83C45"/>
    <w:rsid w:val="00D83C52"/>
    <w:rsid w:val="00D83D2B"/>
    <w:rsid w:val="00D83D56"/>
    <w:rsid w:val="00D83D7A"/>
    <w:rsid w:val="00D83E18"/>
    <w:rsid w:val="00D83E3B"/>
    <w:rsid w:val="00D8402C"/>
    <w:rsid w:val="00D841DE"/>
    <w:rsid w:val="00D84252"/>
    <w:rsid w:val="00D842E7"/>
    <w:rsid w:val="00D842F3"/>
    <w:rsid w:val="00D8436A"/>
    <w:rsid w:val="00D843F9"/>
    <w:rsid w:val="00D84476"/>
    <w:rsid w:val="00D84548"/>
    <w:rsid w:val="00D845DF"/>
    <w:rsid w:val="00D84947"/>
    <w:rsid w:val="00D849CB"/>
    <w:rsid w:val="00D849F2"/>
    <w:rsid w:val="00D84B39"/>
    <w:rsid w:val="00D84C47"/>
    <w:rsid w:val="00D84D02"/>
    <w:rsid w:val="00D84D2C"/>
    <w:rsid w:val="00D84DF6"/>
    <w:rsid w:val="00D84EA8"/>
    <w:rsid w:val="00D8500E"/>
    <w:rsid w:val="00D851F1"/>
    <w:rsid w:val="00D85247"/>
    <w:rsid w:val="00D8528E"/>
    <w:rsid w:val="00D8552A"/>
    <w:rsid w:val="00D85549"/>
    <w:rsid w:val="00D8555B"/>
    <w:rsid w:val="00D855A4"/>
    <w:rsid w:val="00D855FE"/>
    <w:rsid w:val="00D858A6"/>
    <w:rsid w:val="00D85A54"/>
    <w:rsid w:val="00D85BF5"/>
    <w:rsid w:val="00D85C25"/>
    <w:rsid w:val="00D85C74"/>
    <w:rsid w:val="00D85CF0"/>
    <w:rsid w:val="00D85DC1"/>
    <w:rsid w:val="00D85E24"/>
    <w:rsid w:val="00D85EA4"/>
    <w:rsid w:val="00D85EBA"/>
    <w:rsid w:val="00D86211"/>
    <w:rsid w:val="00D862CA"/>
    <w:rsid w:val="00D8632F"/>
    <w:rsid w:val="00D8636F"/>
    <w:rsid w:val="00D8644C"/>
    <w:rsid w:val="00D86479"/>
    <w:rsid w:val="00D8656D"/>
    <w:rsid w:val="00D86651"/>
    <w:rsid w:val="00D86656"/>
    <w:rsid w:val="00D8667A"/>
    <w:rsid w:val="00D866C7"/>
    <w:rsid w:val="00D86862"/>
    <w:rsid w:val="00D868CD"/>
    <w:rsid w:val="00D86A1F"/>
    <w:rsid w:val="00D86A8A"/>
    <w:rsid w:val="00D86AC6"/>
    <w:rsid w:val="00D86B33"/>
    <w:rsid w:val="00D86C80"/>
    <w:rsid w:val="00D86C86"/>
    <w:rsid w:val="00D86CAF"/>
    <w:rsid w:val="00D86FC3"/>
    <w:rsid w:val="00D871B9"/>
    <w:rsid w:val="00D872DE"/>
    <w:rsid w:val="00D87342"/>
    <w:rsid w:val="00D873E0"/>
    <w:rsid w:val="00D874A3"/>
    <w:rsid w:val="00D8750E"/>
    <w:rsid w:val="00D875A2"/>
    <w:rsid w:val="00D87742"/>
    <w:rsid w:val="00D8783B"/>
    <w:rsid w:val="00D87921"/>
    <w:rsid w:val="00D87FBD"/>
    <w:rsid w:val="00D90061"/>
    <w:rsid w:val="00D9009B"/>
    <w:rsid w:val="00D900A1"/>
    <w:rsid w:val="00D90203"/>
    <w:rsid w:val="00D90262"/>
    <w:rsid w:val="00D9038A"/>
    <w:rsid w:val="00D9039A"/>
    <w:rsid w:val="00D903CB"/>
    <w:rsid w:val="00D9043E"/>
    <w:rsid w:val="00D9049C"/>
    <w:rsid w:val="00D90551"/>
    <w:rsid w:val="00D909AA"/>
    <w:rsid w:val="00D90A08"/>
    <w:rsid w:val="00D90BAB"/>
    <w:rsid w:val="00D90DB4"/>
    <w:rsid w:val="00D90ED9"/>
    <w:rsid w:val="00D90FF8"/>
    <w:rsid w:val="00D9102C"/>
    <w:rsid w:val="00D91091"/>
    <w:rsid w:val="00D910B7"/>
    <w:rsid w:val="00D91248"/>
    <w:rsid w:val="00D912D9"/>
    <w:rsid w:val="00D913BC"/>
    <w:rsid w:val="00D914A3"/>
    <w:rsid w:val="00D91510"/>
    <w:rsid w:val="00D9158B"/>
    <w:rsid w:val="00D915D1"/>
    <w:rsid w:val="00D91659"/>
    <w:rsid w:val="00D9177A"/>
    <w:rsid w:val="00D917B3"/>
    <w:rsid w:val="00D917CF"/>
    <w:rsid w:val="00D9193D"/>
    <w:rsid w:val="00D919E8"/>
    <w:rsid w:val="00D91A64"/>
    <w:rsid w:val="00D91B05"/>
    <w:rsid w:val="00D91B0F"/>
    <w:rsid w:val="00D91CEC"/>
    <w:rsid w:val="00D91DB4"/>
    <w:rsid w:val="00D91E00"/>
    <w:rsid w:val="00D91EF4"/>
    <w:rsid w:val="00D920D7"/>
    <w:rsid w:val="00D922C2"/>
    <w:rsid w:val="00D92324"/>
    <w:rsid w:val="00D92477"/>
    <w:rsid w:val="00D924ED"/>
    <w:rsid w:val="00D925A4"/>
    <w:rsid w:val="00D925AD"/>
    <w:rsid w:val="00D926BF"/>
    <w:rsid w:val="00D926C1"/>
    <w:rsid w:val="00D92729"/>
    <w:rsid w:val="00D927AA"/>
    <w:rsid w:val="00D9289E"/>
    <w:rsid w:val="00D928EE"/>
    <w:rsid w:val="00D92941"/>
    <w:rsid w:val="00D92995"/>
    <w:rsid w:val="00D92BAD"/>
    <w:rsid w:val="00D92BC4"/>
    <w:rsid w:val="00D92C74"/>
    <w:rsid w:val="00D92CB6"/>
    <w:rsid w:val="00D92CBA"/>
    <w:rsid w:val="00D92DA1"/>
    <w:rsid w:val="00D92DB2"/>
    <w:rsid w:val="00D92E03"/>
    <w:rsid w:val="00D92F13"/>
    <w:rsid w:val="00D92F3A"/>
    <w:rsid w:val="00D92F9D"/>
    <w:rsid w:val="00D92FB3"/>
    <w:rsid w:val="00D93071"/>
    <w:rsid w:val="00D93147"/>
    <w:rsid w:val="00D93169"/>
    <w:rsid w:val="00D931F7"/>
    <w:rsid w:val="00D93231"/>
    <w:rsid w:val="00D932B6"/>
    <w:rsid w:val="00D93307"/>
    <w:rsid w:val="00D9331F"/>
    <w:rsid w:val="00D933DC"/>
    <w:rsid w:val="00D9345A"/>
    <w:rsid w:val="00D9347E"/>
    <w:rsid w:val="00D936A7"/>
    <w:rsid w:val="00D93768"/>
    <w:rsid w:val="00D939E3"/>
    <w:rsid w:val="00D93A1A"/>
    <w:rsid w:val="00D93A94"/>
    <w:rsid w:val="00D93AA3"/>
    <w:rsid w:val="00D93C69"/>
    <w:rsid w:val="00D93D6E"/>
    <w:rsid w:val="00D93DD3"/>
    <w:rsid w:val="00D93DFB"/>
    <w:rsid w:val="00D9405B"/>
    <w:rsid w:val="00D9406C"/>
    <w:rsid w:val="00D941D2"/>
    <w:rsid w:val="00D946E3"/>
    <w:rsid w:val="00D94772"/>
    <w:rsid w:val="00D947AD"/>
    <w:rsid w:val="00D94853"/>
    <w:rsid w:val="00D949B5"/>
    <w:rsid w:val="00D94AB5"/>
    <w:rsid w:val="00D94B48"/>
    <w:rsid w:val="00D94CA7"/>
    <w:rsid w:val="00D94CD9"/>
    <w:rsid w:val="00D94E67"/>
    <w:rsid w:val="00D94E8C"/>
    <w:rsid w:val="00D94E94"/>
    <w:rsid w:val="00D94EB1"/>
    <w:rsid w:val="00D94F13"/>
    <w:rsid w:val="00D94F77"/>
    <w:rsid w:val="00D9503B"/>
    <w:rsid w:val="00D950F6"/>
    <w:rsid w:val="00D9510A"/>
    <w:rsid w:val="00D9512A"/>
    <w:rsid w:val="00D951C1"/>
    <w:rsid w:val="00D95287"/>
    <w:rsid w:val="00D952FB"/>
    <w:rsid w:val="00D9539C"/>
    <w:rsid w:val="00D953B9"/>
    <w:rsid w:val="00D953D3"/>
    <w:rsid w:val="00D95403"/>
    <w:rsid w:val="00D957C7"/>
    <w:rsid w:val="00D95876"/>
    <w:rsid w:val="00D95993"/>
    <w:rsid w:val="00D95A57"/>
    <w:rsid w:val="00D95A62"/>
    <w:rsid w:val="00D95B50"/>
    <w:rsid w:val="00D95B92"/>
    <w:rsid w:val="00D95BD3"/>
    <w:rsid w:val="00D95F86"/>
    <w:rsid w:val="00D9601F"/>
    <w:rsid w:val="00D96095"/>
    <w:rsid w:val="00D960B0"/>
    <w:rsid w:val="00D96115"/>
    <w:rsid w:val="00D96167"/>
    <w:rsid w:val="00D96176"/>
    <w:rsid w:val="00D961AA"/>
    <w:rsid w:val="00D96252"/>
    <w:rsid w:val="00D962E7"/>
    <w:rsid w:val="00D96437"/>
    <w:rsid w:val="00D964DD"/>
    <w:rsid w:val="00D9652E"/>
    <w:rsid w:val="00D96565"/>
    <w:rsid w:val="00D96644"/>
    <w:rsid w:val="00D96704"/>
    <w:rsid w:val="00D969CA"/>
    <w:rsid w:val="00D96C8A"/>
    <w:rsid w:val="00D96CFD"/>
    <w:rsid w:val="00D96D5B"/>
    <w:rsid w:val="00D96D74"/>
    <w:rsid w:val="00D96D90"/>
    <w:rsid w:val="00D96FFD"/>
    <w:rsid w:val="00D9701B"/>
    <w:rsid w:val="00D97071"/>
    <w:rsid w:val="00D970A7"/>
    <w:rsid w:val="00D9725B"/>
    <w:rsid w:val="00D9727B"/>
    <w:rsid w:val="00D97403"/>
    <w:rsid w:val="00D974D3"/>
    <w:rsid w:val="00D975E2"/>
    <w:rsid w:val="00D97608"/>
    <w:rsid w:val="00D9768B"/>
    <w:rsid w:val="00D9771D"/>
    <w:rsid w:val="00D97808"/>
    <w:rsid w:val="00D9797F"/>
    <w:rsid w:val="00D97A55"/>
    <w:rsid w:val="00D97B36"/>
    <w:rsid w:val="00D97B39"/>
    <w:rsid w:val="00D97C52"/>
    <w:rsid w:val="00D97D79"/>
    <w:rsid w:val="00D97E23"/>
    <w:rsid w:val="00D97ECA"/>
    <w:rsid w:val="00DA0074"/>
    <w:rsid w:val="00DA0080"/>
    <w:rsid w:val="00DA0095"/>
    <w:rsid w:val="00DA00F1"/>
    <w:rsid w:val="00DA016D"/>
    <w:rsid w:val="00DA0170"/>
    <w:rsid w:val="00DA032D"/>
    <w:rsid w:val="00DA0378"/>
    <w:rsid w:val="00DA045A"/>
    <w:rsid w:val="00DA0705"/>
    <w:rsid w:val="00DA070F"/>
    <w:rsid w:val="00DA0787"/>
    <w:rsid w:val="00DA0968"/>
    <w:rsid w:val="00DA0A09"/>
    <w:rsid w:val="00DA0A23"/>
    <w:rsid w:val="00DA0A58"/>
    <w:rsid w:val="00DA0AE6"/>
    <w:rsid w:val="00DA0B9D"/>
    <w:rsid w:val="00DA0BAD"/>
    <w:rsid w:val="00DA0D32"/>
    <w:rsid w:val="00DA0EB8"/>
    <w:rsid w:val="00DA0F19"/>
    <w:rsid w:val="00DA0F60"/>
    <w:rsid w:val="00DA1064"/>
    <w:rsid w:val="00DA10A5"/>
    <w:rsid w:val="00DA11D0"/>
    <w:rsid w:val="00DA1207"/>
    <w:rsid w:val="00DA120B"/>
    <w:rsid w:val="00DA12FB"/>
    <w:rsid w:val="00DA138E"/>
    <w:rsid w:val="00DA13AF"/>
    <w:rsid w:val="00DA13E4"/>
    <w:rsid w:val="00DA14FF"/>
    <w:rsid w:val="00DA156B"/>
    <w:rsid w:val="00DA1678"/>
    <w:rsid w:val="00DA16C7"/>
    <w:rsid w:val="00DA170A"/>
    <w:rsid w:val="00DA174E"/>
    <w:rsid w:val="00DA1914"/>
    <w:rsid w:val="00DA198E"/>
    <w:rsid w:val="00DA1ABE"/>
    <w:rsid w:val="00DA1AE4"/>
    <w:rsid w:val="00DA1BCA"/>
    <w:rsid w:val="00DA1C86"/>
    <w:rsid w:val="00DA1CC7"/>
    <w:rsid w:val="00DA1D67"/>
    <w:rsid w:val="00DA1DD6"/>
    <w:rsid w:val="00DA20AC"/>
    <w:rsid w:val="00DA21FD"/>
    <w:rsid w:val="00DA22AF"/>
    <w:rsid w:val="00DA2434"/>
    <w:rsid w:val="00DA2630"/>
    <w:rsid w:val="00DA2635"/>
    <w:rsid w:val="00DA2642"/>
    <w:rsid w:val="00DA264E"/>
    <w:rsid w:val="00DA2672"/>
    <w:rsid w:val="00DA2816"/>
    <w:rsid w:val="00DA282C"/>
    <w:rsid w:val="00DA29A4"/>
    <w:rsid w:val="00DA2CCE"/>
    <w:rsid w:val="00DA2D67"/>
    <w:rsid w:val="00DA2DBB"/>
    <w:rsid w:val="00DA2DFE"/>
    <w:rsid w:val="00DA2E5E"/>
    <w:rsid w:val="00DA300E"/>
    <w:rsid w:val="00DA30FC"/>
    <w:rsid w:val="00DA323A"/>
    <w:rsid w:val="00DA3379"/>
    <w:rsid w:val="00DA350E"/>
    <w:rsid w:val="00DA36ED"/>
    <w:rsid w:val="00DA3712"/>
    <w:rsid w:val="00DA3767"/>
    <w:rsid w:val="00DA38A6"/>
    <w:rsid w:val="00DA38B1"/>
    <w:rsid w:val="00DA39A9"/>
    <w:rsid w:val="00DA39C4"/>
    <w:rsid w:val="00DA39D7"/>
    <w:rsid w:val="00DA39F1"/>
    <w:rsid w:val="00DA3A11"/>
    <w:rsid w:val="00DA3AA7"/>
    <w:rsid w:val="00DA3AF5"/>
    <w:rsid w:val="00DA3C42"/>
    <w:rsid w:val="00DA3C8D"/>
    <w:rsid w:val="00DA3CC1"/>
    <w:rsid w:val="00DA3F46"/>
    <w:rsid w:val="00DA3FD4"/>
    <w:rsid w:val="00DA3FE7"/>
    <w:rsid w:val="00DA4032"/>
    <w:rsid w:val="00DA4281"/>
    <w:rsid w:val="00DA42D7"/>
    <w:rsid w:val="00DA43B5"/>
    <w:rsid w:val="00DA43EA"/>
    <w:rsid w:val="00DA4469"/>
    <w:rsid w:val="00DA4725"/>
    <w:rsid w:val="00DA486C"/>
    <w:rsid w:val="00DA49A7"/>
    <w:rsid w:val="00DA4A72"/>
    <w:rsid w:val="00DA4A82"/>
    <w:rsid w:val="00DA4A8D"/>
    <w:rsid w:val="00DA4AA7"/>
    <w:rsid w:val="00DA4C45"/>
    <w:rsid w:val="00DA4C5F"/>
    <w:rsid w:val="00DA4F73"/>
    <w:rsid w:val="00DA4F97"/>
    <w:rsid w:val="00DA4F9C"/>
    <w:rsid w:val="00DA4FD7"/>
    <w:rsid w:val="00DA516A"/>
    <w:rsid w:val="00DA5332"/>
    <w:rsid w:val="00DA534F"/>
    <w:rsid w:val="00DA542B"/>
    <w:rsid w:val="00DA549F"/>
    <w:rsid w:val="00DA54DC"/>
    <w:rsid w:val="00DA5593"/>
    <w:rsid w:val="00DA560B"/>
    <w:rsid w:val="00DA5612"/>
    <w:rsid w:val="00DA5695"/>
    <w:rsid w:val="00DA573B"/>
    <w:rsid w:val="00DA57AB"/>
    <w:rsid w:val="00DA57DB"/>
    <w:rsid w:val="00DA588A"/>
    <w:rsid w:val="00DA589E"/>
    <w:rsid w:val="00DA5B6D"/>
    <w:rsid w:val="00DA5CBF"/>
    <w:rsid w:val="00DA5D07"/>
    <w:rsid w:val="00DA5D4D"/>
    <w:rsid w:val="00DA5E95"/>
    <w:rsid w:val="00DA5F8C"/>
    <w:rsid w:val="00DA5FC6"/>
    <w:rsid w:val="00DA6040"/>
    <w:rsid w:val="00DA6041"/>
    <w:rsid w:val="00DA6086"/>
    <w:rsid w:val="00DA621D"/>
    <w:rsid w:val="00DA624F"/>
    <w:rsid w:val="00DA626D"/>
    <w:rsid w:val="00DA63D0"/>
    <w:rsid w:val="00DA63FD"/>
    <w:rsid w:val="00DA64F9"/>
    <w:rsid w:val="00DA6505"/>
    <w:rsid w:val="00DA65FB"/>
    <w:rsid w:val="00DA66EC"/>
    <w:rsid w:val="00DA6700"/>
    <w:rsid w:val="00DA6AA8"/>
    <w:rsid w:val="00DA6AC2"/>
    <w:rsid w:val="00DA6B9F"/>
    <w:rsid w:val="00DA6C17"/>
    <w:rsid w:val="00DA6C49"/>
    <w:rsid w:val="00DA6C5D"/>
    <w:rsid w:val="00DA6CF8"/>
    <w:rsid w:val="00DA6F15"/>
    <w:rsid w:val="00DA6F23"/>
    <w:rsid w:val="00DA6FA0"/>
    <w:rsid w:val="00DA6FA1"/>
    <w:rsid w:val="00DA7006"/>
    <w:rsid w:val="00DA710E"/>
    <w:rsid w:val="00DA7333"/>
    <w:rsid w:val="00DA7380"/>
    <w:rsid w:val="00DA7761"/>
    <w:rsid w:val="00DA7770"/>
    <w:rsid w:val="00DA783C"/>
    <w:rsid w:val="00DA78A2"/>
    <w:rsid w:val="00DA7AE6"/>
    <w:rsid w:val="00DA7B40"/>
    <w:rsid w:val="00DA7B7D"/>
    <w:rsid w:val="00DA7CAF"/>
    <w:rsid w:val="00DA7D4A"/>
    <w:rsid w:val="00DA7E62"/>
    <w:rsid w:val="00DA7EAE"/>
    <w:rsid w:val="00DA7FA2"/>
    <w:rsid w:val="00DB0062"/>
    <w:rsid w:val="00DB0063"/>
    <w:rsid w:val="00DB00EA"/>
    <w:rsid w:val="00DB03B6"/>
    <w:rsid w:val="00DB0451"/>
    <w:rsid w:val="00DB048A"/>
    <w:rsid w:val="00DB04AE"/>
    <w:rsid w:val="00DB04D6"/>
    <w:rsid w:val="00DB058D"/>
    <w:rsid w:val="00DB06B7"/>
    <w:rsid w:val="00DB0790"/>
    <w:rsid w:val="00DB0871"/>
    <w:rsid w:val="00DB08AA"/>
    <w:rsid w:val="00DB08D8"/>
    <w:rsid w:val="00DB0902"/>
    <w:rsid w:val="00DB093B"/>
    <w:rsid w:val="00DB0DE5"/>
    <w:rsid w:val="00DB0E09"/>
    <w:rsid w:val="00DB0E95"/>
    <w:rsid w:val="00DB0ECF"/>
    <w:rsid w:val="00DB106A"/>
    <w:rsid w:val="00DB109F"/>
    <w:rsid w:val="00DB1207"/>
    <w:rsid w:val="00DB120D"/>
    <w:rsid w:val="00DB128D"/>
    <w:rsid w:val="00DB12D6"/>
    <w:rsid w:val="00DB1501"/>
    <w:rsid w:val="00DB1764"/>
    <w:rsid w:val="00DB17DF"/>
    <w:rsid w:val="00DB190C"/>
    <w:rsid w:val="00DB1937"/>
    <w:rsid w:val="00DB1A73"/>
    <w:rsid w:val="00DB1A92"/>
    <w:rsid w:val="00DB1AAD"/>
    <w:rsid w:val="00DB1C74"/>
    <w:rsid w:val="00DB1CBA"/>
    <w:rsid w:val="00DB1D58"/>
    <w:rsid w:val="00DB1E9C"/>
    <w:rsid w:val="00DB1EC0"/>
    <w:rsid w:val="00DB21A5"/>
    <w:rsid w:val="00DB2233"/>
    <w:rsid w:val="00DB22F4"/>
    <w:rsid w:val="00DB23F8"/>
    <w:rsid w:val="00DB243C"/>
    <w:rsid w:val="00DB25DF"/>
    <w:rsid w:val="00DB2971"/>
    <w:rsid w:val="00DB298D"/>
    <w:rsid w:val="00DB29CE"/>
    <w:rsid w:val="00DB2A15"/>
    <w:rsid w:val="00DB2ACC"/>
    <w:rsid w:val="00DB2BB3"/>
    <w:rsid w:val="00DB2D50"/>
    <w:rsid w:val="00DB2EF0"/>
    <w:rsid w:val="00DB2F33"/>
    <w:rsid w:val="00DB30FB"/>
    <w:rsid w:val="00DB3124"/>
    <w:rsid w:val="00DB3157"/>
    <w:rsid w:val="00DB3177"/>
    <w:rsid w:val="00DB3293"/>
    <w:rsid w:val="00DB32E8"/>
    <w:rsid w:val="00DB3448"/>
    <w:rsid w:val="00DB34FD"/>
    <w:rsid w:val="00DB3540"/>
    <w:rsid w:val="00DB3591"/>
    <w:rsid w:val="00DB35E6"/>
    <w:rsid w:val="00DB3683"/>
    <w:rsid w:val="00DB3688"/>
    <w:rsid w:val="00DB3728"/>
    <w:rsid w:val="00DB37E5"/>
    <w:rsid w:val="00DB3810"/>
    <w:rsid w:val="00DB381B"/>
    <w:rsid w:val="00DB39A5"/>
    <w:rsid w:val="00DB39A9"/>
    <w:rsid w:val="00DB3A28"/>
    <w:rsid w:val="00DB3C1B"/>
    <w:rsid w:val="00DB4071"/>
    <w:rsid w:val="00DB40CE"/>
    <w:rsid w:val="00DB4157"/>
    <w:rsid w:val="00DB4174"/>
    <w:rsid w:val="00DB41C2"/>
    <w:rsid w:val="00DB4212"/>
    <w:rsid w:val="00DB4253"/>
    <w:rsid w:val="00DB4379"/>
    <w:rsid w:val="00DB4493"/>
    <w:rsid w:val="00DB455B"/>
    <w:rsid w:val="00DB4574"/>
    <w:rsid w:val="00DB47C6"/>
    <w:rsid w:val="00DB4857"/>
    <w:rsid w:val="00DB4A77"/>
    <w:rsid w:val="00DB4A99"/>
    <w:rsid w:val="00DB4C52"/>
    <w:rsid w:val="00DB4CD8"/>
    <w:rsid w:val="00DB4E8D"/>
    <w:rsid w:val="00DB4EFF"/>
    <w:rsid w:val="00DB4F30"/>
    <w:rsid w:val="00DB4FAB"/>
    <w:rsid w:val="00DB51D5"/>
    <w:rsid w:val="00DB5385"/>
    <w:rsid w:val="00DB53B8"/>
    <w:rsid w:val="00DB53DC"/>
    <w:rsid w:val="00DB5455"/>
    <w:rsid w:val="00DB5587"/>
    <w:rsid w:val="00DB5609"/>
    <w:rsid w:val="00DB56D5"/>
    <w:rsid w:val="00DB5758"/>
    <w:rsid w:val="00DB57A7"/>
    <w:rsid w:val="00DB5870"/>
    <w:rsid w:val="00DB5999"/>
    <w:rsid w:val="00DB5A1F"/>
    <w:rsid w:val="00DB5A42"/>
    <w:rsid w:val="00DB5AE6"/>
    <w:rsid w:val="00DB5C7F"/>
    <w:rsid w:val="00DB5C88"/>
    <w:rsid w:val="00DB5CE1"/>
    <w:rsid w:val="00DB5CF4"/>
    <w:rsid w:val="00DB5D10"/>
    <w:rsid w:val="00DB5D12"/>
    <w:rsid w:val="00DB5D41"/>
    <w:rsid w:val="00DB5E2F"/>
    <w:rsid w:val="00DB5E31"/>
    <w:rsid w:val="00DB60B3"/>
    <w:rsid w:val="00DB60C6"/>
    <w:rsid w:val="00DB6161"/>
    <w:rsid w:val="00DB618C"/>
    <w:rsid w:val="00DB6313"/>
    <w:rsid w:val="00DB6327"/>
    <w:rsid w:val="00DB63BD"/>
    <w:rsid w:val="00DB6420"/>
    <w:rsid w:val="00DB6427"/>
    <w:rsid w:val="00DB6440"/>
    <w:rsid w:val="00DB645A"/>
    <w:rsid w:val="00DB64AF"/>
    <w:rsid w:val="00DB64F4"/>
    <w:rsid w:val="00DB652F"/>
    <w:rsid w:val="00DB660A"/>
    <w:rsid w:val="00DB660F"/>
    <w:rsid w:val="00DB6643"/>
    <w:rsid w:val="00DB6649"/>
    <w:rsid w:val="00DB66AE"/>
    <w:rsid w:val="00DB6766"/>
    <w:rsid w:val="00DB676D"/>
    <w:rsid w:val="00DB67E0"/>
    <w:rsid w:val="00DB6803"/>
    <w:rsid w:val="00DB69FE"/>
    <w:rsid w:val="00DB6A84"/>
    <w:rsid w:val="00DB6B43"/>
    <w:rsid w:val="00DB6BDF"/>
    <w:rsid w:val="00DB6BE8"/>
    <w:rsid w:val="00DB6D20"/>
    <w:rsid w:val="00DB6ED2"/>
    <w:rsid w:val="00DB6F0E"/>
    <w:rsid w:val="00DB721D"/>
    <w:rsid w:val="00DB7292"/>
    <w:rsid w:val="00DB7316"/>
    <w:rsid w:val="00DB7413"/>
    <w:rsid w:val="00DB75C5"/>
    <w:rsid w:val="00DB769B"/>
    <w:rsid w:val="00DB772E"/>
    <w:rsid w:val="00DB786A"/>
    <w:rsid w:val="00DB7880"/>
    <w:rsid w:val="00DB78F0"/>
    <w:rsid w:val="00DB7B64"/>
    <w:rsid w:val="00DB7E7E"/>
    <w:rsid w:val="00DB7F1E"/>
    <w:rsid w:val="00DC008A"/>
    <w:rsid w:val="00DC0094"/>
    <w:rsid w:val="00DC015E"/>
    <w:rsid w:val="00DC01A6"/>
    <w:rsid w:val="00DC0386"/>
    <w:rsid w:val="00DC0397"/>
    <w:rsid w:val="00DC03C6"/>
    <w:rsid w:val="00DC04C0"/>
    <w:rsid w:val="00DC057B"/>
    <w:rsid w:val="00DC05A5"/>
    <w:rsid w:val="00DC0788"/>
    <w:rsid w:val="00DC078F"/>
    <w:rsid w:val="00DC083E"/>
    <w:rsid w:val="00DC087E"/>
    <w:rsid w:val="00DC0ABB"/>
    <w:rsid w:val="00DC0B19"/>
    <w:rsid w:val="00DC0B3C"/>
    <w:rsid w:val="00DC0B3F"/>
    <w:rsid w:val="00DC0B7E"/>
    <w:rsid w:val="00DC0E90"/>
    <w:rsid w:val="00DC0FA8"/>
    <w:rsid w:val="00DC11C9"/>
    <w:rsid w:val="00DC11D6"/>
    <w:rsid w:val="00DC1290"/>
    <w:rsid w:val="00DC12FF"/>
    <w:rsid w:val="00DC136D"/>
    <w:rsid w:val="00DC139B"/>
    <w:rsid w:val="00DC13E8"/>
    <w:rsid w:val="00DC1536"/>
    <w:rsid w:val="00DC16D2"/>
    <w:rsid w:val="00DC1810"/>
    <w:rsid w:val="00DC1826"/>
    <w:rsid w:val="00DC19CC"/>
    <w:rsid w:val="00DC1A5C"/>
    <w:rsid w:val="00DC1A67"/>
    <w:rsid w:val="00DC1A8F"/>
    <w:rsid w:val="00DC1ACD"/>
    <w:rsid w:val="00DC1B01"/>
    <w:rsid w:val="00DC1B90"/>
    <w:rsid w:val="00DC1C3D"/>
    <w:rsid w:val="00DC1DB6"/>
    <w:rsid w:val="00DC1DE5"/>
    <w:rsid w:val="00DC1F61"/>
    <w:rsid w:val="00DC227C"/>
    <w:rsid w:val="00DC2343"/>
    <w:rsid w:val="00DC24D5"/>
    <w:rsid w:val="00DC24DA"/>
    <w:rsid w:val="00DC25CE"/>
    <w:rsid w:val="00DC2698"/>
    <w:rsid w:val="00DC269D"/>
    <w:rsid w:val="00DC27CE"/>
    <w:rsid w:val="00DC284A"/>
    <w:rsid w:val="00DC285F"/>
    <w:rsid w:val="00DC291F"/>
    <w:rsid w:val="00DC29E5"/>
    <w:rsid w:val="00DC2C0F"/>
    <w:rsid w:val="00DC2C15"/>
    <w:rsid w:val="00DC2C5C"/>
    <w:rsid w:val="00DC2D79"/>
    <w:rsid w:val="00DC2FBF"/>
    <w:rsid w:val="00DC2FF3"/>
    <w:rsid w:val="00DC3219"/>
    <w:rsid w:val="00DC32CC"/>
    <w:rsid w:val="00DC3393"/>
    <w:rsid w:val="00DC348A"/>
    <w:rsid w:val="00DC34E7"/>
    <w:rsid w:val="00DC358C"/>
    <w:rsid w:val="00DC360B"/>
    <w:rsid w:val="00DC3794"/>
    <w:rsid w:val="00DC37DB"/>
    <w:rsid w:val="00DC38E2"/>
    <w:rsid w:val="00DC3925"/>
    <w:rsid w:val="00DC392A"/>
    <w:rsid w:val="00DC3A98"/>
    <w:rsid w:val="00DC3B57"/>
    <w:rsid w:val="00DC3B85"/>
    <w:rsid w:val="00DC3BCB"/>
    <w:rsid w:val="00DC3BD8"/>
    <w:rsid w:val="00DC3CDA"/>
    <w:rsid w:val="00DC3D91"/>
    <w:rsid w:val="00DC3E20"/>
    <w:rsid w:val="00DC3F12"/>
    <w:rsid w:val="00DC42A7"/>
    <w:rsid w:val="00DC42BC"/>
    <w:rsid w:val="00DC4370"/>
    <w:rsid w:val="00DC4462"/>
    <w:rsid w:val="00DC44D2"/>
    <w:rsid w:val="00DC452E"/>
    <w:rsid w:val="00DC457D"/>
    <w:rsid w:val="00DC46D0"/>
    <w:rsid w:val="00DC4853"/>
    <w:rsid w:val="00DC4910"/>
    <w:rsid w:val="00DC4918"/>
    <w:rsid w:val="00DC49BC"/>
    <w:rsid w:val="00DC49CA"/>
    <w:rsid w:val="00DC4A5E"/>
    <w:rsid w:val="00DC4AEF"/>
    <w:rsid w:val="00DC4B78"/>
    <w:rsid w:val="00DC4D29"/>
    <w:rsid w:val="00DC4D6D"/>
    <w:rsid w:val="00DC4DDB"/>
    <w:rsid w:val="00DC4DE1"/>
    <w:rsid w:val="00DC5064"/>
    <w:rsid w:val="00DC5248"/>
    <w:rsid w:val="00DC5343"/>
    <w:rsid w:val="00DC5358"/>
    <w:rsid w:val="00DC559B"/>
    <w:rsid w:val="00DC559C"/>
    <w:rsid w:val="00DC56C9"/>
    <w:rsid w:val="00DC570A"/>
    <w:rsid w:val="00DC599F"/>
    <w:rsid w:val="00DC5A3D"/>
    <w:rsid w:val="00DC5AAA"/>
    <w:rsid w:val="00DC5B52"/>
    <w:rsid w:val="00DC5C97"/>
    <w:rsid w:val="00DC5CB2"/>
    <w:rsid w:val="00DC5D85"/>
    <w:rsid w:val="00DC5DAA"/>
    <w:rsid w:val="00DC5E08"/>
    <w:rsid w:val="00DC5F34"/>
    <w:rsid w:val="00DC5F42"/>
    <w:rsid w:val="00DC5FD2"/>
    <w:rsid w:val="00DC6011"/>
    <w:rsid w:val="00DC606F"/>
    <w:rsid w:val="00DC60BA"/>
    <w:rsid w:val="00DC60CA"/>
    <w:rsid w:val="00DC6109"/>
    <w:rsid w:val="00DC6239"/>
    <w:rsid w:val="00DC63CA"/>
    <w:rsid w:val="00DC6463"/>
    <w:rsid w:val="00DC65A3"/>
    <w:rsid w:val="00DC663A"/>
    <w:rsid w:val="00DC664B"/>
    <w:rsid w:val="00DC6712"/>
    <w:rsid w:val="00DC6763"/>
    <w:rsid w:val="00DC67B7"/>
    <w:rsid w:val="00DC6816"/>
    <w:rsid w:val="00DC6951"/>
    <w:rsid w:val="00DC697A"/>
    <w:rsid w:val="00DC6A20"/>
    <w:rsid w:val="00DC6AAA"/>
    <w:rsid w:val="00DC6B0B"/>
    <w:rsid w:val="00DC6D0F"/>
    <w:rsid w:val="00DC6D59"/>
    <w:rsid w:val="00DC6E44"/>
    <w:rsid w:val="00DC6E84"/>
    <w:rsid w:val="00DC6F97"/>
    <w:rsid w:val="00DC6FF1"/>
    <w:rsid w:val="00DC7136"/>
    <w:rsid w:val="00DC72B9"/>
    <w:rsid w:val="00DC7335"/>
    <w:rsid w:val="00DC73BD"/>
    <w:rsid w:val="00DC7446"/>
    <w:rsid w:val="00DC7501"/>
    <w:rsid w:val="00DC75BC"/>
    <w:rsid w:val="00DC75EC"/>
    <w:rsid w:val="00DC76C7"/>
    <w:rsid w:val="00DC7C34"/>
    <w:rsid w:val="00DC7E34"/>
    <w:rsid w:val="00DC7E44"/>
    <w:rsid w:val="00DC7E64"/>
    <w:rsid w:val="00DC7EB7"/>
    <w:rsid w:val="00DC7EF9"/>
    <w:rsid w:val="00DC7F16"/>
    <w:rsid w:val="00DC7F90"/>
    <w:rsid w:val="00DC7FB1"/>
    <w:rsid w:val="00DD0029"/>
    <w:rsid w:val="00DD002C"/>
    <w:rsid w:val="00DD019B"/>
    <w:rsid w:val="00DD020D"/>
    <w:rsid w:val="00DD0271"/>
    <w:rsid w:val="00DD02A8"/>
    <w:rsid w:val="00DD03FC"/>
    <w:rsid w:val="00DD0622"/>
    <w:rsid w:val="00DD068D"/>
    <w:rsid w:val="00DD0703"/>
    <w:rsid w:val="00DD0876"/>
    <w:rsid w:val="00DD0AEE"/>
    <w:rsid w:val="00DD0B6B"/>
    <w:rsid w:val="00DD0BAC"/>
    <w:rsid w:val="00DD0C28"/>
    <w:rsid w:val="00DD0C85"/>
    <w:rsid w:val="00DD0CBE"/>
    <w:rsid w:val="00DD0E55"/>
    <w:rsid w:val="00DD0E6B"/>
    <w:rsid w:val="00DD1065"/>
    <w:rsid w:val="00DD1083"/>
    <w:rsid w:val="00DD10B6"/>
    <w:rsid w:val="00DD1145"/>
    <w:rsid w:val="00DD1168"/>
    <w:rsid w:val="00DD11CE"/>
    <w:rsid w:val="00DD11D8"/>
    <w:rsid w:val="00DD11FB"/>
    <w:rsid w:val="00DD1213"/>
    <w:rsid w:val="00DD126E"/>
    <w:rsid w:val="00DD1274"/>
    <w:rsid w:val="00DD12F9"/>
    <w:rsid w:val="00DD1458"/>
    <w:rsid w:val="00DD153B"/>
    <w:rsid w:val="00DD17E4"/>
    <w:rsid w:val="00DD17E9"/>
    <w:rsid w:val="00DD1873"/>
    <w:rsid w:val="00DD1953"/>
    <w:rsid w:val="00DD19F3"/>
    <w:rsid w:val="00DD1A82"/>
    <w:rsid w:val="00DD1B96"/>
    <w:rsid w:val="00DD1BA5"/>
    <w:rsid w:val="00DD1CB0"/>
    <w:rsid w:val="00DD1D0A"/>
    <w:rsid w:val="00DD1D44"/>
    <w:rsid w:val="00DD1DCC"/>
    <w:rsid w:val="00DD1E88"/>
    <w:rsid w:val="00DD1F6A"/>
    <w:rsid w:val="00DD1F7D"/>
    <w:rsid w:val="00DD1FA0"/>
    <w:rsid w:val="00DD1FFF"/>
    <w:rsid w:val="00DD2092"/>
    <w:rsid w:val="00DD212A"/>
    <w:rsid w:val="00DD216C"/>
    <w:rsid w:val="00DD220E"/>
    <w:rsid w:val="00DD237A"/>
    <w:rsid w:val="00DD23FB"/>
    <w:rsid w:val="00DD2412"/>
    <w:rsid w:val="00DD245C"/>
    <w:rsid w:val="00DD2503"/>
    <w:rsid w:val="00DD268B"/>
    <w:rsid w:val="00DD26EA"/>
    <w:rsid w:val="00DD275B"/>
    <w:rsid w:val="00DD2778"/>
    <w:rsid w:val="00DD27D5"/>
    <w:rsid w:val="00DD29CE"/>
    <w:rsid w:val="00DD2B2B"/>
    <w:rsid w:val="00DD2D1D"/>
    <w:rsid w:val="00DD2D25"/>
    <w:rsid w:val="00DD2DE9"/>
    <w:rsid w:val="00DD2E57"/>
    <w:rsid w:val="00DD2EB3"/>
    <w:rsid w:val="00DD2EF8"/>
    <w:rsid w:val="00DD2F50"/>
    <w:rsid w:val="00DD2F79"/>
    <w:rsid w:val="00DD2F96"/>
    <w:rsid w:val="00DD30B8"/>
    <w:rsid w:val="00DD3130"/>
    <w:rsid w:val="00DD3228"/>
    <w:rsid w:val="00DD32BC"/>
    <w:rsid w:val="00DD3384"/>
    <w:rsid w:val="00DD3496"/>
    <w:rsid w:val="00DD34DD"/>
    <w:rsid w:val="00DD3597"/>
    <w:rsid w:val="00DD367C"/>
    <w:rsid w:val="00DD3750"/>
    <w:rsid w:val="00DD37B3"/>
    <w:rsid w:val="00DD37C9"/>
    <w:rsid w:val="00DD3858"/>
    <w:rsid w:val="00DD3869"/>
    <w:rsid w:val="00DD3B96"/>
    <w:rsid w:val="00DD3F6F"/>
    <w:rsid w:val="00DD42BC"/>
    <w:rsid w:val="00DD4425"/>
    <w:rsid w:val="00DD4607"/>
    <w:rsid w:val="00DD463D"/>
    <w:rsid w:val="00DD4793"/>
    <w:rsid w:val="00DD4820"/>
    <w:rsid w:val="00DD48E1"/>
    <w:rsid w:val="00DD4AB6"/>
    <w:rsid w:val="00DD4D6A"/>
    <w:rsid w:val="00DD4D8A"/>
    <w:rsid w:val="00DD4EBE"/>
    <w:rsid w:val="00DD4F4A"/>
    <w:rsid w:val="00DD5155"/>
    <w:rsid w:val="00DD5618"/>
    <w:rsid w:val="00DD562E"/>
    <w:rsid w:val="00DD56B0"/>
    <w:rsid w:val="00DD5728"/>
    <w:rsid w:val="00DD57AE"/>
    <w:rsid w:val="00DD57AF"/>
    <w:rsid w:val="00DD57E8"/>
    <w:rsid w:val="00DD5888"/>
    <w:rsid w:val="00DD58FE"/>
    <w:rsid w:val="00DD5A4F"/>
    <w:rsid w:val="00DD5B11"/>
    <w:rsid w:val="00DD5B3D"/>
    <w:rsid w:val="00DD5E06"/>
    <w:rsid w:val="00DD5E15"/>
    <w:rsid w:val="00DD5F36"/>
    <w:rsid w:val="00DD6008"/>
    <w:rsid w:val="00DD6022"/>
    <w:rsid w:val="00DD6290"/>
    <w:rsid w:val="00DD6298"/>
    <w:rsid w:val="00DD64E6"/>
    <w:rsid w:val="00DD6505"/>
    <w:rsid w:val="00DD66B0"/>
    <w:rsid w:val="00DD6715"/>
    <w:rsid w:val="00DD6A0C"/>
    <w:rsid w:val="00DD6A83"/>
    <w:rsid w:val="00DD6B03"/>
    <w:rsid w:val="00DD6B15"/>
    <w:rsid w:val="00DD6B84"/>
    <w:rsid w:val="00DD6BBB"/>
    <w:rsid w:val="00DD6C2B"/>
    <w:rsid w:val="00DD6EF9"/>
    <w:rsid w:val="00DD6FA0"/>
    <w:rsid w:val="00DD704B"/>
    <w:rsid w:val="00DD7050"/>
    <w:rsid w:val="00DD727B"/>
    <w:rsid w:val="00DD74B9"/>
    <w:rsid w:val="00DD7542"/>
    <w:rsid w:val="00DD7623"/>
    <w:rsid w:val="00DD781F"/>
    <w:rsid w:val="00DD7849"/>
    <w:rsid w:val="00DD7972"/>
    <w:rsid w:val="00DD7996"/>
    <w:rsid w:val="00DD79D3"/>
    <w:rsid w:val="00DD7B53"/>
    <w:rsid w:val="00DD7D1F"/>
    <w:rsid w:val="00DD7D86"/>
    <w:rsid w:val="00DD7D9B"/>
    <w:rsid w:val="00DD7E18"/>
    <w:rsid w:val="00DE00F1"/>
    <w:rsid w:val="00DE0101"/>
    <w:rsid w:val="00DE01E6"/>
    <w:rsid w:val="00DE033E"/>
    <w:rsid w:val="00DE0370"/>
    <w:rsid w:val="00DE03C7"/>
    <w:rsid w:val="00DE044F"/>
    <w:rsid w:val="00DE053A"/>
    <w:rsid w:val="00DE07A3"/>
    <w:rsid w:val="00DE080A"/>
    <w:rsid w:val="00DE082A"/>
    <w:rsid w:val="00DE0A97"/>
    <w:rsid w:val="00DE0BC5"/>
    <w:rsid w:val="00DE0D03"/>
    <w:rsid w:val="00DE0F8C"/>
    <w:rsid w:val="00DE1165"/>
    <w:rsid w:val="00DE1174"/>
    <w:rsid w:val="00DE15F7"/>
    <w:rsid w:val="00DE1679"/>
    <w:rsid w:val="00DE194D"/>
    <w:rsid w:val="00DE1A1C"/>
    <w:rsid w:val="00DE1BA0"/>
    <w:rsid w:val="00DE1CE6"/>
    <w:rsid w:val="00DE1E17"/>
    <w:rsid w:val="00DE1F3D"/>
    <w:rsid w:val="00DE1F5B"/>
    <w:rsid w:val="00DE1F73"/>
    <w:rsid w:val="00DE1FFF"/>
    <w:rsid w:val="00DE2005"/>
    <w:rsid w:val="00DE200A"/>
    <w:rsid w:val="00DE20E2"/>
    <w:rsid w:val="00DE2235"/>
    <w:rsid w:val="00DE22D4"/>
    <w:rsid w:val="00DE23B3"/>
    <w:rsid w:val="00DE2556"/>
    <w:rsid w:val="00DE2562"/>
    <w:rsid w:val="00DE262F"/>
    <w:rsid w:val="00DE2630"/>
    <w:rsid w:val="00DE26D0"/>
    <w:rsid w:val="00DE26FE"/>
    <w:rsid w:val="00DE276E"/>
    <w:rsid w:val="00DE27FC"/>
    <w:rsid w:val="00DE2808"/>
    <w:rsid w:val="00DE294D"/>
    <w:rsid w:val="00DE2B14"/>
    <w:rsid w:val="00DE2B40"/>
    <w:rsid w:val="00DE2B4E"/>
    <w:rsid w:val="00DE2BB3"/>
    <w:rsid w:val="00DE2C74"/>
    <w:rsid w:val="00DE2CC2"/>
    <w:rsid w:val="00DE2D06"/>
    <w:rsid w:val="00DE2D6D"/>
    <w:rsid w:val="00DE2DD0"/>
    <w:rsid w:val="00DE2ED8"/>
    <w:rsid w:val="00DE2EE2"/>
    <w:rsid w:val="00DE3047"/>
    <w:rsid w:val="00DE328B"/>
    <w:rsid w:val="00DE32E9"/>
    <w:rsid w:val="00DE33EC"/>
    <w:rsid w:val="00DE33FD"/>
    <w:rsid w:val="00DE343F"/>
    <w:rsid w:val="00DE3620"/>
    <w:rsid w:val="00DE36E5"/>
    <w:rsid w:val="00DE385C"/>
    <w:rsid w:val="00DE38EF"/>
    <w:rsid w:val="00DE3B8E"/>
    <w:rsid w:val="00DE3D8C"/>
    <w:rsid w:val="00DE3DF1"/>
    <w:rsid w:val="00DE3E63"/>
    <w:rsid w:val="00DE4136"/>
    <w:rsid w:val="00DE4172"/>
    <w:rsid w:val="00DE41E1"/>
    <w:rsid w:val="00DE42AA"/>
    <w:rsid w:val="00DE4501"/>
    <w:rsid w:val="00DE4513"/>
    <w:rsid w:val="00DE45CF"/>
    <w:rsid w:val="00DE4658"/>
    <w:rsid w:val="00DE470E"/>
    <w:rsid w:val="00DE476E"/>
    <w:rsid w:val="00DE478E"/>
    <w:rsid w:val="00DE4791"/>
    <w:rsid w:val="00DE47A0"/>
    <w:rsid w:val="00DE48A2"/>
    <w:rsid w:val="00DE499F"/>
    <w:rsid w:val="00DE4A9A"/>
    <w:rsid w:val="00DE4E40"/>
    <w:rsid w:val="00DE4EAF"/>
    <w:rsid w:val="00DE4EFE"/>
    <w:rsid w:val="00DE4F2E"/>
    <w:rsid w:val="00DE50BA"/>
    <w:rsid w:val="00DE5196"/>
    <w:rsid w:val="00DE5292"/>
    <w:rsid w:val="00DE5584"/>
    <w:rsid w:val="00DE5678"/>
    <w:rsid w:val="00DE58BE"/>
    <w:rsid w:val="00DE58E3"/>
    <w:rsid w:val="00DE590B"/>
    <w:rsid w:val="00DE5933"/>
    <w:rsid w:val="00DE5963"/>
    <w:rsid w:val="00DE5970"/>
    <w:rsid w:val="00DE5987"/>
    <w:rsid w:val="00DE5ACE"/>
    <w:rsid w:val="00DE5B56"/>
    <w:rsid w:val="00DE5BE2"/>
    <w:rsid w:val="00DE5C44"/>
    <w:rsid w:val="00DE5D7A"/>
    <w:rsid w:val="00DE5D9B"/>
    <w:rsid w:val="00DE5E98"/>
    <w:rsid w:val="00DE60C7"/>
    <w:rsid w:val="00DE60E5"/>
    <w:rsid w:val="00DE622D"/>
    <w:rsid w:val="00DE62D3"/>
    <w:rsid w:val="00DE630F"/>
    <w:rsid w:val="00DE64AA"/>
    <w:rsid w:val="00DE66E9"/>
    <w:rsid w:val="00DE6964"/>
    <w:rsid w:val="00DE69CB"/>
    <w:rsid w:val="00DE6A27"/>
    <w:rsid w:val="00DE6A5E"/>
    <w:rsid w:val="00DE6AB0"/>
    <w:rsid w:val="00DE6B69"/>
    <w:rsid w:val="00DE6E91"/>
    <w:rsid w:val="00DE7028"/>
    <w:rsid w:val="00DE70C3"/>
    <w:rsid w:val="00DE70DB"/>
    <w:rsid w:val="00DE70E3"/>
    <w:rsid w:val="00DE7134"/>
    <w:rsid w:val="00DE7153"/>
    <w:rsid w:val="00DE7222"/>
    <w:rsid w:val="00DE72F1"/>
    <w:rsid w:val="00DE743F"/>
    <w:rsid w:val="00DE7466"/>
    <w:rsid w:val="00DE74EB"/>
    <w:rsid w:val="00DE7525"/>
    <w:rsid w:val="00DE757C"/>
    <w:rsid w:val="00DE774C"/>
    <w:rsid w:val="00DE77E5"/>
    <w:rsid w:val="00DE78BC"/>
    <w:rsid w:val="00DE7C05"/>
    <w:rsid w:val="00DE7C67"/>
    <w:rsid w:val="00DE7C7D"/>
    <w:rsid w:val="00DE7CC1"/>
    <w:rsid w:val="00DE7CDF"/>
    <w:rsid w:val="00DE7D0B"/>
    <w:rsid w:val="00DE7D77"/>
    <w:rsid w:val="00DE7DB2"/>
    <w:rsid w:val="00DE7F47"/>
    <w:rsid w:val="00DE7FF1"/>
    <w:rsid w:val="00DF0249"/>
    <w:rsid w:val="00DF0381"/>
    <w:rsid w:val="00DF04AD"/>
    <w:rsid w:val="00DF04E5"/>
    <w:rsid w:val="00DF05C5"/>
    <w:rsid w:val="00DF05F0"/>
    <w:rsid w:val="00DF072D"/>
    <w:rsid w:val="00DF0754"/>
    <w:rsid w:val="00DF0803"/>
    <w:rsid w:val="00DF08B6"/>
    <w:rsid w:val="00DF090E"/>
    <w:rsid w:val="00DF0969"/>
    <w:rsid w:val="00DF0B8E"/>
    <w:rsid w:val="00DF0E78"/>
    <w:rsid w:val="00DF0E7A"/>
    <w:rsid w:val="00DF0F47"/>
    <w:rsid w:val="00DF0F48"/>
    <w:rsid w:val="00DF0F76"/>
    <w:rsid w:val="00DF0F78"/>
    <w:rsid w:val="00DF10A0"/>
    <w:rsid w:val="00DF10D4"/>
    <w:rsid w:val="00DF10DC"/>
    <w:rsid w:val="00DF1153"/>
    <w:rsid w:val="00DF12AD"/>
    <w:rsid w:val="00DF1315"/>
    <w:rsid w:val="00DF1495"/>
    <w:rsid w:val="00DF153A"/>
    <w:rsid w:val="00DF1854"/>
    <w:rsid w:val="00DF19AD"/>
    <w:rsid w:val="00DF1A43"/>
    <w:rsid w:val="00DF1AB3"/>
    <w:rsid w:val="00DF1AC2"/>
    <w:rsid w:val="00DF1D7E"/>
    <w:rsid w:val="00DF1E47"/>
    <w:rsid w:val="00DF1FF2"/>
    <w:rsid w:val="00DF2021"/>
    <w:rsid w:val="00DF209C"/>
    <w:rsid w:val="00DF215B"/>
    <w:rsid w:val="00DF21E1"/>
    <w:rsid w:val="00DF2373"/>
    <w:rsid w:val="00DF23C0"/>
    <w:rsid w:val="00DF2405"/>
    <w:rsid w:val="00DF261A"/>
    <w:rsid w:val="00DF2851"/>
    <w:rsid w:val="00DF28DF"/>
    <w:rsid w:val="00DF29D4"/>
    <w:rsid w:val="00DF2AA8"/>
    <w:rsid w:val="00DF2B7D"/>
    <w:rsid w:val="00DF2C24"/>
    <w:rsid w:val="00DF2CB9"/>
    <w:rsid w:val="00DF2EC1"/>
    <w:rsid w:val="00DF3026"/>
    <w:rsid w:val="00DF3033"/>
    <w:rsid w:val="00DF30B3"/>
    <w:rsid w:val="00DF3280"/>
    <w:rsid w:val="00DF32C2"/>
    <w:rsid w:val="00DF32E5"/>
    <w:rsid w:val="00DF3476"/>
    <w:rsid w:val="00DF347A"/>
    <w:rsid w:val="00DF34DB"/>
    <w:rsid w:val="00DF3503"/>
    <w:rsid w:val="00DF3569"/>
    <w:rsid w:val="00DF3579"/>
    <w:rsid w:val="00DF366E"/>
    <w:rsid w:val="00DF36CE"/>
    <w:rsid w:val="00DF3764"/>
    <w:rsid w:val="00DF393E"/>
    <w:rsid w:val="00DF3958"/>
    <w:rsid w:val="00DF3AAA"/>
    <w:rsid w:val="00DF3B10"/>
    <w:rsid w:val="00DF3C7F"/>
    <w:rsid w:val="00DF3CC4"/>
    <w:rsid w:val="00DF3CF9"/>
    <w:rsid w:val="00DF3DA7"/>
    <w:rsid w:val="00DF3E45"/>
    <w:rsid w:val="00DF3F38"/>
    <w:rsid w:val="00DF3FB1"/>
    <w:rsid w:val="00DF400F"/>
    <w:rsid w:val="00DF40CE"/>
    <w:rsid w:val="00DF410D"/>
    <w:rsid w:val="00DF418B"/>
    <w:rsid w:val="00DF438B"/>
    <w:rsid w:val="00DF43E8"/>
    <w:rsid w:val="00DF46F7"/>
    <w:rsid w:val="00DF472A"/>
    <w:rsid w:val="00DF4852"/>
    <w:rsid w:val="00DF4887"/>
    <w:rsid w:val="00DF49CE"/>
    <w:rsid w:val="00DF4B3D"/>
    <w:rsid w:val="00DF4B73"/>
    <w:rsid w:val="00DF4C0E"/>
    <w:rsid w:val="00DF4D38"/>
    <w:rsid w:val="00DF4E16"/>
    <w:rsid w:val="00DF5008"/>
    <w:rsid w:val="00DF50EC"/>
    <w:rsid w:val="00DF5109"/>
    <w:rsid w:val="00DF5148"/>
    <w:rsid w:val="00DF51D8"/>
    <w:rsid w:val="00DF534C"/>
    <w:rsid w:val="00DF53E4"/>
    <w:rsid w:val="00DF5480"/>
    <w:rsid w:val="00DF550C"/>
    <w:rsid w:val="00DF55C1"/>
    <w:rsid w:val="00DF575E"/>
    <w:rsid w:val="00DF5910"/>
    <w:rsid w:val="00DF5973"/>
    <w:rsid w:val="00DF598B"/>
    <w:rsid w:val="00DF599A"/>
    <w:rsid w:val="00DF5A15"/>
    <w:rsid w:val="00DF5AB4"/>
    <w:rsid w:val="00DF5B34"/>
    <w:rsid w:val="00DF5BC8"/>
    <w:rsid w:val="00DF5C23"/>
    <w:rsid w:val="00DF5C95"/>
    <w:rsid w:val="00DF5CCD"/>
    <w:rsid w:val="00DF5D8F"/>
    <w:rsid w:val="00DF5D9B"/>
    <w:rsid w:val="00DF5DFE"/>
    <w:rsid w:val="00DF5E36"/>
    <w:rsid w:val="00DF6005"/>
    <w:rsid w:val="00DF609B"/>
    <w:rsid w:val="00DF615B"/>
    <w:rsid w:val="00DF6182"/>
    <w:rsid w:val="00DF61AC"/>
    <w:rsid w:val="00DF61F3"/>
    <w:rsid w:val="00DF6286"/>
    <w:rsid w:val="00DF62C5"/>
    <w:rsid w:val="00DF6408"/>
    <w:rsid w:val="00DF650B"/>
    <w:rsid w:val="00DF6670"/>
    <w:rsid w:val="00DF6705"/>
    <w:rsid w:val="00DF677A"/>
    <w:rsid w:val="00DF68D8"/>
    <w:rsid w:val="00DF6A91"/>
    <w:rsid w:val="00DF6BBA"/>
    <w:rsid w:val="00DF6D0C"/>
    <w:rsid w:val="00DF6D66"/>
    <w:rsid w:val="00DF7065"/>
    <w:rsid w:val="00DF7124"/>
    <w:rsid w:val="00DF7199"/>
    <w:rsid w:val="00DF71D2"/>
    <w:rsid w:val="00DF71D3"/>
    <w:rsid w:val="00DF7256"/>
    <w:rsid w:val="00DF72A3"/>
    <w:rsid w:val="00DF7385"/>
    <w:rsid w:val="00DF7467"/>
    <w:rsid w:val="00DF7485"/>
    <w:rsid w:val="00DF74EA"/>
    <w:rsid w:val="00DF7579"/>
    <w:rsid w:val="00DF7789"/>
    <w:rsid w:val="00DF782D"/>
    <w:rsid w:val="00DF793B"/>
    <w:rsid w:val="00DF7A44"/>
    <w:rsid w:val="00DF7BFE"/>
    <w:rsid w:val="00DF7D3B"/>
    <w:rsid w:val="00DF7DD1"/>
    <w:rsid w:val="00DF7E05"/>
    <w:rsid w:val="00DF7E9B"/>
    <w:rsid w:val="00DF7FF3"/>
    <w:rsid w:val="00E00076"/>
    <w:rsid w:val="00E00183"/>
    <w:rsid w:val="00E00200"/>
    <w:rsid w:val="00E00229"/>
    <w:rsid w:val="00E00246"/>
    <w:rsid w:val="00E002A2"/>
    <w:rsid w:val="00E00304"/>
    <w:rsid w:val="00E003A0"/>
    <w:rsid w:val="00E004F4"/>
    <w:rsid w:val="00E0051F"/>
    <w:rsid w:val="00E00625"/>
    <w:rsid w:val="00E006E3"/>
    <w:rsid w:val="00E00733"/>
    <w:rsid w:val="00E00775"/>
    <w:rsid w:val="00E0087F"/>
    <w:rsid w:val="00E008E8"/>
    <w:rsid w:val="00E00930"/>
    <w:rsid w:val="00E00985"/>
    <w:rsid w:val="00E009A1"/>
    <w:rsid w:val="00E009D6"/>
    <w:rsid w:val="00E00CC7"/>
    <w:rsid w:val="00E00CDB"/>
    <w:rsid w:val="00E00E0E"/>
    <w:rsid w:val="00E00EBA"/>
    <w:rsid w:val="00E00ED5"/>
    <w:rsid w:val="00E00FB1"/>
    <w:rsid w:val="00E00FC7"/>
    <w:rsid w:val="00E01046"/>
    <w:rsid w:val="00E0112F"/>
    <w:rsid w:val="00E01164"/>
    <w:rsid w:val="00E0116B"/>
    <w:rsid w:val="00E011FD"/>
    <w:rsid w:val="00E0122D"/>
    <w:rsid w:val="00E0146A"/>
    <w:rsid w:val="00E01509"/>
    <w:rsid w:val="00E0151E"/>
    <w:rsid w:val="00E018F7"/>
    <w:rsid w:val="00E01976"/>
    <w:rsid w:val="00E019FF"/>
    <w:rsid w:val="00E01B1D"/>
    <w:rsid w:val="00E01C07"/>
    <w:rsid w:val="00E01C15"/>
    <w:rsid w:val="00E01E25"/>
    <w:rsid w:val="00E01E47"/>
    <w:rsid w:val="00E01E6F"/>
    <w:rsid w:val="00E01F6A"/>
    <w:rsid w:val="00E0208D"/>
    <w:rsid w:val="00E02237"/>
    <w:rsid w:val="00E0227F"/>
    <w:rsid w:val="00E02371"/>
    <w:rsid w:val="00E02443"/>
    <w:rsid w:val="00E02510"/>
    <w:rsid w:val="00E02582"/>
    <w:rsid w:val="00E025DD"/>
    <w:rsid w:val="00E026A2"/>
    <w:rsid w:val="00E0274A"/>
    <w:rsid w:val="00E0286A"/>
    <w:rsid w:val="00E028D5"/>
    <w:rsid w:val="00E029F4"/>
    <w:rsid w:val="00E02AD6"/>
    <w:rsid w:val="00E02B04"/>
    <w:rsid w:val="00E02C57"/>
    <w:rsid w:val="00E02C64"/>
    <w:rsid w:val="00E02CC0"/>
    <w:rsid w:val="00E02E06"/>
    <w:rsid w:val="00E02E26"/>
    <w:rsid w:val="00E02E75"/>
    <w:rsid w:val="00E02F59"/>
    <w:rsid w:val="00E031E9"/>
    <w:rsid w:val="00E0320A"/>
    <w:rsid w:val="00E03391"/>
    <w:rsid w:val="00E0340C"/>
    <w:rsid w:val="00E03577"/>
    <w:rsid w:val="00E036FE"/>
    <w:rsid w:val="00E0379C"/>
    <w:rsid w:val="00E03868"/>
    <w:rsid w:val="00E0392E"/>
    <w:rsid w:val="00E0395C"/>
    <w:rsid w:val="00E03CA4"/>
    <w:rsid w:val="00E03D7A"/>
    <w:rsid w:val="00E04045"/>
    <w:rsid w:val="00E0405A"/>
    <w:rsid w:val="00E0415D"/>
    <w:rsid w:val="00E041BF"/>
    <w:rsid w:val="00E0421D"/>
    <w:rsid w:val="00E0437C"/>
    <w:rsid w:val="00E043F7"/>
    <w:rsid w:val="00E0447C"/>
    <w:rsid w:val="00E04480"/>
    <w:rsid w:val="00E044AD"/>
    <w:rsid w:val="00E0453D"/>
    <w:rsid w:val="00E0453F"/>
    <w:rsid w:val="00E0454F"/>
    <w:rsid w:val="00E045A1"/>
    <w:rsid w:val="00E045B7"/>
    <w:rsid w:val="00E04635"/>
    <w:rsid w:val="00E046C4"/>
    <w:rsid w:val="00E04836"/>
    <w:rsid w:val="00E0487E"/>
    <w:rsid w:val="00E04A62"/>
    <w:rsid w:val="00E04B1A"/>
    <w:rsid w:val="00E04B60"/>
    <w:rsid w:val="00E04BB0"/>
    <w:rsid w:val="00E04C44"/>
    <w:rsid w:val="00E04CC7"/>
    <w:rsid w:val="00E04CFA"/>
    <w:rsid w:val="00E04F1D"/>
    <w:rsid w:val="00E04FE7"/>
    <w:rsid w:val="00E0508F"/>
    <w:rsid w:val="00E051FE"/>
    <w:rsid w:val="00E0542F"/>
    <w:rsid w:val="00E05640"/>
    <w:rsid w:val="00E056CB"/>
    <w:rsid w:val="00E05729"/>
    <w:rsid w:val="00E0576A"/>
    <w:rsid w:val="00E057BD"/>
    <w:rsid w:val="00E05882"/>
    <w:rsid w:val="00E05A43"/>
    <w:rsid w:val="00E05C0C"/>
    <w:rsid w:val="00E05C98"/>
    <w:rsid w:val="00E05CA4"/>
    <w:rsid w:val="00E05CC1"/>
    <w:rsid w:val="00E05D27"/>
    <w:rsid w:val="00E05DCB"/>
    <w:rsid w:val="00E05E12"/>
    <w:rsid w:val="00E05E95"/>
    <w:rsid w:val="00E05FC0"/>
    <w:rsid w:val="00E06020"/>
    <w:rsid w:val="00E0603D"/>
    <w:rsid w:val="00E0614D"/>
    <w:rsid w:val="00E0617D"/>
    <w:rsid w:val="00E06240"/>
    <w:rsid w:val="00E062F9"/>
    <w:rsid w:val="00E06351"/>
    <w:rsid w:val="00E06383"/>
    <w:rsid w:val="00E063FA"/>
    <w:rsid w:val="00E0643D"/>
    <w:rsid w:val="00E06457"/>
    <w:rsid w:val="00E0647B"/>
    <w:rsid w:val="00E064A2"/>
    <w:rsid w:val="00E0650C"/>
    <w:rsid w:val="00E065F3"/>
    <w:rsid w:val="00E065FE"/>
    <w:rsid w:val="00E0663C"/>
    <w:rsid w:val="00E0679F"/>
    <w:rsid w:val="00E067E9"/>
    <w:rsid w:val="00E06801"/>
    <w:rsid w:val="00E0684E"/>
    <w:rsid w:val="00E06886"/>
    <w:rsid w:val="00E06947"/>
    <w:rsid w:val="00E06982"/>
    <w:rsid w:val="00E06A50"/>
    <w:rsid w:val="00E06B44"/>
    <w:rsid w:val="00E06BB9"/>
    <w:rsid w:val="00E06C96"/>
    <w:rsid w:val="00E06E61"/>
    <w:rsid w:val="00E06EC9"/>
    <w:rsid w:val="00E06EF3"/>
    <w:rsid w:val="00E06EFD"/>
    <w:rsid w:val="00E06F91"/>
    <w:rsid w:val="00E071E5"/>
    <w:rsid w:val="00E07287"/>
    <w:rsid w:val="00E07292"/>
    <w:rsid w:val="00E07344"/>
    <w:rsid w:val="00E073DB"/>
    <w:rsid w:val="00E0749A"/>
    <w:rsid w:val="00E07500"/>
    <w:rsid w:val="00E07746"/>
    <w:rsid w:val="00E0777D"/>
    <w:rsid w:val="00E0777E"/>
    <w:rsid w:val="00E077D2"/>
    <w:rsid w:val="00E077EE"/>
    <w:rsid w:val="00E07A50"/>
    <w:rsid w:val="00E07A84"/>
    <w:rsid w:val="00E07AD6"/>
    <w:rsid w:val="00E07C57"/>
    <w:rsid w:val="00E07CBF"/>
    <w:rsid w:val="00E07D6F"/>
    <w:rsid w:val="00E07E85"/>
    <w:rsid w:val="00E07F84"/>
    <w:rsid w:val="00E1010D"/>
    <w:rsid w:val="00E10116"/>
    <w:rsid w:val="00E1038F"/>
    <w:rsid w:val="00E1056C"/>
    <w:rsid w:val="00E10623"/>
    <w:rsid w:val="00E10662"/>
    <w:rsid w:val="00E106E8"/>
    <w:rsid w:val="00E107F6"/>
    <w:rsid w:val="00E1083A"/>
    <w:rsid w:val="00E1088A"/>
    <w:rsid w:val="00E108A2"/>
    <w:rsid w:val="00E10925"/>
    <w:rsid w:val="00E109FC"/>
    <w:rsid w:val="00E10A26"/>
    <w:rsid w:val="00E10AA9"/>
    <w:rsid w:val="00E10B8C"/>
    <w:rsid w:val="00E10B96"/>
    <w:rsid w:val="00E10B97"/>
    <w:rsid w:val="00E10D78"/>
    <w:rsid w:val="00E10D91"/>
    <w:rsid w:val="00E10F31"/>
    <w:rsid w:val="00E10FDF"/>
    <w:rsid w:val="00E110E8"/>
    <w:rsid w:val="00E11175"/>
    <w:rsid w:val="00E11338"/>
    <w:rsid w:val="00E11549"/>
    <w:rsid w:val="00E11599"/>
    <w:rsid w:val="00E11639"/>
    <w:rsid w:val="00E11645"/>
    <w:rsid w:val="00E11A59"/>
    <w:rsid w:val="00E11C09"/>
    <w:rsid w:val="00E11C17"/>
    <w:rsid w:val="00E11D5C"/>
    <w:rsid w:val="00E11E3F"/>
    <w:rsid w:val="00E11E8E"/>
    <w:rsid w:val="00E11EDC"/>
    <w:rsid w:val="00E1204E"/>
    <w:rsid w:val="00E12140"/>
    <w:rsid w:val="00E12180"/>
    <w:rsid w:val="00E121F6"/>
    <w:rsid w:val="00E121FF"/>
    <w:rsid w:val="00E122CF"/>
    <w:rsid w:val="00E122E4"/>
    <w:rsid w:val="00E12343"/>
    <w:rsid w:val="00E123F2"/>
    <w:rsid w:val="00E1246E"/>
    <w:rsid w:val="00E124A3"/>
    <w:rsid w:val="00E125B8"/>
    <w:rsid w:val="00E125D2"/>
    <w:rsid w:val="00E12662"/>
    <w:rsid w:val="00E12692"/>
    <w:rsid w:val="00E127D4"/>
    <w:rsid w:val="00E12BB3"/>
    <w:rsid w:val="00E12C43"/>
    <w:rsid w:val="00E12C8C"/>
    <w:rsid w:val="00E12CE4"/>
    <w:rsid w:val="00E12D22"/>
    <w:rsid w:val="00E12DEE"/>
    <w:rsid w:val="00E12FF1"/>
    <w:rsid w:val="00E1303B"/>
    <w:rsid w:val="00E13060"/>
    <w:rsid w:val="00E13072"/>
    <w:rsid w:val="00E13080"/>
    <w:rsid w:val="00E132AF"/>
    <w:rsid w:val="00E133B2"/>
    <w:rsid w:val="00E1353F"/>
    <w:rsid w:val="00E1362F"/>
    <w:rsid w:val="00E13681"/>
    <w:rsid w:val="00E136A5"/>
    <w:rsid w:val="00E136C6"/>
    <w:rsid w:val="00E13715"/>
    <w:rsid w:val="00E13724"/>
    <w:rsid w:val="00E1373A"/>
    <w:rsid w:val="00E13751"/>
    <w:rsid w:val="00E137E7"/>
    <w:rsid w:val="00E13930"/>
    <w:rsid w:val="00E13AB8"/>
    <w:rsid w:val="00E13B01"/>
    <w:rsid w:val="00E13BC7"/>
    <w:rsid w:val="00E13D99"/>
    <w:rsid w:val="00E13DE5"/>
    <w:rsid w:val="00E13FB2"/>
    <w:rsid w:val="00E13FEE"/>
    <w:rsid w:val="00E13FFE"/>
    <w:rsid w:val="00E14074"/>
    <w:rsid w:val="00E14212"/>
    <w:rsid w:val="00E142CE"/>
    <w:rsid w:val="00E142CF"/>
    <w:rsid w:val="00E142D8"/>
    <w:rsid w:val="00E14310"/>
    <w:rsid w:val="00E14461"/>
    <w:rsid w:val="00E1459A"/>
    <w:rsid w:val="00E145A4"/>
    <w:rsid w:val="00E14729"/>
    <w:rsid w:val="00E14768"/>
    <w:rsid w:val="00E1490D"/>
    <w:rsid w:val="00E14920"/>
    <w:rsid w:val="00E14924"/>
    <w:rsid w:val="00E14A25"/>
    <w:rsid w:val="00E14A57"/>
    <w:rsid w:val="00E14A60"/>
    <w:rsid w:val="00E14AE8"/>
    <w:rsid w:val="00E14B0B"/>
    <w:rsid w:val="00E14B14"/>
    <w:rsid w:val="00E14BA0"/>
    <w:rsid w:val="00E14C26"/>
    <w:rsid w:val="00E14C9C"/>
    <w:rsid w:val="00E14CDE"/>
    <w:rsid w:val="00E14E75"/>
    <w:rsid w:val="00E14F3C"/>
    <w:rsid w:val="00E150C1"/>
    <w:rsid w:val="00E15252"/>
    <w:rsid w:val="00E15280"/>
    <w:rsid w:val="00E152DD"/>
    <w:rsid w:val="00E153DE"/>
    <w:rsid w:val="00E15475"/>
    <w:rsid w:val="00E15494"/>
    <w:rsid w:val="00E1564F"/>
    <w:rsid w:val="00E15717"/>
    <w:rsid w:val="00E157C7"/>
    <w:rsid w:val="00E157EA"/>
    <w:rsid w:val="00E1592F"/>
    <w:rsid w:val="00E1593C"/>
    <w:rsid w:val="00E15A06"/>
    <w:rsid w:val="00E15CA3"/>
    <w:rsid w:val="00E15CD7"/>
    <w:rsid w:val="00E15D64"/>
    <w:rsid w:val="00E15FF2"/>
    <w:rsid w:val="00E16287"/>
    <w:rsid w:val="00E162C6"/>
    <w:rsid w:val="00E1638B"/>
    <w:rsid w:val="00E163B7"/>
    <w:rsid w:val="00E16465"/>
    <w:rsid w:val="00E165F9"/>
    <w:rsid w:val="00E16661"/>
    <w:rsid w:val="00E166C6"/>
    <w:rsid w:val="00E168E4"/>
    <w:rsid w:val="00E1693A"/>
    <w:rsid w:val="00E16A0D"/>
    <w:rsid w:val="00E16C90"/>
    <w:rsid w:val="00E16CF9"/>
    <w:rsid w:val="00E16D17"/>
    <w:rsid w:val="00E16DA6"/>
    <w:rsid w:val="00E16E65"/>
    <w:rsid w:val="00E17034"/>
    <w:rsid w:val="00E170A9"/>
    <w:rsid w:val="00E170F3"/>
    <w:rsid w:val="00E170FC"/>
    <w:rsid w:val="00E174C6"/>
    <w:rsid w:val="00E174F3"/>
    <w:rsid w:val="00E1755F"/>
    <w:rsid w:val="00E17565"/>
    <w:rsid w:val="00E17656"/>
    <w:rsid w:val="00E17757"/>
    <w:rsid w:val="00E17774"/>
    <w:rsid w:val="00E17793"/>
    <w:rsid w:val="00E1785E"/>
    <w:rsid w:val="00E17A29"/>
    <w:rsid w:val="00E17B55"/>
    <w:rsid w:val="00E17BA6"/>
    <w:rsid w:val="00E17DA0"/>
    <w:rsid w:val="00E17F31"/>
    <w:rsid w:val="00E17F77"/>
    <w:rsid w:val="00E201BF"/>
    <w:rsid w:val="00E20273"/>
    <w:rsid w:val="00E20372"/>
    <w:rsid w:val="00E20422"/>
    <w:rsid w:val="00E20608"/>
    <w:rsid w:val="00E20634"/>
    <w:rsid w:val="00E208C0"/>
    <w:rsid w:val="00E20AC3"/>
    <w:rsid w:val="00E20AFE"/>
    <w:rsid w:val="00E20B2B"/>
    <w:rsid w:val="00E20B7A"/>
    <w:rsid w:val="00E20BBE"/>
    <w:rsid w:val="00E20CB0"/>
    <w:rsid w:val="00E20D02"/>
    <w:rsid w:val="00E20EAC"/>
    <w:rsid w:val="00E20EBA"/>
    <w:rsid w:val="00E20F50"/>
    <w:rsid w:val="00E20F69"/>
    <w:rsid w:val="00E20FB8"/>
    <w:rsid w:val="00E21007"/>
    <w:rsid w:val="00E21080"/>
    <w:rsid w:val="00E211DC"/>
    <w:rsid w:val="00E2121F"/>
    <w:rsid w:val="00E213B6"/>
    <w:rsid w:val="00E21429"/>
    <w:rsid w:val="00E21440"/>
    <w:rsid w:val="00E21491"/>
    <w:rsid w:val="00E2154B"/>
    <w:rsid w:val="00E217D0"/>
    <w:rsid w:val="00E218B9"/>
    <w:rsid w:val="00E219F6"/>
    <w:rsid w:val="00E21C38"/>
    <w:rsid w:val="00E21CC5"/>
    <w:rsid w:val="00E21D3F"/>
    <w:rsid w:val="00E21D45"/>
    <w:rsid w:val="00E21E01"/>
    <w:rsid w:val="00E21ECF"/>
    <w:rsid w:val="00E21EE4"/>
    <w:rsid w:val="00E21F03"/>
    <w:rsid w:val="00E21F0E"/>
    <w:rsid w:val="00E22024"/>
    <w:rsid w:val="00E220E3"/>
    <w:rsid w:val="00E2210B"/>
    <w:rsid w:val="00E22173"/>
    <w:rsid w:val="00E221D0"/>
    <w:rsid w:val="00E22254"/>
    <w:rsid w:val="00E222A7"/>
    <w:rsid w:val="00E222C5"/>
    <w:rsid w:val="00E222F0"/>
    <w:rsid w:val="00E22535"/>
    <w:rsid w:val="00E2255E"/>
    <w:rsid w:val="00E22661"/>
    <w:rsid w:val="00E22687"/>
    <w:rsid w:val="00E226A6"/>
    <w:rsid w:val="00E226CF"/>
    <w:rsid w:val="00E227A1"/>
    <w:rsid w:val="00E22805"/>
    <w:rsid w:val="00E2282A"/>
    <w:rsid w:val="00E22831"/>
    <w:rsid w:val="00E22A9D"/>
    <w:rsid w:val="00E22B6E"/>
    <w:rsid w:val="00E22CC5"/>
    <w:rsid w:val="00E22D6C"/>
    <w:rsid w:val="00E22DC5"/>
    <w:rsid w:val="00E22EF3"/>
    <w:rsid w:val="00E230DC"/>
    <w:rsid w:val="00E2326F"/>
    <w:rsid w:val="00E23273"/>
    <w:rsid w:val="00E232A8"/>
    <w:rsid w:val="00E233F4"/>
    <w:rsid w:val="00E234F6"/>
    <w:rsid w:val="00E236A1"/>
    <w:rsid w:val="00E236E3"/>
    <w:rsid w:val="00E236ED"/>
    <w:rsid w:val="00E2370F"/>
    <w:rsid w:val="00E23775"/>
    <w:rsid w:val="00E2382A"/>
    <w:rsid w:val="00E238BC"/>
    <w:rsid w:val="00E238C8"/>
    <w:rsid w:val="00E238D2"/>
    <w:rsid w:val="00E238F5"/>
    <w:rsid w:val="00E23964"/>
    <w:rsid w:val="00E23991"/>
    <w:rsid w:val="00E23A33"/>
    <w:rsid w:val="00E23AEF"/>
    <w:rsid w:val="00E23CDA"/>
    <w:rsid w:val="00E23FAA"/>
    <w:rsid w:val="00E23FFA"/>
    <w:rsid w:val="00E24099"/>
    <w:rsid w:val="00E240E4"/>
    <w:rsid w:val="00E2414C"/>
    <w:rsid w:val="00E24354"/>
    <w:rsid w:val="00E24397"/>
    <w:rsid w:val="00E243DD"/>
    <w:rsid w:val="00E24661"/>
    <w:rsid w:val="00E246B2"/>
    <w:rsid w:val="00E246D5"/>
    <w:rsid w:val="00E2475C"/>
    <w:rsid w:val="00E2476E"/>
    <w:rsid w:val="00E249B8"/>
    <w:rsid w:val="00E249D0"/>
    <w:rsid w:val="00E24A5E"/>
    <w:rsid w:val="00E24D4D"/>
    <w:rsid w:val="00E24D60"/>
    <w:rsid w:val="00E24E6F"/>
    <w:rsid w:val="00E24E75"/>
    <w:rsid w:val="00E24F76"/>
    <w:rsid w:val="00E24FB8"/>
    <w:rsid w:val="00E2506C"/>
    <w:rsid w:val="00E250C6"/>
    <w:rsid w:val="00E25208"/>
    <w:rsid w:val="00E2521A"/>
    <w:rsid w:val="00E2521B"/>
    <w:rsid w:val="00E25365"/>
    <w:rsid w:val="00E25456"/>
    <w:rsid w:val="00E25495"/>
    <w:rsid w:val="00E2553D"/>
    <w:rsid w:val="00E2578B"/>
    <w:rsid w:val="00E25A22"/>
    <w:rsid w:val="00E25AC5"/>
    <w:rsid w:val="00E25B36"/>
    <w:rsid w:val="00E25B42"/>
    <w:rsid w:val="00E25BAD"/>
    <w:rsid w:val="00E25BFC"/>
    <w:rsid w:val="00E25C05"/>
    <w:rsid w:val="00E25CD7"/>
    <w:rsid w:val="00E25D00"/>
    <w:rsid w:val="00E25EC0"/>
    <w:rsid w:val="00E25F04"/>
    <w:rsid w:val="00E25F1B"/>
    <w:rsid w:val="00E25F28"/>
    <w:rsid w:val="00E25F6A"/>
    <w:rsid w:val="00E26048"/>
    <w:rsid w:val="00E26099"/>
    <w:rsid w:val="00E26112"/>
    <w:rsid w:val="00E261FF"/>
    <w:rsid w:val="00E26386"/>
    <w:rsid w:val="00E2638B"/>
    <w:rsid w:val="00E264BA"/>
    <w:rsid w:val="00E26551"/>
    <w:rsid w:val="00E26778"/>
    <w:rsid w:val="00E2679B"/>
    <w:rsid w:val="00E267E8"/>
    <w:rsid w:val="00E26970"/>
    <w:rsid w:val="00E26995"/>
    <w:rsid w:val="00E26A09"/>
    <w:rsid w:val="00E26B03"/>
    <w:rsid w:val="00E26C2F"/>
    <w:rsid w:val="00E26D73"/>
    <w:rsid w:val="00E26D85"/>
    <w:rsid w:val="00E26DD4"/>
    <w:rsid w:val="00E26EFE"/>
    <w:rsid w:val="00E26F93"/>
    <w:rsid w:val="00E2708F"/>
    <w:rsid w:val="00E270F9"/>
    <w:rsid w:val="00E2710B"/>
    <w:rsid w:val="00E2729E"/>
    <w:rsid w:val="00E27302"/>
    <w:rsid w:val="00E2742E"/>
    <w:rsid w:val="00E27430"/>
    <w:rsid w:val="00E2743D"/>
    <w:rsid w:val="00E27449"/>
    <w:rsid w:val="00E276CA"/>
    <w:rsid w:val="00E27728"/>
    <w:rsid w:val="00E2778F"/>
    <w:rsid w:val="00E27861"/>
    <w:rsid w:val="00E2787C"/>
    <w:rsid w:val="00E27AB5"/>
    <w:rsid w:val="00E27AC4"/>
    <w:rsid w:val="00E27BD3"/>
    <w:rsid w:val="00E27CB5"/>
    <w:rsid w:val="00E27F73"/>
    <w:rsid w:val="00E29689"/>
    <w:rsid w:val="00E3002E"/>
    <w:rsid w:val="00E30091"/>
    <w:rsid w:val="00E300D5"/>
    <w:rsid w:val="00E30101"/>
    <w:rsid w:val="00E30218"/>
    <w:rsid w:val="00E30331"/>
    <w:rsid w:val="00E303AA"/>
    <w:rsid w:val="00E3050D"/>
    <w:rsid w:val="00E3064C"/>
    <w:rsid w:val="00E307F3"/>
    <w:rsid w:val="00E307FE"/>
    <w:rsid w:val="00E308A9"/>
    <w:rsid w:val="00E308B1"/>
    <w:rsid w:val="00E3091D"/>
    <w:rsid w:val="00E30A12"/>
    <w:rsid w:val="00E30C4F"/>
    <w:rsid w:val="00E30D41"/>
    <w:rsid w:val="00E30D59"/>
    <w:rsid w:val="00E30DBC"/>
    <w:rsid w:val="00E30E53"/>
    <w:rsid w:val="00E31025"/>
    <w:rsid w:val="00E310E2"/>
    <w:rsid w:val="00E311D6"/>
    <w:rsid w:val="00E311E4"/>
    <w:rsid w:val="00E3146E"/>
    <w:rsid w:val="00E31487"/>
    <w:rsid w:val="00E31579"/>
    <w:rsid w:val="00E31658"/>
    <w:rsid w:val="00E31687"/>
    <w:rsid w:val="00E316C1"/>
    <w:rsid w:val="00E317EB"/>
    <w:rsid w:val="00E3184A"/>
    <w:rsid w:val="00E318BC"/>
    <w:rsid w:val="00E318EF"/>
    <w:rsid w:val="00E31931"/>
    <w:rsid w:val="00E31A1C"/>
    <w:rsid w:val="00E31A4E"/>
    <w:rsid w:val="00E31A77"/>
    <w:rsid w:val="00E31B9F"/>
    <w:rsid w:val="00E31C2F"/>
    <w:rsid w:val="00E31C8A"/>
    <w:rsid w:val="00E31D53"/>
    <w:rsid w:val="00E31D82"/>
    <w:rsid w:val="00E31D84"/>
    <w:rsid w:val="00E31DA4"/>
    <w:rsid w:val="00E31E0C"/>
    <w:rsid w:val="00E31E89"/>
    <w:rsid w:val="00E31E8A"/>
    <w:rsid w:val="00E31EFD"/>
    <w:rsid w:val="00E31F18"/>
    <w:rsid w:val="00E31F73"/>
    <w:rsid w:val="00E31F7E"/>
    <w:rsid w:val="00E31FAD"/>
    <w:rsid w:val="00E31FCF"/>
    <w:rsid w:val="00E32058"/>
    <w:rsid w:val="00E32078"/>
    <w:rsid w:val="00E320F5"/>
    <w:rsid w:val="00E322CA"/>
    <w:rsid w:val="00E32303"/>
    <w:rsid w:val="00E3235B"/>
    <w:rsid w:val="00E32367"/>
    <w:rsid w:val="00E323E7"/>
    <w:rsid w:val="00E3254A"/>
    <w:rsid w:val="00E325EA"/>
    <w:rsid w:val="00E32959"/>
    <w:rsid w:val="00E329B7"/>
    <w:rsid w:val="00E32A3A"/>
    <w:rsid w:val="00E32C0A"/>
    <w:rsid w:val="00E32C5B"/>
    <w:rsid w:val="00E32DE5"/>
    <w:rsid w:val="00E32E27"/>
    <w:rsid w:val="00E32F3E"/>
    <w:rsid w:val="00E33072"/>
    <w:rsid w:val="00E33200"/>
    <w:rsid w:val="00E3322E"/>
    <w:rsid w:val="00E33292"/>
    <w:rsid w:val="00E332A9"/>
    <w:rsid w:val="00E334F1"/>
    <w:rsid w:val="00E3356F"/>
    <w:rsid w:val="00E336EC"/>
    <w:rsid w:val="00E3370C"/>
    <w:rsid w:val="00E33773"/>
    <w:rsid w:val="00E3392F"/>
    <w:rsid w:val="00E33996"/>
    <w:rsid w:val="00E33A19"/>
    <w:rsid w:val="00E33A4C"/>
    <w:rsid w:val="00E33AA4"/>
    <w:rsid w:val="00E33B2D"/>
    <w:rsid w:val="00E33B80"/>
    <w:rsid w:val="00E33B99"/>
    <w:rsid w:val="00E33C0F"/>
    <w:rsid w:val="00E33C58"/>
    <w:rsid w:val="00E33C87"/>
    <w:rsid w:val="00E33DB6"/>
    <w:rsid w:val="00E33DF5"/>
    <w:rsid w:val="00E33E03"/>
    <w:rsid w:val="00E33E27"/>
    <w:rsid w:val="00E33E36"/>
    <w:rsid w:val="00E33E49"/>
    <w:rsid w:val="00E33F96"/>
    <w:rsid w:val="00E34110"/>
    <w:rsid w:val="00E3421C"/>
    <w:rsid w:val="00E34221"/>
    <w:rsid w:val="00E34248"/>
    <w:rsid w:val="00E34363"/>
    <w:rsid w:val="00E343CA"/>
    <w:rsid w:val="00E343DF"/>
    <w:rsid w:val="00E343F0"/>
    <w:rsid w:val="00E34429"/>
    <w:rsid w:val="00E34446"/>
    <w:rsid w:val="00E344FB"/>
    <w:rsid w:val="00E34549"/>
    <w:rsid w:val="00E34646"/>
    <w:rsid w:val="00E3478D"/>
    <w:rsid w:val="00E34928"/>
    <w:rsid w:val="00E34ABD"/>
    <w:rsid w:val="00E34B0B"/>
    <w:rsid w:val="00E34BBE"/>
    <w:rsid w:val="00E34DD9"/>
    <w:rsid w:val="00E34E48"/>
    <w:rsid w:val="00E34E7B"/>
    <w:rsid w:val="00E34EF9"/>
    <w:rsid w:val="00E34F18"/>
    <w:rsid w:val="00E35087"/>
    <w:rsid w:val="00E350A0"/>
    <w:rsid w:val="00E354AE"/>
    <w:rsid w:val="00E354DD"/>
    <w:rsid w:val="00E3552E"/>
    <w:rsid w:val="00E35560"/>
    <w:rsid w:val="00E35685"/>
    <w:rsid w:val="00E358DA"/>
    <w:rsid w:val="00E358E3"/>
    <w:rsid w:val="00E3593C"/>
    <w:rsid w:val="00E3596B"/>
    <w:rsid w:val="00E359B0"/>
    <w:rsid w:val="00E35A04"/>
    <w:rsid w:val="00E35D4B"/>
    <w:rsid w:val="00E35D62"/>
    <w:rsid w:val="00E35DCA"/>
    <w:rsid w:val="00E36018"/>
    <w:rsid w:val="00E3615C"/>
    <w:rsid w:val="00E362B9"/>
    <w:rsid w:val="00E362CF"/>
    <w:rsid w:val="00E3634C"/>
    <w:rsid w:val="00E36380"/>
    <w:rsid w:val="00E36428"/>
    <w:rsid w:val="00E364B8"/>
    <w:rsid w:val="00E365FB"/>
    <w:rsid w:val="00E366F7"/>
    <w:rsid w:val="00E3686C"/>
    <w:rsid w:val="00E3689C"/>
    <w:rsid w:val="00E3689E"/>
    <w:rsid w:val="00E3689F"/>
    <w:rsid w:val="00E368B2"/>
    <w:rsid w:val="00E36922"/>
    <w:rsid w:val="00E36A69"/>
    <w:rsid w:val="00E36A80"/>
    <w:rsid w:val="00E36A86"/>
    <w:rsid w:val="00E36AFF"/>
    <w:rsid w:val="00E36B73"/>
    <w:rsid w:val="00E36B92"/>
    <w:rsid w:val="00E36D82"/>
    <w:rsid w:val="00E36DD4"/>
    <w:rsid w:val="00E36E26"/>
    <w:rsid w:val="00E36ED1"/>
    <w:rsid w:val="00E36F29"/>
    <w:rsid w:val="00E36F8F"/>
    <w:rsid w:val="00E37117"/>
    <w:rsid w:val="00E37130"/>
    <w:rsid w:val="00E374B6"/>
    <w:rsid w:val="00E3762F"/>
    <w:rsid w:val="00E37702"/>
    <w:rsid w:val="00E3777C"/>
    <w:rsid w:val="00E378B8"/>
    <w:rsid w:val="00E3793A"/>
    <w:rsid w:val="00E379F7"/>
    <w:rsid w:val="00E37ACB"/>
    <w:rsid w:val="00E37BC7"/>
    <w:rsid w:val="00E37F48"/>
    <w:rsid w:val="00E37F5C"/>
    <w:rsid w:val="00E400B2"/>
    <w:rsid w:val="00E40757"/>
    <w:rsid w:val="00E407CB"/>
    <w:rsid w:val="00E40991"/>
    <w:rsid w:val="00E40A1D"/>
    <w:rsid w:val="00E40AF7"/>
    <w:rsid w:val="00E40BCC"/>
    <w:rsid w:val="00E40C12"/>
    <w:rsid w:val="00E40C6C"/>
    <w:rsid w:val="00E41242"/>
    <w:rsid w:val="00E412C9"/>
    <w:rsid w:val="00E412DB"/>
    <w:rsid w:val="00E41330"/>
    <w:rsid w:val="00E414CA"/>
    <w:rsid w:val="00E4150B"/>
    <w:rsid w:val="00E4151E"/>
    <w:rsid w:val="00E4154F"/>
    <w:rsid w:val="00E4156B"/>
    <w:rsid w:val="00E41580"/>
    <w:rsid w:val="00E415D6"/>
    <w:rsid w:val="00E416CA"/>
    <w:rsid w:val="00E4172C"/>
    <w:rsid w:val="00E41756"/>
    <w:rsid w:val="00E4179A"/>
    <w:rsid w:val="00E417A1"/>
    <w:rsid w:val="00E418C6"/>
    <w:rsid w:val="00E419EF"/>
    <w:rsid w:val="00E41A9B"/>
    <w:rsid w:val="00E41B20"/>
    <w:rsid w:val="00E41CBD"/>
    <w:rsid w:val="00E41CE7"/>
    <w:rsid w:val="00E41DB9"/>
    <w:rsid w:val="00E41DD7"/>
    <w:rsid w:val="00E42047"/>
    <w:rsid w:val="00E420EA"/>
    <w:rsid w:val="00E42185"/>
    <w:rsid w:val="00E425E4"/>
    <w:rsid w:val="00E42865"/>
    <w:rsid w:val="00E428DF"/>
    <w:rsid w:val="00E42A08"/>
    <w:rsid w:val="00E42A16"/>
    <w:rsid w:val="00E42AD5"/>
    <w:rsid w:val="00E42B87"/>
    <w:rsid w:val="00E42B89"/>
    <w:rsid w:val="00E42C19"/>
    <w:rsid w:val="00E42CDD"/>
    <w:rsid w:val="00E42F8F"/>
    <w:rsid w:val="00E431F3"/>
    <w:rsid w:val="00E43429"/>
    <w:rsid w:val="00E43455"/>
    <w:rsid w:val="00E43502"/>
    <w:rsid w:val="00E4358B"/>
    <w:rsid w:val="00E435A8"/>
    <w:rsid w:val="00E435CC"/>
    <w:rsid w:val="00E4370F"/>
    <w:rsid w:val="00E437A1"/>
    <w:rsid w:val="00E43849"/>
    <w:rsid w:val="00E43951"/>
    <w:rsid w:val="00E43A21"/>
    <w:rsid w:val="00E43B99"/>
    <w:rsid w:val="00E43C6E"/>
    <w:rsid w:val="00E43CD0"/>
    <w:rsid w:val="00E43E29"/>
    <w:rsid w:val="00E43F31"/>
    <w:rsid w:val="00E4407C"/>
    <w:rsid w:val="00E440B1"/>
    <w:rsid w:val="00E44127"/>
    <w:rsid w:val="00E44142"/>
    <w:rsid w:val="00E44195"/>
    <w:rsid w:val="00E44221"/>
    <w:rsid w:val="00E44488"/>
    <w:rsid w:val="00E44497"/>
    <w:rsid w:val="00E4453B"/>
    <w:rsid w:val="00E4463F"/>
    <w:rsid w:val="00E446A7"/>
    <w:rsid w:val="00E44827"/>
    <w:rsid w:val="00E44A1F"/>
    <w:rsid w:val="00E44A56"/>
    <w:rsid w:val="00E44B4F"/>
    <w:rsid w:val="00E44BFF"/>
    <w:rsid w:val="00E44D62"/>
    <w:rsid w:val="00E44FCD"/>
    <w:rsid w:val="00E44FD4"/>
    <w:rsid w:val="00E4503A"/>
    <w:rsid w:val="00E45090"/>
    <w:rsid w:val="00E4510E"/>
    <w:rsid w:val="00E45209"/>
    <w:rsid w:val="00E4520A"/>
    <w:rsid w:val="00E452F6"/>
    <w:rsid w:val="00E45317"/>
    <w:rsid w:val="00E4532F"/>
    <w:rsid w:val="00E45362"/>
    <w:rsid w:val="00E45385"/>
    <w:rsid w:val="00E453AC"/>
    <w:rsid w:val="00E45669"/>
    <w:rsid w:val="00E4576D"/>
    <w:rsid w:val="00E457D4"/>
    <w:rsid w:val="00E45820"/>
    <w:rsid w:val="00E45843"/>
    <w:rsid w:val="00E45873"/>
    <w:rsid w:val="00E45A3F"/>
    <w:rsid w:val="00E45B21"/>
    <w:rsid w:val="00E45BCB"/>
    <w:rsid w:val="00E45C3E"/>
    <w:rsid w:val="00E45C52"/>
    <w:rsid w:val="00E45C7B"/>
    <w:rsid w:val="00E45D9D"/>
    <w:rsid w:val="00E45ED5"/>
    <w:rsid w:val="00E46007"/>
    <w:rsid w:val="00E46259"/>
    <w:rsid w:val="00E462DA"/>
    <w:rsid w:val="00E46373"/>
    <w:rsid w:val="00E46438"/>
    <w:rsid w:val="00E464D7"/>
    <w:rsid w:val="00E464E9"/>
    <w:rsid w:val="00E46511"/>
    <w:rsid w:val="00E465E6"/>
    <w:rsid w:val="00E466A2"/>
    <w:rsid w:val="00E46AA0"/>
    <w:rsid w:val="00E46CE1"/>
    <w:rsid w:val="00E46E70"/>
    <w:rsid w:val="00E47086"/>
    <w:rsid w:val="00E47094"/>
    <w:rsid w:val="00E47114"/>
    <w:rsid w:val="00E47155"/>
    <w:rsid w:val="00E47182"/>
    <w:rsid w:val="00E472E1"/>
    <w:rsid w:val="00E47446"/>
    <w:rsid w:val="00E47456"/>
    <w:rsid w:val="00E474A6"/>
    <w:rsid w:val="00E47509"/>
    <w:rsid w:val="00E475B7"/>
    <w:rsid w:val="00E475F8"/>
    <w:rsid w:val="00E47752"/>
    <w:rsid w:val="00E4780A"/>
    <w:rsid w:val="00E47A41"/>
    <w:rsid w:val="00E47ABE"/>
    <w:rsid w:val="00E47B3D"/>
    <w:rsid w:val="00E47C7F"/>
    <w:rsid w:val="00E47CC3"/>
    <w:rsid w:val="00E47DD3"/>
    <w:rsid w:val="00E47E3D"/>
    <w:rsid w:val="00E47E77"/>
    <w:rsid w:val="00E47F7B"/>
    <w:rsid w:val="00E47FE3"/>
    <w:rsid w:val="00E50046"/>
    <w:rsid w:val="00E5006B"/>
    <w:rsid w:val="00E500FF"/>
    <w:rsid w:val="00E50160"/>
    <w:rsid w:val="00E50199"/>
    <w:rsid w:val="00E504D7"/>
    <w:rsid w:val="00E50514"/>
    <w:rsid w:val="00E5056C"/>
    <w:rsid w:val="00E505EF"/>
    <w:rsid w:val="00E50658"/>
    <w:rsid w:val="00E50686"/>
    <w:rsid w:val="00E506C5"/>
    <w:rsid w:val="00E5078A"/>
    <w:rsid w:val="00E5085B"/>
    <w:rsid w:val="00E509D0"/>
    <w:rsid w:val="00E50A45"/>
    <w:rsid w:val="00E50BAC"/>
    <w:rsid w:val="00E50BB6"/>
    <w:rsid w:val="00E50CD8"/>
    <w:rsid w:val="00E50DCF"/>
    <w:rsid w:val="00E50DE4"/>
    <w:rsid w:val="00E510AA"/>
    <w:rsid w:val="00E51139"/>
    <w:rsid w:val="00E51197"/>
    <w:rsid w:val="00E5122F"/>
    <w:rsid w:val="00E512F4"/>
    <w:rsid w:val="00E5141B"/>
    <w:rsid w:val="00E51425"/>
    <w:rsid w:val="00E51495"/>
    <w:rsid w:val="00E514BA"/>
    <w:rsid w:val="00E514D3"/>
    <w:rsid w:val="00E51594"/>
    <w:rsid w:val="00E51BA8"/>
    <w:rsid w:val="00E51BB0"/>
    <w:rsid w:val="00E51D34"/>
    <w:rsid w:val="00E51D6D"/>
    <w:rsid w:val="00E52354"/>
    <w:rsid w:val="00E52453"/>
    <w:rsid w:val="00E52454"/>
    <w:rsid w:val="00E52458"/>
    <w:rsid w:val="00E5255C"/>
    <w:rsid w:val="00E52584"/>
    <w:rsid w:val="00E5268B"/>
    <w:rsid w:val="00E527DE"/>
    <w:rsid w:val="00E52800"/>
    <w:rsid w:val="00E528B8"/>
    <w:rsid w:val="00E52995"/>
    <w:rsid w:val="00E52A67"/>
    <w:rsid w:val="00E52A70"/>
    <w:rsid w:val="00E52AEF"/>
    <w:rsid w:val="00E52B1C"/>
    <w:rsid w:val="00E52BD4"/>
    <w:rsid w:val="00E52D8A"/>
    <w:rsid w:val="00E52E99"/>
    <w:rsid w:val="00E52ECB"/>
    <w:rsid w:val="00E52EFF"/>
    <w:rsid w:val="00E52F91"/>
    <w:rsid w:val="00E52F9D"/>
    <w:rsid w:val="00E53044"/>
    <w:rsid w:val="00E53131"/>
    <w:rsid w:val="00E5316B"/>
    <w:rsid w:val="00E531B2"/>
    <w:rsid w:val="00E531ED"/>
    <w:rsid w:val="00E532B1"/>
    <w:rsid w:val="00E53301"/>
    <w:rsid w:val="00E53354"/>
    <w:rsid w:val="00E53695"/>
    <w:rsid w:val="00E53760"/>
    <w:rsid w:val="00E5385F"/>
    <w:rsid w:val="00E5389F"/>
    <w:rsid w:val="00E538BC"/>
    <w:rsid w:val="00E539D3"/>
    <w:rsid w:val="00E53A0E"/>
    <w:rsid w:val="00E53A88"/>
    <w:rsid w:val="00E53C2C"/>
    <w:rsid w:val="00E53CC4"/>
    <w:rsid w:val="00E53D75"/>
    <w:rsid w:val="00E53ED8"/>
    <w:rsid w:val="00E53FB8"/>
    <w:rsid w:val="00E54037"/>
    <w:rsid w:val="00E54134"/>
    <w:rsid w:val="00E54269"/>
    <w:rsid w:val="00E54284"/>
    <w:rsid w:val="00E542D9"/>
    <w:rsid w:val="00E542FD"/>
    <w:rsid w:val="00E54586"/>
    <w:rsid w:val="00E54662"/>
    <w:rsid w:val="00E5468D"/>
    <w:rsid w:val="00E546BA"/>
    <w:rsid w:val="00E5474F"/>
    <w:rsid w:val="00E547B6"/>
    <w:rsid w:val="00E54802"/>
    <w:rsid w:val="00E548A3"/>
    <w:rsid w:val="00E548AC"/>
    <w:rsid w:val="00E549AA"/>
    <w:rsid w:val="00E549DF"/>
    <w:rsid w:val="00E54AFA"/>
    <w:rsid w:val="00E54CAD"/>
    <w:rsid w:val="00E54CC5"/>
    <w:rsid w:val="00E54D66"/>
    <w:rsid w:val="00E54E03"/>
    <w:rsid w:val="00E54EB0"/>
    <w:rsid w:val="00E54EBE"/>
    <w:rsid w:val="00E55430"/>
    <w:rsid w:val="00E556AC"/>
    <w:rsid w:val="00E55701"/>
    <w:rsid w:val="00E5577A"/>
    <w:rsid w:val="00E557AB"/>
    <w:rsid w:val="00E557B3"/>
    <w:rsid w:val="00E55919"/>
    <w:rsid w:val="00E55BC7"/>
    <w:rsid w:val="00E55BE3"/>
    <w:rsid w:val="00E55C68"/>
    <w:rsid w:val="00E55D16"/>
    <w:rsid w:val="00E55DC8"/>
    <w:rsid w:val="00E55E0B"/>
    <w:rsid w:val="00E55EC6"/>
    <w:rsid w:val="00E55F3C"/>
    <w:rsid w:val="00E55F79"/>
    <w:rsid w:val="00E55FF1"/>
    <w:rsid w:val="00E560F5"/>
    <w:rsid w:val="00E56259"/>
    <w:rsid w:val="00E56278"/>
    <w:rsid w:val="00E566B5"/>
    <w:rsid w:val="00E566DE"/>
    <w:rsid w:val="00E56867"/>
    <w:rsid w:val="00E56904"/>
    <w:rsid w:val="00E5693C"/>
    <w:rsid w:val="00E5699C"/>
    <w:rsid w:val="00E569B9"/>
    <w:rsid w:val="00E56A7C"/>
    <w:rsid w:val="00E56AA7"/>
    <w:rsid w:val="00E56B0E"/>
    <w:rsid w:val="00E56B7E"/>
    <w:rsid w:val="00E56BE8"/>
    <w:rsid w:val="00E56C2E"/>
    <w:rsid w:val="00E56C6C"/>
    <w:rsid w:val="00E56C77"/>
    <w:rsid w:val="00E56CDC"/>
    <w:rsid w:val="00E56D00"/>
    <w:rsid w:val="00E56D33"/>
    <w:rsid w:val="00E56D70"/>
    <w:rsid w:val="00E56E15"/>
    <w:rsid w:val="00E56EFA"/>
    <w:rsid w:val="00E56F09"/>
    <w:rsid w:val="00E56FB8"/>
    <w:rsid w:val="00E56FDD"/>
    <w:rsid w:val="00E57054"/>
    <w:rsid w:val="00E5728B"/>
    <w:rsid w:val="00E573CE"/>
    <w:rsid w:val="00E573FB"/>
    <w:rsid w:val="00E57466"/>
    <w:rsid w:val="00E5758B"/>
    <w:rsid w:val="00E57614"/>
    <w:rsid w:val="00E5775D"/>
    <w:rsid w:val="00E57800"/>
    <w:rsid w:val="00E57847"/>
    <w:rsid w:val="00E57890"/>
    <w:rsid w:val="00E578DD"/>
    <w:rsid w:val="00E5795F"/>
    <w:rsid w:val="00E579E4"/>
    <w:rsid w:val="00E57A4D"/>
    <w:rsid w:val="00E57AAF"/>
    <w:rsid w:val="00E57AB2"/>
    <w:rsid w:val="00E57CC8"/>
    <w:rsid w:val="00E57D32"/>
    <w:rsid w:val="00E57D6C"/>
    <w:rsid w:val="00E60026"/>
    <w:rsid w:val="00E60236"/>
    <w:rsid w:val="00E6041C"/>
    <w:rsid w:val="00E60621"/>
    <w:rsid w:val="00E6067F"/>
    <w:rsid w:val="00E606C9"/>
    <w:rsid w:val="00E606D2"/>
    <w:rsid w:val="00E6074E"/>
    <w:rsid w:val="00E60783"/>
    <w:rsid w:val="00E607E9"/>
    <w:rsid w:val="00E60904"/>
    <w:rsid w:val="00E60946"/>
    <w:rsid w:val="00E609FD"/>
    <w:rsid w:val="00E60BDC"/>
    <w:rsid w:val="00E60C07"/>
    <w:rsid w:val="00E60E26"/>
    <w:rsid w:val="00E60E36"/>
    <w:rsid w:val="00E60E4A"/>
    <w:rsid w:val="00E6100A"/>
    <w:rsid w:val="00E6100F"/>
    <w:rsid w:val="00E61049"/>
    <w:rsid w:val="00E6104F"/>
    <w:rsid w:val="00E61316"/>
    <w:rsid w:val="00E61541"/>
    <w:rsid w:val="00E616E8"/>
    <w:rsid w:val="00E617CD"/>
    <w:rsid w:val="00E61905"/>
    <w:rsid w:val="00E6195F"/>
    <w:rsid w:val="00E619C8"/>
    <w:rsid w:val="00E61A1A"/>
    <w:rsid w:val="00E61EF9"/>
    <w:rsid w:val="00E61F0A"/>
    <w:rsid w:val="00E61F88"/>
    <w:rsid w:val="00E620E1"/>
    <w:rsid w:val="00E62120"/>
    <w:rsid w:val="00E62193"/>
    <w:rsid w:val="00E621A3"/>
    <w:rsid w:val="00E621E3"/>
    <w:rsid w:val="00E621FC"/>
    <w:rsid w:val="00E6228F"/>
    <w:rsid w:val="00E623CA"/>
    <w:rsid w:val="00E6294F"/>
    <w:rsid w:val="00E629CB"/>
    <w:rsid w:val="00E62BCE"/>
    <w:rsid w:val="00E62CC8"/>
    <w:rsid w:val="00E62DC7"/>
    <w:rsid w:val="00E62DF2"/>
    <w:rsid w:val="00E62F14"/>
    <w:rsid w:val="00E62F52"/>
    <w:rsid w:val="00E62F8B"/>
    <w:rsid w:val="00E63045"/>
    <w:rsid w:val="00E63080"/>
    <w:rsid w:val="00E630B7"/>
    <w:rsid w:val="00E6327B"/>
    <w:rsid w:val="00E6329A"/>
    <w:rsid w:val="00E63406"/>
    <w:rsid w:val="00E634A3"/>
    <w:rsid w:val="00E6350B"/>
    <w:rsid w:val="00E635F8"/>
    <w:rsid w:val="00E6386D"/>
    <w:rsid w:val="00E63988"/>
    <w:rsid w:val="00E63A36"/>
    <w:rsid w:val="00E63A7F"/>
    <w:rsid w:val="00E63B19"/>
    <w:rsid w:val="00E63C69"/>
    <w:rsid w:val="00E63D3E"/>
    <w:rsid w:val="00E63ED0"/>
    <w:rsid w:val="00E63F0D"/>
    <w:rsid w:val="00E63FB9"/>
    <w:rsid w:val="00E63FE7"/>
    <w:rsid w:val="00E640CB"/>
    <w:rsid w:val="00E6414B"/>
    <w:rsid w:val="00E64507"/>
    <w:rsid w:val="00E64561"/>
    <w:rsid w:val="00E64649"/>
    <w:rsid w:val="00E64731"/>
    <w:rsid w:val="00E64800"/>
    <w:rsid w:val="00E64801"/>
    <w:rsid w:val="00E648F4"/>
    <w:rsid w:val="00E64907"/>
    <w:rsid w:val="00E64971"/>
    <w:rsid w:val="00E649BF"/>
    <w:rsid w:val="00E64A0B"/>
    <w:rsid w:val="00E64A73"/>
    <w:rsid w:val="00E64C66"/>
    <w:rsid w:val="00E64C96"/>
    <w:rsid w:val="00E64CAD"/>
    <w:rsid w:val="00E64D7B"/>
    <w:rsid w:val="00E64E1E"/>
    <w:rsid w:val="00E65037"/>
    <w:rsid w:val="00E65170"/>
    <w:rsid w:val="00E651BD"/>
    <w:rsid w:val="00E65285"/>
    <w:rsid w:val="00E654FA"/>
    <w:rsid w:val="00E658A3"/>
    <w:rsid w:val="00E659C5"/>
    <w:rsid w:val="00E659E1"/>
    <w:rsid w:val="00E65ACD"/>
    <w:rsid w:val="00E65B67"/>
    <w:rsid w:val="00E65B6B"/>
    <w:rsid w:val="00E65C6F"/>
    <w:rsid w:val="00E65D26"/>
    <w:rsid w:val="00E65ED8"/>
    <w:rsid w:val="00E6600D"/>
    <w:rsid w:val="00E66162"/>
    <w:rsid w:val="00E66190"/>
    <w:rsid w:val="00E66241"/>
    <w:rsid w:val="00E662DF"/>
    <w:rsid w:val="00E66549"/>
    <w:rsid w:val="00E665C8"/>
    <w:rsid w:val="00E66710"/>
    <w:rsid w:val="00E66772"/>
    <w:rsid w:val="00E667D4"/>
    <w:rsid w:val="00E667FA"/>
    <w:rsid w:val="00E66890"/>
    <w:rsid w:val="00E668F9"/>
    <w:rsid w:val="00E669BB"/>
    <w:rsid w:val="00E669BC"/>
    <w:rsid w:val="00E669C1"/>
    <w:rsid w:val="00E66A4F"/>
    <w:rsid w:val="00E66A7C"/>
    <w:rsid w:val="00E66ADB"/>
    <w:rsid w:val="00E66C0B"/>
    <w:rsid w:val="00E66D96"/>
    <w:rsid w:val="00E66FB2"/>
    <w:rsid w:val="00E670E8"/>
    <w:rsid w:val="00E6717A"/>
    <w:rsid w:val="00E671A5"/>
    <w:rsid w:val="00E671CB"/>
    <w:rsid w:val="00E672C7"/>
    <w:rsid w:val="00E67315"/>
    <w:rsid w:val="00E673E7"/>
    <w:rsid w:val="00E6754F"/>
    <w:rsid w:val="00E6758A"/>
    <w:rsid w:val="00E6758D"/>
    <w:rsid w:val="00E675F9"/>
    <w:rsid w:val="00E67762"/>
    <w:rsid w:val="00E677A6"/>
    <w:rsid w:val="00E677B2"/>
    <w:rsid w:val="00E6785A"/>
    <w:rsid w:val="00E678DD"/>
    <w:rsid w:val="00E67911"/>
    <w:rsid w:val="00E679D7"/>
    <w:rsid w:val="00E67A35"/>
    <w:rsid w:val="00E67B30"/>
    <w:rsid w:val="00E67B88"/>
    <w:rsid w:val="00E67B94"/>
    <w:rsid w:val="00E67D61"/>
    <w:rsid w:val="00E67E0A"/>
    <w:rsid w:val="00E67EBD"/>
    <w:rsid w:val="00E67F1D"/>
    <w:rsid w:val="00E67F39"/>
    <w:rsid w:val="00E67F47"/>
    <w:rsid w:val="00E67FD2"/>
    <w:rsid w:val="00E70086"/>
    <w:rsid w:val="00E700D4"/>
    <w:rsid w:val="00E70270"/>
    <w:rsid w:val="00E70358"/>
    <w:rsid w:val="00E7045A"/>
    <w:rsid w:val="00E704AB"/>
    <w:rsid w:val="00E7050D"/>
    <w:rsid w:val="00E707D7"/>
    <w:rsid w:val="00E707F8"/>
    <w:rsid w:val="00E7083A"/>
    <w:rsid w:val="00E70A18"/>
    <w:rsid w:val="00E70A6D"/>
    <w:rsid w:val="00E70B37"/>
    <w:rsid w:val="00E70BA5"/>
    <w:rsid w:val="00E70CE5"/>
    <w:rsid w:val="00E70DA2"/>
    <w:rsid w:val="00E70EC1"/>
    <w:rsid w:val="00E71016"/>
    <w:rsid w:val="00E71188"/>
    <w:rsid w:val="00E711F4"/>
    <w:rsid w:val="00E71457"/>
    <w:rsid w:val="00E71506"/>
    <w:rsid w:val="00E715F2"/>
    <w:rsid w:val="00E7172C"/>
    <w:rsid w:val="00E71743"/>
    <w:rsid w:val="00E717DC"/>
    <w:rsid w:val="00E717F3"/>
    <w:rsid w:val="00E71822"/>
    <w:rsid w:val="00E7193B"/>
    <w:rsid w:val="00E71A19"/>
    <w:rsid w:val="00E71AA6"/>
    <w:rsid w:val="00E71AE9"/>
    <w:rsid w:val="00E71B60"/>
    <w:rsid w:val="00E71BD8"/>
    <w:rsid w:val="00E71DFF"/>
    <w:rsid w:val="00E71E78"/>
    <w:rsid w:val="00E71ED9"/>
    <w:rsid w:val="00E71F2E"/>
    <w:rsid w:val="00E71F31"/>
    <w:rsid w:val="00E721B9"/>
    <w:rsid w:val="00E72213"/>
    <w:rsid w:val="00E7236D"/>
    <w:rsid w:val="00E7242A"/>
    <w:rsid w:val="00E724BB"/>
    <w:rsid w:val="00E725D6"/>
    <w:rsid w:val="00E72735"/>
    <w:rsid w:val="00E727AB"/>
    <w:rsid w:val="00E72B36"/>
    <w:rsid w:val="00E72CF2"/>
    <w:rsid w:val="00E72D44"/>
    <w:rsid w:val="00E72E84"/>
    <w:rsid w:val="00E72EC4"/>
    <w:rsid w:val="00E72ED4"/>
    <w:rsid w:val="00E72F4B"/>
    <w:rsid w:val="00E72F95"/>
    <w:rsid w:val="00E73026"/>
    <w:rsid w:val="00E7336B"/>
    <w:rsid w:val="00E733A2"/>
    <w:rsid w:val="00E7355D"/>
    <w:rsid w:val="00E735F4"/>
    <w:rsid w:val="00E7363A"/>
    <w:rsid w:val="00E736F5"/>
    <w:rsid w:val="00E7383E"/>
    <w:rsid w:val="00E738DA"/>
    <w:rsid w:val="00E739AD"/>
    <w:rsid w:val="00E739C3"/>
    <w:rsid w:val="00E739EA"/>
    <w:rsid w:val="00E73ADF"/>
    <w:rsid w:val="00E73CE2"/>
    <w:rsid w:val="00E73D84"/>
    <w:rsid w:val="00E73E09"/>
    <w:rsid w:val="00E73E10"/>
    <w:rsid w:val="00E73E4C"/>
    <w:rsid w:val="00E73E6C"/>
    <w:rsid w:val="00E74063"/>
    <w:rsid w:val="00E7414E"/>
    <w:rsid w:val="00E741C1"/>
    <w:rsid w:val="00E7422C"/>
    <w:rsid w:val="00E7432B"/>
    <w:rsid w:val="00E743E7"/>
    <w:rsid w:val="00E74427"/>
    <w:rsid w:val="00E744A4"/>
    <w:rsid w:val="00E744AA"/>
    <w:rsid w:val="00E744C5"/>
    <w:rsid w:val="00E744CC"/>
    <w:rsid w:val="00E744F7"/>
    <w:rsid w:val="00E74677"/>
    <w:rsid w:val="00E74705"/>
    <w:rsid w:val="00E7476A"/>
    <w:rsid w:val="00E74890"/>
    <w:rsid w:val="00E7497D"/>
    <w:rsid w:val="00E74A0E"/>
    <w:rsid w:val="00E74A19"/>
    <w:rsid w:val="00E74BCC"/>
    <w:rsid w:val="00E74D18"/>
    <w:rsid w:val="00E74D85"/>
    <w:rsid w:val="00E74FD7"/>
    <w:rsid w:val="00E7502B"/>
    <w:rsid w:val="00E7505C"/>
    <w:rsid w:val="00E7509E"/>
    <w:rsid w:val="00E75156"/>
    <w:rsid w:val="00E75276"/>
    <w:rsid w:val="00E752C8"/>
    <w:rsid w:val="00E752ED"/>
    <w:rsid w:val="00E753B7"/>
    <w:rsid w:val="00E75586"/>
    <w:rsid w:val="00E755FA"/>
    <w:rsid w:val="00E75630"/>
    <w:rsid w:val="00E7563E"/>
    <w:rsid w:val="00E7566E"/>
    <w:rsid w:val="00E7567A"/>
    <w:rsid w:val="00E7573A"/>
    <w:rsid w:val="00E75797"/>
    <w:rsid w:val="00E757B1"/>
    <w:rsid w:val="00E75812"/>
    <w:rsid w:val="00E7593D"/>
    <w:rsid w:val="00E759AE"/>
    <w:rsid w:val="00E75A87"/>
    <w:rsid w:val="00E75A88"/>
    <w:rsid w:val="00E75F46"/>
    <w:rsid w:val="00E7603E"/>
    <w:rsid w:val="00E760EF"/>
    <w:rsid w:val="00E76264"/>
    <w:rsid w:val="00E76332"/>
    <w:rsid w:val="00E76376"/>
    <w:rsid w:val="00E7650A"/>
    <w:rsid w:val="00E76582"/>
    <w:rsid w:val="00E7664E"/>
    <w:rsid w:val="00E767E5"/>
    <w:rsid w:val="00E767EE"/>
    <w:rsid w:val="00E76868"/>
    <w:rsid w:val="00E768DB"/>
    <w:rsid w:val="00E76930"/>
    <w:rsid w:val="00E76A32"/>
    <w:rsid w:val="00E76B26"/>
    <w:rsid w:val="00E76B90"/>
    <w:rsid w:val="00E76C23"/>
    <w:rsid w:val="00E76D4A"/>
    <w:rsid w:val="00E76EDE"/>
    <w:rsid w:val="00E76F48"/>
    <w:rsid w:val="00E76FC9"/>
    <w:rsid w:val="00E76FD9"/>
    <w:rsid w:val="00E770B1"/>
    <w:rsid w:val="00E77269"/>
    <w:rsid w:val="00E772EE"/>
    <w:rsid w:val="00E772F2"/>
    <w:rsid w:val="00E775BC"/>
    <w:rsid w:val="00E775BE"/>
    <w:rsid w:val="00E776A7"/>
    <w:rsid w:val="00E776D5"/>
    <w:rsid w:val="00E7774E"/>
    <w:rsid w:val="00E77806"/>
    <w:rsid w:val="00E779BB"/>
    <w:rsid w:val="00E77A1E"/>
    <w:rsid w:val="00E77A49"/>
    <w:rsid w:val="00E77A60"/>
    <w:rsid w:val="00E77ADB"/>
    <w:rsid w:val="00E77ADF"/>
    <w:rsid w:val="00E77C77"/>
    <w:rsid w:val="00E77CBF"/>
    <w:rsid w:val="00E77E4C"/>
    <w:rsid w:val="00E77F0C"/>
    <w:rsid w:val="00E77FA7"/>
    <w:rsid w:val="00E77FDF"/>
    <w:rsid w:val="00E80076"/>
    <w:rsid w:val="00E8007F"/>
    <w:rsid w:val="00E800ED"/>
    <w:rsid w:val="00E801D3"/>
    <w:rsid w:val="00E80258"/>
    <w:rsid w:val="00E803F3"/>
    <w:rsid w:val="00E80461"/>
    <w:rsid w:val="00E805B9"/>
    <w:rsid w:val="00E806E0"/>
    <w:rsid w:val="00E807D8"/>
    <w:rsid w:val="00E8087E"/>
    <w:rsid w:val="00E80A8E"/>
    <w:rsid w:val="00E80AC8"/>
    <w:rsid w:val="00E80AD8"/>
    <w:rsid w:val="00E80ADE"/>
    <w:rsid w:val="00E80AE1"/>
    <w:rsid w:val="00E80D45"/>
    <w:rsid w:val="00E80D5E"/>
    <w:rsid w:val="00E80DE8"/>
    <w:rsid w:val="00E80E69"/>
    <w:rsid w:val="00E80F37"/>
    <w:rsid w:val="00E80FC4"/>
    <w:rsid w:val="00E81024"/>
    <w:rsid w:val="00E81134"/>
    <w:rsid w:val="00E81178"/>
    <w:rsid w:val="00E8128E"/>
    <w:rsid w:val="00E812D3"/>
    <w:rsid w:val="00E81352"/>
    <w:rsid w:val="00E81737"/>
    <w:rsid w:val="00E8173C"/>
    <w:rsid w:val="00E81807"/>
    <w:rsid w:val="00E81889"/>
    <w:rsid w:val="00E818F7"/>
    <w:rsid w:val="00E81A85"/>
    <w:rsid w:val="00E81B10"/>
    <w:rsid w:val="00E81B38"/>
    <w:rsid w:val="00E81C5D"/>
    <w:rsid w:val="00E81CA5"/>
    <w:rsid w:val="00E81D74"/>
    <w:rsid w:val="00E82384"/>
    <w:rsid w:val="00E82431"/>
    <w:rsid w:val="00E82485"/>
    <w:rsid w:val="00E825B0"/>
    <w:rsid w:val="00E8263A"/>
    <w:rsid w:val="00E827AF"/>
    <w:rsid w:val="00E827B4"/>
    <w:rsid w:val="00E8280A"/>
    <w:rsid w:val="00E829E4"/>
    <w:rsid w:val="00E82AB9"/>
    <w:rsid w:val="00E82B07"/>
    <w:rsid w:val="00E82C4C"/>
    <w:rsid w:val="00E82CBC"/>
    <w:rsid w:val="00E82CD0"/>
    <w:rsid w:val="00E82D37"/>
    <w:rsid w:val="00E82DD8"/>
    <w:rsid w:val="00E82E04"/>
    <w:rsid w:val="00E82E6C"/>
    <w:rsid w:val="00E82EBD"/>
    <w:rsid w:val="00E82F8E"/>
    <w:rsid w:val="00E8300C"/>
    <w:rsid w:val="00E83197"/>
    <w:rsid w:val="00E831AD"/>
    <w:rsid w:val="00E83338"/>
    <w:rsid w:val="00E83376"/>
    <w:rsid w:val="00E8340E"/>
    <w:rsid w:val="00E83558"/>
    <w:rsid w:val="00E83578"/>
    <w:rsid w:val="00E83584"/>
    <w:rsid w:val="00E83612"/>
    <w:rsid w:val="00E83675"/>
    <w:rsid w:val="00E83713"/>
    <w:rsid w:val="00E83722"/>
    <w:rsid w:val="00E8374B"/>
    <w:rsid w:val="00E83A2A"/>
    <w:rsid w:val="00E83A39"/>
    <w:rsid w:val="00E83A49"/>
    <w:rsid w:val="00E83B46"/>
    <w:rsid w:val="00E83BFF"/>
    <w:rsid w:val="00E83CC9"/>
    <w:rsid w:val="00E83D45"/>
    <w:rsid w:val="00E83E49"/>
    <w:rsid w:val="00E83EC3"/>
    <w:rsid w:val="00E83F71"/>
    <w:rsid w:val="00E840BB"/>
    <w:rsid w:val="00E84392"/>
    <w:rsid w:val="00E843E8"/>
    <w:rsid w:val="00E8444E"/>
    <w:rsid w:val="00E8449B"/>
    <w:rsid w:val="00E844FB"/>
    <w:rsid w:val="00E84796"/>
    <w:rsid w:val="00E84821"/>
    <w:rsid w:val="00E84899"/>
    <w:rsid w:val="00E84ACB"/>
    <w:rsid w:val="00E84B34"/>
    <w:rsid w:val="00E84B80"/>
    <w:rsid w:val="00E84BC3"/>
    <w:rsid w:val="00E84C1D"/>
    <w:rsid w:val="00E84C2B"/>
    <w:rsid w:val="00E84CB1"/>
    <w:rsid w:val="00E84D8D"/>
    <w:rsid w:val="00E84DD3"/>
    <w:rsid w:val="00E84F05"/>
    <w:rsid w:val="00E84F1E"/>
    <w:rsid w:val="00E84F92"/>
    <w:rsid w:val="00E84FC2"/>
    <w:rsid w:val="00E8510F"/>
    <w:rsid w:val="00E853F6"/>
    <w:rsid w:val="00E85422"/>
    <w:rsid w:val="00E8550A"/>
    <w:rsid w:val="00E85528"/>
    <w:rsid w:val="00E8552D"/>
    <w:rsid w:val="00E855CA"/>
    <w:rsid w:val="00E8565D"/>
    <w:rsid w:val="00E85683"/>
    <w:rsid w:val="00E856E9"/>
    <w:rsid w:val="00E85799"/>
    <w:rsid w:val="00E85927"/>
    <w:rsid w:val="00E85934"/>
    <w:rsid w:val="00E8598F"/>
    <w:rsid w:val="00E85A29"/>
    <w:rsid w:val="00E85A5E"/>
    <w:rsid w:val="00E85A87"/>
    <w:rsid w:val="00E85AEB"/>
    <w:rsid w:val="00E85BFD"/>
    <w:rsid w:val="00E85CC9"/>
    <w:rsid w:val="00E85D94"/>
    <w:rsid w:val="00E85E0A"/>
    <w:rsid w:val="00E85EAF"/>
    <w:rsid w:val="00E85F9D"/>
    <w:rsid w:val="00E85FB1"/>
    <w:rsid w:val="00E85FC0"/>
    <w:rsid w:val="00E862FD"/>
    <w:rsid w:val="00E8642A"/>
    <w:rsid w:val="00E8656D"/>
    <w:rsid w:val="00E865B0"/>
    <w:rsid w:val="00E86626"/>
    <w:rsid w:val="00E866BA"/>
    <w:rsid w:val="00E8678B"/>
    <w:rsid w:val="00E8683B"/>
    <w:rsid w:val="00E8692E"/>
    <w:rsid w:val="00E86973"/>
    <w:rsid w:val="00E86AAC"/>
    <w:rsid w:val="00E86AD5"/>
    <w:rsid w:val="00E86B87"/>
    <w:rsid w:val="00E86C40"/>
    <w:rsid w:val="00E86D54"/>
    <w:rsid w:val="00E86E02"/>
    <w:rsid w:val="00E86F7B"/>
    <w:rsid w:val="00E86FCF"/>
    <w:rsid w:val="00E87154"/>
    <w:rsid w:val="00E87182"/>
    <w:rsid w:val="00E87193"/>
    <w:rsid w:val="00E8724A"/>
    <w:rsid w:val="00E87429"/>
    <w:rsid w:val="00E87569"/>
    <w:rsid w:val="00E8756B"/>
    <w:rsid w:val="00E8760C"/>
    <w:rsid w:val="00E8762F"/>
    <w:rsid w:val="00E87889"/>
    <w:rsid w:val="00E87A76"/>
    <w:rsid w:val="00E87AE1"/>
    <w:rsid w:val="00E87CC6"/>
    <w:rsid w:val="00E87D44"/>
    <w:rsid w:val="00E87FD7"/>
    <w:rsid w:val="00E90084"/>
    <w:rsid w:val="00E90181"/>
    <w:rsid w:val="00E901EB"/>
    <w:rsid w:val="00E90248"/>
    <w:rsid w:val="00E902CC"/>
    <w:rsid w:val="00E90305"/>
    <w:rsid w:val="00E90354"/>
    <w:rsid w:val="00E903F9"/>
    <w:rsid w:val="00E904C6"/>
    <w:rsid w:val="00E904E5"/>
    <w:rsid w:val="00E90837"/>
    <w:rsid w:val="00E90853"/>
    <w:rsid w:val="00E9096B"/>
    <w:rsid w:val="00E909F1"/>
    <w:rsid w:val="00E90B7C"/>
    <w:rsid w:val="00E90CA6"/>
    <w:rsid w:val="00E90CF7"/>
    <w:rsid w:val="00E90F06"/>
    <w:rsid w:val="00E9115D"/>
    <w:rsid w:val="00E91163"/>
    <w:rsid w:val="00E91237"/>
    <w:rsid w:val="00E914A6"/>
    <w:rsid w:val="00E91560"/>
    <w:rsid w:val="00E91597"/>
    <w:rsid w:val="00E91598"/>
    <w:rsid w:val="00E91661"/>
    <w:rsid w:val="00E9169D"/>
    <w:rsid w:val="00E91771"/>
    <w:rsid w:val="00E91780"/>
    <w:rsid w:val="00E919FA"/>
    <w:rsid w:val="00E91A47"/>
    <w:rsid w:val="00E91A4D"/>
    <w:rsid w:val="00E91BF7"/>
    <w:rsid w:val="00E91C24"/>
    <w:rsid w:val="00E91CB5"/>
    <w:rsid w:val="00E9201B"/>
    <w:rsid w:val="00E9206C"/>
    <w:rsid w:val="00E92132"/>
    <w:rsid w:val="00E92153"/>
    <w:rsid w:val="00E9220B"/>
    <w:rsid w:val="00E92229"/>
    <w:rsid w:val="00E9232E"/>
    <w:rsid w:val="00E92333"/>
    <w:rsid w:val="00E923D1"/>
    <w:rsid w:val="00E92549"/>
    <w:rsid w:val="00E92726"/>
    <w:rsid w:val="00E92778"/>
    <w:rsid w:val="00E927F1"/>
    <w:rsid w:val="00E92807"/>
    <w:rsid w:val="00E92920"/>
    <w:rsid w:val="00E929B0"/>
    <w:rsid w:val="00E92A1E"/>
    <w:rsid w:val="00E92A3B"/>
    <w:rsid w:val="00E92BA5"/>
    <w:rsid w:val="00E92BEE"/>
    <w:rsid w:val="00E92BFD"/>
    <w:rsid w:val="00E92D72"/>
    <w:rsid w:val="00E92E4C"/>
    <w:rsid w:val="00E92E4F"/>
    <w:rsid w:val="00E93336"/>
    <w:rsid w:val="00E933A9"/>
    <w:rsid w:val="00E934E9"/>
    <w:rsid w:val="00E935AD"/>
    <w:rsid w:val="00E93638"/>
    <w:rsid w:val="00E936DF"/>
    <w:rsid w:val="00E93742"/>
    <w:rsid w:val="00E9385D"/>
    <w:rsid w:val="00E93896"/>
    <w:rsid w:val="00E938C2"/>
    <w:rsid w:val="00E939BF"/>
    <w:rsid w:val="00E939E5"/>
    <w:rsid w:val="00E93B73"/>
    <w:rsid w:val="00E93BB9"/>
    <w:rsid w:val="00E93C43"/>
    <w:rsid w:val="00E93C5F"/>
    <w:rsid w:val="00E93CA2"/>
    <w:rsid w:val="00E93E82"/>
    <w:rsid w:val="00E93FC8"/>
    <w:rsid w:val="00E94195"/>
    <w:rsid w:val="00E94206"/>
    <w:rsid w:val="00E9426B"/>
    <w:rsid w:val="00E942BB"/>
    <w:rsid w:val="00E9432D"/>
    <w:rsid w:val="00E9447D"/>
    <w:rsid w:val="00E944A8"/>
    <w:rsid w:val="00E94652"/>
    <w:rsid w:val="00E948E7"/>
    <w:rsid w:val="00E949E2"/>
    <w:rsid w:val="00E94A7C"/>
    <w:rsid w:val="00E94B78"/>
    <w:rsid w:val="00E94B83"/>
    <w:rsid w:val="00E94C49"/>
    <w:rsid w:val="00E94C9D"/>
    <w:rsid w:val="00E94DC0"/>
    <w:rsid w:val="00E94E89"/>
    <w:rsid w:val="00E94E96"/>
    <w:rsid w:val="00E94F40"/>
    <w:rsid w:val="00E95064"/>
    <w:rsid w:val="00E95083"/>
    <w:rsid w:val="00E95102"/>
    <w:rsid w:val="00E951B4"/>
    <w:rsid w:val="00E9525A"/>
    <w:rsid w:val="00E953EE"/>
    <w:rsid w:val="00E9543F"/>
    <w:rsid w:val="00E95617"/>
    <w:rsid w:val="00E95817"/>
    <w:rsid w:val="00E95878"/>
    <w:rsid w:val="00E9590D"/>
    <w:rsid w:val="00E95A07"/>
    <w:rsid w:val="00E95B34"/>
    <w:rsid w:val="00E95B74"/>
    <w:rsid w:val="00E95BC4"/>
    <w:rsid w:val="00E95C11"/>
    <w:rsid w:val="00E96031"/>
    <w:rsid w:val="00E9604D"/>
    <w:rsid w:val="00E9607B"/>
    <w:rsid w:val="00E9609F"/>
    <w:rsid w:val="00E96104"/>
    <w:rsid w:val="00E96239"/>
    <w:rsid w:val="00E962EF"/>
    <w:rsid w:val="00E963C0"/>
    <w:rsid w:val="00E96422"/>
    <w:rsid w:val="00E96473"/>
    <w:rsid w:val="00E96660"/>
    <w:rsid w:val="00E96762"/>
    <w:rsid w:val="00E96778"/>
    <w:rsid w:val="00E967E1"/>
    <w:rsid w:val="00E96951"/>
    <w:rsid w:val="00E9696C"/>
    <w:rsid w:val="00E969B6"/>
    <w:rsid w:val="00E96AB4"/>
    <w:rsid w:val="00E96B7D"/>
    <w:rsid w:val="00E96C10"/>
    <w:rsid w:val="00E96DF9"/>
    <w:rsid w:val="00E96F17"/>
    <w:rsid w:val="00E971AE"/>
    <w:rsid w:val="00E9724B"/>
    <w:rsid w:val="00E97265"/>
    <w:rsid w:val="00E972B6"/>
    <w:rsid w:val="00E9730B"/>
    <w:rsid w:val="00E97348"/>
    <w:rsid w:val="00E973C3"/>
    <w:rsid w:val="00E973DA"/>
    <w:rsid w:val="00E974D2"/>
    <w:rsid w:val="00E97638"/>
    <w:rsid w:val="00E976E3"/>
    <w:rsid w:val="00E9777C"/>
    <w:rsid w:val="00E97783"/>
    <w:rsid w:val="00E97791"/>
    <w:rsid w:val="00E977FA"/>
    <w:rsid w:val="00E978CE"/>
    <w:rsid w:val="00E978FB"/>
    <w:rsid w:val="00E979D5"/>
    <w:rsid w:val="00E979F2"/>
    <w:rsid w:val="00E97B77"/>
    <w:rsid w:val="00E97C3A"/>
    <w:rsid w:val="00E97D98"/>
    <w:rsid w:val="00E97EF3"/>
    <w:rsid w:val="00E97F1F"/>
    <w:rsid w:val="00E97F2F"/>
    <w:rsid w:val="00EA0084"/>
    <w:rsid w:val="00EA00CD"/>
    <w:rsid w:val="00EA00D0"/>
    <w:rsid w:val="00EA02EA"/>
    <w:rsid w:val="00EA0387"/>
    <w:rsid w:val="00EA040C"/>
    <w:rsid w:val="00EA0565"/>
    <w:rsid w:val="00EA060E"/>
    <w:rsid w:val="00EA0621"/>
    <w:rsid w:val="00EA064F"/>
    <w:rsid w:val="00EA0750"/>
    <w:rsid w:val="00EA07AB"/>
    <w:rsid w:val="00EA07CC"/>
    <w:rsid w:val="00EA0853"/>
    <w:rsid w:val="00EA0984"/>
    <w:rsid w:val="00EA09CA"/>
    <w:rsid w:val="00EA09EF"/>
    <w:rsid w:val="00EA0A64"/>
    <w:rsid w:val="00EA0A74"/>
    <w:rsid w:val="00EA0A8C"/>
    <w:rsid w:val="00EA0AC9"/>
    <w:rsid w:val="00EA0CE7"/>
    <w:rsid w:val="00EA0E15"/>
    <w:rsid w:val="00EA0F36"/>
    <w:rsid w:val="00EA0F65"/>
    <w:rsid w:val="00EA0F9B"/>
    <w:rsid w:val="00EA0FAD"/>
    <w:rsid w:val="00EA1123"/>
    <w:rsid w:val="00EA1300"/>
    <w:rsid w:val="00EA137A"/>
    <w:rsid w:val="00EA13C5"/>
    <w:rsid w:val="00EA1463"/>
    <w:rsid w:val="00EA16C6"/>
    <w:rsid w:val="00EA16EA"/>
    <w:rsid w:val="00EA171B"/>
    <w:rsid w:val="00EA1771"/>
    <w:rsid w:val="00EA17C3"/>
    <w:rsid w:val="00EA18A2"/>
    <w:rsid w:val="00EA1964"/>
    <w:rsid w:val="00EA1BFC"/>
    <w:rsid w:val="00EA1C0C"/>
    <w:rsid w:val="00EA1DEE"/>
    <w:rsid w:val="00EA1E19"/>
    <w:rsid w:val="00EA1F46"/>
    <w:rsid w:val="00EA1F97"/>
    <w:rsid w:val="00EA2244"/>
    <w:rsid w:val="00EA2269"/>
    <w:rsid w:val="00EA22D0"/>
    <w:rsid w:val="00EA2319"/>
    <w:rsid w:val="00EA23A3"/>
    <w:rsid w:val="00EA23B6"/>
    <w:rsid w:val="00EA2421"/>
    <w:rsid w:val="00EA25BC"/>
    <w:rsid w:val="00EA25F9"/>
    <w:rsid w:val="00EA2695"/>
    <w:rsid w:val="00EA26A1"/>
    <w:rsid w:val="00EA2814"/>
    <w:rsid w:val="00EA2877"/>
    <w:rsid w:val="00EA2A3C"/>
    <w:rsid w:val="00EA2A46"/>
    <w:rsid w:val="00EA2B94"/>
    <w:rsid w:val="00EA2C70"/>
    <w:rsid w:val="00EA2CEC"/>
    <w:rsid w:val="00EA2D9A"/>
    <w:rsid w:val="00EA2E10"/>
    <w:rsid w:val="00EA2EF8"/>
    <w:rsid w:val="00EA2FA0"/>
    <w:rsid w:val="00EA2FB6"/>
    <w:rsid w:val="00EA3211"/>
    <w:rsid w:val="00EA3238"/>
    <w:rsid w:val="00EA3252"/>
    <w:rsid w:val="00EA3267"/>
    <w:rsid w:val="00EA33C5"/>
    <w:rsid w:val="00EA3413"/>
    <w:rsid w:val="00EA3689"/>
    <w:rsid w:val="00EA3713"/>
    <w:rsid w:val="00EA38A0"/>
    <w:rsid w:val="00EA3A6C"/>
    <w:rsid w:val="00EA3B52"/>
    <w:rsid w:val="00EA3B66"/>
    <w:rsid w:val="00EA3BE5"/>
    <w:rsid w:val="00EA3CA7"/>
    <w:rsid w:val="00EA3D47"/>
    <w:rsid w:val="00EA3EA0"/>
    <w:rsid w:val="00EA40C6"/>
    <w:rsid w:val="00EA4196"/>
    <w:rsid w:val="00EA41A4"/>
    <w:rsid w:val="00EA423E"/>
    <w:rsid w:val="00EA42BD"/>
    <w:rsid w:val="00EA42C4"/>
    <w:rsid w:val="00EA4322"/>
    <w:rsid w:val="00EA43A9"/>
    <w:rsid w:val="00EA4542"/>
    <w:rsid w:val="00EA45B6"/>
    <w:rsid w:val="00EA45C9"/>
    <w:rsid w:val="00EA462B"/>
    <w:rsid w:val="00EA467B"/>
    <w:rsid w:val="00EA46F1"/>
    <w:rsid w:val="00EA481C"/>
    <w:rsid w:val="00EA4925"/>
    <w:rsid w:val="00EA4AB2"/>
    <w:rsid w:val="00EA4B35"/>
    <w:rsid w:val="00EA4CAF"/>
    <w:rsid w:val="00EA4F47"/>
    <w:rsid w:val="00EA518C"/>
    <w:rsid w:val="00EA52DF"/>
    <w:rsid w:val="00EA530D"/>
    <w:rsid w:val="00EA534D"/>
    <w:rsid w:val="00EA538C"/>
    <w:rsid w:val="00EA5486"/>
    <w:rsid w:val="00EA54E8"/>
    <w:rsid w:val="00EA5537"/>
    <w:rsid w:val="00EA5557"/>
    <w:rsid w:val="00EA57B5"/>
    <w:rsid w:val="00EA592D"/>
    <w:rsid w:val="00EA59F6"/>
    <w:rsid w:val="00EA5A4D"/>
    <w:rsid w:val="00EA5B96"/>
    <w:rsid w:val="00EA5C3C"/>
    <w:rsid w:val="00EA5C9C"/>
    <w:rsid w:val="00EA5CC6"/>
    <w:rsid w:val="00EA5DD2"/>
    <w:rsid w:val="00EA5E99"/>
    <w:rsid w:val="00EA5EED"/>
    <w:rsid w:val="00EA5F33"/>
    <w:rsid w:val="00EA6047"/>
    <w:rsid w:val="00EA6059"/>
    <w:rsid w:val="00EA607C"/>
    <w:rsid w:val="00EA60D6"/>
    <w:rsid w:val="00EA610E"/>
    <w:rsid w:val="00EA614F"/>
    <w:rsid w:val="00EA622D"/>
    <w:rsid w:val="00EA6485"/>
    <w:rsid w:val="00EA6539"/>
    <w:rsid w:val="00EA658A"/>
    <w:rsid w:val="00EA6618"/>
    <w:rsid w:val="00EA6717"/>
    <w:rsid w:val="00EA676B"/>
    <w:rsid w:val="00EA67E0"/>
    <w:rsid w:val="00EA691A"/>
    <w:rsid w:val="00EA6E1D"/>
    <w:rsid w:val="00EA6F54"/>
    <w:rsid w:val="00EA6F5C"/>
    <w:rsid w:val="00EA702A"/>
    <w:rsid w:val="00EA70B1"/>
    <w:rsid w:val="00EA70CD"/>
    <w:rsid w:val="00EA735E"/>
    <w:rsid w:val="00EA7387"/>
    <w:rsid w:val="00EA73A1"/>
    <w:rsid w:val="00EA73A4"/>
    <w:rsid w:val="00EA73D5"/>
    <w:rsid w:val="00EA756E"/>
    <w:rsid w:val="00EA784E"/>
    <w:rsid w:val="00EA7894"/>
    <w:rsid w:val="00EA799C"/>
    <w:rsid w:val="00EA79F7"/>
    <w:rsid w:val="00EA7AD7"/>
    <w:rsid w:val="00EA7B7A"/>
    <w:rsid w:val="00EA7C76"/>
    <w:rsid w:val="00EA7D43"/>
    <w:rsid w:val="00EA7E05"/>
    <w:rsid w:val="00EA7E4F"/>
    <w:rsid w:val="00EA7E60"/>
    <w:rsid w:val="00EA7FA5"/>
    <w:rsid w:val="00EB0095"/>
    <w:rsid w:val="00EB0156"/>
    <w:rsid w:val="00EB01AE"/>
    <w:rsid w:val="00EB0392"/>
    <w:rsid w:val="00EB03E2"/>
    <w:rsid w:val="00EB04DE"/>
    <w:rsid w:val="00EB0538"/>
    <w:rsid w:val="00EB06D4"/>
    <w:rsid w:val="00EB06F3"/>
    <w:rsid w:val="00EB07DE"/>
    <w:rsid w:val="00EB0804"/>
    <w:rsid w:val="00EB0849"/>
    <w:rsid w:val="00EB0AD1"/>
    <w:rsid w:val="00EB0AFB"/>
    <w:rsid w:val="00EB0C64"/>
    <w:rsid w:val="00EB0D52"/>
    <w:rsid w:val="00EB0DB9"/>
    <w:rsid w:val="00EB0E53"/>
    <w:rsid w:val="00EB0FA5"/>
    <w:rsid w:val="00EB105A"/>
    <w:rsid w:val="00EB1099"/>
    <w:rsid w:val="00EB10A5"/>
    <w:rsid w:val="00EB116D"/>
    <w:rsid w:val="00EB1198"/>
    <w:rsid w:val="00EB12C1"/>
    <w:rsid w:val="00EB1373"/>
    <w:rsid w:val="00EB1383"/>
    <w:rsid w:val="00EB13B1"/>
    <w:rsid w:val="00EB19CA"/>
    <w:rsid w:val="00EB1A14"/>
    <w:rsid w:val="00EB1D1B"/>
    <w:rsid w:val="00EB1D39"/>
    <w:rsid w:val="00EB1D59"/>
    <w:rsid w:val="00EB1D81"/>
    <w:rsid w:val="00EB1F1A"/>
    <w:rsid w:val="00EB22CC"/>
    <w:rsid w:val="00EB2322"/>
    <w:rsid w:val="00EB23BD"/>
    <w:rsid w:val="00EB23DD"/>
    <w:rsid w:val="00EB24E7"/>
    <w:rsid w:val="00EB24F1"/>
    <w:rsid w:val="00EB24F4"/>
    <w:rsid w:val="00EB2512"/>
    <w:rsid w:val="00EB2546"/>
    <w:rsid w:val="00EB2AF7"/>
    <w:rsid w:val="00EB2B48"/>
    <w:rsid w:val="00EB2CEC"/>
    <w:rsid w:val="00EB2E0D"/>
    <w:rsid w:val="00EB308D"/>
    <w:rsid w:val="00EB3098"/>
    <w:rsid w:val="00EB32D4"/>
    <w:rsid w:val="00EB33D3"/>
    <w:rsid w:val="00EB33D6"/>
    <w:rsid w:val="00EB37EE"/>
    <w:rsid w:val="00EB382D"/>
    <w:rsid w:val="00EB3831"/>
    <w:rsid w:val="00EB3844"/>
    <w:rsid w:val="00EB38F2"/>
    <w:rsid w:val="00EB3916"/>
    <w:rsid w:val="00EB3A24"/>
    <w:rsid w:val="00EB3A3B"/>
    <w:rsid w:val="00EB3A97"/>
    <w:rsid w:val="00EB3B09"/>
    <w:rsid w:val="00EB3FB9"/>
    <w:rsid w:val="00EB4072"/>
    <w:rsid w:val="00EB415E"/>
    <w:rsid w:val="00EB4496"/>
    <w:rsid w:val="00EB453D"/>
    <w:rsid w:val="00EB46CE"/>
    <w:rsid w:val="00EB4702"/>
    <w:rsid w:val="00EB4742"/>
    <w:rsid w:val="00EB4868"/>
    <w:rsid w:val="00EB4A90"/>
    <w:rsid w:val="00EB4AE4"/>
    <w:rsid w:val="00EB4B4B"/>
    <w:rsid w:val="00EB4BF8"/>
    <w:rsid w:val="00EB4C12"/>
    <w:rsid w:val="00EB4C48"/>
    <w:rsid w:val="00EB4CE7"/>
    <w:rsid w:val="00EB4CF6"/>
    <w:rsid w:val="00EB4DFB"/>
    <w:rsid w:val="00EB4F0E"/>
    <w:rsid w:val="00EB51CF"/>
    <w:rsid w:val="00EB5289"/>
    <w:rsid w:val="00EB52E2"/>
    <w:rsid w:val="00EB52EF"/>
    <w:rsid w:val="00EB546E"/>
    <w:rsid w:val="00EB5487"/>
    <w:rsid w:val="00EB5500"/>
    <w:rsid w:val="00EB550D"/>
    <w:rsid w:val="00EB550F"/>
    <w:rsid w:val="00EB552B"/>
    <w:rsid w:val="00EB584E"/>
    <w:rsid w:val="00EB591B"/>
    <w:rsid w:val="00EB5AE4"/>
    <w:rsid w:val="00EB5BD6"/>
    <w:rsid w:val="00EB5BEE"/>
    <w:rsid w:val="00EB5CBA"/>
    <w:rsid w:val="00EB5D42"/>
    <w:rsid w:val="00EB5F34"/>
    <w:rsid w:val="00EB5F93"/>
    <w:rsid w:val="00EB5F9A"/>
    <w:rsid w:val="00EB600A"/>
    <w:rsid w:val="00EB6026"/>
    <w:rsid w:val="00EB61C6"/>
    <w:rsid w:val="00EB6228"/>
    <w:rsid w:val="00EB6392"/>
    <w:rsid w:val="00EB6548"/>
    <w:rsid w:val="00EB6596"/>
    <w:rsid w:val="00EB6732"/>
    <w:rsid w:val="00EB6AFE"/>
    <w:rsid w:val="00EB6E2E"/>
    <w:rsid w:val="00EB6E5F"/>
    <w:rsid w:val="00EB6EC9"/>
    <w:rsid w:val="00EB7013"/>
    <w:rsid w:val="00EB7130"/>
    <w:rsid w:val="00EB7847"/>
    <w:rsid w:val="00EB7887"/>
    <w:rsid w:val="00EB78A6"/>
    <w:rsid w:val="00EB798E"/>
    <w:rsid w:val="00EB7A3F"/>
    <w:rsid w:val="00EB7B07"/>
    <w:rsid w:val="00EB7CA9"/>
    <w:rsid w:val="00EB7D31"/>
    <w:rsid w:val="00EB7E86"/>
    <w:rsid w:val="00EB7EC3"/>
    <w:rsid w:val="00EB7F0A"/>
    <w:rsid w:val="00EB7F64"/>
    <w:rsid w:val="00EC001F"/>
    <w:rsid w:val="00EC0635"/>
    <w:rsid w:val="00EC067F"/>
    <w:rsid w:val="00EC0685"/>
    <w:rsid w:val="00EC080C"/>
    <w:rsid w:val="00EC099A"/>
    <w:rsid w:val="00EC09CD"/>
    <w:rsid w:val="00EC0B3F"/>
    <w:rsid w:val="00EC0E3B"/>
    <w:rsid w:val="00EC0E7E"/>
    <w:rsid w:val="00EC0ED7"/>
    <w:rsid w:val="00EC0F0C"/>
    <w:rsid w:val="00EC0F32"/>
    <w:rsid w:val="00EC0F44"/>
    <w:rsid w:val="00EC10A3"/>
    <w:rsid w:val="00EC10B9"/>
    <w:rsid w:val="00EC1114"/>
    <w:rsid w:val="00EC116F"/>
    <w:rsid w:val="00EC127F"/>
    <w:rsid w:val="00EC129B"/>
    <w:rsid w:val="00EC12A0"/>
    <w:rsid w:val="00EC1365"/>
    <w:rsid w:val="00EC13CC"/>
    <w:rsid w:val="00EC159C"/>
    <w:rsid w:val="00EC17B7"/>
    <w:rsid w:val="00EC180A"/>
    <w:rsid w:val="00EC1870"/>
    <w:rsid w:val="00EC18CA"/>
    <w:rsid w:val="00EC19D6"/>
    <w:rsid w:val="00EC1A00"/>
    <w:rsid w:val="00EC1A8D"/>
    <w:rsid w:val="00EC1B57"/>
    <w:rsid w:val="00EC1C93"/>
    <w:rsid w:val="00EC1C98"/>
    <w:rsid w:val="00EC1CAF"/>
    <w:rsid w:val="00EC1CF2"/>
    <w:rsid w:val="00EC1D57"/>
    <w:rsid w:val="00EC1E74"/>
    <w:rsid w:val="00EC1E82"/>
    <w:rsid w:val="00EC213B"/>
    <w:rsid w:val="00EC2200"/>
    <w:rsid w:val="00EC2218"/>
    <w:rsid w:val="00EC22AD"/>
    <w:rsid w:val="00EC22EE"/>
    <w:rsid w:val="00EC23B7"/>
    <w:rsid w:val="00EC2492"/>
    <w:rsid w:val="00EC27A4"/>
    <w:rsid w:val="00EC2850"/>
    <w:rsid w:val="00EC2888"/>
    <w:rsid w:val="00EC2935"/>
    <w:rsid w:val="00EC2B4F"/>
    <w:rsid w:val="00EC2C00"/>
    <w:rsid w:val="00EC2C0E"/>
    <w:rsid w:val="00EC2DF0"/>
    <w:rsid w:val="00EC2E3F"/>
    <w:rsid w:val="00EC2EFB"/>
    <w:rsid w:val="00EC2F4F"/>
    <w:rsid w:val="00EC2FE2"/>
    <w:rsid w:val="00EC3096"/>
    <w:rsid w:val="00EC312B"/>
    <w:rsid w:val="00EC3259"/>
    <w:rsid w:val="00EC33A2"/>
    <w:rsid w:val="00EC3427"/>
    <w:rsid w:val="00EC347A"/>
    <w:rsid w:val="00EC34FB"/>
    <w:rsid w:val="00EC36E3"/>
    <w:rsid w:val="00EC372E"/>
    <w:rsid w:val="00EC3814"/>
    <w:rsid w:val="00EC382E"/>
    <w:rsid w:val="00EC386E"/>
    <w:rsid w:val="00EC3B0C"/>
    <w:rsid w:val="00EC3CA9"/>
    <w:rsid w:val="00EC3E6A"/>
    <w:rsid w:val="00EC3EA2"/>
    <w:rsid w:val="00EC3EC2"/>
    <w:rsid w:val="00EC3EEF"/>
    <w:rsid w:val="00EC3F42"/>
    <w:rsid w:val="00EC3FA0"/>
    <w:rsid w:val="00EC40A3"/>
    <w:rsid w:val="00EC42AF"/>
    <w:rsid w:val="00EC4349"/>
    <w:rsid w:val="00EC4464"/>
    <w:rsid w:val="00EC45D2"/>
    <w:rsid w:val="00EC45DB"/>
    <w:rsid w:val="00EC46BD"/>
    <w:rsid w:val="00EC4781"/>
    <w:rsid w:val="00EC494B"/>
    <w:rsid w:val="00EC497B"/>
    <w:rsid w:val="00EC49A2"/>
    <w:rsid w:val="00EC4A73"/>
    <w:rsid w:val="00EC4B3D"/>
    <w:rsid w:val="00EC4BB1"/>
    <w:rsid w:val="00EC4BF6"/>
    <w:rsid w:val="00EC4CAB"/>
    <w:rsid w:val="00EC4D5F"/>
    <w:rsid w:val="00EC4E62"/>
    <w:rsid w:val="00EC4EDA"/>
    <w:rsid w:val="00EC4F94"/>
    <w:rsid w:val="00EC5006"/>
    <w:rsid w:val="00EC5018"/>
    <w:rsid w:val="00EC52AB"/>
    <w:rsid w:val="00EC530F"/>
    <w:rsid w:val="00EC532A"/>
    <w:rsid w:val="00EC5374"/>
    <w:rsid w:val="00EC53A5"/>
    <w:rsid w:val="00EC53F5"/>
    <w:rsid w:val="00EC541E"/>
    <w:rsid w:val="00EC54E0"/>
    <w:rsid w:val="00EC54F9"/>
    <w:rsid w:val="00EC557F"/>
    <w:rsid w:val="00EC5581"/>
    <w:rsid w:val="00EC55F8"/>
    <w:rsid w:val="00EC55FD"/>
    <w:rsid w:val="00EC590F"/>
    <w:rsid w:val="00EC5AA2"/>
    <w:rsid w:val="00EC5BA9"/>
    <w:rsid w:val="00EC5D10"/>
    <w:rsid w:val="00EC5D15"/>
    <w:rsid w:val="00EC606F"/>
    <w:rsid w:val="00EC6100"/>
    <w:rsid w:val="00EC610F"/>
    <w:rsid w:val="00EC627A"/>
    <w:rsid w:val="00EC6298"/>
    <w:rsid w:val="00EC6322"/>
    <w:rsid w:val="00EC642A"/>
    <w:rsid w:val="00EC6504"/>
    <w:rsid w:val="00EC6601"/>
    <w:rsid w:val="00EC6647"/>
    <w:rsid w:val="00EC66A3"/>
    <w:rsid w:val="00EC67DF"/>
    <w:rsid w:val="00EC688A"/>
    <w:rsid w:val="00EC68B6"/>
    <w:rsid w:val="00EC6979"/>
    <w:rsid w:val="00EC69CD"/>
    <w:rsid w:val="00EC6BC1"/>
    <w:rsid w:val="00EC6BEE"/>
    <w:rsid w:val="00EC6C4B"/>
    <w:rsid w:val="00EC6CB6"/>
    <w:rsid w:val="00EC6D8D"/>
    <w:rsid w:val="00EC6E6F"/>
    <w:rsid w:val="00EC6EB3"/>
    <w:rsid w:val="00EC6F21"/>
    <w:rsid w:val="00EC7053"/>
    <w:rsid w:val="00EC7164"/>
    <w:rsid w:val="00EC7190"/>
    <w:rsid w:val="00EC71CC"/>
    <w:rsid w:val="00EC726B"/>
    <w:rsid w:val="00EC72A4"/>
    <w:rsid w:val="00EC7429"/>
    <w:rsid w:val="00EC75EC"/>
    <w:rsid w:val="00EC7735"/>
    <w:rsid w:val="00EC7757"/>
    <w:rsid w:val="00EC785C"/>
    <w:rsid w:val="00EC78AA"/>
    <w:rsid w:val="00EC78C8"/>
    <w:rsid w:val="00EC791C"/>
    <w:rsid w:val="00EC7971"/>
    <w:rsid w:val="00EC7A43"/>
    <w:rsid w:val="00EC7B24"/>
    <w:rsid w:val="00EC7B6C"/>
    <w:rsid w:val="00EC7BDD"/>
    <w:rsid w:val="00EC7CBF"/>
    <w:rsid w:val="00EC7D7E"/>
    <w:rsid w:val="00EC7E31"/>
    <w:rsid w:val="00EC7FB3"/>
    <w:rsid w:val="00ED0158"/>
    <w:rsid w:val="00ED01A8"/>
    <w:rsid w:val="00ED01C4"/>
    <w:rsid w:val="00ED0455"/>
    <w:rsid w:val="00ED04A0"/>
    <w:rsid w:val="00ED05CE"/>
    <w:rsid w:val="00ED0711"/>
    <w:rsid w:val="00ED0757"/>
    <w:rsid w:val="00ED0766"/>
    <w:rsid w:val="00ED083A"/>
    <w:rsid w:val="00ED0868"/>
    <w:rsid w:val="00ED0AF1"/>
    <w:rsid w:val="00ED0B33"/>
    <w:rsid w:val="00ED0B86"/>
    <w:rsid w:val="00ED0BCA"/>
    <w:rsid w:val="00ED0C07"/>
    <w:rsid w:val="00ED0C4B"/>
    <w:rsid w:val="00ED0EB7"/>
    <w:rsid w:val="00ED0EFF"/>
    <w:rsid w:val="00ED0F6B"/>
    <w:rsid w:val="00ED1001"/>
    <w:rsid w:val="00ED1069"/>
    <w:rsid w:val="00ED111B"/>
    <w:rsid w:val="00ED1136"/>
    <w:rsid w:val="00ED1161"/>
    <w:rsid w:val="00ED1178"/>
    <w:rsid w:val="00ED11B5"/>
    <w:rsid w:val="00ED13C4"/>
    <w:rsid w:val="00ED14F1"/>
    <w:rsid w:val="00ED156D"/>
    <w:rsid w:val="00ED1846"/>
    <w:rsid w:val="00ED185C"/>
    <w:rsid w:val="00ED19E0"/>
    <w:rsid w:val="00ED1A6F"/>
    <w:rsid w:val="00ED1B67"/>
    <w:rsid w:val="00ED1D82"/>
    <w:rsid w:val="00ED1D88"/>
    <w:rsid w:val="00ED1EBE"/>
    <w:rsid w:val="00ED1F47"/>
    <w:rsid w:val="00ED1F71"/>
    <w:rsid w:val="00ED1FCC"/>
    <w:rsid w:val="00ED2006"/>
    <w:rsid w:val="00ED20C7"/>
    <w:rsid w:val="00ED230D"/>
    <w:rsid w:val="00ED235B"/>
    <w:rsid w:val="00ED2475"/>
    <w:rsid w:val="00ED262F"/>
    <w:rsid w:val="00ED26F5"/>
    <w:rsid w:val="00ED2724"/>
    <w:rsid w:val="00ED27C8"/>
    <w:rsid w:val="00ED2929"/>
    <w:rsid w:val="00ED29A6"/>
    <w:rsid w:val="00ED2B78"/>
    <w:rsid w:val="00ED2CB5"/>
    <w:rsid w:val="00ED2CD3"/>
    <w:rsid w:val="00ED2E8E"/>
    <w:rsid w:val="00ED2FAE"/>
    <w:rsid w:val="00ED3044"/>
    <w:rsid w:val="00ED30D5"/>
    <w:rsid w:val="00ED30FA"/>
    <w:rsid w:val="00ED323F"/>
    <w:rsid w:val="00ED32C6"/>
    <w:rsid w:val="00ED334E"/>
    <w:rsid w:val="00ED33AD"/>
    <w:rsid w:val="00ED3451"/>
    <w:rsid w:val="00ED348C"/>
    <w:rsid w:val="00ED34B0"/>
    <w:rsid w:val="00ED34DB"/>
    <w:rsid w:val="00ED3709"/>
    <w:rsid w:val="00ED3750"/>
    <w:rsid w:val="00ED3788"/>
    <w:rsid w:val="00ED378D"/>
    <w:rsid w:val="00ED3925"/>
    <w:rsid w:val="00ED39AB"/>
    <w:rsid w:val="00ED3A3A"/>
    <w:rsid w:val="00ED3CA3"/>
    <w:rsid w:val="00ED3D17"/>
    <w:rsid w:val="00ED3D46"/>
    <w:rsid w:val="00ED3EEE"/>
    <w:rsid w:val="00ED3F64"/>
    <w:rsid w:val="00ED3F7B"/>
    <w:rsid w:val="00ED401B"/>
    <w:rsid w:val="00ED405A"/>
    <w:rsid w:val="00ED4165"/>
    <w:rsid w:val="00ED41F7"/>
    <w:rsid w:val="00ED4231"/>
    <w:rsid w:val="00ED4239"/>
    <w:rsid w:val="00ED4280"/>
    <w:rsid w:val="00ED4285"/>
    <w:rsid w:val="00ED428C"/>
    <w:rsid w:val="00ED4395"/>
    <w:rsid w:val="00ED4450"/>
    <w:rsid w:val="00ED44CF"/>
    <w:rsid w:val="00ED4565"/>
    <w:rsid w:val="00ED456A"/>
    <w:rsid w:val="00ED45A4"/>
    <w:rsid w:val="00ED45DD"/>
    <w:rsid w:val="00ED4637"/>
    <w:rsid w:val="00ED4696"/>
    <w:rsid w:val="00ED4727"/>
    <w:rsid w:val="00ED476C"/>
    <w:rsid w:val="00ED48A4"/>
    <w:rsid w:val="00ED495C"/>
    <w:rsid w:val="00ED498C"/>
    <w:rsid w:val="00ED4A3C"/>
    <w:rsid w:val="00ED4AFF"/>
    <w:rsid w:val="00ED4B3A"/>
    <w:rsid w:val="00ED4B3E"/>
    <w:rsid w:val="00ED4BC7"/>
    <w:rsid w:val="00ED4E23"/>
    <w:rsid w:val="00ED4E77"/>
    <w:rsid w:val="00ED4EAD"/>
    <w:rsid w:val="00ED4ED6"/>
    <w:rsid w:val="00ED4FF6"/>
    <w:rsid w:val="00ED50A0"/>
    <w:rsid w:val="00ED51D5"/>
    <w:rsid w:val="00ED526A"/>
    <w:rsid w:val="00ED52FF"/>
    <w:rsid w:val="00ED5311"/>
    <w:rsid w:val="00ED53E0"/>
    <w:rsid w:val="00ED5954"/>
    <w:rsid w:val="00ED59AD"/>
    <w:rsid w:val="00ED59DB"/>
    <w:rsid w:val="00ED5A2C"/>
    <w:rsid w:val="00ED5C3E"/>
    <w:rsid w:val="00ED5D21"/>
    <w:rsid w:val="00ED5DCD"/>
    <w:rsid w:val="00ED5E34"/>
    <w:rsid w:val="00ED5E3F"/>
    <w:rsid w:val="00ED5E46"/>
    <w:rsid w:val="00ED5E59"/>
    <w:rsid w:val="00ED5EBB"/>
    <w:rsid w:val="00ED5F39"/>
    <w:rsid w:val="00ED6076"/>
    <w:rsid w:val="00ED61AC"/>
    <w:rsid w:val="00ED65F3"/>
    <w:rsid w:val="00ED6620"/>
    <w:rsid w:val="00ED670E"/>
    <w:rsid w:val="00ED676A"/>
    <w:rsid w:val="00ED692B"/>
    <w:rsid w:val="00ED692F"/>
    <w:rsid w:val="00ED6A6D"/>
    <w:rsid w:val="00ED6C17"/>
    <w:rsid w:val="00ED6CDC"/>
    <w:rsid w:val="00ED6E14"/>
    <w:rsid w:val="00ED6EA3"/>
    <w:rsid w:val="00ED6EA4"/>
    <w:rsid w:val="00ED6F74"/>
    <w:rsid w:val="00ED7254"/>
    <w:rsid w:val="00ED7352"/>
    <w:rsid w:val="00ED74FB"/>
    <w:rsid w:val="00ED754E"/>
    <w:rsid w:val="00ED7583"/>
    <w:rsid w:val="00ED7743"/>
    <w:rsid w:val="00ED778C"/>
    <w:rsid w:val="00ED784A"/>
    <w:rsid w:val="00ED7A1F"/>
    <w:rsid w:val="00ED7B61"/>
    <w:rsid w:val="00ED7C40"/>
    <w:rsid w:val="00ED7E5C"/>
    <w:rsid w:val="00ED7E94"/>
    <w:rsid w:val="00EE000A"/>
    <w:rsid w:val="00EE00B7"/>
    <w:rsid w:val="00EE018C"/>
    <w:rsid w:val="00EE01CE"/>
    <w:rsid w:val="00EE01D0"/>
    <w:rsid w:val="00EE01E6"/>
    <w:rsid w:val="00EE023D"/>
    <w:rsid w:val="00EE0339"/>
    <w:rsid w:val="00EE0353"/>
    <w:rsid w:val="00EE038F"/>
    <w:rsid w:val="00EE03AB"/>
    <w:rsid w:val="00EE03B8"/>
    <w:rsid w:val="00EE03ED"/>
    <w:rsid w:val="00EE079D"/>
    <w:rsid w:val="00EE0809"/>
    <w:rsid w:val="00EE08C8"/>
    <w:rsid w:val="00EE08D8"/>
    <w:rsid w:val="00EE08E2"/>
    <w:rsid w:val="00EE0964"/>
    <w:rsid w:val="00EE0986"/>
    <w:rsid w:val="00EE098D"/>
    <w:rsid w:val="00EE09AB"/>
    <w:rsid w:val="00EE0A37"/>
    <w:rsid w:val="00EE0B4C"/>
    <w:rsid w:val="00EE0B63"/>
    <w:rsid w:val="00EE0DDB"/>
    <w:rsid w:val="00EE0DFB"/>
    <w:rsid w:val="00EE11FD"/>
    <w:rsid w:val="00EE123B"/>
    <w:rsid w:val="00EE13B7"/>
    <w:rsid w:val="00EE1480"/>
    <w:rsid w:val="00EE1573"/>
    <w:rsid w:val="00EE167D"/>
    <w:rsid w:val="00EE16EA"/>
    <w:rsid w:val="00EE176F"/>
    <w:rsid w:val="00EE1783"/>
    <w:rsid w:val="00EE19BD"/>
    <w:rsid w:val="00EE1A2F"/>
    <w:rsid w:val="00EE1A53"/>
    <w:rsid w:val="00EE1A7F"/>
    <w:rsid w:val="00EE1B19"/>
    <w:rsid w:val="00EE1BB3"/>
    <w:rsid w:val="00EE1E53"/>
    <w:rsid w:val="00EE1F3D"/>
    <w:rsid w:val="00EE2009"/>
    <w:rsid w:val="00EE2017"/>
    <w:rsid w:val="00EE2115"/>
    <w:rsid w:val="00EE2126"/>
    <w:rsid w:val="00EE2182"/>
    <w:rsid w:val="00EE22CE"/>
    <w:rsid w:val="00EE2363"/>
    <w:rsid w:val="00EE243A"/>
    <w:rsid w:val="00EE24C0"/>
    <w:rsid w:val="00EE2542"/>
    <w:rsid w:val="00EE26DF"/>
    <w:rsid w:val="00EE27E6"/>
    <w:rsid w:val="00EE2867"/>
    <w:rsid w:val="00EE2A40"/>
    <w:rsid w:val="00EE2A5A"/>
    <w:rsid w:val="00EE2A5D"/>
    <w:rsid w:val="00EE2A75"/>
    <w:rsid w:val="00EE2AD4"/>
    <w:rsid w:val="00EE2B6F"/>
    <w:rsid w:val="00EE2D32"/>
    <w:rsid w:val="00EE2D61"/>
    <w:rsid w:val="00EE2D88"/>
    <w:rsid w:val="00EE2D95"/>
    <w:rsid w:val="00EE2F4D"/>
    <w:rsid w:val="00EE2FAE"/>
    <w:rsid w:val="00EE31F9"/>
    <w:rsid w:val="00EE34F7"/>
    <w:rsid w:val="00EE3539"/>
    <w:rsid w:val="00EE35B4"/>
    <w:rsid w:val="00EE37B5"/>
    <w:rsid w:val="00EE37FD"/>
    <w:rsid w:val="00EE3869"/>
    <w:rsid w:val="00EE398D"/>
    <w:rsid w:val="00EE3BDC"/>
    <w:rsid w:val="00EE403E"/>
    <w:rsid w:val="00EE408B"/>
    <w:rsid w:val="00EE4136"/>
    <w:rsid w:val="00EE41D4"/>
    <w:rsid w:val="00EE4291"/>
    <w:rsid w:val="00EE4379"/>
    <w:rsid w:val="00EE441B"/>
    <w:rsid w:val="00EE44D5"/>
    <w:rsid w:val="00EE4604"/>
    <w:rsid w:val="00EE4613"/>
    <w:rsid w:val="00EE4836"/>
    <w:rsid w:val="00EE4838"/>
    <w:rsid w:val="00EE4852"/>
    <w:rsid w:val="00EE4BB2"/>
    <w:rsid w:val="00EE4BC0"/>
    <w:rsid w:val="00EE4D4C"/>
    <w:rsid w:val="00EE4D76"/>
    <w:rsid w:val="00EE4E90"/>
    <w:rsid w:val="00EE4ED0"/>
    <w:rsid w:val="00EE4FFE"/>
    <w:rsid w:val="00EE5202"/>
    <w:rsid w:val="00EE5288"/>
    <w:rsid w:val="00EE5296"/>
    <w:rsid w:val="00EE52DA"/>
    <w:rsid w:val="00EE5362"/>
    <w:rsid w:val="00EE53FD"/>
    <w:rsid w:val="00EE54C3"/>
    <w:rsid w:val="00EE55DB"/>
    <w:rsid w:val="00EE5624"/>
    <w:rsid w:val="00EE57B4"/>
    <w:rsid w:val="00EE57C9"/>
    <w:rsid w:val="00EE5821"/>
    <w:rsid w:val="00EE58DD"/>
    <w:rsid w:val="00EE591A"/>
    <w:rsid w:val="00EE5B87"/>
    <w:rsid w:val="00EE5B9A"/>
    <w:rsid w:val="00EE5BE3"/>
    <w:rsid w:val="00EE5D0D"/>
    <w:rsid w:val="00EE5D26"/>
    <w:rsid w:val="00EE5DD6"/>
    <w:rsid w:val="00EE5E53"/>
    <w:rsid w:val="00EE5ED1"/>
    <w:rsid w:val="00EE5EDF"/>
    <w:rsid w:val="00EE5FED"/>
    <w:rsid w:val="00EE60FE"/>
    <w:rsid w:val="00EE6244"/>
    <w:rsid w:val="00EE6261"/>
    <w:rsid w:val="00EE62DC"/>
    <w:rsid w:val="00EE63F5"/>
    <w:rsid w:val="00EE6466"/>
    <w:rsid w:val="00EE653D"/>
    <w:rsid w:val="00EE658B"/>
    <w:rsid w:val="00EE6630"/>
    <w:rsid w:val="00EE664C"/>
    <w:rsid w:val="00EE66D0"/>
    <w:rsid w:val="00EE677B"/>
    <w:rsid w:val="00EE67A3"/>
    <w:rsid w:val="00EE67D7"/>
    <w:rsid w:val="00EE6845"/>
    <w:rsid w:val="00EE68A2"/>
    <w:rsid w:val="00EE6989"/>
    <w:rsid w:val="00EE69CA"/>
    <w:rsid w:val="00EE69E2"/>
    <w:rsid w:val="00EE6B74"/>
    <w:rsid w:val="00EE6BDB"/>
    <w:rsid w:val="00EE6C19"/>
    <w:rsid w:val="00EE6C61"/>
    <w:rsid w:val="00EE6CAB"/>
    <w:rsid w:val="00EE6D08"/>
    <w:rsid w:val="00EE6D53"/>
    <w:rsid w:val="00EE6D86"/>
    <w:rsid w:val="00EE6F6B"/>
    <w:rsid w:val="00EE6FCE"/>
    <w:rsid w:val="00EE7299"/>
    <w:rsid w:val="00EE7312"/>
    <w:rsid w:val="00EE736F"/>
    <w:rsid w:val="00EE7457"/>
    <w:rsid w:val="00EE74DD"/>
    <w:rsid w:val="00EE74E9"/>
    <w:rsid w:val="00EE75E1"/>
    <w:rsid w:val="00EE7665"/>
    <w:rsid w:val="00EE794F"/>
    <w:rsid w:val="00EE7AFE"/>
    <w:rsid w:val="00EE7B45"/>
    <w:rsid w:val="00EE7C0B"/>
    <w:rsid w:val="00EE7C10"/>
    <w:rsid w:val="00EE7C96"/>
    <w:rsid w:val="00EE7D6E"/>
    <w:rsid w:val="00EE7DDD"/>
    <w:rsid w:val="00EE7DFF"/>
    <w:rsid w:val="00EE7F24"/>
    <w:rsid w:val="00EE7FB7"/>
    <w:rsid w:val="00EF0093"/>
    <w:rsid w:val="00EF0126"/>
    <w:rsid w:val="00EF024F"/>
    <w:rsid w:val="00EF0308"/>
    <w:rsid w:val="00EF030A"/>
    <w:rsid w:val="00EF0424"/>
    <w:rsid w:val="00EF056D"/>
    <w:rsid w:val="00EF0608"/>
    <w:rsid w:val="00EF07B1"/>
    <w:rsid w:val="00EF0823"/>
    <w:rsid w:val="00EF087B"/>
    <w:rsid w:val="00EF08BD"/>
    <w:rsid w:val="00EF08F8"/>
    <w:rsid w:val="00EF09D5"/>
    <w:rsid w:val="00EF0A49"/>
    <w:rsid w:val="00EF0A9D"/>
    <w:rsid w:val="00EF0BE6"/>
    <w:rsid w:val="00EF0C41"/>
    <w:rsid w:val="00EF0C49"/>
    <w:rsid w:val="00EF0C81"/>
    <w:rsid w:val="00EF0CD5"/>
    <w:rsid w:val="00EF0DA5"/>
    <w:rsid w:val="00EF0E47"/>
    <w:rsid w:val="00EF0ED3"/>
    <w:rsid w:val="00EF0F3B"/>
    <w:rsid w:val="00EF0F88"/>
    <w:rsid w:val="00EF106D"/>
    <w:rsid w:val="00EF1074"/>
    <w:rsid w:val="00EF10D1"/>
    <w:rsid w:val="00EF11F6"/>
    <w:rsid w:val="00EF12D2"/>
    <w:rsid w:val="00EF1387"/>
    <w:rsid w:val="00EF17C5"/>
    <w:rsid w:val="00EF17D9"/>
    <w:rsid w:val="00EF1857"/>
    <w:rsid w:val="00EF1A23"/>
    <w:rsid w:val="00EF1A60"/>
    <w:rsid w:val="00EF1A6D"/>
    <w:rsid w:val="00EF1A93"/>
    <w:rsid w:val="00EF1B24"/>
    <w:rsid w:val="00EF1BE4"/>
    <w:rsid w:val="00EF1C8D"/>
    <w:rsid w:val="00EF1E2A"/>
    <w:rsid w:val="00EF1E37"/>
    <w:rsid w:val="00EF1ECB"/>
    <w:rsid w:val="00EF1F35"/>
    <w:rsid w:val="00EF1FC8"/>
    <w:rsid w:val="00EF1FD4"/>
    <w:rsid w:val="00EF20B0"/>
    <w:rsid w:val="00EF2380"/>
    <w:rsid w:val="00EF24A5"/>
    <w:rsid w:val="00EF2564"/>
    <w:rsid w:val="00EF25E9"/>
    <w:rsid w:val="00EF2702"/>
    <w:rsid w:val="00EF28EB"/>
    <w:rsid w:val="00EF2A6F"/>
    <w:rsid w:val="00EF2CDC"/>
    <w:rsid w:val="00EF2CFF"/>
    <w:rsid w:val="00EF2EA8"/>
    <w:rsid w:val="00EF2FE0"/>
    <w:rsid w:val="00EF3164"/>
    <w:rsid w:val="00EF324C"/>
    <w:rsid w:val="00EF32B7"/>
    <w:rsid w:val="00EF32F7"/>
    <w:rsid w:val="00EF3364"/>
    <w:rsid w:val="00EF3410"/>
    <w:rsid w:val="00EF343D"/>
    <w:rsid w:val="00EF3575"/>
    <w:rsid w:val="00EF3841"/>
    <w:rsid w:val="00EF388D"/>
    <w:rsid w:val="00EF38E4"/>
    <w:rsid w:val="00EF39EE"/>
    <w:rsid w:val="00EF3A3C"/>
    <w:rsid w:val="00EF3B90"/>
    <w:rsid w:val="00EF3D88"/>
    <w:rsid w:val="00EF3D95"/>
    <w:rsid w:val="00EF3E39"/>
    <w:rsid w:val="00EF3ECF"/>
    <w:rsid w:val="00EF3F89"/>
    <w:rsid w:val="00EF3F9B"/>
    <w:rsid w:val="00EF40A6"/>
    <w:rsid w:val="00EF40CC"/>
    <w:rsid w:val="00EF414E"/>
    <w:rsid w:val="00EF4165"/>
    <w:rsid w:val="00EF42DB"/>
    <w:rsid w:val="00EF42ED"/>
    <w:rsid w:val="00EF463D"/>
    <w:rsid w:val="00EF46D3"/>
    <w:rsid w:val="00EF4B3A"/>
    <w:rsid w:val="00EF4C8D"/>
    <w:rsid w:val="00EF4D35"/>
    <w:rsid w:val="00EF4D6F"/>
    <w:rsid w:val="00EF4D96"/>
    <w:rsid w:val="00EF4E6A"/>
    <w:rsid w:val="00EF4F5A"/>
    <w:rsid w:val="00EF4F60"/>
    <w:rsid w:val="00EF4F6D"/>
    <w:rsid w:val="00EF521F"/>
    <w:rsid w:val="00EF52F1"/>
    <w:rsid w:val="00EF53D3"/>
    <w:rsid w:val="00EF56D9"/>
    <w:rsid w:val="00EF5714"/>
    <w:rsid w:val="00EF57F4"/>
    <w:rsid w:val="00EF5AC9"/>
    <w:rsid w:val="00EF5B7C"/>
    <w:rsid w:val="00EF5C07"/>
    <w:rsid w:val="00EF5DDF"/>
    <w:rsid w:val="00EF5E0F"/>
    <w:rsid w:val="00EF5E2C"/>
    <w:rsid w:val="00EF5F04"/>
    <w:rsid w:val="00EF5FCA"/>
    <w:rsid w:val="00EF612B"/>
    <w:rsid w:val="00EF61C8"/>
    <w:rsid w:val="00EF6210"/>
    <w:rsid w:val="00EF625D"/>
    <w:rsid w:val="00EF630C"/>
    <w:rsid w:val="00EF6328"/>
    <w:rsid w:val="00EF6474"/>
    <w:rsid w:val="00EF64B7"/>
    <w:rsid w:val="00EF6638"/>
    <w:rsid w:val="00EF679E"/>
    <w:rsid w:val="00EF67D4"/>
    <w:rsid w:val="00EF6816"/>
    <w:rsid w:val="00EF686F"/>
    <w:rsid w:val="00EF6C44"/>
    <w:rsid w:val="00EF6C68"/>
    <w:rsid w:val="00EF6E29"/>
    <w:rsid w:val="00EF6F8D"/>
    <w:rsid w:val="00EF6F9D"/>
    <w:rsid w:val="00EF718A"/>
    <w:rsid w:val="00EF74D6"/>
    <w:rsid w:val="00EF7516"/>
    <w:rsid w:val="00EF769D"/>
    <w:rsid w:val="00EF77E4"/>
    <w:rsid w:val="00EF78DC"/>
    <w:rsid w:val="00EF7A47"/>
    <w:rsid w:val="00EF7A92"/>
    <w:rsid w:val="00EF7ACC"/>
    <w:rsid w:val="00EF7AF1"/>
    <w:rsid w:val="00EF7AF9"/>
    <w:rsid w:val="00EF7B9F"/>
    <w:rsid w:val="00EF7C2B"/>
    <w:rsid w:val="00EF7CE6"/>
    <w:rsid w:val="00EF7D51"/>
    <w:rsid w:val="00EF7DF7"/>
    <w:rsid w:val="00EF7E56"/>
    <w:rsid w:val="00EF7F15"/>
    <w:rsid w:val="00EF7F98"/>
    <w:rsid w:val="00F000A6"/>
    <w:rsid w:val="00F00281"/>
    <w:rsid w:val="00F002A6"/>
    <w:rsid w:val="00F00312"/>
    <w:rsid w:val="00F00470"/>
    <w:rsid w:val="00F00490"/>
    <w:rsid w:val="00F00624"/>
    <w:rsid w:val="00F0064A"/>
    <w:rsid w:val="00F0077F"/>
    <w:rsid w:val="00F007C2"/>
    <w:rsid w:val="00F007E5"/>
    <w:rsid w:val="00F0080B"/>
    <w:rsid w:val="00F00816"/>
    <w:rsid w:val="00F009FB"/>
    <w:rsid w:val="00F00B58"/>
    <w:rsid w:val="00F00C72"/>
    <w:rsid w:val="00F00CFE"/>
    <w:rsid w:val="00F00D89"/>
    <w:rsid w:val="00F00E86"/>
    <w:rsid w:val="00F00E90"/>
    <w:rsid w:val="00F00EEA"/>
    <w:rsid w:val="00F00FD3"/>
    <w:rsid w:val="00F00FF2"/>
    <w:rsid w:val="00F0100E"/>
    <w:rsid w:val="00F011B7"/>
    <w:rsid w:val="00F011BF"/>
    <w:rsid w:val="00F011EF"/>
    <w:rsid w:val="00F01243"/>
    <w:rsid w:val="00F012D4"/>
    <w:rsid w:val="00F012DA"/>
    <w:rsid w:val="00F014C5"/>
    <w:rsid w:val="00F015A4"/>
    <w:rsid w:val="00F015BC"/>
    <w:rsid w:val="00F016B2"/>
    <w:rsid w:val="00F017E0"/>
    <w:rsid w:val="00F0185E"/>
    <w:rsid w:val="00F01867"/>
    <w:rsid w:val="00F0199F"/>
    <w:rsid w:val="00F01AB4"/>
    <w:rsid w:val="00F01BE2"/>
    <w:rsid w:val="00F01C4F"/>
    <w:rsid w:val="00F01D8C"/>
    <w:rsid w:val="00F01DE9"/>
    <w:rsid w:val="00F01E73"/>
    <w:rsid w:val="00F01F42"/>
    <w:rsid w:val="00F01F9A"/>
    <w:rsid w:val="00F02079"/>
    <w:rsid w:val="00F02142"/>
    <w:rsid w:val="00F02167"/>
    <w:rsid w:val="00F02191"/>
    <w:rsid w:val="00F022E8"/>
    <w:rsid w:val="00F025DA"/>
    <w:rsid w:val="00F0299F"/>
    <w:rsid w:val="00F029F9"/>
    <w:rsid w:val="00F02A89"/>
    <w:rsid w:val="00F02AC0"/>
    <w:rsid w:val="00F02AC1"/>
    <w:rsid w:val="00F02BEF"/>
    <w:rsid w:val="00F02C03"/>
    <w:rsid w:val="00F02C8C"/>
    <w:rsid w:val="00F02CEF"/>
    <w:rsid w:val="00F02E1E"/>
    <w:rsid w:val="00F02EEB"/>
    <w:rsid w:val="00F02F57"/>
    <w:rsid w:val="00F03215"/>
    <w:rsid w:val="00F0331D"/>
    <w:rsid w:val="00F03483"/>
    <w:rsid w:val="00F03929"/>
    <w:rsid w:val="00F03A22"/>
    <w:rsid w:val="00F03A9D"/>
    <w:rsid w:val="00F03CB1"/>
    <w:rsid w:val="00F0411B"/>
    <w:rsid w:val="00F041E6"/>
    <w:rsid w:val="00F04350"/>
    <w:rsid w:val="00F043F5"/>
    <w:rsid w:val="00F04501"/>
    <w:rsid w:val="00F0455B"/>
    <w:rsid w:val="00F04796"/>
    <w:rsid w:val="00F04896"/>
    <w:rsid w:val="00F048D9"/>
    <w:rsid w:val="00F04A52"/>
    <w:rsid w:val="00F04C47"/>
    <w:rsid w:val="00F04C78"/>
    <w:rsid w:val="00F04D2B"/>
    <w:rsid w:val="00F04D59"/>
    <w:rsid w:val="00F04D80"/>
    <w:rsid w:val="00F04DAF"/>
    <w:rsid w:val="00F04DF0"/>
    <w:rsid w:val="00F04E04"/>
    <w:rsid w:val="00F04EB4"/>
    <w:rsid w:val="00F04FED"/>
    <w:rsid w:val="00F0519D"/>
    <w:rsid w:val="00F051A6"/>
    <w:rsid w:val="00F053E5"/>
    <w:rsid w:val="00F0543D"/>
    <w:rsid w:val="00F054C2"/>
    <w:rsid w:val="00F054F3"/>
    <w:rsid w:val="00F055CD"/>
    <w:rsid w:val="00F05777"/>
    <w:rsid w:val="00F0579E"/>
    <w:rsid w:val="00F0586D"/>
    <w:rsid w:val="00F059BE"/>
    <w:rsid w:val="00F05C40"/>
    <w:rsid w:val="00F05D56"/>
    <w:rsid w:val="00F05E52"/>
    <w:rsid w:val="00F05FC4"/>
    <w:rsid w:val="00F060C7"/>
    <w:rsid w:val="00F061C9"/>
    <w:rsid w:val="00F06392"/>
    <w:rsid w:val="00F0646C"/>
    <w:rsid w:val="00F064A7"/>
    <w:rsid w:val="00F065B8"/>
    <w:rsid w:val="00F067DB"/>
    <w:rsid w:val="00F069D2"/>
    <w:rsid w:val="00F06A09"/>
    <w:rsid w:val="00F06B23"/>
    <w:rsid w:val="00F06B33"/>
    <w:rsid w:val="00F06B9B"/>
    <w:rsid w:val="00F06C70"/>
    <w:rsid w:val="00F06D38"/>
    <w:rsid w:val="00F06F30"/>
    <w:rsid w:val="00F06F5C"/>
    <w:rsid w:val="00F070CE"/>
    <w:rsid w:val="00F0713E"/>
    <w:rsid w:val="00F07304"/>
    <w:rsid w:val="00F07316"/>
    <w:rsid w:val="00F0742C"/>
    <w:rsid w:val="00F07540"/>
    <w:rsid w:val="00F076F5"/>
    <w:rsid w:val="00F0775E"/>
    <w:rsid w:val="00F0788A"/>
    <w:rsid w:val="00F07899"/>
    <w:rsid w:val="00F078E4"/>
    <w:rsid w:val="00F079BC"/>
    <w:rsid w:val="00F079CD"/>
    <w:rsid w:val="00F079E5"/>
    <w:rsid w:val="00F07A4D"/>
    <w:rsid w:val="00F07ADD"/>
    <w:rsid w:val="00F07AF2"/>
    <w:rsid w:val="00F07C36"/>
    <w:rsid w:val="00F07DEA"/>
    <w:rsid w:val="00F07F21"/>
    <w:rsid w:val="00F07F39"/>
    <w:rsid w:val="00F07F91"/>
    <w:rsid w:val="00F07F9E"/>
    <w:rsid w:val="00F1016C"/>
    <w:rsid w:val="00F10182"/>
    <w:rsid w:val="00F1018E"/>
    <w:rsid w:val="00F10306"/>
    <w:rsid w:val="00F10335"/>
    <w:rsid w:val="00F10343"/>
    <w:rsid w:val="00F103B6"/>
    <w:rsid w:val="00F1040B"/>
    <w:rsid w:val="00F104B4"/>
    <w:rsid w:val="00F105C8"/>
    <w:rsid w:val="00F106AA"/>
    <w:rsid w:val="00F107A6"/>
    <w:rsid w:val="00F10898"/>
    <w:rsid w:val="00F1089E"/>
    <w:rsid w:val="00F10941"/>
    <w:rsid w:val="00F10989"/>
    <w:rsid w:val="00F10A55"/>
    <w:rsid w:val="00F10B26"/>
    <w:rsid w:val="00F10CB0"/>
    <w:rsid w:val="00F10E36"/>
    <w:rsid w:val="00F10E5C"/>
    <w:rsid w:val="00F10E93"/>
    <w:rsid w:val="00F10EF1"/>
    <w:rsid w:val="00F10F1D"/>
    <w:rsid w:val="00F10F86"/>
    <w:rsid w:val="00F11054"/>
    <w:rsid w:val="00F112BD"/>
    <w:rsid w:val="00F112C5"/>
    <w:rsid w:val="00F114B2"/>
    <w:rsid w:val="00F1159E"/>
    <w:rsid w:val="00F115C2"/>
    <w:rsid w:val="00F1179C"/>
    <w:rsid w:val="00F117FD"/>
    <w:rsid w:val="00F11804"/>
    <w:rsid w:val="00F11866"/>
    <w:rsid w:val="00F11891"/>
    <w:rsid w:val="00F1196C"/>
    <w:rsid w:val="00F1199A"/>
    <w:rsid w:val="00F119C5"/>
    <w:rsid w:val="00F11A0B"/>
    <w:rsid w:val="00F11A2A"/>
    <w:rsid w:val="00F11B54"/>
    <w:rsid w:val="00F11CFA"/>
    <w:rsid w:val="00F11E0E"/>
    <w:rsid w:val="00F11E3E"/>
    <w:rsid w:val="00F11E5D"/>
    <w:rsid w:val="00F11F2D"/>
    <w:rsid w:val="00F11F3F"/>
    <w:rsid w:val="00F121C1"/>
    <w:rsid w:val="00F12250"/>
    <w:rsid w:val="00F122B3"/>
    <w:rsid w:val="00F122BF"/>
    <w:rsid w:val="00F124BA"/>
    <w:rsid w:val="00F124C8"/>
    <w:rsid w:val="00F125CC"/>
    <w:rsid w:val="00F12673"/>
    <w:rsid w:val="00F1269C"/>
    <w:rsid w:val="00F12702"/>
    <w:rsid w:val="00F12758"/>
    <w:rsid w:val="00F1292E"/>
    <w:rsid w:val="00F1295B"/>
    <w:rsid w:val="00F12970"/>
    <w:rsid w:val="00F129C7"/>
    <w:rsid w:val="00F12A87"/>
    <w:rsid w:val="00F12AED"/>
    <w:rsid w:val="00F12C57"/>
    <w:rsid w:val="00F12E8B"/>
    <w:rsid w:val="00F12F56"/>
    <w:rsid w:val="00F12FB8"/>
    <w:rsid w:val="00F1333B"/>
    <w:rsid w:val="00F13355"/>
    <w:rsid w:val="00F13399"/>
    <w:rsid w:val="00F133CD"/>
    <w:rsid w:val="00F13411"/>
    <w:rsid w:val="00F13422"/>
    <w:rsid w:val="00F137AC"/>
    <w:rsid w:val="00F137F2"/>
    <w:rsid w:val="00F13820"/>
    <w:rsid w:val="00F13833"/>
    <w:rsid w:val="00F13834"/>
    <w:rsid w:val="00F13885"/>
    <w:rsid w:val="00F138D2"/>
    <w:rsid w:val="00F13913"/>
    <w:rsid w:val="00F13964"/>
    <w:rsid w:val="00F13A4E"/>
    <w:rsid w:val="00F13BA6"/>
    <w:rsid w:val="00F13BFD"/>
    <w:rsid w:val="00F13D06"/>
    <w:rsid w:val="00F13DA7"/>
    <w:rsid w:val="00F13EE0"/>
    <w:rsid w:val="00F14042"/>
    <w:rsid w:val="00F1417E"/>
    <w:rsid w:val="00F14201"/>
    <w:rsid w:val="00F143CF"/>
    <w:rsid w:val="00F1441A"/>
    <w:rsid w:val="00F1441D"/>
    <w:rsid w:val="00F14473"/>
    <w:rsid w:val="00F1450A"/>
    <w:rsid w:val="00F14575"/>
    <w:rsid w:val="00F14592"/>
    <w:rsid w:val="00F1484F"/>
    <w:rsid w:val="00F148E4"/>
    <w:rsid w:val="00F14970"/>
    <w:rsid w:val="00F14A44"/>
    <w:rsid w:val="00F14B89"/>
    <w:rsid w:val="00F14C5D"/>
    <w:rsid w:val="00F14C69"/>
    <w:rsid w:val="00F14D1E"/>
    <w:rsid w:val="00F14E5D"/>
    <w:rsid w:val="00F14F04"/>
    <w:rsid w:val="00F14F09"/>
    <w:rsid w:val="00F14F17"/>
    <w:rsid w:val="00F1505B"/>
    <w:rsid w:val="00F150FD"/>
    <w:rsid w:val="00F15157"/>
    <w:rsid w:val="00F151BF"/>
    <w:rsid w:val="00F155E0"/>
    <w:rsid w:val="00F15645"/>
    <w:rsid w:val="00F1578F"/>
    <w:rsid w:val="00F157F4"/>
    <w:rsid w:val="00F1581A"/>
    <w:rsid w:val="00F15840"/>
    <w:rsid w:val="00F15902"/>
    <w:rsid w:val="00F15C09"/>
    <w:rsid w:val="00F15C33"/>
    <w:rsid w:val="00F15CD3"/>
    <w:rsid w:val="00F15D00"/>
    <w:rsid w:val="00F15D59"/>
    <w:rsid w:val="00F15D93"/>
    <w:rsid w:val="00F15E4F"/>
    <w:rsid w:val="00F15E59"/>
    <w:rsid w:val="00F15E70"/>
    <w:rsid w:val="00F15EA7"/>
    <w:rsid w:val="00F15F55"/>
    <w:rsid w:val="00F15F62"/>
    <w:rsid w:val="00F15FE7"/>
    <w:rsid w:val="00F16134"/>
    <w:rsid w:val="00F1649A"/>
    <w:rsid w:val="00F164FB"/>
    <w:rsid w:val="00F167A3"/>
    <w:rsid w:val="00F16959"/>
    <w:rsid w:val="00F169F9"/>
    <w:rsid w:val="00F16A4F"/>
    <w:rsid w:val="00F16A95"/>
    <w:rsid w:val="00F16D49"/>
    <w:rsid w:val="00F16D88"/>
    <w:rsid w:val="00F16EA5"/>
    <w:rsid w:val="00F16F9C"/>
    <w:rsid w:val="00F170CE"/>
    <w:rsid w:val="00F17177"/>
    <w:rsid w:val="00F1726E"/>
    <w:rsid w:val="00F1728B"/>
    <w:rsid w:val="00F17685"/>
    <w:rsid w:val="00F176B4"/>
    <w:rsid w:val="00F17819"/>
    <w:rsid w:val="00F1795A"/>
    <w:rsid w:val="00F1795C"/>
    <w:rsid w:val="00F17B9D"/>
    <w:rsid w:val="00F17CCC"/>
    <w:rsid w:val="00F17D51"/>
    <w:rsid w:val="00F17E58"/>
    <w:rsid w:val="00F17E81"/>
    <w:rsid w:val="00F17EDD"/>
    <w:rsid w:val="00F17F8A"/>
    <w:rsid w:val="00F17FAA"/>
    <w:rsid w:val="00F17FCD"/>
    <w:rsid w:val="00F2003F"/>
    <w:rsid w:val="00F20121"/>
    <w:rsid w:val="00F20202"/>
    <w:rsid w:val="00F20235"/>
    <w:rsid w:val="00F2028A"/>
    <w:rsid w:val="00F203AE"/>
    <w:rsid w:val="00F204AC"/>
    <w:rsid w:val="00F204E2"/>
    <w:rsid w:val="00F2053C"/>
    <w:rsid w:val="00F2053D"/>
    <w:rsid w:val="00F2063F"/>
    <w:rsid w:val="00F206A5"/>
    <w:rsid w:val="00F206B3"/>
    <w:rsid w:val="00F20834"/>
    <w:rsid w:val="00F209AB"/>
    <w:rsid w:val="00F20B28"/>
    <w:rsid w:val="00F20BA1"/>
    <w:rsid w:val="00F20BD6"/>
    <w:rsid w:val="00F20C06"/>
    <w:rsid w:val="00F20D06"/>
    <w:rsid w:val="00F20D5B"/>
    <w:rsid w:val="00F20E2B"/>
    <w:rsid w:val="00F20F1E"/>
    <w:rsid w:val="00F20FA0"/>
    <w:rsid w:val="00F20FA8"/>
    <w:rsid w:val="00F21025"/>
    <w:rsid w:val="00F21125"/>
    <w:rsid w:val="00F21148"/>
    <w:rsid w:val="00F21163"/>
    <w:rsid w:val="00F21228"/>
    <w:rsid w:val="00F214BD"/>
    <w:rsid w:val="00F2158C"/>
    <w:rsid w:val="00F21627"/>
    <w:rsid w:val="00F21725"/>
    <w:rsid w:val="00F21860"/>
    <w:rsid w:val="00F218A8"/>
    <w:rsid w:val="00F21A36"/>
    <w:rsid w:val="00F21A4D"/>
    <w:rsid w:val="00F21A96"/>
    <w:rsid w:val="00F21B62"/>
    <w:rsid w:val="00F21C7A"/>
    <w:rsid w:val="00F21D63"/>
    <w:rsid w:val="00F21DB2"/>
    <w:rsid w:val="00F21EA1"/>
    <w:rsid w:val="00F2213C"/>
    <w:rsid w:val="00F221BB"/>
    <w:rsid w:val="00F22226"/>
    <w:rsid w:val="00F22255"/>
    <w:rsid w:val="00F22351"/>
    <w:rsid w:val="00F223C9"/>
    <w:rsid w:val="00F22403"/>
    <w:rsid w:val="00F224FC"/>
    <w:rsid w:val="00F2260D"/>
    <w:rsid w:val="00F22728"/>
    <w:rsid w:val="00F2275B"/>
    <w:rsid w:val="00F22764"/>
    <w:rsid w:val="00F22828"/>
    <w:rsid w:val="00F228D3"/>
    <w:rsid w:val="00F229F6"/>
    <w:rsid w:val="00F22A6D"/>
    <w:rsid w:val="00F22C30"/>
    <w:rsid w:val="00F22E2C"/>
    <w:rsid w:val="00F22E5A"/>
    <w:rsid w:val="00F22F46"/>
    <w:rsid w:val="00F23329"/>
    <w:rsid w:val="00F2341B"/>
    <w:rsid w:val="00F23435"/>
    <w:rsid w:val="00F2355D"/>
    <w:rsid w:val="00F235AD"/>
    <w:rsid w:val="00F2363F"/>
    <w:rsid w:val="00F2365F"/>
    <w:rsid w:val="00F23736"/>
    <w:rsid w:val="00F2374B"/>
    <w:rsid w:val="00F23834"/>
    <w:rsid w:val="00F2388C"/>
    <w:rsid w:val="00F23920"/>
    <w:rsid w:val="00F239C9"/>
    <w:rsid w:val="00F23AE8"/>
    <w:rsid w:val="00F23D80"/>
    <w:rsid w:val="00F23E19"/>
    <w:rsid w:val="00F23E51"/>
    <w:rsid w:val="00F241C4"/>
    <w:rsid w:val="00F2423C"/>
    <w:rsid w:val="00F242D7"/>
    <w:rsid w:val="00F2436C"/>
    <w:rsid w:val="00F24637"/>
    <w:rsid w:val="00F2468D"/>
    <w:rsid w:val="00F2475F"/>
    <w:rsid w:val="00F24771"/>
    <w:rsid w:val="00F24824"/>
    <w:rsid w:val="00F24939"/>
    <w:rsid w:val="00F24A75"/>
    <w:rsid w:val="00F24B41"/>
    <w:rsid w:val="00F24BB7"/>
    <w:rsid w:val="00F24BFE"/>
    <w:rsid w:val="00F24C30"/>
    <w:rsid w:val="00F24C5B"/>
    <w:rsid w:val="00F24E97"/>
    <w:rsid w:val="00F24F11"/>
    <w:rsid w:val="00F251EB"/>
    <w:rsid w:val="00F252F1"/>
    <w:rsid w:val="00F25327"/>
    <w:rsid w:val="00F2537C"/>
    <w:rsid w:val="00F25441"/>
    <w:rsid w:val="00F256E6"/>
    <w:rsid w:val="00F25701"/>
    <w:rsid w:val="00F2572E"/>
    <w:rsid w:val="00F25757"/>
    <w:rsid w:val="00F2587D"/>
    <w:rsid w:val="00F25897"/>
    <w:rsid w:val="00F25917"/>
    <w:rsid w:val="00F259AD"/>
    <w:rsid w:val="00F25A6C"/>
    <w:rsid w:val="00F25A9C"/>
    <w:rsid w:val="00F25B24"/>
    <w:rsid w:val="00F25C19"/>
    <w:rsid w:val="00F25C6B"/>
    <w:rsid w:val="00F25DCA"/>
    <w:rsid w:val="00F25E6D"/>
    <w:rsid w:val="00F25F6A"/>
    <w:rsid w:val="00F261C4"/>
    <w:rsid w:val="00F26294"/>
    <w:rsid w:val="00F26372"/>
    <w:rsid w:val="00F263CF"/>
    <w:rsid w:val="00F263DB"/>
    <w:rsid w:val="00F2644C"/>
    <w:rsid w:val="00F264E2"/>
    <w:rsid w:val="00F264E3"/>
    <w:rsid w:val="00F265A5"/>
    <w:rsid w:val="00F26694"/>
    <w:rsid w:val="00F269FE"/>
    <w:rsid w:val="00F26A3C"/>
    <w:rsid w:val="00F26AE8"/>
    <w:rsid w:val="00F26B4C"/>
    <w:rsid w:val="00F26BBF"/>
    <w:rsid w:val="00F26BF6"/>
    <w:rsid w:val="00F26C69"/>
    <w:rsid w:val="00F26CE7"/>
    <w:rsid w:val="00F26D1D"/>
    <w:rsid w:val="00F26D61"/>
    <w:rsid w:val="00F26D76"/>
    <w:rsid w:val="00F26EF1"/>
    <w:rsid w:val="00F2705A"/>
    <w:rsid w:val="00F270F4"/>
    <w:rsid w:val="00F27131"/>
    <w:rsid w:val="00F2736E"/>
    <w:rsid w:val="00F273DF"/>
    <w:rsid w:val="00F27522"/>
    <w:rsid w:val="00F27596"/>
    <w:rsid w:val="00F275B1"/>
    <w:rsid w:val="00F275F9"/>
    <w:rsid w:val="00F2763F"/>
    <w:rsid w:val="00F2765C"/>
    <w:rsid w:val="00F2768A"/>
    <w:rsid w:val="00F276E5"/>
    <w:rsid w:val="00F27707"/>
    <w:rsid w:val="00F27763"/>
    <w:rsid w:val="00F27794"/>
    <w:rsid w:val="00F277FA"/>
    <w:rsid w:val="00F27958"/>
    <w:rsid w:val="00F279F7"/>
    <w:rsid w:val="00F279FC"/>
    <w:rsid w:val="00F27C58"/>
    <w:rsid w:val="00F27CF3"/>
    <w:rsid w:val="00F27D77"/>
    <w:rsid w:val="00F27E33"/>
    <w:rsid w:val="00F27E57"/>
    <w:rsid w:val="00F27E6D"/>
    <w:rsid w:val="00F27EDA"/>
    <w:rsid w:val="00F30043"/>
    <w:rsid w:val="00F30218"/>
    <w:rsid w:val="00F30231"/>
    <w:rsid w:val="00F30327"/>
    <w:rsid w:val="00F3047E"/>
    <w:rsid w:val="00F30641"/>
    <w:rsid w:val="00F306EE"/>
    <w:rsid w:val="00F307F5"/>
    <w:rsid w:val="00F308BC"/>
    <w:rsid w:val="00F308FE"/>
    <w:rsid w:val="00F3094A"/>
    <w:rsid w:val="00F309BF"/>
    <w:rsid w:val="00F30ACE"/>
    <w:rsid w:val="00F30C05"/>
    <w:rsid w:val="00F30C9B"/>
    <w:rsid w:val="00F30CCA"/>
    <w:rsid w:val="00F30D4F"/>
    <w:rsid w:val="00F30DCA"/>
    <w:rsid w:val="00F30DCE"/>
    <w:rsid w:val="00F30E5C"/>
    <w:rsid w:val="00F30FCA"/>
    <w:rsid w:val="00F31160"/>
    <w:rsid w:val="00F31183"/>
    <w:rsid w:val="00F3135F"/>
    <w:rsid w:val="00F313AB"/>
    <w:rsid w:val="00F31406"/>
    <w:rsid w:val="00F3146F"/>
    <w:rsid w:val="00F31481"/>
    <w:rsid w:val="00F3161F"/>
    <w:rsid w:val="00F31629"/>
    <w:rsid w:val="00F3162F"/>
    <w:rsid w:val="00F31721"/>
    <w:rsid w:val="00F31863"/>
    <w:rsid w:val="00F3187F"/>
    <w:rsid w:val="00F318C2"/>
    <w:rsid w:val="00F319D9"/>
    <w:rsid w:val="00F31A77"/>
    <w:rsid w:val="00F31A9A"/>
    <w:rsid w:val="00F31C75"/>
    <w:rsid w:val="00F31D02"/>
    <w:rsid w:val="00F31D4D"/>
    <w:rsid w:val="00F31DCB"/>
    <w:rsid w:val="00F31F6F"/>
    <w:rsid w:val="00F3222A"/>
    <w:rsid w:val="00F32253"/>
    <w:rsid w:val="00F32265"/>
    <w:rsid w:val="00F3232B"/>
    <w:rsid w:val="00F323FD"/>
    <w:rsid w:val="00F32651"/>
    <w:rsid w:val="00F326C5"/>
    <w:rsid w:val="00F32713"/>
    <w:rsid w:val="00F3272D"/>
    <w:rsid w:val="00F32746"/>
    <w:rsid w:val="00F32777"/>
    <w:rsid w:val="00F327C9"/>
    <w:rsid w:val="00F32821"/>
    <w:rsid w:val="00F328A5"/>
    <w:rsid w:val="00F328B6"/>
    <w:rsid w:val="00F329C9"/>
    <w:rsid w:val="00F32A76"/>
    <w:rsid w:val="00F32AD4"/>
    <w:rsid w:val="00F32B36"/>
    <w:rsid w:val="00F32E63"/>
    <w:rsid w:val="00F32EBB"/>
    <w:rsid w:val="00F32F09"/>
    <w:rsid w:val="00F32FF0"/>
    <w:rsid w:val="00F33058"/>
    <w:rsid w:val="00F33061"/>
    <w:rsid w:val="00F331A2"/>
    <w:rsid w:val="00F33207"/>
    <w:rsid w:val="00F332A1"/>
    <w:rsid w:val="00F3338F"/>
    <w:rsid w:val="00F335FB"/>
    <w:rsid w:val="00F33661"/>
    <w:rsid w:val="00F337A5"/>
    <w:rsid w:val="00F33A2A"/>
    <w:rsid w:val="00F33A96"/>
    <w:rsid w:val="00F33B74"/>
    <w:rsid w:val="00F33D7D"/>
    <w:rsid w:val="00F33F86"/>
    <w:rsid w:val="00F33F8E"/>
    <w:rsid w:val="00F341B8"/>
    <w:rsid w:val="00F34474"/>
    <w:rsid w:val="00F345C6"/>
    <w:rsid w:val="00F3460A"/>
    <w:rsid w:val="00F348A0"/>
    <w:rsid w:val="00F3494C"/>
    <w:rsid w:val="00F3497E"/>
    <w:rsid w:val="00F349D8"/>
    <w:rsid w:val="00F34B1D"/>
    <w:rsid w:val="00F34B3D"/>
    <w:rsid w:val="00F34B68"/>
    <w:rsid w:val="00F34BBC"/>
    <w:rsid w:val="00F34BF9"/>
    <w:rsid w:val="00F34C44"/>
    <w:rsid w:val="00F34C90"/>
    <w:rsid w:val="00F34DA3"/>
    <w:rsid w:val="00F34FFD"/>
    <w:rsid w:val="00F354A1"/>
    <w:rsid w:val="00F354B3"/>
    <w:rsid w:val="00F35558"/>
    <w:rsid w:val="00F3566C"/>
    <w:rsid w:val="00F35B1E"/>
    <w:rsid w:val="00F35C2F"/>
    <w:rsid w:val="00F35CFD"/>
    <w:rsid w:val="00F35E4D"/>
    <w:rsid w:val="00F3603F"/>
    <w:rsid w:val="00F3611E"/>
    <w:rsid w:val="00F36481"/>
    <w:rsid w:val="00F36597"/>
    <w:rsid w:val="00F3662F"/>
    <w:rsid w:val="00F366E5"/>
    <w:rsid w:val="00F368B5"/>
    <w:rsid w:val="00F369ED"/>
    <w:rsid w:val="00F36A11"/>
    <w:rsid w:val="00F36B02"/>
    <w:rsid w:val="00F36B7A"/>
    <w:rsid w:val="00F36BD2"/>
    <w:rsid w:val="00F36BD9"/>
    <w:rsid w:val="00F36BEC"/>
    <w:rsid w:val="00F36CD5"/>
    <w:rsid w:val="00F36DB7"/>
    <w:rsid w:val="00F36DBD"/>
    <w:rsid w:val="00F36E37"/>
    <w:rsid w:val="00F36E4E"/>
    <w:rsid w:val="00F36E6C"/>
    <w:rsid w:val="00F36E91"/>
    <w:rsid w:val="00F36EEC"/>
    <w:rsid w:val="00F36FEC"/>
    <w:rsid w:val="00F3722A"/>
    <w:rsid w:val="00F373FE"/>
    <w:rsid w:val="00F374FB"/>
    <w:rsid w:val="00F3763E"/>
    <w:rsid w:val="00F37725"/>
    <w:rsid w:val="00F37734"/>
    <w:rsid w:val="00F3774B"/>
    <w:rsid w:val="00F37799"/>
    <w:rsid w:val="00F377A4"/>
    <w:rsid w:val="00F378C6"/>
    <w:rsid w:val="00F3796C"/>
    <w:rsid w:val="00F3799C"/>
    <w:rsid w:val="00F379B7"/>
    <w:rsid w:val="00F379E2"/>
    <w:rsid w:val="00F37A98"/>
    <w:rsid w:val="00F37ABE"/>
    <w:rsid w:val="00F37AC3"/>
    <w:rsid w:val="00F37B92"/>
    <w:rsid w:val="00F37BC3"/>
    <w:rsid w:val="00F37BDA"/>
    <w:rsid w:val="00F37D1A"/>
    <w:rsid w:val="00F37E4A"/>
    <w:rsid w:val="00F4005B"/>
    <w:rsid w:val="00F40217"/>
    <w:rsid w:val="00F402B3"/>
    <w:rsid w:val="00F402EA"/>
    <w:rsid w:val="00F404EF"/>
    <w:rsid w:val="00F40547"/>
    <w:rsid w:val="00F406ED"/>
    <w:rsid w:val="00F40854"/>
    <w:rsid w:val="00F408D5"/>
    <w:rsid w:val="00F4095D"/>
    <w:rsid w:val="00F4097D"/>
    <w:rsid w:val="00F40A92"/>
    <w:rsid w:val="00F40B92"/>
    <w:rsid w:val="00F40B96"/>
    <w:rsid w:val="00F40C66"/>
    <w:rsid w:val="00F40E41"/>
    <w:rsid w:val="00F40F33"/>
    <w:rsid w:val="00F4101D"/>
    <w:rsid w:val="00F4122D"/>
    <w:rsid w:val="00F41327"/>
    <w:rsid w:val="00F41360"/>
    <w:rsid w:val="00F41366"/>
    <w:rsid w:val="00F4136F"/>
    <w:rsid w:val="00F4142D"/>
    <w:rsid w:val="00F4147C"/>
    <w:rsid w:val="00F414D2"/>
    <w:rsid w:val="00F41507"/>
    <w:rsid w:val="00F41590"/>
    <w:rsid w:val="00F416B0"/>
    <w:rsid w:val="00F416C4"/>
    <w:rsid w:val="00F41784"/>
    <w:rsid w:val="00F41910"/>
    <w:rsid w:val="00F41962"/>
    <w:rsid w:val="00F419FF"/>
    <w:rsid w:val="00F41A32"/>
    <w:rsid w:val="00F41A57"/>
    <w:rsid w:val="00F41C9F"/>
    <w:rsid w:val="00F41D46"/>
    <w:rsid w:val="00F41D64"/>
    <w:rsid w:val="00F41E50"/>
    <w:rsid w:val="00F41E5F"/>
    <w:rsid w:val="00F41E98"/>
    <w:rsid w:val="00F41EA1"/>
    <w:rsid w:val="00F41ED1"/>
    <w:rsid w:val="00F41F46"/>
    <w:rsid w:val="00F41F8B"/>
    <w:rsid w:val="00F41F8C"/>
    <w:rsid w:val="00F41F9B"/>
    <w:rsid w:val="00F4220E"/>
    <w:rsid w:val="00F422BC"/>
    <w:rsid w:val="00F42393"/>
    <w:rsid w:val="00F424DC"/>
    <w:rsid w:val="00F425EB"/>
    <w:rsid w:val="00F42743"/>
    <w:rsid w:val="00F4274C"/>
    <w:rsid w:val="00F427CC"/>
    <w:rsid w:val="00F42847"/>
    <w:rsid w:val="00F42978"/>
    <w:rsid w:val="00F42A27"/>
    <w:rsid w:val="00F42C21"/>
    <w:rsid w:val="00F42DD8"/>
    <w:rsid w:val="00F42EA4"/>
    <w:rsid w:val="00F42F52"/>
    <w:rsid w:val="00F42FCB"/>
    <w:rsid w:val="00F42FEE"/>
    <w:rsid w:val="00F43081"/>
    <w:rsid w:val="00F43143"/>
    <w:rsid w:val="00F431AA"/>
    <w:rsid w:val="00F43238"/>
    <w:rsid w:val="00F4335E"/>
    <w:rsid w:val="00F4342C"/>
    <w:rsid w:val="00F43577"/>
    <w:rsid w:val="00F43580"/>
    <w:rsid w:val="00F43797"/>
    <w:rsid w:val="00F437D8"/>
    <w:rsid w:val="00F43A01"/>
    <w:rsid w:val="00F43A89"/>
    <w:rsid w:val="00F43D60"/>
    <w:rsid w:val="00F43DC6"/>
    <w:rsid w:val="00F43E89"/>
    <w:rsid w:val="00F444A3"/>
    <w:rsid w:val="00F444B6"/>
    <w:rsid w:val="00F444DB"/>
    <w:rsid w:val="00F44634"/>
    <w:rsid w:val="00F447EE"/>
    <w:rsid w:val="00F447F5"/>
    <w:rsid w:val="00F44869"/>
    <w:rsid w:val="00F4490C"/>
    <w:rsid w:val="00F44924"/>
    <w:rsid w:val="00F4493C"/>
    <w:rsid w:val="00F44A18"/>
    <w:rsid w:val="00F44DC0"/>
    <w:rsid w:val="00F44EAD"/>
    <w:rsid w:val="00F44F44"/>
    <w:rsid w:val="00F44FC5"/>
    <w:rsid w:val="00F45195"/>
    <w:rsid w:val="00F4521F"/>
    <w:rsid w:val="00F45229"/>
    <w:rsid w:val="00F4526E"/>
    <w:rsid w:val="00F45327"/>
    <w:rsid w:val="00F45489"/>
    <w:rsid w:val="00F45608"/>
    <w:rsid w:val="00F45665"/>
    <w:rsid w:val="00F456C8"/>
    <w:rsid w:val="00F456D1"/>
    <w:rsid w:val="00F45738"/>
    <w:rsid w:val="00F4574B"/>
    <w:rsid w:val="00F458DF"/>
    <w:rsid w:val="00F45907"/>
    <w:rsid w:val="00F45AA0"/>
    <w:rsid w:val="00F45AE4"/>
    <w:rsid w:val="00F45C05"/>
    <w:rsid w:val="00F45C4F"/>
    <w:rsid w:val="00F45CE8"/>
    <w:rsid w:val="00F45DFB"/>
    <w:rsid w:val="00F45E5F"/>
    <w:rsid w:val="00F45F33"/>
    <w:rsid w:val="00F45F86"/>
    <w:rsid w:val="00F46389"/>
    <w:rsid w:val="00F463D8"/>
    <w:rsid w:val="00F46489"/>
    <w:rsid w:val="00F4659E"/>
    <w:rsid w:val="00F465DB"/>
    <w:rsid w:val="00F46C16"/>
    <w:rsid w:val="00F46D90"/>
    <w:rsid w:val="00F46F46"/>
    <w:rsid w:val="00F46FBD"/>
    <w:rsid w:val="00F46FD8"/>
    <w:rsid w:val="00F47078"/>
    <w:rsid w:val="00F4708A"/>
    <w:rsid w:val="00F470FB"/>
    <w:rsid w:val="00F473E4"/>
    <w:rsid w:val="00F474F4"/>
    <w:rsid w:val="00F475AC"/>
    <w:rsid w:val="00F47674"/>
    <w:rsid w:val="00F47741"/>
    <w:rsid w:val="00F478A8"/>
    <w:rsid w:val="00F47B87"/>
    <w:rsid w:val="00F47CC3"/>
    <w:rsid w:val="00F47EFE"/>
    <w:rsid w:val="00F47FC3"/>
    <w:rsid w:val="00F50075"/>
    <w:rsid w:val="00F501E2"/>
    <w:rsid w:val="00F502CE"/>
    <w:rsid w:val="00F504BD"/>
    <w:rsid w:val="00F505C8"/>
    <w:rsid w:val="00F505D3"/>
    <w:rsid w:val="00F507C5"/>
    <w:rsid w:val="00F50815"/>
    <w:rsid w:val="00F50863"/>
    <w:rsid w:val="00F508FE"/>
    <w:rsid w:val="00F509BB"/>
    <w:rsid w:val="00F50BF8"/>
    <w:rsid w:val="00F50C5D"/>
    <w:rsid w:val="00F50FBB"/>
    <w:rsid w:val="00F50FEA"/>
    <w:rsid w:val="00F51033"/>
    <w:rsid w:val="00F5106B"/>
    <w:rsid w:val="00F510D2"/>
    <w:rsid w:val="00F5111C"/>
    <w:rsid w:val="00F511EB"/>
    <w:rsid w:val="00F51375"/>
    <w:rsid w:val="00F5150D"/>
    <w:rsid w:val="00F5151B"/>
    <w:rsid w:val="00F5154E"/>
    <w:rsid w:val="00F515E9"/>
    <w:rsid w:val="00F518CE"/>
    <w:rsid w:val="00F51BAB"/>
    <w:rsid w:val="00F51BBF"/>
    <w:rsid w:val="00F51C85"/>
    <w:rsid w:val="00F51CF5"/>
    <w:rsid w:val="00F51DAD"/>
    <w:rsid w:val="00F51DF6"/>
    <w:rsid w:val="00F51ECD"/>
    <w:rsid w:val="00F51F0C"/>
    <w:rsid w:val="00F51FED"/>
    <w:rsid w:val="00F520DC"/>
    <w:rsid w:val="00F520FE"/>
    <w:rsid w:val="00F5216C"/>
    <w:rsid w:val="00F52195"/>
    <w:rsid w:val="00F5239B"/>
    <w:rsid w:val="00F523EF"/>
    <w:rsid w:val="00F52445"/>
    <w:rsid w:val="00F52459"/>
    <w:rsid w:val="00F5249D"/>
    <w:rsid w:val="00F524A8"/>
    <w:rsid w:val="00F524B5"/>
    <w:rsid w:val="00F524ED"/>
    <w:rsid w:val="00F525C2"/>
    <w:rsid w:val="00F52604"/>
    <w:rsid w:val="00F52889"/>
    <w:rsid w:val="00F528D0"/>
    <w:rsid w:val="00F52C02"/>
    <w:rsid w:val="00F52C9B"/>
    <w:rsid w:val="00F52CA7"/>
    <w:rsid w:val="00F52CCA"/>
    <w:rsid w:val="00F53331"/>
    <w:rsid w:val="00F53362"/>
    <w:rsid w:val="00F533D6"/>
    <w:rsid w:val="00F5350B"/>
    <w:rsid w:val="00F53546"/>
    <w:rsid w:val="00F53568"/>
    <w:rsid w:val="00F5363E"/>
    <w:rsid w:val="00F5373E"/>
    <w:rsid w:val="00F53764"/>
    <w:rsid w:val="00F537D5"/>
    <w:rsid w:val="00F537FC"/>
    <w:rsid w:val="00F5392A"/>
    <w:rsid w:val="00F53CB4"/>
    <w:rsid w:val="00F53CE0"/>
    <w:rsid w:val="00F53D21"/>
    <w:rsid w:val="00F53E20"/>
    <w:rsid w:val="00F53E3D"/>
    <w:rsid w:val="00F53EA6"/>
    <w:rsid w:val="00F5400D"/>
    <w:rsid w:val="00F54020"/>
    <w:rsid w:val="00F5417A"/>
    <w:rsid w:val="00F541E0"/>
    <w:rsid w:val="00F5443B"/>
    <w:rsid w:val="00F54456"/>
    <w:rsid w:val="00F54492"/>
    <w:rsid w:val="00F5464D"/>
    <w:rsid w:val="00F54707"/>
    <w:rsid w:val="00F54725"/>
    <w:rsid w:val="00F5487F"/>
    <w:rsid w:val="00F54883"/>
    <w:rsid w:val="00F54AAB"/>
    <w:rsid w:val="00F54C4A"/>
    <w:rsid w:val="00F54C7D"/>
    <w:rsid w:val="00F54CCB"/>
    <w:rsid w:val="00F54D17"/>
    <w:rsid w:val="00F54D99"/>
    <w:rsid w:val="00F54DCE"/>
    <w:rsid w:val="00F54E58"/>
    <w:rsid w:val="00F54F42"/>
    <w:rsid w:val="00F5508C"/>
    <w:rsid w:val="00F5512D"/>
    <w:rsid w:val="00F55146"/>
    <w:rsid w:val="00F55435"/>
    <w:rsid w:val="00F55488"/>
    <w:rsid w:val="00F555A3"/>
    <w:rsid w:val="00F55600"/>
    <w:rsid w:val="00F556B5"/>
    <w:rsid w:val="00F55705"/>
    <w:rsid w:val="00F557C5"/>
    <w:rsid w:val="00F5590A"/>
    <w:rsid w:val="00F55A89"/>
    <w:rsid w:val="00F55B3D"/>
    <w:rsid w:val="00F55CBC"/>
    <w:rsid w:val="00F55D71"/>
    <w:rsid w:val="00F55EC0"/>
    <w:rsid w:val="00F560B7"/>
    <w:rsid w:val="00F561A1"/>
    <w:rsid w:val="00F56249"/>
    <w:rsid w:val="00F56296"/>
    <w:rsid w:val="00F5629F"/>
    <w:rsid w:val="00F56563"/>
    <w:rsid w:val="00F56583"/>
    <w:rsid w:val="00F5665A"/>
    <w:rsid w:val="00F56897"/>
    <w:rsid w:val="00F56932"/>
    <w:rsid w:val="00F56A64"/>
    <w:rsid w:val="00F56AA6"/>
    <w:rsid w:val="00F56B98"/>
    <w:rsid w:val="00F56BA5"/>
    <w:rsid w:val="00F56C3F"/>
    <w:rsid w:val="00F56C4B"/>
    <w:rsid w:val="00F56CA7"/>
    <w:rsid w:val="00F56CCD"/>
    <w:rsid w:val="00F56D1D"/>
    <w:rsid w:val="00F56DA4"/>
    <w:rsid w:val="00F56E70"/>
    <w:rsid w:val="00F56EAD"/>
    <w:rsid w:val="00F5701C"/>
    <w:rsid w:val="00F57026"/>
    <w:rsid w:val="00F5703C"/>
    <w:rsid w:val="00F57042"/>
    <w:rsid w:val="00F57162"/>
    <w:rsid w:val="00F571E2"/>
    <w:rsid w:val="00F5730A"/>
    <w:rsid w:val="00F57351"/>
    <w:rsid w:val="00F573F5"/>
    <w:rsid w:val="00F57590"/>
    <w:rsid w:val="00F576FA"/>
    <w:rsid w:val="00F57771"/>
    <w:rsid w:val="00F57B37"/>
    <w:rsid w:val="00F57C63"/>
    <w:rsid w:val="00F57D6B"/>
    <w:rsid w:val="00F57D93"/>
    <w:rsid w:val="00F57DC2"/>
    <w:rsid w:val="00F57DE3"/>
    <w:rsid w:val="00F57E23"/>
    <w:rsid w:val="00F57E2C"/>
    <w:rsid w:val="00F58CC0"/>
    <w:rsid w:val="00F60051"/>
    <w:rsid w:val="00F60107"/>
    <w:rsid w:val="00F6011F"/>
    <w:rsid w:val="00F6026D"/>
    <w:rsid w:val="00F603B6"/>
    <w:rsid w:val="00F60515"/>
    <w:rsid w:val="00F6056B"/>
    <w:rsid w:val="00F60590"/>
    <w:rsid w:val="00F605CB"/>
    <w:rsid w:val="00F607D3"/>
    <w:rsid w:val="00F60894"/>
    <w:rsid w:val="00F608A5"/>
    <w:rsid w:val="00F60998"/>
    <w:rsid w:val="00F609C8"/>
    <w:rsid w:val="00F609E2"/>
    <w:rsid w:val="00F60A05"/>
    <w:rsid w:val="00F60B62"/>
    <w:rsid w:val="00F60C0D"/>
    <w:rsid w:val="00F60CEB"/>
    <w:rsid w:val="00F60CF6"/>
    <w:rsid w:val="00F60E09"/>
    <w:rsid w:val="00F60E23"/>
    <w:rsid w:val="00F60E28"/>
    <w:rsid w:val="00F60F8C"/>
    <w:rsid w:val="00F60FA6"/>
    <w:rsid w:val="00F6112A"/>
    <w:rsid w:val="00F6125B"/>
    <w:rsid w:val="00F614F9"/>
    <w:rsid w:val="00F615CD"/>
    <w:rsid w:val="00F61839"/>
    <w:rsid w:val="00F6187D"/>
    <w:rsid w:val="00F61A25"/>
    <w:rsid w:val="00F61C51"/>
    <w:rsid w:val="00F61D0C"/>
    <w:rsid w:val="00F61D58"/>
    <w:rsid w:val="00F61E70"/>
    <w:rsid w:val="00F620B5"/>
    <w:rsid w:val="00F6217E"/>
    <w:rsid w:val="00F621EB"/>
    <w:rsid w:val="00F62492"/>
    <w:rsid w:val="00F624E1"/>
    <w:rsid w:val="00F62586"/>
    <w:rsid w:val="00F6261A"/>
    <w:rsid w:val="00F62711"/>
    <w:rsid w:val="00F6291D"/>
    <w:rsid w:val="00F62A11"/>
    <w:rsid w:val="00F62A69"/>
    <w:rsid w:val="00F62AD2"/>
    <w:rsid w:val="00F62B41"/>
    <w:rsid w:val="00F62B90"/>
    <w:rsid w:val="00F62C2A"/>
    <w:rsid w:val="00F62C69"/>
    <w:rsid w:val="00F62C97"/>
    <w:rsid w:val="00F62CAF"/>
    <w:rsid w:val="00F62E5F"/>
    <w:rsid w:val="00F62F7E"/>
    <w:rsid w:val="00F62FDF"/>
    <w:rsid w:val="00F62FEA"/>
    <w:rsid w:val="00F62FF8"/>
    <w:rsid w:val="00F63112"/>
    <w:rsid w:val="00F631B4"/>
    <w:rsid w:val="00F63240"/>
    <w:rsid w:val="00F632E2"/>
    <w:rsid w:val="00F63357"/>
    <w:rsid w:val="00F63379"/>
    <w:rsid w:val="00F633E8"/>
    <w:rsid w:val="00F63532"/>
    <w:rsid w:val="00F635C0"/>
    <w:rsid w:val="00F635F9"/>
    <w:rsid w:val="00F63788"/>
    <w:rsid w:val="00F6378C"/>
    <w:rsid w:val="00F6390E"/>
    <w:rsid w:val="00F63B46"/>
    <w:rsid w:val="00F63D52"/>
    <w:rsid w:val="00F63D61"/>
    <w:rsid w:val="00F640FF"/>
    <w:rsid w:val="00F6411F"/>
    <w:rsid w:val="00F64231"/>
    <w:rsid w:val="00F6427A"/>
    <w:rsid w:val="00F64336"/>
    <w:rsid w:val="00F645D9"/>
    <w:rsid w:val="00F64616"/>
    <w:rsid w:val="00F646CA"/>
    <w:rsid w:val="00F646E5"/>
    <w:rsid w:val="00F64748"/>
    <w:rsid w:val="00F6482D"/>
    <w:rsid w:val="00F64A4D"/>
    <w:rsid w:val="00F64BE3"/>
    <w:rsid w:val="00F64C1D"/>
    <w:rsid w:val="00F64C78"/>
    <w:rsid w:val="00F64CA5"/>
    <w:rsid w:val="00F64CB3"/>
    <w:rsid w:val="00F64E57"/>
    <w:rsid w:val="00F64E80"/>
    <w:rsid w:val="00F64FFC"/>
    <w:rsid w:val="00F65146"/>
    <w:rsid w:val="00F6525C"/>
    <w:rsid w:val="00F65347"/>
    <w:rsid w:val="00F65362"/>
    <w:rsid w:val="00F65394"/>
    <w:rsid w:val="00F653AF"/>
    <w:rsid w:val="00F65498"/>
    <w:rsid w:val="00F654A8"/>
    <w:rsid w:val="00F654C3"/>
    <w:rsid w:val="00F6563E"/>
    <w:rsid w:val="00F658DE"/>
    <w:rsid w:val="00F6590F"/>
    <w:rsid w:val="00F6591B"/>
    <w:rsid w:val="00F659A4"/>
    <w:rsid w:val="00F65A0A"/>
    <w:rsid w:val="00F65A71"/>
    <w:rsid w:val="00F65B2C"/>
    <w:rsid w:val="00F65B9D"/>
    <w:rsid w:val="00F65C99"/>
    <w:rsid w:val="00F65D39"/>
    <w:rsid w:val="00F65DD8"/>
    <w:rsid w:val="00F65E42"/>
    <w:rsid w:val="00F65E4E"/>
    <w:rsid w:val="00F65ED9"/>
    <w:rsid w:val="00F65FBF"/>
    <w:rsid w:val="00F66310"/>
    <w:rsid w:val="00F663ED"/>
    <w:rsid w:val="00F663FF"/>
    <w:rsid w:val="00F664EC"/>
    <w:rsid w:val="00F66652"/>
    <w:rsid w:val="00F666AF"/>
    <w:rsid w:val="00F66795"/>
    <w:rsid w:val="00F6692F"/>
    <w:rsid w:val="00F669C6"/>
    <w:rsid w:val="00F66C58"/>
    <w:rsid w:val="00F66CF9"/>
    <w:rsid w:val="00F66CFF"/>
    <w:rsid w:val="00F66D3F"/>
    <w:rsid w:val="00F66DB4"/>
    <w:rsid w:val="00F66DBE"/>
    <w:rsid w:val="00F66DEC"/>
    <w:rsid w:val="00F66EC2"/>
    <w:rsid w:val="00F66EDA"/>
    <w:rsid w:val="00F670BB"/>
    <w:rsid w:val="00F671A8"/>
    <w:rsid w:val="00F67241"/>
    <w:rsid w:val="00F672D1"/>
    <w:rsid w:val="00F673AC"/>
    <w:rsid w:val="00F673F9"/>
    <w:rsid w:val="00F67557"/>
    <w:rsid w:val="00F675AA"/>
    <w:rsid w:val="00F6764A"/>
    <w:rsid w:val="00F6766B"/>
    <w:rsid w:val="00F677B9"/>
    <w:rsid w:val="00F67801"/>
    <w:rsid w:val="00F67ABB"/>
    <w:rsid w:val="00F67B67"/>
    <w:rsid w:val="00F67B89"/>
    <w:rsid w:val="00F67D50"/>
    <w:rsid w:val="00F67E28"/>
    <w:rsid w:val="00F67F11"/>
    <w:rsid w:val="00F70240"/>
    <w:rsid w:val="00F7027E"/>
    <w:rsid w:val="00F702A2"/>
    <w:rsid w:val="00F702D6"/>
    <w:rsid w:val="00F70445"/>
    <w:rsid w:val="00F704D4"/>
    <w:rsid w:val="00F704ED"/>
    <w:rsid w:val="00F70566"/>
    <w:rsid w:val="00F705F3"/>
    <w:rsid w:val="00F70608"/>
    <w:rsid w:val="00F7066B"/>
    <w:rsid w:val="00F7068E"/>
    <w:rsid w:val="00F707C1"/>
    <w:rsid w:val="00F70933"/>
    <w:rsid w:val="00F7097F"/>
    <w:rsid w:val="00F70A54"/>
    <w:rsid w:val="00F70A60"/>
    <w:rsid w:val="00F70B82"/>
    <w:rsid w:val="00F70BF3"/>
    <w:rsid w:val="00F70C49"/>
    <w:rsid w:val="00F70C50"/>
    <w:rsid w:val="00F70D81"/>
    <w:rsid w:val="00F70E66"/>
    <w:rsid w:val="00F70E67"/>
    <w:rsid w:val="00F70EE3"/>
    <w:rsid w:val="00F7104F"/>
    <w:rsid w:val="00F71063"/>
    <w:rsid w:val="00F71182"/>
    <w:rsid w:val="00F71231"/>
    <w:rsid w:val="00F71274"/>
    <w:rsid w:val="00F7140C"/>
    <w:rsid w:val="00F714C6"/>
    <w:rsid w:val="00F71686"/>
    <w:rsid w:val="00F71784"/>
    <w:rsid w:val="00F7180E"/>
    <w:rsid w:val="00F718A9"/>
    <w:rsid w:val="00F71920"/>
    <w:rsid w:val="00F71925"/>
    <w:rsid w:val="00F71951"/>
    <w:rsid w:val="00F71953"/>
    <w:rsid w:val="00F71A47"/>
    <w:rsid w:val="00F71ACC"/>
    <w:rsid w:val="00F71B74"/>
    <w:rsid w:val="00F71D33"/>
    <w:rsid w:val="00F71D7F"/>
    <w:rsid w:val="00F71DB2"/>
    <w:rsid w:val="00F71DD5"/>
    <w:rsid w:val="00F71EBF"/>
    <w:rsid w:val="00F720D6"/>
    <w:rsid w:val="00F722CD"/>
    <w:rsid w:val="00F7256E"/>
    <w:rsid w:val="00F72777"/>
    <w:rsid w:val="00F727D5"/>
    <w:rsid w:val="00F727EF"/>
    <w:rsid w:val="00F727F6"/>
    <w:rsid w:val="00F72859"/>
    <w:rsid w:val="00F72A45"/>
    <w:rsid w:val="00F72BF8"/>
    <w:rsid w:val="00F72C15"/>
    <w:rsid w:val="00F72C7B"/>
    <w:rsid w:val="00F72D44"/>
    <w:rsid w:val="00F72D85"/>
    <w:rsid w:val="00F72D94"/>
    <w:rsid w:val="00F72EA5"/>
    <w:rsid w:val="00F72EBD"/>
    <w:rsid w:val="00F73033"/>
    <w:rsid w:val="00F73128"/>
    <w:rsid w:val="00F734E0"/>
    <w:rsid w:val="00F7358A"/>
    <w:rsid w:val="00F73595"/>
    <w:rsid w:val="00F73753"/>
    <w:rsid w:val="00F73885"/>
    <w:rsid w:val="00F73AF3"/>
    <w:rsid w:val="00F73B70"/>
    <w:rsid w:val="00F73BFD"/>
    <w:rsid w:val="00F7408C"/>
    <w:rsid w:val="00F74332"/>
    <w:rsid w:val="00F7437D"/>
    <w:rsid w:val="00F743C2"/>
    <w:rsid w:val="00F74517"/>
    <w:rsid w:val="00F7456C"/>
    <w:rsid w:val="00F74729"/>
    <w:rsid w:val="00F747DC"/>
    <w:rsid w:val="00F74827"/>
    <w:rsid w:val="00F748A2"/>
    <w:rsid w:val="00F74942"/>
    <w:rsid w:val="00F7494E"/>
    <w:rsid w:val="00F7496F"/>
    <w:rsid w:val="00F749C9"/>
    <w:rsid w:val="00F749FE"/>
    <w:rsid w:val="00F74BC6"/>
    <w:rsid w:val="00F74D17"/>
    <w:rsid w:val="00F74E40"/>
    <w:rsid w:val="00F74E52"/>
    <w:rsid w:val="00F74E74"/>
    <w:rsid w:val="00F74F43"/>
    <w:rsid w:val="00F74F4F"/>
    <w:rsid w:val="00F74F68"/>
    <w:rsid w:val="00F74F7A"/>
    <w:rsid w:val="00F75002"/>
    <w:rsid w:val="00F75090"/>
    <w:rsid w:val="00F7515E"/>
    <w:rsid w:val="00F75166"/>
    <w:rsid w:val="00F751AD"/>
    <w:rsid w:val="00F75347"/>
    <w:rsid w:val="00F75357"/>
    <w:rsid w:val="00F75377"/>
    <w:rsid w:val="00F7543B"/>
    <w:rsid w:val="00F7545A"/>
    <w:rsid w:val="00F754E5"/>
    <w:rsid w:val="00F75667"/>
    <w:rsid w:val="00F756DE"/>
    <w:rsid w:val="00F75862"/>
    <w:rsid w:val="00F758E3"/>
    <w:rsid w:val="00F7593B"/>
    <w:rsid w:val="00F75972"/>
    <w:rsid w:val="00F759CA"/>
    <w:rsid w:val="00F75A4A"/>
    <w:rsid w:val="00F75CD2"/>
    <w:rsid w:val="00F75D75"/>
    <w:rsid w:val="00F75F73"/>
    <w:rsid w:val="00F75F75"/>
    <w:rsid w:val="00F75FA5"/>
    <w:rsid w:val="00F75FDC"/>
    <w:rsid w:val="00F760DC"/>
    <w:rsid w:val="00F76109"/>
    <w:rsid w:val="00F7614E"/>
    <w:rsid w:val="00F761B7"/>
    <w:rsid w:val="00F76352"/>
    <w:rsid w:val="00F763E1"/>
    <w:rsid w:val="00F763FB"/>
    <w:rsid w:val="00F76434"/>
    <w:rsid w:val="00F76438"/>
    <w:rsid w:val="00F76596"/>
    <w:rsid w:val="00F765B9"/>
    <w:rsid w:val="00F7663D"/>
    <w:rsid w:val="00F766EE"/>
    <w:rsid w:val="00F76708"/>
    <w:rsid w:val="00F767AB"/>
    <w:rsid w:val="00F7688E"/>
    <w:rsid w:val="00F76A4A"/>
    <w:rsid w:val="00F76BF2"/>
    <w:rsid w:val="00F76C21"/>
    <w:rsid w:val="00F76C70"/>
    <w:rsid w:val="00F76D60"/>
    <w:rsid w:val="00F76E1D"/>
    <w:rsid w:val="00F76E3E"/>
    <w:rsid w:val="00F76EFA"/>
    <w:rsid w:val="00F76F08"/>
    <w:rsid w:val="00F770DF"/>
    <w:rsid w:val="00F772CA"/>
    <w:rsid w:val="00F772D6"/>
    <w:rsid w:val="00F77446"/>
    <w:rsid w:val="00F77475"/>
    <w:rsid w:val="00F7748A"/>
    <w:rsid w:val="00F77589"/>
    <w:rsid w:val="00F7766D"/>
    <w:rsid w:val="00F77765"/>
    <w:rsid w:val="00F777EC"/>
    <w:rsid w:val="00F77860"/>
    <w:rsid w:val="00F779D0"/>
    <w:rsid w:val="00F77A7D"/>
    <w:rsid w:val="00F77C1C"/>
    <w:rsid w:val="00F77C66"/>
    <w:rsid w:val="00F77D52"/>
    <w:rsid w:val="00F77D8B"/>
    <w:rsid w:val="00F77DE4"/>
    <w:rsid w:val="00F77E04"/>
    <w:rsid w:val="00F77E35"/>
    <w:rsid w:val="00F80525"/>
    <w:rsid w:val="00F8054D"/>
    <w:rsid w:val="00F805A6"/>
    <w:rsid w:val="00F806F2"/>
    <w:rsid w:val="00F80A0C"/>
    <w:rsid w:val="00F80B26"/>
    <w:rsid w:val="00F80B5D"/>
    <w:rsid w:val="00F80B94"/>
    <w:rsid w:val="00F80BAE"/>
    <w:rsid w:val="00F80BBB"/>
    <w:rsid w:val="00F80C80"/>
    <w:rsid w:val="00F80D18"/>
    <w:rsid w:val="00F80FF3"/>
    <w:rsid w:val="00F81094"/>
    <w:rsid w:val="00F8112A"/>
    <w:rsid w:val="00F8119B"/>
    <w:rsid w:val="00F81243"/>
    <w:rsid w:val="00F81286"/>
    <w:rsid w:val="00F812A2"/>
    <w:rsid w:val="00F813F0"/>
    <w:rsid w:val="00F81411"/>
    <w:rsid w:val="00F814F5"/>
    <w:rsid w:val="00F8154F"/>
    <w:rsid w:val="00F81673"/>
    <w:rsid w:val="00F81776"/>
    <w:rsid w:val="00F8181D"/>
    <w:rsid w:val="00F818FE"/>
    <w:rsid w:val="00F81A04"/>
    <w:rsid w:val="00F81B43"/>
    <w:rsid w:val="00F81BA8"/>
    <w:rsid w:val="00F81C7B"/>
    <w:rsid w:val="00F81CB7"/>
    <w:rsid w:val="00F81DE3"/>
    <w:rsid w:val="00F81E04"/>
    <w:rsid w:val="00F821EE"/>
    <w:rsid w:val="00F82364"/>
    <w:rsid w:val="00F82755"/>
    <w:rsid w:val="00F82788"/>
    <w:rsid w:val="00F827F6"/>
    <w:rsid w:val="00F8286B"/>
    <w:rsid w:val="00F828F6"/>
    <w:rsid w:val="00F82ADD"/>
    <w:rsid w:val="00F82B38"/>
    <w:rsid w:val="00F82C08"/>
    <w:rsid w:val="00F82DFD"/>
    <w:rsid w:val="00F82E66"/>
    <w:rsid w:val="00F82EE8"/>
    <w:rsid w:val="00F82F5C"/>
    <w:rsid w:val="00F82FFF"/>
    <w:rsid w:val="00F830C7"/>
    <w:rsid w:val="00F830CA"/>
    <w:rsid w:val="00F83107"/>
    <w:rsid w:val="00F8318D"/>
    <w:rsid w:val="00F83242"/>
    <w:rsid w:val="00F83282"/>
    <w:rsid w:val="00F8351B"/>
    <w:rsid w:val="00F8353A"/>
    <w:rsid w:val="00F83609"/>
    <w:rsid w:val="00F837D3"/>
    <w:rsid w:val="00F8383B"/>
    <w:rsid w:val="00F8384B"/>
    <w:rsid w:val="00F83878"/>
    <w:rsid w:val="00F8387B"/>
    <w:rsid w:val="00F83933"/>
    <w:rsid w:val="00F839F3"/>
    <w:rsid w:val="00F83A1E"/>
    <w:rsid w:val="00F83AF7"/>
    <w:rsid w:val="00F83C0D"/>
    <w:rsid w:val="00F83C74"/>
    <w:rsid w:val="00F83E4D"/>
    <w:rsid w:val="00F83EBA"/>
    <w:rsid w:val="00F83F04"/>
    <w:rsid w:val="00F8402C"/>
    <w:rsid w:val="00F8411C"/>
    <w:rsid w:val="00F84291"/>
    <w:rsid w:val="00F84530"/>
    <w:rsid w:val="00F84640"/>
    <w:rsid w:val="00F846A4"/>
    <w:rsid w:val="00F846F2"/>
    <w:rsid w:val="00F84861"/>
    <w:rsid w:val="00F848C8"/>
    <w:rsid w:val="00F84942"/>
    <w:rsid w:val="00F84A2C"/>
    <w:rsid w:val="00F84A82"/>
    <w:rsid w:val="00F84B39"/>
    <w:rsid w:val="00F84B44"/>
    <w:rsid w:val="00F84B4C"/>
    <w:rsid w:val="00F84B57"/>
    <w:rsid w:val="00F84B62"/>
    <w:rsid w:val="00F84C9B"/>
    <w:rsid w:val="00F84D10"/>
    <w:rsid w:val="00F84D12"/>
    <w:rsid w:val="00F8506B"/>
    <w:rsid w:val="00F850C2"/>
    <w:rsid w:val="00F850D4"/>
    <w:rsid w:val="00F85146"/>
    <w:rsid w:val="00F851E0"/>
    <w:rsid w:val="00F852C5"/>
    <w:rsid w:val="00F853BD"/>
    <w:rsid w:val="00F854E0"/>
    <w:rsid w:val="00F85667"/>
    <w:rsid w:val="00F856D9"/>
    <w:rsid w:val="00F856E3"/>
    <w:rsid w:val="00F85791"/>
    <w:rsid w:val="00F85919"/>
    <w:rsid w:val="00F85958"/>
    <w:rsid w:val="00F85966"/>
    <w:rsid w:val="00F85A26"/>
    <w:rsid w:val="00F85AF7"/>
    <w:rsid w:val="00F85B08"/>
    <w:rsid w:val="00F85B36"/>
    <w:rsid w:val="00F85BCE"/>
    <w:rsid w:val="00F85C52"/>
    <w:rsid w:val="00F85C69"/>
    <w:rsid w:val="00F85DF1"/>
    <w:rsid w:val="00F8602F"/>
    <w:rsid w:val="00F8617B"/>
    <w:rsid w:val="00F8620D"/>
    <w:rsid w:val="00F86374"/>
    <w:rsid w:val="00F86395"/>
    <w:rsid w:val="00F865A3"/>
    <w:rsid w:val="00F8674D"/>
    <w:rsid w:val="00F8684A"/>
    <w:rsid w:val="00F868FB"/>
    <w:rsid w:val="00F86B5B"/>
    <w:rsid w:val="00F86C3D"/>
    <w:rsid w:val="00F86CF9"/>
    <w:rsid w:val="00F86F23"/>
    <w:rsid w:val="00F86F35"/>
    <w:rsid w:val="00F86F52"/>
    <w:rsid w:val="00F86FE0"/>
    <w:rsid w:val="00F87060"/>
    <w:rsid w:val="00F870E1"/>
    <w:rsid w:val="00F871C1"/>
    <w:rsid w:val="00F872C5"/>
    <w:rsid w:val="00F872D2"/>
    <w:rsid w:val="00F872EF"/>
    <w:rsid w:val="00F874BF"/>
    <w:rsid w:val="00F875A7"/>
    <w:rsid w:val="00F876BA"/>
    <w:rsid w:val="00F87771"/>
    <w:rsid w:val="00F877EA"/>
    <w:rsid w:val="00F87859"/>
    <w:rsid w:val="00F879A5"/>
    <w:rsid w:val="00F879CF"/>
    <w:rsid w:val="00F87C80"/>
    <w:rsid w:val="00F87D52"/>
    <w:rsid w:val="00F87D9B"/>
    <w:rsid w:val="00F87EBA"/>
    <w:rsid w:val="00F87F78"/>
    <w:rsid w:val="00F9009E"/>
    <w:rsid w:val="00F900E6"/>
    <w:rsid w:val="00F9015C"/>
    <w:rsid w:val="00F9025E"/>
    <w:rsid w:val="00F9026A"/>
    <w:rsid w:val="00F902A0"/>
    <w:rsid w:val="00F90358"/>
    <w:rsid w:val="00F903AF"/>
    <w:rsid w:val="00F9048A"/>
    <w:rsid w:val="00F905D8"/>
    <w:rsid w:val="00F90718"/>
    <w:rsid w:val="00F9074B"/>
    <w:rsid w:val="00F90757"/>
    <w:rsid w:val="00F907CD"/>
    <w:rsid w:val="00F907E2"/>
    <w:rsid w:val="00F9080B"/>
    <w:rsid w:val="00F90975"/>
    <w:rsid w:val="00F90BF8"/>
    <w:rsid w:val="00F90C6B"/>
    <w:rsid w:val="00F90D96"/>
    <w:rsid w:val="00F9107B"/>
    <w:rsid w:val="00F91081"/>
    <w:rsid w:val="00F910A9"/>
    <w:rsid w:val="00F9110F"/>
    <w:rsid w:val="00F912AD"/>
    <w:rsid w:val="00F9139C"/>
    <w:rsid w:val="00F913B3"/>
    <w:rsid w:val="00F91410"/>
    <w:rsid w:val="00F9156D"/>
    <w:rsid w:val="00F9165B"/>
    <w:rsid w:val="00F91711"/>
    <w:rsid w:val="00F919BB"/>
    <w:rsid w:val="00F91B0A"/>
    <w:rsid w:val="00F91D65"/>
    <w:rsid w:val="00F91DCE"/>
    <w:rsid w:val="00F91DF3"/>
    <w:rsid w:val="00F91E40"/>
    <w:rsid w:val="00F91FCE"/>
    <w:rsid w:val="00F91FE8"/>
    <w:rsid w:val="00F92005"/>
    <w:rsid w:val="00F92035"/>
    <w:rsid w:val="00F92053"/>
    <w:rsid w:val="00F92098"/>
    <w:rsid w:val="00F9228B"/>
    <w:rsid w:val="00F922CD"/>
    <w:rsid w:val="00F9239E"/>
    <w:rsid w:val="00F923B6"/>
    <w:rsid w:val="00F923D1"/>
    <w:rsid w:val="00F9265A"/>
    <w:rsid w:val="00F926BC"/>
    <w:rsid w:val="00F928D0"/>
    <w:rsid w:val="00F928F1"/>
    <w:rsid w:val="00F9291B"/>
    <w:rsid w:val="00F92A5E"/>
    <w:rsid w:val="00F92A8B"/>
    <w:rsid w:val="00F92AFA"/>
    <w:rsid w:val="00F92C65"/>
    <w:rsid w:val="00F92D26"/>
    <w:rsid w:val="00F92E8A"/>
    <w:rsid w:val="00F9301D"/>
    <w:rsid w:val="00F93152"/>
    <w:rsid w:val="00F93173"/>
    <w:rsid w:val="00F9325C"/>
    <w:rsid w:val="00F932B1"/>
    <w:rsid w:val="00F932F2"/>
    <w:rsid w:val="00F9337C"/>
    <w:rsid w:val="00F933FB"/>
    <w:rsid w:val="00F93421"/>
    <w:rsid w:val="00F9342C"/>
    <w:rsid w:val="00F934F6"/>
    <w:rsid w:val="00F93503"/>
    <w:rsid w:val="00F935F5"/>
    <w:rsid w:val="00F9375B"/>
    <w:rsid w:val="00F93B3C"/>
    <w:rsid w:val="00F93EAC"/>
    <w:rsid w:val="00F93F54"/>
    <w:rsid w:val="00F93FBE"/>
    <w:rsid w:val="00F94002"/>
    <w:rsid w:val="00F94087"/>
    <w:rsid w:val="00F94101"/>
    <w:rsid w:val="00F9413E"/>
    <w:rsid w:val="00F9422E"/>
    <w:rsid w:val="00F9423C"/>
    <w:rsid w:val="00F9427C"/>
    <w:rsid w:val="00F942E5"/>
    <w:rsid w:val="00F9435D"/>
    <w:rsid w:val="00F9443A"/>
    <w:rsid w:val="00F9453A"/>
    <w:rsid w:val="00F945CB"/>
    <w:rsid w:val="00F946BD"/>
    <w:rsid w:val="00F9472A"/>
    <w:rsid w:val="00F9474D"/>
    <w:rsid w:val="00F94A5A"/>
    <w:rsid w:val="00F94A65"/>
    <w:rsid w:val="00F94A78"/>
    <w:rsid w:val="00F94A84"/>
    <w:rsid w:val="00F94CDC"/>
    <w:rsid w:val="00F94CF6"/>
    <w:rsid w:val="00F94E36"/>
    <w:rsid w:val="00F94E7F"/>
    <w:rsid w:val="00F951CF"/>
    <w:rsid w:val="00F952BB"/>
    <w:rsid w:val="00F95330"/>
    <w:rsid w:val="00F95403"/>
    <w:rsid w:val="00F9553B"/>
    <w:rsid w:val="00F955CA"/>
    <w:rsid w:val="00F95640"/>
    <w:rsid w:val="00F9565C"/>
    <w:rsid w:val="00F95683"/>
    <w:rsid w:val="00F95693"/>
    <w:rsid w:val="00F95698"/>
    <w:rsid w:val="00F956CD"/>
    <w:rsid w:val="00F9576B"/>
    <w:rsid w:val="00F9578C"/>
    <w:rsid w:val="00F95928"/>
    <w:rsid w:val="00F959D3"/>
    <w:rsid w:val="00F95C83"/>
    <w:rsid w:val="00F95CF0"/>
    <w:rsid w:val="00F95E46"/>
    <w:rsid w:val="00F95E99"/>
    <w:rsid w:val="00F95EC5"/>
    <w:rsid w:val="00F95F7C"/>
    <w:rsid w:val="00F95F8A"/>
    <w:rsid w:val="00F96118"/>
    <w:rsid w:val="00F961F2"/>
    <w:rsid w:val="00F962A8"/>
    <w:rsid w:val="00F96348"/>
    <w:rsid w:val="00F963B1"/>
    <w:rsid w:val="00F963E4"/>
    <w:rsid w:val="00F96621"/>
    <w:rsid w:val="00F966D2"/>
    <w:rsid w:val="00F96711"/>
    <w:rsid w:val="00F96728"/>
    <w:rsid w:val="00F968BB"/>
    <w:rsid w:val="00F9694A"/>
    <w:rsid w:val="00F96A12"/>
    <w:rsid w:val="00F96B02"/>
    <w:rsid w:val="00F96B51"/>
    <w:rsid w:val="00F96BB5"/>
    <w:rsid w:val="00F96C21"/>
    <w:rsid w:val="00F96C77"/>
    <w:rsid w:val="00F96DFB"/>
    <w:rsid w:val="00F96E03"/>
    <w:rsid w:val="00F96F09"/>
    <w:rsid w:val="00F97001"/>
    <w:rsid w:val="00F9719F"/>
    <w:rsid w:val="00F97212"/>
    <w:rsid w:val="00F97238"/>
    <w:rsid w:val="00F9726F"/>
    <w:rsid w:val="00F97355"/>
    <w:rsid w:val="00F9735C"/>
    <w:rsid w:val="00F973D8"/>
    <w:rsid w:val="00F9747D"/>
    <w:rsid w:val="00F977AE"/>
    <w:rsid w:val="00F979A8"/>
    <w:rsid w:val="00F97A69"/>
    <w:rsid w:val="00F97B0C"/>
    <w:rsid w:val="00F97BBA"/>
    <w:rsid w:val="00F97D00"/>
    <w:rsid w:val="00F97E14"/>
    <w:rsid w:val="00F97EC3"/>
    <w:rsid w:val="00F97ED7"/>
    <w:rsid w:val="00F97FA7"/>
    <w:rsid w:val="00F97FCE"/>
    <w:rsid w:val="00FA001B"/>
    <w:rsid w:val="00FA0052"/>
    <w:rsid w:val="00FA0062"/>
    <w:rsid w:val="00FA006B"/>
    <w:rsid w:val="00FA01BB"/>
    <w:rsid w:val="00FA02D2"/>
    <w:rsid w:val="00FA04C4"/>
    <w:rsid w:val="00FA062B"/>
    <w:rsid w:val="00FA06EB"/>
    <w:rsid w:val="00FA07A7"/>
    <w:rsid w:val="00FA07F5"/>
    <w:rsid w:val="00FA0BDC"/>
    <w:rsid w:val="00FA0BE7"/>
    <w:rsid w:val="00FA0C20"/>
    <w:rsid w:val="00FA0C50"/>
    <w:rsid w:val="00FA0CB8"/>
    <w:rsid w:val="00FA0D00"/>
    <w:rsid w:val="00FA0D52"/>
    <w:rsid w:val="00FA0D76"/>
    <w:rsid w:val="00FA0E6D"/>
    <w:rsid w:val="00FA0F1F"/>
    <w:rsid w:val="00FA1020"/>
    <w:rsid w:val="00FA1067"/>
    <w:rsid w:val="00FA1075"/>
    <w:rsid w:val="00FA125A"/>
    <w:rsid w:val="00FA128B"/>
    <w:rsid w:val="00FA133F"/>
    <w:rsid w:val="00FA16B7"/>
    <w:rsid w:val="00FA1749"/>
    <w:rsid w:val="00FA17C4"/>
    <w:rsid w:val="00FA17F7"/>
    <w:rsid w:val="00FA185C"/>
    <w:rsid w:val="00FA18E1"/>
    <w:rsid w:val="00FA196B"/>
    <w:rsid w:val="00FA1C18"/>
    <w:rsid w:val="00FA1C1E"/>
    <w:rsid w:val="00FA1CD8"/>
    <w:rsid w:val="00FA1D1D"/>
    <w:rsid w:val="00FA1ECC"/>
    <w:rsid w:val="00FA1F1E"/>
    <w:rsid w:val="00FA20C3"/>
    <w:rsid w:val="00FA21E2"/>
    <w:rsid w:val="00FA21EA"/>
    <w:rsid w:val="00FA2226"/>
    <w:rsid w:val="00FA2240"/>
    <w:rsid w:val="00FA2256"/>
    <w:rsid w:val="00FA22B5"/>
    <w:rsid w:val="00FA237A"/>
    <w:rsid w:val="00FA23AA"/>
    <w:rsid w:val="00FA23E3"/>
    <w:rsid w:val="00FA23FF"/>
    <w:rsid w:val="00FA2429"/>
    <w:rsid w:val="00FA243F"/>
    <w:rsid w:val="00FA2452"/>
    <w:rsid w:val="00FA24BA"/>
    <w:rsid w:val="00FA25DC"/>
    <w:rsid w:val="00FA261D"/>
    <w:rsid w:val="00FA270C"/>
    <w:rsid w:val="00FA274D"/>
    <w:rsid w:val="00FA275C"/>
    <w:rsid w:val="00FA286B"/>
    <w:rsid w:val="00FA29F3"/>
    <w:rsid w:val="00FA2A76"/>
    <w:rsid w:val="00FA2FAD"/>
    <w:rsid w:val="00FA2FFB"/>
    <w:rsid w:val="00FA3152"/>
    <w:rsid w:val="00FA31FE"/>
    <w:rsid w:val="00FA3253"/>
    <w:rsid w:val="00FA3316"/>
    <w:rsid w:val="00FA331B"/>
    <w:rsid w:val="00FA354A"/>
    <w:rsid w:val="00FA3575"/>
    <w:rsid w:val="00FA3807"/>
    <w:rsid w:val="00FA38AF"/>
    <w:rsid w:val="00FA38E7"/>
    <w:rsid w:val="00FA3ADF"/>
    <w:rsid w:val="00FA3B5D"/>
    <w:rsid w:val="00FA3C71"/>
    <w:rsid w:val="00FA3C7D"/>
    <w:rsid w:val="00FA3DE8"/>
    <w:rsid w:val="00FA3ED1"/>
    <w:rsid w:val="00FA406B"/>
    <w:rsid w:val="00FA407F"/>
    <w:rsid w:val="00FA40F4"/>
    <w:rsid w:val="00FA4143"/>
    <w:rsid w:val="00FA4222"/>
    <w:rsid w:val="00FA42C3"/>
    <w:rsid w:val="00FA437E"/>
    <w:rsid w:val="00FA4412"/>
    <w:rsid w:val="00FA44B1"/>
    <w:rsid w:val="00FA44CB"/>
    <w:rsid w:val="00FA4587"/>
    <w:rsid w:val="00FA4683"/>
    <w:rsid w:val="00FA46BD"/>
    <w:rsid w:val="00FA4727"/>
    <w:rsid w:val="00FA473D"/>
    <w:rsid w:val="00FA47CD"/>
    <w:rsid w:val="00FA4816"/>
    <w:rsid w:val="00FA4945"/>
    <w:rsid w:val="00FA4A16"/>
    <w:rsid w:val="00FA4AE6"/>
    <w:rsid w:val="00FA4D79"/>
    <w:rsid w:val="00FA4DBC"/>
    <w:rsid w:val="00FA4E1A"/>
    <w:rsid w:val="00FA4E45"/>
    <w:rsid w:val="00FA4FC1"/>
    <w:rsid w:val="00FA50C1"/>
    <w:rsid w:val="00FA5244"/>
    <w:rsid w:val="00FA53C4"/>
    <w:rsid w:val="00FA556E"/>
    <w:rsid w:val="00FA557A"/>
    <w:rsid w:val="00FA55EC"/>
    <w:rsid w:val="00FA5618"/>
    <w:rsid w:val="00FA568E"/>
    <w:rsid w:val="00FA56B4"/>
    <w:rsid w:val="00FA56F7"/>
    <w:rsid w:val="00FA5722"/>
    <w:rsid w:val="00FA5772"/>
    <w:rsid w:val="00FA589B"/>
    <w:rsid w:val="00FA595E"/>
    <w:rsid w:val="00FA5AA5"/>
    <w:rsid w:val="00FA5B4F"/>
    <w:rsid w:val="00FA5BB1"/>
    <w:rsid w:val="00FA5C31"/>
    <w:rsid w:val="00FA5E5F"/>
    <w:rsid w:val="00FA5F86"/>
    <w:rsid w:val="00FA6090"/>
    <w:rsid w:val="00FA60B3"/>
    <w:rsid w:val="00FA61BC"/>
    <w:rsid w:val="00FA61BD"/>
    <w:rsid w:val="00FA61DB"/>
    <w:rsid w:val="00FA6340"/>
    <w:rsid w:val="00FA639C"/>
    <w:rsid w:val="00FA6466"/>
    <w:rsid w:val="00FA64D7"/>
    <w:rsid w:val="00FA656F"/>
    <w:rsid w:val="00FA666C"/>
    <w:rsid w:val="00FA6953"/>
    <w:rsid w:val="00FA69AC"/>
    <w:rsid w:val="00FA6AB3"/>
    <w:rsid w:val="00FA6AC2"/>
    <w:rsid w:val="00FA6B08"/>
    <w:rsid w:val="00FA6B19"/>
    <w:rsid w:val="00FA6B38"/>
    <w:rsid w:val="00FA6B69"/>
    <w:rsid w:val="00FA6BF3"/>
    <w:rsid w:val="00FA6D1E"/>
    <w:rsid w:val="00FA6EED"/>
    <w:rsid w:val="00FA703D"/>
    <w:rsid w:val="00FA707A"/>
    <w:rsid w:val="00FA7314"/>
    <w:rsid w:val="00FA73DE"/>
    <w:rsid w:val="00FA73E6"/>
    <w:rsid w:val="00FA7415"/>
    <w:rsid w:val="00FA75F1"/>
    <w:rsid w:val="00FA7695"/>
    <w:rsid w:val="00FA76CF"/>
    <w:rsid w:val="00FA777B"/>
    <w:rsid w:val="00FA782A"/>
    <w:rsid w:val="00FA79D3"/>
    <w:rsid w:val="00FA7AFC"/>
    <w:rsid w:val="00FA7C31"/>
    <w:rsid w:val="00FA7C74"/>
    <w:rsid w:val="00FA7CBF"/>
    <w:rsid w:val="00FA7D1B"/>
    <w:rsid w:val="00FB0086"/>
    <w:rsid w:val="00FB0386"/>
    <w:rsid w:val="00FB0462"/>
    <w:rsid w:val="00FB048B"/>
    <w:rsid w:val="00FB0557"/>
    <w:rsid w:val="00FB0582"/>
    <w:rsid w:val="00FB0635"/>
    <w:rsid w:val="00FB0638"/>
    <w:rsid w:val="00FB0641"/>
    <w:rsid w:val="00FB068F"/>
    <w:rsid w:val="00FB0A24"/>
    <w:rsid w:val="00FB0ABA"/>
    <w:rsid w:val="00FB0B66"/>
    <w:rsid w:val="00FB0B7D"/>
    <w:rsid w:val="00FB0CC7"/>
    <w:rsid w:val="00FB0D6E"/>
    <w:rsid w:val="00FB0DF4"/>
    <w:rsid w:val="00FB0E05"/>
    <w:rsid w:val="00FB0E0B"/>
    <w:rsid w:val="00FB0FC2"/>
    <w:rsid w:val="00FB1048"/>
    <w:rsid w:val="00FB1242"/>
    <w:rsid w:val="00FB1250"/>
    <w:rsid w:val="00FB1536"/>
    <w:rsid w:val="00FB15C8"/>
    <w:rsid w:val="00FB15FF"/>
    <w:rsid w:val="00FB1715"/>
    <w:rsid w:val="00FB181B"/>
    <w:rsid w:val="00FB1867"/>
    <w:rsid w:val="00FB1872"/>
    <w:rsid w:val="00FB18C2"/>
    <w:rsid w:val="00FB1938"/>
    <w:rsid w:val="00FB19C3"/>
    <w:rsid w:val="00FB1A4D"/>
    <w:rsid w:val="00FB1ACC"/>
    <w:rsid w:val="00FB1B73"/>
    <w:rsid w:val="00FB1C12"/>
    <w:rsid w:val="00FB1CA3"/>
    <w:rsid w:val="00FB1D6E"/>
    <w:rsid w:val="00FB1DCF"/>
    <w:rsid w:val="00FB1F0A"/>
    <w:rsid w:val="00FB1F0F"/>
    <w:rsid w:val="00FB1F45"/>
    <w:rsid w:val="00FB202A"/>
    <w:rsid w:val="00FB2159"/>
    <w:rsid w:val="00FB21C7"/>
    <w:rsid w:val="00FB21DF"/>
    <w:rsid w:val="00FB228B"/>
    <w:rsid w:val="00FB23AE"/>
    <w:rsid w:val="00FB2446"/>
    <w:rsid w:val="00FB24B4"/>
    <w:rsid w:val="00FB24DC"/>
    <w:rsid w:val="00FB2608"/>
    <w:rsid w:val="00FB26C0"/>
    <w:rsid w:val="00FB2828"/>
    <w:rsid w:val="00FB291A"/>
    <w:rsid w:val="00FB2C4A"/>
    <w:rsid w:val="00FB2D78"/>
    <w:rsid w:val="00FB2D8E"/>
    <w:rsid w:val="00FB2F14"/>
    <w:rsid w:val="00FB2F4C"/>
    <w:rsid w:val="00FB30D1"/>
    <w:rsid w:val="00FB3101"/>
    <w:rsid w:val="00FB3131"/>
    <w:rsid w:val="00FB31BB"/>
    <w:rsid w:val="00FB32A9"/>
    <w:rsid w:val="00FB32D3"/>
    <w:rsid w:val="00FB340C"/>
    <w:rsid w:val="00FB3590"/>
    <w:rsid w:val="00FB35E6"/>
    <w:rsid w:val="00FB3645"/>
    <w:rsid w:val="00FB38D5"/>
    <w:rsid w:val="00FB395B"/>
    <w:rsid w:val="00FB3A29"/>
    <w:rsid w:val="00FB3AC3"/>
    <w:rsid w:val="00FB3CFD"/>
    <w:rsid w:val="00FB3D52"/>
    <w:rsid w:val="00FB3D6B"/>
    <w:rsid w:val="00FB3D9B"/>
    <w:rsid w:val="00FB3EA7"/>
    <w:rsid w:val="00FB3EDD"/>
    <w:rsid w:val="00FB3F55"/>
    <w:rsid w:val="00FB3FBA"/>
    <w:rsid w:val="00FB3FFD"/>
    <w:rsid w:val="00FB405A"/>
    <w:rsid w:val="00FB4083"/>
    <w:rsid w:val="00FB4107"/>
    <w:rsid w:val="00FB410A"/>
    <w:rsid w:val="00FB415C"/>
    <w:rsid w:val="00FB41D1"/>
    <w:rsid w:val="00FB421D"/>
    <w:rsid w:val="00FB4238"/>
    <w:rsid w:val="00FB42EE"/>
    <w:rsid w:val="00FB43BD"/>
    <w:rsid w:val="00FB43EC"/>
    <w:rsid w:val="00FB47BC"/>
    <w:rsid w:val="00FB4936"/>
    <w:rsid w:val="00FB4A0A"/>
    <w:rsid w:val="00FB4AE1"/>
    <w:rsid w:val="00FB4BAF"/>
    <w:rsid w:val="00FB4CC4"/>
    <w:rsid w:val="00FB4D46"/>
    <w:rsid w:val="00FB4D8B"/>
    <w:rsid w:val="00FB4FA5"/>
    <w:rsid w:val="00FB4FAB"/>
    <w:rsid w:val="00FB51F7"/>
    <w:rsid w:val="00FB520C"/>
    <w:rsid w:val="00FB523B"/>
    <w:rsid w:val="00FB5274"/>
    <w:rsid w:val="00FB5348"/>
    <w:rsid w:val="00FB5411"/>
    <w:rsid w:val="00FB544B"/>
    <w:rsid w:val="00FB54D6"/>
    <w:rsid w:val="00FB5643"/>
    <w:rsid w:val="00FB5733"/>
    <w:rsid w:val="00FB57D5"/>
    <w:rsid w:val="00FB57DE"/>
    <w:rsid w:val="00FB5920"/>
    <w:rsid w:val="00FB5928"/>
    <w:rsid w:val="00FB59D5"/>
    <w:rsid w:val="00FB59F4"/>
    <w:rsid w:val="00FB5B5B"/>
    <w:rsid w:val="00FB5C62"/>
    <w:rsid w:val="00FB5CCF"/>
    <w:rsid w:val="00FB5E15"/>
    <w:rsid w:val="00FB5F2F"/>
    <w:rsid w:val="00FB5F97"/>
    <w:rsid w:val="00FB60B9"/>
    <w:rsid w:val="00FB60FD"/>
    <w:rsid w:val="00FB61AE"/>
    <w:rsid w:val="00FB61DC"/>
    <w:rsid w:val="00FB636C"/>
    <w:rsid w:val="00FB638A"/>
    <w:rsid w:val="00FB6488"/>
    <w:rsid w:val="00FB656D"/>
    <w:rsid w:val="00FB65C5"/>
    <w:rsid w:val="00FB6616"/>
    <w:rsid w:val="00FB6645"/>
    <w:rsid w:val="00FB6653"/>
    <w:rsid w:val="00FB6837"/>
    <w:rsid w:val="00FB68FE"/>
    <w:rsid w:val="00FB6902"/>
    <w:rsid w:val="00FB69A3"/>
    <w:rsid w:val="00FB6A6B"/>
    <w:rsid w:val="00FB6A93"/>
    <w:rsid w:val="00FB6AE8"/>
    <w:rsid w:val="00FB6B08"/>
    <w:rsid w:val="00FB6B66"/>
    <w:rsid w:val="00FB6C09"/>
    <w:rsid w:val="00FB6CC0"/>
    <w:rsid w:val="00FB6FB5"/>
    <w:rsid w:val="00FB704A"/>
    <w:rsid w:val="00FB7084"/>
    <w:rsid w:val="00FB70D8"/>
    <w:rsid w:val="00FB75CC"/>
    <w:rsid w:val="00FB75DA"/>
    <w:rsid w:val="00FB76AA"/>
    <w:rsid w:val="00FB7857"/>
    <w:rsid w:val="00FB7876"/>
    <w:rsid w:val="00FB7890"/>
    <w:rsid w:val="00FB7931"/>
    <w:rsid w:val="00FB7A70"/>
    <w:rsid w:val="00FB7AB5"/>
    <w:rsid w:val="00FB7B82"/>
    <w:rsid w:val="00FB7F03"/>
    <w:rsid w:val="00FC002E"/>
    <w:rsid w:val="00FC01D4"/>
    <w:rsid w:val="00FC02DB"/>
    <w:rsid w:val="00FC03B9"/>
    <w:rsid w:val="00FC0506"/>
    <w:rsid w:val="00FC0590"/>
    <w:rsid w:val="00FC05D5"/>
    <w:rsid w:val="00FC0755"/>
    <w:rsid w:val="00FC0A29"/>
    <w:rsid w:val="00FC0BF4"/>
    <w:rsid w:val="00FC0E29"/>
    <w:rsid w:val="00FC0F67"/>
    <w:rsid w:val="00FC0F9D"/>
    <w:rsid w:val="00FC0FCD"/>
    <w:rsid w:val="00FC1028"/>
    <w:rsid w:val="00FC1056"/>
    <w:rsid w:val="00FC10A6"/>
    <w:rsid w:val="00FC10E4"/>
    <w:rsid w:val="00FC13CD"/>
    <w:rsid w:val="00FC16AC"/>
    <w:rsid w:val="00FC16E8"/>
    <w:rsid w:val="00FC1789"/>
    <w:rsid w:val="00FC178F"/>
    <w:rsid w:val="00FC17B4"/>
    <w:rsid w:val="00FC186C"/>
    <w:rsid w:val="00FC1897"/>
    <w:rsid w:val="00FC18E6"/>
    <w:rsid w:val="00FC1A7B"/>
    <w:rsid w:val="00FC1B41"/>
    <w:rsid w:val="00FC1C42"/>
    <w:rsid w:val="00FC1C4E"/>
    <w:rsid w:val="00FC1C76"/>
    <w:rsid w:val="00FC1DB9"/>
    <w:rsid w:val="00FC1E29"/>
    <w:rsid w:val="00FC1E4F"/>
    <w:rsid w:val="00FC1F14"/>
    <w:rsid w:val="00FC1F30"/>
    <w:rsid w:val="00FC216C"/>
    <w:rsid w:val="00FC2174"/>
    <w:rsid w:val="00FC21B7"/>
    <w:rsid w:val="00FC2328"/>
    <w:rsid w:val="00FC23C2"/>
    <w:rsid w:val="00FC23F4"/>
    <w:rsid w:val="00FC2485"/>
    <w:rsid w:val="00FC2486"/>
    <w:rsid w:val="00FC2496"/>
    <w:rsid w:val="00FC27BF"/>
    <w:rsid w:val="00FC28B1"/>
    <w:rsid w:val="00FC28C8"/>
    <w:rsid w:val="00FC2952"/>
    <w:rsid w:val="00FC29BB"/>
    <w:rsid w:val="00FC2A01"/>
    <w:rsid w:val="00FC2A17"/>
    <w:rsid w:val="00FC2B2A"/>
    <w:rsid w:val="00FC2B6D"/>
    <w:rsid w:val="00FC2CDD"/>
    <w:rsid w:val="00FC2CFB"/>
    <w:rsid w:val="00FC2D7A"/>
    <w:rsid w:val="00FC2EB0"/>
    <w:rsid w:val="00FC2EBF"/>
    <w:rsid w:val="00FC2EE7"/>
    <w:rsid w:val="00FC30C2"/>
    <w:rsid w:val="00FC3201"/>
    <w:rsid w:val="00FC33E7"/>
    <w:rsid w:val="00FC343E"/>
    <w:rsid w:val="00FC3769"/>
    <w:rsid w:val="00FC3797"/>
    <w:rsid w:val="00FC38A4"/>
    <w:rsid w:val="00FC399B"/>
    <w:rsid w:val="00FC39F6"/>
    <w:rsid w:val="00FC3ECF"/>
    <w:rsid w:val="00FC3FA4"/>
    <w:rsid w:val="00FC3FA9"/>
    <w:rsid w:val="00FC40FF"/>
    <w:rsid w:val="00FC416C"/>
    <w:rsid w:val="00FC41A5"/>
    <w:rsid w:val="00FC42B2"/>
    <w:rsid w:val="00FC435B"/>
    <w:rsid w:val="00FC4389"/>
    <w:rsid w:val="00FC4414"/>
    <w:rsid w:val="00FC448C"/>
    <w:rsid w:val="00FC45E1"/>
    <w:rsid w:val="00FC467A"/>
    <w:rsid w:val="00FC4719"/>
    <w:rsid w:val="00FC4756"/>
    <w:rsid w:val="00FC47AD"/>
    <w:rsid w:val="00FC495D"/>
    <w:rsid w:val="00FC49A1"/>
    <w:rsid w:val="00FC4B13"/>
    <w:rsid w:val="00FC4B7F"/>
    <w:rsid w:val="00FC4C73"/>
    <w:rsid w:val="00FC4C9D"/>
    <w:rsid w:val="00FC4CAB"/>
    <w:rsid w:val="00FC4D56"/>
    <w:rsid w:val="00FC4DEB"/>
    <w:rsid w:val="00FC4EBD"/>
    <w:rsid w:val="00FC4F50"/>
    <w:rsid w:val="00FC509D"/>
    <w:rsid w:val="00FC5108"/>
    <w:rsid w:val="00FC511B"/>
    <w:rsid w:val="00FC5157"/>
    <w:rsid w:val="00FC517B"/>
    <w:rsid w:val="00FC51F6"/>
    <w:rsid w:val="00FC5340"/>
    <w:rsid w:val="00FC5360"/>
    <w:rsid w:val="00FC5393"/>
    <w:rsid w:val="00FC53F4"/>
    <w:rsid w:val="00FC5458"/>
    <w:rsid w:val="00FC5493"/>
    <w:rsid w:val="00FC54BB"/>
    <w:rsid w:val="00FC55BE"/>
    <w:rsid w:val="00FC55C9"/>
    <w:rsid w:val="00FC5625"/>
    <w:rsid w:val="00FC5630"/>
    <w:rsid w:val="00FC568D"/>
    <w:rsid w:val="00FC56B5"/>
    <w:rsid w:val="00FC5741"/>
    <w:rsid w:val="00FC5766"/>
    <w:rsid w:val="00FC5785"/>
    <w:rsid w:val="00FC58D1"/>
    <w:rsid w:val="00FC5924"/>
    <w:rsid w:val="00FC598C"/>
    <w:rsid w:val="00FC5A25"/>
    <w:rsid w:val="00FC5AC4"/>
    <w:rsid w:val="00FC5B6C"/>
    <w:rsid w:val="00FC5D1A"/>
    <w:rsid w:val="00FC5E17"/>
    <w:rsid w:val="00FC5E86"/>
    <w:rsid w:val="00FC5F40"/>
    <w:rsid w:val="00FC5F65"/>
    <w:rsid w:val="00FC5FAF"/>
    <w:rsid w:val="00FC6205"/>
    <w:rsid w:val="00FC6216"/>
    <w:rsid w:val="00FC62B1"/>
    <w:rsid w:val="00FC64EE"/>
    <w:rsid w:val="00FC652D"/>
    <w:rsid w:val="00FC65A4"/>
    <w:rsid w:val="00FC65AD"/>
    <w:rsid w:val="00FC6629"/>
    <w:rsid w:val="00FC67E7"/>
    <w:rsid w:val="00FC67EC"/>
    <w:rsid w:val="00FC6845"/>
    <w:rsid w:val="00FC6AA9"/>
    <w:rsid w:val="00FC6AE0"/>
    <w:rsid w:val="00FC6AF9"/>
    <w:rsid w:val="00FC6B3B"/>
    <w:rsid w:val="00FC6B61"/>
    <w:rsid w:val="00FC6B8D"/>
    <w:rsid w:val="00FC6C33"/>
    <w:rsid w:val="00FC6DB4"/>
    <w:rsid w:val="00FC6E1C"/>
    <w:rsid w:val="00FC6F02"/>
    <w:rsid w:val="00FC6FB3"/>
    <w:rsid w:val="00FC729B"/>
    <w:rsid w:val="00FC749D"/>
    <w:rsid w:val="00FC74C4"/>
    <w:rsid w:val="00FC75BF"/>
    <w:rsid w:val="00FC7608"/>
    <w:rsid w:val="00FC76C3"/>
    <w:rsid w:val="00FC774F"/>
    <w:rsid w:val="00FC77C7"/>
    <w:rsid w:val="00FC782E"/>
    <w:rsid w:val="00FC78CC"/>
    <w:rsid w:val="00FC78D3"/>
    <w:rsid w:val="00FC78E3"/>
    <w:rsid w:val="00FC7970"/>
    <w:rsid w:val="00FC7B4B"/>
    <w:rsid w:val="00FC7DAE"/>
    <w:rsid w:val="00FD0070"/>
    <w:rsid w:val="00FD01A4"/>
    <w:rsid w:val="00FD02EF"/>
    <w:rsid w:val="00FD030D"/>
    <w:rsid w:val="00FD04A5"/>
    <w:rsid w:val="00FD04F9"/>
    <w:rsid w:val="00FD0589"/>
    <w:rsid w:val="00FD05AD"/>
    <w:rsid w:val="00FD05E8"/>
    <w:rsid w:val="00FD064F"/>
    <w:rsid w:val="00FD0669"/>
    <w:rsid w:val="00FD0767"/>
    <w:rsid w:val="00FD07C9"/>
    <w:rsid w:val="00FD0854"/>
    <w:rsid w:val="00FD085B"/>
    <w:rsid w:val="00FD086C"/>
    <w:rsid w:val="00FD0A65"/>
    <w:rsid w:val="00FD0A99"/>
    <w:rsid w:val="00FD0B5B"/>
    <w:rsid w:val="00FD0C3B"/>
    <w:rsid w:val="00FD0C3E"/>
    <w:rsid w:val="00FD0D38"/>
    <w:rsid w:val="00FD0E71"/>
    <w:rsid w:val="00FD0FD0"/>
    <w:rsid w:val="00FD10D1"/>
    <w:rsid w:val="00FD10FE"/>
    <w:rsid w:val="00FD1181"/>
    <w:rsid w:val="00FD1194"/>
    <w:rsid w:val="00FD1241"/>
    <w:rsid w:val="00FD1243"/>
    <w:rsid w:val="00FD13F4"/>
    <w:rsid w:val="00FD1489"/>
    <w:rsid w:val="00FD151B"/>
    <w:rsid w:val="00FD1525"/>
    <w:rsid w:val="00FD1663"/>
    <w:rsid w:val="00FD16A0"/>
    <w:rsid w:val="00FD174C"/>
    <w:rsid w:val="00FD1754"/>
    <w:rsid w:val="00FD1812"/>
    <w:rsid w:val="00FD1D25"/>
    <w:rsid w:val="00FD1D2F"/>
    <w:rsid w:val="00FD1D54"/>
    <w:rsid w:val="00FD1E75"/>
    <w:rsid w:val="00FD1E92"/>
    <w:rsid w:val="00FD1F96"/>
    <w:rsid w:val="00FD20BC"/>
    <w:rsid w:val="00FD20DF"/>
    <w:rsid w:val="00FD219A"/>
    <w:rsid w:val="00FD21FD"/>
    <w:rsid w:val="00FD2211"/>
    <w:rsid w:val="00FD2383"/>
    <w:rsid w:val="00FD245C"/>
    <w:rsid w:val="00FD25D2"/>
    <w:rsid w:val="00FD2678"/>
    <w:rsid w:val="00FD270A"/>
    <w:rsid w:val="00FD2844"/>
    <w:rsid w:val="00FD28E3"/>
    <w:rsid w:val="00FD2973"/>
    <w:rsid w:val="00FD2985"/>
    <w:rsid w:val="00FD2A66"/>
    <w:rsid w:val="00FD2B0D"/>
    <w:rsid w:val="00FD2B16"/>
    <w:rsid w:val="00FD2B44"/>
    <w:rsid w:val="00FD2CE0"/>
    <w:rsid w:val="00FD2E81"/>
    <w:rsid w:val="00FD2F1F"/>
    <w:rsid w:val="00FD2F48"/>
    <w:rsid w:val="00FD2F4A"/>
    <w:rsid w:val="00FD30FE"/>
    <w:rsid w:val="00FD31B7"/>
    <w:rsid w:val="00FD324A"/>
    <w:rsid w:val="00FD32C5"/>
    <w:rsid w:val="00FD3394"/>
    <w:rsid w:val="00FD3411"/>
    <w:rsid w:val="00FD35BE"/>
    <w:rsid w:val="00FD3702"/>
    <w:rsid w:val="00FD3718"/>
    <w:rsid w:val="00FD3731"/>
    <w:rsid w:val="00FD380F"/>
    <w:rsid w:val="00FD3AD3"/>
    <w:rsid w:val="00FD3E4F"/>
    <w:rsid w:val="00FD3E95"/>
    <w:rsid w:val="00FD3F29"/>
    <w:rsid w:val="00FD3F85"/>
    <w:rsid w:val="00FD3FCE"/>
    <w:rsid w:val="00FD4000"/>
    <w:rsid w:val="00FD4044"/>
    <w:rsid w:val="00FD40D8"/>
    <w:rsid w:val="00FD422A"/>
    <w:rsid w:val="00FD427C"/>
    <w:rsid w:val="00FD442F"/>
    <w:rsid w:val="00FD4525"/>
    <w:rsid w:val="00FD455C"/>
    <w:rsid w:val="00FD4660"/>
    <w:rsid w:val="00FD4689"/>
    <w:rsid w:val="00FD47F0"/>
    <w:rsid w:val="00FD49AF"/>
    <w:rsid w:val="00FD49EA"/>
    <w:rsid w:val="00FD4AB1"/>
    <w:rsid w:val="00FD4B6E"/>
    <w:rsid w:val="00FD4C01"/>
    <w:rsid w:val="00FD4E0C"/>
    <w:rsid w:val="00FD4EB9"/>
    <w:rsid w:val="00FD4EC1"/>
    <w:rsid w:val="00FD5001"/>
    <w:rsid w:val="00FD5003"/>
    <w:rsid w:val="00FD50E8"/>
    <w:rsid w:val="00FD50FA"/>
    <w:rsid w:val="00FD50FD"/>
    <w:rsid w:val="00FD525B"/>
    <w:rsid w:val="00FD534C"/>
    <w:rsid w:val="00FD53DB"/>
    <w:rsid w:val="00FD5428"/>
    <w:rsid w:val="00FD553B"/>
    <w:rsid w:val="00FD5584"/>
    <w:rsid w:val="00FD5705"/>
    <w:rsid w:val="00FD5773"/>
    <w:rsid w:val="00FD58FE"/>
    <w:rsid w:val="00FD5924"/>
    <w:rsid w:val="00FD5978"/>
    <w:rsid w:val="00FD5A73"/>
    <w:rsid w:val="00FD5AF9"/>
    <w:rsid w:val="00FD5B20"/>
    <w:rsid w:val="00FD5B9D"/>
    <w:rsid w:val="00FD5CAB"/>
    <w:rsid w:val="00FD5D21"/>
    <w:rsid w:val="00FD5D66"/>
    <w:rsid w:val="00FD5F5C"/>
    <w:rsid w:val="00FD603A"/>
    <w:rsid w:val="00FD605B"/>
    <w:rsid w:val="00FD60FC"/>
    <w:rsid w:val="00FD6213"/>
    <w:rsid w:val="00FD62D1"/>
    <w:rsid w:val="00FD6344"/>
    <w:rsid w:val="00FD6386"/>
    <w:rsid w:val="00FD63AC"/>
    <w:rsid w:val="00FD661C"/>
    <w:rsid w:val="00FD6896"/>
    <w:rsid w:val="00FD6A1F"/>
    <w:rsid w:val="00FD6AB3"/>
    <w:rsid w:val="00FD6B05"/>
    <w:rsid w:val="00FD6B11"/>
    <w:rsid w:val="00FD6B5D"/>
    <w:rsid w:val="00FD6B99"/>
    <w:rsid w:val="00FD6BD4"/>
    <w:rsid w:val="00FD6C50"/>
    <w:rsid w:val="00FD6D07"/>
    <w:rsid w:val="00FD6D0D"/>
    <w:rsid w:val="00FD6DC0"/>
    <w:rsid w:val="00FD6EA1"/>
    <w:rsid w:val="00FD6EB0"/>
    <w:rsid w:val="00FD6EFB"/>
    <w:rsid w:val="00FD7011"/>
    <w:rsid w:val="00FD7178"/>
    <w:rsid w:val="00FD7233"/>
    <w:rsid w:val="00FD726C"/>
    <w:rsid w:val="00FD72B9"/>
    <w:rsid w:val="00FD733E"/>
    <w:rsid w:val="00FD7405"/>
    <w:rsid w:val="00FD74C0"/>
    <w:rsid w:val="00FD74C9"/>
    <w:rsid w:val="00FD74CF"/>
    <w:rsid w:val="00FD75EC"/>
    <w:rsid w:val="00FD7620"/>
    <w:rsid w:val="00FD7658"/>
    <w:rsid w:val="00FD7782"/>
    <w:rsid w:val="00FD7803"/>
    <w:rsid w:val="00FD7848"/>
    <w:rsid w:val="00FD7993"/>
    <w:rsid w:val="00FD7B1D"/>
    <w:rsid w:val="00FD7B67"/>
    <w:rsid w:val="00FD7BD8"/>
    <w:rsid w:val="00FD7CB8"/>
    <w:rsid w:val="00FD7D39"/>
    <w:rsid w:val="00FD7D64"/>
    <w:rsid w:val="00FD7D87"/>
    <w:rsid w:val="00FD7D95"/>
    <w:rsid w:val="00FD7E5C"/>
    <w:rsid w:val="00FD7EAB"/>
    <w:rsid w:val="00FD7EDD"/>
    <w:rsid w:val="00FE001F"/>
    <w:rsid w:val="00FE0254"/>
    <w:rsid w:val="00FE03AD"/>
    <w:rsid w:val="00FE041D"/>
    <w:rsid w:val="00FE0458"/>
    <w:rsid w:val="00FE05EB"/>
    <w:rsid w:val="00FE06D2"/>
    <w:rsid w:val="00FE07F4"/>
    <w:rsid w:val="00FE0974"/>
    <w:rsid w:val="00FE09B2"/>
    <w:rsid w:val="00FE0ABB"/>
    <w:rsid w:val="00FE0ADF"/>
    <w:rsid w:val="00FE0BCF"/>
    <w:rsid w:val="00FE0C64"/>
    <w:rsid w:val="00FE0DF6"/>
    <w:rsid w:val="00FE0F16"/>
    <w:rsid w:val="00FE0F5C"/>
    <w:rsid w:val="00FE0FAC"/>
    <w:rsid w:val="00FE1025"/>
    <w:rsid w:val="00FE1083"/>
    <w:rsid w:val="00FE118C"/>
    <w:rsid w:val="00FE1300"/>
    <w:rsid w:val="00FE1342"/>
    <w:rsid w:val="00FE13A3"/>
    <w:rsid w:val="00FE18BA"/>
    <w:rsid w:val="00FE1922"/>
    <w:rsid w:val="00FE1935"/>
    <w:rsid w:val="00FE1971"/>
    <w:rsid w:val="00FE19CB"/>
    <w:rsid w:val="00FE19FF"/>
    <w:rsid w:val="00FE1A01"/>
    <w:rsid w:val="00FE1A02"/>
    <w:rsid w:val="00FE1A88"/>
    <w:rsid w:val="00FE1AB4"/>
    <w:rsid w:val="00FE1C9F"/>
    <w:rsid w:val="00FE1CCA"/>
    <w:rsid w:val="00FE1D9F"/>
    <w:rsid w:val="00FE1EAB"/>
    <w:rsid w:val="00FE1F73"/>
    <w:rsid w:val="00FE1F82"/>
    <w:rsid w:val="00FE1FA4"/>
    <w:rsid w:val="00FE1FBF"/>
    <w:rsid w:val="00FE1FCC"/>
    <w:rsid w:val="00FE2072"/>
    <w:rsid w:val="00FE21DB"/>
    <w:rsid w:val="00FE21F4"/>
    <w:rsid w:val="00FE2206"/>
    <w:rsid w:val="00FE232B"/>
    <w:rsid w:val="00FE23D6"/>
    <w:rsid w:val="00FE23FA"/>
    <w:rsid w:val="00FE256C"/>
    <w:rsid w:val="00FE25DB"/>
    <w:rsid w:val="00FE25F1"/>
    <w:rsid w:val="00FE263E"/>
    <w:rsid w:val="00FE2649"/>
    <w:rsid w:val="00FE2685"/>
    <w:rsid w:val="00FE26BD"/>
    <w:rsid w:val="00FE277A"/>
    <w:rsid w:val="00FE281F"/>
    <w:rsid w:val="00FE29FD"/>
    <w:rsid w:val="00FE2B6F"/>
    <w:rsid w:val="00FE2BC4"/>
    <w:rsid w:val="00FE2CF0"/>
    <w:rsid w:val="00FE2D6E"/>
    <w:rsid w:val="00FE2D93"/>
    <w:rsid w:val="00FE2FC3"/>
    <w:rsid w:val="00FE3024"/>
    <w:rsid w:val="00FE31A0"/>
    <w:rsid w:val="00FE34D2"/>
    <w:rsid w:val="00FE3671"/>
    <w:rsid w:val="00FE3749"/>
    <w:rsid w:val="00FE37C4"/>
    <w:rsid w:val="00FE399C"/>
    <w:rsid w:val="00FE3CC2"/>
    <w:rsid w:val="00FE3D3A"/>
    <w:rsid w:val="00FE3D7C"/>
    <w:rsid w:val="00FE3E5B"/>
    <w:rsid w:val="00FE4126"/>
    <w:rsid w:val="00FE41F4"/>
    <w:rsid w:val="00FE421D"/>
    <w:rsid w:val="00FE42BE"/>
    <w:rsid w:val="00FE4415"/>
    <w:rsid w:val="00FE446D"/>
    <w:rsid w:val="00FE4536"/>
    <w:rsid w:val="00FE4588"/>
    <w:rsid w:val="00FE4596"/>
    <w:rsid w:val="00FE460C"/>
    <w:rsid w:val="00FE4777"/>
    <w:rsid w:val="00FE48A7"/>
    <w:rsid w:val="00FE4A3D"/>
    <w:rsid w:val="00FE4B56"/>
    <w:rsid w:val="00FE4BF8"/>
    <w:rsid w:val="00FE4D6D"/>
    <w:rsid w:val="00FE4D92"/>
    <w:rsid w:val="00FE4E86"/>
    <w:rsid w:val="00FE50BA"/>
    <w:rsid w:val="00FE512B"/>
    <w:rsid w:val="00FE56C0"/>
    <w:rsid w:val="00FE5793"/>
    <w:rsid w:val="00FE57BB"/>
    <w:rsid w:val="00FE588A"/>
    <w:rsid w:val="00FE597D"/>
    <w:rsid w:val="00FE59E9"/>
    <w:rsid w:val="00FE5E22"/>
    <w:rsid w:val="00FE5EC2"/>
    <w:rsid w:val="00FE5F68"/>
    <w:rsid w:val="00FE5F9C"/>
    <w:rsid w:val="00FE6063"/>
    <w:rsid w:val="00FE606E"/>
    <w:rsid w:val="00FE609A"/>
    <w:rsid w:val="00FE609D"/>
    <w:rsid w:val="00FE6120"/>
    <w:rsid w:val="00FE61A1"/>
    <w:rsid w:val="00FE6289"/>
    <w:rsid w:val="00FE6345"/>
    <w:rsid w:val="00FE64B2"/>
    <w:rsid w:val="00FE66A5"/>
    <w:rsid w:val="00FE67F2"/>
    <w:rsid w:val="00FE6818"/>
    <w:rsid w:val="00FE68B7"/>
    <w:rsid w:val="00FE68EB"/>
    <w:rsid w:val="00FE6B03"/>
    <w:rsid w:val="00FE6B0D"/>
    <w:rsid w:val="00FE6C2A"/>
    <w:rsid w:val="00FE6D57"/>
    <w:rsid w:val="00FE701B"/>
    <w:rsid w:val="00FE7051"/>
    <w:rsid w:val="00FE707B"/>
    <w:rsid w:val="00FE71DA"/>
    <w:rsid w:val="00FE7248"/>
    <w:rsid w:val="00FE7348"/>
    <w:rsid w:val="00FE7730"/>
    <w:rsid w:val="00FE7795"/>
    <w:rsid w:val="00FE77C3"/>
    <w:rsid w:val="00FE77F2"/>
    <w:rsid w:val="00FE7A47"/>
    <w:rsid w:val="00FE7AEF"/>
    <w:rsid w:val="00FE7B1E"/>
    <w:rsid w:val="00FE7F68"/>
    <w:rsid w:val="00FE7FE2"/>
    <w:rsid w:val="00FF0074"/>
    <w:rsid w:val="00FF016B"/>
    <w:rsid w:val="00FF02CB"/>
    <w:rsid w:val="00FF02E4"/>
    <w:rsid w:val="00FF0311"/>
    <w:rsid w:val="00FF0410"/>
    <w:rsid w:val="00FF0471"/>
    <w:rsid w:val="00FF0640"/>
    <w:rsid w:val="00FF06C4"/>
    <w:rsid w:val="00FF0704"/>
    <w:rsid w:val="00FF0731"/>
    <w:rsid w:val="00FF086C"/>
    <w:rsid w:val="00FF0888"/>
    <w:rsid w:val="00FF08B1"/>
    <w:rsid w:val="00FF0939"/>
    <w:rsid w:val="00FF0A1F"/>
    <w:rsid w:val="00FF0A59"/>
    <w:rsid w:val="00FF0AB1"/>
    <w:rsid w:val="00FF0B0E"/>
    <w:rsid w:val="00FF0C1E"/>
    <w:rsid w:val="00FF0C3F"/>
    <w:rsid w:val="00FF0D7B"/>
    <w:rsid w:val="00FF0DAD"/>
    <w:rsid w:val="00FF0DE5"/>
    <w:rsid w:val="00FF0E55"/>
    <w:rsid w:val="00FF0E63"/>
    <w:rsid w:val="00FF0F3B"/>
    <w:rsid w:val="00FF1059"/>
    <w:rsid w:val="00FF1073"/>
    <w:rsid w:val="00FF136A"/>
    <w:rsid w:val="00FF13D4"/>
    <w:rsid w:val="00FF13EA"/>
    <w:rsid w:val="00FF15E8"/>
    <w:rsid w:val="00FF18D0"/>
    <w:rsid w:val="00FF1951"/>
    <w:rsid w:val="00FF195D"/>
    <w:rsid w:val="00FF19AB"/>
    <w:rsid w:val="00FF19B5"/>
    <w:rsid w:val="00FF1AAC"/>
    <w:rsid w:val="00FF1B13"/>
    <w:rsid w:val="00FF1B40"/>
    <w:rsid w:val="00FF1B45"/>
    <w:rsid w:val="00FF1DC2"/>
    <w:rsid w:val="00FF1F01"/>
    <w:rsid w:val="00FF20AA"/>
    <w:rsid w:val="00FF215A"/>
    <w:rsid w:val="00FF21B7"/>
    <w:rsid w:val="00FF21EC"/>
    <w:rsid w:val="00FF2228"/>
    <w:rsid w:val="00FF228C"/>
    <w:rsid w:val="00FF23C4"/>
    <w:rsid w:val="00FF2406"/>
    <w:rsid w:val="00FF257E"/>
    <w:rsid w:val="00FF25BE"/>
    <w:rsid w:val="00FF2633"/>
    <w:rsid w:val="00FF275B"/>
    <w:rsid w:val="00FF27B9"/>
    <w:rsid w:val="00FF27F0"/>
    <w:rsid w:val="00FF2894"/>
    <w:rsid w:val="00FF28B9"/>
    <w:rsid w:val="00FF28D1"/>
    <w:rsid w:val="00FF2A41"/>
    <w:rsid w:val="00FF2BFA"/>
    <w:rsid w:val="00FF2C1A"/>
    <w:rsid w:val="00FF2CB0"/>
    <w:rsid w:val="00FF2DA1"/>
    <w:rsid w:val="00FF2DDB"/>
    <w:rsid w:val="00FF2DE4"/>
    <w:rsid w:val="00FF2E2D"/>
    <w:rsid w:val="00FF2E98"/>
    <w:rsid w:val="00FF2EDC"/>
    <w:rsid w:val="00FF2F12"/>
    <w:rsid w:val="00FF2FD3"/>
    <w:rsid w:val="00FF30CD"/>
    <w:rsid w:val="00FF3194"/>
    <w:rsid w:val="00FF319F"/>
    <w:rsid w:val="00FF31FD"/>
    <w:rsid w:val="00FF3216"/>
    <w:rsid w:val="00FF322C"/>
    <w:rsid w:val="00FF334D"/>
    <w:rsid w:val="00FF3392"/>
    <w:rsid w:val="00FF33E2"/>
    <w:rsid w:val="00FF3424"/>
    <w:rsid w:val="00FF3488"/>
    <w:rsid w:val="00FF3508"/>
    <w:rsid w:val="00FF3611"/>
    <w:rsid w:val="00FF3864"/>
    <w:rsid w:val="00FF390C"/>
    <w:rsid w:val="00FF3923"/>
    <w:rsid w:val="00FF3BCA"/>
    <w:rsid w:val="00FF3C7D"/>
    <w:rsid w:val="00FF3D34"/>
    <w:rsid w:val="00FF3DB4"/>
    <w:rsid w:val="00FF3DD7"/>
    <w:rsid w:val="00FF3DE9"/>
    <w:rsid w:val="00FF3EA0"/>
    <w:rsid w:val="00FF3FD6"/>
    <w:rsid w:val="00FF4086"/>
    <w:rsid w:val="00FF409C"/>
    <w:rsid w:val="00FF40D8"/>
    <w:rsid w:val="00FF4137"/>
    <w:rsid w:val="00FF4495"/>
    <w:rsid w:val="00FF44F1"/>
    <w:rsid w:val="00FF481F"/>
    <w:rsid w:val="00FF4845"/>
    <w:rsid w:val="00FF484F"/>
    <w:rsid w:val="00FF491C"/>
    <w:rsid w:val="00FF49BA"/>
    <w:rsid w:val="00FF4A53"/>
    <w:rsid w:val="00FF4AA3"/>
    <w:rsid w:val="00FF4ABA"/>
    <w:rsid w:val="00FF4AD0"/>
    <w:rsid w:val="00FF4AED"/>
    <w:rsid w:val="00FF4C33"/>
    <w:rsid w:val="00FF4D37"/>
    <w:rsid w:val="00FF4DA1"/>
    <w:rsid w:val="00FF4DAD"/>
    <w:rsid w:val="00FF50E0"/>
    <w:rsid w:val="00FF50E3"/>
    <w:rsid w:val="00FF50FF"/>
    <w:rsid w:val="00FF5124"/>
    <w:rsid w:val="00FF517B"/>
    <w:rsid w:val="00FF537C"/>
    <w:rsid w:val="00FF55DA"/>
    <w:rsid w:val="00FF55DD"/>
    <w:rsid w:val="00FF568B"/>
    <w:rsid w:val="00FF5712"/>
    <w:rsid w:val="00FF575D"/>
    <w:rsid w:val="00FF598C"/>
    <w:rsid w:val="00FF599D"/>
    <w:rsid w:val="00FF5A5C"/>
    <w:rsid w:val="00FF5B1D"/>
    <w:rsid w:val="00FF5B31"/>
    <w:rsid w:val="00FF5BF8"/>
    <w:rsid w:val="00FF5E18"/>
    <w:rsid w:val="00FF5E96"/>
    <w:rsid w:val="00FF5F60"/>
    <w:rsid w:val="00FF60DB"/>
    <w:rsid w:val="00FF60F7"/>
    <w:rsid w:val="00FF61B5"/>
    <w:rsid w:val="00FF61D0"/>
    <w:rsid w:val="00FF658A"/>
    <w:rsid w:val="00FF664A"/>
    <w:rsid w:val="00FF6693"/>
    <w:rsid w:val="00FF66C6"/>
    <w:rsid w:val="00FF67ED"/>
    <w:rsid w:val="00FF6859"/>
    <w:rsid w:val="00FF68F6"/>
    <w:rsid w:val="00FF691A"/>
    <w:rsid w:val="00FF6989"/>
    <w:rsid w:val="00FF6A35"/>
    <w:rsid w:val="00FF6AF4"/>
    <w:rsid w:val="00FF6B15"/>
    <w:rsid w:val="00FF6B7B"/>
    <w:rsid w:val="00FF6B95"/>
    <w:rsid w:val="00FF6BDE"/>
    <w:rsid w:val="00FF6C64"/>
    <w:rsid w:val="00FF6CEC"/>
    <w:rsid w:val="00FF6D17"/>
    <w:rsid w:val="00FF6EEC"/>
    <w:rsid w:val="00FF6F00"/>
    <w:rsid w:val="00FF6F31"/>
    <w:rsid w:val="00FF6FD9"/>
    <w:rsid w:val="00FF718C"/>
    <w:rsid w:val="00FF71BB"/>
    <w:rsid w:val="00FF71C4"/>
    <w:rsid w:val="00FF734C"/>
    <w:rsid w:val="00FF7370"/>
    <w:rsid w:val="00FF747A"/>
    <w:rsid w:val="00FF748B"/>
    <w:rsid w:val="00FF74D7"/>
    <w:rsid w:val="00FF7678"/>
    <w:rsid w:val="00FF76F0"/>
    <w:rsid w:val="00FF7713"/>
    <w:rsid w:val="00FF78A3"/>
    <w:rsid w:val="00FF78FD"/>
    <w:rsid w:val="00FF7A06"/>
    <w:rsid w:val="00FF7A68"/>
    <w:rsid w:val="00FF7AD0"/>
    <w:rsid w:val="00FF7B21"/>
    <w:rsid w:val="00FF7B6E"/>
    <w:rsid w:val="013383D1"/>
    <w:rsid w:val="0150C2C2"/>
    <w:rsid w:val="0175EFBA"/>
    <w:rsid w:val="01881ED9"/>
    <w:rsid w:val="018934E6"/>
    <w:rsid w:val="01948BF3"/>
    <w:rsid w:val="01D01526"/>
    <w:rsid w:val="01D30337"/>
    <w:rsid w:val="022EF3BA"/>
    <w:rsid w:val="026514B1"/>
    <w:rsid w:val="02660F6A"/>
    <w:rsid w:val="0272B51E"/>
    <w:rsid w:val="028E83FD"/>
    <w:rsid w:val="02953BFF"/>
    <w:rsid w:val="0295D00D"/>
    <w:rsid w:val="02DF2E43"/>
    <w:rsid w:val="02F0CA29"/>
    <w:rsid w:val="02F3EC41"/>
    <w:rsid w:val="0304A011"/>
    <w:rsid w:val="0345CB01"/>
    <w:rsid w:val="034C622A"/>
    <w:rsid w:val="0356DEE4"/>
    <w:rsid w:val="0381D5DC"/>
    <w:rsid w:val="038EEC51"/>
    <w:rsid w:val="039C4FBF"/>
    <w:rsid w:val="03B2A0D2"/>
    <w:rsid w:val="03B5C850"/>
    <w:rsid w:val="03C884C1"/>
    <w:rsid w:val="03D11D0F"/>
    <w:rsid w:val="040AA7B5"/>
    <w:rsid w:val="0425A8E8"/>
    <w:rsid w:val="044B5010"/>
    <w:rsid w:val="0484B197"/>
    <w:rsid w:val="04B05779"/>
    <w:rsid w:val="04BCC0A6"/>
    <w:rsid w:val="04D59120"/>
    <w:rsid w:val="04D8B123"/>
    <w:rsid w:val="04E595DC"/>
    <w:rsid w:val="04EDD482"/>
    <w:rsid w:val="04F2D639"/>
    <w:rsid w:val="0523024A"/>
    <w:rsid w:val="0524C4C7"/>
    <w:rsid w:val="0540D3BC"/>
    <w:rsid w:val="055B5AF9"/>
    <w:rsid w:val="05603E8A"/>
    <w:rsid w:val="05793A2C"/>
    <w:rsid w:val="058075ED"/>
    <w:rsid w:val="058D4FB9"/>
    <w:rsid w:val="05AB589A"/>
    <w:rsid w:val="05C80A2E"/>
    <w:rsid w:val="05E537AE"/>
    <w:rsid w:val="05E99787"/>
    <w:rsid w:val="0601EF07"/>
    <w:rsid w:val="0621BDD0"/>
    <w:rsid w:val="06319101"/>
    <w:rsid w:val="063C8D6D"/>
    <w:rsid w:val="06457127"/>
    <w:rsid w:val="0646A602"/>
    <w:rsid w:val="066275D0"/>
    <w:rsid w:val="066F35C5"/>
    <w:rsid w:val="06830D89"/>
    <w:rsid w:val="068BB5A7"/>
    <w:rsid w:val="06BD4317"/>
    <w:rsid w:val="06C24F81"/>
    <w:rsid w:val="06D418AB"/>
    <w:rsid w:val="06D5FDD8"/>
    <w:rsid w:val="06E907B8"/>
    <w:rsid w:val="070E76FA"/>
    <w:rsid w:val="072639C1"/>
    <w:rsid w:val="074C349B"/>
    <w:rsid w:val="076B49E4"/>
    <w:rsid w:val="0785AB83"/>
    <w:rsid w:val="0787E6D1"/>
    <w:rsid w:val="07888915"/>
    <w:rsid w:val="0794B106"/>
    <w:rsid w:val="07C0B282"/>
    <w:rsid w:val="07CB80ED"/>
    <w:rsid w:val="07E74B83"/>
    <w:rsid w:val="0817FA53"/>
    <w:rsid w:val="08194527"/>
    <w:rsid w:val="08414B76"/>
    <w:rsid w:val="0855FEA7"/>
    <w:rsid w:val="08565E66"/>
    <w:rsid w:val="0856AC0E"/>
    <w:rsid w:val="085904CB"/>
    <w:rsid w:val="0891D784"/>
    <w:rsid w:val="08968848"/>
    <w:rsid w:val="08C1273D"/>
    <w:rsid w:val="08C779AA"/>
    <w:rsid w:val="08DE1A31"/>
    <w:rsid w:val="08DECAA1"/>
    <w:rsid w:val="08EBE6C2"/>
    <w:rsid w:val="08F2F01E"/>
    <w:rsid w:val="091B3344"/>
    <w:rsid w:val="092A400D"/>
    <w:rsid w:val="093DE82C"/>
    <w:rsid w:val="095148C9"/>
    <w:rsid w:val="0962913C"/>
    <w:rsid w:val="0965358D"/>
    <w:rsid w:val="096FE62F"/>
    <w:rsid w:val="09743023"/>
    <w:rsid w:val="09D19335"/>
    <w:rsid w:val="09E3C5EB"/>
    <w:rsid w:val="09F27C6F"/>
    <w:rsid w:val="0A080D2A"/>
    <w:rsid w:val="0A0A827E"/>
    <w:rsid w:val="0A11AA3A"/>
    <w:rsid w:val="0A402B14"/>
    <w:rsid w:val="0A43DFBE"/>
    <w:rsid w:val="0A49B16B"/>
    <w:rsid w:val="0A5CF79E"/>
    <w:rsid w:val="0A7DEA20"/>
    <w:rsid w:val="0A8E16C1"/>
    <w:rsid w:val="0AB7B6D6"/>
    <w:rsid w:val="0B27A70D"/>
    <w:rsid w:val="0B9AB6B7"/>
    <w:rsid w:val="0BA13196"/>
    <w:rsid w:val="0BAC69E0"/>
    <w:rsid w:val="0BCC15EA"/>
    <w:rsid w:val="0C2291BF"/>
    <w:rsid w:val="0C5915D3"/>
    <w:rsid w:val="0C63581C"/>
    <w:rsid w:val="0C7BA3FD"/>
    <w:rsid w:val="0CC74228"/>
    <w:rsid w:val="0CDC4631"/>
    <w:rsid w:val="0CE3F700"/>
    <w:rsid w:val="0CF28631"/>
    <w:rsid w:val="0CFDE81E"/>
    <w:rsid w:val="0D05D4A9"/>
    <w:rsid w:val="0D1F2523"/>
    <w:rsid w:val="0D1FC82E"/>
    <w:rsid w:val="0D49141D"/>
    <w:rsid w:val="0D5041FC"/>
    <w:rsid w:val="0D7638ED"/>
    <w:rsid w:val="0DBB76EB"/>
    <w:rsid w:val="0DC747DD"/>
    <w:rsid w:val="0DE2D054"/>
    <w:rsid w:val="0E03F3BB"/>
    <w:rsid w:val="0E4E39A5"/>
    <w:rsid w:val="0E7015DB"/>
    <w:rsid w:val="0E887DA8"/>
    <w:rsid w:val="0E91CF5E"/>
    <w:rsid w:val="0EAF31B7"/>
    <w:rsid w:val="0ED6E03D"/>
    <w:rsid w:val="0EE00AF3"/>
    <w:rsid w:val="0EE37835"/>
    <w:rsid w:val="0F06BEC0"/>
    <w:rsid w:val="0F0AECA5"/>
    <w:rsid w:val="0F148CDA"/>
    <w:rsid w:val="0F17D15E"/>
    <w:rsid w:val="0F308FF2"/>
    <w:rsid w:val="0F494448"/>
    <w:rsid w:val="0F784DE0"/>
    <w:rsid w:val="0FA2EE2C"/>
    <w:rsid w:val="0FB3D629"/>
    <w:rsid w:val="0FC96070"/>
    <w:rsid w:val="0FD4977F"/>
    <w:rsid w:val="10026E3E"/>
    <w:rsid w:val="10EB49A8"/>
    <w:rsid w:val="11323E7B"/>
    <w:rsid w:val="1138CE17"/>
    <w:rsid w:val="11720A7F"/>
    <w:rsid w:val="11B9C7E5"/>
    <w:rsid w:val="11BC901E"/>
    <w:rsid w:val="11CAD449"/>
    <w:rsid w:val="11FFDFA6"/>
    <w:rsid w:val="1214D64D"/>
    <w:rsid w:val="121C54D7"/>
    <w:rsid w:val="1262D806"/>
    <w:rsid w:val="1283F05D"/>
    <w:rsid w:val="12C763DC"/>
    <w:rsid w:val="12FCEB27"/>
    <w:rsid w:val="1344EEDC"/>
    <w:rsid w:val="134AD56E"/>
    <w:rsid w:val="13512CF8"/>
    <w:rsid w:val="1351A7CA"/>
    <w:rsid w:val="136B3CC8"/>
    <w:rsid w:val="137E724A"/>
    <w:rsid w:val="13841069"/>
    <w:rsid w:val="138F1982"/>
    <w:rsid w:val="139E7EBD"/>
    <w:rsid w:val="13A230FB"/>
    <w:rsid w:val="13A515C1"/>
    <w:rsid w:val="13A91A46"/>
    <w:rsid w:val="13CD52CE"/>
    <w:rsid w:val="13F77573"/>
    <w:rsid w:val="14117BD4"/>
    <w:rsid w:val="1420CB7F"/>
    <w:rsid w:val="1433DC19"/>
    <w:rsid w:val="1434E309"/>
    <w:rsid w:val="144D279E"/>
    <w:rsid w:val="1451C713"/>
    <w:rsid w:val="147E535E"/>
    <w:rsid w:val="147FA630"/>
    <w:rsid w:val="1485CE25"/>
    <w:rsid w:val="14A4AA10"/>
    <w:rsid w:val="14D40A16"/>
    <w:rsid w:val="14F024E6"/>
    <w:rsid w:val="14F94DDA"/>
    <w:rsid w:val="151298BC"/>
    <w:rsid w:val="1536A97D"/>
    <w:rsid w:val="15654B08"/>
    <w:rsid w:val="1587F79B"/>
    <w:rsid w:val="15AE1522"/>
    <w:rsid w:val="15B997D3"/>
    <w:rsid w:val="15D41857"/>
    <w:rsid w:val="15D7EFF9"/>
    <w:rsid w:val="15E89AEE"/>
    <w:rsid w:val="15EBA1F4"/>
    <w:rsid w:val="1609DDF5"/>
    <w:rsid w:val="16191597"/>
    <w:rsid w:val="163A3504"/>
    <w:rsid w:val="163F2F93"/>
    <w:rsid w:val="16A2143C"/>
    <w:rsid w:val="16A3B424"/>
    <w:rsid w:val="16A4CA64"/>
    <w:rsid w:val="16A53909"/>
    <w:rsid w:val="16BF354C"/>
    <w:rsid w:val="16D2F5F8"/>
    <w:rsid w:val="17032CAF"/>
    <w:rsid w:val="170E3E3C"/>
    <w:rsid w:val="171699D9"/>
    <w:rsid w:val="171F930D"/>
    <w:rsid w:val="171FAFC7"/>
    <w:rsid w:val="17A09D7A"/>
    <w:rsid w:val="17B22F61"/>
    <w:rsid w:val="17C7CF21"/>
    <w:rsid w:val="17D36728"/>
    <w:rsid w:val="180468AC"/>
    <w:rsid w:val="185613FD"/>
    <w:rsid w:val="1885343E"/>
    <w:rsid w:val="18D7CAD5"/>
    <w:rsid w:val="18DB6F0B"/>
    <w:rsid w:val="19050C54"/>
    <w:rsid w:val="196326C0"/>
    <w:rsid w:val="196A43E0"/>
    <w:rsid w:val="19B6E61C"/>
    <w:rsid w:val="19C180C6"/>
    <w:rsid w:val="19D3C260"/>
    <w:rsid w:val="19DF3D43"/>
    <w:rsid w:val="19EF3DF2"/>
    <w:rsid w:val="19F69081"/>
    <w:rsid w:val="1A4F6DB2"/>
    <w:rsid w:val="1A75DB4B"/>
    <w:rsid w:val="1A75FB4D"/>
    <w:rsid w:val="1A8DC1EB"/>
    <w:rsid w:val="1A922C69"/>
    <w:rsid w:val="1ABEF342"/>
    <w:rsid w:val="1AE5A751"/>
    <w:rsid w:val="1AF940B5"/>
    <w:rsid w:val="1B12A0B6"/>
    <w:rsid w:val="1B1BD337"/>
    <w:rsid w:val="1B27ED77"/>
    <w:rsid w:val="1B72B5DF"/>
    <w:rsid w:val="1BC5D5DB"/>
    <w:rsid w:val="1BD66E6E"/>
    <w:rsid w:val="1C433F59"/>
    <w:rsid w:val="1C4988CC"/>
    <w:rsid w:val="1C4E00A3"/>
    <w:rsid w:val="1C65F095"/>
    <w:rsid w:val="1C8D0B92"/>
    <w:rsid w:val="1C942867"/>
    <w:rsid w:val="1CBF668B"/>
    <w:rsid w:val="1CCB6D53"/>
    <w:rsid w:val="1CFE4B8C"/>
    <w:rsid w:val="1D5A2713"/>
    <w:rsid w:val="1D7B4BC5"/>
    <w:rsid w:val="1D7C9AC6"/>
    <w:rsid w:val="1D879678"/>
    <w:rsid w:val="1D9BC9CE"/>
    <w:rsid w:val="1D9F9478"/>
    <w:rsid w:val="1DA2F9B1"/>
    <w:rsid w:val="1DE5592D"/>
    <w:rsid w:val="1E0B75C4"/>
    <w:rsid w:val="1E44814C"/>
    <w:rsid w:val="1E535A92"/>
    <w:rsid w:val="1E569F98"/>
    <w:rsid w:val="1E935BC7"/>
    <w:rsid w:val="1EAA1019"/>
    <w:rsid w:val="1EAC8424"/>
    <w:rsid w:val="1EBB70B8"/>
    <w:rsid w:val="1ECAD685"/>
    <w:rsid w:val="1EFDCA81"/>
    <w:rsid w:val="1F51A21E"/>
    <w:rsid w:val="1F66C2EB"/>
    <w:rsid w:val="1F78C2F1"/>
    <w:rsid w:val="1F793C08"/>
    <w:rsid w:val="1F926465"/>
    <w:rsid w:val="1FCCE97C"/>
    <w:rsid w:val="1FD77739"/>
    <w:rsid w:val="1FFDF0F0"/>
    <w:rsid w:val="203FD8A6"/>
    <w:rsid w:val="20435C68"/>
    <w:rsid w:val="20463555"/>
    <w:rsid w:val="2085B1AF"/>
    <w:rsid w:val="2094F624"/>
    <w:rsid w:val="20BA5334"/>
    <w:rsid w:val="20CA048C"/>
    <w:rsid w:val="20F583EA"/>
    <w:rsid w:val="21334112"/>
    <w:rsid w:val="21456754"/>
    <w:rsid w:val="215AD010"/>
    <w:rsid w:val="21708D36"/>
    <w:rsid w:val="21811778"/>
    <w:rsid w:val="21D4B7A0"/>
    <w:rsid w:val="21E32A57"/>
    <w:rsid w:val="21E6455B"/>
    <w:rsid w:val="22025E58"/>
    <w:rsid w:val="220593B1"/>
    <w:rsid w:val="220C51A8"/>
    <w:rsid w:val="222FA92A"/>
    <w:rsid w:val="22639314"/>
    <w:rsid w:val="2292CBCF"/>
    <w:rsid w:val="22BDAFE4"/>
    <w:rsid w:val="22FF4021"/>
    <w:rsid w:val="23048A3E"/>
    <w:rsid w:val="233050D6"/>
    <w:rsid w:val="2331B297"/>
    <w:rsid w:val="234228C3"/>
    <w:rsid w:val="23466D19"/>
    <w:rsid w:val="2351315D"/>
    <w:rsid w:val="2369949D"/>
    <w:rsid w:val="238B7760"/>
    <w:rsid w:val="239D4D19"/>
    <w:rsid w:val="23BB4167"/>
    <w:rsid w:val="23D9BBCC"/>
    <w:rsid w:val="23E66BF1"/>
    <w:rsid w:val="23EF8E63"/>
    <w:rsid w:val="23FFD5A9"/>
    <w:rsid w:val="24026365"/>
    <w:rsid w:val="24171B80"/>
    <w:rsid w:val="242FF03B"/>
    <w:rsid w:val="244CAD2B"/>
    <w:rsid w:val="244D6DBB"/>
    <w:rsid w:val="245029EA"/>
    <w:rsid w:val="245E5908"/>
    <w:rsid w:val="247A6553"/>
    <w:rsid w:val="24897D90"/>
    <w:rsid w:val="24FBF947"/>
    <w:rsid w:val="24FDA5F5"/>
    <w:rsid w:val="25291DDF"/>
    <w:rsid w:val="252D7030"/>
    <w:rsid w:val="2535870D"/>
    <w:rsid w:val="2535B6CE"/>
    <w:rsid w:val="255C8026"/>
    <w:rsid w:val="25618870"/>
    <w:rsid w:val="257AE553"/>
    <w:rsid w:val="25B2CE58"/>
    <w:rsid w:val="25C18354"/>
    <w:rsid w:val="25F432BB"/>
    <w:rsid w:val="2612E0C0"/>
    <w:rsid w:val="2670B693"/>
    <w:rsid w:val="2697CC35"/>
    <w:rsid w:val="269BB0D4"/>
    <w:rsid w:val="26AD5A40"/>
    <w:rsid w:val="26C6829D"/>
    <w:rsid w:val="26E5D4A3"/>
    <w:rsid w:val="26F3DF86"/>
    <w:rsid w:val="27098BFF"/>
    <w:rsid w:val="270D274F"/>
    <w:rsid w:val="2744B339"/>
    <w:rsid w:val="2761F5F4"/>
    <w:rsid w:val="27698282"/>
    <w:rsid w:val="276A788E"/>
    <w:rsid w:val="277225A2"/>
    <w:rsid w:val="277329F5"/>
    <w:rsid w:val="279320B8"/>
    <w:rsid w:val="27B768D4"/>
    <w:rsid w:val="27D0711C"/>
    <w:rsid w:val="27F71011"/>
    <w:rsid w:val="28129FEB"/>
    <w:rsid w:val="281E0854"/>
    <w:rsid w:val="28477142"/>
    <w:rsid w:val="28492AA1"/>
    <w:rsid w:val="285EE883"/>
    <w:rsid w:val="286AD083"/>
    <w:rsid w:val="28AC1657"/>
    <w:rsid w:val="28DBF839"/>
    <w:rsid w:val="28F2C37D"/>
    <w:rsid w:val="28F38387"/>
    <w:rsid w:val="290B1F9F"/>
    <w:rsid w:val="29201E4E"/>
    <w:rsid w:val="293CC858"/>
    <w:rsid w:val="29429DFA"/>
    <w:rsid w:val="2951491B"/>
    <w:rsid w:val="299A6DEF"/>
    <w:rsid w:val="299B3C3E"/>
    <w:rsid w:val="29C80967"/>
    <w:rsid w:val="29E24295"/>
    <w:rsid w:val="29FAB8E4"/>
    <w:rsid w:val="29FE235F"/>
    <w:rsid w:val="2A15689B"/>
    <w:rsid w:val="2A2C029F"/>
    <w:rsid w:val="2A2F442E"/>
    <w:rsid w:val="2A642FE3"/>
    <w:rsid w:val="2A945ECE"/>
    <w:rsid w:val="2ADF33D6"/>
    <w:rsid w:val="2AEF0996"/>
    <w:rsid w:val="2AF4C54A"/>
    <w:rsid w:val="2B197232"/>
    <w:rsid w:val="2B59389B"/>
    <w:rsid w:val="2B781EEB"/>
    <w:rsid w:val="2B80CB63"/>
    <w:rsid w:val="2B8D5A8D"/>
    <w:rsid w:val="2B9A6E8E"/>
    <w:rsid w:val="2BE9E815"/>
    <w:rsid w:val="2BEEF018"/>
    <w:rsid w:val="2BF072A9"/>
    <w:rsid w:val="2BFB2765"/>
    <w:rsid w:val="2C06B020"/>
    <w:rsid w:val="2C30B968"/>
    <w:rsid w:val="2C5046D9"/>
    <w:rsid w:val="2CB21ED1"/>
    <w:rsid w:val="2CCF0928"/>
    <w:rsid w:val="2CD31156"/>
    <w:rsid w:val="2D166BB6"/>
    <w:rsid w:val="2D1997B7"/>
    <w:rsid w:val="2D1A8940"/>
    <w:rsid w:val="2D243ECF"/>
    <w:rsid w:val="2D2448E3"/>
    <w:rsid w:val="2D293164"/>
    <w:rsid w:val="2D437C3F"/>
    <w:rsid w:val="2D5F6F54"/>
    <w:rsid w:val="2DB857D4"/>
    <w:rsid w:val="2DF72CA1"/>
    <w:rsid w:val="2E1A4380"/>
    <w:rsid w:val="2E410CC2"/>
    <w:rsid w:val="2E4BC373"/>
    <w:rsid w:val="2EBE4F5C"/>
    <w:rsid w:val="2EE8A139"/>
    <w:rsid w:val="2F219218"/>
    <w:rsid w:val="2F2BC24C"/>
    <w:rsid w:val="2F2D5EE1"/>
    <w:rsid w:val="2F8F5FD2"/>
    <w:rsid w:val="2FAF7C05"/>
    <w:rsid w:val="2FBC9A75"/>
    <w:rsid w:val="2FD18C49"/>
    <w:rsid w:val="2FE423CF"/>
    <w:rsid w:val="30419556"/>
    <w:rsid w:val="30BD4FE4"/>
    <w:rsid w:val="30DD74DF"/>
    <w:rsid w:val="30E67518"/>
    <w:rsid w:val="30F29083"/>
    <w:rsid w:val="30F44C53"/>
    <w:rsid w:val="30FC11A0"/>
    <w:rsid w:val="31116FC4"/>
    <w:rsid w:val="3147FF79"/>
    <w:rsid w:val="315BA9C5"/>
    <w:rsid w:val="316DF843"/>
    <w:rsid w:val="31708E20"/>
    <w:rsid w:val="31CFA24B"/>
    <w:rsid w:val="31D54269"/>
    <w:rsid w:val="32325318"/>
    <w:rsid w:val="324909EB"/>
    <w:rsid w:val="324FB287"/>
    <w:rsid w:val="325C7E59"/>
    <w:rsid w:val="325F5207"/>
    <w:rsid w:val="329DAF55"/>
    <w:rsid w:val="32AF32CA"/>
    <w:rsid w:val="32BDB1AE"/>
    <w:rsid w:val="32C35D5B"/>
    <w:rsid w:val="32C64BDD"/>
    <w:rsid w:val="32C6DE3F"/>
    <w:rsid w:val="3308C94E"/>
    <w:rsid w:val="330C5E04"/>
    <w:rsid w:val="330E2B95"/>
    <w:rsid w:val="332D782F"/>
    <w:rsid w:val="337BC44F"/>
    <w:rsid w:val="338C82C8"/>
    <w:rsid w:val="33962A53"/>
    <w:rsid w:val="33A73161"/>
    <w:rsid w:val="33A9D3AF"/>
    <w:rsid w:val="33C06280"/>
    <w:rsid w:val="33C816E5"/>
    <w:rsid w:val="33CA26BC"/>
    <w:rsid w:val="340E8EAF"/>
    <w:rsid w:val="341E9A94"/>
    <w:rsid w:val="34480395"/>
    <w:rsid w:val="34485F9A"/>
    <w:rsid w:val="346143F2"/>
    <w:rsid w:val="346677DE"/>
    <w:rsid w:val="347F4B28"/>
    <w:rsid w:val="348E3127"/>
    <w:rsid w:val="34961423"/>
    <w:rsid w:val="349D21D5"/>
    <w:rsid w:val="34CF8E4C"/>
    <w:rsid w:val="35160049"/>
    <w:rsid w:val="355FF244"/>
    <w:rsid w:val="35841F27"/>
    <w:rsid w:val="359D002B"/>
    <w:rsid w:val="35A0CC77"/>
    <w:rsid w:val="35ABCCF9"/>
    <w:rsid w:val="35B5D65B"/>
    <w:rsid w:val="35BB026D"/>
    <w:rsid w:val="35E63989"/>
    <w:rsid w:val="362F3C2C"/>
    <w:rsid w:val="3647939D"/>
    <w:rsid w:val="365F5D44"/>
    <w:rsid w:val="36749427"/>
    <w:rsid w:val="36C24E3A"/>
    <w:rsid w:val="36C54138"/>
    <w:rsid w:val="3704F91B"/>
    <w:rsid w:val="3709C906"/>
    <w:rsid w:val="370BA2E2"/>
    <w:rsid w:val="37150D25"/>
    <w:rsid w:val="372523CA"/>
    <w:rsid w:val="372EAAF5"/>
    <w:rsid w:val="374DCA11"/>
    <w:rsid w:val="3771AC18"/>
    <w:rsid w:val="37743BCE"/>
    <w:rsid w:val="377D023C"/>
    <w:rsid w:val="3787E91E"/>
    <w:rsid w:val="37B2D3B0"/>
    <w:rsid w:val="3833A30D"/>
    <w:rsid w:val="38BCE7F1"/>
    <w:rsid w:val="3903C590"/>
    <w:rsid w:val="395CF627"/>
    <w:rsid w:val="39840BBD"/>
    <w:rsid w:val="399BF24B"/>
    <w:rsid w:val="3A18CA34"/>
    <w:rsid w:val="3A6C0EC3"/>
    <w:rsid w:val="3A7AADA0"/>
    <w:rsid w:val="3A8EA7F3"/>
    <w:rsid w:val="3ACAE80E"/>
    <w:rsid w:val="3AE9B070"/>
    <w:rsid w:val="3AF8C688"/>
    <w:rsid w:val="3B088F1D"/>
    <w:rsid w:val="3B261C9A"/>
    <w:rsid w:val="3B46F06C"/>
    <w:rsid w:val="3B505391"/>
    <w:rsid w:val="3B7A99F9"/>
    <w:rsid w:val="3BC51521"/>
    <w:rsid w:val="3BCD7066"/>
    <w:rsid w:val="3BD9E0CC"/>
    <w:rsid w:val="3BDF6F71"/>
    <w:rsid w:val="3BE9ECB3"/>
    <w:rsid w:val="3C034E3B"/>
    <w:rsid w:val="3C0DE8D5"/>
    <w:rsid w:val="3C20FF76"/>
    <w:rsid w:val="3C2D2569"/>
    <w:rsid w:val="3C4E7205"/>
    <w:rsid w:val="3C994A97"/>
    <w:rsid w:val="3C9A17ED"/>
    <w:rsid w:val="3C9BE679"/>
    <w:rsid w:val="3CA2FF63"/>
    <w:rsid w:val="3CC035EA"/>
    <w:rsid w:val="3CE34F72"/>
    <w:rsid w:val="3D371308"/>
    <w:rsid w:val="3D4E8B09"/>
    <w:rsid w:val="3D5D22EF"/>
    <w:rsid w:val="3D8859DC"/>
    <w:rsid w:val="3DB288C0"/>
    <w:rsid w:val="3DB64F60"/>
    <w:rsid w:val="3DBC2A48"/>
    <w:rsid w:val="3DEFDB6B"/>
    <w:rsid w:val="3E22DB98"/>
    <w:rsid w:val="3E247D46"/>
    <w:rsid w:val="3E304FA0"/>
    <w:rsid w:val="3E3914BA"/>
    <w:rsid w:val="3E46EFAB"/>
    <w:rsid w:val="3E6911A5"/>
    <w:rsid w:val="3E6D8A1E"/>
    <w:rsid w:val="3EA965BC"/>
    <w:rsid w:val="3F039247"/>
    <w:rsid w:val="3F11A7ED"/>
    <w:rsid w:val="3F33C1FD"/>
    <w:rsid w:val="3F48851E"/>
    <w:rsid w:val="3F71D182"/>
    <w:rsid w:val="3FA5839C"/>
    <w:rsid w:val="3FB52E46"/>
    <w:rsid w:val="3FFBA572"/>
    <w:rsid w:val="40117ED7"/>
    <w:rsid w:val="4027263C"/>
    <w:rsid w:val="403C33DE"/>
    <w:rsid w:val="404F6547"/>
    <w:rsid w:val="4067C90A"/>
    <w:rsid w:val="4080A5EC"/>
    <w:rsid w:val="40880BB8"/>
    <w:rsid w:val="40EA215B"/>
    <w:rsid w:val="410E2D23"/>
    <w:rsid w:val="4133018E"/>
    <w:rsid w:val="414153FD"/>
    <w:rsid w:val="416FF592"/>
    <w:rsid w:val="41B0C953"/>
    <w:rsid w:val="41B62FE8"/>
    <w:rsid w:val="41DDEE2B"/>
    <w:rsid w:val="41EA4B6C"/>
    <w:rsid w:val="41FBC415"/>
    <w:rsid w:val="421CAF23"/>
    <w:rsid w:val="42556DEE"/>
    <w:rsid w:val="42899A70"/>
    <w:rsid w:val="42A2D8D2"/>
    <w:rsid w:val="42AF1887"/>
    <w:rsid w:val="42B0D6C4"/>
    <w:rsid w:val="42B3E8EC"/>
    <w:rsid w:val="42E511E4"/>
    <w:rsid w:val="42E8B8CD"/>
    <w:rsid w:val="431162E3"/>
    <w:rsid w:val="431DD898"/>
    <w:rsid w:val="4323D3EA"/>
    <w:rsid w:val="4336D870"/>
    <w:rsid w:val="433E7E97"/>
    <w:rsid w:val="4349A90C"/>
    <w:rsid w:val="434A827C"/>
    <w:rsid w:val="436B319F"/>
    <w:rsid w:val="4380AD42"/>
    <w:rsid w:val="4381D9A7"/>
    <w:rsid w:val="439869AA"/>
    <w:rsid w:val="43ABC424"/>
    <w:rsid w:val="43BFAC7A"/>
    <w:rsid w:val="43D16F40"/>
    <w:rsid w:val="4420C023"/>
    <w:rsid w:val="44412948"/>
    <w:rsid w:val="44518147"/>
    <w:rsid w:val="44A8F6A7"/>
    <w:rsid w:val="44A95CFD"/>
    <w:rsid w:val="44B1D2AD"/>
    <w:rsid w:val="44D9F449"/>
    <w:rsid w:val="44EC9600"/>
    <w:rsid w:val="452A6D7E"/>
    <w:rsid w:val="45551E03"/>
    <w:rsid w:val="4558F8FD"/>
    <w:rsid w:val="455B7CDB"/>
    <w:rsid w:val="456043D6"/>
    <w:rsid w:val="4563279B"/>
    <w:rsid w:val="456C9225"/>
    <w:rsid w:val="45D567D5"/>
    <w:rsid w:val="45E38870"/>
    <w:rsid w:val="46153626"/>
    <w:rsid w:val="4640FA33"/>
    <w:rsid w:val="4673BE82"/>
    <w:rsid w:val="46BFEEB4"/>
    <w:rsid w:val="46CD57A1"/>
    <w:rsid w:val="47000BEC"/>
    <w:rsid w:val="47023505"/>
    <w:rsid w:val="4709B071"/>
    <w:rsid w:val="470A8A4F"/>
    <w:rsid w:val="47376C13"/>
    <w:rsid w:val="473A02E3"/>
    <w:rsid w:val="4759F635"/>
    <w:rsid w:val="4760C6AD"/>
    <w:rsid w:val="47D15397"/>
    <w:rsid w:val="47DCCA94"/>
    <w:rsid w:val="47E82EB4"/>
    <w:rsid w:val="48078476"/>
    <w:rsid w:val="480BE370"/>
    <w:rsid w:val="4829C08D"/>
    <w:rsid w:val="4873083E"/>
    <w:rsid w:val="4876032F"/>
    <w:rsid w:val="488BB698"/>
    <w:rsid w:val="48931D9D"/>
    <w:rsid w:val="48D5D431"/>
    <w:rsid w:val="48EC1FD4"/>
    <w:rsid w:val="49545368"/>
    <w:rsid w:val="495A3DFA"/>
    <w:rsid w:val="495E0F2F"/>
    <w:rsid w:val="496D13F2"/>
    <w:rsid w:val="499C4CB6"/>
    <w:rsid w:val="49B20DF1"/>
    <w:rsid w:val="4A2FED87"/>
    <w:rsid w:val="4A58C2BD"/>
    <w:rsid w:val="4A621109"/>
    <w:rsid w:val="4A6905FA"/>
    <w:rsid w:val="4A970071"/>
    <w:rsid w:val="4A9F996B"/>
    <w:rsid w:val="4AC365F2"/>
    <w:rsid w:val="4AE8B7FA"/>
    <w:rsid w:val="4AFAB8B9"/>
    <w:rsid w:val="4B068C0E"/>
    <w:rsid w:val="4B35418F"/>
    <w:rsid w:val="4B36499D"/>
    <w:rsid w:val="4B3A03CF"/>
    <w:rsid w:val="4B53FA0D"/>
    <w:rsid w:val="4B57A4FC"/>
    <w:rsid w:val="4B75BB89"/>
    <w:rsid w:val="4B7B8544"/>
    <w:rsid w:val="4BC143D3"/>
    <w:rsid w:val="4BCABE5F"/>
    <w:rsid w:val="4C0245F7"/>
    <w:rsid w:val="4C0890F0"/>
    <w:rsid w:val="4C8BF42A"/>
    <w:rsid w:val="4CD265D3"/>
    <w:rsid w:val="4D62ABEA"/>
    <w:rsid w:val="4D7E25F5"/>
    <w:rsid w:val="4DC41F97"/>
    <w:rsid w:val="4DC64AA6"/>
    <w:rsid w:val="4DD682CA"/>
    <w:rsid w:val="4DEAE2D8"/>
    <w:rsid w:val="4DFBFF6C"/>
    <w:rsid w:val="4E1C7EE0"/>
    <w:rsid w:val="4E27C48B"/>
    <w:rsid w:val="4E35016D"/>
    <w:rsid w:val="4E467EE8"/>
    <w:rsid w:val="4E4B772B"/>
    <w:rsid w:val="4E845848"/>
    <w:rsid w:val="4E9498AB"/>
    <w:rsid w:val="4E95941A"/>
    <w:rsid w:val="4E98F3AD"/>
    <w:rsid w:val="4EBD9D72"/>
    <w:rsid w:val="4EC70B1E"/>
    <w:rsid w:val="4ED92993"/>
    <w:rsid w:val="4F025F21"/>
    <w:rsid w:val="4F0B0B71"/>
    <w:rsid w:val="4F19302F"/>
    <w:rsid w:val="4F25EB92"/>
    <w:rsid w:val="4F283CD0"/>
    <w:rsid w:val="4F30693E"/>
    <w:rsid w:val="4F59C8DA"/>
    <w:rsid w:val="4F6225EE"/>
    <w:rsid w:val="4F71920C"/>
    <w:rsid w:val="4FAE1378"/>
    <w:rsid w:val="4FB6B2A2"/>
    <w:rsid w:val="4FF9B153"/>
    <w:rsid w:val="500F253E"/>
    <w:rsid w:val="50218A6A"/>
    <w:rsid w:val="50305B3F"/>
    <w:rsid w:val="5039E6E7"/>
    <w:rsid w:val="504FEB89"/>
    <w:rsid w:val="5079A4ED"/>
    <w:rsid w:val="50BF3357"/>
    <w:rsid w:val="50F6D941"/>
    <w:rsid w:val="510BA9A5"/>
    <w:rsid w:val="51123E36"/>
    <w:rsid w:val="51196886"/>
    <w:rsid w:val="5120914C"/>
    <w:rsid w:val="5129840D"/>
    <w:rsid w:val="51AD1E87"/>
    <w:rsid w:val="51D3C0A1"/>
    <w:rsid w:val="520ECB38"/>
    <w:rsid w:val="52299DDA"/>
    <w:rsid w:val="5239BE15"/>
    <w:rsid w:val="523A8DA0"/>
    <w:rsid w:val="523B0316"/>
    <w:rsid w:val="5243B970"/>
    <w:rsid w:val="52729292"/>
    <w:rsid w:val="52792A33"/>
    <w:rsid w:val="5291054C"/>
    <w:rsid w:val="529880B8"/>
    <w:rsid w:val="52A9F7BB"/>
    <w:rsid w:val="52B4B880"/>
    <w:rsid w:val="52C2D685"/>
    <w:rsid w:val="52DEB6BC"/>
    <w:rsid w:val="5325D550"/>
    <w:rsid w:val="53329136"/>
    <w:rsid w:val="5359CBED"/>
    <w:rsid w:val="535AFC2C"/>
    <w:rsid w:val="53621745"/>
    <w:rsid w:val="5367DD78"/>
    <w:rsid w:val="53787E53"/>
    <w:rsid w:val="5383B79B"/>
    <w:rsid w:val="5392DF86"/>
    <w:rsid w:val="53BC747C"/>
    <w:rsid w:val="53CDE2BE"/>
    <w:rsid w:val="53D68781"/>
    <w:rsid w:val="53E9C498"/>
    <w:rsid w:val="53F90A65"/>
    <w:rsid w:val="53F9D7C7"/>
    <w:rsid w:val="5414EFC0"/>
    <w:rsid w:val="543A732C"/>
    <w:rsid w:val="545E5FCB"/>
    <w:rsid w:val="5474FE0B"/>
    <w:rsid w:val="547BF147"/>
    <w:rsid w:val="548EBA49"/>
    <w:rsid w:val="54924C29"/>
    <w:rsid w:val="54A3E10D"/>
    <w:rsid w:val="54B56173"/>
    <w:rsid w:val="54D1241E"/>
    <w:rsid w:val="54D903E7"/>
    <w:rsid w:val="54EC85A4"/>
    <w:rsid w:val="55027DD7"/>
    <w:rsid w:val="5513201C"/>
    <w:rsid w:val="55318C86"/>
    <w:rsid w:val="5538D3C2"/>
    <w:rsid w:val="554562E8"/>
    <w:rsid w:val="5582E47F"/>
    <w:rsid w:val="55CC87E4"/>
    <w:rsid w:val="55F8C451"/>
    <w:rsid w:val="55FC80E7"/>
    <w:rsid w:val="56115F26"/>
    <w:rsid w:val="5614867E"/>
    <w:rsid w:val="56278AAC"/>
    <w:rsid w:val="5647FAB4"/>
    <w:rsid w:val="565B9A69"/>
    <w:rsid w:val="566B0A92"/>
    <w:rsid w:val="56852922"/>
    <w:rsid w:val="568F6F2C"/>
    <w:rsid w:val="56AA1BC3"/>
    <w:rsid w:val="56E30D9D"/>
    <w:rsid w:val="56EEEFB0"/>
    <w:rsid w:val="56F12472"/>
    <w:rsid w:val="56F50939"/>
    <w:rsid w:val="57342515"/>
    <w:rsid w:val="57368D53"/>
    <w:rsid w:val="5760FBB6"/>
    <w:rsid w:val="576AC243"/>
    <w:rsid w:val="576E9978"/>
    <w:rsid w:val="577213EE"/>
    <w:rsid w:val="57FE2540"/>
    <w:rsid w:val="5829CEC6"/>
    <w:rsid w:val="583D11DC"/>
    <w:rsid w:val="5857D369"/>
    <w:rsid w:val="587A7827"/>
    <w:rsid w:val="589E1D7A"/>
    <w:rsid w:val="58AB7BF7"/>
    <w:rsid w:val="58C7A269"/>
    <w:rsid w:val="58E75D2C"/>
    <w:rsid w:val="592B35C2"/>
    <w:rsid w:val="59342E61"/>
    <w:rsid w:val="593893B7"/>
    <w:rsid w:val="5952F863"/>
    <w:rsid w:val="59647831"/>
    <w:rsid w:val="59B56DD2"/>
    <w:rsid w:val="59B62194"/>
    <w:rsid w:val="59D0E270"/>
    <w:rsid w:val="59E4EFA6"/>
    <w:rsid w:val="59EF7AE4"/>
    <w:rsid w:val="59F0B1CE"/>
    <w:rsid w:val="59F1F5A5"/>
    <w:rsid w:val="59FAC707"/>
    <w:rsid w:val="5A035B40"/>
    <w:rsid w:val="5A0ED49B"/>
    <w:rsid w:val="5A28F379"/>
    <w:rsid w:val="5A44682D"/>
    <w:rsid w:val="5A46C7DC"/>
    <w:rsid w:val="5A564C9F"/>
    <w:rsid w:val="5A700508"/>
    <w:rsid w:val="5A894A33"/>
    <w:rsid w:val="5AE68500"/>
    <w:rsid w:val="5B16EC1E"/>
    <w:rsid w:val="5B287C0B"/>
    <w:rsid w:val="5B89520C"/>
    <w:rsid w:val="5B9D687D"/>
    <w:rsid w:val="5B9D6C79"/>
    <w:rsid w:val="5BB6A2C0"/>
    <w:rsid w:val="5BBC43AE"/>
    <w:rsid w:val="5BBE3815"/>
    <w:rsid w:val="5BD4E91F"/>
    <w:rsid w:val="5BD83458"/>
    <w:rsid w:val="5BD8F4A3"/>
    <w:rsid w:val="5BDAA4D1"/>
    <w:rsid w:val="5BF7E87A"/>
    <w:rsid w:val="5BF9CC79"/>
    <w:rsid w:val="5C052A39"/>
    <w:rsid w:val="5C0C2772"/>
    <w:rsid w:val="5C3A3E87"/>
    <w:rsid w:val="5C58EECB"/>
    <w:rsid w:val="5CB59175"/>
    <w:rsid w:val="5CB5C0CF"/>
    <w:rsid w:val="5CCCB796"/>
    <w:rsid w:val="5CDAF38C"/>
    <w:rsid w:val="5CDBCAC8"/>
    <w:rsid w:val="5D07C003"/>
    <w:rsid w:val="5D137DF0"/>
    <w:rsid w:val="5D4CDF67"/>
    <w:rsid w:val="5D726B89"/>
    <w:rsid w:val="5D74C504"/>
    <w:rsid w:val="5D7E4138"/>
    <w:rsid w:val="5D7E64B9"/>
    <w:rsid w:val="5DB5C9E2"/>
    <w:rsid w:val="5DF7930F"/>
    <w:rsid w:val="5DFA987C"/>
    <w:rsid w:val="5E194A07"/>
    <w:rsid w:val="5E1F70F8"/>
    <w:rsid w:val="5E2866E1"/>
    <w:rsid w:val="5E3DDE9A"/>
    <w:rsid w:val="5E606D8B"/>
    <w:rsid w:val="5E868CF9"/>
    <w:rsid w:val="5E949D07"/>
    <w:rsid w:val="5EBF549F"/>
    <w:rsid w:val="5ECFD0C0"/>
    <w:rsid w:val="5EF53373"/>
    <w:rsid w:val="5EFC723C"/>
    <w:rsid w:val="5F001B1E"/>
    <w:rsid w:val="5F0BC67F"/>
    <w:rsid w:val="5F24381A"/>
    <w:rsid w:val="5F4B089D"/>
    <w:rsid w:val="5F4CE575"/>
    <w:rsid w:val="5F6E0EF9"/>
    <w:rsid w:val="5F7AA43C"/>
    <w:rsid w:val="5F928C34"/>
    <w:rsid w:val="5FA745A7"/>
    <w:rsid w:val="5FB01612"/>
    <w:rsid w:val="5FD9F88E"/>
    <w:rsid w:val="60116278"/>
    <w:rsid w:val="601CD39B"/>
    <w:rsid w:val="60704624"/>
    <w:rsid w:val="609BEB7F"/>
    <w:rsid w:val="60B4534C"/>
    <w:rsid w:val="60BD1D5A"/>
    <w:rsid w:val="60CC0495"/>
    <w:rsid w:val="60CC55BC"/>
    <w:rsid w:val="60DB075B"/>
    <w:rsid w:val="60E882B3"/>
    <w:rsid w:val="60F241C7"/>
    <w:rsid w:val="6143D9D3"/>
    <w:rsid w:val="61758B86"/>
    <w:rsid w:val="618C9C30"/>
    <w:rsid w:val="61A2EEAA"/>
    <w:rsid w:val="61B00BCD"/>
    <w:rsid w:val="61CAFFFF"/>
    <w:rsid w:val="61CC5DCC"/>
    <w:rsid w:val="61D164DA"/>
    <w:rsid w:val="61E37494"/>
    <w:rsid w:val="61EAB13F"/>
    <w:rsid w:val="62070A50"/>
    <w:rsid w:val="62257C17"/>
    <w:rsid w:val="624C6F29"/>
    <w:rsid w:val="625D0BD0"/>
    <w:rsid w:val="625EF7E4"/>
    <w:rsid w:val="6262F585"/>
    <w:rsid w:val="6264F85B"/>
    <w:rsid w:val="626A1637"/>
    <w:rsid w:val="62703291"/>
    <w:rsid w:val="62819086"/>
    <w:rsid w:val="6283E234"/>
    <w:rsid w:val="62EEA95A"/>
    <w:rsid w:val="62FBA8EB"/>
    <w:rsid w:val="62FC346F"/>
    <w:rsid w:val="633AC470"/>
    <w:rsid w:val="633B9BB0"/>
    <w:rsid w:val="636D7563"/>
    <w:rsid w:val="63AA02A5"/>
    <w:rsid w:val="63AC00BC"/>
    <w:rsid w:val="63B796F5"/>
    <w:rsid w:val="63CFBD2D"/>
    <w:rsid w:val="63D301EC"/>
    <w:rsid w:val="63DACA74"/>
    <w:rsid w:val="63E86E01"/>
    <w:rsid w:val="63EAD20D"/>
    <w:rsid w:val="63EB8145"/>
    <w:rsid w:val="6410BB43"/>
    <w:rsid w:val="6412AC5F"/>
    <w:rsid w:val="6439C8F3"/>
    <w:rsid w:val="647411C2"/>
    <w:rsid w:val="6485B0DA"/>
    <w:rsid w:val="648C0F23"/>
    <w:rsid w:val="64BCDBC7"/>
    <w:rsid w:val="64CEEA73"/>
    <w:rsid w:val="64D55092"/>
    <w:rsid w:val="64FACCE8"/>
    <w:rsid w:val="659C6A6E"/>
    <w:rsid w:val="65A0E18D"/>
    <w:rsid w:val="65A8E25A"/>
    <w:rsid w:val="65C7089F"/>
    <w:rsid w:val="65FF5469"/>
    <w:rsid w:val="6604A195"/>
    <w:rsid w:val="662E2990"/>
    <w:rsid w:val="667084CD"/>
    <w:rsid w:val="668312B0"/>
    <w:rsid w:val="66A39636"/>
    <w:rsid w:val="66C43243"/>
    <w:rsid w:val="66E45764"/>
    <w:rsid w:val="66F38CDA"/>
    <w:rsid w:val="670E081E"/>
    <w:rsid w:val="671BA74A"/>
    <w:rsid w:val="674D7427"/>
    <w:rsid w:val="678A7667"/>
    <w:rsid w:val="679D0EFD"/>
    <w:rsid w:val="679E4D5F"/>
    <w:rsid w:val="67B94275"/>
    <w:rsid w:val="67CF4927"/>
    <w:rsid w:val="67EE6D3A"/>
    <w:rsid w:val="67FF172A"/>
    <w:rsid w:val="680754DF"/>
    <w:rsid w:val="682A35AD"/>
    <w:rsid w:val="682FA9FA"/>
    <w:rsid w:val="683A715B"/>
    <w:rsid w:val="68464C58"/>
    <w:rsid w:val="685E5819"/>
    <w:rsid w:val="68A3404E"/>
    <w:rsid w:val="68AE263F"/>
    <w:rsid w:val="68B41F86"/>
    <w:rsid w:val="68C98D47"/>
    <w:rsid w:val="68E64C9F"/>
    <w:rsid w:val="68FAABDD"/>
    <w:rsid w:val="6927BF6A"/>
    <w:rsid w:val="6933754B"/>
    <w:rsid w:val="694CFCD8"/>
    <w:rsid w:val="69641A7A"/>
    <w:rsid w:val="69924E68"/>
    <w:rsid w:val="699C3A57"/>
    <w:rsid w:val="69A1CAED"/>
    <w:rsid w:val="69B2AD87"/>
    <w:rsid w:val="69CA3DDD"/>
    <w:rsid w:val="69CBF077"/>
    <w:rsid w:val="6A118902"/>
    <w:rsid w:val="6A16B808"/>
    <w:rsid w:val="6A190494"/>
    <w:rsid w:val="6A3CDC00"/>
    <w:rsid w:val="6A45B41E"/>
    <w:rsid w:val="6A460FD5"/>
    <w:rsid w:val="6A5B3592"/>
    <w:rsid w:val="6A765646"/>
    <w:rsid w:val="6A7B933E"/>
    <w:rsid w:val="6A818A31"/>
    <w:rsid w:val="6A8A618D"/>
    <w:rsid w:val="6A9B37BD"/>
    <w:rsid w:val="6AE16834"/>
    <w:rsid w:val="6AFFEADB"/>
    <w:rsid w:val="6B034300"/>
    <w:rsid w:val="6B196C20"/>
    <w:rsid w:val="6B1D8F99"/>
    <w:rsid w:val="6B27E4B6"/>
    <w:rsid w:val="6B31E495"/>
    <w:rsid w:val="6B350949"/>
    <w:rsid w:val="6B418791"/>
    <w:rsid w:val="6B6AE9DC"/>
    <w:rsid w:val="6B897D9C"/>
    <w:rsid w:val="6B8DB967"/>
    <w:rsid w:val="6B9D2AFF"/>
    <w:rsid w:val="6BB95969"/>
    <w:rsid w:val="6BD0C00C"/>
    <w:rsid w:val="6BFBA4DE"/>
    <w:rsid w:val="6C463488"/>
    <w:rsid w:val="6C636B9D"/>
    <w:rsid w:val="6C63DD67"/>
    <w:rsid w:val="6C64525D"/>
    <w:rsid w:val="6C78AAA7"/>
    <w:rsid w:val="6C91E166"/>
    <w:rsid w:val="6CA9C618"/>
    <w:rsid w:val="6CC0691C"/>
    <w:rsid w:val="6CCF04C3"/>
    <w:rsid w:val="6CF8E592"/>
    <w:rsid w:val="6CFDC16A"/>
    <w:rsid w:val="6CFF27D8"/>
    <w:rsid w:val="6D241713"/>
    <w:rsid w:val="6D2E3541"/>
    <w:rsid w:val="6D52D872"/>
    <w:rsid w:val="6D5F9DCE"/>
    <w:rsid w:val="6D83327E"/>
    <w:rsid w:val="6DA5640A"/>
    <w:rsid w:val="6DB4B664"/>
    <w:rsid w:val="6DB690D3"/>
    <w:rsid w:val="6DBD14B9"/>
    <w:rsid w:val="6DD4CADF"/>
    <w:rsid w:val="6DE08F8E"/>
    <w:rsid w:val="6E104EA5"/>
    <w:rsid w:val="6E177412"/>
    <w:rsid w:val="6E310F6A"/>
    <w:rsid w:val="6E76824B"/>
    <w:rsid w:val="6E967EC0"/>
    <w:rsid w:val="6EA9B46F"/>
    <w:rsid w:val="6EC29C0D"/>
    <w:rsid w:val="6EE1D392"/>
    <w:rsid w:val="6F155C03"/>
    <w:rsid w:val="6F1CC7CF"/>
    <w:rsid w:val="6F3535E4"/>
    <w:rsid w:val="6F3F6872"/>
    <w:rsid w:val="6F45997F"/>
    <w:rsid w:val="6F68071D"/>
    <w:rsid w:val="6F6C2FD9"/>
    <w:rsid w:val="6F7C5FEF"/>
    <w:rsid w:val="6F7FBD7D"/>
    <w:rsid w:val="6F98A4E2"/>
    <w:rsid w:val="6F9EE640"/>
    <w:rsid w:val="6FD09C93"/>
    <w:rsid w:val="6FE24892"/>
    <w:rsid w:val="70336786"/>
    <w:rsid w:val="7045F13D"/>
    <w:rsid w:val="7048CEA1"/>
    <w:rsid w:val="70491DB7"/>
    <w:rsid w:val="705CEEBF"/>
    <w:rsid w:val="70614F28"/>
    <w:rsid w:val="708751F3"/>
    <w:rsid w:val="70B4F5A2"/>
    <w:rsid w:val="71183050"/>
    <w:rsid w:val="711F18AF"/>
    <w:rsid w:val="712E4DF9"/>
    <w:rsid w:val="714A4776"/>
    <w:rsid w:val="715BBE14"/>
    <w:rsid w:val="7162D85B"/>
    <w:rsid w:val="71B0FDB0"/>
    <w:rsid w:val="71B62787"/>
    <w:rsid w:val="71F6B355"/>
    <w:rsid w:val="71FF4187"/>
    <w:rsid w:val="724848D1"/>
    <w:rsid w:val="7250C603"/>
    <w:rsid w:val="7274FF46"/>
    <w:rsid w:val="72785F40"/>
    <w:rsid w:val="72927C8A"/>
    <w:rsid w:val="72932A1E"/>
    <w:rsid w:val="72AA1879"/>
    <w:rsid w:val="72BA7480"/>
    <w:rsid w:val="72CF3C89"/>
    <w:rsid w:val="72F98DCC"/>
    <w:rsid w:val="73355931"/>
    <w:rsid w:val="73359EC0"/>
    <w:rsid w:val="733DEF5A"/>
    <w:rsid w:val="7347398A"/>
    <w:rsid w:val="734D2EB4"/>
    <w:rsid w:val="7350934B"/>
    <w:rsid w:val="73684B39"/>
    <w:rsid w:val="738262DE"/>
    <w:rsid w:val="739F9574"/>
    <w:rsid w:val="741B7CA3"/>
    <w:rsid w:val="74305C4D"/>
    <w:rsid w:val="746890BC"/>
    <w:rsid w:val="747C904C"/>
    <w:rsid w:val="74A03712"/>
    <w:rsid w:val="74A6CD21"/>
    <w:rsid w:val="74B4D3E1"/>
    <w:rsid w:val="74CC47F7"/>
    <w:rsid w:val="74DB67BB"/>
    <w:rsid w:val="7520B641"/>
    <w:rsid w:val="758F0265"/>
    <w:rsid w:val="759DE839"/>
    <w:rsid w:val="75CA8B73"/>
    <w:rsid w:val="75E8DED9"/>
    <w:rsid w:val="75EBA173"/>
    <w:rsid w:val="76054DC3"/>
    <w:rsid w:val="7669F44F"/>
    <w:rsid w:val="768D3174"/>
    <w:rsid w:val="76B5BF56"/>
    <w:rsid w:val="77011F68"/>
    <w:rsid w:val="77482B0A"/>
    <w:rsid w:val="7765EDAD"/>
    <w:rsid w:val="778EDE6E"/>
    <w:rsid w:val="77915C09"/>
    <w:rsid w:val="77A30331"/>
    <w:rsid w:val="780E17EF"/>
    <w:rsid w:val="78145330"/>
    <w:rsid w:val="78305D67"/>
    <w:rsid w:val="787ACDAC"/>
    <w:rsid w:val="789F979A"/>
    <w:rsid w:val="78BCD876"/>
    <w:rsid w:val="78E3BAB1"/>
    <w:rsid w:val="78EB0233"/>
    <w:rsid w:val="78EEEDC6"/>
    <w:rsid w:val="79123B8A"/>
    <w:rsid w:val="791D5D96"/>
    <w:rsid w:val="79448473"/>
    <w:rsid w:val="7961CCBD"/>
    <w:rsid w:val="796DDDD4"/>
    <w:rsid w:val="796FF114"/>
    <w:rsid w:val="7984F730"/>
    <w:rsid w:val="798A2079"/>
    <w:rsid w:val="79B3CA7A"/>
    <w:rsid w:val="79BFF760"/>
    <w:rsid w:val="79FBAF48"/>
    <w:rsid w:val="7A27E37C"/>
    <w:rsid w:val="7A31663A"/>
    <w:rsid w:val="7A51AB4C"/>
    <w:rsid w:val="7A537E71"/>
    <w:rsid w:val="7A69112D"/>
    <w:rsid w:val="7A92ABAD"/>
    <w:rsid w:val="7AAAA789"/>
    <w:rsid w:val="7ADCB19A"/>
    <w:rsid w:val="7B30BE0B"/>
    <w:rsid w:val="7B56997B"/>
    <w:rsid w:val="7B940ADA"/>
    <w:rsid w:val="7B9B5B62"/>
    <w:rsid w:val="7BD9ACB2"/>
    <w:rsid w:val="7BF9ED36"/>
    <w:rsid w:val="7C37FC46"/>
    <w:rsid w:val="7C48AE68"/>
    <w:rsid w:val="7CBAFC11"/>
    <w:rsid w:val="7CC2BD5A"/>
    <w:rsid w:val="7CE794EC"/>
    <w:rsid w:val="7CE9A6D4"/>
    <w:rsid w:val="7CF4F364"/>
    <w:rsid w:val="7D268637"/>
    <w:rsid w:val="7D371EE6"/>
    <w:rsid w:val="7D57CAB3"/>
    <w:rsid w:val="7D703D18"/>
    <w:rsid w:val="7D89EB49"/>
    <w:rsid w:val="7D8F87B6"/>
    <w:rsid w:val="7D967B12"/>
    <w:rsid w:val="7DE0318C"/>
    <w:rsid w:val="7DED614E"/>
    <w:rsid w:val="7DF30B39"/>
    <w:rsid w:val="7E304E8B"/>
    <w:rsid w:val="7E3AB3B1"/>
    <w:rsid w:val="7E60EF9F"/>
    <w:rsid w:val="7E6B2CE7"/>
    <w:rsid w:val="7E7D4C21"/>
    <w:rsid w:val="7E813271"/>
    <w:rsid w:val="7EAA48C3"/>
    <w:rsid w:val="7EB2E631"/>
    <w:rsid w:val="7EBCB10B"/>
    <w:rsid w:val="7ED70123"/>
    <w:rsid w:val="7EDDCB8C"/>
    <w:rsid w:val="7EE61B66"/>
    <w:rsid w:val="7EF65A66"/>
    <w:rsid w:val="7EF766A0"/>
    <w:rsid w:val="7F0DFAF2"/>
    <w:rsid w:val="7F1A060E"/>
    <w:rsid w:val="7F29C379"/>
    <w:rsid w:val="7F625DA1"/>
    <w:rsid w:val="7F6ADD4A"/>
    <w:rsid w:val="7F6F0F78"/>
    <w:rsid w:val="7FF2F9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A19018"/>
  <w15:docId w15:val="{9628FC65-9C3B-4CF2-BAFC-5B6C65C4B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48B"/>
    <w:pPr>
      <w:spacing w:after="120" w:line="240" w:lineRule="auto"/>
    </w:pPr>
    <w:rPr>
      <w:rFonts w:ascii="Segoe UI" w:hAnsi="Segoe UI"/>
      <w:sz w:val="19"/>
      <w:lang w:val="en-AU"/>
    </w:rPr>
  </w:style>
  <w:style w:type="paragraph" w:styleId="Heading1">
    <w:name w:val="heading 1"/>
    <w:basedOn w:val="Normal"/>
    <w:next w:val="Normal"/>
    <w:link w:val="Heading1Char"/>
    <w:uiPriority w:val="19"/>
    <w:qFormat/>
    <w:rsid w:val="00365464"/>
    <w:pPr>
      <w:keepNext/>
      <w:numPr>
        <w:numId w:val="10"/>
      </w:numPr>
      <w:spacing w:after="240"/>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A73A2D"/>
    <w:pPr>
      <w:keepNext/>
      <w:numPr>
        <w:ilvl w:val="1"/>
        <w:numId w:val="10"/>
      </w:numPr>
      <w:spacing w:before="480" w:after="180"/>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FB048B"/>
    <w:pPr>
      <w:keepNext/>
      <w:spacing w:before="120" w:after="60"/>
      <w:outlineLvl w:val="2"/>
    </w:pPr>
    <w:rPr>
      <w:rFonts w:ascii="Segoe UI Semibold" w:eastAsia="Times New Roman" w:hAnsi="Segoe UI Semibold" w:cs="Times New Roman"/>
      <w:color w:val="00264D"/>
      <w:sz w:val="22"/>
      <w:szCs w:val="19"/>
      <w:lang w:eastAsia="en-AU"/>
    </w:rPr>
  </w:style>
  <w:style w:type="paragraph" w:styleId="Heading4">
    <w:name w:val="heading 4"/>
    <w:basedOn w:val="Normal"/>
    <w:next w:val="Normal"/>
    <w:link w:val="Heading4Char"/>
    <w:uiPriority w:val="1"/>
    <w:qFormat/>
    <w:rsid w:val="00B410E7"/>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857803"/>
    <w:pPr>
      <w:keepNext/>
      <w:numPr>
        <w:ilvl w:val="4"/>
        <w:numId w:val="10"/>
      </w:numPr>
      <w:spacing w:before="240" w:after="60"/>
      <w:outlineLvl w:val="4"/>
    </w:pPr>
    <w:rPr>
      <w:rFonts w:eastAsia="Times New Roman" w:cs="Times New Roman"/>
      <w:b/>
      <w:color w:val="808080" w:themeColor="background1" w:themeShade="80"/>
      <w:sz w:val="20"/>
      <w:szCs w:val="24"/>
      <w:lang w:eastAsia="en-AU"/>
    </w:rPr>
  </w:style>
  <w:style w:type="paragraph" w:styleId="Heading6">
    <w:name w:val="heading 6"/>
    <w:basedOn w:val="Normal"/>
    <w:next w:val="Normal"/>
    <w:link w:val="Heading6Char"/>
    <w:uiPriority w:val="19"/>
    <w:qFormat/>
    <w:rsid w:val="00123B4A"/>
    <w:pPr>
      <w:keepNext/>
      <w:keepLines/>
      <w:numPr>
        <w:ilvl w:val="5"/>
        <w:numId w:val="10"/>
      </w:numPr>
      <w:spacing w:before="200" w:after="60"/>
      <w:outlineLvl w:val="5"/>
    </w:pPr>
    <w:rPr>
      <w:rFonts w:eastAsiaTheme="majorEastAsia" w:cstheme="majorBidi"/>
      <w:b/>
      <w:iCs/>
      <w:sz w:val="20"/>
      <w:szCs w:val="20"/>
      <w:lang w:eastAsia="en-AU"/>
    </w:rPr>
  </w:style>
  <w:style w:type="paragraph" w:styleId="Heading7">
    <w:name w:val="heading 7"/>
    <w:basedOn w:val="Normal"/>
    <w:next w:val="Normal"/>
    <w:link w:val="Heading7Char"/>
    <w:uiPriority w:val="19"/>
    <w:semiHidden/>
    <w:rsid w:val="000137F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0137F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19"/>
    <w:rsid w:val="00365464"/>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8C19F4"/>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FB048B"/>
    <w:rPr>
      <w:rFonts w:ascii="Segoe UI Semibold" w:eastAsia="Times New Roman" w:hAnsi="Segoe UI Semibold" w:cs="Times New Roman"/>
      <w:color w:val="00264D"/>
      <w:szCs w:val="19"/>
      <w:lang w:val="en-AU" w:eastAsia="en-AU"/>
    </w:rPr>
  </w:style>
  <w:style w:type="character" w:customStyle="1" w:styleId="Heading4Char">
    <w:name w:val="Heading 4 Char"/>
    <w:basedOn w:val="DefaultParagraphFont"/>
    <w:link w:val="Heading4"/>
    <w:uiPriority w:val="1"/>
    <w:rsid w:val="008C19F4"/>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8C19F4"/>
    <w:rPr>
      <w:rFonts w:ascii="Segoe UI" w:eastAsia="Times New Roman" w:hAnsi="Segoe UI" w:cs="Times New Roman"/>
      <w:b/>
      <w:color w:val="808080" w:themeColor="background1" w:themeShade="80"/>
      <w:sz w:val="20"/>
      <w:szCs w:val="24"/>
      <w:lang w:val="en-AU" w:eastAsia="en-AU"/>
    </w:rPr>
  </w:style>
  <w:style w:type="character" w:customStyle="1" w:styleId="Heading6Char">
    <w:name w:val="Heading 6 Char"/>
    <w:basedOn w:val="DefaultParagraphFont"/>
    <w:link w:val="Heading6"/>
    <w:uiPriority w:val="19"/>
    <w:rsid w:val="00123B4A"/>
    <w:rPr>
      <w:rFonts w:ascii="Segoe UI" w:eastAsiaTheme="majorEastAsia" w:hAnsi="Segoe UI" w:cstheme="majorBidi"/>
      <w:b/>
      <w:iCs/>
      <w:sz w:val="20"/>
      <w:szCs w:val="20"/>
      <w:lang w:val="en-AU" w:eastAsia="en-AU"/>
    </w:rPr>
  </w:style>
  <w:style w:type="paragraph" w:customStyle="1" w:styleId="Bullet">
    <w:name w:val="Bullet"/>
    <w:basedOn w:val="Normal"/>
    <w:link w:val="BulletChar"/>
    <w:uiPriority w:val="2"/>
    <w:qFormat/>
    <w:rsid w:val="00E20B2B"/>
    <w:pPr>
      <w:numPr>
        <w:numId w:val="2"/>
      </w:numPr>
      <w:suppressAutoHyphens/>
    </w:pPr>
    <w:rPr>
      <w:rFonts w:eastAsia="Times New Roman" w:cs="Times New Roman"/>
      <w:szCs w:val="19"/>
      <w:lang w:eastAsia="en-AU"/>
    </w:rPr>
  </w:style>
  <w:style w:type="paragraph" w:customStyle="1" w:styleId="TableNheader">
    <w:name w:val="Table N header"/>
    <w:basedOn w:val="Heading5"/>
    <w:uiPriority w:val="2"/>
    <w:qFormat/>
    <w:rsid w:val="00294C7F"/>
    <w:pPr>
      <w:numPr>
        <w:ilvl w:val="0"/>
        <w:numId w:val="0"/>
      </w:numPr>
      <w:spacing w:before="40" w:after="40"/>
    </w:pPr>
    <w:rPr>
      <w:rFonts w:ascii="Segoe UI Semibold" w:hAnsi="Segoe UI Semibold"/>
      <w:b w:val="0"/>
      <w:color w:val="00264D" w:themeColor="background2"/>
      <w:sz w:val="18"/>
    </w:rPr>
  </w:style>
  <w:style w:type="paragraph" w:customStyle="1" w:styleId="TableNText">
    <w:name w:val="Table N Text"/>
    <w:basedOn w:val="TableNheader"/>
    <w:link w:val="TableNTextChar"/>
    <w:uiPriority w:val="2"/>
    <w:qFormat/>
    <w:rsid w:val="00294C7F"/>
    <w:rPr>
      <w:rFonts w:ascii="Segoe UI" w:hAnsi="Segoe UI"/>
      <w:color w:val="auto"/>
      <w:sz w:val="17"/>
    </w:rPr>
  </w:style>
  <w:style w:type="table" w:customStyle="1" w:styleId="NousTableStyletopandsideheading">
    <w:name w:val="Nous Table Style top and side heading"/>
    <w:basedOn w:val="TableNormal"/>
    <w:uiPriority w:val="99"/>
    <w:rsid w:val="00E234F6"/>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Print" w:hAnsi="Segoe Print"/>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egoe Print" w:hAnsi="Segoe Print"/>
        <w:b/>
        <w:color w:val="00264D" w:themeColor="background2"/>
        <w:sz w:val="18"/>
      </w:rPr>
      <w:tblPr/>
      <w:tcPr>
        <w:tcBorders>
          <w:left w:val="nil"/>
        </w:tcBorders>
        <w:shd w:val="clear" w:color="auto" w:fill="E6E6E1" w:themeFill="accent5"/>
      </w:tcPr>
    </w:tblStylePr>
  </w:style>
  <w:style w:type="paragraph" w:styleId="Footer">
    <w:name w:val="footer"/>
    <w:aliases w:val="Foot note"/>
    <w:basedOn w:val="FootnoteText"/>
    <w:link w:val="FooterChar"/>
    <w:uiPriority w:val="99"/>
    <w:unhideWhenUsed/>
    <w:rsid w:val="00A80964"/>
    <w:pPr>
      <w:spacing w:line="259" w:lineRule="auto"/>
    </w:pPr>
    <w:rPr>
      <w:rFonts w:cstheme="minorHAnsi"/>
      <w:szCs w:val="14"/>
    </w:rPr>
  </w:style>
  <w:style w:type="character" w:customStyle="1" w:styleId="FooterChar">
    <w:name w:val="Footer Char"/>
    <w:aliases w:val="Foot note Char"/>
    <w:basedOn w:val="DefaultParagraphFont"/>
    <w:link w:val="Footer"/>
    <w:uiPriority w:val="99"/>
    <w:rsid w:val="00865A27"/>
    <w:rPr>
      <w:rFonts w:eastAsia="Times New Roman" w:cstheme="minorHAnsi"/>
      <w:sz w:val="14"/>
      <w:szCs w:val="14"/>
      <w:lang w:val="en-AU"/>
    </w:rPr>
  </w:style>
  <w:style w:type="paragraph" w:styleId="Caption">
    <w:name w:val="caption"/>
    <w:basedOn w:val="Normal"/>
    <w:next w:val="Normal"/>
    <w:link w:val="CaptionChar"/>
    <w:uiPriority w:val="35"/>
    <w:qFormat/>
    <w:rsid w:val="00865A27"/>
    <w:pPr>
      <w:keepNext/>
      <w:spacing w:before="360" w:after="165" w:line="259" w:lineRule="auto"/>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73030E"/>
    <w:pPr>
      <w:numPr>
        <w:numId w:val="3"/>
      </w:numPr>
      <w:spacing w:before="40" w:after="40"/>
    </w:pPr>
    <w:rPr>
      <w:sz w:val="17"/>
    </w:rPr>
  </w:style>
  <w:style w:type="paragraph" w:customStyle="1" w:styleId="TableNListnumbered">
    <w:name w:val="Table N List (numbered)"/>
    <w:basedOn w:val="TableNBullet"/>
    <w:uiPriority w:val="2"/>
    <w:qFormat/>
    <w:rsid w:val="00865A27"/>
    <w:pPr>
      <w:numPr>
        <w:numId w:val="5"/>
      </w:numPr>
    </w:pPr>
  </w:style>
  <w:style w:type="paragraph" w:customStyle="1" w:styleId="xAppendixLevel1">
    <w:name w:val="xAppendix Level 1"/>
    <w:basedOn w:val="Heading1"/>
    <w:next w:val="Normal"/>
    <w:uiPriority w:val="98"/>
    <w:qFormat/>
    <w:rsid w:val="00A07FCE"/>
    <w:pPr>
      <w:pageBreakBefore/>
      <w:numPr>
        <w:numId w:val="1"/>
      </w:numPr>
    </w:pPr>
    <w:rPr>
      <w:rFonts w:cs="Segoe UI"/>
      <w:bCs/>
      <w:color w:val="00264D" w:themeColor="background2"/>
      <w:szCs w:val="36"/>
    </w:rPr>
  </w:style>
  <w:style w:type="paragraph" w:customStyle="1" w:styleId="xAppendixLevel2">
    <w:name w:val="xAppendix Level 2"/>
    <w:basedOn w:val="Heading2"/>
    <w:next w:val="Normal"/>
    <w:uiPriority w:val="98"/>
    <w:qFormat/>
    <w:rsid w:val="002B5822"/>
    <w:pPr>
      <w:numPr>
        <w:numId w:val="1"/>
      </w:numPr>
    </w:pPr>
    <w:rPr>
      <w:bCs/>
      <w:sz w:val="34"/>
    </w:rPr>
  </w:style>
  <w:style w:type="paragraph" w:customStyle="1" w:styleId="xAppendixLevel3">
    <w:name w:val="xAppendix Level 3"/>
    <w:basedOn w:val="Heading3"/>
    <w:next w:val="Normal"/>
    <w:uiPriority w:val="98"/>
    <w:qFormat/>
    <w:rsid w:val="002B5822"/>
    <w:pPr>
      <w:numPr>
        <w:numId w:val="1"/>
      </w:numPr>
    </w:pPr>
    <w:rPr>
      <w:bCs/>
    </w:rPr>
  </w:style>
  <w:style w:type="paragraph" w:customStyle="1" w:styleId="Listnumbered">
    <w:name w:val="List (numbered)"/>
    <w:basedOn w:val="Bullet"/>
    <w:link w:val="ListnumberedChar"/>
    <w:uiPriority w:val="1"/>
    <w:qFormat/>
    <w:rsid w:val="00A348DB"/>
    <w:pPr>
      <w:numPr>
        <w:numId w:val="11"/>
      </w:numPr>
    </w:pPr>
  </w:style>
  <w:style w:type="paragraph" w:customStyle="1" w:styleId="Source">
    <w:name w:val="Source"/>
    <w:basedOn w:val="Normal"/>
    <w:next w:val="Normal"/>
    <w:link w:val="SourceChar"/>
    <w:uiPriority w:val="39"/>
    <w:rsid w:val="0020000D"/>
    <w:pPr>
      <w:spacing w:before="120" w:after="240"/>
      <w:jc w:val="center"/>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20000D"/>
    <w:rPr>
      <w:rFonts w:ascii="Segoe UI" w:eastAsia="Times New Roman" w:hAnsi="Segoe UI" w:cs="Times New Roman"/>
      <w:i/>
      <w:sz w:val="17"/>
      <w:szCs w:val="19"/>
      <w:lang w:val="en-AU" w:eastAsia="en-AU"/>
    </w:rPr>
  </w:style>
  <w:style w:type="paragraph" w:customStyle="1" w:styleId="TableExpBullet">
    <w:name w:val="Table Exp Bullet"/>
    <w:basedOn w:val="TableNBullet"/>
    <w:uiPriority w:val="3"/>
    <w:qFormat/>
    <w:rsid w:val="00865A27"/>
  </w:style>
  <w:style w:type="paragraph" w:customStyle="1" w:styleId="Tableexpheader">
    <w:name w:val="Table exp header"/>
    <w:basedOn w:val="TableNheader"/>
    <w:uiPriority w:val="3"/>
    <w:qFormat/>
    <w:rsid w:val="0029320C"/>
    <w:rPr>
      <w:sz w:val="17"/>
    </w:rPr>
  </w:style>
  <w:style w:type="paragraph" w:customStyle="1" w:styleId="TableexpListnumbered">
    <w:name w:val="Table exp List (numbered)"/>
    <w:basedOn w:val="TableNListnumbered"/>
    <w:uiPriority w:val="3"/>
    <w:qFormat/>
    <w:rsid w:val="0029320C"/>
    <w:rPr>
      <w:sz w:val="16"/>
    </w:rPr>
  </w:style>
  <w:style w:type="paragraph" w:customStyle="1" w:styleId="TableExpText">
    <w:name w:val="Table Exp Text"/>
    <w:basedOn w:val="TableNText"/>
    <w:uiPriority w:val="3"/>
    <w:qFormat/>
    <w:rsid w:val="0029320C"/>
    <w:rPr>
      <w:sz w:val="16"/>
    </w:rPr>
  </w:style>
  <w:style w:type="character" w:customStyle="1" w:styleId="Heading7Char">
    <w:name w:val="Heading 7 Char"/>
    <w:basedOn w:val="DefaultParagraphFont"/>
    <w:link w:val="Heading7"/>
    <w:uiPriority w:val="19"/>
    <w:semiHidden/>
    <w:rsid w:val="000137FA"/>
    <w:rPr>
      <w:rFonts w:ascii="Segoe UI" w:eastAsiaTheme="majorEastAsia" w:hAnsi="Segoe UI" w:cstheme="majorBidi"/>
      <w:i/>
      <w:iCs/>
      <w:color w:val="404040" w:themeColor="text1" w:themeTint="BF"/>
      <w:sz w:val="19"/>
    </w:rPr>
  </w:style>
  <w:style w:type="paragraph" w:customStyle="1" w:styleId="TableText">
    <w:name w:val="Table Text"/>
    <w:link w:val="TableTextChar"/>
    <w:uiPriority w:val="2"/>
    <w:rsid w:val="00653916"/>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eastAsia="en-AU"/>
    </w:rPr>
  </w:style>
  <w:style w:type="character" w:customStyle="1" w:styleId="TableTextChar">
    <w:name w:val="Table Text Char"/>
    <w:basedOn w:val="DefaultParagraphFont"/>
    <w:link w:val="TableText"/>
    <w:uiPriority w:val="2"/>
    <w:rsid w:val="00865A27"/>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6E6E1" w:themeFill="accent5"/>
    </w:tcPr>
  </w:style>
  <w:style w:type="paragraph" w:styleId="BalloonText">
    <w:name w:val="Balloon Text"/>
    <w:basedOn w:val="Normal"/>
    <w:link w:val="BalloonTextChar"/>
    <w:uiPriority w:val="99"/>
    <w:semiHidden/>
    <w:unhideWhenUsed/>
    <w:rsid w:val="00037C0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C03"/>
    <w:rPr>
      <w:rFonts w:ascii="Tahoma" w:hAnsi="Tahoma" w:cs="Tahoma"/>
      <w:sz w:val="16"/>
      <w:szCs w:val="16"/>
    </w:rPr>
  </w:style>
  <w:style w:type="paragraph" w:customStyle="1" w:styleId="URL-groupcomau">
    <w:name w:val="URL - group.com.au"/>
    <w:basedOn w:val="Normal"/>
    <w:link w:val="URL-groupcomauChar"/>
    <w:uiPriority w:val="89"/>
    <w:semiHidden/>
    <w:qFormat/>
    <w:rsid w:val="00FD4AB1"/>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FD4AB1"/>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FD4AB1"/>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FD4AB1"/>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rsid w:val="00CF7BA0"/>
    <w:pPr>
      <w:spacing w:before="360" w:after="600"/>
    </w:pPr>
    <w:rPr>
      <w:rFonts w:eastAsia="Times New Roman" w:cs="Segoe UI"/>
      <w:b/>
      <w:color w:val="00264D"/>
      <w:sz w:val="36"/>
      <w:szCs w:val="36"/>
      <w:lang w:eastAsia="en-AU"/>
    </w:rPr>
  </w:style>
  <w:style w:type="character" w:customStyle="1" w:styleId="BulletChar">
    <w:name w:val="Bullet Char"/>
    <w:basedOn w:val="DefaultParagraphFont"/>
    <w:link w:val="Bullet"/>
    <w:uiPriority w:val="2"/>
    <w:qFormat/>
    <w:rsid w:val="00E20B2B"/>
    <w:rPr>
      <w:rFonts w:ascii="Segoe UI" w:eastAsia="Times New Roman" w:hAnsi="Segoe UI" w:cs="Times New Roman"/>
      <w:sz w:val="19"/>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8A4363"/>
    <w:pPr>
      <w:spacing w:after="100"/>
      <w:ind w:left="190"/>
    </w:pPr>
  </w:style>
  <w:style w:type="paragraph" w:styleId="TOC1">
    <w:name w:val="toc 1"/>
    <w:basedOn w:val="Normal"/>
    <w:next w:val="Normal"/>
    <w:autoRedefine/>
    <w:uiPriority w:val="39"/>
    <w:unhideWhenUsed/>
    <w:rsid w:val="00541F87"/>
    <w:pPr>
      <w:tabs>
        <w:tab w:val="left" w:pos="380"/>
        <w:tab w:val="right" w:leader="dot" w:pos="8920"/>
      </w:tabs>
      <w:spacing w:after="100"/>
    </w:pPr>
  </w:style>
  <w:style w:type="character" w:styleId="Hyperlink">
    <w:name w:val="Hyperlink"/>
    <w:basedOn w:val="DefaultParagraphFont"/>
    <w:uiPriority w:val="99"/>
    <w:unhideWhenUsed/>
    <w:rsid w:val="008A4363"/>
    <w:rPr>
      <w:color w:val="0048C7" w:themeColor="hyperlink"/>
      <w:u w:val="single"/>
    </w:rPr>
  </w:style>
  <w:style w:type="table" w:styleId="TableGrid">
    <w:name w:val="Table Grid"/>
    <w:aliases w:val="Table"/>
    <w:basedOn w:val="TableNormal"/>
    <w:uiPriority w:val="3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071DFF"/>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73030E"/>
    <w:rPr>
      <w:rFonts w:ascii="Segoe UI" w:eastAsia="Times New Roman" w:hAnsi="Segoe UI" w:cs="Times New Roman"/>
      <w:sz w:val="17"/>
      <w:szCs w:val="19"/>
      <w:lang w:val="en-AU" w:eastAsia="en-AU"/>
    </w:rPr>
  </w:style>
  <w:style w:type="table" w:customStyle="1" w:styleId="NOUSSideHeader">
    <w:name w:val="NOUS Side Header"/>
    <w:basedOn w:val="TableNormal"/>
    <w:uiPriority w:val="99"/>
    <w:rsid w:val="008C272E"/>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Segoe Print" w:hAnsi="Segoe Print"/>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Segoe Print" w:hAnsi="Segoe Print"/>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0137FA"/>
    <w:rPr>
      <w:rFonts w:ascii="Segoe UI" w:eastAsiaTheme="majorEastAsia" w:hAnsi="Segoe UI" w:cstheme="majorBidi"/>
      <w:color w:val="404040" w:themeColor="text1" w:themeTint="BF"/>
      <w:sz w:val="20"/>
      <w:szCs w:val="20"/>
    </w:rPr>
  </w:style>
  <w:style w:type="paragraph" w:customStyle="1" w:styleId="Covertitle">
    <w:name w:val="Cover title"/>
    <w:basedOn w:val="Normal"/>
    <w:link w:val="CovertitleChar"/>
    <w:uiPriority w:val="99"/>
    <w:semiHidden/>
    <w:rsid w:val="00865A27"/>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865A27"/>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65A27"/>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865A27"/>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65A27"/>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865A27"/>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65A27"/>
    <w:rPr>
      <w:color w:val="808080"/>
    </w:rPr>
  </w:style>
  <w:style w:type="paragraph" w:customStyle="1" w:styleId="BioHeading">
    <w:name w:val="Bio Heading"/>
    <w:basedOn w:val="Normal"/>
    <w:uiPriority w:val="97"/>
    <w:qFormat/>
    <w:rsid w:val="00865A27"/>
    <w:pPr>
      <w:spacing w:after="165" w:line="259" w:lineRule="auto"/>
    </w:pPr>
    <w:rPr>
      <w:rFonts w:ascii="Segoe UI Semibold" w:hAnsi="Segoe UI Semibold"/>
      <w:color w:val="00264D" w:themeColor="background2"/>
      <w:sz w:val="26"/>
    </w:rPr>
  </w:style>
  <w:style w:type="paragraph" w:styleId="Header">
    <w:name w:val="header"/>
    <w:basedOn w:val="Normal"/>
    <w:link w:val="HeaderChar"/>
    <w:uiPriority w:val="99"/>
    <w:unhideWhenUsed/>
    <w:rsid w:val="001051E0"/>
    <w:pPr>
      <w:tabs>
        <w:tab w:val="center" w:pos="4513"/>
        <w:tab w:val="right" w:pos="9026"/>
      </w:tabs>
      <w:spacing w:after="0"/>
    </w:pPr>
  </w:style>
  <w:style w:type="character" w:customStyle="1" w:styleId="HeaderChar">
    <w:name w:val="Header Char"/>
    <w:basedOn w:val="DefaultParagraphFont"/>
    <w:link w:val="Header"/>
    <w:uiPriority w:val="99"/>
    <w:rsid w:val="001051E0"/>
    <w:rPr>
      <w:rFonts w:ascii="Segoe UI" w:hAnsi="Segoe UI"/>
      <w:sz w:val="19"/>
    </w:rPr>
  </w:style>
  <w:style w:type="paragraph" w:styleId="FootnoteText">
    <w:name w:val="footnote text"/>
    <w:basedOn w:val="Normal"/>
    <w:link w:val="FootnoteTextChar"/>
    <w:autoRedefine/>
    <w:unhideWhenUsed/>
    <w:qFormat/>
    <w:rsid w:val="005B366F"/>
    <w:pPr>
      <w:spacing w:after="0"/>
    </w:pPr>
    <w:rPr>
      <w:rFonts w:asciiTheme="minorHAnsi" w:eastAsia="Times New Roman" w:hAnsiTheme="minorHAnsi" w:cs="Times New Roman"/>
      <w:sz w:val="14"/>
      <w:szCs w:val="20"/>
    </w:rPr>
  </w:style>
  <w:style w:type="character" w:customStyle="1" w:styleId="FootnoteTextChar">
    <w:name w:val="Footnote Text Char"/>
    <w:basedOn w:val="DefaultParagraphFont"/>
    <w:link w:val="FootnoteText"/>
    <w:rsid w:val="005B366F"/>
    <w:rPr>
      <w:rFonts w:eastAsia="Times New Roman" w:cs="Times New Roman"/>
      <w:sz w:val="14"/>
      <w:szCs w:val="20"/>
      <w:lang w:val="en-AU"/>
    </w:rPr>
  </w:style>
  <w:style w:type="character" w:styleId="FootnoteReference">
    <w:name w:val="footnote reference"/>
    <w:basedOn w:val="DefaultParagraphFont"/>
    <w:uiPriority w:val="99"/>
    <w:unhideWhenUsed/>
    <w:rsid w:val="00A80964"/>
    <w:rPr>
      <w:rFonts w:asciiTheme="minorHAnsi" w:hAnsiTheme="minorHAnsi" w:cstheme="minorHAnsi"/>
      <w:sz w:val="14"/>
      <w:szCs w:val="14"/>
      <w:vertAlign w:val="superscript"/>
    </w:rPr>
  </w:style>
  <w:style w:type="character" w:styleId="CommentReference">
    <w:name w:val="annotation reference"/>
    <w:basedOn w:val="DefaultParagraphFont"/>
    <w:uiPriority w:val="99"/>
    <w:semiHidden/>
    <w:unhideWhenUsed/>
    <w:rsid w:val="002A3487"/>
    <w:rPr>
      <w:sz w:val="16"/>
      <w:szCs w:val="16"/>
    </w:rPr>
  </w:style>
  <w:style w:type="paragraph" w:styleId="CommentText">
    <w:name w:val="annotation text"/>
    <w:basedOn w:val="Normal"/>
    <w:link w:val="CommentTextChar"/>
    <w:uiPriority w:val="99"/>
    <w:unhideWhenUsed/>
    <w:rsid w:val="002A3487"/>
    <w:rPr>
      <w:sz w:val="20"/>
      <w:szCs w:val="20"/>
    </w:rPr>
  </w:style>
  <w:style w:type="character" w:customStyle="1" w:styleId="CommentTextChar">
    <w:name w:val="Comment Text Char"/>
    <w:basedOn w:val="DefaultParagraphFont"/>
    <w:link w:val="CommentText"/>
    <w:uiPriority w:val="99"/>
    <w:rsid w:val="002A3487"/>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2A3487"/>
    <w:rPr>
      <w:b/>
      <w:bCs/>
    </w:rPr>
  </w:style>
  <w:style w:type="character" w:customStyle="1" w:styleId="CommentSubjectChar">
    <w:name w:val="Comment Subject Char"/>
    <w:basedOn w:val="CommentTextChar"/>
    <w:link w:val="CommentSubject"/>
    <w:uiPriority w:val="99"/>
    <w:semiHidden/>
    <w:rsid w:val="002A3487"/>
    <w:rPr>
      <w:rFonts w:ascii="Segoe UI" w:hAnsi="Segoe UI"/>
      <w:b/>
      <w:bCs/>
      <w:sz w:val="20"/>
      <w:szCs w:val="20"/>
    </w:rPr>
  </w:style>
  <w:style w:type="paragraph" w:customStyle="1" w:styleId="Appendingheading2">
    <w:name w:val="Appending heading 2"/>
    <w:basedOn w:val="Heading2"/>
    <w:link w:val="Appendingheading2Char"/>
    <w:qFormat/>
    <w:rsid w:val="00FB048B"/>
    <w:pPr>
      <w:numPr>
        <w:ilvl w:val="0"/>
        <w:numId w:val="0"/>
      </w:numPr>
    </w:pPr>
    <w:rPr>
      <w:sz w:val="22"/>
    </w:rPr>
  </w:style>
  <w:style w:type="character" w:customStyle="1" w:styleId="CaptionChar">
    <w:name w:val="Caption Char"/>
    <w:link w:val="Caption"/>
    <w:uiPriority w:val="35"/>
    <w:rsid w:val="008D0B64"/>
    <w:rPr>
      <w:rFonts w:ascii="Segoe UI Semibold" w:hAnsi="Segoe UI Semibold"/>
      <w:bCs/>
      <w:color w:val="00264D" w:themeColor="background2"/>
      <w:sz w:val="19"/>
      <w:szCs w:val="18"/>
      <w:lang w:val="en-AU"/>
    </w:rPr>
  </w:style>
  <w:style w:type="character" w:styleId="UnresolvedMention">
    <w:name w:val="Unresolved Mention"/>
    <w:basedOn w:val="DefaultParagraphFont"/>
    <w:uiPriority w:val="99"/>
    <w:semiHidden/>
    <w:unhideWhenUsed/>
    <w:rsid w:val="00E548A3"/>
    <w:rPr>
      <w:color w:val="605E5C"/>
      <w:shd w:val="clear" w:color="auto" w:fill="E1DFDD"/>
    </w:rPr>
  </w:style>
  <w:style w:type="paragraph" w:styleId="ListParagraph">
    <w:name w:val="List Paragraph"/>
    <w:basedOn w:val="Normal"/>
    <w:uiPriority w:val="34"/>
    <w:qFormat/>
    <w:rsid w:val="00265F4D"/>
    <w:pPr>
      <w:ind w:left="720"/>
      <w:contextualSpacing/>
    </w:pPr>
  </w:style>
  <w:style w:type="character" w:styleId="FollowedHyperlink">
    <w:name w:val="FollowedHyperlink"/>
    <w:basedOn w:val="DefaultParagraphFont"/>
    <w:uiPriority w:val="99"/>
    <w:semiHidden/>
    <w:unhideWhenUsed/>
    <w:rsid w:val="007678A3"/>
    <w:rPr>
      <w:color w:val="0048C7" w:themeColor="followedHyperlink"/>
      <w:u w:val="single"/>
    </w:rPr>
  </w:style>
  <w:style w:type="character" w:styleId="Mention">
    <w:name w:val="Mention"/>
    <w:basedOn w:val="DefaultParagraphFont"/>
    <w:uiPriority w:val="99"/>
    <w:unhideWhenUsed/>
    <w:rsid w:val="008109DC"/>
    <w:rPr>
      <w:color w:val="2B579A"/>
      <w:shd w:val="clear" w:color="auto" w:fill="E1DFDD"/>
    </w:rPr>
  </w:style>
  <w:style w:type="paragraph" w:customStyle="1" w:styleId="Callout">
    <w:name w:val="Call out"/>
    <w:basedOn w:val="Normal"/>
    <w:uiPriority w:val="98"/>
    <w:qFormat/>
    <w:rsid w:val="00B44650"/>
    <w:pPr>
      <w:pBdr>
        <w:top w:val="single" w:sz="18" w:space="4" w:color="E6E6E1" w:themeColor="accent5"/>
      </w:pBdr>
      <w:spacing w:line="259" w:lineRule="auto"/>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0C167A"/>
    <w:pPr>
      <w:spacing w:before="60" w:after="60"/>
    </w:pPr>
    <w:rPr>
      <w:color w:val="00264D" w:themeColor="background2"/>
      <w:szCs w:val="19"/>
      <w:lang w:eastAsia="en-AU"/>
    </w:rPr>
  </w:style>
  <w:style w:type="paragraph" w:customStyle="1" w:styleId="longformcalloutbullet">
    <w:name w:val="long form call out bullet"/>
    <w:basedOn w:val="Longformcallout"/>
    <w:uiPriority w:val="20"/>
    <w:qFormat/>
    <w:rsid w:val="002806F0"/>
    <w:pPr>
      <w:numPr>
        <w:numId w:val="6"/>
      </w:numPr>
      <w:ind w:left="340" w:hanging="340"/>
    </w:pPr>
  </w:style>
  <w:style w:type="paragraph" w:customStyle="1" w:styleId="longformcalloutnumber">
    <w:name w:val="long form callout number"/>
    <w:basedOn w:val="longformcalloutbullet"/>
    <w:uiPriority w:val="20"/>
    <w:qFormat/>
    <w:rsid w:val="002806F0"/>
    <w:pPr>
      <w:numPr>
        <w:numId w:val="7"/>
      </w:numPr>
    </w:pPr>
  </w:style>
  <w:style w:type="table" w:customStyle="1" w:styleId="NousLongformcallout">
    <w:name w:val="Nous_Long form call out"/>
    <w:basedOn w:val="TableNormal"/>
    <w:uiPriority w:val="99"/>
    <w:rsid w:val="000C167A"/>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paragraph" w:styleId="Revision">
    <w:name w:val="Revision"/>
    <w:hidden/>
    <w:uiPriority w:val="99"/>
    <w:semiHidden/>
    <w:rsid w:val="003F5F64"/>
    <w:pPr>
      <w:spacing w:after="0" w:line="240" w:lineRule="auto"/>
    </w:pPr>
    <w:rPr>
      <w:rFonts w:ascii="Segoe UI" w:hAnsi="Segoe UI"/>
      <w:sz w:val="19"/>
    </w:rPr>
  </w:style>
  <w:style w:type="paragraph" w:styleId="EndnoteText">
    <w:name w:val="endnote text"/>
    <w:basedOn w:val="Normal"/>
    <w:link w:val="EndnoteTextChar"/>
    <w:uiPriority w:val="99"/>
    <w:semiHidden/>
    <w:unhideWhenUsed/>
    <w:rsid w:val="00DB3177"/>
    <w:pPr>
      <w:spacing w:after="0"/>
    </w:pPr>
    <w:rPr>
      <w:sz w:val="20"/>
      <w:szCs w:val="20"/>
    </w:rPr>
  </w:style>
  <w:style w:type="character" w:customStyle="1" w:styleId="EndnoteTextChar">
    <w:name w:val="Endnote Text Char"/>
    <w:basedOn w:val="DefaultParagraphFont"/>
    <w:link w:val="EndnoteText"/>
    <w:uiPriority w:val="99"/>
    <w:semiHidden/>
    <w:rsid w:val="00DB3177"/>
    <w:rPr>
      <w:rFonts w:ascii="Segoe UI" w:hAnsi="Segoe UI"/>
      <w:sz w:val="20"/>
      <w:szCs w:val="20"/>
      <w:lang w:val="en-AU"/>
    </w:rPr>
  </w:style>
  <w:style w:type="character" w:styleId="EndnoteReference">
    <w:name w:val="endnote reference"/>
    <w:basedOn w:val="DefaultParagraphFont"/>
    <w:uiPriority w:val="99"/>
    <w:semiHidden/>
    <w:unhideWhenUsed/>
    <w:rsid w:val="00DB3177"/>
    <w:rPr>
      <w:vertAlign w:val="superscript"/>
    </w:rPr>
  </w:style>
  <w:style w:type="paragraph" w:styleId="TOC3">
    <w:name w:val="toc 3"/>
    <w:basedOn w:val="Normal"/>
    <w:next w:val="Normal"/>
    <w:autoRedefine/>
    <w:uiPriority w:val="39"/>
    <w:unhideWhenUsed/>
    <w:rsid w:val="00BC44DB"/>
    <w:pPr>
      <w:spacing w:after="100"/>
      <w:ind w:left="380"/>
    </w:pPr>
  </w:style>
  <w:style w:type="paragraph" w:customStyle="1" w:styleId="Default">
    <w:name w:val="Default"/>
    <w:rsid w:val="00BC44DB"/>
    <w:pPr>
      <w:autoSpaceDE w:val="0"/>
      <w:autoSpaceDN w:val="0"/>
      <w:adjustRightInd w:val="0"/>
      <w:spacing w:after="0" w:line="240" w:lineRule="auto"/>
    </w:pPr>
    <w:rPr>
      <w:rFonts w:ascii="Segoe UI" w:hAnsi="Segoe UI" w:cs="Segoe UI"/>
      <w:color w:val="000000"/>
      <w:sz w:val="24"/>
      <w:szCs w:val="24"/>
      <w:lang w:val="en-AU"/>
    </w:rPr>
  </w:style>
  <w:style w:type="character" w:customStyle="1" w:styleId="Appendingheading2Char">
    <w:name w:val="Appending heading 2 Char"/>
    <w:basedOn w:val="Heading2Char"/>
    <w:link w:val="Appendingheading2"/>
    <w:rsid w:val="00FB048B"/>
    <w:rPr>
      <w:rFonts w:ascii="Segoe UI Semibold" w:eastAsia="Times New Roman" w:hAnsi="Segoe UI Semibold" w:cs="Times New Roman"/>
      <w:color w:val="00264D"/>
      <w:sz w:val="30"/>
      <w:szCs w:val="19"/>
      <w:lang w:val="en-AU" w:eastAsia="en-AU"/>
    </w:rPr>
  </w:style>
  <w:style w:type="table" w:customStyle="1" w:styleId="NOUSSideHeader1">
    <w:name w:val="NOUS Side Header1"/>
    <w:basedOn w:val="TableNormal"/>
    <w:next w:val="TableGrid"/>
    <w:uiPriority w:val="39"/>
    <w:rsid w:val="006F29B9"/>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MS Gothic" w:hAnsi="@MS Gothic"/>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MS Gothic" w:hAnsi="@MS Gothic"/>
        <w:sz w:val="17"/>
      </w:rPr>
    </w:tblStylePr>
    <w:tblStylePr w:type="band2Horz">
      <w:rPr>
        <w:rFonts w:ascii="@MS Gothic" w:hAnsi="@MS Gothic"/>
        <w:sz w:val="17"/>
      </w:rPr>
    </w:tblStylePr>
  </w:style>
  <w:style w:type="character" w:customStyle="1" w:styleId="TableNTextChar">
    <w:name w:val="Table N Text Char"/>
    <w:basedOn w:val="DefaultParagraphFont"/>
    <w:link w:val="TableNText"/>
    <w:uiPriority w:val="2"/>
    <w:rsid w:val="00DC5DAA"/>
    <w:rPr>
      <w:rFonts w:ascii="Segoe UI" w:eastAsia="Times New Roman" w:hAnsi="Segoe UI" w:cs="Times New Roman"/>
      <w:sz w:val="17"/>
      <w:szCs w:val="24"/>
      <w:lang w:val="en-AU" w:eastAsia="en-AU"/>
    </w:rPr>
  </w:style>
  <w:style w:type="table" w:customStyle="1" w:styleId="NOUSSideHeader2">
    <w:name w:val="NOUS Side Header2"/>
    <w:basedOn w:val="TableNormal"/>
    <w:next w:val="TableGrid"/>
    <w:uiPriority w:val="39"/>
    <w:rsid w:val="006F29B9"/>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MS Gothic" w:hAnsi="@MS Gothic"/>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MS Gothic" w:hAnsi="@MS Gothic"/>
        <w:sz w:val="17"/>
      </w:rPr>
    </w:tblStylePr>
    <w:tblStylePr w:type="band2Horz">
      <w:rPr>
        <w:rFonts w:ascii="@MS Gothic" w:hAnsi="@MS Gothic"/>
        <w:sz w:val="17"/>
      </w:rPr>
    </w:tblStylePr>
  </w:style>
  <w:style w:type="numbering" w:customStyle="1" w:styleId="Listnumberedmultilevel">
    <w:name w:val="List (numbered)_multilevel"/>
    <w:uiPriority w:val="99"/>
    <w:rsid w:val="000D5F01"/>
  </w:style>
  <w:style w:type="paragraph" w:customStyle="1" w:styleId="introductionlist">
    <w:name w:val="introduction list"/>
    <w:basedOn w:val="Normal"/>
    <w:uiPriority w:val="21"/>
    <w:qFormat/>
    <w:rsid w:val="0093036F"/>
    <w:pPr>
      <w:numPr>
        <w:numId w:val="12"/>
      </w:numPr>
      <w:spacing w:before="60" w:line="259" w:lineRule="auto"/>
    </w:pPr>
    <w:rPr>
      <w:rFonts w:ascii="Segoe UI Semilight" w:hAnsi="Segoe UI Semilight"/>
      <w:color w:val="00264D" w:themeColor="background2"/>
      <w:sz w:val="21"/>
      <w:szCs w:val="21"/>
    </w:rPr>
  </w:style>
  <w:style w:type="numbering" w:customStyle="1" w:styleId="TableNListnumberedmultilevel">
    <w:name w:val="Table N List (numbered) multilevel"/>
    <w:uiPriority w:val="99"/>
    <w:rsid w:val="0093036F"/>
    <w:pPr>
      <w:numPr>
        <w:numId w:val="4"/>
      </w:numPr>
    </w:pPr>
  </w:style>
  <w:style w:type="table" w:customStyle="1" w:styleId="NOUSSideHeader3">
    <w:name w:val="NOUS Side Header3"/>
    <w:basedOn w:val="TableNormal"/>
    <w:next w:val="TableGrid"/>
    <w:uiPriority w:val="39"/>
    <w:rsid w:val="00D26F5C"/>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MS Gothic" w:hAnsi="@MS Gothic"/>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MS Gothic" w:hAnsi="@MS Gothic"/>
        <w:sz w:val="17"/>
      </w:rPr>
    </w:tblStylePr>
    <w:tblStylePr w:type="band2Horz">
      <w:rPr>
        <w:rFonts w:ascii="@MS Gothic" w:hAnsi="@MS Gothic"/>
        <w:sz w:val="17"/>
      </w:rPr>
    </w:tblStylePr>
  </w:style>
  <w:style w:type="paragraph" w:styleId="TOC4">
    <w:name w:val="toc 4"/>
    <w:basedOn w:val="Normal"/>
    <w:next w:val="Normal"/>
    <w:autoRedefine/>
    <w:uiPriority w:val="39"/>
    <w:unhideWhenUsed/>
    <w:rsid w:val="0048248C"/>
    <w:pPr>
      <w:spacing w:after="100" w:line="259" w:lineRule="auto"/>
      <w:ind w:left="660"/>
    </w:pPr>
    <w:rPr>
      <w:rFonts w:asciiTheme="minorHAnsi" w:eastAsiaTheme="minorEastAsia" w:hAnsiTheme="minorHAnsi"/>
      <w:kern w:val="2"/>
      <w:sz w:val="22"/>
      <w:lang w:eastAsia="en-AU"/>
      <w14:ligatures w14:val="standardContextual"/>
    </w:rPr>
  </w:style>
  <w:style w:type="paragraph" w:styleId="TOC5">
    <w:name w:val="toc 5"/>
    <w:basedOn w:val="Normal"/>
    <w:next w:val="Normal"/>
    <w:autoRedefine/>
    <w:uiPriority w:val="39"/>
    <w:unhideWhenUsed/>
    <w:rsid w:val="0048248C"/>
    <w:pPr>
      <w:spacing w:after="100" w:line="259" w:lineRule="auto"/>
      <w:ind w:left="880"/>
    </w:pPr>
    <w:rPr>
      <w:rFonts w:asciiTheme="minorHAnsi" w:eastAsiaTheme="minorEastAsia" w:hAnsiTheme="minorHAnsi"/>
      <w:kern w:val="2"/>
      <w:sz w:val="22"/>
      <w:lang w:eastAsia="en-AU"/>
      <w14:ligatures w14:val="standardContextual"/>
    </w:rPr>
  </w:style>
  <w:style w:type="paragraph" w:styleId="TOC6">
    <w:name w:val="toc 6"/>
    <w:basedOn w:val="Normal"/>
    <w:next w:val="Normal"/>
    <w:autoRedefine/>
    <w:uiPriority w:val="39"/>
    <w:unhideWhenUsed/>
    <w:rsid w:val="0048248C"/>
    <w:pPr>
      <w:spacing w:after="100" w:line="259" w:lineRule="auto"/>
      <w:ind w:left="1100"/>
    </w:pPr>
    <w:rPr>
      <w:rFonts w:asciiTheme="minorHAnsi" w:eastAsiaTheme="minorEastAsia" w:hAnsiTheme="minorHAnsi"/>
      <w:kern w:val="2"/>
      <w:sz w:val="22"/>
      <w:lang w:eastAsia="en-AU"/>
      <w14:ligatures w14:val="standardContextual"/>
    </w:rPr>
  </w:style>
  <w:style w:type="paragraph" w:styleId="TOC7">
    <w:name w:val="toc 7"/>
    <w:basedOn w:val="Normal"/>
    <w:next w:val="Normal"/>
    <w:autoRedefine/>
    <w:uiPriority w:val="39"/>
    <w:unhideWhenUsed/>
    <w:rsid w:val="0048248C"/>
    <w:pPr>
      <w:spacing w:after="100" w:line="259" w:lineRule="auto"/>
      <w:ind w:left="1320"/>
    </w:pPr>
    <w:rPr>
      <w:rFonts w:asciiTheme="minorHAnsi" w:eastAsiaTheme="minorEastAsia" w:hAnsiTheme="minorHAnsi"/>
      <w:kern w:val="2"/>
      <w:sz w:val="22"/>
      <w:lang w:eastAsia="en-AU"/>
      <w14:ligatures w14:val="standardContextual"/>
    </w:rPr>
  </w:style>
  <w:style w:type="paragraph" w:styleId="TOC8">
    <w:name w:val="toc 8"/>
    <w:basedOn w:val="Normal"/>
    <w:next w:val="Normal"/>
    <w:autoRedefine/>
    <w:uiPriority w:val="39"/>
    <w:unhideWhenUsed/>
    <w:rsid w:val="0048248C"/>
    <w:pPr>
      <w:spacing w:after="100" w:line="259" w:lineRule="auto"/>
      <w:ind w:left="1540"/>
    </w:pPr>
    <w:rPr>
      <w:rFonts w:asciiTheme="minorHAnsi" w:eastAsiaTheme="minorEastAsia" w:hAnsiTheme="minorHAnsi"/>
      <w:kern w:val="2"/>
      <w:sz w:val="22"/>
      <w:lang w:eastAsia="en-AU"/>
      <w14:ligatures w14:val="standardContextual"/>
    </w:rPr>
  </w:style>
  <w:style w:type="paragraph" w:styleId="TOC9">
    <w:name w:val="toc 9"/>
    <w:basedOn w:val="Normal"/>
    <w:next w:val="Normal"/>
    <w:autoRedefine/>
    <w:uiPriority w:val="39"/>
    <w:unhideWhenUsed/>
    <w:rsid w:val="0048248C"/>
    <w:pPr>
      <w:spacing w:after="100" w:line="259" w:lineRule="auto"/>
      <w:ind w:left="1760"/>
    </w:pPr>
    <w:rPr>
      <w:rFonts w:asciiTheme="minorHAnsi" w:eastAsiaTheme="minorEastAsia" w:hAnsiTheme="minorHAnsi"/>
      <w:kern w:val="2"/>
      <w:sz w:val="22"/>
      <w:lang w:eastAsia="en-AU"/>
      <w14:ligatures w14:val="standardContextual"/>
    </w:rPr>
  </w:style>
  <w:style w:type="paragraph" w:customStyle="1" w:styleId="NewListBulletPoint">
    <w:name w:val="New List Bullet Point"/>
    <w:basedOn w:val="Listnumbered"/>
    <w:link w:val="NewListBulletPointChar"/>
    <w:qFormat/>
    <w:rsid w:val="00552238"/>
    <w:pPr>
      <w:numPr>
        <w:numId w:val="13"/>
      </w:numPr>
    </w:pPr>
  </w:style>
  <w:style w:type="character" w:customStyle="1" w:styleId="ListnumberedChar">
    <w:name w:val="List (numbered) Char"/>
    <w:basedOn w:val="BulletChar"/>
    <w:link w:val="Listnumbered"/>
    <w:uiPriority w:val="1"/>
    <w:rsid w:val="000C7628"/>
    <w:rPr>
      <w:rFonts w:ascii="Segoe UI" w:eastAsia="Times New Roman" w:hAnsi="Segoe UI" w:cs="Times New Roman"/>
      <w:sz w:val="19"/>
      <w:szCs w:val="19"/>
      <w:lang w:val="en-AU" w:eastAsia="en-AU"/>
    </w:rPr>
  </w:style>
  <w:style w:type="character" w:customStyle="1" w:styleId="NewListBulletPointChar">
    <w:name w:val="New List Bullet Point Char"/>
    <w:basedOn w:val="ListnumberedChar"/>
    <w:link w:val="NewListBulletPoint"/>
    <w:rsid w:val="000C7628"/>
    <w:rPr>
      <w:rFonts w:ascii="Segoe UI" w:eastAsia="Times New Roman" w:hAnsi="Segoe UI" w:cs="Times New Roman"/>
      <w:sz w:val="19"/>
      <w:szCs w:val="19"/>
      <w:lang w:val="en-AU" w:eastAsia="en-AU"/>
    </w:rPr>
  </w:style>
  <w:style w:type="paragraph" w:styleId="NoSpacing">
    <w:name w:val="No Spacing"/>
    <w:uiPriority w:val="1"/>
    <w:rsid w:val="00FB048B"/>
    <w:pPr>
      <w:ind w:right="2409"/>
    </w:pPr>
    <w:rPr>
      <w:rFonts w:eastAsia="Times New Roman"/>
      <w:bCs/>
      <w:color w:val="00264D" w:themeColor="background2"/>
      <w:sz w:val="23"/>
      <w:szCs w:val="23"/>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8964">
      <w:bodyDiv w:val="1"/>
      <w:marLeft w:val="0"/>
      <w:marRight w:val="0"/>
      <w:marTop w:val="0"/>
      <w:marBottom w:val="0"/>
      <w:divBdr>
        <w:top w:val="none" w:sz="0" w:space="0" w:color="auto"/>
        <w:left w:val="none" w:sz="0" w:space="0" w:color="auto"/>
        <w:bottom w:val="none" w:sz="0" w:space="0" w:color="auto"/>
        <w:right w:val="none" w:sz="0" w:space="0" w:color="auto"/>
      </w:divBdr>
      <w:divsChild>
        <w:div w:id="530992307">
          <w:marLeft w:val="274"/>
          <w:marRight w:val="0"/>
          <w:marTop w:val="0"/>
          <w:marBottom w:val="0"/>
          <w:divBdr>
            <w:top w:val="none" w:sz="0" w:space="0" w:color="auto"/>
            <w:left w:val="none" w:sz="0" w:space="0" w:color="auto"/>
            <w:bottom w:val="none" w:sz="0" w:space="0" w:color="auto"/>
            <w:right w:val="none" w:sz="0" w:space="0" w:color="auto"/>
          </w:divBdr>
        </w:div>
        <w:div w:id="1933850952">
          <w:marLeft w:val="274"/>
          <w:marRight w:val="0"/>
          <w:marTop w:val="0"/>
          <w:marBottom w:val="0"/>
          <w:divBdr>
            <w:top w:val="none" w:sz="0" w:space="0" w:color="auto"/>
            <w:left w:val="none" w:sz="0" w:space="0" w:color="auto"/>
            <w:bottom w:val="none" w:sz="0" w:space="0" w:color="auto"/>
            <w:right w:val="none" w:sz="0" w:space="0" w:color="auto"/>
          </w:divBdr>
        </w:div>
        <w:div w:id="1960986797">
          <w:marLeft w:val="274"/>
          <w:marRight w:val="0"/>
          <w:marTop w:val="0"/>
          <w:marBottom w:val="0"/>
          <w:divBdr>
            <w:top w:val="none" w:sz="0" w:space="0" w:color="auto"/>
            <w:left w:val="none" w:sz="0" w:space="0" w:color="auto"/>
            <w:bottom w:val="none" w:sz="0" w:space="0" w:color="auto"/>
            <w:right w:val="none" w:sz="0" w:space="0" w:color="auto"/>
          </w:divBdr>
        </w:div>
        <w:div w:id="2126074968">
          <w:marLeft w:val="274"/>
          <w:marRight w:val="0"/>
          <w:marTop w:val="0"/>
          <w:marBottom w:val="0"/>
          <w:divBdr>
            <w:top w:val="none" w:sz="0" w:space="0" w:color="auto"/>
            <w:left w:val="none" w:sz="0" w:space="0" w:color="auto"/>
            <w:bottom w:val="none" w:sz="0" w:space="0" w:color="auto"/>
            <w:right w:val="none" w:sz="0" w:space="0" w:color="auto"/>
          </w:divBdr>
        </w:div>
      </w:divsChild>
    </w:div>
    <w:div w:id="3015908">
      <w:bodyDiv w:val="1"/>
      <w:marLeft w:val="0"/>
      <w:marRight w:val="0"/>
      <w:marTop w:val="0"/>
      <w:marBottom w:val="0"/>
      <w:divBdr>
        <w:top w:val="none" w:sz="0" w:space="0" w:color="auto"/>
        <w:left w:val="none" w:sz="0" w:space="0" w:color="auto"/>
        <w:bottom w:val="none" w:sz="0" w:space="0" w:color="auto"/>
        <w:right w:val="none" w:sz="0" w:space="0" w:color="auto"/>
      </w:divBdr>
      <w:divsChild>
        <w:div w:id="1213811714">
          <w:marLeft w:val="274"/>
          <w:marRight w:val="0"/>
          <w:marTop w:val="0"/>
          <w:marBottom w:val="0"/>
          <w:divBdr>
            <w:top w:val="none" w:sz="0" w:space="0" w:color="auto"/>
            <w:left w:val="none" w:sz="0" w:space="0" w:color="auto"/>
            <w:bottom w:val="none" w:sz="0" w:space="0" w:color="auto"/>
            <w:right w:val="none" w:sz="0" w:space="0" w:color="auto"/>
          </w:divBdr>
        </w:div>
      </w:divsChild>
    </w:div>
    <w:div w:id="53553246">
      <w:bodyDiv w:val="1"/>
      <w:marLeft w:val="0"/>
      <w:marRight w:val="0"/>
      <w:marTop w:val="0"/>
      <w:marBottom w:val="0"/>
      <w:divBdr>
        <w:top w:val="none" w:sz="0" w:space="0" w:color="auto"/>
        <w:left w:val="none" w:sz="0" w:space="0" w:color="auto"/>
        <w:bottom w:val="none" w:sz="0" w:space="0" w:color="auto"/>
        <w:right w:val="none" w:sz="0" w:space="0" w:color="auto"/>
      </w:divBdr>
    </w:div>
    <w:div w:id="82336215">
      <w:bodyDiv w:val="1"/>
      <w:marLeft w:val="0"/>
      <w:marRight w:val="0"/>
      <w:marTop w:val="0"/>
      <w:marBottom w:val="0"/>
      <w:divBdr>
        <w:top w:val="none" w:sz="0" w:space="0" w:color="auto"/>
        <w:left w:val="none" w:sz="0" w:space="0" w:color="auto"/>
        <w:bottom w:val="none" w:sz="0" w:space="0" w:color="auto"/>
        <w:right w:val="none" w:sz="0" w:space="0" w:color="auto"/>
      </w:divBdr>
    </w:div>
    <w:div w:id="216866800">
      <w:bodyDiv w:val="1"/>
      <w:marLeft w:val="0"/>
      <w:marRight w:val="0"/>
      <w:marTop w:val="0"/>
      <w:marBottom w:val="0"/>
      <w:divBdr>
        <w:top w:val="none" w:sz="0" w:space="0" w:color="auto"/>
        <w:left w:val="none" w:sz="0" w:space="0" w:color="auto"/>
        <w:bottom w:val="none" w:sz="0" w:space="0" w:color="auto"/>
        <w:right w:val="none" w:sz="0" w:space="0" w:color="auto"/>
      </w:divBdr>
    </w:div>
    <w:div w:id="300966471">
      <w:bodyDiv w:val="1"/>
      <w:marLeft w:val="0"/>
      <w:marRight w:val="0"/>
      <w:marTop w:val="0"/>
      <w:marBottom w:val="0"/>
      <w:divBdr>
        <w:top w:val="none" w:sz="0" w:space="0" w:color="auto"/>
        <w:left w:val="none" w:sz="0" w:space="0" w:color="auto"/>
        <w:bottom w:val="none" w:sz="0" w:space="0" w:color="auto"/>
        <w:right w:val="none" w:sz="0" w:space="0" w:color="auto"/>
      </w:divBdr>
    </w:div>
    <w:div w:id="359208692">
      <w:bodyDiv w:val="1"/>
      <w:marLeft w:val="0"/>
      <w:marRight w:val="0"/>
      <w:marTop w:val="0"/>
      <w:marBottom w:val="0"/>
      <w:divBdr>
        <w:top w:val="none" w:sz="0" w:space="0" w:color="auto"/>
        <w:left w:val="none" w:sz="0" w:space="0" w:color="auto"/>
        <w:bottom w:val="none" w:sz="0" w:space="0" w:color="auto"/>
        <w:right w:val="none" w:sz="0" w:space="0" w:color="auto"/>
      </w:divBdr>
      <w:divsChild>
        <w:div w:id="429010394">
          <w:marLeft w:val="274"/>
          <w:marRight w:val="0"/>
          <w:marTop w:val="0"/>
          <w:marBottom w:val="0"/>
          <w:divBdr>
            <w:top w:val="none" w:sz="0" w:space="0" w:color="auto"/>
            <w:left w:val="none" w:sz="0" w:space="0" w:color="auto"/>
            <w:bottom w:val="none" w:sz="0" w:space="0" w:color="auto"/>
            <w:right w:val="none" w:sz="0" w:space="0" w:color="auto"/>
          </w:divBdr>
        </w:div>
        <w:div w:id="1438869578">
          <w:marLeft w:val="274"/>
          <w:marRight w:val="0"/>
          <w:marTop w:val="0"/>
          <w:marBottom w:val="0"/>
          <w:divBdr>
            <w:top w:val="none" w:sz="0" w:space="0" w:color="auto"/>
            <w:left w:val="none" w:sz="0" w:space="0" w:color="auto"/>
            <w:bottom w:val="none" w:sz="0" w:space="0" w:color="auto"/>
            <w:right w:val="none" w:sz="0" w:space="0" w:color="auto"/>
          </w:divBdr>
        </w:div>
      </w:divsChild>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467744130">
      <w:bodyDiv w:val="1"/>
      <w:marLeft w:val="0"/>
      <w:marRight w:val="0"/>
      <w:marTop w:val="0"/>
      <w:marBottom w:val="0"/>
      <w:divBdr>
        <w:top w:val="none" w:sz="0" w:space="0" w:color="auto"/>
        <w:left w:val="none" w:sz="0" w:space="0" w:color="auto"/>
        <w:bottom w:val="none" w:sz="0" w:space="0" w:color="auto"/>
        <w:right w:val="none" w:sz="0" w:space="0" w:color="auto"/>
      </w:divBdr>
    </w:div>
    <w:div w:id="576280980">
      <w:bodyDiv w:val="1"/>
      <w:marLeft w:val="0"/>
      <w:marRight w:val="0"/>
      <w:marTop w:val="0"/>
      <w:marBottom w:val="0"/>
      <w:divBdr>
        <w:top w:val="none" w:sz="0" w:space="0" w:color="auto"/>
        <w:left w:val="none" w:sz="0" w:space="0" w:color="auto"/>
        <w:bottom w:val="none" w:sz="0" w:space="0" w:color="auto"/>
        <w:right w:val="none" w:sz="0" w:space="0" w:color="auto"/>
      </w:divBdr>
    </w:div>
    <w:div w:id="594172437">
      <w:bodyDiv w:val="1"/>
      <w:marLeft w:val="0"/>
      <w:marRight w:val="0"/>
      <w:marTop w:val="0"/>
      <w:marBottom w:val="0"/>
      <w:divBdr>
        <w:top w:val="none" w:sz="0" w:space="0" w:color="auto"/>
        <w:left w:val="none" w:sz="0" w:space="0" w:color="auto"/>
        <w:bottom w:val="none" w:sz="0" w:space="0" w:color="auto"/>
        <w:right w:val="none" w:sz="0" w:space="0" w:color="auto"/>
      </w:divBdr>
    </w:div>
    <w:div w:id="601644298">
      <w:bodyDiv w:val="1"/>
      <w:marLeft w:val="0"/>
      <w:marRight w:val="0"/>
      <w:marTop w:val="0"/>
      <w:marBottom w:val="0"/>
      <w:divBdr>
        <w:top w:val="none" w:sz="0" w:space="0" w:color="auto"/>
        <w:left w:val="none" w:sz="0" w:space="0" w:color="auto"/>
        <w:bottom w:val="none" w:sz="0" w:space="0" w:color="auto"/>
        <w:right w:val="none" w:sz="0" w:space="0" w:color="auto"/>
      </w:divBdr>
      <w:divsChild>
        <w:div w:id="675498055">
          <w:marLeft w:val="274"/>
          <w:marRight w:val="0"/>
          <w:marTop w:val="0"/>
          <w:marBottom w:val="0"/>
          <w:divBdr>
            <w:top w:val="none" w:sz="0" w:space="0" w:color="auto"/>
            <w:left w:val="none" w:sz="0" w:space="0" w:color="auto"/>
            <w:bottom w:val="none" w:sz="0" w:space="0" w:color="auto"/>
            <w:right w:val="none" w:sz="0" w:space="0" w:color="auto"/>
          </w:divBdr>
        </w:div>
        <w:div w:id="979917970">
          <w:marLeft w:val="274"/>
          <w:marRight w:val="0"/>
          <w:marTop w:val="0"/>
          <w:marBottom w:val="0"/>
          <w:divBdr>
            <w:top w:val="none" w:sz="0" w:space="0" w:color="auto"/>
            <w:left w:val="none" w:sz="0" w:space="0" w:color="auto"/>
            <w:bottom w:val="none" w:sz="0" w:space="0" w:color="auto"/>
            <w:right w:val="none" w:sz="0" w:space="0" w:color="auto"/>
          </w:divBdr>
        </w:div>
        <w:div w:id="1110663056">
          <w:marLeft w:val="274"/>
          <w:marRight w:val="0"/>
          <w:marTop w:val="0"/>
          <w:marBottom w:val="0"/>
          <w:divBdr>
            <w:top w:val="none" w:sz="0" w:space="0" w:color="auto"/>
            <w:left w:val="none" w:sz="0" w:space="0" w:color="auto"/>
            <w:bottom w:val="none" w:sz="0" w:space="0" w:color="auto"/>
            <w:right w:val="none" w:sz="0" w:space="0" w:color="auto"/>
          </w:divBdr>
        </w:div>
      </w:divsChild>
    </w:div>
    <w:div w:id="880822213">
      <w:bodyDiv w:val="1"/>
      <w:marLeft w:val="0"/>
      <w:marRight w:val="0"/>
      <w:marTop w:val="0"/>
      <w:marBottom w:val="0"/>
      <w:divBdr>
        <w:top w:val="none" w:sz="0" w:space="0" w:color="auto"/>
        <w:left w:val="none" w:sz="0" w:space="0" w:color="auto"/>
        <w:bottom w:val="none" w:sz="0" w:space="0" w:color="auto"/>
        <w:right w:val="none" w:sz="0" w:space="0" w:color="auto"/>
      </w:divBdr>
    </w:div>
    <w:div w:id="940797001">
      <w:bodyDiv w:val="1"/>
      <w:marLeft w:val="0"/>
      <w:marRight w:val="0"/>
      <w:marTop w:val="0"/>
      <w:marBottom w:val="0"/>
      <w:divBdr>
        <w:top w:val="none" w:sz="0" w:space="0" w:color="auto"/>
        <w:left w:val="none" w:sz="0" w:space="0" w:color="auto"/>
        <w:bottom w:val="none" w:sz="0" w:space="0" w:color="auto"/>
        <w:right w:val="none" w:sz="0" w:space="0" w:color="auto"/>
      </w:divBdr>
    </w:div>
    <w:div w:id="1043679834">
      <w:bodyDiv w:val="1"/>
      <w:marLeft w:val="0"/>
      <w:marRight w:val="0"/>
      <w:marTop w:val="0"/>
      <w:marBottom w:val="0"/>
      <w:divBdr>
        <w:top w:val="none" w:sz="0" w:space="0" w:color="auto"/>
        <w:left w:val="none" w:sz="0" w:space="0" w:color="auto"/>
        <w:bottom w:val="none" w:sz="0" w:space="0" w:color="auto"/>
        <w:right w:val="none" w:sz="0" w:space="0" w:color="auto"/>
      </w:divBdr>
    </w:div>
    <w:div w:id="1045712926">
      <w:bodyDiv w:val="1"/>
      <w:marLeft w:val="0"/>
      <w:marRight w:val="0"/>
      <w:marTop w:val="0"/>
      <w:marBottom w:val="0"/>
      <w:divBdr>
        <w:top w:val="none" w:sz="0" w:space="0" w:color="auto"/>
        <w:left w:val="none" w:sz="0" w:space="0" w:color="auto"/>
        <w:bottom w:val="none" w:sz="0" w:space="0" w:color="auto"/>
        <w:right w:val="none" w:sz="0" w:space="0" w:color="auto"/>
      </w:divBdr>
      <w:divsChild>
        <w:div w:id="850920700">
          <w:marLeft w:val="274"/>
          <w:marRight w:val="0"/>
          <w:marTop w:val="0"/>
          <w:marBottom w:val="0"/>
          <w:divBdr>
            <w:top w:val="none" w:sz="0" w:space="0" w:color="auto"/>
            <w:left w:val="none" w:sz="0" w:space="0" w:color="auto"/>
            <w:bottom w:val="none" w:sz="0" w:space="0" w:color="auto"/>
            <w:right w:val="none" w:sz="0" w:space="0" w:color="auto"/>
          </w:divBdr>
        </w:div>
        <w:div w:id="1244290739">
          <w:marLeft w:val="274"/>
          <w:marRight w:val="0"/>
          <w:marTop w:val="0"/>
          <w:marBottom w:val="0"/>
          <w:divBdr>
            <w:top w:val="none" w:sz="0" w:space="0" w:color="auto"/>
            <w:left w:val="none" w:sz="0" w:space="0" w:color="auto"/>
            <w:bottom w:val="none" w:sz="0" w:space="0" w:color="auto"/>
            <w:right w:val="none" w:sz="0" w:space="0" w:color="auto"/>
          </w:divBdr>
        </w:div>
        <w:div w:id="2142993740">
          <w:marLeft w:val="274"/>
          <w:marRight w:val="0"/>
          <w:marTop w:val="0"/>
          <w:marBottom w:val="0"/>
          <w:divBdr>
            <w:top w:val="none" w:sz="0" w:space="0" w:color="auto"/>
            <w:left w:val="none" w:sz="0" w:space="0" w:color="auto"/>
            <w:bottom w:val="none" w:sz="0" w:space="0" w:color="auto"/>
            <w:right w:val="none" w:sz="0" w:space="0" w:color="auto"/>
          </w:divBdr>
        </w:div>
      </w:divsChild>
    </w:div>
    <w:div w:id="1104227418">
      <w:bodyDiv w:val="1"/>
      <w:marLeft w:val="0"/>
      <w:marRight w:val="0"/>
      <w:marTop w:val="0"/>
      <w:marBottom w:val="0"/>
      <w:divBdr>
        <w:top w:val="none" w:sz="0" w:space="0" w:color="auto"/>
        <w:left w:val="none" w:sz="0" w:space="0" w:color="auto"/>
        <w:bottom w:val="none" w:sz="0" w:space="0" w:color="auto"/>
        <w:right w:val="none" w:sz="0" w:space="0" w:color="auto"/>
      </w:divBdr>
      <w:divsChild>
        <w:div w:id="3213897">
          <w:marLeft w:val="274"/>
          <w:marRight w:val="0"/>
          <w:marTop w:val="0"/>
          <w:marBottom w:val="0"/>
          <w:divBdr>
            <w:top w:val="none" w:sz="0" w:space="0" w:color="auto"/>
            <w:left w:val="none" w:sz="0" w:space="0" w:color="auto"/>
            <w:bottom w:val="none" w:sz="0" w:space="0" w:color="auto"/>
            <w:right w:val="none" w:sz="0" w:space="0" w:color="auto"/>
          </w:divBdr>
        </w:div>
        <w:div w:id="1159226834">
          <w:marLeft w:val="274"/>
          <w:marRight w:val="0"/>
          <w:marTop w:val="0"/>
          <w:marBottom w:val="0"/>
          <w:divBdr>
            <w:top w:val="none" w:sz="0" w:space="0" w:color="auto"/>
            <w:left w:val="none" w:sz="0" w:space="0" w:color="auto"/>
            <w:bottom w:val="none" w:sz="0" w:space="0" w:color="auto"/>
            <w:right w:val="none" w:sz="0" w:space="0" w:color="auto"/>
          </w:divBdr>
        </w:div>
        <w:div w:id="1253049967">
          <w:marLeft w:val="274"/>
          <w:marRight w:val="0"/>
          <w:marTop w:val="0"/>
          <w:marBottom w:val="0"/>
          <w:divBdr>
            <w:top w:val="none" w:sz="0" w:space="0" w:color="auto"/>
            <w:left w:val="none" w:sz="0" w:space="0" w:color="auto"/>
            <w:bottom w:val="none" w:sz="0" w:space="0" w:color="auto"/>
            <w:right w:val="none" w:sz="0" w:space="0" w:color="auto"/>
          </w:divBdr>
        </w:div>
        <w:div w:id="1621916422">
          <w:marLeft w:val="274"/>
          <w:marRight w:val="0"/>
          <w:marTop w:val="0"/>
          <w:marBottom w:val="0"/>
          <w:divBdr>
            <w:top w:val="none" w:sz="0" w:space="0" w:color="auto"/>
            <w:left w:val="none" w:sz="0" w:space="0" w:color="auto"/>
            <w:bottom w:val="none" w:sz="0" w:space="0" w:color="auto"/>
            <w:right w:val="none" w:sz="0" w:space="0" w:color="auto"/>
          </w:divBdr>
        </w:div>
        <w:div w:id="2105564172">
          <w:marLeft w:val="274"/>
          <w:marRight w:val="0"/>
          <w:marTop w:val="0"/>
          <w:marBottom w:val="0"/>
          <w:divBdr>
            <w:top w:val="none" w:sz="0" w:space="0" w:color="auto"/>
            <w:left w:val="none" w:sz="0" w:space="0" w:color="auto"/>
            <w:bottom w:val="none" w:sz="0" w:space="0" w:color="auto"/>
            <w:right w:val="none" w:sz="0" w:space="0" w:color="auto"/>
          </w:divBdr>
        </w:div>
      </w:divsChild>
    </w:div>
    <w:div w:id="1333724788">
      <w:bodyDiv w:val="1"/>
      <w:marLeft w:val="0"/>
      <w:marRight w:val="0"/>
      <w:marTop w:val="0"/>
      <w:marBottom w:val="0"/>
      <w:divBdr>
        <w:top w:val="none" w:sz="0" w:space="0" w:color="auto"/>
        <w:left w:val="none" w:sz="0" w:space="0" w:color="auto"/>
        <w:bottom w:val="none" w:sz="0" w:space="0" w:color="auto"/>
        <w:right w:val="none" w:sz="0" w:space="0" w:color="auto"/>
      </w:divBdr>
    </w:div>
    <w:div w:id="1363045537">
      <w:bodyDiv w:val="1"/>
      <w:marLeft w:val="0"/>
      <w:marRight w:val="0"/>
      <w:marTop w:val="0"/>
      <w:marBottom w:val="0"/>
      <w:divBdr>
        <w:top w:val="none" w:sz="0" w:space="0" w:color="auto"/>
        <w:left w:val="none" w:sz="0" w:space="0" w:color="auto"/>
        <w:bottom w:val="none" w:sz="0" w:space="0" w:color="auto"/>
        <w:right w:val="none" w:sz="0" w:space="0" w:color="auto"/>
      </w:divBdr>
    </w:div>
    <w:div w:id="1414471782">
      <w:bodyDiv w:val="1"/>
      <w:marLeft w:val="0"/>
      <w:marRight w:val="0"/>
      <w:marTop w:val="0"/>
      <w:marBottom w:val="0"/>
      <w:divBdr>
        <w:top w:val="none" w:sz="0" w:space="0" w:color="auto"/>
        <w:left w:val="none" w:sz="0" w:space="0" w:color="auto"/>
        <w:bottom w:val="none" w:sz="0" w:space="0" w:color="auto"/>
        <w:right w:val="none" w:sz="0" w:space="0" w:color="auto"/>
      </w:divBdr>
    </w:div>
    <w:div w:id="1540583599">
      <w:bodyDiv w:val="1"/>
      <w:marLeft w:val="0"/>
      <w:marRight w:val="0"/>
      <w:marTop w:val="0"/>
      <w:marBottom w:val="0"/>
      <w:divBdr>
        <w:top w:val="none" w:sz="0" w:space="0" w:color="auto"/>
        <w:left w:val="none" w:sz="0" w:space="0" w:color="auto"/>
        <w:bottom w:val="none" w:sz="0" w:space="0" w:color="auto"/>
        <w:right w:val="none" w:sz="0" w:space="0" w:color="auto"/>
      </w:divBdr>
      <w:divsChild>
        <w:div w:id="742340738">
          <w:marLeft w:val="0"/>
          <w:marRight w:val="0"/>
          <w:marTop w:val="0"/>
          <w:marBottom w:val="0"/>
          <w:divBdr>
            <w:top w:val="none" w:sz="0" w:space="0" w:color="auto"/>
            <w:left w:val="none" w:sz="0" w:space="0" w:color="auto"/>
            <w:bottom w:val="none" w:sz="0" w:space="0" w:color="auto"/>
            <w:right w:val="none" w:sz="0" w:space="0" w:color="auto"/>
          </w:divBdr>
        </w:div>
        <w:div w:id="2136946479">
          <w:marLeft w:val="0"/>
          <w:marRight w:val="0"/>
          <w:marTop w:val="0"/>
          <w:marBottom w:val="0"/>
          <w:divBdr>
            <w:top w:val="none" w:sz="0" w:space="0" w:color="auto"/>
            <w:left w:val="none" w:sz="0" w:space="0" w:color="auto"/>
            <w:bottom w:val="none" w:sz="0" w:space="0" w:color="auto"/>
            <w:right w:val="none" w:sz="0" w:space="0" w:color="auto"/>
          </w:divBdr>
        </w:div>
      </w:divsChild>
    </w:div>
    <w:div w:id="1550220849">
      <w:bodyDiv w:val="1"/>
      <w:marLeft w:val="0"/>
      <w:marRight w:val="0"/>
      <w:marTop w:val="0"/>
      <w:marBottom w:val="0"/>
      <w:divBdr>
        <w:top w:val="none" w:sz="0" w:space="0" w:color="auto"/>
        <w:left w:val="none" w:sz="0" w:space="0" w:color="auto"/>
        <w:bottom w:val="none" w:sz="0" w:space="0" w:color="auto"/>
        <w:right w:val="none" w:sz="0" w:space="0" w:color="auto"/>
      </w:divBdr>
      <w:divsChild>
        <w:div w:id="897982377">
          <w:marLeft w:val="274"/>
          <w:marRight w:val="0"/>
          <w:marTop w:val="0"/>
          <w:marBottom w:val="0"/>
          <w:divBdr>
            <w:top w:val="none" w:sz="0" w:space="0" w:color="auto"/>
            <w:left w:val="none" w:sz="0" w:space="0" w:color="auto"/>
            <w:bottom w:val="none" w:sz="0" w:space="0" w:color="auto"/>
            <w:right w:val="none" w:sz="0" w:space="0" w:color="auto"/>
          </w:divBdr>
        </w:div>
        <w:div w:id="1169060584">
          <w:marLeft w:val="274"/>
          <w:marRight w:val="0"/>
          <w:marTop w:val="0"/>
          <w:marBottom w:val="0"/>
          <w:divBdr>
            <w:top w:val="none" w:sz="0" w:space="0" w:color="auto"/>
            <w:left w:val="none" w:sz="0" w:space="0" w:color="auto"/>
            <w:bottom w:val="none" w:sz="0" w:space="0" w:color="auto"/>
            <w:right w:val="none" w:sz="0" w:space="0" w:color="auto"/>
          </w:divBdr>
        </w:div>
      </w:divsChild>
    </w:div>
    <w:div w:id="1672248738">
      <w:bodyDiv w:val="1"/>
      <w:marLeft w:val="0"/>
      <w:marRight w:val="0"/>
      <w:marTop w:val="0"/>
      <w:marBottom w:val="0"/>
      <w:divBdr>
        <w:top w:val="none" w:sz="0" w:space="0" w:color="auto"/>
        <w:left w:val="none" w:sz="0" w:space="0" w:color="auto"/>
        <w:bottom w:val="none" w:sz="0" w:space="0" w:color="auto"/>
        <w:right w:val="none" w:sz="0" w:space="0" w:color="auto"/>
      </w:divBdr>
    </w:div>
    <w:div w:id="1685865431">
      <w:bodyDiv w:val="1"/>
      <w:marLeft w:val="0"/>
      <w:marRight w:val="0"/>
      <w:marTop w:val="0"/>
      <w:marBottom w:val="0"/>
      <w:divBdr>
        <w:top w:val="none" w:sz="0" w:space="0" w:color="auto"/>
        <w:left w:val="none" w:sz="0" w:space="0" w:color="auto"/>
        <w:bottom w:val="none" w:sz="0" w:space="0" w:color="auto"/>
        <w:right w:val="none" w:sz="0" w:space="0" w:color="auto"/>
      </w:divBdr>
    </w:div>
    <w:div w:id="1734936299">
      <w:bodyDiv w:val="1"/>
      <w:marLeft w:val="0"/>
      <w:marRight w:val="0"/>
      <w:marTop w:val="0"/>
      <w:marBottom w:val="0"/>
      <w:divBdr>
        <w:top w:val="none" w:sz="0" w:space="0" w:color="auto"/>
        <w:left w:val="none" w:sz="0" w:space="0" w:color="auto"/>
        <w:bottom w:val="none" w:sz="0" w:space="0" w:color="auto"/>
        <w:right w:val="none" w:sz="0" w:space="0" w:color="auto"/>
      </w:divBdr>
      <w:divsChild>
        <w:div w:id="1812139478">
          <w:marLeft w:val="0"/>
          <w:marRight w:val="0"/>
          <w:marTop w:val="0"/>
          <w:marBottom w:val="0"/>
          <w:divBdr>
            <w:top w:val="none" w:sz="0" w:space="0" w:color="auto"/>
            <w:left w:val="none" w:sz="0" w:space="0" w:color="auto"/>
            <w:bottom w:val="none" w:sz="0" w:space="0" w:color="auto"/>
            <w:right w:val="none" w:sz="0" w:space="0" w:color="auto"/>
          </w:divBdr>
        </w:div>
      </w:divsChild>
    </w:div>
    <w:div w:id="1754816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footer" Target="footer4.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emf"/><Relationship Id="rId68" Type="http://schemas.openxmlformats.org/officeDocument/2006/relationships/image" Target="media/image51.png"/><Relationship Id="rId76" Type="http://schemas.openxmlformats.org/officeDocument/2006/relationships/image" Target="media/image59.emf"/><Relationship Id="rId7" Type="http://schemas.openxmlformats.org/officeDocument/2006/relationships/styles" Target="styles.xml"/><Relationship Id="rId71" Type="http://schemas.openxmlformats.org/officeDocument/2006/relationships/image" Target="media/image54.emf"/><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sv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svg"/><Relationship Id="rId79" Type="http://schemas.openxmlformats.org/officeDocument/2006/relationships/image" Target="media/image62.png"/><Relationship Id="rId5" Type="http://schemas.openxmlformats.org/officeDocument/2006/relationships/customXml" Target="../customXml/item5.xml"/><Relationship Id="rId61" Type="http://schemas.openxmlformats.org/officeDocument/2006/relationships/image" Target="media/image44.png"/><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sv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svg"/><Relationship Id="rId77" Type="http://schemas.openxmlformats.org/officeDocument/2006/relationships/image" Target="media/image60.png"/><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55.emf"/><Relationship Id="rId80" Type="http://schemas.openxmlformats.org/officeDocument/2006/relationships/image" Target="media/image63.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svg"/><Relationship Id="rId20" Type="http://schemas.openxmlformats.org/officeDocument/2006/relationships/header" Target="header4.xm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emf"/><Relationship Id="rId70" Type="http://schemas.openxmlformats.org/officeDocument/2006/relationships/image" Target="media/image53.png"/><Relationship Id="rId75" Type="http://schemas.openxmlformats.org/officeDocument/2006/relationships/image" Target="media/image58.png"/><Relationship Id="rId83"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n.Johnson\AppData\Roaming\Microsoft\Templates\2%20Report\Report%20template_AU%20-%20Portrait.dotm" TargetMode="External"/></Relationships>
</file>

<file path=word/documenttasks/documenttasks1.xml><?xml version="1.0" encoding="utf-8"?>
<t:Tasks xmlns:t="http://schemas.microsoft.com/office/tasks/2019/documenttasks" xmlns:oel="http://schemas.microsoft.com/office/2019/extlst">
  <t:Task id="{BA1D0AC0-4EBD-4C2B-A3EE-2F102B20E202}">
    <t:Anchor>
      <t:Comment id="1367805656"/>
    </t:Anchor>
    <t:History>
      <t:Event id="{043845D9-BC36-48AC-82E6-D02F59FFA537}" time="2024-02-16T00:32:54.452Z">
        <t:Attribution userId="S::Thomas.Holman@nousgroup.com::a79c3198-df8e-42ee-a3ba-3f4ef4500518" userProvider="AD" userName="Tom Holman"/>
        <t:Anchor>
          <t:Comment id="1574925979"/>
        </t:Anchor>
        <t:Create/>
      </t:Event>
      <t:Event id="{7EB9E898-75D7-40E5-92DF-B073F297C647}" time="2024-02-16T00:32:54.452Z">
        <t:Attribution userId="S::Thomas.Holman@nousgroup.com::a79c3198-df8e-42ee-a3ba-3f4ef4500518" userProvider="AD" userName="Tom Holman"/>
        <t:Anchor>
          <t:Comment id="1574925979"/>
        </t:Anchor>
        <t:Assign userId="S::Casey.Merrick@nousgroup.com::9ddf13fc-8c40-4253-ad78-45295e326d85" userProvider="AD" userName="Casey Merrick"/>
      </t:Event>
      <t:Event id="{E298797F-10C4-4EA0-9764-CF81AD99FE88}" time="2024-02-16T00:32:54.452Z">
        <t:Attribution userId="S::Thomas.Holman@nousgroup.com::a79c3198-df8e-42ee-a3ba-3f4ef4500518" userProvider="AD" userName="Tom Holman"/>
        <t:Anchor>
          <t:Comment id="1574925979"/>
        </t:Anchor>
        <t:SetTitle title="@Casey Merrick I don’t think we should make this statement unless we have an idea of what we’re talking about. Perhaps we can remove it, and see how the PHI branch responds the objective - whether they’re happy with the logic that increase coverage…"/>
      </t:Event>
    </t:History>
  </t:Task>
</t:Task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2024-04-29T00:00:00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3abac70-1bb9-407d-b0e5-3398b1636e10">
      <Terms xmlns="http://schemas.microsoft.com/office/infopath/2007/PartnerControls"/>
    </lcf76f155ced4ddcb4097134ff3c332f>
    <TaxCatchAll xmlns="06d10f8f-972e-482d-ba3d-e39124a9329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46E8C8D4FAD34BBB1CAF9A5132AE35" ma:contentTypeVersion="13" ma:contentTypeDescription="Create a new document." ma:contentTypeScope="" ma:versionID="bc30b3390435fdd8f277405b1c0a067f">
  <xsd:schema xmlns:xsd="http://www.w3.org/2001/XMLSchema" xmlns:xs="http://www.w3.org/2001/XMLSchema" xmlns:p="http://schemas.microsoft.com/office/2006/metadata/properties" xmlns:ns2="83abac70-1bb9-407d-b0e5-3398b1636e10" xmlns:ns3="06d10f8f-972e-482d-ba3d-e39124a93290" targetNamespace="http://schemas.microsoft.com/office/2006/metadata/properties" ma:root="true" ma:fieldsID="58c019fb980d73069176a5601f525828" ns2:_="" ns3:_="">
    <xsd:import namespace="83abac70-1bb9-407d-b0e5-3398b1636e10"/>
    <xsd:import namespace="06d10f8f-972e-482d-ba3d-e39124a9329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abac70-1bb9-407d-b0e5-3398b1636e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2a39602-bab5-4ac0-a14f-71daef3a253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d10f8f-972e-482d-ba3d-e39124a9329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4edece1-497e-4349-beed-cb207436f1a6}" ma:internalName="TaxCatchAll" ma:showField="CatchAllData" ma:web="06d10f8f-972e-482d-ba3d-e39124a932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B462EA-10A7-4754-94DC-A6846B7C0C55}">
  <ds:schemaRefs>
    <ds:schemaRef ds:uri="http://schemas.microsoft.com/office/2006/metadata/properties"/>
    <ds:schemaRef ds:uri="http://schemas.microsoft.com/office/infopath/2007/PartnerControls"/>
    <ds:schemaRef ds:uri="83abac70-1bb9-407d-b0e5-3398b1636e10"/>
    <ds:schemaRef ds:uri="06d10f8f-972e-482d-ba3d-e39124a93290"/>
  </ds:schemaRefs>
</ds:datastoreItem>
</file>

<file path=customXml/itemProps3.xml><?xml version="1.0" encoding="utf-8"?>
<ds:datastoreItem xmlns:ds="http://schemas.openxmlformats.org/officeDocument/2006/customXml" ds:itemID="{5BA7556C-D600-4C7C-A3D0-A0AE02DBF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abac70-1bb9-407d-b0e5-3398b1636e10"/>
    <ds:schemaRef ds:uri="06d10f8f-972e-482d-ba3d-e39124a932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5.xml><?xml version="1.0" encoding="utf-8"?>
<ds:datastoreItem xmlns:ds="http://schemas.openxmlformats.org/officeDocument/2006/customXml" ds:itemID="{2875B17F-0DB6-4FF5-A0B5-36D245B95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template_AU - Portrait.dotm</Template>
  <TotalTime>3</TotalTime>
  <Pages>98</Pages>
  <Words>33400</Words>
  <Characters>180365</Characters>
  <Application>Microsoft Office Word</Application>
  <DocSecurity>0</DocSecurity>
  <Lines>3536</Lines>
  <Paragraphs>1858</Paragraphs>
  <ScaleCrop>false</ScaleCrop>
  <Company>The Nous Group</Company>
  <LinksUpToDate>false</LinksUpToDate>
  <CharactersWithSpaces>211907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Baseline Evaluation of the Prostheses List Reforms</dc:title>
  <dc:subject>Department of Health and Aged Care</dc:subject>
  <dc:creator>Nous Group</dc:creator>
  <cp:keywords/>
  <cp:lastModifiedBy>MASCHKE, Elvia</cp:lastModifiedBy>
  <cp:revision>2</cp:revision>
  <cp:lastPrinted>2024-04-29T02:50:00Z</cp:lastPrinted>
  <dcterms:created xsi:type="dcterms:W3CDTF">2024-10-10T05:59:00Z</dcterms:created>
  <dcterms:modified xsi:type="dcterms:W3CDTF">2024-10-10T05:59:00Z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0x0101007246E8C8D4FAD34BBB1CAF9A5132AE35</vt:lpwstr>
  </property>
  <property fmtid="{D5CDD505-2E9C-101B-9397-08002B2CF9AE}" pid="3" name="MediaServiceImageTags">
    <vt:lpwstr/>
  </property>
</Properties>
</file>