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AD424" w14:textId="0821EAAF" w:rsidR="003146BC" w:rsidRDefault="00A310A3" w:rsidP="003146BC">
      <w:pPr>
        <w:spacing w:before="360"/>
        <w:jc w:val="center"/>
      </w:pPr>
      <w:r>
        <w:rPr>
          <w:rFonts w:cs="Times New Roman"/>
          <w:b/>
          <w:noProof/>
          <w:szCs w:val="24"/>
          <w:lang w:eastAsia="en-AU"/>
        </w:rPr>
        <w:drawing>
          <wp:inline distT="0" distB="0" distL="0" distR="0" wp14:anchorId="3276337B" wp14:editId="23185519">
            <wp:extent cx="2991658" cy="1657350"/>
            <wp:effectExtent l="0" t="0" r="0" b="0"/>
            <wp:docPr id="2" name="Picture 2" descr="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oat of Arms"/>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3013680" cy="1669550"/>
                    </a:xfrm>
                    <a:prstGeom prst="rect">
                      <a:avLst/>
                    </a:prstGeom>
                    <a:noFill/>
                    <a:ln>
                      <a:noFill/>
                    </a:ln>
                  </pic:spPr>
                </pic:pic>
              </a:graphicData>
            </a:graphic>
          </wp:inline>
        </w:drawing>
      </w:r>
    </w:p>
    <w:p w14:paraId="25C0E5F6" w14:textId="4AFE9B74" w:rsidR="001A141A" w:rsidRDefault="003146BC" w:rsidP="006A746B">
      <w:pPr>
        <w:pStyle w:val="Title"/>
        <w:rPr>
          <w:rFonts w:ascii="Calibri" w:eastAsia="Times New Roman" w:hAnsi="Calibri" w:cs="Calibri"/>
          <w:sz w:val="24"/>
          <w:szCs w:val="24"/>
          <w:lang w:eastAsia="en-AU"/>
        </w:rPr>
      </w:pPr>
      <w:r w:rsidRPr="00594A0A">
        <w:t xml:space="preserve">Australian Government response to the </w:t>
      </w:r>
      <w:r w:rsidR="00C81222">
        <w:t xml:space="preserve">Senate Community Affairs References </w:t>
      </w:r>
      <w:r w:rsidR="00C81222" w:rsidRPr="006A746B">
        <w:t>Committee</w:t>
      </w:r>
      <w:r w:rsidR="00C81222">
        <w:t xml:space="preserve"> </w:t>
      </w:r>
      <w:r w:rsidRPr="00594A0A">
        <w:t>report:</w:t>
      </w:r>
    </w:p>
    <w:p w14:paraId="3E860CB2" w14:textId="3EAF8E1E" w:rsidR="00862F39" w:rsidRPr="00C81222" w:rsidRDefault="00862F39" w:rsidP="006A746B">
      <w:pPr>
        <w:pStyle w:val="Subtitle"/>
      </w:pPr>
      <w:r w:rsidRPr="00C81222">
        <w:t>Administration of registration and notification by the Australian Health Practitioner Regulation Agency and related entities under the Health Practitioner Regulation National</w:t>
      </w:r>
      <w:r w:rsidR="00C81222">
        <w:t> </w:t>
      </w:r>
      <w:r w:rsidRPr="00C81222">
        <w:t>Law</w:t>
      </w:r>
      <w:r w:rsidR="004B33CA" w:rsidRPr="00C81222">
        <w:t>.</w:t>
      </w:r>
    </w:p>
    <w:p w14:paraId="715C5CDE" w14:textId="31FA43EC" w:rsidR="003146BC" w:rsidRDefault="00C81222" w:rsidP="00C81222">
      <w:pPr>
        <w:jc w:val="right"/>
        <w:rPr>
          <w:rFonts w:cstheme="minorHAnsi"/>
          <w:caps/>
          <w:sz w:val="32"/>
          <w:szCs w:val="32"/>
        </w:rPr>
      </w:pPr>
      <w:r>
        <w:rPr>
          <w:rFonts w:cstheme="minorHAnsi"/>
          <w:caps/>
          <w:sz w:val="32"/>
          <w:szCs w:val="32"/>
        </w:rPr>
        <w:t>September 2024</w:t>
      </w:r>
    </w:p>
    <w:p w14:paraId="3368AB91" w14:textId="2D89B887" w:rsidR="00C81222" w:rsidRDefault="00C81222">
      <w:pPr>
        <w:spacing w:after="160" w:line="259" w:lineRule="auto"/>
        <w:rPr>
          <w:rFonts w:cstheme="minorHAnsi"/>
          <w:caps/>
          <w:sz w:val="32"/>
          <w:szCs w:val="32"/>
        </w:rPr>
      </w:pPr>
      <w:r>
        <w:rPr>
          <w:rFonts w:cstheme="minorHAnsi"/>
          <w:caps/>
          <w:sz w:val="32"/>
          <w:szCs w:val="32"/>
        </w:rPr>
        <w:br w:type="page"/>
      </w:r>
    </w:p>
    <w:p w14:paraId="78FCBA71" w14:textId="28CEACE9" w:rsidR="00C81222" w:rsidRDefault="00C81222" w:rsidP="006A746B">
      <w:pPr>
        <w:pStyle w:val="Heading1"/>
      </w:pPr>
      <w:r>
        <w:lastRenderedPageBreak/>
        <w:t xml:space="preserve">Response to the </w:t>
      </w:r>
      <w:r w:rsidRPr="006A746B">
        <w:t>recommendations</w:t>
      </w:r>
    </w:p>
    <w:p w14:paraId="12897006" w14:textId="42B59DE3" w:rsidR="00C81222" w:rsidRPr="006A746B" w:rsidRDefault="00C81222" w:rsidP="006A746B">
      <w:pPr>
        <w:pStyle w:val="Heading2"/>
      </w:pPr>
      <w:r w:rsidRPr="00834EFE">
        <w:t>Australian Government response</w:t>
      </w:r>
    </w:p>
    <w:p w14:paraId="7A1F659F" w14:textId="410AEBD5" w:rsidR="007B0EDD" w:rsidRPr="0080701D" w:rsidRDefault="007B0EDD" w:rsidP="0080701D">
      <w:pPr>
        <w:spacing w:line="240" w:lineRule="auto"/>
        <w:rPr>
          <w:rFonts w:ascii="Calibri" w:hAnsi="Calibri" w:cs="Calibri"/>
          <w:color w:val="000000"/>
          <w:sz w:val="24"/>
          <w:szCs w:val="24"/>
        </w:rPr>
      </w:pPr>
      <w:r w:rsidRPr="0080701D">
        <w:rPr>
          <w:rFonts w:ascii="Calibri" w:hAnsi="Calibri" w:cs="Calibri"/>
          <w:color w:val="000000"/>
          <w:sz w:val="24"/>
          <w:szCs w:val="24"/>
        </w:rPr>
        <w:t xml:space="preserve">The Government notes this recommendation. However, given the passage of time since this report was tabled, in </w:t>
      </w:r>
      <w:r w:rsidR="0080701D" w:rsidRPr="0080701D">
        <w:rPr>
          <w:rFonts w:ascii="Calibri" w:hAnsi="Calibri" w:cs="Calibri"/>
          <w:color w:val="000000"/>
          <w:sz w:val="24"/>
          <w:szCs w:val="24"/>
        </w:rPr>
        <w:t xml:space="preserve">April 2022, </w:t>
      </w:r>
      <w:r w:rsidRPr="0080701D">
        <w:rPr>
          <w:rFonts w:ascii="Calibri" w:hAnsi="Calibri" w:cs="Calibri"/>
          <w:color w:val="000000"/>
          <w:sz w:val="24"/>
          <w:szCs w:val="24"/>
        </w:rPr>
        <w:t>a substantive Government response is no longer appropriate.</w:t>
      </w:r>
    </w:p>
    <w:p w14:paraId="588F1B53" w14:textId="2553FF99" w:rsidR="007B0EDD" w:rsidRPr="0080701D" w:rsidRDefault="007B0EDD" w:rsidP="007B0EDD">
      <w:pPr>
        <w:rPr>
          <w:sz w:val="24"/>
          <w:szCs w:val="24"/>
        </w:rPr>
      </w:pPr>
      <w:r w:rsidRPr="0080701D">
        <w:rPr>
          <w:sz w:val="24"/>
          <w:szCs w:val="24"/>
        </w:rPr>
        <w:t>A number of reviews of the National Registration and Accreditation Scheme and reforms have occurred since this time which respond to the concerns raised by Senate Committee. These include:</w:t>
      </w:r>
    </w:p>
    <w:p w14:paraId="087AFA56" w14:textId="5AB959C3" w:rsidR="007B0EDD" w:rsidRPr="0080701D" w:rsidRDefault="007B0EDD" w:rsidP="00307078">
      <w:pPr>
        <w:tabs>
          <w:tab w:val="left" w:pos="450"/>
        </w:tabs>
        <w:ind w:left="360" w:hanging="360"/>
        <w:rPr>
          <w:sz w:val="24"/>
          <w:szCs w:val="24"/>
        </w:rPr>
      </w:pPr>
      <w:r w:rsidRPr="0080701D">
        <w:rPr>
          <w:sz w:val="24"/>
          <w:szCs w:val="24"/>
        </w:rPr>
        <w:t>•</w:t>
      </w:r>
      <w:r w:rsidRPr="0080701D">
        <w:rPr>
          <w:sz w:val="24"/>
          <w:szCs w:val="24"/>
        </w:rPr>
        <w:tab/>
        <w:t xml:space="preserve">Reforms to cosmetic surgery, including title protection of the term surgeon </w:t>
      </w:r>
      <w:hyperlink r:id="rId9" w:history="1">
        <w:r w:rsidR="003857D6" w:rsidRPr="00AE5DC6">
          <w:rPr>
            <w:rStyle w:val="Hyperlink"/>
            <w:sz w:val="24"/>
            <w:szCs w:val="24"/>
          </w:rPr>
          <w:t>https://www.health.gov.au/our-work/cosmetic-surgery-reforms</w:t>
        </w:r>
      </w:hyperlink>
      <w:r w:rsidRPr="0080701D">
        <w:rPr>
          <w:sz w:val="24"/>
          <w:szCs w:val="24"/>
        </w:rPr>
        <w:t>.</w:t>
      </w:r>
    </w:p>
    <w:p w14:paraId="70E274A1" w14:textId="77777777" w:rsidR="007B0EDD" w:rsidRPr="0080701D" w:rsidRDefault="007B0EDD" w:rsidP="00307078">
      <w:pPr>
        <w:tabs>
          <w:tab w:val="left" w:pos="450"/>
        </w:tabs>
        <w:ind w:left="360" w:hanging="360"/>
        <w:rPr>
          <w:sz w:val="24"/>
          <w:szCs w:val="24"/>
        </w:rPr>
      </w:pPr>
      <w:r w:rsidRPr="0080701D">
        <w:rPr>
          <w:sz w:val="24"/>
          <w:szCs w:val="24"/>
        </w:rPr>
        <w:t>•</w:t>
      </w:r>
      <w:r w:rsidRPr="0080701D">
        <w:rPr>
          <w:sz w:val="24"/>
          <w:szCs w:val="24"/>
        </w:rPr>
        <w:tab/>
        <w:t>The Independent review of Australia’s regulatory settings relating to overseas health practitioners (Kruk Review) which was endorsed by National Cabinet in December 2023 with implementation of health recommendations due for completion by July 2025.</w:t>
      </w:r>
    </w:p>
    <w:p w14:paraId="3AA137F4" w14:textId="3D5A7F76" w:rsidR="007B0EDD" w:rsidRPr="0080701D" w:rsidRDefault="007B0EDD" w:rsidP="00307078">
      <w:pPr>
        <w:tabs>
          <w:tab w:val="left" w:pos="450"/>
        </w:tabs>
        <w:ind w:left="360" w:hanging="360"/>
        <w:rPr>
          <w:sz w:val="24"/>
          <w:szCs w:val="24"/>
        </w:rPr>
      </w:pPr>
      <w:r w:rsidRPr="0080701D">
        <w:rPr>
          <w:sz w:val="24"/>
          <w:szCs w:val="24"/>
        </w:rPr>
        <w:t>•</w:t>
      </w:r>
      <w:r w:rsidRPr="0080701D">
        <w:rPr>
          <w:sz w:val="24"/>
          <w:szCs w:val="24"/>
        </w:rPr>
        <w:tab/>
        <w:t xml:space="preserve">The Independent review of the regulation of podiatric surgeons </w:t>
      </w:r>
      <w:hyperlink r:id="rId10" w:history="1">
        <w:r w:rsidR="003857D6" w:rsidRPr="00AE5DC6">
          <w:rPr>
            <w:rStyle w:val="Hyperlink"/>
            <w:sz w:val="24"/>
            <w:szCs w:val="24"/>
          </w:rPr>
          <w:t>https://www.podiatryboard.gov.au/News/Independent-review-for-podiatric-surgeons.aspx</w:t>
        </w:r>
      </w:hyperlink>
      <w:r w:rsidR="003857D6">
        <w:rPr>
          <w:sz w:val="24"/>
          <w:szCs w:val="24"/>
        </w:rPr>
        <w:t>.</w:t>
      </w:r>
      <w:r w:rsidRPr="0080701D">
        <w:rPr>
          <w:sz w:val="24"/>
          <w:szCs w:val="24"/>
        </w:rPr>
        <w:t xml:space="preserve"> Ahpra will engage with Health Ministers on the outcomes of this review in late 2024.</w:t>
      </w:r>
    </w:p>
    <w:p w14:paraId="55EC6208" w14:textId="53D89D52" w:rsidR="007B0EDD" w:rsidRPr="0080701D" w:rsidRDefault="007B0EDD" w:rsidP="00307078">
      <w:pPr>
        <w:tabs>
          <w:tab w:val="left" w:pos="450"/>
        </w:tabs>
        <w:ind w:left="360" w:hanging="360"/>
        <w:rPr>
          <w:sz w:val="24"/>
          <w:szCs w:val="24"/>
        </w:rPr>
      </w:pPr>
      <w:r w:rsidRPr="0080701D">
        <w:rPr>
          <w:sz w:val="24"/>
          <w:szCs w:val="24"/>
        </w:rPr>
        <w:t>•</w:t>
      </w:r>
      <w:r w:rsidRPr="0080701D">
        <w:rPr>
          <w:sz w:val="24"/>
          <w:szCs w:val="24"/>
        </w:rPr>
        <w:tab/>
        <w:t>Health Ministers commissioned an Independent review of the regulatory complexity of the National Registration and Accreditation Scheme (Complexity Review) which is currently underway with a final report expected in April 2025. This review will consider issues including</w:t>
      </w:r>
    </w:p>
    <w:p w14:paraId="6879B74D" w14:textId="77777777" w:rsidR="007B0EDD" w:rsidRPr="0080701D" w:rsidRDefault="007B0EDD" w:rsidP="003857D6">
      <w:pPr>
        <w:tabs>
          <w:tab w:val="left" w:pos="810"/>
        </w:tabs>
        <w:ind w:left="810" w:hanging="450"/>
        <w:rPr>
          <w:sz w:val="24"/>
          <w:szCs w:val="24"/>
        </w:rPr>
      </w:pPr>
      <w:r w:rsidRPr="0080701D">
        <w:rPr>
          <w:sz w:val="24"/>
          <w:szCs w:val="24"/>
        </w:rPr>
        <w:t>o</w:t>
      </w:r>
      <w:r w:rsidRPr="0080701D">
        <w:rPr>
          <w:sz w:val="24"/>
          <w:szCs w:val="24"/>
        </w:rPr>
        <w:tab/>
        <w:t>Consistency in decision making across complaints and notifications processes</w:t>
      </w:r>
    </w:p>
    <w:p w14:paraId="207A027B" w14:textId="77777777" w:rsidR="007B0EDD" w:rsidRPr="0080701D" w:rsidRDefault="007B0EDD" w:rsidP="003857D6">
      <w:pPr>
        <w:tabs>
          <w:tab w:val="left" w:pos="810"/>
        </w:tabs>
        <w:ind w:left="810" w:hanging="450"/>
        <w:rPr>
          <w:sz w:val="24"/>
          <w:szCs w:val="24"/>
        </w:rPr>
      </w:pPr>
      <w:r w:rsidRPr="0080701D">
        <w:rPr>
          <w:sz w:val="24"/>
          <w:szCs w:val="24"/>
        </w:rPr>
        <w:t>o</w:t>
      </w:r>
      <w:r w:rsidRPr="0080701D">
        <w:rPr>
          <w:sz w:val="24"/>
          <w:szCs w:val="24"/>
        </w:rPr>
        <w:tab/>
        <w:t>Stewardship of the National Scheme including the regulatory principles that govern the National Scheme</w:t>
      </w:r>
    </w:p>
    <w:p w14:paraId="03BDE5AE" w14:textId="77777777" w:rsidR="007B0EDD" w:rsidRPr="0080701D" w:rsidRDefault="007B0EDD" w:rsidP="003857D6">
      <w:pPr>
        <w:tabs>
          <w:tab w:val="left" w:pos="810"/>
        </w:tabs>
        <w:ind w:left="810" w:hanging="450"/>
        <w:rPr>
          <w:sz w:val="24"/>
          <w:szCs w:val="24"/>
        </w:rPr>
      </w:pPr>
      <w:r w:rsidRPr="0080701D">
        <w:rPr>
          <w:sz w:val="24"/>
          <w:szCs w:val="24"/>
        </w:rPr>
        <w:t>o</w:t>
      </w:r>
      <w:r w:rsidRPr="0080701D">
        <w:rPr>
          <w:sz w:val="24"/>
          <w:szCs w:val="24"/>
        </w:rPr>
        <w:tab/>
        <w:t>Expansion of the National Scheme to include other allied health professions</w:t>
      </w:r>
    </w:p>
    <w:p w14:paraId="44CC1DF3" w14:textId="4DDA1F65" w:rsidR="00DC11FE" w:rsidRDefault="007B0EDD" w:rsidP="00DC11FE">
      <w:pPr>
        <w:tabs>
          <w:tab w:val="left" w:pos="810"/>
        </w:tabs>
        <w:ind w:left="810" w:hanging="450"/>
        <w:rPr>
          <w:sz w:val="24"/>
          <w:szCs w:val="24"/>
        </w:rPr>
      </w:pPr>
      <w:r w:rsidRPr="0080701D">
        <w:rPr>
          <w:sz w:val="24"/>
          <w:szCs w:val="24"/>
        </w:rPr>
        <w:t>o</w:t>
      </w:r>
      <w:r w:rsidRPr="0080701D">
        <w:rPr>
          <w:sz w:val="24"/>
          <w:szCs w:val="24"/>
        </w:rPr>
        <w:tab/>
        <w:t>Oversight by health ministers of accreditation activities which are delivered by entitles not specifically mentioned in the National Law.</w:t>
      </w:r>
    </w:p>
    <w:p w14:paraId="35F6362E" w14:textId="32E9C93E" w:rsidR="007B0EDD" w:rsidRPr="00DC11FE" w:rsidRDefault="007B0EDD" w:rsidP="00DC11FE">
      <w:pPr>
        <w:pStyle w:val="ListParagraph"/>
        <w:numPr>
          <w:ilvl w:val="0"/>
          <w:numId w:val="3"/>
        </w:numPr>
        <w:tabs>
          <w:tab w:val="left" w:pos="810"/>
        </w:tabs>
        <w:rPr>
          <w:sz w:val="24"/>
          <w:szCs w:val="24"/>
        </w:rPr>
      </w:pPr>
      <w:r w:rsidRPr="00DC11FE">
        <w:rPr>
          <w:sz w:val="24"/>
          <w:szCs w:val="24"/>
        </w:rPr>
        <w:t xml:space="preserve">Ahpra has also issued a Blueprint to enable a proactive approach to professional boundaries and professional sexual misconduct </w:t>
      </w:r>
      <w:hyperlink r:id="rId11" w:history="1">
        <w:r w:rsidR="003857D6" w:rsidRPr="00DC11FE">
          <w:rPr>
            <w:rStyle w:val="Hyperlink"/>
            <w:sz w:val="24"/>
            <w:szCs w:val="24"/>
          </w:rPr>
          <w:t>https://www.ahpra.gov.au/News/2023-02-14-reform-blueprint.aspx</w:t>
        </w:r>
      </w:hyperlink>
      <w:r w:rsidR="003857D6" w:rsidRPr="00DC11FE">
        <w:rPr>
          <w:sz w:val="24"/>
          <w:szCs w:val="24"/>
        </w:rPr>
        <w:t>.</w:t>
      </w:r>
    </w:p>
    <w:p w14:paraId="402ECBA8" w14:textId="2A0697C5" w:rsidR="00C81222" w:rsidRPr="0080701D" w:rsidRDefault="007B0EDD" w:rsidP="007B0EDD">
      <w:pPr>
        <w:rPr>
          <w:sz w:val="24"/>
          <w:szCs w:val="24"/>
        </w:rPr>
      </w:pPr>
      <w:r w:rsidRPr="0080701D">
        <w:rPr>
          <w:sz w:val="24"/>
          <w:szCs w:val="24"/>
        </w:rPr>
        <w:t xml:space="preserve">The above reforms are either </w:t>
      </w:r>
      <w:r w:rsidR="00DC11FE">
        <w:rPr>
          <w:sz w:val="24"/>
          <w:szCs w:val="24"/>
        </w:rPr>
        <w:t xml:space="preserve">currently being implemented </w:t>
      </w:r>
      <w:r w:rsidRPr="0080701D">
        <w:rPr>
          <w:sz w:val="24"/>
          <w:szCs w:val="24"/>
        </w:rPr>
        <w:t xml:space="preserve">or will be discussed by Health Minister in the coming year. Pending </w:t>
      </w:r>
      <w:r w:rsidR="00DC11FE">
        <w:rPr>
          <w:sz w:val="24"/>
          <w:szCs w:val="24"/>
        </w:rPr>
        <w:t>H</w:t>
      </w:r>
      <w:r w:rsidRPr="0080701D">
        <w:rPr>
          <w:sz w:val="24"/>
          <w:szCs w:val="24"/>
        </w:rPr>
        <w:t xml:space="preserve">ealth </w:t>
      </w:r>
      <w:r w:rsidR="00DC11FE">
        <w:rPr>
          <w:sz w:val="24"/>
          <w:szCs w:val="24"/>
        </w:rPr>
        <w:t>M</w:t>
      </w:r>
      <w:r w:rsidRPr="0080701D">
        <w:rPr>
          <w:sz w:val="24"/>
          <w:szCs w:val="24"/>
        </w:rPr>
        <w:t>inister</w:t>
      </w:r>
      <w:r w:rsidR="00DC11FE">
        <w:rPr>
          <w:sz w:val="24"/>
          <w:szCs w:val="24"/>
        </w:rPr>
        <w:t>s’</w:t>
      </w:r>
      <w:r w:rsidRPr="0080701D">
        <w:rPr>
          <w:sz w:val="24"/>
          <w:szCs w:val="24"/>
        </w:rPr>
        <w:t xml:space="preserve"> consideration of the above reforms, further analysis will be undertake to determine if there are any outstanding actions.</w:t>
      </w:r>
    </w:p>
    <w:sectPr w:rsidR="00C81222" w:rsidRPr="00807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6795B"/>
    <w:multiLevelType w:val="hybridMultilevel"/>
    <w:tmpl w:val="B50C2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560E30"/>
    <w:multiLevelType w:val="hybridMultilevel"/>
    <w:tmpl w:val="1908A2AA"/>
    <w:lvl w:ilvl="0" w:tplc="72E64024">
      <w:start w:val="1"/>
      <w:numFmt w:val="bullet"/>
      <w:lvlText w:val=""/>
      <w:lvlJc w:val="left"/>
      <w:pPr>
        <w:ind w:left="360" w:hanging="360"/>
      </w:pPr>
      <w:rPr>
        <w:rFonts w:ascii="Symbol" w:hAnsi="Symbol" w:hint="default"/>
      </w:rPr>
    </w:lvl>
    <w:lvl w:ilvl="1" w:tplc="196C8262" w:tentative="1">
      <w:start w:val="1"/>
      <w:numFmt w:val="bullet"/>
      <w:lvlText w:val="o"/>
      <w:lvlJc w:val="left"/>
      <w:pPr>
        <w:ind w:left="1080" w:hanging="360"/>
      </w:pPr>
      <w:rPr>
        <w:rFonts w:ascii="Courier New" w:hAnsi="Courier New" w:cs="Courier New" w:hint="default"/>
      </w:rPr>
    </w:lvl>
    <w:lvl w:ilvl="2" w:tplc="706A03D6" w:tentative="1">
      <w:start w:val="1"/>
      <w:numFmt w:val="bullet"/>
      <w:lvlText w:val=""/>
      <w:lvlJc w:val="left"/>
      <w:pPr>
        <w:ind w:left="1800" w:hanging="360"/>
      </w:pPr>
      <w:rPr>
        <w:rFonts w:ascii="Wingdings" w:hAnsi="Wingdings" w:hint="default"/>
      </w:rPr>
    </w:lvl>
    <w:lvl w:ilvl="3" w:tplc="7D5EE78C" w:tentative="1">
      <w:start w:val="1"/>
      <w:numFmt w:val="bullet"/>
      <w:lvlText w:val=""/>
      <w:lvlJc w:val="left"/>
      <w:pPr>
        <w:ind w:left="2520" w:hanging="360"/>
      </w:pPr>
      <w:rPr>
        <w:rFonts w:ascii="Symbol" w:hAnsi="Symbol" w:hint="default"/>
      </w:rPr>
    </w:lvl>
    <w:lvl w:ilvl="4" w:tplc="739EF8F8" w:tentative="1">
      <w:start w:val="1"/>
      <w:numFmt w:val="bullet"/>
      <w:lvlText w:val="o"/>
      <w:lvlJc w:val="left"/>
      <w:pPr>
        <w:ind w:left="3240" w:hanging="360"/>
      </w:pPr>
      <w:rPr>
        <w:rFonts w:ascii="Courier New" w:hAnsi="Courier New" w:cs="Courier New" w:hint="default"/>
      </w:rPr>
    </w:lvl>
    <w:lvl w:ilvl="5" w:tplc="F91A1BDE" w:tentative="1">
      <w:start w:val="1"/>
      <w:numFmt w:val="bullet"/>
      <w:lvlText w:val=""/>
      <w:lvlJc w:val="left"/>
      <w:pPr>
        <w:ind w:left="3960" w:hanging="360"/>
      </w:pPr>
      <w:rPr>
        <w:rFonts w:ascii="Wingdings" w:hAnsi="Wingdings" w:hint="default"/>
      </w:rPr>
    </w:lvl>
    <w:lvl w:ilvl="6" w:tplc="57AE3AA2" w:tentative="1">
      <w:start w:val="1"/>
      <w:numFmt w:val="bullet"/>
      <w:lvlText w:val=""/>
      <w:lvlJc w:val="left"/>
      <w:pPr>
        <w:ind w:left="4680" w:hanging="360"/>
      </w:pPr>
      <w:rPr>
        <w:rFonts w:ascii="Symbol" w:hAnsi="Symbol" w:hint="default"/>
      </w:rPr>
    </w:lvl>
    <w:lvl w:ilvl="7" w:tplc="ECA4010A" w:tentative="1">
      <w:start w:val="1"/>
      <w:numFmt w:val="bullet"/>
      <w:lvlText w:val="o"/>
      <w:lvlJc w:val="left"/>
      <w:pPr>
        <w:ind w:left="5400" w:hanging="360"/>
      </w:pPr>
      <w:rPr>
        <w:rFonts w:ascii="Courier New" w:hAnsi="Courier New" w:cs="Courier New" w:hint="default"/>
      </w:rPr>
    </w:lvl>
    <w:lvl w:ilvl="8" w:tplc="356845CA" w:tentative="1">
      <w:start w:val="1"/>
      <w:numFmt w:val="bullet"/>
      <w:lvlText w:val=""/>
      <w:lvlJc w:val="left"/>
      <w:pPr>
        <w:ind w:left="6120" w:hanging="360"/>
      </w:pPr>
      <w:rPr>
        <w:rFonts w:ascii="Wingdings" w:hAnsi="Wingdings" w:hint="default"/>
      </w:rPr>
    </w:lvl>
  </w:abstractNum>
  <w:abstractNum w:abstractNumId="2" w15:restartNumberingAfterBreak="0">
    <w:nsid w:val="3F1666C3"/>
    <w:multiLevelType w:val="hybridMultilevel"/>
    <w:tmpl w:val="89D08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186845">
    <w:abstractNumId w:val="1"/>
  </w:num>
  <w:num w:numId="2" w16cid:durableId="1030258552">
    <w:abstractNumId w:val="2"/>
  </w:num>
  <w:num w:numId="3" w16cid:durableId="185041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6BC"/>
    <w:rsid w:val="0004717E"/>
    <w:rsid w:val="00071ECF"/>
    <w:rsid w:val="000A0ED7"/>
    <w:rsid w:val="000E7182"/>
    <w:rsid w:val="0012583B"/>
    <w:rsid w:val="001A141A"/>
    <w:rsid w:val="00216526"/>
    <w:rsid w:val="00224F9A"/>
    <w:rsid w:val="00280050"/>
    <w:rsid w:val="002A57B0"/>
    <w:rsid w:val="00307078"/>
    <w:rsid w:val="003146BC"/>
    <w:rsid w:val="003857D6"/>
    <w:rsid w:val="00390642"/>
    <w:rsid w:val="004153F6"/>
    <w:rsid w:val="00482FFF"/>
    <w:rsid w:val="004A7FF5"/>
    <w:rsid w:val="004B33CA"/>
    <w:rsid w:val="005F384A"/>
    <w:rsid w:val="00610EB1"/>
    <w:rsid w:val="00676936"/>
    <w:rsid w:val="006A746B"/>
    <w:rsid w:val="007B0EDD"/>
    <w:rsid w:val="00803DB5"/>
    <w:rsid w:val="0080701D"/>
    <w:rsid w:val="008461F4"/>
    <w:rsid w:val="008510A3"/>
    <w:rsid w:val="00862F39"/>
    <w:rsid w:val="009D5FDA"/>
    <w:rsid w:val="00A0359D"/>
    <w:rsid w:val="00A310A3"/>
    <w:rsid w:val="00B242E6"/>
    <w:rsid w:val="00B9169B"/>
    <w:rsid w:val="00C81222"/>
    <w:rsid w:val="00DC11FE"/>
    <w:rsid w:val="00DE7047"/>
    <w:rsid w:val="00E31E14"/>
    <w:rsid w:val="00E56AEA"/>
    <w:rsid w:val="00F14D6C"/>
    <w:rsid w:val="00F50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DA5C"/>
  <w15:chartTrackingRefBased/>
  <w15:docId w15:val="{2B5837B1-C94A-409C-A8A5-16B0D07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BC"/>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6A746B"/>
    <w:pPr>
      <w:spacing w:before="400" w:line="240" w:lineRule="auto"/>
      <w:outlineLvl w:val="0"/>
    </w:pPr>
    <w:rPr>
      <w:b/>
      <w:bCs/>
      <w:color w:val="5D779D"/>
      <w:sz w:val="44"/>
      <w:szCs w:val="44"/>
    </w:rPr>
  </w:style>
  <w:style w:type="paragraph" w:styleId="Heading2">
    <w:name w:val="heading 2"/>
    <w:basedOn w:val="Normal"/>
    <w:next w:val="Normal"/>
    <w:link w:val="Heading2Char"/>
    <w:uiPriority w:val="9"/>
    <w:unhideWhenUsed/>
    <w:qFormat/>
    <w:rsid w:val="006A746B"/>
    <w:pPr>
      <w:autoSpaceDE w:val="0"/>
      <w:autoSpaceDN w:val="0"/>
      <w:adjustRightInd w:val="0"/>
      <w:spacing w:line="240" w:lineRule="auto"/>
      <w:outlineLvl w:val="1"/>
    </w:pPr>
    <w:rPr>
      <w:rFonts w:ascii="Calibri" w:hAnsi="Calibri" w:cs="Calibri"/>
      <w:i/>
      <w:iCs/>
      <w:color w:val="2C3849"/>
      <w:sz w:val="24"/>
      <w:szCs w:val="24"/>
    </w:rPr>
  </w:style>
  <w:style w:type="paragraph" w:styleId="Heading6">
    <w:name w:val="heading 6"/>
    <w:basedOn w:val="Normal"/>
    <w:next w:val="Normal"/>
    <w:link w:val="Heading6Char"/>
    <w:uiPriority w:val="9"/>
    <w:semiHidden/>
    <w:unhideWhenUsed/>
    <w:qFormat/>
    <w:rsid w:val="003146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3146BC"/>
    <w:rPr>
      <w:rFonts w:asciiTheme="majorHAnsi" w:eastAsiaTheme="majorEastAsia" w:hAnsiTheme="majorHAnsi" w:cstheme="majorBidi"/>
      <w:color w:val="1F4D78" w:themeColor="accent1" w:themeShade="7F"/>
      <w:sz w:val="22"/>
      <w:szCs w:val="22"/>
    </w:rPr>
  </w:style>
  <w:style w:type="paragraph" w:styleId="ListParagraph">
    <w:name w:val="List Paragraph"/>
    <w:basedOn w:val="Normal"/>
    <w:uiPriority w:val="34"/>
    <w:qFormat/>
    <w:rsid w:val="003146BC"/>
    <w:pPr>
      <w:ind w:left="720"/>
      <w:contextualSpacing/>
    </w:pPr>
  </w:style>
  <w:style w:type="paragraph" w:customStyle="1" w:styleId="Default">
    <w:name w:val="Default"/>
    <w:rsid w:val="001A141A"/>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3857D6"/>
    <w:rPr>
      <w:color w:val="0563C1" w:themeColor="hyperlink"/>
      <w:u w:val="single"/>
    </w:rPr>
  </w:style>
  <w:style w:type="character" w:styleId="UnresolvedMention">
    <w:name w:val="Unresolved Mention"/>
    <w:basedOn w:val="DefaultParagraphFont"/>
    <w:uiPriority w:val="99"/>
    <w:semiHidden/>
    <w:unhideWhenUsed/>
    <w:rsid w:val="003857D6"/>
    <w:rPr>
      <w:color w:val="605E5C"/>
      <w:shd w:val="clear" w:color="auto" w:fill="E1DFDD"/>
    </w:rPr>
  </w:style>
  <w:style w:type="paragraph" w:styleId="Title">
    <w:name w:val="Title"/>
    <w:basedOn w:val="Normal"/>
    <w:next w:val="Normal"/>
    <w:link w:val="TitleChar"/>
    <w:uiPriority w:val="10"/>
    <w:qFormat/>
    <w:rsid w:val="006A746B"/>
    <w:pPr>
      <w:spacing w:after="360" w:line="240" w:lineRule="auto"/>
      <w:jc w:val="center"/>
    </w:pPr>
    <w:rPr>
      <w:rFonts w:cstheme="minorHAnsi"/>
      <w:sz w:val="36"/>
      <w:szCs w:val="36"/>
    </w:rPr>
  </w:style>
  <w:style w:type="character" w:customStyle="1" w:styleId="TitleChar">
    <w:name w:val="Title Char"/>
    <w:basedOn w:val="DefaultParagraphFont"/>
    <w:link w:val="Title"/>
    <w:uiPriority w:val="10"/>
    <w:rsid w:val="006A746B"/>
    <w:rPr>
      <w:rFonts w:asciiTheme="minorHAnsi" w:hAnsiTheme="minorHAnsi" w:cstheme="minorHAnsi"/>
      <w:sz w:val="36"/>
      <w:szCs w:val="36"/>
    </w:rPr>
  </w:style>
  <w:style w:type="paragraph" w:styleId="Subtitle">
    <w:name w:val="Subtitle"/>
    <w:basedOn w:val="Normal"/>
    <w:next w:val="Normal"/>
    <w:link w:val="SubtitleChar"/>
    <w:uiPriority w:val="11"/>
    <w:qFormat/>
    <w:rsid w:val="006A746B"/>
    <w:pPr>
      <w:spacing w:after="6600" w:line="240" w:lineRule="auto"/>
      <w:jc w:val="center"/>
    </w:pPr>
    <w:rPr>
      <w:rFonts w:ascii="Calibri" w:eastAsia="Times New Roman" w:hAnsi="Calibri" w:cs="Calibri"/>
      <w:color w:val="000000"/>
      <w:sz w:val="36"/>
      <w:szCs w:val="36"/>
      <w:lang w:eastAsia="en-AU"/>
    </w:rPr>
  </w:style>
  <w:style w:type="character" w:customStyle="1" w:styleId="SubtitleChar">
    <w:name w:val="Subtitle Char"/>
    <w:basedOn w:val="DefaultParagraphFont"/>
    <w:link w:val="Subtitle"/>
    <w:uiPriority w:val="11"/>
    <w:rsid w:val="006A746B"/>
    <w:rPr>
      <w:rFonts w:ascii="Calibri" w:eastAsia="Times New Roman" w:hAnsi="Calibri" w:cs="Calibri"/>
      <w:color w:val="000000"/>
      <w:sz w:val="36"/>
      <w:szCs w:val="36"/>
      <w:lang w:eastAsia="en-AU"/>
    </w:rPr>
  </w:style>
  <w:style w:type="character" w:customStyle="1" w:styleId="Heading1Char">
    <w:name w:val="Heading 1 Char"/>
    <w:basedOn w:val="DefaultParagraphFont"/>
    <w:link w:val="Heading1"/>
    <w:uiPriority w:val="9"/>
    <w:rsid w:val="006A746B"/>
    <w:rPr>
      <w:rFonts w:asciiTheme="minorHAnsi" w:hAnsiTheme="minorHAnsi" w:cstheme="minorBidi"/>
      <w:b/>
      <w:bCs/>
      <w:color w:val="5D779D"/>
      <w:sz w:val="44"/>
      <w:szCs w:val="44"/>
    </w:rPr>
  </w:style>
  <w:style w:type="character" w:customStyle="1" w:styleId="Heading2Char">
    <w:name w:val="Heading 2 Char"/>
    <w:basedOn w:val="DefaultParagraphFont"/>
    <w:link w:val="Heading2"/>
    <w:uiPriority w:val="9"/>
    <w:rsid w:val="006A746B"/>
    <w:rPr>
      <w:rFonts w:ascii="Calibri" w:hAnsi="Calibri" w:cs="Calibri"/>
      <w:i/>
      <w:iCs/>
      <w:color w:val="2C384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407145">
      <w:bodyDiv w:val="1"/>
      <w:marLeft w:val="0"/>
      <w:marRight w:val="0"/>
      <w:marTop w:val="0"/>
      <w:marBottom w:val="0"/>
      <w:divBdr>
        <w:top w:val="none" w:sz="0" w:space="0" w:color="auto"/>
        <w:left w:val="none" w:sz="0" w:space="0" w:color="auto"/>
        <w:bottom w:val="none" w:sz="0" w:space="0" w:color="auto"/>
        <w:right w:val="none" w:sz="0" w:space="0" w:color="auto"/>
      </w:divBdr>
    </w:div>
    <w:div w:id="1213737103">
      <w:bodyDiv w:val="1"/>
      <w:marLeft w:val="0"/>
      <w:marRight w:val="0"/>
      <w:marTop w:val="0"/>
      <w:marBottom w:val="0"/>
      <w:divBdr>
        <w:top w:val="none" w:sz="0" w:space="0" w:color="auto"/>
        <w:left w:val="none" w:sz="0" w:space="0" w:color="auto"/>
        <w:bottom w:val="none" w:sz="0" w:space="0" w:color="auto"/>
        <w:right w:val="none" w:sz="0" w:space="0" w:color="auto"/>
      </w:divBdr>
    </w:div>
    <w:div w:id="1481120352">
      <w:bodyDiv w:val="1"/>
      <w:marLeft w:val="0"/>
      <w:marRight w:val="0"/>
      <w:marTop w:val="0"/>
      <w:marBottom w:val="0"/>
      <w:divBdr>
        <w:top w:val="none" w:sz="0" w:space="0" w:color="auto"/>
        <w:left w:val="none" w:sz="0" w:space="0" w:color="auto"/>
        <w:bottom w:val="none" w:sz="0" w:space="0" w:color="auto"/>
        <w:right w:val="none" w:sz="0" w:space="0" w:color="auto"/>
      </w:divBdr>
    </w:div>
    <w:div w:id="189577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hpra.gov.au/News/2023-02-14-reform-blueprint.aspx" TargetMode="External"/><Relationship Id="rId5" Type="http://schemas.openxmlformats.org/officeDocument/2006/relationships/styles" Target="styles.xml"/><Relationship Id="rId10" Type="http://schemas.openxmlformats.org/officeDocument/2006/relationships/hyperlink" Target="https://www.podiatryboard.gov.au/News/Independent-review-for-podiatric-surgeons.aspx" TargetMode="External"/><Relationship Id="rId4" Type="http://schemas.openxmlformats.org/officeDocument/2006/relationships/numbering" Target="numbering.xml"/><Relationship Id="rId9" Type="http://schemas.openxmlformats.org/officeDocument/2006/relationships/hyperlink" Target="https://www.health.gov.au/our-work/cosmetic-surgery-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5" ma:contentTypeDescription="Create a new document." ma:contentTypeScope="" ma:versionID="73fb9e60bdbd4a6bdcc8563368b87679">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36ab1343c23fa81d3b62a03be5bd99ea"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element ref="ns2:MediaServiceSearchProperties" minOccurs="0"/>
                <xsd:element ref="ns2:Comments"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ments" ma:index="30" nillable="true" ma:displayName="Comments" ma:format="Dropdown" ma:internalName="Comments">
      <xsd:simpleType>
        <xsd:restriction base="dms:Text">
          <xsd:maxLength value="255"/>
        </xsd:restriction>
      </xsd:simpleType>
    </xsd:element>
    <xsd:element name="Assignedto" ma:index="3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identifier xmlns="839094c7-44eb-41ba-bf13-17cd8e527726" xsi:nil="true"/>
    <Website xmlns="839094c7-44eb-41ba-bf13-17cd8e527726" xsi:nil="true"/>
    <TaxCatchAll xmlns="2af0ad07-0ce2-4345-92b0-b87809ef53a8" xsi:nil="true"/>
    <sjwf xmlns="839094c7-44eb-41ba-bf13-17cd8e527726" xsi:nil="true"/>
    <Documentstatus xmlns="839094c7-44eb-41ba-bf13-17cd8e527726" xsi:nil="true"/>
    <lcf76f155ced4ddcb4097134ff3c332f xmlns="839094c7-44eb-41ba-bf13-17cd8e527726">
      <Terms xmlns="http://schemas.microsoft.com/office/infopath/2007/PartnerControls"/>
    </lcf76f155ced4ddcb4097134ff3c332f>
    <Comments xmlns="839094c7-44eb-41ba-bf13-17cd8e527726" xsi:nil="true"/>
    <Assignedto xmlns="839094c7-44eb-41ba-bf13-17cd8e527726">
      <UserInfo>
        <DisplayName/>
        <AccountId xsi:nil="true"/>
        <AccountType/>
      </UserInfo>
    </Assignedto>
  </documentManagement>
</p:properties>
</file>

<file path=customXml/itemProps1.xml><?xml version="1.0" encoding="utf-8"?>
<ds:datastoreItem xmlns:ds="http://schemas.openxmlformats.org/officeDocument/2006/customXml" ds:itemID="{5A2DFD9D-06C1-4BCB-8667-7BFF62EB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F656F-7332-4BB0-98A0-01DDE42F837C}">
  <ds:schemaRefs>
    <ds:schemaRef ds:uri="http://schemas.microsoft.com/sharepoint/v3/contenttype/forms"/>
  </ds:schemaRefs>
</ds:datastoreItem>
</file>

<file path=customXml/itemProps3.xml><?xml version="1.0" encoding="utf-8"?>
<ds:datastoreItem xmlns:ds="http://schemas.openxmlformats.org/officeDocument/2006/customXml" ds:itemID="{3EF192F0-3E57-46B6-9B73-ECBA181485AE}">
  <ds:schemaRefs>
    <ds:schemaRef ds:uri="http://purl.org/dc/terms/"/>
    <ds:schemaRef ds:uri="http://schemas.microsoft.com/office/2006/documentManagement/types"/>
    <ds:schemaRef ds:uri="http://schemas.openxmlformats.org/package/2006/metadata/core-properties"/>
    <ds:schemaRef ds:uri="2af0ad07-0ce2-4345-92b0-b87809ef53a8"/>
    <ds:schemaRef ds:uri="http://purl.org/dc/elements/1.1/"/>
    <ds:schemaRef ds:uri="http://schemas.microsoft.com/office/2006/metadata/properties"/>
    <ds:schemaRef ds:uri="http://schemas.microsoft.com/office/infopath/2007/PartnerControls"/>
    <ds:schemaRef ds:uri="839094c7-44eb-41ba-bf13-17cd8e5277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355</Words>
  <Characters>2379</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1. Administration of registration and notification by the Australian Health Practitioner Regulation</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Administration of registration and notification by the Australian Health Practitioner Regulation</dc:title>
  <dc:subject>Administration of registration and notification</dc:subject>
  <dc:creator>Australian Government Department of Health and Aged Care</dc:creator>
  <cp:keywords>Health workforce, Medical doctors and specialists</cp:keywords>
  <dc:description/>
  <cp:revision>16</cp:revision>
  <dcterms:created xsi:type="dcterms:W3CDTF">2024-09-11T02:08:00Z</dcterms:created>
  <dcterms:modified xsi:type="dcterms:W3CDTF">2024-10-03T23:27:00Z</dcterms:modified>
</cp:coreProperties>
</file>