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A6AA" w14:textId="77777777" w:rsidR="00573D0D" w:rsidRDefault="00573D0D" w:rsidP="00573D0D">
      <w:pPr>
        <w:spacing w:before="360"/>
        <w:rPr>
          <w:lang w:eastAsia="x-none"/>
        </w:rPr>
      </w:pPr>
      <w:r>
        <w:rPr>
          <w:lang w:eastAsia="x-none"/>
        </w:rPr>
        <w:t>Medicare</w:t>
      </w:r>
    </w:p>
    <w:p w14:paraId="1AF5A2A6" w14:textId="641165CD" w:rsidR="00573D0D" w:rsidRDefault="00573D0D" w:rsidP="00573D0D">
      <w:pPr>
        <w:pStyle w:val="Heading1"/>
        <w:rPr>
          <w:lang w:val="en-GB"/>
        </w:rPr>
      </w:pPr>
      <w:r w:rsidRPr="0050119A">
        <w:rPr>
          <w:lang w:val="en-GB"/>
        </w:rPr>
        <w:t>Your questions answered: 60-day prescriptions</w:t>
      </w:r>
      <w:r>
        <w:rPr>
          <w:lang w:val="en-GB"/>
        </w:rPr>
        <w:t xml:space="preserve"> – October 2024</w:t>
      </w:r>
    </w:p>
    <w:p w14:paraId="5C6D7A71" w14:textId="77777777" w:rsidR="00573D0D" w:rsidRPr="0066054E" w:rsidRDefault="00573D0D" w:rsidP="00573D0D">
      <w:pPr>
        <w:pStyle w:val="Heading2"/>
      </w:pPr>
      <w:r w:rsidRPr="0050119A">
        <w:t xml:space="preserve">More medicines on the PBS can now be prescribed for 60 days at </w:t>
      </w:r>
      <w:proofErr w:type="gramStart"/>
      <w:r w:rsidRPr="0050119A">
        <w:t>onc</w:t>
      </w:r>
      <w:r>
        <w:t>e</w:t>
      </w:r>
      <w:r w:rsidRPr="0050119A">
        <w:t>—saving</w:t>
      </w:r>
      <w:proofErr w:type="gramEnd"/>
      <w:r w:rsidRPr="0050119A">
        <w:t xml:space="preserve"> you time and money.</w:t>
      </w:r>
    </w:p>
    <w:p w14:paraId="6EFF2D78" w14:textId="77777777" w:rsidR="00573D0D" w:rsidRPr="0050119A" w:rsidRDefault="00573D0D" w:rsidP="00573D0D">
      <w:pPr>
        <w:pStyle w:val="Heading3"/>
        <w:spacing w:before="360"/>
        <w:rPr>
          <w:lang w:val="en-GB"/>
        </w:rPr>
      </w:pPr>
      <w:r w:rsidRPr="0050119A">
        <w:rPr>
          <w:lang w:val="en-GB"/>
        </w:rPr>
        <w:t xml:space="preserve">What is the PBS? </w:t>
      </w:r>
    </w:p>
    <w:p w14:paraId="4E804E6D" w14:textId="77777777" w:rsidR="00573D0D" w:rsidRDefault="00573D0D" w:rsidP="00573D0D">
      <w:pPr>
        <w:rPr>
          <w:lang w:val="en-GB"/>
        </w:rPr>
      </w:pPr>
      <w:r w:rsidRPr="0050119A">
        <w:rPr>
          <w:lang w:val="en-GB"/>
        </w:rPr>
        <w:t>The PBS, or Pharmaceutical Benefits Scheme, is a government program that makes some prescription medicines more affordable.</w:t>
      </w:r>
    </w:p>
    <w:p w14:paraId="2B4D92ED" w14:textId="77777777" w:rsidR="00573D0D" w:rsidRPr="0050119A" w:rsidRDefault="00573D0D" w:rsidP="00573D0D">
      <w:pPr>
        <w:pStyle w:val="Heading3"/>
        <w:rPr>
          <w:lang w:val="en-GB"/>
        </w:rPr>
      </w:pPr>
      <w:r w:rsidRPr="0050119A">
        <w:rPr>
          <w:lang w:val="en-GB"/>
        </w:rPr>
        <w:t xml:space="preserve">How does the PBS work? </w:t>
      </w:r>
    </w:p>
    <w:p w14:paraId="5A0A5414" w14:textId="77777777" w:rsidR="00573D0D" w:rsidRPr="0050119A" w:rsidRDefault="00573D0D" w:rsidP="00573D0D">
      <w:pPr>
        <w:rPr>
          <w:lang w:val="en-GB"/>
        </w:rPr>
      </w:pPr>
      <w:r w:rsidRPr="0050119A">
        <w:rPr>
          <w:lang w:val="en-GB"/>
        </w:rPr>
        <w:t xml:space="preserve">Under the PBS, the government pays part of the cost of many prescription medicines, making them cheaper for you to use. </w:t>
      </w:r>
    </w:p>
    <w:p w14:paraId="59487621" w14:textId="77777777" w:rsidR="00573D0D" w:rsidRPr="0050119A" w:rsidRDefault="00573D0D" w:rsidP="00573D0D">
      <w:pPr>
        <w:rPr>
          <w:lang w:val="en-GB"/>
        </w:rPr>
      </w:pPr>
      <w:r w:rsidRPr="0050119A">
        <w:rPr>
          <w:lang w:val="en-GB"/>
        </w:rPr>
        <w:t xml:space="preserve">If you have a prescription for a medicine covered by the PBS, you will pay less for it when you get it filled because the government pays the rest. </w:t>
      </w:r>
    </w:p>
    <w:p w14:paraId="4BE8BB49" w14:textId="77777777" w:rsidR="00573D0D" w:rsidRDefault="00573D0D" w:rsidP="00573D0D">
      <w:pPr>
        <w:rPr>
          <w:lang w:val="en-GB"/>
        </w:rPr>
      </w:pPr>
      <w:r w:rsidRPr="0050119A">
        <w:rPr>
          <w:lang w:val="en-GB"/>
        </w:rPr>
        <w:t>The part you pay is called the Co-payment (or sometimes, the patient Co-payment).</w:t>
      </w:r>
    </w:p>
    <w:p w14:paraId="3A65BD8E" w14:textId="77777777" w:rsidR="00573D0D" w:rsidRPr="0050119A" w:rsidRDefault="00573D0D" w:rsidP="00573D0D">
      <w:pPr>
        <w:pStyle w:val="Heading3"/>
        <w:rPr>
          <w:lang w:val="en-GB"/>
        </w:rPr>
      </w:pPr>
      <w:r w:rsidRPr="0050119A">
        <w:rPr>
          <w:lang w:val="en-GB"/>
        </w:rPr>
        <w:t>What is changing?</w:t>
      </w:r>
    </w:p>
    <w:p w14:paraId="6C25C8D9" w14:textId="77777777" w:rsidR="00573D0D" w:rsidRPr="0050119A" w:rsidRDefault="00573D0D" w:rsidP="00573D0D">
      <w:pPr>
        <w:rPr>
          <w:lang w:val="en-GB"/>
        </w:rPr>
      </w:pPr>
      <w:r w:rsidRPr="0050119A">
        <w:rPr>
          <w:lang w:val="en-GB"/>
        </w:rPr>
        <w:t xml:space="preserve">Now, more medicines on the PBS can be prescribed for 60 days at once. Which means you can get double the medication in one go, saving you money. </w:t>
      </w:r>
    </w:p>
    <w:p w14:paraId="00972BFD" w14:textId="6CD1B769" w:rsidR="00573D0D" w:rsidRDefault="00573D0D" w:rsidP="00573D0D">
      <w:pPr>
        <w:rPr>
          <w:lang w:val="en-GB"/>
        </w:rPr>
      </w:pPr>
      <w:r w:rsidRPr="0050119A">
        <w:rPr>
          <w:lang w:val="en-GB"/>
        </w:rPr>
        <w:t xml:space="preserve">Medicines that can be prescribed for 60 days have been made available in stages. There are now almost 300 medicines available for 60-day prescriptions on the PBS. You can download a list of the medicines by </w:t>
      </w:r>
      <w:r>
        <w:rPr>
          <w:lang w:val="en-GB"/>
        </w:rPr>
        <w:lastRenderedPageBreak/>
        <w:t>vis</w:t>
      </w:r>
      <w:r>
        <w:rPr>
          <w:lang w:val="en-GB"/>
        </w:rPr>
        <w:t>i</w:t>
      </w:r>
      <w:r>
        <w:rPr>
          <w:lang w:val="en-GB"/>
        </w:rPr>
        <w:t xml:space="preserve">ting this link: </w:t>
      </w:r>
      <w:hyperlink r:id="rId13" w:history="1">
        <w:r w:rsidRPr="007432A0">
          <w:rPr>
            <w:rStyle w:val="Hyperlink"/>
            <w:lang w:val="en-GB"/>
          </w:rPr>
          <w:t>https://www.health.gov.au/cheaper-medicines/60-day-dispensing-pbs-medicines-and-current-item-codes</w:t>
        </w:r>
      </w:hyperlink>
      <w:r>
        <w:rPr>
          <w:lang w:val="en-GB"/>
        </w:rPr>
        <w:t xml:space="preserve"> </w:t>
      </w:r>
    </w:p>
    <w:p w14:paraId="427F45D4" w14:textId="77777777" w:rsidR="00573D0D" w:rsidRPr="008D0495" w:rsidRDefault="00573D0D" w:rsidP="00573D0D">
      <w:pPr>
        <w:pStyle w:val="Heading3"/>
        <w:rPr>
          <w:lang w:val="en-GB"/>
        </w:rPr>
      </w:pPr>
      <w:r w:rsidRPr="008D0495">
        <w:rPr>
          <w:lang w:val="en-GB"/>
        </w:rPr>
        <w:t xml:space="preserve">What will the </w:t>
      </w:r>
      <w:r>
        <w:rPr>
          <w:lang w:val="en-GB"/>
        </w:rPr>
        <w:t>government d</w:t>
      </w:r>
      <w:r w:rsidRPr="008D0495">
        <w:rPr>
          <w:lang w:val="en-GB"/>
        </w:rPr>
        <w:t>o with the savings created by this change?</w:t>
      </w:r>
    </w:p>
    <w:p w14:paraId="27A6A358" w14:textId="77777777" w:rsidR="00573D0D" w:rsidRDefault="00573D0D" w:rsidP="00573D0D">
      <w:pPr>
        <w:rPr>
          <w:lang w:val="en-GB"/>
        </w:rPr>
      </w:pPr>
      <w:r w:rsidRPr="008D0495">
        <w:rPr>
          <w:lang w:val="en-GB"/>
        </w:rPr>
        <w:t>Every dollar saved by the government will be reinvested straight back into helping community pharmacies.</w:t>
      </w:r>
    </w:p>
    <w:p w14:paraId="3ED5374B" w14:textId="77777777" w:rsidR="00573D0D" w:rsidRPr="008D0495" w:rsidRDefault="00573D0D" w:rsidP="00573D0D">
      <w:pPr>
        <w:pStyle w:val="Heading3"/>
      </w:pPr>
      <w:r w:rsidRPr="008D0495">
        <w:t xml:space="preserve">Will 60-day prescriptions change my Closing the Gap (CTG) Co-payments? </w:t>
      </w:r>
    </w:p>
    <w:p w14:paraId="14B7074C" w14:textId="77777777" w:rsidR="00573D0D" w:rsidRDefault="00573D0D" w:rsidP="00573D0D">
      <w:pPr>
        <w:rPr>
          <w:lang w:val="en-GB"/>
        </w:rPr>
      </w:pPr>
      <w:r w:rsidRPr="008D0495">
        <w:rPr>
          <w:lang w:val="en-GB"/>
        </w:rPr>
        <w:t>The Closing the Gap (CTG) PBS Co-payment Program applies to all PBS General Schedule medicines. If you are currently paying a reduced price or getting your PBS medicines</w:t>
      </w:r>
      <w:r>
        <w:rPr>
          <w:lang w:val="en-GB"/>
        </w:rPr>
        <w:t xml:space="preserve"> </w:t>
      </w:r>
      <w:r w:rsidRPr="008D0495">
        <w:rPr>
          <w:lang w:val="en-GB"/>
        </w:rPr>
        <w:t>for free under the CTG Program,</w:t>
      </w:r>
      <w:r>
        <w:rPr>
          <w:lang w:val="en-GB"/>
        </w:rPr>
        <w:t xml:space="preserve"> </w:t>
      </w:r>
      <w:r w:rsidRPr="008D0495">
        <w:rPr>
          <w:lang w:val="en-GB"/>
        </w:rPr>
        <w:t>this arrangement will remain in place, even if your doctor writes you a 60-day prescription.</w:t>
      </w:r>
    </w:p>
    <w:p w14:paraId="4C9FBA49" w14:textId="77777777" w:rsidR="00573D0D" w:rsidRPr="008D0495" w:rsidRDefault="00573D0D" w:rsidP="00573D0D">
      <w:pPr>
        <w:pStyle w:val="Heading3"/>
        <w:rPr>
          <w:lang w:val="en-GB"/>
        </w:rPr>
      </w:pPr>
      <w:r w:rsidRPr="008D0495">
        <w:rPr>
          <w:lang w:val="en-GB"/>
        </w:rPr>
        <w:t>How do 60-day prescriptions help me?</w:t>
      </w:r>
    </w:p>
    <w:p w14:paraId="26BA6DE5" w14:textId="77777777" w:rsidR="00573D0D" w:rsidRDefault="00573D0D" w:rsidP="00573D0D">
      <w:pPr>
        <w:rPr>
          <w:lang w:val="en-GB"/>
        </w:rPr>
      </w:pPr>
      <w:r w:rsidRPr="008D0495">
        <w:rPr>
          <w:lang w:val="en-GB"/>
        </w:rPr>
        <w:t>60-day prescriptions will benefit many people, especially those who live with a stable ongoing health condition. Medicines available for a 60-day prescription have expanded to include (but are not limited to) those for ongoing conditions such as:</w:t>
      </w:r>
    </w:p>
    <w:p w14:paraId="5916A8D5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acne</w:t>
      </w:r>
    </w:p>
    <w:p w14:paraId="5557C786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anxiety disorders</w:t>
      </w:r>
    </w:p>
    <w:p w14:paraId="238E38D9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asthma</w:t>
      </w:r>
    </w:p>
    <w:p w14:paraId="22279628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chronic obstructive pulmonary disease (COPD)</w:t>
      </w:r>
    </w:p>
    <w:p w14:paraId="63B82E48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constipation</w:t>
      </w:r>
    </w:p>
    <w:p w14:paraId="2BD47160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depression</w:t>
      </w:r>
    </w:p>
    <w:p w14:paraId="100E34F6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dry eyes</w:t>
      </w:r>
    </w:p>
    <w:p w14:paraId="0C1286FB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gastro-oesophageal reflux disease (GORD)</w:t>
      </w:r>
    </w:p>
    <w:p w14:paraId="3DD0F4D8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  <w:rPr>
          <w:lang w:val="en-GB"/>
        </w:rPr>
      </w:pPr>
      <w:r w:rsidRPr="008D0495">
        <w:rPr>
          <w:lang w:val="en-GB"/>
        </w:rPr>
        <w:t>glaucoma</w:t>
      </w:r>
    </w:p>
    <w:p w14:paraId="144DDC03" w14:textId="77777777" w:rsidR="00573D0D" w:rsidRPr="008D0495" w:rsidRDefault="00573D0D" w:rsidP="00573D0D">
      <w:pPr>
        <w:pStyle w:val="ListParagraph"/>
        <w:numPr>
          <w:ilvl w:val="0"/>
          <w:numId w:val="28"/>
        </w:numPr>
        <w:contextualSpacing w:val="0"/>
      </w:pPr>
      <w:r w:rsidRPr="008D0495">
        <w:rPr>
          <w:lang w:val="en-GB"/>
        </w:rPr>
        <w:t>Parkinson's disease</w:t>
      </w:r>
    </w:p>
    <w:p w14:paraId="09FE14E4" w14:textId="77777777" w:rsidR="00573D0D" w:rsidRPr="008D0495" w:rsidRDefault="00573D0D" w:rsidP="00573D0D">
      <w:proofErr w:type="gramStart"/>
      <w:r w:rsidRPr="008D0495">
        <w:t>So</w:t>
      </w:r>
      <w:proofErr w:type="gramEnd"/>
      <w:r w:rsidRPr="008D0495">
        <w:t xml:space="preserve"> if your medicines are on the list, you could get two month’s supply of your medicines on a single prescription instead of previously only getting one month's supply. Your doctor or health worker just needs to consider if this is right for you and provide you with a new 60-day prescription.</w:t>
      </w:r>
    </w:p>
    <w:p w14:paraId="73743256" w14:textId="77777777" w:rsidR="00573D0D" w:rsidRDefault="00573D0D" w:rsidP="00573D0D">
      <w:r w:rsidRPr="008D0495">
        <w:t>If you live in a rural or remote area that’s far from your pharmacy, the change will also save you time and money on travel. And a 60-day prescription will mean there’s less chance of you running out of your medicine at home or while travelling.</w:t>
      </w:r>
    </w:p>
    <w:p w14:paraId="4BBC0055" w14:textId="77777777" w:rsidR="00573D0D" w:rsidRPr="008D0495" w:rsidRDefault="00573D0D" w:rsidP="00573D0D">
      <w:pPr>
        <w:pStyle w:val="Heading3"/>
        <w:rPr>
          <w:lang w:val="en-GB"/>
        </w:rPr>
      </w:pPr>
      <w:r w:rsidRPr="008D0495">
        <w:rPr>
          <w:lang w:val="en-GB"/>
        </w:rPr>
        <w:t>Have a yarn to your doctor or health worker to see if a 60-day prescription is right for you.</w:t>
      </w:r>
    </w:p>
    <w:p w14:paraId="066596B9" w14:textId="77777777" w:rsidR="00573D0D" w:rsidRDefault="00573D0D" w:rsidP="00573D0D">
      <w:pPr>
        <w:pStyle w:val="Heading3"/>
        <w:rPr>
          <w:b w:val="0"/>
          <w:bCs w:val="0"/>
          <w:lang w:val="en-GB"/>
        </w:rPr>
      </w:pPr>
      <w:r w:rsidRPr="008D0495">
        <w:rPr>
          <w:lang w:val="en-GB"/>
        </w:rPr>
        <w:t>For more information including a full list of all medications eligible for 60-day prescriptions, visit</w:t>
      </w:r>
      <w:r w:rsidRPr="008D0495">
        <w:rPr>
          <w:b w:val="0"/>
          <w:bCs w:val="0"/>
          <w:lang w:val="en-GB"/>
        </w:rPr>
        <w:t xml:space="preserve"> </w:t>
      </w:r>
      <w:hyperlink r:id="rId14" w:history="1">
        <w:r w:rsidRPr="008D0495">
          <w:rPr>
            <w:rStyle w:val="Hyperlink"/>
            <w:b w:val="0"/>
            <w:lang w:val="en-GB"/>
          </w:rPr>
          <w:t>https://www.health.gov.au/cheaper-medicines</w:t>
        </w:r>
      </w:hyperlink>
      <w:r w:rsidRPr="008D0495">
        <w:rPr>
          <w:b w:val="0"/>
          <w:bCs w:val="0"/>
          <w:lang w:val="en-GB"/>
        </w:rPr>
        <w:t xml:space="preserve"> </w:t>
      </w:r>
    </w:p>
    <w:p w14:paraId="0253E285" w14:textId="77777777" w:rsidR="00573D0D" w:rsidRDefault="00573D0D" w:rsidP="00573D0D">
      <w:pPr>
        <w:spacing w:before="360"/>
        <w:rPr>
          <w:lang w:val="en-GB"/>
        </w:rPr>
      </w:pPr>
      <w:r>
        <w:rPr>
          <w:lang w:val="en-GB"/>
        </w:rPr>
        <w:t>Australian Government Department of Health and Aged Care</w:t>
      </w:r>
    </w:p>
    <w:p w14:paraId="6045AA24" w14:textId="6A750D64" w:rsidR="009318F7" w:rsidRPr="00573D0D" w:rsidRDefault="00573D0D" w:rsidP="00573D0D">
      <w:pPr>
        <w:rPr>
          <w:lang w:val="en-GB"/>
        </w:rPr>
      </w:pPr>
      <w:r>
        <w:rPr>
          <w:lang w:val="en-GB"/>
        </w:rPr>
        <w:t>The Pharmaceutical Benefits Scheme</w:t>
      </w:r>
    </w:p>
    <w:sectPr w:rsidR="009318F7" w:rsidRPr="00573D0D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6E56" w14:textId="77777777" w:rsidR="009318F7" w:rsidRDefault="009318F7" w:rsidP="006B56BB">
      <w:r>
        <w:separator/>
      </w:r>
    </w:p>
    <w:p w14:paraId="2BE1B2B5" w14:textId="77777777" w:rsidR="009318F7" w:rsidRDefault="009318F7"/>
  </w:endnote>
  <w:endnote w:type="continuationSeparator" w:id="0">
    <w:p w14:paraId="498B97E9" w14:textId="77777777" w:rsidR="009318F7" w:rsidRDefault="009318F7" w:rsidP="006B56BB">
      <w:r>
        <w:continuationSeparator/>
      </w:r>
    </w:p>
    <w:p w14:paraId="0B4F9200" w14:textId="77777777" w:rsidR="009318F7" w:rsidRDefault="009318F7"/>
  </w:endnote>
  <w:endnote w:type="continuationNotice" w:id="1">
    <w:p w14:paraId="6018DCEA" w14:textId="77777777" w:rsidR="009318F7" w:rsidRDefault="00931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3F8E" w14:textId="00E187A2" w:rsidR="00B53987" w:rsidRDefault="004C1BCD" w:rsidP="00B53987">
    <w:pPr>
      <w:pStyle w:val="Footer"/>
    </w:pPr>
    <w:r>
      <w:t xml:space="preserve">Department of Health and Aged Care </w:t>
    </w:r>
    <w:r w:rsidR="00B53987">
      <w:t xml:space="preserve">– </w:t>
    </w:r>
    <w:r w:rsidR="000F6F27">
      <w:t>Cheaper medicines – Your questions answered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D397" w14:textId="7D8E8333" w:rsidR="00B53987" w:rsidRDefault="00B53987" w:rsidP="00B53987">
    <w:pPr>
      <w:pStyle w:val="Footer"/>
    </w:pPr>
    <w:r>
      <w:t xml:space="preserve">Department of Health </w:t>
    </w:r>
    <w:r w:rsidR="004C1BCD">
      <w:t xml:space="preserve">and Aged Care </w:t>
    </w:r>
    <w:r>
      <w:t xml:space="preserve">– </w:t>
    </w:r>
    <w:r w:rsidR="000F6F27">
      <w:t>Cheaper medicines – Your questions answered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6606" w14:textId="77777777" w:rsidR="009318F7" w:rsidRDefault="009318F7" w:rsidP="006B56BB">
      <w:r>
        <w:separator/>
      </w:r>
    </w:p>
    <w:p w14:paraId="2211A4BC" w14:textId="77777777" w:rsidR="009318F7" w:rsidRDefault="009318F7"/>
  </w:footnote>
  <w:footnote w:type="continuationSeparator" w:id="0">
    <w:p w14:paraId="3016160C" w14:textId="77777777" w:rsidR="009318F7" w:rsidRDefault="009318F7" w:rsidP="006B56BB">
      <w:r>
        <w:continuationSeparator/>
      </w:r>
    </w:p>
    <w:p w14:paraId="5A5889F9" w14:textId="77777777" w:rsidR="009318F7" w:rsidRDefault="009318F7"/>
  </w:footnote>
  <w:footnote w:type="continuationNotice" w:id="1">
    <w:p w14:paraId="736F5A2F" w14:textId="77777777" w:rsidR="009318F7" w:rsidRDefault="00931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F884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1DC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76029DA6" wp14:editId="5D66D2E1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C91466"/>
    <w:multiLevelType w:val="hybridMultilevel"/>
    <w:tmpl w:val="8910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A0F8D"/>
    <w:multiLevelType w:val="hybridMultilevel"/>
    <w:tmpl w:val="AEDC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6"/>
  </w:num>
  <w:num w:numId="3" w16cid:durableId="671226532">
    <w:abstractNumId w:val="18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4"/>
  </w:num>
  <w:num w:numId="8" w16cid:durableId="407311294">
    <w:abstractNumId w:val="17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20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2"/>
  </w:num>
  <w:num w:numId="20" w16cid:durableId="1108499705">
    <w:abstractNumId w:val="10"/>
  </w:num>
  <w:num w:numId="21" w16cid:durableId="2135168833">
    <w:abstractNumId w:val="12"/>
  </w:num>
  <w:num w:numId="22" w16cid:durableId="1331519124">
    <w:abstractNumId w:val="20"/>
  </w:num>
  <w:num w:numId="23" w16cid:durableId="768160667">
    <w:abstractNumId w:val="16"/>
  </w:num>
  <w:num w:numId="24" w16cid:durableId="501624301">
    <w:abstractNumId w:val="18"/>
  </w:num>
  <w:num w:numId="25" w16cid:durableId="1331903733">
    <w:abstractNumId w:val="8"/>
  </w:num>
  <w:num w:numId="26" w16cid:durableId="350230098">
    <w:abstractNumId w:val="15"/>
  </w:num>
  <w:num w:numId="27" w16cid:durableId="595022747">
    <w:abstractNumId w:val="13"/>
  </w:num>
  <w:num w:numId="28" w16cid:durableId="877620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F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6F27"/>
    <w:rsid w:val="000F78B1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2929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19D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80F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3D0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47B1D"/>
    <w:rsid w:val="006511B6"/>
    <w:rsid w:val="00657FF8"/>
    <w:rsid w:val="006664AB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C57FF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18F7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01F5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6B38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A7E99"/>
  <w15:docId w15:val="{3FD32435-3733-4A03-A0E4-A71421E7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D0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318F7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573D0D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573D0D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73D0D"/>
    <w:rPr>
      <w:rFonts w:ascii="Arial" w:hAnsi="Arial" w:cs="Arial"/>
      <w:b/>
      <w:bCs/>
      <w:color w:val="358189"/>
      <w:sz w:val="3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cheaper-medicines/60-day-dispensing-pbs-medicines-and-current-item-cod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gov.au/cheaper-medici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elu\Downloads\Department%20of%20Health%20and%20Aged%20Care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_dlc_DocId xmlns="d29d5f7a-be03-4e9c-abe5-c85ece0a2186">INTCOMMS-1466148216-18</_dlc_DocId>
    <TaxCatchAll xmlns="15225296-5bc7-404a-82af-55dc9cd4c2a2">
      <Value>89</Value>
      <Value>4</Value>
      <Value>45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Flyer</TermName>
          <TermId xmlns="http://schemas.microsoft.com/office/infopath/2007/PartnerControls">4a505943-2023-4ed6-8d04-dad77d0baccb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6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30A29-834B-41CE-B874-1C547BAE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225296-5bc7-404a-82af-55dc9cd4c2a2"/>
    <ds:schemaRef ds:uri="d29d5f7a-be03-4e9c-abe5-c85ece0a218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B8CC03F-388D-4B50-BF8F-28F446AFB9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and Aged Care fact sheet template teal.dotx</Template>
  <TotalTime>2</TotalTime>
  <Pages>3</Pages>
  <Words>481</Words>
  <Characters>2743</Characters>
  <Application>Microsoft Office Word</Application>
  <DocSecurity>0</DocSecurity>
  <Lines>74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Your questions answered – Medicare fact sheet – First Nations – 30 September 2024</vt:lpstr>
      <vt:lpstr>First Nations fact sheet</vt:lpstr>
      <vt:lpstr>    What is the PBS? </vt:lpstr>
      <vt:lpstr>    How does the PBS work? </vt:lpstr>
      <vt:lpstr>    What is changing? </vt:lpstr>
      <vt:lpstr>    How do 60-day prescriptions help me?</vt:lpstr>
      <vt:lpstr>    What will the government do with the savings created by this change?</vt:lpstr>
      <vt:lpstr>    Will 60-day prescriptions change my Closing the Gap (CTG) Co-payments?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questions answered – Medicare fact sheet – First Nations – 30 September 2024</dc:title>
  <dc:subject>Cheaper Medicines</dc:subject>
  <dc:creator>Australian Government Department of Health and Aged Care</dc:creator>
  <cp:keywords>Medicare</cp:keywords>
  <cp:revision>3</cp:revision>
  <dcterms:created xsi:type="dcterms:W3CDTF">2024-10-24T05:19:00Z</dcterms:created>
  <dcterms:modified xsi:type="dcterms:W3CDTF">2024-10-24T05:20:00Z</dcterms:modified>
</cp:coreProperties>
</file>