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C8389" w14:textId="7390CCB0" w:rsidR="00BA2732" w:rsidRPr="00F669A4" w:rsidRDefault="004772AE" w:rsidP="00F669A4">
      <w:pPr>
        <w:pStyle w:val="Heading1"/>
      </w:pPr>
      <w:r w:rsidRPr="00F669A4">
        <w:t>Life Saving Drugs Program (LSDP)</w:t>
      </w:r>
      <w:r w:rsidR="00807423" w:rsidRPr="00F669A4">
        <w:t xml:space="preserve"> </w:t>
      </w:r>
      <w:r w:rsidR="006220A2" w:rsidRPr="00F669A4">
        <w:t>update</w:t>
      </w:r>
      <w:r w:rsidR="008B1E26" w:rsidRPr="00F669A4">
        <w:t>d</w:t>
      </w:r>
      <w:r w:rsidR="00386AEE" w:rsidRPr="00F669A4">
        <w:t xml:space="preserve"> </w:t>
      </w:r>
      <w:r w:rsidRPr="00F669A4">
        <w:t xml:space="preserve">clinical </w:t>
      </w:r>
      <w:r w:rsidR="00386AEE" w:rsidRPr="00F669A4">
        <w:t xml:space="preserve">testing </w:t>
      </w:r>
      <w:r w:rsidR="00350F44" w:rsidRPr="00F669A4">
        <w:t>requirements</w:t>
      </w:r>
      <w:r w:rsidR="00A32A64" w:rsidRPr="00F669A4">
        <w:t xml:space="preserve"> for </w:t>
      </w:r>
      <w:proofErr w:type="spellStart"/>
      <w:r w:rsidR="00A32A64" w:rsidRPr="00F669A4">
        <w:t>Pompe</w:t>
      </w:r>
      <w:proofErr w:type="spellEnd"/>
      <w:r w:rsidR="00FD2016" w:rsidRPr="00F669A4">
        <w:t xml:space="preserve"> disease</w:t>
      </w:r>
      <w:r w:rsidR="00A32A64" w:rsidRPr="00F669A4">
        <w:t>, Gaucher</w:t>
      </w:r>
      <w:r w:rsidR="00FD2016" w:rsidRPr="00F669A4">
        <w:t xml:space="preserve"> disease (</w:t>
      </w:r>
      <w:r w:rsidR="000B1AE3" w:rsidRPr="00F669A4">
        <w:t>t</w:t>
      </w:r>
      <w:r w:rsidR="00FD2016" w:rsidRPr="00F669A4">
        <w:t>ype 1)</w:t>
      </w:r>
      <w:r w:rsidR="00A32A64" w:rsidRPr="00F669A4">
        <w:t xml:space="preserve"> and </w:t>
      </w:r>
      <w:r w:rsidR="00BB3198" w:rsidRPr="00F669A4">
        <w:t>for m</w:t>
      </w:r>
      <w:r w:rsidR="009E1AF4" w:rsidRPr="00F669A4">
        <w:t xml:space="preserve">ucopolysaccharidosis (MPS) </w:t>
      </w:r>
      <w:r w:rsidR="00BB3198" w:rsidRPr="00F669A4">
        <w:t xml:space="preserve">types </w:t>
      </w:r>
      <w:r w:rsidR="009E1AF4" w:rsidRPr="00F669A4">
        <w:t>I, II and VI</w:t>
      </w:r>
    </w:p>
    <w:p w14:paraId="4673A37B" w14:textId="24C249F7" w:rsidR="00384DDF" w:rsidRDefault="0055520A" w:rsidP="00384DDF">
      <w:r>
        <w:t>September 2024</w:t>
      </w:r>
    </w:p>
    <w:p w14:paraId="0BABA354" w14:textId="2FD72AA3" w:rsidR="004B74D0" w:rsidRPr="00F75872" w:rsidRDefault="004B458E" w:rsidP="00F75872">
      <w:pPr>
        <w:pStyle w:val="Heading2"/>
      </w:pPr>
      <w:r w:rsidRPr="009A18D4">
        <w:rPr>
          <w:rFonts w:eastAsiaTheme="majorEastAsia"/>
        </w:rPr>
        <w:t>Introduction</w:t>
      </w:r>
    </w:p>
    <w:p w14:paraId="2E82311B" w14:textId="10C4300F" w:rsidR="001D709D" w:rsidRPr="00F669A4" w:rsidRDefault="000D477D" w:rsidP="00F669A4">
      <w:r w:rsidRPr="00F669A4">
        <w:rPr>
          <w:rFonts w:eastAsia="Calibri"/>
        </w:rPr>
        <w:t xml:space="preserve">The </w:t>
      </w:r>
      <w:r w:rsidR="0055520A" w:rsidRPr="00F669A4">
        <w:rPr>
          <w:rFonts w:eastAsia="Calibri"/>
        </w:rPr>
        <w:t>LSDP</w:t>
      </w:r>
      <w:r w:rsidR="0055520A" w:rsidRPr="00F669A4">
        <w:t xml:space="preserve"> </w:t>
      </w:r>
      <w:r w:rsidR="00D90C30" w:rsidRPr="00F669A4">
        <w:t xml:space="preserve">Expert Panel </w:t>
      </w:r>
      <w:r w:rsidR="0055520A" w:rsidRPr="00F669A4">
        <w:t xml:space="preserve">(the Expert Panel) </w:t>
      </w:r>
      <w:r w:rsidR="00D90C30" w:rsidRPr="00F669A4">
        <w:t xml:space="preserve">has reviewed the initial and ongoing eligibility requirements for </w:t>
      </w:r>
      <w:proofErr w:type="spellStart"/>
      <w:r w:rsidR="00D90C30" w:rsidRPr="00F669A4">
        <w:t>Pompe</w:t>
      </w:r>
      <w:proofErr w:type="spellEnd"/>
      <w:r w:rsidR="00D90C30" w:rsidRPr="00F669A4">
        <w:t xml:space="preserve"> disease, Gaucher disease (type 1), and </w:t>
      </w:r>
      <w:r w:rsidR="00D90C30" w:rsidRPr="00F669A4">
        <w:rPr>
          <w:rFonts w:eastAsia="Calibri"/>
        </w:rPr>
        <w:t>mucopolysaccharidosis</w:t>
      </w:r>
      <w:r w:rsidR="00D90C30" w:rsidRPr="00F669A4">
        <w:t xml:space="preserve"> (MPS) types I, II and VI. These reviews were </w:t>
      </w:r>
      <w:r w:rsidR="004E1F71" w:rsidRPr="00F669A4">
        <w:t>an outcome</w:t>
      </w:r>
      <w:r w:rsidR="00D90C30" w:rsidRPr="00F669A4">
        <w:t xml:space="preserve"> of the Expert Panel’s </w:t>
      </w:r>
      <w:hyperlink r:id="rId12" w:history="1">
        <w:r w:rsidR="00D90C30" w:rsidRPr="00F669A4">
          <w:rPr>
            <w:rStyle w:val="Hyperlink"/>
          </w:rPr>
          <w:t>LSDP</w:t>
        </w:r>
        <w:r w:rsidR="00221BBA" w:rsidRPr="00F669A4">
          <w:rPr>
            <w:rStyle w:val="Hyperlink"/>
          </w:rPr>
          <w:t> </w:t>
        </w:r>
        <w:r w:rsidR="00D90C30" w:rsidRPr="00F669A4">
          <w:rPr>
            <w:rStyle w:val="Hyperlink"/>
          </w:rPr>
          <w:t>Medicines Review Recommendations</w:t>
        </w:r>
      </w:hyperlink>
      <w:r w:rsidR="00D90C30" w:rsidRPr="00F669A4">
        <w:t xml:space="preserve">, which </w:t>
      </w:r>
      <w:r w:rsidRPr="00F669A4">
        <w:t>aim</w:t>
      </w:r>
      <w:r w:rsidR="00D75A69" w:rsidRPr="00F669A4">
        <w:t>ed</w:t>
      </w:r>
      <w:r w:rsidRPr="00F669A4">
        <w:t xml:space="preserve"> to ensure </w:t>
      </w:r>
      <w:r w:rsidR="009C3B11" w:rsidRPr="00F669A4">
        <w:t xml:space="preserve">the </w:t>
      </w:r>
      <w:r w:rsidRPr="00F669A4">
        <w:t xml:space="preserve">use and performance of </w:t>
      </w:r>
      <w:r w:rsidR="009C3B11" w:rsidRPr="00F669A4">
        <w:t xml:space="preserve">LSDP </w:t>
      </w:r>
      <w:r w:rsidR="00FE7A86" w:rsidRPr="00F669A4">
        <w:t>medicines</w:t>
      </w:r>
      <w:r w:rsidR="009C3B11" w:rsidRPr="00F669A4">
        <w:t xml:space="preserve"> are</w:t>
      </w:r>
      <w:r w:rsidRPr="00F669A4">
        <w:t xml:space="preserve"> in line with the recommendations and expectations at the time of listing.</w:t>
      </w:r>
    </w:p>
    <w:p w14:paraId="51108B1F" w14:textId="62F79F80" w:rsidR="001D709D" w:rsidRPr="00F669A4" w:rsidRDefault="001D709D" w:rsidP="00F669A4">
      <w:r w:rsidRPr="00F669A4">
        <w:t>In its review the Expert Panel recommended</w:t>
      </w:r>
      <w:r w:rsidR="006E1A1D" w:rsidRPr="00F669A4">
        <w:t xml:space="preserve"> that the purpose, clinical </w:t>
      </w:r>
      <w:proofErr w:type="gramStart"/>
      <w:r w:rsidR="006E1A1D" w:rsidRPr="00F669A4">
        <w:t>benefits</w:t>
      </w:r>
      <w:proofErr w:type="gramEnd"/>
      <w:r w:rsidR="00B87637" w:rsidRPr="00F669A4">
        <w:t xml:space="preserve"> and</w:t>
      </w:r>
      <w:r w:rsidR="006E1A1D" w:rsidRPr="00F669A4">
        <w:t xml:space="preserve"> frequency of diagnostic/clinical monitoring tests</w:t>
      </w:r>
      <w:r w:rsidR="00B87637" w:rsidRPr="00F669A4">
        <w:t xml:space="preserve"> required for LSDP applications and reapplications</w:t>
      </w:r>
      <w:r w:rsidR="006E1A1D" w:rsidRPr="00F669A4">
        <w:t xml:space="preserve"> should be </w:t>
      </w:r>
      <w:r w:rsidR="004E1F71" w:rsidRPr="00F669A4">
        <w:t>reviewed</w:t>
      </w:r>
      <w:r w:rsidR="006E1A1D" w:rsidRPr="00F669A4">
        <w:t xml:space="preserve">. The Expert Panel </w:t>
      </w:r>
      <w:r w:rsidR="00B87637" w:rsidRPr="00F669A4">
        <w:t>recommended</w:t>
      </w:r>
      <w:r w:rsidR="006E1A1D" w:rsidRPr="00F669A4">
        <w:t xml:space="preserve"> that treating physicians of LSDP patients would be best placed to comment on the </w:t>
      </w:r>
      <w:r w:rsidR="003E4D73" w:rsidRPr="00F669A4">
        <w:t>appropriateness</w:t>
      </w:r>
      <w:r w:rsidR="006E1A1D" w:rsidRPr="00F669A4">
        <w:t xml:space="preserve"> of </w:t>
      </w:r>
      <w:r w:rsidR="003E4D73" w:rsidRPr="00F669A4">
        <w:t xml:space="preserve">the </w:t>
      </w:r>
      <w:r w:rsidR="006E1A1D" w:rsidRPr="00F669A4">
        <w:t>testing required for LSDP</w:t>
      </w:r>
      <w:r w:rsidR="004E1F71" w:rsidRPr="00F669A4">
        <w:t xml:space="preserve"> eligibility</w:t>
      </w:r>
      <w:r w:rsidR="003E4D73" w:rsidRPr="00F669A4">
        <w:t>.</w:t>
      </w:r>
      <w:r w:rsidRPr="00F669A4">
        <w:t xml:space="preserve"> </w:t>
      </w:r>
    </w:p>
    <w:p w14:paraId="40BEBA2E" w14:textId="66FE1240" w:rsidR="006907ED" w:rsidRPr="00F75872" w:rsidRDefault="0077153C" w:rsidP="00F75872">
      <w:pPr>
        <w:pStyle w:val="Heading2"/>
        <w:rPr>
          <w:rFonts w:eastAsiaTheme="majorEastAsia"/>
        </w:rPr>
      </w:pPr>
      <w:r>
        <w:rPr>
          <w:rFonts w:eastAsiaTheme="majorEastAsia"/>
        </w:rPr>
        <w:t xml:space="preserve">Appropriateness of </w:t>
      </w:r>
      <w:r w:rsidR="00800806">
        <w:rPr>
          <w:rFonts w:eastAsiaTheme="majorEastAsia"/>
        </w:rPr>
        <w:t>current</w:t>
      </w:r>
      <w:r>
        <w:rPr>
          <w:rFonts w:eastAsiaTheme="majorEastAsia"/>
        </w:rPr>
        <w:t xml:space="preserve"> clinical test</w:t>
      </w:r>
      <w:r w:rsidR="004C78A3">
        <w:rPr>
          <w:rFonts w:eastAsiaTheme="majorEastAsia"/>
        </w:rPr>
        <w:t>s</w:t>
      </w:r>
    </w:p>
    <w:p w14:paraId="12F7590D" w14:textId="0A3E21E5" w:rsidR="003E4D73" w:rsidRPr="00F669A4" w:rsidRDefault="003E4D73" w:rsidP="00F669A4">
      <w:pPr>
        <w:rPr>
          <w:rFonts w:eastAsia="Calibri"/>
        </w:rPr>
      </w:pPr>
      <w:r w:rsidRPr="00F669A4">
        <w:rPr>
          <w:rFonts w:eastAsia="Calibri"/>
        </w:rPr>
        <w:t xml:space="preserve">To further review the appropriateness of the </w:t>
      </w:r>
      <w:r w:rsidR="00990C40" w:rsidRPr="00F669A4">
        <w:rPr>
          <w:rFonts w:eastAsia="Calibri"/>
        </w:rPr>
        <w:t xml:space="preserve">current testing requirements for </w:t>
      </w:r>
      <w:proofErr w:type="spellStart"/>
      <w:r w:rsidR="00990C40" w:rsidRPr="00F669A4">
        <w:rPr>
          <w:rFonts w:eastAsia="Calibri"/>
        </w:rPr>
        <w:t>Pompe</w:t>
      </w:r>
      <w:proofErr w:type="spellEnd"/>
      <w:r w:rsidR="00990C40" w:rsidRPr="00F669A4">
        <w:rPr>
          <w:rFonts w:eastAsia="Calibri"/>
        </w:rPr>
        <w:t xml:space="preserve"> disease, Gaucher disease (type 1), and MPS types I, II and VI, the Department of Health and Aged Care (the department) consulted with the specialist treating physicians of LSDP patients. The Expert Panel </w:t>
      </w:r>
      <w:r w:rsidR="004E1F71" w:rsidRPr="00F669A4">
        <w:rPr>
          <w:rFonts w:eastAsia="Calibri"/>
        </w:rPr>
        <w:t xml:space="preserve">considered their feedback as well as </w:t>
      </w:r>
      <w:r w:rsidR="00990C40" w:rsidRPr="00F669A4">
        <w:rPr>
          <w:rFonts w:eastAsia="Calibri"/>
        </w:rPr>
        <w:t>guidance from the National Referral Laboratory on the appropriateness and accuracy of specific tests alongside contemporary international approaches and the current literature.</w:t>
      </w:r>
    </w:p>
    <w:p w14:paraId="3B80F6F2" w14:textId="71FF441F" w:rsidR="008622BE" w:rsidRPr="00F669A4" w:rsidRDefault="004E1F71" w:rsidP="00F669A4">
      <w:pPr>
        <w:rPr>
          <w:rFonts w:eastAsia="Calibri"/>
        </w:rPr>
      </w:pPr>
      <w:r w:rsidRPr="00F669A4">
        <w:rPr>
          <w:rFonts w:eastAsia="Calibri"/>
        </w:rPr>
        <w:t>The</w:t>
      </w:r>
      <w:r w:rsidR="008622BE" w:rsidRPr="00F669A4">
        <w:rPr>
          <w:rFonts w:eastAsia="Calibri"/>
        </w:rPr>
        <w:t xml:space="preserve"> Expert Panel found that some of the </w:t>
      </w:r>
      <w:r w:rsidR="00B87637" w:rsidRPr="00F669A4">
        <w:rPr>
          <w:rFonts w:eastAsia="Calibri"/>
        </w:rPr>
        <w:t>tests required</w:t>
      </w:r>
      <w:r w:rsidR="008622BE" w:rsidRPr="00F669A4">
        <w:rPr>
          <w:rFonts w:eastAsia="Calibri"/>
        </w:rPr>
        <w:t xml:space="preserve"> </w:t>
      </w:r>
      <w:r w:rsidR="002B2410" w:rsidRPr="00F669A4">
        <w:rPr>
          <w:rFonts w:eastAsia="Calibri"/>
        </w:rPr>
        <w:t xml:space="preserve">were </w:t>
      </w:r>
      <w:r w:rsidR="008622BE" w:rsidRPr="00F669A4">
        <w:rPr>
          <w:rFonts w:eastAsia="Calibri"/>
        </w:rPr>
        <w:t>unnecessary</w:t>
      </w:r>
      <w:r w:rsidRPr="00F669A4">
        <w:rPr>
          <w:rFonts w:eastAsia="Calibri"/>
        </w:rPr>
        <w:t xml:space="preserve"> to demonstrate ongoing treatment eligibility</w:t>
      </w:r>
      <w:r w:rsidR="008622BE" w:rsidRPr="00F669A4">
        <w:rPr>
          <w:rFonts w:eastAsia="Calibri"/>
        </w:rPr>
        <w:t>.</w:t>
      </w:r>
      <w:r w:rsidR="00E714D7" w:rsidRPr="00F669A4">
        <w:rPr>
          <w:rFonts w:eastAsia="Calibri"/>
        </w:rPr>
        <w:t xml:space="preserve"> The Expert Panel noted that clinical testing imposes a burden on patients requiring LSDP medicines </w:t>
      </w:r>
      <w:r w:rsidR="00585733" w:rsidRPr="00F669A4">
        <w:rPr>
          <w:rFonts w:eastAsia="Calibri"/>
        </w:rPr>
        <w:t>in</w:t>
      </w:r>
      <w:r w:rsidR="00E714D7" w:rsidRPr="00F669A4">
        <w:rPr>
          <w:rFonts w:eastAsia="Calibri"/>
        </w:rPr>
        <w:t xml:space="preserve"> attending specialist clinics for </w:t>
      </w:r>
      <w:r w:rsidR="00031BFD" w:rsidRPr="00F669A4">
        <w:rPr>
          <w:rFonts w:eastAsia="Calibri"/>
        </w:rPr>
        <w:t xml:space="preserve">these </w:t>
      </w:r>
      <w:r w:rsidR="00E714D7" w:rsidRPr="00F669A4">
        <w:rPr>
          <w:rFonts w:eastAsia="Calibri"/>
        </w:rPr>
        <w:t>tests</w:t>
      </w:r>
      <w:r w:rsidRPr="00F669A4">
        <w:rPr>
          <w:rFonts w:eastAsia="Calibri"/>
        </w:rPr>
        <w:t>, and</w:t>
      </w:r>
      <w:r w:rsidR="00944B74" w:rsidRPr="00F669A4">
        <w:rPr>
          <w:rFonts w:eastAsia="Calibri"/>
        </w:rPr>
        <w:t xml:space="preserve"> that r</w:t>
      </w:r>
      <w:r w:rsidR="00E714D7" w:rsidRPr="00F669A4">
        <w:rPr>
          <w:rFonts w:eastAsia="Calibri"/>
        </w:rPr>
        <w:t>emote and rural patients are further disadvantaged by accompanying difficulties accessing specialist clinics in the major cities.</w:t>
      </w:r>
    </w:p>
    <w:p w14:paraId="0C6C8BD9" w14:textId="7D13F01F" w:rsidR="006646E4" w:rsidRPr="00F669A4" w:rsidRDefault="000E6239" w:rsidP="00F669A4">
      <w:r w:rsidRPr="00F669A4">
        <w:rPr>
          <w:rFonts w:eastAsia="Calibri"/>
        </w:rPr>
        <w:t>T</w:t>
      </w:r>
      <w:r w:rsidR="006907ED" w:rsidRPr="00F669A4">
        <w:rPr>
          <w:rFonts w:eastAsia="Calibri"/>
        </w:rPr>
        <w:t xml:space="preserve">he </w:t>
      </w:r>
      <w:r w:rsidR="009E2D4A" w:rsidRPr="00F669A4">
        <w:rPr>
          <w:rFonts w:eastAsia="Calibri"/>
        </w:rPr>
        <w:t xml:space="preserve">Expert Panel recommended that </w:t>
      </w:r>
      <w:r w:rsidR="00555A33" w:rsidRPr="00F669A4">
        <w:rPr>
          <w:rFonts w:eastAsia="Calibri"/>
        </w:rPr>
        <w:t>the clinical tests requested for</w:t>
      </w:r>
      <w:r w:rsidR="00D74675" w:rsidRPr="00F669A4">
        <w:rPr>
          <w:rFonts w:eastAsia="Calibri"/>
        </w:rPr>
        <w:t xml:space="preserve"> both the</w:t>
      </w:r>
      <w:r w:rsidR="00555A33" w:rsidRPr="00F669A4">
        <w:rPr>
          <w:rFonts w:eastAsia="Calibri"/>
        </w:rPr>
        <w:t xml:space="preserve"> initial and ongoing </w:t>
      </w:r>
      <w:r w:rsidR="00B87637" w:rsidRPr="00F669A4">
        <w:rPr>
          <w:rFonts w:eastAsia="Calibri"/>
        </w:rPr>
        <w:t>applications for subsidised treatment through</w:t>
      </w:r>
      <w:r w:rsidR="00555A33" w:rsidRPr="00F669A4">
        <w:rPr>
          <w:rFonts w:eastAsia="Calibri"/>
        </w:rPr>
        <w:t xml:space="preserve"> the LSDP </w:t>
      </w:r>
      <w:r w:rsidR="00D041E4" w:rsidRPr="00F669A4">
        <w:rPr>
          <w:rFonts w:eastAsia="Calibri"/>
        </w:rPr>
        <w:t xml:space="preserve">should </w:t>
      </w:r>
      <w:r w:rsidR="00990C40" w:rsidRPr="00F669A4">
        <w:rPr>
          <w:rFonts w:eastAsia="Calibri"/>
        </w:rPr>
        <w:t xml:space="preserve">better </w:t>
      </w:r>
      <w:r w:rsidR="006E1AC1" w:rsidRPr="00F669A4">
        <w:t xml:space="preserve">align with clinical practice and inform </w:t>
      </w:r>
      <w:r w:rsidR="000B285D" w:rsidRPr="00F669A4">
        <w:t xml:space="preserve">the </w:t>
      </w:r>
      <w:r w:rsidR="006E1AC1" w:rsidRPr="00F669A4">
        <w:t xml:space="preserve">assessment of ongoing eligibility </w:t>
      </w:r>
      <w:r w:rsidR="004E1F71" w:rsidRPr="00F669A4">
        <w:t>by demonstrating</w:t>
      </w:r>
      <w:r w:rsidR="006E1AC1" w:rsidRPr="00F669A4">
        <w:t xml:space="preserve"> improvement or stabilisation </w:t>
      </w:r>
      <w:r w:rsidR="004E1F71" w:rsidRPr="00F669A4">
        <w:t xml:space="preserve">in response </w:t>
      </w:r>
      <w:r w:rsidR="006E1AC1" w:rsidRPr="00F669A4">
        <w:t>to treatment</w:t>
      </w:r>
      <w:r w:rsidR="000B285D" w:rsidRPr="00F669A4">
        <w:t>. It further recommended that</w:t>
      </w:r>
      <w:r w:rsidR="006E1AC1" w:rsidRPr="00F669A4">
        <w:t xml:space="preserve"> all data collected should have predefined purpose.</w:t>
      </w:r>
    </w:p>
    <w:p w14:paraId="6305A961" w14:textId="77777777" w:rsidR="00A5066A" w:rsidRPr="00F669A4" w:rsidRDefault="00A5066A" w:rsidP="00A5066A">
      <w:pPr>
        <w:pStyle w:val="Heading2"/>
        <w:rPr>
          <w:rFonts w:eastAsiaTheme="majorEastAsia"/>
        </w:rPr>
      </w:pPr>
      <w:r w:rsidRPr="00FC1F27">
        <w:rPr>
          <w:rFonts w:eastAsiaTheme="majorEastAsia"/>
        </w:rPr>
        <w:t>Expert Panel Recommendations</w:t>
      </w:r>
    </w:p>
    <w:p w14:paraId="7164DC02" w14:textId="304CD6DE" w:rsidR="00CF56F2" w:rsidRPr="00F669A4" w:rsidRDefault="00A145D6" w:rsidP="00791C57">
      <w:r w:rsidRPr="00F669A4">
        <w:rPr>
          <w:rFonts w:eastAsia="Calibri"/>
        </w:rPr>
        <w:t xml:space="preserve">As a result of </w:t>
      </w:r>
      <w:r w:rsidR="00330DED" w:rsidRPr="00F669A4">
        <w:rPr>
          <w:rFonts w:eastAsia="Calibri"/>
        </w:rPr>
        <w:t>its</w:t>
      </w:r>
      <w:r w:rsidRPr="00F669A4">
        <w:rPr>
          <w:rFonts w:eastAsia="Calibri"/>
        </w:rPr>
        <w:t xml:space="preserve"> reviews </w:t>
      </w:r>
      <w:r w:rsidR="00A915F5" w:rsidRPr="00F669A4">
        <w:rPr>
          <w:rFonts w:eastAsia="Calibri"/>
        </w:rPr>
        <w:t>t</w:t>
      </w:r>
      <w:r w:rsidR="00A5066A" w:rsidRPr="00F669A4">
        <w:rPr>
          <w:rFonts w:eastAsia="Calibri"/>
        </w:rPr>
        <w:t xml:space="preserve">he Expert Panel has </w:t>
      </w:r>
      <w:r w:rsidR="004E1F71" w:rsidRPr="00F669A4">
        <w:rPr>
          <w:rFonts w:eastAsia="Calibri"/>
        </w:rPr>
        <w:t>recommended changes</w:t>
      </w:r>
      <w:r w:rsidR="005C2800" w:rsidRPr="00F669A4">
        <w:rPr>
          <w:rFonts w:eastAsia="Calibri"/>
        </w:rPr>
        <w:t xml:space="preserve"> to the </w:t>
      </w:r>
      <w:r w:rsidR="004E1F71" w:rsidRPr="00F669A4">
        <w:rPr>
          <w:rFonts w:eastAsia="Calibri"/>
        </w:rPr>
        <w:t>testing requirements for</w:t>
      </w:r>
      <w:r w:rsidR="005C2800" w:rsidRPr="00F669A4">
        <w:rPr>
          <w:rFonts w:eastAsia="Calibri"/>
        </w:rPr>
        <w:t xml:space="preserve"> </w:t>
      </w:r>
      <w:proofErr w:type="spellStart"/>
      <w:r w:rsidR="005C2800" w:rsidRPr="00F669A4">
        <w:rPr>
          <w:rFonts w:eastAsia="Calibri"/>
        </w:rPr>
        <w:t>Pompe</w:t>
      </w:r>
      <w:proofErr w:type="spellEnd"/>
      <w:r w:rsidR="005C2800" w:rsidRPr="00F669A4">
        <w:rPr>
          <w:rFonts w:eastAsia="Calibri"/>
        </w:rPr>
        <w:t xml:space="preserve"> disease, Gaucher disease (type 1), and MPS types I, II, and VI</w:t>
      </w:r>
      <w:r w:rsidR="00317928" w:rsidRPr="00F669A4">
        <w:rPr>
          <w:rFonts w:eastAsia="Calibri"/>
        </w:rPr>
        <w:t xml:space="preserve">, </w:t>
      </w:r>
      <w:r w:rsidR="00317928" w:rsidRPr="00F669A4">
        <w:rPr>
          <w:rFonts w:eastAsia="Calibri"/>
        </w:rPr>
        <w:lastRenderedPageBreak/>
        <w:t xml:space="preserve">which have now been implemented by the </w:t>
      </w:r>
      <w:r w:rsidR="00265372" w:rsidRPr="00F669A4">
        <w:rPr>
          <w:rFonts w:eastAsia="Calibri"/>
        </w:rPr>
        <w:t>department</w:t>
      </w:r>
      <w:r w:rsidR="00317928" w:rsidRPr="00F669A4">
        <w:rPr>
          <w:rFonts w:eastAsia="Calibri"/>
        </w:rPr>
        <w:t xml:space="preserve">. </w:t>
      </w:r>
      <w:r w:rsidR="000E6239" w:rsidRPr="00F669A4">
        <w:rPr>
          <w:rFonts w:eastAsia="Calibri"/>
        </w:rPr>
        <w:t>T</w:t>
      </w:r>
      <w:r w:rsidR="00932836" w:rsidRPr="00F669A4">
        <w:t xml:space="preserve">he </w:t>
      </w:r>
      <w:r w:rsidR="000E6239" w:rsidRPr="00F669A4">
        <w:t xml:space="preserve">revised </w:t>
      </w:r>
      <w:r w:rsidR="00932836" w:rsidRPr="00F669A4">
        <w:t xml:space="preserve">testing requirements </w:t>
      </w:r>
      <w:r w:rsidR="000E6239" w:rsidRPr="00F669A4">
        <w:t xml:space="preserve">are expected to </w:t>
      </w:r>
      <w:r w:rsidR="000E6239" w:rsidRPr="00F669A4">
        <w:rPr>
          <w:rFonts w:eastAsia="Calibri"/>
        </w:rPr>
        <w:t xml:space="preserve">streamline </w:t>
      </w:r>
      <w:r w:rsidR="0022356F" w:rsidRPr="00F669A4">
        <w:rPr>
          <w:rFonts w:eastAsia="Calibri"/>
        </w:rPr>
        <w:t>patient access</w:t>
      </w:r>
      <w:r w:rsidR="000D610A" w:rsidRPr="00F669A4">
        <w:rPr>
          <w:rFonts w:eastAsia="Calibri"/>
        </w:rPr>
        <w:t xml:space="preserve"> to the program</w:t>
      </w:r>
      <w:r w:rsidR="00EB76AA" w:rsidRPr="00F669A4">
        <w:rPr>
          <w:rFonts w:eastAsia="Calibri"/>
        </w:rPr>
        <w:t xml:space="preserve"> </w:t>
      </w:r>
      <w:r w:rsidR="009A701B" w:rsidRPr="00F669A4">
        <w:rPr>
          <w:rFonts w:eastAsia="Calibri"/>
        </w:rPr>
        <w:t xml:space="preserve">and </w:t>
      </w:r>
      <w:r w:rsidR="00E1522E" w:rsidRPr="00F669A4">
        <w:t xml:space="preserve">reduce the burden of clinical testing </w:t>
      </w:r>
      <w:r w:rsidR="00441C45" w:rsidRPr="00F669A4">
        <w:t>to</w:t>
      </w:r>
      <w:r w:rsidR="00932836" w:rsidRPr="00F669A4">
        <w:t xml:space="preserve"> patients</w:t>
      </w:r>
      <w:r w:rsidR="00E1522E" w:rsidRPr="00F669A4">
        <w:t xml:space="preserve"> and treating physicians</w:t>
      </w:r>
      <w:r w:rsidR="00932836" w:rsidRPr="00F669A4">
        <w:t xml:space="preserve"> without compromising </w:t>
      </w:r>
      <w:r w:rsidR="000D610A" w:rsidRPr="00F669A4">
        <w:t xml:space="preserve">program </w:t>
      </w:r>
      <w:r w:rsidR="00932836" w:rsidRPr="00F669A4">
        <w:t>integrity.</w:t>
      </w:r>
      <w:r w:rsidR="007E7CA6" w:rsidRPr="00F669A4">
        <w:t xml:space="preserve"> </w:t>
      </w:r>
      <w:r w:rsidR="00EC7C60" w:rsidRPr="00F669A4">
        <w:t>Th</w:t>
      </w:r>
      <w:r w:rsidR="00E1522E" w:rsidRPr="00F669A4">
        <w:t>e amend</w:t>
      </w:r>
      <w:r w:rsidR="00990742" w:rsidRPr="00F669A4">
        <w:t>ed eligibility requirements</w:t>
      </w:r>
      <w:r w:rsidR="0022356F" w:rsidRPr="00F669A4">
        <w:rPr>
          <w:rFonts w:eastAsia="Calibri"/>
        </w:rPr>
        <w:t xml:space="preserve"> </w:t>
      </w:r>
      <w:r w:rsidR="00EB76AA" w:rsidRPr="00F669A4">
        <w:rPr>
          <w:rFonts w:eastAsia="Calibri"/>
        </w:rPr>
        <w:t xml:space="preserve">summarised </w:t>
      </w:r>
      <w:r w:rsidR="00C041FE" w:rsidRPr="00F669A4">
        <w:rPr>
          <w:rFonts w:eastAsia="Calibri"/>
        </w:rPr>
        <w:t xml:space="preserve">below aim to </w:t>
      </w:r>
      <w:r w:rsidR="0022356F" w:rsidRPr="00F669A4">
        <w:rPr>
          <w:rFonts w:eastAsia="Calibri"/>
        </w:rPr>
        <w:t>streamline program administration</w:t>
      </w:r>
      <w:r w:rsidR="009A701B" w:rsidRPr="00F669A4">
        <w:rPr>
          <w:rFonts w:eastAsia="Calibri"/>
        </w:rPr>
        <w:t xml:space="preserve"> </w:t>
      </w:r>
      <w:r w:rsidR="00EC7C60" w:rsidRPr="00F669A4">
        <w:t xml:space="preserve">and </w:t>
      </w:r>
      <w:r w:rsidR="00001895" w:rsidRPr="00F669A4">
        <w:t xml:space="preserve">enhance </w:t>
      </w:r>
      <w:r w:rsidR="00EC7C60" w:rsidRPr="00F669A4">
        <w:t>future medicines reviews</w:t>
      </w:r>
      <w:r w:rsidR="00F467EA" w:rsidRPr="00F669A4">
        <w:t xml:space="preserve">. </w:t>
      </w:r>
    </w:p>
    <w:p w14:paraId="0E5FD533" w14:textId="104FE549" w:rsidR="00FB7291" w:rsidRDefault="00A4031C" w:rsidP="00C417E3">
      <w:pPr>
        <w:pStyle w:val="Heading2"/>
      </w:pPr>
      <w:r w:rsidRPr="00C417E3">
        <w:rPr>
          <w:rFonts w:eastAsiaTheme="majorEastAsia"/>
        </w:rPr>
        <w:t xml:space="preserve">Condition Specific </w:t>
      </w:r>
      <w:r w:rsidR="004B458E" w:rsidRPr="00C417E3">
        <w:rPr>
          <w:rFonts w:eastAsiaTheme="majorEastAsia"/>
        </w:rPr>
        <w:t xml:space="preserve">Clinical Testing </w:t>
      </w:r>
      <w:r w:rsidR="00B87637">
        <w:rPr>
          <w:rFonts w:eastAsiaTheme="majorEastAsia"/>
        </w:rPr>
        <w:t>Changes</w:t>
      </w:r>
      <w:r w:rsidR="00B87637" w:rsidRPr="00C417E3">
        <w:t xml:space="preserve"> </w:t>
      </w:r>
      <w:r w:rsidR="00FB7291" w:rsidRPr="00C417E3">
        <w:tab/>
      </w:r>
    </w:p>
    <w:p w14:paraId="4005ADAC" w14:textId="78ADB1E3" w:rsidR="00AE04F2" w:rsidRPr="00AE04F2" w:rsidRDefault="00AE04F2" w:rsidP="00A10809">
      <w:r>
        <w:t xml:space="preserve">Details are provided below on the changes to testing requirements, including links to updated application and reapplication documents. </w:t>
      </w:r>
      <w:r w:rsidR="00CE1471">
        <w:t>If you require clarification or further information on the updated requirements</w:t>
      </w:r>
      <w:r>
        <w:t xml:space="preserve">, </w:t>
      </w:r>
      <w:r w:rsidR="004E1C0F">
        <w:t xml:space="preserve">please contact </w:t>
      </w:r>
      <w:hyperlink r:id="rId13" w:history="1">
        <w:r w:rsidR="004E1C0F" w:rsidRPr="00430182">
          <w:rPr>
            <w:rStyle w:val="Hyperlink"/>
          </w:rPr>
          <w:t>lsdp@health.gov.au</w:t>
        </w:r>
      </w:hyperlink>
      <w:r w:rsidR="004E1C0F">
        <w:t xml:space="preserve"> or 02</w:t>
      </w:r>
      <w:r w:rsidR="00CE1471">
        <w:t xml:space="preserve"> 6289 2336. </w:t>
      </w:r>
    </w:p>
    <w:p w14:paraId="72319547" w14:textId="1576D4B9" w:rsidR="00FE29E4" w:rsidRPr="00F669A4" w:rsidRDefault="00FE6B17" w:rsidP="0055520A">
      <w:pPr>
        <w:pStyle w:val="Heading3"/>
      </w:pPr>
      <w:proofErr w:type="spellStart"/>
      <w:r>
        <w:rPr>
          <w:lang w:eastAsia="en-AU"/>
        </w:rPr>
        <w:t>Pompe</w:t>
      </w:r>
      <w:proofErr w:type="spellEnd"/>
      <w:r>
        <w:rPr>
          <w:lang w:eastAsia="en-AU"/>
        </w:rPr>
        <w:t xml:space="preserve"> </w:t>
      </w:r>
      <w:r w:rsidR="00731083">
        <w:rPr>
          <w:lang w:eastAsia="en-AU"/>
        </w:rPr>
        <w:t>disease</w:t>
      </w:r>
    </w:p>
    <w:p w14:paraId="3957D540" w14:textId="7EB339C4" w:rsidR="00764A30" w:rsidRPr="00F669A4" w:rsidRDefault="00764A30" w:rsidP="00F669A4">
      <w:pPr>
        <w:pStyle w:val="Heading4"/>
      </w:pPr>
      <w:r w:rsidRPr="00F669A4">
        <w:t xml:space="preserve">Changes to Infantile-onset </w:t>
      </w:r>
      <w:proofErr w:type="spellStart"/>
      <w:r w:rsidRPr="00F669A4">
        <w:t>Pompe</w:t>
      </w:r>
      <w:proofErr w:type="spellEnd"/>
      <w:r w:rsidRPr="00F669A4">
        <w:t xml:space="preserve"> Disease (IOPD) </w:t>
      </w:r>
      <w:r w:rsidR="001E1847" w:rsidRPr="00F669A4">
        <w:t>t</w:t>
      </w:r>
      <w:r w:rsidRPr="00F669A4">
        <w:t xml:space="preserve">esting </w:t>
      </w:r>
      <w:r w:rsidR="001E1847" w:rsidRPr="00F669A4">
        <w:t>r</w:t>
      </w:r>
      <w:r w:rsidRPr="00F669A4">
        <w:t>equirements</w:t>
      </w:r>
    </w:p>
    <w:p w14:paraId="05B6C1B6" w14:textId="55D0B8B8" w:rsidR="00604C41" w:rsidRDefault="00433B4D" w:rsidP="00F669A4">
      <w:pPr>
        <w:pStyle w:val="ListNumber"/>
        <w:rPr>
          <w:lang w:eastAsia="en-AU"/>
        </w:rPr>
      </w:pPr>
      <w:r w:rsidRPr="00433B4D">
        <w:rPr>
          <w:lang w:eastAsia="en-AU"/>
        </w:rPr>
        <w:t>The following test</w:t>
      </w:r>
      <w:r w:rsidR="00E87B37" w:rsidRPr="00433B4D">
        <w:rPr>
          <w:lang w:eastAsia="en-AU"/>
        </w:rPr>
        <w:t xml:space="preserve"> requirements </w:t>
      </w:r>
      <w:r w:rsidRPr="00433B4D">
        <w:rPr>
          <w:lang w:eastAsia="en-AU"/>
        </w:rPr>
        <w:t>have been removed</w:t>
      </w:r>
      <w:r w:rsidR="00604C41" w:rsidRPr="00433B4D">
        <w:rPr>
          <w:lang w:eastAsia="en-AU"/>
        </w:rPr>
        <w:t xml:space="preserve">: </w:t>
      </w:r>
    </w:p>
    <w:p w14:paraId="520DF48C" w14:textId="2ECE102B" w:rsidR="00433B4D" w:rsidRPr="00F669A4" w:rsidRDefault="00433B4D" w:rsidP="00F669A4">
      <w:pPr>
        <w:pStyle w:val="ListNumber2"/>
      </w:pPr>
      <w:r w:rsidRPr="00F669A4">
        <w:t xml:space="preserve">Body </w:t>
      </w:r>
      <w:r w:rsidR="002A2B39" w:rsidRPr="00F669A4">
        <w:t>m</w:t>
      </w:r>
      <w:r w:rsidRPr="00F669A4">
        <w:t xml:space="preserve">ass </w:t>
      </w:r>
      <w:r w:rsidR="002A2B39" w:rsidRPr="00F669A4">
        <w:t>i</w:t>
      </w:r>
      <w:r w:rsidRPr="00F669A4">
        <w:t xml:space="preserve">ndex </w:t>
      </w:r>
    </w:p>
    <w:p w14:paraId="12581406" w14:textId="43682BE9" w:rsidR="00982E5C" w:rsidRPr="00F669A4" w:rsidRDefault="008B143D" w:rsidP="00F669A4">
      <w:pPr>
        <w:pStyle w:val="ListNumber2"/>
      </w:pPr>
      <w:r w:rsidRPr="00F669A4">
        <w:t>C</w:t>
      </w:r>
      <w:r w:rsidR="00B04173" w:rsidRPr="00F669A4">
        <w:t xml:space="preserve">erebral </w:t>
      </w:r>
      <w:r w:rsidR="002A2B39" w:rsidRPr="00F669A4">
        <w:t>magnetic resonance imaging</w:t>
      </w:r>
      <w:r w:rsidR="009462F2" w:rsidRPr="00F669A4">
        <w:t xml:space="preserve"> (MRI)</w:t>
      </w:r>
    </w:p>
    <w:p w14:paraId="77693559" w14:textId="7F38B3BE" w:rsidR="00433B4D" w:rsidRPr="00F669A4" w:rsidRDefault="00FC219A" w:rsidP="00F669A4">
      <w:pPr>
        <w:pStyle w:val="ListNumber2"/>
      </w:pPr>
      <w:r w:rsidRPr="00F669A4">
        <w:t xml:space="preserve">Blood tests which </w:t>
      </w:r>
      <w:r w:rsidR="000E6239" w:rsidRPr="00F669A4">
        <w:t>a</w:t>
      </w:r>
      <w:r w:rsidR="00216153" w:rsidRPr="00F669A4">
        <w:t>re</w:t>
      </w:r>
      <w:r w:rsidRPr="00F669A4">
        <w:t xml:space="preserve"> not informative about response to </w:t>
      </w:r>
      <w:proofErr w:type="gramStart"/>
      <w:r w:rsidRPr="00F669A4">
        <w:t>treatment</w:t>
      </w:r>
      <w:proofErr w:type="gramEnd"/>
      <w:r w:rsidRPr="00F669A4">
        <w:t xml:space="preserve"> and </w:t>
      </w:r>
      <w:r w:rsidR="00264BFC" w:rsidRPr="00F669A4">
        <w:t xml:space="preserve">which </w:t>
      </w:r>
      <w:r w:rsidR="000E6239" w:rsidRPr="00F669A4">
        <w:t>a</w:t>
      </w:r>
      <w:r w:rsidR="00264BFC" w:rsidRPr="00F669A4">
        <w:t>re not</w:t>
      </w:r>
      <w:r w:rsidRPr="00F669A4">
        <w:t xml:space="preserve"> part of regular clinical practice</w:t>
      </w:r>
      <w:r w:rsidR="00871BA9" w:rsidRPr="00F669A4">
        <w:t>, including tests for</w:t>
      </w:r>
      <w:r w:rsidR="007A3C13" w:rsidRPr="00F669A4">
        <w:t>:</w:t>
      </w:r>
    </w:p>
    <w:p w14:paraId="1070BF2A" w14:textId="16DB67C6" w:rsidR="00122D39" w:rsidRPr="00F669A4" w:rsidRDefault="00122D39" w:rsidP="00F669A4">
      <w:pPr>
        <w:pStyle w:val="ListNumber4"/>
      </w:pPr>
      <w:r w:rsidRPr="00F669A4">
        <w:t>Immunoglobulin G</w:t>
      </w:r>
    </w:p>
    <w:p w14:paraId="3E96D8A0" w14:textId="4B471C5E" w:rsidR="00122D39" w:rsidRPr="00F669A4" w:rsidRDefault="00122D39" w:rsidP="00F669A4">
      <w:pPr>
        <w:pStyle w:val="ListNumber4"/>
      </w:pPr>
      <w:r w:rsidRPr="00F669A4">
        <w:t>Immunoglobulin E</w:t>
      </w:r>
    </w:p>
    <w:p w14:paraId="27CF23EF" w14:textId="77777777" w:rsidR="007A3C13" w:rsidRPr="00F669A4" w:rsidRDefault="007A3C13" w:rsidP="00F669A4">
      <w:pPr>
        <w:pStyle w:val="ListNumber4"/>
      </w:pPr>
      <w:r w:rsidRPr="00F669A4">
        <w:t>Haemoglobin</w:t>
      </w:r>
    </w:p>
    <w:p w14:paraId="50A23FCC" w14:textId="77777777" w:rsidR="007A3C13" w:rsidRPr="00F669A4" w:rsidRDefault="007A3C13" w:rsidP="00F669A4">
      <w:pPr>
        <w:pStyle w:val="ListNumber4"/>
      </w:pPr>
      <w:r w:rsidRPr="00F669A4">
        <w:t>Platelets</w:t>
      </w:r>
    </w:p>
    <w:p w14:paraId="7B7642E2" w14:textId="0FEA2FE2" w:rsidR="007A3C13" w:rsidRPr="00F669A4" w:rsidRDefault="007A3C13" w:rsidP="00F669A4">
      <w:pPr>
        <w:pStyle w:val="ListNumber4"/>
      </w:pPr>
      <w:r w:rsidRPr="00F669A4">
        <w:t xml:space="preserve">Alanine Amino Transferase </w:t>
      </w:r>
    </w:p>
    <w:p w14:paraId="02F0C6C6" w14:textId="0499F1FD" w:rsidR="007A3C13" w:rsidRPr="00F669A4" w:rsidRDefault="007A3C13" w:rsidP="00F669A4">
      <w:pPr>
        <w:pStyle w:val="ListNumber4"/>
      </w:pPr>
      <w:r w:rsidRPr="00F669A4">
        <w:t xml:space="preserve">Aspartate Amino Transferase </w:t>
      </w:r>
    </w:p>
    <w:p w14:paraId="34703617" w14:textId="310150D8" w:rsidR="007A3C13" w:rsidRPr="00F669A4" w:rsidRDefault="007A3C13" w:rsidP="00F669A4">
      <w:pPr>
        <w:pStyle w:val="ListNumber4"/>
      </w:pPr>
      <w:r w:rsidRPr="00F669A4">
        <w:t xml:space="preserve">Lactate Dehydrogenase </w:t>
      </w:r>
    </w:p>
    <w:p w14:paraId="3D8073C5" w14:textId="2D766FB6" w:rsidR="00604C41" w:rsidRPr="00F669A4" w:rsidRDefault="00604C41" w:rsidP="00F669A4">
      <w:pPr>
        <w:pStyle w:val="ListNumber"/>
      </w:pPr>
      <w:r w:rsidRPr="00F669A4">
        <w:t xml:space="preserve">The requirement </w:t>
      </w:r>
      <w:r w:rsidR="003E5FC4" w:rsidRPr="00F669A4">
        <w:t xml:space="preserve">prescribing a </w:t>
      </w:r>
      <w:r w:rsidRPr="00F669A4">
        <w:t>specific cardiac test</w:t>
      </w:r>
      <w:r w:rsidR="003E5FC4" w:rsidRPr="00F669A4">
        <w:t xml:space="preserve"> has been amended</w:t>
      </w:r>
      <w:r w:rsidRPr="00F669A4">
        <w:t xml:space="preserve"> to </w:t>
      </w:r>
      <w:r w:rsidR="00126DEC" w:rsidRPr="00F669A4">
        <w:t>requesting</w:t>
      </w:r>
      <w:r w:rsidR="00442CE4" w:rsidRPr="00F669A4">
        <w:t xml:space="preserve"> a </w:t>
      </w:r>
      <w:r w:rsidRPr="00F669A4">
        <w:t xml:space="preserve">clinically appropriate cardiac test. </w:t>
      </w:r>
      <w:r w:rsidR="00616C1C" w:rsidRPr="00F669A4">
        <w:t>Tests</w:t>
      </w:r>
      <w:r w:rsidRPr="00F669A4">
        <w:t xml:space="preserve"> can include </w:t>
      </w:r>
      <w:r w:rsidR="00616C1C" w:rsidRPr="00F669A4">
        <w:t xml:space="preserve">a </w:t>
      </w:r>
      <w:r w:rsidRPr="00F669A4">
        <w:t xml:space="preserve">chest X-ray, echocardiogram, </w:t>
      </w:r>
      <w:r w:rsidR="00D90516" w:rsidRPr="00F669A4">
        <w:t>e</w:t>
      </w:r>
      <w:r w:rsidR="00441AA8" w:rsidRPr="00F669A4">
        <w:t xml:space="preserve">lectrocardiogram </w:t>
      </w:r>
      <w:r w:rsidR="00D90516" w:rsidRPr="00F669A4">
        <w:t>(</w:t>
      </w:r>
      <w:r w:rsidRPr="00F669A4">
        <w:t>ECG</w:t>
      </w:r>
      <w:r w:rsidR="00D90516" w:rsidRPr="00F669A4">
        <w:t>)</w:t>
      </w:r>
      <w:r w:rsidRPr="00F669A4">
        <w:t>, 24-hour ECG and/or paediatric cardiology assessment</w:t>
      </w:r>
      <w:r w:rsidR="00093798" w:rsidRPr="00F669A4">
        <w:t xml:space="preserve"> at the treating physician’s discretion</w:t>
      </w:r>
      <w:r w:rsidRPr="00F669A4">
        <w:t>.</w:t>
      </w:r>
    </w:p>
    <w:p w14:paraId="333317AB" w14:textId="3CBC22F1" w:rsidR="00764A30" w:rsidRPr="00F669A4" w:rsidRDefault="00764A30" w:rsidP="00F669A4">
      <w:pPr>
        <w:pStyle w:val="Heading4"/>
      </w:pPr>
      <w:r w:rsidRPr="00F669A4">
        <w:t xml:space="preserve">Changes to Late-onset </w:t>
      </w:r>
      <w:proofErr w:type="spellStart"/>
      <w:r w:rsidRPr="00F669A4">
        <w:t>Pompe</w:t>
      </w:r>
      <w:proofErr w:type="spellEnd"/>
      <w:r w:rsidRPr="00F669A4">
        <w:t xml:space="preserve"> disease (LOPD) </w:t>
      </w:r>
      <w:r w:rsidR="00781E92" w:rsidRPr="00F669A4">
        <w:t>t</w:t>
      </w:r>
      <w:r w:rsidRPr="00F669A4">
        <w:t xml:space="preserve">esting </w:t>
      </w:r>
      <w:r w:rsidR="00781E92" w:rsidRPr="00F669A4">
        <w:t>r</w:t>
      </w:r>
      <w:r w:rsidRPr="00F669A4">
        <w:t>equirements</w:t>
      </w:r>
    </w:p>
    <w:p w14:paraId="1688E63F" w14:textId="6CC7CC5C" w:rsidR="00490A48" w:rsidRPr="00F669A4" w:rsidRDefault="00FA7521" w:rsidP="00F669A4">
      <w:pPr>
        <w:pStyle w:val="ListNumber"/>
      </w:pPr>
      <w:r w:rsidRPr="00F669A4">
        <w:t>T</w:t>
      </w:r>
      <w:r w:rsidR="006A5C9C" w:rsidRPr="00F669A4">
        <w:t>he tests required for ongoing eligibility</w:t>
      </w:r>
      <w:r w:rsidRPr="00F669A4">
        <w:t xml:space="preserve"> for LOPD patients</w:t>
      </w:r>
      <w:r w:rsidR="006A5C9C" w:rsidRPr="00F669A4">
        <w:t xml:space="preserve"> are now linked to the criterion</w:t>
      </w:r>
      <w:r w:rsidR="002803EF" w:rsidRPr="00F669A4">
        <w:t>/criteria</w:t>
      </w:r>
      <w:r w:rsidR="006A5C9C" w:rsidRPr="00F669A4">
        <w:t xml:space="preserve"> under which they were admitted to the program. </w:t>
      </w:r>
    </w:p>
    <w:p w14:paraId="52CAA54B" w14:textId="075233CF" w:rsidR="006A5C9C" w:rsidRPr="00F669A4" w:rsidRDefault="006A5C9C" w:rsidP="00F669A4">
      <w:pPr>
        <w:pStyle w:val="ListBullet3"/>
      </w:pPr>
      <w:r w:rsidRPr="00F669A4">
        <w:t xml:space="preserve">For example, if </w:t>
      </w:r>
      <w:r w:rsidR="002C30C0" w:rsidRPr="00F669A4">
        <w:t>a patient was</w:t>
      </w:r>
      <w:r w:rsidRPr="00F669A4">
        <w:t xml:space="preserve"> admitted under the ‘significant muscle weakness’ criterion, the treating physician is required to provide test results for manual muscle testing and the </w:t>
      </w:r>
      <w:r w:rsidR="002C08A6" w:rsidRPr="00F669A4">
        <w:t>6-minute</w:t>
      </w:r>
      <w:r w:rsidRPr="00F669A4">
        <w:t xml:space="preserve"> walk test </w:t>
      </w:r>
      <w:r w:rsidR="00E607A1" w:rsidRPr="00F669A4">
        <w:t xml:space="preserve">(6MWT) </w:t>
      </w:r>
      <w:r w:rsidRPr="00F669A4">
        <w:t>on initial application and every reapplication. The respiratory function test and overnight sleep study test results are only required if the treating physician considers them to be clinically indicated.</w:t>
      </w:r>
    </w:p>
    <w:p w14:paraId="39976653" w14:textId="75DB42B9" w:rsidR="000E6239" w:rsidRPr="00F669A4" w:rsidRDefault="000E6239" w:rsidP="00F669A4">
      <w:pPr>
        <w:pStyle w:val="ListNumber"/>
      </w:pPr>
      <w:r w:rsidRPr="00F669A4">
        <w:t>In keeping with clinical practice for patients aged 18 years and over, both erect and supine FVC tests results are now required in reapplications.</w:t>
      </w:r>
    </w:p>
    <w:p w14:paraId="306668B1" w14:textId="33A5BDFE" w:rsidR="00D33EC1" w:rsidRPr="00F669A4" w:rsidRDefault="001F6298" w:rsidP="00F669A4">
      <w:pPr>
        <w:pStyle w:val="ListNumber"/>
      </w:pPr>
      <w:r w:rsidRPr="00F669A4">
        <w:t xml:space="preserve">Clarification has been provided on the requirement </w:t>
      </w:r>
      <w:r w:rsidR="006C6007" w:rsidRPr="00F669A4">
        <w:t xml:space="preserve">for patients under 18 years of age to provide </w:t>
      </w:r>
      <w:r w:rsidR="002047B3" w:rsidRPr="00F669A4">
        <w:t>forced vital capacity</w:t>
      </w:r>
      <w:r w:rsidR="00E607A1" w:rsidRPr="00F669A4">
        <w:t xml:space="preserve"> </w:t>
      </w:r>
      <w:r w:rsidR="0023043D" w:rsidRPr="00F669A4">
        <w:t xml:space="preserve">(FVC) </w:t>
      </w:r>
      <w:r w:rsidR="00E607A1" w:rsidRPr="00F669A4">
        <w:t xml:space="preserve">and </w:t>
      </w:r>
      <w:r w:rsidR="002A2B39" w:rsidRPr="00F669A4">
        <w:t>6MWT tests</w:t>
      </w:r>
      <w:r w:rsidR="003F1045" w:rsidRPr="00F669A4">
        <w:t>:</w:t>
      </w:r>
    </w:p>
    <w:p w14:paraId="0569CDA6" w14:textId="648044CD" w:rsidR="001A46B8" w:rsidRPr="00F669A4" w:rsidRDefault="001A46B8" w:rsidP="00F669A4">
      <w:pPr>
        <w:pStyle w:val="ListBullet3"/>
      </w:pPr>
      <w:r w:rsidRPr="00F669A4">
        <w:t xml:space="preserve">not required for children between the ages of 2 and 4 years </w:t>
      </w:r>
    </w:p>
    <w:p w14:paraId="31B57D52" w14:textId="2B040599" w:rsidR="005129E7" w:rsidRPr="00F669A4" w:rsidRDefault="00723791" w:rsidP="00F669A4">
      <w:pPr>
        <w:pStyle w:val="ListBullet3"/>
      </w:pPr>
      <w:r w:rsidRPr="00F669A4">
        <w:lastRenderedPageBreak/>
        <w:t>should be attempted (if the child is able to cooperate) for children between the ages of 5 to 11 years</w:t>
      </w:r>
      <w:r w:rsidR="005129E7" w:rsidRPr="00F669A4">
        <w:t xml:space="preserve">, and </w:t>
      </w:r>
    </w:p>
    <w:p w14:paraId="78808AFF" w14:textId="6755FF2D" w:rsidR="003F1045" w:rsidRPr="00F669A4" w:rsidRDefault="00723791" w:rsidP="00F669A4">
      <w:pPr>
        <w:pStyle w:val="ListBullet3"/>
      </w:pPr>
      <w:r w:rsidRPr="00F669A4">
        <w:t>should be attempted for children between the ages of 12 and 17 years</w:t>
      </w:r>
      <w:r w:rsidR="000E6239" w:rsidRPr="00F669A4">
        <w:t xml:space="preserve">. </w:t>
      </w:r>
    </w:p>
    <w:p w14:paraId="6E7BD285" w14:textId="064E1B16" w:rsidR="00DF7E62" w:rsidRPr="00F669A4" w:rsidRDefault="004E1F71" w:rsidP="00F669A4">
      <w:pPr>
        <w:sectPr w:rsidR="00DF7E62" w:rsidRPr="00F669A4" w:rsidSect="00F669A4">
          <w:headerReference w:type="default" r:id="rId14"/>
          <w:footerReference w:type="default" r:id="rId15"/>
          <w:type w:val="continuous"/>
          <w:pgSz w:w="11906" w:h="16838"/>
          <w:pgMar w:top="993" w:right="1440" w:bottom="1440" w:left="1440" w:header="708" w:footer="708" w:gutter="0"/>
          <w:cols w:space="708"/>
          <w:docGrid w:linePitch="360"/>
        </w:sectPr>
      </w:pPr>
      <w:r w:rsidRPr="00F669A4">
        <w:t xml:space="preserve">These changes have been reflected in updated </w:t>
      </w:r>
      <w:hyperlink r:id="rId16" w:history="1">
        <w:r w:rsidRPr="006824CC">
          <w:rPr>
            <w:rStyle w:val="Hyperlink"/>
            <w:rFonts w:cs="Arial"/>
            <w:szCs w:val="22"/>
          </w:rPr>
          <w:t>patient test results spreadsheets</w:t>
        </w:r>
      </w:hyperlink>
      <w:r w:rsidRPr="00F669A4">
        <w:t xml:space="preserve">. Consequential amendments have also been made to both the </w:t>
      </w:r>
      <w:hyperlink r:id="rId17" w:history="1">
        <w:r w:rsidRPr="00484F76">
          <w:rPr>
            <w:rStyle w:val="Hyperlink"/>
            <w:rFonts w:cs="Arial"/>
            <w:szCs w:val="22"/>
          </w:rPr>
          <w:t>initial application</w:t>
        </w:r>
      </w:hyperlink>
      <w:r w:rsidRPr="00F669A4">
        <w:t xml:space="preserve"> and </w:t>
      </w:r>
      <w:hyperlink r:id="rId18" w:history="1">
        <w:r w:rsidRPr="00A060A2">
          <w:rPr>
            <w:rStyle w:val="Hyperlink"/>
            <w:rFonts w:cs="Arial"/>
            <w:szCs w:val="22"/>
          </w:rPr>
          <w:t>reapplication</w:t>
        </w:r>
      </w:hyperlink>
      <w:r w:rsidRPr="00F669A4">
        <w:t xml:space="preserve"> forms, which have been further updated to help streamline the application process. Treating physicians are encouraged to familiarise themselves with the new requirements and the </w:t>
      </w:r>
      <w:hyperlink r:id="rId19" w:history="1">
        <w:proofErr w:type="spellStart"/>
        <w:r w:rsidRPr="00906F55">
          <w:rPr>
            <w:rStyle w:val="Hyperlink"/>
            <w:rFonts w:cs="Arial"/>
            <w:szCs w:val="22"/>
          </w:rPr>
          <w:t>Pompe</w:t>
        </w:r>
        <w:proofErr w:type="spellEnd"/>
        <w:r w:rsidRPr="00906F55">
          <w:rPr>
            <w:rStyle w:val="Hyperlink"/>
            <w:rFonts w:cs="Arial"/>
            <w:szCs w:val="22"/>
          </w:rPr>
          <w:t xml:space="preserve"> disease Guidelines</w:t>
        </w:r>
      </w:hyperlink>
      <w:r w:rsidRPr="00F669A4">
        <w:t xml:space="preserve"> before submitting a new patient application or reapplication.</w:t>
      </w:r>
    </w:p>
    <w:p w14:paraId="5B89BA6F" w14:textId="40CB16E2" w:rsidR="007745EC" w:rsidRDefault="00413BC5" w:rsidP="007218C2">
      <w:pPr>
        <w:pStyle w:val="Heading3"/>
        <w:rPr>
          <w:rFonts w:eastAsia="Calibri"/>
        </w:rPr>
      </w:pPr>
      <w:r>
        <w:rPr>
          <w:rFonts w:eastAsia="Calibri"/>
        </w:rPr>
        <w:t xml:space="preserve">Gaucher </w:t>
      </w:r>
      <w:r w:rsidR="00BA43C2">
        <w:rPr>
          <w:rFonts w:eastAsia="Calibri"/>
        </w:rPr>
        <w:t>disease (type 1)</w:t>
      </w:r>
    </w:p>
    <w:p w14:paraId="4161F075" w14:textId="52C93C00" w:rsidR="007745EC" w:rsidRPr="00F669A4" w:rsidRDefault="007745EC" w:rsidP="00F669A4">
      <w:pPr>
        <w:pStyle w:val="Heading4"/>
      </w:pPr>
      <w:r w:rsidRPr="00F669A4">
        <w:t xml:space="preserve">Changes to Gaucher </w:t>
      </w:r>
      <w:r w:rsidR="00781E92" w:rsidRPr="00F669A4">
        <w:t>d</w:t>
      </w:r>
      <w:r w:rsidRPr="00F669A4">
        <w:t xml:space="preserve">isease (type 1) </w:t>
      </w:r>
      <w:r w:rsidR="00781E92" w:rsidRPr="00F669A4">
        <w:t>t</w:t>
      </w:r>
      <w:r w:rsidRPr="00F669A4">
        <w:t xml:space="preserve">esting </w:t>
      </w:r>
      <w:r w:rsidR="002C5278" w:rsidRPr="00F669A4">
        <w:t>requirements.</w:t>
      </w:r>
    </w:p>
    <w:p w14:paraId="0B9BD04C" w14:textId="64563254" w:rsidR="009C6C93" w:rsidRPr="00F669A4" w:rsidRDefault="009C6C93" w:rsidP="00F669A4">
      <w:pPr>
        <w:pStyle w:val="ListNumber"/>
        <w:numPr>
          <w:ilvl w:val="0"/>
          <w:numId w:val="34"/>
        </w:numPr>
        <w:ind w:left="357" w:hanging="357"/>
      </w:pPr>
      <w:r w:rsidRPr="00F669A4">
        <w:t xml:space="preserve">Chitotriosidase </w:t>
      </w:r>
      <w:r w:rsidR="00EF45A3" w:rsidRPr="00F669A4">
        <w:t xml:space="preserve">testing </w:t>
      </w:r>
      <w:r w:rsidR="002C5278" w:rsidRPr="00F669A4">
        <w:t xml:space="preserve">has been </w:t>
      </w:r>
      <w:r w:rsidRPr="00F669A4">
        <w:t xml:space="preserve">removed from the requirements </w:t>
      </w:r>
      <w:r w:rsidR="00845B48" w:rsidRPr="00F669A4">
        <w:t>with</w:t>
      </w:r>
      <w:r w:rsidRPr="00F669A4">
        <w:t xml:space="preserve"> glucosyl sphingosine (lyso-Gb-1) </w:t>
      </w:r>
      <w:r w:rsidR="00845B48" w:rsidRPr="00F669A4">
        <w:t xml:space="preserve">testing </w:t>
      </w:r>
      <w:r w:rsidR="00287AE6" w:rsidRPr="00F669A4">
        <w:t xml:space="preserve">being </w:t>
      </w:r>
      <w:r w:rsidRPr="00F669A4">
        <w:t>retained as the most appropriate biomarker to determine Gaucher disease severity.</w:t>
      </w:r>
    </w:p>
    <w:p w14:paraId="050B512B" w14:textId="00F38F4C" w:rsidR="00EF14DA" w:rsidRPr="00F669A4" w:rsidRDefault="00475205" w:rsidP="00F669A4">
      <w:pPr>
        <w:pStyle w:val="ListNumber"/>
      </w:pPr>
      <w:r w:rsidRPr="00F669A4">
        <w:t>The requirement for the</w:t>
      </w:r>
      <w:r w:rsidR="00EF14DA" w:rsidRPr="00F669A4">
        <w:t xml:space="preserve"> ophthalmologic review and neurodevelopmental status in patients under 16 years of age</w:t>
      </w:r>
      <w:r w:rsidRPr="00F669A4">
        <w:t xml:space="preserve"> has been removed</w:t>
      </w:r>
      <w:r w:rsidR="00EF14DA" w:rsidRPr="00F669A4">
        <w:t>.</w:t>
      </w:r>
    </w:p>
    <w:p w14:paraId="2790C9A0" w14:textId="7DD82DC9" w:rsidR="009C6C93" w:rsidRPr="00F669A4" w:rsidRDefault="009C6C93" w:rsidP="00F669A4">
      <w:pPr>
        <w:pStyle w:val="ListNumber"/>
      </w:pPr>
      <w:r w:rsidRPr="00F669A4">
        <w:t xml:space="preserve">Spleen and liver size and volume </w:t>
      </w:r>
      <w:r w:rsidR="00C22EF5" w:rsidRPr="00F669A4">
        <w:t xml:space="preserve">are only required to be reported until </w:t>
      </w:r>
      <w:r w:rsidR="00CB17BB" w:rsidRPr="00F669A4">
        <w:t xml:space="preserve">the measure is stable. </w:t>
      </w:r>
      <w:r w:rsidRPr="00F669A4">
        <w:t>The treating physician may choose the most appropriate way to assess this</w:t>
      </w:r>
      <w:r w:rsidR="00CB17BB" w:rsidRPr="00F669A4">
        <w:t>, such as</w:t>
      </w:r>
      <w:r w:rsidRPr="00F669A4">
        <w:t xml:space="preserve"> palpation or imaging. </w:t>
      </w:r>
    </w:p>
    <w:p w14:paraId="5F94E133" w14:textId="36C78571" w:rsidR="009C6C93" w:rsidRPr="00F669A4" w:rsidRDefault="009C6C93" w:rsidP="00F669A4">
      <w:pPr>
        <w:pStyle w:val="ListNumber"/>
      </w:pPr>
      <w:r w:rsidRPr="00F669A4">
        <w:t xml:space="preserve">Skeletal </w:t>
      </w:r>
      <w:r w:rsidR="009A71CC" w:rsidRPr="00F669A4">
        <w:t>magnetic resonance imaging (</w:t>
      </w:r>
      <w:r w:rsidRPr="00F669A4">
        <w:t>MRI</w:t>
      </w:r>
      <w:r w:rsidR="009A71CC" w:rsidRPr="00F669A4">
        <w:t>)</w:t>
      </w:r>
      <w:r w:rsidRPr="00F669A4">
        <w:t xml:space="preserve"> </w:t>
      </w:r>
      <w:r w:rsidR="00B6715A" w:rsidRPr="00F669A4">
        <w:t xml:space="preserve">is </w:t>
      </w:r>
      <w:r w:rsidR="009A4DF4" w:rsidRPr="00F669A4">
        <w:t xml:space="preserve">now </w:t>
      </w:r>
      <w:r w:rsidR="00B6715A" w:rsidRPr="00F669A4">
        <w:t xml:space="preserve">only </w:t>
      </w:r>
      <w:r w:rsidRPr="00F669A4">
        <w:t xml:space="preserve">required annually until </w:t>
      </w:r>
      <w:r w:rsidR="00B6715A" w:rsidRPr="00F669A4">
        <w:t xml:space="preserve">the measure is </w:t>
      </w:r>
      <w:r w:rsidRPr="00F669A4">
        <w:t>stable</w:t>
      </w:r>
      <w:r w:rsidR="00BA7696" w:rsidRPr="00F669A4">
        <w:t xml:space="preserve">. Once stable </w:t>
      </w:r>
      <w:r w:rsidR="009A71CC" w:rsidRPr="00F669A4">
        <w:t>an MRI</w:t>
      </w:r>
      <w:r w:rsidR="00030F4B" w:rsidRPr="00F669A4">
        <w:t xml:space="preserve"> </w:t>
      </w:r>
      <w:r w:rsidR="000C55F2" w:rsidRPr="00F669A4">
        <w:t>will</w:t>
      </w:r>
      <w:r w:rsidR="00857BD8" w:rsidRPr="00F669A4">
        <w:t xml:space="preserve"> only </w:t>
      </w:r>
      <w:r w:rsidR="000C55F2" w:rsidRPr="00F669A4">
        <w:t xml:space="preserve">be </w:t>
      </w:r>
      <w:r w:rsidR="00857BD8" w:rsidRPr="00F669A4">
        <w:t>required</w:t>
      </w:r>
      <w:r w:rsidRPr="00F669A4">
        <w:t xml:space="preserve"> once every 2 years.</w:t>
      </w:r>
    </w:p>
    <w:p w14:paraId="5392F99C" w14:textId="59F3588E" w:rsidR="00F055D8" w:rsidRPr="00F669A4" w:rsidRDefault="00B87637" w:rsidP="00F669A4">
      <w:pPr>
        <w:pStyle w:val="ListNumber"/>
      </w:pPr>
      <w:r w:rsidRPr="00F669A4">
        <w:t>T</w:t>
      </w:r>
      <w:r w:rsidR="00EC7E0F" w:rsidRPr="00F669A4">
        <w:t xml:space="preserve">he assessment for pain and/or quality of life (QoL) has been removed. This does not reflect the Expert Panel’s opinion of the importance of this measure but rather reflects that eligibility </w:t>
      </w:r>
      <w:r w:rsidR="000C55F2" w:rsidRPr="00F669A4">
        <w:t xml:space="preserve">for continued treatment </w:t>
      </w:r>
      <w:r w:rsidR="00EC7E0F" w:rsidRPr="00F669A4">
        <w:t>is not depend</w:t>
      </w:r>
      <w:r w:rsidRPr="00F669A4">
        <w:t>e</w:t>
      </w:r>
      <w:r w:rsidR="00EC7E0F" w:rsidRPr="00F669A4">
        <w:t>nt on changes to QoL. Treating physicians can undertake these assessments and provide the results to the LSDP if they choose to.</w:t>
      </w:r>
    </w:p>
    <w:p w14:paraId="208997B0" w14:textId="3019E6EE" w:rsidR="00DF7E62" w:rsidRPr="00F669A4" w:rsidRDefault="004E1F71" w:rsidP="00F669A4">
      <w:r w:rsidRPr="00F669A4">
        <w:t xml:space="preserve">These changes have been reflected in updated </w:t>
      </w:r>
      <w:hyperlink r:id="rId20" w:history="1">
        <w:r w:rsidRPr="004E1F71">
          <w:rPr>
            <w:rStyle w:val="Hyperlink"/>
            <w:rFonts w:cs="Arial"/>
            <w:szCs w:val="22"/>
          </w:rPr>
          <w:t>patient test results spreadsheet</w:t>
        </w:r>
      </w:hyperlink>
      <w:r w:rsidRPr="00F669A4">
        <w:t xml:space="preserve">. Consequential amendments have also been made to both the </w:t>
      </w:r>
      <w:hyperlink r:id="rId21" w:history="1">
        <w:r w:rsidRPr="004E1F71">
          <w:rPr>
            <w:rStyle w:val="Hyperlink"/>
            <w:rFonts w:cs="Arial"/>
            <w:szCs w:val="22"/>
          </w:rPr>
          <w:t>initial application</w:t>
        </w:r>
      </w:hyperlink>
      <w:r w:rsidRPr="00F669A4">
        <w:t xml:space="preserve"> and </w:t>
      </w:r>
      <w:hyperlink r:id="rId22" w:history="1">
        <w:r w:rsidRPr="004E1F71">
          <w:rPr>
            <w:rStyle w:val="Hyperlink"/>
            <w:rFonts w:cs="Arial"/>
            <w:szCs w:val="22"/>
          </w:rPr>
          <w:t>reapplication</w:t>
        </w:r>
      </w:hyperlink>
      <w:r w:rsidRPr="00F669A4">
        <w:t xml:space="preserve"> forms, which have been further updated to help streamline the application process. Treating physicians are encouraged to familiarise themselves with the new requirements and the </w:t>
      </w:r>
      <w:hyperlink r:id="rId23" w:history="1">
        <w:r w:rsidRPr="004E1F71">
          <w:rPr>
            <w:rStyle w:val="Hyperlink"/>
            <w:rFonts w:cs="Arial"/>
            <w:szCs w:val="22"/>
          </w:rPr>
          <w:t>Gaucher disease (type 1) Guidelines</w:t>
        </w:r>
      </w:hyperlink>
      <w:r w:rsidRPr="00F669A4">
        <w:t xml:space="preserve"> before submitting a new patient application or reapplication.</w:t>
      </w:r>
    </w:p>
    <w:p w14:paraId="1E8D519B" w14:textId="4A75E433" w:rsidR="009C6C93" w:rsidRPr="009C6C93" w:rsidRDefault="007745EC" w:rsidP="00781E92">
      <w:pPr>
        <w:pStyle w:val="Heading3"/>
        <w:rPr>
          <w:lang w:eastAsia="en-AU"/>
        </w:rPr>
      </w:pPr>
      <w:r>
        <w:rPr>
          <w:lang w:eastAsia="en-AU"/>
        </w:rPr>
        <w:t>MPS</w:t>
      </w:r>
      <w:r w:rsidR="00E10FB7">
        <w:rPr>
          <w:lang w:eastAsia="en-AU"/>
        </w:rPr>
        <w:t xml:space="preserve"> </w:t>
      </w:r>
      <w:r w:rsidR="0055520A">
        <w:rPr>
          <w:lang w:eastAsia="en-AU"/>
        </w:rPr>
        <w:t xml:space="preserve">type </w:t>
      </w:r>
      <w:r w:rsidR="00E10FB7">
        <w:rPr>
          <w:lang w:eastAsia="en-AU"/>
        </w:rPr>
        <w:t>I, II and VI</w:t>
      </w:r>
    </w:p>
    <w:p w14:paraId="65A12A28" w14:textId="3529FD66" w:rsidR="007F32BE" w:rsidRPr="00F669A4" w:rsidRDefault="00781E92" w:rsidP="00F669A4">
      <w:pPr>
        <w:pStyle w:val="Heading4"/>
      </w:pPr>
      <w:r w:rsidRPr="00F669A4">
        <w:t xml:space="preserve">Changes </w:t>
      </w:r>
      <w:r w:rsidR="007F32BE" w:rsidRPr="00F669A4">
        <w:t xml:space="preserve">to MPS I, </w:t>
      </w:r>
      <w:r w:rsidR="00C6709F" w:rsidRPr="00F669A4">
        <w:t xml:space="preserve">MPS </w:t>
      </w:r>
      <w:r w:rsidR="007F32BE" w:rsidRPr="00F669A4">
        <w:t xml:space="preserve">II and </w:t>
      </w:r>
      <w:r w:rsidR="00C6709F" w:rsidRPr="00F669A4">
        <w:t xml:space="preserve">MPS </w:t>
      </w:r>
      <w:r w:rsidR="007F32BE" w:rsidRPr="00F669A4">
        <w:t xml:space="preserve">VI </w:t>
      </w:r>
      <w:r w:rsidRPr="00F669A4">
        <w:t>t</w:t>
      </w:r>
      <w:r w:rsidR="007F32BE" w:rsidRPr="00F669A4">
        <w:t xml:space="preserve">esting </w:t>
      </w:r>
      <w:r w:rsidRPr="00F669A4">
        <w:t>requirements.</w:t>
      </w:r>
    </w:p>
    <w:p w14:paraId="14604C9D" w14:textId="77777777" w:rsidR="00056CA7" w:rsidRPr="00F669A4" w:rsidRDefault="00056CA7" w:rsidP="00F669A4">
      <w:pPr>
        <w:pStyle w:val="ListNumber"/>
        <w:numPr>
          <w:ilvl w:val="0"/>
          <w:numId w:val="36"/>
        </w:numPr>
        <w:ind w:left="357" w:hanging="357"/>
      </w:pPr>
      <w:r w:rsidRPr="00F669A4">
        <w:t xml:space="preserve">The following test requirements have been removed: </w:t>
      </w:r>
    </w:p>
    <w:p w14:paraId="1DB3F84A" w14:textId="77777777" w:rsidR="00D13AAC" w:rsidRPr="00F669A4" w:rsidRDefault="00C6709F" w:rsidP="00F669A4">
      <w:pPr>
        <w:pStyle w:val="ListNumber2"/>
        <w:numPr>
          <w:ilvl w:val="0"/>
          <w:numId w:val="35"/>
        </w:numPr>
      </w:pPr>
      <w:r w:rsidRPr="00F669A4">
        <w:t xml:space="preserve">Body </w:t>
      </w:r>
      <w:r w:rsidR="00D13AAC" w:rsidRPr="00F669A4">
        <w:t>m</w:t>
      </w:r>
      <w:r w:rsidRPr="00F669A4">
        <w:t xml:space="preserve">ass </w:t>
      </w:r>
      <w:r w:rsidR="00D13AAC" w:rsidRPr="00F669A4">
        <w:t>i</w:t>
      </w:r>
      <w:r w:rsidRPr="00F669A4">
        <w:t xml:space="preserve">ndex </w:t>
      </w:r>
    </w:p>
    <w:p w14:paraId="68425F0B" w14:textId="280AA796" w:rsidR="00D13AAC" w:rsidRPr="00F669A4" w:rsidRDefault="00C6709F" w:rsidP="00F669A4">
      <w:pPr>
        <w:pStyle w:val="ListNumber2"/>
      </w:pPr>
      <w:r w:rsidRPr="00F669A4">
        <w:t>Ophthalmological examination</w:t>
      </w:r>
      <w:r w:rsidR="00F46E8B" w:rsidRPr="00F669A4">
        <w:t>s</w:t>
      </w:r>
    </w:p>
    <w:p w14:paraId="1C0DB46D" w14:textId="4E72AA2A" w:rsidR="00D13AAC" w:rsidRPr="00F669A4" w:rsidRDefault="00C6709F" w:rsidP="00F669A4">
      <w:pPr>
        <w:pStyle w:val="ListNumber2"/>
      </w:pPr>
      <w:r w:rsidRPr="00F669A4">
        <w:t xml:space="preserve">Skeletal </w:t>
      </w:r>
      <w:r w:rsidR="00C162EF" w:rsidRPr="00F669A4">
        <w:t>s</w:t>
      </w:r>
      <w:r w:rsidRPr="00F669A4">
        <w:t>urvey</w:t>
      </w:r>
      <w:r w:rsidR="006D3F29" w:rsidRPr="00F669A4">
        <w:t xml:space="preserve"> </w:t>
      </w:r>
      <w:r w:rsidR="00125B6B" w:rsidRPr="00F669A4">
        <w:t>assessments</w:t>
      </w:r>
    </w:p>
    <w:p w14:paraId="1553FE43" w14:textId="24D58022" w:rsidR="00D13AAC" w:rsidRPr="00F669A4" w:rsidRDefault="00C6709F" w:rsidP="00F669A4">
      <w:pPr>
        <w:pStyle w:val="ListNumber2"/>
      </w:pPr>
      <w:r w:rsidRPr="00F669A4">
        <w:t>6-minute walk test</w:t>
      </w:r>
    </w:p>
    <w:p w14:paraId="7B34957B" w14:textId="77777777" w:rsidR="00D13AAC" w:rsidRPr="00F669A4" w:rsidRDefault="00C6709F" w:rsidP="00F669A4">
      <w:pPr>
        <w:pStyle w:val="ListNumber2"/>
      </w:pPr>
      <w:r w:rsidRPr="00F669A4">
        <w:t>Psychometric testing</w:t>
      </w:r>
    </w:p>
    <w:p w14:paraId="1BD932D1" w14:textId="5AA02D32" w:rsidR="00D13AAC" w:rsidRPr="00F669A4" w:rsidRDefault="00C6709F" w:rsidP="00F669A4">
      <w:pPr>
        <w:pStyle w:val="ListNumber2"/>
      </w:pPr>
      <w:r w:rsidRPr="00F669A4">
        <w:t xml:space="preserve">Neurological </w:t>
      </w:r>
      <w:r w:rsidR="00C60CDC" w:rsidRPr="00F669A4">
        <w:t>e</w:t>
      </w:r>
      <w:r w:rsidRPr="00F669A4">
        <w:t>xamination</w:t>
      </w:r>
      <w:r w:rsidR="00C60CDC" w:rsidRPr="00F669A4">
        <w:t>s</w:t>
      </w:r>
    </w:p>
    <w:p w14:paraId="32FB6E12" w14:textId="2692411D" w:rsidR="00125B6B" w:rsidRPr="00F669A4" w:rsidRDefault="00125B6B" w:rsidP="00F669A4">
      <w:pPr>
        <w:pStyle w:val="ListNumber2"/>
      </w:pPr>
      <w:r w:rsidRPr="00F669A4">
        <w:lastRenderedPageBreak/>
        <w:t>Audiology assessment</w:t>
      </w:r>
    </w:p>
    <w:p w14:paraId="1F0B2B1E" w14:textId="082F6F0C" w:rsidR="00D13AAC" w:rsidRPr="00F669A4" w:rsidRDefault="00C6709F" w:rsidP="00F669A4">
      <w:pPr>
        <w:pStyle w:val="ListNumber2"/>
      </w:pPr>
      <w:r w:rsidRPr="00F669A4">
        <w:t xml:space="preserve">Urine </w:t>
      </w:r>
      <w:r w:rsidR="00BF38EB" w:rsidRPr="00F669A4">
        <w:t xml:space="preserve">glycosaminoglycans </w:t>
      </w:r>
      <w:r w:rsidR="00125B6B" w:rsidRPr="00F669A4">
        <w:t>testing</w:t>
      </w:r>
    </w:p>
    <w:p w14:paraId="0273D01E" w14:textId="59EDF3D2" w:rsidR="00F723DA" w:rsidRPr="00F669A4" w:rsidRDefault="00FF0BE1" w:rsidP="00F669A4">
      <w:pPr>
        <w:pStyle w:val="ListNumber2"/>
      </w:pPr>
      <w:r w:rsidRPr="00F669A4">
        <w:t>Liver and spleen size</w:t>
      </w:r>
      <w:r w:rsidR="00AC37D9" w:rsidRPr="00F669A4">
        <w:t>s</w:t>
      </w:r>
      <w:r w:rsidR="00B87637" w:rsidRPr="00F669A4">
        <w:t>.</w:t>
      </w:r>
    </w:p>
    <w:p w14:paraId="7B772AE3" w14:textId="06970E4B" w:rsidR="00F75872" w:rsidRPr="00F669A4" w:rsidRDefault="00B87637" w:rsidP="00F669A4">
      <w:pPr>
        <w:pStyle w:val="ListNumber"/>
      </w:pPr>
      <w:r w:rsidRPr="00F669A4">
        <w:t>T</w:t>
      </w:r>
      <w:r w:rsidR="00DE28E1" w:rsidRPr="00F669A4">
        <w:t>he a</w:t>
      </w:r>
      <w:r w:rsidR="00781E92" w:rsidRPr="00F669A4">
        <w:t>ssessment for</w:t>
      </w:r>
      <w:r w:rsidR="00C6709F" w:rsidRPr="00F669A4">
        <w:t xml:space="preserve"> pain and/or quality of life</w:t>
      </w:r>
      <w:r w:rsidR="007917DE" w:rsidRPr="00F669A4">
        <w:t xml:space="preserve"> (QoL)</w:t>
      </w:r>
      <w:r w:rsidR="00DE28E1" w:rsidRPr="00F669A4">
        <w:t xml:space="preserve"> has been removed. </w:t>
      </w:r>
      <w:r w:rsidR="00335EAF" w:rsidRPr="00F669A4">
        <w:t>This does not reflect the Expert Panel’s</w:t>
      </w:r>
      <w:r w:rsidR="007917DE" w:rsidRPr="00F669A4">
        <w:t xml:space="preserve"> </w:t>
      </w:r>
      <w:r w:rsidR="00075C38" w:rsidRPr="00F669A4">
        <w:t>opinion</w:t>
      </w:r>
      <w:r w:rsidR="00335EAF" w:rsidRPr="00F669A4">
        <w:t xml:space="preserve"> of the importance of this measure but </w:t>
      </w:r>
      <w:r w:rsidR="007917DE" w:rsidRPr="00F669A4">
        <w:t xml:space="preserve">rather </w:t>
      </w:r>
      <w:r w:rsidR="00335EAF" w:rsidRPr="00F669A4">
        <w:t>reflects that eligibility</w:t>
      </w:r>
      <w:r w:rsidR="00902533" w:rsidRPr="00F669A4">
        <w:t xml:space="preserve"> for continued treatment</w:t>
      </w:r>
      <w:r w:rsidR="00335EAF" w:rsidRPr="00F669A4">
        <w:t xml:space="preserve"> is not depend</w:t>
      </w:r>
      <w:r w:rsidRPr="00F669A4">
        <w:t>e</w:t>
      </w:r>
      <w:r w:rsidR="00335EAF" w:rsidRPr="00F669A4">
        <w:t>nt on changes to QoL</w:t>
      </w:r>
      <w:r w:rsidR="00622716" w:rsidRPr="00F669A4">
        <w:t xml:space="preserve">. </w:t>
      </w:r>
      <w:r w:rsidR="007917DE" w:rsidRPr="00F669A4">
        <w:t>Treating p</w:t>
      </w:r>
      <w:r w:rsidR="00335EAF" w:rsidRPr="00F669A4">
        <w:t>hysicians can undertake these assessments and provide the results to the LSDP if they choose to.</w:t>
      </w:r>
    </w:p>
    <w:p w14:paraId="0CF9C1BF" w14:textId="1AAD163C" w:rsidR="002C3DBA" w:rsidRPr="00F669A4" w:rsidRDefault="003E7DA5" w:rsidP="00F669A4">
      <w:pPr>
        <w:pStyle w:val="ListNumber"/>
      </w:pPr>
      <w:r w:rsidRPr="00F669A4">
        <w:t xml:space="preserve">The tests required for ongoing eligibility are </w:t>
      </w:r>
      <w:r w:rsidR="00BA1893" w:rsidRPr="00F669A4">
        <w:t>now</w:t>
      </w:r>
      <w:r w:rsidRPr="00F669A4">
        <w:t xml:space="preserve"> linked to the criterion</w:t>
      </w:r>
      <w:r w:rsidR="001711D1" w:rsidRPr="00F669A4">
        <w:t>/c</w:t>
      </w:r>
      <w:r w:rsidR="002803EF" w:rsidRPr="00F669A4">
        <w:t>riteria</w:t>
      </w:r>
      <w:r w:rsidRPr="00F669A4">
        <w:t xml:space="preserve"> under which the patient was admitted to the program. </w:t>
      </w:r>
    </w:p>
    <w:p w14:paraId="384A658B" w14:textId="7EB404EF" w:rsidR="003E7DA5" w:rsidRPr="00F669A4" w:rsidRDefault="003E7DA5" w:rsidP="00F669A4">
      <w:pPr>
        <w:pStyle w:val="ListBullet3"/>
      </w:pPr>
      <w:r w:rsidRPr="00F669A4">
        <w:t xml:space="preserve">For example, if </w:t>
      </w:r>
      <w:r w:rsidR="00C9412E" w:rsidRPr="00F669A4">
        <w:t>a patient was</w:t>
      </w:r>
      <w:r w:rsidRPr="00F669A4">
        <w:t xml:space="preserve"> admitted under the ‘joint contractures’ criterion, the treating physician is required to provide test results for range of movement tests and hand clawing on </w:t>
      </w:r>
      <w:r w:rsidR="00D15CD7" w:rsidRPr="00F669A4">
        <w:t xml:space="preserve">the </w:t>
      </w:r>
      <w:r w:rsidRPr="00F669A4">
        <w:t xml:space="preserve">initial application and every reapplication until </w:t>
      </w:r>
      <w:r w:rsidR="00D15CD7" w:rsidRPr="00F669A4">
        <w:t xml:space="preserve">this measure is </w:t>
      </w:r>
      <w:r w:rsidRPr="00F669A4">
        <w:t>stable. They only need to provide other tests results if the treating physician consider</w:t>
      </w:r>
      <w:r w:rsidR="00B87637" w:rsidRPr="00F669A4">
        <w:t>s</w:t>
      </w:r>
      <w:r w:rsidRPr="00F669A4">
        <w:t xml:space="preserve"> them to be clinically indicated and </w:t>
      </w:r>
      <w:r w:rsidR="00B87637" w:rsidRPr="00F669A4">
        <w:t xml:space="preserve">if they </w:t>
      </w:r>
      <w:r w:rsidRPr="00F669A4">
        <w:t>demonstrate a response to treatment (</w:t>
      </w:r>
      <w:r w:rsidR="009B0F9A" w:rsidRPr="00F669A4">
        <w:t xml:space="preserve">i.e. </w:t>
      </w:r>
      <w:r w:rsidRPr="00F669A4">
        <w:t xml:space="preserve">stabilisation or improvement). </w:t>
      </w:r>
    </w:p>
    <w:p w14:paraId="4286C8FD" w14:textId="5AF2C531" w:rsidR="00FE1C85" w:rsidRPr="00F669A4" w:rsidRDefault="00FE1C85" w:rsidP="00F669A4">
      <w:pPr>
        <w:pStyle w:val="ListNumber"/>
      </w:pPr>
      <w:r w:rsidRPr="00F669A4">
        <w:t xml:space="preserve">For patients aged 5 years or less not yet demonstrating symptoms consistent with other eligibility criteria, the treating physician </w:t>
      </w:r>
      <w:r w:rsidR="0090157A" w:rsidRPr="00F669A4">
        <w:t>should</w:t>
      </w:r>
      <w:r w:rsidRPr="00F669A4">
        <w:t xml:space="preserve"> undertake whichever tests are deemed clinically relevant at baseline, and tests for ongoing eligibility should demonstrate whether there has been a response to treatment (i.e.</w:t>
      </w:r>
      <w:r w:rsidR="00CD2F4D" w:rsidRPr="00F669A4">
        <w:t xml:space="preserve"> </w:t>
      </w:r>
      <w:r w:rsidRPr="00F669A4">
        <w:t>stabilisation or improvement).</w:t>
      </w:r>
    </w:p>
    <w:p w14:paraId="5B0D4DD6" w14:textId="77777777" w:rsidR="00B87637" w:rsidRPr="00F669A4" w:rsidRDefault="004E1F71" w:rsidP="00F669A4">
      <w:r w:rsidRPr="00F669A4">
        <w:t>These changes have been reflected in updated</w:t>
      </w:r>
      <w:r w:rsidR="00B87637" w:rsidRPr="00F669A4">
        <w:t xml:space="preserve"> test result spreadsheets:</w:t>
      </w:r>
    </w:p>
    <w:p w14:paraId="39FEB474" w14:textId="42EF302D" w:rsidR="00B87637" w:rsidRPr="00F669A4" w:rsidRDefault="00000000" w:rsidP="00F669A4">
      <w:pPr>
        <w:pStyle w:val="ListBullet3"/>
      </w:pPr>
      <w:hyperlink r:id="rId24" w:history="1">
        <w:r w:rsidR="004E1F71" w:rsidRPr="00B87637">
          <w:rPr>
            <w:rStyle w:val="Hyperlink"/>
            <w:rFonts w:cs="Arial"/>
            <w:szCs w:val="22"/>
          </w:rPr>
          <w:t>MPS I patient test results spreadsheet</w:t>
        </w:r>
      </w:hyperlink>
      <w:r w:rsidR="004E1F71" w:rsidRPr="00786D02">
        <w:rPr>
          <w:rStyle w:val="Hyperlink"/>
        </w:rPr>
        <w:t xml:space="preserve"> </w:t>
      </w:r>
    </w:p>
    <w:p w14:paraId="3973FE1B" w14:textId="23F364D6" w:rsidR="00B87637" w:rsidRPr="00F669A4" w:rsidRDefault="00000000" w:rsidP="00F669A4">
      <w:pPr>
        <w:pStyle w:val="ListBullet3"/>
      </w:pPr>
      <w:hyperlink r:id="rId25" w:history="1">
        <w:r w:rsidR="004E1F71" w:rsidRPr="00B87637">
          <w:rPr>
            <w:rStyle w:val="Hyperlink"/>
            <w:rFonts w:cs="Arial"/>
            <w:szCs w:val="22"/>
          </w:rPr>
          <w:t>MPS II patient test results spreadsheet</w:t>
        </w:r>
      </w:hyperlink>
      <w:r w:rsidR="004E1F71" w:rsidRPr="00786D02">
        <w:rPr>
          <w:rStyle w:val="Hyperlink"/>
        </w:rPr>
        <w:t xml:space="preserve"> </w:t>
      </w:r>
    </w:p>
    <w:p w14:paraId="796DA9CA" w14:textId="77777777" w:rsidR="00B87637" w:rsidRPr="00F669A4" w:rsidRDefault="00000000" w:rsidP="00F669A4">
      <w:pPr>
        <w:pStyle w:val="ListBullet3"/>
      </w:pPr>
      <w:hyperlink r:id="rId26" w:history="1">
        <w:r w:rsidR="004E1F71" w:rsidRPr="00B87637">
          <w:rPr>
            <w:rStyle w:val="Hyperlink"/>
            <w:rFonts w:cs="Arial"/>
            <w:szCs w:val="22"/>
          </w:rPr>
          <w:t>MPS VI patient test results spreadsheet</w:t>
        </w:r>
      </w:hyperlink>
      <w:r w:rsidR="004E1F71" w:rsidRPr="00786D02">
        <w:rPr>
          <w:rStyle w:val="Hyperlink"/>
        </w:rPr>
        <w:t xml:space="preserve">. </w:t>
      </w:r>
    </w:p>
    <w:p w14:paraId="178FBA17" w14:textId="77777777" w:rsidR="00B87637" w:rsidRPr="00F669A4" w:rsidRDefault="004E1F71" w:rsidP="00F669A4">
      <w:r w:rsidRPr="00F669A4">
        <w:t>Consequential amendments have also been made to</w:t>
      </w:r>
      <w:r w:rsidR="00B87637" w:rsidRPr="00F669A4">
        <w:t>:</w:t>
      </w:r>
    </w:p>
    <w:p w14:paraId="0AF2A67C" w14:textId="6DACCC4E" w:rsidR="00B87637" w:rsidRPr="00F669A4" w:rsidRDefault="00000000" w:rsidP="00F669A4">
      <w:pPr>
        <w:pStyle w:val="ListBullet3"/>
      </w:pPr>
      <w:hyperlink r:id="rId27" w:history="1">
        <w:r w:rsidR="004E1F71" w:rsidRPr="00B87637">
          <w:rPr>
            <w:rStyle w:val="Hyperlink"/>
            <w:rFonts w:cs="Arial"/>
            <w:szCs w:val="22"/>
          </w:rPr>
          <w:t>MPS I initial application</w:t>
        </w:r>
      </w:hyperlink>
      <w:r w:rsidR="004E1F71" w:rsidRPr="00F669A4">
        <w:t xml:space="preserve"> and </w:t>
      </w:r>
      <w:hyperlink r:id="rId28" w:history="1">
        <w:r w:rsidR="004E1F71" w:rsidRPr="00B87637">
          <w:rPr>
            <w:rStyle w:val="Hyperlink"/>
            <w:rFonts w:cs="Arial"/>
            <w:szCs w:val="22"/>
          </w:rPr>
          <w:t>reapplication</w:t>
        </w:r>
      </w:hyperlink>
      <w:r w:rsidR="004E1F71" w:rsidRPr="00F669A4">
        <w:t xml:space="preserve"> forms</w:t>
      </w:r>
    </w:p>
    <w:p w14:paraId="1281BCD7" w14:textId="3B3D6C37" w:rsidR="00B87637" w:rsidRPr="00F669A4" w:rsidRDefault="00000000" w:rsidP="00F669A4">
      <w:pPr>
        <w:pStyle w:val="ListBullet3"/>
      </w:pPr>
      <w:hyperlink r:id="rId29" w:history="1">
        <w:r w:rsidR="004E1F71" w:rsidRPr="00B87637">
          <w:rPr>
            <w:rStyle w:val="Hyperlink"/>
            <w:rFonts w:cs="Arial"/>
            <w:szCs w:val="22"/>
          </w:rPr>
          <w:t>MPS II initial application</w:t>
        </w:r>
      </w:hyperlink>
      <w:r w:rsidR="004E1F71" w:rsidRPr="00F669A4">
        <w:t xml:space="preserve"> and </w:t>
      </w:r>
      <w:hyperlink r:id="rId30" w:history="1">
        <w:r w:rsidR="004E1F71" w:rsidRPr="00B87637">
          <w:rPr>
            <w:rStyle w:val="Hyperlink"/>
            <w:rFonts w:cs="Arial"/>
            <w:szCs w:val="22"/>
          </w:rPr>
          <w:t>reapplication</w:t>
        </w:r>
      </w:hyperlink>
      <w:r w:rsidR="004E1F71" w:rsidRPr="00F669A4">
        <w:t xml:space="preserve"> forms</w:t>
      </w:r>
    </w:p>
    <w:p w14:paraId="245AA3A3" w14:textId="3CF21E0E" w:rsidR="00B87637" w:rsidRPr="00F669A4" w:rsidRDefault="00000000" w:rsidP="00F669A4">
      <w:pPr>
        <w:pStyle w:val="ListBullet3"/>
      </w:pPr>
      <w:hyperlink r:id="rId31" w:history="1">
        <w:r w:rsidR="004E1F71" w:rsidRPr="00B87637">
          <w:rPr>
            <w:rStyle w:val="Hyperlink"/>
            <w:rFonts w:cs="Arial"/>
            <w:szCs w:val="22"/>
          </w:rPr>
          <w:t>MPS VI initial application</w:t>
        </w:r>
      </w:hyperlink>
      <w:r w:rsidR="004E1F71" w:rsidRPr="00F669A4">
        <w:t xml:space="preserve"> and </w:t>
      </w:r>
      <w:hyperlink r:id="rId32" w:history="1">
        <w:r w:rsidR="004E1F71" w:rsidRPr="00B87637">
          <w:rPr>
            <w:rStyle w:val="Hyperlink"/>
            <w:rFonts w:cs="Arial"/>
            <w:szCs w:val="22"/>
          </w:rPr>
          <w:t>reapplication</w:t>
        </w:r>
      </w:hyperlink>
      <w:r w:rsidR="004E1F71" w:rsidRPr="00F669A4">
        <w:t xml:space="preserve"> forms</w:t>
      </w:r>
    </w:p>
    <w:p w14:paraId="6E3E94F6" w14:textId="4D5C1946" w:rsidR="004E1F71" w:rsidRPr="00F669A4" w:rsidRDefault="00B87637" w:rsidP="00F669A4">
      <w:r w:rsidRPr="00F669A4">
        <w:t>These forms</w:t>
      </w:r>
      <w:r w:rsidR="004E1F71" w:rsidRPr="00F669A4">
        <w:t xml:space="preserve"> have been further updated to help streamline the application process. Treating physicians are encouraged to familiarise themselves with the new requirements and the </w:t>
      </w:r>
      <w:r w:rsidRPr="00F669A4">
        <w:t xml:space="preserve">relevant guidelines </w:t>
      </w:r>
      <w:r w:rsidR="004E1F71" w:rsidRPr="00F669A4">
        <w:t>before submitting a new patient application or reapplication</w:t>
      </w:r>
      <w:r w:rsidRPr="00F669A4">
        <w:t>:</w:t>
      </w:r>
    </w:p>
    <w:p w14:paraId="2A125AD6" w14:textId="77777777" w:rsidR="00B87637" w:rsidRPr="00F669A4" w:rsidRDefault="00000000" w:rsidP="00F669A4">
      <w:pPr>
        <w:pStyle w:val="ListBullet3"/>
      </w:pPr>
      <w:hyperlink r:id="rId33" w:history="1">
        <w:r w:rsidR="00B87637" w:rsidRPr="00B87637">
          <w:rPr>
            <w:rStyle w:val="Hyperlink"/>
            <w:rFonts w:cs="Arial"/>
            <w:szCs w:val="22"/>
          </w:rPr>
          <w:t>MPS I Guidelines</w:t>
        </w:r>
      </w:hyperlink>
    </w:p>
    <w:p w14:paraId="5BC7FD86" w14:textId="77777777" w:rsidR="00B87637" w:rsidRPr="00F669A4" w:rsidRDefault="00000000" w:rsidP="00F669A4">
      <w:pPr>
        <w:pStyle w:val="ListBullet3"/>
      </w:pPr>
      <w:hyperlink r:id="rId34" w:history="1">
        <w:r w:rsidR="00B87637" w:rsidRPr="00F669A4">
          <w:rPr>
            <w:rStyle w:val="Hyperlink"/>
          </w:rPr>
          <w:t>MPS II Guidelines</w:t>
        </w:r>
      </w:hyperlink>
    </w:p>
    <w:p w14:paraId="1DC52BB0" w14:textId="640042F4" w:rsidR="00065489" w:rsidRPr="00F669A4" w:rsidRDefault="00000000" w:rsidP="00F669A4">
      <w:pPr>
        <w:pStyle w:val="ListBullet3"/>
      </w:pPr>
      <w:hyperlink r:id="rId35" w:history="1">
        <w:r w:rsidR="00B87637" w:rsidRPr="00B87637">
          <w:rPr>
            <w:rStyle w:val="Hyperlink"/>
            <w:rFonts w:cs="Arial"/>
            <w:szCs w:val="22"/>
          </w:rPr>
          <w:t>MPS VI Guidelines</w:t>
        </w:r>
      </w:hyperlink>
    </w:p>
    <w:sectPr w:rsidR="00065489" w:rsidRPr="00F669A4" w:rsidSect="00DF7E62">
      <w:headerReference w:type="default" r:id="rId36"/>
      <w:footerReference w:type="default" r:id="rId37"/>
      <w:headerReference w:type="first" r:id="rId38"/>
      <w:footerReference w:type="first" r:id="rId39"/>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6B9F" w14:textId="77777777" w:rsidR="009C2B5A" w:rsidRDefault="009C2B5A" w:rsidP="006B56BB">
      <w:r>
        <w:separator/>
      </w:r>
    </w:p>
    <w:p w14:paraId="3A728974" w14:textId="77777777" w:rsidR="009C2B5A" w:rsidRDefault="009C2B5A"/>
  </w:endnote>
  <w:endnote w:type="continuationSeparator" w:id="0">
    <w:p w14:paraId="1CEB4462" w14:textId="77777777" w:rsidR="009C2B5A" w:rsidRDefault="009C2B5A" w:rsidP="006B56BB">
      <w:r>
        <w:continuationSeparator/>
      </w:r>
    </w:p>
    <w:p w14:paraId="08AB2218" w14:textId="77777777" w:rsidR="009C2B5A" w:rsidRDefault="009C2B5A"/>
  </w:endnote>
  <w:endnote w:type="continuationNotice" w:id="1">
    <w:p w14:paraId="628E3D81" w14:textId="77777777" w:rsidR="009C2B5A" w:rsidRDefault="009C2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EC20" w14:textId="0637A057" w:rsidR="00802168" w:rsidRDefault="00802168" w:rsidP="00802168">
    <w:pPr>
      <w:pStyle w:val="Footer"/>
    </w:pPr>
    <w:r>
      <w:t>Department of Health and Aged Care – September 2024</w:t>
    </w:r>
    <w:sdt>
      <w:sdtPr>
        <w:id w:val="1143311931"/>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4</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DA2B" w14:textId="7CCD389E" w:rsidR="00B53987" w:rsidRDefault="004C1BCD" w:rsidP="00B53987">
    <w:pPr>
      <w:pStyle w:val="Footer"/>
    </w:pPr>
    <w:r>
      <w:t xml:space="preserve">Department of Health and Aged Care </w:t>
    </w:r>
    <w:r w:rsidR="00B53987">
      <w:t xml:space="preserve">– </w:t>
    </w:r>
    <w:r w:rsidR="000B058F">
      <w:t>September 2024</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6CBF" w14:textId="77777777" w:rsidR="00B53987" w:rsidRDefault="00B53987" w:rsidP="00B53987">
    <w:pPr>
      <w:pStyle w:val="Footer"/>
    </w:pPr>
    <w:r>
      <w:t xml:space="preserve">Department of Health </w:t>
    </w:r>
    <w:r w:rsidR="004C1BCD">
      <w:t xml:space="preserve">and Aged Care </w:t>
    </w:r>
    <w:r>
      <w:t xml:space="preserve">– </w:t>
    </w:r>
    <w:r w:rsidRPr="00DE3355">
      <w:t xml:space="preserve">Insert </w:t>
    </w:r>
    <w:r>
      <w:t>fact sheet</w:t>
    </w:r>
    <w:r w:rsidRPr="00DE3355">
      <w:t xml:space="preserve"> title</w:t>
    </w:r>
    <w:sdt>
      <w:sdtPr>
        <w:id w:val="-178737789"/>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BFD7" w14:textId="77777777" w:rsidR="009C2B5A" w:rsidRDefault="009C2B5A" w:rsidP="006B56BB">
      <w:r>
        <w:separator/>
      </w:r>
    </w:p>
    <w:p w14:paraId="54B187D3" w14:textId="77777777" w:rsidR="009C2B5A" w:rsidRDefault="009C2B5A"/>
  </w:footnote>
  <w:footnote w:type="continuationSeparator" w:id="0">
    <w:p w14:paraId="605E4554" w14:textId="77777777" w:rsidR="009C2B5A" w:rsidRDefault="009C2B5A" w:rsidP="006B56BB">
      <w:r>
        <w:continuationSeparator/>
      </w:r>
    </w:p>
    <w:p w14:paraId="1B96876D" w14:textId="77777777" w:rsidR="009C2B5A" w:rsidRDefault="009C2B5A"/>
  </w:footnote>
  <w:footnote w:type="continuationNotice" w:id="1">
    <w:p w14:paraId="4AACCD77" w14:textId="77777777" w:rsidR="009C2B5A" w:rsidRDefault="009C2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A38A" w14:textId="77777777" w:rsidR="00DF7E62" w:rsidRDefault="00DF7E62" w:rsidP="00DF7E62">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EE51"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A219" w14:textId="77777777" w:rsidR="00B53987" w:rsidRDefault="00B53987">
    <w:pPr>
      <w:pStyle w:val="Header"/>
    </w:pPr>
    <w:r>
      <w:rPr>
        <w:noProof/>
        <w:lang w:eastAsia="en-AU"/>
      </w:rPr>
      <w:drawing>
        <wp:inline distT="0" distB="0" distL="0" distR="0" wp14:anchorId="2D1817E1" wp14:editId="1058E7A3">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7BA6B98"/>
    <w:lvl w:ilvl="0">
      <w:start w:val="1"/>
      <w:numFmt w:val="lowerRoman"/>
      <w:pStyle w:val="ListNumber4"/>
      <w:lvlText w:val="%1."/>
      <w:lvlJc w:val="right"/>
      <w:pPr>
        <w:ind w:left="1209" w:hanging="360"/>
      </w:pPr>
    </w:lvl>
  </w:abstractNum>
  <w:abstractNum w:abstractNumId="1" w15:restartNumberingAfterBreak="0">
    <w:nsid w:val="FFFFFF82"/>
    <w:multiLevelType w:val="singleLevel"/>
    <w:tmpl w:val="208CE9C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DE03AD"/>
    <w:multiLevelType w:val="hybridMultilevel"/>
    <w:tmpl w:val="C5D643BC"/>
    <w:lvl w:ilvl="0" w:tplc="15D27CB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E238CB"/>
    <w:multiLevelType w:val="hybridMultilevel"/>
    <w:tmpl w:val="7D022C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0B253FFA"/>
    <w:multiLevelType w:val="hybridMultilevel"/>
    <w:tmpl w:val="1B443F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DF30E5"/>
    <w:multiLevelType w:val="hybridMultilevel"/>
    <w:tmpl w:val="7FCAF18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D124F6"/>
    <w:multiLevelType w:val="hybridMultilevel"/>
    <w:tmpl w:val="94248DE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7F4865"/>
    <w:multiLevelType w:val="hybridMultilevel"/>
    <w:tmpl w:val="BC50C50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BD5431"/>
    <w:multiLevelType w:val="hybridMultilevel"/>
    <w:tmpl w:val="2616681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F27D3A"/>
    <w:multiLevelType w:val="hybridMultilevel"/>
    <w:tmpl w:val="DD1C14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F115598"/>
    <w:multiLevelType w:val="hybridMultilevel"/>
    <w:tmpl w:val="7256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D668E730"/>
    <w:lvl w:ilvl="0" w:tplc="7718576C">
      <w:start w:val="1"/>
      <w:numFmt w:val="lowerLetter"/>
      <w:pStyle w:val="ListNumber2"/>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91F1504"/>
    <w:multiLevelType w:val="hybridMultilevel"/>
    <w:tmpl w:val="3CDAD5F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C91D80"/>
    <w:multiLevelType w:val="hybridMultilevel"/>
    <w:tmpl w:val="126403AE"/>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EB67A46"/>
    <w:multiLevelType w:val="hybridMultilevel"/>
    <w:tmpl w:val="6442C7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F1674C7"/>
    <w:multiLevelType w:val="hybridMultilevel"/>
    <w:tmpl w:val="7B70E0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E47569"/>
    <w:multiLevelType w:val="hybridMultilevel"/>
    <w:tmpl w:val="CC60F9B2"/>
    <w:lvl w:ilvl="0" w:tplc="FFFFFFFF">
      <w:start w:val="1"/>
      <w:numFmt w:val="decimal"/>
      <w:lvlText w:val="%1."/>
      <w:lvlJc w:val="left"/>
      <w:pPr>
        <w:ind w:left="720" w:hanging="360"/>
      </w:pPr>
    </w:lvl>
    <w:lvl w:ilvl="1" w:tplc="0C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0944EF"/>
    <w:multiLevelType w:val="hybridMultilevel"/>
    <w:tmpl w:val="6B54CE62"/>
    <w:lvl w:ilvl="0" w:tplc="FFFFFFFF">
      <w:start w:val="1"/>
      <w:numFmt w:val="decimal"/>
      <w:lvlText w:val="%1."/>
      <w:lvlJc w:val="left"/>
      <w:pPr>
        <w:ind w:left="720" w:hanging="360"/>
      </w:pPr>
    </w:lvl>
    <w:lvl w:ilvl="1" w:tplc="FFFFFFFF">
      <w:start w:val="1"/>
      <w:numFmt w:val="bullet"/>
      <w:lvlText w:val=""/>
      <w:lvlJc w:val="left"/>
      <w:pPr>
        <w:ind w:left="360" w:hanging="360"/>
      </w:pPr>
      <w:rPr>
        <w:rFonts w:ascii="Symbol" w:hAnsi="Symbol" w:hint="default"/>
      </w:rPr>
    </w:lvl>
    <w:lvl w:ilvl="2" w:tplc="0C090001">
      <w:start w:val="1"/>
      <w:numFmt w:val="bullet"/>
      <w:lvlText w:val=""/>
      <w:lvlJc w:val="left"/>
      <w:pPr>
        <w:ind w:left="3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702CEB"/>
    <w:multiLevelType w:val="hybridMultilevel"/>
    <w:tmpl w:val="E8F0F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E9C0BFD"/>
    <w:multiLevelType w:val="hybridMultilevel"/>
    <w:tmpl w:val="6CC43184"/>
    <w:lvl w:ilvl="0" w:tplc="AAEA4340">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4D19CA"/>
    <w:multiLevelType w:val="hybridMultilevel"/>
    <w:tmpl w:val="35C07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233DEE"/>
    <w:multiLevelType w:val="hybridMultilevel"/>
    <w:tmpl w:val="5DE80B12"/>
    <w:lvl w:ilvl="0" w:tplc="EF2058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8F5C76"/>
    <w:multiLevelType w:val="hybridMultilevel"/>
    <w:tmpl w:val="D910F168"/>
    <w:lvl w:ilvl="0" w:tplc="BC5485D4">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642F52"/>
    <w:multiLevelType w:val="hybridMultilevel"/>
    <w:tmpl w:val="412CB3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73F257DD"/>
    <w:multiLevelType w:val="hybridMultilevel"/>
    <w:tmpl w:val="BF54968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9C3377"/>
    <w:multiLevelType w:val="hybridMultilevel"/>
    <w:tmpl w:val="B99664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08499705">
    <w:abstractNumId w:val="8"/>
  </w:num>
  <w:num w:numId="2" w16cid:durableId="2135168833">
    <w:abstractNumId w:val="14"/>
  </w:num>
  <w:num w:numId="3" w16cid:durableId="1331519124">
    <w:abstractNumId w:val="31"/>
  </w:num>
  <w:num w:numId="4" w16cid:durableId="768160667">
    <w:abstractNumId w:val="23"/>
  </w:num>
  <w:num w:numId="5" w16cid:durableId="501624301">
    <w:abstractNumId w:val="27"/>
  </w:num>
  <w:num w:numId="6" w16cid:durableId="1331903733">
    <w:abstractNumId w:val="3"/>
  </w:num>
  <w:num w:numId="7" w16cid:durableId="599416841">
    <w:abstractNumId w:val="28"/>
  </w:num>
  <w:num w:numId="8" w16cid:durableId="5374084">
    <w:abstractNumId w:val="15"/>
  </w:num>
  <w:num w:numId="9" w16cid:durableId="595132498">
    <w:abstractNumId w:val="13"/>
  </w:num>
  <w:num w:numId="10" w16cid:durableId="915670718">
    <w:abstractNumId w:val="2"/>
  </w:num>
  <w:num w:numId="11" w16cid:durableId="825124594">
    <w:abstractNumId w:val="5"/>
  </w:num>
  <w:num w:numId="12" w16cid:durableId="470900340">
    <w:abstractNumId w:val="24"/>
  </w:num>
  <w:num w:numId="13" w16cid:durableId="90325258">
    <w:abstractNumId w:val="21"/>
  </w:num>
  <w:num w:numId="14" w16cid:durableId="1819685672">
    <w:abstractNumId w:val="18"/>
  </w:num>
  <w:num w:numId="15" w16cid:durableId="263005127">
    <w:abstractNumId w:val="7"/>
  </w:num>
  <w:num w:numId="16" w16cid:durableId="491221306">
    <w:abstractNumId w:val="11"/>
  </w:num>
  <w:num w:numId="17" w16cid:durableId="1626736189">
    <w:abstractNumId w:val="16"/>
  </w:num>
  <w:num w:numId="18" w16cid:durableId="268706514">
    <w:abstractNumId w:val="9"/>
  </w:num>
  <w:num w:numId="19" w16cid:durableId="2124839362">
    <w:abstractNumId w:val="29"/>
  </w:num>
  <w:num w:numId="20" w16cid:durableId="2141411272">
    <w:abstractNumId w:val="10"/>
  </w:num>
  <w:num w:numId="21" w16cid:durableId="686059278">
    <w:abstractNumId w:val="28"/>
  </w:num>
  <w:num w:numId="22" w16cid:durableId="299192905">
    <w:abstractNumId w:val="6"/>
  </w:num>
  <w:num w:numId="23" w16cid:durableId="1508057488">
    <w:abstractNumId w:val="22"/>
  </w:num>
  <w:num w:numId="24" w16cid:durableId="246882852">
    <w:abstractNumId w:val="19"/>
  </w:num>
  <w:num w:numId="25" w16cid:durableId="916939470">
    <w:abstractNumId w:val="20"/>
  </w:num>
  <w:num w:numId="26" w16cid:durableId="2141457019">
    <w:abstractNumId w:val="17"/>
  </w:num>
  <w:num w:numId="27" w16cid:durableId="278336270">
    <w:abstractNumId w:val="12"/>
  </w:num>
  <w:num w:numId="28" w16cid:durableId="1761484694">
    <w:abstractNumId w:val="30"/>
  </w:num>
  <w:num w:numId="29" w16cid:durableId="257300469">
    <w:abstractNumId w:val="25"/>
  </w:num>
  <w:num w:numId="30" w16cid:durableId="784540827">
    <w:abstractNumId w:val="4"/>
  </w:num>
  <w:num w:numId="31" w16cid:durableId="1062824182">
    <w:abstractNumId w:val="26"/>
  </w:num>
  <w:num w:numId="32" w16cid:durableId="1962490346">
    <w:abstractNumId w:val="0"/>
  </w:num>
  <w:num w:numId="33" w16cid:durableId="1577128323">
    <w:abstractNumId w:val="1"/>
  </w:num>
  <w:num w:numId="34" w16cid:durableId="426731216">
    <w:abstractNumId w:val="26"/>
    <w:lvlOverride w:ilvl="0">
      <w:startOverride w:val="1"/>
    </w:lvlOverride>
  </w:num>
  <w:num w:numId="35" w16cid:durableId="1575164471">
    <w:abstractNumId w:val="14"/>
    <w:lvlOverride w:ilvl="0">
      <w:startOverride w:val="1"/>
    </w:lvlOverride>
  </w:num>
  <w:num w:numId="36" w16cid:durableId="507865751">
    <w:abstractNumId w:val="26"/>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A4"/>
    <w:rsid w:val="00001895"/>
    <w:rsid w:val="00003743"/>
    <w:rsid w:val="000047B4"/>
    <w:rsid w:val="00005712"/>
    <w:rsid w:val="00007FD8"/>
    <w:rsid w:val="000117F8"/>
    <w:rsid w:val="0001460F"/>
    <w:rsid w:val="00017E9D"/>
    <w:rsid w:val="00022629"/>
    <w:rsid w:val="00025C03"/>
    <w:rsid w:val="00026139"/>
    <w:rsid w:val="00027601"/>
    <w:rsid w:val="00030F4B"/>
    <w:rsid w:val="00031BFD"/>
    <w:rsid w:val="00033321"/>
    <w:rsid w:val="000338E5"/>
    <w:rsid w:val="00033ECC"/>
    <w:rsid w:val="0003422F"/>
    <w:rsid w:val="00042C73"/>
    <w:rsid w:val="00043F72"/>
    <w:rsid w:val="00044A60"/>
    <w:rsid w:val="00044EB7"/>
    <w:rsid w:val="00046FF0"/>
    <w:rsid w:val="00050176"/>
    <w:rsid w:val="00050342"/>
    <w:rsid w:val="00056CA7"/>
    <w:rsid w:val="00064B07"/>
    <w:rsid w:val="00065489"/>
    <w:rsid w:val="00066B5B"/>
    <w:rsid w:val="00067456"/>
    <w:rsid w:val="00071506"/>
    <w:rsid w:val="0007154F"/>
    <w:rsid w:val="00074947"/>
    <w:rsid w:val="00075C38"/>
    <w:rsid w:val="0008169C"/>
    <w:rsid w:val="00081AB1"/>
    <w:rsid w:val="00085F5E"/>
    <w:rsid w:val="00090316"/>
    <w:rsid w:val="00093798"/>
    <w:rsid w:val="000937FD"/>
    <w:rsid w:val="00093981"/>
    <w:rsid w:val="000B01E1"/>
    <w:rsid w:val="000B058F"/>
    <w:rsid w:val="000B067A"/>
    <w:rsid w:val="000B102D"/>
    <w:rsid w:val="000B1540"/>
    <w:rsid w:val="000B1AE3"/>
    <w:rsid w:val="000B1E53"/>
    <w:rsid w:val="000B253C"/>
    <w:rsid w:val="000B285D"/>
    <w:rsid w:val="000B334E"/>
    <w:rsid w:val="000B33FD"/>
    <w:rsid w:val="000B3733"/>
    <w:rsid w:val="000B4ABA"/>
    <w:rsid w:val="000C254B"/>
    <w:rsid w:val="000C4B16"/>
    <w:rsid w:val="000C50C3"/>
    <w:rsid w:val="000C55F2"/>
    <w:rsid w:val="000C5E14"/>
    <w:rsid w:val="000D0F2D"/>
    <w:rsid w:val="000D21F6"/>
    <w:rsid w:val="000D4500"/>
    <w:rsid w:val="000D477D"/>
    <w:rsid w:val="000D5B57"/>
    <w:rsid w:val="000D610A"/>
    <w:rsid w:val="000D7AEA"/>
    <w:rsid w:val="000E1440"/>
    <w:rsid w:val="000E2C66"/>
    <w:rsid w:val="000E6239"/>
    <w:rsid w:val="000F123C"/>
    <w:rsid w:val="000F2FED"/>
    <w:rsid w:val="000F5887"/>
    <w:rsid w:val="000F5BA4"/>
    <w:rsid w:val="000F7548"/>
    <w:rsid w:val="00102852"/>
    <w:rsid w:val="001060BB"/>
    <w:rsid w:val="0010616D"/>
    <w:rsid w:val="0010617B"/>
    <w:rsid w:val="001067E5"/>
    <w:rsid w:val="00106AB9"/>
    <w:rsid w:val="00106B82"/>
    <w:rsid w:val="00110478"/>
    <w:rsid w:val="00112A15"/>
    <w:rsid w:val="001136F4"/>
    <w:rsid w:val="00114959"/>
    <w:rsid w:val="00116905"/>
    <w:rsid w:val="0011711B"/>
    <w:rsid w:val="00117F8A"/>
    <w:rsid w:val="00121B9B"/>
    <w:rsid w:val="00122ADC"/>
    <w:rsid w:val="00122D39"/>
    <w:rsid w:val="0012389C"/>
    <w:rsid w:val="00125B6B"/>
    <w:rsid w:val="00125FF0"/>
    <w:rsid w:val="00126D85"/>
    <w:rsid w:val="00126DEC"/>
    <w:rsid w:val="00127C4D"/>
    <w:rsid w:val="00130F59"/>
    <w:rsid w:val="001320BC"/>
    <w:rsid w:val="00133EC0"/>
    <w:rsid w:val="00141CE5"/>
    <w:rsid w:val="00142664"/>
    <w:rsid w:val="00142917"/>
    <w:rsid w:val="0014351E"/>
    <w:rsid w:val="00144908"/>
    <w:rsid w:val="001454AC"/>
    <w:rsid w:val="00151624"/>
    <w:rsid w:val="001518A8"/>
    <w:rsid w:val="00152822"/>
    <w:rsid w:val="00153739"/>
    <w:rsid w:val="00156D96"/>
    <w:rsid w:val="001571C7"/>
    <w:rsid w:val="00161094"/>
    <w:rsid w:val="0016738C"/>
    <w:rsid w:val="001711D1"/>
    <w:rsid w:val="00173D10"/>
    <w:rsid w:val="00175C78"/>
    <w:rsid w:val="0017665C"/>
    <w:rsid w:val="001779D9"/>
    <w:rsid w:val="00177AD2"/>
    <w:rsid w:val="001815A8"/>
    <w:rsid w:val="001840FA"/>
    <w:rsid w:val="00190079"/>
    <w:rsid w:val="0019622E"/>
    <w:rsid w:val="001966A7"/>
    <w:rsid w:val="001971E6"/>
    <w:rsid w:val="00197A9C"/>
    <w:rsid w:val="001A3C2B"/>
    <w:rsid w:val="001A4627"/>
    <w:rsid w:val="001A46B8"/>
    <w:rsid w:val="001A4979"/>
    <w:rsid w:val="001A5409"/>
    <w:rsid w:val="001A7B19"/>
    <w:rsid w:val="001B15D3"/>
    <w:rsid w:val="001B3443"/>
    <w:rsid w:val="001B7649"/>
    <w:rsid w:val="001C0326"/>
    <w:rsid w:val="001C192F"/>
    <w:rsid w:val="001C322D"/>
    <w:rsid w:val="001C3C42"/>
    <w:rsid w:val="001C60A5"/>
    <w:rsid w:val="001D0D4F"/>
    <w:rsid w:val="001D1471"/>
    <w:rsid w:val="001D397F"/>
    <w:rsid w:val="001D5409"/>
    <w:rsid w:val="001D709D"/>
    <w:rsid w:val="001D7869"/>
    <w:rsid w:val="001D7DB3"/>
    <w:rsid w:val="001E1847"/>
    <w:rsid w:val="001E2324"/>
    <w:rsid w:val="001E6029"/>
    <w:rsid w:val="001F00F6"/>
    <w:rsid w:val="001F0689"/>
    <w:rsid w:val="001F3F24"/>
    <w:rsid w:val="001F6298"/>
    <w:rsid w:val="001F7CE7"/>
    <w:rsid w:val="00201CF8"/>
    <w:rsid w:val="002026CD"/>
    <w:rsid w:val="002028D3"/>
    <w:rsid w:val="002033FC"/>
    <w:rsid w:val="002044BB"/>
    <w:rsid w:val="002047B3"/>
    <w:rsid w:val="00206191"/>
    <w:rsid w:val="00206F12"/>
    <w:rsid w:val="00207739"/>
    <w:rsid w:val="00210A6F"/>
    <w:rsid w:val="00210B09"/>
    <w:rsid w:val="00210C9E"/>
    <w:rsid w:val="00211840"/>
    <w:rsid w:val="002157EF"/>
    <w:rsid w:val="00216153"/>
    <w:rsid w:val="00220020"/>
    <w:rsid w:val="00220040"/>
    <w:rsid w:val="0022034A"/>
    <w:rsid w:val="00220E5F"/>
    <w:rsid w:val="002212B5"/>
    <w:rsid w:val="00221BBA"/>
    <w:rsid w:val="0022356F"/>
    <w:rsid w:val="00225F2B"/>
    <w:rsid w:val="00226668"/>
    <w:rsid w:val="0023043D"/>
    <w:rsid w:val="0023348C"/>
    <w:rsid w:val="00233809"/>
    <w:rsid w:val="002347C7"/>
    <w:rsid w:val="0023582F"/>
    <w:rsid w:val="00240046"/>
    <w:rsid w:val="00240A6B"/>
    <w:rsid w:val="0024134A"/>
    <w:rsid w:val="002431E9"/>
    <w:rsid w:val="0024797F"/>
    <w:rsid w:val="0025119E"/>
    <w:rsid w:val="00251269"/>
    <w:rsid w:val="002512A4"/>
    <w:rsid w:val="00251BBE"/>
    <w:rsid w:val="002535C0"/>
    <w:rsid w:val="002579FE"/>
    <w:rsid w:val="00260552"/>
    <w:rsid w:val="0026125D"/>
    <w:rsid w:val="0026311C"/>
    <w:rsid w:val="00263EC0"/>
    <w:rsid w:val="00264BFC"/>
    <w:rsid w:val="00265372"/>
    <w:rsid w:val="0026668C"/>
    <w:rsid w:val="00266AC1"/>
    <w:rsid w:val="0027178C"/>
    <w:rsid w:val="002719FA"/>
    <w:rsid w:val="00271FFD"/>
    <w:rsid w:val="00272668"/>
    <w:rsid w:val="0027330B"/>
    <w:rsid w:val="0027794A"/>
    <w:rsid w:val="002803AD"/>
    <w:rsid w:val="002803EF"/>
    <w:rsid w:val="00280F83"/>
    <w:rsid w:val="00282052"/>
    <w:rsid w:val="00282CEB"/>
    <w:rsid w:val="002831A3"/>
    <w:rsid w:val="0028519E"/>
    <w:rsid w:val="002856A5"/>
    <w:rsid w:val="002872ED"/>
    <w:rsid w:val="00287AE6"/>
    <w:rsid w:val="002905C2"/>
    <w:rsid w:val="00290688"/>
    <w:rsid w:val="00293E45"/>
    <w:rsid w:val="00294B96"/>
    <w:rsid w:val="00295AF2"/>
    <w:rsid w:val="00295C91"/>
    <w:rsid w:val="00297151"/>
    <w:rsid w:val="002A1CE9"/>
    <w:rsid w:val="002A2B39"/>
    <w:rsid w:val="002B0819"/>
    <w:rsid w:val="002B20E6"/>
    <w:rsid w:val="002B2410"/>
    <w:rsid w:val="002B42A3"/>
    <w:rsid w:val="002B4F11"/>
    <w:rsid w:val="002B7350"/>
    <w:rsid w:val="002C08A6"/>
    <w:rsid w:val="002C0CDD"/>
    <w:rsid w:val="002C30C0"/>
    <w:rsid w:val="002C38C4"/>
    <w:rsid w:val="002C3DBA"/>
    <w:rsid w:val="002C5278"/>
    <w:rsid w:val="002E0EFC"/>
    <w:rsid w:val="002E158D"/>
    <w:rsid w:val="002E1A1D"/>
    <w:rsid w:val="002E4081"/>
    <w:rsid w:val="002E5B78"/>
    <w:rsid w:val="002F3AE3"/>
    <w:rsid w:val="002F7745"/>
    <w:rsid w:val="0030464B"/>
    <w:rsid w:val="00305229"/>
    <w:rsid w:val="0030786C"/>
    <w:rsid w:val="00310058"/>
    <w:rsid w:val="00312CE8"/>
    <w:rsid w:val="00315684"/>
    <w:rsid w:val="00317928"/>
    <w:rsid w:val="003233DE"/>
    <w:rsid w:val="0032466B"/>
    <w:rsid w:val="00330DED"/>
    <w:rsid w:val="00332BE8"/>
    <w:rsid w:val="003330EB"/>
    <w:rsid w:val="00335EAF"/>
    <w:rsid w:val="00336102"/>
    <w:rsid w:val="00336586"/>
    <w:rsid w:val="0034091A"/>
    <w:rsid w:val="003415FD"/>
    <w:rsid w:val="003429F0"/>
    <w:rsid w:val="00343B2B"/>
    <w:rsid w:val="00345A82"/>
    <w:rsid w:val="0035097A"/>
    <w:rsid w:val="00350F44"/>
    <w:rsid w:val="003540A4"/>
    <w:rsid w:val="00357BCC"/>
    <w:rsid w:val="00360E4E"/>
    <w:rsid w:val="0036634A"/>
    <w:rsid w:val="00370AAA"/>
    <w:rsid w:val="00370CD8"/>
    <w:rsid w:val="0037440E"/>
    <w:rsid w:val="0037516C"/>
    <w:rsid w:val="00375F77"/>
    <w:rsid w:val="003775CA"/>
    <w:rsid w:val="003809EE"/>
    <w:rsid w:val="00381BBE"/>
    <w:rsid w:val="00382903"/>
    <w:rsid w:val="00384391"/>
    <w:rsid w:val="003846FF"/>
    <w:rsid w:val="00384DDF"/>
    <w:rsid w:val="003857D4"/>
    <w:rsid w:val="00385AD4"/>
    <w:rsid w:val="00386AEE"/>
    <w:rsid w:val="00387924"/>
    <w:rsid w:val="003911BD"/>
    <w:rsid w:val="0039384D"/>
    <w:rsid w:val="0039539E"/>
    <w:rsid w:val="00395C23"/>
    <w:rsid w:val="003A1866"/>
    <w:rsid w:val="003A28E3"/>
    <w:rsid w:val="003A2E4F"/>
    <w:rsid w:val="003A4438"/>
    <w:rsid w:val="003A5013"/>
    <w:rsid w:val="003A5078"/>
    <w:rsid w:val="003A62DD"/>
    <w:rsid w:val="003A775A"/>
    <w:rsid w:val="003B12B1"/>
    <w:rsid w:val="003B188D"/>
    <w:rsid w:val="003B213A"/>
    <w:rsid w:val="003B43AD"/>
    <w:rsid w:val="003B6B55"/>
    <w:rsid w:val="003C08EC"/>
    <w:rsid w:val="003C0F2A"/>
    <w:rsid w:val="003C0FEC"/>
    <w:rsid w:val="003C20E7"/>
    <w:rsid w:val="003C2AC8"/>
    <w:rsid w:val="003C6D41"/>
    <w:rsid w:val="003D033A"/>
    <w:rsid w:val="003D0BC1"/>
    <w:rsid w:val="003D17F9"/>
    <w:rsid w:val="003D1BA8"/>
    <w:rsid w:val="003D2D88"/>
    <w:rsid w:val="003D32B1"/>
    <w:rsid w:val="003D41EA"/>
    <w:rsid w:val="003D4850"/>
    <w:rsid w:val="003D535A"/>
    <w:rsid w:val="003E0FB8"/>
    <w:rsid w:val="003E3A44"/>
    <w:rsid w:val="003E4D73"/>
    <w:rsid w:val="003E5265"/>
    <w:rsid w:val="003E5FC4"/>
    <w:rsid w:val="003E7DA5"/>
    <w:rsid w:val="003F0955"/>
    <w:rsid w:val="003F1045"/>
    <w:rsid w:val="003F5F4D"/>
    <w:rsid w:val="003F646F"/>
    <w:rsid w:val="00400F00"/>
    <w:rsid w:val="00401D17"/>
    <w:rsid w:val="00404F8B"/>
    <w:rsid w:val="00405256"/>
    <w:rsid w:val="00410031"/>
    <w:rsid w:val="00413BC5"/>
    <w:rsid w:val="00415C81"/>
    <w:rsid w:val="00417A30"/>
    <w:rsid w:val="0042011D"/>
    <w:rsid w:val="00424892"/>
    <w:rsid w:val="004257E7"/>
    <w:rsid w:val="00431B73"/>
    <w:rsid w:val="00432378"/>
    <w:rsid w:val="00433B4D"/>
    <w:rsid w:val="0043709F"/>
    <w:rsid w:val="00440D65"/>
    <w:rsid w:val="00441AA8"/>
    <w:rsid w:val="00441C45"/>
    <w:rsid w:val="00442CE4"/>
    <w:rsid w:val="004435E6"/>
    <w:rsid w:val="0044677A"/>
    <w:rsid w:val="00447E31"/>
    <w:rsid w:val="00453923"/>
    <w:rsid w:val="00454B9B"/>
    <w:rsid w:val="00457858"/>
    <w:rsid w:val="00460B0B"/>
    <w:rsid w:val="00461023"/>
    <w:rsid w:val="00462FAC"/>
    <w:rsid w:val="0046328B"/>
    <w:rsid w:val="00464631"/>
    <w:rsid w:val="00464B79"/>
    <w:rsid w:val="00467BBF"/>
    <w:rsid w:val="00467F15"/>
    <w:rsid w:val="00471FA7"/>
    <w:rsid w:val="00475205"/>
    <w:rsid w:val="00476A45"/>
    <w:rsid w:val="004772AE"/>
    <w:rsid w:val="00484F76"/>
    <w:rsid w:val="0048593C"/>
    <w:rsid w:val="004867E2"/>
    <w:rsid w:val="00490A48"/>
    <w:rsid w:val="00490BAE"/>
    <w:rsid w:val="0049239A"/>
    <w:rsid w:val="004929A9"/>
    <w:rsid w:val="004A78D9"/>
    <w:rsid w:val="004B458E"/>
    <w:rsid w:val="004B5DC8"/>
    <w:rsid w:val="004B74D0"/>
    <w:rsid w:val="004C1BCD"/>
    <w:rsid w:val="004C3E5A"/>
    <w:rsid w:val="004C6BCF"/>
    <w:rsid w:val="004C78A3"/>
    <w:rsid w:val="004D58BF"/>
    <w:rsid w:val="004D6CE2"/>
    <w:rsid w:val="004E1C0F"/>
    <w:rsid w:val="004E1F71"/>
    <w:rsid w:val="004E32E8"/>
    <w:rsid w:val="004E4335"/>
    <w:rsid w:val="004E4B64"/>
    <w:rsid w:val="004E7B98"/>
    <w:rsid w:val="004F09AE"/>
    <w:rsid w:val="004F13EE"/>
    <w:rsid w:val="004F195C"/>
    <w:rsid w:val="004F2022"/>
    <w:rsid w:val="004F2AB4"/>
    <w:rsid w:val="004F54D7"/>
    <w:rsid w:val="004F6F8E"/>
    <w:rsid w:val="004F7C05"/>
    <w:rsid w:val="00501C94"/>
    <w:rsid w:val="00502848"/>
    <w:rsid w:val="00505C13"/>
    <w:rsid w:val="00506432"/>
    <w:rsid w:val="00506E82"/>
    <w:rsid w:val="005129E7"/>
    <w:rsid w:val="00513070"/>
    <w:rsid w:val="005173A4"/>
    <w:rsid w:val="0052046E"/>
    <w:rsid w:val="0052051D"/>
    <w:rsid w:val="0052271F"/>
    <w:rsid w:val="00532942"/>
    <w:rsid w:val="005345F9"/>
    <w:rsid w:val="0054127F"/>
    <w:rsid w:val="00545EE6"/>
    <w:rsid w:val="00546839"/>
    <w:rsid w:val="005550E7"/>
    <w:rsid w:val="0055520A"/>
    <w:rsid w:val="00555A33"/>
    <w:rsid w:val="005564FB"/>
    <w:rsid w:val="005572C7"/>
    <w:rsid w:val="005601F0"/>
    <w:rsid w:val="00560693"/>
    <w:rsid w:val="00560D2D"/>
    <w:rsid w:val="005650ED"/>
    <w:rsid w:val="0057331D"/>
    <w:rsid w:val="00575754"/>
    <w:rsid w:val="00581FBA"/>
    <w:rsid w:val="00585733"/>
    <w:rsid w:val="00590884"/>
    <w:rsid w:val="00591E20"/>
    <w:rsid w:val="00595408"/>
    <w:rsid w:val="00595CA3"/>
    <w:rsid w:val="00595E84"/>
    <w:rsid w:val="005A0C59"/>
    <w:rsid w:val="005A48EB"/>
    <w:rsid w:val="005A652A"/>
    <w:rsid w:val="005A6AD2"/>
    <w:rsid w:val="005A6CFB"/>
    <w:rsid w:val="005B3A80"/>
    <w:rsid w:val="005B5560"/>
    <w:rsid w:val="005C2800"/>
    <w:rsid w:val="005C5AEB"/>
    <w:rsid w:val="005D2E46"/>
    <w:rsid w:val="005D38B6"/>
    <w:rsid w:val="005D4481"/>
    <w:rsid w:val="005E0A3F"/>
    <w:rsid w:val="005E6883"/>
    <w:rsid w:val="005E7112"/>
    <w:rsid w:val="005E772F"/>
    <w:rsid w:val="005F4ECA"/>
    <w:rsid w:val="005F5693"/>
    <w:rsid w:val="00600799"/>
    <w:rsid w:val="006041BE"/>
    <w:rsid w:val="006043C7"/>
    <w:rsid w:val="00604C41"/>
    <w:rsid w:val="0061266E"/>
    <w:rsid w:val="00613559"/>
    <w:rsid w:val="006141D3"/>
    <w:rsid w:val="00614D50"/>
    <w:rsid w:val="00616C1C"/>
    <w:rsid w:val="006220A2"/>
    <w:rsid w:val="00622716"/>
    <w:rsid w:val="00623A75"/>
    <w:rsid w:val="00623FC6"/>
    <w:rsid w:val="00624B52"/>
    <w:rsid w:val="0062745D"/>
    <w:rsid w:val="006278C3"/>
    <w:rsid w:val="00627B89"/>
    <w:rsid w:val="00630794"/>
    <w:rsid w:val="00631DF4"/>
    <w:rsid w:val="00634175"/>
    <w:rsid w:val="006408AC"/>
    <w:rsid w:val="00640B95"/>
    <w:rsid w:val="006422F2"/>
    <w:rsid w:val="006511B6"/>
    <w:rsid w:val="00657FF8"/>
    <w:rsid w:val="00661FA4"/>
    <w:rsid w:val="00663DDC"/>
    <w:rsid w:val="006646E4"/>
    <w:rsid w:val="00670D99"/>
    <w:rsid w:val="00670E2B"/>
    <w:rsid w:val="006734BB"/>
    <w:rsid w:val="006743FA"/>
    <w:rsid w:val="00675D73"/>
    <w:rsid w:val="0067697A"/>
    <w:rsid w:val="00680F93"/>
    <w:rsid w:val="006821EB"/>
    <w:rsid w:val="006824CC"/>
    <w:rsid w:val="006837F2"/>
    <w:rsid w:val="00684536"/>
    <w:rsid w:val="006907ED"/>
    <w:rsid w:val="006922AE"/>
    <w:rsid w:val="006A5C9C"/>
    <w:rsid w:val="006B2286"/>
    <w:rsid w:val="006B4C61"/>
    <w:rsid w:val="006B56BB"/>
    <w:rsid w:val="006B6FF5"/>
    <w:rsid w:val="006C6007"/>
    <w:rsid w:val="006C6AB2"/>
    <w:rsid w:val="006C77A8"/>
    <w:rsid w:val="006C7ED8"/>
    <w:rsid w:val="006D18EA"/>
    <w:rsid w:val="006D3F29"/>
    <w:rsid w:val="006D4098"/>
    <w:rsid w:val="006D7681"/>
    <w:rsid w:val="006D7B2E"/>
    <w:rsid w:val="006E02EA"/>
    <w:rsid w:val="006E0968"/>
    <w:rsid w:val="006E1A1D"/>
    <w:rsid w:val="006E1AC1"/>
    <w:rsid w:val="006E2AF6"/>
    <w:rsid w:val="006F101F"/>
    <w:rsid w:val="006F18AC"/>
    <w:rsid w:val="006F2ABB"/>
    <w:rsid w:val="006F4DC9"/>
    <w:rsid w:val="006F5BE5"/>
    <w:rsid w:val="00701275"/>
    <w:rsid w:val="007020C8"/>
    <w:rsid w:val="00703066"/>
    <w:rsid w:val="007074BF"/>
    <w:rsid w:val="00707F56"/>
    <w:rsid w:val="007111DC"/>
    <w:rsid w:val="00713558"/>
    <w:rsid w:val="00715FF6"/>
    <w:rsid w:val="00720D08"/>
    <w:rsid w:val="007218C2"/>
    <w:rsid w:val="00723791"/>
    <w:rsid w:val="00724329"/>
    <w:rsid w:val="00725C7E"/>
    <w:rsid w:val="007263B9"/>
    <w:rsid w:val="00731083"/>
    <w:rsid w:val="00732EB0"/>
    <w:rsid w:val="007334F8"/>
    <w:rsid w:val="007339CD"/>
    <w:rsid w:val="007359D8"/>
    <w:rsid w:val="007362D4"/>
    <w:rsid w:val="0073799F"/>
    <w:rsid w:val="007403A9"/>
    <w:rsid w:val="00740ED9"/>
    <w:rsid w:val="007442BF"/>
    <w:rsid w:val="00745FEF"/>
    <w:rsid w:val="00755AB8"/>
    <w:rsid w:val="00760D90"/>
    <w:rsid w:val="007640E3"/>
    <w:rsid w:val="00764A30"/>
    <w:rsid w:val="0076672A"/>
    <w:rsid w:val="00770C3A"/>
    <w:rsid w:val="0077153C"/>
    <w:rsid w:val="00773AEE"/>
    <w:rsid w:val="007745EC"/>
    <w:rsid w:val="00775E45"/>
    <w:rsid w:val="00776D36"/>
    <w:rsid w:val="00776E74"/>
    <w:rsid w:val="00777419"/>
    <w:rsid w:val="0078043D"/>
    <w:rsid w:val="00781E92"/>
    <w:rsid w:val="00782617"/>
    <w:rsid w:val="00785169"/>
    <w:rsid w:val="007868C6"/>
    <w:rsid w:val="00786D02"/>
    <w:rsid w:val="007917DE"/>
    <w:rsid w:val="00791C57"/>
    <w:rsid w:val="00792F71"/>
    <w:rsid w:val="007954AB"/>
    <w:rsid w:val="00797ACF"/>
    <w:rsid w:val="007A0FAA"/>
    <w:rsid w:val="007A14C5"/>
    <w:rsid w:val="007A3C13"/>
    <w:rsid w:val="007A4A10"/>
    <w:rsid w:val="007B0222"/>
    <w:rsid w:val="007B1760"/>
    <w:rsid w:val="007C1D2F"/>
    <w:rsid w:val="007C1FDC"/>
    <w:rsid w:val="007C46E4"/>
    <w:rsid w:val="007C6D9C"/>
    <w:rsid w:val="007C7DDB"/>
    <w:rsid w:val="007D2CC7"/>
    <w:rsid w:val="007D30E9"/>
    <w:rsid w:val="007D673D"/>
    <w:rsid w:val="007E0FB8"/>
    <w:rsid w:val="007E161D"/>
    <w:rsid w:val="007E1AF0"/>
    <w:rsid w:val="007E4242"/>
    <w:rsid w:val="007E4D09"/>
    <w:rsid w:val="007E72DB"/>
    <w:rsid w:val="007E7CA6"/>
    <w:rsid w:val="007F2220"/>
    <w:rsid w:val="007F32BE"/>
    <w:rsid w:val="007F4B3E"/>
    <w:rsid w:val="007F7814"/>
    <w:rsid w:val="00800806"/>
    <w:rsid w:val="00802168"/>
    <w:rsid w:val="00802C95"/>
    <w:rsid w:val="00807423"/>
    <w:rsid w:val="00807851"/>
    <w:rsid w:val="00807934"/>
    <w:rsid w:val="00807D25"/>
    <w:rsid w:val="008127AF"/>
    <w:rsid w:val="00812B46"/>
    <w:rsid w:val="00813C25"/>
    <w:rsid w:val="00815700"/>
    <w:rsid w:val="0082246B"/>
    <w:rsid w:val="008264EB"/>
    <w:rsid w:val="00826B8F"/>
    <w:rsid w:val="00831E8A"/>
    <w:rsid w:val="00835A01"/>
    <w:rsid w:val="00835C76"/>
    <w:rsid w:val="008376E2"/>
    <w:rsid w:val="00842AFA"/>
    <w:rsid w:val="00843049"/>
    <w:rsid w:val="00845B48"/>
    <w:rsid w:val="00851461"/>
    <w:rsid w:val="0085209B"/>
    <w:rsid w:val="00856B66"/>
    <w:rsid w:val="00857BD8"/>
    <w:rsid w:val="008601AC"/>
    <w:rsid w:val="00861A5F"/>
    <w:rsid w:val="008622BE"/>
    <w:rsid w:val="008624F6"/>
    <w:rsid w:val="00863CF2"/>
    <w:rsid w:val="008644AD"/>
    <w:rsid w:val="00865735"/>
    <w:rsid w:val="00865DDB"/>
    <w:rsid w:val="00867538"/>
    <w:rsid w:val="00871951"/>
    <w:rsid w:val="00871BA9"/>
    <w:rsid w:val="0087235E"/>
    <w:rsid w:val="00873D90"/>
    <w:rsid w:val="00873FC8"/>
    <w:rsid w:val="00877A43"/>
    <w:rsid w:val="0088188D"/>
    <w:rsid w:val="00881A26"/>
    <w:rsid w:val="00882588"/>
    <w:rsid w:val="00884C63"/>
    <w:rsid w:val="00885908"/>
    <w:rsid w:val="00885BD4"/>
    <w:rsid w:val="008864B7"/>
    <w:rsid w:val="0089557A"/>
    <w:rsid w:val="0089677E"/>
    <w:rsid w:val="00896902"/>
    <w:rsid w:val="00897B12"/>
    <w:rsid w:val="008A2339"/>
    <w:rsid w:val="008A292E"/>
    <w:rsid w:val="008A7438"/>
    <w:rsid w:val="008B1334"/>
    <w:rsid w:val="008B143D"/>
    <w:rsid w:val="008B1E26"/>
    <w:rsid w:val="008B25C7"/>
    <w:rsid w:val="008B5BDD"/>
    <w:rsid w:val="008C0278"/>
    <w:rsid w:val="008C0E80"/>
    <w:rsid w:val="008C24E9"/>
    <w:rsid w:val="008C24F8"/>
    <w:rsid w:val="008C41A4"/>
    <w:rsid w:val="008C7639"/>
    <w:rsid w:val="008D0533"/>
    <w:rsid w:val="008D42CB"/>
    <w:rsid w:val="008D48C9"/>
    <w:rsid w:val="008D6381"/>
    <w:rsid w:val="008E0C77"/>
    <w:rsid w:val="008E534A"/>
    <w:rsid w:val="008E625F"/>
    <w:rsid w:val="008F0DD7"/>
    <w:rsid w:val="008F264D"/>
    <w:rsid w:val="008F6016"/>
    <w:rsid w:val="0090157A"/>
    <w:rsid w:val="00902533"/>
    <w:rsid w:val="009040E9"/>
    <w:rsid w:val="00905E32"/>
    <w:rsid w:val="00906ABF"/>
    <w:rsid w:val="00906F55"/>
    <w:rsid w:val="009074E1"/>
    <w:rsid w:val="009112F7"/>
    <w:rsid w:val="009122AF"/>
    <w:rsid w:val="00912D54"/>
    <w:rsid w:val="0091389F"/>
    <w:rsid w:val="009208F7"/>
    <w:rsid w:val="00921649"/>
    <w:rsid w:val="00922517"/>
    <w:rsid w:val="00922722"/>
    <w:rsid w:val="00922C35"/>
    <w:rsid w:val="009261E6"/>
    <w:rsid w:val="009268E1"/>
    <w:rsid w:val="009271EE"/>
    <w:rsid w:val="00927770"/>
    <w:rsid w:val="00930127"/>
    <w:rsid w:val="009312A5"/>
    <w:rsid w:val="00932836"/>
    <w:rsid w:val="009331C2"/>
    <w:rsid w:val="009344AE"/>
    <w:rsid w:val="009344DE"/>
    <w:rsid w:val="00934971"/>
    <w:rsid w:val="0094201D"/>
    <w:rsid w:val="00944B74"/>
    <w:rsid w:val="00945E7F"/>
    <w:rsid w:val="009462F2"/>
    <w:rsid w:val="00946AB9"/>
    <w:rsid w:val="00946EF6"/>
    <w:rsid w:val="009557C1"/>
    <w:rsid w:val="00960D6E"/>
    <w:rsid w:val="009657C7"/>
    <w:rsid w:val="00971627"/>
    <w:rsid w:val="00974B59"/>
    <w:rsid w:val="0098079E"/>
    <w:rsid w:val="00982E5C"/>
    <w:rsid w:val="0098340B"/>
    <w:rsid w:val="00985B26"/>
    <w:rsid w:val="00986830"/>
    <w:rsid w:val="00986F62"/>
    <w:rsid w:val="00990742"/>
    <w:rsid w:val="00990C40"/>
    <w:rsid w:val="009924C3"/>
    <w:rsid w:val="00993102"/>
    <w:rsid w:val="009A4DF4"/>
    <w:rsid w:val="009A701B"/>
    <w:rsid w:val="009A71CC"/>
    <w:rsid w:val="009B0F9A"/>
    <w:rsid w:val="009B1570"/>
    <w:rsid w:val="009B5F62"/>
    <w:rsid w:val="009B6BF0"/>
    <w:rsid w:val="009C2B5A"/>
    <w:rsid w:val="009C3B11"/>
    <w:rsid w:val="009C6C93"/>
    <w:rsid w:val="009C6F10"/>
    <w:rsid w:val="009D148F"/>
    <w:rsid w:val="009D23AC"/>
    <w:rsid w:val="009D3D70"/>
    <w:rsid w:val="009D3E40"/>
    <w:rsid w:val="009D4920"/>
    <w:rsid w:val="009E1AF4"/>
    <w:rsid w:val="009E2D4A"/>
    <w:rsid w:val="009E4C7E"/>
    <w:rsid w:val="009E6F7E"/>
    <w:rsid w:val="009E7A57"/>
    <w:rsid w:val="009F0437"/>
    <w:rsid w:val="009F0AB2"/>
    <w:rsid w:val="009F1C7C"/>
    <w:rsid w:val="009F243E"/>
    <w:rsid w:val="009F29A1"/>
    <w:rsid w:val="009F4803"/>
    <w:rsid w:val="009F4861"/>
    <w:rsid w:val="009F4F6A"/>
    <w:rsid w:val="009F5760"/>
    <w:rsid w:val="00A0374A"/>
    <w:rsid w:val="00A060A2"/>
    <w:rsid w:val="00A06804"/>
    <w:rsid w:val="00A06C27"/>
    <w:rsid w:val="00A07F19"/>
    <w:rsid w:val="00A10809"/>
    <w:rsid w:val="00A11233"/>
    <w:rsid w:val="00A13172"/>
    <w:rsid w:val="00A13EB5"/>
    <w:rsid w:val="00A145D6"/>
    <w:rsid w:val="00A16E36"/>
    <w:rsid w:val="00A20F28"/>
    <w:rsid w:val="00A2130D"/>
    <w:rsid w:val="00A24961"/>
    <w:rsid w:val="00A24B10"/>
    <w:rsid w:val="00A266EB"/>
    <w:rsid w:val="00A266FC"/>
    <w:rsid w:val="00A277EF"/>
    <w:rsid w:val="00A30E9B"/>
    <w:rsid w:val="00A32A64"/>
    <w:rsid w:val="00A332A7"/>
    <w:rsid w:val="00A338A8"/>
    <w:rsid w:val="00A34E20"/>
    <w:rsid w:val="00A3592F"/>
    <w:rsid w:val="00A4031C"/>
    <w:rsid w:val="00A4512D"/>
    <w:rsid w:val="00A45B44"/>
    <w:rsid w:val="00A47AA4"/>
    <w:rsid w:val="00A50244"/>
    <w:rsid w:val="00A5066A"/>
    <w:rsid w:val="00A61850"/>
    <w:rsid w:val="00A627D7"/>
    <w:rsid w:val="00A656C7"/>
    <w:rsid w:val="00A705AF"/>
    <w:rsid w:val="00A719F6"/>
    <w:rsid w:val="00A72454"/>
    <w:rsid w:val="00A72EC8"/>
    <w:rsid w:val="00A77696"/>
    <w:rsid w:val="00A80557"/>
    <w:rsid w:val="00A81D33"/>
    <w:rsid w:val="00A8341C"/>
    <w:rsid w:val="00A915F5"/>
    <w:rsid w:val="00A930AE"/>
    <w:rsid w:val="00A95404"/>
    <w:rsid w:val="00A958BC"/>
    <w:rsid w:val="00AA1A95"/>
    <w:rsid w:val="00AA260F"/>
    <w:rsid w:val="00AA265A"/>
    <w:rsid w:val="00AA3D63"/>
    <w:rsid w:val="00AA7FF3"/>
    <w:rsid w:val="00AB1EE7"/>
    <w:rsid w:val="00AB4B37"/>
    <w:rsid w:val="00AB5762"/>
    <w:rsid w:val="00AB5CD5"/>
    <w:rsid w:val="00AC2679"/>
    <w:rsid w:val="00AC28ED"/>
    <w:rsid w:val="00AC37D9"/>
    <w:rsid w:val="00AC4BE4"/>
    <w:rsid w:val="00AD05E6"/>
    <w:rsid w:val="00AD0D3F"/>
    <w:rsid w:val="00AE04F2"/>
    <w:rsid w:val="00AE12A2"/>
    <w:rsid w:val="00AE1D7D"/>
    <w:rsid w:val="00AE2A8B"/>
    <w:rsid w:val="00AE3F64"/>
    <w:rsid w:val="00AE7FBB"/>
    <w:rsid w:val="00AF3385"/>
    <w:rsid w:val="00AF6954"/>
    <w:rsid w:val="00AF7386"/>
    <w:rsid w:val="00AF7934"/>
    <w:rsid w:val="00B00B81"/>
    <w:rsid w:val="00B029F3"/>
    <w:rsid w:val="00B04173"/>
    <w:rsid w:val="00B04580"/>
    <w:rsid w:val="00B04B09"/>
    <w:rsid w:val="00B16A51"/>
    <w:rsid w:val="00B32222"/>
    <w:rsid w:val="00B3618D"/>
    <w:rsid w:val="00B36233"/>
    <w:rsid w:val="00B40075"/>
    <w:rsid w:val="00B41C54"/>
    <w:rsid w:val="00B42851"/>
    <w:rsid w:val="00B43E32"/>
    <w:rsid w:val="00B45AC7"/>
    <w:rsid w:val="00B50B23"/>
    <w:rsid w:val="00B5150C"/>
    <w:rsid w:val="00B5372F"/>
    <w:rsid w:val="00B53987"/>
    <w:rsid w:val="00B560A3"/>
    <w:rsid w:val="00B567CA"/>
    <w:rsid w:val="00B61129"/>
    <w:rsid w:val="00B62FC1"/>
    <w:rsid w:val="00B6414E"/>
    <w:rsid w:val="00B6715A"/>
    <w:rsid w:val="00B67E7F"/>
    <w:rsid w:val="00B73C5D"/>
    <w:rsid w:val="00B829DF"/>
    <w:rsid w:val="00B82ECA"/>
    <w:rsid w:val="00B830B5"/>
    <w:rsid w:val="00B839B2"/>
    <w:rsid w:val="00B87637"/>
    <w:rsid w:val="00B9362A"/>
    <w:rsid w:val="00B94252"/>
    <w:rsid w:val="00B95A01"/>
    <w:rsid w:val="00B960BF"/>
    <w:rsid w:val="00B9715A"/>
    <w:rsid w:val="00BA14BE"/>
    <w:rsid w:val="00BA1893"/>
    <w:rsid w:val="00BA2732"/>
    <w:rsid w:val="00BA293D"/>
    <w:rsid w:val="00BA43C2"/>
    <w:rsid w:val="00BA4900"/>
    <w:rsid w:val="00BA49BC"/>
    <w:rsid w:val="00BA56B7"/>
    <w:rsid w:val="00BA7696"/>
    <w:rsid w:val="00BA7A1E"/>
    <w:rsid w:val="00BB2F6C"/>
    <w:rsid w:val="00BB3198"/>
    <w:rsid w:val="00BB3875"/>
    <w:rsid w:val="00BB5860"/>
    <w:rsid w:val="00BB6AAD"/>
    <w:rsid w:val="00BB77EE"/>
    <w:rsid w:val="00BB7C00"/>
    <w:rsid w:val="00BC4A19"/>
    <w:rsid w:val="00BC4E6D"/>
    <w:rsid w:val="00BC52BC"/>
    <w:rsid w:val="00BD0108"/>
    <w:rsid w:val="00BD0617"/>
    <w:rsid w:val="00BD2E9B"/>
    <w:rsid w:val="00BD74DB"/>
    <w:rsid w:val="00BD7FB2"/>
    <w:rsid w:val="00BE6B46"/>
    <w:rsid w:val="00BF38EB"/>
    <w:rsid w:val="00C00930"/>
    <w:rsid w:val="00C041FE"/>
    <w:rsid w:val="00C060AD"/>
    <w:rsid w:val="00C113BF"/>
    <w:rsid w:val="00C162EF"/>
    <w:rsid w:val="00C2176E"/>
    <w:rsid w:val="00C22EF5"/>
    <w:rsid w:val="00C23430"/>
    <w:rsid w:val="00C23FEA"/>
    <w:rsid w:val="00C24038"/>
    <w:rsid w:val="00C261CC"/>
    <w:rsid w:val="00C276FF"/>
    <w:rsid w:val="00C27D67"/>
    <w:rsid w:val="00C417E3"/>
    <w:rsid w:val="00C4631F"/>
    <w:rsid w:val="00C47CDE"/>
    <w:rsid w:val="00C505EC"/>
    <w:rsid w:val="00C508B3"/>
    <w:rsid w:val="00C50E16"/>
    <w:rsid w:val="00C54254"/>
    <w:rsid w:val="00C55258"/>
    <w:rsid w:val="00C60CDC"/>
    <w:rsid w:val="00C610B8"/>
    <w:rsid w:val="00C62B81"/>
    <w:rsid w:val="00C6439C"/>
    <w:rsid w:val="00C64B9E"/>
    <w:rsid w:val="00C6709F"/>
    <w:rsid w:val="00C82EEB"/>
    <w:rsid w:val="00C84F04"/>
    <w:rsid w:val="00C91A4F"/>
    <w:rsid w:val="00C938F0"/>
    <w:rsid w:val="00C9412E"/>
    <w:rsid w:val="00C95E63"/>
    <w:rsid w:val="00C971DC"/>
    <w:rsid w:val="00CA16B7"/>
    <w:rsid w:val="00CA4DED"/>
    <w:rsid w:val="00CA62AE"/>
    <w:rsid w:val="00CB17BB"/>
    <w:rsid w:val="00CB479A"/>
    <w:rsid w:val="00CB5B1A"/>
    <w:rsid w:val="00CB63F6"/>
    <w:rsid w:val="00CC220B"/>
    <w:rsid w:val="00CC29B9"/>
    <w:rsid w:val="00CC5347"/>
    <w:rsid w:val="00CC5C43"/>
    <w:rsid w:val="00CD02AE"/>
    <w:rsid w:val="00CD25C7"/>
    <w:rsid w:val="00CD2A4F"/>
    <w:rsid w:val="00CD2F4D"/>
    <w:rsid w:val="00CD3B18"/>
    <w:rsid w:val="00CD481A"/>
    <w:rsid w:val="00CD4A42"/>
    <w:rsid w:val="00CD703E"/>
    <w:rsid w:val="00CE03CA"/>
    <w:rsid w:val="00CE1471"/>
    <w:rsid w:val="00CE22F1"/>
    <w:rsid w:val="00CE3116"/>
    <w:rsid w:val="00CE50F2"/>
    <w:rsid w:val="00CE6502"/>
    <w:rsid w:val="00CE6FC9"/>
    <w:rsid w:val="00CF56F2"/>
    <w:rsid w:val="00CF5920"/>
    <w:rsid w:val="00CF7D3C"/>
    <w:rsid w:val="00D01F09"/>
    <w:rsid w:val="00D041E4"/>
    <w:rsid w:val="00D13AAC"/>
    <w:rsid w:val="00D147EB"/>
    <w:rsid w:val="00D15CD7"/>
    <w:rsid w:val="00D174B7"/>
    <w:rsid w:val="00D232CC"/>
    <w:rsid w:val="00D2390E"/>
    <w:rsid w:val="00D25B16"/>
    <w:rsid w:val="00D33EC1"/>
    <w:rsid w:val="00D34667"/>
    <w:rsid w:val="00D372EC"/>
    <w:rsid w:val="00D401E1"/>
    <w:rsid w:val="00D408B4"/>
    <w:rsid w:val="00D41F73"/>
    <w:rsid w:val="00D43527"/>
    <w:rsid w:val="00D44330"/>
    <w:rsid w:val="00D44C11"/>
    <w:rsid w:val="00D524C8"/>
    <w:rsid w:val="00D529C2"/>
    <w:rsid w:val="00D538FC"/>
    <w:rsid w:val="00D56409"/>
    <w:rsid w:val="00D62E1E"/>
    <w:rsid w:val="00D67863"/>
    <w:rsid w:val="00D70E24"/>
    <w:rsid w:val="00D72B61"/>
    <w:rsid w:val="00D74675"/>
    <w:rsid w:val="00D75A69"/>
    <w:rsid w:val="00D81652"/>
    <w:rsid w:val="00D86F82"/>
    <w:rsid w:val="00D875E4"/>
    <w:rsid w:val="00D90516"/>
    <w:rsid w:val="00D90C30"/>
    <w:rsid w:val="00D91A14"/>
    <w:rsid w:val="00D93A06"/>
    <w:rsid w:val="00D9682A"/>
    <w:rsid w:val="00DA0F6D"/>
    <w:rsid w:val="00DA3D1D"/>
    <w:rsid w:val="00DA499A"/>
    <w:rsid w:val="00DB118B"/>
    <w:rsid w:val="00DB3830"/>
    <w:rsid w:val="00DB4808"/>
    <w:rsid w:val="00DB60CE"/>
    <w:rsid w:val="00DB6286"/>
    <w:rsid w:val="00DB645F"/>
    <w:rsid w:val="00DB76E9"/>
    <w:rsid w:val="00DC0A67"/>
    <w:rsid w:val="00DC1D5E"/>
    <w:rsid w:val="00DC3524"/>
    <w:rsid w:val="00DC3DEB"/>
    <w:rsid w:val="00DC5220"/>
    <w:rsid w:val="00DD2061"/>
    <w:rsid w:val="00DD36AF"/>
    <w:rsid w:val="00DD7DAB"/>
    <w:rsid w:val="00DE28E1"/>
    <w:rsid w:val="00DE3355"/>
    <w:rsid w:val="00DF0A11"/>
    <w:rsid w:val="00DF0C60"/>
    <w:rsid w:val="00DF486F"/>
    <w:rsid w:val="00DF5B5B"/>
    <w:rsid w:val="00DF7619"/>
    <w:rsid w:val="00DF7E62"/>
    <w:rsid w:val="00E023F6"/>
    <w:rsid w:val="00E042D8"/>
    <w:rsid w:val="00E06733"/>
    <w:rsid w:val="00E07EE7"/>
    <w:rsid w:val="00E10FB7"/>
    <w:rsid w:val="00E1103B"/>
    <w:rsid w:val="00E1522E"/>
    <w:rsid w:val="00E178B6"/>
    <w:rsid w:val="00E17B44"/>
    <w:rsid w:val="00E203BC"/>
    <w:rsid w:val="00E20B3F"/>
    <w:rsid w:val="00E20F27"/>
    <w:rsid w:val="00E2171F"/>
    <w:rsid w:val="00E22307"/>
    <w:rsid w:val="00E22443"/>
    <w:rsid w:val="00E25B1F"/>
    <w:rsid w:val="00E27FEA"/>
    <w:rsid w:val="00E4086F"/>
    <w:rsid w:val="00E42851"/>
    <w:rsid w:val="00E43B3C"/>
    <w:rsid w:val="00E50188"/>
    <w:rsid w:val="00E50BB3"/>
    <w:rsid w:val="00E515CB"/>
    <w:rsid w:val="00E52260"/>
    <w:rsid w:val="00E5350F"/>
    <w:rsid w:val="00E605D1"/>
    <w:rsid w:val="00E606AC"/>
    <w:rsid w:val="00E607A1"/>
    <w:rsid w:val="00E623D7"/>
    <w:rsid w:val="00E62BB9"/>
    <w:rsid w:val="00E639B6"/>
    <w:rsid w:val="00E6434B"/>
    <w:rsid w:val="00E6463D"/>
    <w:rsid w:val="00E714D7"/>
    <w:rsid w:val="00E72E9B"/>
    <w:rsid w:val="00E767F8"/>
    <w:rsid w:val="00E850C3"/>
    <w:rsid w:val="00E87B37"/>
    <w:rsid w:val="00E87DF2"/>
    <w:rsid w:val="00E9462E"/>
    <w:rsid w:val="00E95FD8"/>
    <w:rsid w:val="00E9619D"/>
    <w:rsid w:val="00EA0F7D"/>
    <w:rsid w:val="00EA470E"/>
    <w:rsid w:val="00EA47A7"/>
    <w:rsid w:val="00EA5504"/>
    <w:rsid w:val="00EA57EB"/>
    <w:rsid w:val="00EA7112"/>
    <w:rsid w:val="00EB0234"/>
    <w:rsid w:val="00EB3226"/>
    <w:rsid w:val="00EB4E68"/>
    <w:rsid w:val="00EB76AA"/>
    <w:rsid w:val="00EC213A"/>
    <w:rsid w:val="00EC43C7"/>
    <w:rsid w:val="00EC4F64"/>
    <w:rsid w:val="00EC7744"/>
    <w:rsid w:val="00EC7C60"/>
    <w:rsid w:val="00EC7E0F"/>
    <w:rsid w:val="00ED0DAD"/>
    <w:rsid w:val="00ED0F46"/>
    <w:rsid w:val="00ED2373"/>
    <w:rsid w:val="00EE0374"/>
    <w:rsid w:val="00EE3E8A"/>
    <w:rsid w:val="00EE6035"/>
    <w:rsid w:val="00EE6E6C"/>
    <w:rsid w:val="00EF14DA"/>
    <w:rsid w:val="00EF45A3"/>
    <w:rsid w:val="00EF58B8"/>
    <w:rsid w:val="00EF6E1B"/>
    <w:rsid w:val="00EF6ECA"/>
    <w:rsid w:val="00F024E1"/>
    <w:rsid w:val="00F0305F"/>
    <w:rsid w:val="00F055D8"/>
    <w:rsid w:val="00F06C10"/>
    <w:rsid w:val="00F1016F"/>
    <w:rsid w:val="00F1096F"/>
    <w:rsid w:val="00F11F13"/>
    <w:rsid w:val="00F12589"/>
    <w:rsid w:val="00F12595"/>
    <w:rsid w:val="00F134D9"/>
    <w:rsid w:val="00F1373F"/>
    <w:rsid w:val="00F1403D"/>
    <w:rsid w:val="00F1463F"/>
    <w:rsid w:val="00F1709E"/>
    <w:rsid w:val="00F202E9"/>
    <w:rsid w:val="00F20BDB"/>
    <w:rsid w:val="00F21302"/>
    <w:rsid w:val="00F229B3"/>
    <w:rsid w:val="00F2430D"/>
    <w:rsid w:val="00F25216"/>
    <w:rsid w:val="00F25D8D"/>
    <w:rsid w:val="00F321DE"/>
    <w:rsid w:val="00F33777"/>
    <w:rsid w:val="00F40648"/>
    <w:rsid w:val="00F44D87"/>
    <w:rsid w:val="00F467EA"/>
    <w:rsid w:val="00F46E8B"/>
    <w:rsid w:val="00F47DA2"/>
    <w:rsid w:val="00F519FC"/>
    <w:rsid w:val="00F6239D"/>
    <w:rsid w:val="00F669A4"/>
    <w:rsid w:val="00F715D2"/>
    <w:rsid w:val="00F723DA"/>
    <w:rsid w:val="00F7274F"/>
    <w:rsid w:val="00F74906"/>
    <w:rsid w:val="00F74E84"/>
    <w:rsid w:val="00F75872"/>
    <w:rsid w:val="00F76358"/>
    <w:rsid w:val="00F76FA8"/>
    <w:rsid w:val="00F8235E"/>
    <w:rsid w:val="00F842FF"/>
    <w:rsid w:val="00F84FAD"/>
    <w:rsid w:val="00F86DB6"/>
    <w:rsid w:val="00F86E1F"/>
    <w:rsid w:val="00F9009A"/>
    <w:rsid w:val="00F93F08"/>
    <w:rsid w:val="00F94CED"/>
    <w:rsid w:val="00FA02BB"/>
    <w:rsid w:val="00FA2CEE"/>
    <w:rsid w:val="00FA318C"/>
    <w:rsid w:val="00FA6B4C"/>
    <w:rsid w:val="00FA7521"/>
    <w:rsid w:val="00FB6F92"/>
    <w:rsid w:val="00FB7291"/>
    <w:rsid w:val="00FC026E"/>
    <w:rsid w:val="00FC219A"/>
    <w:rsid w:val="00FC49D9"/>
    <w:rsid w:val="00FC5124"/>
    <w:rsid w:val="00FD2016"/>
    <w:rsid w:val="00FD4731"/>
    <w:rsid w:val="00FD6768"/>
    <w:rsid w:val="00FE0C1F"/>
    <w:rsid w:val="00FE1C85"/>
    <w:rsid w:val="00FE29E4"/>
    <w:rsid w:val="00FE4B1C"/>
    <w:rsid w:val="00FE55F0"/>
    <w:rsid w:val="00FE6B17"/>
    <w:rsid w:val="00FE7A86"/>
    <w:rsid w:val="00FF0AB0"/>
    <w:rsid w:val="00FF0BE1"/>
    <w:rsid w:val="00FF28AC"/>
    <w:rsid w:val="00FF30FA"/>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5792C"/>
  <w15:docId w15:val="{75A44431-9713-4755-A6FA-F0811433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69A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669A4"/>
    <w:pPr>
      <w:keepNext/>
      <w:spacing w:before="240" w:after="60"/>
      <w:outlineLvl w:val="3"/>
    </w:pPr>
    <w:rPr>
      <w:rFonts w:ascii="Arial" w:hAnsi="Arial"/>
      <w:b/>
      <w:bCs/>
      <w:sz w:val="22"/>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uiPriority w:val="99"/>
    <w:rsid w:val="00A719F6"/>
    <w:pPr>
      <w:numPr>
        <w:numId w:val="3"/>
      </w:numPr>
    </w:pPr>
  </w:style>
  <w:style w:type="paragraph" w:styleId="ListNumber2">
    <w:name w:val="List Number 2"/>
    <w:basedOn w:val="ListBullet"/>
    <w:qFormat/>
    <w:rsid w:val="00F669A4"/>
    <w:pPr>
      <w:numPr>
        <w:numId w:val="2"/>
      </w:numPr>
      <w:tabs>
        <w:tab w:val="clear" w:pos="340"/>
        <w:tab w:val="clear" w:pos="680"/>
      </w:tabs>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Footnote,BulletPoints"/>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ListNumber4">
    <w:name w:val="List Number 4"/>
    <w:basedOn w:val="Normal"/>
    <w:unhideWhenUsed/>
    <w:rsid w:val="00F669A4"/>
    <w:pPr>
      <w:numPr>
        <w:numId w:val="32"/>
      </w:numPr>
      <w:contextualSpacing/>
    </w:p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9D4920"/>
    <w:rPr>
      <w:color w:val="605E5C"/>
      <w:shd w:val="clear" w:color="auto" w:fill="E1DFDD"/>
    </w:rPr>
  </w:style>
  <w:style w:type="character" w:customStyle="1" w:styleId="ListParagraphChar">
    <w:name w:val="List Paragraph Char"/>
    <w:aliases w:val="Footnote Char,BulletPoints Char"/>
    <w:basedOn w:val="DefaultParagraphFont"/>
    <w:link w:val="ListParagraph"/>
    <w:uiPriority w:val="34"/>
    <w:rsid w:val="00220020"/>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7442BF"/>
    <w:rPr>
      <w:sz w:val="16"/>
      <w:szCs w:val="16"/>
    </w:rPr>
  </w:style>
  <w:style w:type="paragraph" w:styleId="CommentText">
    <w:name w:val="annotation text"/>
    <w:basedOn w:val="Normal"/>
    <w:link w:val="CommentTextChar"/>
    <w:unhideWhenUsed/>
    <w:rsid w:val="007442BF"/>
    <w:pPr>
      <w:spacing w:line="240" w:lineRule="auto"/>
    </w:pPr>
    <w:rPr>
      <w:sz w:val="20"/>
      <w:szCs w:val="20"/>
    </w:rPr>
  </w:style>
  <w:style w:type="character" w:customStyle="1" w:styleId="CommentTextChar">
    <w:name w:val="Comment Text Char"/>
    <w:basedOn w:val="DefaultParagraphFont"/>
    <w:link w:val="CommentText"/>
    <w:rsid w:val="007442B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7442BF"/>
    <w:rPr>
      <w:b/>
      <w:bCs/>
    </w:rPr>
  </w:style>
  <w:style w:type="character" w:customStyle="1" w:styleId="CommentSubjectChar">
    <w:name w:val="Comment Subject Char"/>
    <w:basedOn w:val="CommentTextChar"/>
    <w:link w:val="CommentSubject"/>
    <w:semiHidden/>
    <w:rsid w:val="007442BF"/>
    <w:rPr>
      <w:rFonts w:ascii="Arial" w:hAnsi="Arial"/>
      <w:b/>
      <w:bCs/>
      <w:color w:val="000000" w:themeColor="text1"/>
      <w:lang w:eastAsia="en-US"/>
    </w:rPr>
  </w:style>
  <w:style w:type="paragraph" w:styleId="Revision">
    <w:name w:val="Revision"/>
    <w:hidden/>
    <w:uiPriority w:val="99"/>
    <w:semiHidden/>
    <w:rsid w:val="007442BF"/>
    <w:rPr>
      <w:rFonts w:ascii="Arial" w:hAnsi="Arial"/>
      <w:color w:val="000000" w:themeColor="text1"/>
      <w:sz w:val="22"/>
      <w:szCs w:val="24"/>
      <w:lang w:eastAsia="en-US"/>
    </w:rPr>
  </w:style>
  <w:style w:type="paragraph" w:customStyle="1" w:styleId="LSDP-body">
    <w:name w:val="LSDP-body"/>
    <w:basedOn w:val="Normal"/>
    <w:qFormat/>
    <w:rsid w:val="00DB3830"/>
    <w:pPr>
      <w:jc w:val="both"/>
    </w:pPr>
    <w:rPr>
      <w:rFonts w:asciiTheme="minorHAnsi" w:eastAsia="Calibri" w:hAnsiTheme="minorHAnsi"/>
      <w:color w:val="auto"/>
      <w:sz w:val="24"/>
      <w:szCs w:val="22"/>
    </w:rPr>
  </w:style>
  <w:style w:type="paragraph" w:customStyle="1" w:styleId="Default">
    <w:name w:val="Default"/>
    <w:rsid w:val="00370CD8"/>
    <w:pPr>
      <w:autoSpaceDE w:val="0"/>
      <w:autoSpaceDN w:val="0"/>
      <w:adjustRightInd w:val="0"/>
    </w:pPr>
    <w:rPr>
      <w:color w:val="000000"/>
      <w:sz w:val="24"/>
      <w:szCs w:val="24"/>
    </w:rPr>
  </w:style>
  <w:style w:type="paragraph" w:customStyle="1" w:styleId="paragraph">
    <w:name w:val="paragraph"/>
    <w:basedOn w:val="Normal"/>
    <w:rsid w:val="00A61850"/>
    <w:pPr>
      <w:spacing w:before="100" w:beforeAutospacing="1" w:after="100" w:afterAutospacing="1" w:line="240" w:lineRule="auto"/>
    </w:pPr>
    <w:rPr>
      <w:rFonts w:ascii="Times New Roman" w:hAnsi="Times New Roman"/>
      <w:color w:val="auto"/>
      <w:sz w:val="24"/>
      <w:lang w:eastAsia="en-AU"/>
    </w:rPr>
  </w:style>
  <w:style w:type="paragraph" w:styleId="ListBullet3">
    <w:name w:val="List Bullet 3"/>
    <w:basedOn w:val="Normal"/>
    <w:unhideWhenUsed/>
    <w:rsid w:val="00F669A4"/>
    <w:pPr>
      <w:numPr>
        <w:numId w:val="33"/>
      </w:numPr>
      <w:contextualSpacing/>
    </w:pPr>
  </w:style>
  <w:style w:type="paragraph" w:styleId="ListNumber">
    <w:name w:val="List Number"/>
    <w:basedOn w:val="Normal"/>
    <w:uiPriority w:val="99"/>
    <w:unhideWhenUsed/>
    <w:rsid w:val="00F669A4"/>
    <w:pPr>
      <w:numPr>
        <w:numId w:val="31"/>
      </w:numPr>
      <w:tabs>
        <w:tab w:val="num" w:pos="360"/>
      </w:tabs>
      <w:spacing w:line="259" w:lineRule="auto"/>
      <w:ind w:left="357" w:hanging="357"/>
    </w:pPr>
    <w:rPr>
      <w:color w:val="auto"/>
    </w:rPr>
  </w:style>
  <w:style w:type="character" w:customStyle="1" w:styleId="Heading2Char">
    <w:name w:val="Heading 2 Char"/>
    <w:basedOn w:val="DefaultParagraphFont"/>
    <w:link w:val="Heading2"/>
    <w:rsid w:val="004B458E"/>
    <w:rPr>
      <w:rFonts w:ascii="Arial" w:hAnsi="Arial" w:cs="Arial"/>
      <w:b/>
      <w:bCs/>
      <w:iCs/>
      <w:color w:val="358189"/>
      <w:sz w:val="36"/>
      <w:szCs w:val="28"/>
      <w:lang w:eastAsia="en-US"/>
    </w:rPr>
  </w:style>
  <w:style w:type="character" w:styleId="FollowedHyperlink">
    <w:name w:val="FollowedHyperlink"/>
    <w:basedOn w:val="DefaultParagraphFont"/>
    <w:semiHidden/>
    <w:unhideWhenUsed/>
    <w:rsid w:val="009A70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333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2113103">
      <w:bodyDiv w:val="1"/>
      <w:marLeft w:val="0"/>
      <w:marRight w:val="0"/>
      <w:marTop w:val="0"/>
      <w:marBottom w:val="0"/>
      <w:divBdr>
        <w:top w:val="none" w:sz="0" w:space="0" w:color="auto"/>
        <w:left w:val="none" w:sz="0" w:space="0" w:color="auto"/>
        <w:bottom w:val="none" w:sz="0" w:space="0" w:color="auto"/>
        <w:right w:val="none" w:sz="0" w:space="0" w:color="auto"/>
      </w:divBdr>
    </w:div>
    <w:div w:id="542717020">
      <w:bodyDiv w:val="1"/>
      <w:marLeft w:val="0"/>
      <w:marRight w:val="0"/>
      <w:marTop w:val="0"/>
      <w:marBottom w:val="0"/>
      <w:divBdr>
        <w:top w:val="none" w:sz="0" w:space="0" w:color="auto"/>
        <w:left w:val="none" w:sz="0" w:space="0" w:color="auto"/>
        <w:bottom w:val="none" w:sz="0" w:space="0" w:color="auto"/>
        <w:right w:val="none" w:sz="0" w:space="0" w:color="auto"/>
      </w:divBdr>
    </w:div>
    <w:div w:id="583804812">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83178337">
      <w:bodyDiv w:val="1"/>
      <w:marLeft w:val="0"/>
      <w:marRight w:val="0"/>
      <w:marTop w:val="0"/>
      <w:marBottom w:val="0"/>
      <w:divBdr>
        <w:top w:val="none" w:sz="0" w:space="0" w:color="auto"/>
        <w:left w:val="none" w:sz="0" w:space="0" w:color="auto"/>
        <w:bottom w:val="none" w:sz="0" w:space="0" w:color="auto"/>
        <w:right w:val="none" w:sz="0" w:space="0" w:color="auto"/>
      </w:divBdr>
    </w:div>
    <w:div w:id="121249871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87663780">
      <w:bodyDiv w:val="1"/>
      <w:marLeft w:val="0"/>
      <w:marRight w:val="0"/>
      <w:marTop w:val="0"/>
      <w:marBottom w:val="0"/>
      <w:divBdr>
        <w:top w:val="none" w:sz="0" w:space="0" w:color="auto"/>
        <w:left w:val="none" w:sz="0" w:space="0" w:color="auto"/>
        <w:bottom w:val="none" w:sz="0" w:space="0" w:color="auto"/>
        <w:right w:val="none" w:sz="0" w:space="0" w:color="auto"/>
      </w:divBdr>
    </w:div>
    <w:div w:id="1297640485">
      <w:bodyDiv w:val="1"/>
      <w:marLeft w:val="0"/>
      <w:marRight w:val="0"/>
      <w:marTop w:val="0"/>
      <w:marBottom w:val="0"/>
      <w:divBdr>
        <w:top w:val="none" w:sz="0" w:space="0" w:color="auto"/>
        <w:left w:val="none" w:sz="0" w:space="0" w:color="auto"/>
        <w:bottom w:val="none" w:sz="0" w:space="0" w:color="auto"/>
        <w:right w:val="none" w:sz="0" w:space="0" w:color="auto"/>
      </w:divBdr>
    </w:div>
    <w:div w:id="1869483690">
      <w:bodyDiv w:val="1"/>
      <w:marLeft w:val="0"/>
      <w:marRight w:val="0"/>
      <w:marTop w:val="0"/>
      <w:marBottom w:val="0"/>
      <w:divBdr>
        <w:top w:val="none" w:sz="0" w:space="0" w:color="auto"/>
        <w:left w:val="none" w:sz="0" w:space="0" w:color="auto"/>
        <w:bottom w:val="none" w:sz="0" w:space="0" w:color="auto"/>
        <w:right w:val="none" w:sz="0" w:space="0" w:color="auto"/>
      </w:divBdr>
    </w:div>
    <w:div w:id="1911185684">
      <w:bodyDiv w:val="1"/>
      <w:marLeft w:val="0"/>
      <w:marRight w:val="0"/>
      <w:marTop w:val="0"/>
      <w:marBottom w:val="0"/>
      <w:divBdr>
        <w:top w:val="none" w:sz="0" w:space="0" w:color="auto"/>
        <w:left w:val="none" w:sz="0" w:space="0" w:color="auto"/>
        <w:bottom w:val="none" w:sz="0" w:space="0" w:color="auto"/>
        <w:right w:val="none" w:sz="0" w:space="0" w:color="auto"/>
      </w:divBdr>
    </w:div>
    <w:div w:id="1933388424">
      <w:bodyDiv w:val="1"/>
      <w:marLeft w:val="0"/>
      <w:marRight w:val="0"/>
      <w:marTop w:val="0"/>
      <w:marBottom w:val="0"/>
      <w:divBdr>
        <w:top w:val="none" w:sz="0" w:space="0" w:color="auto"/>
        <w:left w:val="none" w:sz="0" w:space="0" w:color="auto"/>
        <w:bottom w:val="none" w:sz="0" w:space="0" w:color="auto"/>
        <w:right w:val="none" w:sz="0" w:space="0" w:color="auto"/>
      </w:divBdr>
    </w:div>
    <w:div w:id="2056849826">
      <w:bodyDiv w:val="1"/>
      <w:marLeft w:val="0"/>
      <w:marRight w:val="0"/>
      <w:marTop w:val="0"/>
      <w:marBottom w:val="0"/>
      <w:divBdr>
        <w:top w:val="none" w:sz="0" w:space="0" w:color="auto"/>
        <w:left w:val="none" w:sz="0" w:space="0" w:color="auto"/>
        <w:bottom w:val="none" w:sz="0" w:space="0" w:color="auto"/>
        <w:right w:val="none" w:sz="0" w:space="0" w:color="auto"/>
      </w:divBdr>
    </w:div>
    <w:div w:id="2074154364">
      <w:bodyDiv w:val="1"/>
      <w:marLeft w:val="0"/>
      <w:marRight w:val="0"/>
      <w:marTop w:val="0"/>
      <w:marBottom w:val="0"/>
      <w:divBdr>
        <w:top w:val="none" w:sz="0" w:space="0" w:color="auto"/>
        <w:left w:val="none" w:sz="0" w:space="0" w:color="auto"/>
        <w:bottom w:val="none" w:sz="0" w:space="0" w:color="auto"/>
        <w:right w:val="none" w:sz="0" w:space="0" w:color="auto"/>
      </w:divBdr>
    </w:div>
    <w:div w:id="208479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sdp@health.gov.au" TargetMode="External"/><Relationship Id="rId18" Type="http://schemas.openxmlformats.org/officeDocument/2006/relationships/hyperlink" Target="https://www.health.gov.au/resources/publications/life-saving-drugs-program-pompe-disease-reapplication?language=en" TargetMode="External"/><Relationship Id="rId26" Type="http://schemas.openxmlformats.org/officeDocument/2006/relationships/hyperlink" Target="https://www.health.gov.au/resources/publications/life-saving-drugs-program-mucopolysaccharidosis-type-vi-mps-vi-patient-test-results-spreadsheet?language=en"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alth.gov.au/resources/publications/life-saving-drugs-program-gaucher-disease-type-1-initial-application?language=en" TargetMode="External"/><Relationship Id="rId34" Type="http://schemas.openxmlformats.org/officeDocument/2006/relationships/hyperlink" Target="https://www.health.gov.au/resources/publications/life-saving-drugs-program-mucopolysaccharidosis-type-ii-mps-ii-guidelines?language=en" TargetMode="External"/><Relationship Id="rId7" Type="http://schemas.openxmlformats.org/officeDocument/2006/relationships/styles" Target="styles.xml"/><Relationship Id="rId12" Type="http://schemas.openxmlformats.org/officeDocument/2006/relationships/hyperlink" Target="https://www.health.gov.au/resources/publications/life-saving-drugs-program-lsdp-medicines-reviews-recommendations" TargetMode="External"/><Relationship Id="rId17" Type="http://schemas.openxmlformats.org/officeDocument/2006/relationships/hyperlink" Target="https://www.health.gov.au/resources/publications/life-saving-drugs-program-pompe-disease-initial-application?language=en" TargetMode="External"/><Relationship Id="rId25" Type="http://schemas.openxmlformats.org/officeDocument/2006/relationships/hyperlink" Target="https://www.health.gov.au/resources/publications/life-saving-drugs-program-mucopolysaccharidosis-type-ii-mps-ii-patient-test-results-spreadsheet?language=en" TargetMode="External"/><Relationship Id="rId33" Type="http://schemas.openxmlformats.org/officeDocument/2006/relationships/hyperlink" Target="https://www.health.gov.au/resources/publications/life-saving-drugs-program-mucopolysaccharidosis-type-i-mps-i-guidelines?language=en"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alth.gov.au/resources/publications/life-saving-drugs-program-pompe-disease-patient-test-results-spreadsheets?language=en" TargetMode="External"/><Relationship Id="rId20" Type="http://schemas.openxmlformats.org/officeDocument/2006/relationships/hyperlink" Target="https://www.health.gov.au/resources/publications/life-saving-drugs-program-gaucher-disease-type-1-patient-test-results-spreadsheet?language=en" TargetMode="External"/><Relationship Id="rId29" Type="http://schemas.openxmlformats.org/officeDocument/2006/relationships/hyperlink" Target="https://www.health.gov.au/resources/publications/life-saving-drugs-program-mucopolysaccharidosis-type-ii-mps-ii-initial-application?language=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gov.au/resources/publications/life-saving-drugs-program-mucopolysaccharidosis-type-i-mps-i-patient-test-results-spreadsheet?language=en" TargetMode="External"/><Relationship Id="rId32" Type="http://schemas.openxmlformats.org/officeDocument/2006/relationships/hyperlink" Target="https://www.health.gov.au/resources/publications/life-saving-drugs-program-mucopolysaccharidosis-type-vi-mps-vi-reapplication?language=e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health.gov.au/resources/publications/life-saving-drugs-program-gaucher-disease-type-1-guidelines?language=en" TargetMode="External"/><Relationship Id="rId28" Type="http://schemas.openxmlformats.org/officeDocument/2006/relationships/hyperlink" Target="https://www.health.gov.au/resources/publications/life-saving-drugs-program-mucopolysaccharidosis-type-i-mps-i-reapplication?language=en"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health.gov.au/resources/publications/life-saving-drugs-program-pompe-disease-guidelines?language=en" TargetMode="External"/><Relationship Id="rId31" Type="http://schemas.openxmlformats.org/officeDocument/2006/relationships/hyperlink" Target="https://www.health.gov.au/resources/publications/life-saving-drugs-program-mucopolysaccharidosis-type-vi-mps-vi-initial-application?language=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health.gov.au/resources/publications/life-saving-drugs-program-gaucher-disease-type-1-reapplication?language=en" TargetMode="External"/><Relationship Id="rId27" Type="http://schemas.openxmlformats.org/officeDocument/2006/relationships/hyperlink" Target="https://www.health.gov.au/resources/publications/life-saving-drugs-program-mucopolysaccharidosis-type-i-mps-i-initial-application?language=en" TargetMode="External"/><Relationship Id="rId30" Type="http://schemas.openxmlformats.org/officeDocument/2006/relationships/hyperlink" Target="https://www.health.gov.au/resources/publications/life-saving-drugs-program-mucopolysaccharidosis-type-ii-mps-ii-reapplication?language=en" TargetMode="External"/><Relationship Id="rId35" Type="http://schemas.openxmlformats.org/officeDocument/2006/relationships/hyperlink" Target="https://www.health.gov.au/resources/publications/life-saving-drugs-program-mucopolysaccharidosis-type-vi-mps-vi-guidelines?language=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kan\Downloads\Department-of-Health-and-Aged-Care_Fact-sheet-template-Teal.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2023-05-10T14:00:00+00:00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59E48-10B5-45C8-AAF5-3FAB5E914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Department-of-Health-and-Aged-Care_Fact-sheet-template-Teal.dotx</Template>
  <TotalTime>0</TotalTime>
  <Pages>4</Pages>
  <Words>1425</Words>
  <Characters>8228</Characters>
  <Application>Microsoft Office Word</Application>
  <DocSecurity>0</DocSecurity>
  <Lines>155</Lines>
  <Paragraphs>72</Paragraphs>
  <ScaleCrop>false</ScaleCrop>
  <HeadingPairs>
    <vt:vector size="2" baseType="variant">
      <vt:variant>
        <vt:lpstr>Title</vt:lpstr>
      </vt:variant>
      <vt:variant>
        <vt:i4>1</vt:i4>
      </vt:variant>
    </vt:vector>
  </HeadingPairs>
  <TitlesOfParts>
    <vt:vector size="1" baseType="lpstr">
      <vt:lpstr>Fact sheet template (teal)</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to the LSDP’s clinical testing requirements for Pompe disease, Gaucher disease (type 1) and MPS types I, II and VI</dc:title>
  <dc:subject>Medicines</dc:subject>
  <dc:creator>Australian Government Department of Health and Aged Care</dc:creator>
  <cp:lastModifiedBy>MASCHKE, Elvia</cp:lastModifiedBy>
  <cp:revision>3</cp:revision>
  <dcterms:created xsi:type="dcterms:W3CDTF">2024-09-12T06:28:00Z</dcterms:created>
  <dcterms:modified xsi:type="dcterms:W3CDTF">2024-09-12T06:32:00Z</dcterms:modified>
</cp:coreProperties>
</file>