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EB5DB" w14:textId="785DB9C0" w:rsidR="003619F4" w:rsidRPr="00677BC9" w:rsidRDefault="006A71E6" w:rsidP="00C2566C">
      <w:pPr>
        <w:pStyle w:val="Heading1"/>
        <w:spacing w:before="0"/>
      </w:pPr>
      <w:r>
        <w:t>Support at Home</w:t>
      </w:r>
    </w:p>
    <w:p w14:paraId="646913CB" w14:textId="25D16F18" w:rsidR="00677BC9" w:rsidRPr="006A71E6" w:rsidRDefault="007A28C3" w:rsidP="006A71E6">
      <w:pPr>
        <w:pStyle w:val="Introduction"/>
      </w:pPr>
      <w:bookmarkStart w:id="0" w:name="_Hlk163461193"/>
      <w:r w:rsidRPr="006A71E6">
        <w:t>This fact</w:t>
      </w:r>
      <w:r w:rsidR="007C4752" w:rsidRPr="006A71E6">
        <w:t xml:space="preserve"> </w:t>
      </w:r>
      <w:r w:rsidRPr="006A71E6">
        <w:t xml:space="preserve">sheet provides a summary of the Support at Home program that will commence 1 July 2025 and the contributions participants </w:t>
      </w:r>
      <w:r w:rsidR="00853DAC" w:rsidRPr="006A71E6">
        <w:t xml:space="preserve">in </w:t>
      </w:r>
      <w:r w:rsidRPr="006A71E6">
        <w:t xml:space="preserve">the </w:t>
      </w:r>
      <w:r w:rsidR="00814224" w:rsidRPr="006A71E6">
        <w:t>program</w:t>
      </w:r>
      <w:r w:rsidR="006A71E6" w:rsidRPr="006A71E6">
        <w:t xml:space="preserve"> will pay.</w:t>
      </w:r>
    </w:p>
    <w:p w14:paraId="041C26F4" w14:textId="18725A40" w:rsidR="002B507C" w:rsidRPr="00677BC9" w:rsidRDefault="006A71E6" w:rsidP="002B507C">
      <w:pPr>
        <w:pStyle w:val="Heading2"/>
      </w:pPr>
      <w:bookmarkStart w:id="1" w:name="_Hlk163458641"/>
      <w:bookmarkEnd w:id="0"/>
      <w:r>
        <w:t>Access</w:t>
      </w:r>
    </w:p>
    <w:p w14:paraId="470F0022" w14:textId="2664B9BF" w:rsidR="002B507C" w:rsidRPr="006A71E6" w:rsidRDefault="002B507C" w:rsidP="002B507C">
      <w:r w:rsidRPr="006A71E6">
        <w:t xml:space="preserve">Participants will have quicker access to services. </w:t>
      </w:r>
      <w:r w:rsidR="00013F77" w:rsidRPr="006A71E6">
        <w:t xml:space="preserve">Additional funding over </w:t>
      </w:r>
      <w:r w:rsidRPr="006A71E6">
        <w:t xml:space="preserve">the first two years of the new Support at Home program will shorten average wait times for services to </w:t>
      </w:r>
      <w:r w:rsidR="002248F8" w:rsidRPr="006A71E6">
        <w:t xml:space="preserve">a target of </w:t>
      </w:r>
      <w:r w:rsidR="00417B0B">
        <w:t>3 </w:t>
      </w:r>
      <w:r w:rsidR="00BA1C98" w:rsidRPr="006A71E6">
        <w:t>months</w:t>
      </w:r>
      <w:r w:rsidRPr="006A71E6">
        <w:t xml:space="preserve"> </w:t>
      </w:r>
      <w:r w:rsidR="00BA1C98" w:rsidRPr="006A71E6">
        <w:t xml:space="preserve">from </w:t>
      </w:r>
      <w:r w:rsidRPr="006A71E6">
        <w:t>1 July 2027.</w:t>
      </w:r>
    </w:p>
    <w:p w14:paraId="5EC85CCC" w14:textId="5B176017" w:rsidR="00AA5116" w:rsidRPr="00677BC9" w:rsidRDefault="006A71E6" w:rsidP="00C2566C">
      <w:pPr>
        <w:pStyle w:val="Heading2"/>
      </w:pPr>
      <w:r>
        <w:t>A new classification system</w:t>
      </w:r>
    </w:p>
    <w:p w14:paraId="4CF327FB" w14:textId="4882D8D9" w:rsidR="00056C97" w:rsidRPr="006A71E6" w:rsidRDefault="00FC2890" w:rsidP="00677BC9">
      <w:r w:rsidRPr="006A71E6">
        <w:t xml:space="preserve">Participants will be assessed into one of </w:t>
      </w:r>
      <w:r w:rsidR="00B65DBC" w:rsidRPr="006A71E6">
        <w:t xml:space="preserve">10 </w:t>
      </w:r>
      <w:r w:rsidRPr="006A71E6">
        <w:t xml:space="preserve">new funding classifications. The new </w:t>
      </w:r>
      <w:r w:rsidR="00B2037B" w:rsidRPr="006A71E6">
        <w:t xml:space="preserve">classifications </w:t>
      </w:r>
      <w:r w:rsidR="00115364" w:rsidRPr="006A71E6">
        <w:t xml:space="preserve">improve on the current </w:t>
      </w:r>
      <w:r w:rsidR="005C41BF" w:rsidRPr="006A71E6">
        <w:t xml:space="preserve">4 </w:t>
      </w:r>
      <w:r w:rsidRPr="006A71E6">
        <w:t>packages available through the H</w:t>
      </w:r>
      <w:r w:rsidR="00066618" w:rsidRPr="006A71E6">
        <w:t xml:space="preserve">ome </w:t>
      </w:r>
      <w:r w:rsidRPr="006A71E6">
        <w:t>C</w:t>
      </w:r>
      <w:r w:rsidR="00066618" w:rsidRPr="006A71E6">
        <w:t xml:space="preserve">are </w:t>
      </w:r>
      <w:r w:rsidRPr="006A71E6">
        <w:t>P</w:t>
      </w:r>
      <w:r w:rsidR="00066618" w:rsidRPr="006A71E6">
        <w:t>ackage</w:t>
      </w:r>
      <w:r w:rsidR="00996A0B" w:rsidRPr="006A71E6">
        <w:t>s</w:t>
      </w:r>
      <w:r w:rsidR="00DE4EC7" w:rsidRPr="006A71E6">
        <w:t xml:space="preserve"> (HCP)</w:t>
      </w:r>
      <w:r w:rsidR="00F72F9F" w:rsidRPr="006A71E6">
        <w:t xml:space="preserve"> program</w:t>
      </w:r>
      <w:r w:rsidR="00C80D00" w:rsidRPr="006A71E6">
        <w:t xml:space="preserve"> by</w:t>
      </w:r>
      <w:r w:rsidR="00F72F9F" w:rsidRPr="006A71E6">
        <w:t xml:space="preserve"> </w:t>
      </w:r>
      <w:r w:rsidRPr="006A71E6">
        <w:t xml:space="preserve">better aligning funding to need. </w:t>
      </w:r>
      <w:r w:rsidR="00FD24B0" w:rsidRPr="006A71E6">
        <w:t xml:space="preserve">This includes 8 ongoing classifications, and </w:t>
      </w:r>
      <w:r w:rsidR="005C41BF" w:rsidRPr="006A71E6">
        <w:t>2</w:t>
      </w:r>
      <w:r w:rsidR="00FD24B0" w:rsidRPr="006A71E6">
        <w:t xml:space="preserve"> short term classifications – the restorative</w:t>
      </w:r>
      <w:r w:rsidR="00380331" w:rsidRPr="006A71E6">
        <w:t xml:space="preserve"> care</w:t>
      </w:r>
      <w:r w:rsidR="00FD24B0" w:rsidRPr="006A71E6">
        <w:t xml:space="preserve"> pathway and end-of-life </w:t>
      </w:r>
      <w:r w:rsidR="00F72F9F" w:rsidRPr="006A71E6">
        <w:t>care</w:t>
      </w:r>
      <w:r w:rsidR="00380331" w:rsidRPr="006A71E6">
        <w:t xml:space="preserve"> pathway</w:t>
      </w:r>
      <w:r w:rsidR="00FD24B0" w:rsidRPr="006A71E6">
        <w:t>.</w:t>
      </w:r>
    </w:p>
    <w:p w14:paraId="7CB96812" w14:textId="1B064558" w:rsidR="00FD24B0" w:rsidRPr="006A71E6" w:rsidRDefault="00FD24B0" w:rsidP="00677BC9">
      <w:r w:rsidRPr="006A71E6">
        <w:t xml:space="preserve">Under Support at Home, the highest ongoing classification exceeds the current Level 4 </w:t>
      </w:r>
      <w:r w:rsidR="00DE4EC7" w:rsidRPr="006A71E6">
        <w:t>HCP</w:t>
      </w:r>
      <w:r w:rsidRPr="006A71E6">
        <w:t xml:space="preserve">, with a budget of </w:t>
      </w:r>
      <w:r w:rsidR="009C5893" w:rsidRPr="006A71E6">
        <w:t xml:space="preserve">almost </w:t>
      </w:r>
      <w:r w:rsidRPr="006A71E6">
        <w:t>$7</w:t>
      </w:r>
      <w:r w:rsidR="001023B8" w:rsidRPr="006A71E6">
        <w:t>8</w:t>
      </w:r>
      <w:r w:rsidRPr="006A71E6">
        <w:t>,000 per year.</w:t>
      </w:r>
    </w:p>
    <w:p w14:paraId="1075E93A" w14:textId="01E54832" w:rsidR="009C432F" w:rsidRDefault="006A71E6" w:rsidP="00C2566C">
      <w:pPr>
        <w:pStyle w:val="Heading2"/>
      </w:pPr>
      <w:r>
        <w:t>A defined service list</w:t>
      </w:r>
    </w:p>
    <w:p w14:paraId="41097D61" w14:textId="2EA6B6E2" w:rsidR="00970F16" w:rsidRPr="006A71E6" w:rsidRDefault="009C432F" w:rsidP="009C432F">
      <w:r w:rsidRPr="006A71E6">
        <w:t xml:space="preserve">The program will </w:t>
      </w:r>
      <w:r w:rsidR="000A4A5E" w:rsidRPr="006A71E6">
        <w:t xml:space="preserve">have </w:t>
      </w:r>
      <w:r w:rsidRPr="006A71E6">
        <w:t xml:space="preserve">a service list which </w:t>
      </w:r>
      <w:r w:rsidR="00970F16" w:rsidRPr="006A71E6">
        <w:t>specifies the</w:t>
      </w:r>
      <w:r w:rsidR="00853DAC" w:rsidRPr="006A71E6" w:rsidDel="00853DAC">
        <w:t xml:space="preserve"> </w:t>
      </w:r>
      <w:r w:rsidRPr="006A71E6">
        <w:t xml:space="preserve">services </w:t>
      </w:r>
      <w:r w:rsidR="00853DAC" w:rsidRPr="006A71E6">
        <w:t>available</w:t>
      </w:r>
      <w:r w:rsidR="00970F16" w:rsidRPr="006A71E6">
        <w:t xml:space="preserve"> under Support at Home</w:t>
      </w:r>
      <w:r w:rsidRPr="006A71E6">
        <w:t xml:space="preserve">. </w:t>
      </w:r>
      <w:r w:rsidR="00970F16" w:rsidRPr="006A71E6">
        <w:t xml:space="preserve">This </w:t>
      </w:r>
      <w:r w:rsidR="008551FF" w:rsidRPr="006A71E6">
        <w:t xml:space="preserve">will </w:t>
      </w:r>
      <w:r w:rsidR="00970F16" w:rsidRPr="006A71E6">
        <w:t xml:space="preserve">provide clarity for older </w:t>
      </w:r>
      <w:r w:rsidR="005C41BF" w:rsidRPr="006A71E6">
        <w:t>people</w:t>
      </w:r>
      <w:r w:rsidR="00970F16" w:rsidRPr="006A71E6">
        <w:t xml:space="preserve"> and service providers</w:t>
      </w:r>
      <w:r w:rsidR="00B2037B" w:rsidRPr="006A71E6">
        <w:t xml:space="preserve"> about what can be accessed</w:t>
      </w:r>
      <w:r w:rsidR="008551FF" w:rsidRPr="006A71E6">
        <w:t>.</w:t>
      </w:r>
      <w:r w:rsidR="000A4A5E" w:rsidRPr="006A71E6">
        <w:t xml:space="preserve"> The service list includes clinical care </w:t>
      </w:r>
      <w:r w:rsidR="0039658B" w:rsidRPr="006A71E6">
        <w:t>(</w:t>
      </w:r>
      <w:r w:rsidR="000A4A5E" w:rsidRPr="006A71E6">
        <w:t xml:space="preserve">such as nursing and </w:t>
      </w:r>
      <w:r w:rsidR="00380331" w:rsidRPr="006A71E6">
        <w:t>physiotherapy</w:t>
      </w:r>
      <w:r w:rsidR="0039658B" w:rsidRPr="006A71E6">
        <w:t>)</w:t>
      </w:r>
      <w:r w:rsidR="000A4A5E" w:rsidRPr="006A71E6">
        <w:t xml:space="preserve">, support for independence </w:t>
      </w:r>
      <w:r w:rsidR="0039658B" w:rsidRPr="006A71E6">
        <w:t>(</w:t>
      </w:r>
      <w:r w:rsidR="000A4A5E" w:rsidRPr="006A71E6">
        <w:t>such as personal care, respite, transport and social support</w:t>
      </w:r>
      <w:r w:rsidR="0039658B" w:rsidRPr="006A71E6">
        <w:t>)</w:t>
      </w:r>
      <w:r w:rsidR="000A4A5E" w:rsidRPr="006A71E6">
        <w:t xml:space="preserve">, and help with everyday living </w:t>
      </w:r>
      <w:r w:rsidR="0039658B" w:rsidRPr="006A71E6">
        <w:t>(</w:t>
      </w:r>
      <w:r w:rsidR="000A4A5E" w:rsidRPr="006A71E6">
        <w:t>such as cleaning, meals delivery and gardening</w:t>
      </w:r>
      <w:r w:rsidR="0039658B" w:rsidRPr="006A71E6">
        <w:t>)</w:t>
      </w:r>
      <w:r w:rsidR="006A71E6" w:rsidRPr="006A71E6">
        <w:t>.</w:t>
      </w:r>
    </w:p>
    <w:p w14:paraId="377AFB1C" w14:textId="01D6BE4A" w:rsidR="00970F16" w:rsidRDefault="006A71E6" w:rsidP="00970F16">
      <w:pPr>
        <w:pStyle w:val="Heading2"/>
      </w:pPr>
      <w:r>
        <w:t>Quarterly budgets</w:t>
      </w:r>
    </w:p>
    <w:p w14:paraId="04003E29" w14:textId="351032B6" w:rsidR="00970F16" w:rsidRPr="006A71E6" w:rsidRDefault="00970F16" w:rsidP="00970F16">
      <w:r w:rsidRPr="006A71E6">
        <w:t xml:space="preserve">Participants will receive a quarterly budget that </w:t>
      </w:r>
      <w:r w:rsidR="00380331" w:rsidRPr="006A71E6">
        <w:t xml:space="preserve">aligns </w:t>
      </w:r>
      <w:r w:rsidRPr="006A71E6">
        <w:t>to their funding classification. Participants will work with their provider to choose how to spend their budget across some or all of the services they</w:t>
      </w:r>
      <w:r w:rsidR="006A71E6" w:rsidRPr="006A71E6">
        <w:t xml:space="preserve"> have been approved to receive.</w:t>
      </w:r>
    </w:p>
    <w:p w14:paraId="185D6E55" w14:textId="12672492" w:rsidR="00970F16" w:rsidRPr="006A71E6" w:rsidRDefault="00970F16" w:rsidP="00970F16">
      <w:r w:rsidRPr="006A71E6">
        <w:t>Participants will be able to save up to $1,000 or 10</w:t>
      </w:r>
      <w:r w:rsidR="005C41BF" w:rsidRPr="006A71E6">
        <w:t>%</w:t>
      </w:r>
      <w:r w:rsidRPr="006A71E6">
        <w:t xml:space="preserve"> (whichever is higher) of the value of their </w:t>
      </w:r>
      <w:r w:rsidR="00506CA3" w:rsidRPr="006A71E6">
        <w:t xml:space="preserve">quarterly </w:t>
      </w:r>
      <w:r w:rsidRPr="006A71E6">
        <w:t>budget across quarters</w:t>
      </w:r>
      <w:r w:rsidR="00380331" w:rsidRPr="006A71E6">
        <w:t>, if available</w:t>
      </w:r>
      <w:r w:rsidRPr="006A71E6">
        <w:t>.</w:t>
      </w:r>
    </w:p>
    <w:p w14:paraId="3E0ACF0A" w14:textId="5E6809FE" w:rsidR="00970F16" w:rsidRDefault="006A71E6" w:rsidP="00970F16">
      <w:pPr>
        <w:pStyle w:val="Heading2"/>
      </w:pPr>
      <w:r>
        <w:t>Capped prices</w:t>
      </w:r>
    </w:p>
    <w:p w14:paraId="11346DDE" w14:textId="77777777" w:rsidR="00756754" w:rsidRDefault="00970F16" w:rsidP="009C432F">
      <w:pPr>
        <w:sectPr w:rsidR="00756754" w:rsidSect="0075675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007" w:right="851" w:bottom="851" w:left="851" w:header="709" w:footer="709" w:gutter="0"/>
          <w:cols w:space="708"/>
          <w:titlePg/>
          <w:docGrid w:linePitch="360"/>
        </w:sectPr>
      </w:pPr>
      <w:r w:rsidRPr="006A71E6">
        <w:t>Service providers will</w:t>
      </w:r>
      <w:r w:rsidR="00B2037B" w:rsidRPr="006A71E6">
        <w:t xml:space="preserve"> </w:t>
      </w:r>
      <w:r w:rsidR="006D2067" w:rsidRPr="006A71E6">
        <w:t xml:space="preserve">draw down on </w:t>
      </w:r>
      <w:r w:rsidR="00B2037B" w:rsidRPr="006A71E6">
        <w:t>participants</w:t>
      </w:r>
      <w:r w:rsidR="00A52CCA" w:rsidRPr="006A71E6">
        <w:t>’</w:t>
      </w:r>
      <w:r w:rsidR="00B2037B" w:rsidRPr="006A71E6">
        <w:t xml:space="preserve"> budgets after services have been delivered. Prices for each service must not exceed price caps set by the </w:t>
      </w:r>
      <w:r w:rsidR="005C41BF" w:rsidRPr="006A71E6">
        <w:t>g</w:t>
      </w:r>
      <w:r w:rsidR="00B2037B" w:rsidRPr="006A71E6">
        <w:t>overnment</w:t>
      </w:r>
      <w:r w:rsidR="006D2067" w:rsidRPr="006A71E6">
        <w:t xml:space="preserve"> based on the advice of the Independent Health and Aged Care Pricing Authority</w:t>
      </w:r>
      <w:r w:rsidR="00B2037B" w:rsidRPr="006A71E6">
        <w:t>.</w:t>
      </w:r>
    </w:p>
    <w:p w14:paraId="42F0AD9F" w14:textId="4C7720DC" w:rsidR="00970F16" w:rsidRPr="006A71E6" w:rsidRDefault="00970F16" w:rsidP="009C432F"/>
    <w:p w14:paraId="5767D4A5" w14:textId="4F5C6741" w:rsidR="00313187" w:rsidRPr="00677BC9" w:rsidRDefault="00313187" w:rsidP="00C2566C">
      <w:pPr>
        <w:pStyle w:val="Heading2"/>
      </w:pPr>
      <w:r>
        <w:lastRenderedPageBreak/>
        <w:t xml:space="preserve">A focus on independence </w:t>
      </w:r>
      <w:r w:rsidR="000A4A5E">
        <w:t>at home</w:t>
      </w:r>
    </w:p>
    <w:p w14:paraId="35F3B9BA" w14:textId="66D6AD80" w:rsidR="0096704E" w:rsidRDefault="0096704E" w:rsidP="00C2566C">
      <w:pPr>
        <w:pStyle w:val="Heading3"/>
      </w:pPr>
      <w:r>
        <w:t>Assistive Technolog</w:t>
      </w:r>
      <w:r w:rsidR="00756754">
        <w:t>y and Home Modifications Scheme</w:t>
      </w:r>
    </w:p>
    <w:p w14:paraId="42D5C85D" w14:textId="6993E8DD" w:rsidR="00477601" w:rsidRPr="006A71E6" w:rsidRDefault="00477601" w:rsidP="00477601">
      <w:r w:rsidRPr="006A71E6">
        <w:t>Participants will have upfront access to assistive technology and home modifications through a separately funded scheme. This mean</w:t>
      </w:r>
      <w:r w:rsidR="002867BC" w:rsidRPr="006A71E6">
        <w:t>s</w:t>
      </w:r>
      <w:r w:rsidRPr="006A71E6">
        <w:t xml:space="preserve"> </w:t>
      </w:r>
      <w:r w:rsidR="002867BC" w:rsidRPr="006A71E6">
        <w:t xml:space="preserve">people </w:t>
      </w:r>
      <w:r w:rsidRPr="006A71E6">
        <w:t xml:space="preserve">will no longer </w:t>
      </w:r>
      <w:r w:rsidR="002867BC" w:rsidRPr="006A71E6">
        <w:t xml:space="preserve">have </w:t>
      </w:r>
      <w:r w:rsidRPr="006A71E6">
        <w:t xml:space="preserve">to </w:t>
      </w:r>
      <w:r w:rsidR="002867BC" w:rsidRPr="006A71E6">
        <w:t>save their package funds for these supports</w:t>
      </w:r>
      <w:r w:rsidR="006A71E6" w:rsidRPr="006A71E6">
        <w:t>.</w:t>
      </w:r>
    </w:p>
    <w:p w14:paraId="35844D56" w14:textId="04A8E0AC" w:rsidR="001F46D0" w:rsidRPr="006A71E6" w:rsidRDefault="001F46D0" w:rsidP="00477601">
      <w:r w:rsidRPr="006A71E6">
        <w:t xml:space="preserve">The scheme will have a </w:t>
      </w:r>
      <w:r w:rsidR="00794C5E" w:rsidRPr="006A71E6">
        <w:t xml:space="preserve">defined </w:t>
      </w:r>
      <w:r w:rsidRPr="006A71E6">
        <w:t xml:space="preserve">list </w:t>
      </w:r>
      <w:r w:rsidR="00272D86" w:rsidRPr="006A71E6">
        <w:t>of the</w:t>
      </w:r>
      <w:r w:rsidR="00915BC0" w:rsidRPr="006A71E6">
        <w:t xml:space="preserve"> </w:t>
      </w:r>
      <w:r w:rsidR="000C1EA7" w:rsidRPr="006A71E6">
        <w:t>assistive technology</w:t>
      </w:r>
      <w:r w:rsidR="00284947" w:rsidRPr="006A71E6">
        <w:t xml:space="preserve"> and home modifications</w:t>
      </w:r>
      <w:r w:rsidR="000C1EA7" w:rsidRPr="006A71E6">
        <w:t xml:space="preserve"> </w:t>
      </w:r>
      <w:r w:rsidR="00380331" w:rsidRPr="006A71E6">
        <w:t>that can be funded</w:t>
      </w:r>
      <w:r w:rsidR="000C1EA7" w:rsidRPr="006A71E6">
        <w:t>.</w:t>
      </w:r>
    </w:p>
    <w:p w14:paraId="56C89BAC" w14:textId="1FBF95F9" w:rsidR="0096704E" w:rsidRDefault="0096704E" w:rsidP="00C2566C">
      <w:pPr>
        <w:pStyle w:val="Heading3"/>
      </w:pPr>
      <w:r>
        <w:t xml:space="preserve">Restorative </w:t>
      </w:r>
      <w:r w:rsidR="005C41BF">
        <w:t>c</w:t>
      </w:r>
      <w:r>
        <w:t xml:space="preserve">are </w:t>
      </w:r>
      <w:r w:rsidR="005C41BF">
        <w:t>p</w:t>
      </w:r>
      <w:r>
        <w:t>athway</w:t>
      </w:r>
    </w:p>
    <w:p w14:paraId="4EB4CD9B" w14:textId="4506D6AD" w:rsidR="00C838EE" w:rsidRPr="006A71E6" w:rsidRDefault="00C838EE" w:rsidP="00C838EE">
      <w:r w:rsidRPr="006A71E6">
        <w:t>The new</w:t>
      </w:r>
      <w:r w:rsidR="00915BC0" w:rsidRPr="006A71E6">
        <w:t xml:space="preserve"> restorative care</w:t>
      </w:r>
      <w:r w:rsidRPr="006A71E6">
        <w:t xml:space="preserve"> pathway will improve on the Short-Term Restorative Care Programme</w:t>
      </w:r>
      <w:r w:rsidR="00E863DA" w:rsidRPr="006A71E6">
        <w:t xml:space="preserve"> by more than doubling the number of places</w:t>
      </w:r>
      <w:r w:rsidR="00391C2D" w:rsidRPr="006A71E6">
        <w:t>,</w:t>
      </w:r>
      <w:r w:rsidR="00E863DA" w:rsidRPr="006A71E6">
        <w:t xml:space="preserve"> increasing the maximum duration of support</w:t>
      </w:r>
      <w:r w:rsidR="00391C2D" w:rsidRPr="006A71E6">
        <w:t>, and opening access</w:t>
      </w:r>
      <w:r w:rsidR="003311E4" w:rsidRPr="006A71E6">
        <w:t xml:space="preserve"> to</w:t>
      </w:r>
      <w:r w:rsidR="00391C2D" w:rsidRPr="006A71E6">
        <w:t xml:space="preserve"> less complex clients to prevent falls and other injuries before they occur</w:t>
      </w:r>
      <w:r w:rsidRPr="006A71E6">
        <w:t>.</w:t>
      </w:r>
      <w:r w:rsidR="00670A45" w:rsidRPr="006A71E6">
        <w:t xml:space="preserve"> </w:t>
      </w:r>
      <w:r w:rsidRPr="006A71E6">
        <w:t xml:space="preserve">Participants assessed as likely to benefit </w:t>
      </w:r>
      <w:r w:rsidR="005C41BF" w:rsidRPr="006A71E6">
        <w:t>can</w:t>
      </w:r>
      <w:r w:rsidRPr="006A71E6">
        <w:t xml:space="preserve"> receive up to 12 weeks of intensive allied health focused suppor</w:t>
      </w:r>
      <w:r w:rsidR="00670A45" w:rsidRPr="006A71E6">
        <w:t>t to help restore or maintain function</w:t>
      </w:r>
      <w:r w:rsidR="00E863DA" w:rsidRPr="006A71E6">
        <w:t xml:space="preserve">, up from 8 weeks </w:t>
      </w:r>
      <w:r w:rsidR="009A0D63" w:rsidRPr="006A71E6">
        <w:t>currently</w:t>
      </w:r>
      <w:r w:rsidR="006A71E6" w:rsidRPr="006A71E6">
        <w:t>.</w:t>
      </w:r>
    </w:p>
    <w:p w14:paraId="08D0B4BA" w14:textId="3F143B02" w:rsidR="00670A45" w:rsidRPr="006A71E6" w:rsidRDefault="00670A45" w:rsidP="00C838EE">
      <w:r w:rsidRPr="006A71E6">
        <w:t>The pathway</w:t>
      </w:r>
      <w:r w:rsidR="00915BC0" w:rsidRPr="006A71E6">
        <w:t xml:space="preserve"> will</w:t>
      </w:r>
      <w:r w:rsidRPr="006A71E6">
        <w:t xml:space="preserve"> commence with 5</w:t>
      </w:r>
      <w:r w:rsidR="00066618" w:rsidRPr="006A71E6">
        <w:t>,</w:t>
      </w:r>
      <w:r w:rsidRPr="006A71E6">
        <w:t>000 places</w:t>
      </w:r>
      <w:r w:rsidR="009C5893" w:rsidRPr="006A71E6">
        <w:t>, supporting up to 20,000 people a year</w:t>
      </w:r>
      <w:r w:rsidR="00380331" w:rsidRPr="006A71E6">
        <w:t>.</w:t>
      </w:r>
    </w:p>
    <w:p w14:paraId="33925E6B" w14:textId="5EED429D" w:rsidR="00313187" w:rsidRPr="00507E67" w:rsidRDefault="0096704E" w:rsidP="00FF1761">
      <w:pPr>
        <w:pStyle w:val="Heading2"/>
      </w:pPr>
      <w:r w:rsidRPr="00507E67">
        <w:t>End</w:t>
      </w:r>
      <w:r w:rsidR="00380331">
        <w:t xml:space="preserve"> </w:t>
      </w:r>
      <w:r w:rsidRPr="00507E67">
        <w:t>of</w:t>
      </w:r>
      <w:r w:rsidR="00380331">
        <w:t xml:space="preserve"> </w:t>
      </w:r>
      <w:r w:rsidRPr="00507E67">
        <w:t xml:space="preserve">life </w:t>
      </w:r>
      <w:r w:rsidR="00FD24B0">
        <w:t>care</w:t>
      </w:r>
    </w:p>
    <w:p w14:paraId="14A383E1" w14:textId="788362E4" w:rsidR="00FD7715" w:rsidRPr="006A71E6" w:rsidRDefault="00FD7715" w:rsidP="00FD7715">
      <w:r w:rsidRPr="006A71E6">
        <w:t xml:space="preserve">Older people </w:t>
      </w:r>
      <w:r w:rsidR="00380331" w:rsidRPr="006A71E6">
        <w:t xml:space="preserve">with </w:t>
      </w:r>
      <w:r w:rsidRPr="006A71E6">
        <w:t>less than 3</w:t>
      </w:r>
      <w:r w:rsidR="00974317" w:rsidRPr="006A71E6">
        <w:t xml:space="preserve"> </w:t>
      </w:r>
      <w:r w:rsidRPr="006A71E6">
        <w:t>months to live</w:t>
      </w:r>
      <w:r w:rsidR="00915BC0" w:rsidRPr="006A71E6">
        <w:t xml:space="preserve"> and</w:t>
      </w:r>
      <w:r w:rsidRPr="006A71E6">
        <w:t xml:space="preserve"> who wish to stay at home</w:t>
      </w:r>
      <w:r w:rsidR="00AE20F3" w:rsidRPr="006A71E6">
        <w:t>,</w:t>
      </w:r>
      <w:r w:rsidRPr="006A71E6">
        <w:t xml:space="preserve"> will be given priority access t</w:t>
      </w:r>
      <w:r w:rsidR="00F72F9F" w:rsidRPr="006A71E6">
        <w:t>o t</w:t>
      </w:r>
      <w:r w:rsidRPr="006A71E6">
        <w:t xml:space="preserve">he program’s </w:t>
      </w:r>
      <w:r w:rsidR="00974D6C" w:rsidRPr="006A71E6">
        <w:t xml:space="preserve">dedicated </w:t>
      </w:r>
      <w:r w:rsidRPr="006A71E6">
        <w:t>highest funding classification for additional home care services</w:t>
      </w:r>
      <w:r w:rsidR="00D005CB" w:rsidRPr="006A71E6">
        <w:t xml:space="preserve"> ($25,000 for 12 weeks)</w:t>
      </w:r>
      <w:r w:rsidR="006A71E6" w:rsidRPr="006A71E6">
        <w:t>.</w:t>
      </w:r>
    </w:p>
    <w:p w14:paraId="1EE72730" w14:textId="137FCA4F" w:rsidR="00FD7715" w:rsidRPr="006A71E6" w:rsidRDefault="00FD7715" w:rsidP="00FD7715">
      <w:r w:rsidRPr="006A71E6">
        <w:t xml:space="preserve">The pathway will work in conjunction with, not replace, specialised palliative care services such as </w:t>
      </w:r>
      <w:r w:rsidR="001A7917" w:rsidRPr="006A71E6">
        <w:t xml:space="preserve">symptom </w:t>
      </w:r>
      <w:r w:rsidRPr="006A71E6">
        <w:t>manageme</w:t>
      </w:r>
      <w:r w:rsidR="006A71E6" w:rsidRPr="006A71E6">
        <w:t>nt and advanced care planning.</w:t>
      </w:r>
    </w:p>
    <w:p w14:paraId="76E32B27" w14:textId="20526AA8" w:rsidR="00D16254" w:rsidRPr="00507E67" w:rsidRDefault="00936A17" w:rsidP="00FF1761">
      <w:pPr>
        <w:pStyle w:val="Heading2"/>
      </w:pPr>
      <w:r w:rsidRPr="00507E67">
        <w:t>S</w:t>
      </w:r>
      <w:r w:rsidR="006E00C2" w:rsidRPr="00507E67">
        <w:t>upport for thin markets</w:t>
      </w:r>
    </w:p>
    <w:p w14:paraId="7B82AEC6" w14:textId="54181DFC" w:rsidR="00640270" w:rsidRPr="006A71E6" w:rsidRDefault="00936A17" w:rsidP="00D95996">
      <w:r w:rsidRPr="006A71E6">
        <w:t xml:space="preserve">Grant funding will be available to help service providers in thin markets such as rural and remote locations or </w:t>
      </w:r>
      <w:r w:rsidR="00F72F9F" w:rsidRPr="006A71E6">
        <w:t>providers</w:t>
      </w:r>
      <w:r w:rsidR="00EC6923" w:rsidRPr="006A71E6">
        <w:t xml:space="preserve"> focused on</w:t>
      </w:r>
      <w:r w:rsidRPr="006A71E6">
        <w:t xml:space="preserve"> supporting divers</w:t>
      </w:r>
      <w:r w:rsidR="00EC6923" w:rsidRPr="006A71E6">
        <w:t>e</w:t>
      </w:r>
      <w:r w:rsidR="006A71E6" w:rsidRPr="006A71E6">
        <w:t xml:space="preserve"> groups.</w:t>
      </w:r>
    </w:p>
    <w:p w14:paraId="2650995E" w14:textId="75C2E58A" w:rsidR="00434B1D" w:rsidRDefault="006A71E6" w:rsidP="00FF1761">
      <w:pPr>
        <w:pStyle w:val="Heading2"/>
      </w:pPr>
      <w:r>
        <w:t>Flexible care management</w:t>
      </w:r>
    </w:p>
    <w:p w14:paraId="58648869" w14:textId="456BE0F2" w:rsidR="00A01E63" w:rsidRPr="006A71E6" w:rsidRDefault="0023388F" w:rsidP="00D95996">
      <w:r w:rsidRPr="006A71E6">
        <w:t>Service providers will draw down 10% of participants</w:t>
      </w:r>
      <w:r w:rsidR="00D005CB" w:rsidRPr="006A71E6">
        <w:t>’</w:t>
      </w:r>
      <w:r w:rsidRPr="006A71E6">
        <w:t xml:space="preserve"> budget</w:t>
      </w:r>
      <w:r w:rsidR="00A52CCA" w:rsidRPr="006A71E6">
        <w:t>s</w:t>
      </w:r>
      <w:r w:rsidRPr="006A71E6">
        <w:t xml:space="preserve"> for care management, to be delivered by care partners. Care partners will ensure </w:t>
      </w:r>
      <w:r w:rsidR="0026418C" w:rsidRPr="006A71E6">
        <w:t>services meet participants’ needs and support their</w:t>
      </w:r>
      <w:r w:rsidR="00AC7623" w:rsidRPr="006A71E6">
        <w:t xml:space="preserve"> wellbeing. </w:t>
      </w:r>
      <w:r w:rsidR="0026418C" w:rsidRPr="006A71E6">
        <w:t xml:space="preserve">Care management </w:t>
      </w:r>
      <w:r w:rsidR="00D0451E" w:rsidRPr="006A71E6">
        <w:t xml:space="preserve">support </w:t>
      </w:r>
      <w:r w:rsidR="0026418C" w:rsidRPr="006A71E6">
        <w:t xml:space="preserve">may increase or decrease as needs change. For example, a </w:t>
      </w:r>
      <w:r w:rsidR="00D95996" w:rsidRPr="006A71E6">
        <w:t>participant may seek</w:t>
      </w:r>
      <w:r w:rsidR="0026418C" w:rsidRPr="006A71E6">
        <w:t xml:space="preserve"> more support</w:t>
      </w:r>
      <w:r w:rsidR="00D95996" w:rsidRPr="006A71E6">
        <w:t xml:space="preserve"> from their care partner after an event such as a hospi</w:t>
      </w:r>
      <w:r w:rsidR="006A71E6" w:rsidRPr="006A71E6">
        <w:t>talisation.</w:t>
      </w:r>
    </w:p>
    <w:p w14:paraId="2933ADDF" w14:textId="340E6D0E" w:rsidR="005F0971" w:rsidRPr="006A71E6" w:rsidRDefault="00D95996" w:rsidP="00A01E63">
      <w:r w:rsidRPr="006A71E6">
        <w:t>Service provider</w:t>
      </w:r>
      <w:r w:rsidR="00053AA7" w:rsidRPr="006A71E6">
        <w:t>s</w:t>
      </w:r>
      <w:r w:rsidR="005F0971" w:rsidRPr="006A71E6">
        <w:t xml:space="preserve"> </w:t>
      </w:r>
      <w:r w:rsidRPr="006A71E6">
        <w:t xml:space="preserve">will have access to additional funding </w:t>
      </w:r>
      <w:r w:rsidR="005C41BF" w:rsidRPr="006A71E6">
        <w:t>for</w:t>
      </w:r>
      <w:r w:rsidRPr="006A71E6">
        <w:t xml:space="preserve"> </w:t>
      </w:r>
      <w:r w:rsidR="002D5690" w:rsidRPr="006A71E6">
        <w:t xml:space="preserve">some </w:t>
      </w:r>
      <w:r w:rsidRPr="006A71E6">
        <w:t xml:space="preserve">participants </w:t>
      </w:r>
      <w:r w:rsidR="005C41BF" w:rsidRPr="006A71E6">
        <w:t xml:space="preserve">such as </w:t>
      </w:r>
      <w:r w:rsidR="00053AA7" w:rsidRPr="006A71E6">
        <w:t>First Nations</w:t>
      </w:r>
      <w:r w:rsidR="005C41BF" w:rsidRPr="006A71E6">
        <w:t xml:space="preserve"> peoples</w:t>
      </w:r>
      <w:r w:rsidR="00053AA7" w:rsidRPr="006A71E6">
        <w:t>,</w:t>
      </w:r>
      <w:r w:rsidR="00066618" w:rsidRPr="006A71E6">
        <w:t xml:space="preserve"> </w:t>
      </w:r>
      <w:r w:rsidR="005C41BF" w:rsidRPr="006A71E6">
        <w:t xml:space="preserve">people </w:t>
      </w:r>
      <w:r w:rsidR="00066618" w:rsidRPr="006A71E6">
        <w:t>experiencing</w:t>
      </w:r>
      <w:r w:rsidR="00053AA7" w:rsidRPr="006A71E6">
        <w:t xml:space="preserve"> homelessness</w:t>
      </w:r>
      <w:r w:rsidR="00C60C3E" w:rsidRPr="006A71E6">
        <w:t xml:space="preserve"> </w:t>
      </w:r>
      <w:r w:rsidR="00066618" w:rsidRPr="006A71E6">
        <w:t>or at</w:t>
      </w:r>
      <w:r w:rsidR="00C60C3E" w:rsidRPr="006A71E6">
        <w:t xml:space="preserve"> risk of homelessn</w:t>
      </w:r>
      <w:r w:rsidR="00D44E72" w:rsidRPr="006A71E6">
        <w:t xml:space="preserve">ess, </w:t>
      </w:r>
      <w:r w:rsidR="006A71E6" w:rsidRPr="006A71E6">
        <w:t>and veterans.</w:t>
      </w:r>
    </w:p>
    <w:p w14:paraId="6EBF2374" w14:textId="15816C94" w:rsidR="00913C74" w:rsidRDefault="00913C74" w:rsidP="00913C74">
      <w:pPr>
        <w:pStyle w:val="Heading2"/>
      </w:pPr>
      <w:r>
        <w:t>Participant contributions framework</w:t>
      </w:r>
    </w:p>
    <w:p w14:paraId="6E77D6B8" w14:textId="390141EB" w:rsidR="008F42FB" w:rsidRPr="006A71E6" w:rsidRDefault="00686F4B" w:rsidP="008F42FB">
      <w:r w:rsidRPr="006A71E6">
        <w:t>Under Support at Home, participants will contribut</w:t>
      </w:r>
      <w:r w:rsidR="00E3559B" w:rsidRPr="006A71E6">
        <w:t>e towards the cost of</w:t>
      </w:r>
      <w:r w:rsidRPr="006A71E6">
        <w:t xml:space="preserve"> </w:t>
      </w:r>
      <w:r w:rsidR="002D5690" w:rsidRPr="006A71E6">
        <w:t xml:space="preserve">some </w:t>
      </w:r>
      <w:r w:rsidR="00BA1C98" w:rsidRPr="006A71E6">
        <w:t xml:space="preserve">assessed </w:t>
      </w:r>
      <w:r w:rsidRPr="006A71E6">
        <w:t>services</w:t>
      </w:r>
      <w:r w:rsidR="000E2D23" w:rsidRPr="006A71E6">
        <w:t xml:space="preserve">, while </w:t>
      </w:r>
      <w:r w:rsidR="002D5690" w:rsidRPr="006A71E6">
        <w:t xml:space="preserve">other </w:t>
      </w:r>
      <w:r w:rsidR="000E2D23" w:rsidRPr="006A71E6">
        <w:t>services will be free of charge</w:t>
      </w:r>
      <w:r w:rsidRPr="006A71E6">
        <w:t xml:space="preserve">. </w:t>
      </w:r>
      <w:r w:rsidR="000E2D23" w:rsidRPr="006A71E6">
        <w:t xml:space="preserve">These contributions will only be paid for services that have been delivered. </w:t>
      </w:r>
      <w:r w:rsidR="008F42FB" w:rsidRPr="006A71E6">
        <w:t xml:space="preserve">Contribution rates will vary by the type of service received and the participant’s income and assets. The Age Pension means test will be used to determine </w:t>
      </w:r>
      <w:r w:rsidR="008F42FB" w:rsidRPr="006A71E6">
        <w:lastRenderedPageBreak/>
        <w:t>the means tested percentage contribution</w:t>
      </w:r>
      <w:r w:rsidR="002D3E82" w:rsidRPr="006A71E6">
        <w:t>, and Commonwealth Seniors Health Card holders will pay lower contributions than other self-funded retirees</w:t>
      </w:r>
      <w:r w:rsidR="008F42FB" w:rsidRPr="006A71E6">
        <w:t>.</w:t>
      </w:r>
    </w:p>
    <w:p w14:paraId="713EDAD3" w14:textId="2854C4AC" w:rsidR="003062E0" w:rsidRDefault="00066618" w:rsidP="003062E0">
      <w:pPr>
        <w:pStyle w:val="Heading3"/>
      </w:pPr>
      <w:r>
        <w:t>C</w:t>
      </w:r>
      <w:r w:rsidR="003062E0">
        <w:t>ontribution</w:t>
      </w:r>
      <w:r>
        <w:t>s based on services received</w:t>
      </w:r>
      <w:r w:rsidR="0058395B">
        <w:t xml:space="preserve"> and </w:t>
      </w:r>
      <w:r w:rsidR="008F42FB">
        <w:t>the income and assets of the participant</w:t>
      </w:r>
    </w:p>
    <w:p w14:paraId="6E1423E3" w14:textId="3C065B3E" w:rsidR="00686F4B" w:rsidRPr="006A71E6" w:rsidRDefault="00686F4B" w:rsidP="00272D86">
      <w:r w:rsidRPr="006A71E6">
        <w:t>The Support at Home program will focus government funding on care needs that will help participants to remain at home and avoid hospitalisations, with participants making a greater contribution towards items they have paid or provided for themselves their entire lives.</w:t>
      </w:r>
    </w:p>
    <w:p w14:paraId="6D90EC8D" w14:textId="7CBCF377" w:rsidR="0058395B" w:rsidRPr="006A71E6" w:rsidRDefault="00507E67" w:rsidP="00272D86">
      <w:r w:rsidRPr="006A71E6">
        <w:t>C</w:t>
      </w:r>
      <w:r w:rsidR="00284C2B" w:rsidRPr="006A71E6">
        <w:t>ontribution</w:t>
      </w:r>
      <w:r w:rsidR="00C217CA" w:rsidRPr="006A71E6">
        <w:t xml:space="preserve"> </w:t>
      </w:r>
      <w:r w:rsidRPr="006A71E6">
        <w:t xml:space="preserve">rates </w:t>
      </w:r>
      <w:r w:rsidR="00C217CA" w:rsidRPr="006A71E6">
        <w:t>will be set as a percentage of</w:t>
      </w:r>
      <w:r w:rsidRPr="006A71E6">
        <w:t xml:space="preserve"> the price of </w:t>
      </w:r>
      <w:r w:rsidR="00686F4B" w:rsidRPr="006A71E6">
        <w:t>each service</w:t>
      </w:r>
      <w:r w:rsidR="00C217CA" w:rsidRPr="006A71E6">
        <w:t xml:space="preserve">. </w:t>
      </w:r>
      <w:r w:rsidR="00DB758D" w:rsidRPr="006A71E6">
        <w:t xml:space="preserve">This means a participant will pay </w:t>
      </w:r>
      <w:r w:rsidR="00960E0F" w:rsidRPr="006A71E6">
        <w:t xml:space="preserve">an </w:t>
      </w:r>
      <w:r w:rsidR="00DB758D" w:rsidRPr="006A71E6">
        <w:t>amount set by the</w:t>
      </w:r>
      <w:r w:rsidR="00960E0F" w:rsidRPr="006A71E6">
        <w:t>ir</w:t>
      </w:r>
      <w:r w:rsidR="00DB758D" w:rsidRPr="006A71E6">
        <w:t xml:space="preserve"> percentage </w:t>
      </w:r>
      <w:r w:rsidR="00960E0F" w:rsidRPr="006A71E6">
        <w:t xml:space="preserve">contribution rate, </w:t>
      </w:r>
      <w:r w:rsidR="00DB758D" w:rsidRPr="006A71E6">
        <w:t xml:space="preserve">and the government will pay the remainder of the price as a subsidy to the provider. </w:t>
      </w:r>
      <w:r w:rsidR="00C217CA" w:rsidRPr="006A71E6">
        <w:t>The rate</w:t>
      </w:r>
      <w:r w:rsidR="00686F4B" w:rsidRPr="006A71E6">
        <w:t xml:space="preserve"> </w:t>
      </w:r>
      <w:r w:rsidR="00284C2B" w:rsidRPr="006A71E6">
        <w:t>will</w:t>
      </w:r>
      <w:r w:rsidR="00C2566C" w:rsidRPr="006A71E6">
        <w:t xml:space="preserve"> be based on the</w:t>
      </w:r>
      <w:r w:rsidR="0058395B" w:rsidRPr="006A71E6">
        <w:t xml:space="preserve"> type of</w:t>
      </w:r>
      <w:r w:rsidR="00C2566C" w:rsidRPr="006A71E6">
        <w:t xml:space="preserve"> service received</w:t>
      </w:r>
      <w:r w:rsidR="006A71E6" w:rsidRPr="006A71E6">
        <w:t>:</w:t>
      </w:r>
    </w:p>
    <w:p w14:paraId="6D37D983" w14:textId="4BFBBFEF" w:rsidR="0058395B" w:rsidRPr="006A71E6" w:rsidRDefault="0058395B" w:rsidP="002B507C">
      <w:pPr>
        <w:pStyle w:val="ListParagraph"/>
        <w:numPr>
          <w:ilvl w:val="0"/>
          <w:numId w:val="30"/>
        </w:numPr>
      </w:pPr>
      <w:r w:rsidRPr="006A71E6">
        <w:t xml:space="preserve">There will be no contribution for services in the Clinical </w:t>
      </w:r>
      <w:r w:rsidR="008551FF" w:rsidRPr="006A71E6">
        <w:t>category</w:t>
      </w:r>
      <w:r w:rsidRPr="006A71E6">
        <w:t xml:space="preserve"> (e.g. nursing and physiotherapy), with </w:t>
      </w:r>
      <w:r w:rsidR="00BA1C98" w:rsidRPr="006A71E6">
        <w:t xml:space="preserve">assessed </w:t>
      </w:r>
      <w:r w:rsidRPr="006A71E6">
        <w:t>clinical care</w:t>
      </w:r>
      <w:r w:rsidR="00BA1C98" w:rsidRPr="006A71E6">
        <w:t xml:space="preserve"> needs</w:t>
      </w:r>
      <w:r w:rsidRPr="006A71E6">
        <w:t xml:space="preserve"> to be fully funded by government across the whole aged care system.</w:t>
      </w:r>
    </w:p>
    <w:p w14:paraId="472A2A2A" w14:textId="0B77A8DE" w:rsidR="008551FF" w:rsidRPr="006A71E6" w:rsidRDefault="008551FF" w:rsidP="002B507C">
      <w:pPr>
        <w:pStyle w:val="ListParagraph"/>
        <w:numPr>
          <w:ilvl w:val="0"/>
          <w:numId w:val="30"/>
        </w:numPr>
      </w:pPr>
      <w:r w:rsidRPr="006A71E6">
        <w:t>Contributions for services in the Independence category (e.g. personal care) will be moderate, recognising that many of the services in this group play an important role in keeping people out of hosp</w:t>
      </w:r>
      <w:r w:rsidR="00756754">
        <w:t>ital and residential aged care.</w:t>
      </w:r>
    </w:p>
    <w:p w14:paraId="217EB284" w14:textId="7777F9D8" w:rsidR="008F42FB" w:rsidRPr="006A71E6" w:rsidRDefault="008551FF" w:rsidP="008F42FB">
      <w:pPr>
        <w:pStyle w:val="ListParagraph"/>
        <w:numPr>
          <w:ilvl w:val="0"/>
          <w:numId w:val="30"/>
        </w:numPr>
      </w:pPr>
      <w:r w:rsidRPr="006A71E6">
        <w:t>Everyday living services (e.g. domestic assistance and gardening) will attract the highest contribution rates, recognising that the government does not typically fund these</w:t>
      </w:r>
      <w:r w:rsidR="008147D4" w:rsidRPr="006A71E6">
        <w:t xml:space="preserve"> services</w:t>
      </w:r>
      <w:r w:rsidRPr="006A71E6">
        <w:t xml:space="preserve"> for any individual at other stages of life</w:t>
      </w:r>
      <w:r w:rsidR="003062E0" w:rsidRPr="006A71E6">
        <w:t>.</w:t>
      </w:r>
    </w:p>
    <w:p w14:paraId="009F52F9" w14:textId="6567F926" w:rsidR="00B02661" w:rsidRPr="006A71E6" w:rsidRDefault="008F42FB" w:rsidP="008F42FB">
      <w:r w:rsidRPr="006A71E6">
        <w:t>How much someone contributes to their supports for independence and everyday living will be based on their income and assets. The percentage contribution to the cost of services will be:</w:t>
      </w:r>
    </w:p>
    <w:tbl>
      <w:tblPr>
        <w:tblStyle w:val="GridTable1Light"/>
        <w:tblW w:w="0" w:type="auto"/>
        <w:tblLook w:val="04A0" w:firstRow="1" w:lastRow="0" w:firstColumn="1" w:lastColumn="0" w:noHBand="0" w:noVBand="1"/>
        <w:tblCaption w:val="Contribution table based on income and assets"/>
      </w:tblPr>
      <w:tblGrid>
        <w:gridCol w:w="3623"/>
        <w:gridCol w:w="1760"/>
        <w:gridCol w:w="1854"/>
        <w:gridCol w:w="2828"/>
      </w:tblGrid>
      <w:tr w:rsidR="006A71E6" w:rsidRPr="006A71E6" w14:paraId="0374FAB5" w14:textId="77777777" w:rsidTr="004A3FDC">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3623" w:type="dxa"/>
          </w:tcPr>
          <w:p w14:paraId="3BF00E2C" w14:textId="77777777" w:rsidR="006A71E6" w:rsidRPr="006A71E6" w:rsidRDefault="006A71E6" w:rsidP="006A71E6"/>
        </w:tc>
        <w:tc>
          <w:tcPr>
            <w:tcW w:w="1760" w:type="dxa"/>
            <w:hideMark/>
          </w:tcPr>
          <w:p w14:paraId="035C81E8" w14:textId="77777777" w:rsidR="006A71E6" w:rsidRPr="006A71E6" w:rsidRDefault="006A71E6" w:rsidP="006A71E6">
            <w:pPr>
              <w:cnfStyle w:val="100000000000" w:firstRow="1" w:lastRow="0" w:firstColumn="0" w:lastColumn="0" w:oddVBand="0" w:evenVBand="0" w:oddHBand="0" w:evenHBand="0" w:firstRowFirstColumn="0" w:firstRowLastColumn="0" w:lastRowFirstColumn="0" w:lastRowLastColumn="0"/>
              <w:rPr>
                <w:szCs w:val="18"/>
              </w:rPr>
            </w:pPr>
            <w:r w:rsidRPr="006A71E6">
              <w:rPr>
                <w:szCs w:val="18"/>
              </w:rPr>
              <w:t>Clinical care</w:t>
            </w:r>
          </w:p>
        </w:tc>
        <w:tc>
          <w:tcPr>
            <w:tcW w:w="1854" w:type="dxa"/>
            <w:hideMark/>
          </w:tcPr>
          <w:p w14:paraId="0EF0658B" w14:textId="77777777" w:rsidR="006A71E6" w:rsidRPr="006A71E6" w:rsidRDefault="006A71E6" w:rsidP="006A71E6">
            <w:pPr>
              <w:cnfStyle w:val="100000000000" w:firstRow="1" w:lastRow="0" w:firstColumn="0" w:lastColumn="0" w:oddVBand="0" w:evenVBand="0" w:oddHBand="0" w:evenHBand="0" w:firstRowFirstColumn="0" w:firstRowLastColumn="0" w:lastRowFirstColumn="0" w:lastRowLastColumn="0"/>
              <w:rPr>
                <w:szCs w:val="18"/>
              </w:rPr>
            </w:pPr>
            <w:r w:rsidRPr="006A71E6">
              <w:rPr>
                <w:szCs w:val="18"/>
              </w:rPr>
              <w:t>Independence</w:t>
            </w:r>
          </w:p>
        </w:tc>
        <w:tc>
          <w:tcPr>
            <w:tcW w:w="2828" w:type="dxa"/>
            <w:hideMark/>
          </w:tcPr>
          <w:p w14:paraId="37744B2E" w14:textId="77777777" w:rsidR="006A71E6" w:rsidRPr="006A71E6" w:rsidRDefault="006A71E6" w:rsidP="006A71E6">
            <w:pPr>
              <w:cnfStyle w:val="100000000000" w:firstRow="1" w:lastRow="0" w:firstColumn="0" w:lastColumn="0" w:oddVBand="0" w:evenVBand="0" w:oddHBand="0" w:evenHBand="0" w:firstRowFirstColumn="0" w:firstRowLastColumn="0" w:lastRowFirstColumn="0" w:lastRowLastColumn="0"/>
              <w:rPr>
                <w:szCs w:val="18"/>
              </w:rPr>
            </w:pPr>
            <w:r w:rsidRPr="006A71E6">
              <w:rPr>
                <w:szCs w:val="18"/>
              </w:rPr>
              <w:t>Everyday living</w:t>
            </w:r>
          </w:p>
        </w:tc>
      </w:tr>
      <w:tr w:rsidR="006A71E6" w:rsidRPr="006A71E6" w14:paraId="5E8C0DD6" w14:textId="77777777" w:rsidTr="00B5707D">
        <w:trPr>
          <w:trHeight w:val="283"/>
        </w:trPr>
        <w:tc>
          <w:tcPr>
            <w:cnfStyle w:val="001000000000" w:firstRow="0" w:lastRow="0" w:firstColumn="1" w:lastColumn="0" w:oddVBand="0" w:evenVBand="0" w:oddHBand="0" w:evenHBand="0" w:firstRowFirstColumn="0" w:firstRowLastColumn="0" w:lastRowFirstColumn="0" w:lastRowLastColumn="0"/>
            <w:tcW w:w="3623" w:type="dxa"/>
            <w:hideMark/>
          </w:tcPr>
          <w:p w14:paraId="39C2A0CF" w14:textId="77777777" w:rsidR="006A71E6" w:rsidRPr="006A71E6" w:rsidRDefault="006A71E6" w:rsidP="006A71E6">
            <w:pPr>
              <w:rPr>
                <w:szCs w:val="18"/>
              </w:rPr>
            </w:pPr>
            <w:r w:rsidRPr="006A71E6">
              <w:rPr>
                <w:szCs w:val="18"/>
              </w:rPr>
              <w:t>Full pensioner</w:t>
            </w:r>
          </w:p>
        </w:tc>
        <w:tc>
          <w:tcPr>
            <w:tcW w:w="1760" w:type="dxa"/>
            <w:hideMark/>
          </w:tcPr>
          <w:p w14:paraId="7AA001BB" w14:textId="77777777" w:rsidR="006A71E6" w:rsidRPr="006A71E6" w:rsidRDefault="006A71E6" w:rsidP="006A71E6">
            <w:pPr>
              <w:cnfStyle w:val="000000000000" w:firstRow="0" w:lastRow="0" w:firstColumn="0" w:lastColumn="0" w:oddVBand="0" w:evenVBand="0" w:oddHBand="0" w:evenHBand="0" w:firstRowFirstColumn="0" w:firstRowLastColumn="0" w:lastRowFirstColumn="0" w:lastRowLastColumn="0"/>
              <w:rPr>
                <w:szCs w:val="18"/>
              </w:rPr>
            </w:pPr>
            <w:r w:rsidRPr="006A71E6">
              <w:rPr>
                <w:szCs w:val="18"/>
              </w:rPr>
              <w:t>0%</w:t>
            </w:r>
          </w:p>
        </w:tc>
        <w:tc>
          <w:tcPr>
            <w:tcW w:w="1854" w:type="dxa"/>
            <w:hideMark/>
          </w:tcPr>
          <w:p w14:paraId="676F6FA6" w14:textId="77777777" w:rsidR="006A71E6" w:rsidRPr="006A71E6" w:rsidRDefault="006A71E6" w:rsidP="006A71E6">
            <w:pPr>
              <w:cnfStyle w:val="000000000000" w:firstRow="0" w:lastRow="0" w:firstColumn="0" w:lastColumn="0" w:oddVBand="0" w:evenVBand="0" w:oddHBand="0" w:evenHBand="0" w:firstRowFirstColumn="0" w:firstRowLastColumn="0" w:lastRowFirstColumn="0" w:lastRowLastColumn="0"/>
              <w:rPr>
                <w:szCs w:val="18"/>
              </w:rPr>
            </w:pPr>
            <w:r w:rsidRPr="006A71E6">
              <w:rPr>
                <w:szCs w:val="18"/>
              </w:rPr>
              <w:t>5%</w:t>
            </w:r>
          </w:p>
        </w:tc>
        <w:tc>
          <w:tcPr>
            <w:tcW w:w="2828" w:type="dxa"/>
            <w:hideMark/>
          </w:tcPr>
          <w:p w14:paraId="391B11F1" w14:textId="77777777" w:rsidR="006A71E6" w:rsidRPr="006A71E6" w:rsidRDefault="006A71E6" w:rsidP="006A71E6">
            <w:pPr>
              <w:cnfStyle w:val="000000000000" w:firstRow="0" w:lastRow="0" w:firstColumn="0" w:lastColumn="0" w:oddVBand="0" w:evenVBand="0" w:oddHBand="0" w:evenHBand="0" w:firstRowFirstColumn="0" w:firstRowLastColumn="0" w:lastRowFirstColumn="0" w:lastRowLastColumn="0"/>
              <w:rPr>
                <w:szCs w:val="18"/>
              </w:rPr>
            </w:pPr>
            <w:r w:rsidRPr="006A71E6">
              <w:rPr>
                <w:szCs w:val="18"/>
              </w:rPr>
              <w:t>17.5%</w:t>
            </w:r>
          </w:p>
        </w:tc>
      </w:tr>
      <w:tr w:rsidR="006A71E6" w:rsidRPr="006A71E6" w14:paraId="4F914AB0" w14:textId="77777777" w:rsidTr="00B5707D">
        <w:trPr>
          <w:trHeight w:val="283"/>
        </w:trPr>
        <w:tc>
          <w:tcPr>
            <w:cnfStyle w:val="001000000000" w:firstRow="0" w:lastRow="0" w:firstColumn="1" w:lastColumn="0" w:oddVBand="0" w:evenVBand="0" w:oddHBand="0" w:evenHBand="0" w:firstRowFirstColumn="0" w:firstRowLastColumn="0" w:lastRowFirstColumn="0" w:lastRowLastColumn="0"/>
            <w:tcW w:w="3623" w:type="dxa"/>
            <w:hideMark/>
          </w:tcPr>
          <w:p w14:paraId="3DFBA8ED" w14:textId="77777777" w:rsidR="006A71E6" w:rsidRPr="006A71E6" w:rsidRDefault="006A71E6" w:rsidP="006A71E6">
            <w:pPr>
              <w:rPr>
                <w:szCs w:val="18"/>
              </w:rPr>
            </w:pPr>
            <w:r w:rsidRPr="006A71E6">
              <w:rPr>
                <w:szCs w:val="18"/>
              </w:rPr>
              <w:t>Part pensioner and Commonwealth seniors health card eligible</w:t>
            </w:r>
          </w:p>
        </w:tc>
        <w:tc>
          <w:tcPr>
            <w:tcW w:w="1760" w:type="dxa"/>
            <w:hideMark/>
          </w:tcPr>
          <w:p w14:paraId="7A8C724C" w14:textId="77777777" w:rsidR="006A71E6" w:rsidRPr="006A71E6" w:rsidRDefault="006A71E6" w:rsidP="006A71E6">
            <w:pPr>
              <w:cnfStyle w:val="000000000000" w:firstRow="0" w:lastRow="0" w:firstColumn="0" w:lastColumn="0" w:oddVBand="0" w:evenVBand="0" w:oddHBand="0" w:evenHBand="0" w:firstRowFirstColumn="0" w:firstRowLastColumn="0" w:lastRowFirstColumn="0" w:lastRowLastColumn="0"/>
              <w:rPr>
                <w:szCs w:val="18"/>
              </w:rPr>
            </w:pPr>
            <w:r w:rsidRPr="006A71E6">
              <w:rPr>
                <w:szCs w:val="18"/>
              </w:rPr>
              <w:t>0%</w:t>
            </w:r>
          </w:p>
        </w:tc>
        <w:tc>
          <w:tcPr>
            <w:tcW w:w="1854" w:type="dxa"/>
            <w:hideMark/>
          </w:tcPr>
          <w:p w14:paraId="7909C484" w14:textId="77777777" w:rsidR="006A71E6" w:rsidRPr="006A71E6" w:rsidRDefault="006A71E6" w:rsidP="006A71E6">
            <w:pPr>
              <w:cnfStyle w:val="000000000000" w:firstRow="0" w:lastRow="0" w:firstColumn="0" w:lastColumn="0" w:oddVBand="0" w:evenVBand="0" w:oddHBand="0" w:evenHBand="0" w:firstRowFirstColumn="0" w:firstRowLastColumn="0" w:lastRowFirstColumn="0" w:lastRowLastColumn="0"/>
              <w:rPr>
                <w:szCs w:val="18"/>
              </w:rPr>
            </w:pPr>
            <w:r w:rsidRPr="006A71E6">
              <w:rPr>
                <w:szCs w:val="18"/>
              </w:rPr>
              <w:t>Between 5% and 50% depending on income and assets</w:t>
            </w:r>
          </w:p>
        </w:tc>
        <w:tc>
          <w:tcPr>
            <w:tcW w:w="2828" w:type="dxa"/>
            <w:hideMark/>
          </w:tcPr>
          <w:p w14:paraId="06C50659" w14:textId="77777777" w:rsidR="006A71E6" w:rsidRPr="006A71E6" w:rsidRDefault="006A71E6" w:rsidP="006A71E6">
            <w:pPr>
              <w:cnfStyle w:val="000000000000" w:firstRow="0" w:lastRow="0" w:firstColumn="0" w:lastColumn="0" w:oddVBand="0" w:evenVBand="0" w:oddHBand="0" w:evenHBand="0" w:firstRowFirstColumn="0" w:firstRowLastColumn="0" w:lastRowFirstColumn="0" w:lastRowLastColumn="0"/>
              <w:rPr>
                <w:szCs w:val="18"/>
              </w:rPr>
            </w:pPr>
            <w:r w:rsidRPr="006A71E6">
              <w:rPr>
                <w:szCs w:val="18"/>
              </w:rPr>
              <w:t>Between 17.5% and 80% depending on income and assets</w:t>
            </w:r>
          </w:p>
        </w:tc>
      </w:tr>
      <w:tr w:rsidR="006A71E6" w:rsidRPr="006A71E6" w14:paraId="6E248010" w14:textId="77777777" w:rsidTr="00B5707D">
        <w:trPr>
          <w:trHeight w:val="283"/>
        </w:trPr>
        <w:tc>
          <w:tcPr>
            <w:cnfStyle w:val="001000000000" w:firstRow="0" w:lastRow="0" w:firstColumn="1" w:lastColumn="0" w:oddVBand="0" w:evenVBand="0" w:oddHBand="0" w:evenHBand="0" w:firstRowFirstColumn="0" w:firstRowLastColumn="0" w:lastRowFirstColumn="0" w:lastRowLastColumn="0"/>
            <w:tcW w:w="3623" w:type="dxa"/>
            <w:hideMark/>
          </w:tcPr>
          <w:p w14:paraId="13EB3149" w14:textId="77777777" w:rsidR="006A71E6" w:rsidRPr="006A71E6" w:rsidRDefault="006A71E6" w:rsidP="006A71E6">
            <w:pPr>
              <w:rPr>
                <w:szCs w:val="18"/>
              </w:rPr>
            </w:pPr>
            <w:r w:rsidRPr="006A71E6">
              <w:rPr>
                <w:szCs w:val="18"/>
              </w:rPr>
              <w:t>Self-funded retiree</w:t>
            </w:r>
          </w:p>
        </w:tc>
        <w:tc>
          <w:tcPr>
            <w:tcW w:w="1760" w:type="dxa"/>
            <w:hideMark/>
          </w:tcPr>
          <w:p w14:paraId="40CE6DD9" w14:textId="77777777" w:rsidR="006A71E6" w:rsidRPr="006A71E6" w:rsidRDefault="006A71E6" w:rsidP="006A71E6">
            <w:pPr>
              <w:cnfStyle w:val="000000000000" w:firstRow="0" w:lastRow="0" w:firstColumn="0" w:lastColumn="0" w:oddVBand="0" w:evenVBand="0" w:oddHBand="0" w:evenHBand="0" w:firstRowFirstColumn="0" w:firstRowLastColumn="0" w:lastRowFirstColumn="0" w:lastRowLastColumn="0"/>
              <w:rPr>
                <w:szCs w:val="18"/>
              </w:rPr>
            </w:pPr>
            <w:r w:rsidRPr="006A71E6">
              <w:rPr>
                <w:szCs w:val="18"/>
              </w:rPr>
              <w:t>0%</w:t>
            </w:r>
          </w:p>
        </w:tc>
        <w:tc>
          <w:tcPr>
            <w:tcW w:w="1854" w:type="dxa"/>
            <w:hideMark/>
          </w:tcPr>
          <w:p w14:paraId="4A58FDBD" w14:textId="77777777" w:rsidR="006A71E6" w:rsidRPr="006A71E6" w:rsidRDefault="006A71E6" w:rsidP="006A71E6">
            <w:pPr>
              <w:cnfStyle w:val="000000000000" w:firstRow="0" w:lastRow="0" w:firstColumn="0" w:lastColumn="0" w:oddVBand="0" w:evenVBand="0" w:oddHBand="0" w:evenHBand="0" w:firstRowFirstColumn="0" w:firstRowLastColumn="0" w:lastRowFirstColumn="0" w:lastRowLastColumn="0"/>
              <w:rPr>
                <w:szCs w:val="18"/>
              </w:rPr>
            </w:pPr>
            <w:r w:rsidRPr="006A71E6">
              <w:rPr>
                <w:szCs w:val="18"/>
              </w:rPr>
              <w:t>50%</w:t>
            </w:r>
          </w:p>
        </w:tc>
        <w:tc>
          <w:tcPr>
            <w:tcW w:w="2828" w:type="dxa"/>
            <w:hideMark/>
          </w:tcPr>
          <w:p w14:paraId="530B28AE" w14:textId="77777777" w:rsidR="006A71E6" w:rsidRPr="006A71E6" w:rsidRDefault="006A71E6" w:rsidP="006A71E6">
            <w:pPr>
              <w:cnfStyle w:val="000000000000" w:firstRow="0" w:lastRow="0" w:firstColumn="0" w:lastColumn="0" w:oddVBand="0" w:evenVBand="0" w:oddHBand="0" w:evenHBand="0" w:firstRowFirstColumn="0" w:firstRowLastColumn="0" w:lastRowFirstColumn="0" w:lastRowLastColumn="0"/>
              <w:rPr>
                <w:szCs w:val="18"/>
              </w:rPr>
            </w:pPr>
            <w:r w:rsidRPr="006A71E6">
              <w:rPr>
                <w:szCs w:val="18"/>
              </w:rPr>
              <w:t>80%</w:t>
            </w:r>
          </w:p>
        </w:tc>
      </w:tr>
    </w:tbl>
    <w:p w14:paraId="6A76C9DD" w14:textId="1592762D" w:rsidR="00756754" w:rsidRPr="00756754" w:rsidRDefault="008F42FB" w:rsidP="00756754">
      <w:pPr>
        <w:spacing w:before="120"/>
      </w:pPr>
      <w:r w:rsidRPr="006A71E6">
        <w:t>The means tested percentage contribution will be based on the Age Pension means test which considers income and assets. This means that part pensioners do not have to undertake a separate aged care means test as Services Australia will already hold the relevant information. C</w:t>
      </w:r>
      <w:r w:rsidR="002D5690" w:rsidRPr="006A71E6">
        <w:t xml:space="preserve">ommonwealth </w:t>
      </w:r>
      <w:r w:rsidRPr="006A71E6">
        <w:t>S</w:t>
      </w:r>
      <w:r w:rsidR="002D5690" w:rsidRPr="006A71E6">
        <w:t xml:space="preserve">eniors </w:t>
      </w:r>
      <w:r w:rsidRPr="006A71E6">
        <w:t>H</w:t>
      </w:r>
      <w:r w:rsidR="002D5690" w:rsidRPr="006A71E6">
        <w:t xml:space="preserve">ealth </w:t>
      </w:r>
      <w:r w:rsidRPr="006A71E6">
        <w:t>C</w:t>
      </w:r>
      <w:r w:rsidR="002D5690" w:rsidRPr="006A71E6">
        <w:t>ard</w:t>
      </w:r>
      <w:r w:rsidRPr="006A71E6">
        <w:t xml:space="preserve"> holders will have to advise Services Australia of their </w:t>
      </w:r>
      <w:r w:rsidR="00514E84" w:rsidRPr="006A71E6">
        <w:t xml:space="preserve">income and </w:t>
      </w:r>
      <w:r w:rsidRPr="006A71E6">
        <w:t>assets and update Services Australia when their circumstances change.</w:t>
      </w:r>
      <w:r w:rsidR="00756754">
        <w:rPr>
          <w:i/>
        </w:rPr>
        <w:br w:type="page"/>
      </w:r>
    </w:p>
    <w:p w14:paraId="2248C4D5" w14:textId="17B3DECB" w:rsidR="00B04191" w:rsidRPr="00DB758D" w:rsidRDefault="005F3B62" w:rsidP="002B507C">
      <w:pPr>
        <w:pStyle w:val="Heading2"/>
      </w:pPr>
      <w:r w:rsidRPr="000E2C73">
        <w:rPr>
          <w:i/>
        </w:rPr>
        <w:lastRenderedPageBreak/>
        <w:t xml:space="preserve">No worse off </w:t>
      </w:r>
      <w:r>
        <w:t>principle for e</w:t>
      </w:r>
      <w:r w:rsidR="00C92093">
        <w:t xml:space="preserve">xisting Home Care </w:t>
      </w:r>
      <w:r w:rsidR="00507E67">
        <w:t>participants</w:t>
      </w:r>
    </w:p>
    <w:p w14:paraId="34B4FAED" w14:textId="513D61EE" w:rsidR="009C78D9" w:rsidRPr="00DB758D" w:rsidRDefault="009C78D9" w:rsidP="00DB758D">
      <w:pPr>
        <w:pStyle w:val="Heading3"/>
      </w:pPr>
      <w:r w:rsidRPr="00DB758D">
        <w:t>Packages</w:t>
      </w:r>
    </w:p>
    <w:p w14:paraId="12F9A059" w14:textId="08817609" w:rsidR="00197211" w:rsidRPr="006A71E6" w:rsidRDefault="00197211" w:rsidP="00A135E8">
      <w:r w:rsidRPr="006A71E6">
        <w:t>All individuals who have a Home Care Package</w:t>
      </w:r>
      <w:r w:rsidR="00056DF1" w:rsidRPr="006A71E6">
        <w:t xml:space="preserve"> (</w:t>
      </w:r>
      <w:r w:rsidR="004616D2" w:rsidRPr="006A71E6">
        <w:t>a package</w:t>
      </w:r>
      <w:r w:rsidR="00056DF1" w:rsidRPr="006A71E6">
        <w:t>)</w:t>
      </w:r>
      <w:r w:rsidRPr="006A71E6">
        <w:t xml:space="preserve"> on </w:t>
      </w:r>
      <w:r w:rsidR="002248F8" w:rsidRPr="006A71E6">
        <w:t>30 June 2025</w:t>
      </w:r>
      <w:r w:rsidRPr="006A71E6">
        <w:t xml:space="preserve"> will </w:t>
      </w:r>
      <w:r w:rsidR="00A135E8" w:rsidRPr="006A71E6">
        <w:t xml:space="preserve">maintain the same level of funding and retain any unspent funds </w:t>
      </w:r>
      <w:r w:rsidRPr="006A71E6">
        <w:t xml:space="preserve">under Support at Home. Individuals on the National </w:t>
      </w:r>
      <w:r w:rsidR="00E9788E" w:rsidRPr="006A71E6">
        <w:t xml:space="preserve">Priority </w:t>
      </w:r>
      <w:r w:rsidRPr="006A71E6">
        <w:t xml:space="preserve">System or who have been approved for a package </w:t>
      </w:r>
      <w:r w:rsidR="00E9788E" w:rsidRPr="006A71E6">
        <w:t xml:space="preserve">as of </w:t>
      </w:r>
      <w:r w:rsidR="002248F8" w:rsidRPr="006A71E6">
        <w:t>30 June 2025</w:t>
      </w:r>
      <w:r w:rsidR="00DB0CB9" w:rsidRPr="006A71E6">
        <w:t xml:space="preserve"> </w:t>
      </w:r>
      <w:r w:rsidRPr="006A71E6">
        <w:t xml:space="preserve">will </w:t>
      </w:r>
      <w:r w:rsidR="00E9788E" w:rsidRPr="006A71E6">
        <w:t>receive a Support at Home budget equivalent to their approved package level when one becomes available</w:t>
      </w:r>
      <w:r w:rsidR="00056DF1" w:rsidRPr="006A71E6">
        <w:t>.</w:t>
      </w:r>
      <w:r w:rsidR="002B507C" w:rsidRPr="006A71E6">
        <w:t xml:space="preserve"> If these participants have another assessment, and are entitled to a higher level of funding, they will move to the new Support at Home classification</w:t>
      </w:r>
      <w:r w:rsidR="00A135E8" w:rsidRPr="006A71E6">
        <w:t xml:space="preserve"> when one becomes available</w:t>
      </w:r>
      <w:r w:rsidR="002B507C" w:rsidRPr="006A71E6">
        <w:t>.</w:t>
      </w:r>
    </w:p>
    <w:p w14:paraId="29FE830C" w14:textId="7B340C94" w:rsidR="009C78D9" w:rsidRPr="00DB758D" w:rsidRDefault="009C78D9" w:rsidP="00DB758D">
      <w:pPr>
        <w:pStyle w:val="Heading3"/>
      </w:pPr>
      <w:r w:rsidRPr="00DB758D">
        <w:t>Contributions</w:t>
      </w:r>
    </w:p>
    <w:p w14:paraId="468E428F" w14:textId="2A9E61EE" w:rsidR="00B23B74" w:rsidRPr="006A71E6" w:rsidRDefault="00B23B74" w:rsidP="00B23B74">
      <w:r w:rsidRPr="006A71E6">
        <w:t xml:space="preserve">A </w:t>
      </w:r>
      <w:r w:rsidRPr="006A71E6">
        <w:rPr>
          <w:i/>
        </w:rPr>
        <w:t>no worse off</w:t>
      </w:r>
      <w:r w:rsidRPr="006A71E6">
        <w:t xml:space="preserve"> </w:t>
      </w:r>
      <w:r w:rsidR="007B5AF1" w:rsidRPr="006A71E6">
        <w:t>principle</w:t>
      </w:r>
      <w:r w:rsidRPr="006A71E6">
        <w:t xml:space="preserve"> will apply to the contributions arrangements for people who, on </w:t>
      </w:r>
      <w:r w:rsidR="00952483">
        <w:t>12</w:t>
      </w:r>
      <w:r w:rsidR="00417B0B">
        <w:t> </w:t>
      </w:r>
      <w:r w:rsidR="004705EC">
        <w:t>September</w:t>
      </w:r>
      <w:r w:rsidR="00791747">
        <w:t xml:space="preserve"> 2024</w:t>
      </w:r>
      <w:r w:rsidRPr="006A71E6">
        <w:t>, were either receiving a package, on the National Priority System, or assessed as eligible for a package. These participants will be no worse off because of the reforms: they make the same contributions, or lower, than they would have had under Home Care arrangements.</w:t>
      </w:r>
    </w:p>
    <w:p w14:paraId="22B3B4BB" w14:textId="31930A79" w:rsidR="008655E4" w:rsidRPr="006A71E6" w:rsidRDefault="00B23B74" w:rsidP="00B23B74">
      <w:pPr>
        <w:rPr>
          <w:b/>
          <w:bCs/>
          <w:u w:val="single"/>
        </w:rPr>
      </w:pPr>
      <w:r w:rsidRPr="006A71E6">
        <w:t>When these participants move to residential care, they will stay on the existing contribution arrangements unless they opt to move to the new program. Changes to accommodation payments in residential care would still apply to these participants, since accommodation payments are an agreement negotiated between the resident and their provider.</w:t>
      </w:r>
      <w:bookmarkEnd w:id="1"/>
    </w:p>
    <w:sectPr w:rsidR="008655E4" w:rsidRPr="006A71E6" w:rsidSect="00756754">
      <w:type w:val="continuous"/>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ABAF7" w14:textId="77777777" w:rsidR="003F2C9E" w:rsidRDefault="003F2C9E" w:rsidP="0076491B">
      <w:pPr>
        <w:spacing w:after="0" w:line="240" w:lineRule="auto"/>
      </w:pPr>
      <w:r>
        <w:separator/>
      </w:r>
    </w:p>
  </w:endnote>
  <w:endnote w:type="continuationSeparator" w:id="0">
    <w:p w14:paraId="2A9C4C2E" w14:textId="77777777" w:rsidR="003F2C9E" w:rsidRDefault="003F2C9E" w:rsidP="0076491B">
      <w:pPr>
        <w:spacing w:after="0" w:line="240" w:lineRule="auto"/>
      </w:pPr>
      <w:r>
        <w:continuationSeparator/>
      </w:r>
    </w:p>
  </w:endnote>
  <w:endnote w:type="continuationNotice" w:id="1">
    <w:p w14:paraId="68A6CF50" w14:textId="77777777" w:rsidR="003F2C9E" w:rsidRDefault="003F2C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7CFB1" w14:textId="77777777" w:rsidR="00AB7508" w:rsidRDefault="00AB7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69DC2" w14:textId="08BAA1AA" w:rsidR="00756754" w:rsidRDefault="00756754" w:rsidP="00756754">
    <w:pPr>
      <w:pStyle w:val="Footer"/>
      <w:jc w:val="right"/>
    </w:pPr>
    <w:r>
      <w:t>Support at Home</w:t>
    </w:r>
    <w:r>
      <w:tab/>
    </w:r>
    <w:r>
      <w:tab/>
    </w:r>
    <w:r>
      <w:tab/>
    </w:r>
    <w:sdt>
      <w:sdtPr>
        <w:id w:val="-6931451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B7508">
          <w:rPr>
            <w:noProof/>
          </w:rPr>
          <w:t>4</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E344A" w14:textId="02B3AE1F" w:rsidR="00756754" w:rsidRDefault="00756754" w:rsidP="00756754">
    <w:pPr>
      <w:pStyle w:val="Footer"/>
      <w:jc w:val="right"/>
    </w:pPr>
    <w:r>
      <w:t xml:space="preserve">Support at Home </w:t>
    </w:r>
    <w:r>
      <w:tab/>
    </w:r>
    <w:r>
      <w:tab/>
    </w:r>
    <w:r>
      <w:tab/>
    </w:r>
    <w:sdt>
      <w:sdtPr>
        <w:id w:val="-298147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B7508">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15D8F" w14:textId="77777777" w:rsidR="003F2C9E" w:rsidRDefault="003F2C9E" w:rsidP="0076491B">
      <w:pPr>
        <w:spacing w:after="0" w:line="240" w:lineRule="auto"/>
      </w:pPr>
      <w:r>
        <w:separator/>
      </w:r>
    </w:p>
  </w:footnote>
  <w:footnote w:type="continuationSeparator" w:id="0">
    <w:p w14:paraId="7FB90F75" w14:textId="77777777" w:rsidR="003F2C9E" w:rsidRDefault="003F2C9E" w:rsidP="0076491B">
      <w:pPr>
        <w:spacing w:after="0" w:line="240" w:lineRule="auto"/>
      </w:pPr>
      <w:r>
        <w:continuationSeparator/>
      </w:r>
    </w:p>
  </w:footnote>
  <w:footnote w:type="continuationNotice" w:id="1">
    <w:p w14:paraId="16A4025E" w14:textId="77777777" w:rsidR="003F2C9E" w:rsidRDefault="003F2C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04D97" w14:textId="77777777" w:rsidR="00AB7508" w:rsidRDefault="00AB7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13394" w14:textId="77777777" w:rsidR="00AB7508" w:rsidRDefault="00AB75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FEACE" w14:textId="57FC57BB" w:rsidR="00756754" w:rsidRDefault="00756754">
    <w:pPr>
      <w:pStyle w:val="Header"/>
    </w:pPr>
    <w:bookmarkStart w:id="2" w:name="_GoBack"/>
    <w:r>
      <w:rPr>
        <w:noProof/>
        <w:lang w:eastAsia="en-AU"/>
      </w:rPr>
      <w:drawing>
        <wp:anchor distT="0" distB="0" distL="114300" distR="114300" simplePos="0" relativeHeight="251658240" behindDoc="1" locked="0" layoutInCell="1" allowOverlap="1" wp14:anchorId="06BE87BD" wp14:editId="067A24CF">
          <wp:simplePos x="0" y="0"/>
          <wp:positionH relativeFrom="page">
            <wp:posOffset>12700</wp:posOffset>
          </wp:positionH>
          <wp:positionV relativeFrom="paragraph">
            <wp:posOffset>-450215</wp:posOffset>
          </wp:positionV>
          <wp:extent cx="7529195" cy="2084705"/>
          <wp:effectExtent l="0" t="0" r="0" b="0"/>
          <wp:wrapNone/>
          <wp:docPr id="1" name="Picture 1" title="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2084705"/>
                  </a:xfrm>
                  <a:prstGeom prst="rect">
                    <a:avLst/>
                  </a:prstGeom>
                  <a:noFill/>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E6948"/>
    <w:multiLevelType w:val="hybridMultilevel"/>
    <w:tmpl w:val="7E6C7C86"/>
    <w:lvl w:ilvl="0" w:tplc="FC34FDC6">
      <w:start w:val="1"/>
      <w:numFmt w:val="bullet"/>
      <w:lvlText w:val=""/>
      <w:lvlJc w:val="left"/>
      <w:pPr>
        <w:ind w:left="720" w:hanging="360"/>
      </w:pPr>
      <w:rPr>
        <w:rFonts w:ascii="Symbol" w:hAnsi="Symbol" w:hint="default"/>
        <w:color w:val="2AB1B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61D75"/>
    <w:multiLevelType w:val="hybridMultilevel"/>
    <w:tmpl w:val="A9A4A3EC"/>
    <w:lvl w:ilvl="0" w:tplc="FC34FDC6">
      <w:start w:val="1"/>
      <w:numFmt w:val="bullet"/>
      <w:lvlText w:val=""/>
      <w:lvlJc w:val="left"/>
      <w:pPr>
        <w:ind w:left="720" w:hanging="360"/>
      </w:pPr>
      <w:rPr>
        <w:rFonts w:ascii="Symbol" w:hAnsi="Symbol" w:hint="default"/>
        <w:color w:val="2AB1B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F3E5A"/>
    <w:multiLevelType w:val="hybridMultilevel"/>
    <w:tmpl w:val="9BA8236E"/>
    <w:lvl w:ilvl="0" w:tplc="1BBC7C56">
      <w:start w:val="1"/>
      <w:numFmt w:val="decimal"/>
      <w:lvlText w:val="%1."/>
      <w:lvlJc w:val="left"/>
      <w:pPr>
        <w:ind w:left="360" w:hanging="360"/>
      </w:pPr>
    </w:lvl>
    <w:lvl w:ilvl="1" w:tplc="7E62E44C">
      <w:start w:val="1"/>
      <w:numFmt w:val="lowerLetter"/>
      <w:lvlText w:val="(%2)"/>
      <w:lvlJc w:val="left"/>
      <w:pPr>
        <w:ind w:left="1210" w:hanging="360"/>
      </w:pPr>
    </w:lvl>
    <w:lvl w:ilvl="2" w:tplc="C78CD0DE">
      <w:start w:val="1"/>
      <w:numFmt w:val="lowerRoman"/>
      <w:lvlText w:val="%3."/>
      <w:lvlJc w:val="right"/>
      <w:pPr>
        <w:ind w:left="1800" w:hanging="180"/>
      </w:pPr>
    </w:lvl>
    <w:lvl w:ilvl="3" w:tplc="69566DC0">
      <w:start w:val="1"/>
      <w:numFmt w:val="decimal"/>
      <w:lvlText w:val="%4."/>
      <w:lvlJc w:val="left"/>
      <w:pPr>
        <w:ind w:left="2520" w:hanging="360"/>
      </w:pPr>
    </w:lvl>
    <w:lvl w:ilvl="4" w:tplc="D1ECC5D4">
      <w:start w:val="1"/>
      <w:numFmt w:val="lowerLetter"/>
      <w:lvlText w:val="%5."/>
      <w:lvlJc w:val="left"/>
      <w:pPr>
        <w:ind w:left="3240" w:hanging="360"/>
      </w:pPr>
    </w:lvl>
    <w:lvl w:ilvl="5" w:tplc="055CECF6">
      <w:start w:val="1"/>
      <w:numFmt w:val="lowerRoman"/>
      <w:lvlText w:val="%6."/>
      <w:lvlJc w:val="right"/>
      <w:pPr>
        <w:ind w:left="3960" w:hanging="180"/>
      </w:pPr>
    </w:lvl>
    <w:lvl w:ilvl="6" w:tplc="4C44372A">
      <w:start w:val="1"/>
      <w:numFmt w:val="decimal"/>
      <w:lvlText w:val="%7."/>
      <w:lvlJc w:val="left"/>
      <w:pPr>
        <w:ind w:left="4680" w:hanging="360"/>
      </w:pPr>
    </w:lvl>
    <w:lvl w:ilvl="7" w:tplc="AA76DD0E">
      <w:start w:val="1"/>
      <w:numFmt w:val="lowerLetter"/>
      <w:lvlText w:val="%8."/>
      <w:lvlJc w:val="left"/>
      <w:pPr>
        <w:ind w:left="5400" w:hanging="360"/>
      </w:pPr>
    </w:lvl>
    <w:lvl w:ilvl="8" w:tplc="1884C25C">
      <w:start w:val="1"/>
      <w:numFmt w:val="lowerRoman"/>
      <w:lvlText w:val="%9."/>
      <w:lvlJc w:val="right"/>
      <w:pPr>
        <w:ind w:left="6120" w:hanging="180"/>
      </w:pPr>
    </w:lvl>
  </w:abstractNum>
  <w:abstractNum w:abstractNumId="5"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16586E"/>
    <w:multiLevelType w:val="hybridMultilevel"/>
    <w:tmpl w:val="8A7E7E0E"/>
    <w:lvl w:ilvl="0" w:tplc="FC34FDC6">
      <w:start w:val="1"/>
      <w:numFmt w:val="bullet"/>
      <w:lvlText w:val=""/>
      <w:lvlJc w:val="left"/>
      <w:pPr>
        <w:ind w:left="720" w:hanging="360"/>
      </w:pPr>
      <w:rPr>
        <w:rFonts w:ascii="Symbol" w:hAnsi="Symbol" w:hint="default"/>
        <w:color w:val="2AB1B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9"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02ADA"/>
    <w:multiLevelType w:val="hybridMultilevel"/>
    <w:tmpl w:val="1B167CEC"/>
    <w:lvl w:ilvl="0" w:tplc="3E22FA4E">
      <w:start w:val="1"/>
      <w:numFmt w:val="bullet"/>
      <w:lvlText w:val=""/>
      <w:lvlJc w:val="left"/>
      <w:pPr>
        <w:ind w:left="360" w:hanging="360"/>
      </w:pPr>
      <w:rPr>
        <w:rFonts w:ascii="Symbol" w:hAnsi="Symbol" w:hint="default"/>
        <w:color w:val="F2692B" w:themeColor="accent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E5268"/>
    <w:multiLevelType w:val="hybridMultilevel"/>
    <w:tmpl w:val="2AFC5B7E"/>
    <w:lvl w:ilvl="0" w:tplc="FC34FDC6">
      <w:start w:val="1"/>
      <w:numFmt w:val="bullet"/>
      <w:lvlText w:val=""/>
      <w:lvlJc w:val="left"/>
      <w:pPr>
        <w:ind w:left="720" w:hanging="360"/>
      </w:pPr>
      <w:rPr>
        <w:rFonts w:ascii="Symbol" w:hAnsi="Symbol" w:hint="default"/>
        <w:color w:val="2AB1B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6"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F509F4"/>
    <w:multiLevelType w:val="hybridMultilevel"/>
    <w:tmpl w:val="4BC65EB6"/>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0" w15:restartNumberingAfterBreak="0">
    <w:nsid w:val="5B837DB3"/>
    <w:multiLevelType w:val="hybridMultilevel"/>
    <w:tmpl w:val="15B88410"/>
    <w:lvl w:ilvl="0" w:tplc="FC34FDC6">
      <w:start w:val="1"/>
      <w:numFmt w:val="bullet"/>
      <w:lvlText w:val=""/>
      <w:lvlJc w:val="left"/>
      <w:pPr>
        <w:ind w:left="720" w:hanging="360"/>
      </w:pPr>
      <w:rPr>
        <w:rFonts w:ascii="Symbol" w:hAnsi="Symbol" w:hint="default"/>
        <w:color w:val="2AB1B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B3553A"/>
    <w:multiLevelType w:val="hybridMultilevel"/>
    <w:tmpl w:val="90E0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5561CB"/>
    <w:multiLevelType w:val="hybridMultilevel"/>
    <w:tmpl w:val="01C65B9C"/>
    <w:lvl w:ilvl="0" w:tplc="FC34FDC6">
      <w:start w:val="1"/>
      <w:numFmt w:val="bullet"/>
      <w:lvlText w:val=""/>
      <w:lvlJc w:val="left"/>
      <w:pPr>
        <w:ind w:left="720" w:hanging="360"/>
      </w:pPr>
      <w:rPr>
        <w:rFonts w:ascii="Symbol" w:hAnsi="Symbol" w:hint="default"/>
        <w:color w:val="2AB1B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CE1F5D"/>
    <w:multiLevelType w:val="hybridMultilevel"/>
    <w:tmpl w:val="B7667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0F68B6"/>
    <w:multiLevelType w:val="hybridMultilevel"/>
    <w:tmpl w:val="D9A89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24"/>
  </w:num>
  <w:num w:numId="4">
    <w:abstractNumId w:val="25"/>
  </w:num>
  <w:num w:numId="5">
    <w:abstractNumId w:val="12"/>
  </w:num>
  <w:num w:numId="6">
    <w:abstractNumId w:val="5"/>
  </w:num>
  <w:num w:numId="7">
    <w:abstractNumId w:val="18"/>
  </w:num>
  <w:num w:numId="8">
    <w:abstractNumId w:val="17"/>
  </w:num>
  <w:num w:numId="9">
    <w:abstractNumId w:val="23"/>
  </w:num>
  <w:num w:numId="10">
    <w:abstractNumId w:val="0"/>
  </w:num>
  <w:num w:numId="11">
    <w:abstractNumId w:val="29"/>
  </w:num>
  <w:num w:numId="12">
    <w:abstractNumId w:val="9"/>
  </w:num>
  <w:num w:numId="13">
    <w:abstractNumId w:val="16"/>
  </w:num>
  <w:num w:numId="14">
    <w:abstractNumId w:val="1"/>
  </w:num>
  <w:num w:numId="15">
    <w:abstractNumId w:val="11"/>
  </w:num>
  <w:num w:numId="16">
    <w:abstractNumId w:val="14"/>
  </w:num>
  <w:num w:numId="17">
    <w:abstractNumId w:val="19"/>
  </w:num>
  <w:num w:numId="18">
    <w:abstractNumId w:val="15"/>
  </w:num>
  <w:num w:numId="19">
    <w:abstractNumId w:val="8"/>
  </w:num>
  <w:num w:numId="20">
    <w:abstractNumId w:val="10"/>
  </w:num>
  <w:num w:numId="21">
    <w:abstractNumId w:val="6"/>
  </w:num>
  <w:num w:numId="22">
    <w:abstractNumId w:val="13"/>
  </w:num>
  <w:num w:numId="23">
    <w:abstractNumId w:val="20"/>
  </w:num>
  <w:num w:numId="24">
    <w:abstractNumId w:val="22"/>
  </w:num>
  <w:num w:numId="25">
    <w:abstractNumId w:val="3"/>
  </w:num>
  <w:num w:numId="26">
    <w:abstractNumId w:val="21"/>
  </w:num>
  <w:num w:numId="27">
    <w:abstractNumId w:val="2"/>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FC"/>
    <w:rsid w:val="00013F77"/>
    <w:rsid w:val="000142CB"/>
    <w:rsid w:val="0001611E"/>
    <w:rsid w:val="000177D5"/>
    <w:rsid w:val="0002516D"/>
    <w:rsid w:val="0005298F"/>
    <w:rsid w:val="00053AA7"/>
    <w:rsid w:val="00056C97"/>
    <w:rsid w:val="00056DF1"/>
    <w:rsid w:val="00066618"/>
    <w:rsid w:val="000A4A5E"/>
    <w:rsid w:val="000B5306"/>
    <w:rsid w:val="000B61AB"/>
    <w:rsid w:val="000C1EA7"/>
    <w:rsid w:val="000D3370"/>
    <w:rsid w:val="000E2C73"/>
    <w:rsid w:val="000E2D23"/>
    <w:rsid w:val="001023B8"/>
    <w:rsid w:val="00115364"/>
    <w:rsid w:val="00147B14"/>
    <w:rsid w:val="0018537B"/>
    <w:rsid w:val="0019623A"/>
    <w:rsid w:val="00196B07"/>
    <w:rsid w:val="00197211"/>
    <w:rsid w:val="001A7917"/>
    <w:rsid w:val="001F402E"/>
    <w:rsid w:val="001F46D0"/>
    <w:rsid w:val="002248F8"/>
    <w:rsid w:val="002274CE"/>
    <w:rsid w:val="0023388F"/>
    <w:rsid w:val="00235F54"/>
    <w:rsid w:val="00244B8C"/>
    <w:rsid w:val="0025134C"/>
    <w:rsid w:val="0026418C"/>
    <w:rsid w:val="00266ECD"/>
    <w:rsid w:val="00272D86"/>
    <w:rsid w:val="00284947"/>
    <w:rsid w:val="00284C2B"/>
    <w:rsid w:val="002867BC"/>
    <w:rsid w:val="002A13FC"/>
    <w:rsid w:val="002A3CE3"/>
    <w:rsid w:val="002B507C"/>
    <w:rsid w:val="002C2D46"/>
    <w:rsid w:val="002D3E82"/>
    <w:rsid w:val="002D5690"/>
    <w:rsid w:val="002D57C5"/>
    <w:rsid w:val="002E4740"/>
    <w:rsid w:val="003062E0"/>
    <w:rsid w:val="0030774E"/>
    <w:rsid w:val="00313187"/>
    <w:rsid w:val="00314C76"/>
    <w:rsid w:val="00316ECA"/>
    <w:rsid w:val="003311E4"/>
    <w:rsid w:val="00332A52"/>
    <w:rsid w:val="0034007C"/>
    <w:rsid w:val="00360B34"/>
    <w:rsid w:val="003619F4"/>
    <w:rsid w:val="00380331"/>
    <w:rsid w:val="00391C2D"/>
    <w:rsid w:val="0039658B"/>
    <w:rsid w:val="00397966"/>
    <w:rsid w:val="003F2C9E"/>
    <w:rsid w:val="00417B0B"/>
    <w:rsid w:val="00422631"/>
    <w:rsid w:val="00434B1D"/>
    <w:rsid w:val="004557A0"/>
    <w:rsid w:val="00455906"/>
    <w:rsid w:val="004616D2"/>
    <w:rsid w:val="00461887"/>
    <w:rsid w:val="00464E92"/>
    <w:rsid w:val="004705EC"/>
    <w:rsid w:val="00477601"/>
    <w:rsid w:val="0049492E"/>
    <w:rsid w:val="00494C8F"/>
    <w:rsid w:val="004A3FDC"/>
    <w:rsid w:val="004C11EB"/>
    <w:rsid w:val="004F1926"/>
    <w:rsid w:val="004F44F9"/>
    <w:rsid w:val="004F7E50"/>
    <w:rsid w:val="005035B6"/>
    <w:rsid w:val="00504C37"/>
    <w:rsid w:val="00506CA3"/>
    <w:rsid w:val="00507E67"/>
    <w:rsid w:val="00514E84"/>
    <w:rsid w:val="00525916"/>
    <w:rsid w:val="005555FE"/>
    <w:rsid w:val="0058395B"/>
    <w:rsid w:val="005B20D2"/>
    <w:rsid w:val="005C41BF"/>
    <w:rsid w:val="005F0971"/>
    <w:rsid w:val="005F3B62"/>
    <w:rsid w:val="00633DB4"/>
    <w:rsid w:val="00640270"/>
    <w:rsid w:val="006471BB"/>
    <w:rsid w:val="006551AD"/>
    <w:rsid w:val="00661C65"/>
    <w:rsid w:val="00670A45"/>
    <w:rsid w:val="00672304"/>
    <w:rsid w:val="00677BC9"/>
    <w:rsid w:val="00686F4B"/>
    <w:rsid w:val="0069781E"/>
    <w:rsid w:val="006A37EE"/>
    <w:rsid w:val="006A71E6"/>
    <w:rsid w:val="006B21E9"/>
    <w:rsid w:val="006C07D3"/>
    <w:rsid w:val="006C5802"/>
    <w:rsid w:val="006D2067"/>
    <w:rsid w:val="006E00C2"/>
    <w:rsid w:val="006F0BD5"/>
    <w:rsid w:val="00726939"/>
    <w:rsid w:val="00741A6C"/>
    <w:rsid w:val="007438D3"/>
    <w:rsid w:val="00756754"/>
    <w:rsid w:val="0076491B"/>
    <w:rsid w:val="00766965"/>
    <w:rsid w:val="007754E9"/>
    <w:rsid w:val="00791747"/>
    <w:rsid w:val="00794C5E"/>
    <w:rsid w:val="007A28C3"/>
    <w:rsid w:val="007B5AF1"/>
    <w:rsid w:val="007C2129"/>
    <w:rsid w:val="007C465B"/>
    <w:rsid w:val="007C4752"/>
    <w:rsid w:val="007E4381"/>
    <w:rsid w:val="007E444A"/>
    <w:rsid w:val="00806BFF"/>
    <w:rsid w:val="00811AAD"/>
    <w:rsid w:val="00814224"/>
    <w:rsid w:val="008147D4"/>
    <w:rsid w:val="0083002B"/>
    <w:rsid w:val="00853DAC"/>
    <w:rsid w:val="008551FF"/>
    <w:rsid w:val="00863692"/>
    <w:rsid w:val="008655E4"/>
    <w:rsid w:val="00874912"/>
    <w:rsid w:val="0088624A"/>
    <w:rsid w:val="008E1F79"/>
    <w:rsid w:val="008E2A41"/>
    <w:rsid w:val="008E3C79"/>
    <w:rsid w:val="008F42FB"/>
    <w:rsid w:val="008F467F"/>
    <w:rsid w:val="0090176A"/>
    <w:rsid w:val="00905D88"/>
    <w:rsid w:val="00913C74"/>
    <w:rsid w:val="00915BC0"/>
    <w:rsid w:val="009346B6"/>
    <w:rsid w:val="00936A17"/>
    <w:rsid w:val="00952483"/>
    <w:rsid w:val="00960E0F"/>
    <w:rsid w:val="0096704E"/>
    <w:rsid w:val="00970F16"/>
    <w:rsid w:val="00974317"/>
    <w:rsid w:val="00974D6C"/>
    <w:rsid w:val="00996A0B"/>
    <w:rsid w:val="009A0D63"/>
    <w:rsid w:val="009B2828"/>
    <w:rsid w:val="009C432F"/>
    <w:rsid w:val="009C5893"/>
    <w:rsid w:val="009C78D9"/>
    <w:rsid w:val="009D7AF8"/>
    <w:rsid w:val="009E3BA2"/>
    <w:rsid w:val="009F3E37"/>
    <w:rsid w:val="00A01E63"/>
    <w:rsid w:val="00A135E8"/>
    <w:rsid w:val="00A13DE2"/>
    <w:rsid w:val="00A52CCA"/>
    <w:rsid w:val="00AA5116"/>
    <w:rsid w:val="00AB7508"/>
    <w:rsid w:val="00AC04A6"/>
    <w:rsid w:val="00AC7623"/>
    <w:rsid w:val="00AD23F6"/>
    <w:rsid w:val="00AE0A5A"/>
    <w:rsid w:val="00AE20F3"/>
    <w:rsid w:val="00AE3C0A"/>
    <w:rsid w:val="00AF3EEB"/>
    <w:rsid w:val="00B02661"/>
    <w:rsid w:val="00B04191"/>
    <w:rsid w:val="00B2037B"/>
    <w:rsid w:val="00B23B74"/>
    <w:rsid w:val="00B44FB2"/>
    <w:rsid w:val="00B64257"/>
    <w:rsid w:val="00B65DBC"/>
    <w:rsid w:val="00B77791"/>
    <w:rsid w:val="00BA1C98"/>
    <w:rsid w:val="00BA2185"/>
    <w:rsid w:val="00BD577C"/>
    <w:rsid w:val="00C074CB"/>
    <w:rsid w:val="00C217CA"/>
    <w:rsid w:val="00C23058"/>
    <w:rsid w:val="00C233E6"/>
    <w:rsid w:val="00C2566C"/>
    <w:rsid w:val="00C34B2E"/>
    <w:rsid w:val="00C44F61"/>
    <w:rsid w:val="00C46331"/>
    <w:rsid w:val="00C60C3E"/>
    <w:rsid w:val="00C76B54"/>
    <w:rsid w:val="00C80D00"/>
    <w:rsid w:val="00C838EE"/>
    <w:rsid w:val="00C9187A"/>
    <w:rsid w:val="00C92093"/>
    <w:rsid w:val="00C93DDF"/>
    <w:rsid w:val="00C97FB8"/>
    <w:rsid w:val="00CA0CFC"/>
    <w:rsid w:val="00CA755C"/>
    <w:rsid w:val="00D005CB"/>
    <w:rsid w:val="00D0451E"/>
    <w:rsid w:val="00D16254"/>
    <w:rsid w:val="00D31E71"/>
    <w:rsid w:val="00D44E72"/>
    <w:rsid w:val="00D72034"/>
    <w:rsid w:val="00D86C51"/>
    <w:rsid w:val="00D95996"/>
    <w:rsid w:val="00DB0CB9"/>
    <w:rsid w:val="00DB758D"/>
    <w:rsid w:val="00DE4EC7"/>
    <w:rsid w:val="00E15AA4"/>
    <w:rsid w:val="00E24D8D"/>
    <w:rsid w:val="00E34427"/>
    <w:rsid w:val="00E3559B"/>
    <w:rsid w:val="00E547F4"/>
    <w:rsid w:val="00E73457"/>
    <w:rsid w:val="00E863DA"/>
    <w:rsid w:val="00E91CEE"/>
    <w:rsid w:val="00E9788E"/>
    <w:rsid w:val="00EC6923"/>
    <w:rsid w:val="00EC7364"/>
    <w:rsid w:val="00EF6529"/>
    <w:rsid w:val="00F520C3"/>
    <w:rsid w:val="00F623A5"/>
    <w:rsid w:val="00F72F9F"/>
    <w:rsid w:val="00F76B45"/>
    <w:rsid w:val="00FA638B"/>
    <w:rsid w:val="00FB5560"/>
    <w:rsid w:val="00FC2890"/>
    <w:rsid w:val="00FD24B0"/>
    <w:rsid w:val="00FD6637"/>
    <w:rsid w:val="00FD7715"/>
    <w:rsid w:val="00FF1761"/>
    <w:rsid w:val="3E851A4F"/>
    <w:rsid w:val="6D562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9B1B"/>
  <w15:chartTrackingRefBased/>
  <w15:docId w15:val="{58FADB8E-B54B-4CFD-AE49-6971C076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1E6"/>
    <w:pPr>
      <w:spacing w:after="160" w:line="259" w:lineRule="auto"/>
    </w:pPr>
    <w:rPr>
      <w:rFonts w:ascii="Arial" w:hAnsi="Arial"/>
      <w:color w:val="171919" w:themeColor="background1" w:themeShade="1A"/>
    </w:rPr>
  </w:style>
  <w:style w:type="paragraph" w:styleId="Heading1">
    <w:name w:val="heading 1"/>
    <w:basedOn w:val="Normal"/>
    <w:next w:val="Normal"/>
    <w:link w:val="Heading1Char"/>
    <w:uiPriority w:val="9"/>
    <w:qFormat/>
    <w:rsid w:val="003619F4"/>
    <w:pPr>
      <w:keepNext/>
      <w:keepLines/>
      <w:spacing w:before="144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9F4"/>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aliases w:val="CAB - List Bullet,List Bullet Cab,Bullet point,Bullets,CV text,Dot pt,F5 List Paragraph,FooterText,L,List Paragraph1,List Paragraph11,List Paragraph111,List Paragraph2,Medium Grid 1 - Accent 21,NAST Quote,NFP GP Bulleted List,Figure_name"/>
    <w:basedOn w:val="Normal"/>
    <w:link w:val="ListParagraphChar"/>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customStyle="1" w:styleId="UnresolvedMention">
    <w:name w:val="Unresolved Mention"/>
    <w:basedOn w:val="DefaultParagraphFont"/>
    <w:uiPriority w:val="99"/>
    <w:semiHidden/>
    <w:unhideWhenUsed/>
    <w:rsid w:val="00E91CEE"/>
    <w:rPr>
      <w:color w:val="605E5C"/>
      <w:shd w:val="clear" w:color="auto" w:fill="E1DFDD"/>
    </w:rPr>
  </w:style>
  <w:style w:type="paragraph" w:customStyle="1" w:styleId="Headingtable">
    <w:name w:val="Heading table"/>
    <w:basedOn w:val="Normal"/>
    <w:qFormat/>
    <w:rsid w:val="00677BC9"/>
    <w:pPr>
      <w:spacing w:before="360"/>
    </w:pPr>
    <w:rPr>
      <w:rFonts w:eastAsiaTheme="majorEastAsia" w:cstheme="majorBidi"/>
      <w:b/>
      <w:bCs/>
      <w:color w:val="1E1544" w:themeColor="text1"/>
    </w:rPr>
  </w:style>
  <w:style w:type="character" w:styleId="CommentReference">
    <w:name w:val="annotation reference"/>
    <w:basedOn w:val="DefaultParagraphFont"/>
    <w:uiPriority w:val="99"/>
    <w:semiHidden/>
    <w:unhideWhenUsed/>
    <w:rsid w:val="00434B1D"/>
    <w:rPr>
      <w:sz w:val="16"/>
      <w:szCs w:val="16"/>
    </w:rPr>
  </w:style>
  <w:style w:type="paragraph" w:styleId="CommentText">
    <w:name w:val="annotation text"/>
    <w:basedOn w:val="Normal"/>
    <w:link w:val="CommentTextChar"/>
    <w:uiPriority w:val="99"/>
    <w:semiHidden/>
    <w:unhideWhenUsed/>
    <w:rsid w:val="00434B1D"/>
    <w:pPr>
      <w:spacing w:line="240" w:lineRule="auto"/>
    </w:pPr>
    <w:rPr>
      <w:sz w:val="20"/>
      <w:szCs w:val="20"/>
    </w:rPr>
  </w:style>
  <w:style w:type="character" w:customStyle="1" w:styleId="CommentTextChar">
    <w:name w:val="Comment Text Char"/>
    <w:basedOn w:val="DefaultParagraphFont"/>
    <w:link w:val="CommentText"/>
    <w:uiPriority w:val="99"/>
    <w:semiHidden/>
    <w:rsid w:val="00434B1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34B1D"/>
    <w:rPr>
      <w:b/>
      <w:bCs/>
    </w:rPr>
  </w:style>
  <w:style w:type="character" w:customStyle="1" w:styleId="CommentSubjectChar">
    <w:name w:val="Comment Subject Char"/>
    <w:basedOn w:val="CommentTextChar"/>
    <w:link w:val="CommentSubject"/>
    <w:uiPriority w:val="99"/>
    <w:semiHidden/>
    <w:rsid w:val="00434B1D"/>
    <w:rPr>
      <w:rFonts w:ascii="Arial" w:hAnsi="Arial"/>
      <w:b/>
      <w:bCs/>
      <w:sz w:val="20"/>
      <w:szCs w:val="20"/>
    </w:rPr>
  </w:style>
  <w:style w:type="paragraph" w:styleId="BalloonText">
    <w:name w:val="Balloon Text"/>
    <w:basedOn w:val="Normal"/>
    <w:link w:val="BalloonTextChar"/>
    <w:uiPriority w:val="99"/>
    <w:semiHidden/>
    <w:unhideWhenUsed/>
    <w:rsid w:val="00434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B1D"/>
    <w:rPr>
      <w:rFonts w:ascii="Segoe UI" w:hAnsi="Segoe UI" w:cs="Segoe UI"/>
      <w:sz w:val="18"/>
      <w:szCs w:val="18"/>
    </w:rPr>
  </w:style>
  <w:style w:type="paragraph" w:customStyle="1" w:styleId="CABNETParagraph">
    <w:name w:val="CABNET Paragraph."/>
    <w:basedOn w:val="Normal"/>
    <w:link w:val="CABNETParagraphChar"/>
    <w:uiPriority w:val="98"/>
    <w:qFormat/>
    <w:rsid w:val="00672304"/>
    <w:pPr>
      <w:spacing w:line="240" w:lineRule="auto"/>
    </w:pPr>
    <w:rPr>
      <w:rFonts w:cstheme="minorHAnsi"/>
      <w:sz w:val="22"/>
      <w:szCs w:val="22"/>
    </w:rPr>
  </w:style>
  <w:style w:type="character" w:customStyle="1" w:styleId="CABNETParagraphChar">
    <w:name w:val="CABNET Paragraph. Char"/>
    <w:basedOn w:val="DefaultParagraphFont"/>
    <w:link w:val="CABNETParagraph"/>
    <w:uiPriority w:val="98"/>
    <w:rsid w:val="00672304"/>
    <w:rPr>
      <w:rFonts w:ascii="Arial" w:hAnsi="Arial" w:cstheme="minorHAnsi"/>
      <w:sz w:val="22"/>
      <w:szCs w:val="22"/>
    </w:rPr>
  </w:style>
  <w:style w:type="character" w:customStyle="1" w:styleId="ListParagraphChar">
    <w:name w:val="List Paragraph Char"/>
    <w:aliases w:val="CAB - List Bullet Char,List Bullet Cab Char,Bullet point Char,Bullets Char,CV text Char,Dot pt Char,F5 List Paragraph Char,FooterText Char,L Char,List Paragraph1 Char,List Paragraph11 Char,List Paragraph111 Char,List Paragraph2 Char"/>
    <w:basedOn w:val="DefaultParagraphFont"/>
    <w:link w:val="ListParagraph"/>
    <w:uiPriority w:val="34"/>
    <w:qFormat/>
    <w:locked/>
    <w:rsid w:val="00D31E71"/>
    <w:rPr>
      <w:rFonts w:ascii="Arial" w:hAnsi="Arial"/>
    </w:rPr>
  </w:style>
  <w:style w:type="paragraph" w:styleId="Revision">
    <w:name w:val="Revision"/>
    <w:hidden/>
    <w:uiPriority w:val="99"/>
    <w:semiHidden/>
    <w:rsid w:val="000C1EA7"/>
    <w:rPr>
      <w:rFonts w:ascii="Arial" w:hAnsi="Arial"/>
    </w:rPr>
  </w:style>
  <w:style w:type="table" w:styleId="PlainTable3">
    <w:name w:val="Plain Table 3"/>
    <w:basedOn w:val="TableNormal"/>
    <w:uiPriority w:val="43"/>
    <w:rsid w:val="008551FF"/>
    <w:tblPr>
      <w:tblStyleRowBandSize w:val="1"/>
      <w:tblStyleColBandSize w:val="1"/>
    </w:tblPr>
    <w:tblStylePr w:type="firstRow">
      <w:rPr>
        <w:b/>
        <w:bCs/>
        <w:caps/>
      </w:rPr>
      <w:tblPr/>
      <w:tcPr>
        <w:tcBorders>
          <w:bottom w:val="single" w:sz="4" w:space="0" w:color="725DC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25DCD" w:themeColor="text1" w:themeTint="80"/>
        </w:tcBorders>
      </w:tcPr>
    </w:tblStylePr>
    <w:tblStylePr w:type="lastCol">
      <w:rPr>
        <w:b/>
        <w:bCs/>
        <w:caps/>
      </w:rPr>
      <w:tblPr/>
      <w:tcPr>
        <w:tcBorders>
          <w:left w:val="nil"/>
        </w:tcBorders>
      </w:tcPr>
    </w:tblStylePr>
    <w:tblStylePr w:type="band1Vert">
      <w:tblPr/>
      <w:tcPr>
        <w:shd w:val="clear" w:color="auto" w:fill="E4E6E6" w:themeFill="background1" w:themeFillShade="F2"/>
      </w:tcPr>
    </w:tblStylePr>
    <w:tblStylePr w:type="band1Horz">
      <w:tblPr/>
      <w:tcPr>
        <w:shd w:val="clear" w:color="auto" w:fill="E4E6E6"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7Colorful">
    <w:name w:val="List Table 7 Colorful"/>
    <w:basedOn w:val="TableNormal"/>
    <w:uiPriority w:val="52"/>
    <w:rsid w:val="007E4381"/>
    <w:rPr>
      <w:color w:val="1E1544"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1544" w:themeColor="text1"/>
        </w:tcBorders>
        <w:shd w:val="clear" w:color="auto" w:fill="F1F2F2" w:themeFill="background1"/>
      </w:tcPr>
    </w:tblStylePr>
    <w:tblStylePr w:type="lastRow">
      <w:rPr>
        <w:rFonts w:asciiTheme="majorHAnsi" w:eastAsiaTheme="majorEastAsia" w:hAnsiTheme="majorHAnsi" w:cstheme="majorBidi"/>
        <w:i/>
        <w:iCs/>
        <w:sz w:val="26"/>
      </w:rPr>
      <w:tblPr/>
      <w:tcPr>
        <w:tcBorders>
          <w:top w:val="single" w:sz="4" w:space="0" w:color="1E1544" w:themeColor="text1"/>
        </w:tcBorders>
        <w:shd w:val="clear" w:color="auto" w:fill="F1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1544" w:themeColor="text1"/>
        </w:tcBorders>
        <w:shd w:val="clear" w:color="auto" w:fill="F1F2F2" w:themeFill="background1"/>
      </w:tcPr>
    </w:tblStylePr>
    <w:tblStylePr w:type="lastCol">
      <w:rPr>
        <w:rFonts w:asciiTheme="majorHAnsi" w:eastAsiaTheme="majorEastAsia" w:hAnsiTheme="majorHAnsi" w:cstheme="majorBidi"/>
        <w:i/>
        <w:iCs/>
        <w:sz w:val="26"/>
      </w:rPr>
      <w:tblPr/>
      <w:tcPr>
        <w:tcBorders>
          <w:left w:val="single" w:sz="4" w:space="0" w:color="1E1544" w:themeColor="text1"/>
        </w:tcBorders>
        <w:shd w:val="clear" w:color="auto" w:fill="F1F2F2" w:themeFill="background1"/>
      </w:tcPr>
    </w:tblStylePr>
    <w:tblStylePr w:type="band1Vert">
      <w:tblPr/>
      <w:tcPr>
        <w:shd w:val="clear" w:color="auto" w:fill="C6BEEB" w:themeFill="text1" w:themeFillTint="33"/>
      </w:tcPr>
    </w:tblStylePr>
    <w:tblStylePr w:type="band1Horz">
      <w:tblPr/>
      <w:tcPr>
        <w:shd w:val="clear" w:color="auto" w:fill="C6BEEB"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ubtitle">
    <w:name w:val="Subtitle"/>
    <w:basedOn w:val="Normal"/>
    <w:next w:val="Normal"/>
    <w:link w:val="SubtitleChar"/>
    <w:uiPriority w:val="11"/>
    <w:qFormat/>
    <w:rsid w:val="00F520C3"/>
    <w:pPr>
      <w:numPr>
        <w:ilvl w:val="1"/>
      </w:numPr>
    </w:pPr>
    <w:rPr>
      <w:rFonts w:asciiTheme="minorHAnsi" w:eastAsiaTheme="minorEastAsia" w:hAnsiTheme="minorHAnsi"/>
      <w:color w:val="4F38B5" w:themeColor="text1" w:themeTint="A5"/>
      <w:spacing w:val="15"/>
      <w:sz w:val="22"/>
      <w:szCs w:val="22"/>
    </w:rPr>
  </w:style>
  <w:style w:type="character" w:customStyle="1" w:styleId="SubtitleChar">
    <w:name w:val="Subtitle Char"/>
    <w:basedOn w:val="DefaultParagraphFont"/>
    <w:link w:val="Subtitle"/>
    <w:uiPriority w:val="11"/>
    <w:rsid w:val="00F520C3"/>
    <w:rPr>
      <w:rFonts w:eastAsiaTheme="minorEastAsia"/>
      <w:color w:val="4F38B5"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168613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A012F16D881C46A82F1C82F702869B" ma:contentTypeVersion="2" ma:contentTypeDescription="Create a new document." ma:contentTypeScope="" ma:versionID="f35fd7865e9e2fa7ecf95595aef43d0c">
  <xsd:schema xmlns:xsd="http://www.w3.org/2001/XMLSchema" xmlns:xs="http://www.w3.org/2001/XMLSchema" xmlns:p="http://schemas.microsoft.com/office/2006/metadata/properties" xmlns:ns2="48e21489-317b-4c5c-8a53-17d557f14215" targetNamespace="http://schemas.microsoft.com/office/2006/metadata/properties" ma:root="true" ma:fieldsID="16cd3b171c58421992aa59341a8c7a51" ns2:_="">
    <xsd:import namespace="48e21489-317b-4c5c-8a53-17d557f142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21489-317b-4c5c-8a53-17d557f142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E2362-356C-4CDA-9392-C485AD76B771}">
  <ds:schemaRefs>
    <ds:schemaRef ds:uri="48e21489-317b-4c5c-8a53-17d557f142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3.xml><?xml version="1.0" encoding="utf-8"?>
<ds:datastoreItem xmlns:ds="http://schemas.openxmlformats.org/officeDocument/2006/customXml" ds:itemID="{E119E609-8220-404B-A363-D1CC3A5C3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21489-317b-4c5c-8a53-17d557f14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4A947-5E4E-4D15-A554-E3F64EE9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1341</Words>
  <Characters>6974</Characters>
  <Application>Microsoft Office Word</Application>
  <DocSecurity>0</DocSecurity>
  <Lines>101</Lines>
  <Paragraphs>41</Paragraphs>
  <ScaleCrop>false</ScaleCrop>
  <HeadingPairs>
    <vt:vector size="2" baseType="variant">
      <vt:variant>
        <vt:lpstr>Title</vt:lpstr>
      </vt:variant>
      <vt:variant>
        <vt:i4>1</vt:i4>
      </vt:variant>
    </vt:vector>
  </HeadingPairs>
  <TitlesOfParts>
    <vt:vector size="1" baseType="lpstr">
      <vt:lpstr>Support at Home</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at Home</dc:title>
  <dc:subject>Aged care, home care, older people, senior Australians</dc:subject>
  <dc:creator>Australian Government Department of Health and Aged Care</dc:creator>
  <cp:keywords>Aged care, home care, older people, senior Australians</cp:keywords>
  <dc:description/>
  <cp:revision>11</cp:revision>
  <dcterms:created xsi:type="dcterms:W3CDTF">2024-08-21T01:42:00Z</dcterms:created>
  <dcterms:modified xsi:type="dcterms:W3CDTF">2024-09-11T23:25:00Z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0x01010038A012F16D881C46A82F1C82F702869B</vt:lpwstr>
  </property>
  <property fmtid="{D5CDD505-2E9C-101B-9397-08002B2CF9AE}" pid="3" name="MediaServiceImageTags">
    <vt:lpwstr/>
  </property>
  <property fmtid="{D5CDD505-2E9C-101B-9397-08002B2CF9AE}" pid="4" name="Order">
    <vt:r8>796600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