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BA1D0" w14:textId="7423E8D4" w:rsidR="002E332E" w:rsidRPr="00B4789F" w:rsidRDefault="003579D2" w:rsidP="00B4789F">
      <w:pPr>
        <w:pStyle w:val="Heading1"/>
        <w:jc w:val="center"/>
        <w:rPr>
          <w:b/>
          <w:bCs/>
          <w:color w:val="auto"/>
        </w:rPr>
      </w:pPr>
      <w:r w:rsidRPr="003579D2">
        <w:rPr>
          <w:b/>
          <w:bCs/>
          <w:color w:val="auto"/>
        </w:rPr>
        <w:t>Aged Care Quality and Safety Commission</w:t>
      </w:r>
      <w:r>
        <w:rPr>
          <w:b/>
          <w:bCs/>
          <w:color w:val="auto"/>
        </w:rPr>
        <w:br/>
      </w:r>
      <w:r w:rsidR="002E332E" w:rsidRPr="001657F9">
        <w:rPr>
          <w:b/>
          <w:bCs/>
          <w:color w:val="auto"/>
        </w:rPr>
        <w:t>Statement of Expectations</w:t>
      </w:r>
    </w:p>
    <w:p w14:paraId="401FFFC4" w14:textId="0E1DB320" w:rsidR="00C80C66" w:rsidRDefault="00F37F76" w:rsidP="00B4789F">
      <w:pPr>
        <w:spacing w:before="360"/>
        <w:rPr>
          <w:rFonts w:asciiTheme="minorHAnsi" w:hAnsiTheme="minorHAnsi" w:cstheme="minorHAnsi"/>
          <w:sz w:val="22"/>
          <w:szCs w:val="22"/>
        </w:rPr>
      </w:pPr>
      <w:r>
        <w:rPr>
          <w:rFonts w:asciiTheme="minorHAnsi" w:hAnsiTheme="minorHAnsi" w:cstheme="minorHAnsi"/>
          <w:sz w:val="22"/>
          <w:szCs w:val="22"/>
        </w:rPr>
        <w:t xml:space="preserve">Ministerial Statements of Expectations provide greater clarity about </w:t>
      </w:r>
      <w:r w:rsidR="00064F1D">
        <w:rPr>
          <w:rFonts w:asciiTheme="minorHAnsi" w:hAnsiTheme="minorHAnsi" w:cstheme="minorHAnsi"/>
          <w:sz w:val="22"/>
          <w:szCs w:val="22"/>
        </w:rPr>
        <w:t xml:space="preserve">the implementation of </w:t>
      </w:r>
      <w:r>
        <w:rPr>
          <w:rFonts w:asciiTheme="minorHAnsi" w:hAnsiTheme="minorHAnsi" w:cstheme="minorHAnsi"/>
          <w:sz w:val="22"/>
          <w:szCs w:val="22"/>
        </w:rPr>
        <w:t>government policies and objectives relevant to the regulator in carrying out it</w:t>
      </w:r>
      <w:r w:rsidR="00834CAD">
        <w:rPr>
          <w:rFonts w:asciiTheme="minorHAnsi" w:hAnsiTheme="minorHAnsi" w:cstheme="minorHAnsi"/>
          <w:sz w:val="22"/>
          <w:szCs w:val="22"/>
        </w:rPr>
        <w:t>s</w:t>
      </w:r>
      <w:r>
        <w:rPr>
          <w:rFonts w:asciiTheme="minorHAnsi" w:hAnsiTheme="minorHAnsi" w:cstheme="minorHAnsi"/>
          <w:sz w:val="22"/>
          <w:szCs w:val="22"/>
        </w:rPr>
        <w:t xml:space="preserve"> statutory functions. As the </w:t>
      </w:r>
      <w:proofErr w:type="gramStart"/>
      <w:r>
        <w:rPr>
          <w:rFonts w:asciiTheme="minorHAnsi" w:hAnsiTheme="minorHAnsi" w:cstheme="minorHAnsi"/>
          <w:sz w:val="22"/>
          <w:szCs w:val="22"/>
        </w:rPr>
        <w:t>Government Minister</w:t>
      </w:r>
      <w:proofErr w:type="gramEnd"/>
      <w:r>
        <w:rPr>
          <w:rFonts w:asciiTheme="minorHAnsi" w:hAnsiTheme="minorHAnsi" w:cstheme="minorHAnsi"/>
          <w:sz w:val="22"/>
          <w:szCs w:val="22"/>
        </w:rPr>
        <w:t xml:space="preserve"> responsible for A</w:t>
      </w:r>
      <w:r w:rsidR="007A27A6">
        <w:rPr>
          <w:rFonts w:asciiTheme="minorHAnsi" w:hAnsiTheme="minorHAnsi" w:cstheme="minorHAnsi"/>
          <w:sz w:val="22"/>
          <w:szCs w:val="22"/>
        </w:rPr>
        <w:t xml:space="preserve">ged Care, my responsibilities include administration of the </w:t>
      </w:r>
      <w:r w:rsidR="007A27A6" w:rsidRPr="002E2B88">
        <w:rPr>
          <w:rFonts w:asciiTheme="minorHAnsi" w:hAnsiTheme="minorHAnsi" w:cstheme="minorHAnsi"/>
          <w:i/>
          <w:iCs/>
          <w:sz w:val="22"/>
          <w:szCs w:val="22"/>
        </w:rPr>
        <w:t xml:space="preserve">Aged Care Quality and Safety Commission Act 2018 </w:t>
      </w:r>
      <w:r w:rsidR="007A27A6" w:rsidRPr="0053351F">
        <w:rPr>
          <w:rFonts w:asciiTheme="minorHAnsi" w:hAnsiTheme="minorHAnsi" w:cstheme="minorHAnsi"/>
          <w:sz w:val="22"/>
          <w:szCs w:val="22"/>
        </w:rPr>
        <w:t>(</w:t>
      </w:r>
      <w:r w:rsidR="00237880" w:rsidRPr="002E2B88">
        <w:rPr>
          <w:rFonts w:asciiTheme="minorHAnsi" w:hAnsiTheme="minorHAnsi" w:cstheme="minorHAnsi"/>
          <w:sz w:val="22"/>
          <w:szCs w:val="22"/>
        </w:rPr>
        <w:t>Commission</w:t>
      </w:r>
      <w:r w:rsidR="007A27A6" w:rsidRPr="002E2B88">
        <w:rPr>
          <w:rFonts w:asciiTheme="minorHAnsi" w:hAnsiTheme="minorHAnsi" w:cstheme="minorHAnsi"/>
          <w:sz w:val="22"/>
          <w:szCs w:val="22"/>
        </w:rPr>
        <w:t xml:space="preserve"> Act)</w:t>
      </w:r>
      <w:r w:rsidR="007A27A6" w:rsidRPr="002E2B88">
        <w:rPr>
          <w:rFonts w:asciiTheme="minorHAnsi" w:hAnsiTheme="minorHAnsi" w:cstheme="minorHAnsi"/>
          <w:i/>
          <w:iCs/>
          <w:sz w:val="22"/>
          <w:szCs w:val="22"/>
        </w:rPr>
        <w:t xml:space="preserve">, </w:t>
      </w:r>
      <w:r w:rsidR="007A27A6" w:rsidRPr="005C5910">
        <w:rPr>
          <w:rFonts w:asciiTheme="minorHAnsi" w:hAnsiTheme="minorHAnsi" w:cstheme="minorHAnsi"/>
          <w:sz w:val="22"/>
          <w:szCs w:val="22"/>
        </w:rPr>
        <w:t>and the Aged Care Quality</w:t>
      </w:r>
      <w:r w:rsidR="007A27A6" w:rsidRPr="002E2B88">
        <w:rPr>
          <w:rFonts w:asciiTheme="minorHAnsi" w:hAnsiTheme="minorHAnsi" w:cstheme="minorHAnsi"/>
          <w:i/>
          <w:iCs/>
          <w:sz w:val="22"/>
          <w:szCs w:val="22"/>
        </w:rPr>
        <w:t xml:space="preserve"> </w:t>
      </w:r>
      <w:r w:rsidR="007A27A6" w:rsidRPr="002E2B88">
        <w:rPr>
          <w:rFonts w:asciiTheme="minorHAnsi" w:hAnsiTheme="minorHAnsi" w:cstheme="minorHAnsi"/>
          <w:sz w:val="22"/>
          <w:szCs w:val="22"/>
        </w:rPr>
        <w:t>and Safety Commission Rules 2018.</w:t>
      </w:r>
      <w:r w:rsidR="003548E4" w:rsidRPr="002E2B88">
        <w:rPr>
          <w:rFonts w:asciiTheme="minorHAnsi" w:hAnsiTheme="minorHAnsi" w:cstheme="minorHAnsi"/>
          <w:sz w:val="22"/>
          <w:szCs w:val="22"/>
        </w:rPr>
        <w:t xml:space="preserve"> </w:t>
      </w:r>
      <w:r w:rsidR="003548E4">
        <w:rPr>
          <w:rFonts w:asciiTheme="minorHAnsi" w:hAnsiTheme="minorHAnsi" w:cstheme="minorHAnsi"/>
          <w:sz w:val="22"/>
          <w:szCs w:val="22"/>
        </w:rPr>
        <w:t>This statement sets out my expectation</w:t>
      </w:r>
      <w:r w:rsidR="00362975">
        <w:rPr>
          <w:rFonts w:asciiTheme="minorHAnsi" w:hAnsiTheme="minorHAnsi" w:cstheme="minorHAnsi"/>
          <w:sz w:val="22"/>
          <w:szCs w:val="22"/>
        </w:rPr>
        <w:t>s</w:t>
      </w:r>
      <w:r w:rsidR="003548E4">
        <w:rPr>
          <w:rFonts w:asciiTheme="minorHAnsi" w:hAnsiTheme="minorHAnsi" w:cstheme="minorHAnsi"/>
          <w:sz w:val="22"/>
          <w:szCs w:val="22"/>
        </w:rPr>
        <w:t xml:space="preserve"> of the Aged Care Quality and Safety Commission (</w:t>
      </w:r>
      <w:r w:rsidR="00237880">
        <w:rPr>
          <w:rFonts w:asciiTheme="minorHAnsi" w:hAnsiTheme="minorHAnsi" w:cstheme="minorHAnsi"/>
          <w:sz w:val="22"/>
          <w:szCs w:val="22"/>
        </w:rPr>
        <w:t>Commission</w:t>
      </w:r>
      <w:r w:rsidR="003548E4">
        <w:rPr>
          <w:rFonts w:asciiTheme="minorHAnsi" w:hAnsiTheme="minorHAnsi" w:cstheme="minorHAnsi"/>
          <w:sz w:val="22"/>
          <w:szCs w:val="22"/>
        </w:rPr>
        <w:t>).</w:t>
      </w:r>
    </w:p>
    <w:p w14:paraId="721DCC55" w14:textId="16D89CB8" w:rsidR="0078696C" w:rsidRDefault="009B0266" w:rsidP="004C3F6A">
      <w:pPr>
        <w:pStyle w:val="Heading2"/>
        <w:spacing w:before="360" w:after="160"/>
        <w:rPr>
          <w:rFonts w:asciiTheme="minorHAnsi" w:hAnsiTheme="minorHAnsi" w:cstheme="minorHAnsi"/>
          <w:b/>
          <w:bCs/>
          <w:color w:val="auto"/>
          <w:sz w:val="22"/>
          <w:szCs w:val="22"/>
        </w:rPr>
      </w:pPr>
      <w:r>
        <w:rPr>
          <w:rFonts w:asciiTheme="minorHAnsi" w:hAnsiTheme="minorHAnsi" w:cstheme="minorHAnsi"/>
          <w:b/>
          <w:bCs/>
          <w:color w:val="auto"/>
          <w:sz w:val="22"/>
          <w:szCs w:val="22"/>
        </w:rPr>
        <w:t>Overview</w:t>
      </w:r>
    </w:p>
    <w:p w14:paraId="5AB8B4FA" w14:textId="644D3C81" w:rsidR="005C0F3A" w:rsidRPr="005C0F3A" w:rsidRDefault="00AC62C2" w:rsidP="008D2394">
      <w:r w:rsidRPr="00A8471A">
        <w:rPr>
          <w:rFonts w:asciiTheme="minorHAnsi" w:hAnsiTheme="minorHAnsi" w:cstheme="minorBidi"/>
          <w:sz w:val="22"/>
          <w:szCs w:val="22"/>
        </w:rPr>
        <w:t xml:space="preserve">The Commission is an independent statutory agency pursuant to the Commission Act and </w:t>
      </w:r>
      <w:r w:rsidRPr="00A8471A">
        <w:rPr>
          <w:rFonts w:asciiTheme="minorHAnsi" w:hAnsiTheme="minorHAnsi" w:cstheme="minorBidi"/>
          <w:i/>
          <w:iCs/>
          <w:sz w:val="22"/>
          <w:szCs w:val="22"/>
        </w:rPr>
        <w:t>Public</w:t>
      </w:r>
      <w:r w:rsidR="003A42C6">
        <w:rPr>
          <w:rFonts w:asciiTheme="minorHAnsi" w:hAnsiTheme="minorHAnsi" w:cstheme="minorBidi"/>
          <w:i/>
          <w:iCs/>
          <w:sz w:val="22"/>
          <w:szCs w:val="22"/>
        </w:rPr>
        <w:t> </w:t>
      </w:r>
      <w:r w:rsidRPr="00A8471A">
        <w:rPr>
          <w:rFonts w:asciiTheme="minorHAnsi" w:hAnsiTheme="minorHAnsi" w:cstheme="minorBidi"/>
          <w:i/>
          <w:iCs/>
          <w:sz w:val="22"/>
          <w:szCs w:val="22"/>
        </w:rPr>
        <w:t>Governance, Performance and Accountability Act 2013</w:t>
      </w:r>
      <w:r w:rsidRPr="00A8471A">
        <w:rPr>
          <w:rFonts w:asciiTheme="minorHAnsi" w:hAnsiTheme="minorHAnsi" w:cstheme="minorBidi"/>
          <w:sz w:val="22"/>
          <w:szCs w:val="22"/>
        </w:rPr>
        <w:t xml:space="preserve"> (PGPA Act). The primary role of the Commission is to</w:t>
      </w:r>
      <w:r w:rsidR="0058645D">
        <w:rPr>
          <w:rFonts w:asciiTheme="minorHAnsi" w:hAnsiTheme="minorHAnsi" w:cstheme="minorBidi"/>
          <w:sz w:val="22"/>
          <w:szCs w:val="22"/>
        </w:rPr>
        <w:t>:</w:t>
      </w:r>
    </w:p>
    <w:p w14:paraId="7B03B9C0" w14:textId="2F7DFF7D" w:rsidR="005C0F3A" w:rsidRPr="005C0F3A" w:rsidRDefault="005C0F3A" w:rsidP="005C0F3A">
      <w:pPr>
        <w:pStyle w:val="ListParagraph"/>
        <w:numPr>
          <w:ilvl w:val="0"/>
          <w:numId w:val="12"/>
        </w:numPr>
        <w:spacing w:after="120"/>
        <w:rPr>
          <w:rFonts w:asciiTheme="minorHAnsi" w:hAnsiTheme="minorHAnsi" w:cstheme="minorHAnsi"/>
          <w:sz w:val="22"/>
          <w:szCs w:val="22"/>
        </w:rPr>
      </w:pPr>
      <w:r w:rsidRPr="005C0F3A">
        <w:rPr>
          <w:rFonts w:asciiTheme="minorHAnsi" w:hAnsiTheme="minorHAnsi" w:cstheme="minorHAnsi"/>
          <w:sz w:val="22"/>
          <w:szCs w:val="22"/>
        </w:rPr>
        <w:t>protect and enhanc</w:t>
      </w:r>
      <w:r w:rsidR="0058645D">
        <w:rPr>
          <w:rFonts w:asciiTheme="minorHAnsi" w:hAnsiTheme="minorHAnsi" w:cstheme="minorHAnsi"/>
          <w:sz w:val="22"/>
          <w:szCs w:val="22"/>
        </w:rPr>
        <w:t>e</w:t>
      </w:r>
      <w:r w:rsidRPr="005C0F3A">
        <w:rPr>
          <w:rFonts w:asciiTheme="minorHAnsi" w:hAnsiTheme="minorHAnsi" w:cstheme="minorHAnsi"/>
          <w:sz w:val="22"/>
          <w:szCs w:val="22"/>
        </w:rPr>
        <w:t xml:space="preserve"> the safety, health, </w:t>
      </w:r>
      <w:r w:rsidR="00BF15F9" w:rsidRPr="005C0F3A">
        <w:rPr>
          <w:rFonts w:asciiTheme="minorHAnsi" w:hAnsiTheme="minorHAnsi" w:cstheme="minorHAnsi"/>
          <w:sz w:val="22"/>
          <w:szCs w:val="22"/>
        </w:rPr>
        <w:t>wellbeing,</w:t>
      </w:r>
      <w:r w:rsidRPr="005C0F3A">
        <w:rPr>
          <w:rFonts w:asciiTheme="minorHAnsi" w:hAnsiTheme="minorHAnsi" w:cstheme="minorHAnsi"/>
          <w:sz w:val="22"/>
          <w:szCs w:val="22"/>
        </w:rPr>
        <w:t xml:space="preserve"> and quality of life of aged care consumers</w:t>
      </w:r>
      <w:r w:rsidR="00BF15F9">
        <w:rPr>
          <w:rFonts w:asciiTheme="minorHAnsi" w:hAnsiTheme="minorHAnsi" w:cstheme="minorHAnsi"/>
          <w:sz w:val="22"/>
          <w:szCs w:val="22"/>
        </w:rPr>
        <w:t>,</w:t>
      </w:r>
    </w:p>
    <w:p w14:paraId="58FA0045" w14:textId="3A5B3651" w:rsidR="005C0F3A" w:rsidRPr="005C0F3A" w:rsidRDefault="005C0F3A" w:rsidP="005C0F3A">
      <w:pPr>
        <w:pStyle w:val="ListParagraph"/>
        <w:numPr>
          <w:ilvl w:val="0"/>
          <w:numId w:val="12"/>
        </w:numPr>
        <w:spacing w:after="120"/>
        <w:rPr>
          <w:rFonts w:asciiTheme="minorHAnsi" w:hAnsiTheme="minorHAnsi" w:cstheme="minorHAnsi"/>
          <w:sz w:val="22"/>
          <w:szCs w:val="22"/>
        </w:rPr>
      </w:pPr>
      <w:bookmarkStart w:id="0" w:name="_Hlk169172772"/>
      <w:r w:rsidRPr="005C0F3A">
        <w:rPr>
          <w:rFonts w:asciiTheme="minorHAnsi" w:hAnsiTheme="minorHAnsi" w:cstheme="minorHAnsi"/>
          <w:sz w:val="22"/>
          <w:szCs w:val="22"/>
        </w:rPr>
        <w:t>promot</w:t>
      </w:r>
      <w:r w:rsidR="0058645D">
        <w:rPr>
          <w:rFonts w:asciiTheme="minorHAnsi" w:hAnsiTheme="minorHAnsi" w:cstheme="minorHAnsi"/>
          <w:sz w:val="22"/>
          <w:szCs w:val="22"/>
        </w:rPr>
        <w:t>e</w:t>
      </w:r>
      <w:r w:rsidRPr="005C0F3A">
        <w:rPr>
          <w:rFonts w:asciiTheme="minorHAnsi" w:hAnsiTheme="minorHAnsi" w:cstheme="minorHAnsi"/>
          <w:sz w:val="22"/>
          <w:szCs w:val="22"/>
        </w:rPr>
        <w:t xml:space="preserve"> engagement with consumers about the quality of care and services</w:t>
      </w:r>
      <w:r>
        <w:rPr>
          <w:rFonts w:asciiTheme="minorHAnsi" w:hAnsiTheme="minorHAnsi" w:cstheme="minorHAnsi"/>
          <w:sz w:val="22"/>
          <w:szCs w:val="22"/>
        </w:rPr>
        <w:t>, and</w:t>
      </w:r>
    </w:p>
    <w:p w14:paraId="1211A575" w14:textId="132BA678" w:rsidR="009539AB" w:rsidRPr="008D2394" w:rsidRDefault="005C0F3A" w:rsidP="00F06F31">
      <w:pPr>
        <w:pStyle w:val="ListParagraph"/>
        <w:numPr>
          <w:ilvl w:val="0"/>
          <w:numId w:val="12"/>
        </w:numPr>
        <w:ind w:left="714" w:hanging="357"/>
        <w:rPr>
          <w:rFonts w:asciiTheme="minorHAnsi" w:hAnsiTheme="minorHAnsi" w:cstheme="minorHAnsi"/>
          <w:sz w:val="22"/>
          <w:szCs w:val="22"/>
        </w:rPr>
      </w:pPr>
      <w:r w:rsidRPr="005C0F3A">
        <w:rPr>
          <w:rFonts w:asciiTheme="minorHAnsi" w:hAnsiTheme="minorHAnsi" w:cstheme="minorHAnsi"/>
          <w:sz w:val="22"/>
          <w:szCs w:val="22"/>
        </w:rPr>
        <w:t>promot</w:t>
      </w:r>
      <w:r w:rsidR="0058645D">
        <w:rPr>
          <w:rFonts w:asciiTheme="minorHAnsi" w:hAnsiTheme="minorHAnsi" w:cstheme="minorHAnsi"/>
          <w:sz w:val="22"/>
          <w:szCs w:val="22"/>
        </w:rPr>
        <w:t>e</w:t>
      </w:r>
      <w:r w:rsidRPr="005C0F3A">
        <w:rPr>
          <w:rFonts w:asciiTheme="minorHAnsi" w:hAnsiTheme="minorHAnsi" w:cstheme="minorHAnsi"/>
          <w:sz w:val="22"/>
          <w:szCs w:val="22"/>
        </w:rPr>
        <w:t xml:space="preserve"> confidence and trust in the provision of aged care</w:t>
      </w:r>
      <w:bookmarkEnd w:id="0"/>
      <w:r w:rsidRPr="005C0F3A">
        <w:rPr>
          <w:rFonts w:asciiTheme="minorHAnsi" w:hAnsiTheme="minorHAnsi" w:cstheme="minorHAnsi"/>
          <w:sz w:val="22"/>
          <w:szCs w:val="22"/>
        </w:rPr>
        <w:t>.</w:t>
      </w:r>
    </w:p>
    <w:p w14:paraId="2548EC69" w14:textId="3A2D4FBC" w:rsidR="00EB606F" w:rsidRDefault="006A4060" w:rsidP="00561515">
      <w:pPr>
        <w:rPr>
          <w:rFonts w:asciiTheme="minorHAnsi" w:hAnsiTheme="minorHAnsi" w:cstheme="minorBidi"/>
          <w:sz w:val="22"/>
          <w:szCs w:val="22"/>
        </w:rPr>
      </w:pPr>
      <w:r w:rsidRPr="45DD478D">
        <w:rPr>
          <w:rFonts w:asciiTheme="minorHAnsi" w:hAnsiTheme="minorHAnsi" w:cstheme="minorBidi"/>
          <w:sz w:val="22"/>
          <w:szCs w:val="22"/>
        </w:rPr>
        <w:t>I, as the Minister for Aged Care,</w:t>
      </w:r>
      <w:r w:rsidR="00FE4C94" w:rsidRPr="45DD478D">
        <w:rPr>
          <w:rFonts w:asciiTheme="minorHAnsi" w:hAnsiTheme="minorHAnsi" w:cstheme="minorBidi"/>
          <w:sz w:val="22"/>
          <w:szCs w:val="22"/>
        </w:rPr>
        <w:t xml:space="preserve"> </w:t>
      </w:r>
      <w:r w:rsidRPr="45DD478D">
        <w:rPr>
          <w:rFonts w:asciiTheme="minorHAnsi" w:hAnsiTheme="minorHAnsi" w:cstheme="minorBidi"/>
          <w:sz w:val="22"/>
          <w:szCs w:val="22"/>
        </w:rPr>
        <w:t>recognise</w:t>
      </w:r>
      <w:r w:rsidR="00FE4C94" w:rsidRPr="45DD478D">
        <w:rPr>
          <w:rFonts w:asciiTheme="minorHAnsi" w:hAnsiTheme="minorHAnsi" w:cstheme="minorBidi"/>
          <w:sz w:val="22"/>
          <w:szCs w:val="22"/>
        </w:rPr>
        <w:t xml:space="preserve"> and respect the independence of the </w:t>
      </w:r>
      <w:r w:rsidR="006D2B37" w:rsidRPr="45DD478D">
        <w:rPr>
          <w:rFonts w:asciiTheme="minorHAnsi" w:hAnsiTheme="minorHAnsi" w:cstheme="minorBidi"/>
          <w:sz w:val="22"/>
          <w:szCs w:val="22"/>
        </w:rPr>
        <w:t>Aged Care Quality and Safety Commissioner</w:t>
      </w:r>
      <w:r w:rsidR="00C4291F" w:rsidRPr="45DD478D">
        <w:rPr>
          <w:rFonts w:asciiTheme="minorHAnsi" w:hAnsiTheme="minorHAnsi" w:cstheme="minorBidi"/>
          <w:sz w:val="22"/>
          <w:szCs w:val="22"/>
        </w:rPr>
        <w:t xml:space="preserve"> (Commissioner)</w:t>
      </w:r>
      <w:r w:rsidR="006D2B37" w:rsidRPr="45DD478D">
        <w:rPr>
          <w:rFonts w:asciiTheme="minorHAnsi" w:hAnsiTheme="minorHAnsi" w:cstheme="minorBidi"/>
          <w:sz w:val="22"/>
          <w:szCs w:val="22"/>
        </w:rPr>
        <w:t xml:space="preserve"> appointed under the Commission Act</w:t>
      </w:r>
      <w:r w:rsidR="00E43159" w:rsidRPr="45DD478D">
        <w:rPr>
          <w:rFonts w:asciiTheme="minorHAnsi" w:hAnsiTheme="minorHAnsi" w:cstheme="minorBidi"/>
          <w:sz w:val="22"/>
          <w:szCs w:val="22"/>
        </w:rPr>
        <w:t>,</w:t>
      </w:r>
      <w:r w:rsidR="006D2B37" w:rsidRPr="45DD478D">
        <w:rPr>
          <w:rFonts w:asciiTheme="minorHAnsi" w:hAnsiTheme="minorHAnsi" w:cstheme="minorBidi"/>
          <w:sz w:val="22"/>
          <w:szCs w:val="22"/>
        </w:rPr>
        <w:t xml:space="preserve"> and their responsibility for the regulation of</w:t>
      </w:r>
      <w:r w:rsidR="007F1D6E" w:rsidRPr="45DD478D">
        <w:rPr>
          <w:rFonts w:asciiTheme="minorHAnsi" w:hAnsiTheme="minorHAnsi" w:cstheme="minorBidi"/>
          <w:sz w:val="22"/>
          <w:szCs w:val="22"/>
        </w:rPr>
        <w:t xml:space="preserve"> </w:t>
      </w:r>
      <w:r w:rsidR="005674C6" w:rsidRPr="45DD478D">
        <w:rPr>
          <w:rFonts w:asciiTheme="minorHAnsi" w:hAnsiTheme="minorHAnsi" w:cstheme="minorBidi"/>
          <w:sz w:val="22"/>
          <w:szCs w:val="22"/>
        </w:rPr>
        <w:t>C</w:t>
      </w:r>
      <w:r w:rsidR="007F1D6E" w:rsidRPr="45DD478D">
        <w:rPr>
          <w:rFonts w:asciiTheme="minorHAnsi" w:hAnsiTheme="minorHAnsi" w:cstheme="minorBidi"/>
          <w:sz w:val="22"/>
          <w:szCs w:val="22"/>
        </w:rPr>
        <w:t>ommonwealth</w:t>
      </w:r>
      <w:r w:rsidR="00FF6EE2" w:rsidRPr="45DD478D">
        <w:rPr>
          <w:rFonts w:asciiTheme="minorHAnsi" w:hAnsiTheme="minorHAnsi" w:cstheme="minorBidi"/>
          <w:sz w:val="22"/>
          <w:szCs w:val="22"/>
        </w:rPr>
        <w:t>-</w:t>
      </w:r>
      <w:r w:rsidR="007F1D6E" w:rsidRPr="45DD478D">
        <w:rPr>
          <w:rFonts w:asciiTheme="minorHAnsi" w:hAnsiTheme="minorHAnsi" w:cstheme="minorBidi"/>
          <w:sz w:val="22"/>
          <w:szCs w:val="22"/>
        </w:rPr>
        <w:t>funded</w:t>
      </w:r>
      <w:r w:rsidR="006D2B37" w:rsidRPr="45DD478D">
        <w:rPr>
          <w:rFonts w:asciiTheme="minorHAnsi" w:hAnsiTheme="minorHAnsi" w:cstheme="minorBidi"/>
          <w:sz w:val="22"/>
          <w:szCs w:val="22"/>
        </w:rPr>
        <w:t xml:space="preserve"> </w:t>
      </w:r>
      <w:r w:rsidR="00C15141" w:rsidRPr="45DD478D">
        <w:rPr>
          <w:rFonts w:asciiTheme="minorHAnsi" w:hAnsiTheme="minorHAnsi" w:cstheme="minorBidi"/>
          <w:sz w:val="22"/>
          <w:szCs w:val="22"/>
        </w:rPr>
        <w:t>aged care services</w:t>
      </w:r>
      <w:r w:rsidR="00E43159" w:rsidRPr="45DD478D">
        <w:rPr>
          <w:rFonts w:asciiTheme="minorHAnsi" w:hAnsiTheme="minorHAnsi" w:cstheme="minorBidi"/>
          <w:sz w:val="22"/>
          <w:szCs w:val="22"/>
        </w:rPr>
        <w:t xml:space="preserve">, as set out </w:t>
      </w:r>
      <w:r w:rsidR="0044666F">
        <w:rPr>
          <w:rFonts w:asciiTheme="minorHAnsi" w:hAnsiTheme="minorHAnsi" w:cstheme="minorBidi"/>
          <w:sz w:val="22"/>
          <w:szCs w:val="22"/>
        </w:rPr>
        <w:t>in</w:t>
      </w:r>
      <w:r w:rsidR="00E43159" w:rsidRPr="45DD478D">
        <w:rPr>
          <w:rFonts w:asciiTheme="minorHAnsi" w:hAnsiTheme="minorHAnsi" w:cstheme="minorBidi"/>
          <w:sz w:val="22"/>
          <w:szCs w:val="22"/>
        </w:rPr>
        <w:t xml:space="preserve"> the Commission Act</w:t>
      </w:r>
      <w:r w:rsidR="00C15141" w:rsidRPr="45DD478D">
        <w:rPr>
          <w:rFonts w:asciiTheme="minorHAnsi" w:hAnsiTheme="minorHAnsi" w:cstheme="minorBidi"/>
          <w:sz w:val="22"/>
          <w:szCs w:val="22"/>
        </w:rPr>
        <w:t>.</w:t>
      </w:r>
    </w:p>
    <w:p w14:paraId="6920CF0F" w14:textId="77777777" w:rsidR="00D5606B" w:rsidRPr="00D5606B" w:rsidRDefault="00D5606B" w:rsidP="00D5606B">
      <w:pPr>
        <w:keepNext/>
        <w:keepLines/>
        <w:spacing w:before="360"/>
        <w:outlineLvl w:val="1"/>
        <w:rPr>
          <w:rFonts w:asciiTheme="minorHAnsi" w:eastAsiaTheme="majorEastAsia" w:hAnsiTheme="minorHAnsi" w:cstheme="minorHAnsi"/>
          <w:b/>
          <w:bCs/>
          <w:sz w:val="22"/>
          <w:szCs w:val="22"/>
        </w:rPr>
      </w:pPr>
      <w:r w:rsidRPr="00D5606B">
        <w:rPr>
          <w:rFonts w:asciiTheme="minorHAnsi" w:eastAsiaTheme="majorEastAsia" w:hAnsiTheme="minorHAnsi" w:cstheme="minorHAnsi"/>
          <w:b/>
          <w:bCs/>
          <w:sz w:val="22"/>
          <w:szCs w:val="22"/>
        </w:rPr>
        <w:t>Regulatory Activities</w:t>
      </w:r>
    </w:p>
    <w:p w14:paraId="2AB45402" w14:textId="17DCD4A0" w:rsidR="00D5606B" w:rsidRPr="00D5606B" w:rsidRDefault="00507AC7" w:rsidP="00D5606B">
      <w:pPr>
        <w:rPr>
          <w:rFonts w:asciiTheme="minorHAnsi" w:hAnsiTheme="minorHAnsi" w:cstheme="minorHAnsi"/>
          <w:sz w:val="22"/>
          <w:szCs w:val="22"/>
        </w:rPr>
      </w:pPr>
      <w:r>
        <w:rPr>
          <w:rFonts w:asciiTheme="minorHAnsi" w:hAnsiTheme="minorHAnsi" w:cstheme="minorBidi"/>
          <w:sz w:val="22"/>
          <w:szCs w:val="22"/>
        </w:rPr>
        <w:t>I expect</w:t>
      </w:r>
      <w:r w:rsidR="00D5606B" w:rsidRPr="1F112B77">
        <w:rPr>
          <w:rFonts w:asciiTheme="minorHAnsi" w:hAnsiTheme="minorHAnsi" w:cstheme="minorBidi"/>
          <w:sz w:val="22"/>
          <w:szCs w:val="22"/>
        </w:rPr>
        <w:t xml:space="preserve"> the Commission to undertake activities that support the Government’s objective of ensuring safety, dignity, and wellbeing of every older </w:t>
      </w:r>
      <w:r w:rsidR="00CD0455">
        <w:rPr>
          <w:rFonts w:asciiTheme="minorHAnsi" w:hAnsiTheme="minorHAnsi" w:cstheme="minorBidi"/>
          <w:sz w:val="22"/>
          <w:szCs w:val="22"/>
        </w:rPr>
        <w:t>person</w:t>
      </w:r>
      <w:r w:rsidR="00D5606B" w:rsidRPr="1F112B77">
        <w:rPr>
          <w:rFonts w:asciiTheme="minorHAnsi" w:hAnsiTheme="minorHAnsi" w:cstheme="minorBidi"/>
          <w:sz w:val="22"/>
          <w:szCs w:val="22"/>
        </w:rPr>
        <w:t xml:space="preserve"> using aged care services. To achieve this, the Commission is expected to undertake its regulatory activities transparently and collaborate and engage with Government, the aged care sector, peak and industry bodies, and consumers to implement major reforms under the new Aged Care Act.</w:t>
      </w:r>
    </w:p>
    <w:p w14:paraId="6B0FF66B" w14:textId="6C711DF8" w:rsidR="00161AAE" w:rsidRDefault="6C21F19F" w:rsidP="00561515">
      <w:pPr>
        <w:rPr>
          <w:rFonts w:asciiTheme="minorHAnsi" w:hAnsiTheme="minorHAnsi" w:cstheme="minorBidi"/>
          <w:sz w:val="22"/>
          <w:szCs w:val="22"/>
        </w:rPr>
      </w:pPr>
      <w:r w:rsidRPr="1F112B77">
        <w:rPr>
          <w:rFonts w:asciiTheme="minorHAnsi" w:hAnsiTheme="minorHAnsi" w:cstheme="minorBidi"/>
          <w:sz w:val="22"/>
          <w:szCs w:val="22"/>
        </w:rPr>
        <w:t xml:space="preserve">In taking a risk-based approach to regulation, </w:t>
      </w:r>
      <w:r w:rsidR="00CD0455">
        <w:rPr>
          <w:rFonts w:asciiTheme="minorHAnsi" w:hAnsiTheme="minorHAnsi" w:cstheme="minorBidi"/>
          <w:sz w:val="22"/>
          <w:szCs w:val="22"/>
        </w:rPr>
        <w:t>I expect</w:t>
      </w:r>
      <w:r w:rsidR="00D5606B" w:rsidRPr="1F112B77">
        <w:rPr>
          <w:rFonts w:asciiTheme="minorHAnsi" w:hAnsiTheme="minorHAnsi" w:cstheme="minorBidi"/>
          <w:sz w:val="22"/>
          <w:szCs w:val="22"/>
        </w:rPr>
        <w:t xml:space="preserve"> the Commission </w:t>
      </w:r>
      <w:r w:rsidR="763DC7BB" w:rsidRPr="1F112B77">
        <w:rPr>
          <w:rFonts w:asciiTheme="minorHAnsi" w:hAnsiTheme="minorHAnsi" w:cstheme="minorBidi"/>
          <w:sz w:val="22"/>
          <w:szCs w:val="22"/>
        </w:rPr>
        <w:t xml:space="preserve">to </w:t>
      </w:r>
      <w:r w:rsidR="45EDCC64" w:rsidRPr="1F112B77">
        <w:rPr>
          <w:rFonts w:asciiTheme="minorHAnsi" w:hAnsiTheme="minorHAnsi" w:cstheme="minorBidi"/>
          <w:sz w:val="22"/>
          <w:szCs w:val="22"/>
        </w:rPr>
        <w:t>take proportionate action</w:t>
      </w:r>
      <w:r w:rsidR="288EBB29" w:rsidRPr="1F112B77">
        <w:rPr>
          <w:rFonts w:asciiTheme="minorHAnsi" w:hAnsiTheme="minorHAnsi" w:cstheme="minorBidi"/>
          <w:sz w:val="22"/>
          <w:szCs w:val="22"/>
        </w:rPr>
        <w:t xml:space="preserve"> </w:t>
      </w:r>
      <w:r w:rsidR="6B454317" w:rsidRPr="1F112B77">
        <w:rPr>
          <w:rFonts w:asciiTheme="minorHAnsi" w:hAnsiTheme="minorHAnsi" w:cstheme="minorBidi"/>
          <w:sz w:val="22"/>
          <w:szCs w:val="22"/>
        </w:rPr>
        <w:t xml:space="preserve">against non-compliant providers, </w:t>
      </w:r>
      <w:r w:rsidR="288EBB29" w:rsidRPr="1F112B77">
        <w:rPr>
          <w:rFonts w:asciiTheme="minorHAnsi" w:hAnsiTheme="minorHAnsi" w:cstheme="minorBidi"/>
          <w:sz w:val="22"/>
          <w:szCs w:val="22"/>
        </w:rPr>
        <w:t xml:space="preserve">using the suite of </w:t>
      </w:r>
      <w:r w:rsidR="2DF4552F" w:rsidRPr="1F112B77">
        <w:rPr>
          <w:rFonts w:asciiTheme="minorHAnsi" w:hAnsiTheme="minorHAnsi" w:cstheme="minorBidi"/>
          <w:sz w:val="22"/>
          <w:szCs w:val="22"/>
        </w:rPr>
        <w:t xml:space="preserve">regulatory </w:t>
      </w:r>
      <w:r w:rsidR="288EBB29" w:rsidRPr="1F112B77">
        <w:rPr>
          <w:rFonts w:asciiTheme="minorHAnsi" w:hAnsiTheme="minorHAnsi" w:cstheme="minorBidi"/>
          <w:sz w:val="22"/>
          <w:szCs w:val="22"/>
        </w:rPr>
        <w:t>interventions available</w:t>
      </w:r>
      <w:r w:rsidR="006863CA">
        <w:rPr>
          <w:rFonts w:asciiTheme="minorHAnsi" w:hAnsiTheme="minorHAnsi" w:cstheme="minorBidi"/>
          <w:sz w:val="22"/>
          <w:szCs w:val="22"/>
        </w:rPr>
        <w:t>,</w:t>
      </w:r>
      <w:r w:rsidR="57BD1278" w:rsidRPr="1F112B77">
        <w:rPr>
          <w:rFonts w:asciiTheme="minorHAnsi" w:hAnsiTheme="minorHAnsi" w:cstheme="minorBidi"/>
          <w:sz w:val="22"/>
          <w:szCs w:val="22"/>
        </w:rPr>
        <w:t xml:space="preserve"> and to gather </w:t>
      </w:r>
      <w:r w:rsidR="288EBB29" w:rsidRPr="1F112B77">
        <w:rPr>
          <w:rFonts w:asciiTheme="minorHAnsi" w:hAnsiTheme="minorHAnsi" w:cstheme="minorBidi"/>
          <w:sz w:val="22"/>
          <w:szCs w:val="22"/>
        </w:rPr>
        <w:t>intelligence and data</w:t>
      </w:r>
      <w:r w:rsidR="45EDCC64" w:rsidRPr="1F112B77">
        <w:rPr>
          <w:rFonts w:asciiTheme="minorHAnsi" w:hAnsiTheme="minorHAnsi" w:cstheme="minorBidi"/>
          <w:sz w:val="22"/>
          <w:szCs w:val="22"/>
        </w:rPr>
        <w:t xml:space="preserve"> </w:t>
      </w:r>
      <w:r w:rsidR="58378D22" w:rsidRPr="1F112B77">
        <w:rPr>
          <w:rFonts w:asciiTheme="minorHAnsi" w:hAnsiTheme="minorHAnsi" w:cstheme="minorBidi"/>
          <w:sz w:val="22"/>
          <w:szCs w:val="22"/>
        </w:rPr>
        <w:t xml:space="preserve">about providers </w:t>
      </w:r>
      <w:r w:rsidR="419E1058" w:rsidRPr="1F112B77">
        <w:rPr>
          <w:rFonts w:asciiTheme="minorHAnsi" w:hAnsiTheme="minorHAnsi" w:cstheme="minorBidi"/>
          <w:sz w:val="22"/>
          <w:szCs w:val="22"/>
        </w:rPr>
        <w:t xml:space="preserve">to drive safe and quality </w:t>
      </w:r>
      <w:r w:rsidR="7F0FC29C" w:rsidRPr="1F112B77">
        <w:rPr>
          <w:rFonts w:asciiTheme="minorHAnsi" w:hAnsiTheme="minorHAnsi" w:cstheme="minorBidi"/>
          <w:sz w:val="22"/>
          <w:szCs w:val="22"/>
        </w:rPr>
        <w:t xml:space="preserve">aged care </w:t>
      </w:r>
      <w:r w:rsidR="419E1058" w:rsidRPr="1F112B77">
        <w:rPr>
          <w:rFonts w:asciiTheme="minorHAnsi" w:hAnsiTheme="minorHAnsi" w:cstheme="minorBidi"/>
          <w:sz w:val="22"/>
          <w:szCs w:val="22"/>
        </w:rPr>
        <w:t>service</w:t>
      </w:r>
      <w:r w:rsidR="68297081" w:rsidRPr="1F112B77">
        <w:rPr>
          <w:rFonts w:asciiTheme="minorHAnsi" w:hAnsiTheme="minorHAnsi" w:cstheme="minorBidi"/>
          <w:sz w:val="22"/>
          <w:szCs w:val="22"/>
        </w:rPr>
        <w:t xml:space="preserve"> delivery</w:t>
      </w:r>
      <w:r w:rsidR="419E1058" w:rsidRPr="1F112B77">
        <w:rPr>
          <w:rFonts w:asciiTheme="minorHAnsi" w:hAnsiTheme="minorHAnsi" w:cstheme="minorBidi"/>
          <w:sz w:val="22"/>
          <w:szCs w:val="22"/>
        </w:rPr>
        <w:t>.</w:t>
      </w:r>
    </w:p>
    <w:p w14:paraId="61ACFF63" w14:textId="4E2B37FE" w:rsidR="009B0266" w:rsidRDefault="004861E9" w:rsidP="45DD478D">
      <w:pPr>
        <w:spacing w:before="360"/>
        <w:rPr>
          <w:rFonts w:asciiTheme="minorHAnsi" w:hAnsiTheme="minorHAnsi" w:cstheme="minorBidi"/>
          <w:b/>
          <w:bCs/>
          <w:sz w:val="22"/>
          <w:szCs w:val="22"/>
        </w:rPr>
      </w:pPr>
      <w:r w:rsidRPr="45DD478D">
        <w:rPr>
          <w:rFonts w:asciiTheme="minorHAnsi" w:hAnsiTheme="minorHAnsi" w:cstheme="minorBidi"/>
          <w:b/>
          <w:bCs/>
          <w:sz w:val="22"/>
          <w:szCs w:val="22"/>
        </w:rPr>
        <w:t>Principles of Regulator Best Practice</w:t>
      </w:r>
    </w:p>
    <w:p w14:paraId="60718EF4" w14:textId="25EBF256" w:rsidR="0098197D" w:rsidRDefault="0098197D" w:rsidP="005B7833">
      <w:pPr>
        <w:rPr>
          <w:rFonts w:asciiTheme="minorHAnsi" w:hAnsiTheme="minorHAnsi" w:cstheme="minorHAnsi"/>
          <w:sz w:val="22"/>
          <w:szCs w:val="22"/>
        </w:rPr>
      </w:pPr>
      <w:r>
        <w:rPr>
          <w:rFonts w:asciiTheme="minorHAnsi" w:hAnsiTheme="minorHAnsi" w:cstheme="minorHAnsi"/>
          <w:sz w:val="22"/>
          <w:szCs w:val="22"/>
        </w:rPr>
        <w:t xml:space="preserve">In </w:t>
      </w:r>
      <w:r w:rsidR="00C04C5C">
        <w:rPr>
          <w:rFonts w:asciiTheme="minorHAnsi" w:hAnsiTheme="minorHAnsi" w:cstheme="minorHAnsi"/>
          <w:sz w:val="22"/>
          <w:szCs w:val="22"/>
        </w:rPr>
        <w:t xml:space="preserve">performing </w:t>
      </w:r>
      <w:r>
        <w:rPr>
          <w:rFonts w:asciiTheme="minorHAnsi" w:hAnsiTheme="minorHAnsi" w:cstheme="minorHAnsi"/>
          <w:sz w:val="22"/>
          <w:szCs w:val="22"/>
        </w:rPr>
        <w:t>its functions as the regulator of Commonwealth-funded aged care services, I expect the Commission to observe the principles of regulatory best practice</w:t>
      </w:r>
      <w:r w:rsidR="004C7AFC">
        <w:rPr>
          <w:rFonts w:asciiTheme="minorHAnsi" w:hAnsiTheme="minorHAnsi" w:cstheme="minorHAnsi"/>
          <w:sz w:val="22"/>
          <w:szCs w:val="22"/>
        </w:rPr>
        <w:t xml:space="preserve"> including continuous improvement and building public trust; being risk based and data driven</w:t>
      </w:r>
      <w:r w:rsidR="00471EEB">
        <w:rPr>
          <w:rFonts w:asciiTheme="minorHAnsi" w:hAnsiTheme="minorHAnsi" w:cstheme="minorHAnsi"/>
          <w:sz w:val="22"/>
          <w:szCs w:val="22"/>
        </w:rPr>
        <w:t>; and collaborat</w:t>
      </w:r>
      <w:r w:rsidR="006357AF">
        <w:rPr>
          <w:rFonts w:asciiTheme="minorHAnsi" w:hAnsiTheme="minorHAnsi" w:cstheme="minorHAnsi"/>
          <w:sz w:val="22"/>
          <w:szCs w:val="22"/>
        </w:rPr>
        <w:t>ing</w:t>
      </w:r>
      <w:r w:rsidR="00471EEB">
        <w:rPr>
          <w:rFonts w:asciiTheme="minorHAnsi" w:hAnsiTheme="minorHAnsi" w:cstheme="minorHAnsi"/>
          <w:sz w:val="22"/>
          <w:szCs w:val="22"/>
        </w:rPr>
        <w:t xml:space="preserve"> and engag</w:t>
      </w:r>
      <w:r w:rsidR="006357AF">
        <w:rPr>
          <w:rFonts w:asciiTheme="minorHAnsi" w:hAnsiTheme="minorHAnsi" w:cstheme="minorHAnsi"/>
          <w:sz w:val="22"/>
          <w:szCs w:val="22"/>
        </w:rPr>
        <w:t>ing</w:t>
      </w:r>
      <w:r w:rsidR="00471EEB">
        <w:rPr>
          <w:rFonts w:asciiTheme="minorHAnsi" w:hAnsiTheme="minorHAnsi" w:cstheme="minorHAnsi"/>
          <w:sz w:val="22"/>
          <w:szCs w:val="22"/>
        </w:rPr>
        <w:t xml:space="preserve"> with stakeholders </w:t>
      </w:r>
      <w:r w:rsidR="00A61B2D">
        <w:rPr>
          <w:rFonts w:asciiTheme="minorHAnsi" w:hAnsiTheme="minorHAnsi" w:cstheme="minorHAnsi"/>
          <w:sz w:val="22"/>
          <w:szCs w:val="22"/>
        </w:rPr>
        <w:t>in relation to regulatory practices</w:t>
      </w:r>
      <w:r w:rsidR="00471EEB">
        <w:rPr>
          <w:rFonts w:asciiTheme="minorHAnsi" w:hAnsiTheme="minorHAnsi" w:cstheme="minorHAnsi"/>
          <w:sz w:val="22"/>
          <w:szCs w:val="22"/>
        </w:rPr>
        <w:t>.</w:t>
      </w:r>
    </w:p>
    <w:p w14:paraId="6FF08B2F" w14:textId="3F04B32B" w:rsidR="00B527CD" w:rsidRDefault="00471EEB" w:rsidP="00787C3C">
      <w:pPr>
        <w:rPr>
          <w:rFonts w:asciiTheme="minorHAnsi" w:hAnsiTheme="minorHAnsi" w:cstheme="minorHAnsi"/>
          <w:sz w:val="22"/>
          <w:szCs w:val="22"/>
        </w:rPr>
      </w:pPr>
      <w:r>
        <w:rPr>
          <w:rFonts w:asciiTheme="minorHAnsi" w:hAnsiTheme="minorHAnsi" w:cstheme="minorHAnsi"/>
          <w:sz w:val="22"/>
          <w:szCs w:val="22"/>
        </w:rPr>
        <w:lastRenderedPageBreak/>
        <w:t>I expect</w:t>
      </w:r>
      <w:r w:rsidR="00787C3C">
        <w:rPr>
          <w:rFonts w:asciiTheme="minorHAnsi" w:hAnsiTheme="minorHAnsi" w:cstheme="minorHAnsi"/>
          <w:sz w:val="22"/>
          <w:szCs w:val="22"/>
        </w:rPr>
        <w:t xml:space="preserve"> the Commission to embed and act in accordance with the Government’s principles of regulatory best practice</w:t>
      </w:r>
      <w:r w:rsidR="00950F23">
        <w:rPr>
          <w:rStyle w:val="FootnoteReference"/>
          <w:rFonts w:asciiTheme="minorHAnsi" w:hAnsiTheme="minorHAnsi" w:cstheme="minorHAnsi"/>
          <w:sz w:val="22"/>
          <w:szCs w:val="22"/>
        </w:rPr>
        <w:footnoteReference w:id="2"/>
      </w:r>
      <w:r w:rsidR="00787C3C">
        <w:rPr>
          <w:rFonts w:asciiTheme="minorHAnsi" w:hAnsiTheme="minorHAnsi" w:cstheme="minorHAnsi"/>
          <w:sz w:val="22"/>
          <w:szCs w:val="22"/>
        </w:rPr>
        <w:t xml:space="preserve"> </w:t>
      </w:r>
      <w:r w:rsidR="002E5A54">
        <w:rPr>
          <w:rFonts w:asciiTheme="minorHAnsi" w:hAnsiTheme="minorHAnsi" w:cstheme="minorHAnsi"/>
          <w:sz w:val="22"/>
          <w:szCs w:val="22"/>
        </w:rPr>
        <w:t>when conducting its operations, as well as to st</w:t>
      </w:r>
      <w:r w:rsidR="004B5B23">
        <w:rPr>
          <w:rFonts w:asciiTheme="minorHAnsi" w:hAnsiTheme="minorHAnsi" w:cstheme="minorHAnsi"/>
          <w:sz w:val="22"/>
          <w:szCs w:val="22"/>
        </w:rPr>
        <w:t>r</w:t>
      </w:r>
      <w:r w:rsidR="002E5A54">
        <w:rPr>
          <w:rFonts w:asciiTheme="minorHAnsi" w:hAnsiTheme="minorHAnsi" w:cstheme="minorHAnsi"/>
          <w:sz w:val="22"/>
          <w:szCs w:val="22"/>
        </w:rPr>
        <w:t>ive for continuous improvement against these principles.</w:t>
      </w:r>
    </w:p>
    <w:p w14:paraId="199FF43D" w14:textId="6B03F8BA" w:rsidR="005B7833" w:rsidRPr="00D5743A" w:rsidRDefault="00900900" w:rsidP="00D5743A">
      <w:pPr>
        <w:pStyle w:val="Heading2"/>
        <w:spacing w:before="360" w:after="160"/>
        <w:rPr>
          <w:rFonts w:asciiTheme="minorHAnsi" w:hAnsiTheme="minorHAnsi" w:cstheme="minorHAnsi"/>
          <w:b/>
          <w:bCs/>
          <w:color w:val="auto"/>
          <w:sz w:val="22"/>
          <w:szCs w:val="22"/>
        </w:rPr>
      </w:pPr>
      <w:r w:rsidRPr="00D5743A">
        <w:rPr>
          <w:rFonts w:asciiTheme="minorHAnsi" w:hAnsiTheme="minorHAnsi" w:cstheme="minorHAnsi"/>
          <w:b/>
          <w:bCs/>
          <w:color w:val="auto"/>
          <w:sz w:val="22"/>
          <w:szCs w:val="22"/>
        </w:rPr>
        <w:t>The Government’s Policy Prio</w:t>
      </w:r>
      <w:r w:rsidR="006B7CCD" w:rsidRPr="00D5743A">
        <w:rPr>
          <w:rFonts w:asciiTheme="minorHAnsi" w:hAnsiTheme="minorHAnsi" w:cstheme="minorHAnsi"/>
          <w:b/>
          <w:bCs/>
          <w:color w:val="auto"/>
          <w:sz w:val="22"/>
          <w:szCs w:val="22"/>
        </w:rPr>
        <w:t>rities and Objectives</w:t>
      </w:r>
    </w:p>
    <w:p w14:paraId="0306D4F7" w14:textId="7B481FBE" w:rsidR="00316935" w:rsidRPr="00D558A1" w:rsidRDefault="00CD0455" w:rsidP="00316935">
      <w:pPr>
        <w:rPr>
          <w:rFonts w:asciiTheme="minorHAnsi" w:hAnsiTheme="minorHAnsi" w:cstheme="minorHAnsi"/>
          <w:sz w:val="22"/>
          <w:szCs w:val="22"/>
        </w:rPr>
      </w:pPr>
      <w:r>
        <w:rPr>
          <w:rFonts w:asciiTheme="minorHAnsi" w:hAnsiTheme="minorHAnsi" w:cstheme="minorHAnsi"/>
          <w:sz w:val="22"/>
          <w:szCs w:val="22"/>
        </w:rPr>
        <w:t>I</w:t>
      </w:r>
      <w:r w:rsidR="00316935">
        <w:rPr>
          <w:rFonts w:asciiTheme="minorHAnsi" w:hAnsiTheme="minorHAnsi" w:cstheme="minorHAnsi"/>
          <w:sz w:val="22"/>
          <w:szCs w:val="22"/>
        </w:rPr>
        <w:t xml:space="preserve"> acknowledge the Commission’s demonstrated commitment to support the delivery of significant reforms we have legislated, including the extension of the Serious Inciden</w:t>
      </w:r>
      <w:r w:rsidR="00621F10">
        <w:rPr>
          <w:rFonts w:asciiTheme="minorHAnsi" w:hAnsiTheme="minorHAnsi" w:cstheme="minorHAnsi"/>
          <w:sz w:val="22"/>
          <w:szCs w:val="22"/>
        </w:rPr>
        <w:t>t</w:t>
      </w:r>
      <w:r w:rsidR="00316935">
        <w:rPr>
          <w:rFonts w:asciiTheme="minorHAnsi" w:hAnsiTheme="minorHAnsi" w:cstheme="minorHAnsi"/>
          <w:sz w:val="22"/>
          <w:szCs w:val="22"/>
        </w:rPr>
        <w:t xml:space="preserve"> Response Scheme to in</w:t>
      </w:r>
      <w:r w:rsidR="00DC1FDC">
        <w:rPr>
          <w:rFonts w:asciiTheme="minorHAnsi" w:hAnsiTheme="minorHAnsi" w:cstheme="minorHAnsi"/>
          <w:sz w:val="22"/>
          <w:szCs w:val="22"/>
        </w:rPr>
        <w:noBreakHyphen/>
      </w:r>
      <w:r w:rsidR="00316935">
        <w:rPr>
          <w:rFonts w:asciiTheme="minorHAnsi" w:hAnsiTheme="minorHAnsi" w:cstheme="minorHAnsi"/>
          <w:sz w:val="22"/>
          <w:szCs w:val="22"/>
        </w:rPr>
        <w:t xml:space="preserve">home care, </w:t>
      </w:r>
      <w:r w:rsidR="00316935" w:rsidRPr="00D558A1">
        <w:rPr>
          <w:rFonts w:asciiTheme="minorHAnsi" w:hAnsiTheme="minorHAnsi" w:cstheme="minorHAnsi"/>
          <w:sz w:val="22"/>
          <w:szCs w:val="22"/>
        </w:rPr>
        <w:t>the establishment of a new Code of Conduct, introduction of Star Ratings and Dollars to Care</w:t>
      </w:r>
      <w:r w:rsidR="00D558A1">
        <w:rPr>
          <w:rFonts w:asciiTheme="minorHAnsi" w:hAnsiTheme="minorHAnsi" w:cstheme="minorHAnsi"/>
          <w:sz w:val="22"/>
          <w:szCs w:val="22"/>
        </w:rPr>
        <w:t xml:space="preserve"> and </w:t>
      </w:r>
      <w:r w:rsidR="00316935" w:rsidRPr="00D558A1">
        <w:rPr>
          <w:rFonts w:asciiTheme="minorHAnsi" w:hAnsiTheme="minorHAnsi" w:cstheme="minorHAnsi"/>
          <w:sz w:val="22"/>
          <w:szCs w:val="22"/>
        </w:rPr>
        <w:t>new provider governance reforms</w:t>
      </w:r>
      <w:r w:rsidR="00D558A1">
        <w:rPr>
          <w:rFonts w:asciiTheme="minorHAnsi" w:hAnsiTheme="minorHAnsi" w:cstheme="minorHAnsi"/>
          <w:sz w:val="22"/>
          <w:szCs w:val="22"/>
        </w:rPr>
        <w:t>.</w:t>
      </w:r>
      <w:r w:rsidR="00316935" w:rsidRPr="00D558A1">
        <w:rPr>
          <w:rFonts w:asciiTheme="minorHAnsi" w:hAnsiTheme="minorHAnsi" w:cstheme="minorHAnsi"/>
          <w:sz w:val="22"/>
          <w:szCs w:val="22"/>
        </w:rPr>
        <w:t xml:space="preserve"> </w:t>
      </w:r>
      <w:r w:rsidR="009332E3" w:rsidRPr="00D558A1">
        <w:rPr>
          <w:rFonts w:asciiTheme="minorHAnsi" w:hAnsiTheme="minorHAnsi" w:cstheme="minorHAnsi"/>
          <w:sz w:val="22"/>
          <w:szCs w:val="22"/>
        </w:rPr>
        <w:t>I</w:t>
      </w:r>
      <w:r w:rsidR="00316935" w:rsidRPr="00D558A1">
        <w:rPr>
          <w:rFonts w:asciiTheme="minorHAnsi" w:hAnsiTheme="minorHAnsi" w:cstheme="minorHAnsi"/>
          <w:sz w:val="22"/>
          <w:szCs w:val="22"/>
        </w:rPr>
        <w:t xml:space="preserve"> expect this commitment to continue as we work towards implementing the new rights-based Aged Care Act.</w:t>
      </w:r>
    </w:p>
    <w:p w14:paraId="4B6BF117" w14:textId="03FB3ED7" w:rsidR="00D558A1" w:rsidRPr="00D558A1" w:rsidRDefault="00D558A1" w:rsidP="00316935">
      <w:pPr>
        <w:rPr>
          <w:rFonts w:asciiTheme="minorHAnsi" w:hAnsiTheme="minorHAnsi" w:cstheme="minorHAnsi"/>
          <w:sz w:val="22"/>
          <w:szCs w:val="22"/>
        </w:rPr>
      </w:pPr>
      <w:r>
        <w:rPr>
          <w:rFonts w:asciiTheme="minorHAnsi" w:hAnsiTheme="minorHAnsi" w:cstheme="minorHAnsi"/>
          <w:sz w:val="22"/>
          <w:szCs w:val="22"/>
        </w:rPr>
        <w:t xml:space="preserve">12 </w:t>
      </w:r>
      <w:r w:rsidRPr="00D558A1">
        <w:rPr>
          <w:rFonts w:asciiTheme="minorHAnsi" w:hAnsiTheme="minorHAnsi" w:cstheme="minorHAnsi"/>
          <w:sz w:val="22"/>
          <w:szCs w:val="22"/>
        </w:rPr>
        <w:t xml:space="preserve">months on from the commencement </w:t>
      </w:r>
      <w:r>
        <w:rPr>
          <w:rFonts w:asciiTheme="minorHAnsi" w:hAnsiTheme="minorHAnsi" w:cstheme="minorHAnsi"/>
          <w:sz w:val="22"/>
          <w:szCs w:val="22"/>
        </w:rPr>
        <w:t xml:space="preserve">minimum staffing requirements for residential aged care, including </w:t>
      </w:r>
      <w:r w:rsidRPr="00D558A1">
        <w:rPr>
          <w:rFonts w:asciiTheme="minorHAnsi" w:hAnsiTheme="minorHAnsi" w:cstheme="minorHAnsi"/>
          <w:sz w:val="22"/>
          <w:szCs w:val="22"/>
        </w:rPr>
        <w:t xml:space="preserve">24/7 nursing and mandatory care minutes, I expect the Commission to </w:t>
      </w:r>
      <w:r w:rsidR="00C46CF2">
        <w:rPr>
          <w:rFonts w:asciiTheme="minorHAnsi" w:eastAsia="Times New Roman" w:hAnsiTheme="minorHAnsi" w:cstheme="minorHAnsi"/>
          <w:sz w:val="22"/>
          <w:szCs w:val="22"/>
        </w:rPr>
        <w:t>continue to</w:t>
      </w:r>
      <w:r w:rsidRPr="00D558A1">
        <w:rPr>
          <w:rFonts w:asciiTheme="minorHAnsi" w:eastAsia="Times New Roman" w:hAnsiTheme="minorHAnsi" w:cstheme="minorHAnsi"/>
          <w:sz w:val="22"/>
          <w:szCs w:val="22"/>
        </w:rPr>
        <w:t xml:space="preserve"> monitor </w:t>
      </w:r>
      <w:r w:rsidR="001A1F9F">
        <w:rPr>
          <w:rFonts w:asciiTheme="minorHAnsi" w:eastAsia="Times New Roman" w:hAnsiTheme="minorHAnsi" w:cstheme="minorHAnsi"/>
          <w:sz w:val="22"/>
          <w:szCs w:val="22"/>
        </w:rPr>
        <w:t xml:space="preserve">and enforce </w:t>
      </w:r>
      <w:r w:rsidRPr="00D558A1">
        <w:rPr>
          <w:rFonts w:asciiTheme="minorHAnsi" w:eastAsia="Times New Roman" w:hAnsiTheme="minorHAnsi" w:cstheme="minorHAnsi"/>
          <w:sz w:val="22"/>
          <w:szCs w:val="22"/>
        </w:rPr>
        <w:t>the implementation of these direct care requirements.</w:t>
      </w:r>
      <w:r w:rsidR="001A1F9F">
        <w:rPr>
          <w:rFonts w:asciiTheme="minorHAnsi" w:eastAsia="Times New Roman" w:hAnsiTheme="minorHAnsi" w:cstheme="minorHAnsi"/>
          <w:sz w:val="22"/>
          <w:szCs w:val="22"/>
        </w:rPr>
        <w:t xml:space="preserve"> If residential aged care providers are actively working towards complying with their care requirements and are taking all steps to ensure the provision of safe and quality care, I expect the Commission to actively monitor risks and work with the provider to improve their compliance. This </w:t>
      </w:r>
      <w:r w:rsidR="006A3E98">
        <w:rPr>
          <w:rFonts w:asciiTheme="minorHAnsi" w:eastAsia="Times New Roman" w:hAnsiTheme="minorHAnsi" w:cstheme="minorHAnsi"/>
          <w:sz w:val="22"/>
          <w:szCs w:val="22"/>
        </w:rPr>
        <w:t>particularly applies to</w:t>
      </w:r>
      <w:r w:rsidR="001A1F9F">
        <w:rPr>
          <w:rFonts w:asciiTheme="minorHAnsi" w:eastAsia="Times New Roman" w:hAnsiTheme="minorHAnsi" w:cstheme="minorHAnsi"/>
          <w:sz w:val="22"/>
          <w:szCs w:val="22"/>
        </w:rPr>
        <w:t xml:space="preserve"> aged care homes located in thin markets with chronic workforce shortages. At the same time, </w:t>
      </w:r>
      <w:r>
        <w:rPr>
          <w:rFonts w:asciiTheme="minorHAnsi" w:eastAsia="Times New Roman" w:hAnsiTheme="minorHAnsi" w:cstheme="minorHAnsi"/>
          <w:sz w:val="22"/>
          <w:szCs w:val="22"/>
        </w:rPr>
        <w:t xml:space="preserve">I </w:t>
      </w:r>
      <w:r w:rsidR="001A1F9F">
        <w:rPr>
          <w:rFonts w:asciiTheme="minorHAnsi" w:eastAsia="Times New Roman" w:hAnsiTheme="minorHAnsi" w:cstheme="minorHAnsi"/>
          <w:sz w:val="22"/>
          <w:szCs w:val="22"/>
        </w:rPr>
        <w:t>support</w:t>
      </w:r>
      <w:r>
        <w:rPr>
          <w:rFonts w:asciiTheme="minorHAnsi" w:eastAsia="Times New Roman" w:hAnsiTheme="minorHAnsi" w:cstheme="minorHAnsi"/>
          <w:sz w:val="22"/>
          <w:szCs w:val="22"/>
        </w:rPr>
        <w:t xml:space="preserve"> the Commission to use its full suite of powers to ensure compliance</w:t>
      </w:r>
      <w:r w:rsidR="001A1F9F">
        <w:rPr>
          <w:rFonts w:asciiTheme="minorHAnsi" w:eastAsia="Times New Roman" w:hAnsiTheme="minorHAnsi" w:cstheme="minorHAnsi"/>
          <w:sz w:val="22"/>
          <w:szCs w:val="22"/>
        </w:rPr>
        <w:t xml:space="preserve"> if aged care homes are not making genuine attempts to meet their care requirements</w:t>
      </w:r>
      <w:r w:rsidR="006A3E98">
        <w:rPr>
          <w:rFonts w:asciiTheme="minorHAnsi" w:eastAsia="Times New Roman" w:hAnsiTheme="minorHAnsi" w:cstheme="minorHAnsi"/>
          <w:sz w:val="22"/>
          <w:szCs w:val="22"/>
        </w:rPr>
        <w:t>,</w:t>
      </w:r>
      <w:r w:rsidR="001A1F9F">
        <w:rPr>
          <w:rFonts w:asciiTheme="minorHAnsi" w:eastAsia="Times New Roman" w:hAnsiTheme="minorHAnsi" w:cstheme="minorHAnsi"/>
          <w:sz w:val="22"/>
          <w:szCs w:val="22"/>
        </w:rPr>
        <w:t xml:space="preserve"> or they are inaccurately reporting their delivery of care.</w:t>
      </w:r>
    </w:p>
    <w:p w14:paraId="3B9B5ABB" w14:textId="17BC3DEB" w:rsidR="0000666F" w:rsidRPr="00D558A1" w:rsidRDefault="001705B9" w:rsidP="0095680F">
      <w:pPr>
        <w:rPr>
          <w:rFonts w:asciiTheme="minorHAnsi" w:hAnsiTheme="minorHAnsi" w:cstheme="minorHAnsi"/>
          <w:sz w:val="22"/>
          <w:szCs w:val="22"/>
        </w:rPr>
      </w:pPr>
      <w:r w:rsidRPr="00D558A1">
        <w:rPr>
          <w:rFonts w:asciiTheme="minorHAnsi" w:hAnsiTheme="minorHAnsi" w:cstheme="minorHAnsi"/>
          <w:sz w:val="22"/>
          <w:szCs w:val="22"/>
        </w:rPr>
        <w:t>The next 12 months represent</w:t>
      </w:r>
      <w:r w:rsidR="0044666F" w:rsidRPr="00D558A1">
        <w:rPr>
          <w:rFonts w:asciiTheme="minorHAnsi" w:hAnsiTheme="minorHAnsi" w:cstheme="minorHAnsi"/>
          <w:sz w:val="22"/>
          <w:szCs w:val="22"/>
        </w:rPr>
        <w:t>s</w:t>
      </w:r>
      <w:r w:rsidRPr="00D558A1">
        <w:rPr>
          <w:rFonts w:asciiTheme="minorHAnsi" w:hAnsiTheme="minorHAnsi" w:cstheme="minorHAnsi"/>
          <w:sz w:val="22"/>
          <w:szCs w:val="22"/>
        </w:rPr>
        <w:t xml:space="preserve"> some of the most critical work for both the Commission and the Department </w:t>
      </w:r>
      <w:r w:rsidR="00626155" w:rsidRPr="00D558A1">
        <w:rPr>
          <w:rFonts w:asciiTheme="minorHAnsi" w:hAnsiTheme="minorHAnsi" w:cstheme="minorHAnsi"/>
          <w:sz w:val="22"/>
          <w:szCs w:val="22"/>
        </w:rPr>
        <w:t xml:space="preserve">of Health and Aged Care (Department) </w:t>
      </w:r>
      <w:r w:rsidRPr="00D558A1">
        <w:rPr>
          <w:rFonts w:asciiTheme="minorHAnsi" w:hAnsiTheme="minorHAnsi" w:cstheme="minorHAnsi"/>
          <w:sz w:val="22"/>
          <w:szCs w:val="22"/>
        </w:rPr>
        <w:t xml:space="preserve">with the introduction and </w:t>
      </w:r>
      <w:r w:rsidR="00AA4197" w:rsidRPr="00D558A1">
        <w:rPr>
          <w:rFonts w:asciiTheme="minorHAnsi" w:hAnsiTheme="minorHAnsi" w:cstheme="minorHAnsi"/>
          <w:sz w:val="22"/>
          <w:szCs w:val="22"/>
        </w:rPr>
        <w:t>preparation for</w:t>
      </w:r>
      <w:r w:rsidR="00DE5511" w:rsidRPr="00D558A1">
        <w:rPr>
          <w:rFonts w:asciiTheme="minorHAnsi" w:hAnsiTheme="minorHAnsi" w:cstheme="minorHAnsi"/>
          <w:sz w:val="22"/>
          <w:szCs w:val="22"/>
        </w:rPr>
        <w:t xml:space="preserve"> </w:t>
      </w:r>
      <w:r w:rsidRPr="00D558A1">
        <w:rPr>
          <w:rFonts w:asciiTheme="minorHAnsi" w:hAnsiTheme="minorHAnsi" w:cstheme="minorHAnsi"/>
          <w:sz w:val="22"/>
          <w:szCs w:val="22"/>
        </w:rPr>
        <w:t>the new Aged C</w:t>
      </w:r>
      <w:r w:rsidR="00E739CC" w:rsidRPr="00D558A1">
        <w:rPr>
          <w:rFonts w:asciiTheme="minorHAnsi" w:hAnsiTheme="minorHAnsi" w:cstheme="minorHAnsi"/>
          <w:sz w:val="22"/>
          <w:szCs w:val="22"/>
        </w:rPr>
        <w:t>a</w:t>
      </w:r>
      <w:r w:rsidRPr="00D558A1">
        <w:rPr>
          <w:rFonts w:asciiTheme="minorHAnsi" w:hAnsiTheme="minorHAnsi" w:cstheme="minorHAnsi"/>
          <w:sz w:val="22"/>
          <w:szCs w:val="22"/>
        </w:rPr>
        <w:t>re Act</w:t>
      </w:r>
      <w:r w:rsidR="005674C6" w:rsidRPr="00D558A1">
        <w:rPr>
          <w:rFonts w:asciiTheme="minorHAnsi" w:hAnsiTheme="minorHAnsi" w:cstheme="minorHAnsi"/>
          <w:sz w:val="22"/>
          <w:szCs w:val="22"/>
        </w:rPr>
        <w:t>, which will encompass the Commission’s legislation, in keeping with the</w:t>
      </w:r>
      <w:r w:rsidR="007A6853" w:rsidRPr="00D558A1">
        <w:rPr>
          <w:rFonts w:asciiTheme="minorHAnsi" w:hAnsiTheme="minorHAnsi" w:cstheme="minorHAnsi"/>
          <w:sz w:val="22"/>
          <w:szCs w:val="22"/>
        </w:rPr>
        <w:t xml:space="preserve"> </w:t>
      </w:r>
      <w:r w:rsidR="00F70719" w:rsidRPr="00D558A1">
        <w:rPr>
          <w:rFonts w:asciiTheme="minorHAnsi" w:hAnsiTheme="minorHAnsi" w:cstheme="minorHAnsi"/>
          <w:sz w:val="22"/>
          <w:szCs w:val="22"/>
        </w:rPr>
        <w:t>Royal Commission into Aged Care Quality and Safety r</w:t>
      </w:r>
      <w:r w:rsidR="00DE5511" w:rsidRPr="00D558A1">
        <w:rPr>
          <w:rFonts w:asciiTheme="minorHAnsi" w:hAnsiTheme="minorHAnsi" w:cstheme="minorHAnsi"/>
          <w:sz w:val="22"/>
          <w:szCs w:val="22"/>
        </w:rPr>
        <w:t>ecommendations.</w:t>
      </w:r>
      <w:r w:rsidR="00B70661" w:rsidRPr="00D558A1">
        <w:rPr>
          <w:rFonts w:asciiTheme="minorHAnsi" w:hAnsiTheme="minorHAnsi" w:cstheme="minorHAnsi"/>
          <w:sz w:val="22"/>
          <w:szCs w:val="22"/>
        </w:rPr>
        <w:t xml:space="preserve"> I acknowledge the significant contribution of the Commission to date in progressing the development of </w:t>
      </w:r>
      <w:r w:rsidR="0060598E" w:rsidRPr="00D558A1">
        <w:rPr>
          <w:rFonts w:asciiTheme="minorHAnsi" w:hAnsiTheme="minorHAnsi" w:cstheme="minorHAnsi"/>
          <w:sz w:val="22"/>
          <w:szCs w:val="22"/>
        </w:rPr>
        <w:t xml:space="preserve">the </w:t>
      </w:r>
      <w:r w:rsidR="0015074D" w:rsidRPr="00D558A1">
        <w:rPr>
          <w:rFonts w:asciiTheme="minorHAnsi" w:hAnsiTheme="minorHAnsi" w:cstheme="minorHAnsi"/>
          <w:sz w:val="22"/>
          <w:szCs w:val="22"/>
        </w:rPr>
        <w:t>new Aged Care</w:t>
      </w:r>
      <w:r w:rsidR="00B70661" w:rsidRPr="00D558A1">
        <w:rPr>
          <w:rFonts w:asciiTheme="minorHAnsi" w:hAnsiTheme="minorHAnsi" w:cstheme="minorHAnsi"/>
          <w:sz w:val="22"/>
          <w:szCs w:val="22"/>
        </w:rPr>
        <w:t xml:space="preserve"> Act.</w:t>
      </w:r>
    </w:p>
    <w:p w14:paraId="7775CB81" w14:textId="037A641F" w:rsidR="00A3470A" w:rsidRDefault="00A3470A" w:rsidP="00A3470A">
      <w:pPr>
        <w:spacing w:line="240" w:lineRule="auto"/>
        <w:rPr>
          <w:rFonts w:ascii="Calibri" w:eastAsia="Calibri" w:hAnsi="Calibri" w:cs="Calibri"/>
          <w:sz w:val="22"/>
          <w:szCs w:val="22"/>
        </w:rPr>
      </w:pPr>
      <w:bookmarkStart w:id="1" w:name="_Hlk173741920"/>
      <w:bookmarkStart w:id="2" w:name="_Hlk173741706"/>
      <w:r w:rsidRPr="00D558A1">
        <w:rPr>
          <w:rFonts w:asciiTheme="minorHAnsi" w:eastAsia="Calibri" w:hAnsiTheme="minorHAnsi" w:cstheme="minorHAnsi"/>
          <w:sz w:val="22"/>
          <w:szCs w:val="22"/>
        </w:rPr>
        <w:t>Subject to parliamentary processes, the new Aged Care Act will commence</w:t>
      </w:r>
      <w:r w:rsidRPr="14DC03EC">
        <w:rPr>
          <w:rFonts w:ascii="Calibri" w:eastAsia="Calibri" w:hAnsi="Calibri" w:cs="Calibri"/>
          <w:sz w:val="22"/>
          <w:szCs w:val="22"/>
        </w:rPr>
        <w:t xml:space="preserve"> from 1 July 2025, in line with the new Support at Home program. The Commission’s continued contribution to the legislative process and development of subordinate legislation will be important to support operation of the new</w:t>
      </w:r>
      <w:r w:rsidR="00B33AB3">
        <w:rPr>
          <w:rFonts w:ascii="Calibri" w:eastAsia="Calibri" w:hAnsi="Calibri" w:cs="Calibri"/>
          <w:sz w:val="22"/>
          <w:szCs w:val="22"/>
        </w:rPr>
        <w:t xml:space="preserve"> Aged Care</w:t>
      </w:r>
      <w:r w:rsidRPr="14DC03EC">
        <w:rPr>
          <w:rFonts w:ascii="Calibri" w:eastAsia="Calibri" w:hAnsi="Calibri" w:cs="Calibri"/>
          <w:sz w:val="22"/>
          <w:szCs w:val="22"/>
        </w:rPr>
        <w:t xml:space="preserve"> Act and implementation of aged care reforms</w:t>
      </w:r>
      <w:bookmarkEnd w:id="1"/>
      <w:r w:rsidRPr="14DC03EC">
        <w:rPr>
          <w:rFonts w:ascii="Calibri" w:eastAsia="Calibri" w:hAnsi="Calibri" w:cs="Calibri"/>
          <w:sz w:val="22"/>
          <w:szCs w:val="22"/>
        </w:rPr>
        <w:t>.</w:t>
      </w:r>
    </w:p>
    <w:p w14:paraId="622ED6BF" w14:textId="49F42416" w:rsidR="00A3470A" w:rsidRPr="00A3470A" w:rsidRDefault="00A3470A" w:rsidP="00A3470A">
      <w:pPr>
        <w:rPr>
          <w:rFonts w:asciiTheme="minorHAnsi" w:hAnsiTheme="minorHAnsi" w:cstheme="minorHAnsi"/>
          <w:sz w:val="22"/>
          <w:szCs w:val="22"/>
        </w:rPr>
      </w:pPr>
      <w:bookmarkStart w:id="3" w:name="_Hlk173741958"/>
      <w:r w:rsidRPr="00A3470A">
        <w:rPr>
          <w:rFonts w:asciiTheme="minorHAnsi" w:hAnsiTheme="minorHAnsi" w:cstheme="minorBidi"/>
          <w:sz w:val="22"/>
          <w:szCs w:val="22"/>
        </w:rPr>
        <w:t>The new Aged Care Act represents a significant amount of change across the aged care system. I acknowledge the Commission’s continued engagement with the Department to ensure that the aged care sector is prepared for the changes arising from the new</w:t>
      </w:r>
      <w:r w:rsidR="00AB00B7">
        <w:rPr>
          <w:rFonts w:asciiTheme="minorHAnsi" w:hAnsiTheme="minorHAnsi" w:cstheme="minorBidi"/>
          <w:sz w:val="22"/>
          <w:szCs w:val="22"/>
        </w:rPr>
        <w:t xml:space="preserve"> Aged Care</w:t>
      </w:r>
      <w:r w:rsidRPr="00A3470A">
        <w:rPr>
          <w:rFonts w:asciiTheme="minorHAnsi" w:hAnsiTheme="minorHAnsi" w:cstheme="minorBidi"/>
          <w:sz w:val="22"/>
          <w:szCs w:val="22"/>
        </w:rPr>
        <w:t xml:space="preserve"> Act. The Department will support the introduction of the Bill and will work with the Commission on communication and guidance materials in response to enquiries. The Department will also work with the Commission on an Integrated Sector Readiness Plan to support the transition period and implementation of the Act. This plan will be developed in partnership with the Commission </w:t>
      </w:r>
      <w:r w:rsidR="004053AC">
        <w:rPr>
          <w:rFonts w:asciiTheme="minorHAnsi" w:hAnsiTheme="minorHAnsi" w:cstheme="minorBidi"/>
          <w:sz w:val="22"/>
          <w:szCs w:val="22"/>
        </w:rPr>
        <w:t>and</w:t>
      </w:r>
      <w:r w:rsidRPr="00A3470A">
        <w:rPr>
          <w:rFonts w:asciiTheme="minorHAnsi" w:hAnsiTheme="minorHAnsi" w:cstheme="minorBidi"/>
          <w:sz w:val="22"/>
          <w:szCs w:val="22"/>
        </w:rPr>
        <w:t xml:space="preserve"> will be tested with the sector. This will enable delivery to commence upon Royal Assent of the Bill. The plan will include structured communication, engagement, guidance, and training activities to support the transition arrangements and changes arising from the</w:t>
      </w:r>
      <w:r w:rsidR="00AD550C">
        <w:rPr>
          <w:rFonts w:asciiTheme="minorHAnsi" w:hAnsiTheme="minorHAnsi" w:cstheme="minorBidi"/>
          <w:sz w:val="22"/>
          <w:szCs w:val="22"/>
        </w:rPr>
        <w:t xml:space="preserve"> new Aged Care</w:t>
      </w:r>
      <w:r w:rsidRPr="00A3470A">
        <w:rPr>
          <w:rFonts w:asciiTheme="minorHAnsi" w:hAnsiTheme="minorHAnsi" w:cstheme="minorBidi"/>
          <w:sz w:val="22"/>
          <w:szCs w:val="22"/>
        </w:rPr>
        <w:t xml:space="preserve"> Act’s </w:t>
      </w:r>
      <w:bookmarkEnd w:id="2"/>
      <w:bookmarkEnd w:id="3"/>
      <w:r w:rsidRPr="00A3470A">
        <w:rPr>
          <w:rFonts w:asciiTheme="minorHAnsi" w:hAnsiTheme="minorHAnsi" w:cstheme="minorBidi"/>
          <w:sz w:val="22"/>
          <w:szCs w:val="22"/>
        </w:rPr>
        <w:t>commencement.</w:t>
      </w:r>
    </w:p>
    <w:p w14:paraId="3ECAE679" w14:textId="4A87632F" w:rsidR="00D35D80" w:rsidRDefault="0055058A" w:rsidP="0095680F">
      <w:pPr>
        <w:rPr>
          <w:rFonts w:asciiTheme="minorHAnsi" w:hAnsiTheme="minorHAnsi" w:cstheme="minorHAnsi"/>
          <w:sz w:val="22"/>
          <w:szCs w:val="22"/>
        </w:rPr>
      </w:pPr>
      <w:r w:rsidRPr="00BB1445">
        <w:rPr>
          <w:rFonts w:asciiTheme="minorHAnsi" w:hAnsiTheme="minorHAnsi" w:cstheme="minorHAnsi"/>
          <w:sz w:val="22"/>
          <w:szCs w:val="22"/>
        </w:rPr>
        <w:lastRenderedPageBreak/>
        <w:t>I</w:t>
      </w:r>
      <w:r w:rsidR="004927E8" w:rsidRPr="00BB1445">
        <w:rPr>
          <w:rFonts w:asciiTheme="minorHAnsi" w:hAnsiTheme="minorHAnsi" w:cstheme="minorHAnsi"/>
          <w:sz w:val="22"/>
          <w:szCs w:val="22"/>
        </w:rPr>
        <w:t xml:space="preserve"> acknowledge the Commission’s demonstrated commitment to</w:t>
      </w:r>
      <w:r w:rsidR="00663119" w:rsidRPr="00BB1445">
        <w:rPr>
          <w:rFonts w:asciiTheme="minorHAnsi" w:hAnsiTheme="minorHAnsi" w:cstheme="minorHAnsi"/>
          <w:sz w:val="22"/>
          <w:szCs w:val="22"/>
        </w:rPr>
        <w:t xml:space="preserve"> the implementation of </w:t>
      </w:r>
      <w:r w:rsidR="00942888" w:rsidRPr="00BB1445">
        <w:rPr>
          <w:rFonts w:asciiTheme="minorHAnsi" w:hAnsiTheme="minorHAnsi" w:cstheme="minorHAnsi"/>
          <w:sz w:val="22"/>
          <w:szCs w:val="22"/>
        </w:rPr>
        <w:t>recommendations made in the</w:t>
      </w:r>
      <w:r w:rsidR="00F70719" w:rsidRPr="00F70719">
        <w:rPr>
          <w:rFonts w:asciiTheme="minorHAnsi" w:hAnsiTheme="minorHAnsi" w:cstheme="minorHAnsi"/>
          <w:sz w:val="22"/>
          <w:szCs w:val="22"/>
        </w:rPr>
        <w:t xml:space="preserve"> </w:t>
      </w:r>
      <w:r w:rsidR="00F70719" w:rsidRPr="00BB1445">
        <w:rPr>
          <w:rFonts w:asciiTheme="minorHAnsi" w:hAnsiTheme="minorHAnsi" w:cstheme="minorHAnsi"/>
          <w:sz w:val="22"/>
          <w:szCs w:val="22"/>
        </w:rPr>
        <w:t>Independent Capability Review of the Aged Care Quality and Safety Commission</w:t>
      </w:r>
      <w:r w:rsidR="00F70719">
        <w:rPr>
          <w:rFonts w:asciiTheme="minorHAnsi" w:hAnsiTheme="minorHAnsi" w:cstheme="minorHAnsi"/>
          <w:sz w:val="22"/>
          <w:szCs w:val="22"/>
        </w:rPr>
        <w:t xml:space="preserve"> (Capability Review)</w:t>
      </w:r>
      <w:r w:rsidR="00673CF7">
        <w:rPr>
          <w:rFonts w:asciiTheme="minorHAnsi" w:hAnsiTheme="minorHAnsi" w:cstheme="minorHAnsi"/>
          <w:sz w:val="22"/>
          <w:szCs w:val="22"/>
        </w:rPr>
        <w:t xml:space="preserve">, </w:t>
      </w:r>
      <w:r w:rsidR="0083781A">
        <w:rPr>
          <w:rFonts w:asciiTheme="minorHAnsi" w:hAnsiTheme="minorHAnsi" w:cstheme="minorHAnsi"/>
          <w:sz w:val="22"/>
          <w:szCs w:val="22"/>
        </w:rPr>
        <w:t>which is illustrated in</w:t>
      </w:r>
      <w:r w:rsidR="00673CF7">
        <w:rPr>
          <w:rFonts w:asciiTheme="minorHAnsi" w:hAnsiTheme="minorHAnsi" w:cstheme="minorHAnsi"/>
          <w:sz w:val="22"/>
          <w:szCs w:val="22"/>
        </w:rPr>
        <w:t xml:space="preserve"> the Commission’s Capability Review Action Plan</w:t>
      </w:r>
      <w:r w:rsidR="00B60EB7">
        <w:rPr>
          <w:rFonts w:asciiTheme="minorHAnsi" w:hAnsiTheme="minorHAnsi" w:cstheme="minorHAnsi"/>
          <w:sz w:val="22"/>
          <w:szCs w:val="22"/>
        </w:rPr>
        <w:t xml:space="preserve"> </w:t>
      </w:r>
      <w:r w:rsidR="00157D99">
        <w:rPr>
          <w:rFonts w:asciiTheme="minorHAnsi" w:hAnsiTheme="minorHAnsi" w:cstheme="minorHAnsi"/>
          <w:sz w:val="22"/>
          <w:szCs w:val="22"/>
        </w:rPr>
        <w:t>(Capability</w:t>
      </w:r>
      <w:r w:rsidR="00951DFE">
        <w:rPr>
          <w:rFonts w:asciiTheme="minorHAnsi" w:hAnsiTheme="minorHAnsi" w:cstheme="minorHAnsi"/>
          <w:sz w:val="22"/>
          <w:szCs w:val="22"/>
        </w:rPr>
        <w:t xml:space="preserve"> </w:t>
      </w:r>
      <w:r w:rsidR="00B60EB7">
        <w:rPr>
          <w:rFonts w:asciiTheme="minorHAnsi" w:hAnsiTheme="minorHAnsi" w:cstheme="minorHAnsi"/>
          <w:sz w:val="22"/>
          <w:szCs w:val="22"/>
        </w:rPr>
        <w:t>Action Plan)</w:t>
      </w:r>
      <w:r w:rsidR="00942888" w:rsidRPr="00BB1445">
        <w:rPr>
          <w:rFonts w:asciiTheme="minorHAnsi" w:hAnsiTheme="minorHAnsi" w:cstheme="minorHAnsi"/>
          <w:sz w:val="22"/>
          <w:szCs w:val="22"/>
        </w:rPr>
        <w:t>.</w:t>
      </w:r>
      <w:r w:rsidR="00D35D80">
        <w:rPr>
          <w:rFonts w:asciiTheme="minorHAnsi" w:hAnsiTheme="minorHAnsi" w:cstheme="minorHAnsi"/>
          <w:sz w:val="22"/>
          <w:szCs w:val="22"/>
        </w:rPr>
        <w:t xml:space="preserve"> </w:t>
      </w:r>
      <w:r w:rsidR="00410FA1">
        <w:rPr>
          <w:rFonts w:asciiTheme="minorHAnsi" w:hAnsiTheme="minorHAnsi" w:cstheme="minorHAnsi"/>
          <w:sz w:val="22"/>
          <w:szCs w:val="22"/>
        </w:rPr>
        <w:t>Noting that the</w:t>
      </w:r>
      <w:r w:rsidR="00326579" w:rsidRPr="00326579">
        <w:rPr>
          <w:rFonts w:asciiTheme="minorHAnsi" w:hAnsiTheme="minorHAnsi" w:cstheme="minorHAnsi"/>
          <w:sz w:val="22"/>
          <w:szCs w:val="22"/>
        </w:rPr>
        <w:t xml:space="preserve"> Capability Action Plan</w:t>
      </w:r>
      <w:r w:rsidR="00951DFE">
        <w:rPr>
          <w:rFonts w:asciiTheme="minorHAnsi" w:hAnsiTheme="minorHAnsi" w:cstheme="minorHAnsi"/>
          <w:sz w:val="22"/>
          <w:szCs w:val="22"/>
        </w:rPr>
        <w:t xml:space="preserve"> </w:t>
      </w:r>
      <w:r w:rsidR="00410FA1">
        <w:rPr>
          <w:rFonts w:asciiTheme="minorHAnsi" w:hAnsiTheme="minorHAnsi" w:cstheme="minorHAnsi"/>
          <w:sz w:val="22"/>
          <w:szCs w:val="22"/>
        </w:rPr>
        <w:t>identifies six</w:t>
      </w:r>
      <w:r w:rsidR="00326579" w:rsidRPr="00326579">
        <w:rPr>
          <w:rFonts w:asciiTheme="minorHAnsi" w:hAnsiTheme="minorHAnsi" w:cstheme="minorHAnsi"/>
          <w:sz w:val="22"/>
          <w:szCs w:val="22"/>
        </w:rPr>
        <w:t xml:space="preserve"> workstreams</w:t>
      </w:r>
      <w:r w:rsidR="00D6436C">
        <w:rPr>
          <w:rFonts w:asciiTheme="minorHAnsi" w:hAnsiTheme="minorHAnsi" w:cstheme="minorHAnsi"/>
          <w:sz w:val="22"/>
          <w:szCs w:val="22"/>
        </w:rPr>
        <w:t xml:space="preserve"> </w:t>
      </w:r>
      <w:r w:rsidR="00BC21D4">
        <w:rPr>
          <w:rFonts w:asciiTheme="minorHAnsi" w:hAnsiTheme="minorHAnsi" w:cstheme="minorHAnsi"/>
          <w:sz w:val="22"/>
          <w:szCs w:val="22"/>
        </w:rPr>
        <w:t>that</w:t>
      </w:r>
      <w:r w:rsidR="00D6436C">
        <w:rPr>
          <w:rFonts w:asciiTheme="minorHAnsi" w:hAnsiTheme="minorHAnsi" w:cstheme="minorHAnsi"/>
          <w:sz w:val="22"/>
          <w:szCs w:val="22"/>
        </w:rPr>
        <w:t xml:space="preserve"> </w:t>
      </w:r>
      <w:r w:rsidR="0011067B">
        <w:rPr>
          <w:rFonts w:asciiTheme="minorHAnsi" w:hAnsiTheme="minorHAnsi" w:cstheme="minorHAnsi"/>
          <w:sz w:val="22"/>
          <w:szCs w:val="22"/>
        </w:rPr>
        <w:t xml:space="preserve">aim to provide better </w:t>
      </w:r>
      <w:r w:rsidR="00BC21D4">
        <w:rPr>
          <w:rFonts w:asciiTheme="minorHAnsi" w:hAnsiTheme="minorHAnsi" w:cstheme="minorHAnsi"/>
          <w:sz w:val="22"/>
          <w:szCs w:val="22"/>
        </w:rPr>
        <w:t>outcomes</w:t>
      </w:r>
      <w:r w:rsidR="0011067B">
        <w:rPr>
          <w:rFonts w:asciiTheme="minorHAnsi" w:hAnsiTheme="minorHAnsi" w:cstheme="minorHAnsi"/>
          <w:sz w:val="22"/>
          <w:szCs w:val="22"/>
        </w:rPr>
        <w:t xml:space="preserve"> for access </w:t>
      </w:r>
      <w:r w:rsidR="00007CB4">
        <w:rPr>
          <w:rFonts w:asciiTheme="minorHAnsi" w:hAnsiTheme="minorHAnsi" w:cstheme="minorHAnsi"/>
          <w:sz w:val="22"/>
          <w:szCs w:val="22"/>
        </w:rPr>
        <w:t xml:space="preserve">to </w:t>
      </w:r>
      <w:r w:rsidR="0011067B">
        <w:rPr>
          <w:rFonts w:asciiTheme="minorHAnsi" w:hAnsiTheme="minorHAnsi" w:cstheme="minorHAnsi"/>
          <w:sz w:val="22"/>
          <w:szCs w:val="22"/>
        </w:rPr>
        <w:t>aged care services, as well as stronger corporate capabilities, I expect the following</w:t>
      </w:r>
      <w:r w:rsidR="00BE29CC">
        <w:rPr>
          <w:rFonts w:asciiTheme="minorHAnsi" w:hAnsiTheme="minorHAnsi" w:cstheme="minorHAnsi"/>
          <w:sz w:val="22"/>
          <w:szCs w:val="22"/>
        </w:rPr>
        <w:t xml:space="preserve"> </w:t>
      </w:r>
      <w:r w:rsidR="00920675">
        <w:rPr>
          <w:rFonts w:asciiTheme="minorHAnsi" w:hAnsiTheme="minorHAnsi" w:cstheme="minorHAnsi"/>
          <w:sz w:val="22"/>
          <w:szCs w:val="22"/>
        </w:rPr>
        <w:t xml:space="preserve">workstreams to support public commitment to and delivery of Capability Review </w:t>
      </w:r>
      <w:r w:rsidR="00416F4F">
        <w:rPr>
          <w:rFonts w:asciiTheme="minorHAnsi" w:hAnsiTheme="minorHAnsi" w:cstheme="minorHAnsi"/>
          <w:sz w:val="22"/>
          <w:szCs w:val="22"/>
        </w:rPr>
        <w:t>recommendations:</w:t>
      </w:r>
    </w:p>
    <w:p w14:paraId="62B88785" w14:textId="38FC8502" w:rsidR="00676EEC" w:rsidRDefault="00720DD1" w:rsidP="000139EF">
      <w:pPr>
        <w:pStyle w:val="ListParagraph"/>
        <w:keepNext/>
        <w:keepLines/>
        <w:numPr>
          <w:ilvl w:val="0"/>
          <w:numId w:val="13"/>
        </w:numPr>
        <w:ind w:left="714" w:hanging="357"/>
        <w:rPr>
          <w:rFonts w:asciiTheme="minorHAnsi" w:hAnsiTheme="minorHAnsi" w:cstheme="minorHAnsi"/>
          <w:sz w:val="22"/>
          <w:szCs w:val="22"/>
        </w:rPr>
      </w:pPr>
      <w:r w:rsidRPr="00D357C0">
        <w:rPr>
          <w:rFonts w:asciiTheme="minorHAnsi" w:hAnsiTheme="minorHAnsi" w:cstheme="minorHAnsi"/>
          <w:b/>
          <w:bCs/>
          <w:sz w:val="22"/>
          <w:szCs w:val="22"/>
        </w:rPr>
        <w:t xml:space="preserve">Operational </w:t>
      </w:r>
      <w:r w:rsidR="00EF4D9E" w:rsidRPr="00D357C0">
        <w:rPr>
          <w:rFonts w:asciiTheme="minorHAnsi" w:hAnsiTheme="minorHAnsi" w:cstheme="minorHAnsi"/>
          <w:b/>
          <w:bCs/>
          <w:sz w:val="22"/>
          <w:szCs w:val="22"/>
        </w:rPr>
        <w:t>f</w:t>
      </w:r>
      <w:r w:rsidRPr="00D357C0">
        <w:rPr>
          <w:rFonts w:asciiTheme="minorHAnsi" w:hAnsiTheme="minorHAnsi" w:cstheme="minorHAnsi"/>
          <w:b/>
          <w:bCs/>
          <w:sz w:val="22"/>
          <w:szCs w:val="22"/>
        </w:rPr>
        <w:t>unction maturity:</w:t>
      </w:r>
      <w:r>
        <w:rPr>
          <w:rFonts w:asciiTheme="minorHAnsi" w:hAnsiTheme="minorHAnsi" w:cstheme="minorHAnsi"/>
          <w:sz w:val="22"/>
          <w:szCs w:val="22"/>
        </w:rPr>
        <w:t xml:space="preserve"> provide a better regulatory service to the community by</w:t>
      </w:r>
      <w:r w:rsidR="00CE459A">
        <w:rPr>
          <w:rFonts w:asciiTheme="minorHAnsi" w:hAnsiTheme="minorHAnsi" w:cstheme="minorHAnsi"/>
          <w:sz w:val="22"/>
          <w:szCs w:val="22"/>
        </w:rPr>
        <w:t xml:space="preserve"> </w:t>
      </w:r>
      <w:r w:rsidR="00333893">
        <w:rPr>
          <w:rFonts w:asciiTheme="minorHAnsi" w:hAnsiTheme="minorHAnsi" w:cstheme="minorHAnsi"/>
          <w:sz w:val="22"/>
          <w:szCs w:val="22"/>
        </w:rPr>
        <w:t>delivering matured regulatory and operational functions.</w:t>
      </w:r>
    </w:p>
    <w:p w14:paraId="0BBEFE77" w14:textId="0B3986FE" w:rsidR="00333893" w:rsidRDefault="00333893" w:rsidP="000139EF">
      <w:pPr>
        <w:pStyle w:val="ListParagraph"/>
        <w:keepNext/>
        <w:keepLines/>
        <w:numPr>
          <w:ilvl w:val="0"/>
          <w:numId w:val="13"/>
        </w:numPr>
        <w:ind w:left="714" w:hanging="357"/>
        <w:rPr>
          <w:rFonts w:asciiTheme="minorHAnsi" w:hAnsiTheme="minorHAnsi" w:cstheme="minorHAnsi"/>
          <w:sz w:val="22"/>
          <w:szCs w:val="22"/>
        </w:rPr>
      </w:pPr>
      <w:r w:rsidRPr="00D357C0">
        <w:rPr>
          <w:rFonts w:asciiTheme="minorHAnsi" w:hAnsiTheme="minorHAnsi" w:cstheme="minorHAnsi"/>
          <w:b/>
          <w:bCs/>
          <w:sz w:val="22"/>
          <w:szCs w:val="22"/>
        </w:rPr>
        <w:t>Data and</w:t>
      </w:r>
      <w:r w:rsidR="00EF4D9E" w:rsidRPr="00D357C0">
        <w:rPr>
          <w:rFonts w:asciiTheme="minorHAnsi" w:hAnsiTheme="minorHAnsi" w:cstheme="minorHAnsi"/>
          <w:b/>
          <w:bCs/>
          <w:sz w:val="22"/>
          <w:szCs w:val="22"/>
        </w:rPr>
        <w:t xml:space="preserve"> intelligence:</w:t>
      </w:r>
      <w:r w:rsidR="00EF4D9E">
        <w:rPr>
          <w:rFonts w:asciiTheme="minorHAnsi" w:hAnsiTheme="minorHAnsi" w:cstheme="minorHAnsi"/>
          <w:sz w:val="22"/>
          <w:szCs w:val="22"/>
        </w:rPr>
        <w:t xml:space="preserve"> </w:t>
      </w:r>
      <w:r w:rsidR="008350DC">
        <w:rPr>
          <w:rFonts w:asciiTheme="minorHAnsi" w:hAnsiTheme="minorHAnsi" w:cstheme="minorHAnsi"/>
          <w:sz w:val="22"/>
          <w:szCs w:val="22"/>
        </w:rPr>
        <w:t>better understand and respond to the risks to aged care consumers by strengthening the Commission’s data and intelligence.</w:t>
      </w:r>
    </w:p>
    <w:p w14:paraId="30551EE9" w14:textId="3297F908" w:rsidR="008350DC" w:rsidRDefault="008350DC" w:rsidP="000139EF">
      <w:pPr>
        <w:pStyle w:val="ListParagraph"/>
        <w:keepNext/>
        <w:keepLines/>
        <w:numPr>
          <w:ilvl w:val="0"/>
          <w:numId w:val="13"/>
        </w:numPr>
        <w:ind w:left="714" w:hanging="357"/>
        <w:rPr>
          <w:rFonts w:asciiTheme="minorHAnsi" w:hAnsiTheme="minorHAnsi" w:cstheme="minorHAnsi"/>
          <w:sz w:val="22"/>
          <w:szCs w:val="22"/>
        </w:rPr>
      </w:pPr>
      <w:r w:rsidRPr="00D357C0">
        <w:rPr>
          <w:rFonts w:asciiTheme="minorHAnsi" w:hAnsiTheme="minorHAnsi" w:cstheme="minorHAnsi"/>
          <w:b/>
          <w:bCs/>
          <w:sz w:val="22"/>
          <w:szCs w:val="22"/>
        </w:rPr>
        <w:t>Stakeholder engagement:</w:t>
      </w:r>
      <w:r>
        <w:rPr>
          <w:rFonts w:asciiTheme="minorHAnsi" w:hAnsiTheme="minorHAnsi" w:cstheme="minorHAnsi"/>
          <w:sz w:val="22"/>
          <w:szCs w:val="22"/>
        </w:rPr>
        <w:t xml:space="preserve"> increase </w:t>
      </w:r>
      <w:r w:rsidR="003B1739">
        <w:rPr>
          <w:rFonts w:asciiTheme="minorHAnsi" w:hAnsiTheme="minorHAnsi" w:cstheme="minorHAnsi"/>
          <w:sz w:val="22"/>
          <w:szCs w:val="22"/>
        </w:rPr>
        <w:t xml:space="preserve">understanding, </w:t>
      </w:r>
      <w:r w:rsidR="00D357C0">
        <w:rPr>
          <w:rFonts w:asciiTheme="minorHAnsi" w:hAnsiTheme="minorHAnsi" w:cstheme="minorHAnsi"/>
          <w:sz w:val="22"/>
          <w:szCs w:val="22"/>
        </w:rPr>
        <w:t>trust,</w:t>
      </w:r>
      <w:r w:rsidR="003B1739">
        <w:rPr>
          <w:rFonts w:asciiTheme="minorHAnsi" w:hAnsiTheme="minorHAnsi" w:cstheme="minorHAnsi"/>
          <w:sz w:val="22"/>
          <w:szCs w:val="22"/>
        </w:rPr>
        <w:t xml:space="preserve"> and respect with stakeholders through enhance</w:t>
      </w:r>
      <w:r w:rsidR="00446B62">
        <w:rPr>
          <w:rFonts w:asciiTheme="minorHAnsi" w:hAnsiTheme="minorHAnsi" w:cstheme="minorHAnsi"/>
          <w:sz w:val="22"/>
          <w:szCs w:val="22"/>
        </w:rPr>
        <w:t>d</w:t>
      </w:r>
      <w:r w:rsidR="003B1739">
        <w:rPr>
          <w:rFonts w:asciiTheme="minorHAnsi" w:hAnsiTheme="minorHAnsi" w:cstheme="minorHAnsi"/>
          <w:sz w:val="22"/>
          <w:szCs w:val="22"/>
        </w:rPr>
        <w:t xml:space="preserve"> engagement.</w:t>
      </w:r>
    </w:p>
    <w:p w14:paraId="33C9F794" w14:textId="4C27BD16" w:rsidR="003B1739" w:rsidRDefault="003B1739" w:rsidP="00676EEC">
      <w:pPr>
        <w:pStyle w:val="ListParagraph"/>
        <w:numPr>
          <w:ilvl w:val="0"/>
          <w:numId w:val="13"/>
        </w:numPr>
        <w:rPr>
          <w:rFonts w:asciiTheme="minorHAnsi" w:hAnsiTheme="minorHAnsi" w:cstheme="minorHAnsi"/>
          <w:sz w:val="22"/>
          <w:szCs w:val="22"/>
        </w:rPr>
      </w:pPr>
      <w:r w:rsidRPr="00D357C0">
        <w:rPr>
          <w:rFonts w:asciiTheme="minorHAnsi" w:hAnsiTheme="minorHAnsi" w:cstheme="minorHAnsi"/>
          <w:b/>
          <w:bCs/>
          <w:sz w:val="22"/>
          <w:szCs w:val="22"/>
        </w:rPr>
        <w:t>Governance and funding</w:t>
      </w:r>
      <w:r>
        <w:rPr>
          <w:rFonts w:asciiTheme="minorHAnsi" w:hAnsiTheme="minorHAnsi" w:cstheme="minorHAnsi"/>
          <w:sz w:val="22"/>
          <w:szCs w:val="22"/>
        </w:rPr>
        <w:t>: strengthen the Commission’s governance and funding arrangements.</w:t>
      </w:r>
    </w:p>
    <w:p w14:paraId="246EF009" w14:textId="05769DFF" w:rsidR="003B1739" w:rsidRDefault="003B1739" w:rsidP="00676EEC">
      <w:pPr>
        <w:pStyle w:val="ListParagraph"/>
        <w:numPr>
          <w:ilvl w:val="0"/>
          <w:numId w:val="13"/>
        </w:numPr>
        <w:rPr>
          <w:rFonts w:asciiTheme="minorHAnsi" w:hAnsiTheme="minorHAnsi" w:cstheme="minorHAnsi"/>
          <w:sz w:val="22"/>
          <w:szCs w:val="22"/>
        </w:rPr>
      </w:pPr>
      <w:r w:rsidRPr="00D357C0">
        <w:rPr>
          <w:rFonts w:asciiTheme="minorHAnsi" w:hAnsiTheme="minorHAnsi" w:cstheme="minorHAnsi"/>
          <w:b/>
          <w:bCs/>
          <w:sz w:val="22"/>
          <w:szCs w:val="22"/>
        </w:rPr>
        <w:t>Workforce management:</w:t>
      </w:r>
      <w:r>
        <w:rPr>
          <w:rFonts w:asciiTheme="minorHAnsi" w:hAnsiTheme="minorHAnsi" w:cstheme="minorHAnsi"/>
          <w:sz w:val="22"/>
          <w:szCs w:val="22"/>
        </w:rPr>
        <w:t xml:space="preserve"> maximise the potential of the Commission’s workforce.</w:t>
      </w:r>
    </w:p>
    <w:p w14:paraId="5902D141" w14:textId="03A253D4" w:rsidR="003B1739" w:rsidRPr="00D57800" w:rsidRDefault="003B1739" w:rsidP="00D57800">
      <w:pPr>
        <w:pStyle w:val="ListParagraph"/>
        <w:numPr>
          <w:ilvl w:val="0"/>
          <w:numId w:val="13"/>
        </w:numPr>
        <w:rPr>
          <w:rFonts w:asciiTheme="minorHAnsi" w:hAnsiTheme="minorHAnsi" w:cstheme="minorHAnsi"/>
          <w:sz w:val="22"/>
          <w:szCs w:val="22"/>
        </w:rPr>
      </w:pPr>
      <w:r w:rsidRPr="00D357C0">
        <w:rPr>
          <w:rFonts w:asciiTheme="minorHAnsi" w:hAnsiTheme="minorHAnsi" w:cstheme="minorHAnsi"/>
          <w:b/>
          <w:bCs/>
          <w:sz w:val="22"/>
          <w:szCs w:val="22"/>
        </w:rPr>
        <w:t>ICT systems:</w:t>
      </w:r>
      <w:r>
        <w:rPr>
          <w:rFonts w:asciiTheme="minorHAnsi" w:hAnsiTheme="minorHAnsi" w:cstheme="minorHAnsi"/>
          <w:sz w:val="22"/>
          <w:szCs w:val="22"/>
        </w:rPr>
        <w:t xml:space="preserve"> evolve the Commission’s IC</w:t>
      </w:r>
      <w:r w:rsidR="00446B62">
        <w:rPr>
          <w:rFonts w:asciiTheme="minorHAnsi" w:hAnsiTheme="minorHAnsi" w:cstheme="minorHAnsi"/>
          <w:sz w:val="22"/>
          <w:szCs w:val="22"/>
        </w:rPr>
        <w:t>T</w:t>
      </w:r>
      <w:r>
        <w:rPr>
          <w:rFonts w:asciiTheme="minorHAnsi" w:hAnsiTheme="minorHAnsi" w:cstheme="minorHAnsi"/>
          <w:sz w:val="22"/>
          <w:szCs w:val="22"/>
        </w:rPr>
        <w:t xml:space="preserve"> systems to be robust and </w:t>
      </w:r>
      <w:r w:rsidR="00416F4F">
        <w:rPr>
          <w:rFonts w:asciiTheme="minorHAnsi" w:hAnsiTheme="minorHAnsi" w:cstheme="minorHAnsi"/>
          <w:sz w:val="22"/>
          <w:szCs w:val="22"/>
        </w:rPr>
        <w:t>user focused</w:t>
      </w:r>
      <w:r>
        <w:rPr>
          <w:rFonts w:asciiTheme="minorHAnsi" w:hAnsiTheme="minorHAnsi" w:cstheme="minorHAnsi"/>
          <w:sz w:val="22"/>
          <w:szCs w:val="22"/>
        </w:rPr>
        <w:t>.</w:t>
      </w:r>
    </w:p>
    <w:p w14:paraId="5C1FF8D2" w14:textId="456D0D41" w:rsidR="00446B62" w:rsidRDefault="0055058A" w:rsidP="0095680F">
      <w:pPr>
        <w:rPr>
          <w:rFonts w:asciiTheme="minorHAnsi" w:hAnsiTheme="minorHAnsi" w:cstheme="minorHAnsi"/>
          <w:b/>
          <w:bCs/>
          <w:sz w:val="22"/>
          <w:szCs w:val="22"/>
        </w:rPr>
      </w:pPr>
      <w:r w:rsidRPr="00BB1445">
        <w:rPr>
          <w:rFonts w:asciiTheme="minorHAnsi" w:hAnsiTheme="minorHAnsi" w:cstheme="minorHAnsi"/>
          <w:sz w:val="22"/>
          <w:szCs w:val="22"/>
        </w:rPr>
        <w:t>I</w:t>
      </w:r>
      <w:r w:rsidR="00EA5924" w:rsidRPr="00BB1445">
        <w:rPr>
          <w:rFonts w:asciiTheme="minorHAnsi" w:hAnsiTheme="minorHAnsi" w:cstheme="minorHAnsi"/>
          <w:sz w:val="22"/>
          <w:szCs w:val="22"/>
        </w:rPr>
        <w:t xml:space="preserve"> expect this commitment to continue </w:t>
      </w:r>
      <w:r w:rsidR="00D72C4A" w:rsidRPr="00BB1445">
        <w:rPr>
          <w:rFonts w:asciiTheme="minorHAnsi" w:hAnsiTheme="minorHAnsi" w:cstheme="minorHAnsi"/>
          <w:sz w:val="22"/>
          <w:szCs w:val="22"/>
        </w:rPr>
        <w:t>a</w:t>
      </w:r>
      <w:r w:rsidR="00E704E5" w:rsidRPr="00BB1445">
        <w:rPr>
          <w:rFonts w:asciiTheme="minorHAnsi" w:hAnsiTheme="minorHAnsi" w:cstheme="minorHAnsi"/>
          <w:sz w:val="22"/>
          <w:szCs w:val="22"/>
        </w:rPr>
        <w:t>nd that</w:t>
      </w:r>
      <w:r w:rsidR="00D72C4A" w:rsidRPr="00BB1445">
        <w:rPr>
          <w:rFonts w:asciiTheme="minorHAnsi" w:hAnsiTheme="minorHAnsi" w:cstheme="minorHAnsi"/>
          <w:sz w:val="22"/>
          <w:szCs w:val="22"/>
        </w:rPr>
        <w:t xml:space="preserve"> recommendations are implemented in accordance with the Government response and in collaboration with the </w:t>
      </w:r>
      <w:r w:rsidR="00416F4F" w:rsidRPr="00BB1445">
        <w:rPr>
          <w:rFonts w:asciiTheme="minorHAnsi" w:hAnsiTheme="minorHAnsi" w:cstheme="minorHAnsi"/>
          <w:sz w:val="22"/>
          <w:szCs w:val="22"/>
        </w:rPr>
        <w:t>Department</w:t>
      </w:r>
      <w:r w:rsidR="00416F4F">
        <w:rPr>
          <w:rFonts w:asciiTheme="minorHAnsi" w:hAnsiTheme="minorHAnsi" w:cstheme="minorHAnsi"/>
          <w:sz w:val="22"/>
          <w:szCs w:val="22"/>
        </w:rPr>
        <w:t>.</w:t>
      </w:r>
    </w:p>
    <w:p w14:paraId="5ECDA929" w14:textId="5574526C" w:rsidR="00241458" w:rsidRPr="00241458" w:rsidRDefault="00241458" w:rsidP="0095680F">
      <w:pPr>
        <w:rPr>
          <w:rFonts w:asciiTheme="minorHAnsi" w:hAnsiTheme="minorHAnsi" w:cstheme="minorHAnsi"/>
          <w:sz w:val="22"/>
          <w:szCs w:val="22"/>
        </w:rPr>
      </w:pPr>
      <w:r w:rsidRPr="00241458">
        <w:rPr>
          <w:rFonts w:asciiTheme="minorHAnsi" w:hAnsiTheme="minorHAnsi" w:cstheme="minorHAnsi"/>
          <w:sz w:val="22"/>
          <w:szCs w:val="22"/>
        </w:rPr>
        <w:t xml:space="preserve">The new regulatory model proposed under the new Aged Care Act will transform the way the aged care sector works. It will emphasise stronger working relationships with the sector, developing deeper trust and embracing more transparency and collaboration. To promote public confidence, I expect the Commission to maintain a Regulatory Strategy which details the Commission’s approach to delivering regulatory functions. This should include ensuring consistency in decision-making, a fair, </w:t>
      </w:r>
      <w:r w:rsidR="000F5463" w:rsidRPr="00241458">
        <w:rPr>
          <w:rFonts w:asciiTheme="minorHAnsi" w:hAnsiTheme="minorHAnsi" w:cstheme="minorHAnsi"/>
          <w:sz w:val="22"/>
          <w:szCs w:val="22"/>
        </w:rPr>
        <w:t>balanced</w:t>
      </w:r>
      <w:r w:rsidR="000F5463">
        <w:rPr>
          <w:rFonts w:asciiTheme="minorHAnsi" w:hAnsiTheme="minorHAnsi" w:cstheme="minorHAnsi"/>
          <w:sz w:val="22"/>
          <w:szCs w:val="22"/>
        </w:rPr>
        <w:t xml:space="preserve"> </w:t>
      </w:r>
      <w:r w:rsidRPr="00241458">
        <w:rPr>
          <w:rFonts w:asciiTheme="minorHAnsi" w:hAnsiTheme="minorHAnsi" w:cstheme="minorHAnsi"/>
          <w:sz w:val="22"/>
          <w:szCs w:val="22"/>
        </w:rPr>
        <w:t>and effective regulatory approach, and transparency in Commission policies, processes and engagement with stakeholders</w:t>
      </w:r>
      <w:r w:rsidR="000F5463">
        <w:rPr>
          <w:rFonts w:asciiTheme="minorHAnsi" w:hAnsiTheme="minorHAnsi" w:cstheme="minorHAnsi"/>
          <w:sz w:val="22"/>
          <w:szCs w:val="22"/>
        </w:rPr>
        <w:t>.</w:t>
      </w:r>
    </w:p>
    <w:p w14:paraId="4C401292" w14:textId="2DD5CE41" w:rsidR="002E1E7E" w:rsidRPr="00BB1445" w:rsidRDefault="002E1E7E" w:rsidP="004C3F6A">
      <w:pPr>
        <w:pStyle w:val="Heading2"/>
        <w:spacing w:before="360" w:after="160"/>
        <w:rPr>
          <w:rFonts w:asciiTheme="minorHAnsi" w:hAnsiTheme="minorHAnsi" w:cstheme="minorHAnsi"/>
          <w:b/>
          <w:bCs/>
          <w:color w:val="auto"/>
          <w:sz w:val="22"/>
          <w:szCs w:val="22"/>
        </w:rPr>
      </w:pPr>
      <w:r w:rsidRPr="00BB1445">
        <w:rPr>
          <w:rFonts w:asciiTheme="minorHAnsi" w:hAnsiTheme="minorHAnsi" w:cstheme="minorHAnsi"/>
          <w:b/>
          <w:bCs/>
          <w:color w:val="auto"/>
          <w:sz w:val="22"/>
          <w:szCs w:val="22"/>
        </w:rPr>
        <w:t xml:space="preserve">Relationship with Older </w:t>
      </w:r>
      <w:r w:rsidR="00ED7172">
        <w:rPr>
          <w:rFonts w:asciiTheme="minorHAnsi" w:hAnsiTheme="minorHAnsi" w:cstheme="minorHAnsi"/>
          <w:b/>
          <w:bCs/>
          <w:color w:val="auto"/>
          <w:sz w:val="22"/>
          <w:szCs w:val="22"/>
        </w:rPr>
        <w:t>People</w:t>
      </w:r>
      <w:r w:rsidR="00C26166">
        <w:rPr>
          <w:rFonts w:asciiTheme="minorHAnsi" w:hAnsiTheme="minorHAnsi" w:cstheme="minorHAnsi"/>
          <w:b/>
          <w:bCs/>
          <w:color w:val="auto"/>
          <w:sz w:val="22"/>
          <w:szCs w:val="22"/>
        </w:rPr>
        <w:t xml:space="preserve"> Accessing Aged Care Services</w:t>
      </w:r>
    </w:p>
    <w:p w14:paraId="124FC6A2" w14:textId="20CD3CE4" w:rsidR="00796818" w:rsidRDefault="00796818" w:rsidP="00182CBB">
      <w:pPr>
        <w:rPr>
          <w:rFonts w:asciiTheme="minorHAnsi" w:hAnsiTheme="minorHAnsi" w:cstheme="minorHAnsi"/>
          <w:sz w:val="22"/>
          <w:szCs w:val="22"/>
        </w:rPr>
      </w:pPr>
      <w:r>
        <w:rPr>
          <w:rFonts w:asciiTheme="minorHAnsi" w:hAnsiTheme="minorHAnsi" w:cstheme="minorHAnsi"/>
          <w:sz w:val="22"/>
          <w:szCs w:val="22"/>
        </w:rPr>
        <w:t>I expect the Commission to:</w:t>
      </w:r>
    </w:p>
    <w:p w14:paraId="15D06E8B" w14:textId="4FD8A635" w:rsidR="0074309B" w:rsidRDefault="0074309B" w:rsidP="00182CBB">
      <w:pPr>
        <w:pStyle w:val="ListParagraph"/>
        <w:numPr>
          <w:ilvl w:val="0"/>
          <w:numId w:val="15"/>
        </w:numPr>
        <w:contextualSpacing w:val="0"/>
        <w:rPr>
          <w:rFonts w:asciiTheme="minorHAnsi" w:hAnsiTheme="minorHAnsi" w:cstheme="minorHAnsi"/>
          <w:sz w:val="22"/>
          <w:szCs w:val="22"/>
        </w:rPr>
      </w:pPr>
      <w:r>
        <w:rPr>
          <w:rFonts w:asciiTheme="minorHAnsi" w:hAnsiTheme="minorHAnsi" w:cstheme="minorHAnsi"/>
          <w:sz w:val="22"/>
          <w:szCs w:val="22"/>
        </w:rPr>
        <w:t>C</w:t>
      </w:r>
      <w:r w:rsidR="00182CBB" w:rsidRPr="00796818">
        <w:rPr>
          <w:rFonts w:asciiTheme="minorHAnsi" w:hAnsiTheme="minorHAnsi" w:cstheme="minorHAnsi"/>
          <w:sz w:val="22"/>
          <w:szCs w:val="22"/>
        </w:rPr>
        <w:t>ontinue to actively promote the obligations of providers in meeting the needs of older people accessing aged care services.</w:t>
      </w:r>
    </w:p>
    <w:p w14:paraId="3CE13163" w14:textId="540E9E38" w:rsidR="0074309B" w:rsidRDefault="0074309B" w:rsidP="1F112B77">
      <w:pPr>
        <w:pStyle w:val="ListParagraph"/>
        <w:numPr>
          <w:ilvl w:val="0"/>
          <w:numId w:val="15"/>
        </w:numPr>
        <w:contextualSpacing w:val="0"/>
        <w:rPr>
          <w:rFonts w:asciiTheme="minorHAnsi" w:hAnsiTheme="minorHAnsi" w:cstheme="minorHAnsi"/>
          <w:sz w:val="22"/>
          <w:szCs w:val="22"/>
        </w:rPr>
      </w:pPr>
      <w:r>
        <w:rPr>
          <w:rFonts w:asciiTheme="minorHAnsi" w:hAnsiTheme="minorHAnsi" w:cstheme="minorHAnsi"/>
          <w:sz w:val="22"/>
          <w:szCs w:val="22"/>
        </w:rPr>
        <w:t>C</w:t>
      </w:r>
      <w:r w:rsidR="00182CBB" w:rsidRPr="00796818">
        <w:rPr>
          <w:rFonts w:asciiTheme="minorHAnsi" w:hAnsiTheme="minorHAnsi" w:cstheme="minorHAnsi"/>
          <w:sz w:val="22"/>
          <w:szCs w:val="22"/>
        </w:rPr>
        <w:t>ontinue supporting effective implementation of consumer advisory bodies to ensure provider governing bodies hear the voice of older persons using their services.</w:t>
      </w:r>
    </w:p>
    <w:p w14:paraId="04A5CB0F" w14:textId="77777777" w:rsidR="007262B9" w:rsidRPr="007262B9" w:rsidRDefault="0074309B" w:rsidP="00FC24C1">
      <w:pPr>
        <w:pStyle w:val="ListParagraph"/>
        <w:numPr>
          <w:ilvl w:val="0"/>
          <w:numId w:val="15"/>
        </w:numPr>
        <w:contextualSpacing w:val="0"/>
        <w:rPr>
          <w:rFonts w:asciiTheme="minorHAnsi" w:hAnsiTheme="minorHAnsi" w:cstheme="minorHAnsi"/>
          <w:sz w:val="22"/>
          <w:szCs w:val="22"/>
        </w:rPr>
      </w:pPr>
      <w:r>
        <w:rPr>
          <w:rFonts w:asciiTheme="minorHAnsi" w:hAnsiTheme="minorHAnsi" w:cstheme="minorBidi"/>
          <w:sz w:val="22"/>
          <w:szCs w:val="22"/>
        </w:rPr>
        <w:t>C</w:t>
      </w:r>
      <w:r w:rsidR="003E353E" w:rsidRPr="0074309B">
        <w:rPr>
          <w:rFonts w:asciiTheme="minorHAnsi" w:hAnsiTheme="minorHAnsi" w:cstheme="minorBidi"/>
          <w:sz w:val="22"/>
          <w:szCs w:val="22"/>
        </w:rPr>
        <w:t>ontinue to support</w:t>
      </w:r>
      <w:r w:rsidR="00365897" w:rsidRPr="0074309B">
        <w:rPr>
          <w:rFonts w:asciiTheme="minorHAnsi" w:hAnsiTheme="minorHAnsi" w:cstheme="minorBidi"/>
          <w:sz w:val="22"/>
          <w:szCs w:val="22"/>
        </w:rPr>
        <w:t xml:space="preserve"> older pe</w:t>
      </w:r>
      <w:r w:rsidR="572FDCE5" w:rsidRPr="0074309B">
        <w:rPr>
          <w:rFonts w:asciiTheme="minorHAnsi" w:hAnsiTheme="minorHAnsi" w:cstheme="minorBidi"/>
          <w:sz w:val="22"/>
          <w:szCs w:val="22"/>
        </w:rPr>
        <w:t>ople</w:t>
      </w:r>
      <w:r w:rsidR="00365897" w:rsidRPr="0074309B">
        <w:rPr>
          <w:rFonts w:asciiTheme="minorHAnsi" w:hAnsiTheme="minorHAnsi" w:cstheme="minorBidi"/>
          <w:sz w:val="22"/>
          <w:szCs w:val="22"/>
        </w:rPr>
        <w:t xml:space="preserve"> and their advocates who make complaints or provide feedback </w:t>
      </w:r>
      <w:r w:rsidR="00261DF8" w:rsidRPr="0074309B">
        <w:rPr>
          <w:rFonts w:asciiTheme="minorHAnsi" w:hAnsiTheme="minorHAnsi" w:cstheme="minorBidi"/>
          <w:sz w:val="22"/>
          <w:szCs w:val="22"/>
        </w:rPr>
        <w:t xml:space="preserve">to the Commission </w:t>
      </w:r>
      <w:r w:rsidR="00365897" w:rsidRPr="0074309B">
        <w:rPr>
          <w:rFonts w:asciiTheme="minorHAnsi" w:hAnsiTheme="minorHAnsi" w:cstheme="minorBidi"/>
          <w:sz w:val="22"/>
          <w:szCs w:val="22"/>
        </w:rPr>
        <w:t>under the</w:t>
      </w:r>
      <w:r w:rsidR="00AD550C">
        <w:rPr>
          <w:rFonts w:asciiTheme="minorHAnsi" w:hAnsiTheme="minorHAnsi" w:cstheme="minorBidi"/>
          <w:sz w:val="22"/>
          <w:szCs w:val="22"/>
        </w:rPr>
        <w:t xml:space="preserve"> Commission</w:t>
      </w:r>
      <w:r w:rsidR="00365897" w:rsidRPr="0074309B">
        <w:rPr>
          <w:rFonts w:asciiTheme="minorHAnsi" w:hAnsiTheme="minorHAnsi" w:cstheme="minorBidi"/>
          <w:sz w:val="22"/>
          <w:szCs w:val="22"/>
        </w:rPr>
        <w:t xml:space="preserve"> Act</w:t>
      </w:r>
      <w:r w:rsidR="00085AA9" w:rsidRPr="0074309B">
        <w:rPr>
          <w:rFonts w:asciiTheme="minorHAnsi" w:hAnsiTheme="minorHAnsi" w:cstheme="minorBidi"/>
          <w:sz w:val="22"/>
          <w:szCs w:val="22"/>
        </w:rPr>
        <w:t xml:space="preserve">, including maintaining transparency </w:t>
      </w:r>
      <w:r w:rsidR="00B34EBA" w:rsidRPr="0074309B">
        <w:rPr>
          <w:rFonts w:asciiTheme="minorHAnsi" w:hAnsiTheme="minorHAnsi" w:cstheme="minorBidi"/>
          <w:sz w:val="22"/>
          <w:szCs w:val="22"/>
        </w:rPr>
        <w:t xml:space="preserve">both </w:t>
      </w:r>
      <w:r w:rsidR="00085AA9" w:rsidRPr="0074309B">
        <w:rPr>
          <w:rFonts w:asciiTheme="minorHAnsi" w:hAnsiTheme="minorHAnsi" w:cstheme="minorBidi"/>
          <w:sz w:val="22"/>
          <w:szCs w:val="22"/>
        </w:rPr>
        <w:t>throughout</w:t>
      </w:r>
      <w:r w:rsidR="00B34EBA" w:rsidRPr="0074309B">
        <w:rPr>
          <w:rFonts w:asciiTheme="minorHAnsi" w:hAnsiTheme="minorHAnsi" w:cstheme="minorBidi"/>
          <w:sz w:val="22"/>
          <w:szCs w:val="22"/>
        </w:rPr>
        <w:t>, and following, the complaints resolution process.</w:t>
      </w:r>
    </w:p>
    <w:p w14:paraId="6B5F4D3B" w14:textId="46F33DFE" w:rsidR="00B801CF" w:rsidRPr="009332E3" w:rsidRDefault="007262B9" w:rsidP="00FC24C1">
      <w:pPr>
        <w:pStyle w:val="ListParagraph"/>
        <w:numPr>
          <w:ilvl w:val="0"/>
          <w:numId w:val="15"/>
        </w:numPr>
        <w:contextualSpacing w:val="0"/>
        <w:rPr>
          <w:rFonts w:asciiTheme="minorHAnsi" w:hAnsiTheme="minorHAnsi" w:cstheme="minorHAnsi"/>
          <w:sz w:val="22"/>
          <w:szCs w:val="22"/>
        </w:rPr>
      </w:pPr>
      <w:r>
        <w:rPr>
          <w:rFonts w:asciiTheme="minorHAnsi" w:hAnsiTheme="minorHAnsi" w:cstheme="minorHAnsi"/>
          <w:sz w:val="22"/>
          <w:szCs w:val="22"/>
        </w:rPr>
        <w:t xml:space="preserve">Protect older persons making complaints or providing feedback to the Commission from any form of retribution or victimisation by providers </w:t>
      </w:r>
      <w:proofErr w:type="gramStart"/>
      <w:r>
        <w:rPr>
          <w:rFonts w:asciiTheme="minorHAnsi" w:hAnsiTheme="minorHAnsi" w:cstheme="minorHAnsi"/>
          <w:sz w:val="22"/>
          <w:szCs w:val="22"/>
        </w:rPr>
        <w:t>as a result of</w:t>
      </w:r>
      <w:proofErr w:type="gramEnd"/>
      <w:r>
        <w:rPr>
          <w:rFonts w:asciiTheme="minorHAnsi" w:hAnsiTheme="minorHAnsi" w:cstheme="minorHAnsi"/>
          <w:sz w:val="22"/>
          <w:szCs w:val="22"/>
        </w:rPr>
        <w:t xml:space="preserve"> that contact and take appropriate action to address any such conduct where it does occur.</w:t>
      </w:r>
    </w:p>
    <w:p w14:paraId="1358C924" w14:textId="3FB1883B" w:rsidR="009332E3" w:rsidRPr="009332E3" w:rsidRDefault="009332E3" w:rsidP="009332E3">
      <w:pPr>
        <w:pStyle w:val="ListParagraph"/>
        <w:numPr>
          <w:ilvl w:val="0"/>
          <w:numId w:val="15"/>
        </w:numPr>
        <w:contextualSpacing w:val="0"/>
        <w:rPr>
          <w:rFonts w:asciiTheme="minorHAnsi" w:hAnsiTheme="minorHAnsi" w:cstheme="minorHAnsi"/>
          <w:sz w:val="22"/>
          <w:szCs w:val="22"/>
        </w:rPr>
      </w:pPr>
      <w:r>
        <w:rPr>
          <w:rFonts w:asciiTheme="minorHAnsi" w:hAnsiTheme="minorHAnsi" w:cstheme="minorHAnsi"/>
          <w:sz w:val="22"/>
          <w:szCs w:val="22"/>
        </w:rPr>
        <w:lastRenderedPageBreak/>
        <w:t>Utilise the Complaints Commissioner as the dedicated senior employee with primary responsibility for resolving and investigating complaints made to the Commission.</w:t>
      </w:r>
    </w:p>
    <w:p w14:paraId="74A525D3" w14:textId="58FE202A" w:rsidR="00E73FDE" w:rsidRDefault="00895512" w:rsidP="00523460">
      <w:pPr>
        <w:pStyle w:val="ListParagraph"/>
        <w:numPr>
          <w:ilvl w:val="0"/>
          <w:numId w:val="15"/>
        </w:numPr>
        <w:contextualSpacing w:val="0"/>
        <w:rPr>
          <w:rFonts w:asciiTheme="minorHAnsi" w:hAnsiTheme="minorHAnsi" w:cstheme="minorHAnsi"/>
          <w:sz w:val="22"/>
          <w:szCs w:val="22"/>
        </w:rPr>
      </w:pPr>
      <w:r>
        <w:rPr>
          <w:rFonts w:asciiTheme="minorHAnsi" w:hAnsiTheme="minorHAnsi" w:cstheme="minorHAnsi"/>
          <w:sz w:val="22"/>
          <w:szCs w:val="22"/>
        </w:rPr>
        <w:t>U</w:t>
      </w:r>
      <w:r w:rsidR="00E73FDE" w:rsidRPr="00E73FDE">
        <w:rPr>
          <w:rFonts w:asciiTheme="minorHAnsi" w:hAnsiTheme="minorHAnsi" w:cstheme="minorHAnsi"/>
          <w:sz w:val="22"/>
          <w:szCs w:val="22"/>
        </w:rPr>
        <w:t>ndertak</w:t>
      </w:r>
      <w:r w:rsidR="00E73FDE">
        <w:rPr>
          <w:rFonts w:asciiTheme="minorHAnsi" w:hAnsiTheme="minorHAnsi" w:cstheme="minorHAnsi"/>
          <w:sz w:val="22"/>
          <w:szCs w:val="22"/>
        </w:rPr>
        <w:t>e</w:t>
      </w:r>
      <w:r w:rsidR="00E73FDE" w:rsidRPr="00E73FDE">
        <w:rPr>
          <w:rFonts w:asciiTheme="minorHAnsi" w:hAnsiTheme="minorHAnsi" w:cstheme="minorHAnsi"/>
          <w:sz w:val="22"/>
          <w:szCs w:val="22"/>
        </w:rPr>
        <w:t xml:space="preserve"> compliance activities to ensure all older </w:t>
      </w:r>
      <w:r w:rsidR="002030AF">
        <w:rPr>
          <w:rFonts w:asciiTheme="minorHAnsi" w:hAnsiTheme="minorHAnsi" w:cstheme="minorHAnsi"/>
          <w:sz w:val="22"/>
          <w:szCs w:val="22"/>
        </w:rPr>
        <w:t>persons</w:t>
      </w:r>
      <w:r w:rsidR="00E73FDE" w:rsidRPr="00E73FDE">
        <w:rPr>
          <w:rFonts w:asciiTheme="minorHAnsi" w:hAnsiTheme="minorHAnsi" w:cstheme="minorHAnsi"/>
          <w:sz w:val="22"/>
          <w:szCs w:val="22"/>
        </w:rPr>
        <w:t xml:space="preserve"> receive safe and quali</w:t>
      </w:r>
      <w:r w:rsidR="002030AF">
        <w:rPr>
          <w:rFonts w:asciiTheme="minorHAnsi" w:hAnsiTheme="minorHAnsi" w:cstheme="minorHAnsi"/>
          <w:sz w:val="22"/>
          <w:szCs w:val="22"/>
        </w:rPr>
        <w:t>t</w:t>
      </w:r>
      <w:r w:rsidR="00E73FDE" w:rsidRPr="00E73FDE">
        <w:rPr>
          <w:rFonts w:asciiTheme="minorHAnsi" w:hAnsiTheme="minorHAnsi" w:cstheme="minorHAnsi"/>
          <w:sz w:val="22"/>
          <w:szCs w:val="22"/>
        </w:rPr>
        <w:t>y care that meets their care needs, particularly their clinical care needs, and have access to relevant services if they need them.</w:t>
      </w:r>
    </w:p>
    <w:p w14:paraId="2966DBDD" w14:textId="46067BBC" w:rsidR="0060598E" w:rsidRDefault="0060598E" w:rsidP="00523460">
      <w:pPr>
        <w:pStyle w:val="ListParagraph"/>
        <w:numPr>
          <w:ilvl w:val="0"/>
          <w:numId w:val="15"/>
        </w:numPr>
        <w:contextualSpacing w:val="0"/>
        <w:rPr>
          <w:rFonts w:asciiTheme="minorHAnsi" w:hAnsiTheme="minorHAnsi" w:cstheme="minorHAnsi"/>
          <w:sz w:val="22"/>
          <w:szCs w:val="22"/>
        </w:rPr>
      </w:pPr>
      <w:proofErr w:type="gramStart"/>
      <w:r>
        <w:rPr>
          <w:rFonts w:asciiTheme="minorHAnsi" w:hAnsiTheme="minorHAnsi" w:cstheme="minorHAnsi"/>
          <w:sz w:val="22"/>
          <w:szCs w:val="22"/>
        </w:rPr>
        <w:t>In particular, in</w:t>
      </w:r>
      <w:proofErr w:type="gramEnd"/>
      <w:r>
        <w:rPr>
          <w:rFonts w:asciiTheme="minorHAnsi" w:hAnsiTheme="minorHAnsi" w:cstheme="minorHAnsi"/>
          <w:sz w:val="22"/>
          <w:szCs w:val="22"/>
        </w:rPr>
        <w:t xml:space="preserve"> relation to older persons whose needs include clinical care, use regulatory powers available to the Commission to monitor and respond to instances of providers not meeting clinical care requirements, including</w:t>
      </w:r>
      <w:r w:rsidR="006D3F88">
        <w:rPr>
          <w:rFonts w:asciiTheme="minorHAnsi" w:hAnsiTheme="minorHAnsi" w:cstheme="minorHAnsi"/>
          <w:sz w:val="22"/>
          <w:szCs w:val="22"/>
        </w:rPr>
        <w:t xml:space="preserve"> 24/7 nursing, care minutes and</w:t>
      </w:r>
      <w:r>
        <w:rPr>
          <w:rFonts w:asciiTheme="minorHAnsi" w:hAnsiTheme="minorHAnsi" w:cstheme="minorHAnsi"/>
          <w:sz w:val="22"/>
          <w:szCs w:val="22"/>
        </w:rPr>
        <w:t xml:space="preserve"> vaccinations, when identified.</w:t>
      </w:r>
    </w:p>
    <w:p w14:paraId="65250276" w14:textId="77777777" w:rsidR="00B801CF" w:rsidRDefault="00B801CF" w:rsidP="00792F7E">
      <w:pPr>
        <w:pStyle w:val="ListParagraph"/>
        <w:numPr>
          <w:ilvl w:val="0"/>
          <w:numId w:val="15"/>
        </w:numPr>
        <w:contextualSpacing w:val="0"/>
        <w:rPr>
          <w:rFonts w:asciiTheme="minorHAnsi" w:hAnsiTheme="minorHAnsi" w:cstheme="minorHAnsi"/>
          <w:sz w:val="22"/>
          <w:szCs w:val="22"/>
        </w:rPr>
      </w:pPr>
      <w:r>
        <w:rPr>
          <w:rFonts w:asciiTheme="minorHAnsi" w:hAnsiTheme="minorHAnsi" w:cstheme="minorHAnsi"/>
          <w:sz w:val="22"/>
          <w:szCs w:val="22"/>
        </w:rPr>
        <w:t>M</w:t>
      </w:r>
      <w:r w:rsidR="0015036B" w:rsidRPr="00B801CF">
        <w:rPr>
          <w:rFonts w:asciiTheme="minorHAnsi" w:hAnsiTheme="minorHAnsi" w:cstheme="minorHAnsi"/>
          <w:sz w:val="22"/>
          <w:szCs w:val="22"/>
        </w:rPr>
        <w:t xml:space="preserve">aintain an </w:t>
      </w:r>
      <w:r w:rsidR="00CF2134" w:rsidRPr="00B801CF">
        <w:rPr>
          <w:rFonts w:asciiTheme="minorHAnsi" w:hAnsiTheme="minorHAnsi" w:cstheme="minorHAnsi"/>
          <w:sz w:val="22"/>
          <w:szCs w:val="22"/>
        </w:rPr>
        <w:t>up-to-date</w:t>
      </w:r>
      <w:r w:rsidR="0015036B" w:rsidRPr="00B801CF">
        <w:rPr>
          <w:rFonts w:asciiTheme="minorHAnsi" w:hAnsiTheme="minorHAnsi" w:cstheme="minorHAnsi"/>
          <w:sz w:val="22"/>
          <w:szCs w:val="22"/>
        </w:rPr>
        <w:t xml:space="preserve"> website, as well as other </w:t>
      </w:r>
      <w:r w:rsidR="00192C9F" w:rsidRPr="00B801CF">
        <w:rPr>
          <w:rFonts w:asciiTheme="minorHAnsi" w:hAnsiTheme="minorHAnsi" w:cstheme="minorHAnsi"/>
          <w:sz w:val="22"/>
          <w:szCs w:val="22"/>
        </w:rPr>
        <w:t xml:space="preserve">relevant </w:t>
      </w:r>
      <w:r w:rsidR="0015036B" w:rsidRPr="00B801CF">
        <w:rPr>
          <w:rFonts w:asciiTheme="minorHAnsi" w:hAnsiTheme="minorHAnsi" w:cstheme="minorHAnsi"/>
          <w:sz w:val="22"/>
          <w:szCs w:val="22"/>
        </w:rPr>
        <w:t>communication products to ensure th</w:t>
      </w:r>
      <w:r w:rsidR="00C17373" w:rsidRPr="00B801CF">
        <w:rPr>
          <w:rFonts w:asciiTheme="minorHAnsi" w:hAnsiTheme="minorHAnsi" w:cstheme="minorHAnsi"/>
          <w:sz w:val="22"/>
          <w:szCs w:val="22"/>
        </w:rPr>
        <w:t xml:space="preserve">ere is clear </w:t>
      </w:r>
      <w:r w:rsidR="00192C9F" w:rsidRPr="00B801CF">
        <w:rPr>
          <w:rFonts w:asciiTheme="minorHAnsi" w:hAnsiTheme="minorHAnsi" w:cstheme="minorHAnsi"/>
          <w:sz w:val="22"/>
          <w:szCs w:val="22"/>
        </w:rPr>
        <w:t xml:space="preserve">and transparent </w:t>
      </w:r>
      <w:r w:rsidR="00C17373" w:rsidRPr="00B801CF">
        <w:rPr>
          <w:rFonts w:asciiTheme="minorHAnsi" w:hAnsiTheme="minorHAnsi" w:cstheme="minorHAnsi"/>
          <w:sz w:val="22"/>
          <w:szCs w:val="22"/>
        </w:rPr>
        <w:t xml:space="preserve">messaging </w:t>
      </w:r>
      <w:r w:rsidR="00192C9F" w:rsidRPr="00B801CF">
        <w:rPr>
          <w:rFonts w:asciiTheme="minorHAnsi" w:hAnsiTheme="minorHAnsi" w:cstheme="minorHAnsi"/>
          <w:sz w:val="22"/>
          <w:szCs w:val="22"/>
        </w:rPr>
        <w:t xml:space="preserve">available to older </w:t>
      </w:r>
      <w:r w:rsidR="00C26166" w:rsidRPr="00B801CF">
        <w:rPr>
          <w:rFonts w:asciiTheme="minorHAnsi" w:hAnsiTheme="minorHAnsi" w:cstheme="minorHAnsi"/>
          <w:sz w:val="22"/>
          <w:szCs w:val="22"/>
        </w:rPr>
        <w:t>people</w:t>
      </w:r>
      <w:r w:rsidR="00192C9F" w:rsidRPr="00B801CF">
        <w:rPr>
          <w:rFonts w:asciiTheme="minorHAnsi" w:hAnsiTheme="minorHAnsi" w:cstheme="minorHAnsi"/>
          <w:sz w:val="22"/>
          <w:szCs w:val="22"/>
        </w:rPr>
        <w:t xml:space="preserve"> </w:t>
      </w:r>
      <w:r w:rsidR="00C17373" w:rsidRPr="00B801CF">
        <w:rPr>
          <w:rFonts w:asciiTheme="minorHAnsi" w:hAnsiTheme="minorHAnsi" w:cstheme="minorHAnsi"/>
          <w:sz w:val="22"/>
          <w:szCs w:val="22"/>
        </w:rPr>
        <w:t xml:space="preserve">around the </w:t>
      </w:r>
      <w:r w:rsidR="00CF2134" w:rsidRPr="00B801CF">
        <w:rPr>
          <w:rFonts w:asciiTheme="minorHAnsi" w:hAnsiTheme="minorHAnsi" w:cstheme="minorHAnsi"/>
          <w:sz w:val="22"/>
          <w:szCs w:val="22"/>
        </w:rPr>
        <w:t>role of the Commission in the broader aged care system.</w:t>
      </w:r>
    </w:p>
    <w:p w14:paraId="03C20B97" w14:textId="754C66F2" w:rsidR="00792F7E" w:rsidRPr="00B801CF" w:rsidRDefault="00B6482E" w:rsidP="00792F7E">
      <w:pPr>
        <w:pStyle w:val="ListParagraph"/>
        <w:numPr>
          <w:ilvl w:val="0"/>
          <w:numId w:val="15"/>
        </w:numPr>
        <w:contextualSpacing w:val="0"/>
        <w:rPr>
          <w:rFonts w:asciiTheme="minorHAnsi" w:hAnsiTheme="minorHAnsi" w:cstheme="minorHAnsi"/>
          <w:sz w:val="22"/>
          <w:szCs w:val="22"/>
        </w:rPr>
      </w:pPr>
      <w:r>
        <w:rPr>
          <w:rFonts w:asciiTheme="minorHAnsi" w:hAnsiTheme="minorHAnsi" w:cstheme="minorHAnsi"/>
          <w:sz w:val="22"/>
          <w:szCs w:val="22"/>
        </w:rPr>
        <w:t>T</w:t>
      </w:r>
      <w:r w:rsidR="009C03F2" w:rsidRPr="00B801CF">
        <w:rPr>
          <w:rFonts w:asciiTheme="minorHAnsi" w:hAnsiTheme="minorHAnsi" w:cstheme="minorHAnsi"/>
          <w:sz w:val="22"/>
          <w:szCs w:val="22"/>
        </w:rPr>
        <w:t>ailor communication approaches and messages to consumers from diverse backgrounds, and use translating and interpreting services as appropriate.</w:t>
      </w:r>
    </w:p>
    <w:p w14:paraId="0297DAF3" w14:textId="4B5A4C4A" w:rsidR="002E1E7E" w:rsidRPr="00BB1445" w:rsidRDefault="002E1E7E" w:rsidP="004C3F6A">
      <w:pPr>
        <w:pStyle w:val="Heading2"/>
        <w:spacing w:before="360" w:after="160"/>
        <w:rPr>
          <w:rFonts w:asciiTheme="minorHAnsi" w:hAnsiTheme="minorHAnsi" w:cstheme="minorHAnsi"/>
          <w:b/>
          <w:bCs/>
          <w:color w:val="auto"/>
          <w:sz w:val="22"/>
          <w:szCs w:val="22"/>
        </w:rPr>
      </w:pPr>
      <w:r w:rsidRPr="00BB1445">
        <w:rPr>
          <w:rFonts w:asciiTheme="minorHAnsi" w:hAnsiTheme="minorHAnsi" w:cstheme="minorHAnsi"/>
          <w:b/>
          <w:bCs/>
          <w:color w:val="auto"/>
          <w:sz w:val="22"/>
          <w:szCs w:val="22"/>
        </w:rPr>
        <w:t>Relationship with Workers</w:t>
      </w:r>
    </w:p>
    <w:p w14:paraId="11603332" w14:textId="77777777" w:rsidR="00B6482E" w:rsidRDefault="00B6482E" w:rsidP="00B6482E">
      <w:pPr>
        <w:rPr>
          <w:rFonts w:asciiTheme="minorHAnsi" w:hAnsiTheme="minorHAnsi" w:cstheme="minorHAnsi"/>
          <w:sz w:val="22"/>
          <w:szCs w:val="22"/>
        </w:rPr>
      </w:pPr>
      <w:r>
        <w:rPr>
          <w:rFonts w:asciiTheme="minorHAnsi" w:hAnsiTheme="minorHAnsi" w:cstheme="minorHAnsi"/>
          <w:sz w:val="22"/>
          <w:szCs w:val="22"/>
        </w:rPr>
        <w:t>I expect the Commission to:</w:t>
      </w:r>
    </w:p>
    <w:p w14:paraId="11AFEBB5" w14:textId="0E73789B" w:rsidR="00B6482E" w:rsidRPr="00133EF5" w:rsidRDefault="00BE1792" w:rsidP="002B7E94">
      <w:pPr>
        <w:pStyle w:val="ListParagraph"/>
        <w:numPr>
          <w:ilvl w:val="0"/>
          <w:numId w:val="16"/>
        </w:numPr>
        <w:ind w:left="714" w:hanging="357"/>
        <w:contextualSpacing w:val="0"/>
        <w:rPr>
          <w:rFonts w:asciiTheme="minorHAnsi" w:hAnsiTheme="minorHAnsi" w:cstheme="minorBidi"/>
          <w:b/>
          <w:bCs/>
          <w:sz w:val="22"/>
          <w:szCs w:val="22"/>
        </w:rPr>
      </w:pPr>
      <w:r>
        <w:rPr>
          <w:rFonts w:asciiTheme="minorHAnsi" w:hAnsiTheme="minorHAnsi" w:cstheme="minorBidi"/>
          <w:sz w:val="22"/>
          <w:szCs w:val="22"/>
        </w:rPr>
        <w:t>C</w:t>
      </w:r>
      <w:r w:rsidR="00133EF5" w:rsidRPr="288313F7">
        <w:rPr>
          <w:rFonts w:asciiTheme="minorHAnsi" w:hAnsiTheme="minorHAnsi" w:cstheme="minorBidi"/>
          <w:sz w:val="22"/>
          <w:szCs w:val="22"/>
        </w:rPr>
        <w:t xml:space="preserve">ontinue (where </w:t>
      </w:r>
      <w:r w:rsidR="009C45A0">
        <w:rPr>
          <w:rFonts w:asciiTheme="minorHAnsi" w:hAnsiTheme="minorHAnsi" w:cstheme="minorBidi"/>
          <w:sz w:val="22"/>
          <w:szCs w:val="22"/>
        </w:rPr>
        <w:t>appropriate</w:t>
      </w:r>
      <w:r w:rsidR="00133EF5" w:rsidRPr="288313F7">
        <w:rPr>
          <w:rFonts w:asciiTheme="minorHAnsi" w:hAnsiTheme="minorHAnsi" w:cstheme="minorBidi"/>
          <w:sz w:val="22"/>
          <w:szCs w:val="22"/>
        </w:rPr>
        <w:t>) to ensure transparency and responsiveness for aged care workers on the actions the Commission is taking against a provider they are engaged with at a particular service site</w:t>
      </w:r>
      <w:r w:rsidR="00133EF5">
        <w:rPr>
          <w:rFonts w:asciiTheme="minorHAnsi" w:hAnsiTheme="minorHAnsi" w:cstheme="minorBidi"/>
          <w:sz w:val="22"/>
          <w:szCs w:val="22"/>
        </w:rPr>
        <w:t>.</w:t>
      </w:r>
    </w:p>
    <w:p w14:paraId="18960318" w14:textId="69B85D12" w:rsidR="00012914" w:rsidRPr="00012914" w:rsidRDefault="0060598E" w:rsidP="002B7E94">
      <w:pPr>
        <w:pStyle w:val="ListParagraph"/>
        <w:numPr>
          <w:ilvl w:val="0"/>
          <w:numId w:val="16"/>
        </w:numPr>
        <w:ind w:left="714" w:hanging="357"/>
        <w:contextualSpacing w:val="0"/>
        <w:rPr>
          <w:rFonts w:asciiTheme="minorHAnsi" w:hAnsiTheme="minorHAnsi" w:cstheme="minorHAnsi"/>
          <w:sz w:val="22"/>
          <w:szCs w:val="22"/>
        </w:rPr>
      </w:pPr>
      <w:r>
        <w:rPr>
          <w:rFonts w:asciiTheme="minorHAnsi" w:hAnsiTheme="minorHAnsi" w:cstheme="minorHAnsi"/>
          <w:sz w:val="22"/>
          <w:szCs w:val="22"/>
        </w:rPr>
        <w:t>H</w:t>
      </w:r>
      <w:r w:rsidR="007009C4" w:rsidRPr="007009C4">
        <w:rPr>
          <w:rFonts w:asciiTheme="minorHAnsi" w:hAnsiTheme="minorHAnsi" w:cstheme="minorHAnsi"/>
          <w:sz w:val="22"/>
          <w:szCs w:val="22"/>
        </w:rPr>
        <w:t xml:space="preserve">old providers to account for meeting their obligations related to workforce </w:t>
      </w:r>
      <w:r w:rsidR="00F30334" w:rsidRPr="007009C4">
        <w:rPr>
          <w:rFonts w:asciiTheme="minorHAnsi" w:hAnsiTheme="minorHAnsi" w:cstheme="minorHAnsi"/>
          <w:sz w:val="22"/>
          <w:szCs w:val="22"/>
        </w:rPr>
        <w:t>management.</w:t>
      </w:r>
    </w:p>
    <w:p w14:paraId="684946C6" w14:textId="38853BBE" w:rsidR="00133EF5" w:rsidRPr="00650759" w:rsidRDefault="00BE1792" w:rsidP="002B7E94">
      <w:pPr>
        <w:pStyle w:val="ListParagraph"/>
        <w:numPr>
          <w:ilvl w:val="0"/>
          <w:numId w:val="16"/>
        </w:numPr>
        <w:ind w:left="714" w:hanging="357"/>
        <w:contextualSpacing w:val="0"/>
        <w:rPr>
          <w:rFonts w:asciiTheme="minorHAnsi" w:hAnsiTheme="minorHAnsi" w:cstheme="minorBidi"/>
          <w:b/>
          <w:bCs/>
          <w:sz w:val="22"/>
          <w:szCs w:val="22"/>
        </w:rPr>
      </w:pPr>
      <w:r>
        <w:rPr>
          <w:rFonts w:asciiTheme="minorHAnsi" w:hAnsiTheme="minorHAnsi" w:cstheme="minorHAnsi"/>
          <w:sz w:val="22"/>
          <w:szCs w:val="22"/>
        </w:rPr>
        <w:t>B</w:t>
      </w:r>
      <w:r w:rsidR="00650759" w:rsidRPr="00DE6278">
        <w:rPr>
          <w:rFonts w:asciiTheme="minorHAnsi" w:hAnsiTheme="minorHAnsi" w:cstheme="minorHAnsi"/>
          <w:sz w:val="22"/>
          <w:szCs w:val="22"/>
        </w:rPr>
        <w:t>e open to receiving</w:t>
      </w:r>
      <w:r w:rsidR="00650759">
        <w:rPr>
          <w:rFonts w:asciiTheme="minorHAnsi" w:hAnsiTheme="minorHAnsi" w:cstheme="minorHAnsi"/>
          <w:sz w:val="22"/>
          <w:szCs w:val="22"/>
        </w:rPr>
        <w:t xml:space="preserve"> and to be responsive to</w:t>
      </w:r>
      <w:r w:rsidR="00650759" w:rsidRPr="00DE6278">
        <w:rPr>
          <w:rFonts w:asciiTheme="minorHAnsi" w:hAnsiTheme="minorHAnsi" w:cstheme="minorHAnsi"/>
          <w:sz w:val="22"/>
          <w:szCs w:val="22"/>
        </w:rPr>
        <w:t xml:space="preserve"> information from the aged care workforce and consider any concerns raised by the workforce, noting the importance of listening to the voices of workers in the aged care sector</w:t>
      </w:r>
      <w:r w:rsidR="00650759">
        <w:rPr>
          <w:rFonts w:asciiTheme="minorHAnsi" w:hAnsiTheme="minorHAnsi" w:cstheme="minorHAnsi"/>
          <w:sz w:val="22"/>
          <w:szCs w:val="22"/>
        </w:rPr>
        <w:t>, including through their representatives.</w:t>
      </w:r>
    </w:p>
    <w:p w14:paraId="4B32F33F" w14:textId="096B1D02" w:rsidR="00650759" w:rsidRPr="00654B65" w:rsidRDefault="00BE1792" w:rsidP="002B7E94">
      <w:pPr>
        <w:pStyle w:val="ListParagraph"/>
        <w:numPr>
          <w:ilvl w:val="0"/>
          <w:numId w:val="16"/>
        </w:numPr>
        <w:ind w:left="714" w:hanging="357"/>
        <w:contextualSpacing w:val="0"/>
        <w:rPr>
          <w:rFonts w:asciiTheme="minorHAnsi" w:hAnsiTheme="minorHAnsi" w:cstheme="minorBidi"/>
          <w:b/>
          <w:bCs/>
          <w:sz w:val="22"/>
          <w:szCs w:val="22"/>
        </w:rPr>
      </w:pPr>
      <w:r>
        <w:rPr>
          <w:rFonts w:asciiTheme="minorHAnsi" w:hAnsiTheme="minorHAnsi" w:cstheme="minorBidi"/>
          <w:sz w:val="22"/>
          <w:szCs w:val="22"/>
        </w:rPr>
        <w:t>B</w:t>
      </w:r>
      <w:r w:rsidR="00654B65" w:rsidRPr="288313F7">
        <w:rPr>
          <w:rFonts w:asciiTheme="minorHAnsi" w:hAnsiTheme="minorHAnsi" w:cstheme="minorBidi"/>
          <w:sz w:val="22"/>
          <w:szCs w:val="22"/>
        </w:rPr>
        <w:t>e transparent and responsive about complaints that have been made against a provider at a particular service site. I also expect the Commission to protect aged care workers when they make complaints or disclosures about a provider or a particular service site.</w:t>
      </w:r>
    </w:p>
    <w:p w14:paraId="266E4E23" w14:textId="37DAD72A" w:rsidR="00654B65" w:rsidRPr="00BE1792" w:rsidRDefault="00BE1792" w:rsidP="002B7E94">
      <w:pPr>
        <w:pStyle w:val="ListParagraph"/>
        <w:numPr>
          <w:ilvl w:val="0"/>
          <w:numId w:val="16"/>
        </w:numPr>
        <w:ind w:left="714" w:hanging="357"/>
        <w:contextualSpacing w:val="0"/>
        <w:rPr>
          <w:rFonts w:asciiTheme="minorHAnsi" w:hAnsiTheme="minorHAnsi" w:cstheme="minorBidi"/>
          <w:b/>
          <w:bCs/>
          <w:sz w:val="22"/>
          <w:szCs w:val="22"/>
        </w:rPr>
      </w:pPr>
      <w:r>
        <w:rPr>
          <w:rFonts w:asciiTheme="minorHAnsi" w:hAnsiTheme="minorHAnsi" w:cstheme="minorHAnsi"/>
          <w:sz w:val="22"/>
          <w:szCs w:val="22"/>
        </w:rPr>
        <w:t>U</w:t>
      </w:r>
      <w:r w:rsidR="00126799" w:rsidRPr="00DE6278">
        <w:rPr>
          <w:rFonts w:asciiTheme="minorHAnsi" w:hAnsiTheme="minorHAnsi" w:cstheme="minorHAnsi"/>
          <w:sz w:val="22"/>
          <w:szCs w:val="22"/>
        </w:rPr>
        <w:t>phold the legal requirements of the</w:t>
      </w:r>
      <w:r w:rsidR="00805701">
        <w:rPr>
          <w:rFonts w:asciiTheme="minorHAnsi" w:hAnsiTheme="minorHAnsi" w:cstheme="minorHAnsi"/>
          <w:sz w:val="22"/>
          <w:szCs w:val="22"/>
        </w:rPr>
        <w:t xml:space="preserve"> Commission</w:t>
      </w:r>
      <w:r w:rsidR="00126799" w:rsidRPr="00DE6278">
        <w:rPr>
          <w:rFonts w:asciiTheme="minorHAnsi" w:hAnsiTheme="minorHAnsi" w:cstheme="minorHAnsi"/>
          <w:sz w:val="22"/>
          <w:szCs w:val="22"/>
        </w:rPr>
        <w:t xml:space="preserve"> Act concerning aged care workers and utilise powers</w:t>
      </w:r>
      <w:r w:rsidR="00257C77">
        <w:rPr>
          <w:rFonts w:asciiTheme="minorHAnsi" w:hAnsiTheme="minorHAnsi" w:cstheme="minorHAnsi"/>
          <w:sz w:val="22"/>
          <w:szCs w:val="22"/>
        </w:rPr>
        <w:t xml:space="preserve"> available to the Commission</w:t>
      </w:r>
      <w:r w:rsidR="00126799" w:rsidRPr="00DE6278">
        <w:rPr>
          <w:rFonts w:asciiTheme="minorHAnsi" w:hAnsiTheme="minorHAnsi" w:cstheme="minorHAnsi"/>
          <w:sz w:val="22"/>
          <w:szCs w:val="22"/>
        </w:rPr>
        <w:t xml:space="preserve"> to investigate and respond to instances of providers not meeting requirements when identified.</w:t>
      </w:r>
    </w:p>
    <w:p w14:paraId="31711B58" w14:textId="77777777" w:rsidR="002030AF" w:rsidRDefault="00BE1792" w:rsidP="002B7E94">
      <w:pPr>
        <w:pStyle w:val="ListParagraph"/>
        <w:numPr>
          <w:ilvl w:val="0"/>
          <w:numId w:val="16"/>
        </w:numPr>
        <w:ind w:left="714" w:hanging="357"/>
        <w:contextualSpacing w:val="0"/>
        <w:rPr>
          <w:rFonts w:asciiTheme="minorHAnsi" w:hAnsiTheme="minorHAnsi" w:cstheme="minorBidi"/>
          <w:sz w:val="22"/>
          <w:szCs w:val="22"/>
        </w:rPr>
      </w:pPr>
      <w:r>
        <w:rPr>
          <w:rFonts w:asciiTheme="minorHAnsi" w:hAnsiTheme="minorHAnsi" w:cstheme="minorBidi"/>
          <w:sz w:val="22"/>
          <w:szCs w:val="22"/>
        </w:rPr>
        <w:t>S</w:t>
      </w:r>
      <w:r w:rsidRPr="00BE1792">
        <w:rPr>
          <w:rFonts w:asciiTheme="minorHAnsi" w:hAnsiTheme="minorHAnsi" w:cstheme="minorBidi"/>
          <w:sz w:val="22"/>
          <w:szCs w:val="22"/>
        </w:rPr>
        <w:t>upport the aged care workforce to understand their obligations under the Code of Conduct.</w:t>
      </w:r>
    </w:p>
    <w:p w14:paraId="4A1218E6" w14:textId="2B36D097" w:rsidR="00BE1792" w:rsidRPr="00BE1792" w:rsidRDefault="002030AF" w:rsidP="002B7E94">
      <w:pPr>
        <w:pStyle w:val="ListParagraph"/>
        <w:numPr>
          <w:ilvl w:val="0"/>
          <w:numId w:val="16"/>
        </w:numPr>
        <w:ind w:left="714" w:hanging="357"/>
        <w:contextualSpacing w:val="0"/>
        <w:rPr>
          <w:rFonts w:asciiTheme="minorHAnsi" w:hAnsiTheme="minorHAnsi" w:cstheme="minorBidi"/>
          <w:sz w:val="22"/>
          <w:szCs w:val="22"/>
        </w:rPr>
      </w:pPr>
      <w:r>
        <w:rPr>
          <w:rFonts w:asciiTheme="minorHAnsi" w:hAnsiTheme="minorHAnsi" w:cstheme="minorBidi"/>
          <w:sz w:val="22"/>
          <w:szCs w:val="22"/>
        </w:rPr>
        <w:t>S</w:t>
      </w:r>
      <w:r w:rsidR="00BE1792" w:rsidRPr="00BE1792">
        <w:rPr>
          <w:rFonts w:asciiTheme="minorHAnsi" w:hAnsiTheme="minorHAnsi" w:cstheme="minorBidi"/>
          <w:sz w:val="22"/>
          <w:szCs w:val="22"/>
        </w:rPr>
        <w:t xml:space="preserve">upport the aged care workforce as it transitions to the new Aged Care Act, including assisting the aged care workforce to understand the expectations and requirements of the aged care sector under the new </w:t>
      </w:r>
      <w:r w:rsidR="008603A2">
        <w:rPr>
          <w:rFonts w:asciiTheme="minorHAnsi" w:hAnsiTheme="minorHAnsi" w:cstheme="minorBidi"/>
          <w:sz w:val="22"/>
          <w:szCs w:val="22"/>
        </w:rPr>
        <w:t xml:space="preserve">Aged Care </w:t>
      </w:r>
      <w:r w:rsidR="00BE1792" w:rsidRPr="00BE1792">
        <w:rPr>
          <w:rFonts w:asciiTheme="minorHAnsi" w:hAnsiTheme="minorHAnsi" w:cstheme="minorBidi"/>
          <w:sz w:val="22"/>
          <w:szCs w:val="22"/>
        </w:rPr>
        <w:t>Act.</w:t>
      </w:r>
    </w:p>
    <w:p w14:paraId="40391D19" w14:textId="2EB33150" w:rsidR="002E1E7E" w:rsidRPr="00BB1445" w:rsidRDefault="002E1E7E" w:rsidP="004C3F6A">
      <w:pPr>
        <w:pStyle w:val="Heading2"/>
        <w:spacing w:before="360" w:after="160"/>
        <w:rPr>
          <w:rFonts w:asciiTheme="minorHAnsi" w:hAnsiTheme="minorHAnsi" w:cstheme="minorHAnsi"/>
          <w:b/>
          <w:bCs/>
          <w:color w:val="auto"/>
          <w:sz w:val="22"/>
          <w:szCs w:val="22"/>
        </w:rPr>
      </w:pPr>
      <w:r w:rsidRPr="00BB1445">
        <w:rPr>
          <w:rFonts w:asciiTheme="minorHAnsi" w:hAnsiTheme="minorHAnsi" w:cstheme="minorHAnsi"/>
          <w:b/>
          <w:bCs/>
          <w:color w:val="auto"/>
          <w:sz w:val="22"/>
          <w:szCs w:val="22"/>
        </w:rPr>
        <w:lastRenderedPageBreak/>
        <w:t>Relationship with Providers</w:t>
      </w:r>
    </w:p>
    <w:p w14:paraId="0C785302" w14:textId="0EE17BA0" w:rsidR="00042967" w:rsidRPr="00042967" w:rsidRDefault="00042967" w:rsidP="00C54564">
      <w:pPr>
        <w:keepNext/>
        <w:keepLines/>
        <w:rPr>
          <w:rFonts w:asciiTheme="minorHAnsi" w:hAnsiTheme="minorHAnsi" w:cstheme="minorHAnsi"/>
          <w:sz w:val="22"/>
          <w:szCs w:val="22"/>
        </w:rPr>
      </w:pPr>
      <w:r>
        <w:rPr>
          <w:rFonts w:asciiTheme="minorHAnsi" w:hAnsiTheme="minorHAnsi" w:cstheme="minorHAnsi"/>
          <w:sz w:val="22"/>
          <w:szCs w:val="22"/>
        </w:rPr>
        <w:t>I expect the Commission to:</w:t>
      </w:r>
    </w:p>
    <w:p w14:paraId="7F359216" w14:textId="3E75C5E5" w:rsidR="00951BBC" w:rsidRPr="00951BBC" w:rsidRDefault="00BB623E" w:rsidP="006E27B9">
      <w:pPr>
        <w:pStyle w:val="ListParagraph"/>
        <w:numPr>
          <w:ilvl w:val="0"/>
          <w:numId w:val="17"/>
        </w:numPr>
        <w:ind w:left="714" w:hanging="357"/>
        <w:contextualSpacing w:val="0"/>
        <w:rPr>
          <w:rFonts w:asciiTheme="minorHAnsi" w:hAnsiTheme="minorHAnsi" w:cstheme="minorHAnsi"/>
          <w:b/>
          <w:bCs/>
          <w:sz w:val="22"/>
          <w:szCs w:val="22"/>
        </w:rPr>
      </w:pPr>
      <w:r>
        <w:rPr>
          <w:rFonts w:asciiTheme="minorHAnsi" w:hAnsiTheme="minorHAnsi" w:cstheme="minorHAnsi"/>
          <w:sz w:val="22"/>
          <w:szCs w:val="22"/>
        </w:rPr>
        <w:t>C</w:t>
      </w:r>
      <w:r w:rsidRPr="0020092C">
        <w:rPr>
          <w:rFonts w:asciiTheme="minorHAnsi" w:hAnsiTheme="minorHAnsi" w:cstheme="minorHAnsi"/>
          <w:sz w:val="22"/>
          <w:szCs w:val="22"/>
        </w:rPr>
        <w:t>ontinue to develop and deliver communication, education and training activities and resources to ensure providers and workers understand their obligations to deliver safe, quality care and the Commission’s responsibilities in the new Aged Care Act</w:t>
      </w:r>
      <w:r>
        <w:rPr>
          <w:rFonts w:asciiTheme="minorHAnsi" w:hAnsiTheme="minorHAnsi" w:cstheme="minorHAnsi"/>
          <w:sz w:val="22"/>
          <w:szCs w:val="22"/>
        </w:rPr>
        <w:t>.</w:t>
      </w:r>
    </w:p>
    <w:p w14:paraId="1B28941A" w14:textId="1A24574B" w:rsidR="00B749D2" w:rsidRPr="00B749D2" w:rsidRDefault="00AC29A3" w:rsidP="006E27B9">
      <w:pPr>
        <w:pStyle w:val="ListParagraph"/>
        <w:numPr>
          <w:ilvl w:val="0"/>
          <w:numId w:val="17"/>
        </w:numPr>
        <w:ind w:left="714" w:hanging="357"/>
        <w:contextualSpacing w:val="0"/>
        <w:rPr>
          <w:rFonts w:asciiTheme="minorHAnsi" w:hAnsiTheme="minorHAnsi" w:cstheme="minorHAnsi"/>
          <w:b/>
          <w:bCs/>
          <w:sz w:val="22"/>
          <w:szCs w:val="22"/>
        </w:rPr>
      </w:pPr>
      <w:r>
        <w:rPr>
          <w:rFonts w:asciiTheme="minorHAnsi" w:hAnsiTheme="minorHAnsi" w:cstheme="minorHAnsi"/>
          <w:sz w:val="22"/>
          <w:szCs w:val="22"/>
        </w:rPr>
        <w:t>B</w:t>
      </w:r>
      <w:r w:rsidRPr="00AC29A3">
        <w:rPr>
          <w:rFonts w:asciiTheme="minorHAnsi" w:hAnsiTheme="minorHAnsi" w:cstheme="minorHAnsi"/>
          <w:sz w:val="22"/>
          <w:szCs w:val="22"/>
        </w:rPr>
        <w:t xml:space="preserve">e regularly engaged with individual providers to understand the context in which they are operating. This understanding of context should assist to build trust and inform the Commission in exercising its range of functions in the manner that best </w:t>
      </w:r>
      <w:r w:rsidR="00796016">
        <w:rPr>
          <w:rFonts w:asciiTheme="minorHAnsi" w:hAnsiTheme="minorHAnsi" w:cstheme="minorHAnsi"/>
          <w:sz w:val="22"/>
          <w:szCs w:val="22"/>
        </w:rPr>
        <w:t>facilitates</w:t>
      </w:r>
      <w:r w:rsidRPr="00AC29A3">
        <w:rPr>
          <w:rFonts w:asciiTheme="minorHAnsi" w:hAnsiTheme="minorHAnsi" w:cstheme="minorHAnsi"/>
          <w:sz w:val="22"/>
          <w:szCs w:val="22"/>
        </w:rPr>
        <w:t xml:space="preserve"> high quality care in the context within which it is delivered.</w:t>
      </w:r>
    </w:p>
    <w:p w14:paraId="0CF19FAB" w14:textId="487DBF81" w:rsidR="00692613" w:rsidRPr="00B67A5F" w:rsidRDefault="00A82CE5" w:rsidP="006E27B9">
      <w:pPr>
        <w:pStyle w:val="ListParagraph"/>
        <w:numPr>
          <w:ilvl w:val="0"/>
          <w:numId w:val="17"/>
        </w:numPr>
        <w:ind w:left="714" w:hanging="357"/>
        <w:contextualSpacing w:val="0"/>
        <w:rPr>
          <w:rFonts w:asciiTheme="minorHAnsi" w:hAnsiTheme="minorHAnsi" w:cstheme="minorHAnsi"/>
          <w:b/>
          <w:bCs/>
          <w:sz w:val="22"/>
          <w:szCs w:val="22"/>
        </w:rPr>
      </w:pPr>
      <w:r>
        <w:rPr>
          <w:rFonts w:asciiTheme="minorHAnsi" w:hAnsiTheme="minorHAnsi" w:cstheme="minorHAnsi"/>
          <w:sz w:val="22"/>
          <w:szCs w:val="22"/>
        </w:rPr>
        <w:t>C</w:t>
      </w:r>
      <w:r w:rsidR="00692613" w:rsidRPr="00A82CE5">
        <w:rPr>
          <w:rFonts w:asciiTheme="minorHAnsi" w:hAnsiTheme="minorHAnsi" w:cstheme="minorHAnsi"/>
          <w:sz w:val="22"/>
          <w:szCs w:val="22"/>
        </w:rPr>
        <w:t xml:space="preserve">ontinue to support the Department in the management of the Compliance Star Rating, including its transition to the </w:t>
      </w:r>
      <w:r w:rsidR="00344025">
        <w:rPr>
          <w:rFonts w:asciiTheme="minorHAnsi" w:hAnsiTheme="minorHAnsi" w:cstheme="minorHAnsi"/>
          <w:sz w:val="22"/>
          <w:szCs w:val="22"/>
        </w:rPr>
        <w:t>n</w:t>
      </w:r>
      <w:r w:rsidR="00692613" w:rsidRPr="00A82CE5">
        <w:rPr>
          <w:rFonts w:asciiTheme="minorHAnsi" w:hAnsiTheme="minorHAnsi" w:cstheme="minorHAnsi"/>
          <w:sz w:val="22"/>
          <w:szCs w:val="22"/>
        </w:rPr>
        <w:t>ew Aged Care Act, to support quality improvement and increased transparency in aged care homes.</w:t>
      </w:r>
    </w:p>
    <w:p w14:paraId="55EC8E47" w14:textId="415173BD" w:rsidR="00B67A5F" w:rsidRPr="00B67A5F" w:rsidRDefault="005861D3" w:rsidP="006E27B9">
      <w:pPr>
        <w:pStyle w:val="ListParagraph"/>
        <w:numPr>
          <w:ilvl w:val="0"/>
          <w:numId w:val="17"/>
        </w:numPr>
        <w:ind w:left="714" w:hanging="357"/>
        <w:contextualSpacing w:val="0"/>
        <w:rPr>
          <w:rFonts w:asciiTheme="minorHAnsi" w:hAnsiTheme="minorHAnsi" w:cstheme="minorHAnsi"/>
          <w:sz w:val="22"/>
          <w:szCs w:val="22"/>
        </w:rPr>
      </w:pPr>
      <w:r>
        <w:rPr>
          <w:rFonts w:asciiTheme="minorHAnsi" w:hAnsiTheme="minorHAnsi" w:cstheme="minorHAnsi"/>
          <w:sz w:val="22"/>
          <w:szCs w:val="22"/>
        </w:rPr>
        <w:t>T</w:t>
      </w:r>
      <w:r w:rsidR="00B67A5F" w:rsidRPr="00B67A5F">
        <w:rPr>
          <w:rFonts w:asciiTheme="minorHAnsi" w:hAnsiTheme="minorHAnsi" w:cstheme="minorHAnsi"/>
          <w:sz w:val="22"/>
          <w:szCs w:val="22"/>
        </w:rPr>
        <w:t>ake a fair and sensible approach to the regulation of providers</w:t>
      </w:r>
      <w:r w:rsidR="0060598E">
        <w:rPr>
          <w:rFonts w:asciiTheme="minorHAnsi" w:hAnsiTheme="minorHAnsi" w:cstheme="minorHAnsi"/>
          <w:sz w:val="22"/>
          <w:szCs w:val="22"/>
        </w:rPr>
        <w:t>’</w:t>
      </w:r>
      <w:r w:rsidR="00B67A5F" w:rsidRPr="00B67A5F">
        <w:rPr>
          <w:rFonts w:asciiTheme="minorHAnsi" w:hAnsiTheme="minorHAnsi" w:cstheme="minorHAnsi"/>
          <w:sz w:val="22"/>
          <w:szCs w:val="22"/>
        </w:rPr>
        <w:t xml:space="preserve"> workforce-related responsibilities, including the 24/7 registered nurse and care minutes requirements, through the lens of risk and wellbeing to older people and ensure that any compliance responses are proportionate to the issues identified.</w:t>
      </w:r>
    </w:p>
    <w:p w14:paraId="12A16D58" w14:textId="11C3E355" w:rsidR="00B67A5F" w:rsidRPr="00AD7F19" w:rsidRDefault="005861D3" w:rsidP="006E27B9">
      <w:pPr>
        <w:pStyle w:val="ListParagraph"/>
        <w:numPr>
          <w:ilvl w:val="0"/>
          <w:numId w:val="17"/>
        </w:numPr>
        <w:ind w:left="714" w:hanging="357"/>
        <w:contextualSpacing w:val="0"/>
        <w:rPr>
          <w:rFonts w:asciiTheme="minorHAnsi" w:hAnsiTheme="minorHAnsi" w:cstheme="minorHAnsi"/>
          <w:b/>
          <w:bCs/>
          <w:sz w:val="22"/>
          <w:szCs w:val="22"/>
        </w:rPr>
      </w:pPr>
      <w:r>
        <w:rPr>
          <w:rFonts w:asciiTheme="minorHAnsi" w:hAnsiTheme="minorHAnsi" w:cstheme="minorHAnsi"/>
          <w:sz w:val="22"/>
          <w:szCs w:val="22"/>
        </w:rPr>
        <w:t>W</w:t>
      </w:r>
      <w:r w:rsidR="005340F8" w:rsidRPr="00F91393">
        <w:rPr>
          <w:rFonts w:asciiTheme="minorHAnsi" w:hAnsiTheme="minorHAnsi" w:cstheme="minorHAnsi"/>
          <w:sz w:val="22"/>
          <w:szCs w:val="22"/>
        </w:rPr>
        <w:t>ork with providers and have regard to their efforts to fulfil their workforce-related responsibilities when undertaking its compliance activities. This includes having regard to the providers’ recruitment strategies, the specific local circumstances (such as workforce challenges in their locality) and clinical governance and alternative clinical care arrangements in place to ensure that older people are safe and receiving quality</w:t>
      </w:r>
      <w:r w:rsidR="0060598E">
        <w:rPr>
          <w:rFonts w:asciiTheme="minorHAnsi" w:hAnsiTheme="minorHAnsi" w:cstheme="minorHAnsi"/>
          <w:sz w:val="22"/>
          <w:szCs w:val="22"/>
        </w:rPr>
        <w:t xml:space="preserve"> care</w:t>
      </w:r>
      <w:r w:rsidR="005340F8" w:rsidRPr="00F91393">
        <w:rPr>
          <w:rFonts w:asciiTheme="minorHAnsi" w:hAnsiTheme="minorHAnsi" w:cstheme="minorHAnsi"/>
          <w:sz w:val="22"/>
          <w:szCs w:val="22"/>
        </w:rPr>
        <w:t>.</w:t>
      </w:r>
    </w:p>
    <w:p w14:paraId="7BD961F5" w14:textId="63EA3B43" w:rsidR="00AD7F19" w:rsidRPr="00AD7F19" w:rsidRDefault="005861D3" w:rsidP="006E27B9">
      <w:pPr>
        <w:pStyle w:val="ListParagraph"/>
        <w:numPr>
          <w:ilvl w:val="0"/>
          <w:numId w:val="17"/>
        </w:numPr>
        <w:ind w:left="714" w:hanging="357"/>
        <w:contextualSpacing w:val="0"/>
        <w:rPr>
          <w:rFonts w:asciiTheme="minorHAnsi" w:hAnsiTheme="minorHAnsi" w:cstheme="minorHAnsi"/>
          <w:sz w:val="22"/>
          <w:szCs w:val="22"/>
        </w:rPr>
      </w:pPr>
      <w:r>
        <w:rPr>
          <w:rFonts w:asciiTheme="minorHAnsi" w:hAnsiTheme="minorHAnsi" w:cstheme="minorHAnsi"/>
          <w:sz w:val="22"/>
          <w:szCs w:val="22"/>
        </w:rPr>
        <w:t>C</w:t>
      </w:r>
      <w:r w:rsidR="00AD7F19" w:rsidRPr="00AD7F19">
        <w:rPr>
          <w:rFonts w:asciiTheme="minorHAnsi" w:hAnsiTheme="minorHAnsi" w:cstheme="minorHAnsi"/>
          <w:sz w:val="22"/>
          <w:szCs w:val="22"/>
        </w:rPr>
        <w:t>ontinue to actively monitor risks and work with the provider to improve their compliance with these responsibilities</w:t>
      </w:r>
      <w:r w:rsidR="00AD7F19">
        <w:rPr>
          <w:rFonts w:asciiTheme="minorHAnsi" w:hAnsiTheme="minorHAnsi" w:cstheme="minorHAnsi"/>
          <w:sz w:val="22"/>
          <w:szCs w:val="22"/>
        </w:rPr>
        <w:t xml:space="preserve">, </w:t>
      </w:r>
      <w:r w:rsidR="008568A2">
        <w:rPr>
          <w:rFonts w:asciiTheme="minorHAnsi" w:hAnsiTheme="minorHAnsi" w:cstheme="minorHAnsi"/>
          <w:sz w:val="22"/>
          <w:szCs w:val="22"/>
        </w:rPr>
        <w:t>w</w:t>
      </w:r>
      <w:r w:rsidR="00AD7F19" w:rsidRPr="00AD7F19">
        <w:rPr>
          <w:rFonts w:asciiTheme="minorHAnsi" w:hAnsiTheme="minorHAnsi" w:cstheme="minorHAnsi"/>
          <w:sz w:val="22"/>
          <w:szCs w:val="22"/>
        </w:rPr>
        <w:t>here approved providers are actively working towards complying with their workforce-related responsibilities and are taking steps to ensure the provision of safe and quality care.</w:t>
      </w:r>
    </w:p>
    <w:p w14:paraId="368E87B7" w14:textId="30811AB4" w:rsidR="00A72642" w:rsidRDefault="005861D3" w:rsidP="006E27B9">
      <w:pPr>
        <w:pStyle w:val="ListParagraph"/>
        <w:numPr>
          <w:ilvl w:val="0"/>
          <w:numId w:val="17"/>
        </w:numPr>
        <w:ind w:left="714" w:hanging="357"/>
        <w:contextualSpacing w:val="0"/>
        <w:rPr>
          <w:rFonts w:asciiTheme="minorHAnsi" w:hAnsiTheme="minorHAnsi" w:cstheme="minorHAnsi"/>
          <w:sz w:val="22"/>
          <w:szCs w:val="22"/>
        </w:rPr>
      </w:pPr>
      <w:r>
        <w:rPr>
          <w:rFonts w:asciiTheme="minorHAnsi" w:hAnsiTheme="minorHAnsi" w:cstheme="minorHAnsi"/>
          <w:sz w:val="22"/>
          <w:szCs w:val="22"/>
        </w:rPr>
        <w:t>A</w:t>
      </w:r>
      <w:r w:rsidR="00A72642" w:rsidRPr="00A72642">
        <w:rPr>
          <w:rFonts w:asciiTheme="minorHAnsi" w:hAnsiTheme="minorHAnsi" w:cstheme="minorHAnsi"/>
          <w:sz w:val="22"/>
          <w:szCs w:val="22"/>
        </w:rPr>
        <w:t>dopt a</w:t>
      </w:r>
      <w:r w:rsidR="00961F49">
        <w:rPr>
          <w:rFonts w:asciiTheme="minorHAnsi" w:hAnsiTheme="minorHAnsi" w:cstheme="minorHAnsi"/>
          <w:sz w:val="22"/>
          <w:szCs w:val="22"/>
        </w:rPr>
        <w:t xml:space="preserve"> </w:t>
      </w:r>
      <w:r w:rsidR="003B2676">
        <w:rPr>
          <w:rFonts w:asciiTheme="minorHAnsi" w:hAnsiTheme="minorHAnsi" w:cstheme="minorHAnsi"/>
          <w:sz w:val="22"/>
          <w:szCs w:val="22"/>
        </w:rPr>
        <w:t>risk-based</w:t>
      </w:r>
      <w:r w:rsidR="00A72642" w:rsidRPr="00A72642">
        <w:rPr>
          <w:rFonts w:asciiTheme="minorHAnsi" w:hAnsiTheme="minorHAnsi" w:cstheme="minorHAnsi"/>
          <w:sz w:val="22"/>
          <w:szCs w:val="22"/>
        </w:rPr>
        <w:t xml:space="preserve"> approach and use regulatory powers</w:t>
      </w:r>
      <w:r w:rsidR="00396E6C">
        <w:rPr>
          <w:rFonts w:asciiTheme="minorHAnsi" w:hAnsiTheme="minorHAnsi" w:cstheme="minorHAnsi"/>
          <w:sz w:val="22"/>
          <w:szCs w:val="22"/>
        </w:rPr>
        <w:t xml:space="preserve"> available to the Commission</w:t>
      </w:r>
      <w:r w:rsidR="00A72642" w:rsidRPr="00A72642">
        <w:rPr>
          <w:rFonts w:asciiTheme="minorHAnsi" w:hAnsiTheme="minorHAnsi" w:cstheme="minorHAnsi"/>
          <w:sz w:val="22"/>
          <w:szCs w:val="22"/>
        </w:rPr>
        <w:t xml:space="preserve"> to enforce the compliance of providers if older people are at risk of harm due to providers’ failure to implement appropriate strategies and where there are no underlying workforce challenges that could impede the provider from meeting their care minutes and 24/7 registered nurse responsibilities.</w:t>
      </w:r>
    </w:p>
    <w:p w14:paraId="4FC1ACCA" w14:textId="1F26A59F" w:rsidR="0060598E" w:rsidRPr="00A72642" w:rsidRDefault="0060598E" w:rsidP="006E27B9">
      <w:pPr>
        <w:pStyle w:val="ListParagraph"/>
        <w:numPr>
          <w:ilvl w:val="0"/>
          <w:numId w:val="17"/>
        </w:numPr>
        <w:ind w:left="714" w:hanging="357"/>
        <w:contextualSpacing w:val="0"/>
        <w:rPr>
          <w:rFonts w:asciiTheme="minorHAnsi" w:hAnsiTheme="minorHAnsi" w:cstheme="minorHAnsi"/>
          <w:sz w:val="22"/>
          <w:szCs w:val="22"/>
        </w:rPr>
      </w:pPr>
      <w:r>
        <w:rPr>
          <w:rFonts w:asciiTheme="minorHAnsi" w:hAnsiTheme="minorHAnsi" w:cstheme="minorHAnsi"/>
          <w:sz w:val="22"/>
          <w:szCs w:val="22"/>
        </w:rPr>
        <w:t>Work with providers where low vaccination rates for residents are identified and take regulatory action where the Commission determines that providers are not meeting or taking steps to comply with their responsibilities for providing safe and quality care in relation to vaccinations for residents.</w:t>
      </w:r>
    </w:p>
    <w:p w14:paraId="491D15C7" w14:textId="418F461A" w:rsidR="00AD7F19" w:rsidRPr="00A82CE5" w:rsidRDefault="005861D3" w:rsidP="006E27B9">
      <w:pPr>
        <w:pStyle w:val="ListParagraph"/>
        <w:numPr>
          <w:ilvl w:val="0"/>
          <w:numId w:val="17"/>
        </w:numPr>
        <w:ind w:left="714" w:hanging="357"/>
        <w:contextualSpacing w:val="0"/>
        <w:rPr>
          <w:rFonts w:asciiTheme="minorHAnsi" w:hAnsiTheme="minorHAnsi" w:cstheme="minorHAnsi"/>
          <w:b/>
          <w:bCs/>
          <w:sz w:val="22"/>
          <w:szCs w:val="22"/>
        </w:rPr>
      </w:pPr>
      <w:r>
        <w:rPr>
          <w:rFonts w:asciiTheme="minorHAnsi" w:hAnsiTheme="minorHAnsi" w:cstheme="minorHAnsi"/>
          <w:sz w:val="22"/>
          <w:szCs w:val="22"/>
        </w:rPr>
        <w:t>M</w:t>
      </w:r>
      <w:r w:rsidR="00AE3B56" w:rsidRPr="00F91393">
        <w:rPr>
          <w:rFonts w:asciiTheme="minorHAnsi" w:hAnsiTheme="minorHAnsi" w:cstheme="minorHAnsi"/>
          <w:sz w:val="22"/>
          <w:szCs w:val="22"/>
        </w:rPr>
        <w:t>onitor whether residential aged care providers are delivering lifestyle, recreation and allied health services required under Schedule 1 of the Quality of Care Principles and take regulatory action where these required and funded services are not delivered.</w:t>
      </w:r>
    </w:p>
    <w:p w14:paraId="3935A1DF" w14:textId="1C569259" w:rsidR="005B7833" w:rsidRPr="00320D74" w:rsidRDefault="00B314FB" w:rsidP="0060598E">
      <w:pPr>
        <w:pStyle w:val="Heading2"/>
        <w:keepNext w:val="0"/>
        <w:spacing w:before="360" w:after="160"/>
        <w:rPr>
          <w:rFonts w:asciiTheme="minorHAnsi" w:hAnsiTheme="minorHAnsi" w:cstheme="minorHAnsi"/>
          <w:b/>
          <w:bCs/>
          <w:color w:val="auto"/>
          <w:sz w:val="22"/>
          <w:szCs w:val="22"/>
        </w:rPr>
      </w:pPr>
      <w:r w:rsidRPr="00320D74">
        <w:rPr>
          <w:rFonts w:asciiTheme="minorHAnsi" w:hAnsiTheme="minorHAnsi" w:cstheme="minorHAnsi"/>
          <w:b/>
          <w:bCs/>
          <w:color w:val="auto"/>
          <w:sz w:val="22"/>
          <w:szCs w:val="22"/>
        </w:rPr>
        <w:t>Relationship with Minister and Portfolio</w:t>
      </w:r>
    </w:p>
    <w:p w14:paraId="2FBBBBC3" w14:textId="5F9257C2" w:rsidR="00F341B7" w:rsidRPr="00320D74" w:rsidRDefault="00A34C5A" w:rsidP="0060598E">
      <w:pPr>
        <w:keepLines/>
        <w:rPr>
          <w:rFonts w:asciiTheme="minorHAnsi" w:hAnsiTheme="minorHAnsi" w:cstheme="minorHAnsi"/>
          <w:sz w:val="22"/>
          <w:szCs w:val="22"/>
        </w:rPr>
      </w:pPr>
      <w:r w:rsidRPr="00320D74">
        <w:rPr>
          <w:rFonts w:asciiTheme="minorHAnsi" w:hAnsiTheme="minorHAnsi" w:cstheme="minorHAnsi"/>
          <w:sz w:val="22"/>
          <w:szCs w:val="22"/>
        </w:rPr>
        <w:lastRenderedPageBreak/>
        <w:t xml:space="preserve">The Commission plays an essential role in ensuring that the </w:t>
      </w:r>
      <w:r w:rsidR="000C0164" w:rsidRPr="00320D74">
        <w:rPr>
          <w:rFonts w:asciiTheme="minorHAnsi" w:hAnsiTheme="minorHAnsi" w:cstheme="minorHAnsi"/>
          <w:sz w:val="22"/>
          <w:szCs w:val="22"/>
        </w:rPr>
        <w:t>Government and I</w:t>
      </w:r>
      <w:r w:rsidR="002679AB" w:rsidRPr="00320D74">
        <w:rPr>
          <w:rFonts w:asciiTheme="minorHAnsi" w:hAnsiTheme="minorHAnsi" w:cstheme="minorHAnsi"/>
          <w:sz w:val="22"/>
          <w:szCs w:val="22"/>
        </w:rPr>
        <w:t>, as Minister for Aged C</w:t>
      </w:r>
      <w:r w:rsidR="00C43248" w:rsidRPr="00320D74">
        <w:rPr>
          <w:rFonts w:asciiTheme="minorHAnsi" w:hAnsiTheme="minorHAnsi" w:cstheme="minorHAnsi"/>
          <w:sz w:val="22"/>
          <w:szCs w:val="22"/>
        </w:rPr>
        <w:t>a</w:t>
      </w:r>
      <w:r w:rsidR="002679AB" w:rsidRPr="00320D74">
        <w:rPr>
          <w:rFonts w:asciiTheme="minorHAnsi" w:hAnsiTheme="minorHAnsi" w:cstheme="minorHAnsi"/>
          <w:sz w:val="22"/>
          <w:szCs w:val="22"/>
        </w:rPr>
        <w:t>re,</w:t>
      </w:r>
      <w:r w:rsidR="000C0164" w:rsidRPr="00320D74">
        <w:rPr>
          <w:rFonts w:asciiTheme="minorHAnsi" w:hAnsiTheme="minorHAnsi" w:cstheme="minorHAnsi"/>
          <w:sz w:val="22"/>
          <w:szCs w:val="22"/>
        </w:rPr>
        <w:t xml:space="preserve"> are well</w:t>
      </w:r>
      <w:r w:rsidR="001256A1">
        <w:rPr>
          <w:rFonts w:asciiTheme="minorHAnsi" w:hAnsiTheme="minorHAnsi" w:cstheme="minorHAnsi"/>
          <w:sz w:val="22"/>
          <w:szCs w:val="22"/>
        </w:rPr>
        <w:t>-</w:t>
      </w:r>
      <w:r w:rsidR="000C0164" w:rsidRPr="00320D74">
        <w:rPr>
          <w:rFonts w:asciiTheme="minorHAnsi" w:hAnsiTheme="minorHAnsi" w:cstheme="minorHAnsi"/>
          <w:sz w:val="22"/>
          <w:szCs w:val="22"/>
        </w:rPr>
        <w:t>placed to respond promptly to any policy challenges and opportunities arising fro</w:t>
      </w:r>
      <w:r w:rsidR="00E00374" w:rsidRPr="00320D74">
        <w:rPr>
          <w:rFonts w:asciiTheme="minorHAnsi" w:hAnsiTheme="minorHAnsi" w:cstheme="minorHAnsi"/>
          <w:sz w:val="22"/>
          <w:szCs w:val="22"/>
        </w:rPr>
        <w:t xml:space="preserve">m the administration of </w:t>
      </w:r>
      <w:r w:rsidR="008E49B0" w:rsidRPr="00320D74">
        <w:rPr>
          <w:rFonts w:asciiTheme="minorHAnsi" w:hAnsiTheme="minorHAnsi" w:cstheme="minorHAnsi"/>
          <w:sz w:val="22"/>
          <w:szCs w:val="22"/>
        </w:rPr>
        <w:t>aged care</w:t>
      </w:r>
      <w:r w:rsidR="00E00374" w:rsidRPr="00320D74">
        <w:rPr>
          <w:rFonts w:asciiTheme="minorHAnsi" w:hAnsiTheme="minorHAnsi" w:cstheme="minorHAnsi"/>
          <w:sz w:val="22"/>
          <w:szCs w:val="22"/>
        </w:rPr>
        <w:t xml:space="preserve"> regulatory functions</w:t>
      </w:r>
      <w:r w:rsidR="000310D7">
        <w:rPr>
          <w:rFonts w:asciiTheme="minorHAnsi" w:hAnsiTheme="minorHAnsi" w:cstheme="minorHAnsi"/>
          <w:sz w:val="22"/>
          <w:szCs w:val="22"/>
        </w:rPr>
        <w:t>, or the regulation thereof</w:t>
      </w:r>
      <w:r w:rsidR="00E00374" w:rsidRPr="00320D74">
        <w:rPr>
          <w:rFonts w:asciiTheme="minorHAnsi" w:hAnsiTheme="minorHAnsi" w:cstheme="minorHAnsi"/>
          <w:sz w:val="22"/>
          <w:szCs w:val="22"/>
        </w:rPr>
        <w:t xml:space="preserve">. </w:t>
      </w:r>
      <w:r w:rsidR="0042196B" w:rsidRPr="00320D74">
        <w:rPr>
          <w:rFonts w:asciiTheme="minorHAnsi" w:hAnsiTheme="minorHAnsi" w:cstheme="minorHAnsi"/>
          <w:sz w:val="22"/>
          <w:szCs w:val="22"/>
        </w:rPr>
        <w:t xml:space="preserve">I expect </w:t>
      </w:r>
      <w:r w:rsidR="001256A1">
        <w:rPr>
          <w:rFonts w:asciiTheme="minorHAnsi" w:hAnsiTheme="minorHAnsi" w:cstheme="minorHAnsi"/>
          <w:sz w:val="22"/>
          <w:szCs w:val="22"/>
        </w:rPr>
        <w:t xml:space="preserve">timely information </w:t>
      </w:r>
      <w:r w:rsidR="0042196B" w:rsidRPr="00320D74">
        <w:rPr>
          <w:rFonts w:asciiTheme="minorHAnsi" w:hAnsiTheme="minorHAnsi" w:cstheme="minorHAnsi"/>
          <w:sz w:val="22"/>
          <w:szCs w:val="22"/>
        </w:rPr>
        <w:t>about any emerging trends, issues or risks relevant to the Commission’s operations, particularly those that may impact</w:t>
      </w:r>
      <w:r w:rsidR="00D435BA" w:rsidRPr="00320D74">
        <w:rPr>
          <w:rFonts w:asciiTheme="minorHAnsi" w:hAnsiTheme="minorHAnsi" w:cstheme="minorHAnsi"/>
          <w:sz w:val="22"/>
          <w:szCs w:val="22"/>
        </w:rPr>
        <w:t xml:space="preserve"> on Government operations or policies.</w:t>
      </w:r>
    </w:p>
    <w:p w14:paraId="658E81CB" w14:textId="2E12FB6E" w:rsidR="004E5B09" w:rsidRPr="00320D74" w:rsidRDefault="00DE246C" w:rsidP="00AE10E6">
      <w:pPr>
        <w:rPr>
          <w:rFonts w:asciiTheme="minorHAnsi" w:hAnsiTheme="minorHAnsi" w:cstheme="minorHAnsi"/>
          <w:sz w:val="22"/>
          <w:szCs w:val="22"/>
        </w:rPr>
      </w:pPr>
      <w:r w:rsidRPr="00320D74">
        <w:rPr>
          <w:rFonts w:asciiTheme="minorHAnsi" w:hAnsiTheme="minorHAnsi" w:cstheme="minorHAnsi"/>
          <w:sz w:val="22"/>
          <w:szCs w:val="22"/>
        </w:rPr>
        <w:t>The Department also</w:t>
      </w:r>
      <w:r w:rsidR="00AE10E6" w:rsidRPr="00320D74">
        <w:rPr>
          <w:rFonts w:asciiTheme="minorHAnsi" w:hAnsiTheme="minorHAnsi" w:cstheme="minorHAnsi"/>
          <w:sz w:val="22"/>
          <w:szCs w:val="22"/>
        </w:rPr>
        <w:t xml:space="preserve"> provides</w:t>
      </w:r>
      <w:r w:rsidR="00E00374" w:rsidRPr="00320D74">
        <w:rPr>
          <w:rFonts w:asciiTheme="minorHAnsi" w:hAnsiTheme="minorHAnsi" w:cstheme="minorHAnsi"/>
          <w:sz w:val="22"/>
          <w:szCs w:val="22"/>
        </w:rPr>
        <w:t xml:space="preserve"> accurate and timely policy advice on significant issues relating to </w:t>
      </w:r>
      <w:r w:rsidR="00AE10E6" w:rsidRPr="00320D74">
        <w:rPr>
          <w:rFonts w:asciiTheme="minorHAnsi" w:hAnsiTheme="minorHAnsi" w:cstheme="minorHAnsi"/>
          <w:sz w:val="22"/>
          <w:szCs w:val="22"/>
        </w:rPr>
        <w:t xml:space="preserve">aged care </w:t>
      </w:r>
      <w:r w:rsidR="00E00374" w:rsidRPr="00320D74">
        <w:rPr>
          <w:rFonts w:asciiTheme="minorHAnsi" w:hAnsiTheme="minorHAnsi" w:cstheme="minorHAnsi"/>
          <w:sz w:val="22"/>
          <w:szCs w:val="22"/>
        </w:rPr>
        <w:t>regulatory functions</w:t>
      </w:r>
      <w:r w:rsidR="00CB2D79">
        <w:rPr>
          <w:rFonts w:asciiTheme="minorHAnsi" w:hAnsiTheme="minorHAnsi" w:cstheme="minorHAnsi"/>
          <w:sz w:val="22"/>
          <w:szCs w:val="22"/>
        </w:rPr>
        <w:t>,</w:t>
      </w:r>
      <w:r w:rsidR="00E00374" w:rsidRPr="00320D74">
        <w:rPr>
          <w:rFonts w:asciiTheme="minorHAnsi" w:hAnsiTheme="minorHAnsi" w:cstheme="minorHAnsi"/>
          <w:sz w:val="22"/>
          <w:szCs w:val="22"/>
        </w:rPr>
        <w:t xml:space="preserve"> in accordance with the Government’s policy priorities and objectives.</w:t>
      </w:r>
      <w:r w:rsidR="00F820FF" w:rsidRPr="00320D74">
        <w:rPr>
          <w:rFonts w:asciiTheme="minorHAnsi" w:hAnsiTheme="minorHAnsi" w:cstheme="minorHAnsi"/>
          <w:sz w:val="22"/>
          <w:szCs w:val="22"/>
        </w:rPr>
        <w:t xml:space="preserve"> The Department </w:t>
      </w:r>
      <w:r w:rsidR="00E108AD" w:rsidRPr="00320D74">
        <w:rPr>
          <w:rFonts w:asciiTheme="minorHAnsi" w:hAnsiTheme="minorHAnsi" w:cstheme="minorHAnsi"/>
          <w:sz w:val="22"/>
          <w:szCs w:val="22"/>
        </w:rPr>
        <w:t>considers</w:t>
      </w:r>
      <w:r w:rsidR="00F820FF" w:rsidRPr="00320D74">
        <w:rPr>
          <w:rFonts w:asciiTheme="minorHAnsi" w:hAnsiTheme="minorHAnsi" w:cstheme="minorHAnsi"/>
          <w:sz w:val="22"/>
          <w:szCs w:val="22"/>
        </w:rPr>
        <w:t xml:space="preserve"> the knowledge and expertise of the Commission when considering changes to policy and legislation that </w:t>
      </w:r>
      <w:r w:rsidR="00582B85" w:rsidRPr="00320D74">
        <w:rPr>
          <w:rFonts w:asciiTheme="minorHAnsi" w:hAnsiTheme="minorHAnsi" w:cstheme="minorHAnsi"/>
          <w:sz w:val="22"/>
          <w:szCs w:val="22"/>
        </w:rPr>
        <w:t>impact on quality, safety, and choice in aged care</w:t>
      </w:r>
      <w:r w:rsidR="007F34AB" w:rsidRPr="00320D74">
        <w:rPr>
          <w:rFonts w:asciiTheme="minorHAnsi" w:hAnsiTheme="minorHAnsi" w:cstheme="minorHAnsi"/>
          <w:sz w:val="22"/>
          <w:szCs w:val="22"/>
        </w:rPr>
        <w:t>.</w:t>
      </w:r>
    </w:p>
    <w:p w14:paraId="0749BFB2" w14:textId="27D29CC1" w:rsidR="007F34AB" w:rsidRPr="00320D74" w:rsidRDefault="007F34AB" w:rsidP="007262B9">
      <w:pPr>
        <w:keepLines/>
        <w:rPr>
          <w:rFonts w:asciiTheme="minorHAnsi" w:hAnsiTheme="minorHAnsi" w:cstheme="minorHAnsi"/>
          <w:sz w:val="22"/>
          <w:szCs w:val="22"/>
        </w:rPr>
      </w:pPr>
      <w:r w:rsidRPr="00320D74">
        <w:rPr>
          <w:rFonts w:asciiTheme="minorHAnsi" w:hAnsiTheme="minorHAnsi" w:cstheme="minorHAnsi"/>
          <w:sz w:val="22"/>
          <w:szCs w:val="22"/>
        </w:rPr>
        <w:t xml:space="preserve">Accordingly, I expect the </w:t>
      </w:r>
      <w:r w:rsidR="00E108AD" w:rsidRPr="00320D74">
        <w:rPr>
          <w:rFonts w:asciiTheme="minorHAnsi" w:hAnsiTheme="minorHAnsi" w:cstheme="minorHAnsi"/>
          <w:sz w:val="22"/>
          <w:szCs w:val="22"/>
        </w:rPr>
        <w:t>Commission</w:t>
      </w:r>
      <w:r w:rsidRPr="00320D74">
        <w:rPr>
          <w:rFonts w:asciiTheme="minorHAnsi" w:hAnsiTheme="minorHAnsi" w:cstheme="minorHAnsi"/>
          <w:sz w:val="22"/>
          <w:szCs w:val="22"/>
        </w:rPr>
        <w:t xml:space="preserve"> to work collaboratively with the Department on significant issues relating to strengthening </w:t>
      </w:r>
      <w:r w:rsidR="00E108AD" w:rsidRPr="00320D74">
        <w:rPr>
          <w:rFonts w:asciiTheme="minorHAnsi" w:hAnsiTheme="minorHAnsi" w:cstheme="minorHAnsi"/>
          <w:sz w:val="22"/>
          <w:szCs w:val="22"/>
        </w:rPr>
        <w:t>the aged care sector.</w:t>
      </w:r>
      <w:r w:rsidR="00F419A8" w:rsidRPr="00320D74">
        <w:rPr>
          <w:rFonts w:asciiTheme="minorHAnsi" w:hAnsiTheme="minorHAnsi" w:cstheme="minorHAnsi"/>
          <w:sz w:val="22"/>
          <w:szCs w:val="22"/>
        </w:rPr>
        <w:t xml:space="preserve"> I note th</w:t>
      </w:r>
      <w:r w:rsidR="00570710" w:rsidRPr="00320D74">
        <w:rPr>
          <w:rFonts w:asciiTheme="minorHAnsi" w:hAnsiTheme="minorHAnsi" w:cstheme="minorHAnsi"/>
          <w:sz w:val="22"/>
          <w:szCs w:val="22"/>
        </w:rPr>
        <w:t>at a</w:t>
      </w:r>
      <w:r w:rsidR="00F419A8" w:rsidRPr="00320D74">
        <w:rPr>
          <w:rFonts w:asciiTheme="minorHAnsi" w:hAnsiTheme="minorHAnsi" w:cstheme="minorHAnsi"/>
          <w:sz w:val="22"/>
          <w:szCs w:val="22"/>
        </w:rPr>
        <w:t xml:space="preserve"> </w:t>
      </w:r>
      <w:r w:rsidR="00026FED" w:rsidRPr="00320D74">
        <w:rPr>
          <w:rFonts w:asciiTheme="minorHAnsi" w:hAnsiTheme="minorHAnsi" w:cstheme="minorHAnsi"/>
          <w:sz w:val="22"/>
          <w:szCs w:val="22"/>
        </w:rPr>
        <w:t xml:space="preserve">Memorandum of Understanding </w:t>
      </w:r>
      <w:r w:rsidR="002F00EC" w:rsidRPr="00320D74">
        <w:rPr>
          <w:rFonts w:asciiTheme="minorHAnsi" w:hAnsiTheme="minorHAnsi" w:cstheme="minorHAnsi"/>
          <w:sz w:val="22"/>
          <w:szCs w:val="22"/>
        </w:rPr>
        <w:t xml:space="preserve">has been jointly developed and endorsed by the Department and the Commission, </w:t>
      </w:r>
      <w:r w:rsidR="001256A1" w:rsidRPr="00320D74">
        <w:rPr>
          <w:rFonts w:asciiTheme="minorHAnsi" w:hAnsiTheme="minorHAnsi" w:cstheme="minorHAnsi"/>
          <w:sz w:val="22"/>
          <w:szCs w:val="22"/>
        </w:rPr>
        <w:t>recognis</w:t>
      </w:r>
      <w:r w:rsidR="001256A1">
        <w:rPr>
          <w:rFonts w:asciiTheme="minorHAnsi" w:hAnsiTheme="minorHAnsi" w:cstheme="minorHAnsi"/>
          <w:sz w:val="22"/>
          <w:szCs w:val="22"/>
        </w:rPr>
        <w:t xml:space="preserve">ing, </w:t>
      </w:r>
      <w:r w:rsidR="00531A31" w:rsidRPr="00320D74">
        <w:rPr>
          <w:rFonts w:asciiTheme="minorHAnsi" w:hAnsiTheme="minorHAnsi" w:cstheme="minorHAnsi"/>
          <w:sz w:val="22"/>
          <w:szCs w:val="22"/>
        </w:rPr>
        <w:t>and</w:t>
      </w:r>
      <w:r w:rsidR="002F00EC" w:rsidRPr="00320D74">
        <w:rPr>
          <w:rFonts w:asciiTheme="minorHAnsi" w:hAnsiTheme="minorHAnsi" w:cstheme="minorHAnsi"/>
          <w:sz w:val="22"/>
          <w:szCs w:val="22"/>
        </w:rPr>
        <w:t xml:space="preserve"> support</w:t>
      </w:r>
      <w:r w:rsidR="001256A1">
        <w:rPr>
          <w:rFonts w:asciiTheme="minorHAnsi" w:hAnsiTheme="minorHAnsi" w:cstheme="minorHAnsi"/>
          <w:sz w:val="22"/>
          <w:szCs w:val="22"/>
        </w:rPr>
        <w:t>ing</w:t>
      </w:r>
      <w:r w:rsidR="00531A31" w:rsidRPr="00320D74">
        <w:rPr>
          <w:rFonts w:asciiTheme="minorHAnsi" w:hAnsiTheme="minorHAnsi" w:cstheme="minorHAnsi"/>
          <w:sz w:val="22"/>
          <w:szCs w:val="22"/>
        </w:rPr>
        <w:t xml:space="preserve"> </w:t>
      </w:r>
      <w:r w:rsidR="00780723" w:rsidRPr="00320D74">
        <w:rPr>
          <w:rFonts w:asciiTheme="minorHAnsi" w:hAnsiTheme="minorHAnsi" w:cstheme="minorHAnsi"/>
          <w:sz w:val="22"/>
          <w:szCs w:val="22"/>
        </w:rPr>
        <w:t>the separate roles and responsibilities of each agency</w:t>
      </w:r>
      <w:r w:rsidR="00531A31" w:rsidRPr="00320D74">
        <w:rPr>
          <w:rFonts w:asciiTheme="minorHAnsi" w:hAnsiTheme="minorHAnsi" w:cstheme="minorHAnsi"/>
          <w:sz w:val="22"/>
          <w:szCs w:val="22"/>
        </w:rPr>
        <w:t>, as well as</w:t>
      </w:r>
      <w:r w:rsidR="00780723" w:rsidRPr="00320D74">
        <w:rPr>
          <w:rFonts w:asciiTheme="minorHAnsi" w:hAnsiTheme="minorHAnsi" w:cstheme="minorHAnsi"/>
          <w:sz w:val="22"/>
          <w:szCs w:val="22"/>
        </w:rPr>
        <w:t xml:space="preserve"> the many linked functions and responsibilities </w:t>
      </w:r>
      <w:r w:rsidR="008C7B05" w:rsidRPr="00320D74">
        <w:rPr>
          <w:rFonts w:asciiTheme="minorHAnsi" w:hAnsiTheme="minorHAnsi" w:cstheme="minorHAnsi"/>
          <w:sz w:val="22"/>
          <w:szCs w:val="22"/>
        </w:rPr>
        <w:t>and encourages ongoing cooperation</w:t>
      </w:r>
      <w:r w:rsidR="00780723" w:rsidRPr="00320D74">
        <w:rPr>
          <w:rFonts w:asciiTheme="minorHAnsi" w:hAnsiTheme="minorHAnsi" w:cstheme="minorHAnsi"/>
          <w:sz w:val="22"/>
          <w:szCs w:val="22"/>
        </w:rPr>
        <w:t>.</w:t>
      </w:r>
    </w:p>
    <w:p w14:paraId="2C51DE97" w14:textId="35F8CDB6" w:rsidR="00E00374" w:rsidRPr="00320D74" w:rsidRDefault="00E00374" w:rsidP="005B7833">
      <w:pPr>
        <w:rPr>
          <w:rFonts w:asciiTheme="minorHAnsi" w:hAnsiTheme="minorHAnsi" w:cstheme="minorHAnsi"/>
          <w:sz w:val="22"/>
          <w:szCs w:val="22"/>
        </w:rPr>
      </w:pPr>
      <w:r w:rsidRPr="00320D74">
        <w:rPr>
          <w:rFonts w:asciiTheme="minorHAnsi" w:hAnsiTheme="minorHAnsi" w:cstheme="minorHAnsi"/>
          <w:sz w:val="22"/>
          <w:szCs w:val="22"/>
        </w:rPr>
        <w:t>As the responsible Minister, I will provide an enabling environment for the Department to consistently implement best practice by ensuring the Commissioner is well informed of the Government’s policy direction, as specific initiatives and strategies are considered.</w:t>
      </w:r>
    </w:p>
    <w:p w14:paraId="568151F7" w14:textId="31AB212A" w:rsidR="000E04E8" w:rsidRPr="00320D74" w:rsidRDefault="000E04E8" w:rsidP="004C3F6A">
      <w:pPr>
        <w:pStyle w:val="Heading2"/>
        <w:spacing w:before="360" w:after="160"/>
        <w:rPr>
          <w:rFonts w:asciiTheme="minorHAnsi" w:hAnsiTheme="minorHAnsi" w:cstheme="minorHAnsi"/>
          <w:b/>
          <w:bCs/>
          <w:color w:val="auto"/>
          <w:sz w:val="22"/>
          <w:szCs w:val="22"/>
        </w:rPr>
      </w:pPr>
      <w:r w:rsidRPr="00320D74">
        <w:rPr>
          <w:rFonts w:asciiTheme="minorHAnsi" w:hAnsiTheme="minorHAnsi" w:cstheme="minorHAnsi"/>
          <w:b/>
          <w:bCs/>
          <w:color w:val="auto"/>
          <w:sz w:val="22"/>
          <w:szCs w:val="22"/>
        </w:rPr>
        <w:t>Accountability</w:t>
      </w:r>
    </w:p>
    <w:p w14:paraId="3F20008A" w14:textId="77A9A247" w:rsidR="000E04E8" w:rsidRPr="00320D74" w:rsidRDefault="00101C9E" w:rsidP="000E04E8">
      <w:r w:rsidRPr="00320D74">
        <w:rPr>
          <w:rFonts w:asciiTheme="minorHAnsi" w:hAnsiTheme="minorHAnsi" w:cstheme="minorHAnsi"/>
          <w:sz w:val="22"/>
          <w:szCs w:val="22"/>
        </w:rPr>
        <w:t>As the Minister for Aged Care, I recognise the role of the Aged Care Quality and Safety Advisory Council</w:t>
      </w:r>
      <w:r w:rsidR="00AF5A77" w:rsidRPr="00320D74">
        <w:rPr>
          <w:rFonts w:asciiTheme="minorHAnsi" w:hAnsiTheme="minorHAnsi" w:cstheme="minorHAnsi"/>
          <w:sz w:val="22"/>
          <w:szCs w:val="22"/>
        </w:rPr>
        <w:t>, in the operation of t</w:t>
      </w:r>
      <w:r w:rsidR="00E40431" w:rsidRPr="00320D74">
        <w:rPr>
          <w:rFonts w:asciiTheme="minorHAnsi" w:hAnsiTheme="minorHAnsi" w:cstheme="minorHAnsi"/>
          <w:sz w:val="22"/>
          <w:szCs w:val="22"/>
        </w:rPr>
        <w:t>he Commission, and its path to greater independence as per the Capability Review report.</w:t>
      </w:r>
    </w:p>
    <w:p w14:paraId="21F9C590" w14:textId="64A985DD" w:rsidR="005B7833" w:rsidRPr="00320D74" w:rsidRDefault="00BF1D33" w:rsidP="004C3F6A">
      <w:pPr>
        <w:pStyle w:val="Heading2"/>
        <w:spacing w:before="360" w:after="160"/>
        <w:rPr>
          <w:rFonts w:asciiTheme="minorHAnsi" w:hAnsiTheme="minorHAnsi" w:cstheme="minorHAnsi"/>
          <w:b/>
          <w:bCs/>
          <w:color w:val="auto"/>
          <w:sz w:val="22"/>
          <w:szCs w:val="22"/>
        </w:rPr>
      </w:pPr>
      <w:r w:rsidRPr="00320D74">
        <w:rPr>
          <w:rFonts w:asciiTheme="minorHAnsi" w:hAnsiTheme="minorHAnsi" w:cstheme="minorHAnsi"/>
          <w:b/>
          <w:bCs/>
          <w:color w:val="auto"/>
          <w:sz w:val="22"/>
          <w:szCs w:val="22"/>
        </w:rPr>
        <w:t>Organisation Matters</w:t>
      </w:r>
    </w:p>
    <w:p w14:paraId="061CDBCA" w14:textId="6E6A33AF" w:rsidR="005B7833" w:rsidRPr="00320D74" w:rsidRDefault="00A14D64" w:rsidP="005B7833">
      <w:pPr>
        <w:rPr>
          <w:rFonts w:asciiTheme="minorHAnsi" w:hAnsiTheme="minorHAnsi" w:cstheme="minorHAnsi"/>
          <w:sz w:val="22"/>
          <w:szCs w:val="22"/>
        </w:rPr>
      </w:pPr>
      <w:r w:rsidRPr="00320D74">
        <w:rPr>
          <w:rFonts w:asciiTheme="minorHAnsi" w:hAnsiTheme="minorHAnsi" w:cstheme="minorHAnsi"/>
          <w:sz w:val="22"/>
          <w:szCs w:val="22"/>
        </w:rPr>
        <w:t xml:space="preserve">The </w:t>
      </w:r>
      <w:r w:rsidR="007054D6" w:rsidRPr="00320D74">
        <w:rPr>
          <w:rFonts w:asciiTheme="minorHAnsi" w:hAnsiTheme="minorHAnsi" w:cstheme="minorHAnsi"/>
          <w:sz w:val="22"/>
          <w:szCs w:val="22"/>
        </w:rPr>
        <w:t>Commission</w:t>
      </w:r>
      <w:r w:rsidR="005B7833" w:rsidRPr="00320D74">
        <w:rPr>
          <w:rFonts w:asciiTheme="minorHAnsi" w:hAnsiTheme="minorHAnsi" w:cstheme="minorHAnsi"/>
          <w:sz w:val="22"/>
          <w:szCs w:val="22"/>
        </w:rPr>
        <w:t xml:space="preserve"> operates as part of the Australian Government and is accountable to the Parliament</w:t>
      </w:r>
      <w:r w:rsidR="001256A1">
        <w:rPr>
          <w:rFonts w:asciiTheme="minorHAnsi" w:hAnsiTheme="minorHAnsi" w:cstheme="minorHAnsi"/>
          <w:sz w:val="22"/>
          <w:szCs w:val="22"/>
        </w:rPr>
        <w:t xml:space="preserve"> of Australia</w:t>
      </w:r>
      <w:r w:rsidR="005B7833" w:rsidRPr="00320D74">
        <w:rPr>
          <w:rFonts w:asciiTheme="minorHAnsi" w:hAnsiTheme="minorHAnsi" w:cstheme="minorHAnsi"/>
          <w:sz w:val="22"/>
          <w:szCs w:val="22"/>
        </w:rPr>
        <w:t xml:space="preserve">, and </w:t>
      </w:r>
      <w:r w:rsidR="003A22B3" w:rsidRPr="00320D74">
        <w:rPr>
          <w:rFonts w:asciiTheme="minorHAnsi" w:hAnsiTheme="minorHAnsi" w:cstheme="minorHAnsi"/>
          <w:sz w:val="22"/>
          <w:szCs w:val="22"/>
        </w:rPr>
        <w:t>the</w:t>
      </w:r>
      <w:r w:rsidR="005B7833" w:rsidRPr="00320D74">
        <w:rPr>
          <w:rFonts w:asciiTheme="minorHAnsi" w:hAnsiTheme="minorHAnsi" w:cstheme="minorHAnsi"/>
          <w:sz w:val="22"/>
          <w:szCs w:val="22"/>
        </w:rPr>
        <w:t xml:space="preserve"> public, through </w:t>
      </w:r>
      <w:r w:rsidR="001256A1" w:rsidRPr="00320D74">
        <w:rPr>
          <w:rFonts w:asciiTheme="minorHAnsi" w:hAnsiTheme="minorHAnsi" w:cstheme="minorHAnsi"/>
          <w:sz w:val="22"/>
          <w:szCs w:val="22"/>
        </w:rPr>
        <w:t>me</w:t>
      </w:r>
      <w:r w:rsidR="00013EFF" w:rsidRPr="00320D74">
        <w:rPr>
          <w:rFonts w:asciiTheme="minorHAnsi" w:hAnsiTheme="minorHAnsi" w:cstheme="minorHAnsi"/>
          <w:sz w:val="22"/>
          <w:szCs w:val="22"/>
        </w:rPr>
        <w:t xml:space="preserve"> as the</w:t>
      </w:r>
      <w:r w:rsidR="005B7833" w:rsidRPr="00320D74">
        <w:rPr>
          <w:rFonts w:asciiTheme="minorHAnsi" w:hAnsiTheme="minorHAnsi" w:cstheme="minorHAnsi"/>
          <w:sz w:val="22"/>
          <w:szCs w:val="22"/>
        </w:rPr>
        <w:t xml:space="preserve"> Minister for Aged Care, the Parliamentary Committee process, and the tabling of </w:t>
      </w:r>
      <w:r w:rsidR="007054D6" w:rsidRPr="00320D74">
        <w:rPr>
          <w:rFonts w:asciiTheme="minorHAnsi" w:hAnsiTheme="minorHAnsi" w:cstheme="minorHAnsi"/>
          <w:sz w:val="22"/>
          <w:szCs w:val="22"/>
        </w:rPr>
        <w:t>the Commission’s</w:t>
      </w:r>
      <w:r w:rsidR="005B7833" w:rsidRPr="00320D74">
        <w:rPr>
          <w:rFonts w:asciiTheme="minorHAnsi" w:hAnsiTheme="minorHAnsi" w:cstheme="minorHAnsi"/>
          <w:sz w:val="22"/>
          <w:szCs w:val="22"/>
        </w:rPr>
        <w:t xml:space="preserve"> </w:t>
      </w:r>
      <w:r w:rsidR="007054D6" w:rsidRPr="00320D74">
        <w:rPr>
          <w:rFonts w:asciiTheme="minorHAnsi" w:hAnsiTheme="minorHAnsi" w:cstheme="minorHAnsi"/>
          <w:sz w:val="22"/>
          <w:szCs w:val="22"/>
        </w:rPr>
        <w:t>A</w:t>
      </w:r>
      <w:r w:rsidR="005B7833" w:rsidRPr="00320D74">
        <w:rPr>
          <w:rFonts w:asciiTheme="minorHAnsi" w:hAnsiTheme="minorHAnsi" w:cstheme="minorHAnsi"/>
          <w:sz w:val="22"/>
          <w:szCs w:val="22"/>
        </w:rPr>
        <w:t xml:space="preserve">nnual </w:t>
      </w:r>
      <w:r w:rsidR="007054D6" w:rsidRPr="00320D74">
        <w:rPr>
          <w:rFonts w:asciiTheme="minorHAnsi" w:hAnsiTheme="minorHAnsi" w:cstheme="minorHAnsi"/>
          <w:sz w:val="22"/>
          <w:szCs w:val="22"/>
        </w:rPr>
        <w:t>R</w:t>
      </w:r>
      <w:r w:rsidR="005B7833" w:rsidRPr="00320D74">
        <w:rPr>
          <w:rFonts w:asciiTheme="minorHAnsi" w:hAnsiTheme="minorHAnsi" w:cstheme="minorHAnsi"/>
          <w:sz w:val="22"/>
          <w:szCs w:val="22"/>
        </w:rPr>
        <w:t>eport.</w:t>
      </w:r>
    </w:p>
    <w:p w14:paraId="20FDD70B" w14:textId="1C2A448D" w:rsidR="00F73B5E" w:rsidRPr="00320D74" w:rsidRDefault="005B7833" w:rsidP="005B7833">
      <w:pPr>
        <w:rPr>
          <w:rFonts w:asciiTheme="minorHAnsi" w:hAnsiTheme="minorHAnsi" w:cstheme="minorHAnsi"/>
          <w:sz w:val="22"/>
          <w:szCs w:val="22"/>
        </w:rPr>
      </w:pPr>
      <w:r w:rsidRPr="00320D74">
        <w:rPr>
          <w:rFonts w:asciiTheme="minorHAnsi" w:hAnsiTheme="minorHAnsi" w:cstheme="minorHAnsi"/>
          <w:sz w:val="22"/>
          <w:szCs w:val="22"/>
        </w:rPr>
        <w:t xml:space="preserve">In accordance with the PGPA Act and the </w:t>
      </w:r>
      <w:r w:rsidR="007054D6" w:rsidRPr="00320D74">
        <w:rPr>
          <w:rFonts w:asciiTheme="minorHAnsi" w:hAnsiTheme="minorHAnsi" w:cstheme="minorHAnsi"/>
          <w:sz w:val="22"/>
          <w:szCs w:val="22"/>
        </w:rPr>
        <w:t>Commission</w:t>
      </w:r>
      <w:r w:rsidRPr="00320D74">
        <w:rPr>
          <w:rFonts w:asciiTheme="minorHAnsi" w:hAnsiTheme="minorHAnsi" w:cstheme="minorHAnsi"/>
          <w:sz w:val="22"/>
          <w:szCs w:val="22"/>
        </w:rPr>
        <w:t xml:space="preserve"> Act, </w:t>
      </w:r>
      <w:r w:rsidR="00680DA0" w:rsidRPr="00320D74">
        <w:rPr>
          <w:rFonts w:asciiTheme="minorHAnsi" w:hAnsiTheme="minorHAnsi" w:cstheme="minorHAnsi"/>
          <w:sz w:val="22"/>
          <w:szCs w:val="22"/>
        </w:rPr>
        <w:t>I</w:t>
      </w:r>
      <w:r w:rsidRPr="00320D74">
        <w:rPr>
          <w:rFonts w:asciiTheme="minorHAnsi" w:hAnsiTheme="minorHAnsi" w:cstheme="minorHAnsi"/>
          <w:sz w:val="22"/>
          <w:szCs w:val="22"/>
        </w:rPr>
        <w:t xml:space="preserve"> expect that the </w:t>
      </w:r>
      <w:r w:rsidR="00F73B5E" w:rsidRPr="00320D74">
        <w:rPr>
          <w:rFonts w:asciiTheme="minorHAnsi" w:hAnsiTheme="minorHAnsi" w:cstheme="minorHAnsi"/>
          <w:sz w:val="22"/>
          <w:szCs w:val="22"/>
        </w:rPr>
        <w:t xml:space="preserve">Commission will integrate performance measure into the Commission’s </w:t>
      </w:r>
      <w:r w:rsidR="00DC2BE0" w:rsidRPr="00320D74">
        <w:rPr>
          <w:rFonts w:asciiTheme="minorHAnsi" w:hAnsiTheme="minorHAnsi" w:cstheme="minorHAnsi"/>
          <w:sz w:val="22"/>
          <w:szCs w:val="22"/>
        </w:rPr>
        <w:t>C</w:t>
      </w:r>
      <w:r w:rsidR="00F73B5E" w:rsidRPr="00320D74">
        <w:rPr>
          <w:rFonts w:asciiTheme="minorHAnsi" w:hAnsiTheme="minorHAnsi" w:cstheme="minorHAnsi"/>
          <w:sz w:val="22"/>
          <w:szCs w:val="22"/>
        </w:rPr>
        <w:t xml:space="preserve">orporate </w:t>
      </w:r>
      <w:r w:rsidR="00DC2BE0" w:rsidRPr="00320D74">
        <w:rPr>
          <w:rFonts w:asciiTheme="minorHAnsi" w:hAnsiTheme="minorHAnsi" w:cstheme="minorHAnsi"/>
          <w:sz w:val="22"/>
          <w:szCs w:val="22"/>
        </w:rPr>
        <w:t>P</w:t>
      </w:r>
      <w:r w:rsidR="00F73B5E" w:rsidRPr="00320D74">
        <w:rPr>
          <w:rFonts w:asciiTheme="minorHAnsi" w:hAnsiTheme="minorHAnsi" w:cstheme="minorHAnsi"/>
          <w:sz w:val="22"/>
          <w:szCs w:val="22"/>
        </w:rPr>
        <w:t>lan and subsequently</w:t>
      </w:r>
      <w:r w:rsidR="00385A3D" w:rsidRPr="00320D74">
        <w:rPr>
          <w:rFonts w:asciiTheme="minorHAnsi" w:hAnsiTheme="minorHAnsi" w:cstheme="minorHAnsi"/>
          <w:sz w:val="22"/>
          <w:szCs w:val="22"/>
        </w:rPr>
        <w:t xml:space="preserve"> report on outcomes against each measure in the Commission’s Annual Report. </w:t>
      </w:r>
      <w:r w:rsidR="00101C9E" w:rsidRPr="00320D74">
        <w:rPr>
          <w:rFonts w:asciiTheme="minorHAnsi" w:hAnsiTheme="minorHAnsi" w:cstheme="minorHAnsi"/>
          <w:sz w:val="22"/>
          <w:szCs w:val="22"/>
        </w:rPr>
        <w:t>As the Minister for Aged Care</w:t>
      </w:r>
      <w:r w:rsidR="00680DA0" w:rsidRPr="00320D74">
        <w:rPr>
          <w:rFonts w:asciiTheme="minorHAnsi" w:hAnsiTheme="minorHAnsi" w:cstheme="minorHAnsi"/>
          <w:sz w:val="22"/>
          <w:szCs w:val="22"/>
        </w:rPr>
        <w:t>, I</w:t>
      </w:r>
      <w:r w:rsidR="00385A3D" w:rsidRPr="00320D74">
        <w:rPr>
          <w:rFonts w:asciiTheme="minorHAnsi" w:hAnsiTheme="minorHAnsi" w:cstheme="minorHAnsi"/>
          <w:sz w:val="22"/>
          <w:szCs w:val="22"/>
        </w:rPr>
        <w:t xml:space="preserve"> will assess the Commission’s performance against these measures as part of its oversight function in determining whether the Commission is successfully achieving its objectives.</w:t>
      </w:r>
    </w:p>
    <w:p w14:paraId="2885CFA8" w14:textId="3BABCEE7" w:rsidR="005B7833" w:rsidRPr="00F30C7A" w:rsidRDefault="005B7833" w:rsidP="005B7833">
      <w:pPr>
        <w:rPr>
          <w:rFonts w:asciiTheme="minorHAnsi" w:hAnsiTheme="minorHAnsi" w:cstheme="minorHAnsi"/>
          <w:sz w:val="22"/>
          <w:szCs w:val="22"/>
        </w:rPr>
      </w:pPr>
      <w:r w:rsidRPr="00320D74">
        <w:rPr>
          <w:rFonts w:asciiTheme="minorHAnsi" w:hAnsiTheme="minorHAnsi" w:cstheme="minorHAnsi"/>
          <w:sz w:val="22"/>
          <w:szCs w:val="22"/>
        </w:rPr>
        <w:t xml:space="preserve">To enable greater transparency and accountability, </w:t>
      </w:r>
      <w:r w:rsidR="00272F58" w:rsidRPr="00320D74">
        <w:rPr>
          <w:rFonts w:asciiTheme="minorHAnsi" w:hAnsiTheme="minorHAnsi" w:cstheme="minorHAnsi"/>
          <w:sz w:val="22"/>
          <w:szCs w:val="22"/>
        </w:rPr>
        <w:t>I</w:t>
      </w:r>
      <w:r w:rsidR="00346AB5" w:rsidRPr="00320D74">
        <w:rPr>
          <w:rFonts w:asciiTheme="minorHAnsi" w:hAnsiTheme="minorHAnsi" w:cstheme="minorHAnsi"/>
          <w:sz w:val="22"/>
          <w:szCs w:val="22"/>
        </w:rPr>
        <w:t xml:space="preserve"> expect the Commission to publish its Statement of Intent in response to this Statement of Expectations</w:t>
      </w:r>
      <w:r w:rsidR="00F9005C" w:rsidRPr="00320D74">
        <w:rPr>
          <w:rFonts w:asciiTheme="minorHAnsi" w:hAnsiTheme="minorHAnsi" w:cstheme="minorHAnsi"/>
          <w:sz w:val="22"/>
          <w:szCs w:val="22"/>
        </w:rPr>
        <w:t xml:space="preserve"> on its website, and subsequently incorporate </w:t>
      </w:r>
      <w:r w:rsidR="001256A1">
        <w:rPr>
          <w:rFonts w:asciiTheme="minorHAnsi" w:hAnsiTheme="minorHAnsi" w:cstheme="minorHAnsi"/>
          <w:sz w:val="22"/>
          <w:szCs w:val="22"/>
        </w:rPr>
        <w:t xml:space="preserve">both </w:t>
      </w:r>
      <w:r w:rsidR="00F9005C" w:rsidRPr="00320D74">
        <w:rPr>
          <w:rFonts w:asciiTheme="minorHAnsi" w:hAnsiTheme="minorHAnsi" w:cstheme="minorHAnsi"/>
          <w:sz w:val="22"/>
          <w:szCs w:val="22"/>
        </w:rPr>
        <w:t xml:space="preserve">in its </w:t>
      </w:r>
      <w:r w:rsidR="00C25DE7" w:rsidRPr="00320D74">
        <w:rPr>
          <w:rFonts w:asciiTheme="minorHAnsi" w:hAnsiTheme="minorHAnsi" w:cstheme="minorHAnsi"/>
          <w:sz w:val="22"/>
          <w:szCs w:val="22"/>
        </w:rPr>
        <w:t>C</w:t>
      </w:r>
      <w:r w:rsidR="00F9005C" w:rsidRPr="00320D74">
        <w:rPr>
          <w:rFonts w:asciiTheme="minorHAnsi" w:hAnsiTheme="minorHAnsi" w:cstheme="minorHAnsi"/>
          <w:sz w:val="22"/>
          <w:szCs w:val="22"/>
        </w:rPr>
        <w:t xml:space="preserve">orporate </w:t>
      </w:r>
      <w:r w:rsidR="00C25DE7" w:rsidRPr="00320D74">
        <w:rPr>
          <w:rFonts w:asciiTheme="minorHAnsi" w:hAnsiTheme="minorHAnsi" w:cstheme="minorHAnsi"/>
          <w:sz w:val="22"/>
          <w:szCs w:val="22"/>
        </w:rPr>
        <w:t>P</w:t>
      </w:r>
      <w:r w:rsidR="00F9005C" w:rsidRPr="00320D74">
        <w:rPr>
          <w:rFonts w:asciiTheme="minorHAnsi" w:hAnsiTheme="minorHAnsi" w:cstheme="minorHAnsi"/>
          <w:sz w:val="22"/>
          <w:szCs w:val="22"/>
        </w:rPr>
        <w:t>lan.</w:t>
      </w:r>
    </w:p>
    <w:sectPr w:rsidR="005B7833" w:rsidRPr="00F30C7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D15F9" w14:textId="77777777" w:rsidR="00EE3186" w:rsidRDefault="00EE3186" w:rsidP="00A4078D">
      <w:pPr>
        <w:spacing w:after="0" w:line="240" w:lineRule="auto"/>
      </w:pPr>
      <w:r>
        <w:separator/>
      </w:r>
    </w:p>
  </w:endnote>
  <w:endnote w:type="continuationSeparator" w:id="0">
    <w:p w14:paraId="375BA14A" w14:textId="77777777" w:rsidR="00EE3186" w:rsidRDefault="00EE3186" w:rsidP="00A4078D">
      <w:pPr>
        <w:spacing w:after="0" w:line="240" w:lineRule="auto"/>
      </w:pPr>
      <w:r>
        <w:continuationSeparator/>
      </w:r>
    </w:p>
  </w:endnote>
  <w:endnote w:type="continuationNotice" w:id="1">
    <w:p w14:paraId="38B14D44" w14:textId="77777777" w:rsidR="00EE3186" w:rsidRDefault="00EE31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Light">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183618"/>
      <w:docPartObj>
        <w:docPartGallery w:val="Page Numbers (Bottom of Page)"/>
        <w:docPartUnique/>
      </w:docPartObj>
    </w:sdtPr>
    <w:sdtEndPr>
      <w:rPr>
        <w:noProof/>
      </w:rPr>
    </w:sdtEndPr>
    <w:sdtContent>
      <w:p w14:paraId="5754B2AE" w14:textId="5EE1A9E1" w:rsidR="0038325D" w:rsidRDefault="003832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69928" w14:textId="77777777" w:rsidR="0038325D" w:rsidRDefault="00383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A04F6" w14:textId="77777777" w:rsidR="00EE3186" w:rsidRDefault="00EE3186" w:rsidP="00A4078D">
      <w:pPr>
        <w:spacing w:after="0" w:line="240" w:lineRule="auto"/>
      </w:pPr>
      <w:r>
        <w:separator/>
      </w:r>
    </w:p>
  </w:footnote>
  <w:footnote w:type="continuationSeparator" w:id="0">
    <w:p w14:paraId="53DABC0C" w14:textId="77777777" w:rsidR="00EE3186" w:rsidRDefault="00EE3186" w:rsidP="00A4078D">
      <w:pPr>
        <w:spacing w:after="0" w:line="240" w:lineRule="auto"/>
      </w:pPr>
      <w:r>
        <w:continuationSeparator/>
      </w:r>
    </w:p>
  </w:footnote>
  <w:footnote w:type="continuationNotice" w:id="1">
    <w:p w14:paraId="378832AD" w14:textId="77777777" w:rsidR="00EE3186" w:rsidRDefault="00EE3186">
      <w:pPr>
        <w:spacing w:after="0" w:line="240" w:lineRule="auto"/>
      </w:pPr>
    </w:p>
  </w:footnote>
  <w:footnote w:id="2">
    <w:p w14:paraId="3C5BE0FE" w14:textId="1077939E" w:rsidR="00950F23" w:rsidRPr="00457804" w:rsidRDefault="00950F23">
      <w:pPr>
        <w:pStyle w:val="FootnoteText"/>
        <w:rPr>
          <w:rFonts w:asciiTheme="minorHAnsi" w:hAnsiTheme="minorHAnsi" w:cstheme="minorHAnsi"/>
        </w:rPr>
      </w:pPr>
      <w:r w:rsidRPr="00457804">
        <w:rPr>
          <w:rStyle w:val="FootnoteReference"/>
          <w:rFonts w:asciiTheme="minorHAnsi" w:hAnsiTheme="minorHAnsi" w:cstheme="minorHAnsi"/>
        </w:rPr>
        <w:footnoteRef/>
      </w:r>
      <w:r w:rsidRPr="00457804">
        <w:rPr>
          <w:rFonts w:asciiTheme="minorHAnsi" w:hAnsiTheme="minorHAnsi" w:cstheme="minorHAnsi"/>
        </w:rPr>
        <w:t xml:space="preserve"> Australian Government, Department of Finance, </w:t>
      </w:r>
      <w:hyperlink r:id="rId1" w:history="1">
        <w:r w:rsidRPr="00457804">
          <w:rPr>
            <w:rStyle w:val="Hyperlink"/>
            <w:rFonts w:asciiTheme="minorHAnsi" w:hAnsiTheme="minorHAnsi" w:cstheme="minorHAnsi"/>
          </w:rPr>
          <w:t>Principles of Regulator Best Practice</w:t>
        </w:r>
      </w:hyperlink>
      <w:r w:rsidRPr="00457804">
        <w:rPr>
          <w:rFonts w:asciiTheme="minorHAnsi" w:hAnsiTheme="minorHAnsi" w:cstheme="minorHAnsi"/>
        </w:rPr>
        <w:t>, access</w:t>
      </w:r>
      <w:r w:rsidR="00F800C2" w:rsidRPr="00457804">
        <w:rPr>
          <w:rFonts w:asciiTheme="minorHAnsi" w:hAnsiTheme="minorHAnsi" w:cstheme="minorHAnsi"/>
        </w:rPr>
        <w:t>ed</w:t>
      </w:r>
      <w:r w:rsidRPr="00457804">
        <w:rPr>
          <w:rFonts w:asciiTheme="minorHAnsi" w:hAnsiTheme="minorHAnsi" w:cstheme="minorHAnsi"/>
        </w:rPr>
        <w:t xml:space="preserve"> 13 June 2024</w:t>
      </w:r>
      <w:r w:rsidR="00F800C2" w:rsidRPr="00457804">
        <w:rPr>
          <w:rFonts w:asciiTheme="minorHAnsi" w:hAnsiTheme="minorHAnsi" w:cstheme="minorHAnsi"/>
        </w:rPr>
        <w:t>.</w:t>
      </w:r>
      <w:r w:rsidRPr="00457804">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2AEB1" w14:textId="7A1C590A" w:rsidR="00A4078D" w:rsidRDefault="00A4078D" w:rsidP="00A4078D">
    <w:pPr>
      <w:pStyle w:val="Header"/>
      <w:jc w:val="center"/>
    </w:pPr>
    <w:r>
      <w:rPr>
        <w:noProof/>
      </w:rPr>
      <w:drawing>
        <wp:inline distT="0" distB="0" distL="0" distR="0" wp14:anchorId="56C096B6" wp14:editId="739A6859">
          <wp:extent cx="1123950" cy="842963"/>
          <wp:effectExtent l="0" t="0" r="0" b="0"/>
          <wp:docPr id="3" name="Picture 3" descr="Description: 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259" cy="844695"/>
                  </a:xfrm>
                  <a:prstGeom prst="rect">
                    <a:avLst/>
                  </a:prstGeom>
                  <a:noFill/>
                  <a:ln>
                    <a:noFill/>
                  </a:ln>
                </pic:spPr>
              </pic:pic>
            </a:graphicData>
          </a:graphic>
        </wp:inline>
      </w:drawing>
    </w:r>
  </w:p>
  <w:p w14:paraId="5042B381" w14:textId="77777777" w:rsidR="00970E59" w:rsidRDefault="00970E59" w:rsidP="00A407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56F0"/>
    <w:multiLevelType w:val="hybridMultilevel"/>
    <w:tmpl w:val="F0BAB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BF3B25"/>
    <w:multiLevelType w:val="hybridMultilevel"/>
    <w:tmpl w:val="7F58F726"/>
    <w:lvl w:ilvl="0" w:tplc="F9E42CC6">
      <w:start w:val="1"/>
      <w:numFmt w:val="bullet"/>
      <w:lvlText w:val=""/>
      <w:lvlJc w:val="left"/>
      <w:pPr>
        <w:ind w:left="720" w:hanging="360"/>
      </w:pPr>
      <w:rPr>
        <w:rFonts w:ascii="Symbol" w:hAnsi="Symbol"/>
      </w:rPr>
    </w:lvl>
    <w:lvl w:ilvl="1" w:tplc="1B96AAE4">
      <w:start w:val="1"/>
      <w:numFmt w:val="bullet"/>
      <w:lvlText w:val=""/>
      <w:lvlJc w:val="left"/>
      <w:pPr>
        <w:ind w:left="720" w:hanging="360"/>
      </w:pPr>
      <w:rPr>
        <w:rFonts w:ascii="Symbol" w:hAnsi="Symbol"/>
      </w:rPr>
    </w:lvl>
    <w:lvl w:ilvl="2" w:tplc="97AAE2C0">
      <w:start w:val="1"/>
      <w:numFmt w:val="bullet"/>
      <w:lvlText w:val=""/>
      <w:lvlJc w:val="left"/>
      <w:pPr>
        <w:ind w:left="720" w:hanging="360"/>
      </w:pPr>
      <w:rPr>
        <w:rFonts w:ascii="Symbol" w:hAnsi="Symbol"/>
      </w:rPr>
    </w:lvl>
    <w:lvl w:ilvl="3" w:tplc="8DCE8E8A">
      <w:start w:val="1"/>
      <w:numFmt w:val="bullet"/>
      <w:lvlText w:val=""/>
      <w:lvlJc w:val="left"/>
      <w:pPr>
        <w:ind w:left="720" w:hanging="360"/>
      </w:pPr>
      <w:rPr>
        <w:rFonts w:ascii="Symbol" w:hAnsi="Symbol"/>
      </w:rPr>
    </w:lvl>
    <w:lvl w:ilvl="4" w:tplc="B2109A6C">
      <w:start w:val="1"/>
      <w:numFmt w:val="bullet"/>
      <w:lvlText w:val=""/>
      <w:lvlJc w:val="left"/>
      <w:pPr>
        <w:ind w:left="720" w:hanging="360"/>
      </w:pPr>
      <w:rPr>
        <w:rFonts w:ascii="Symbol" w:hAnsi="Symbol"/>
      </w:rPr>
    </w:lvl>
    <w:lvl w:ilvl="5" w:tplc="C0C24D9E">
      <w:start w:val="1"/>
      <w:numFmt w:val="bullet"/>
      <w:lvlText w:val=""/>
      <w:lvlJc w:val="left"/>
      <w:pPr>
        <w:ind w:left="720" w:hanging="360"/>
      </w:pPr>
      <w:rPr>
        <w:rFonts w:ascii="Symbol" w:hAnsi="Symbol"/>
      </w:rPr>
    </w:lvl>
    <w:lvl w:ilvl="6" w:tplc="1E02B6F6">
      <w:start w:val="1"/>
      <w:numFmt w:val="bullet"/>
      <w:lvlText w:val=""/>
      <w:lvlJc w:val="left"/>
      <w:pPr>
        <w:ind w:left="720" w:hanging="360"/>
      </w:pPr>
      <w:rPr>
        <w:rFonts w:ascii="Symbol" w:hAnsi="Symbol"/>
      </w:rPr>
    </w:lvl>
    <w:lvl w:ilvl="7" w:tplc="A5428434">
      <w:start w:val="1"/>
      <w:numFmt w:val="bullet"/>
      <w:lvlText w:val=""/>
      <w:lvlJc w:val="left"/>
      <w:pPr>
        <w:ind w:left="720" w:hanging="360"/>
      </w:pPr>
      <w:rPr>
        <w:rFonts w:ascii="Symbol" w:hAnsi="Symbol"/>
      </w:rPr>
    </w:lvl>
    <w:lvl w:ilvl="8" w:tplc="3154BA26">
      <w:start w:val="1"/>
      <w:numFmt w:val="bullet"/>
      <w:lvlText w:val=""/>
      <w:lvlJc w:val="left"/>
      <w:pPr>
        <w:ind w:left="720" w:hanging="360"/>
      </w:pPr>
      <w:rPr>
        <w:rFonts w:ascii="Symbol" w:hAnsi="Symbol"/>
      </w:rPr>
    </w:lvl>
  </w:abstractNum>
  <w:abstractNum w:abstractNumId="2" w15:restartNumberingAfterBreak="0">
    <w:nsid w:val="098A2231"/>
    <w:multiLevelType w:val="hybridMultilevel"/>
    <w:tmpl w:val="F3B65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1D5E52"/>
    <w:multiLevelType w:val="hybridMultilevel"/>
    <w:tmpl w:val="415A8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4380F"/>
    <w:multiLevelType w:val="hybridMultilevel"/>
    <w:tmpl w:val="B61A7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51E65"/>
    <w:multiLevelType w:val="hybridMultilevel"/>
    <w:tmpl w:val="188271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63A6AD4"/>
    <w:multiLevelType w:val="hybridMultilevel"/>
    <w:tmpl w:val="1646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9F066E"/>
    <w:multiLevelType w:val="hybridMultilevel"/>
    <w:tmpl w:val="922E6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726587"/>
    <w:multiLevelType w:val="hybridMultilevel"/>
    <w:tmpl w:val="53C62B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AA07F7"/>
    <w:multiLevelType w:val="hybridMultilevel"/>
    <w:tmpl w:val="67B4E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A934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C53D5B"/>
    <w:multiLevelType w:val="hybridMultilevel"/>
    <w:tmpl w:val="0FA6B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E16EB6"/>
    <w:multiLevelType w:val="hybridMultilevel"/>
    <w:tmpl w:val="0598F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7C41CB"/>
    <w:multiLevelType w:val="hybridMultilevel"/>
    <w:tmpl w:val="B042576E"/>
    <w:lvl w:ilvl="0" w:tplc="A0904302">
      <w:start w:val="1"/>
      <w:numFmt w:val="bullet"/>
      <w:lvlText w:val=""/>
      <w:lvlJc w:val="left"/>
      <w:pPr>
        <w:ind w:left="720" w:hanging="360"/>
      </w:pPr>
      <w:rPr>
        <w:rFonts w:ascii="Symbol" w:hAnsi="Symbol"/>
      </w:rPr>
    </w:lvl>
    <w:lvl w:ilvl="1" w:tplc="F15E4FE2">
      <w:start w:val="1"/>
      <w:numFmt w:val="bullet"/>
      <w:lvlText w:val=""/>
      <w:lvlJc w:val="left"/>
      <w:pPr>
        <w:ind w:left="720" w:hanging="360"/>
      </w:pPr>
      <w:rPr>
        <w:rFonts w:ascii="Symbol" w:hAnsi="Symbol"/>
      </w:rPr>
    </w:lvl>
    <w:lvl w:ilvl="2" w:tplc="E584B0E0">
      <w:start w:val="1"/>
      <w:numFmt w:val="bullet"/>
      <w:lvlText w:val=""/>
      <w:lvlJc w:val="left"/>
      <w:pPr>
        <w:ind w:left="720" w:hanging="360"/>
      </w:pPr>
      <w:rPr>
        <w:rFonts w:ascii="Symbol" w:hAnsi="Symbol"/>
      </w:rPr>
    </w:lvl>
    <w:lvl w:ilvl="3" w:tplc="1D8E3306">
      <w:start w:val="1"/>
      <w:numFmt w:val="bullet"/>
      <w:lvlText w:val=""/>
      <w:lvlJc w:val="left"/>
      <w:pPr>
        <w:ind w:left="720" w:hanging="360"/>
      </w:pPr>
      <w:rPr>
        <w:rFonts w:ascii="Symbol" w:hAnsi="Symbol"/>
      </w:rPr>
    </w:lvl>
    <w:lvl w:ilvl="4" w:tplc="DDA20B22">
      <w:start w:val="1"/>
      <w:numFmt w:val="bullet"/>
      <w:lvlText w:val=""/>
      <w:lvlJc w:val="left"/>
      <w:pPr>
        <w:ind w:left="720" w:hanging="360"/>
      </w:pPr>
      <w:rPr>
        <w:rFonts w:ascii="Symbol" w:hAnsi="Symbol"/>
      </w:rPr>
    </w:lvl>
    <w:lvl w:ilvl="5" w:tplc="681EB2A8">
      <w:start w:val="1"/>
      <w:numFmt w:val="bullet"/>
      <w:lvlText w:val=""/>
      <w:lvlJc w:val="left"/>
      <w:pPr>
        <w:ind w:left="720" w:hanging="360"/>
      </w:pPr>
      <w:rPr>
        <w:rFonts w:ascii="Symbol" w:hAnsi="Symbol"/>
      </w:rPr>
    </w:lvl>
    <w:lvl w:ilvl="6" w:tplc="6046CBA8">
      <w:start w:val="1"/>
      <w:numFmt w:val="bullet"/>
      <w:lvlText w:val=""/>
      <w:lvlJc w:val="left"/>
      <w:pPr>
        <w:ind w:left="720" w:hanging="360"/>
      </w:pPr>
      <w:rPr>
        <w:rFonts w:ascii="Symbol" w:hAnsi="Symbol"/>
      </w:rPr>
    </w:lvl>
    <w:lvl w:ilvl="7" w:tplc="99A857EE">
      <w:start w:val="1"/>
      <w:numFmt w:val="bullet"/>
      <w:lvlText w:val=""/>
      <w:lvlJc w:val="left"/>
      <w:pPr>
        <w:ind w:left="720" w:hanging="360"/>
      </w:pPr>
      <w:rPr>
        <w:rFonts w:ascii="Symbol" w:hAnsi="Symbol"/>
      </w:rPr>
    </w:lvl>
    <w:lvl w:ilvl="8" w:tplc="9E802E20">
      <w:start w:val="1"/>
      <w:numFmt w:val="bullet"/>
      <w:lvlText w:val=""/>
      <w:lvlJc w:val="left"/>
      <w:pPr>
        <w:ind w:left="720" w:hanging="360"/>
      </w:pPr>
      <w:rPr>
        <w:rFonts w:ascii="Symbol" w:hAnsi="Symbol"/>
      </w:rPr>
    </w:lvl>
  </w:abstractNum>
  <w:abstractNum w:abstractNumId="14" w15:restartNumberingAfterBreak="0">
    <w:nsid w:val="5DFF406D"/>
    <w:multiLevelType w:val="hybridMultilevel"/>
    <w:tmpl w:val="885CA276"/>
    <w:lvl w:ilvl="0" w:tplc="237E20CC">
      <w:start w:val="1"/>
      <w:numFmt w:val="bullet"/>
      <w:lvlText w:val=""/>
      <w:lvlJc w:val="left"/>
      <w:pPr>
        <w:ind w:left="720" w:hanging="360"/>
      </w:pPr>
      <w:rPr>
        <w:rFonts w:ascii="Symbol" w:hAnsi="Symbol"/>
      </w:rPr>
    </w:lvl>
    <w:lvl w:ilvl="1" w:tplc="72D01580">
      <w:start w:val="1"/>
      <w:numFmt w:val="bullet"/>
      <w:lvlText w:val=""/>
      <w:lvlJc w:val="left"/>
      <w:pPr>
        <w:ind w:left="720" w:hanging="360"/>
      </w:pPr>
      <w:rPr>
        <w:rFonts w:ascii="Symbol" w:hAnsi="Symbol"/>
      </w:rPr>
    </w:lvl>
    <w:lvl w:ilvl="2" w:tplc="1ACA30F4">
      <w:start w:val="1"/>
      <w:numFmt w:val="bullet"/>
      <w:lvlText w:val=""/>
      <w:lvlJc w:val="left"/>
      <w:pPr>
        <w:ind w:left="720" w:hanging="360"/>
      </w:pPr>
      <w:rPr>
        <w:rFonts w:ascii="Symbol" w:hAnsi="Symbol"/>
      </w:rPr>
    </w:lvl>
    <w:lvl w:ilvl="3" w:tplc="58F073C4">
      <w:start w:val="1"/>
      <w:numFmt w:val="bullet"/>
      <w:lvlText w:val=""/>
      <w:lvlJc w:val="left"/>
      <w:pPr>
        <w:ind w:left="720" w:hanging="360"/>
      </w:pPr>
      <w:rPr>
        <w:rFonts w:ascii="Symbol" w:hAnsi="Symbol"/>
      </w:rPr>
    </w:lvl>
    <w:lvl w:ilvl="4" w:tplc="B5BEEB16">
      <w:start w:val="1"/>
      <w:numFmt w:val="bullet"/>
      <w:lvlText w:val=""/>
      <w:lvlJc w:val="left"/>
      <w:pPr>
        <w:ind w:left="720" w:hanging="360"/>
      </w:pPr>
      <w:rPr>
        <w:rFonts w:ascii="Symbol" w:hAnsi="Symbol"/>
      </w:rPr>
    </w:lvl>
    <w:lvl w:ilvl="5" w:tplc="4CACEF14">
      <w:start w:val="1"/>
      <w:numFmt w:val="bullet"/>
      <w:lvlText w:val=""/>
      <w:lvlJc w:val="left"/>
      <w:pPr>
        <w:ind w:left="720" w:hanging="360"/>
      </w:pPr>
      <w:rPr>
        <w:rFonts w:ascii="Symbol" w:hAnsi="Symbol"/>
      </w:rPr>
    </w:lvl>
    <w:lvl w:ilvl="6" w:tplc="65561928">
      <w:start w:val="1"/>
      <w:numFmt w:val="bullet"/>
      <w:lvlText w:val=""/>
      <w:lvlJc w:val="left"/>
      <w:pPr>
        <w:ind w:left="720" w:hanging="360"/>
      </w:pPr>
      <w:rPr>
        <w:rFonts w:ascii="Symbol" w:hAnsi="Symbol"/>
      </w:rPr>
    </w:lvl>
    <w:lvl w:ilvl="7" w:tplc="52EEFC18">
      <w:start w:val="1"/>
      <w:numFmt w:val="bullet"/>
      <w:lvlText w:val=""/>
      <w:lvlJc w:val="left"/>
      <w:pPr>
        <w:ind w:left="720" w:hanging="360"/>
      </w:pPr>
      <w:rPr>
        <w:rFonts w:ascii="Symbol" w:hAnsi="Symbol"/>
      </w:rPr>
    </w:lvl>
    <w:lvl w:ilvl="8" w:tplc="F1E438E8">
      <w:start w:val="1"/>
      <w:numFmt w:val="bullet"/>
      <w:lvlText w:val=""/>
      <w:lvlJc w:val="left"/>
      <w:pPr>
        <w:ind w:left="720" w:hanging="360"/>
      </w:pPr>
      <w:rPr>
        <w:rFonts w:ascii="Symbol" w:hAnsi="Symbol"/>
      </w:rPr>
    </w:lvl>
  </w:abstractNum>
  <w:abstractNum w:abstractNumId="15" w15:restartNumberingAfterBreak="0">
    <w:nsid w:val="69386374"/>
    <w:multiLevelType w:val="hybridMultilevel"/>
    <w:tmpl w:val="13282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585997"/>
    <w:multiLevelType w:val="hybridMultilevel"/>
    <w:tmpl w:val="0D385D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981690"/>
    <w:multiLevelType w:val="hybridMultilevel"/>
    <w:tmpl w:val="EAF09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A50E0E"/>
    <w:multiLevelType w:val="hybridMultilevel"/>
    <w:tmpl w:val="86AAB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3116381">
    <w:abstractNumId w:val="0"/>
  </w:num>
  <w:num w:numId="2" w16cid:durableId="1378122138">
    <w:abstractNumId w:val="6"/>
  </w:num>
  <w:num w:numId="3" w16cid:durableId="735487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741535">
    <w:abstractNumId w:val="10"/>
  </w:num>
  <w:num w:numId="5" w16cid:durableId="2122258305">
    <w:abstractNumId w:val="5"/>
  </w:num>
  <w:num w:numId="6" w16cid:durableId="1925530746">
    <w:abstractNumId w:val="9"/>
  </w:num>
  <w:num w:numId="7" w16cid:durableId="486554874">
    <w:abstractNumId w:val="17"/>
  </w:num>
  <w:num w:numId="8" w16cid:durableId="54664880">
    <w:abstractNumId w:val="16"/>
  </w:num>
  <w:num w:numId="9" w16cid:durableId="880553437">
    <w:abstractNumId w:val="8"/>
  </w:num>
  <w:num w:numId="10" w16cid:durableId="1895240136">
    <w:abstractNumId w:val="15"/>
  </w:num>
  <w:num w:numId="11" w16cid:durableId="1553148497">
    <w:abstractNumId w:val="7"/>
  </w:num>
  <w:num w:numId="12" w16cid:durableId="472873444">
    <w:abstractNumId w:val="18"/>
  </w:num>
  <w:num w:numId="13" w16cid:durableId="2094082248">
    <w:abstractNumId w:val="12"/>
  </w:num>
  <w:num w:numId="14" w16cid:durableId="1721435909">
    <w:abstractNumId w:val="2"/>
  </w:num>
  <w:num w:numId="15" w16cid:durableId="889343478">
    <w:abstractNumId w:val="4"/>
  </w:num>
  <w:num w:numId="16" w16cid:durableId="1681814320">
    <w:abstractNumId w:val="11"/>
  </w:num>
  <w:num w:numId="17" w16cid:durableId="926571729">
    <w:abstractNumId w:val="3"/>
  </w:num>
  <w:num w:numId="18" w16cid:durableId="2080667984">
    <w:abstractNumId w:val="1"/>
  </w:num>
  <w:num w:numId="19" w16cid:durableId="1845514989">
    <w:abstractNumId w:val="13"/>
  </w:num>
  <w:num w:numId="20" w16cid:durableId="838929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1B"/>
    <w:rsid w:val="00001FB9"/>
    <w:rsid w:val="00005AED"/>
    <w:rsid w:val="000060E6"/>
    <w:rsid w:val="0000666F"/>
    <w:rsid w:val="00007C80"/>
    <w:rsid w:val="00007CB4"/>
    <w:rsid w:val="00012914"/>
    <w:rsid w:val="000139EF"/>
    <w:rsid w:val="00013EFF"/>
    <w:rsid w:val="0001570C"/>
    <w:rsid w:val="00020A4F"/>
    <w:rsid w:val="000241E1"/>
    <w:rsid w:val="00024264"/>
    <w:rsid w:val="000245A7"/>
    <w:rsid w:val="00025DCF"/>
    <w:rsid w:val="00026FED"/>
    <w:rsid w:val="000310D7"/>
    <w:rsid w:val="00037F07"/>
    <w:rsid w:val="00041877"/>
    <w:rsid w:val="0004261E"/>
    <w:rsid w:val="00042967"/>
    <w:rsid w:val="00047447"/>
    <w:rsid w:val="0005105D"/>
    <w:rsid w:val="00060753"/>
    <w:rsid w:val="00064BA3"/>
    <w:rsid w:val="00064F1D"/>
    <w:rsid w:val="00081ACE"/>
    <w:rsid w:val="00085AA9"/>
    <w:rsid w:val="00092A57"/>
    <w:rsid w:val="00093726"/>
    <w:rsid w:val="00097AC3"/>
    <w:rsid w:val="000A1064"/>
    <w:rsid w:val="000A3142"/>
    <w:rsid w:val="000B169C"/>
    <w:rsid w:val="000B4521"/>
    <w:rsid w:val="000C0164"/>
    <w:rsid w:val="000C5814"/>
    <w:rsid w:val="000D45C2"/>
    <w:rsid w:val="000E04E8"/>
    <w:rsid w:val="000E19E7"/>
    <w:rsid w:val="000E746A"/>
    <w:rsid w:val="000F2FB0"/>
    <w:rsid w:val="000F5463"/>
    <w:rsid w:val="00101C9E"/>
    <w:rsid w:val="00105422"/>
    <w:rsid w:val="001075EB"/>
    <w:rsid w:val="0011067B"/>
    <w:rsid w:val="001158BD"/>
    <w:rsid w:val="001179C2"/>
    <w:rsid w:val="0012061C"/>
    <w:rsid w:val="00121351"/>
    <w:rsid w:val="001231B9"/>
    <w:rsid w:val="00123B0E"/>
    <w:rsid w:val="001256A1"/>
    <w:rsid w:val="00126799"/>
    <w:rsid w:val="0013123D"/>
    <w:rsid w:val="00133EF5"/>
    <w:rsid w:val="001373E9"/>
    <w:rsid w:val="001374C7"/>
    <w:rsid w:val="00140CD8"/>
    <w:rsid w:val="0014466B"/>
    <w:rsid w:val="0015036B"/>
    <w:rsid w:val="0015074D"/>
    <w:rsid w:val="00157A21"/>
    <w:rsid w:val="00157D99"/>
    <w:rsid w:val="00161AAE"/>
    <w:rsid w:val="00166FD7"/>
    <w:rsid w:val="001705B9"/>
    <w:rsid w:val="00170958"/>
    <w:rsid w:val="0017392E"/>
    <w:rsid w:val="0017397D"/>
    <w:rsid w:val="00174F2D"/>
    <w:rsid w:val="00181C1B"/>
    <w:rsid w:val="0018240E"/>
    <w:rsid w:val="00182CBB"/>
    <w:rsid w:val="00192C9F"/>
    <w:rsid w:val="00194766"/>
    <w:rsid w:val="001950B0"/>
    <w:rsid w:val="00195BAF"/>
    <w:rsid w:val="00196498"/>
    <w:rsid w:val="00196A7C"/>
    <w:rsid w:val="0019702E"/>
    <w:rsid w:val="001A1F9F"/>
    <w:rsid w:val="001A36EA"/>
    <w:rsid w:val="001A5333"/>
    <w:rsid w:val="001A5A5D"/>
    <w:rsid w:val="001B053A"/>
    <w:rsid w:val="001B6295"/>
    <w:rsid w:val="001C353C"/>
    <w:rsid w:val="001D2670"/>
    <w:rsid w:val="001D55DA"/>
    <w:rsid w:val="001D57B0"/>
    <w:rsid w:val="001E16EF"/>
    <w:rsid w:val="001F1EDD"/>
    <w:rsid w:val="002030AF"/>
    <w:rsid w:val="0020416F"/>
    <w:rsid w:val="002106A7"/>
    <w:rsid w:val="00211ED6"/>
    <w:rsid w:val="002158D2"/>
    <w:rsid w:val="00217322"/>
    <w:rsid w:val="00234A68"/>
    <w:rsid w:val="00235D74"/>
    <w:rsid w:val="00237880"/>
    <w:rsid w:val="00241458"/>
    <w:rsid w:val="00241F68"/>
    <w:rsid w:val="002424F1"/>
    <w:rsid w:val="00245C2D"/>
    <w:rsid w:val="002509C4"/>
    <w:rsid w:val="00251843"/>
    <w:rsid w:val="00252C35"/>
    <w:rsid w:val="00257C77"/>
    <w:rsid w:val="00261DF8"/>
    <w:rsid w:val="0026408A"/>
    <w:rsid w:val="002653E5"/>
    <w:rsid w:val="00265587"/>
    <w:rsid w:val="002679AB"/>
    <w:rsid w:val="00272F58"/>
    <w:rsid w:val="002732E1"/>
    <w:rsid w:val="0027475F"/>
    <w:rsid w:val="00274F92"/>
    <w:rsid w:val="00280050"/>
    <w:rsid w:val="00287670"/>
    <w:rsid w:val="00293E3E"/>
    <w:rsid w:val="002A0F3E"/>
    <w:rsid w:val="002A1490"/>
    <w:rsid w:val="002A25A4"/>
    <w:rsid w:val="002A2FE1"/>
    <w:rsid w:val="002A379C"/>
    <w:rsid w:val="002A3B42"/>
    <w:rsid w:val="002A460A"/>
    <w:rsid w:val="002B7C19"/>
    <w:rsid w:val="002B7E94"/>
    <w:rsid w:val="002D196B"/>
    <w:rsid w:val="002D1E68"/>
    <w:rsid w:val="002E026A"/>
    <w:rsid w:val="002E0CEB"/>
    <w:rsid w:val="002E1E7E"/>
    <w:rsid w:val="002E2B88"/>
    <w:rsid w:val="002E332E"/>
    <w:rsid w:val="002E5A54"/>
    <w:rsid w:val="002E7EE7"/>
    <w:rsid w:val="002F00EC"/>
    <w:rsid w:val="002F018E"/>
    <w:rsid w:val="002F24F8"/>
    <w:rsid w:val="002F3BDE"/>
    <w:rsid w:val="002F56A6"/>
    <w:rsid w:val="00307884"/>
    <w:rsid w:val="00313294"/>
    <w:rsid w:val="00314D09"/>
    <w:rsid w:val="003163D3"/>
    <w:rsid w:val="00316935"/>
    <w:rsid w:val="00320D74"/>
    <w:rsid w:val="0032171A"/>
    <w:rsid w:val="00323DAE"/>
    <w:rsid w:val="003247D8"/>
    <w:rsid w:val="00326579"/>
    <w:rsid w:val="00333893"/>
    <w:rsid w:val="00337BA2"/>
    <w:rsid w:val="00344025"/>
    <w:rsid w:val="00344234"/>
    <w:rsid w:val="003456EF"/>
    <w:rsid w:val="00346AB5"/>
    <w:rsid w:val="003548E4"/>
    <w:rsid w:val="003579D2"/>
    <w:rsid w:val="00361C55"/>
    <w:rsid w:val="00362975"/>
    <w:rsid w:val="00362D88"/>
    <w:rsid w:val="0036508A"/>
    <w:rsid w:val="00365897"/>
    <w:rsid w:val="003727AD"/>
    <w:rsid w:val="00372909"/>
    <w:rsid w:val="0037548C"/>
    <w:rsid w:val="003804C8"/>
    <w:rsid w:val="0038325D"/>
    <w:rsid w:val="00385A3D"/>
    <w:rsid w:val="003901F4"/>
    <w:rsid w:val="00396E6C"/>
    <w:rsid w:val="003A22B3"/>
    <w:rsid w:val="003A2E78"/>
    <w:rsid w:val="003A42C6"/>
    <w:rsid w:val="003B1739"/>
    <w:rsid w:val="003B23C3"/>
    <w:rsid w:val="003B2676"/>
    <w:rsid w:val="003B3D52"/>
    <w:rsid w:val="003B48CA"/>
    <w:rsid w:val="003B5541"/>
    <w:rsid w:val="003B6947"/>
    <w:rsid w:val="003C5502"/>
    <w:rsid w:val="003C76A3"/>
    <w:rsid w:val="003D0638"/>
    <w:rsid w:val="003D148A"/>
    <w:rsid w:val="003D2DB0"/>
    <w:rsid w:val="003D5DE4"/>
    <w:rsid w:val="003D7AC8"/>
    <w:rsid w:val="003E0617"/>
    <w:rsid w:val="003E353E"/>
    <w:rsid w:val="003E4D2F"/>
    <w:rsid w:val="003E5A40"/>
    <w:rsid w:val="003F2569"/>
    <w:rsid w:val="003F43EB"/>
    <w:rsid w:val="003F55C4"/>
    <w:rsid w:val="003F7872"/>
    <w:rsid w:val="004020FD"/>
    <w:rsid w:val="00403660"/>
    <w:rsid w:val="004053AC"/>
    <w:rsid w:val="0040748C"/>
    <w:rsid w:val="00410FA1"/>
    <w:rsid w:val="004123B9"/>
    <w:rsid w:val="00416F4F"/>
    <w:rsid w:val="0042196B"/>
    <w:rsid w:val="0043520F"/>
    <w:rsid w:val="00437BF2"/>
    <w:rsid w:val="0044666F"/>
    <w:rsid w:val="00446B62"/>
    <w:rsid w:val="00446E5E"/>
    <w:rsid w:val="004517BB"/>
    <w:rsid w:val="00451C8B"/>
    <w:rsid w:val="00457804"/>
    <w:rsid w:val="00461D37"/>
    <w:rsid w:val="004675B2"/>
    <w:rsid w:val="004716A8"/>
    <w:rsid w:val="00471EEB"/>
    <w:rsid w:val="00473BA1"/>
    <w:rsid w:val="0047694F"/>
    <w:rsid w:val="004771BD"/>
    <w:rsid w:val="004811DD"/>
    <w:rsid w:val="00483BA5"/>
    <w:rsid w:val="0048570E"/>
    <w:rsid w:val="004861E9"/>
    <w:rsid w:val="0049156D"/>
    <w:rsid w:val="00491BD9"/>
    <w:rsid w:val="004927E8"/>
    <w:rsid w:val="00495100"/>
    <w:rsid w:val="00495334"/>
    <w:rsid w:val="0049693C"/>
    <w:rsid w:val="004A47E9"/>
    <w:rsid w:val="004A619A"/>
    <w:rsid w:val="004A656E"/>
    <w:rsid w:val="004A7B7F"/>
    <w:rsid w:val="004B007A"/>
    <w:rsid w:val="004B5B23"/>
    <w:rsid w:val="004B7826"/>
    <w:rsid w:val="004C3F6A"/>
    <w:rsid w:val="004C7AFC"/>
    <w:rsid w:val="004D07E1"/>
    <w:rsid w:val="004D3A19"/>
    <w:rsid w:val="004D44A6"/>
    <w:rsid w:val="004D5FD5"/>
    <w:rsid w:val="004D72BE"/>
    <w:rsid w:val="004E06B4"/>
    <w:rsid w:val="004E5B09"/>
    <w:rsid w:val="004E6360"/>
    <w:rsid w:val="004F1869"/>
    <w:rsid w:val="004F772B"/>
    <w:rsid w:val="004F773A"/>
    <w:rsid w:val="005018B2"/>
    <w:rsid w:val="00507AC7"/>
    <w:rsid w:val="005136DB"/>
    <w:rsid w:val="005141AA"/>
    <w:rsid w:val="005144BB"/>
    <w:rsid w:val="005156AE"/>
    <w:rsid w:val="00517FE3"/>
    <w:rsid w:val="00521604"/>
    <w:rsid w:val="00523460"/>
    <w:rsid w:val="005246D7"/>
    <w:rsid w:val="005304BF"/>
    <w:rsid w:val="00530BAD"/>
    <w:rsid w:val="005311DC"/>
    <w:rsid w:val="00531804"/>
    <w:rsid w:val="00531A31"/>
    <w:rsid w:val="0053351F"/>
    <w:rsid w:val="005340F8"/>
    <w:rsid w:val="005363C0"/>
    <w:rsid w:val="00543EEA"/>
    <w:rsid w:val="00543FB4"/>
    <w:rsid w:val="00545B29"/>
    <w:rsid w:val="0054703D"/>
    <w:rsid w:val="0055058A"/>
    <w:rsid w:val="00551D9E"/>
    <w:rsid w:val="00551F49"/>
    <w:rsid w:val="0055213B"/>
    <w:rsid w:val="00555F17"/>
    <w:rsid w:val="00561515"/>
    <w:rsid w:val="00565AED"/>
    <w:rsid w:val="005674C6"/>
    <w:rsid w:val="00570710"/>
    <w:rsid w:val="00571A5D"/>
    <w:rsid w:val="00572713"/>
    <w:rsid w:val="00572F7C"/>
    <w:rsid w:val="00582592"/>
    <w:rsid w:val="00582B85"/>
    <w:rsid w:val="00583BED"/>
    <w:rsid w:val="005861D3"/>
    <w:rsid w:val="0058645D"/>
    <w:rsid w:val="00592723"/>
    <w:rsid w:val="00593E72"/>
    <w:rsid w:val="005A299B"/>
    <w:rsid w:val="005A3CCF"/>
    <w:rsid w:val="005B45E9"/>
    <w:rsid w:val="005B6687"/>
    <w:rsid w:val="005B7833"/>
    <w:rsid w:val="005C0F3A"/>
    <w:rsid w:val="005C5910"/>
    <w:rsid w:val="005C62BD"/>
    <w:rsid w:val="005D0C81"/>
    <w:rsid w:val="005D2796"/>
    <w:rsid w:val="005D32EF"/>
    <w:rsid w:val="005E3B23"/>
    <w:rsid w:val="005E5D6A"/>
    <w:rsid w:val="005F2F63"/>
    <w:rsid w:val="005F5DAA"/>
    <w:rsid w:val="005F7DC3"/>
    <w:rsid w:val="00602C62"/>
    <w:rsid w:val="0060598E"/>
    <w:rsid w:val="00606FAF"/>
    <w:rsid w:val="00610812"/>
    <w:rsid w:val="00612C23"/>
    <w:rsid w:val="00621F10"/>
    <w:rsid w:val="00622CEF"/>
    <w:rsid w:val="00626155"/>
    <w:rsid w:val="00634046"/>
    <w:rsid w:val="00635248"/>
    <w:rsid w:val="006357AF"/>
    <w:rsid w:val="0064288F"/>
    <w:rsid w:val="00642B84"/>
    <w:rsid w:val="00643DA4"/>
    <w:rsid w:val="00645E36"/>
    <w:rsid w:val="00647F83"/>
    <w:rsid w:val="00650759"/>
    <w:rsid w:val="00652A9A"/>
    <w:rsid w:val="00654B65"/>
    <w:rsid w:val="00654CD0"/>
    <w:rsid w:val="00663119"/>
    <w:rsid w:val="00664E23"/>
    <w:rsid w:val="00672599"/>
    <w:rsid w:val="00672FF2"/>
    <w:rsid w:val="00673CF7"/>
    <w:rsid w:val="00676022"/>
    <w:rsid w:val="00676EEC"/>
    <w:rsid w:val="00680DA0"/>
    <w:rsid w:val="00683885"/>
    <w:rsid w:val="00684464"/>
    <w:rsid w:val="006863CA"/>
    <w:rsid w:val="00691F4A"/>
    <w:rsid w:val="00692613"/>
    <w:rsid w:val="006953EF"/>
    <w:rsid w:val="00695D4A"/>
    <w:rsid w:val="00696F20"/>
    <w:rsid w:val="006A3E98"/>
    <w:rsid w:val="006A4060"/>
    <w:rsid w:val="006A5960"/>
    <w:rsid w:val="006B0F7E"/>
    <w:rsid w:val="006B5CDC"/>
    <w:rsid w:val="006B7A98"/>
    <w:rsid w:val="006B7CCD"/>
    <w:rsid w:val="006C2EC1"/>
    <w:rsid w:val="006D2B37"/>
    <w:rsid w:val="006D3F88"/>
    <w:rsid w:val="006D59CA"/>
    <w:rsid w:val="006E19F6"/>
    <w:rsid w:val="006E200F"/>
    <w:rsid w:val="006E27B9"/>
    <w:rsid w:val="006E4A57"/>
    <w:rsid w:val="006E53C5"/>
    <w:rsid w:val="006E5CE2"/>
    <w:rsid w:val="006E7AB0"/>
    <w:rsid w:val="006F384E"/>
    <w:rsid w:val="006F7366"/>
    <w:rsid w:val="007009C4"/>
    <w:rsid w:val="00701C9B"/>
    <w:rsid w:val="00702CC7"/>
    <w:rsid w:val="007054D6"/>
    <w:rsid w:val="00710764"/>
    <w:rsid w:val="007112BE"/>
    <w:rsid w:val="00714469"/>
    <w:rsid w:val="00720DD1"/>
    <w:rsid w:val="0072226B"/>
    <w:rsid w:val="00725A89"/>
    <w:rsid w:val="007262B9"/>
    <w:rsid w:val="00726935"/>
    <w:rsid w:val="007275FB"/>
    <w:rsid w:val="007326BC"/>
    <w:rsid w:val="00734FB3"/>
    <w:rsid w:val="0073676B"/>
    <w:rsid w:val="0074025A"/>
    <w:rsid w:val="00742B33"/>
    <w:rsid w:val="0074309B"/>
    <w:rsid w:val="00744075"/>
    <w:rsid w:val="00744281"/>
    <w:rsid w:val="0074517E"/>
    <w:rsid w:val="00746191"/>
    <w:rsid w:val="00753629"/>
    <w:rsid w:val="00754BF7"/>
    <w:rsid w:val="00756113"/>
    <w:rsid w:val="0076096D"/>
    <w:rsid w:val="007625BD"/>
    <w:rsid w:val="0076354D"/>
    <w:rsid w:val="00764E8C"/>
    <w:rsid w:val="00765EE9"/>
    <w:rsid w:val="00766D1F"/>
    <w:rsid w:val="0077452F"/>
    <w:rsid w:val="00776976"/>
    <w:rsid w:val="00780723"/>
    <w:rsid w:val="00784F58"/>
    <w:rsid w:val="007856AF"/>
    <w:rsid w:val="0078696C"/>
    <w:rsid w:val="00787C3C"/>
    <w:rsid w:val="00792F7E"/>
    <w:rsid w:val="00793F87"/>
    <w:rsid w:val="00796016"/>
    <w:rsid w:val="00796818"/>
    <w:rsid w:val="007A27A6"/>
    <w:rsid w:val="007A296E"/>
    <w:rsid w:val="007A6853"/>
    <w:rsid w:val="007A7732"/>
    <w:rsid w:val="007B2244"/>
    <w:rsid w:val="007B2418"/>
    <w:rsid w:val="007B5488"/>
    <w:rsid w:val="007B6B3D"/>
    <w:rsid w:val="007C0D58"/>
    <w:rsid w:val="007D22D4"/>
    <w:rsid w:val="007E3FE7"/>
    <w:rsid w:val="007E7BB0"/>
    <w:rsid w:val="007F067B"/>
    <w:rsid w:val="007F1D6E"/>
    <w:rsid w:val="007F34AB"/>
    <w:rsid w:val="008023DE"/>
    <w:rsid w:val="00805701"/>
    <w:rsid w:val="00811E13"/>
    <w:rsid w:val="00814A8E"/>
    <w:rsid w:val="00820459"/>
    <w:rsid w:val="00820F1B"/>
    <w:rsid w:val="00822DE2"/>
    <w:rsid w:val="00824658"/>
    <w:rsid w:val="008250BE"/>
    <w:rsid w:val="008262D2"/>
    <w:rsid w:val="00826615"/>
    <w:rsid w:val="00830E65"/>
    <w:rsid w:val="008336FD"/>
    <w:rsid w:val="008349EC"/>
    <w:rsid w:val="00834CAD"/>
    <w:rsid w:val="00834DB3"/>
    <w:rsid w:val="008350DC"/>
    <w:rsid w:val="0083781A"/>
    <w:rsid w:val="00840BC9"/>
    <w:rsid w:val="00841A08"/>
    <w:rsid w:val="00843649"/>
    <w:rsid w:val="0084387F"/>
    <w:rsid w:val="0085382A"/>
    <w:rsid w:val="00853F1E"/>
    <w:rsid w:val="008568A2"/>
    <w:rsid w:val="00856BE5"/>
    <w:rsid w:val="008603A2"/>
    <w:rsid w:val="00860ACE"/>
    <w:rsid w:val="00860AEC"/>
    <w:rsid w:val="0086230C"/>
    <w:rsid w:val="00862335"/>
    <w:rsid w:val="00867AB5"/>
    <w:rsid w:val="00867E10"/>
    <w:rsid w:val="00875CAF"/>
    <w:rsid w:val="008824F1"/>
    <w:rsid w:val="00886121"/>
    <w:rsid w:val="00890905"/>
    <w:rsid w:val="00893286"/>
    <w:rsid w:val="00893DB1"/>
    <w:rsid w:val="00895512"/>
    <w:rsid w:val="00897583"/>
    <w:rsid w:val="008A4ED2"/>
    <w:rsid w:val="008A5826"/>
    <w:rsid w:val="008C57FF"/>
    <w:rsid w:val="008C7B05"/>
    <w:rsid w:val="008D1F5A"/>
    <w:rsid w:val="008D204F"/>
    <w:rsid w:val="008D2394"/>
    <w:rsid w:val="008D3BAB"/>
    <w:rsid w:val="008D44DD"/>
    <w:rsid w:val="008D5282"/>
    <w:rsid w:val="008E3D09"/>
    <w:rsid w:val="008E49B0"/>
    <w:rsid w:val="008E6A38"/>
    <w:rsid w:val="008F303C"/>
    <w:rsid w:val="00900900"/>
    <w:rsid w:val="0090107B"/>
    <w:rsid w:val="00902619"/>
    <w:rsid w:val="00912413"/>
    <w:rsid w:val="00916148"/>
    <w:rsid w:val="00920275"/>
    <w:rsid w:val="00920675"/>
    <w:rsid w:val="009228E5"/>
    <w:rsid w:val="009236C2"/>
    <w:rsid w:val="00924F1A"/>
    <w:rsid w:val="009332E3"/>
    <w:rsid w:val="009364DF"/>
    <w:rsid w:val="00940352"/>
    <w:rsid w:val="00942888"/>
    <w:rsid w:val="00944F9B"/>
    <w:rsid w:val="00950F23"/>
    <w:rsid w:val="00951BBC"/>
    <w:rsid w:val="00951DFE"/>
    <w:rsid w:val="009539AB"/>
    <w:rsid w:val="009561F3"/>
    <w:rsid w:val="0095680F"/>
    <w:rsid w:val="00961F49"/>
    <w:rsid w:val="009624B6"/>
    <w:rsid w:val="00963463"/>
    <w:rsid w:val="00964C4E"/>
    <w:rsid w:val="00966EF3"/>
    <w:rsid w:val="00970E59"/>
    <w:rsid w:val="009717FE"/>
    <w:rsid w:val="00972BA3"/>
    <w:rsid w:val="00976768"/>
    <w:rsid w:val="00977F77"/>
    <w:rsid w:val="0098197D"/>
    <w:rsid w:val="00983134"/>
    <w:rsid w:val="009832D8"/>
    <w:rsid w:val="009930A1"/>
    <w:rsid w:val="00994590"/>
    <w:rsid w:val="0099679D"/>
    <w:rsid w:val="009A057E"/>
    <w:rsid w:val="009A2429"/>
    <w:rsid w:val="009A25C6"/>
    <w:rsid w:val="009A41E0"/>
    <w:rsid w:val="009A7CEB"/>
    <w:rsid w:val="009B0266"/>
    <w:rsid w:val="009B1358"/>
    <w:rsid w:val="009B2E2A"/>
    <w:rsid w:val="009B5148"/>
    <w:rsid w:val="009C03F2"/>
    <w:rsid w:val="009C352F"/>
    <w:rsid w:val="009C45A0"/>
    <w:rsid w:val="009C6A7F"/>
    <w:rsid w:val="009D48EA"/>
    <w:rsid w:val="009D5CFB"/>
    <w:rsid w:val="009D69A0"/>
    <w:rsid w:val="009D7B9D"/>
    <w:rsid w:val="009E1E68"/>
    <w:rsid w:val="009E7E12"/>
    <w:rsid w:val="009F010F"/>
    <w:rsid w:val="00A02EA3"/>
    <w:rsid w:val="00A030EB"/>
    <w:rsid w:val="00A11A29"/>
    <w:rsid w:val="00A12BB4"/>
    <w:rsid w:val="00A148E2"/>
    <w:rsid w:val="00A14D64"/>
    <w:rsid w:val="00A15656"/>
    <w:rsid w:val="00A30C70"/>
    <w:rsid w:val="00A31A1B"/>
    <w:rsid w:val="00A3470A"/>
    <w:rsid w:val="00A34C5A"/>
    <w:rsid w:val="00A4078D"/>
    <w:rsid w:val="00A41EF4"/>
    <w:rsid w:val="00A52AB5"/>
    <w:rsid w:val="00A557F3"/>
    <w:rsid w:val="00A55BD7"/>
    <w:rsid w:val="00A61B2D"/>
    <w:rsid w:val="00A620FE"/>
    <w:rsid w:val="00A65503"/>
    <w:rsid w:val="00A65E94"/>
    <w:rsid w:val="00A72642"/>
    <w:rsid w:val="00A73B10"/>
    <w:rsid w:val="00A764AC"/>
    <w:rsid w:val="00A7651A"/>
    <w:rsid w:val="00A82CE5"/>
    <w:rsid w:val="00A87E0D"/>
    <w:rsid w:val="00AA1A3F"/>
    <w:rsid w:val="00AA4187"/>
    <w:rsid w:val="00AA4197"/>
    <w:rsid w:val="00AA50F1"/>
    <w:rsid w:val="00AA674A"/>
    <w:rsid w:val="00AA7FC0"/>
    <w:rsid w:val="00AB00B7"/>
    <w:rsid w:val="00AB39BA"/>
    <w:rsid w:val="00AB41CA"/>
    <w:rsid w:val="00AB5F45"/>
    <w:rsid w:val="00AC02B7"/>
    <w:rsid w:val="00AC20AD"/>
    <w:rsid w:val="00AC29A3"/>
    <w:rsid w:val="00AC3765"/>
    <w:rsid w:val="00AC37BD"/>
    <w:rsid w:val="00AC3858"/>
    <w:rsid w:val="00AC62C2"/>
    <w:rsid w:val="00AC7033"/>
    <w:rsid w:val="00AD550C"/>
    <w:rsid w:val="00AD7F19"/>
    <w:rsid w:val="00AE0A7C"/>
    <w:rsid w:val="00AE10E6"/>
    <w:rsid w:val="00AE1774"/>
    <w:rsid w:val="00AE1C26"/>
    <w:rsid w:val="00AE3B56"/>
    <w:rsid w:val="00AF3183"/>
    <w:rsid w:val="00AF5A77"/>
    <w:rsid w:val="00AF5E40"/>
    <w:rsid w:val="00AF7BB2"/>
    <w:rsid w:val="00B04A10"/>
    <w:rsid w:val="00B056AD"/>
    <w:rsid w:val="00B07422"/>
    <w:rsid w:val="00B10497"/>
    <w:rsid w:val="00B14CEE"/>
    <w:rsid w:val="00B23AC0"/>
    <w:rsid w:val="00B24527"/>
    <w:rsid w:val="00B2492B"/>
    <w:rsid w:val="00B25751"/>
    <w:rsid w:val="00B276E4"/>
    <w:rsid w:val="00B3107E"/>
    <w:rsid w:val="00B314FB"/>
    <w:rsid w:val="00B33AB3"/>
    <w:rsid w:val="00B34EBA"/>
    <w:rsid w:val="00B4789F"/>
    <w:rsid w:val="00B527CD"/>
    <w:rsid w:val="00B561E5"/>
    <w:rsid w:val="00B60EB7"/>
    <w:rsid w:val="00B6181E"/>
    <w:rsid w:val="00B6482E"/>
    <w:rsid w:val="00B65ECC"/>
    <w:rsid w:val="00B66398"/>
    <w:rsid w:val="00B66DCF"/>
    <w:rsid w:val="00B67A5F"/>
    <w:rsid w:val="00B70661"/>
    <w:rsid w:val="00B72BD6"/>
    <w:rsid w:val="00B73E77"/>
    <w:rsid w:val="00B749D2"/>
    <w:rsid w:val="00B801CF"/>
    <w:rsid w:val="00B80D34"/>
    <w:rsid w:val="00B83E35"/>
    <w:rsid w:val="00B85066"/>
    <w:rsid w:val="00B86A9E"/>
    <w:rsid w:val="00B87695"/>
    <w:rsid w:val="00B97A74"/>
    <w:rsid w:val="00BA3666"/>
    <w:rsid w:val="00BA3DE7"/>
    <w:rsid w:val="00BA43F7"/>
    <w:rsid w:val="00BB1445"/>
    <w:rsid w:val="00BB623E"/>
    <w:rsid w:val="00BC0F5E"/>
    <w:rsid w:val="00BC21D4"/>
    <w:rsid w:val="00BC3B52"/>
    <w:rsid w:val="00BD0ED8"/>
    <w:rsid w:val="00BD24A1"/>
    <w:rsid w:val="00BD25C7"/>
    <w:rsid w:val="00BD30AF"/>
    <w:rsid w:val="00BE1792"/>
    <w:rsid w:val="00BE29CC"/>
    <w:rsid w:val="00BE602C"/>
    <w:rsid w:val="00BF15F9"/>
    <w:rsid w:val="00BF1D1E"/>
    <w:rsid w:val="00BF1D33"/>
    <w:rsid w:val="00BF582F"/>
    <w:rsid w:val="00BF6540"/>
    <w:rsid w:val="00BF6595"/>
    <w:rsid w:val="00BF6BF5"/>
    <w:rsid w:val="00BF7159"/>
    <w:rsid w:val="00BF7689"/>
    <w:rsid w:val="00C021ED"/>
    <w:rsid w:val="00C0397D"/>
    <w:rsid w:val="00C04483"/>
    <w:rsid w:val="00C04C5C"/>
    <w:rsid w:val="00C05EF6"/>
    <w:rsid w:val="00C1018A"/>
    <w:rsid w:val="00C12B3E"/>
    <w:rsid w:val="00C15141"/>
    <w:rsid w:val="00C15518"/>
    <w:rsid w:val="00C15887"/>
    <w:rsid w:val="00C17373"/>
    <w:rsid w:val="00C22F97"/>
    <w:rsid w:val="00C25DE7"/>
    <w:rsid w:val="00C26166"/>
    <w:rsid w:val="00C325D6"/>
    <w:rsid w:val="00C34694"/>
    <w:rsid w:val="00C37D82"/>
    <w:rsid w:val="00C4291F"/>
    <w:rsid w:val="00C43248"/>
    <w:rsid w:val="00C46CF2"/>
    <w:rsid w:val="00C515F2"/>
    <w:rsid w:val="00C52A3C"/>
    <w:rsid w:val="00C538F3"/>
    <w:rsid w:val="00C54564"/>
    <w:rsid w:val="00C5529A"/>
    <w:rsid w:val="00C55323"/>
    <w:rsid w:val="00C56737"/>
    <w:rsid w:val="00C61DA2"/>
    <w:rsid w:val="00C65296"/>
    <w:rsid w:val="00C70CD1"/>
    <w:rsid w:val="00C731E2"/>
    <w:rsid w:val="00C75DE0"/>
    <w:rsid w:val="00C80C66"/>
    <w:rsid w:val="00C85599"/>
    <w:rsid w:val="00C9087A"/>
    <w:rsid w:val="00C90B96"/>
    <w:rsid w:val="00C9569B"/>
    <w:rsid w:val="00CA00D2"/>
    <w:rsid w:val="00CA0916"/>
    <w:rsid w:val="00CB2D79"/>
    <w:rsid w:val="00CB3319"/>
    <w:rsid w:val="00CC16E8"/>
    <w:rsid w:val="00CD0455"/>
    <w:rsid w:val="00CD277B"/>
    <w:rsid w:val="00CD5F17"/>
    <w:rsid w:val="00CE459A"/>
    <w:rsid w:val="00CE7C08"/>
    <w:rsid w:val="00CF18D8"/>
    <w:rsid w:val="00CF2134"/>
    <w:rsid w:val="00CF2373"/>
    <w:rsid w:val="00D00E22"/>
    <w:rsid w:val="00D05FB0"/>
    <w:rsid w:val="00D06AD1"/>
    <w:rsid w:val="00D109E3"/>
    <w:rsid w:val="00D112DF"/>
    <w:rsid w:val="00D15E41"/>
    <w:rsid w:val="00D221D9"/>
    <w:rsid w:val="00D32386"/>
    <w:rsid w:val="00D357C0"/>
    <w:rsid w:val="00D35D80"/>
    <w:rsid w:val="00D407D7"/>
    <w:rsid w:val="00D43499"/>
    <w:rsid w:val="00D435BA"/>
    <w:rsid w:val="00D44C65"/>
    <w:rsid w:val="00D46095"/>
    <w:rsid w:val="00D50F8C"/>
    <w:rsid w:val="00D558A1"/>
    <w:rsid w:val="00D5606B"/>
    <w:rsid w:val="00D56469"/>
    <w:rsid w:val="00D5743A"/>
    <w:rsid w:val="00D576E6"/>
    <w:rsid w:val="00D57800"/>
    <w:rsid w:val="00D6436C"/>
    <w:rsid w:val="00D64CBB"/>
    <w:rsid w:val="00D72C4A"/>
    <w:rsid w:val="00D83A95"/>
    <w:rsid w:val="00D90E97"/>
    <w:rsid w:val="00D940FC"/>
    <w:rsid w:val="00D95D8F"/>
    <w:rsid w:val="00D964BE"/>
    <w:rsid w:val="00DB17CD"/>
    <w:rsid w:val="00DB34FA"/>
    <w:rsid w:val="00DB3FF7"/>
    <w:rsid w:val="00DB58D5"/>
    <w:rsid w:val="00DC195F"/>
    <w:rsid w:val="00DC1FDC"/>
    <w:rsid w:val="00DC2699"/>
    <w:rsid w:val="00DC2BE0"/>
    <w:rsid w:val="00DD61F2"/>
    <w:rsid w:val="00DE0911"/>
    <w:rsid w:val="00DE246C"/>
    <w:rsid w:val="00DE3EA7"/>
    <w:rsid w:val="00DE5098"/>
    <w:rsid w:val="00DE5281"/>
    <w:rsid w:val="00DE5511"/>
    <w:rsid w:val="00DF0F68"/>
    <w:rsid w:val="00DF6407"/>
    <w:rsid w:val="00E00374"/>
    <w:rsid w:val="00E037F0"/>
    <w:rsid w:val="00E05AF1"/>
    <w:rsid w:val="00E07091"/>
    <w:rsid w:val="00E108AD"/>
    <w:rsid w:val="00E14D27"/>
    <w:rsid w:val="00E16842"/>
    <w:rsid w:val="00E22580"/>
    <w:rsid w:val="00E249CE"/>
    <w:rsid w:val="00E304B6"/>
    <w:rsid w:val="00E340ED"/>
    <w:rsid w:val="00E3735A"/>
    <w:rsid w:val="00E40431"/>
    <w:rsid w:val="00E430F9"/>
    <w:rsid w:val="00E43159"/>
    <w:rsid w:val="00E43192"/>
    <w:rsid w:val="00E450FC"/>
    <w:rsid w:val="00E47B86"/>
    <w:rsid w:val="00E62688"/>
    <w:rsid w:val="00E62A97"/>
    <w:rsid w:val="00E62D87"/>
    <w:rsid w:val="00E704E5"/>
    <w:rsid w:val="00E739CC"/>
    <w:rsid w:val="00E73A88"/>
    <w:rsid w:val="00E73FDE"/>
    <w:rsid w:val="00E77AA3"/>
    <w:rsid w:val="00E817F6"/>
    <w:rsid w:val="00E81E72"/>
    <w:rsid w:val="00E823E6"/>
    <w:rsid w:val="00E830D0"/>
    <w:rsid w:val="00E8491E"/>
    <w:rsid w:val="00E90ECE"/>
    <w:rsid w:val="00E9508E"/>
    <w:rsid w:val="00EA5924"/>
    <w:rsid w:val="00EB33BD"/>
    <w:rsid w:val="00EB606F"/>
    <w:rsid w:val="00EB66FD"/>
    <w:rsid w:val="00EC0EFB"/>
    <w:rsid w:val="00EC1451"/>
    <w:rsid w:val="00EC2901"/>
    <w:rsid w:val="00ED6210"/>
    <w:rsid w:val="00ED7001"/>
    <w:rsid w:val="00ED7172"/>
    <w:rsid w:val="00EE0409"/>
    <w:rsid w:val="00EE3186"/>
    <w:rsid w:val="00EF4D9E"/>
    <w:rsid w:val="00EF613F"/>
    <w:rsid w:val="00F03540"/>
    <w:rsid w:val="00F06F31"/>
    <w:rsid w:val="00F13F81"/>
    <w:rsid w:val="00F14D6C"/>
    <w:rsid w:val="00F231A5"/>
    <w:rsid w:val="00F24389"/>
    <w:rsid w:val="00F27569"/>
    <w:rsid w:val="00F27C19"/>
    <w:rsid w:val="00F30278"/>
    <w:rsid w:val="00F30334"/>
    <w:rsid w:val="00F30699"/>
    <w:rsid w:val="00F30C7A"/>
    <w:rsid w:val="00F341B7"/>
    <w:rsid w:val="00F34395"/>
    <w:rsid w:val="00F350E7"/>
    <w:rsid w:val="00F37F76"/>
    <w:rsid w:val="00F419A8"/>
    <w:rsid w:val="00F61200"/>
    <w:rsid w:val="00F65192"/>
    <w:rsid w:val="00F70719"/>
    <w:rsid w:val="00F71C5A"/>
    <w:rsid w:val="00F73B5E"/>
    <w:rsid w:val="00F7581B"/>
    <w:rsid w:val="00F800C2"/>
    <w:rsid w:val="00F820FF"/>
    <w:rsid w:val="00F85121"/>
    <w:rsid w:val="00F87097"/>
    <w:rsid w:val="00F879B7"/>
    <w:rsid w:val="00F9005C"/>
    <w:rsid w:val="00F90B74"/>
    <w:rsid w:val="00F92F62"/>
    <w:rsid w:val="00F96738"/>
    <w:rsid w:val="00F978CA"/>
    <w:rsid w:val="00FA274F"/>
    <w:rsid w:val="00FA462B"/>
    <w:rsid w:val="00FA57DD"/>
    <w:rsid w:val="00FB16C6"/>
    <w:rsid w:val="00FB382A"/>
    <w:rsid w:val="00FB41CF"/>
    <w:rsid w:val="00FB5079"/>
    <w:rsid w:val="00FC1217"/>
    <w:rsid w:val="00FC24C1"/>
    <w:rsid w:val="00FC28BC"/>
    <w:rsid w:val="00FC2B99"/>
    <w:rsid w:val="00FC737F"/>
    <w:rsid w:val="00FC7613"/>
    <w:rsid w:val="00FD2505"/>
    <w:rsid w:val="00FE4C94"/>
    <w:rsid w:val="00FE572A"/>
    <w:rsid w:val="00FE7641"/>
    <w:rsid w:val="00FF37E9"/>
    <w:rsid w:val="00FF4976"/>
    <w:rsid w:val="00FF6EE2"/>
    <w:rsid w:val="00FF6F6A"/>
    <w:rsid w:val="1030F1CD"/>
    <w:rsid w:val="12906092"/>
    <w:rsid w:val="165238DB"/>
    <w:rsid w:val="1A8D66C1"/>
    <w:rsid w:val="1DBF4947"/>
    <w:rsid w:val="1F112B77"/>
    <w:rsid w:val="1FA707E2"/>
    <w:rsid w:val="2193DCA5"/>
    <w:rsid w:val="21B2C192"/>
    <w:rsid w:val="21FA3F39"/>
    <w:rsid w:val="2220DB9C"/>
    <w:rsid w:val="223BAEC2"/>
    <w:rsid w:val="266265D9"/>
    <w:rsid w:val="2876A24E"/>
    <w:rsid w:val="288EBB29"/>
    <w:rsid w:val="29425EDC"/>
    <w:rsid w:val="2DF4552F"/>
    <w:rsid w:val="38131DCB"/>
    <w:rsid w:val="38EC03D9"/>
    <w:rsid w:val="3B5C6562"/>
    <w:rsid w:val="419E1058"/>
    <w:rsid w:val="430B608E"/>
    <w:rsid w:val="4331740A"/>
    <w:rsid w:val="4421F4A2"/>
    <w:rsid w:val="45DD478D"/>
    <w:rsid w:val="45EDCC64"/>
    <w:rsid w:val="48469969"/>
    <w:rsid w:val="52AE507D"/>
    <w:rsid w:val="568CA789"/>
    <w:rsid w:val="572FDCE5"/>
    <w:rsid w:val="57BD1278"/>
    <w:rsid w:val="58378D22"/>
    <w:rsid w:val="5843E06E"/>
    <w:rsid w:val="5C7AD931"/>
    <w:rsid w:val="607F4F77"/>
    <w:rsid w:val="61404A10"/>
    <w:rsid w:val="633A1259"/>
    <w:rsid w:val="64420F80"/>
    <w:rsid w:val="67B5C888"/>
    <w:rsid w:val="68297081"/>
    <w:rsid w:val="69343AA3"/>
    <w:rsid w:val="6B454317"/>
    <w:rsid w:val="6C21F19F"/>
    <w:rsid w:val="6D7E0FF8"/>
    <w:rsid w:val="763DC7BB"/>
    <w:rsid w:val="79291D7C"/>
    <w:rsid w:val="7F0FC2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33D7A"/>
  <w15:chartTrackingRefBased/>
  <w15:docId w15:val="{FCD209B6-F257-48EA-B8F9-3CA46FD0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F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0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078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0F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F1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20F1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20F1B"/>
    <w:rPr>
      <w:rFonts w:asciiTheme="majorHAnsi" w:eastAsiaTheme="majorEastAsia" w:hAnsiTheme="majorHAnsi" w:cstheme="majorBidi"/>
      <w:color w:val="2F5496" w:themeColor="accent1" w:themeShade="BF"/>
      <w:sz w:val="32"/>
      <w:szCs w:val="32"/>
    </w:rPr>
  </w:style>
  <w:style w:type="character" w:styleId="CommentReference">
    <w:name w:val="annotation reference"/>
    <w:semiHidden/>
    <w:rsid w:val="00734FB3"/>
    <w:rPr>
      <w:sz w:val="16"/>
      <w:szCs w:val="16"/>
    </w:rPr>
  </w:style>
  <w:style w:type="paragraph" w:styleId="CommentText">
    <w:name w:val="annotation text"/>
    <w:basedOn w:val="Normal"/>
    <w:link w:val="CommentTextChar"/>
    <w:semiHidden/>
    <w:rsid w:val="00734FB3"/>
    <w:pPr>
      <w:spacing w:after="0" w:line="240" w:lineRule="auto"/>
    </w:pPr>
    <w:rPr>
      <w:rFonts w:eastAsia="Times New Roman"/>
      <w:sz w:val="20"/>
      <w:szCs w:val="20"/>
      <w:lang w:eastAsia="en-AU"/>
    </w:rPr>
  </w:style>
  <w:style w:type="character" w:customStyle="1" w:styleId="CommentTextChar">
    <w:name w:val="Comment Text Char"/>
    <w:basedOn w:val="DefaultParagraphFont"/>
    <w:link w:val="CommentText"/>
    <w:semiHidden/>
    <w:rsid w:val="00734FB3"/>
    <w:rPr>
      <w:rFonts w:eastAsia="Times New Roman"/>
      <w:sz w:val="20"/>
      <w:szCs w:val="20"/>
      <w:lang w:eastAsia="en-AU"/>
    </w:rPr>
  </w:style>
  <w:style w:type="paragraph" w:styleId="ListParagraph">
    <w:name w:val="List Paragraph"/>
    <w:basedOn w:val="Normal"/>
    <w:uiPriority w:val="34"/>
    <w:qFormat/>
    <w:rsid w:val="00875CAF"/>
    <w:pPr>
      <w:ind w:left="720"/>
      <w:contextualSpacing/>
    </w:pPr>
  </w:style>
  <w:style w:type="paragraph" w:styleId="CommentSubject">
    <w:name w:val="annotation subject"/>
    <w:basedOn w:val="CommentText"/>
    <w:next w:val="CommentText"/>
    <w:link w:val="CommentSubjectChar"/>
    <w:uiPriority w:val="99"/>
    <w:semiHidden/>
    <w:unhideWhenUsed/>
    <w:rsid w:val="00D940FC"/>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D940FC"/>
    <w:rPr>
      <w:rFonts w:eastAsia="Times New Roman"/>
      <w:b/>
      <w:bCs/>
      <w:sz w:val="20"/>
      <w:szCs w:val="20"/>
      <w:lang w:eastAsia="en-AU"/>
    </w:rPr>
  </w:style>
  <w:style w:type="character" w:customStyle="1" w:styleId="Heading3Char">
    <w:name w:val="Heading 3 Char"/>
    <w:basedOn w:val="DefaultParagraphFont"/>
    <w:link w:val="Heading3"/>
    <w:uiPriority w:val="9"/>
    <w:rsid w:val="00A4078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40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78D"/>
  </w:style>
  <w:style w:type="paragraph" w:styleId="Footer">
    <w:name w:val="footer"/>
    <w:basedOn w:val="Normal"/>
    <w:link w:val="FooterChar"/>
    <w:uiPriority w:val="99"/>
    <w:unhideWhenUsed/>
    <w:rsid w:val="00A40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78D"/>
  </w:style>
  <w:style w:type="paragraph" w:styleId="NormalWeb">
    <w:name w:val="Normal (Web)"/>
    <w:basedOn w:val="Normal"/>
    <w:uiPriority w:val="99"/>
    <w:semiHidden/>
    <w:unhideWhenUsed/>
    <w:rsid w:val="00287670"/>
    <w:pPr>
      <w:spacing w:before="100" w:beforeAutospacing="1" w:after="100" w:afterAutospacing="1" w:line="240" w:lineRule="auto"/>
    </w:pPr>
    <w:rPr>
      <w:rFonts w:eastAsia="Times New Roman"/>
      <w:lang w:eastAsia="en-AU"/>
    </w:rPr>
  </w:style>
  <w:style w:type="paragraph" w:styleId="Revision">
    <w:name w:val="Revision"/>
    <w:hidden/>
    <w:uiPriority w:val="99"/>
    <w:semiHidden/>
    <w:rsid w:val="009717FE"/>
    <w:pPr>
      <w:spacing w:after="0" w:line="240" w:lineRule="auto"/>
    </w:pPr>
  </w:style>
  <w:style w:type="paragraph" w:customStyle="1" w:styleId="Default">
    <w:name w:val="Default"/>
    <w:rsid w:val="00543EEA"/>
    <w:pPr>
      <w:autoSpaceDE w:val="0"/>
      <w:autoSpaceDN w:val="0"/>
      <w:adjustRightInd w:val="0"/>
      <w:spacing w:after="0" w:line="240" w:lineRule="auto"/>
    </w:pPr>
    <w:rPr>
      <w:rFonts w:ascii="Fira Sans Light" w:hAnsi="Fira Sans Light" w:cs="Fira Sans Light"/>
      <w:color w:val="000000"/>
    </w:rPr>
  </w:style>
  <w:style w:type="paragraph" w:customStyle="1" w:styleId="Pa4">
    <w:name w:val="Pa4"/>
    <w:basedOn w:val="Default"/>
    <w:next w:val="Default"/>
    <w:uiPriority w:val="99"/>
    <w:rsid w:val="00543EEA"/>
    <w:pPr>
      <w:spacing w:line="201" w:lineRule="atLeast"/>
    </w:pPr>
    <w:rPr>
      <w:rFonts w:cs="Times New Roman"/>
      <w:color w:val="auto"/>
    </w:rPr>
  </w:style>
  <w:style w:type="paragraph" w:styleId="FootnoteText">
    <w:name w:val="footnote text"/>
    <w:basedOn w:val="Normal"/>
    <w:link w:val="FootnoteTextChar"/>
    <w:uiPriority w:val="99"/>
    <w:semiHidden/>
    <w:unhideWhenUsed/>
    <w:rsid w:val="00950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F23"/>
    <w:rPr>
      <w:sz w:val="20"/>
      <w:szCs w:val="20"/>
    </w:rPr>
  </w:style>
  <w:style w:type="character" w:styleId="FootnoteReference">
    <w:name w:val="footnote reference"/>
    <w:basedOn w:val="DefaultParagraphFont"/>
    <w:uiPriority w:val="99"/>
    <w:semiHidden/>
    <w:unhideWhenUsed/>
    <w:rsid w:val="00950F23"/>
    <w:rPr>
      <w:vertAlign w:val="superscript"/>
    </w:rPr>
  </w:style>
  <w:style w:type="character" w:styleId="Hyperlink">
    <w:name w:val="Hyperlink"/>
    <w:basedOn w:val="DefaultParagraphFont"/>
    <w:uiPriority w:val="99"/>
    <w:unhideWhenUsed/>
    <w:rsid w:val="00811E13"/>
    <w:rPr>
      <w:color w:val="0563C1" w:themeColor="hyperlink"/>
      <w:u w:val="single"/>
    </w:rPr>
  </w:style>
  <w:style w:type="character" w:styleId="UnresolvedMention">
    <w:name w:val="Unresolved Mention"/>
    <w:basedOn w:val="DefaultParagraphFont"/>
    <w:uiPriority w:val="99"/>
    <w:semiHidden/>
    <w:unhideWhenUsed/>
    <w:rsid w:val="0081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67718">
      <w:bodyDiv w:val="1"/>
      <w:marLeft w:val="0"/>
      <w:marRight w:val="0"/>
      <w:marTop w:val="0"/>
      <w:marBottom w:val="0"/>
      <w:divBdr>
        <w:top w:val="none" w:sz="0" w:space="0" w:color="auto"/>
        <w:left w:val="none" w:sz="0" w:space="0" w:color="auto"/>
        <w:bottom w:val="none" w:sz="0" w:space="0" w:color="auto"/>
        <w:right w:val="none" w:sz="0" w:space="0" w:color="auto"/>
      </w:divBdr>
    </w:div>
    <w:div w:id="399449501">
      <w:bodyDiv w:val="1"/>
      <w:marLeft w:val="0"/>
      <w:marRight w:val="0"/>
      <w:marTop w:val="0"/>
      <w:marBottom w:val="0"/>
      <w:divBdr>
        <w:top w:val="none" w:sz="0" w:space="0" w:color="auto"/>
        <w:left w:val="none" w:sz="0" w:space="0" w:color="auto"/>
        <w:bottom w:val="none" w:sz="0" w:space="0" w:color="auto"/>
        <w:right w:val="none" w:sz="0" w:space="0" w:color="auto"/>
      </w:divBdr>
    </w:div>
    <w:div w:id="456873092">
      <w:bodyDiv w:val="1"/>
      <w:marLeft w:val="0"/>
      <w:marRight w:val="0"/>
      <w:marTop w:val="0"/>
      <w:marBottom w:val="0"/>
      <w:divBdr>
        <w:top w:val="none" w:sz="0" w:space="0" w:color="auto"/>
        <w:left w:val="none" w:sz="0" w:space="0" w:color="auto"/>
        <w:bottom w:val="none" w:sz="0" w:space="0" w:color="auto"/>
        <w:right w:val="none" w:sz="0" w:space="0" w:color="auto"/>
      </w:divBdr>
    </w:div>
    <w:div w:id="637347410">
      <w:bodyDiv w:val="1"/>
      <w:marLeft w:val="0"/>
      <w:marRight w:val="0"/>
      <w:marTop w:val="0"/>
      <w:marBottom w:val="0"/>
      <w:divBdr>
        <w:top w:val="none" w:sz="0" w:space="0" w:color="auto"/>
        <w:left w:val="none" w:sz="0" w:space="0" w:color="auto"/>
        <w:bottom w:val="none" w:sz="0" w:space="0" w:color="auto"/>
        <w:right w:val="none" w:sz="0" w:space="0" w:color="auto"/>
      </w:divBdr>
    </w:div>
    <w:div w:id="726608462">
      <w:bodyDiv w:val="1"/>
      <w:marLeft w:val="0"/>
      <w:marRight w:val="0"/>
      <w:marTop w:val="0"/>
      <w:marBottom w:val="0"/>
      <w:divBdr>
        <w:top w:val="none" w:sz="0" w:space="0" w:color="auto"/>
        <w:left w:val="none" w:sz="0" w:space="0" w:color="auto"/>
        <w:bottom w:val="none" w:sz="0" w:space="0" w:color="auto"/>
        <w:right w:val="none" w:sz="0" w:space="0" w:color="auto"/>
      </w:divBdr>
    </w:div>
    <w:div w:id="1294218268">
      <w:bodyDiv w:val="1"/>
      <w:marLeft w:val="0"/>
      <w:marRight w:val="0"/>
      <w:marTop w:val="0"/>
      <w:marBottom w:val="0"/>
      <w:divBdr>
        <w:top w:val="none" w:sz="0" w:space="0" w:color="auto"/>
        <w:left w:val="none" w:sz="0" w:space="0" w:color="auto"/>
        <w:bottom w:val="none" w:sz="0" w:space="0" w:color="auto"/>
        <w:right w:val="none" w:sz="0" w:space="0" w:color="auto"/>
      </w:divBdr>
    </w:div>
    <w:div w:id="14254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government/managing-commonwealth-resources/regulator-performance-rmg-1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8CE0743-697F-4A1F-9504-84DCD234AC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D93C53D2B880D469950CDCFF8E416F1" ma:contentTypeVersion="" ma:contentTypeDescription="PDMS Document Site Content Type" ma:contentTypeScope="" ma:versionID="34d118a86ce74ee14f2732d7e1434312">
  <xsd:schema xmlns:xsd="http://www.w3.org/2001/XMLSchema" xmlns:xs="http://www.w3.org/2001/XMLSchema" xmlns:p="http://schemas.microsoft.com/office/2006/metadata/properties" xmlns:ns2="D8CE0743-697F-4A1F-9504-84DCD234AC54" targetNamespace="http://schemas.microsoft.com/office/2006/metadata/properties" ma:root="true" ma:fieldsID="d44434bd0c154e3a503147e97a97ac01" ns2:_="">
    <xsd:import namespace="D8CE0743-697F-4A1F-9504-84DCD234AC5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743-697F-4A1F-9504-84DCD234AC5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52C17-BD05-437D-94AA-5870EFA58CBE}">
  <ds:schemaRefs>
    <ds:schemaRef ds:uri="http://schemas.openxmlformats.org/officeDocument/2006/bibliography"/>
  </ds:schemaRefs>
</ds:datastoreItem>
</file>

<file path=customXml/itemProps2.xml><?xml version="1.0" encoding="utf-8"?>
<ds:datastoreItem xmlns:ds="http://schemas.openxmlformats.org/officeDocument/2006/customXml" ds:itemID="{DBE19749-6195-42FD-A5C3-BE5D44DEA8B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D8CE0743-697F-4A1F-9504-84DCD234AC54"/>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81B5E6BB-1A58-4710-A23B-799241BFC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743-697F-4A1F-9504-84DCD234A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72521-187B-4010-9983-76FB2324F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2461</Words>
  <Characters>14353</Characters>
  <Application>Microsoft Office Word</Application>
  <DocSecurity>4</DocSecurity>
  <Lines>214</Lines>
  <Paragraphs>71</Paragraphs>
  <ScaleCrop>false</ScaleCrop>
  <HeadingPairs>
    <vt:vector size="2" baseType="variant">
      <vt:variant>
        <vt:lpstr>Title</vt:lpstr>
      </vt:variant>
      <vt:variant>
        <vt:i4>1</vt:i4>
      </vt:variant>
    </vt:vector>
  </HeadingPairs>
  <TitlesOfParts>
    <vt:vector size="1" baseType="lpstr">
      <vt:lpstr>Aged Care Quality and Safety Commission – Statement of Expectations 2024–25</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Quality and Safety Commission – Statement of Expectations 2024–25</dc:title>
  <dc:subject>Aged care</dc:subject>
  <dc:creator>Australian Government Department of Health and Aged Care</dc:creator>
  <cp:keywords/>
  <dc:description/>
  <cp:revision>2</cp:revision>
  <cp:lastPrinted>2024-08-05T03:50:00Z</cp:lastPrinted>
  <dcterms:created xsi:type="dcterms:W3CDTF">2024-09-27T04:56:00Z</dcterms:created>
  <dcterms:modified xsi:type="dcterms:W3CDTF">2024-09-27T04:56:00Z</dcterms:modified>
  <cp:category>Aged care</cp:category>
</cp:coreProperties>
</file>