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F153F" w14:textId="77777777" w:rsidR="00DE6F4A" w:rsidRDefault="00DD7DDC">
      <w:pPr>
        <w:pStyle w:val="BodyText"/>
        <w:ind w:left="4286"/>
        <w:rPr>
          <w:rFonts w:ascii="Times New Roman"/>
          <w:sz w:val="20"/>
        </w:rPr>
      </w:pPr>
      <w:r>
        <w:rPr>
          <w:rFonts w:ascii="Times New Roman"/>
          <w:noProof/>
          <w:sz w:val="20"/>
        </w:rPr>
        <w:drawing>
          <wp:inline distT="0" distB="0" distL="0" distR="0" wp14:anchorId="13FF155C" wp14:editId="15D530F1">
            <wp:extent cx="893208" cy="655320"/>
            <wp:effectExtent l="0" t="0" r="0" b="0"/>
            <wp:docPr id="2" name="Image 2" descr="Australian Government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ustralian Government crest"/>
                    <pic:cNvPicPr/>
                  </pic:nvPicPr>
                  <pic:blipFill>
                    <a:blip r:embed="rId7" cstate="print"/>
                    <a:stretch>
                      <a:fillRect/>
                    </a:stretch>
                  </pic:blipFill>
                  <pic:spPr>
                    <a:xfrm>
                      <a:off x="0" y="0"/>
                      <a:ext cx="893208" cy="655320"/>
                    </a:xfrm>
                    <a:prstGeom prst="rect">
                      <a:avLst/>
                    </a:prstGeom>
                  </pic:spPr>
                </pic:pic>
              </a:graphicData>
            </a:graphic>
          </wp:inline>
        </w:drawing>
      </w:r>
    </w:p>
    <w:p w14:paraId="13FF1540" w14:textId="77777777" w:rsidR="00DE6F4A" w:rsidRDefault="00DD7DDC">
      <w:pPr>
        <w:pStyle w:val="Title"/>
      </w:pPr>
      <w:r>
        <w:rPr>
          <w:color w:val="181818"/>
          <w:w w:val="105"/>
        </w:rPr>
        <w:t>The</w:t>
      </w:r>
      <w:r>
        <w:rPr>
          <w:color w:val="181818"/>
          <w:spacing w:val="4"/>
          <w:w w:val="105"/>
        </w:rPr>
        <w:t xml:space="preserve"> </w:t>
      </w:r>
      <w:r>
        <w:rPr>
          <w:color w:val="181818"/>
          <w:w w:val="105"/>
        </w:rPr>
        <w:t>Hon</w:t>
      </w:r>
      <w:r>
        <w:rPr>
          <w:color w:val="181818"/>
          <w:spacing w:val="9"/>
          <w:w w:val="105"/>
        </w:rPr>
        <w:t xml:space="preserve"> </w:t>
      </w:r>
      <w:r>
        <w:rPr>
          <w:color w:val="181818"/>
          <w:w w:val="105"/>
        </w:rPr>
        <w:t>Emma</w:t>
      </w:r>
      <w:r>
        <w:rPr>
          <w:color w:val="181818"/>
          <w:spacing w:val="26"/>
          <w:w w:val="105"/>
        </w:rPr>
        <w:t xml:space="preserve"> </w:t>
      </w:r>
      <w:r>
        <w:rPr>
          <w:color w:val="181818"/>
          <w:w w:val="105"/>
        </w:rPr>
        <w:t>McBride</w:t>
      </w:r>
      <w:r>
        <w:rPr>
          <w:color w:val="181818"/>
          <w:spacing w:val="10"/>
          <w:w w:val="105"/>
        </w:rPr>
        <w:t xml:space="preserve"> </w:t>
      </w:r>
      <w:r>
        <w:rPr>
          <w:color w:val="181818"/>
          <w:spacing w:val="-5"/>
          <w:w w:val="105"/>
        </w:rPr>
        <w:t>MP</w:t>
      </w:r>
    </w:p>
    <w:p w14:paraId="13FF1541" w14:textId="77777777" w:rsidR="00DE6F4A" w:rsidRDefault="00DD7DDC">
      <w:pPr>
        <w:spacing w:line="242" w:lineRule="auto"/>
        <w:ind w:left="1185" w:right="844"/>
        <w:jc w:val="center"/>
        <w:rPr>
          <w:rFonts w:ascii="Times New Roman"/>
          <w:sz w:val="26"/>
        </w:rPr>
      </w:pPr>
      <w:r>
        <w:rPr>
          <w:rFonts w:ascii="Times New Roman"/>
          <w:color w:val="181818"/>
          <w:w w:val="105"/>
          <w:sz w:val="26"/>
        </w:rPr>
        <w:t>Assistant Minister for Mental Health and Suicide Prevention Assistant Minister for Rural and Regional Health</w:t>
      </w:r>
    </w:p>
    <w:p w14:paraId="13FF1542" w14:textId="77777777" w:rsidR="00DE6F4A" w:rsidRDefault="00DE6F4A">
      <w:pPr>
        <w:pStyle w:val="BodyText"/>
        <w:spacing w:before="3"/>
        <w:rPr>
          <w:rFonts w:ascii="Times New Roman"/>
          <w:sz w:val="26"/>
        </w:rPr>
      </w:pPr>
    </w:p>
    <w:p w14:paraId="13FF1543" w14:textId="77777777" w:rsidR="00DE6F4A" w:rsidRDefault="00DD7DDC">
      <w:pPr>
        <w:pStyle w:val="BodyText"/>
        <w:spacing w:before="1"/>
        <w:ind w:right="117"/>
        <w:jc w:val="right"/>
      </w:pPr>
      <w:r>
        <w:rPr>
          <w:color w:val="181818"/>
          <w:spacing w:val="-4"/>
        </w:rPr>
        <w:t>Ref</w:t>
      </w:r>
      <w:r>
        <w:rPr>
          <w:color w:val="181818"/>
          <w:spacing w:val="5"/>
        </w:rPr>
        <w:t xml:space="preserve"> </w:t>
      </w:r>
      <w:r>
        <w:rPr>
          <w:color w:val="181818"/>
          <w:spacing w:val="-4"/>
        </w:rPr>
        <w:t>No:</w:t>
      </w:r>
      <w:r>
        <w:rPr>
          <w:color w:val="181818"/>
          <w:spacing w:val="-14"/>
        </w:rPr>
        <w:t xml:space="preserve"> </w:t>
      </w:r>
      <w:r>
        <w:rPr>
          <w:color w:val="181818"/>
          <w:spacing w:val="-4"/>
        </w:rPr>
        <w:t>MS24-000830</w:t>
      </w:r>
    </w:p>
    <w:p w14:paraId="13FF1544" w14:textId="77777777" w:rsidR="00DE6F4A" w:rsidRDefault="00DE6F4A">
      <w:pPr>
        <w:pStyle w:val="BodyText"/>
      </w:pPr>
    </w:p>
    <w:p w14:paraId="13FF1545" w14:textId="77777777" w:rsidR="00DE6F4A" w:rsidRDefault="00DE6F4A">
      <w:pPr>
        <w:pStyle w:val="BodyText"/>
        <w:spacing w:before="105"/>
      </w:pPr>
    </w:p>
    <w:p w14:paraId="13FF1546" w14:textId="77777777" w:rsidR="00DE6F4A" w:rsidRDefault="00DD7DDC">
      <w:pPr>
        <w:pStyle w:val="BodyText"/>
        <w:spacing w:before="1"/>
        <w:ind w:left="443"/>
      </w:pPr>
      <w:r>
        <w:rPr>
          <w:color w:val="181818"/>
        </w:rPr>
        <w:t>Professor</w:t>
      </w:r>
      <w:r>
        <w:rPr>
          <w:color w:val="181818"/>
          <w:spacing w:val="-15"/>
        </w:rPr>
        <w:t xml:space="preserve"> </w:t>
      </w:r>
      <w:r>
        <w:rPr>
          <w:color w:val="181818"/>
        </w:rPr>
        <w:t>Jenny</w:t>
      </w:r>
      <w:r>
        <w:rPr>
          <w:color w:val="181818"/>
          <w:spacing w:val="-15"/>
        </w:rPr>
        <w:t xml:space="preserve"> </w:t>
      </w:r>
      <w:r>
        <w:rPr>
          <w:color w:val="181818"/>
        </w:rPr>
        <w:t>May</w:t>
      </w:r>
      <w:r>
        <w:rPr>
          <w:color w:val="181818"/>
          <w:spacing w:val="-14"/>
        </w:rPr>
        <w:t xml:space="preserve"> </w:t>
      </w:r>
      <w:r>
        <w:rPr>
          <w:color w:val="181818"/>
          <w:spacing w:val="-7"/>
        </w:rPr>
        <w:t>AM</w:t>
      </w:r>
    </w:p>
    <w:p w14:paraId="13FF1547" w14:textId="1FCB78F6" w:rsidR="00DE6F4A" w:rsidRDefault="00DD7DDC">
      <w:pPr>
        <w:pStyle w:val="BodyText"/>
        <w:spacing w:before="40" w:line="283" w:lineRule="auto"/>
        <w:ind w:left="443" w:right="3530"/>
      </w:pPr>
      <w:r>
        <w:rPr>
          <w:color w:val="181818"/>
        </w:rPr>
        <w:t>National</w:t>
      </w:r>
      <w:r>
        <w:rPr>
          <w:color w:val="181818"/>
          <w:spacing w:val="-15"/>
        </w:rPr>
        <w:t xml:space="preserve"> </w:t>
      </w:r>
      <w:r>
        <w:rPr>
          <w:color w:val="181818"/>
        </w:rPr>
        <w:t>Rural</w:t>
      </w:r>
      <w:r>
        <w:rPr>
          <w:color w:val="181818"/>
          <w:spacing w:val="-15"/>
        </w:rPr>
        <w:t xml:space="preserve"> </w:t>
      </w:r>
      <w:r>
        <w:rPr>
          <w:color w:val="181818"/>
        </w:rPr>
        <w:t>Health</w:t>
      </w:r>
      <w:r>
        <w:rPr>
          <w:color w:val="181818"/>
          <w:spacing w:val="-15"/>
        </w:rPr>
        <w:t xml:space="preserve"> </w:t>
      </w:r>
      <w:r>
        <w:rPr>
          <w:color w:val="181818"/>
        </w:rPr>
        <w:t xml:space="preserve">Commissioner </w:t>
      </w:r>
      <w:hyperlink r:id="rId8">
        <w:r>
          <w:rPr>
            <w:color w:val="181818"/>
            <w:spacing w:val="-2"/>
            <w:u w:val="thick" w:color="181818"/>
          </w:rPr>
          <w:t>NRHC</w:t>
        </w:r>
        <w:r>
          <w:rPr>
            <w:color w:val="464646"/>
            <w:spacing w:val="-2"/>
            <w:u w:val="thick" w:color="181818"/>
          </w:rPr>
          <w:t>@</w:t>
        </w:r>
        <w:r>
          <w:rPr>
            <w:color w:val="181818"/>
            <w:spacing w:val="-2"/>
            <w:u w:val="thick" w:color="181818"/>
          </w:rPr>
          <w:t>health.</w:t>
        </w:r>
        <w:r>
          <w:rPr>
            <w:color w:val="464646"/>
            <w:spacing w:val="-2"/>
            <w:u w:val="thick" w:color="181818"/>
          </w:rPr>
          <w:t>g</w:t>
        </w:r>
        <w:r>
          <w:rPr>
            <w:color w:val="181818"/>
            <w:spacing w:val="-2"/>
            <w:u w:val="thick" w:color="181818"/>
          </w:rPr>
          <w:t>ov.au</w:t>
        </w:r>
      </w:hyperlink>
    </w:p>
    <w:p w14:paraId="13FF1548" w14:textId="77777777" w:rsidR="00DE6F4A" w:rsidRDefault="00DE6F4A">
      <w:pPr>
        <w:pStyle w:val="BodyText"/>
      </w:pPr>
    </w:p>
    <w:p w14:paraId="13FF1549" w14:textId="77777777" w:rsidR="00DE6F4A" w:rsidRDefault="00DE6F4A">
      <w:pPr>
        <w:pStyle w:val="BodyText"/>
        <w:spacing w:before="69"/>
      </w:pPr>
    </w:p>
    <w:p w14:paraId="13FF154A" w14:textId="77777777" w:rsidR="00DE6F4A" w:rsidRDefault="00DD7DDC">
      <w:pPr>
        <w:pStyle w:val="BodyText"/>
        <w:ind w:left="443"/>
      </w:pPr>
      <w:r>
        <w:rPr>
          <w:color w:val="181818"/>
          <w:spacing w:val="-2"/>
        </w:rPr>
        <w:t>Dear</w:t>
      </w:r>
      <w:r>
        <w:rPr>
          <w:color w:val="181818"/>
          <w:spacing w:val="-9"/>
        </w:rPr>
        <w:t xml:space="preserve"> </w:t>
      </w:r>
      <w:proofErr w:type="gramStart"/>
      <w:r>
        <w:rPr>
          <w:color w:val="181818"/>
          <w:spacing w:val="-2"/>
        </w:rPr>
        <w:t>Professor</w:t>
      </w:r>
      <w:proofErr w:type="gramEnd"/>
      <w:r>
        <w:rPr>
          <w:color w:val="181818"/>
          <w:spacing w:val="-9"/>
        </w:rPr>
        <w:t xml:space="preserve"> </w:t>
      </w:r>
      <w:r>
        <w:rPr>
          <w:color w:val="181818"/>
          <w:spacing w:val="-5"/>
        </w:rPr>
        <w:t>May</w:t>
      </w:r>
    </w:p>
    <w:p w14:paraId="13FF154B" w14:textId="77777777" w:rsidR="00DE6F4A" w:rsidRDefault="00DE6F4A">
      <w:pPr>
        <w:pStyle w:val="BodyText"/>
        <w:spacing w:before="85"/>
      </w:pPr>
    </w:p>
    <w:p w14:paraId="13FF154C" w14:textId="77777777" w:rsidR="00DE6F4A" w:rsidRDefault="00DD7DDC">
      <w:pPr>
        <w:pStyle w:val="BodyText"/>
        <w:ind w:left="435"/>
      </w:pPr>
      <w:r>
        <w:rPr>
          <w:color w:val="181818"/>
        </w:rPr>
        <w:t>Congratulations</w:t>
      </w:r>
      <w:r>
        <w:rPr>
          <w:color w:val="181818"/>
          <w:spacing w:val="-16"/>
        </w:rPr>
        <w:t xml:space="preserve"> </w:t>
      </w:r>
      <w:r>
        <w:rPr>
          <w:color w:val="181818"/>
        </w:rPr>
        <w:t>on</w:t>
      </w:r>
      <w:r>
        <w:rPr>
          <w:color w:val="181818"/>
          <w:spacing w:val="-2"/>
        </w:rPr>
        <w:t xml:space="preserve"> </w:t>
      </w:r>
      <w:r>
        <w:rPr>
          <w:color w:val="181818"/>
        </w:rPr>
        <w:t>your</w:t>
      </w:r>
      <w:r>
        <w:rPr>
          <w:color w:val="181818"/>
          <w:spacing w:val="5"/>
        </w:rPr>
        <w:t xml:space="preserve"> </w:t>
      </w:r>
      <w:r>
        <w:rPr>
          <w:color w:val="181818"/>
        </w:rPr>
        <w:t>appointment</w:t>
      </w:r>
      <w:r>
        <w:rPr>
          <w:color w:val="181818"/>
          <w:spacing w:val="19"/>
        </w:rPr>
        <w:t xml:space="preserve"> </w:t>
      </w:r>
      <w:r>
        <w:rPr>
          <w:color w:val="181818"/>
        </w:rPr>
        <w:t>as</w:t>
      </w:r>
      <w:r>
        <w:rPr>
          <w:color w:val="181818"/>
          <w:spacing w:val="-12"/>
        </w:rPr>
        <w:t xml:space="preserve"> </w:t>
      </w:r>
      <w:r>
        <w:rPr>
          <w:color w:val="181818"/>
        </w:rPr>
        <w:t>the</w:t>
      </w:r>
      <w:r>
        <w:rPr>
          <w:color w:val="181818"/>
          <w:spacing w:val="-2"/>
        </w:rPr>
        <w:t xml:space="preserve"> </w:t>
      </w:r>
      <w:r>
        <w:rPr>
          <w:color w:val="181818"/>
        </w:rPr>
        <w:t>National</w:t>
      </w:r>
      <w:r>
        <w:rPr>
          <w:color w:val="181818"/>
          <w:spacing w:val="1"/>
        </w:rPr>
        <w:t xml:space="preserve"> </w:t>
      </w:r>
      <w:r>
        <w:rPr>
          <w:color w:val="181818"/>
        </w:rPr>
        <w:t>Rural</w:t>
      </w:r>
      <w:r>
        <w:rPr>
          <w:color w:val="181818"/>
          <w:spacing w:val="3"/>
        </w:rPr>
        <w:t xml:space="preserve"> </w:t>
      </w:r>
      <w:r>
        <w:rPr>
          <w:color w:val="181818"/>
        </w:rPr>
        <w:t>Health</w:t>
      </w:r>
      <w:r>
        <w:rPr>
          <w:color w:val="181818"/>
          <w:spacing w:val="-1"/>
        </w:rPr>
        <w:t xml:space="preserve"> </w:t>
      </w:r>
      <w:r>
        <w:rPr>
          <w:color w:val="181818"/>
        </w:rPr>
        <w:t>Commissioner</w:t>
      </w:r>
      <w:r>
        <w:rPr>
          <w:color w:val="181818"/>
          <w:spacing w:val="25"/>
        </w:rPr>
        <w:t xml:space="preserve"> </w:t>
      </w:r>
      <w:r>
        <w:rPr>
          <w:color w:val="181818"/>
          <w:spacing w:val="-2"/>
        </w:rPr>
        <w:t>(NRHC).</w:t>
      </w:r>
    </w:p>
    <w:p w14:paraId="13FF154D" w14:textId="2A3D3241" w:rsidR="00DE6F4A" w:rsidRDefault="00DD7DDC">
      <w:pPr>
        <w:pStyle w:val="BodyText"/>
        <w:spacing w:before="41" w:line="273" w:lineRule="auto"/>
        <w:ind w:left="437" w:right="143" w:hanging="3"/>
      </w:pPr>
      <w:r>
        <w:rPr>
          <w:color w:val="181818"/>
        </w:rPr>
        <w:t>I am</w:t>
      </w:r>
      <w:r>
        <w:rPr>
          <w:color w:val="181818"/>
          <w:spacing w:val="-2"/>
        </w:rPr>
        <w:t xml:space="preserve"> </w:t>
      </w:r>
      <w:r>
        <w:rPr>
          <w:color w:val="181818"/>
        </w:rPr>
        <w:t>pleased</w:t>
      </w:r>
      <w:r>
        <w:rPr>
          <w:color w:val="181818"/>
          <w:spacing w:val="-2"/>
        </w:rPr>
        <w:t xml:space="preserve"> </w:t>
      </w:r>
      <w:r>
        <w:rPr>
          <w:color w:val="181818"/>
        </w:rPr>
        <w:t>to</w:t>
      </w:r>
      <w:r>
        <w:rPr>
          <w:color w:val="181818"/>
          <w:spacing w:val="21"/>
        </w:rPr>
        <w:t xml:space="preserve"> </w:t>
      </w:r>
      <w:r>
        <w:rPr>
          <w:color w:val="181818"/>
        </w:rPr>
        <w:t>provide</w:t>
      </w:r>
      <w:r>
        <w:rPr>
          <w:color w:val="181818"/>
          <w:spacing w:val="-3"/>
        </w:rPr>
        <w:t xml:space="preserve"> </w:t>
      </w:r>
      <w:r>
        <w:rPr>
          <w:color w:val="181818"/>
        </w:rPr>
        <w:t>you with</w:t>
      </w:r>
      <w:r>
        <w:rPr>
          <w:color w:val="181818"/>
          <w:spacing w:val="-7"/>
        </w:rPr>
        <w:t xml:space="preserve"> </w:t>
      </w:r>
      <w:r>
        <w:rPr>
          <w:color w:val="181818"/>
        </w:rPr>
        <w:t>the</w:t>
      </w:r>
      <w:r>
        <w:rPr>
          <w:color w:val="181818"/>
          <w:spacing w:val="-14"/>
        </w:rPr>
        <w:t xml:space="preserve"> </w:t>
      </w:r>
      <w:r>
        <w:rPr>
          <w:color w:val="181818"/>
        </w:rPr>
        <w:t>Statement of</w:t>
      </w:r>
      <w:r>
        <w:rPr>
          <w:color w:val="181818"/>
          <w:spacing w:val="-10"/>
        </w:rPr>
        <w:t xml:space="preserve"> </w:t>
      </w:r>
      <w:r>
        <w:rPr>
          <w:color w:val="181818"/>
        </w:rPr>
        <w:t>Expectations</w:t>
      </w:r>
      <w:r w:rsidR="00750201">
        <w:rPr>
          <w:color w:val="181818"/>
        </w:rPr>
        <w:t xml:space="preserve"> </w:t>
      </w:r>
      <w:r>
        <w:rPr>
          <w:color w:val="181818"/>
        </w:rPr>
        <w:t>(SOE)</w:t>
      </w:r>
      <w:r>
        <w:rPr>
          <w:color w:val="181818"/>
          <w:spacing w:val="-8"/>
        </w:rPr>
        <w:t xml:space="preserve"> </w:t>
      </w:r>
      <w:r>
        <w:rPr>
          <w:color w:val="181818"/>
        </w:rPr>
        <w:t>for</w:t>
      </w:r>
      <w:r>
        <w:rPr>
          <w:color w:val="181818"/>
          <w:spacing w:val="37"/>
        </w:rPr>
        <w:t xml:space="preserve"> </w:t>
      </w:r>
      <w:r>
        <w:rPr>
          <w:color w:val="181818"/>
        </w:rPr>
        <w:t>your appointment (2</w:t>
      </w:r>
      <w:r>
        <w:rPr>
          <w:color w:val="181818"/>
          <w:spacing w:val="-6"/>
        </w:rPr>
        <w:t xml:space="preserve"> </w:t>
      </w:r>
      <w:r>
        <w:rPr>
          <w:color w:val="181818"/>
        </w:rPr>
        <w:t>September</w:t>
      </w:r>
      <w:r>
        <w:rPr>
          <w:color w:val="181818"/>
          <w:spacing w:val="40"/>
        </w:rPr>
        <w:t xml:space="preserve"> </w:t>
      </w:r>
      <w:r>
        <w:rPr>
          <w:color w:val="181818"/>
        </w:rPr>
        <w:t>2024</w:t>
      </w:r>
      <w:r>
        <w:rPr>
          <w:color w:val="181818"/>
          <w:spacing w:val="-2"/>
        </w:rPr>
        <w:t xml:space="preserve"> </w:t>
      </w:r>
      <w:r>
        <w:rPr>
          <w:color w:val="181818"/>
        </w:rPr>
        <w:t>to</w:t>
      </w:r>
      <w:r>
        <w:rPr>
          <w:color w:val="181818"/>
          <w:spacing w:val="40"/>
        </w:rPr>
        <w:t xml:space="preserve"> </w:t>
      </w:r>
      <w:r>
        <w:rPr>
          <w:color w:val="181818"/>
        </w:rPr>
        <w:t>30</w:t>
      </w:r>
      <w:r>
        <w:rPr>
          <w:color w:val="181818"/>
          <w:spacing w:val="-18"/>
        </w:rPr>
        <w:t xml:space="preserve"> </w:t>
      </w:r>
      <w:r>
        <w:rPr>
          <w:color w:val="181818"/>
        </w:rPr>
        <w:t>June 2026).</w:t>
      </w:r>
    </w:p>
    <w:p w14:paraId="13FF154E" w14:textId="77777777" w:rsidR="00DE6F4A" w:rsidRDefault="00DE6F4A">
      <w:pPr>
        <w:pStyle w:val="BodyText"/>
        <w:spacing w:before="44"/>
      </w:pPr>
    </w:p>
    <w:p w14:paraId="13FF154F" w14:textId="77777777" w:rsidR="00DE6F4A" w:rsidRDefault="00DD7DDC">
      <w:pPr>
        <w:pStyle w:val="BodyText"/>
        <w:spacing w:line="278" w:lineRule="auto"/>
        <w:ind w:left="426" w:right="143" w:firstLine="12"/>
      </w:pPr>
      <w:r>
        <w:rPr>
          <w:color w:val="181818"/>
        </w:rPr>
        <w:t>Making</w:t>
      </w:r>
      <w:r>
        <w:rPr>
          <w:color w:val="181818"/>
          <w:spacing w:val="-7"/>
        </w:rPr>
        <w:t xml:space="preserve"> </w:t>
      </w:r>
      <w:r>
        <w:rPr>
          <w:color w:val="181818"/>
        </w:rPr>
        <w:t>sure</w:t>
      </w:r>
      <w:r>
        <w:rPr>
          <w:color w:val="181818"/>
          <w:spacing w:val="-2"/>
        </w:rPr>
        <w:t xml:space="preserve"> </w:t>
      </w:r>
      <w:r>
        <w:rPr>
          <w:color w:val="181818"/>
        </w:rPr>
        <w:t>all</w:t>
      </w:r>
      <w:r>
        <w:rPr>
          <w:color w:val="181818"/>
          <w:spacing w:val="-11"/>
        </w:rPr>
        <w:t xml:space="preserve"> </w:t>
      </w:r>
      <w:r>
        <w:rPr>
          <w:color w:val="181818"/>
        </w:rPr>
        <w:t>Australians have</w:t>
      </w:r>
      <w:r>
        <w:rPr>
          <w:color w:val="181818"/>
          <w:spacing w:val="-4"/>
        </w:rPr>
        <w:t xml:space="preserve"> </w:t>
      </w:r>
      <w:r>
        <w:rPr>
          <w:color w:val="181818"/>
        </w:rPr>
        <w:t>access</w:t>
      </w:r>
      <w:r>
        <w:rPr>
          <w:color w:val="181818"/>
          <w:spacing w:val="-8"/>
        </w:rPr>
        <w:t xml:space="preserve"> </w:t>
      </w:r>
      <w:r>
        <w:rPr>
          <w:color w:val="181818"/>
        </w:rPr>
        <w:t>to</w:t>
      </w:r>
      <w:r>
        <w:rPr>
          <w:color w:val="181818"/>
          <w:spacing w:val="40"/>
        </w:rPr>
        <w:t xml:space="preserve"> </w:t>
      </w:r>
      <w:r>
        <w:rPr>
          <w:color w:val="181818"/>
        </w:rPr>
        <w:t>quality,</w:t>
      </w:r>
      <w:r>
        <w:rPr>
          <w:color w:val="181818"/>
          <w:spacing w:val="-3"/>
        </w:rPr>
        <w:t xml:space="preserve"> </w:t>
      </w:r>
      <w:r>
        <w:rPr>
          <w:color w:val="181818"/>
        </w:rPr>
        <w:t>affordable and</w:t>
      </w:r>
      <w:r>
        <w:rPr>
          <w:color w:val="181818"/>
          <w:spacing w:val="-6"/>
        </w:rPr>
        <w:t xml:space="preserve"> </w:t>
      </w:r>
      <w:r>
        <w:rPr>
          <w:color w:val="181818"/>
        </w:rPr>
        <w:t>safe</w:t>
      </w:r>
      <w:r>
        <w:rPr>
          <w:color w:val="181818"/>
          <w:spacing w:val="-3"/>
        </w:rPr>
        <w:t xml:space="preserve"> </w:t>
      </w:r>
      <w:r>
        <w:rPr>
          <w:color w:val="181818"/>
        </w:rPr>
        <w:t>health care</w:t>
      </w:r>
      <w:r>
        <w:rPr>
          <w:color w:val="181818"/>
          <w:spacing w:val="-8"/>
        </w:rPr>
        <w:t xml:space="preserve"> </w:t>
      </w:r>
      <w:r>
        <w:rPr>
          <w:color w:val="181818"/>
        </w:rPr>
        <w:t>is</w:t>
      </w:r>
      <w:r>
        <w:rPr>
          <w:color w:val="181818"/>
          <w:spacing w:val="-7"/>
        </w:rPr>
        <w:t xml:space="preserve"> </w:t>
      </w:r>
      <w:r>
        <w:rPr>
          <w:color w:val="181818"/>
        </w:rPr>
        <w:t>a</w:t>
      </w:r>
      <w:r>
        <w:rPr>
          <w:color w:val="181818"/>
          <w:spacing w:val="-4"/>
        </w:rPr>
        <w:t xml:space="preserve"> </w:t>
      </w:r>
      <w:r>
        <w:rPr>
          <w:color w:val="181818"/>
        </w:rPr>
        <w:t>key priority of the Australian Government. The Government recognises the unique challenges facing</w:t>
      </w:r>
      <w:r>
        <w:rPr>
          <w:color w:val="181818"/>
          <w:spacing w:val="-9"/>
        </w:rPr>
        <w:t xml:space="preserve"> </w:t>
      </w:r>
      <w:r>
        <w:rPr>
          <w:color w:val="181818"/>
        </w:rPr>
        <w:t>people living</w:t>
      </w:r>
      <w:r>
        <w:rPr>
          <w:color w:val="181818"/>
          <w:spacing w:val="-7"/>
        </w:rPr>
        <w:t xml:space="preserve"> </w:t>
      </w:r>
      <w:r>
        <w:rPr>
          <w:color w:val="181818"/>
        </w:rPr>
        <w:t>in</w:t>
      </w:r>
      <w:r>
        <w:rPr>
          <w:color w:val="181818"/>
          <w:spacing w:val="-3"/>
        </w:rPr>
        <w:t xml:space="preserve"> </w:t>
      </w:r>
      <w:r>
        <w:rPr>
          <w:color w:val="181818"/>
        </w:rPr>
        <w:t>regional, rural, remote and</w:t>
      </w:r>
      <w:r>
        <w:rPr>
          <w:color w:val="181818"/>
          <w:spacing w:val="-1"/>
        </w:rPr>
        <w:t xml:space="preserve"> </w:t>
      </w:r>
      <w:r>
        <w:rPr>
          <w:color w:val="181818"/>
        </w:rPr>
        <w:t>very remote areas accessing healthcare. The Government is committed to Strengthening Medicare and rolling</w:t>
      </w:r>
      <w:r>
        <w:rPr>
          <w:color w:val="181818"/>
          <w:spacing w:val="-3"/>
        </w:rPr>
        <w:t xml:space="preserve"> </w:t>
      </w:r>
      <w:r>
        <w:rPr>
          <w:color w:val="181818"/>
        </w:rPr>
        <w:t>out important health reforms to</w:t>
      </w:r>
      <w:r>
        <w:rPr>
          <w:color w:val="181818"/>
          <w:spacing w:val="38"/>
        </w:rPr>
        <w:t xml:space="preserve"> </w:t>
      </w:r>
      <w:r>
        <w:rPr>
          <w:color w:val="181818"/>
        </w:rPr>
        <w:t>respond to</w:t>
      </w:r>
      <w:r>
        <w:rPr>
          <w:color w:val="181818"/>
          <w:spacing w:val="40"/>
        </w:rPr>
        <w:t xml:space="preserve"> </w:t>
      </w:r>
      <w:r>
        <w:rPr>
          <w:color w:val="181818"/>
        </w:rPr>
        <w:t>the needs of</w:t>
      </w:r>
      <w:r>
        <w:rPr>
          <w:color w:val="181818"/>
          <w:spacing w:val="38"/>
        </w:rPr>
        <w:t xml:space="preserve"> </w:t>
      </w:r>
      <w:r>
        <w:rPr>
          <w:color w:val="181818"/>
        </w:rPr>
        <w:t>people living</w:t>
      </w:r>
      <w:r>
        <w:rPr>
          <w:color w:val="181818"/>
          <w:spacing w:val="-3"/>
        </w:rPr>
        <w:t xml:space="preserve"> </w:t>
      </w:r>
      <w:r>
        <w:rPr>
          <w:color w:val="181818"/>
        </w:rPr>
        <w:t>outside of our cities.</w:t>
      </w:r>
    </w:p>
    <w:p w14:paraId="13FF1550" w14:textId="77777777" w:rsidR="00DE6F4A" w:rsidRDefault="00DE6F4A">
      <w:pPr>
        <w:pStyle w:val="BodyText"/>
        <w:spacing w:before="39"/>
      </w:pPr>
    </w:p>
    <w:p w14:paraId="13FF1551" w14:textId="77777777" w:rsidR="00DE6F4A" w:rsidRDefault="00DD7DDC">
      <w:pPr>
        <w:pStyle w:val="BodyText"/>
        <w:spacing w:line="278" w:lineRule="auto"/>
        <w:ind w:left="428" w:right="143" w:firstLine="2"/>
      </w:pPr>
      <w:r>
        <w:rPr>
          <w:color w:val="181818"/>
        </w:rPr>
        <w:t>Your appointment</w:t>
      </w:r>
      <w:r>
        <w:rPr>
          <w:color w:val="181818"/>
          <w:spacing w:val="24"/>
        </w:rPr>
        <w:t xml:space="preserve"> </w:t>
      </w:r>
      <w:r>
        <w:rPr>
          <w:color w:val="181818"/>
        </w:rPr>
        <w:t>is</w:t>
      </w:r>
      <w:r>
        <w:rPr>
          <w:color w:val="181818"/>
          <w:spacing w:val="-11"/>
        </w:rPr>
        <w:t xml:space="preserve"> </w:t>
      </w:r>
      <w:r>
        <w:rPr>
          <w:color w:val="181818"/>
        </w:rPr>
        <w:t>vital</w:t>
      </w:r>
      <w:r>
        <w:rPr>
          <w:color w:val="181818"/>
          <w:spacing w:val="-9"/>
        </w:rPr>
        <w:t xml:space="preserve"> </w:t>
      </w:r>
      <w:r>
        <w:rPr>
          <w:color w:val="181818"/>
        </w:rPr>
        <w:t>to ensure the</w:t>
      </w:r>
      <w:r>
        <w:rPr>
          <w:color w:val="181818"/>
          <w:spacing w:val="-3"/>
        </w:rPr>
        <w:t xml:space="preserve"> </w:t>
      </w:r>
      <w:r>
        <w:rPr>
          <w:color w:val="181818"/>
        </w:rPr>
        <w:t>voices of</w:t>
      </w:r>
      <w:r>
        <w:rPr>
          <w:color w:val="181818"/>
          <w:spacing w:val="24"/>
        </w:rPr>
        <w:t xml:space="preserve"> </w:t>
      </w:r>
      <w:r>
        <w:rPr>
          <w:color w:val="181818"/>
        </w:rPr>
        <w:t>rural</w:t>
      </w:r>
      <w:r>
        <w:rPr>
          <w:color w:val="181818"/>
          <w:spacing w:val="-6"/>
        </w:rPr>
        <w:t xml:space="preserve"> </w:t>
      </w:r>
      <w:r>
        <w:rPr>
          <w:color w:val="181818"/>
        </w:rPr>
        <w:t>and</w:t>
      </w:r>
      <w:r>
        <w:rPr>
          <w:color w:val="181818"/>
          <w:spacing w:val="-2"/>
        </w:rPr>
        <w:t xml:space="preserve"> </w:t>
      </w:r>
      <w:r>
        <w:rPr>
          <w:color w:val="181818"/>
        </w:rPr>
        <w:t>remote Australians are</w:t>
      </w:r>
      <w:r>
        <w:rPr>
          <w:color w:val="181818"/>
          <w:spacing w:val="-6"/>
        </w:rPr>
        <w:t xml:space="preserve"> </w:t>
      </w:r>
      <w:r>
        <w:rPr>
          <w:color w:val="181818"/>
        </w:rPr>
        <w:t>heard and listened to.</w:t>
      </w:r>
      <w:r>
        <w:rPr>
          <w:color w:val="181818"/>
          <w:spacing w:val="29"/>
        </w:rPr>
        <w:t xml:space="preserve"> </w:t>
      </w:r>
      <w:r>
        <w:rPr>
          <w:color w:val="181818"/>
        </w:rPr>
        <w:t>The NRHC provides important</w:t>
      </w:r>
      <w:r>
        <w:rPr>
          <w:color w:val="181818"/>
          <w:spacing w:val="26"/>
        </w:rPr>
        <w:t xml:space="preserve"> </w:t>
      </w:r>
      <w:r>
        <w:rPr>
          <w:color w:val="181818"/>
        </w:rPr>
        <w:t>health policy advice and advocates for reforms that support better access to</w:t>
      </w:r>
      <w:r>
        <w:rPr>
          <w:color w:val="181818"/>
          <w:spacing w:val="40"/>
        </w:rPr>
        <w:t xml:space="preserve"> </w:t>
      </w:r>
      <w:r>
        <w:rPr>
          <w:color w:val="181818"/>
        </w:rPr>
        <w:t>safe, quality and affordable health care in</w:t>
      </w:r>
      <w:r>
        <w:rPr>
          <w:color w:val="181818"/>
          <w:spacing w:val="-6"/>
        </w:rPr>
        <w:t xml:space="preserve"> </w:t>
      </w:r>
      <w:r>
        <w:rPr>
          <w:color w:val="181818"/>
        </w:rPr>
        <w:t>rural,</w:t>
      </w:r>
      <w:r>
        <w:rPr>
          <w:color w:val="181818"/>
          <w:spacing w:val="-2"/>
        </w:rPr>
        <w:t xml:space="preserve"> </w:t>
      </w:r>
      <w:r>
        <w:rPr>
          <w:color w:val="181818"/>
        </w:rPr>
        <w:t>regional and remote Australia.</w:t>
      </w:r>
    </w:p>
    <w:p w14:paraId="13FF1552" w14:textId="77777777" w:rsidR="00DE6F4A" w:rsidRDefault="00DE6F4A">
      <w:pPr>
        <w:pStyle w:val="BodyText"/>
        <w:spacing w:before="39"/>
      </w:pPr>
    </w:p>
    <w:p w14:paraId="13FF1553" w14:textId="086BB501" w:rsidR="00DE6F4A" w:rsidRDefault="00DD7DDC">
      <w:pPr>
        <w:pStyle w:val="BodyText"/>
        <w:spacing w:line="276" w:lineRule="auto"/>
        <w:ind w:left="428" w:right="143" w:hanging="2"/>
        <w:rPr>
          <w:i/>
          <w:sz w:val="21"/>
        </w:rPr>
      </w:pPr>
      <w:r>
        <w:rPr>
          <w:color w:val="181818"/>
        </w:rPr>
        <w:t>The</w:t>
      </w:r>
      <w:r>
        <w:rPr>
          <w:color w:val="181818"/>
          <w:spacing w:val="-9"/>
        </w:rPr>
        <w:t xml:space="preserve"> </w:t>
      </w:r>
      <w:r>
        <w:rPr>
          <w:color w:val="181818"/>
        </w:rPr>
        <w:t>SOE,</w:t>
      </w:r>
      <w:r>
        <w:rPr>
          <w:color w:val="181818"/>
          <w:spacing w:val="-2"/>
        </w:rPr>
        <w:t xml:space="preserve"> </w:t>
      </w:r>
      <w:r>
        <w:rPr>
          <w:color w:val="181818"/>
        </w:rPr>
        <w:t>and</w:t>
      </w:r>
      <w:r>
        <w:rPr>
          <w:color w:val="181818"/>
          <w:spacing w:val="-7"/>
        </w:rPr>
        <w:t xml:space="preserve"> </w:t>
      </w:r>
      <w:r>
        <w:rPr>
          <w:color w:val="181818"/>
        </w:rPr>
        <w:t>your responding</w:t>
      </w:r>
      <w:r>
        <w:rPr>
          <w:color w:val="181818"/>
          <w:spacing w:val="-8"/>
        </w:rPr>
        <w:t xml:space="preserve"> </w:t>
      </w:r>
      <w:r>
        <w:rPr>
          <w:color w:val="181818"/>
        </w:rPr>
        <w:t>Statement of</w:t>
      </w:r>
      <w:r>
        <w:rPr>
          <w:color w:val="181818"/>
          <w:spacing w:val="-8"/>
        </w:rPr>
        <w:t xml:space="preserve"> </w:t>
      </w:r>
      <w:r>
        <w:rPr>
          <w:color w:val="181818"/>
        </w:rPr>
        <w:t>Intent,</w:t>
      </w:r>
      <w:r>
        <w:rPr>
          <w:color w:val="181818"/>
          <w:spacing w:val="-9"/>
        </w:rPr>
        <w:t xml:space="preserve"> </w:t>
      </w:r>
      <w:r>
        <w:rPr>
          <w:color w:val="181818"/>
        </w:rPr>
        <w:t>are</w:t>
      </w:r>
      <w:r>
        <w:rPr>
          <w:color w:val="181818"/>
          <w:spacing w:val="-7"/>
        </w:rPr>
        <w:t xml:space="preserve"> </w:t>
      </w:r>
      <w:r>
        <w:rPr>
          <w:color w:val="181818"/>
        </w:rPr>
        <w:t>key</w:t>
      </w:r>
      <w:r>
        <w:rPr>
          <w:color w:val="181818"/>
          <w:spacing w:val="-2"/>
        </w:rPr>
        <w:t xml:space="preserve"> </w:t>
      </w:r>
      <w:r>
        <w:rPr>
          <w:color w:val="181818"/>
        </w:rPr>
        <w:t>elements of</w:t>
      </w:r>
      <w:r>
        <w:rPr>
          <w:color w:val="181818"/>
          <w:spacing w:val="-4"/>
        </w:rPr>
        <w:t xml:space="preserve"> </w:t>
      </w:r>
      <w:r>
        <w:rPr>
          <w:color w:val="181818"/>
        </w:rPr>
        <w:t>sound</w:t>
      </w:r>
      <w:r>
        <w:rPr>
          <w:color w:val="181818"/>
          <w:spacing w:val="-7"/>
        </w:rPr>
        <w:t xml:space="preserve"> </w:t>
      </w:r>
      <w:r>
        <w:rPr>
          <w:color w:val="181818"/>
        </w:rPr>
        <w:t>governance for the office ofthe NRHC. Your Statement</w:t>
      </w:r>
      <w:r>
        <w:rPr>
          <w:color w:val="181818"/>
          <w:spacing w:val="33"/>
        </w:rPr>
        <w:t xml:space="preserve"> </w:t>
      </w:r>
      <w:r>
        <w:rPr>
          <w:color w:val="181818"/>
        </w:rPr>
        <w:t>of</w:t>
      </w:r>
      <w:r>
        <w:rPr>
          <w:color w:val="181818"/>
          <w:spacing w:val="-7"/>
        </w:rPr>
        <w:t xml:space="preserve"> </w:t>
      </w:r>
      <w:r>
        <w:rPr>
          <w:color w:val="181818"/>
        </w:rPr>
        <w:t>Intent should outline the activities needed to meet</w:t>
      </w:r>
      <w:r>
        <w:rPr>
          <w:color w:val="181818"/>
          <w:spacing w:val="-5"/>
        </w:rPr>
        <w:t xml:space="preserve"> </w:t>
      </w:r>
      <w:r>
        <w:rPr>
          <w:color w:val="181818"/>
        </w:rPr>
        <w:t>the</w:t>
      </w:r>
      <w:r>
        <w:rPr>
          <w:color w:val="181818"/>
          <w:spacing w:val="-11"/>
        </w:rPr>
        <w:t xml:space="preserve"> </w:t>
      </w:r>
      <w:r>
        <w:rPr>
          <w:color w:val="181818"/>
        </w:rPr>
        <w:t>SOE</w:t>
      </w:r>
      <w:r>
        <w:rPr>
          <w:color w:val="181818"/>
          <w:spacing w:val="-1"/>
        </w:rPr>
        <w:t xml:space="preserve"> </w:t>
      </w:r>
      <w:r>
        <w:rPr>
          <w:color w:val="181818"/>
        </w:rPr>
        <w:t>and</w:t>
      </w:r>
      <w:r>
        <w:rPr>
          <w:color w:val="181818"/>
          <w:spacing w:val="-7"/>
        </w:rPr>
        <w:t xml:space="preserve"> </w:t>
      </w:r>
      <w:r>
        <w:rPr>
          <w:color w:val="181818"/>
        </w:rPr>
        <w:t>how</w:t>
      </w:r>
      <w:r>
        <w:rPr>
          <w:color w:val="181818"/>
          <w:spacing w:val="-6"/>
        </w:rPr>
        <w:t xml:space="preserve"> </w:t>
      </w:r>
      <w:r>
        <w:rPr>
          <w:color w:val="181818"/>
        </w:rPr>
        <w:t>you</w:t>
      </w:r>
      <w:r>
        <w:rPr>
          <w:color w:val="181818"/>
          <w:spacing w:val="-2"/>
        </w:rPr>
        <w:t xml:space="preserve"> </w:t>
      </w:r>
      <w:r>
        <w:rPr>
          <w:color w:val="181818"/>
        </w:rPr>
        <w:t>plan</w:t>
      </w:r>
      <w:r>
        <w:rPr>
          <w:color w:val="181818"/>
          <w:spacing w:val="-3"/>
        </w:rPr>
        <w:t xml:space="preserve"> </w:t>
      </w:r>
      <w:r>
        <w:rPr>
          <w:color w:val="181818"/>
        </w:rPr>
        <w:t>to</w:t>
      </w:r>
      <w:r>
        <w:rPr>
          <w:color w:val="181818"/>
          <w:spacing w:val="26"/>
        </w:rPr>
        <w:t xml:space="preserve"> </w:t>
      </w:r>
      <w:r>
        <w:rPr>
          <w:color w:val="181818"/>
        </w:rPr>
        <w:t>deliver them.</w:t>
      </w:r>
      <w:r>
        <w:rPr>
          <w:color w:val="181818"/>
          <w:spacing w:val="-11"/>
        </w:rPr>
        <w:t xml:space="preserve"> </w:t>
      </w:r>
      <w:r>
        <w:rPr>
          <w:color w:val="181818"/>
        </w:rPr>
        <w:t>The</w:t>
      </w:r>
      <w:r>
        <w:rPr>
          <w:color w:val="181818"/>
          <w:spacing w:val="-9"/>
        </w:rPr>
        <w:t xml:space="preserve"> </w:t>
      </w:r>
      <w:r>
        <w:rPr>
          <w:color w:val="181818"/>
        </w:rPr>
        <w:t>SOE</w:t>
      </w:r>
      <w:r>
        <w:rPr>
          <w:color w:val="181818"/>
          <w:spacing w:val="-1"/>
        </w:rPr>
        <w:t xml:space="preserve"> </w:t>
      </w:r>
      <w:r>
        <w:rPr>
          <w:color w:val="181818"/>
        </w:rPr>
        <w:t>and your response complement the requirements</w:t>
      </w:r>
      <w:r>
        <w:rPr>
          <w:color w:val="181818"/>
          <w:spacing w:val="38"/>
        </w:rPr>
        <w:t xml:space="preserve"> </w:t>
      </w:r>
      <w:r>
        <w:rPr>
          <w:color w:val="181818"/>
        </w:rPr>
        <w:t>for the NRHC</w:t>
      </w:r>
      <w:r>
        <w:rPr>
          <w:color w:val="181818"/>
          <w:spacing w:val="28"/>
        </w:rPr>
        <w:t xml:space="preserve"> </w:t>
      </w:r>
      <w:r>
        <w:rPr>
          <w:color w:val="181818"/>
        </w:rPr>
        <w:t>set out in Part</w:t>
      </w:r>
      <w:r>
        <w:rPr>
          <w:color w:val="181818"/>
          <w:spacing w:val="34"/>
        </w:rPr>
        <w:t xml:space="preserve"> </w:t>
      </w:r>
      <w:r>
        <w:rPr>
          <w:color w:val="181818"/>
        </w:rPr>
        <w:t>VA of</w:t>
      </w:r>
      <w:r w:rsidR="00A07493">
        <w:rPr>
          <w:color w:val="181818"/>
        </w:rPr>
        <w:t xml:space="preserve"> </w:t>
      </w:r>
      <w:r>
        <w:rPr>
          <w:color w:val="181818"/>
        </w:rPr>
        <w:t xml:space="preserve">the </w:t>
      </w:r>
      <w:r>
        <w:rPr>
          <w:i/>
          <w:color w:val="181818"/>
          <w:sz w:val="21"/>
        </w:rPr>
        <w:t>Health</w:t>
      </w:r>
      <w:r>
        <w:rPr>
          <w:i/>
          <w:color w:val="181818"/>
          <w:spacing w:val="27"/>
          <w:sz w:val="21"/>
        </w:rPr>
        <w:t xml:space="preserve"> </w:t>
      </w:r>
      <w:r>
        <w:rPr>
          <w:i/>
          <w:color w:val="181818"/>
          <w:sz w:val="21"/>
        </w:rPr>
        <w:t>Insurance</w:t>
      </w:r>
      <w:r>
        <w:rPr>
          <w:i/>
          <w:color w:val="181818"/>
          <w:spacing w:val="33"/>
          <w:sz w:val="21"/>
        </w:rPr>
        <w:t xml:space="preserve"> </w:t>
      </w:r>
      <w:r>
        <w:rPr>
          <w:i/>
          <w:color w:val="181818"/>
          <w:sz w:val="21"/>
        </w:rPr>
        <w:t>Act</w:t>
      </w:r>
      <w:r>
        <w:rPr>
          <w:i/>
          <w:color w:val="181818"/>
          <w:spacing w:val="-7"/>
          <w:sz w:val="21"/>
        </w:rPr>
        <w:t xml:space="preserve"> </w:t>
      </w:r>
      <w:r>
        <w:rPr>
          <w:i/>
          <w:color w:val="181818"/>
          <w:sz w:val="21"/>
        </w:rPr>
        <w:t>1973.</w:t>
      </w:r>
    </w:p>
    <w:p w14:paraId="13FF1554" w14:textId="77777777" w:rsidR="00DE6F4A" w:rsidRDefault="00DE6F4A">
      <w:pPr>
        <w:pStyle w:val="BodyText"/>
        <w:spacing w:before="49"/>
        <w:rPr>
          <w:i/>
        </w:rPr>
      </w:pPr>
    </w:p>
    <w:p w14:paraId="13FF1555" w14:textId="77777777" w:rsidR="00DE6F4A" w:rsidRDefault="00DD7DDC">
      <w:pPr>
        <w:pStyle w:val="BodyText"/>
        <w:spacing w:line="273" w:lineRule="auto"/>
        <w:ind w:left="427" w:hanging="2"/>
      </w:pPr>
      <w:r>
        <w:rPr>
          <w:color w:val="181818"/>
        </w:rPr>
        <w:t>I</w:t>
      </w:r>
      <w:r>
        <w:rPr>
          <w:color w:val="181818"/>
          <w:spacing w:val="-2"/>
        </w:rPr>
        <w:t xml:space="preserve"> </w:t>
      </w:r>
      <w:r>
        <w:rPr>
          <w:color w:val="181818"/>
        </w:rPr>
        <w:t>look forward to working</w:t>
      </w:r>
      <w:r>
        <w:rPr>
          <w:color w:val="181818"/>
          <w:spacing w:val="-5"/>
        </w:rPr>
        <w:t xml:space="preserve"> </w:t>
      </w:r>
      <w:r>
        <w:rPr>
          <w:color w:val="181818"/>
        </w:rPr>
        <w:t>with</w:t>
      </w:r>
      <w:r>
        <w:rPr>
          <w:color w:val="181818"/>
          <w:spacing w:val="-1"/>
        </w:rPr>
        <w:t xml:space="preserve"> </w:t>
      </w:r>
      <w:r>
        <w:rPr>
          <w:color w:val="181818"/>
        </w:rPr>
        <w:t>you to improve healthcare for all</w:t>
      </w:r>
      <w:r>
        <w:rPr>
          <w:color w:val="181818"/>
          <w:spacing w:val="-3"/>
        </w:rPr>
        <w:t xml:space="preserve"> </w:t>
      </w:r>
      <w:r>
        <w:rPr>
          <w:color w:val="181818"/>
        </w:rPr>
        <w:t>Australians, especially those living in the rural and remote areas.</w:t>
      </w:r>
    </w:p>
    <w:p w14:paraId="13FF1556" w14:textId="77777777" w:rsidR="00DE6F4A" w:rsidRDefault="00DE6F4A">
      <w:pPr>
        <w:pStyle w:val="BodyText"/>
        <w:spacing w:before="44"/>
      </w:pPr>
    </w:p>
    <w:p w14:paraId="13FF1557" w14:textId="77777777" w:rsidR="00DE6F4A" w:rsidRDefault="00DD7DDC">
      <w:pPr>
        <w:pStyle w:val="BodyText"/>
        <w:spacing w:before="1"/>
        <w:ind w:left="431"/>
      </w:pPr>
      <w:r>
        <w:rPr>
          <w:color w:val="181818"/>
          <w:spacing w:val="-6"/>
        </w:rPr>
        <w:t>Yours</w:t>
      </w:r>
      <w:r>
        <w:rPr>
          <w:color w:val="181818"/>
          <w:spacing w:val="-8"/>
        </w:rPr>
        <w:t xml:space="preserve"> </w:t>
      </w:r>
      <w:r>
        <w:rPr>
          <w:color w:val="181818"/>
          <w:spacing w:val="-2"/>
        </w:rPr>
        <w:t>sincerely</w:t>
      </w:r>
    </w:p>
    <w:p w14:paraId="13FF1558" w14:textId="25B9C5A3" w:rsidR="00DE6F4A" w:rsidRDefault="00DE6F4A">
      <w:pPr>
        <w:pStyle w:val="BodyText"/>
        <w:spacing w:before="136"/>
        <w:rPr>
          <w:noProof/>
        </w:rPr>
      </w:pPr>
    </w:p>
    <w:p w14:paraId="3D70E54A" w14:textId="77777777" w:rsidR="00DD7DDC" w:rsidRDefault="00DD7DDC">
      <w:pPr>
        <w:pStyle w:val="BodyText"/>
        <w:spacing w:before="136"/>
        <w:rPr>
          <w:sz w:val="20"/>
        </w:rPr>
      </w:pPr>
    </w:p>
    <w:p w14:paraId="082BD367" w14:textId="77777777" w:rsidR="009B5098" w:rsidRDefault="009B5098">
      <w:pPr>
        <w:pStyle w:val="BodyText"/>
        <w:spacing w:before="136"/>
        <w:rPr>
          <w:sz w:val="20"/>
        </w:rPr>
      </w:pPr>
    </w:p>
    <w:p w14:paraId="13FF1559" w14:textId="77777777" w:rsidR="00DE6F4A" w:rsidRDefault="00DD7DDC">
      <w:pPr>
        <w:pStyle w:val="BodyText"/>
        <w:spacing w:before="227"/>
        <w:ind w:left="423"/>
      </w:pPr>
      <w:r>
        <w:rPr>
          <w:color w:val="181818"/>
          <w:spacing w:val="-6"/>
        </w:rPr>
        <w:t>Emma</w:t>
      </w:r>
      <w:r>
        <w:rPr>
          <w:color w:val="181818"/>
          <w:spacing w:val="-9"/>
        </w:rPr>
        <w:t xml:space="preserve"> </w:t>
      </w:r>
      <w:r>
        <w:rPr>
          <w:color w:val="181818"/>
          <w:spacing w:val="-2"/>
        </w:rPr>
        <w:t>McBride</w:t>
      </w:r>
    </w:p>
    <w:p w14:paraId="13FF155A" w14:textId="20A0242D" w:rsidR="00DE6F4A" w:rsidRPr="00DD7DDC" w:rsidRDefault="00DD7DDC" w:rsidP="00DD7DDC">
      <w:pPr>
        <w:spacing w:before="94"/>
        <w:ind w:left="426"/>
        <w:rPr>
          <w:bCs/>
        </w:rPr>
      </w:pPr>
      <w:r w:rsidRPr="00DD7DDC">
        <w:rPr>
          <w:bCs/>
          <w:spacing w:val="-2"/>
          <w:w w:val="110"/>
        </w:rPr>
        <w:t>12/9/2024</w:t>
      </w:r>
    </w:p>
    <w:p w14:paraId="13FF155B" w14:textId="77777777" w:rsidR="00DE6F4A" w:rsidRDefault="00DD7DDC">
      <w:pPr>
        <w:pStyle w:val="BodyText"/>
        <w:tabs>
          <w:tab w:val="left" w:pos="1555"/>
        </w:tabs>
        <w:spacing w:before="257"/>
        <w:ind w:left="423"/>
        <w:rPr>
          <w:color w:val="181818"/>
          <w:spacing w:val="-2"/>
        </w:rPr>
      </w:pPr>
      <w:r>
        <w:rPr>
          <w:color w:val="181818"/>
          <w:spacing w:val="-9"/>
        </w:rPr>
        <w:t>Encl</w:t>
      </w:r>
      <w:r>
        <w:rPr>
          <w:color w:val="181818"/>
          <w:spacing w:val="-2"/>
        </w:rPr>
        <w:t xml:space="preserve"> </w:t>
      </w:r>
      <w:r>
        <w:rPr>
          <w:color w:val="181818"/>
          <w:spacing w:val="-5"/>
        </w:rPr>
        <w:t>(1)</w:t>
      </w:r>
      <w:r>
        <w:rPr>
          <w:color w:val="181818"/>
        </w:rPr>
        <w:tab/>
        <w:t>Statement</w:t>
      </w:r>
      <w:r>
        <w:rPr>
          <w:color w:val="181818"/>
          <w:spacing w:val="26"/>
        </w:rPr>
        <w:t xml:space="preserve"> </w:t>
      </w:r>
      <w:r>
        <w:rPr>
          <w:color w:val="181818"/>
        </w:rPr>
        <w:t>of</w:t>
      </w:r>
      <w:r>
        <w:rPr>
          <w:color w:val="181818"/>
          <w:spacing w:val="-1"/>
        </w:rPr>
        <w:t xml:space="preserve"> </w:t>
      </w:r>
      <w:r>
        <w:rPr>
          <w:color w:val="181818"/>
          <w:spacing w:val="-2"/>
        </w:rPr>
        <w:t>Expectations</w:t>
      </w:r>
    </w:p>
    <w:p w14:paraId="3CE930DE" w14:textId="0933BD19" w:rsidR="004841CC" w:rsidRDefault="004841CC">
      <w:pPr>
        <w:rPr>
          <w:color w:val="181818"/>
          <w:spacing w:val="-2"/>
        </w:rPr>
      </w:pPr>
      <w:r>
        <w:rPr>
          <w:color w:val="181818"/>
          <w:spacing w:val="-2"/>
        </w:rPr>
        <w:br w:type="page"/>
      </w:r>
    </w:p>
    <w:p w14:paraId="01045135" w14:textId="77777777" w:rsidR="004841CC" w:rsidRPr="004841CC" w:rsidRDefault="004841CC" w:rsidP="004841CC">
      <w:pPr>
        <w:pStyle w:val="Title"/>
        <w:rPr>
          <w:rFonts w:asciiTheme="minorHAnsi" w:hAnsiTheme="minorHAnsi" w:cstheme="minorHAnsi"/>
          <w:b/>
          <w:bCs/>
          <w:sz w:val="40"/>
          <w:szCs w:val="40"/>
        </w:rPr>
      </w:pPr>
      <w:r w:rsidRPr="004841CC">
        <w:rPr>
          <w:rFonts w:asciiTheme="minorHAnsi" w:hAnsiTheme="minorHAnsi" w:cstheme="minorHAnsi"/>
          <w:b/>
          <w:bCs/>
          <w:sz w:val="40"/>
          <w:szCs w:val="40"/>
        </w:rPr>
        <w:lastRenderedPageBreak/>
        <w:t>Statement of Expectations for the National Rural Health Commissioner</w:t>
      </w:r>
    </w:p>
    <w:p w14:paraId="1DAC0F2F" w14:textId="77777777" w:rsidR="004841CC" w:rsidRPr="004841CC" w:rsidRDefault="004841CC" w:rsidP="004841CC">
      <w:pPr>
        <w:pStyle w:val="Subtitle"/>
        <w:rPr>
          <w:rFonts w:cstheme="minorHAnsi"/>
        </w:rPr>
      </w:pPr>
      <w:r w:rsidRPr="004841CC">
        <w:rPr>
          <w:rFonts w:cstheme="minorHAnsi"/>
          <w:lang w:val="en-US"/>
        </w:rPr>
        <w:t>2 September 2024 – 30 June 2026</w:t>
      </w:r>
    </w:p>
    <w:p w14:paraId="6CCF4900" w14:textId="77777777" w:rsidR="004841CC" w:rsidRPr="004841CC" w:rsidRDefault="004841CC" w:rsidP="004841CC">
      <w:pPr>
        <w:pStyle w:val="Heading1"/>
        <w:spacing w:after="0"/>
        <w:rPr>
          <w:rFonts w:eastAsia="Calibri"/>
          <w:snapToGrid/>
          <w:lang w:val="en-US"/>
        </w:rPr>
      </w:pPr>
      <w:r w:rsidRPr="004841CC">
        <w:rPr>
          <w:rFonts w:eastAsia="Calibri"/>
          <w:snapToGrid/>
          <w:lang w:val="en-US"/>
        </w:rPr>
        <w:t>Purpose</w:t>
      </w:r>
    </w:p>
    <w:p w14:paraId="673082EA" w14:textId="77777777" w:rsidR="004841CC" w:rsidRPr="004841CC" w:rsidRDefault="004841CC" w:rsidP="004841CC">
      <w:pPr>
        <w:rPr>
          <w:rFonts w:asciiTheme="minorHAnsi" w:eastAsia="Calibri" w:hAnsiTheme="minorHAnsi" w:cstheme="minorHAnsi"/>
        </w:rPr>
      </w:pPr>
      <w:r w:rsidRPr="004841CC">
        <w:rPr>
          <w:rFonts w:asciiTheme="minorHAnsi" w:eastAsia="Calibri" w:hAnsiTheme="minorHAnsi" w:cstheme="minorHAnsi"/>
        </w:rPr>
        <w:t xml:space="preserve">This Statement sets out the Australian Government’s expectations for the National Rural Health Commissioner (Commissioner). It directs the Commissioner in performing functions under Schedule 1, Part VA of the </w:t>
      </w:r>
      <w:r w:rsidRPr="004841CC">
        <w:rPr>
          <w:rFonts w:asciiTheme="minorHAnsi" w:eastAsia="Calibri" w:hAnsiTheme="minorHAnsi" w:cstheme="minorHAnsi"/>
          <w:i/>
          <w:iCs/>
        </w:rPr>
        <w:t>Health Insurance Act 1973</w:t>
      </w:r>
      <w:r w:rsidRPr="004841CC">
        <w:rPr>
          <w:rFonts w:asciiTheme="minorHAnsi" w:eastAsia="Calibri" w:hAnsiTheme="minorHAnsi" w:cstheme="minorHAnsi"/>
        </w:rPr>
        <w:t xml:space="preserve"> (Act).</w:t>
      </w:r>
    </w:p>
    <w:p w14:paraId="4B1B419E" w14:textId="77777777" w:rsidR="004841CC" w:rsidRPr="004841CC" w:rsidRDefault="004841CC" w:rsidP="004841CC">
      <w:pPr>
        <w:pStyle w:val="Heading1"/>
        <w:spacing w:after="0"/>
        <w:rPr>
          <w:rFonts w:eastAsia="Calibri" w:cstheme="minorHAnsi"/>
          <w:snapToGrid/>
          <w:lang w:val="en-US"/>
        </w:rPr>
      </w:pPr>
      <w:r w:rsidRPr="004841CC">
        <w:rPr>
          <w:rFonts w:eastAsia="Calibri" w:cstheme="minorHAnsi"/>
          <w:snapToGrid/>
          <w:lang w:val="en-US"/>
        </w:rPr>
        <w:t>Role</w:t>
      </w:r>
    </w:p>
    <w:p w14:paraId="4B6C4185" w14:textId="77777777" w:rsidR="004841CC" w:rsidRPr="004841CC" w:rsidRDefault="004841CC" w:rsidP="004841CC">
      <w:pPr>
        <w:autoSpaceDE/>
        <w:autoSpaceDN/>
        <w:spacing w:after="120"/>
        <w:rPr>
          <w:rFonts w:asciiTheme="minorHAnsi" w:eastAsia="Calibri" w:hAnsiTheme="minorHAnsi" w:cstheme="minorHAnsi"/>
          <w:sz w:val="24"/>
          <w:szCs w:val="20"/>
        </w:rPr>
      </w:pPr>
      <w:r w:rsidRPr="004841CC">
        <w:rPr>
          <w:rFonts w:asciiTheme="minorHAnsi" w:eastAsia="Calibri" w:hAnsiTheme="minorHAnsi" w:cstheme="minorHAnsi"/>
          <w:sz w:val="24"/>
          <w:szCs w:val="20"/>
        </w:rPr>
        <w:t xml:space="preserve">The Commissioner is a statutory appointment, responsible to the Assistant Minister for Rural and Regional Health. The Commissioner will act independently and impartially in performing the functions and in exercising their powers set out in the Act. The Commissioner will provide advice to the Government about matters relating to health in regional, rural, </w:t>
      </w:r>
      <w:proofErr w:type="gramStart"/>
      <w:r w:rsidRPr="004841CC">
        <w:rPr>
          <w:rFonts w:asciiTheme="minorHAnsi" w:eastAsia="Calibri" w:hAnsiTheme="minorHAnsi" w:cstheme="minorHAnsi"/>
          <w:sz w:val="24"/>
          <w:szCs w:val="20"/>
        </w:rPr>
        <w:t>remote</w:t>
      </w:r>
      <w:proofErr w:type="gramEnd"/>
      <w:r w:rsidRPr="004841CC">
        <w:rPr>
          <w:rFonts w:asciiTheme="minorHAnsi" w:eastAsia="Calibri" w:hAnsiTheme="minorHAnsi" w:cstheme="minorHAnsi"/>
          <w:sz w:val="24"/>
          <w:szCs w:val="20"/>
        </w:rPr>
        <w:t xml:space="preserve"> and very remote Australia. The Commissioner will support implementation of government strategies, priorities, and measures to improve access to quality and affordable healthcare. </w:t>
      </w:r>
    </w:p>
    <w:p w14:paraId="7CDE8644" w14:textId="72769CDA" w:rsidR="004841CC" w:rsidRPr="004841CC" w:rsidRDefault="004841CC" w:rsidP="004841CC">
      <w:pPr>
        <w:autoSpaceDE/>
        <w:autoSpaceDN/>
        <w:spacing w:after="120"/>
        <w:rPr>
          <w:rFonts w:asciiTheme="minorHAnsi" w:eastAsia="Calibri" w:hAnsiTheme="minorHAnsi" w:cstheme="minorHAnsi"/>
        </w:rPr>
      </w:pPr>
      <w:r w:rsidRPr="004841CC">
        <w:rPr>
          <w:rFonts w:asciiTheme="minorHAnsi" w:eastAsia="Calibri" w:hAnsiTheme="minorHAnsi" w:cstheme="minorHAnsi"/>
          <w:sz w:val="24"/>
          <w:szCs w:val="20"/>
        </w:rPr>
        <w:t xml:space="preserve">The Commissioner will consult with a broad range of stakeholders to ensure a diversity of voices are </w:t>
      </w:r>
      <w:proofErr w:type="gramStart"/>
      <w:r w:rsidRPr="004841CC">
        <w:rPr>
          <w:rFonts w:asciiTheme="minorHAnsi" w:eastAsia="Calibri" w:hAnsiTheme="minorHAnsi" w:cstheme="minorHAnsi"/>
          <w:sz w:val="24"/>
          <w:szCs w:val="20"/>
        </w:rPr>
        <w:t>taken into account</w:t>
      </w:r>
      <w:proofErr w:type="gramEnd"/>
      <w:r w:rsidRPr="004841CC">
        <w:rPr>
          <w:rFonts w:asciiTheme="minorHAnsi" w:eastAsia="Calibri" w:hAnsiTheme="minorHAnsi" w:cstheme="minorHAnsi"/>
          <w:sz w:val="24"/>
          <w:szCs w:val="20"/>
        </w:rPr>
        <w:t xml:space="preserve"> in Government decision making. The Commissioner will work collaboratively with the Department of Health</w:t>
      </w:r>
      <w:r w:rsidRPr="004841CC">
        <w:rPr>
          <w:rFonts w:asciiTheme="minorHAnsi" w:eastAsia="Calibri" w:hAnsiTheme="minorHAnsi" w:cstheme="minorHAnsi"/>
        </w:rPr>
        <w:t xml:space="preserve"> and Aged Care to make the most of the expertise and corporate knowledge held by the department.</w:t>
      </w:r>
    </w:p>
    <w:p w14:paraId="7FD1C9C6" w14:textId="77777777" w:rsidR="004841CC" w:rsidRPr="004841CC" w:rsidRDefault="004841CC" w:rsidP="004841CC">
      <w:pPr>
        <w:pStyle w:val="Heading1"/>
        <w:spacing w:after="0"/>
        <w:rPr>
          <w:rFonts w:eastAsia="Calibri" w:cstheme="minorHAnsi"/>
          <w:snapToGrid/>
          <w:lang w:val="en-US"/>
        </w:rPr>
      </w:pPr>
      <w:r w:rsidRPr="004841CC">
        <w:rPr>
          <w:rFonts w:eastAsia="Calibri" w:cstheme="minorHAnsi"/>
          <w:snapToGrid/>
          <w:lang w:val="en-US"/>
        </w:rPr>
        <w:t>Priorities</w:t>
      </w:r>
    </w:p>
    <w:p w14:paraId="2E36A080" w14:textId="77777777" w:rsidR="004841CC" w:rsidRPr="004841CC" w:rsidRDefault="004841CC" w:rsidP="004841CC">
      <w:pPr>
        <w:pStyle w:val="Heading2"/>
        <w:spacing w:before="0"/>
        <w:rPr>
          <w:rFonts w:cstheme="minorHAnsi"/>
        </w:rPr>
      </w:pPr>
      <w:r w:rsidRPr="004841CC">
        <w:rPr>
          <w:rFonts w:cstheme="minorHAnsi"/>
        </w:rPr>
        <w:t xml:space="preserve">Contribute to Strengthening Medicare through developing and promoting innovative, integrated and multidisciplinary </w:t>
      </w:r>
      <w:proofErr w:type="gramStart"/>
      <w:r w:rsidRPr="004841CC">
        <w:rPr>
          <w:rFonts w:cstheme="minorHAnsi"/>
        </w:rPr>
        <w:t>approaches</w:t>
      </w:r>
      <w:proofErr w:type="gramEnd"/>
      <w:r w:rsidRPr="004841CC">
        <w:rPr>
          <w:rFonts w:cstheme="minorHAnsi"/>
        </w:rPr>
        <w:t xml:space="preserve"> </w:t>
      </w:r>
    </w:p>
    <w:p w14:paraId="00B813D0" w14:textId="77777777" w:rsidR="004841CC" w:rsidRPr="004841CC" w:rsidRDefault="004841CC" w:rsidP="004841CC">
      <w:pPr>
        <w:spacing w:before="60" w:after="60"/>
        <w:contextualSpacing/>
        <w:rPr>
          <w:rFonts w:asciiTheme="minorHAnsi" w:eastAsia="Calibri" w:hAnsiTheme="minorHAnsi" w:cstheme="minorHAnsi"/>
          <w:sz w:val="24"/>
          <w:szCs w:val="20"/>
        </w:rPr>
      </w:pPr>
      <w:r w:rsidRPr="004841CC">
        <w:rPr>
          <w:rFonts w:asciiTheme="minorHAnsi" w:eastAsia="Calibri" w:hAnsiTheme="minorHAnsi" w:cstheme="minorHAnsi"/>
          <w:sz w:val="24"/>
          <w:szCs w:val="20"/>
        </w:rPr>
        <w:t>The Commissioner will:</w:t>
      </w:r>
    </w:p>
    <w:p w14:paraId="30DCC6B7" w14:textId="77777777" w:rsidR="004841CC" w:rsidRPr="004841CC" w:rsidRDefault="004841CC" w:rsidP="004841CC">
      <w:pPr>
        <w:pStyle w:val="ListBullet"/>
        <w:spacing w:beforeLines="60" w:before="144" w:afterLines="60" w:after="144"/>
        <w:ind w:left="357" w:hanging="357"/>
        <w:rPr>
          <w:rFonts w:eastAsia="Calibri" w:cstheme="minorHAnsi"/>
          <w:snapToGrid/>
          <w:lang w:val="en-US"/>
        </w:rPr>
      </w:pPr>
      <w:r w:rsidRPr="004841CC">
        <w:rPr>
          <w:rFonts w:eastAsia="Calibri" w:cstheme="minorHAnsi"/>
          <w:snapToGrid/>
          <w:lang w:val="en-US"/>
        </w:rPr>
        <w:t>advise on the Government’s responses to key primary health care reviews</w:t>
      </w:r>
      <w:r w:rsidRPr="004841CC">
        <w:rPr>
          <w:rFonts w:eastAsia="Calibri" w:cstheme="minorHAnsi"/>
          <w:snapToGrid/>
          <w:szCs w:val="24"/>
          <w:lang w:val="en-US"/>
        </w:rPr>
        <w:t xml:space="preserve"> and assist with implementation of rural and remote health measures</w:t>
      </w:r>
      <w:r w:rsidRPr="004841CC">
        <w:rPr>
          <w:rFonts w:eastAsia="Calibri" w:cstheme="minorHAnsi"/>
          <w:snapToGrid/>
          <w:lang w:val="en-US"/>
        </w:rPr>
        <w:t xml:space="preserve">. </w:t>
      </w:r>
    </w:p>
    <w:p w14:paraId="20C01E25" w14:textId="77777777" w:rsidR="004841CC" w:rsidRPr="004841CC" w:rsidRDefault="004841CC" w:rsidP="004841CC">
      <w:pPr>
        <w:pStyle w:val="ListBullet"/>
        <w:spacing w:beforeLines="60" w:before="144" w:afterLines="60" w:after="144"/>
        <w:rPr>
          <w:rFonts w:eastAsia="Calibri" w:cstheme="minorHAnsi"/>
          <w:snapToGrid/>
          <w:szCs w:val="24"/>
          <w:lang w:val="en-US"/>
        </w:rPr>
      </w:pPr>
      <w:r w:rsidRPr="004841CC">
        <w:rPr>
          <w:rFonts w:eastAsia="Calibri" w:cstheme="minorHAnsi"/>
          <w:snapToGrid/>
          <w:szCs w:val="24"/>
          <w:lang w:val="en-US"/>
        </w:rPr>
        <w:t xml:space="preserve">collaborate with Commonwealth, </w:t>
      </w:r>
      <w:proofErr w:type="gramStart"/>
      <w:r w:rsidRPr="004841CC">
        <w:rPr>
          <w:rFonts w:eastAsia="Calibri" w:cstheme="minorHAnsi"/>
          <w:snapToGrid/>
          <w:szCs w:val="24"/>
          <w:lang w:val="en-US"/>
        </w:rPr>
        <w:t>state</w:t>
      </w:r>
      <w:proofErr w:type="gramEnd"/>
      <w:r w:rsidRPr="004841CC">
        <w:rPr>
          <w:rFonts w:eastAsia="Calibri" w:cstheme="minorHAnsi"/>
          <w:snapToGrid/>
          <w:szCs w:val="24"/>
          <w:lang w:val="en-US"/>
        </w:rPr>
        <w:t xml:space="preserve"> and territory governments on evidenced-based models of primary care and advocate for approaches that support sustainable and integrated health workforce development.</w:t>
      </w:r>
    </w:p>
    <w:p w14:paraId="0551313F" w14:textId="77777777" w:rsidR="004841CC" w:rsidRPr="004841CC" w:rsidRDefault="004841CC" w:rsidP="004841CC">
      <w:pPr>
        <w:pStyle w:val="ListBullet"/>
        <w:spacing w:beforeLines="60" w:before="144" w:afterLines="60" w:after="144"/>
        <w:rPr>
          <w:rFonts w:eastAsia="Calibri" w:cstheme="minorHAnsi"/>
          <w:snapToGrid/>
          <w:szCs w:val="24"/>
          <w:lang w:val="en-US"/>
        </w:rPr>
      </w:pPr>
      <w:r w:rsidRPr="004841CC">
        <w:rPr>
          <w:rFonts w:eastAsia="Calibri" w:cstheme="minorHAnsi"/>
          <w:snapToGrid/>
          <w:szCs w:val="24"/>
          <w:lang w:val="en-US"/>
        </w:rPr>
        <w:t>advise on opportunities to address inequities in access to healthcare in rural and regional settings, from a geographic and socioeconomic perspective.</w:t>
      </w:r>
    </w:p>
    <w:p w14:paraId="16DAF7C6" w14:textId="77777777" w:rsidR="004841CC" w:rsidRPr="004841CC" w:rsidRDefault="004841CC" w:rsidP="004841CC">
      <w:pPr>
        <w:pStyle w:val="Heading2"/>
        <w:spacing w:before="0"/>
        <w:rPr>
          <w:rFonts w:cstheme="minorHAnsi"/>
        </w:rPr>
      </w:pPr>
      <w:r w:rsidRPr="004841CC">
        <w:rPr>
          <w:rFonts w:cstheme="minorHAnsi"/>
        </w:rPr>
        <w:t xml:space="preserve">Contribute to primary care, rural workforce, and training </w:t>
      </w:r>
      <w:proofErr w:type="gramStart"/>
      <w:r w:rsidRPr="004841CC">
        <w:rPr>
          <w:rFonts w:cstheme="minorHAnsi"/>
        </w:rPr>
        <w:t>reforms</w:t>
      </w:r>
      <w:proofErr w:type="gramEnd"/>
    </w:p>
    <w:p w14:paraId="69601366" w14:textId="77777777" w:rsidR="004841CC" w:rsidRPr="004841CC" w:rsidRDefault="004841CC" w:rsidP="004841CC">
      <w:pPr>
        <w:spacing w:before="60" w:after="60"/>
        <w:contextualSpacing/>
        <w:rPr>
          <w:rFonts w:asciiTheme="minorHAnsi" w:eastAsia="Calibri" w:hAnsiTheme="minorHAnsi" w:cstheme="minorHAnsi"/>
          <w:sz w:val="24"/>
          <w:szCs w:val="20"/>
        </w:rPr>
      </w:pPr>
      <w:r w:rsidRPr="004841CC">
        <w:rPr>
          <w:rFonts w:asciiTheme="minorHAnsi" w:eastAsia="Calibri" w:hAnsiTheme="minorHAnsi" w:cstheme="minorHAnsi"/>
          <w:sz w:val="24"/>
          <w:szCs w:val="20"/>
        </w:rPr>
        <w:t>The Commissioner will:</w:t>
      </w:r>
    </w:p>
    <w:p w14:paraId="25D5158C" w14:textId="77777777" w:rsidR="004841CC" w:rsidRPr="004841CC" w:rsidRDefault="004841CC" w:rsidP="004841CC">
      <w:pPr>
        <w:pStyle w:val="ListBullet"/>
        <w:spacing w:before="60" w:after="60"/>
        <w:rPr>
          <w:rFonts w:eastAsia="Calibri" w:cstheme="minorHAnsi"/>
          <w:snapToGrid/>
          <w:lang w:val="en-US"/>
        </w:rPr>
      </w:pPr>
      <w:r w:rsidRPr="004841CC">
        <w:rPr>
          <w:rFonts w:eastAsia="Calibri" w:cstheme="minorHAnsi"/>
          <w:snapToGrid/>
          <w:lang w:val="en-US"/>
        </w:rPr>
        <w:t>provide evidence-based advice on the development of strategies and initiatives aimed at improving access to all health services in rural and remote areas.</w:t>
      </w:r>
    </w:p>
    <w:p w14:paraId="7AA863CA" w14:textId="77777777" w:rsidR="004841CC" w:rsidRPr="004841CC" w:rsidRDefault="004841CC" w:rsidP="004841CC">
      <w:pPr>
        <w:pStyle w:val="ListBullet"/>
        <w:spacing w:before="60" w:after="60"/>
        <w:rPr>
          <w:rFonts w:eastAsia="Calibri" w:cstheme="minorHAnsi"/>
          <w:snapToGrid/>
          <w:lang w:val="en-US"/>
        </w:rPr>
      </w:pPr>
      <w:r w:rsidRPr="004841CC">
        <w:rPr>
          <w:rFonts w:eastAsia="Calibri" w:cstheme="minorHAnsi"/>
          <w:snapToGrid/>
          <w:lang w:val="en-US"/>
        </w:rPr>
        <w:t xml:space="preserve">collaborate with stakeholders to advise on strategies and frameworks that enable rural and remote service improvements in line with contemporary practice. </w:t>
      </w:r>
    </w:p>
    <w:p w14:paraId="2909249C" w14:textId="77777777" w:rsidR="004841CC" w:rsidRPr="004841CC" w:rsidRDefault="004841CC" w:rsidP="004841CC">
      <w:pPr>
        <w:pStyle w:val="Heading2"/>
        <w:spacing w:before="120"/>
        <w:rPr>
          <w:rFonts w:cstheme="minorHAnsi"/>
        </w:rPr>
      </w:pPr>
      <w:bookmarkStart w:id="0" w:name="_Hlk120023469"/>
      <w:r w:rsidRPr="004841CC">
        <w:rPr>
          <w:rFonts w:cstheme="minorHAnsi"/>
        </w:rPr>
        <w:t xml:space="preserve">Support First Nations peoples’ health and </w:t>
      </w:r>
      <w:proofErr w:type="gramStart"/>
      <w:r w:rsidRPr="004841CC">
        <w:rPr>
          <w:rFonts w:cstheme="minorHAnsi"/>
        </w:rPr>
        <w:t>wellbeing</w:t>
      </w:r>
      <w:proofErr w:type="gramEnd"/>
    </w:p>
    <w:bookmarkEnd w:id="0"/>
    <w:p w14:paraId="5ECE419F" w14:textId="77777777" w:rsidR="004841CC" w:rsidRPr="004841CC" w:rsidRDefault="004841CC" w:rsidP="004841CC">
      <w:pPr>
        <w:spacing w:before="60" w:after="60"/>
        <w:contextualSpacing/>
        <w:rPr>
          <w:rFonts w:asciiTheme="minorHAnsi" w:eastAsia="Calibri" w:hAnsiTheme="minorHAnsi" w:cstheme="minorHAnsi"/>
          <w:sz w:val="24"/>
          <w:szCs w:val="20"/>
        </w:rPr>
      </w:pPr>
      <w:r w:rsidRPr="004841CC">
        <w:rPr>
          <w:rFonts w:asciiTheme="minorHAnsi" w:eastAsia="Calibri" w:hAnsiTheme="minorHAnsi" w:cstheme="minorHAnsi"/>
          <w:sz w:val="24"/>
          <w:szCs w:val="20"/>
        </w:rPr>
        <w:t>The Commissioner will work in partnership with First Nations people, peak bodies, and other stakeholders to implement the Closing the Gap reforms to:</w:t>
      </w:r>
    </w:p>
    <w:p w14:paraId="29B85F82" w14:textId="77777777" w:rsidR="004841CC" w:rsidRPr="004841CC" w:rsidRDefault="004841CC" w:rsidP="004841CC">
      <w:pPr>
        <w:pStyle w:val="ListBullet"/>
        <w:spacing w:before="60" w:after="60"/>
        <w:rPr>
          <w:rFonts w:eastAsia="Calibri" w:cstheme="minorHAnsi"/>
          <w:snapToGrid/>
          <w:lang w:val="en-US"/>
        </w:rPr>
      </w:pPr>
      <w:r w:rsidRPr="004841CC">
        <w:rPr>
          <w:rFonts w:eastAsia="Calibri" w:cstheme="minorHAnsi"/>
          <w:snapToGrid/>
          <w:lang w:val="en-US"/>
        </w:rPr>
        <w:t>support workforce planning and solutions</w:t>
      </w:r>
      <w:r w:rsidRPr="004841CC" w:rsidDel="00BC56D2">
        <w:rPr>
          <w:rFonts w:eastAsia="Calibri" w:cstheme="minorHAnsi"/>
          <w:snapToGrid/>
          <w:lang w:val="en-US"/>
        </w:rPr>
        <w:t xml:space="preserve"> </w:t>
      </w:r>
      <w:r w:rsidRPr="004841CC">
        <w:rPr>
          <w:rFonts w:eastAsia="Calibri" w:cstheme="minorHAnsi"/>
          <w:snapToGrid/>
          <w:lang w:val="en-US"/>
        </w:rPr>
        <w:t xml:space="preserve">to </w:t>
      </w:r>
      <w:r w:rsidRPr="004841CC" w:rsidDel="00BC56D2">
        <w:rPr>
          <w:rFonts w:eastAsia="Calibri" w:cstheme="minorHAnsi"/>
          <w:snapToGrid/>
          <w:lang w:val="en-US"/>
        </w:rPr>
        <w:t>ensure First Nations peoples’ health and wellbeing is at the heart of decision making</w:t>
      </w:r>
      <w:r w:rsidRPr="004841CC">
        <w:rPr>
          <w:rFonts w:eastAsia="Calibri" w:cstheme="minorHAnsi"/>
          <w:snapToGrid/>
          <w:lang w:val="en-US"/>
        </w:rPr>
        <w:t>.</w:t>
      </w:r>
    </w:p>
    <w:p w14:paraId="2134C38A" w14:textId="77777777" w:rsidR="004841CC" w:rsidRPr="004841CC" w:rsidRDefault="004841CC" w:rsidP="004841CC">
      <w:pPr>
        <w:pStyle w:val="ListBullet"/>
        <w:keepNext/>
        <w:keepLines/>
        <w:spacing w:before="60" w:after="60"/>
        <w:ind w:left="357" w:hanging="357"/>
        <w:rPr>
          <w:rFonts w:eastAsia="Calibri" w:cstheme="minorHAnsi"/>
          <w:snapToGrid/>
          <w:lang w:val="en-US"/>
        </w:rPr>
      </w:pPr>
      <w:r w:rsidRPr="004841CC">
        <w:rPr>
          <w:rFonts w:eastAsia="Calibri" w:cstheme="minorHAnsi"/>
          <w:snapToGrid/>
          <w:lang w:val="en-US"/>
        </w:rPr>
        <w:lastRenderedPageBreak/>
        <w:t>support First Nations peoples to receive culturally safe care when and where they need it. This includes encouraging cultural awareness and competence among non-First Nations health professionals.</w:t>
      </w:r>
    </w:p>
    <w:p w14:paraId="003E394A" w14:textId="77777777" w:rsidR="004841CC" w:rsidRPr="004841CC" w:rsidRDefault="004841CC" w:rsidP="004841CC">
      <w:pPr>
        <w:pStyle w:val="ListBullet"/>
        <w:keepNext/>
        <w:keepLines/>
        <w:spacing w:before="60" w:after="60"/>
        <w:rPr>
          <w:rFonts w:eastAsia="Calibri" w:cstheme="minorHAnsi"/>
          <w:snapToGrid/>
          <w:lang w:val="en-US"/>
        </w:rPr>
      </w:pPr>
      <w:r w:rsidRPr="004841CC">
        <w:rPr>
          <w:rFonts w:eastAsia="Calibri" w:cstheme="minorHAnsi"/>
          <w:snapToGrid/>
          <w:lang w:val="en-US"/>
        </w:rPr>
        <w:t xml:space="preserve">support the increase of attraction, </w:t>
      </w:r>
      <w:proofErr w:type="gramStart"/>
      <w:r w:rsidRPr="004841CC">
        <w:rPr>
          <w:rFonts w:eastAsia="Calibri" w:cstheme="minorHAnsi"/>
          <w:snapToGrid/>
          <w:lang w:val="en-US"/>
        </w:rPr>
        <w:t>retention</w:t>
      </w:r>
      <w:proofErr w:type="gramEnd"/>
      <w:r w:rsidRPr="004841CC">
        <w:rPr>
          <w:rFonts w:eastAsia="Calibri" w:cstheme="minorHAnsi"/>
          <w:snapToGrid/>
          <w:lang w:val="en-US"/>
        </w:rPr>
        <w:t xml:space="preserve"> and career development for First Nations people in the health workforce.</w:t>
      </w:r>
    </w:p>
    <w:p w14:paraId="6E28692D" w14:textId="77777777" w:rsidR="004841CC" w:rsidRPr="004841CC" w:rsidRDefault="004841CC" w:rsidP="004841CC">
      <w:pPr>
        <w:pStyle w:val="Heading2"/>
        <w:spacing w:before="120"/>
        <w:rPr>
          <w:rFonts w:cstheme="minorHAnsi"/>
        </w:rPr>
      </w:pPr>
      <w:r w:rsidRPr="004841CC">
        <w:rPr>
          <w:rFonts w:cstheme="minorHAnsi"/>
        </w:rPr>
        <w:t xml:space="preserve">Support urgent and emerging </w:t>
      </w:r>
      <w:proofErr w:type="gramStart"/>
      <w:r w:rsidRPr="004841CC">
        <w:rPr>
          <w:rFonts w:cstheme="minorHAnsi"/>
        </w:rPr>
        <w:t>priorities</w:t>
      </w:r>
      <w:proofErr w:type="gramEnd"/>
    </w:p>
    <w:p w14:paraId="1F57E461" w14:textId="77777777" w:rsidR="004841CC" w:rsidRPr="004841CC" w:rsidRDefault="004841CC" w:rsidP="004841CC">
      <w:pPr>
        <w:spacing w:before="60" w:after="60"/>
        <w:contextualSpacing/>
        <w:rPr>
          <w:rFonts w:asciiTheme="minorHAnsi" w:eastAsia="Calibri" w:hAnsiTheme="minorHAnsi" w:cstheme="minorHAnsi"/>
          <w:sz w:val="24"/>
          <w:szCs w:val="20"/>
        </w:rPr>
      </w:pPr>
      <w:r w:rsidRPr="004841CC">
        <w:rPr>
          <w:rFonts w:asciiTheme="minorHAnsi" w:eastAsia="Calibri" w:hAnsiTheme="minorHAnsi" w:cstheme="minorHAnsi"/>
          <w:sz w:val="24"/>
          <w:szCs w:val="20"/>
        </w:rPr>
        <w:t>The Commissioner will:</w:t>
      </w:r>
    </w:p>
    <w:p w14:paraId="09E116DD" w14:textId="77777777" w:rsidR="004841CC" w:rsidRPr="004841CC" w:rsidRDefault="004841CC" w:rsidP="004841CC">
      <w:pPr>
        <w:pStyle w:val="ListBullet"/>
        <w:spacing w:before="60" w:after="60"/>
        <w:rPr>
          <w:rFonts w:eastAsia="Calibri" w:cstheme="minorHAnsi"/>
          <w:snapToGrid/>
          <w:lang w:val="en-US"/>
        </w:rPr>
      </w:pPr>
      <w:r w:rsidRPr="004841CC">
        <w:rPr>
          <w:rFonts w:eastAsia="Calibri" w:cstheme="minorHAnsi"/>
          <w:snapToGrid/>
          <w:lang w:val="en-US"/>
        </w:rPr>
        <w:t>advise of potential, and actual, rural health risks, and provide practical options.</w:t>
      </w:r>
    </w:p>
    <w:p w14:paraId="1B36C38D" w14:textId="77777777" w:rsidR="004841CC" w:rsidRPr="004841CC" w:rsidRDefault="004841CC" w:rsidP="004841CC">
      <w:pPr>
        <w:pStyle w:val="ListBullet"/>
        <w:spacing w:before="60" w:after="60"/>
        <w:rPr>
          <w:rFonts w:eastAsia="Calibri" w:cstheme="minorHAnsi"/>
          <w:snapToGrid/>
          <w:lang w:val="en-US"/>
        </w:rPr>
      </w:pPr>
      <w:r w:rsidRPr="004841CC">
        <w:rPr>
          <w:rFonts w:eastAsia="Calibri" w:cstheme="minorHAnsi"/>
          <w:snapToGrid/>
          <w:lang w:val="en-US"/>
        </w:rPr>
        <w:t xml:space="preserve">assist the independent review of the functions of the Office of the National Rural Health Commissioner in 2025 (Part VA of the </w:t>
      </w:r>
      <w:r w:rsidRPr="004841CC">
        <w:rPr>
          <w:rFonts w:eastAsia="Calibri" w:cstheme="minorHAnsi"/>
          <w:i/>
          <w:iCs/>
          <w:snapToGrid/>
          <w:lang w:val="en-US"/>
        </w:rPr>
        <w:t>Health Insurance Act 1973)</w:t>
      </w:r>
      <w:r w:rsidRPr="004841CC">
        <w:rPr>
          <w:rFonts w:eastAsia="Calibri" w:cstheme="minorHAnsi"/>
          <w:snapToGrid/>
          <w:lang w:val="en-US"/>
        </w:rPr>
        <w:t xml:space="preserve">. </w:t>
      </w:r>
    </w:p>
    <w:p w14:paraId="1EF8B298" w14:textId="77777777" w:rsidR="004841CC" w:rsidRPr="004841CC" w:rsidRDefault="004841CC" w:rsidP="004841CC">
      <w:pPr>
        <w:pStyle w:val="ListBullet"/>
        <w:spacing w:before="60" w:after="60"/>
        <w:rPr>
          <w:rFonts w:eastAsia="Calibri" w:cstheme="minorHAnsi"/>
          <w:snapToGrid/>
          <w:lang w:val="en-US"/>
        </w:rPr>
      </w:pPr>
      <w:r w:rsidRPr="004841CC">
        <w:rPr>
          <w:rFonts w:eastAsia="Calibri" w:cstheme="minorHAnsi"/>
          <w:snapToGrid/>
          <w:lang w:val="en-US"/>
        </w:rPr>
        <w:t xml:space="preserve">assist with the design and implementation of response strategies on disaster and recovery advice for rural, </w:t>
      </w:r>
      <w:proofErr w:type="gramStart"/>
      <w:r w:rsidRPr="004841CC">
        <w:rPr>
          <w:rFonts w:eastAsia="Calibri" w:cstheme="minorHAnsi"/>
          <w:snapToGrid/>
          <w:lang w:val="en-US"/>
        </w:rPr>
        <w:t>remote</w:t>
      </w:r>
      <w:proofErr w:type="gramEnd"/>
      <w:r w:rsidRPr="004841CC">
        <w:rPr>
          <w:rFonts w:eastAsia="Calibri" w:cstheme="minorHAnsi"/>
          <w:snapToGrid/>
          <w:lang w:val="en-US"/>
        </w:rPr>
        <w:t xml:space="preserve"> and very remote communities in consultation with the National Emergency Management Agency. </w:t>
      </w:r>
    </w:p>
    <w:p w14:paraId="45E837CD" w14:textId="77777777" w:rsidR="004841CC" w:rsidRPr="004841CC" w:rsidRDefault="004841CC" w:rsidP="004841CC">
      <w:pPr>
        <w:pStyle w:val="Heading1"/>
        <w:spacing w:before="0" w:after="0"/>
        <w:rPr>
          <w:rFonts w:eastAsia="Calibri" w:cstheme="minorHAnsi"/>
          <w:snapToGrid/>
          <w:lang w:val="en-US"/>
        </w:rPr>
      </w:pPr>
      <w:r w:rsidRPr="004841CC">
        <w:rPr>
          <w:rFonts w:eastAsia="Calibri" w:cstheme="minorHAnsi"/>
          <w:snapToGrid/>
          <w:lang w:val="en-US"/>
        </w:rPr>
        <w:t>Stakeholder relationships</w:t>
      </w:r>
    </w:p>
    <w:p w14:paraId="78B1915B" w14:textId="77777777" w:rsidR="004841CC" w:rsidRPr="004841CC" w:rsidRDefault="004841CC" w:rsidP="004841CC">
      <w:pPr>
        <w:spacing w:before="60" w:after="60"/>
        <w:contextualSpacing/>
        <w:rPr>
          <w:rFonts w:asciiTheme="minorHAnsi" w:eastAsia="Calibri" w:hAnsiTheme="minorHAnsi" w:cstheme="minorHAnsi"/>
          <w:sz w:val="24"/>
          <w:szCs w:val="20"/>
        </w:rPr>
      </w:pPr>
      <w:r w:rsidRPr="004841CC">
        <w:rPr>
          <w:rFonts w:asciiTheme="minorHAnsi" w:eastAsia="Calibri" w:hAnsiTheme="minorHAnsi" w:cstheme="minorHAnsi"/>
          <w:sz w:val="24"/>
          <w:szCs w:val="20"/>
        </w:rPr>
        <w:t>The Commissioner will undertake consultation with stakeholders, including:</w:t>
      </w:r>
    </w:p>
    <w:p w14:paraId="4F2240C0" w14:textId="77777777" w:rsidR="004841CC" w:rsidRPr="004841CC" w:rsidRDefault="004841CC" w:rsidP="004841CC">
      <w:pPr>
        <w:pStyle w:val="ListBullet"/>
        <w:rPr>
          <w:rFonts w:eastAsia="Calibri" w:cstheme="minorHAnsi"/>
          <w:snapToGrid/>
          <w:lang w:val="en-US"/>
        </w:rPr>
      </w:pPr>
      <w:r w:rsidRPr="004841CC">
        <w:rPr>
          <w:rFonts w:eastAsia="Calibri" w:cstheme="minorHAnsi"/>
          <w:snapToGrid/>
          <w:lang w:val="en-US"/>
        </w:rPr>
        <w:t xml:space="preserve">regional, rural, </w:t>
      </w:r>
      <w:proofErr w:type="gramStart"/>
      <w:r w:rsidRPr="004841CC">
        <w:rPr>
          <w:rFonts w:eastAsia="Calibri" w:cstheme="minorHAnsi"/>
          <w:snapToGrid/>
          <w:lang w:val="en-US"/>
        </w:rPr>
        <w:t>remote</w:t>
      </w:r>
      <w:proofErr w:type="gramEnd"/>
      <w:r w:rsidRPr="004841CC">
        <w:rPr>
          <w:rFonts w:eastAsia="Calibri" w:cstheme="minorHAnsi"/>
          <w:snapToGrid/>
          <w:lang w:val="en-US"/>
        </w:rPr>
        <w:t xml:space="preserve"> and very remote communities, service providers and consumers, including Aboriginal community-controlled and other targeted services.</w:t>
      </w:r>
    </w:p>
    <w:p w14:paraId="701AE6C8" w14:textId="77777777" w:rsidR="004841CC" w:rsidRPr="004841CC" w:rsidRDefault="004841CC" w:rsidP="004841CC">
      <w:pPr>
        <w:pStyle w:val="ListBullet"/>
        <w:rPr>
          <w:rFonts w:eastAsia="Calibri" w:cstheme="minorHAnsi"/>
          <w:snapToGrid/>
          <w:lang w:val="en-US"/>
        </w:rPr>
      </w:pPr>
      <w:r w:rsidRPr="004841CC">
        <w:rPr>
          <w:rFonts w:eastAsia="Calibri" w:cstheme="minorHAnsi"/>
          <w:snapToGrid/>
          <w:lang w:val="en-US"/>
        </w:rPr>
        <w:t>peak bodies, universities, and health professional colleges.</w:t>
      </w:r>
    </w:p>
    <w:p w14:paraId="5314691C" w14:textId="77777777" w:rsidR="004841CC" w:rsidRPr="004841CC" w:rsidRDefault="004841CC" w:rsidP="004841CC">
      <w:pPr>
        <w:pStyle w:val="ListBullet"/>
        <w:rPr>
          <w:rFonts w:eastAsia="Calibri" w:cstheme="minorHAnsi"/>
          <w:snapToGrid/>
          <w:lang w:val="en-US"/>
        </w:rPr>
      </w:pPr>
      <w:r w:rsidRPr="004841CC">
        <w:rPr>
          <w:rFonts w:eastAsia="Calibri" w:cstheme="minorHAnsi"/>
          <w:snapToGrid/>
          <w:lang w:val="en-US"/>
        </w:rPr>
        <w:t>state and territory governments.</w:t>
      </w:r>
    </w:p>
    <w:p w14:paraId="51114B16" w14:textId="77777777" w:rsidR="004841CC" w:rsidRPr="004841CC" w:rsidRDefault="004841CC" w:rsidP="004841CC">
      <w:pPr>
        <w:pStyle w:val="ListBullet"/>
        <w:rPr>
          <w:rFonts w:eastAsia="Calibri" w:cstheme="minorHAnsi"/>
          <w:snapToGrid/>
          <w:lang w:val="en-US"/>
        </w:rPr>
      </w:pPr>
      <w:r w:rsidRPr="004841CC">
        <w:rPr>
          <w:rFonts w:eastAsia="Calibri" w:cstheme="minorHAnsi"/>
          <w:snapToGrid/>
          <w:lang w:val="en-US"/>
        </w:rPr>
        <w:t>Primary Health Networks (PHNs).</w:t>
      </w:r>
    </w:p>
    <w:p w14:paraId="1F7A64C2" w14:textId="77777777" w:rsidR="004841CC" w:rsidRPr="004841CC" w:rsidRDefault="004841CC" w:rsidP="004841CC">
      <w:pPr>
        <w:pStyle w:val="ListBullet"/>
        <w:rPr>
          <w:rFonts w:eastAsia="Calibri" w:cstheme="minorHAnsi"/>
          <w:snapToGrid/>
          <w:lang w:val="en-US"/>
        </w:rPr>
      </w:pPr>
      <w:r w:rsidRPr="004841CC">
        <w:rPr>
          <w:rFonts w:eastAsia="Calibri" w:cstheme="minorHAnsi"/>
          <w:snapToGrid/>
          <w:lang w:val="en-US"/>
        </w:rPr>
        <w:t>Rural Workforce Agencies (RWAs).</w:t>
      </w:r>
    </w:p>
    <w:p w14:paraId="3578312E" w14:textId="77777777" w:rsidR="004841CC" w:rsidRPr="004841CC" w:rsidRDefault="004841CC" w:rsidP="004841CC">
      <w:pPr>
        <w:pStyle w:val="ListBullet"/>
        <w:rPr>
          <w:rFonts w:eastAsia="Calibri" w:cstheme="minorHAnsi"/>
          <w:snapToGrid/>
          <w:lang w:val="en-US"/>
        </w:rPr>
      </w:pPr>
      <w:r w:rsidRPr="004841CC">
        <w:rPr>
          <w:rFonts w:eastAsia="Calibri" w:cstheme="minorHAnsi"/>
          <w:snapToGrid/>
          <w:lang w:val="en-US"/>
        </w:rPr>
        <w:t>Departmental senior executives and other Commissioners with portfolio linkages.</w:t>
      </w:r>
    </w:p>
    <w:p w14:paraId="5F038F38" w14:textId="77777777" w:rsidR="004841CC" w:rsidRPr="004841CC" w:rsidRDefault="004841CC" w:rsidP="004841CC">
      <w:pPr>
        <w:pStyle w:val="ListBullet"/>
        <w:rPr>
          <w:rFonts w:eastAsia="Calibri" w:cstheme="minorHAnsi"/>
          <w:snapToGrid/>
          <w:lang w:val="en-US"/>
        </w:rPr>
      </w:pPr>
      <w:r w:rsidRPr="004841CC">
        <w:rPr>
          <w:rFonts w:eastAsia="Calibri" w:cstheme="minorHAnsi"/>
          <w:snapToGrid/>
          <w:lang w:val="en-US"/>
        </w:rPr>
        <w:t xml:space="preserve">Involvement in or leadership of various committees, taskforces, and working groups. </w:t>
      </w:r>
    </w:p>
    <w:p w14:paraId="269A4B8F" w14:textId="77777777" w:rsidR="004841CC" w:rsidRPr="004841CC" w:rsidRDefault="004841CC" w:rsidP="004841CC">
      <w:pPr>
        <w:pStyle w:val="ListBullet"/>
        <w:rPr>
          <w:rFonts w:eastAsia="Calibri" w:cstheme="minorHAnsi"/>
          <w:snapToGrid/>
          <w:lang w:val="en-US"/>
        </w:rPr>
      </w:pPr>
      <w:r w:rsidRPr="004841CC">
        <w:rPr>
          <w:rFonts w:eastAsia="Calibri" w:cstheme="minorHAnsi"/>
          <w:snapToGrid/>
          <w:lang w:val="en-US"/>
        </w:rPr>
        <w:t xml:space="preserve">Ministers and their offices, other </w:t>
      </w:r>
      <w:proofErr w:type="gramStart"/>
      <w:r w:rsidRPr="004841CC">
        <w:rPr>
          <w:rFonts w:eastAsia="Calibri" w:cstheme="minorHAnsi"/>
          <w:snapToGrid/>
          <w:lang w:val="en-US"/>
        </w:rPr>
        <w:t>parliamentarians</w:t>
      </w:r>
      <w:proofErr w:type="gramEnd"/>
      <w:r w:rsidRPr="004841CC">
        <w:rPr>
          <w:rFonts w:eastAsia="Calibri" w:cstheme="minorHAnsi"/>
          <w:snapToGrid/>
          <w:lang w:val="en-US"/>
        </w:rPr>
        <w:t xml:space="preserve"> and their offices, upon request and with the approval of the Assistant Minister</w:t>
      </w:r>
    </w:p>
    <w:p w14:paraId="08517C3A" w14:textId="77777777" w:rsidR="004841CC" w:rsidRPr="004841CC" w:rsidRDefault="004841CC" w:rsidP="004841CC">
      <w:pPr>
        <w:pStyle w:val="ListBullet"/>
        <w:rPr>
          <w:rFonts w:eastAsia="Calibri" w:cstheme="minorHAnsi"/>
          <w:snapToGrid/>
          <w:lang w:val="en-US"/>
        </w:rPr>
      </w:pPr>
      <w:r w:rsidRPr="004841CC">
        <w:rPr>
          <w:rFonts w:eastAsia="Calibri" w:cstheme="minorHAnsi"/>
          <w:snapToGrid/>
          <w:lang w:val="en-US"/>
        </w:rPr>
        <w:t>the Assistant Minister for Rural and Regional Health.</w:t>
      </w:r>
    </w:p>
    <w:p w14:paraId="3917774A" w14:textId="77777777" w:rsidR="004841CC" w:rsidRPr="004841CC" w:rsidRDefault="004841CC" w:rsidP="004841CC">
      <w:pPr>
        <w:pStyle w:val="Heading1"/>
        <w:spacing w:after="0"/>
        <w:rPr>
          <w:rFonts w:eastAsia="Calibri" w:cstheme="minorHAnsi"/>
          <w:snapToGrid/>
          <w:lang w:val="en-US"/>
        </w:rPr>
      </w:pPr>
      <w:proofErr w:type="spellStart"/>
      <w:r w:rsidRPr="004841CC">
        <w:rPr>
          <w:rFonts w:eastAsia="Calibri" w:cstheme="minorHAnsi"/>
          <w:snapToGrid/>
          <w:lang w:val="en-US"/>
        </w:rPr>
        <w:t>Organisational</w:t>
      </w:r>
      <w:proofErr w:type="spellEnd"/>
      <w:r w:rsidRPr="004841CC">
        <w:rPr>
          <w:rFonts w:eastAsia="Calibri" w:cstheme="minorHAnsi"/>
          <w:snapToGrid/>
          <w:lang w:val="en-US"/>
        </w:rPr>
        <w:t xml:space="preserve"> governance</w:t>
      </w:r>
    </w:p>
    <w:p w14:paraId="544830E4" w14:textId="77777777" w:rsidR="004841CC" w:rsidRPr="004841CC" w:rsidRDefault="004841CC" w:rsidP="004841CC">
      <w:pPr>
        <w:autoSpaceDE/>
        <w:autoSpaceDN/>
        <w:spacing w:after="120"/>
        <w:rPr>
          <w:rFonts w:asciiTheme="minorHAnsi" w:eastAsia="Calibri" w:hAnsiTheme="minorHAnsi" w:cstheme="minorHAnsi"/>
          <w:sz w:val="24"/>
          <w:szCs w:val="20"/>
        </w:rPr>
      </w:pPr>
      <w:r w:rsidRPr="004841CC">
        <w:rPr>
          <w:rFonts w:asciiTheme="minorHAnsi" w:eastAsia="Calibri" w:hAnsiTheme="minorHAnsi" w:cstheme="minorHAnsi"/>
          <w:sz w:val="24"/>
          <w:szCs w:val="20"/>
        </w:rPr>
        <w:t>The Commissioner is supported by two Deputy Commissioners with expertise across allied health and nursing to support a multidisciplinary approach.</w:t>
      </w:r>
    </w:p>
    <w:p w14:paraId="708880F4" w14:textId="77777777" w:rsidR="004841CC" w:rsidRPr="004841CC" w:rsidRDefault="004841CC" w:rsidP="004841CC">
      <w:pPr>
        <w:autoSpaceDE/>
        <w:autoSpaceDN/>
        <w:spacing w:after="120"/>
        <w:rPr>
          <w:rFonts w:asciiTheme="minorHAnsi" w:eastAsia="Calibri" w:hAnsiTheme="minorHAnsi" w:cstheme="minorHAnsi"/>
          <w:sz w:val="24"/>
          <w:szCs w:val="20"/>
        </w:rPr>
      </w:pPr>
      <w:r w:rsidRPr="004841CC">
        <w:rPr>
          <w:rFonts w:asciiTheme="minorHAnsi" w:eastAsia="Calibri" w:hAnsiTheme="minorHAnsi" w:cstheme="minorHAnsi"/>
          <w:sz w:val="24"/>
          <w:szCs w:val="20"/>
        </w:rPr>
        <w:t>The Department’s Health Workforce Division and Corporate Operations Group can provide advice on issues that may impact the Commissioner’s ability to fulfill their role and statutory objectives, including the Government’s governance and reporting requirements.</w:t>
      </w:r>
    </w:p>
    <w:p w14:paraId="3FC80095" w14:textId="77777777" w:rsidR="004841CC" w:rsidRPr="004841CC" w:rsidRDefault="004841CC" w:rsidP="004841CC">
      <w:pPr>
        <w:pStyle w:val="Heading1"/>
        <w:spacing w:after="0"/>
        <w:rPr>
          <w:rFonts w:eastAsia="Calibri" w:cstheme="minorHAnsi"/>
          <w:snapToGrid/>
          <w:lang w:val="en-US"/>
        </w:rPr>
      </w:pPr>
      <w:r w:rsidRPr="004841CC">
        <w:rPr>
          <w:rFonts w:eastAsia="Calibri" w:cstheme="minorHAnsi"/>
          <w:snapToGrid/>
          <w:lang w:val="en-US"/>
        </w:rPr>
        <w:t>Activity Work Plan</w:t>
      </w:r>
    </w:p>
    <w:p w14:paraId="76CB3C5A" w14:textId="77777777" w:rsidR="004841CC" w:rsidRPr="004841CC" w:rsidRDefault="004841CC" w:rsidP="004841CC">
      <w:pPr>
        <w:autoSpaceDE/>
        <w:autoSpaceDN/>
        <w:spacing w:after="120"/>
        <w:rPr>
          <w:rFonts w:asciiTheme="minorHAnsi" w:eastAsia="Calibri" w:hAnsiTheme="minorHAnsi" w:cstheme="minorHAnsi"/>
          <w:sz w:val="24"/>
          <w:szCs w:val="20"/>
        </w:rPr>
      </w:pPr>
      <w:r w:rsidRPr="004841CC">
        <w:rPr>
          <w:rFonts w:asciiTheme="minorHAnsi" w:eastAsia="Calibri" w:hAnsiTheme="minorHAnsi" w:cstheme="minorHAnsi"/>
          <w:sz w:val="24"/>
          <w:szCs w:val="20"/>
        </w:rPr>
        <w:t xml:space="preserve">The Commissioner will develop and maintain an Activity Work Plan (Plan) that outlines the activities the Office will progress to deliver the priorities set out in this document. The Commissioner can propose additional priorities that can be achieved during their term. The Plan will be delivered to the Assistant Minister by 31 October 2024 and will include indicators for measuring progress and timeframes for delivery. </w:t>
      </w:r>
    </w:p>
    <w:p w14:paraId="6DD73BEF" w14:textId="77777777" w:rsidR="004841CC" w:rsidRPr="004841CC" w:rsidRDefault="004841CC" w:rsidP="004841CC">
      <w:pPr>
        <w:autoSpaceDE/>
        <w:autoSpaceDN/>
        <w:spacing w:after="120"/>
        <w:rPr>
          <w:rFonts w:asciiTheme="minorHAnsi" w:eastAsia="Calibri" w:hAnsiTheme="minorHAnsi" w:cstheme="minorHAnsi"/>
          <w:sz w:val="24"/>
          <w:szCs w:val="20"/>
        </w:rPr>
      </w:pPr>
      <w:r w:rsidRPr="004841CC">
        <w:rPr>
          <w:rFonts w:asciiTheme="minorHAnsi" w:eastAsia="Calibri" w:hAnsiTheme="minorHAnsi" w:cstheme="minorHAnsi"/>
          <w:sz w:val="24"/>
          <w:szCs w:val="20"/>
        </w:rPr>
        <w:t>The Assistant Minister may task the Commissioner with additional specific projects or inquiries, which will be communicated via written correspondence.</w:t>
      </w:r>
    </w:p>
    <w:p w14:paraId="20EA0EE6" w14:textId="6291B4A1" w:rsidR="004841CC" w:rsidRDefault="004841CC" w:rsidP="004841CC">
      <w:pPr>
        <w:autoSpaceDE/>
        <w:autoSpaceDN/>
        <w:spacing w:after="120"/>
      </w:pPr>
      <w:r w:rsidRPr="004841CC">
        <w:rPr>
          <w:rFonts w:asciiTheme="minorHAnsi" w:eastAsia="Calibri" w:hAnsiTheme="minorHAnsi" w:cstheme="minorHAnsi"/>
          <w:sz w:val="24"/>
          <w:szCs w:val="20"/>
        </w:rPr>
        <w:t>The Plan will be updated every six months to include progress against the indicators, risk and issues identified, and new and emerging priorities as they arise. Each update will be provided to the Assistant Minister and the Department of Health and Aged Care.</w:t>
      </w:r>
    </w:p>
    <w:sectPr w:rsidR="004841CC" w:rsidSect="004841CC">
      <w:headerReference w:type="default" r:id="rId9"/>
      <w:footerReference w:type="default" r:id="rId10"/>
      <w:footerReference w:type="first" r:id="rId11"/>
      <w:type w:val="continuous"/>
      <w:pgSz w:w="11910" w:h="16840"/>
      <w:pgMar w:top="480" w:right="1280" w:bottom="600" w:left="1020" w:header="0" w:footer="40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F16EF" w14:textId="77777777" w:rsidR="005C1385" w:rsidRDefault="005C1385">
      <w:r>
        <w:separator/>
      </w:r>
    </w:p>
  </w:endnote>
  <w:endnote w:type="continuationSeparator" w:id="0">
    <w:p w14:paraId="5FC5862E" w14:textId="77777777" w:rsidR="005C1385" w:rsidRDefault="005C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7AA5" w14:textId="77777777" w:rsidR="004841CC" w:rsidRDefault="004841CC" w:rsidP="004841CC">
    <w:pPr>
      <w:pStyle w:val="Header"/>
      <w:jc w:val="center"/>
    </w:pPr>
    <w:r w:rsidRPr="00D23690">
      <w:rPr>
        <w:b/>
        <w:color w:val="FF0000"/>
        <w:sz w:val="28"/>
      </w:rPr>
      <w:t>OFFICIAL</w:t>
    </w:r>
  </w:p>
  <w:p w14:paraId="13FF1560" w14:textId="1A085332" w:rsidR="00DE6F4A" w:rsidRDefault="00DE6F4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CBDF" w14:textId="74AB1093" w:rsidR="004841CC" w:rsidRDefault="004841CC">
    <w:pPr>
      <w:pStyle w:val="Footer"/>
    </w:pPr>
    <w:r>
      <w:rPr>
        <w:noProof/>
      </w:rPr>
      <mc:AlternateContent>
        <mc:Choice Requires="wps">
          <w:drawing>
            <wp:anchor distT="0" distB="0" distL="0" distR="0" simplePos="0" relativeHeight="251659264" behindDoc="1" locked="0" layoutInCell="1" allowOverlap="1" wp14:anchorId="61A7C2EC" wp14:editId="31CA38A1">
              <wp:simplePos x="0" y="0"/>
              <wp:positionH relativeFrom="margin">
                <wp:align>center</wp:align>
              </wp:positionH>
              <wp:positionV relativeFrom="page">
                <wp:posOffset>10404696</wp:posOffset>
              </wp:positionV>
              <wp:extent cx="162623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6235" cy="139065"/>
                      </a:xfrm>
                      <a:prstGeom prst="rect">
                        <a:avLst/>
                      </a:prstGeom>
                    </wps:spPr>
                    <wps:txbx>
                      <w:txbxContent>
                        <w:p w14:paraId="4C6C5FFB" w14:textId="77777777" w:rsidR="004841CC" w:rsidRDefault="004841CC" w:rsidP="004841CC">
                          <w:pPr>
                            <w:spacing w:before="15"/>
                            <w:ind w:left="20"/>
                            <w:jc w:val="center"/>
                            <w:rPr>
                              <w:sz w:val="16"/>
                            </w:rPr>
                          </w:pPr>
                          <w:r>
                            <w:rPr>
                              <w:color w:val="181818"/>
                              <w:w w:val="90"/>
                              <w:sz w:val="16"/>
                            </w:rPr>
                            <w:t>Parliament</w:t>
                          </w:r>
                          <w:r>
                            <w:rPr>
                              <w:color w:val="181818"/>
                              <w:spacing w:val="-3"/>
                              <w:sz w:val="16"/>
                            </w:rPr>
                            <w:t xml:space="preserve"> </w:t>
                          </w:r>
                          <w:r>
                            <w:rPr>
                              <w:color w:val="181818"/>
                              <w:w w:val="90"/>
                              <w:sz w:val="16"/>
                            </w:rPr>
                            <w:t>House</w:t>
                          </w:r>
                          <w:r>
                            <w:rPr>
                              <w:color w:val="181818"/>
                              <w:spacing w:val="-1"/>
                              <w:w w:val="90"/>
                              <w:sz w:val="16"/>
                            </w:rPr>
                            <w:t xml:space="preserve"> </w:t>
                          </w:r>
                          <w:r>
                            <w:rPr>
                              <w:color w:val="181818"/>
                              <w:w w:val="90"/>
                              <w:sz w:val="16"/>
                            </w:rPr>
                            <w:t>Canberra</w:t>
                          </w:r>
                          <w:r>
                            <w:rPr>
                              <w:color w:val="181818"/>
                              <w:spacing w:val="16"/>
                              <w:sz w:val="16"/>
                            </w:rPr>
                            <w:t xml:space="preserve"> </w:t>
                          </w:r>
                          <w:r>
                            <w:rPr>
                              <w:color w:val="181818"/>
                              <w:w w:val="90"/>
                              <w:sz w:val="16"/>
                            </w:rPr>
                            <w:t>ACT</w:t>
                          </w:r>
                          <w:r>
                            <w:rPr>
                              <w:color w:val="181818"/>
                              <w:spacing w:val="-4"/>
                              <w:sz w:val="16"/>
                            </w:rPr>
                            <w:t xml:space="preserve"> </w:t>
                          </w:r>
                          <w:r>
                            <w:rPr>
                              <w:color w:val="181818"/>
                              <w:spacing w:val="-4"/>
                              <w:w w:val="90"/>
                              <w:sz w:val="16"/>
                            </w:rPr>
                            <w:t>2600</w:t>
                          </w:r>
                        </w:p>
                      </w:txbxContent>
                    </wps:txbx>
                    <wps:bodyPr wrap="square" lIns="0" tIns="0" rIns="0" bIns="0" rtlCol="0">
                      <a:noAutofit/>
                    </wps:bodyPr>
                  </wps:wsp>
                </a:graphicData>
              </a:graphic>
            </wp:anchor>
          </w:drawing>
        </mc:Choice>
        <mc:Fallback>
          <w:pict>
            <v:shapetype w14:anchorId="61A7C2EC" id="_x0000_t202" coordsize="21600,21600" o:spt="202" path="m,l,21600r21600,l21600,xe">
              <v:stroke joinstyle="miter"/>
              <v:path gradientshapeok="t" o:connecttype="rect"/>
            </v:shapetype>
            <v:shape id="Textbox 1" o:spid="_x0000_s1026" type="#_x0000_t202" style="position:absolute;margin-left:0;margin-top:819.25pt;width:128.05pt;height:10.95pt;z-index:-251657216;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" filled="f" stroked="f">
              <v:textbox inset="0,0,0,0">
                <w:txbxContent>
                  <w:p w14:paraId="4C6C5FFB" w14:textId="77777777" w:rsidR="004841CC" w:rsidRDefault="004841CC" w:rsidP="004841CC">
                    <w:pPr>
                      <w:spacing w:before="15"/>
                      <w:ind w:left="20"/>
                      <w:jc w:val="center"/>
                      <w:rPr>
                        <w:sz w:val="16"/>
                      </w:rPr>
                    </w:pPr>
                    <w:r>
                      <w:rPr>
                        <w:color w:val="181818"/>
                        <w:w w:val="90"/>
                        <w:sz w:val="16"/>
                      </w:rPr>
                      <w:t>Parliament</w:t>
                    </w:r>
                    <w:r>
                      <w:rPr>
                        <w:color w:val="181818"/>
                        <w:spacing w:val="-3"/>
                        <w:sz w:val="16"/>
                      </w:rPr>
                      <w:t xml:space="preserve"> </w:t>
                    </w:r>
                    <w:r>
                      <w:rPr>
                        <w:color w:val="181818"/>
                        <w:w w:val="90"/>
                        <w:sz w:val="16"/>
                      </w:rPr>
                      <w:t>House</w:t>
                    </w:r>
                    <w:r>
                      <w:rPr>
                        <w:color w:val="181818"/>
                        <w:spacing w:val="-1"/>
                        <w:w w:val="90"/>
                        <w:sz w:val="16"/>
                      </w:rPr>
                      <w:t xml:space="preserve"> </w:t>
                    </w:r>
                    <w:r>
                      <w:rPr>
                        <w:color w:val="181818"/>
                        <w:w w:val="90"/>
                        <w:sz w:val="16"/>
                      </w:rPr>
                      <w:t>Canberra</w:t>
                    </w:r>
                    <w:r>
                      <w:rPr>
                        <w:color w:val="181818"/>
                        <w:spacing w:val="16"/>
                        <w:sz w:val="16"/>
                      </w:rPr>
                      <w:t xml:space="preserve"> </w:t>
                    </w:r>
                    <w:r>
                      <w:rPr>
                        <w:color w:val="181818"/>
                        <w:w w:val="90"/>
                        <w:sz w:val="16"/>
                      </w:rPr>
                      <w:t>ACT</w:t>
                    </w:r>
                    <w:r>
                      <w:rPr>
                        <w:color w:val="181818"/>
                        <w:spacing w:val="-4"/>
                        <w:sz w:val="16"/>
                      </w:rPr>
                      <w:t xml:space="preserve"> </w:t>
                    </w:r>
                    <w:r>
                      <w:rPr>
                        <w:color w:val="181818"/>
                        <w:spacing w:val="-4"/>
                        <w:w w:val="90"/>
                        <w:sz w:val="16"/>
                      </w:rPr>
                      <w:t>2600</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391D5" w14:textId="77777777" w:rsidR="005C1385" w:rsidRDefault="005C1385">
      <w:r>
        <w:separator/>
      </w:r>
    </w:p>
  </w:footnote>
  <w:footnote w:type="continuationSeparator" w:id="0">
    <w:p w14:paraId="7E9A9BB4" w14:textId="77777777" w:rsidR="005C1385" w:rsidRDefault="005C1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CD76" w14:textId="77777777" w:rsidR="004841CC" w:rsidRDefault="004841CC" w:rsidP="004841CC">
    <w:pPr>
      <w:pStyle w:val="Header"/>
      <w:jc w:val="center"/>
      <w:rPr>
        <w:b/>
        <w:color w:val="FF0000"/>
        <w:sz w:val="28"/>
      </w:rPr>
    </w:pPr>
  </w:p>
  <w:p w14:paraId="61553AB6" w14:textId="77777777" w:rsidR="004841CC" w:rsidRDefault="004841CC" w:rsidP="004841CC">
    <w:pPr>
      <w:pStyle w:val="Header"/>
      <w:jc w:val="center"/>
      <w:rPr>
        <w:b/>
        <w:color w:val="FF0000"/>
        <w:sz w:val="28"/>
      </w:rPr>
    </w:pPr>
  </w:p>
  <w:p w14:paraId="68322FA7" w14:textId="41F7FA97" w:rsidR="004841CC" w:rsidRDefault="004841CC" w:rsidP="004841CC">
    <w:pPr>
      <w:pStyle w:val="Header"/>
      <w:jc w:val="center"/>
    </w:pPr>
    <w:r w:rsidRPr="00D23690">
      <w:rPr>
        <w:b/>
        <w:color w:val="FF0000"/>
        <w:sz w:val="28"/>
      </w:rPr>
      <w:t>OFFICIAL</w:t>
    </w:r>
  </w:p>
  <w:p w14:paraId="7FCF15EE" w14:textId="77777777" w:rsidR="004841CC" w:rsidRDefault="00484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B65680"/>
    <w:lvl w:ilvl="0">
      <w:start w:val="1"/>
      <w:numFmt w:val="bullet"/>
      <w:pStyle w:val="ListBullet"/>
      <w:lvlText w:val=""/>
      <w:lvlJc w:val="left"/>
      <w:pPr>
        <w:tabs>
          <w:tab w:val="num" w:pos="360"/>
        </w:tabs>
        <w:ind w:left="360" w:hanging="360"/>
      </w:pPr>
      <w:rPr>
        <w:rFonts w:ascii="Symbol" w:hAnsi="Symbol" w:hint="default"/>
      </w:rPr>
    </w:lvl>
  </w:abstractNum>
  <w:num w:numId="1" w16cid:durableId="1436368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4A"/>
    <w:rsid w:val="004841CC"/>
    <w:rsid w:val="005C1385"/>
    <w:rsid w:val="006179E4"/>
    <w:rsid w:val="00750201"/>
    <w:rsid w:val="009B5098"/>
    <w:rsid w:val="00A07493"/>
    <w:rsid w:val="00BE20EC"/>
    <w:rsid w:val="00DD7DDC"/>
    <w:rsid w:val="00DE6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F153F"/>
  <w15:docId w15:val="{6EDF7E23-B290-43AC-A908-22C742EE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qFormat/>
    <w:rsid w:val="004841CC"/>
    <w:pPr>
      <w:keepNext/>
      <w:keepLines/>
      <w:autoSpaceDE/>
      <w:autoSpaceDN/>
      <w:spacing w:before="120" w:after="120" w:line="276" w:lineRule="auto"/>
      <w:outlineLvl w:val="0"/>
    </w:pPr>
    <w:rPr>
      <w:rFonts w:asciiTheme="minorHAnsi" w:eastAsia="Times New Roman" w:hAnsiTheme="minorHAnsi" w:cs="Times New Roman"/>
      <w:b/>
      <w:bCs/>
      <w:snapToGrid w:val="0"/>
      <w:color w:val="365F91"/>
      <w:sz w:val="28"/>
      <w:szCs w:val="28"/>
      <w:lang w:val="en-AU"/>
    </w:rPr>
  </w:style>
  <w:style w:type="paragraph" w:styleId="Heading2">
    <w:name w:val="heading 2"/>
    <w:basedOn w:val="Heading1"/>
    <w:next w:val="Normal"/>
    <w:link w:val="Heading2Char"/>
    <w:unhideWhenUsed/>
    <w:qFormat/>
    <w:rsid w:val="004841CC"/>
    <w:pPr>
      <w:spacing w:before="40" w:after="0"/>
      <w:outlineLvl w:val="1"/>
    </w:pPr>
    <w:rPr>
      <w:rFonts w:eastAsiaTheme="majorEastAsia" w:cstheme="majorBidi"/>
      <w:b w:val="0"/>
      <w:color w:val="365F91"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link w:val="TitleChar"/>
    <w:qFormat/>
    <w:pPr>
      <w:spacing w:before="16"/>
      <w:ind w:left="1214" w:right="844"/>
      <w:jc w:val="center"/>
    </w:pPr>
    <w:rPr>
      <w:rFonts w:ascii="Times New Roman" w:eastAsia="Times New Roman" w:hAnsi="Times New Roman" w:cs="Times New Roman"/>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4841CC"/>
    <w:rPr>
      <w:rFonts w:eastAsia="Times New Roman" w:cs="Times New Roman"/>
      <w:b/>
      <w:bCs/>
      <w:snapToGrid w:val="0"/>
      <w:color w:val="365F91"/>
      <w:sz w:val="28"/>
      <w:szCs w:val="28"/>
      <w:lang w:val="en-AU"/>
    </w:rPr>
  </w:style>
  <w:style w:type="character" w:customStyle="1" w:styleId="Heading2Char">
    <w:name w:val="Heading 2 Char"/>
    <w:basedOn w:val="DefaultParagraphFont"/>
    <w:link w:val="Heading2"/>
    <w:rsid w:val="004841CC"/>
    <w:rPr>
      <w:rFonts w:eastAsiaTheme="majorEastAsia" w:cstheme="majorBidi"/>
      <w:bCs/>
      <w:snapToGrid w:val="0"/>
      <w:color w:val="365F91" w:themeColor="accent1" w:themeShade="BF"/>
      <w:sz w:val="24"/>
      <w:szCs w:val="26"/>
      <w:lang w:val="en-AU"/>
    </w:rPr>
  </w:style>
  <w:style w:type="character" w:customStyle="1" w:styleId="TitleChar">
    <w:name w:val="Title Char"/>
    <w:basedOn w:val="DefaultParagraphFont"/>
    <w:link w:val="Title"/>
    <w:rsid w:val="004841CC"/>
    <w:rPr>
      <w:rFonts w:ascii="Times New Roman" w:eastAsia="Times New Roman" w:hAnsi="Times New Roman" w:cs="Times New Roman"/>
      <w:sz w:val="32"/>
      <w:szCs w:val="32"/>
    </w:rPr>
  </w:style>
  <w:style w:type="paragraph" w:styleId="Subtitle">
    <w:name w:val="Subtitle"/>
    <w:basedOn w:val="Title"/>
    <w:next w:val="Normal"/>
    <w:link w:val="SubtitleChar"/>
    <w:qFormat/>
    <w:rsid w:val="004841CC"/>
    <w:pPr>
      <w:widowControl/>
      <w:numPr>
        <w:ilvl w:val="1"/>
      </w:numPr>
      <w:autoSpaceDE/>
      <w:autoSpaceDN/>
      <w:spacing w:before="0" w:after="160"/>
      <w:ind w:right="0"/>
      <w:contextualSpacing/>
    </w:pPr>
    <w:rPr>
      <w:rFonts w:asciiTheme="minorHAnsi" w:eastAsiaTheme="minorEastAsia" w:hAnsiTheme="minorHAnsi" w:cstheme="minorBidi"/>
      <w:b/>
      <w:snapToGrid w:val="0"/>
      <w:color w:val="5A5A5A" w:themeColor="text1" w:themeTint="A5"/>
      <w:spacing w:val="15"/>
      <w:kern w:val="28"/>
      <w:sz w:val="22"/>
      <w:szCs w:val="22"/>
      <w:lang w:val="en-AU"/>
    </w:rPr>
  </w:style>
  <w:style w:type="character" w:customStyle="1" w:styleId="SubtitleChar">
    <w:name w:val="Subtitle Char"/>
    <w:basedOn w:val="DefaultParagraphFont"/>
    <w:link w:val="Subtitle"/>
    <w:rsid w:val="004841CC"/>
    <w:rPr>
      <w:rFonts w:eastAsiaTheme="minorEastAsia"/>
      <w:b/>
      <w:snapToGrid w:val="0"/>
      <w:color w:val="5A5A5A" w:themeColor="text1" w:themeTint="A5"/>
      <w:spacing w:val="15"/>
      <w:kern w:val="28"/>
      <w:lang w:val="en-AU"/>
    </w:rPr>
  </w:style>
  <w:style w:type="paragraph" w:styleId="ListBullet">
    <w:name w:val="List Bullet"/>
    <w:basedOn w:val="Normal"/>
    <w:unhideWhenUsed/>
    <w:rsid w:val="004841CC"/>
    <w:pPr>
      <w:numPr>
        <w:numId w:val="1"/>
      </w:numPr>
      <w:autoSpaceDE/>
      <w:autoSpaceDN/>
      <w:spacing w:before="120" w:after="120"/>
      <w:contextualSpacing/>
    </w:pPr>
    <w:rPr>
      <w:rFonts w:asciiTheme="minorHAnsi" w:eastAsia="Times New Roman" w:hAnsiTheme="minorHAnsi" w:cs="Times New Roman"/>
      <w:snapToGrid w:val="0"/>
      <w:sz w:val="24"/>
      <w:szCs w:val="20"/>
      <w:lang w:val="en-AU"/>
    </w:rPr>
  </w:style>
  <w:style w:type="paragraph" w:styleId="Header">
    <w:name w:val="header"/>
    <w:basedOn w:val="Normal"/>
    <w:link w:val="HeaderChar"/>
    <w:uiPriority w:val="99"/>
    <w:unhideWhenUsed/>
    <w:rsid w:val="004841CC"/>
    <w:pPr>
      <w:tabs>
        <w:tab w:val="center" w:pos="4513"/>
        <w:tab w:val="right" w:pos="9026"/>
      </w:tabs>
    </w:pPr>
  </w:style>
  <w:style w:type="character" w:customStyle="1" w:styleId="HeaderChar">
    <w:name w:val="Header Char"/>
    <w:basedOn w:val="DefaultParagraphFont"/>
    <w:link w:val="Header"/>
    <w:uiPriority w:val="99"/>
    <w:rsid w:val="004841CC"/>
    <w:rPr>
      <w:rFonts w:ascii="Arial" w:eastAsia="Arial" w:hAnsi="Arial" w:cs="Arial"/>
    </w:rPr>
  </w:style>
  <w:style w:type="paragraph" w:styleId="Footer">
    <w:name w:val="footer"/>
    <w:basedOn w:val="Normal"/>
    <w:link w:val="FooterChar"/>
    <w:uiPriority w:val="99"/>
    <w:unhideWhenUsed/>
    <w:rsid w:val="004841CC"/>
    <w:pPr>
      <w:tabs>
        <w:tab w:val="center" w:pos="4513"/>
        <w:tab w:val="right" w:pos="9026"/>
      </w:tabs>
    </w:pPr>
  </w:style>
  <w:style w:type="character" w:customStyle="1" w:styleId="FooterChar">
    <w:name w:val="Footer Char"/>
    <w:basedOn w:val="DefaultParagraphFont"/>
    <w:link w:val="Footer"/>
    <w:uiPriority w:val="99"/>
    <w:rsid w:val="004841C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RHC@health.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SKM3DAEC224091218320.pdf</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Expectations for the National Rural Health Commissioner 2 September 2024 – 30 June 2026</dc:title>
  <dc:subject>Rural Health; National Rural Health Commissioner</dc:subject>
  <dc:creator>Australian Government Department of Health and Aged Care</dc:creator>
  <cp:keywords>Rural Health; National Rural Health Commissioner</cp:keywords>
  <cp:revision>7</cp:revision>
  <dcterms:created xsi:type="dcterms:W3CDTF">2024-09-25T00:50:00Z</dcterms:created>
  <dcterms:modified xsi:type="dcterms:W3CDTF">2024-09-26T02:32:00Z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2024-09-12T00:00:00Z</vt:filetime>
  </property>
  <property fmtid="{D5CDD505-2E9C-101B-9397-08002B2CF9AE}" pid="3" name="LastSaved">
    <vt:filetime>2024-09-25T00:00:00Z</vt:filetime>
  </property>
  <property fmtid="{D5CDD505-2E9C-101B-9397-08002B2CF9AE}" pid="4" name="Producer">
    <vt:lpwstr>Microsoft: Print To PDF</vt:lpwstr>
  </property>
</Properties>
</file>