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EB5DB" w14:textId="153FC77E" w:rsidR="003619F4" w:rsidRPr="00C13518" w:rsidRDefault="00051F7A" w:rsidP="00051F7A">
      <w:pPr>
        <w:pStyle w:val="Heading1"/>
        <w:spacing w:before="0"/>
        <w:rPr>
          <w:sz w:val="56"/>
        </w:rPr>
      </w:pPr>
      <w:r w:rsidRPr="00C13518">
        <w:rPr>
          <w:sz w:val="56"/>
        </w:rPr>
        <w:t xml:space="preserve">Response to the </w:t>
      </w:r>
      <w:r w:rsidR="00957EF6" w:rsidRPr="00C13518">
        <w:rPr>
          <w:sz w:val="56"/>
        </w:rPr>
        <w:t xml:space="preserve">Aged Care Taskforce - </w:t>
      </w:r>
      <w:r w:rsidR="00AD4CA0" w:rsidRPr="00C13518">
        <w:rPr>
          <w:sz w:val="56"/>
        </w:rPr>
        <w:t>Residential C</w:t>
      </w:r>
      <w:r w:rsidR="00961E79" w:rsidRPr="00C13518">
        <w:rPr>
          <w:sz w:val="56"/>
        </w:rPr>
        <w:t xml:space="preserve">are </w:t>
      </w:r>
      <w:r w:rsidR="00481948">
        <w:rPr>
          <w:sz w:val="56"/>
        </w:rPr>
        <w:t>C</w:t>
      </w:r>
      <w:r w:rsidR="00DE4383" w:rsidRPr="00C13518">
        <w:rPr>
          <w:sz w:val="56"/>
        </w:rPr>
        <w:t>ontributions</w:t>
      </w:r>
    </w:p>
    <w:p w14:paraId="3FC8CB8C" w14:textId="1B834C52" w:rsidR="006F3B00" w:rsidRPr="005A7F57" w:rsidRDefault="006F3B00" w:rsidP="005A7F57">
      <w:pPr>
        <w:pStyle w:val="Heading2"/>
      </w:pPr>
      <w:bookmarkStart w:id="0" w:name="_Hlk163461203"/>
      <w:r w:rsidRPr="00EA0041">
        <w:t>The need for change</w:t>
      </w:r>
    </w:p>
    <w:p w14:paraId="388C87AA" w14:textId="1D2A9EE1" w:rsidR="009D3188" w:rsidRDefault="00AA76F3" w:rsidP="00FA4971">
      <w:r>
        <w:t xml:space="preserve">Australia’s population is ageing. Over the next forty years, the number of people over the age of 85 is set to triple. </w:t>
      </w:r>
      <w:r w:rsidR="00EC0488" w:rsidRPr="00EC0488">
        <w:t xml:space="preserve">Aged care is </w:t>
      </w:r>
      <w:r w:rsidR="006E34EE">
        <w:t>one of the</w:t>
      </w:r>
      <w:r w:rsidR="006E34EE" w:rsidRPr="00EC0488">
        <w:t xml:space="preserve"> </w:t>
      </w:r>
      <w:r w:rsidR="00EC0488" w:rsidRPr="00EC0488">
        <w:t>biggest pressure</w:t>
      </w:r>
      <w:r w:rsidR="006E34EE">
        <w:t>s</w:t>
      </w:r>
      <w:r w:rsidR="00EC0488" w:rsidRPr="00EC0488">
        <w:t xml:space="preserve"> on the Budget, and without action, spending is expected to more than double as a share of GDP over the next 40 years. </w:t>
      </w:r>
      <w:r w:rsidR="008C4B72">
        <w:t xml:space="preserve">There is a need to </w:t>
      </w:r>
      <w:r>
        <w:t xml:space="preserve">make </w:t>
      </w:r>
      <w:r w:rsidR="00653F41">
        <w:t>g</w:t>
      </w:r>
      <w:r w:rsidR="008C4B72">
        <w:t xml:space="preserve">overnment spending on aged care more sustainable, while ensuring </w:t>
      </w:r>
      <w:r w:rsidR="00702D6D">
        <w:t>residential aged care</w:t>
      </w:r>
      <w:r w:rsidR="00EA72CE">
        <w:t xml:space="preserve"> p</w:t>
      </w:r>
      <w:bookmarkStart w:id="1" w:name="_GoBack"/>
      <w:bookmarkEnd w:id="1"/>
      <w:r w:rsidR="00EA72CE">
        <w:t>roviders</w:t>
      </w:r>
      <w:r w:rsidR="00702D6D">
        <w:t xml:space="preserve"> are financially </w:t>
      </w:r>
      <w:r w:rsidR="00E16833">
        <w:t xml:space="preserve">viable </w:t>
      </w:r>
      <w:r w:rsidR="00702D6D">
        <w:t xml:space="preserve">and </w:t>
      </w:r>
      <w:r w:rsidR="008C4B72">
        <w:t>can meet future demand.</w:t>
      </w:r>
    </w:p>
    <w:p w14:paraId="13D93A43" w14:textId="765EC179" w:rsidR="00B21719" w:rsidRDefault="00B21719" w:rsidP="00FA4971">
      <w:r>
        <w:t xml:space="preserve">The </w:t>
      </w:r>
      <w:r w:rsidR="00AA76F3">
        <w:t>G</w:t>
      </w:r>
      <w:r>
        <w:t>overnment has made significant investments into residential aged care to improve the quality of care for residents</w:t>
      </w:r>
      <w:r w:rsidR="00B03204">
        <w:t>. Improvements have</w:t>
      </w:r>
      <w:r>
        <w:t xml:space="preserve"> increas</w:t>
      </w:r>
      <w:r w:rsidR="00B03204">
        <w:t>ed</w:t>
      </w:r>
      <w:r>
        <w:t xml:space="preserve"> care time </w:t>
      </w:r>
      <w:r w:rsidR="00CB2733">
        <w:t xml:space="preserve">and </w:t>
      </w:r>
      <w:r>
        <w:t>access to nursing care</w:t>
      </w:r>
      <w:r w:rsidR="00DF7EDE">
        <w:t>,</w:t>
      </w:r>
      <w:r w:rsidR="00B03204">
        <w:t xml:space="preserve"> </w:t>
      </w:r>
      <w:r w:rsidR="00443409">
        <w:t xml:space="preserve">and </w:t>
      </w:r>
      <w:r w:rsidR="00CB2733">
        <w:t xml:space="preserve">lifted </w:t>
      </w:r>
      <w:r>
        <w:t>wages for carers and nurses</w:t>
      </w:r>
      <w:r w:rsidR="00AA76F3">
        <w:t>,</w:t>
      </w:r>
      <w:r>
        <w:t xml:space="preserve"> </w:t>
      </w:r>
      <w:r w:rsidR="000837CC">
        <w:t>acknowledging</w:t>
      </w:r>
      <w:r w:rsidR="00702D6D">
        <w:t xml:space="preserve"> the value of their work and reduc</w:t>
      </w:r>
      <w:r w:rsidR="000837CC">
        <w:t>ing</w:t>
      </w:r>
      <w:r w:rsidR="00702D6D">
        <w:t xml:space="preserve"> labour shortages that have </w:t>
      </w:r>
      <w:r w:rsidR="00AA76F3">
        <w:t xml:space="preserve">held </w:t>
      </w:r>
      <w:r w:rsidR="00702D6D">
        <w:t>the sector</w:t>
      </w:r>
      <w:r w:rsidR="00FA2C60" w:rsidRPr="00FA2C60">
        <w:t xml:space="preserve"> </w:t>
      </w:r>
      <w:r w:rsidR="00FA2C60">
        <w:t>back</w:t>
      </w:r>
      <w:r>
        <w:t xml:space="preserve">. </w:t>
      </w:r>
      <w:r w:rsidR="00FA2C60">
        <w:t>The next step is to make aged care funding fairer and more sustainable.</w:t>
      </w:r>
    </w:p>
    <w:p w14:paraId="067A9D18" w14:textId="0A9E964B" w:rsidR="006F3B00" w:rsidRPr="006305EE" w:rsidRDefault="008C4B72" w:rsidP="00FA4971">
      <w:r>
        <w:t xml:space="preserve">The </w:t>
      </w:r>
      <w:r w:rsidR="00CB2733">
        <w:t>G</w:t>
      </w:r>
      <w:r>
        <w:t xml:space="preserve">overnment accepts the </w:t>
      </w:r>
      <w:r w:rsidR="00673008">
        <w:t>Aged Care</w:t>
      </w:r>
      <w:r w:rsidR="002B506B">
        <w:t xml:space="preserve"> </w:t>
      </w:r>
      <w:r>
        <w:t>Taskforce</w:t>
      </w:r>
      <w:r w:rsidR="00673008">
        <w:t xml:space="preserve"> (Taskforce)</w:t>
      </w:r>
      <w:r w:rsidR="00A40EDD">
        <w:t xml:space="preserve"> recommendation </w:t>
      </w:r>
      <w:r>
        <w:t xml:space="preserve">that </w:t>
      </w:r>
      <w:r w:rsidR="00404270">
        <w:t xml:space="preserve">those with the </w:t>
      </w:r>
      <w:proofErr w:type="gramStart"/>
      <w:r w:rsidR="00404270">
        <w:t>means</w:t>
      </w:r>
      <w:proofErr w:type="gramEnd"/>
      <w:r w:rsidR="00404270">
        <w:t xml:space="preserve"> to contribute be asked to make a fair contribution to the cost of their aged care.</w:t>
      </w:r>
    </w:p>
    <w:p w14:paraId="4E18CF3E" w14:textId="55830377" w:rsidR="00A40EDD" w:rsidRDefault="008C4B72" w:rsidP="00FA4971">
      <w:r>
        <w:t>The</w:t>
      </w:r>
      <w:r w:rsidR="00702D6D">
        <w:t xml:space="preserve"> </w:t>
      </w:r>
      <w:r w:rsidR="00CB2733">
        <w:t>G</w:t>
      </w:r>
      <w:r w:rsidR="00702D6D">
        <w:t xml:space="preserve">overnment also recognises there have to be </w:t>
      </w:r>
      <w:r>
        <w:t>strong protectio</w:t>
      </w:r>
      <w:r w:rsidR="00404270">
        <w:t xml:space="preserve">ns to ensure </w:t>
      </w:r>
      <w:r w:rsidR="00CB2733">
        <w:t xml:space="preserve">those </w:t>
      </w:r>
      <w:r w:rsidR="00443409">
        <w:t>who cannot</w:t>
      </w:r>
      <w:r>
        <w:t xml:space="preserve"> contribute</w:t>
      </w:r>
      <w:r w:rsidR="00404270">
        <w:t xml:space="preserve"> more</w:t>
      </w:r>
      <w:r>
        <w:t xml:space="preserve"> are</w:t>
      </w:r>
      <w:r w:rsidR="00404270">
        <w:t xml:space="preserve"> </w:t>
      </w:r>
      <w:r w:rsidR="00A40EDD">
        <w:t xml:space="preserve">supported and can access residential aged care when they need </w:t>
      </w:r>
      <w:r w:rsidR="00404270">
        <w:t>to do so.</w:t>
      </w:r>
      <w:r>
        <w:t xml:space="preserve"> </w:t>
      </w:r>
      <w:r w:rsidR="00D75C0F">
        <w:t>Government funding needs to be targeted to those with the greatest financial need.</w:t>
      </w:r>
    </w:p>
    <w:p w14:paraId="58B31919" w14:textId="032CB20E" w:rsidR="001A2F47" w:rsidRDefault="00A40EDD" w:rsidP="00FA4971">
      <w:r>
        <w:t xml:space="preserve">Residential aged care </w:t>
      </w:r>
      <w:r w:rsidR="00702D6D">
        <w:t>contributions</w:t>
      </w:r>
      <w:r>
        <w:t xml:space="preserve"> also need to be simpler so residents can understand how </w:t>
      </w:r>
      <w:r w:rsidR="00702D6D">
        <w:t>contributions</w:t>
      </w:r>
      <w:r>
        <w:t xml:space="preserve"> relate to the cost of their care.</w:t>
      </w:r>
      <w:r w:rsidR="00702D6D">
        <w:t xml:space="preserve"> The </w:t>
      </w:r>
      <w:r w:rsidR="00CB2733">
        <w:t>G</w:t>
      </w:r>
      <w:r w:rsidR="00702D6D">
        <w:t xml:space="preserve">overnment also accepts the Taskforce’s recommendation that </w:t>
      </w:r>
      <w:r w:rsidR="00673008">
        <w:t>g</w:t>
      </w:r>
      <w:r w:rsidR="00702D6D">
        <w:t>overnment funding should be focused on care, with residents paying a greater contribution for everyday living and accommodation expenses they have met throughout their lives.</w:t>
      </w:r>
      <w:bookmarkEnd w:id="0"/>
    </w:p>
    <w:p w14:paraId="462D7C74" w14:textId="10D34C04" w:rsidR="00EE302E" w:rsidRPr="00EE302E" w:rsidRDefault="00D02C3C" w:rsidP="00051F7A">
      <w:pPr>
        <w:pStyle w:val="Heading2"/>
      </w:pPr>
      <w:r>
        <w:t>Contributions</w:t>
      </w:r>
      <w:r w:rsidR="00702D6D">
        <w:t xml:space="preserve"> for everyday living</w:t>
      </w:r>
      <w:r>
        <w:t xml:space="preserve"> </w:t>
      </w:r>
      <w:r w:rsidR="00DF7EDE">
        <w:t>costs</w:t>
      </w:r>
    </w:p>
    <w:p w14:paraId="01E7D614" w14:textId="332A039F" w:rsidR="00D02C3C" w:rsidRDefault="00702D6D" w:rsidP="00AF0C08">
      <w:r w:rsidRPr="006305EE">
        <w:t xml:space="preserve">All residents are </w:t>
      </w:r>
      <w:r>
        <w:t xml:space="preserve">currently </w:t>
      </w:r>
      <w:r w:rsidRPr="006305EE">
        <w:t xml:space="preserve">required to pay a </w:t>
      </w:r>
      <w:r w:rsidR="00673008">
        <w:t>B</w:t>
      </w:r>
      <w:r w:rsidRPr="006305EE">
        <w:t xml:space="preserve">asic </w:t>
      </w:r>
      <w:r w:rsidR="00673008">
        <w:t>D</w:t>
      </w:r>
      <w:r w:rsidRPr="006305EE">
        <w:t xml:space="preserve">aily </w:t>
      </w:r>
      <w:r w:rsidR="00673008">
        <w:t>F</w:t>
      </w:r>
      <w:r w:rsidRPr="006305EE">
        <w:t xml:space="preserve">ee (BDF) which is set by government at 85% of the single base rate of the Age Pension. </w:t>
      </w:r>
      <w:r w:rsidR="00D02C3C">
        <w:t>This contribution partially funds services like</w:t>
      </w:r>
      <w:r w:rsidR="00EC0DFE">
        <w:t xml:space="preserve"> meals, cleaning and laundry</w:t>
      </w:r>
      <w:r w:rsidR="00D02C3C">
        <w:t>.</w:t>
      </w:r>
    </w:p>
    <w:p w14:paraId="3F287BE2" w14:textId="561E9C34" w:rsidR="00702D6D" w:rsidRDefault="00702D6D" w:rsidP="00AF0C08">
      <w:r>
        <w:t>The BDF will</w:t>
      </w:r>
      <w:r w:rsidR="00D02C3C">
        <w:t xml:space="preserve"> not change under these reforms.</w:t>
      </w:r>
      <w:r w:rsidR="001D688B">
        <w:t xml:space="preserve"> Fully supported residents will continue to only pay the BDF, and partially supported residents will continue to only pay the BDF and a contribution towards their accommodation costs.</w:t>
      </w:r>
      <w:r w:rsidR="00D02C3C">
        <w:t xml:space="preserve"> </w:t>
      </w:r>
      <w:r w:rsidR="003024D7">
        <w:t>R</w:t>
      </w:r>
      <w:r w:rsidR="00D02C3C">
        <w:t xml:space="preserve">esidents who have </w:t>
      </w:r>
      <w:r w:rsidR="001D688B">
        <w:t>more</w:t>
      </w:r>
      <w:r w:rsidR="00D02C3C">
        <w:t xml:space="preserve"> than $</w:t>
      </w:r>
      <w:r w:rsidR="00EC0DFE">
        <w:t>238,000</w:t>
      </w:r>
      <w:r w:rsidR="00D02C3C">
        <w:t xml:space="preserve"> in assets</w:t>
      </w:r>
      <w:r w:rsidR="001D688B">
        <w:t>, more</w:t>
      </w:r>
      <w:r w:rsidR="00D02C3C">
        <w:t xml:space="preserve"> than $</w:t>
      </w:r>
      <w:r w:rsidR="00EC0DFE">
        <w:t>95,400</w:t>
      </w:r>
      <w:r w:rsidR="00D02C3C">
        <w:t xml:space="preserve"> in income </w:t>
      </w:r>
      <w:r w:rsidR="001D688B">
        <w:t>or a combination of the two</w:t>
      </w:r>
      <w:r w:rsidR="006E34EE">
        <w:t>,</w:t>
      </w:r>
      <w:r w:rsidR="001D688B">
        <w:t xml:space="preserve"> </w:t>
      </w:r>
      <w:r w:rsidR="00D02C3C">
        <w:t xml:space="preserve">will </w:t>
      </w:r>
      <w:r w:rsidR="00897803">
        <w:t>make additional</w:t>
      </w:r>
      <w:r w:rsidR="00D02C3C">
        <w:t xml:space="preserve"> </w:t>
      </w:r>
      <w:r w:rsidR="006E34EE">
        <w:t>contributions</w:t>
      </w:r>
      <w:r w:rsidR="00D02C3C">
        <w:t xml:space="preserve"> </w:t>
      </w:r>
      <w:r w:rsidR="006E34EE">
        <w:t xml:space="preserve">towards </w:t>
      </w:r>
      <w:r w:rsidR="00D02C3C">
        <w:t>their everyday living costs</w:t>
      </w:r>
      <w:r>
        <w:t>.</w:t>
      </w:r>
    </w:p>
    <w:p w14:paraId="2280353E" w14:textId="0FD7D1F2" w:rsidR="00D02C3C" w:rsidRDefault="00702D6D" w:rsidP="00AF0C08">
      <w:r>
        <w:t>The</w:t>
      </w:r>
      <w:r w:rsidR="00871CD7">
        <w:t>re will continue to be</w:t>
      </w:r>
      <w:r>
        <w:t xml:space="preserve"> a </w:t>
      </w:r>
      <w:proofErr w:type="spellStart"/>
      <w:r>
        <w:t>Hotelling</w:t>
      </w:r>
      <w:proofErr w:type="spellEnd"/>
      <w:r>
        <w:t xml:space="preserve"> Supplement that </w:t>
      </w:r>
      <w:r w:rsidR="00D75C0F">
        <w:t xml:space="preserve">tops up the </w:t>
      </w:r>
      <w:r>
        <w:t xml:space="preserve">BDF </w:t>
      </w:r>
      <w:r w:rsidR="00D75C0F">
        <w:t xml:space="preserve">because there is a gap between the BDF </w:t>
      </w:r>
      <w:r>
        <w:t xml:space="preserve">and </w:t>
      </w:r>
      <w:r w:rsidR="00D02C3C">
        <w:t>t</w:t>
      </w:r>
      <w:r w:rsidR="00AE4E0B">
        <w:t xml:space="preserve">he </w:t>
      </w:r>
      <w:r w:rsidR="00D75C0F">
        <w:t xml:space="preserve">full </w:t>
      </w:r>
      <w:r w:rsidR="00D02C3C">
        <w:t>cost of providing everyday living services</w:t>
      </w:r>
      <w:r w:rsidR="00D75C0F">
        <w:t xml:space="preserve"> in residential care</w:t>
      </w:r>
      <w:r w:rsidR="00D02C3C">
        <w:t>.</w:t>
      </w:r>
    </w:p>
    <w:p w14:paraId="0607F2AB" w14:textId="5047E118" w:rsidR="00404270" w:rsidRDefault="00702D6D" w:rsidP="00AF0C08">
      <w:r>
        <w:t>Currently t</w:t>
      </w:r>
      <w:r w:rsidR="00404270">
        <w:t xml:space="preserve">he </w:t>
      </w:r>
      <w:r w:rsidR="00CB2733">
        <w:t>G</w:t>
      </w:r>
      <w:r w:rsidR="00404270">
        <w:t xml:space="preserve">overnment funds the </w:t>
      </w:r>
      <w:proofErr w:type="spellStart"/>
      <w:r w:rsidR="00404270">
        <w:t>Hotelling</w:t>
      </w:r>
      <w:proofErr w:type="spellEnd"/>
      <w:r w:rsidR="00404270">
        <w:t xml:space="preserve"> Supplement for all residents, regardless of their means. </w:t>
      </w:r>
      <w:r w:rsidR="008B4300">
        <w:t xml:space="preserve">Starting 1 July 2025, </w:t>
      </w:r>
      <w:r w:rsidR="00AE4E0B">
        <w:t xml:space="preserve">the </w:t>
      </w:r>
      <w:proofErr w:type="spellStart"/>
      <w:r w:rsidR="00AE4E0B">
        <w:t>Hotelling</w:t>
      </w:r>
      <w:proofErr w:type="spellEnd"/>
      <w:r w:rsidR="00AE4E0B">
        <w:t xml:space="preserve"> Supplement</w:t>
      </w:r>
      <w:r w:rsidR="008B4300">
        <w:t xml:space="preserve"> will be means tested</w:t>
      </w:r>
      <w:r w:rsidR="00D02C3C">
        <w:t>. R</w:t>
      </w:r>
      <w:r w:rsidR="00AE4E0B">
        <w:t xml:space="preserve">esidents </w:t>
      </w:r>
      <w:r w:rsidR="00CB2733">
        <w:t xml:space="preserve">with sufficiently high </w:t>
      </w:r>
      <w:r w:rsidR="00AE4E0B">
        <w:t>asset</w:t>
      </w:r>
      <w:r w:rsidR="00CB2733">
        <w:t>s</w:t>
      </w:r>
      <w:r w:rsidR="00AE4E0B">
        <w:t xml:space="preserve"> and</w:t>
      </w:r>
      <w:r w:rsidR="00CB2733">
        <w:t>/or</w:t>
      </w:r>
      <w:r w:rsidR="00AE4E0B">
        <w:t xml:space="preserve"> income </w:t>
      </w:r>
      <w:r w:rsidR="00D02C3C">
        <w:t>will</w:t>
      </w:r>
      <w:r w:rsidR="00AE4E0B">
        <w:t xml:space="preserve"> </w:t>
      </w:r>
      <w:r w:rsidR="00D75C0F">
        <w:t xml:space="preserve">make a </w:t>
      </w:r>
      <w:r w:rsidR="00AE4E0B">
        <w:t>contribut</w:t>
      </w:r>
      <w:r w:rsidR="00D75C0F">
        <w:t>ion to</w:t>
      </w:r>
      <w:r w:rsidR="00AE4E0B">
        <w:t xml:space="preserve"> some or all of the </w:t>
      </w:r>
      <w:proofErr w:type="spellStart"/>
      <w:r w:rsidR="00AE4E0B">
        <w:t>Hotelling</w:t>
      </w:r>
      <w:proofErr w:type="spellEnd"/>
      <w:r w:rsidR="00AE4E0B">
        <w:t xml:space="preserve"> Supplement.</w:t>
      </w:r>
      <w:r w:rsidR="000C3AD1">
        <w:t xml:space="preserve"> </w:t>
      </w:r>
      <w:r w:rsidR="00D02C3C">
        <w:t xml:space="preserve">This will ensure </w:t>
      </w:r>
      <w:r w:rsidR="00673008">
        <w:t>g</w:t>
      </w:r>
      <w:r w:rsidR="00D02C3C">
        <w:t xml:space="preserve">overnment funding is targeted to residents </w:t>
      </w:r>
      <w:r w:rsidR="00C55391">
        <w:t>in</w:t>
      </w:r>
      <w:r w:rsidR="00D75C0F">
        <w:t xml:space="preserve"> the greatest financial need</w:t>
      </w:r>
      <w:r w:rsidR="00D02C3C">
        <w:t xml:space="preserve">, and that residents who are able to make additional contributions to their everyday living </w:t>
      </w:r>
      <w:r w:rsidR="00DF7EDE">
        <w:t>costs</w:t>
      </w:r>
      <w:r w:rsidR="00136AA4">
        <w:t xml:space="preserve"> do so.</w:t>
      </w:r>
    </w:p>
    <w:p w14:paraId="0B652297" w14:textId="63226693" w:rsidR="00671F0D" w:rsidRDefault="00D75C0F" w:rsidP="00AF0C08">
      <w:r w:rsidRPr="00827BF6">
        <w:t xml:space="preserve">The contribution will be calculated </w:t>
      </w:r>
      <w:r w:rsidR="00E16833">
        <w:t>as</w:t>
      </w:r>
      <w:r w:rsidRPr="00827BF6">
        <w:t xml:space="preserve"> </w:t>
      </w:r>
      <w:r w:rsidR="003024D7">
        <w:t>7.8</w:t>
      </w:r>
      <w:r w:rsidR="00AD4CA0" w:rsidRPr="00827BF6">
        <w:t>% of assets over $23</w:t>
      </w:r>
      <w:r w:rsidR="00957EF6" w:rsidRPr="00827BF6">
        <w:t>8</w:t>
      </w:r>
      <w:r w:rsidR="00AD4CA0" w:rsidRPr="00827BF6">
        <w:t>,000</w:t>
      </w:r>
      <w:r w:rsidRPr="00827BF6">
        <w:t xml:space="preserve"> </w:t>
      </w:r>
      <w:r w:rsidR="00AD4CA0" w:rsidRPr="00827BF6">
        <w:t xml:space="preserve">or 50% of income over $95,400 </w:t>
      </w:r>
      <w:r w:rsidR="001A2F47" w:rsidRPr="00827BF6">
        <w:t>(</w:t>
      </w:r>
      <w:r w:rsidR="00AD4CA0" w:rsidRPr="00827BF6">
        <w:t>or a combination of both</w:t>
      </w:r>
      <w:r w:rsidR="002C6D73" w:rsidRPr="00827BF6">
        <w:t>)</w:t>
      </w:r>
      <w:r w:rsidR="00AD4CA0" w:rsidRPr="00827BF6">
        <w:t xml:space="preserve">, up to a limit of </w:t>
      </w:r>
      <w:r w:rsidR="00B14DEB" w:rsidRPr="00827BF6">
        <w:t xml:space="preserve">the </w:t>
      </w:r>
      <w:r w:rsidR="000837CC" w:rsidRPr="00827BF6">
        <w:t>H</w:t>
      </w:r>
      <w:r w:rsidR="00B14DEB" w:rsidRPr="00827BF6">
        <w:t xml:space="preserve">oteling </w:t>
      </w:r>
      <w:r w:rsidR="000837CC" w:rsidRPr="00827BF6">
        <w:t>S</w:t>
      </w:r>
      <w:r w:rsidR="00B14DEB" w:rsidRPr="00827BF6">
        <w:t>upplement ($</w:t>
      </w:r>
      <w:r w:rsidR="008E3492">
        <w:t>12.55</w:t>
      </w:r>
      <w:r w:rsidR="00B14DEB" w:rsidRPr="00827BF6">
        <w:t xml:space="preserve"> per day</w:t>
      </w:r>
      <w:r w:rsidR="006E34EE">
        <w:t>, as at 20 September</w:t>
      </w:r>
      <w:r w:rsidR="00B14DEB" w:rsidRPr="00827BF6">
        <w:t>).</w:t>
      </w:r>
    </w:p>
    <w:p w14:paraId="311C56B7" w14:textId="77777777" w:rsidR="00671F0D" w:rsidRDefault="00671F0D">
      <w:pPr>
        <w:spacing w:before="0" w:line="240" w:lineRule="auto"/>
      </w:pPr>
      <w:r>
        <w:br w:type="page"/>
      </w:r>
    </w:p>
    <w:p w14:paraId="5F0CD993" w14:textId="77777777" w:rsidR="00671F0D" w:rsidRDefault="00671F0D" w:rsidP="00AF0C08">
      <w:pPr>
        <w:sectPr w:rsidR="00671F0D" w:rsidSect="00A53544">
          <w:footerReference w:type="default" r:id="rId11"/>
          <w:headerReference w:type="first" r:id="rId12"/>
          <w:footerReference w:type="first" r:id="rId13"/>
          <w:pgSz w:w="11906" w:h="16838"/>
          <w:pgMar w:top="2007" w:right="851" w:bottom="851" w:left="851" w:header="709" w:footer="709" w:gutter="0"/>
          <w:cols w:space="708"/>
          <w:titlePg/>
          <w:docGrid w:linePitch="360"/>
        </w:sectPr>
      </w:pPr>
    </w:p>
    <w:p w14:paraId="0451F858" w14:textId="4D015F62" w:rsidR="00AD4CA0" w:rsidRDefault="00871CD7" w:rsidP="00AF0C08">
      <w:r>
        <w:lastRenderedPageBreak/>
        <w:t xml:space="preserve">For </w:t>
      </w:r>
      <w:r w:rsidR="003024D7">
        <w:t xml:space="preserve">all fully and partially supported </w:t>
      </w:r>
      <w:r>
        <w:t xml:space="preserve">residents </w:t>
      </w:r>
      <w:r w:rsidR="003024D7">
        <w:t xml:space="preserve">with income and assets </w:t>
      </w:r>
      <w:r>
        <w:t>below these thresholds</w:t>
      </w:r>
      <w:r w:rsidR="00653F41">
        <w:t>,</w:t>
      </w:r>
      <w:r>
        <w:t xml:space="preserve"> the </w:t>
      </w:r>
      <w:r w:rsidR="0055655D">
        <w:t>G</w:t>
      </w:r>
      <w:r>
        <w:t xml:space="preserve">overnment will continue to pay the full </w:t>
      </w:r>
      <w:proofErr w:type="spellStart"/>
      <w:r>
        <w:t>Hotelling</w:t>
      </w:r>
      <w:proofErr w:type="spellEnd"/>
      <w:r>
        <w:t xml:space="preserve"> Supplement.</w:t>
      </w:r>
    </w:p>
    <w:p w14:paraId="6437BF5F" w14:textId="4FA5E745" w:rsidR="00624E37" w:rsidRPr="00DF7EDE" w:rsidRDefault="00624E37" w:rsidP="00AF0C08">
      <w:r w:rsidRPr="00DF7EDE">
        <w:t xml:space="preserve">The Independent Health and Aged Care Pricing Authority will provide advice on the appropriate level for the </w:t>
      </w:r>
      <w:proofErr w:type="spellStart"/>
      <w:r w:rsidRPr="00DF7EDE">
        <w:t>Hotelling</w:t>
      </w:r>
      <w:proofErr w:type="spellEnd"/>
      <w:r w:rsidRPr="00DF7EDE">
        <w:t xml:space="preserve"> Supplement, to ensure providers </w:t>
      </w:r>
      <w:r w:rsidR="00575F5A">
        <w:t>can supply</w:t>
      </w:r>
      <w:r w:rsidRPr="00DF7EDE">
        <w:t xml:space="preserve"> high quality everyday living services for older </w:t>
      </w:r>
      <w:r w:rsidR="00575F5A">
        <w:t>people</w:t>
      </w:r>
      <w:r w:rsidRPr="00DF7EDE">
        <w:t>.</w:t>
      </w:r>
    </w:p>
    <w:p w14:paraId="06170660" w14:textId="2AA631B6" w:rsidR="001A2F47" w:rsidRDefault="00D02C3C" w:rsidP="009D3188">
      <w:pPr>
        <w:pStyle w:val="Heading2"/>
      </w:pPr>
      <w:r>
        <w:t>Contributions to non-clinical care</w:t>
      </w:r>
    </w:p>
    <w:p w14:paraId="31A0750E" w14:textId="0DB11483" w:rsidR="00897803" w:rsidRDefault="00D75C0F" w:rsidP="00AF0C08">
      <w:r>
        <w:t>The</w:t>
      </w:r>
      <w:r w:rsidR="00AE4E0B">
        <w:t xml:space="preserve"> current Means Tested Care Fee </w:t>
      </w:r>
      <w:r>
        <w:t xml:space="preserve">will </w:t>
      </w:r>
      <w:r w:rsidR="00AE4E0B">
        <w:t>be abolished</w:t>
      </w:r>
      <w:r>
        <w:t>.</w:t>
      </w:r>
      <w:r w:rsidR="00AE4E0B">
        <w:t xml:space="preserve"> The </w:t>
      </w:r>
      <w:r w:rsidR="00FA2C60">
        <w:t>G</w:t>
      </w:r>
      <w:r w:rsidR="00AE4E0B">
        <w:t xml:space="preserve">overnment will fully fund all clinical care </w:t>
      </w:r>
      <w:r w:rsidR="00136AA4">
        <w:t>costs in residential aged care.</w:t>
      </w:r>
    </w:p>
    <w:p w14:paraId="1100D239" w14:textId="123B3223" w:rsidR="005A7F57" w:rsidRPr="00DD66C4" w:rsidRDefault="00AE4E0B" w:rsidP="00AF0C08">
      <w:pPr>
        <w:rPr>
          <w:rFonts w:cs="Arial"/>
        </w:rPr>
      </w:pPr>
      <w:r>
        <w:t>A new</w:t>
      </w:r>
      <w:r w:rsidR="005A7F57">
        <w:t xml:space="preserve"> means-tested</w:t>
      </w:r>
      <w:r>
        <w:t xml:space="preserve"> </w:t>
      </w:r>
      <w:r w:rsidR="00860A5E">
        <w:t>N</w:t>
      </w:r>
      <w:r>
        <w:t>on-</w:t>
      </w:r>
      <w:r w:rsidR="00860A5E">
        <w:t>C</w:t>
      </w:r>
      <w:r>
        <w:t>linical</w:t>
      </w:r>
      <w:r w:rsidR="005A7F57">
        <w:t xml:space="preserve"> </w:t>
      </w:r>
      <w:r w:rsidR="00860A5E">
        <w:t>C</w:t>
      </w:r>
      <w:r w:rsidR="005A7F57">
        <w:t xml:space="preserve">are </w:t>
      </w:r>
      <w:r w:rsidR="00860A5E">
        <w:t>C</w:t>
      </w:r>
      <w:r w:rsidR="005A7F57">
        <w:t xml:space="preserve">ontribution will be introduced to cover </w:t>
      </w:r>
      <w:r w:rsidR="0055655D">
        <w:t xml:space="preserve">non-clinical care </w:t>
      </w:r>
      <w:r w:rsidR="005A7F57">
        <w:t>costs s</w:t>
      </w:r>
      <w:r w:rsidR="005A7F57" w:rsidRPr="00966BE1">
        <w:t xml:space="preserve">uch as </w:t>
      </w:r>
      <w:r w:rsidR="00EC0DFE" w:rsidRPr="00966BE1">
        <w:t xml:space="preserve">bathing, </w:t>
      </w:r>
      <w:r w:rsidR="00966BE1" w:rsidRPr="00966BE1">
        <w:t>mobility assistance and provision of lifestyle activities</w:t>
      </w:r>
      <w:r w:rsidR="005A7F57" w:rsidRPr="00966BE1">
        <w:t>. Individuals</w:t>
      </w:r>
      <w:r w:rsidR="005A7F57">
        <w:t xml:space="preserve"> </w:t>
      </w:r>
      <w:r w:rsidR="00860A5E">
        <w:t>will not</w:t>
      </w:r>
      <w:r w:rsidR="005A7F57">
        <w:t xml:space="preserve"> begin contributing to </w:t>
      </w:r>
      <w:r w:rsidR="00860A5E">
        <w:t xml:space="preserve">their </w:t>
      </w:r>
      <w:r w:rsidR="005A7F57">
        <w:t xml:space="preserve">non-clinical care until their income and assets </w:t>
      </w:r>
      <w:r w:rsidR="00860A5E">
        <w:t xml:space="preserve">are </w:t>
      </w:r>
      <w:r w:rsidR="00AC487C">
        <w:t xml:space="preserve">more than </w:t>
      </w:r>
      <w:r w:rsidR="00860A5E">
        <w:t>sufficient for them to</w:t>
      </w:r>
      <w:r w:rsidR="005A7F57">
        <w:t xml:space="preserve"> fully</w:t>
      </w:r>
      <w:r w:rsidR="00136AA4">
        <w:t xml:space="preserve"> fund the </w:t>
      </w:r>
      <w:proofErr w:type="spellStart"/>
      <w:r w:rsidR="00136AA4">
        <w:t>Hotelling</w:t>
      </w:r>
      <w:proofErr w:type="spellEnd"/>
      <w:r w:rsidR="00136AA4">
        <w:t xml:space="preserve"> Supplement.</w:t>
      </w:r>
    </w:p>
    <w:p w14:paraId="1E41A1B7" w14:textId="64FD9D0C" w:rsidR="0054750F" w:rsidRDefault="005A7F57" w:rsidP="00AF0C08">
      <w:pPr>
        <w:rPr>
          <w:rFonts w:cs="Arial"/>
          <w:szCs w:val="22"/>
        </w:rPr>
      </w:pPr>
      <w:r>
        <w:rPr>
          <w:rFonts w:cs="Arial"/>
          <w:szCs w:val="22"/>
        </w:rPr>
        <w:t xml:space="preserve">Residents </w:t>
      </w:r>
      <w:r w:rsidR="0055655D">
        <w:rPr>
          <w:rFonts w:cs="Arial"/>
          <w:szCs w:val="22"/>
        </w:rPr>
        <w:t xml:space="preserve">with sufficient means </w:t>
      </w:r>
      <w:r>
        <w:rPr>
          <w:rFonts w:cs="Arial"/>
          <w:szCs w:val="22"/>
        </w:rPr>
        <w:t xml:space="preserve">would </w:t>
      </w:r>
      <w:r w:rsidR="00AD4CA0" w:rsidRPr="00871CD7">
        <w:rPr>
          <w:rFonts w:cs="Arial"/>
          <w:szCs w:val="22"/>
        </w:rPr>
        <w:t>contribut</w:t>
      </w:r>
      <w:r w:rsidRPr="00871CD7">
        <w:rPr>
          <w:rFonts w:cs="Arial"/>
          <w:szCs w:val="22"/>
        </w:rPr>
        <w:t>e</w:t>
      </w:r>
      <w:r w:rsidR="001A2F47" w:rsidRPr="00871CD7">
        <w:rPr>
          <w:rFonts w:cs="Arial"/>
        </w:rPr>
        <w:t xml:space="preserve"> </w:t>
      </w:r>
      <w:r w:rsidR="001D688B">
        <w:rPr>
          <w:rFonts w:cs="Arial"/>
          <w:szCs w:val="22"/>
        </w:rPr>
        <w:t>7.8</w:t>
      </w:r>
      <w:r w:rsidR="001A2F47" w:rsidRPr="00871CD7">
        <w:rPr>
          <w:rFonts w:cs="Arial"/>
          <w:szCs w:val="22"/>
        </w:rPr>
        <w:t>% of their assets over $502,981 or 50% of their income over $131,279</w:t>
      </w:r>
      <w:r w:rsidR="002C6D73" w:rsidRPr="00871CD7">
        <w:rPr>
          <w:rFonts w:cs="Arial"/>
          <w:szCs w:val="22"/>
        </w:rPr>
        <w:t xml:space="preserve"> (or a combination of both) up to a daily </w:t>
      </w:r>
      <w:r w:rsidR="00AD4CA0" w:rsidRPr="00871CD7">
        <w:rPr>
          <w:rFonts w:cs="Arial"/>
          <w:szCs w:val="22"/>
        </w:rPr>
        <w:t>limit of $</w:t>
      </w:r>
      <w:r w:rsidR="001D688B">
        <w:rPr>
          <w:rFonts w:cs="Arial"/>
          <w:szCs w:val="22"/>
        </w:rPr>
        <w:t>101.16</w:t>
      </w:r>
      <w:r w:rsidR="00897803" w:rsidRPr="00871CD7">
        <w:rPr>
          <w:rFonts w:cs="Arial"/>
          <w:szCs w:val="22"/>
        </w:rPr>
        <w:t>.</w:t>
      </w:r>
    </w:p>
    <w:p w14:paraId="7AD081C1" w14:textId="775A0262" w:rsidR="00AE4E0B" w:rsidRDefault="00897803" w:rsidP="00AF0C08">
      <w:pPr>
        <w:rPr>
          <w:rFonts w:cs="Arial"/>
          <w:szCs w:val="22"/>
        </w:rPr>
      </w:pPr>
      <w:r>
        <w:rPr>
          <w:rFonts w:cs="Arial"/>
          <w:szCs w:val="22"/>
        </w:rPr>
        <w:t xml:space="preserve">A new lifetime cap on the </w:t>
      </w:r>
      <w:r w:rsidR="00860A5E">
        <w:rPr>
          <w:rFonts w:cs="Arial"/>
          <w:szCs w:val="22"/>
        </w:rPr>
        <w:t>N</w:t>
      </w:r>
      <w:r>
        <w:rPr>
          <w:rFonts w:cs="Arial"/>
          <w:szCs w:val="22"/>
        </w:rPr>
        <w:t>on-</w:t>
      </w:r>
      <w:r w:rsidR="00860A5E">
        <w:rPr>
          <w:rFonts w:cs="Arial"/>
          <w:szCs w:val="22"/>
        </w:rPr>
        <w:t xml:space="preserve">Clinical Care Contribution </w:t>
      </w:r>
      <w:r>
        <w:rPr>
          <w:rFonts w:cs="Arial"/>
          <w:szCs w:val="22"/>
        </w:rPr>
        <w:t>will also be introduced.</w:t>
      </w:r>
      <w:r w:rsidRPr="0089780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A resident who remains in care over </w:t>
      </w:r>
      <w:r w:rsidR="00011D82" w:rsidRPr="007A5DE2">
        <w:rPr>
          <w:rFonts w:cs="Arial"/>
          <w:szCs w:val="22"/>
        </w:rPr>
        <w:t xml:space="preserve">4 </w:t>
      </w:r>
      <w:r w:rsidRPr="007A5DE2">
        <w:rPr>
          <w:rFonts w:cs="Arial"/>
          <w:szCs w:val="22"/>
        </w:rPr>
        <w:t>years</w:t>
      </w:r>
      <w:r w:rsidRPr="008B524F">
        <w:rPr>
          <w:rFonts w:cs="Arial"/>
          <w:szCs w:val="22"/>
        </w:rPr>
        <w:t xml:space="preserve"> would cease making contributions to their non-clinical care costs. After </w:t>
      </w:r>
      <w:r w:rsidR="00011D82" w:rsidRPr="007A5DE2">
        <w:rPr>
          <w:rFonts w:cs="Arial"/>
          <w:szCs w:val="22"/>
        </w:rPr>
        <w:t xml:space="preserve">4 </w:t>
      </w:r>
      <w:r w:rsidRPr="007A5DE2">
        <w:rPr>
          <w:rFonts w:cs="Arial"/>
          <w:szCs w:val="22"/>
        </w:rPr>
        <w:t>years</w:t>
      </w:r>
      <w:r w:rsidRPr="008B524F">
        <w:rPr>
          <w:rFonts w:cs="Arial"/>
          <w:szCs w:val="22"/>
        </w:rPr>
        <w:t xml:space="preserve"> the </w:t>
      </w:r>
      <w:r w:rsidR="00653F41" w:rsidRPr="008B524F">
        <w:rPr>
          <w:rFonts w:cs="Arial"/>
          <w:szCs w:val="22"/>
        </w:rPr>
        <w:t>G</w:t>
      </w:r>
      <w:r w:rsidRPr="008B524F">
        <w:rPr>
          <w:rFonts w:cs="Arial"/>
          <w:szCs w:val="22"/>
        </w:rPr>
        <w:t xml:space="preserve">overnment will cover their full care costs for the remainder of their time in residential care. </w:t>
      </w:r>
      <w:r w:rsidR="00860A5E" w:rsidRPr="008B524F">
        <w:rPr>
          <w:rFonts w:cs="Arial"/>
          <w:szCs w:val="22"/>
        </w:rPr>
        <w:t xml:space="preserve">This </w:t>
      </w:r>
      <w:r w:rsidR="009B4D8E" w:rsidRPr="008B524F">
        <w:rPr>
          <w:rFonts w:cs="Arial"/>
          <w:szCs w:val="22"/>
        </w:rPr>
        <w:t>time-</w:t>
      </w:r>
      <w:r w:rsidR="0055655D" w:rsidRPr="008B524F">
        <w:rPr>
          <w:rFonts w:cs="Arial"/>
          <w:szCs w:val="22"/>
        </w:rPr>
        <w:t>based</w:t>
      </w:r>
      <w:r w:rsidR="009B4D8E" w:rsidRPr="008B524F">
        <w:rPr>
          <w:rFonts w:cs="Arial"/>
          <w:szCs w:val="22"/>
        </w:rPr>
        <w:t xml:space="preserve"> cap </w:t>
      </w:r>
      <w:r w:rsidRPr="008B524F">
        <w:rPr>
          <w:rFonts w:cs="Arial"/>
          <w:szCs w:val="22"/>
        </w:rPr>
        <w:t>will</w:t>
      </w:r>
      <w:r w:rsidR="00CB6568" w:rsidRPr="008B524F">
        <w:rPr>
          <w:rFonts w:cs="Arial"/>
          <w:szCs w:val="22"/>
        </w:rPr>
        <w:t xml:space="preserve"> protect those residents who remain in care for a long time</w:t>
      </w:r>
      <w:r w:rsidR="001A2F47" w:rsidRPr="008B524F">
        <w:rPr>
          <w:rFonts w:cs="Arial"/>
          <w:szCs w:val="22"/>
        </w:rPr>
        <w:t>.</w:t>
      </w:r>
    </w:p>
    <w:p w14:paraId="5D279AB9" w14:textId="13F7576A" w:rsidR="007C36CB" w:rsidRDefault="007C36CB" w:rsidP="00AF0C08">
      <w:pPr>
        <w:rPr>
          <w:rFonts w:cs="Arial"/>
          <w:szCs w:val="22"/>
        </w:rPr>
      </w:pPr>
      <w:r>
        <w:rPr>
          <w:rFonts w:cs="Arial"/>
          <w:szCs w:val="22"/>
        </w:rPr>
        <w:t xml:space="preserve">A $130,000 lifetime cap will also apply to the Non-Clinical Care Contribution. </w:t>
      </w:r>
      <w:r w:rsidR="006E34EE">
        <w:rPr>
          <w:rFonts w:cs="Arial"/>
          <w:szCs w:val="22"/>
        </w:rPr>
        <w:t xml:space="preserve">It will be indexed twice a year. </w:t>
      </w:r>
      <w:r>
        <w:rPr>
          <w:rFonts w:cs="Arial"/>
          <w:szCs w:val="22"/>
        </w:rPr>
        <w:t>Individuals will no longer contribute to the Non-Clinical Care Contribution when they reach $130,000 in total contributions</w:t>
      </w:r>
      <w:r w:rsidR="006E34EE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or after 4 years, whichever occurs first. </w:t>
      </w:r>
      <w:r w:rsidR="00653F41">
        <w:rPr>
          <w:rFonts w:cs="Arial"/>
          <w:szCs w:val="22"/>
        </w:rPr>
        <w:t>Any</w:t>
      </w:r>
      <w:r>
        <w:rPr>
          <w:rFonts w:cs="Arial"/>
          <w:szCs w:val="22"/>
        </w:rPr>
        <w:t xml:space="preserve"> contributions for supports made by a resident in Support at Home before they enter residential aged care will count towards the $130,000 lifetime cap.</w:t>
      </w:r>
    </w:p>
    <w:p w14:paraId="260C2DF3" w14:textId="12E12D64" w:rsidR="00F95F0E" w:rsidRDefault="00F95F0E" w:rsidP="00AF0C08">
      <w:pPr>
        <w:rPr>
          <w:rFonts w:cs="Arial"/>
          <w:szCs w:val="22"/>
        </w:rPr>
      </w:pPr>
      <w:r w:rsidRPr="00F95F0E">
        <w:rPr>
          <w:rFonts w:cs="Arial"/>
          <w:szCs w:val="22"/>
        </w:rPr>
        <w:t>The treatment of the family home in the residential aged care means test will remain unchanged.</w:t>
      </w:r>
      <w:r w:rsidRPr="00F95F0E">
        <w:t xml:space="preserve"> </w:t>
      </w:r>
      <w:r w:rsidRPr="00F95F0E">
        <w:rPr>
          <w:rFonts w:cs="Arial"/>
          <w:szCs w:val="22"/>
        </w:rPr>
        <w:t xml:space="preserve">The value of the family home is only assessable if the home does not </w:t>
      </w:r>
      <w:r w:rsidR="0077348F">
        <w:rPr>
          <w:rFonts w:cs="Arial"/>
          <w:szCs w:val="22"/>
        </w:rPr>
        <w:t xml:space="preserve">have a “protected person” </w:t>
      </w:r>
      <w:r w:rsidRPr="00F95F0E">
        <w:rPr>
          <w:rFonts w:cs="Arial"/>
          <w:szCs w:val="22"/>
        </w:rPr>
        <w:t>still living in it</w:t>
      </w:r>
      <w:r w:rsidR="0077348F">
        <w:rPr>
          <w:rFonts w:cs="Arial"/>
          <w:szCs w:val="22"/>
        </w:rPr>
        <w:t xml:space="preserve"> (e.g. a </w:t>
      </w:r>
      <w:r w:rsidR="0077348F" w:rsidRPr="00F95F0E">
        <w:rPr>
          <w:rFonts w:cs="Arial"/>
          <w:szCs w:val="22"/>
        </w:rPr>
        <w:t>sp</w:t>
      </w:r>
      <w:r w:rsidR="0077348F">
        <w:rPr>
          <w:rFonts w:cs="Arial"/>
          <w:szCs w:val="22"/>
        </w:rPr>
        <w:t>ouse</w:t>
      </w:r>
      <w:r w:rsidR="0077348F" w:rsidRPr="00F95F0E">
        <w:rPr>
          <w:rFonts w:cs="Arial"/>
          <w:szCs w:val="22"/>
        </w:rPr>
        <w:t>)</w:t>
      </w:r>
      <w:r w:rsidRPr="00F95F0E">
        <w:rPr>
          <w:rFonts w:cs="Arial"/>
          <w:szCs w:val="22"/>
        </w:rPr>
        <w:t>, and then only up to a capped amount ($</w:t>
      </w:r>
      <w:r w:rsidR="008E3492" w:rsidRPr="008E3492">
        <w:rPr>
          <w:rFonts w:cs="Arial"/>
          <w:szCs w:val="22"/>
        </w:rPr>
        <w:t>206,039</w:t>
      </w:r>
      <w:r w:rsidR="006E34EE">
        <w:rPr>
          <w:rFonts w:cs="Arial"/>
          <w:szCs w:val="22"/>
        </w:rPr>
        <w:t xml:space="preserve"> as at 20 September</w:t>
      </w:r>
      <w:r w:rsidRPr="00F95F0E">
        <w:rPr>
          <w:rFonts w:cs="Arial"/>
          <w:szCs w:val="22"/>
        </w:rPr>
        <w:t>).</w:t>
      </w:r>
    </w:p>
    <w:p w14:paraId="2E03C43E" w14:textId="6D008378" w:rsidR="009B4D8E" w:rsidRPr="009D3188" w:rsidRDefault="00B850DA" w:rsidP="009D3188">
      <w:pPr>
        <w:pStyle w:val="Heading2"/>
      </w:pPr>
      <w:r>
        <w:rPr>
          <w:i/>
        </w:rPr>
        <w:t xml:space="preserve">No worse off </w:t>
      </w:r>
      <w:r>
        <w:t>principle for e</w:t>
      </w:r>
      <w:r w:rsidR="008B4300">
        <w:t>xisting residents</w:t>
      </w:r>
    </w:p>
    <w:p w14:paraId="618C5823" w14:textId="3C2499E8" w:rsidR="009B4D8E" w:rsidRDefault="008B4300" w:rsidP="00AF0C08">
      <w:r>
        <w:t xml:space="preserve">A </w:t>
      </w:r>
      <w:r w:rsidRPr="007A5DE2">
        <w:rPr>
          <w:i/>
        </w:rPr>
        <w:t>no worse off</w:t>
      </w:r>
      <w:r>
        <w:t xml:space="preserve"> </w:t>
      </w:r>
      <w:r w:rsidR="00B850DA">
        <w:t>principle</w:t>
      </w:r>
      <w:r>
        <w:t xml:space="preserve"> will apply to everyone in residential aged care on 30 June 2025, such that existing residents will have their current arrangements maintained until they leave care. </w:t>
      </w:r>
      <w:r w:rsidR="009B4D8E" w:rsidRPr="00DD66C4">
        <w:t xml:space="preserve">The new arrangements </w:t>
      </w:r>
      <w:r w:rsidR="009B4D8E">
        <w:t xml:space="preserve">for means testing </w:t>
      </w:r>
      <w:r w:rsidR="009B4D8E" w:rsidRPr="00DD66C4">
        <w:t xml:space="preserve">will </w:t>
      </w:r>
      <w:r w:rsidR="009B4D8E">
        <w:t xml:space="preserve">only </w:t>
      </w:r>
      <w:r w:rsidR="009B4D8E" w:rsidRPr="00DD66C4">
        <w:t>apply to new entrants to residen</w:t>
      </w:r>
      <w:r w:rsidR="009B4D8E">
        <w:t>tial aged care from 1</w:t>
      </w:r>
      <w:r w:rsidR="0077348F">
        <w:t> </w:t>
      </w:r>
      <w:r w:rsidR="009B4D8E">
        <w:t>July 2025.</w:t>
      </w:r>
    </w:p>
    <w:p w14:paraId="0DC76742" w14:textId="5EFCD432" w:rsidR="00A82631" w:rsidRPr="009D3188" w:rsidRDefault="00A82631" w:rsidP="009D3188">
      <w:pPr>
        <w:pStyle w:val="Heading2"/>
      </w:pPr>
      <w:r w:rsidRPr="009D3188">
        <w:t>Impact</w:t>
      </w:r>
    </w:p>
    <w:p w14:paraId="6A5B28DC" w14:textId="14C2812E" w:rsidR="00677BC9" w:rsidRPr="00AF0C08" w:rsidRDefault="00A82631" w:rsidP="00AF0C08">
      <w:r w:rsidRPr="00DD66C4">
        <w:t xml:space="preserve">This </w:t>
      </w:r>
      <w:r w:rsidR="00E16833">
        <w:t xml:space="preserve">new arrangement </w:t>
      </w:r>
      <w:r w:rsidRPr="00DD66C4">
        <w:t xml:space="preserve">will result in </w:t>
      </w:r>
      <w:r w:rsidR="00E16833">
        <w:t>around half of new</w:t>
      </w:r>
      <w:r w:rsidR="00E16833" w:rsidRPr="00DD66C4">
        <w:t xml:space="preserve"> </w:t>
      </w:r>
      <w:r w:rsidRPr="00DD66C4">
        <w:t>residents paying more for their residential aged care. The current hardship arrangements will remain in place</w:t>
      </w:r>
      <w:r w:rsidR="00E16833">
        <w:t xml:space="preserve"> so</w:t>
      </w:r>
      <w:r w:rsidRPr="00DD66C4">
        <w:t xml:space="preserve"> </w:t>
      </w:r>
      <w:r w:rsidR="00E16833">
        <w:t>r</w:t>
      </w:r>
      <w:r w:rsidRPr="00DD66C4">
        <w:t>esidents who</w:t>
      </w:r>
      <w:r w:rsidR="00957EF6">
        <w:t xml:space="preserve"> </w:t>
      </w:r>
      <w:r w:rsidRPr="00DD66C4">
        <w:t xml:space="preserve">cannot afford their </w:t>
      </w:r>
      <w:r w:rsidR="00702D6D">
        <w:t>contributions</w:t>
      </w:r>
      <w:r w:rsidRPr="00DD66C4">
        <w:t xml:space="preserve"> will be supported and not prevented from accessing care</w:t>
      </w:r>
      <w:r w:rsidR="009B4D8E">
        <w:t>.</w:t>
      </w:r>
    </w:p>
    <w:sectPr w:rsidR="00677BC9" w:rsidRPr="00AF0C08" w:rsidSect="009235C7">
      <w:headerReference w:type="first" r:id="rId14"/>
      <w:type w:val="continuous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2BF9" w14:textId="77777777" w:rsidR="00F623A5" w:rsidRDefault="00F623A5" w:rsidP="0076491B">
      <w:pPr>
        <w:spacing w:before="0" w:line="240" w:lineRule="auto"/>
      </w:pPr>
      <w:r>
        <w:separator/>
      </w:r>
    </w:p>
  </w:endnote>
  <w:endnote w:type="continuationSeparator" w:id="0">
    <w:p w14:paraId="3EADAB39" w14:textId="77777777" w:rsidR="00F623A5" w:rsidRDefault="00F623A5" w:rsidP="007649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567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AE2E3" w14:textId="0A061833" w:rsidR="00671F0D" w:rsidRDefault="00671F0D" w:rsidP="00671F0D">
        <w:pPr>
          <w:pStyle w:val="Footer"/>
          <w:jc w:val="right"/>
        </w:pPr>
        <w:r w:rsidRPr="00C41F77">
          <w:t>Response to the Aged Care Taskforce - Residential Care Contributions</w:t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A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821B599" w14:textId="77777777" w:rsidR="0026389B" w:rsidRDefault="00263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1602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0FBED6" w14:textId="4518086E" w:rsidR="0026389B" w:rsidRDefault="00C41F77" w:rsidP="00C41F77">
        <w:pPr>
          <w:pStyle w:val="Footer"/>
          <w:jc w:val="right"/>
        </w:pPr>
        <w:r w:rsidRPr="00C41F77">
          <w:t>Response to the Aged Care Taskforce - Residential Care Contributions</w:t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7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DD9F6" w14:textId="77777777" w:rsidR="00F623A5" w:rsidRDefault="00F623A5" w:rsidP="0076491B">
      <w:pPr>
        <w:spacing w:before="0" w:line="240" w:lineRule="auto"/>
      </w:pPr>
      <w:r>
        <w:separator/>
      </w:r>
    </w:p>
  </w:footnote>
  <w:footnote w:type="continuationSeparator" w:id="0">
    <w:p w14:paraId="3D6081E7" w14:textId="77777777" w:rsidR="00F623A5" w:rsidRDefault="00F623A5" w:rsidP="0076491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C475" w14:textId="678C339E" w:rsidR="0076491B" w:rsidRDefault="009235C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30EE55F" wp14:editId="0566FA7E">
          <wp:simplePos x="0" y="0"/>
          <wp:positionH relativeFrom="page">
            <wp:posOffset>12065</wp:posOffset>
          </wp:positionH>
          <wp:positionV relativeFrom="paragraph">
            <wp:posOffset>-450215</wp:posOffset>
          </wp:positionV>
          <wp:extent cx="7529195" cy="2084705"/>
          <wp:effectExtent l="0" t="0" r="0" b="0"/>
          <wp:wrapNone/>
          <wp:docPr id="2" name="Picture 2" title="Department of Health and Aged Care logo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9195" cy="208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FD05B" w14:textId="77777777" w:rsidR="009235C7" w:rsidRDefault="009235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C9B"/>
    <w:multiLevelType w:val="hybridMultilevel"/>
    <w:tmpl w:val="CB484122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850F3"/>
    <w:multiLevelType w:val="hybridMultilevel"/>
    <w:tmpl w:val="7EB2E112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B6FD0"/>
    <w:multiLevelType w:val="hybridMultilevel"/>
    <w:tmpl w:val="1C94BA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469BA"/>
    <w:multiLevelType w:val="hybridMultilevel"/>
    <w:tmpl w:val="DCA4FB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9A6CFC"/>
    <w:multiLevelType w:val="hybridMultilevel"/>
    <w:tmpl w:val="F04C3AF0"/>
    <w:lvl w:ilvl="0" w:tplc="5770D766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D3C1E"/>
    <w:multiLevelType w:val="hybridMultilevel"/>
    <w:tmpl w:val="0B2ABC50"/>
    <w:lvl w:ilvl="0" w:tplc="0C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16478CD"/>
    <w:multiLevelType w:val="hybridMultilevel"/>
    <w:tmpl w:val="0276DAE8"/>
    <w:lvl w:ilvl="0" w:tplc="D11EFA4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02ADA"/>
    <w:multiLevelType w:val="hybridMultilevel"/>
    <w:tmpl w:val="1B167CEC"/>
    <w:lvl w:ilvl="0" w:tplc="3E22FA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61057"/>
    <w:multiLevelType w:val="hybridMultilevel"/>
    <w:tmpl w:val="F9F266F8"/>
    <w:lvl w:ilvl="0" w:tplc="52A619C4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BA1844"/>
    <w:multiLevelType w:val="hybridMultilevel"/>
    <w:tmpl w:val="3CC48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82E49"/>
    <w:multiLevelType w:val="hybridMultilevel"/>
    <w:tmpl w:val="00FC372E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6A4615"/>
    <w:multiLevelType w:val="hybridMultilevel"/>
    <w:tmpl w:val="AC0CD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A2C4D"/>
    <w:multiLevelType w:val="hybridMultilevel"/>
    <w:tmpl w:val="9F4255D2"/>
    <w:lvl w:ilvl="0" w:tplc="0C0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4" w15:restartNumberingAfterBreak="0">
    <w:nsid w:val="491D2983"/>
    <w:multiLevelType w:val="hybridMultilevel"/>
    <w:tmpl w:val="54605FE8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23D92"/>
    <w:multiLevelType w:val="hybridMultilevel"/>
    <w:tmpl w:val="86306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D57B8"/>
    <w:multiLevelType w:val="hybridMultilevel"/>
    <w:tmpl w:val="CB54CEB0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F365E"/>
    <w:multiLevelType w:val="hybridMultilevel"/>
    <w:tmpl w:val="009E2FF0"/>
    <w:lvl w:ilvl="0" w:tplc="AEC89F0E">
      <w:start w:val="1"/>
      <w:numFmt w:val="lowerLetter"/>
      <w:lvlText w:val="(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720" w:hanging="360"/>
      </w:pPr>
    </w:lvl>
    <w:lvl w:ilvl="2" w:tplc="0C09001B">
      <w:start w:val="1"/>
      <w:numFmt w:val="lowerRoman"/>
      <w:lvlText w:val="%3."/>
      <w:lvlJc w:val="right"/>
      <w:pPr>
        <w:ind w:left="1440" w:hanging="180"/>
      </w:pPr>
    </w:lvl>
    <w:lvl w:ilvl="3" w:tplc="0C09000F">
      <w:start w:val="1"/>
      <w:numFmt w:val="decimal"/>
      <w:lvlText w:val="%4."/>
      <w:lvlJc w:val="left"/>
      <w:pPr>
        <w:ind w:left="2160" w:hanging="360"/>
      </w:pPr>
    </w:lvl>
    <w:lvl w:ilvl="4" w:tplc="0C090019">
      <w:start w:val="1"/>
      <w:numFmt w:val="lowerLetter"/>
      <w:lvlText w:val="%5."/>
      <w:lvlJc w:val="left"/>
      <w:pPr>
        <w:ind w:left="2880" w:hanging="360"/>
      </w:pPr>
    </w:lvl>
    <w:lvl w:ilvl="5" w:tplc="0C09001B">
      <w:start w:val="1"/>
      <w:numFmt w:val="lowerRoman"/>
      <w:lvlText w:val="%6."/>
      <w:lvlJc w:val="right"/>
      <w:pPr>
        <w:ind w:left="3600" w:hanging="180"/>
      </w:pPr>
    </w:lvl>
    <w:lvl w:ilvl="6" w:tplc="0C09000F">
      <w:start w:val="1"/>
      <w:numFmt w:val="decimal"/>
      <w:lvlText w:val="%7."/>
      <w:lvlJc w:val="left"/>
      <w:pPr>
        <w:ind w:left="4320" w:hanging="360"/>
      </w:pPr>
    </w:lvl>
    <w:lvl w:ilvl="7" w:tplc="0C090019">
      <w:start w:val="1"/>
      <w:numFmt w:val="lowerLetter"/>
      <w:lvlText w:val="%8."/>
      <w:lvlJc w:val="left"/>
      <w:pPr>
        <w:ind w:left="5040" w:hanging="360"/>
      </w:pPr>
    </w:lvl>
    <w:lvl w:ilvl="8" w:tplc="0C09001B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58F509F4"/>
    <w:multiLevelType w:val="hybridMultilevel"/>
    <w:tmpl w:val="4BC65EB6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B95FCA"/>
    <w:multiLevelType w:val="hybridMultilevel"/>
    <w:tmpl w:val="140C4EAC"/>
    <w:lvl w:ilvl="0" w:tplc="C698354E">
      <w:numFmt w:val="bullet"/>
      <w:lvlText w:val="○"/>
      <w:lvlJc w:val="left"/>
      <w:pPr>
        <w:ind w:left="1582" w:hanging="720"/>
      </w:pPr>
      <w:rPr>
        <w:rFonts w:ascii="Arial" w:eastAsiaTheme="minorHAnsi" w:hAnsi="Aria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5C57DFD"/>
    <w:multiLevelType w:val="hybridMultilevel"/>
    <w:tmpl w:val="521E9DF2"/>
    <w:lvl w:ilvl="0" w:tplc="FD900A08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106A91"/>
    <w:multiLevelType w:val="hybridMultilevel"/>
    <w:tmpl w:val="7BCE1EDA"/>
    <w:lvl w:ilvl="0" w:tplc="0C0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26231"/>
    <w:multiLevelType w:val="hybridMultilevel"/>
    <w:tmpl w:val="C5889A8E"/>
    <w:lvl w:ilvl="0" w:tplc="F3AA5E56">
      <w:start w:val="1"/>
      <w:numFmt w:val="bullet"/>
      <w:pStyle w:val="CABBulletLis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9BC45F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2C8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06AA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6B5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6E8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01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035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4C82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4157D"/>
    <w:multiLevelType w:val="hybridMultilevel"/>
    <w:tmpl w:val="01709A6E"/>
    <w:lvl w:ilvl="0" w:tplc="FC34F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21"/>
  </w:num>
  <w:num w:numId="4">
    <w:abstractNumId w:val="22"/>
  </w:num>
  <w:num w:numId="5">
    <w:abstractNumId w:val="10"/>
  </w:num>
  <w:num w:numId="6">
    <w:abstractNumId w:val="4"/>
  </w:num>
  <w:num w:numId="7">
    <w:abstractNumId w:val="18"/>
  </w:num>
  <w:num w:numId="8">
    <w:abstractNumId w:val="16"/>
  </w:num>
  <w:num w:numId="9">
    <w:abstractNumId w:val="20"/>
  </w:num>
  <w:num w:numId="10">
    <w:abstractNumId w:val="0"/>
  </w:num>
  <w:num w:numId="11">
    <w:abstractNumId w:val="26"/>
  </w:num>
  <w:num w:numId="12">
    <w:abstractNumId w:val="7"/>
  </w:num>
  <w:num w:numId="13">
    <w:abstractNumId w:val="14"/>
  </w:num>
  <w:num w:numId="14">
    <w:abstractNumId w:val="1"/>
  </w:num>
  <w:num w:numId="15">
    <w:abstractNumId w:val="9"/>
  </w:num>
  <w:num w:numId="16">
    <w:abstractNumId w:val="11"/>
  </w:num>
  <w:num w:numId="17">
    <w:abstractNumId w:val="19"/>
  </w:num>
  <w:num w:numId="18">
    <w:abstractNumId w:val="13"/>
  </w:num>
  <w:num w:numId="19">
    <w:abstractNumId w:val="6"/>
  </w:num>
  <w:num w:numId="20">
    <w:abstractNumId w:val="8"/>
  </w:num>
  <w:num w:numId="21">
    <w:abstractNumId w:val="2"/>
  </w:num>
  <w:num w:numId="22">
    <w:abstractNumId w:val="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5"/>
  </w:num>
  <w:num w:numId="26">
    <w:abstractNumId w:val="12"/>
  </w:num>
  <w:num w:numId="27">
    <w:abstractNumId w:val="23"/>
  </w:num>
  <w:num w:numId="28">
    <w:abstractNumId w:val="1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FC"/>
    <w:rsid w:val="00003E5B"/>
    <w:rsid w:val="00011D82"/>
    <w:rsid w:val="00024EAF"/>
    <w:rsid w:val="0002516D"/>
    <w:rsid w:val="000314BC"/>
    <w:rsid w:val="00051F7A"/>
    <w:rsid w:val="0008159F"/>
    <w:rsid w:val="000837CC"/>
    <w:rsid w:val="0008686E"/>
    <w:rsid w:val="000A2ACF"/>
    <w:rsid w:val="000B571B"/>
    <w:rsid w:val="000C3AD1"/>
    <w:rsid w:val="0011677F"/>
    <w:rsid w:val="0012077F"/>
    <w:rsid w:val="00121EBC"/>
    <w:rsid w:val="00136AA4"/>
    <w:rsid w:val="00160BC6"/>
    <w:rsid w:val="001821BB"/>
    <w:rsid w:val="0018537B"/>
    <w:rsid w:val="001A2F47"/>
    <w:rsid w:val="001D688B"/>
    <w:rsid w:val="001F2F34"/>
    <w:rsid w:val="001F6C13"/>
    <w:rsid w:val="00247B11"/>
    <w:rsid w:val="0026389B"/>
    <w:rsid w:val="00296CEF"/>
    <w:rsid w:val="002A13FC"/>
    <w:rsid w:val="002B506B"/>
    <w:rsid w:val="002C2D46"/>
    <w:rsid w:val="002C6D73"/>
    <w:rsid w:val="002E5740"/>
    <w:rsid w:val="003024D7"/>
    <w:rsid w:val="00336120"/>
    <w:rsid w:val="00360B34"/>
    <w:rsid w:val="003619F4"/>
    <w:rsid w:val="00366B2B"/>
    <w:rsid w:val="00384F55"/>
    <w:rsid w:val="00402775"/>
    <w:rsid w:val="00404270"/>
    <w:rsid w:val="00422631"/>
    <w:rsid w:val="00443409"/>
    <w:rsid w:val="004557A0"/>
    <w:rsid w:val="00475D76"/>
    <w:rsid w:val="00481948"/>
    <w:rsid w:val="004868BE"/>
    <w:rsid w:val="004A03BC"/>
    <w:rsid w:val="004C11EB"/>
    <w:rsid w:val="004E6CFA"/>
    <w:rsid w:val="004F7E50"/>
    <w:rsid w:val="005035B6"/>
    <w:rsid w:val="005177CE"/>
    <w:rsid w:val="0054750F"/>
    <w:rsid w:val="0055655D"/>
    <w:rsid w:val="00575F5A"/>
    <w:rsid w:val="00580066"/>
    <w:rsid w:val="005A7F57"/>
    <w:rsid w:val="005C68F8"/>
    <w:rsid w:val="005E5FE4"/>
    <w:rsid w:val="005F2549"/>
    <w:rsid w:val="00607560"/>
    <w:rsid w:val="00624E37"/>
    <w:rsid w:val="00633DB4"/>
    <w:rsid w:val="00653F41"/>
    <w:rsid w:val="00655C64"/>
    <w:rsid w:val="00671F0D"/>
    <w:rsid w:val="00673008"/>
    <w:rsid w:val="00677BC9"/>
    <w:rsid w:val="006A18D2"/>
    <w:rsid w:val="006A321D"/>
    <w:rsid w:val="006A6CD8"/>
    <w:rsid w:val="006C07D3"/>
    <w:rsid w:val="006E34EE"/>
    <w:rsid w:val="006F3B00"/>
    <w:rsid w:val="00702D6D"/>
    <w:rsid w:val="00726939"/>
    <w:rsid w:val="00734DE1"/>
    <w:rsid w:val="007549CB"/>
    <w:rsid w:val="0076491B"/>
    <w:rsid w:val="0077348F"/>
    <w:rsid w:val="00790E09"/>
    <w:rsid w:val="007A5DE2"/>
    <w:rsid w:val="007C36CB"/>
    <w:rsid w:val="007E18CA"/>
    <w:rsid w:val="007E444A"/>
    <w:rsid w:val="007F7217"/>
    <w:rsid w:val="00827BF6"/>
    <w:rsid w:val="00860A5E"/>
    <w:rsid w:val="00871CD7"/>
    <w:rsid w:val="00897803"/>
    <w:rsid w:val="008B4300"/>
    <w:rsid w:val="008B524F"/>
    <w:rsid w:val="008C4B72"/>
    <w:rsid w:val="008D29FF"/>
    <w:rsid w:val="008E3492"/>
    <w:rsid w:val="008F467F"/>
    <w:rsid w:val="009121C0"/>
    <w:rsid w:val="009235C7"/>
    <w:rsid w:val="009346B6"/>
    <w:rsid w:val="00957EF6"/>
    <w:rsid w:val="00961E79"/>
    <w:rsid w:val="00966BE1"/>
    <w:rsid w:val="009814E4"/>
    <w:rsid w:val="009A47E8"/>
    <w:rsid w:val="009B2828"/>
    <w:rsid w:val="009B4D8E"/>
    <w:rsid w:val="009B5B5C"/>
    <w:rsid w:val="009D3188"/>
    <w:rsid w:val="009D6ED0"/>
    <w:rsid w:val="00A06975"/>
    <w:rsid w:val="00A13518"/>
    <w:rsid w:val="00A31CB0"/>
    <w:rsid w:val="00A40EDD"/>
    <w:rsid w:val="00A53544"/>
    <w:rsid w:val="00A542DC"/>
    <w:rsid w:val="00A82631"/>
    <w:rsid w:val="00AA76F3"/>
    <w:rsid w:val="00AB5AE4"/>
    <w:rsid w:val="00AC04A6"/>
    <w:rsid w:val="00AC487C"/>
    <w:rsid w:val="00AC7837"/>
    <w:rsid w:val="00AD01CD"/>
    <w:rsid w:val="00AD06A3"/>
    <w:rsid w:val="00AD4CA0"/>
    <w:rsid w:val="00AE4E0B"/>
    <w:rsid w:val="00AF0C08"/>
    <w:rsid w:val="00AF3EEB"/>
    <w:rsid w:val="00B03204"/>
    <w:rsid w:val="00B14DEB"/>
    <w:rsid w:val="00B21719"/>
    <w:rsid w:val="00B850DA"/>
    <w:rsid w:val="00BC3BA9"/>
    <w:rsid w:val="00BD577C"/>
    <w:rsid w:val="00BE0BCB"/>
    <w:rsid w:val="00BE2314"/>
    <w:rsid w:val="00C074CB"/>
    <w:rsid w:val="00C07EEB"/>
    <w:rsid w:val="00C13518"/>
    <w:rsid w:val="00C41F77"/>
    <w:rsid w:val="00C46331"/>
    <w:rsid w:val="00C55391"/>
    <w:rsid w:val="00C76B54"/>
    <w:rsid w:val="00C800D7"/>
    <w:rsid w:val="00C9187A"/>
    <w:rsid w:val="00CA0CFC"/>
    <w:rsid w:val="00CB2733"/>
    <w:rsid w:val="00CB6568"/>
    <w:rsid w:val="00CD7752"/>
    <w:rsid w:val="00CE7073"/>
    <w:rsid w:val="00D02C3C"/>
    <w:rsid w:val="00D1388F"/>
    <w:rsid w:val="00D2523A"/>
    <w:rsid w:val="00D65C1C"/>
    <w:rsid w:val="00D75C0F"/>
    <w:rsid w:val="00DD66C4"/>
    <w:rsid w:val="00DE4383"/>
    <w:rsid w:val="00DF7EDE"/>
    <w:rsid w:val="00E16833"/>
    <w:rsid w:val="00E320FB"/>
    <w:rsid w:val="00E91CEE"/>
    <w:rsid w:val="00EA72CE"/>
    <w:rsid w:val="00EC0488"/>
    <w:rsid w:val="00EC0DFE"/>
    <w:rsid w:val="00EC39A6"/>
    <w:rsid w:val="00EE302E"/>
    <w:rsid w:val="00EF25CD"/>
    <w:rsid w:val="00EF38E7"/>
    <w:rsid w:val="00F177EB"/>
    <w:rsid w:val="00F254DF"/>
    <w:rsid w:val="00F33665"/>
    <w:rsid w:val="00F623A5"/>
    <w:rsid w:val="00F740CD"/>
    <w:rsid w:val="00F76B45"/>
    <w:rsid w:val="00F95F0E"/>
    <w:rsid w:val="00FA1CDE"/>
    <w:rsid w:val="00FA2284"/>
    <w:rsid w:val="00FA2C60"/>
    <w:rsid w:val="00FA4971"/>
    <w:rsid w:val="00FD2E4A"/>
    <w:rsid w:val="00FE1205"/>
    <w:rsid w:val="00FE348A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FE9B1B"/>
  <w15:chartTrackingRefBased/>
  <w15:docId w15:val="{31B8FE87-4D83-4ECF-BB11-7F1B38D6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740"/>
    <w:pPr>
      <w:spacing w:before="160" w:line="259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9F4"/>
    <w:pPr>
      <w:keepNext/>
      <w:keepLines/>
      <w:spacing w:before="144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9F4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422631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aliases w:val="CAB - List Bullet,List Bullet Cab,Bullet point,Bullets,CV text,Dot pt,F5 List Paragraph,FooterText,L,List Paragraph1,List Paragraph11,List Paragraph111,List Paragraph2,Medium Grid 1 - Accent 21,NAST Quote,NFP GP Bulleted List,Figure_name"/>
    <w:basedOn w:val="Normal"/>
    <w:link w:val="ListParagraphChar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E91CEE"/>
    <w:rPr>
      <w:color w:val="1E154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paragraph" w:customStyle="1" w:styleId="Headingtable">
    <w:name w:val="Heading table"/>
    <w:basedOn w:val="Normal"/>
    <w:qFormat/>
    <w:rsid w:val="00677BC9"/>
    <w:pPr>
      <w:spacing w:before="360"/>
    </w:pPr>
    <w:rPr>
      <w:rFonts w:eastAsiaTheme="majorEastAsia" w:cstheme="majorBidi"/>
      <w:b/>
      <w:bCs/>
      <w:color w:val="1E1544" w:themeColor="text1"/>
    </w:rPr>
  </w:style>
  <w:style w:type="character" w:customStyle="1" w:styleId="ListParagraphChar">
    <w:name w:val="List Paragraph Char"/>
    <w:aliases w:val="CAB - List Bullet Char,List Bullet Cab Char,Bullet point Char,Bullets Char,CV text Char,Dot pt Char,F5 List Paragraph Char,FooterText Char,L Char,List Paragraph1 Char,List Paragraph11 Char,List Paragraph111 Char,List Paragraph2 Char"/>
    <w:basedOn w:val="DefaultParagraphFont"/>
    <w:link w:val="ListParagraph"/>
    <w:uiPriority w:val="34"/>
    <w:qFormat/>
    <w:locked/>
    <w:rsid w:val="00AD4CA0"/>
    <w:rPr>
      <w:rFonts w:ascii="Arial" w:hAnsi="Arial"/>
    </w:rPr>
  </w:style>
  <w:style w:type="paragraph" w:customStyle="1" w:styleId="CABNETParagraph">
    <w:name w:val="CABNET Paragraph."/>
    <w:basedOn w:val="Normal"/>
    <w:link w:val="CABNETParagraphChar"/>
    <w:uiPriority w:val="98"/>
    <w:qFormat/>
    <w:rsid w:val="00AD4CA0"/>
    <w:pPr>
      <w:spacing w:line="240" w:lineRule="auto"/>
    </w:pPr>
    <w:rPr>
      <w:rFonts w:cstheme="minorHAnsi"/>
      <w:szCs w:val="22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AD4CA0"/>
    <w:rPr>
      <w:rFonts w:ascii="Arial" w:hAnsi="Arial" w:cstheme="minorHAnsi"/>
      <w:sz w:val="22"/>
      <w:szCs w:val="22"/>
    </w:rPr>
  </w:style>
  <w:style w:type="paragraph" w:customStyle="1" w:styleId="null">
    <w:name w:val="null"/>
    <w:basedOn w:val="Normal"/>
    <w:rsid w:val="00AD4CA0"/>
    <w:pPr>
      <w:spacing w:before="100" w:beforeAutospacing="1" w:after="100" w:afterAutospacing="1" w:line="240" w:lineRule="auto"/>
    </w:pPr>
    <w:rPr>
      <w:rFonts w:ascii="Calibri" w:hAnsi="Calibri" w:cs="Calibri"/>
      <w:szCs w:val="22"/>
      <w:lang w:eastAsia="en-AU"/>
    </w:rPr>
  </w:style>
  <w:style w:type="paragraph" w:customStyle="1" w:styleId="CABBulletList">
    <w:name w:val="CAB Bullet List"/>
    <w:basedOn w:val="ListParagraph"/>
    <w:uiPriority w:val="98"/>
    <w:qFormat/>
    <w:rsid w:val="00AD4CA0"/>
    <w:pPr>
      <w:numPr>
        <w:numId w:val="24"/>
      </w:numPr>
      <w:tabs>
        <w:tab w:val="left" w:pos="851"/>
      </w:tabs>
      <w:spacing w:before="60" w:after="60" w:line="240" w:lineRule="auto"/>
    </w:pPr>
    <w:rPr>
      <w:szCs w:val="22"/>
    </w:rPr>
  </w:style>
  <w:style w:type="character" w:customStyle="1" w:styleId="StyleArial10pt">
    <w:name w:val="Style Arial 10 pt"/>
    <w:basedOn w:val="DefaultParagraphFont"/>
    <w:uiPriority w:val="99"/>
    <w:rsid w:val="00AD4CA0"/>
    <w:rPr>
      <w:rFonts w:ascii="Arial" w:hAnsi="Arial" w:cs="Times New Roman" w:hint="default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16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6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677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77F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77F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77F"/>
    <w:rPr>
      <w:rFonts w:ascii="Segoe UI" w:hAnsi="Segoe UI" w:cs="Segoe UI"/>
      <w:sz w:val="18"/>
      <w:szCs w:val="18"/>
    </w:rPr>
  </w:style>
  <w:style w:type="paragraph" w:customStyle="1" w:styleId="Paragraphtext">
    <w:name w:val="Paragraph text"/>
    <w:basedOn w:val="Normal"/>
    <w:qFormat/>
    <w:rsid w:val="00BC3BA9"/>
    <w:pPr>
      <w:spacing w:after="60" w:line="240" w:lineRule="auto"/>
    </w:pPr>
    <w:rPr>
      <w:rFonts w:eastAsia="Times New Roman" w:cs="Times New Roman"/>
      <w:color w:val="1E1544" w:themeColor="text1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542DC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42D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42DC"/>
    <w:rPr>
      <w:vertAlign w:val="superscript"/>
    </w:rPr>
  </w:style>
  <w:style w:type="paragraph" w:styleId="Revision">
    <w:name w:val="Revision"/>
    <w:hidden/>
    <w:uiPriority w:val="99"/>
    <w:semiHidden/>
    <w:rsid w:val="0054750F"/>
    <w:rPr>
      <w:rFonts w:ascii="Arial" w:hAnsi="Arial"/>
    </w:rPr>
  </w:style>
  <w:style w:type="paragraph" w:customStyle="1" w:styleId="commentcontentpara">
    <w:name w:val="commentcontentpara"/>
    <w:basedOn w:val="Normal"/>
    <w:rsid w:val="00790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012F16D881C46A82F1C82F702869B" ma:contentTypeVersion="2" ma:contentTypeDescription="Create a new document." ma:contentTypeScope="" ma:versionID="f35fd7865e9e2fa7ecf95595aef43d0c">
  <xsd:schema xmlns:xsd="http://www.w3.org/2001/XMLSchema" xmlns:xs="http://www.w3.org/2001/XMLSchema" xmlns:p="http://schemas.microsoft.com/office/2006/metadata/properties" xmlns:ns2="48e21489-317b-4c5c-8a53-17d557f14215" targetNamespace="http://schemas.microsoft.com/office/2006/metadata/properties" ma:root="true" ma:fieldsID="16cd3b171c58421992aa59341a8c7a51" ns2:_="">
    <xsd:import namespace="48e21489-317b-4c5c-8a53-17d557f142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21489-317b-4c5c-8a53-17d557f142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A64EC8-266B-4050-B393-C70F28B17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21489-317b-4c5c-8a53-17d557f14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9FC10-914B-4E2A-8D35-442125AB5A5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8e21489-317b-4c5c-8a53-17d557f1421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2B8631-076E-4C70-8777-61FC6294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to the Aged Care Taskforce - Residential Care Contributions</vt:lpstr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the Aged Care Taskforce - Residential Care Contributions</dc:title>
  <dc:subject>Aged care, older people, Senior Australians</dc:subject>
  <dc:creator>Australian Government Department of Health and Aged Care</dc:creator>
  <cp:keywords>Aged care, older people, Senior Australians</cp:keywords>
  <dc:description/>
  <cp:revision>18</cp:revision>
  <dcterms:created xsi:type="dcterms:W3CDTF">2024-08-20T02:29:00Z</dcterms:created>
  <dcterms:modified xsi:type="dcterms:W3CDTF">2024-09-12T00:01:00Z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0x01010038A012F16D881C46A82F1C82F702869B</vt:lpwstr>
  </property>
  <property fmtid="{D5CDD505-2E9C-101B-9397-08002B2CF9AE}" pid="3" name="MediaServiceImageTags">
    <vt:lpwstr/>
  </property>
  <property fmtid="{D5CDD505-2E9C-101B-9397-08002B2CF9AE}" pid="4" name="Order">
    <vt:r8>796600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