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43F5" w14:textId="2D3D9660" w:rsidR="00BA2732" w:rsidRDefault="00875A66" w:rsidP="003D033A">
      <w:pPr>
        <w:pStyle w:val="Title"/>
      </w:pPr>
      <w:r>
        <w:t xml:space="preserve">Performance and Financial Management Review </w:t>
      </w:r>
      <w:r w:rsidR="005F5078">
        <w:t>–</w:t>
      </w:r>
      <w:r>
        <w:t xml:space="preserve"> </w:t>
      </w:r>
      <w:r w:rsidR="00DD4998">
        <w:t xml:space="preserve">Adelaide </w:t>
      </w:r>
      <w:r w:rsidR="00693850" w:rsidRPr="00693850">
        <w:t>Primary Health Network</w:t>
      </w:r>
    </w:p>
    <w:p w14:paraId="4728DBB5" w14:textId="4FEDA68F" w:rsidR="00970EAF" w:rsidRPr="00970EAF" w:rsidRDefault="00385452" w:rsidP="00DF0C60">
      <w:pPr>
        <w:pStyle w:val="Heading2"/>
        <w:rPr>
          <w:b w:val="0"/>
          <w:bCs w:val="0"/>
          <w:color w:val="auto"/>
          <w:sz w:val="22"/>
          <w:szCs w:val="22"/>
        </w:rPr>
      </w:pPr>
      <w:r>
        <w:rPr>
          <w:b w:val="0"/>
          <w:bCs w:val="0"/>
          <w:color w:val="auto"/>
          <w:sz w:val="22"/>
          <w:szCs w:val="22"/>
        </w:rPr>
        <w:t xml:space="preserve">14 </w:t>
      </w:r>
      <w:r w:rsidR="00970EAF" w:rsidRPr="00970EAF">
        <w:rPr>
          <w:b w:val="0"/>
          <w:bCs w:val="0"/>
          <w:color w:val="auto"/>
          <w:sz w:val="22"/>
          <w:szCs w:val="22"/>
        </w:rPr>
        <w:t>December 2023</w:t>
      </w:r>
    </w:p>
    <w:p w14:paraId="5253FF87" w14:textId="2B646FFC" w:rsidR="00DF0C60" w:rsidRDefault="00875A66" w:rsidP="00DF0C60">
      <w:pPr>
        <w:pStyle w:val="Heading2"/>
      </w:pPr>
      <w:r>
        <w:t xml:space="preserve">Introduction </w:t>
      </w:r>
    </w:p>
    <w:p w14:paraId="6474CE09" w14:textId="7291AF21" w:rsidR="00D66352" w:rsidRDefault="00D66352" w:rsidP="00D66352">
      <w:r>
        <w:t xml:space="preserve">In accordance with the Commonwealth Grants Rules and Guidelines 2017, the Department has established the Primary Health Networks - Grant Programme Guideline (GPG) which outlines the requirements that PHNs must adhere to in order to participate in the PHN initiative. A rolling audit program of PHNs supports the performance and operation of the PHN Program and provides assurance PHNs are operating appropriately and in accordance with their legal and financial obligations.  </w:t>
      </w:r>
    </w:p>
    <w:p w14:paraId="70111026" w14:textId="547578F1" w:rsidR="00D66352" w:rsidRDefault="00D66352" w:rsidP="00D66352">
      <w:proofErr w:type="spellStart"/>
      <w:r>
        <w:t>McGrathNicol</w:t>
      </w:r>
      <w:proofErr w:type="spellEnd"/>
      <w:r>
        <w:t xml:space="preserve"> was engaged to undertake a review of </w:t>
      </w:r>
      <w:r w:rsidR="003C7908">
        <w:t>Adelaide</w:t>
      </w:r>
      <w:r w:rsidR="003C7908" w:rsidRPr="00D66352">
        <w:t xml:space="preserve"> Primary Health Network (</w:t>
      </w:r>
      <w:r w:rsidR="003C7908">
        <w:t>A</w:t>
      </w:r>
      <w:r w:rsidR="003C7908" w:rsidRPr="00D66352">
        <w:t xml:space="preserve">PHN) </w:t>
      </w:r>
      <w:r>
        <w:t xml:space="preserve">to determine the extent to which it has complied with its performance and financial management obligations under the Funding Agreement. The Department and </w:t>
      </w:r>
      <w:r w:rsidR="002B4F90">
        <w:t>A</w:t>
      </w:r>
      <w:r>
        <w:t>PHN stakeholders were extensively engaged as part of this audit.</w:t>
      </w:r>
    </w:p>
    <w:p w14:paraId="59A57CB0" w14:textId="77777777" w:rsidR="00D66352" w:rsidRDefault="00D66352" w:rsidP="00D66352">
      <w:r>
        <w:t xml:space="preserve">This document is a comprehensive summary of the review undertaken by </w:t>
      </w:r>
      <w:proofErr w:type="spellStart"/>
      <w:r>
        <w:t>McGrathNicol</w:t>
      </w:r>
      <w:proofErr w:type="spellEnd"/>
      <w:r>
        <w:t>, collating all key recommendations and findings.</w:t>
      </w:r>
    </w:p>
    <w:p w14:paraId="7D27155A" w14:textId="77777777" w:rsidR="00D66352" w:rsidRPr="00617D7D" w:rsidRDefault="00D66352" w:rsidP="00D66352">
      <w:pPr>
        <w:pStyle w:val="Heading2"/>
      </w:pPr>
      <w:r w:rsidRPr="00617D7D">
        <w:rPr>
          <w:rFonts w:hint="eastAsia"/>
        </w:rPr>
        <w:t>Scope of review</w:t>
      </w:r>
    </w:p>
    <w:p w14:paraId="33A4A1AC" w14:textId="24FBE0BA" w:rsidR="00D66352" w:rsidRDefault="00D66352" w:rsidP="00D66352">
      <w:pPr>
        <w:pStyle w:val="BodyText"/>
      </w:pPr>
      <w:r w:rsidRPr="00D66352">
        <w:t xml:space="preserve">This performance and financial review will build on the findings of the Baseline Maturity Assessment of </w:t>
      </w:r>
      <w:r w:rsidR="00B15C54">
        <w:t>A</w:t>
      </w:r>
      <w:r w:rsidRPr="00D66352">
        <w:t>PHN which assessed the organisation against six key qualitative domains: policies and procedures; people; governance and systems; risk and issues management; complaints management; and performance monitoring and reporting.</w:t>
      </w:r>
    </w:p>
    <w:p w14:paraId="3B0FD9A3" w14:textId="0F825E23" w:rsidR="00D66352" w:rsidRDefault="00D66352" w:rsidP="00D66352">
      <w:r>
        <w:t xml:space="preserve">The review has considered compliance and performance of </w:t>
      </w:r>
      <w:r w:rsidR="00B15C54">
        <w:t>A</w:t>
      </w:r>
      <w:r>
        <w:t>PHN in the following areas:</w:t>
      </w:r>
    </w:p>
    <w:p w14:paraId="6A1D1BC0" w14:textId="289D75A5" w:rsidR="00D66352" w:rsidRDefault="00F41F15" w:rsidP="00C261C6">
      <w:pPr>
        <w:pStyle w:val="ListParagraph"/>
        <w:numPr>
          <w:ilvl w:val="0"/>
          <w:numId w:val="7"/>
        </w:numPr>
      </w:pPr>
      <w:r>
        <w:t>g</w:t>
      </w:r>
      <w:r w:rsidR="00D66352">
        <w:t>overnance and decision-making processes</w:t>
      </w:r>
    </w:p>
    <w:p w14:paraId="79BE9746" w14:textId="7527420E" w:rsidR="00D66352" w:rsidRDefault="00F41F15" w:rsidP="00C261C6">
      <w:pPr>
        <w:pStyle w:val="ListParagraph"/>
        <w:numPr>
          <w:ilvl w:val="0"/>
          <w:numId w:val="7"/>
        </w:numPr>
      </w:pPr>
      <w:r>
        <w:t>f</w:t>
      </w:r>
      <w:r w:rsidR="00D66352">
        <w:t>inancial management, planning and reporting</w:t>
      </w:r>
    </w:p>
    <w:p w14:paraId="1FBE424E" w14:textId="6CCD9024" w:rsidR="00D66352" w:rsidRDefault="00F41F15" w:rsidP="00C261C6">
      <w:pPr>
        <w:pStyle w:val="ListParagraph"/>
        <w:numPr>
          <w:ilvl w:val="0"/>
          <w:numId w:val="7"/>
        </w:numPr>
      </w:pPr>
      <w:r>
        <w:t>o</w:t>
      </w:r>
      <w:r w:rsidR="00D66352">
        <w:t>rganisational capacity and capability</w:t>
      </w:r>
    </w:p>
    <w:p w14:paraId="61027723" w14:textId="6E0A50C6" w:rsidR="00D66352" w:rsidRDefault="00F41F15" w:rsidP="00C261C6">
      <w:pPr>
        <w:pStyle w:val="ListParagraph"/>
        <w:numPr>
          <w:ilvl w:val="0"/>
          <w:numId w:val="7"/>
        </w:numPr>
      </w:pPr>
      <w:r>
        <w:t>p</w:t>
      </w:r>
      <w:r w:rsidR="00D66352">
        <w:t>robity and commissioning practices.</w:t>
      </w:r>
    </w:p>
    <w:p w14:paraId="48D9E1E7" w14:textId="77777777" w:rsidR="00153188" w:rsidRDefault="00153188" w:rsidP="00153188">
      <w:pPr>
        <w:pStyle w:val="Heading2"/>
      </w:pPr>
      <w:r w:rsidRPr="00617D7D">
        <w:t>Governance and decision-making processes</w:t>
      </w:r>
    </w:p>
    <w:p w14:paraId="69BC3EB8" w14:textId="34C911D8" w:rsidR="00153188" w:rsidRDefault="00153188" w:rsidP="00153188">
      <w:pPr>
        <w:pStyle w:val="Heading3"/>
      </w:pPr>
      <w:r w:rsidRPr="00617D7D">
        <w:t>Scope of Review (included)</w:t>
      </w:r>
      <w:r w:rsidR="00F41F15">
        <w:t>:</w:t>
      </w:r>
    </w:p>
    <w:p w14:paraId="7E04A6C6" w14:textId="701D2190" w:rsidR="00B15C54" w:rsidRPr="00B15C54" w:rsidRDefault="00B15C54" w:rsidP="00C261C6">
      <w:pPr>
        <w:pStyle w:val="ListParagraph"/>
        <w:numPr>
          <w:ilvl w:val="0"/>
          <w:numId w:val="8"/>
        </w:numPr>
      </w:pPr>
      <w:bookmarkStart w:id="0" w:name="_Hlk168385013"/>
      <w:r w:rsidRPr="00B15C54">
        <w:t>board capability</w:t>
      </w:r>
    </w:p>
    <w:p w14:paraId="137EFA82" w14:textId="6A14A349" w:rsidR="00B15C54" w:rsidRPr="00B15C54" w:rsidRDefault="00B15C54" w:rsidP="00C261C6">
      <w:pPr>
        <w:pStyle w:val="ListParagraph"/>
        <w:numPr>
          <w:ilvl w:val="0"/>
          <w:numId w:val="8"/>
        </w:numPr>
      </w:pPr>
      <w:r w:rsidRPr="00B15C54">
        <w:t>roles and responsibilities are clearly stated and understood</w:t>
      </w:r>
    </w:p>
    <w:p w14:paraId="095D1B61" w14:textId="6C49E64A" w:rsidR="00B15C54" w:rsidRPr="00B15C54" w:rsidRDefault="00B15C54" w:rsidP="00C261C6">
      <w:pPr>
        <w:pStyle w:val="ListParagraph"/>
        <w:numPr>
          <w:ilvl w:val="0"/>
          <w:numId w:val="8"/>
        </w:numPr>
      </w:pPr>
      <w:r w:rsidRPr="00B15C54">
        <w:t>determine how strategic decisions are made within the Board</w:t>
      </w:r>
    </w:p>
    <w:p w14:paraId="53F01D06" w14:textId="2E0E0E5E" w:rsidR="00B15C54" w:rsidRPr="00B15C54" w:rsidRDefault="00B15C54" w:rsidP="00C261C6">
      <w:pPr>
        <w:pStyle w:val="ListParagraph"/>
        <w:numPr>
          <w:ilvl w:val="0"/>
          <w:numId w:val="8"/>
        </w:numPr>
      </w:pPr>
      <w:r w:rsidRPr="00B15C54">
        <w:t>constitution and associated rules are adhered to and meet the needs of APHN</w:t>
      </w:r>
    </w:p>
    <w:p w14:paraId="3D963F47" w14:textId="08B54B15" w:rsidR="00B15C54" w:rsidRPr="00B15C54" w:rsidRDefault="00B15C54" w:rsidP="00C261C6">
      <w:pPr>
        <w:pStyle w:val="ListParagraph"/>
        <w:numPr>
          <w:ilvl w:val="0"/>
          <w:numId w:val="8"/>
        </w:numPr>
      </w:pPr>
      <w:r w:rsidRPr="00B15C54">
        <w:lastRenderedPageBreak/>
        <w:t>strategic plans in place and are regularly reviewed/revised</w:t>
      </w:r>
    </w:p>
    <w:p w14:paraId="4806674D" w14:textId="472244C6" w:rsidR="00B15C54" w:rsidRPr="00B15C54" w:rsidRDefault="00B15C54" w:rsidP="00C261C6">
      <w:pPr>
        <w:pStyle w:val="ListParagraph"/>
        <w:numPr>
          <w:ilvl w:val="0"/>
          <w:numId w:val="8"/>
        </w:numPr>
      </w:pPr>
      <w:r w:rsidRPr="00B15C54">
        <w:t>relevant and appropriate governance systems and control frameworks in place</w:t>
      </w:r>
    </w:p>
    <w:p w14:paraId="38B5CD04" w14:textId="5A92A71F" w:rsidR="00B15C54" w:rsidRPr="00B15C54" w:rsidRDefault="00B15C54" w:rsidP="00C261C6">
      <w:pPr>
        <w:pStyle w:val="ListParagraph"/>
        <w:numPr>
          <w:ilvl w:val="0"/>
          <w:numId w:val="8"/>
        </w:numPr>
      </w:pPr>
      <w:r w:rsidRPr="00B15C54">
        <w:t>compliance with the Funding Agreement and legislation</w:t>
      </w:r>
    </w:p>
    <w:p w14:paraId="3186D657" w14:textId="70BB3FFC" w:rsidR="00B15C54" w:rsidRPr="00B15C54" w:rsidRDefault="00B15C54" w:rsidP="00C261C6">
      <w:pPr>
        <w:pStyle w:val="ListParagraph"/>
        <w:numPr>
          <w:ilvl w:val="0"/>
          <w:numId w:val="8"/>
        </w:numPr>
      </w:pPr>
      <w:r w:rsidRPr="00B15C54">
        <w:t>identify recommendations for improvement</w:t>
      </w:r>
    </w:p>
    <w:p w14:paraId="1CD990D0" w14:textId="5029DAC9" w:rsidR="00B15C54" w:rsidRPr="00B15C54" w:rsidRDefault="00B15C54" w:rsidP="00C261C6">
      <w:pPr>
        <w:pStyle w:val="ListParagraph"/>
        <w:numPr>
          <w:ilvl w:val="0"/>
          <w:numId w:val="8"/>
        </w:numPr>
      </w:pPr>
      <w:r w:rsidRPr="00B15C54">
        <w:t>management of conflict of interest</w:t>
      </w:r>
    </w:p>
    <w:p w14:paraId="619540CB" w14:textId="5E53CE9A" w:rsidR="00B15C54" w:rsidRPr="00B15C54" w:rsidRDefault="00B15C54" w:rsidP="00C261C6">
      <w:pPr>
        <w:pStyle w:val="ListParagraph"/>
        <w:numPr>
          <w:ilvl w:val="0"/>
          <w:numId w:val="8"/>
        </w:numPr>
      </w:pPr>
      <w:r w:rsidRPr="00B15C54">
        <w:t>progress against Baseline Maturity Assessment</w:t>
      </w:r>
    </w:p>
    <w:p w14:paraId="35E3A5A8" w14:textId="77777777" w:rsidR="00B15C54" w:rsidRPr="00B15C54" w:rsidRDefault="00B15C54" w:rsidP="00C261C6">
      <w:pPr>
        <w:pStyle w:val="ListParagraph"/>
        <w:numPr>
          <w:ilvl w:val="0"/>
          <w:numId w:val="8"/>
        </w:numPr>
      </w:pPr>
      <w:r w:rsidRPr="00B15C54">
        <w:t>stakeholder management.</w:t>
      </w:r>
    </w:p>
    <w:p w14:paraId="63664676" w14:textId="77777777" w:rsidR="00693850" w:rsidRDefault="00693850" w:rsidP="00693850">
      <w:pPr>
        <w:pStyle w:val="Heading3"/>
      </w:pPr>
      <w:r w:rsidRPr="00617D7D">
        <w:t>Key findings and recommendations are set out below</w:t>
      </w:r>
      <w:bookmarkEnd w:id="0"/>
      <w:r w:rsidRPr="00617D7D">
        <w:t>:</w:t>
      </w:r>
    </w:p>
    <w:p w14:paraId="0D730E05" w14:textId="77777777" w:rsidR="00B15C54" w:rsidRDefault="00B15C54" w:rsidP="00C261C6">
      <w:pPr>
        <w:pStyle w:val="ListParagraph"/>
        <w:numPr>
          <w:ilvl w:val="0"/>
          <w:numId w:val="9"/>
        </w:numPr>
      </w:pPr>
      <w:r>
        <w:t>The APHN Board comprises Directors with range of skills and expertise to oversee the management of APHN. The Board includes representatives that possess current or previous experience in primary health, allied health, mental health services and peak health bodies, and now includes a First Nations Representative. The Board has a skill matrix which covers a number of industry, technical, governance, and behavioural competencies. Publicly available information indicates that the Board has the relevant experience and an appropriate mix of skills to be able to oversee APHN’s delivery of funded services.</w:t>
      </w:r>
    </w:p>
    <w:p w14:paraId="11ED80E7" w14:textId="77777777" w:rsidR="00B15C54" w:rsidRDefault="00B15C54" w:rsidP="00C261C6">
      <w:pPr>
        <w:pStyle w:val="ListParagraph"/>
        <w:numPr>
          <w:ilvl w:val="0"/>
          <w:numId w:val="9"/>
        </w:numPr>
      </w:pPr>
      <w:r>
        <w:t>In a strong example of APHN’s Board being across governance arrangements, we observed within the minutes that the Board discussed the potential for significant turnover of the Board in 2025 and settled on a program of structured shortening of individual Director’s terms to ensure appropriate staggering of tenure to manage this issue. This mitigation is considered appropriate, and as such no recommendation has been made on the issue.</w:t>
      </w:r>
    </w:p>
    <w:p w14:paraId="5F76E267" w14:textId="77777777" w:rsidR="00B15C54" w:rsidRDefault="00B15C54" w:rsidP="00C261C6">
      <w:pPr>
        <w:pStyle w:val="ListParagraph"/>
        <w:numPr>
          <w:ilvl w:val="0"/>
          <w:numId w:val="9"/>
        </w:numPr>
      </w:pPr>
      <w:r>
        <w:t>Our review found APHN’s Board governance documentation to be excellent, with a register of policies establishing a regular review timetable, ensuring that all policies are reviewed regularly.</w:t>
      </w:r>
    </w:p>
    <w:p w14:paraId="6ED86401" w14:textId="77777777" w:rsidR="00B15C54" w:rsidRDefault="00B15C54" w:rsidP="00C261C6">
      <w:pPr>
        <w:pStyle w:val="ListParagraph"/>
        <w:numPr>
          <w:ilvl w:val="0"/>
          <w:numId w:val="9"/>
        </w:numPr>
      </w:pPr>
      <w:r>
        <w:t>With changes to APHN’s governance arrangements, some documentation still refers to the older arrangements (particularly in relation to Council/Committee names). However, this issue is minor in nature and will be addressed by APHN as the suite of governance documentation is refreshed. Accordingly, no recommendation has been made in respect to this issue.</w:t>
      </w:r>
    </w:p>
    <w:p w14:paraId="7E816B5A" w14:textId="77777777" w:rsidR="00B15C54" w:rsidRDefault="00B15C54" w:rsidP="00C261C6">
      <w:pPr>
        <w:pStyle w:val="ListParagraph"/>
        <w:numPr>
          <w:ilvl w:val="0"/>
          <w:numId w:val="9"/>
        </w:numPr>
      </w:pPr>
      <w:r>
        <w:t>APHN complies with the requirement to have a GP-led Clinical Council and representative Community Council. Both the Community Advisory Council and the Clinical Council report to the Board on locally relevant clinical and consumer issues.</w:t>
      </w:r>
    </w:p>
    <w:p w14:paraId="4600589A" w14:textId="77777777" w:rsidR="00B15C54" w:rsidRDefault="00B15C54" w:rsidP="00C261C6">
      <w:pPr>
        <w:pStyle w:val="ListParagraph"/>
        <w:numPr>
          <w:ilvl w:val="0"/>
          <w:numId w:val="9"/>
        </w:numPr>
      </w:pPr>
      <w:r>
        <w:t xml:space="preserve">A revised Constitution was adopted in February 2023. </w:t>
      </w:r>
      <w:proofErr w:type="spellStart"/>
      <w:r>
        <w:t>McGrathNicol’s</w:t>
      </w:r>
      <w:proofErr w:type="spellEnd"/>
      <w:r>
        <w:t xml:space="preserve"> review of APHN’s Constitution indicates a relatively standard constitution for a not-for profit company limited by guarantee. However, the Constitution requires a minimum of three Directors to be General Practitioners (not considered to be an issue) and is more prescriptive than many other standard constitutions in relation to enshrining Councils and Committees within the Constitution (also not regarded as an issue). </w:t>
      </w:r>
    </w:p>
    <w:p w14:paraId="1653DDFF" w14:textId="77777777" w:rsidR="00B15C54" w:rsidRDefault="00B15C54" w:rsidP="00C261C6">
      <w:pPr>
        <w:pStyle w:val="ListParagraph"/>
        <w:numPr>
          <w:ilvl w:val="0"/>
          <w:numId w:val="9"/>
        </w:numPr>
      </w:pPr>
      <w:r>
        <w:t xml:space="preserve">The Terms of Reference establish clear roles and responsibilities for APHN’s Councils and Committees. It was agreed by the Directors that these Councils would each be Chaired by a non-Director with designated Directors in attendance at Council meetings. Under the new Constitution, these Council Chairs are classified as APHN Members, along with the Directors. Within this report we explored the potential </w:t>
      </w:r>
      <w:r>
        <w:lastRenderedPageBreak/>
        <w:t xml:space="preserve">advantages and disadvantages of a member base that is restricted to APHN’s Directors plus three Council Chairs. </w:t>
      </w:r>
    </w:p>
    <w:p w14:paraId="2A782F25" w14:textId="77777777" w:rsidR="00B15C54" w:rsidRDefault="00B15C54" w:rsidP="00C261C6">
      <w:pPr>
        <w:pStyle w:val="ListParagraph"/>
        <w:numPr>
          <w:ilvl w:val="0"/>
          <w:numId w:val="9"/>
        </w:numPr>
      </w:pPr>
      <w:r>
        <w:t>The level of work and consultation that APHN embarked upon to lead to the unanimous support by Members of the new Constitution in February 2023 is regarded as significant. Whilst acknowledging the potential issues that could emerge from APHN’s current position of Directors and Members being largely the same individuals, on balance we regard APHN’s approach within the new Constitution to have merit and clear support from the previous group of Members. No recommendation emerges from our above observations.</w:t>
      </w:r>
    </w:p>
    <w:p w14:paraId="5FB5580F" w14:textId="77777777" w:rsidR="00B15C54" w:rsidRDefault="00B15C54" w:rsidP="00C261C6">
      <w:pPr>
        <w:pStyle w:val="ListParagraph"/>
        <w:numPr>
          <w:ilvl w:val="0"/>
          <w:numId w:val="9"/>
        </w:numPr>
      </w:pPr>
      <w:r>
        <w:t xml:space="preserve">It was noted that the previous Board viewed one of the key drivers for change of the Constitution and governance arrangements was to better establish a framework for stakeholder engagement. From discussions with the CEO, whilst it is acknowledged that it is only a few months since the changes were made, she believes that APHN is better positioned to have meaningful engagement with the community and key stakeholders. </w:t>
      </w:r>
    </w:p>
    <w:p w14:paraId="046C05E3" w14:textId="74A0E76D" w:rsidR="00487F5E" w:rsidRPr="00487F5E" w:rsidRDefault="00487F5E" w:rsidP="00C261C6">
      <w:pPr>
        <w:pStyle w:val="ListParagraph"/>
        <w:numPr>
          <w:ilvl w:val="0"/>
          <w:numId w:val="9"/>
        </w:numPr>
      </w:pPr>
      <w:r>
        <w:t>There are</w:t>
      </w:r>
      <w:r w:rsidRPr="00487F5E">
        <w:t xml:space="preserve"> </w:t>
      </w:r>
      <w:r w:rsidR="00B15C54">
        <w:t>two</w:t>
      </w:r>
      <w:r w:rsidRPr="00487F5E">
        <w:t xml:space="preserve"> recommendations in relation to </w:t>
      </w:r>
      <w:r w:rsidR="00B15C54">
        <w:t>A</w:t>
      </w:r>
      <w:r w:rsidRPr="00487F5E">
        <w:t>PHN’s governance and decision-making processes:</w:t>
      </w:r>
    </w:p>
    <w:p w14:paraId="2AAD43BE" w14:textId="77777777" w:rsidR="00B15C54" w:rsidRPr="00B15C54" w:rsidRDefault="00B15C54" w:rsidP="00C261C6">
      <w:pPr>
        <w:pStyle w:val="ListParagraph"/>
        <w:numPr>
          <w:ilvl w:val="0"/>
          <w:numId w:val="14"/>
        </w:numPr>
      </w:pPr>
      <w:r w:rsidRPr="00B15C54">
        <w:t xml:space="preserve">It is recommended that APHN further consider its framework for demonstrating achievement of the Strategic Plan (and Strategic Framework) and in delivering its outcomes. The development of clear performance measures and a roadmap of how those measures will be achieved (with periodic reporting against those measures) will provide greater clarity over APHN’s achievements to the Board, management, and stakeholders. </w:t>
      </w:r>
    </w:p>
    <w:p w14:paraId="540CAA9C" w14:textId="77777777" w:rsidR="00B15C54" w:rsidRPr="00B15C54" w:rsidRDefault="00B15C54" w:rsidP="00C261C6">
      <w:pPr>
        <w:pStyle w:val="ListParagraph"/>
        <w:numPr>
          <w:ilvl w:val="0"/>
          <w:numId w:val="14"/>
        </w:numPr>
      </w:pPr>
      <w:r w:rsidRPr="00B15C54">
        <w:t>In line with the Baseline Maturity Assessment, it is recommended that APHN establish a performance monitoring and reporting framework as a matter of priority. The performance framework should be aligned with the Strategic Plan so as to suitably demonstrate performance against stated outcomes.</w:t>
      </w:r>
    </w:p>
    <w:p w14:paraId="145E8666" w14:textId="77777777" w:rsidR="00A06894" w:rsidRPr="00617D7D" w:rsidRDefault="00A06894" w:rsidP="00A06894">
      <w:pPr>
        <w:pStyle w:val="Heading2"/>
      </w:pPr>
      <w:r w:rsidRPr="00617D7D">
        <w:t>Financial management, planning and reporting</w:t>
      </w:r>
    </w:p>
    <w:p w14:paraId="0956B2B4" w14:textId="20BE5BA5" w:rsidR="00A06894" w:rsidRPr="00617D7D" w:rsidRDefault="00A06894" w:rsidP="00A06894">
      <w:pPr>
        <w:pStyle w:val="Heading3"/>
      </w:pPr>
      <w:r w:rsidRPr="00617D7D">
        <w:t>Scope of Review (included)</w:t>
      </w:r>
      <w:r w:rsidR="00F41F15">
        <w:t>:</w:t>
      </w:r>
    </w:p>
    <w:p w14:paraId="644B7975" w14:textId="41CE8A0E" w:rsidR="00A06894" w:rsidRDefault="00A06894" w:rsidP="00C261C6">
      <w:pPr>
        <w:pStyle w:val="ListParagraph"/>
        <w:numPr>
          <w:ilvl w:val="0"/>
          <w:numId w:val="8"/>
        </w:numPr>
      </w:pPr>
      <w:r>
        <w:t>financial management practices</w:t>
      </w:r>
    </w:p>
    <w:p w14:paraId="3E7F6248" w14:textId="2B930F02" w:rsidR="00A06894" w:rsidRDefault="00A06894" w:rsidP="00C261C6">
      <w:pPr>
        <w:pStyle w:val="ListParagraph"/>
        <w:numPr>
          <w:ilvl w:val="0"/>
          <w:numId w:val="8"/>
        </w:numPr>
      </w:pPr>
      <w:r>
        <w:t>financial governance/controls</w:t>
      </w:r>
    </w:p>
    <w:p w14:paraId="37EA49C3" w14:textId="43B383FD" w:rsidR="00A06894" w:rsidRDefault="00A06894" w:rsidP="00C261C6">
      <w:pPr>
        <w:pStyle w:val="ListParagraph"/>
        <w:numPr>
          <w:ilvl w:val="0"/>
          <w:numId w:val="8"/>
        </w:numPr>
      </w:pPr>
      <w:r>
        <w:t>clear and transparent funding arrangements</w:t>
      </w:r>
    </w:p>
    <w:p w14:paraId="321C7D01" w14:textId="6F300C35" w:rsidR="00A06894" w:rsidRDefault="00A06894" w:rsidP="00C261C6">
      <w:pPr>
        <w:pStyle w:val="ListParagraph"/>
        <w:numPr>
          <w:ilvl w:val="0"/>
          <w:numId w:val="8"/>
        </w:numPr>
      </w:pPr>
      <w:r>
        <w:t>delegations and authorisations</w:t>
      </w:r>
    </w:p>
    <w:p w14:paraId="09F46DED" w14:textId="58DB4698" w:rsidR="00A06894" w:rsidRDefault="00A06894" w:rsidP="00C261C6">
      <w:pPr>
        <w:pStyle w:val="ListParagraph"/>
        <w:numPr>
          <w:ilvl w:val="0"/>
          <w:numId w:val="8"/>
        </w:numPr>
      </w:pPr>
      <w:r>
        <w:t>budget management</w:t>
      </w:r>
    </w:p>
    <w:p w14:paraId="0129D96B" w14:textId="2151490A" w:rsidR="00A06894" w:rsidRDefault="00A06894" w:rsidP="00C261C6">
      <w:pPr>
        <w:pStyle w:val="ListParagraph"/>
        <w:numPr>
          <w:ilvl w:val="0"/>
          <w:numId w:val="8"/>
        </w:numPr>
      </w:pPr>
      <w:r>
        <w:t>self-generated income</w:t>
      </w:r>
    </w:p>
    <w:p w14:paraId="3D8699D0" w14:textId="466BBACE" w:rsidR="00A06894" w:rsidRDefault="00A06894" w:rsidP="00C261C6">
      <w:pPr>
        <w:pStyle w:val="ListParagraph"/>
        <w:numPr>
          <w:ilvl w:val="0"/>
          <w:numId w:val="8"/>
        </w:numPr>
      </w:pPr>
      <w:r>
        <w:t>compliance with any financial legislative responsibilities</w:t>
      </w:r>
    </w:p>
    <w:p w14:paraId="6FC7A663" w14:textId="2DEA5730" w:rsidR="00A06894" w:rsidRDefault="00A06894" w:rsidP="00C261C6">
      <w:pPr>
        <w:pStyle w:val="ListParagraph"/>
        <w:numPr>
          <w:ilvl w:val="0"/>
          <w:numId w:val="8"/>
        </w:numPr>
      </w:pPr>
      <w:r>
        <w:t>accounts payable/receivable</w:t>
      </w:r>
    </w:p>
    <w:p w14:paraId="594729DC" w14:textId="121FAAED" w:rsidR="00A06894" w:rsidRDefault="00A06894" w:rsidP="00C261C6">
      <w:pPr>
        <w:pStyle w:val="ListParagraph"/>
        <w:numPr>
          <w:ilvl w:val="0"/>
          <w:numId w:val="8"/>
        </w:numPr>
      </w:pPr>
      <w:r>
        <w:t>statutory liabilities</w:t>
      </w:r>
    </w:p>
    <w:p w14:paraId="03186E07" w14:textId="63ECFB72" w:rsidR="00A06894" w:rsidRDefault="00A06894" w:rsidP="00C261C6">
      <w:pPr>
        <w:pStyle w:val="ListParagraph"/>
        <w:numPr>
          <w:ilvl w:val="0"/>
          <w:numId w:val="8"/>
        </w:numPr>
      </w:pPr>
      <w:r>
        <w:t>risk management</w:t>
      </w:r>
    </w:p>
    <w:p w14:paraId="6B8051F5" w14:textId="15772AD8" w:rsidR="00A06894" w:rsidRDefault="00A06894" w:rsidP="00C261C6">
      <w:pPr>
        <w:pStyle w:val="ListParagraph"/>
        <w:numPr>
          <w:ilvl w:val="0"/>
          <w:numId w:val="8"/>
        </w:numPr>
      </w:pPr>
      <w:r>
        <w:t>asset management</w:t>
      </w:r>
    </w:p>
    <w:p w14:paraId="65385AAE" w14:textId="17B35F90" w:rsidR="00A06894" w:rsidRDefault="00A06894" w:rsidP="00C261C6">
      <w:pPr>
        <w:pStyle w:val="ListParagraph"/>
        <w:numPr>
          <w:ilvl w:val="0"/>
          <w:numId w:val="8"/>
        </w:numPr>
      </w:pPr>
      <w:r>
        <w:t>procurement practices</w:t>
      </w:r>
    </w:p>
    <w:p w14:paraId="304650F2" w14:textId="5765C88A" w:rsidR="00487F5E" w:rsidRDefault="00A06894" w:rsidP="00C261C6">
      <w:pPr>
        <w:pStyle w:val="ListParagraph"/>
        <w:numPr>
          <w:ilvl w:val="0"/>
          <w:numId w:val="8"/>
        </w:numPr>
      </w:pPr>
      <w:r>
        <w:t>receipts, banking, investments</w:t>
      </w:r>
    </w:p>
    <w:p w14:paraId="26D198CA" w14:textId="191E7C95" w:rsidR="00B15C54" w:rsidRDefault="00A06894" w:rsidP="00C261C6">
      <w:pPr>
        <w:pStyle w:val="ListParagraph"/>
        <w:numPr>
          <w:ilvl w:val="0"/>
          <w:numId w:val="8"/>
        </w:numPr>
      </w:pPr>
      <w:r>
        <w:t>adherence to the requirements of the Funding Agreement with the Department</w:t>
      </w:r>
    </w:p>
    <w:p w14:paraId="41A5E567" w14:textId="2D801C7C" w:rsidR="00A06894" w:rsidRDefault="00A06894" w:rsidP="00C261C6">
      <w:pPr>
        <w:pStyle w:val="ListParagraph"/>
        <w:numPr>
          <w:ilvl w:val="0"/>
          <w:numId w:val="8"/>
        </w:numPr>
      </w:pPr>
      <w:r>
        <w:lastRenderedPageBreak/>
        <w:t>reporting.</w:t>
      </w:r>
    </w:p>
    <w:p w14:paraId="7140FF5C" w14:textId="77777777" w:rsidR="00487F5E" w:rsidRPr="00617D7D" w:rsidRDefault="00487F5E" w:rsidP="00487F5E">
      <w:pPr>
        <w:pStyle w:val="Heading3"/>
      </w:pPr>
      <w:r w:rsidRPr="00617D7D">
        <w:t>Key findings and recommendations are set out below:</w:t>
      </w:r>
    </w:p>
    <w:p w14:paraId="1F5581B5" w14:textId="2F578F30" w:rsidR="004F5C14" w:rsidRDefault="002A07E7" w:rsidP="00C261C6">
      <w:pPr>
        <w:pStyle w:val="ListParagraph"/>
        <w:numPr>
          <w:ilvl w:val="0"/>
          <w:numId w:val="9"/>
        </w:numPr>
      </w:pPr>
      <w:r w:rsidRPr="002A07E7">
        <w:t xml:space="preserve">The Department requested that </w:t>
      </w:r>
      <w:proofErr w:type="spellStart"/>
      <w:r w:rsidRPr="002A07E7">
        <w:t>McGrathNicol</w:t>
      </w:r>
      <w:proofErr w:type="spellEnd"/>
      <w:r w:rsidRPr="002A07E7">
        <w:t xml:space="preserve"> undertake a review of </w:t>
      </w:r>
      <w:r w:rsidR="004F5C14">
        <w:t xml:space="preserve">APHN's financial planning, management systems, internal control frameworks, and policies and procedures. We found that APHN’s frameworks are to a high standard, with appropriate delegations, governance documentation, and financial risk management policies and procedures. </w:t>
      </w:r>
    </w:p>
    <w:p w14:paraId="2E5DCEF4" w14:textId="77777777" w:rsidR="004F5C14" w:rsidRDefault="004F5C14" w:rsidP="00C261C6">
      <w:pPr>
        <w:pStyle w:val="ListParagraph"/>
        <w:numPr>
          <w:ilvl w:val="0"/>
          <w:numId w:val="9"/>
        </w:numPr>
      </w:pPr>
      <w:r>
        <w:t xml:space="preserve">APHN provided evidence of a strong budgeting framework and robust reporting processes that appear to meet funding agreement requirements. </w:t>
      </w:r>
    </w:p>
    <w:p w14:paraId="38CB0FDD" w14:textId="48E01D0D" w:rsidR="00487F5E" w:rsidRDefault="00487F5E" w:rsidP="00C261C6">
      <w:pPr>
        <w:pStyle w:val="ListParagraph"/>
        <w:numPr>
          <w:ilvl w:val="0"/>
          <w:numId w:val="9"/>
        </w:numPr>
      </w:pPr>
      <w:r>
        <w:t xml:space="preserve">There </w:t>
      </w:r>
      <w:r w:rsidR="004F5C14">
        <w:t>is one</w:t>
      </w:r>
      <w:r>
        <w:t xml:space="preserve"> recommendation in relation to </w:t>
      </w:r>
      <w:r w:rsidR="004F5C14">
        <w:t>A</w:t>
      </w:r>
      <w:r>
        <w:t>PHN’s financial management, planning and reporting:</w:t>
      </w:r>
    </w:p>
    <w:p w14:paraId="6A9FF752" w14:textId="58C74EBE" w:rsidR="004F5C14" w:rsidRPr="004F5C14" w:rsidRDefault="00487F5E" w:rsidP="00C261C6">
      <w:pPr>
        <w:pStyle w:val="ListParagraph"/>
        <w:numPr>
          <w:ilvl w:val="0"/>
          <w:numId w:val="15"/>
        </w:numPr>
      </w:pPr>
      <w:r>
        <w:t xml:space="preserve">Whilst </w:t>
      </w:r>
      <w:r w:rsidR="004F5C14" w:rsidRPr="004F5C14">
        <w:t>APHN’s Budget Workflow document appears to provide adequate procedural guidance, there would be benefit in developing an overarching Budget Framework with the inclusion of guidance principles, linkage to mandatory requirements, and clear articulation of its alignment to the APHN Strategic Plan and Commissioning Framework. The practice of formalising the link between financial budgeting procedure and strategic outcomes would further strengthen the quality of APHN’s governance documentation</w:t>
      </w:r>
      <w:r w:rsidR="004F5C14">
        <w:t>.</w:t>
      </w:r>
    </w:p>
    <w:p w14:paraId="5232944D" w14:textId="3F393A1C" w:rsidR="00487F5E" w:rsidRDefault="00487F5E" w:rsidP="004F5C14">
      <w:pPr>
        <w:pStyle w:val="ListParagraph"/>
        <w:ind w:left="1080"/>
      </w:pPr>
    </w:p>
    <w:p w14:paraId="4A836BA6" w14:textId="46F84F59" w:rsidR="00693850" w:rsidRPr="00617D7D" w:rsidRDefault="00693850" w:rsidP="00693850">
      <w:pPr>
        <w:pStyle w:val="Heading2"/>
      </w:pPr>
      <w:r w:rsidRPr="00617D7D">
        <w:t>Probity and commissioning practices</w:t>
      </w:r>
    </w:p>
    <w:p w14:paraId="2EC59B8B" w14:textId="419E2B6F" w:rsidR="00693850" w:rsidRPr="00617D7D" w:rsidRDefault="00693850" w:rsidP="00693850">
      <w:pPr>
        <w:pStyle w:val="Heading3"/>
      </w:pPr>
      <w:r w:rsidRPr="00617D7D">
        <w:t>Scope of Review (included)</w:t>
      </w:r>
      <w:r w:rsidR="00F41F15">
        <w:t>:</w:t>
      </w:r>
    </w:p>
    <w:p w14:paraId="6DECEDF9" w14:textId="28F7AEB2" w:rsidR="00693850" w:rsidRPr="00706BBA" w:rsidRDefault="00F41F15" w:rsidP="00C261C6">
      <w:pPr>
        <w:pStyle w:val="ListParagraph"/>
        <w:numPr>
          <w:ilvl w:val="0"/>
          <w:numId w:val="8"/>
        </w:numPr>
      </w:pPr>
      <w:r>
        <w:t>p</w:t>
      </w:r>
      <w:r w:rsidR="00693850" w:rsidRPr="00706BBA">
        <w:t>olicies and procedures are in place and appropriately adhered to</w:t>
      </w:r>
    </w:p>
    <w:p w14:paraId="3572586D" w14:textId="696E6421" w:rsidR="00693850" w:rsidRPr="00706BBA" w:rsidRDefault="00F41F15" w:rsidP="00C261C6">
      <w:pPr>
        <w:pStyle w:val="ListParagraph"/>
        <w:numPr>
          <w:ilvl w:val="0"/>
          <w:numId w:val="8"/>
        </w:numPr>
      </w:pPr>
      <w:r>
        <w:t>p</w:t>
      </w:r>
      <w:r w:rsidR="00693850" w:rsidRPr="00706BBA">
        <w:t xml:space="preserve">robity arrangements are in place for clear, </w:t>
      </w:r>
      <w:r w:rsidR="00C261C6" w:rsidRPr="00706BBA">
        <w:t>transparent,</w:t>
      </w:r>
      <w:r w:rsidR="00693850" w:rsidRPr="00706BBA">
        <w:t xml:space="preserve"> and ethical decision making in relation to the commissioning and funding practices</w:t>
      </w:r>
    </w:p>
    <w:p w14:paraId="7EB727E2" w14:textId="3EC175A4" w:rsidR="00693850" w:rsidRPr="00706BBA" w:rsidRDefault="00F41F15" w:rsidP="00C261C6">
      <w:pPr>
        <w:pStyle w:val="ListParagraph"/>
        <w:numPr>
          <w:ilvl w:val="0"/>
          <w:numId w:val="8"/>
        </w:numPr>
      </w:pPr>
      <w:r>
        <w:t>t</w:t>
      </w:r>
      <w:r w:rsidR="00693850" w:rsidRPr="00706BBA">
        <w:t>he PHN has documented how value for money was achieved.</w:t>
      </w:r>
    </w:p>
    <w:p w14:paraId="53820495" w14:textId="77777777" w:rsidR="00693850" w:rsidRPr="00617D7D" w:rsidRDefault="00693850" w:rsidP="00693850">
      <w:pPr>
        <w:pStyle w:val="Heading3"/>
      </w:pPr>
      <w:r w:rsidRPr="00617D7D">
        <w:t>Key findings and recommendations are set out below:</w:t>
      </w:r>
    </w:p>
    <w:p w14:paraId="575F1440" w14:textId="7C28F64B" w:rsidR="004F5C14" w:rsidRDefault="002A07E7" w:rsidP="00C261C6">
      <w:pPr>
        <w:pStyle w:val="ListParagraph"/>
        <w:numPr>
          <w:ilvl w:val="0"/>
          <w:numId w:val="12"/>
        </w:numPr>
      </w:pPr>
      <w:r w:rsidRPr="002A07E7">
        <w:t xml:space="preserve">The Department requested that </w:t>
      </w:r>
      <w:proofErr w:type="spellStart"/>
      <w:r w:rsidRPr="002A07E7">
        <w:t>McGrathNicol</w:t>
      </w:r>
      <w:proofErr w:type="spellEnd"/>
      <w:r w:rsidRPr="002A07E7">
        <w:t xml:space="preserve"> undertake a review of </w:t>
      </w:r>
      <w:r w:rsidR="004F5C14">
        <w:t>operational systems to support the efficient and effective identification of needs and commissioning of services including key internal control frameworks, policies, and procedures.</w:t>
      </w:r>
    </w:p>
    <w:p w14:paraId="7598B4B6" w14:textId="77777777" w:rsidR="004F5C14" w:rsidRDefault="004F5C14" w:rsidP="00C261C6">
      <w:pPr>
        <w:pStyle w:val="ListParagraph"/>
        <w:numPr>
          <w:ilvl w:val="0"/>
          <w:numId w:val="12"/>
        </w:numPr>
      </w:pPr>
      <w:r>
        <w:t>APHN’s Commissioning Framework and associated Commissioning – Procurement Procedures Manual are regarded as comprehensive in nature, clearly defining the activities involved within the Commissioning Cycle and providing linkages to relevant APHN strategic and other supporting internal documents. The roles and responsibilities associated with each activity are clearly defined, and we consider that the Commissioning Framework meets the needs of APHN.</w:t>
      </w:r>
    </w:p>
    <w:p w14:paraId="7E59A5AC" w14:textId="77777777" w:rsidR="004F5C14" w:rsidRDefault="004F5C14" w:rsidP="00C261C6">
      <w:pPr>
        <w:pStyle w:val="ListParagraph"/>
        <w:numPr>
          <w:ilvl w:val="0"/>
          <w:numId w:val="12"/>
        </w:numPr>
      </w:pPr>
      <w:r>
        <w:t xml:space="preserve">It is noted that APHN provides detailed guidance, including the Adelaide PHN Commissioning Handbook, on its website regarding commissioning services for the PHN. This includes presenting its Commissioning Framework in full. </w:t>
      </w:r>
    </w:p>
    <w:p w14:paraId="5035A58E" w14:textId="77777777" w:rsidR="004F5C14" w:rsidRDefault="004F5C14" w:rsidP="00C261C6">
      <w:pPr>
        <w:pStyle w:val="ListParagraph"/>
        <w:numPr>
          <w:ilvl w:val="0"/>
          <w:numId w:val="12"/>
        </w:numPr>
      </w:pPr>
      <w:proofErr w:type="spellStart"/>
      <w:r>
        <w:t>McGrathNicol</w:t>
      </w:r>
      <w:proofErr w:type="spellEnd"/>
      <w:r>
        <w:t xml:space="preserve"> completed testing of a sample of 10 commissioned contracts to determine if probity and other control arrangements were demonstrated to support clear, transparent, and ethical decision making in relation to the commissioning and </w:t>
      </w:r>
      <w:r>
        <w:lastRenderedPageBreak/>
        <w:t>procurement practices of APHN. The sample testing had a specific focus on whether linkages to the Strategic Plan and Activity Work Plans were clear and whether APHN had documented how value for money was achieved.</w:t>
      </w:r>
    </w:p>
    <w:p w14:paraId="351D0BFB" w14:textId="77777777" w:rsidR="004F5C14" w:rsidRDefault="004F5C14" w:rsidP="00C261C6">
      <w:pPr>
        <w:pStyle w:val="ListParagraph"/>
        <w:numPr>
          <w:ilvl w:val="0"/>
          <w:numId w:val="12"/>
        </w:numPr>
      </w:pPr>
      <w:r>
        <w:t>In testing the sample of commissioned contracts, documentation supported the achievement of our testing criteria for all tested open tender contracts, with weaker results being achieved by those commissioned via direct approaches. Evidence was readily available to support consideration of conflicts of interest, value for money, relevant approvals, and endorsement of the commissioning activities for most sampled contracts. This also pointed to strong record keeping practices within APHN.</w:t>
      </w:r>
    </w:p>
    <w:p w14:paraId="36617C64" w14:textId="77777777" w:rsidR="004F5C14" w:rsidRDefault="004F5C14" w:rsidP="00C261C6">
      <w:pPr>
        <w:pStyle w:val="ListParagraph"/>
        <w:numPr>
          <w:ilvl w:val="0"/>
          <w:numId w:val="12"/>
        </w:numPr>
      </w:pPr>
      <w:r>
        <w:t>Given our conclusions on the strong frameworks implemented for APHN’s commissioning activities, and the indication that for recent open tender commissioning activities those processes have been followed, we have not made a recommendation in relation to those exceptions identified during our testing. We are confident from recent commissioning activities that the processes required of staff in undertaking open tender commissioning are understood and the controls appear to be followed.</w:t>
      </w:r>
    </w:p>
    <w:p w14:paraId="338F0ABB" w14:textId="1223BDB0" w:rsidR="00F41F15" w:rsidRDefault="00F41F15" w:rsidP="00C261C6">
      <w:pPr>
        <w:pStyle w:val="ListParagraph"/>
        <w:numPr>
          <w:ilvl w:val="0"/>
          <w:numId w:val="12"/>
        </w:numPr>
      </w:pPr>
      <w:r>
        <w:t xml:space="preserve">There were no recommendations identified in relation to </w:t>
      </w:r>
      <w:r w:rsidR="00877A5C">
        <w:t>A</w:t>
      </w:r>
      <w:r>
        <w:t>PHN’s p</w:t>
      </w:r>
      <w:r w:rsidRPr="00A734D3">
        <w:t>robity and commissioning practices</w:t>
      </w:r>
      <w:r>
        <w:t>.</w:t>
      </w:r>
    </w:p>
    <w:p w14:paraId="3A4CE8E2" w14:textId="77777777" w:rsidR="00F41F15" w:rsidRDefault="00F41F15" w:rsidP="00F41F15">
      <w:pPr>
        <w:pStyle w:val="ListParagraph"/>
        <w:ind w:left="360"/>
      </w:pPr>
    </w:p>
    <w:p w14:paraId="78D0D9CC" w14:textId="77777777" w:rsidR="00B033B9" w:rsidRDefault="00B033B9" w:rsidP="00B033B9"/>
    <w:p w14:paraId="70051DEC" w14:textId="7DE58212" w:rsidR="00B033B9" w:rsidRPr="00617D7D" w:rsidRDefault="00B033B9" w:rsidP="00B033B9">
      <w:pPr>
        <w:pStyle w:val="Heading2"/>
      </w:pPr>
      <w:r>
        <w:t>Data security</w:t>
      </w:r>
    </w:p>
    <w:p w14:paraId="0F59DAA7" w14:textId="52319186" w:rsidR="00B033B9" w:rsidRPr="00617D7D" w:rsidRDefault="00B033B9" w:rsidP="00B033B9">
      <w:pPr>
        <w:pStyle w:val="Heading3"/>
      </w:pPr>
      <w:r w:rsidRPr="00617D7D">
        <w:t>Scope of Review (included)</w:t>
      </w:r>
      <w:r w:rsidR="00637251">
        <w:t>:</w:t>
      </w:r>
    </w:p>
    <w:p w14:paraId="6FD30C72" w14:textId="14AA2FEB" w:rsidR="00B033B9" w:rsidRPr="00170851" w:rsidRDefault="00637251" w:rsidP="00C261C6">
      <w:pPr>
        <w:pStyle w:val="ListParagraph"/>
        <w:numPr>
          <w:ilvl w:val="0"/>
          <w:numId w:val="8"/>
        </w:numPr>
      </w:pPr>
      <w:r>
        <w:t>a</w:t>
      </w:r>
      <w:r w:rsidR="00B033B9" w:rsidRPr="00B033B9">
        <w:t>ppropriateness of IT infrastructure</w:t>
      </w:r>
    </w:p>
    <w:p w14:paraId="0E9161F6" w14:textId="0CC035FE" w:rsidR="00B033B9" w:rsidRPr="00B033B9" w:rsidRDefault="00B033B9" w:rsidP="00C261C6">
      <w:pPr>
        <w:pStyle w:val="ListParagraph"/>
        <w:numPr>
          <w:ilvl w:val="0"/>
          <w:numId w:val="8"/>
        </w:numPr>
      </w:pPr>
      <w:r w:rsidRPr="00B033B9">
        <w:t>data management arrangements</w:t>
      </w:r>
    </w:p>
    <w:p w14:paraId="7A67C73F" w14:textId="44E41349" w:rsidR="00B033B9" w:rsidRPr="00B033B9" w:rsidRDefault="00B033B9" w:rsidP="00C261C6">
      <w:pPr>
        <w:pStyle w:val="ListParagraph"/>
        <w:numPr>
          <w:ilvl w:val="0"/>
          <w:numId w:val="8"/>
        </w:numPr>
      </w:pPr>
      <w:r w:rsidRPr="00B033B9">
        <w:t>progress against Baseline Maturity Assessment</w:t>
      </w:r>
    </w:p>
    <w:p w14:paraId="7A53B485" w14:textId="5E36787E" w:rsidR="00B033B9" w:rsidRPr="00B033B9" w:rsidRDefault="00B033B9" w:rsidP="00C261C6">
      <w:pPr>
        <w:pStyle w:val="ListParagraph"/>
        <w:numPr>
          <w:ilvl w:val="0"/>
          <w:numId w:val="8"/>
        </w:numPr>
      </w:pPr>
      <w:r w:rsidRPr="00B033B9">
        <w:t>funding of data collection</w:t>
      </w:r>
    </w:p>
    <w:p w14:paraId="78413D3C" w14:textId="77777777" w:rsidR="00B033B9" w:rsidRPr="00B033B9" w:rsidRDefault="00B033B9" w:rsidP="00C261C6">
      <w:pPr>
        <w:pStyle w:val="ListParagraph"/>
        <w:numPr>
          <w:ilvl w:val="0"/>
          <w:numId w:val="8"/>
        </w:numPr>
      </w:pPr>
      <w:r w:rsidRPr="00B033B9">
        <w:t>data migration plans related to Primary Health Insights (PHI).</w:t>
      </w:r>
    </w:p>
    <w:p w14:paraId="6EE6C052" w14:textId="77777777" w:rsidR="00B033B9" w:rsidRPr="00617D7D" w:rsidRDefault="00B033B9" w:rsidP="00B033B9">
      <w:pPr>
        <w:pStyle w:val="Heading3"/>
      </w:pPr>
      <w:r w:rsidRPr="00617D7D">
        <w:t>Key findings and recommendations are set out below:</w:t>
      </w:r>
    </w:p>
    <w:p w14:paraId="3F8A6A5D" w14:textId="5B1D7E6E" w:rsidR="00B033B9" w:rsidRDefault="00B033B9" w:rsidP="00C261C6">
      <w:pPr>
        <w:pStyle w:val="ListParagraph"/>
        <w:numPr>
          <w:ilvl w:val="0"/>
          <w:numId w:val="13"/>
        </w:numPr>
      </w:pPr>
      <w:bookmarkStart w:id="1" w:name="_Hlk168389214"/>
      <w:r>
        <w:t xml:space="preserve">The Department requested that </w:t>
      </w:r>
      <w:proofErr w:type="spellStart"/>
      <w:r>
        <w:t>McGrathNicol</w:t>
      </w:r>
      <w:proofErr w:type="spellEnd"/>
      <w:r>
        <w:t xml:space="preserve"> undertake a review of </w:t>
      </w:r>
      <w:bookmarkEnd w:id="1"/>
      <w:r w:rsidR="002A07E7">
        <w:t>A</w:t>
      </w:r>
      <w:r>
        <w:t>PHN’s data management arrangements, including data migration plans related to Primary Health Insights (PHI). PHI is a storage and analytics platform that hosts the de-identified general practice and other primary health data of most of the PHNs across Australia.</w:t>
      </w:r>
    </w:p>
    <w:p w14:paraId="48FFB152" w14:textId="77777777" w:rsidR="004F5C14" w:rsidRDefault="004F5C14" w:rsidP="00C261C6">
      <w:pPr>
        <w:pStyle w:val="ListParagraph"/>
        <w:numPr>
          <w:ilvl w:val="0"/>
          <w:numId w:val="10"/>
        </w:numPr>
      </w:pPr>
      <w:r>
        <w:t xml:space="preserve">APHN committed to migrate to PHI in late 2020, signing on to the Primary Health Insights Service Project Agreement and executing a </w:t>
      </w:r>
      <w:r w:rsidRPr="00C13A52">
        <w:t xml:space="preserve">contract </w:t>
      </w:r>
      <w:r w:rsidRPr="004A063B">
        <w:t>with WA Primary Health Alliance Limited (the lead agency in implementing the PHI program).</w:t>
      </w:r>
      <w:r>
        <w:t xml:space="preserve"> Whilst APHN do not have a formal document detailing its plans for migration to PHI, APHN management were able to describe their approach to us through consultation. </w:t>
      </w:r>
    </w:p>
    <w:p w14:paraId="14427BF2" w14:textId="77777777" w:rsidR="004F5C14" w:rsidRDefault="004F5C14" w:rsidP="00C261C6">
      <w:pPr>
        <w:pStyle w:val="ListParagraph"/>
        <w:numPr>
          <w:ilvl w:val="0"/>
          <w:numId w:val="10"/>
        </w:numPr>
      </w:pPr>
      <w:r>
        <w:t xml:space="preserve">In relation to cyber risk, management informed that in March 2022 APHN’s cyber insurance provider would not reinsure the organisation due to perceived risks within APHN’s environment. A program of urgent cyber security work was undertaken by APHN, resulting in insurance being put back in place. Much of the program of work undertaken by APHN aligned to strengthening controls in line with the Essential Eight Model for cyber resilience. This is one of a number of security models that are </w:t>
      </w:r>
      <w:r>
        <w:lastRenderedPageBreak/>
        <w:t>available to guide organisations in building cyber resilience and it is viewed as a positive that APHN is using this to guide their work to harden their cyber security environment. However, as noted below, recommendations have been made to further progress this work.</w:t>
      </w:r>
    </w:p>
    <w:p w14:paraId="1B26AA69" w14:textId="6AE7292D" w:rsidR="00B033B9" w:rsidRDefault="00F41F15" w:rsidP="00C261C6">
      <w:pPr>
        <w:pStyle w:val="ListParagraph"/>
        <w:numPr>
          <w:ilvl w:val="0"/>
          <w:numId w:val="10"/>
        </w:numPr>
      </w:pPr>
      <w:r>
        <w:t>There are</w:t>
      </w:r>
      <w:r w:rsidRPr="00487F5E">
        <w:t xml:space="preserve"> </w:t>
      </w:r>
      <w:r w:rsidR="004F5C14">
        <w:t>three</w:t>
      </w:r>
      <w:r w:rsidR="00B033B9">
        <w:t xml:space="preserve"> recommendations in relation to </w:t>
      </w:r>
      <w:r w:rsidR="00003522">
        <w:t>A</w:t>
      </w:r>
      <w:r w:rsidR="00B033B9">
        <w:t>PHN’s data security:</w:t>
      </w:r>
    </w:p>
    <w:p w14:paraId="4E13BDA6" w14:textId="77777777" w:rsidR="004F5C14" w:rsidRDefault="004F5C14" w:rsidP="00C261C6">
      <w:pPr>
        <w:pStyle w:val="ListParagraph"/>
        <w:numPr>
          <w:ilvl w:val="0"/>
          <w:numId w:val="11"/>
        </w:numPr>
      </w:pPr>
      <w:r>
        <w:t>Whilst the Data Governance Framework is still in draft form, the content appears largely complete with some minor unresolved comments. We encourage APHN to continue to develop the Data Governance Framework and seek final approval from the Board as a priority.</w:t>
      </w:r>
    </w:p>
    <w:p w14:paraId="665F65C4" w14:textId="77777777" w:rsidR="004F5C14" w:rsidRDefault="004F5C14" w:rsidP="00C261C6">
      <w:pPr>
        <w:pStyle w:val="ListParagraph"/>
        <w:numPr>
          <w:ilvl w:val="0"/>
          <w:numId w:val="11"/>
        </w:numPr>
      </w:pPr>
      <w:r>
        <w:t xml:space="preserve">As part of APHN continuing its journey of cyber resilience and electing to adopt the Essential Eight Model, it is recommended that APHN identify and set its Essential Eight target maturity level (to be endorsed by the Board). APHN should also continue with a regular program of self-assessment against the Essential Eight maturity model, along with independent external assessment as a matter of priority in the next six months and then periodically, to ensure cyber resilience remains a focus. In terms of undertaking the external assessment, we recommend that APHN provide an update to the Department on the results of that assessment. </w:t>
      </w:r>
    </w:p>
    <w:p w14:paraId="05539F2D" w14:textId="5B21B931" w:rsidR="00B033B9" w:rsidRDefault="004F5C14" w:rsidP="00C261C6">
      <w:pPr>
        <w:pStyle w:val="ListParagraph"/>
        <w:numPr>
          <w:ilvl w:val="0"/>
          <w:numId w:val="11"/>
        </w:numPr>
      </w:pPr>
      <w:r>
        <w:t xml:space="preserve">Whilst APHN has begun implementing an approach to PHI migration, it is recommended APHN detail its plan for PHI migration in a formal strategy document (endorsed by the Board) to ensure a comprehensive and systemised approach to change management across the organisation. </w:t>
      </w:r>
    </w:p>
    <w:p w14:paraId="57040478" w14:textId="77777777" w:rsidR="00D66352" w:rsidRPr="00617D7D" w:rsidRDefault="00D66352" w:rsidP="00D66352">
      <w:pPr>
        <w:pStyle w:val="Heading2"/>
      </w:pPr>
      <w:bookmarkStart w:id="2" w:name="_Hlk85795649"/>
      <w:r w:rsidRPr="00617D7D">
        <w:t>Disclaimer</w:t>
      </w:r>
    </w:p>
    <w:p w14:paraId="502C46A9" w14:textId="1BA910A5" w:rsidR="00D66352" w:rsidRDefault="00D66352" w:rsidP="00D66352">
      <w:r>
        <w:t xml:space="preserve">This report has been prepared for the Department of Health and Aged Care for the purpose set out in the </w:t>
      </w:r>
      <w:r w:rsidRPr="00384998">
        <w:t xml:space="preserve">Official Order </w:t>
      </w:r>
      <w:r w:rsidRPr="004A063B">
        <w:t xml:space="preserve">dated </w:t>
      </w:r>
      <w:r w:rsidR="003A2684" w:rsidRPr="004A063B">
        <w:t>19</w:t>
      </w:r>
      <w:r w:rsidR="00F273CE" w:rsidRPr="004A063B">
        <w:t xml:space="preserve"> December</w:t>
      </w:r>
      <w:r w:rsidRPr="004A063B">
        <w:t xml:space="preserve"> 2022</w:t>
      </w:r>
      <w:r w:rsidRPr="00384998">
        <w:t>.  In</w:t>
      </w:r>
      <w:r>
        <w:t xml:space="preserve"> accordance with their usual practice, </w:t>
      </w:r>
      <w:proofErr w:type="spellStart"/>
      <w:r>
        <w:t>McGrathNicol</w:t>
      </w:r>
      <w:proofErr w:type="spellEnd"/>
      <w:r>
        <w:t xml:space="preserve"> expressly disclaims all responsibility to any other person or entity for any reliance on the content of this report.  </w:t>
      </w:r>
    </w:p>
    <w:p w14:paraId="4D9F9DC8" w14:textId="77777777" w:rsidR="00D66352" w:rsidRDefault="00D66352" w:rsidP="00D66352">
      <w:r>
        <w:t xml:space="preserve">The information in this report may not include all possible or relevant information in relation to the matter we have been instructed to review.  Whilst every effort has been made to ensure the information contained in this report is accurate and complete, </w:t>
      </w:r>
      <w:proofErr w:type="spellStart"/>
      <w:r>
        <w:t>McGrathNicol</w:t>
      </w:r>
      <w:proofErr w:type="spellEnd"/>
      <w:r>
        <w:t xml:space="preserve"> accepts no responsibility if the information ultimately turns out to be incorrect or not applicable.  In issuing this report, </w:t>
      </w:r>
      <w:proofErr w:type="spellStart"/>
      <w:r>
        <w:t>McGrathNicol</w:t>
      </w:r>
      <w:proofErr w:type="spellEnd"/>
      <w:r>
        <w:t xml:space="preserve"> is not certifying that they have identified all relevant events and information.  </w:t>
      </w:r>
      <w:proofErr w:type="spellStart"/>
      <w:r>
        <w:t>McGrathNicol</w:t>
      </w:r>
      <w:proofErr w:type="spellEnd"/>
      <w:r>
        <w:t xml:space="preserve"> have sought to identify all significant events from the information provided but provide no assurance that all such significant events and information have been identified.</w:t>
      </w:r>
    </w:p>
    <w:p w14:paraId="7F74DA11" w14:textId="77777777" w:rsidR="00D66352" w:rsidRDefault="00D66352" w:rsidP="00D66352">
      <w:proofErr w:type="spellStart"/>
      <w:r>
        <w:t>McGrathNicol</w:t>
      </w:r>
      <w:proofErr w:type="spellEnd"/>
      <w:r>
        <w:t xml:space="preserve"> have not carried out a statutory audit, and accordingly an audit opinion has not been provided.  The scope of our work is different to that of a statutory </w:t>
      </w:r>
      <w:proofErr w:type="gramStart"/>
      <w:r>
        <w:t>audit</w:t>
      </w:r>
      <w:proofErr w:type="gramEnd"/>
      <w:r>
        <w:t xml:space="preserve"> and it cannot be relied upon to provide the same level of assurance.</w:t>
      </w:r>
    </w:p>
    <w:p w14:paraId="3E28CABE" w14:textId="16825182" w:rsidR="00D66352" w:rsidRPr="007E0FB8" w:rsidRDefault="00D66352" w:rsidP="00D66352">
      <w:r>
        <w:t xml:space="preserve">Neither </w:t>
      </w:r>
      <w:proofErr w:type="spellStart"/>
      <w:r>
        <w:t>McGrathNicol</w:t>
      </w:r>
      <w:proofErr w:type="spellEnd"/>
      <w:r>
        <w:t xml:space="preserve"> nor any member or employee of </w:t>
      </w:r>
      <w:proofErr w:type="spellStart"/>
      <w:r>
        <w:t>McGrathNicol</w:t>
      </w:r>
      <w:proofErr w:type="spellEnd"/>
      <w:r>
        <w:t xml:space="preserve"> undertakes responsibility in any way whatsoever, including by way of any errors or omissions arising through negligence or otherwise however caused to any persons other than the Department.</w:t>
      </w:r>
      <w:r w:rsidRPr="007E0FB8">
        <w:t xml:space="preserve"> </w:t>
      </w:r>
    </w:p>
    <w:p w14:paraId="39BA8232" w14:textId="77777777" w:rsidR="00875A66" w:rsidRPr="00875A66" w:rsidRDefault="00875A66" w:rsidP="00875A66"/>
    <w:bookmarkEnd w:id="2"/>
    <w:p w14:paraId="43219C0B" w14:textId="77777777" w:rsidR="00875A66" w:rsidRPr="007E0FB8" w:rsidRDefault="00875A66" w:rsidP="00E25B1F"/>
    <w:sectPr w:rsidR="00875A66" w:rsidRPr="007E0FB8"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17C2" w14:textId="77777777" w:rsidR="005B2563" w:rsidRDefault="005B2563" w:rsidP="006B56BB">
      <w:r>
        <w:separator/>
      </w:r>
    </w:p>
    <w:p w14:paraId="46C31A95" w14:textId="77777777" w:rsidR="005B2563" w:rsidRDefault="005B2563"/>
  </w:endnote>
  <w:endnote w:type="continuationSeparator" w:id="0">
    <w:p w14:paraId="310867BF" w14:textId="77777777" w:rsidR="005B2563" w:rsidRDefault="005B2563" w:rsidP="006B56BB">
      <w:r>
        <w:continuationSeparator/>
      </w:r>
    </w:p>
    <w:p w14:paraId="2A80DF22" w14:textId="77777777" w:rsidR="005B2563" w:rsidRDefault="005B2563"/>
  </w:endnote>
  <w:endnote w:type="continuationNotice" w:id="1">
    <w:p w14:paraId="7C186FD8" w14:textId="77777777" w:rsidR="005B2563" w:rsidRDefault="005B2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44FC" w14:textId="286A041C" w:rsidR="00B53987" w:rsidRDefault="00693850" w:rsidP="00B53987">
    <w:pPr>
      <w:pStyle w:val="Footer"/>
    </w:pPr>
    <w:r>
      <w:t xml:space="preserve">Performance and Financial Management Review - </w:t>
    </w:r>
    <w:r w:rsidR="00DD4998">
      <w:t>Adelaide</w:t>
    </w:r>
    <w:r w:rsidRPr="00D66352">
      <w:t xml:space="preserve"> </w:t>
    </w:r>
    <w:r>
      <w:t>PHN,</w:t>
    </w:r>
    <w:r w:rsidR="004F5C14">
      <w:t xml:space="preserve"> December</w:t>
    </w:r>
    <w:r>
      <w:t xml:space="preserve"> 202</w:t>
    </w:r>
    <w:r w:rsidR="004F5C14">
      <w:t>3</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3B6" w14:textId="003A994F" w:rsidR="00B53987" w:rsidRDefault="00153188" w:rsidP="00693850">
    <w:pPr>
      <w:pStyle w:val="Footer"/>
      <w:jc w:val="left"/>
    </w:pPr>
    <w:r>
      <w:t xml:space="preserve">Performance and Financial </w:t>
    </w:r>
    <w:r w:rsidR="00693850">
      <w:t xml:space="preserve">Management </w:t>
    </w:r>
    <w:r>
      <w:t>Review</w:t>
    </w:r>
    <w:r w:rsidR="00693850">
      <w:t xml:space="preserve"> -</w:t>
    </w:r>
    <w:r w:rsidR="00B53987">
      <w:t xml:space="preserve"> </w:t>
    </w:r>
    <w:r w:rsidR="00DD4998">
      <w:t>Adelaide</w:t>
    </w:r>
    <w:r w:rsidRPr="00D66352">
      <w:t xml:space="preserve"> </w:t>
    </w:r>
    <w:r w:rsidR="00875A66">
      <w:t>PHN</w:t>
    </w:r>
    <w:r w:rsidR="00693850">
      <w:t xml:space="preserve">, </w:t>
    </w:r>
    <w:r w:rsidR="004F5C14">
      <w:t>December</w:t>
    </w:r>
    <w:r w:rsidR="00693850">
      <w:t xml:space="preserve"> 202</w:t>
    </w:r>
    <w:r w:rsidR="004F5C14">
      <w:t>3</w:t>
    </w:r>
    <w:r w:rsidR="00693850">
      <w:tab/>
    </w:r>
    <w:r w:rsidR="00875A66">
      <w:t xml:space="preserve"> </w:t>
    </w:r>
    <w:r w:rsidR="00693850" w:rsidRPr="003D033A">
      <w:fldChar w:fldCharType="begin"/>
    </w:r>
    <w:r w:rsidR="00693850" w:rsidRPr="003D033A">
      <w:instrText xml:space="preserve"> PAGE   \* MERGEFORMAT </w:instrText>
    </w:r>
    <w:r w:rsidR="00693850" w:rsidRPr="003D033A">
      <w:fldChar w:fldCharType="separate"/>
    </w:r>
    <w:r w:rsidR="00693850">
      <w:t>1</w:t>
    </w:r>
    <w:r w:rsidR="00693850"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F8D" w14:textId="77777777" w:rsidR="005B2563" w:rsidRDefault="005B2563" w:rsidP="006B56BB">
      <w:r>
        <w:separator/>
      </w:r>
    </w:p>
    <w:p w14:paraId="3DA4BF91" w14:textId="77777777" w:rsidR="005B2563" w:rsidRDefault="005B2563"/>
  </w:footnote>
  <w:footnote w:type="continuationSeparator" w:id="0">
    <w:p w14:paraId="20365DF0" w14:textId="77777777" w:rsidR="005B2563" w:rsidRDefault="005B2563" w:rsidP="006B56BB">
      <w:r>
        <w:continuationSeparator/>
      </w:r>
    </w:p>
    <w:p w14:paraId="60BE8F89" w14:textId="77777777" w:rsidR="005B2563" w:rsidRDefault="005B2563"/>
  </w:footnote>
  <w:footnote w:type="continuationNotice" w:id="1">
    <w:p w14:paraId="42E9BEAD" w14:textId="77777777" w:rsidR="005B2563" w:rsidRDefault="005B2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AB2B"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A06D" w14:textId="77777777" w:rsidR="00B53987" w:rsidRDefault="00B53987">
    <w:pPr>
      <w:pStyle w:val="Header"/>
    </w:pPr>
    <w:r>
      <w:rPr>
        <w:noProof/>
        <w:lang w:eastAsia="en-AU"/>
      </w:rPr>
      <w:drawing>
        <wp:inline distT="0" distB="0" distL="0" distR="0" wp14:anchorId="4D004421" wp14:editId="1E427CC2">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A6662"/>
    <w:multiLevelType w:val="hybridMultilevel"/>
    <w:tmpl w:val="39C8F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D7851"/>
    <w:multiLevelType w:val="hybridMultilevel"/>
    <w:tmpl w:val="302C56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F595D17"/>
    <w:multiLevelType w:val="hybridMultilevel"/>
    <w:tmpl w:val="FCF02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81818"/>
    <w:multiLevelType w:val="hybridMultilevel"/>
    <w:tmpl w:val="0DDC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CE6FF9"/>
    <w:multiLevelType w:val="hybridMultilevel"/>
    <w:tmpl w:val="CF3A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832A81"/>
    <w:multiLevelType w:val="hybridMultilevel"/>
    <w:tmpl w:val="8852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0130BD"/>
    <w:multiLevelType w:val="hybridMultilevel"/>
    <w:tmpl w:val="18282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FD62CE3"/>
    <w:multiLevelType w:val="hybridMultilevel"/>
    <w:tmpl w:val="87008C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728260A"/>
    <w:multiLevelType w:val="hybridMultilevel"/>
    <w:tmpl w:val="87008C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85171215">
    <w:abstractNumId w:val="2"/>
  </w:num>
  <w:num w:numId="2" w16cid:durableId="1306743019">
    <w:abstractNumId w:val="9"/>
  </w:num>
  <w:num w:numId="3" w16cid:durableId="1809544992">
    <w:abstractNumId w:val="14"/>
  </w:num>
  <w:num w:numId="4" w16cid:durableId="638191149">
    <w:abstractNumId w:val="11"/>
  </w:num>
  <w:num w:numId="5" w16cid:durableId="503975017">
    <w:abstractNumId w:val="13"/>
  </w:num>
  <w:num w:numId="6" w16cid:durableId="215359669">
    <w:abstractNumId w:val="0"/>
  </w:num>
  <w:num w:numId="7" w16cid:durableId="795222475">
    <w:abstractNumId w:val="8"/>
  </w:num>
  <w:num w:numId="8" w16cid:durableId="996761944">
    <w:abstractNumId w:val="7"/>
  </w:num>
  <w:num w:numId="9" w16cid:durableId="138574279">
    <w:abstractNumId w:val="5"/>
  </w:num>
  <w:num w:numId="10" w16cid:durableId="1551109648">
    <w:abstractNumId w:val="4"/>
  </w:num>
  <w:num w:numId="11" w16cid:durableId="1401706395">
    <w:abstractNumId w:val="3"/>
  </w:num>
  <w:num w:numId="12" w16cid:durableId="179585491">
    <w:abstractNumId w:val="1"/>
  </w:num>
  <w:num w:numId="13" w16cid:durableId="1916356162">
    <w:abstractNumId w:val="6"/>
  </w:num>
  <w:num w:numId="14" w16cid:durableId="1233462429">
    <w:abstractNumId w:val="10"/>
  </w:num>
  <w:num w:numId="15" w16cid:durableId="212029525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52"/>
    <w:rsid w:val="00003522"/>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406"/>
    <w:rsid w:val="00081AB1"/>
    <w:rsid w:val="00090316"/>
    <w:rsid w:val="00093981"/>
    <w:rsid w:val="000B067A"/>
    <w:rsid w:val="000B1540"/>
    <w:rsid w:val="000B1E53"/>
    <w:rsid w:val="000B33FD"/>
    <w:rsid w:val="000B4ABA"/>
    <w:rsid w:val="000C4B16"/>
    <w:rsid w:val="000C50C3"/>
    <w:rsid w:val="000C5E14"/>
    <w:rsid w:val="000D21F6"/>
    <w:rsid w:val="000D4500"/>
    <w:rsid w:val="000D629A"/>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3188"/>
    <w:rsid w:val="00156D96"/>
    <w:rsid w:val="001571C7"/>
    <w:rsid w:val="00157809"/>
    <w:rsid w:val="00161094"/>
    <w:rsid w:val="00170851"/>
    <w:rsid w:val="0017665C"/>
    <w:rsid w:val="00177AD2"/>
    <w:rsid w:val="001815A8"/>
    <w:rsid w:val="001840FA"/>
    <w:rsid w:val="00190079"/>
    <w:rsid w:val="0019622E"/>
    <w:rsid w:val="001966A7"/>
    <w:rsid w:val="001A4627"/>
    <w:rsid w:val="001A4979"/>
    <w:rsid w:val="001B15D3"/>
    <w:rsid w:val="001B3443"/>
    <w:rsid w:val="001B76BA"/>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07E7"/>
    <w:rsid w:val="002B20E6"/>
    <w:rsid w:val="002B42A3"/>
    <w:rsid w:val="002B4F90"/>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4998"/>
    <w:rsid w:val="00385452"/>
    <w:rsid w:val="003857D4"/>
    <w:rsid w:val="00385AD4"/>
    <w:rsid w:val="00387924"/>
    <w:rsid w:val="0039384D"/>
    <w:rsid w:val="00395C23"/>
    <w:rsid w:val="003A2684"/>
    <w:rsid w:val="003A2E4F"/>
    <w:rsid w:val="003A4438"/>
    <w:rsid w:val="003A5013"/>
    <w:rsid w:val="003A5078"/>
    <w:rsid w:val="003A62DD"/>
    <w:rsid w:val="003A775A"/>
    <w:rsid w:val="003B213A"/>
    <w:rsid w:val="003B43AD"/>
    <w:rsid w:val="003C0FEC"/>
    <w:rsid w:val="003C2AC8"/>
    <w:rsid w:val="003C790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6AA8"/>
    <w:rsid w:val="00432378"/>
    <w:rsid w:val="00440D65"/>
    <w:rsid w:val="004435E6"/>
    <w:rsid w:val="00447E31"/>
    <w:rsid w:val="00453923"/>
    <w:rsid w:val="00454B9B"/>
    <w:rsid w:val="00457858"/>
    <w:rsid w:val="00460B0B"/>
    <w:rsid w:val="00461023"/>
    <w:rsid w:val="00462FAC"/>
    <w:rsid w:val="00464631"/>
    <w:rsid w:val="00464B79"/>
    <w:rsid w:val="00467BBF"/>
    <w:rsid w:val="00470680"/>
    <w:rsid w:val="0048593C"/>
    <w:rsid w:val="004867E2"/>
    <w:rsid w:val="00487F5E"/>
    <w:rsid w:val="004929A9"/>
    <w:rsid w:val="004A063B"/>
    <w:rsid w:val="004A78D9"/>
    <w:rsid w:val="004C6BCF"/>
    <w:rsid w:val="004D58BF"/>
    <w:rsid w:val="004E4335"/>
    <w:rsid w:val="004F13EE"/>
    <w:rsid w:val="004F2022"/>
    <w:rsid w:val="004F5C14"/>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B2563"/>
    <w:rsid w:val="005C5AEB"/>
    <w:rsid w:val="005E0A3F"/>
    <w:rsid w:val="005E6883"/>
    <w:rsid w:val="005E772F"/>
    <w:rsid w:val="005F4ECA"/>
    <w:rsid w:val="005F5078"/>
    <w:rsid w:val="006041BE"/>
    <w:rsid w:val="006043C7"/>
    <w:rsid w:val="00624B52"/>
    <w:rsid w:val="00630794"/>
    <w:rsid w:val="00631DF4"/>
    <w:rsid w:val="00634175"/>
    <w:rsid w:val="00637251"/>
    <w:rsid w:val="006408AC"/>
    <w:rsid w:val="006511B6"/>
    <w:rsid w:val="00657FF8"/>
    <w:rsid w:val="00670D99"/>
    <w:rsid w:val="00670E2B"/>
    <w:rsid w:val="006734BB"/>
    <w:rsid w:val="0067697A"/>
    <w:rsid w:val="006821EB"/>
    <w:rsid w:val="00693850"/>
    <w:rsid w:val="006B2286"/>
    <w:rsid w:val="006B56BB"/>
    <w:rsid w:val="006C77A8"/>
    <w:rsid w:val="006D4098"/>
    <w:rsid w:val="006D7681"/>
    <w:rsid w:val="006D7B2E"/>
    <w:rsid w:val="006E02EA"/>
    <w:rsid w:val="006E0968"/>
    <w:rsid w:val="006E2AF6"/>
    <w:rsid w:val="00701275"/>
    <w:rsid w:val="00707F56"/>
    <w:rsid w:val="00713558"/>
    <w:rsid w:val="00720D08"/>
    <w:rsid w:val="00722CFB"/>
    <w:rsid w:val="007263B9"/>
    <w:rsid w:val="00731304"/>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59EC"/>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5A66"/>
    <w:rsid w:val="00877A5C"/>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E6542"/>
    <w:rsid w:val="008F264D"/>
    <w:rsid w:val="009040E9"/>
    <w:rsid w:val="009074E1"/>
    <w:rsid w:val="009112F7"/>
    <w:rsid w:val="009122AF"/>
    <w:rsid w:val="00912D54"/>
    <w:rsid w:val="0091389F"/>
    <w:rsid w:val="009208F7"/>
    <w:rsid w:val="00920E7F"/>
    <w:rsid w:val="00921649"/>
    <w:rsid w:val="00922517"/>
    <w:rsid w:val="00922722"/>
    <w:rsid w:val="009261E6"/>
    <w:rsid w:val="009268E1"/>
    <w:rsid w:val="009271EE"/>
    <w:rsid w:val="009344AE"/>
    <w:rsid w:val="009344DE"/>
    <w:rsid w:val="00945E7F"/>
    <w:rsid w:val="009557C1"/>
    <w:rsid w:val="00960D6E"/>
    <w:rsid w:val="00970EAF"/>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02E22"/>
    <w:rsid w:val="00A06894"/>
    <w:rsid w:val="00A13EB5"/>
    <w:rsid w:val="00A16E36"/>
    <w:rsid w:val="00A24961"/>
    <w:rsid w:val="00A24B10"/>
    <w:rsid w:val="00A277EF"/>
    <w:rsid w:val="00A30E9B"/>
    <w:rsid w:val="00A43138"/>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33B9"/>
    <w:rsid w:val="00B042F0"/>
    <w:rsid w:val="00B04580"/>
    <w:rsid w:val="00B04B09"/>
    <w:rsid w:val="00B15C54"/>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13A52"/>
    <w:rsid w:val="00C2176E"/>
    <w:rsid w:val="00C23430"/>
    <w:rsid w:val="00C261C6"/>
    <w:rsid w:val="00C27D67"/>
    <w:rsid w:val="00C3266B"/>
    <w:rsid w:val="00C4631F"/>
    <w:rsid w:val="00C47CDE"/>
    <w:rsid w:val="00C50E16"/>
    <w:rsid w:val="00C5119C"/>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66352"/>
    <w:rsid w:val="00D70E24"/>
    <w:rsid w:val="00D72B61"/>
    <w:rsid w:val="00DA3D1D"/>
    <w:rsid w:val="00DB6286"/>
    <w:rsid w:val="00DB645F"/>
    <w:rsid w:val="00DB76E9"/>
    <w:rsid w:val="00DC0A67"/>
    <w:rsid w:val="00DC1D5E"/>
    <w:rsid w:val="00DC5220"/>
    <w:rsid w:val="00DD2061"/>
    <w:rsid w:val="00DD4998"/>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273CE"/>
    <w:rsid w:val="00F321DE"/>
    <w:rsid w:val="00F33777"/>
    <w:rsid w:val="00F40648"/>
    <w:rsid w:val="00F41F15"/>
    <w:rsid w:val="00F47DA2"/>
    <w:rsid w:val="00F519FC"/>
    <w:rsid w:val="00F556EA"/>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F78D0"/>
  <w15:docId w15:val="{09F79821-7D03-40D3-AD19-6E2E8853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C261C6"/>
    <w:rPr>
      <w:sz w:val="16"/>
      <w:szCs w:val="16"/>
    </w:rPr>
  </w:style>
  <w:style w:type="paragraph" w:styleId="CommentText">
    <w:name w:val="annotation text"/>
    <w:basedOn w:val="Normal"/>
    <w:link w:val="CommentTextChar"/>
    <w:unhideWhenUsed/>
    <w:rsid w:val="00C261C6"/>
    <w:pPr>
      <w:spacing w:line="240" w:lineRule="auto"/>
    </w:pPr>
    <w:rPr>
      <w:sz w:val="20"/>
      <w:szCs w:val="20"/>
    </w:rPr>
  </w:style>
  <w:style w:type="character" w:customStyle="1" w:styleId="CommentTextChar">
    <w:name w:val="Comment Text Char"/>
    <w:basedOn w:val="DefaultParagraphFont"/>
    <w:link w:val="CommentText"/>
    <w:rsid w:val="00C261C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261C6"/>
    <w:rPr>
      <w:b/>
      <w:bCs/>
    </w:rPr>
  </w:style>
  <w:style w:type="character" w:customStyle="1" w:styleId="CommentSubjectChar">
    <w:name w:val="Comment Subject Char"/>
    <w:basedOn w:val="CommentTextChar"/>
    <w:link w:val="CommentSubject"/>
    <w:semiHidden/>
    <w:rsid w:val="00C261C6"/>
    <w:rPr>
      <w:rFonts w:ascii="Arial" w:hAnsi="Arial"/>
      <w:b/>
      <w:bCs/>
      <w:color w:val="000000" w:themeColor="text1"/>
      <w:lang w:eastAsia="en-US"/>
    </w:rPr>
  </w:style>
  <w:style w:type="paragraph" w:styleId="Revision">
    <w:name w:val="Revision"/>
    <w:hidden/>
    <w:uiPriority w:val="99"/>
    <w:semiHidden/>
    <w:rsid w:val="002B4F90"/>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sot\OneDrive%20-%20Department%20of%20Health\Desktop\Summary%20Audit%20Reports\Audit%20report%20NT%20-%20for%20publishing.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4.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5.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6.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Audit report NT - for publishing.dotx</Template>
  <TotalTime>1</TotalTime>
  <Pages>6</Pages>
  <Words>2308</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Financial Management Review</dc:title>
  <dc:subject>Adelaide Primary Health Network</dc:subject>
  <dc:creator>Australian Government Department of Health and Aged Care</dc:creator>
  <cp:keywords>primary care</cp:keywords>
  <cp:revision>4</cp:revision>
  <dcterms:created xsi:type="dcterms:W3CDTF">2024-09-16T03:46:00Z</dcterms:created>
  <dcterms:modified xsi:type="dcterms:W3CDTF">2024-09-16T03:48:00Z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