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A0AA1" w14:textId="698A7C8F" w:rsidR="00751A23" w:rsidRPr="00D127F6" w:rsidRDefault="00E60025" w:rsidP="00D127F6">
      <w:pPr>
        <w:pStyle w:val="Title"/>
      </w:pPr>
      <w:r w:rsidRPr="00684D52">
        <w:t>National Syphilis Surveillance Quarterly Report</w:t>
      </w:r>
    </w:p>
    <w:p w14:paraId="1FB5E25C" w14:textId="7A3023CA" w:rsidR="009F4231" w:rsidRPr="00684D52" w:rsidRDefault="00714722" w:rsidP="00FA63C8">
      <w:pPr>
        <w:pStyle w:val="Subtitle"/>
        <w:sectPr w:rsidR="009F4231" w:rsidRPr="00684D52" w:rsidSect="00D45D94">
          <w:headerReference w:type="first" r:id="rId11"/>
          <w:type w:val="continuous"/>
          <w:pgSz w:w="11906" w:h="16838"/>
          <w:pgMar w:top="1701" w:right="1418" w:bottom="1418" w:left="1418" w:header="850" w:footer="709" w:gutter="0"/>
          <w:cols w:space="708"/>
          <w:titlePg/>
          <w:docGrid w:linePitch="360"/>
        </w:sectPr>
      </w:pPr>
      <w:r w:rsidRPr="00684D52">
        <w:t xml:space="preserve">Quarter </w:t>
      </w:r>
      <w:r w:rsidR="009706ED" w:rsidRPr="00684D52">
        <w:t>2</w:t>
      </w:r>
      <w:r w:rsidRPr="00684D52">
        <w:t xml:space="preserve">: 1 </w:t>
      </w:r>
      <w:r w:rsidR="009706ED" w:rsidRPr="00684D52">
        <w:t>Apr</w:t>
      </w:r>
      <w:r w:rsidR="00A35EF2" w:rsidRPr="00684D52">
        <w:t>il</w:t>
      </w:r>
      <w:r w:rsidRPr="00684D52">
        <w:t xml:space="preserve"> – 3</w:t>
      </w:r>
      <w:r w:rsidR="009706ED" w:rsidRPr="00684D52">
        <w:t>0</w:t>
      </w:r>
      <w:r w:rsidRPr="00684D52">
        <w:t xml:space="preserve"> </w:t>
      </w:r>
      <w:r w:rsidR="00A35EF2" w:rsidRPr="00684D52">
        <w:t>June</w:t>
      </w:r>
      <w:r w:rsidR="00775408" w:rsidRPr="00684D52">
        <w:t xml:space="preserve"> 2024</w:t>
      </w:r>
    </w:p>
    <w:p w14:paraId="1F848871" w14:textId="7CD58F5F" w:rsidR="0051242B" w:rsidRPr="00684D52" w:rsidRDefault="008D0EA9" w:rsidP="00E8485D">
      <w:pPr>
        <w:pStyle w:val="Heading1"/>
      </w:pPr>
      <w:r w:rsidRPr="00684D52">
        <w:lastRenderedPageBreak/>
        <w:t>Introduction</w:t>
      </w:r>
    </w:p>
    <w:p w14:paraId="6CDA4F0D" w14:textId="4AB7CA18" w:rsidR="00F04D7A" w:rsidRPr="00684D52" w:rsidRDefault="00F04D7A" w:rsidP="00421ABD">
      <w:r w:rsidRPr="00684D52">
        <w:t xml:space="preserve">On 23 March 2021, the Australian Health Protection Committee (AHPC) endorsed the National strategic approach for responding to rising rates of </w:t>
      </w:r>
      <w:r w:rsidRPr="00421ABD">
        <w:t>syphilis</w:t>
      </w:r>
      <w:r w:rsidRPr="00684D52">
        <w:t xml:space="preserve"> in Australia 2021 (Strategic Approach) developed to guide the national response to the continued rise in syphilis notifications in Australia. The Strategic Approach outlines three national targets which provide a specific focus for efforts towards addressing the rising rates of syphilis and adverse outcomes in Australia:</w:t>
      </w:r>
    </w:p>
    <w:p w14:paraId="0E17A1BB" w14:textId="5AF0EA5A" w:rsidR="00F04D7A" w:rsidRPr="00684D52" w:rsidRDefault="00F04D7A" w:rsidP="00E8485D">
      <w:pPr>
        <w:pStyle w:val="Heading1"/>
      </w:pPr>
      <w:r w:rsidRPr="00684D52">
        <w:t>Reduce incidence of syphilis overall, with a focus on women of reproductive</w:t>
      </w:r>
      <w:r w:rsidR="00E8485D" w:rsidRPr="00684D52">
        <w:t xml:space="preserve"> </w:t>
      </w:r>
      <w:r w:rsidRPr="00684D52">
        <w:t>age</w:t>
      </w:r>
    </w:p>
    <w:p w14:paraId="3198FADE" w14:textId="77777777" w:rsidR="006E7F02" w:rsidRPr="00684D52" w:rsidRDefault="006E7F02" w:rsidP="00421ABD">
      <w:pPr>
        <w:pStyle w:val="ListNumber"/>
      </w:pPr>
      <w:r w:rsidRPr="00684D52">
        <w:t>Reduce incidence of syphilis overall, with a focus on women of reproductive age.</w:t>
      </w:r>
    </w:p>
    <w:p w14:paraId="3BA44E16" w14:textId="628B6EF3" w:rsidR="00F04D7A" w:rsidRPr="00684D52" w:rsidRDefault="00F04D7A" w:rsidP="00421ABD">
      <w:pPr>
        <w:pStyle w:val="ListNumber"/>
      </w:pPr>
      <w:r w:rsidRPr="00684D52">
        <w:t>Eliminate congenital syphilis.</w:t>
      </w:r>
    </w:p>
    <w:p w14:paraId="295482F3" w14:textId="1A2C3CE4" w:rsidR="00F04D7A" w:rsidRPr="00684D52" w:rsidRDefault="00F04D7A" w:rsidP="00421ABD">
      <w:pPr>
        <w:pStyle w:val="ListNumber"/>
      </w:pPr>
      <w:r w:rsidRPr="00684D52">
        <w:t>Control outbreaks among Aboriginal and Torres Strait Islander peoples in Queensland, the Northern Territory, Western Australia, and South Australia.</w:t>
      </w:r>
    </w:p>
    <w:p w14:paraId="2A307FC4" w14:textId="77777777" w:rsidR="00F04D7A" w:rsidRPr="00684D52" w:rsidRDefault="00F04D7A" w:rsidP="00F04D7A">
      <w:r w:rsidRPr="00684D52">
        <w:t>Supporting the Strategic Approach is the National syphilis surveillance and monitoring plan (Surveillance Plan) which outlines indicators that will be used to monitor progress towards achieving the three specific targets.</w:t>
      </w:r>
    </w:p>
    <w:p w14:paraId="4710B2DF" w14:textId="21A253BA" w:rsidR="00A12CA1" w:rsidRPr="00684D52" w:rsidRDefault="00F04D7A" w:rsidP="00F04D7A">
      <w:r w:rsidRPr="00684D52">
        <w:t>This report provides a quarterly account of progress against the targets and indicators in the Strategic Approach and Surveillance Plan.</w:t>
      </w:r>
    </w:p>
    <w:p w14:paraId="37BAAB3E" w14:textId="5547FA7A" w:rsidR="00F04D7A" w:rsidRPr="00684D52" w:rsidRDefault="00F04D7A" w:rsidP="001174B4">
      <w:pPr>
        <w:pStyle w:val="Heading1"/>
      </w:pPr>
      <w:r w:rsidRPr="00684D52">
        <w:t>Analysis</w:t>
      </w:r>
    </w:p>
    <w:p w14:paraId="69C827B0" w14:textId="77777777" w:rsidR="00D808E3" w:rsidRPr="0092599C" w:rsidRDefault="00D808E3" w:rsidP="0092599C">
      <w:pPr>
        <w:rPr>
          <w:rStyle w:val="Strong"/>
        </w:rPr>
      </w:pPr>
      <w:r w:rsidRPr="0092599C">
        <w:rPr>
          <w:rStyle w:val="Strong"/>
        </w:rPr>
        <w:t>The Department of Health and Aged Care acknowledges the providers of the many sources of data used in this report and greatly appreciates their contribution.</w:t>
      </w:r>
    </w:p>
    <w:p w14:paraId="3EA777F5" w14:textId="77777777" w:rsidR="00D808E3" w:rsidRPr="00D127F6" w:rsidRDefault="00D808E3" w:rsidP="00C33397">
      <w:pPr>
        <w:pStyle w:val="Heading2"/>
      </w:pPr>
      <w:r w:rsidRPr="00D127F6">
        <w:t>Summary</w:t>
      </w:r>
    </w:p>
    <w:p w14:paraId="39B1D6DC" w14:textId="77777777" w:rsidR="00D808E3" w:rsidRPr="00684D52" w:rsidRDefault="00D808E3" w:rsidP="00C33397">
      <w:pPr>
        <w:pStyle w:val="ListBullet"/>
      </w:pPr>
      <w:r w:rsidRPr="00684D52">
        <w:t>Syphilis notifications are being monitored across four population groups: non-Indigenous males, non-Indigenous females, Aboriginal and Torres Strait Islander males and Aboriginal and Torres Strait Islander females.</w:t>
      </w:r>
    </w:p>
    <w:p w14:paraId="768C7C20" w14:textId="27B437A8" w:rsidR="00D808E3" w:rsidRPr="00684D52" w:rsidRDefault="002415CF" w:rsidP="00C33397">
      <w:pPr>
        <w:pStyle w:val="ListBullet"/>
      </w:pPr>
      <w:r w:rsidRPr="00684D52">
        <w:t>I</w:t>
      </w:r>
      <w:r w:rsidR="00D808E3" w:rsidRPr="00684D52">
        <w:t xml:space="preserve">n the previous 12 months, </w:t>
      </w:r>
      <w:r w:rsidR="00FF18C4" w:rsidRPr="00684D52">
        <w:t xml:space="preserve">all population groups reported a decline in notification rates, </w:t>
      </w:r>
      <w:proofErr w:type="gramStart"/>
      <w:r w:rsidR="00FF18C4" w:rsidRPr="00684D52">
        <w:t>with the exception of</w:t>
      </w:r>
      <w:proofErr w:type="gramEnd"/>
      <w:r w:rsidR="00FF18C4" w:rsidRPr="00684D52">
        <w:t xml:space="preserve"> non-Indigenous females who observed a small increase (1%)</w:t>
      </w:r>
      <w:r w:rsidR="00D808E3" w:rsidRPr="00684D52">
        <w:t>.</w:t>
      </w:r>
    </w:p>
    <w:p w14:paraId="0682DF66" w14:textId="77777777" w:rsidR="00D808E3" w:rsidRPr="00684D52" w:rsidRDefault="00D808E3" w:rsidP="00C33397">
      <w:pPr>
        <w:pStyle w:val="ListBullet"/>
      </w:pPr>
      <w:r w:rsidRPr="00684D52">
        <w:t>Aboriginal and Torres Strait Islander people continue to be disproportionately represented in the syphilis notification data, with notification rates overall 7 times that of non-Indigenous people in the previous 12 months.</w:t>
      </w:r>
    </w:p>
    <w:p w14:paraId="65C104A0" w14:textId="2D6A8121" w:rsidR="00D808E3" w:rsidRPr="00684D52" w:rsidRDefault="00D808E3" w:rsidP="00C33397">
      <w:pPr>
        <w:pStyle w:val="ListBullet"/>
      </w:pPr>
      <w:r w:rsidRPr="00684D52">
        <w:t xml:space="preserve">The greatest proportion </w:t>
      </w:r>
      <w:r w:rsidR="002415CF" w:rsidRPr="00684D52">
        <w:t>(</w:t>
      </w:r>
      <w:r w:rsidR="00B3088D" w:rsidRPr="00684D52">
        <w:t>69</w:t>
      </w:r>
      <w:r w:rsidR="002415CF" w:rsidRPr="00684D52">
        <w:t xml:space="preserve">%) </w:t>
      </w:r>
      <w:r w:rsidRPr="00684D52">
        <w:t xml:space="preserve">of syphilis cases were reported in non-Indigenous men, who largely resided in major cities. </w:t>
      </w:r>
    </w:p>
    <w:p w14:paraId="38DB4D49" w14:textId="71708412" w:rsidR="00D808E3" w:rsidRPr="00684D52" w:rsidRDefault="00D808E3" w:rsidP="00C33397">
      <w:pPr>
        <w:pStyle w:val="ListBullet"/>
      </w:pPr>
      <w:r w:rsidRPr="00684D52">
        <w:t xml:space="preserve">Notification rates in Aboriginal and Torres Strait Islander people in remote and very remote areas of Australia continue to be the highest, reflecting sustained transmission associated with the outbreak in Queensland, the Northern Territory, Western </w:t>
      </w:r>
      <w:proofErr w:type="gramStart"/>
      <w:r w:rsidRPr="00684D52">
        <w:t>Australia</w:t>
      </w:r>
      <w:proofErr w:type="gramEnd"/>
      <w:r w:rsidRPr="00684D52">
        <w:t xml:space="preserve"> and South Australia.</w:t>
      </w:r>
      <w:r w:rsidR="003B7029" w:rsidRPr="00684D52">
        <w:t xml:space="preserve"> Although the highest overall, notification rates have continued to trend downwards in the previous 12 months.</w:t>
      </w:r>
    </w:p>
    <w:p w14:paraId="5030B738" w14:textId="37E79F19" w:rsidR="00D808E3" w:rsidRPr="00684D52" w:rsidRDefault="00D808E3" w:rsidP="00C33397">
      <w:pPr>
        <w:pStyle w:val="ListBullet"/>
      </w:pPr>
      <w:r w:rsidRPr="00684D52">
        <w:t>Notification rates among Aboriginal and Torres Strait Islander and non-Indigenous females of reproductive age (15-44 years) residing in major cities increased in the previous 12 months.</w:t>
      </w:r>
    </w:p>
    <w:p w14:paraId="77F1C70B" w14:textId="12FFEF94" w:rsidR="00D808E3" w:rsidRPr="00684D52" w:rsidRDefault="00D808E3" w:rsidP="00C33397">
      <w:pPr>
        <w:pStyle w:val="ListBullet"/>
      </w:pPr>
      <w:r w:rsidRPr="00684D52">
        <w:t>Increases among women of reproductive age have coincided with the highest number of congenital syphilis cases diagnosed in 202</w:t>
      </w:r>
      <w:r w:rsidR="0028242F" w:rsidRPr="00684D52">
        <w:t>3</w:t>
      </w:r>
      <w:r w:rsidRPr="00684D52">
        <w:t xml:space="preserve"> (n=</w:t>
      </w:r>
      <w:r w:rsidR="0028242F" w:rsidRPr="00684D52">
        <w:t>20</w:t>
      </w:r>
      <w:r w:rsidRPr="00684D52">
        <w:t>) since 1995</w:t>
      </w:r>
      <w:r w:rsidRPr="00684D52">
        <w:rPr>
          <w:rStyle w:val="FootnoteReference"/>
        </w:rPr>
        <w:footnoteReference w:id="2"/>
      </w:r>
      <w:r w:rsidR="0028242F" w:rsidRPr="00684D52">
        <w:t xml:space="preserve"> and the highest number of </w:t>
      </w:r>
      <w:r w:rsidR="004A6F00" w:rsidRPr="00684D52">
        <w:t xml:space="preserve">associated </w:t>
      </w:r>
      <w:r w:rsidR="0028242F" w:rsidRPr="00684D52">
        <w:t>deaths ever re</w:t>
      </w:r>
      <w:r w:rsidR="004A6F00" w:rsidRPr="00684D52">
        <w:t>ported</w:t>
      </w:r>
      <w:r w:rsidR="0028242F" w:rsidRPr="00684D52">
        <w:t xml:space="preserve"> in a single year (n=10</w:t>
      </w:r>
      <w:proofErr w:type="gramStart"/>
      <w:r w:rsidR="0028242F" w:rsidRPr="00684D52">
        <w:t>).</w:t>
      </w:r>
      <w:proofErr w:type="spellStart"/>
      <w:r w:rsidR="0028242F" w:rsidRPr="00684D52">
        <w:rPr>
          <w:vertAlign w:val="superscript"/>
        </w:rPr>
        <w:t>i</w:t>
      </w:r>
      <w:proofErr w:type="spellEnd"/>
      <w:proofErr w:type="gramEnd"/>
    </w:p>
    <w:p w14:paraId="116DD9D3" w14:textId="4A7F2651" w:rsidR="00D808E3" w:rsidRPr="00684D52" w:rsidRDefault="00D808E3" w:rsidP="00C33397">
      <w:pPr>
        <w:pStyle w:val="ListBullet"/>
      </w:pPr>
      <w:r w:rsidRPr="00684D52">
        <w:t>Seventy-</w:t>
      </w:r>
      <w:r w:rsidR="00B165AF" w:rsidRPr="00684D52">
        <w:t>nine</w:t>
      </w:r>
      <w:r w:rsidRPr="00684D52">
        <w:t xml:space="preserve"> per cent (7</w:t>
      </w:r>
      <w:r w:rsidR="00B165AF" w:rsidRPr="00684D52">
        <w:t>9</w:t>
      </w:r>
      <w:r w:rsidRPr="00684D52">
        <w:t>%) of women giving birth to an infant with congenital syphilis were diagnosed late in pregnancy.</w:t>
      </w:r>
      <w:r w:rsidRPr="00684D52">
        <w:rPr>
          <w:rStyle w:val="FootnoteReference"/>
        </w:rPr>
        <w:footnoteReference w:id="3"/>
      </w:r>
    </w:p>
    <w:p w14:paraId="3E4A2BA0" w14:textId="108195CB" w:rsidR="00D808E3" w:rsidRPr="0092599C" w:rsidRDefault="00D808E3" w:rsidP="00C33397">
      <w:r w:rsidRPr="0092599C">
        <w:t xml:space="preserve">Data presented are to </w:t>
      </w:r>
      <w:r w:rsidR="00440677" w:rsidRPr="0092599C">
        <w:t>3</w:t>
      </w:r>
      <w:r w:rsidR="00A35EF2" w:rsidRPr="0092599C">
        <w:t>0</w:t>
      </w:r>
      <w:r w:rsidR="00440677" w:rsidRPr="0092599C">
        <w:t xml:space="preserve"> </w:t>
      </w:r>
      <w:r w:rsidR="00A35EF2" w:rsidRPr="0092599C">
        <w:t>June</w:t>
      </w:r>
      <w:r w:rsidR="00775408" w:rsidRPr="0092599C">
        <w:t xml:space="preserve"> 2024</w:t>
      </w:r>
      <w:r w:rsidRPr="0092599C">
        <w:t xml:space="preserve"> unless otherwise specified.</w:t>
      </w:r>
    </w:p>
    <w:p w14:paraId="1636A9A3" w14:textId="77777777" w:rsidR="00F76B27" w:rsidRPr="00684D52" w:rsidRDefault="00F76B27" w:rsidP="00C33397">
      <w:pPr>
        <w:pStyle w:val="Boxheading"/>
      </w:pPr>
      <w:r w:rsidRPr="00684D52">
        <w:lastRenderedPageBreak/>
        <w:t>Target 1: Reduce incidence of syphilis overall, with a focus on women of reproductive age</w:t>
      </w:r>
    </w:p>
    <w:p w14:paraId="4A16A17D" w14:textId="77777777" w:rsidR="00F76B27" w:rsidRPr="00684D52" w:rsidRDefault="00F76B27" w:rsidP="00C33397">
      <w:pPr>
        <w:pStyle w:val="Heading3"/>
      </w:pPr>
      <w:bookmarkStart w:id="0" w:name="_Ref525049450"/>
      <w:r w:rsidRPr="00684D52">
        <w:t xml:space="preserve">Indicator 1.1 - Rate of infectious syphilis </w:t>
      </w:r>
    </w:p>
    <w:p w14:paraId="613E18FE" w14:textId="1538BEB3" w:rsidR="00F76B27" w:rsidRPr="00684D52" w:rsidRDefault="00F76B27" w:rsidP="00C33397">
      <w:r w:rsidRPr="00684D52">
        <w:t xml:space="preserve">In the </w:t>
      </w:r>
      <w:r w:rsidRPr="00421ABD">
        <w:t>previous</w:t>
      </w:r>
      <w:r w:rsidRPr="00684D52">
        <w:t xml:space="preserve"> 12 months (Q</w:t>
      </w:r>
      <w:r w:rsidR="00213C37" w:rsidRPr="00684D52">
        <w:t>3</w:t>
      </w:r>
      <w:r w:rsidR="00775408" w:rsidRPr="00684D52">
        <w:t xml:space="preserve"> 2023</w:t>
      </w:r>
      <w:r w:rsidR="003442CA" w:rsidRPr="00684D52">
        <w:t xml:space="preserve"> </w:t>
      </w:r>
      <w:r w:rsidRPr="00684D52">
        <w:t>– Q</w:t>
      </w:r>
      <w:r w:rsidR="00213C37" w:rsidRPr="00684D52">
        <w:t>2</w:t>
      </w:r>
      <w:r w:rsidRPr="00684D52">
        <w:t xml:space="preserve"> 202</w:t>
      </w:r>
      <w:r w:rsidR="00775408" w:rsidRPr="00684D52">
        <w:t>4</w:t>
      </w:r>
      <w:r w:rsidRPr="00684D52">
        <w:t xml:space="preserve">), there were </w:t>
      </w:r>
      <w:r w:rsidR="009C1C99" w:rsidRPr="00684D52">
        <w:t>5,973</w:t>
      </w:r>
      <w:r w:rsidRPr="00684D52">
        <w:t xml:space="preserve"> cases of infectious syphilis reported to the National Notifiable Diseases Surveillance System (NNDSS). Of the </w:t>
      </w:r>
      <w:r w:rsidR="009C1C99" w:rsidRPr="00684D52">
        <w:t>5,</w:t>
      </w:r>
      <w:r w:rsidR="003E0B26" w:rsidRPr="00684D52">
        <w:t>973</w:t>
      </w:r>
      <w:r w:rsidRPr="00684D52">
        <w:t xml:space="preserve"> cases of infectious syphilis 5,</w:t>
      </w:r>
      <w:r w:rsidR="003E0B26" w:rsidRPr="00684D52">
        <w:t>4</w:t>
      </w:r>
      <w:r w:rsidR="00887B63" w:rsidRPr="00684D52">
        <w:t>37</w:t>
      </w:r>
      <w:r w:rsidRPr="00684D52">
        <w:t xml:space="preserve"> cases (</w:t>
      </w:r>
      <w:r w:rsidR="00775408" w:rsidRPr="00684D52">
        <w:t>91</w:t>
      </w:r>
      <w:r w:rsidRPr="00684D52">
        <w:t>%) reported Indigenous status and sex:</w:t>
      </w:r>
    </w:p>
    <w:p w14:paraId="2651A749" w14:textId="294D1415" w:rsidR="00F76B27" w:rsidRPr="00684D52" w:rsidRDefault="00F76B27" w:rsidP="00C33397">
      <w:pPr>
        <w:pStyle w:val="ListBullet"/>
      </w:pPr>
      <w:r w:rsidRPr="00684D52">
        <w:t>The greatest proportion of cases were among non-Indigenous males (</w:t>
      </w:r>
      <w:r w:rsidR="00A004EF" w:rsidRPr="00684D52">
        <w:t>69</w:t>
      </w:r>
      <w:r w:rsidRPr="00684D52">
        <w:t>%, n=</w:t>
      </w:r>
      <w:r w:rsidR="00775408" w:rsidRPr="00684D52">
        <w:t>3,</w:t>
      </w:r>
      <w:r w:rsidR="00621B57" w:rsidRPr="00684D52">
        <w:t>773</w:t>
      </w:r>
      <w:r w:rsidR="00775408" w:rsidRPr="00684D52">
        <w:t>/5,</w:t>
      </w:r>
      <w:r w:rsidR="00C364CD" w:rsidRPr="00684D52">
        <w:t>437</w:t>
      </w:r>
      <w:r w:rsidRPr="00684D52">
        <w:t>), followed by non-Indigenous females (1</w:t>
      </w:r>
      <w:r w:rsidR="00D177E3" w:rsidRPr="00684D52">
        <w:t>2</w:t>
      </w:r>
      <w:r w:rsidRPr="00684D52">
        <w:t xml:space="preserve">%, </w:t>
      </w:r>
      <w:r w:rsidR="00775408" w:rsidRPr="00684D52">
        <w:t>6</w:t>
      </w:r>
      <w:r w:rsidR="00D177E3" w:rsidRPr="00684D52">
        <w:t>73</w:t>
      </w:r>
      <w:r w:rsidRPr="00684D52">
        <w:t>/</w:t>
      </w:r>
      <w:r w:rsidR="00775408" w:rsidRPr="00684D52">
        <w:t>5,</w:t>
      </w:r>
      <w:r w:rsidR="001D1C14" w:rsidRPr="00684D52">
        <w:t>437</w:t>
      </w:r>
      <w:r w:rsidRPr="00684D52">
        <w:t>), Aboriginal and Torres Strait Islander females (</w:t>
      </w:r>
      <w:r w:rsidR="00775408" w:rsidRPr="00684D52">
        <w:t>9</w:t>
      </w:r>
      <w:r w:rsidRPr="00684D52">
        <w:t xml:space="preserve">%, </w:t>
      </w:r>
      <w:r w:rsidR="00D177E3" w:rsidRPr="00684D52">
        <w:t>5</w:t>
      </w:r>
      <w:r w:rsidR="00CE4A6C" w:rsidRPr="00684D52">
        <w:t>10</w:t>
      </w:r>
      <w:r w:rsidRPr="00684D52">
        <w:t>/5,</w:t>
      </w:r>
      <w:r w:rsidR="00D177E3" w:rsidRPr="00684D52">
        <w:t>5,4</w:t>
      </w:r>
      <w:r w:rsidR="001D1C14" w:rsidRPr="00684D52">
        <w:t>37</w:t>
      </w:r>
      <w:r w:rsidRPr="00684D52">
        <w:t>) and Aboriginal and Torres Strait Islander males (</w:t>
      </w:r>
      <w:r w:rsidR="00D177E3" w:rsidRPr="00684D52">
        <w:t>9</w:t>
      </w:r>
      <w:r w:rsidRPr="00684D52">
        <w:t xml:space="preserve">%, </w:t>
      </w:r>
      <w:r w:rsidR="00295D7B" w:rsidRPr="00684D52">
        <w:t>47</w:t>
      </w:r>
      <w:r w:rsidR="00D177E3" w:rsidRPr="00684D52">
        <w:t>4</w:t>
      </w:r>
      <w:r w:rsidRPr="00684D52">
        <w:t>/5,</w:t>
      </w:r>
      <w:r w:rsidR="00D177E3" w:rsidRPr="00684D52">
        <w:t>4</w:t>
      </w:r>
      <w:r w:rsidR="001D1C14" w:rsidRPr="00684D52">
        <w:t>37</w:t>
      </w:r>
      <w:r w:rsidRPr="00684D52">
        <w:t>).</w:t>
      </w:r>
      <w:r w:rsidR="002B0D6F" w:rsidRPr="00684D52">
        <w:t xml:space="preserve"> The remaining 7 cases (&lt;1%</w:t>
      </w:r>
      <w:r w:rsidR="00E815F0" w:rsidRPr="00684D52">
        <w:t xml:space="preserve">, 7/5,437) </w:t>
      </w:r>
      <w:r w:rsidR="002B0D6F" w:rsidRPr="00684D52">
        <w:t xml:space="preserve">were reported </w:t>
      </w:r>
      <w:r w:rsidR="00E815F0" w:rsidRPr="00684D52">
        <w:t>among non-Indigenous people</w:t>
      </w:r>
      <w:r w:rsidR="009543E5" w:rsidRPr="00684D52">
        <w:t xml:space="preserve"> who reported their sex assigned at birth as another term, other than male or female.</w:t>
      </w:r>
    </w:p>
    <w:p w14:paraId="258B5B49" w14:textId="397558EE" w:rsidR="00F76B27" w:rsidRPr="00684D52" w:rsidRDefault="00F76B27" w:rsidP="00C33397">
      <w:pPr>
        <w:pStyle w:val="ListBullet"/>
      </w:pPr>
      <w:r w:rsidRPr="00684D52">
        <w:t>Aboriginal and Torres Strait Islander males and females are disproportionately represented in the notification data, with notification rates in the previous 12 months reported as 14</w:t>
      </w:r>
      <w:r w:rsidR="003D6678" w:rsidRPr="00684D52">
        <w:t>7</w:t>
      </w:r>
      <w:r w:rsidRPr="00684D52">
        <w:t xml:space="preserve"> and 1</w:t>
      </w:r>
      <w:r w:rsidR="00775408" w:rsidRPr="00684D52">
        <w:t>5</w:t>
      </w:r>
      <w:r w:rsidR="003D6678" w:rsidRPr="00684D52">
        <w:t>5</w:t>
      </w:r>
      <w:r w:rsidRPr="00684D52">
        <w:t xml:space="preserve"> per 100,000. Non-Indigenous males, despite representing the greatest proportion of total notifications, reported a notification rate substantially lower (3</w:t>
      </w:r>
      <w:r w:rsidR="003D6678" w:rsidRPr="00684D52">
        <w:t>6</w:t>
      </w:r>
      <w:r w:rsidRPr="00684D52">
        <w:t xml:space="preserve"> per 100,000) followed by non-Indigenous females (6 per 100,000) (Figure 1).</w:t>
      </w:r>
    </w:p>
    <w:p w14:paraId="549EEE24" w14:textId="7E39BB5F" w:rsidR="00775408" w:rsidRPr="00684D52" w:rsidRDefault="00F76B27" w:rsidP="00C33397">
      <w:pPr>
        <w:pStyle w:val="ListBullet"/>
      </w:pPr>
      <w:r w:rsidRPr="00684D52">
        <w:t>In the previous 12 months, non-Indigenous females</w:t>
      </w:r>
      <w:r w:rsidR="00775408" w:rsidRPr="00684D52">
        <w:t xml:space="preserve"> were the only population group to observe an increase in </w:t>
      </w:r>
      <w:r w:rsidRPr="00684D52">
        <w:t>notification rate (</w:t>
      </w:r>
      <w:r w:rsidR="00775408" w:rsidRPr="00684D52">
        <w:t>1</w:t>
      </w:r>
      <w:r w:rsidRPr="00684D52">
        <w:t>%) compared to the preceding 12 months (Q</w:t>
      </w:r>
      <w:r w:rsidR="0032415A" w:rsidRPr="00684D52">
        <w:t>3</w:t>
      </w:r>
      <w:r w:rsidR="00A40FE0" w:rsidRPr="00684D52">
        <w:t xml:space="preserve"> </w:t>
      </w:r>
      <w:r w:rsidR="00775408" w:rsidRPr="00684D52">
        <w:t xml:space="preserve">2022 </w:t>
      </w:r>
      <w:r w:rsidR="00A40FE0" w:rsidRPr="00684D52">
        <w:t>– Q</w:t>
      </w:r>
      <w:r w:rsidR="0032415A" w:rsidRPr="00684D52">
        <w:t>2</w:t>
      </w:r>
      <w:r w:rsidRPr="00684D52">
        <w:t xml:space="preserve"> 202</w:t>
      </w:r>
      <w:r w:rsidR="00775408" w:rsidRPr="00684D52">
        <w:t>3</w:t>
      </w:r>
      <w:r w:rsidRPr="00684D52">
        <w:t>)</w:t>
      </w:r>
      <w:r w:rsidR="00775408" w:rsidRPr="00684D52">
        <w:t xml:space="preserve"> and five-year mean (</w:t>
      </w:r>
      <w:r w:rsidR="0032415A" w:rsidRPr="00684D52">
        <w:t>16</w:t>
      </w:r>
      <w:r w:rsidR="00775408" w:rsidRPr="00684D52">
        <w:t>%).</w:t>
      </w:r>
    </w:p>
    <w:p w14:paraId="6500E363" w14:textId="22EF6DE8" w:rsidR="001B0174" w:rsidRPr="00684D52" w:rsidRDefault="00775408" w:rsidP="00C33397">
      <w:pPr>
        <w:pStyle w:val="ListBullet"/>
      </w:pPr>
      <w:r w:rsidRPr="00684D52">
        <w:t xml:space="preserve">All other population groups observed declines compared to the preceding 12 months and five-year mean: </w:t>
      </w:r>
      <w:r w:rsidR="00F76B27" w:rsidRPr="00684D52">
        <w:t xml:space="preserve">Aboriginal and Torres Strait Islander </w:t>
      </w:r>
      <w:r w:rsidRPr="00684D52">
        <w:t>m</w:t>
      </w:r>
      <w:r w:rsidR="00F76B27" w:rsidRPr="00684D52">
        <w:t>ales (</w:t>
      </w:r>
      <w:r w:rsidR="00E2322F" w:rsidRPr="00684D52">
        <w:t>9</w:t>
      </w:r>
      <w:r w:rsidR="00F76B27" w:rsidRPr="00684D52">
        <w:t>%</w:t>
      </w:r>
      <w:r w:rsidRPr="00684D52">
        <w:t xml:space="preserve"> and </w:t>
      </w:r>
      <w:r w:rsidR="00E2322F" w:rsidRPr="00684D52">
        <w:t>4</w:t>
      </w:r>
      <w:r w:rsidRPr="00684D52">
        <w:t>% respectively</w:t>
      </w:r>
      <w:r w:rsidR="00F76B27" w:rsidRPr="00684D52">
        <w:t>)</w:t>
      </w:r>
      <w:r w:rsidRPr="00684D52">
        <w:t>, non-Indigenous males (</w:t>
      </w:r>
      <w:r w:rsidR="00D15ACF" w:rsidRPr="00684D52">
        <w:t>15</w:t>
      </w:r>
      <w:r w:rsidRPr="00684D52">
        <w:t xml:space="preserve">% and </w:t>
      </w:r>
      <w:r w:rsidR="00D15ACF" w:rsidRPr="00684D52">
        <w:t>4</w:t>
      </w:r>
      <w:r w:rsidRPr="00684D52">
        <w:t>% respectively)</w:t>
      </w:r>
      <w:r w:rsidR="00F76B27" w:rsidRPr="00684D52">
        <w:t xml:space="preserve"> and </w:t>
      </w:r>
      <w:r w:rsidRPr="00684D52">
        <w:t>Aboriginal and Torres Strait Islander fe</w:t>
      </w:r>
      <w:r w:rsidR="00F76B27" w:rsidRPr="00684D52">
        <w:t>males (</w:t>
      </w:r>
      <w:r w:rsidR="00D15ACF" w:rsidRPr="00684D52">
        <w:t>5</w:t>
      </w:r>
      <w:r w:rsidR="00F76B27" w:rsidRPr="00684D52">
        <w:t>%</w:t>
      </w:r>
      <w:r w:rsidRPr="00684D52">
        <w:t xml:space="preserve"> and 1% respectively</w:t>
      </w:r>
      <w:r w:rsidR="00F76B27" w:rsidRPr="00684D52">
        <w:t xml:space="preserve">). </w:t>
      </w:r>
    </w:p>
    <w:p w14:paraId="14AD5FEA" w14:textId="6E203ABB" w:rsidR="00F76B27" w:rsidRPr="00684D52" w:rsidRDefault="00F76B27" w:rsidP="00C33397">
      <w:r w:rsidRPr="00684D52">
        <w:t xml:space="preserve">In the previous 12 months age-standardised notification rates of infectious syphilis by statistical area 3 (SA3) were widely distributed across Australia, (Map 1). The highest rates were reported across the north-west of Australia and in SA3’s in some major cities, including Sydney, </w:t>
      </w:r>
      <w:proofErr w:type="gramStart"/>
      <w:r w:rsidRPr="00684D52">
        <w:t>Melbourne</w:t>
      </w:r>
      <w:proofErr w:type="gramEnd"/>
      <w:r w:rsidR="004A6F00" w:rsidRPr="00684D52">
        <w:t xml:space="preserve"> and Brisbane</w:t>
      </w:r>
      <w:r w:rsidRPr="00684D52">
        <w:t>. Please refer to the methodological notes for further information on the map development.</w:t>
      </w:r>
    </w:p>
    <w:p w14:paraId="5A453E44" w14:textId="77777777" w:rsidR="00F76B27" w:rsidRPr="00684D52" w:rsidRDefault="00F76B27" w:rsidP="00C33397"/>
    <w:p w14:paraId="2D72A1A1" w14:textId="77777777" w:rsidR="00F76B27" w:rsidRPr="00684D52" w:rsidRDefault="00F76B27" w:rsidP="00C33397">
      <w:pPr>
        <w:sectPr w:rsidR="00F76B27" w:rsidRPr="00684D52" w:rsidSect="008B0462">
          <w:headerReference w:type="default" r:id="rId12"/>
          <w:footerReference w:type="default" r:id="rId13"/>
          <w:footnotePr>
            <w:numFmt w:val="lowerRoman"/>
          </w:footnotePr>
          <w:endnotePr>
            <w:numFmt w:val="decimal"/>
          </w:endnotePr>
          <w:pgSz w:w="11906" w:h="16838" w:code="9"/>
          <w:pgMar w:top="142" w:right="680" w:bottom="709" w:left="851" w:header="285" w:footer="130" w:gutter="0"/>
          <w:cols w:space="720"/>
          <w:docGrid w:linePitch="360"/>
        </w:sectPr>
      </w:pPr>
    </w:p>
    <w:p w14:paraId="21AF58AF" w14:textId="3C7C3B41" w:rsidR="00F76B27" w:rsidRPr="00C33397" w:rsidRDefault="00945887" w:rsidP="00945887">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rsidR="00F76B27" w:rsidRPr="00C33397">
        <w:t xml:space="preserve">: Notifications (n) and notification rate (per 100,000) of infectious syphilis* reported, by Indigenous status, sex, </w:t>
      </w:r>
      <w:r w:rsidR="00C45F2B" w:rsidRPr="00C33397">
        <w:t>quarter,</w:t>
      </w:r>
      <w:r w:rsidR="00F76B27" w:rsidRPr="00C33397">
        <w:t xml:space="preserve"> and year, 2011 – Q</w:t>
      </w:r>
      <w:r w:rsidR="001A7A49" w:rsidRPr="00C33397">
        <w:t>2</w:t>
      </w:r>
      <w:r w:rsidR="00F76B27" w:rsidRPr="00C33397">
        <w:t xml:space="preserve"> 202</w:t>
      </w:r>
      <w:r w:rsidR="00775408" w:rsidRPr="00C33397">
        <w:t>4</w:t>
      </w:r>
    </w:p>
    <w:p w14:paraId="5EE9F815" w14:textId="6DD43600" w:rsidR="00F76B27" w:rsidRPr="00C33397" w:rsidRDefault="00670B4F" w:rsidP="00C33397">
      <w:r w:rsidRPr="00C33397">
        <w:drawing>
          <wp:inline distT="0" distB="0" distL="0" distR="0" wp14:anchorId="4836C24B" wp14:editId="7EB45618">
            <wp:extent cx="9300547" cy="6062094"/>
            <wp:effectExtent l="0" t="0" r="0" b="0"/>
            <wp:docPr id="20530746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4662"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11479" cy="6069219"/>
                    </a:xfrm>
                    <a:prstGeom prst="rect">
                      <a:avLst/>
                    </a:prstGeom>
                    <a:noFill/>
                  </pic:spPr>
                </pic:pic>
              </a:graphicData>
            </a:graphic>
          </wp:inline>
        </w:drawing>
      </w:r>
    </w:p>
    <w:p w14:paraId="6B352C24" w14:textId="26302DF2" w:rsidR="00D82A0A" w:rsidRPr="0092599C" w:rsidRDefault="00F76B27" w:rsidP="00C33397">
      <w:pPr>
        <w:pStyle w:val="FootnoteText"/>
      </w:pPr>
      <w:r w:rsidRPr="0092599C">
        <w:t>*Excludes cases for whom sex and/or Indigenous status was not reported.</w:t>
      </w:r>
      <w:r w:rsidR="009543E5" w:rsidRPr="0092599C">
        <w:t xml:space="preserve"> Due to low </w:t>
      </w:r>
      <w:r w:rsidR="006D01C4" w:rsidRPr="0092599C">
        <w:t>numbers of</w:t>
      </w:r>
      <w:r w:rsidR="009543E5" w:rsidRPr="0092599C">
        <w:t xml:space="preserve"> </w:t>
      </w:r>
      <w:r w:rsidR="00800F3A" w:rsidRPr="0092599C">
        <w:t>persons who reported their sex assigned at birth as another term, other than male or female have been excluded from the figure.</w:t>
      </w:r>
      <w:r w:rsidR="00D82A0A" w:rsidRPr="0092599C">
        <w:br w:type="page"/>
      </w:r>
    </w:p>
    <w:p w14:paraId="19240D50" w14:textId="49E08080" w:rsidR="00F76B27" w:rsidRPr="00C33397" w:rsidRDefault="00F76B27" w:rsidP="00945887">
      <w:pPr>
        <w:pStyle w:val="Caption"/>
      </w:pPr>
      <w:r w:rsidRPr="00C33397">
        <w:lastRenderedPageBreak/>
        <w:t>Map 1: Age-standardised notification rate (per 100,000) of infectious syphilis* by Statistical Area 3 (SA3) in the previous 12 months (Q</w:t>
      </w:r>
      <w:r w:rsidR="00670B4F" w:rsidRPr="00C33397">
        <w:t>3</w:t>
      </w:r>
      <w:r w:rsidR="00775408" w:rsidRPr="00C33397">
        <w:t xml:space="preserve"> 2023 –</w:t>
      </w:r>
      <w:r w:rsidR="00563E7E" w:rsidRPr="00C33397">
        <w:t xml:space="preserve"> Q</w:t>
      </w:r>
      <w:r w:rsidR="00670B4F" w:rsidRPr="00C33397">
        <w:t>2</w:t>
      </w:r>
      <w:r w:rsidR="00563E7E" w:rsidRPr="00C33397">
        <w:t xml:space="preserve"> 202</w:t>
      </w:r>
      <w:r w:rsidR="00775408" w:rsidRPr="00C33397">
        <w:t>4</w:t>
      </w:r>
      <w:r w:rsidR="00563E7E" w:rsidRPr="00C33397">
        <w:t>)</w:t>
      </w:r>
    </w:p>
    <w:p w14:paraId="5440A1DC" w14:textId="77777777" w:rsidR="00207C2B" w:rsidRPr="00D127F6" w:rsidRDefault="00207C2B" w:rsidP="00C33397">
      <w:r w:rsidRPr="00D127F6">
        <w:drawing>
          <wp:inline distT="0" distB="0" distL="0" distR="0" wp14:anchorId="4E8E6431" wp14:editId="5888E800">
            <wp:extent cx="8727866" cy="6170212"/>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80317" cy="6207292"/>
                    </a:xfrm>
                    <a:prstGeom prst="rect">
                      <a:avLst/>
                    </a:prstGeom>
                    <a:noFill/>
                    <a:ln>
                      <a:noFill/>
                    </a:ln>
                  </pic:spPr>
                </pic:pic>
              </a:graphicData>
            </a:graphic>
          </wp:inline>
        </w:drawing>
      </w:r>
    </w:p>
    <w:p w14:paraId="2C26390A" w14:textId="77777777" w:rsidR="00F76B27" w:rsidRPr="00C33397" w:rsidRDefault="00F76B27" w:rsidP="00945887">
      <w:pPr>
        <w:pStyle w:val="FootnoteText"/>
      </w:pPr>
      <w:r w:rsidRPr="00C33397">
        <w:t>* Excludes cases where residential postcode or location were not reported.</w:t>
      </w:r>
    </w:p>
    <w:p w14:paraId="5166F046" w14:textId="77777777" w:rsidR="00F76B27" w:rsidRPr="00684D52" w:rsidRDefault="00F76B27" w:rsidP="00C33397">
      <w:pPr>
        <w:sectPr w:rsidR="00F76B27" w:rsidRPr="00684D52" w:rsidSect="002B0BDB">
          <w:footnotePr>
            <w:numFmt w:val="lowerRoman"/>
          </w:footnotePr>
          <w:endnotePr>
            <w:numFmt w:val="decimal"/>
          </w:endnotePr>
          <w:pgSz w:w="16838" w:h="11906" w:orient="landscape" w:code="9"/>
          <w:pgMar w:top="567" w:right="1134" w:bottom="680" w:left="709" w:header="284" w:footer="130" w:gutter="0"/>
          <w:cols w:space="720"/>
          <w:docGrid w:linePitch="360"/>
        </w:sectPr>
      </w:pPr>
    </w:p>
    <w:p w14:paraId="751C9DBF" w14:textId="77777777" w:rsidR="00F76B27" w:rsidRPr="004371FE" w:rsidRDefault="00F76B27" w:rsidP="004371FE">
      <w:pPr>
        <w:rPr>
          <w:rStyle w:val="Emphasis"/>
        </w:rPr>
      </w:pPr>
      <w:r w:rsidRPr="004371FE">
        <w:rPr>
          <w:rStyle w:val="Emphasis"/>
        </w:rPr>
        <w:lastRenderedPageBreak/>
        <w:t>Remoteness area</w:t>
      </w:r>
    </w:p>
    <w:p w14:paraId="65DC8CF0" w14:textId="77777777" w:rsidR="00F76B27" w:rsidRPr="00C33397" w:rsidRDefault="00F76B27" w:rsidP="00C33397">
      <w:r w:rsidRPr="00C33397">
        <w:t>Across all remoteness areas of Australia, Aboriginal and Torres Strait Islander men and women have substantially higher notification rates compared to non-Indigenous men and women (Figures 2 a-c and 3 a-c).</w:t>
      </w:r>
    </w:p>
    <w:p w14:paraId="5917CA66" w14:textId="4AC1D6FE" w:rsidR="00F76B27" w:rsidRPr="00C33397" w:rsidRDefault="00F76B27" w:rsidP="00C33397">
      <w:r w:rsidRPr="00C33397">
        <w:t>In the previous 12 months (Q</w:t>
      </w:r>
      <w:r w:rsidR="001A3DB0" w:rsidRPr="00C33397">
        <w:t>2 2023</w:t>
      </w:r>
      <w:r w:rsidRPr="00C33397">
        <w:t xml:space="preserve"> – Q</w:t>
      </w:r>
      <w:r w:rsidR="001A3DB0" w:rsidRPr="00C33397">
        <w:t>1</w:t>
      </w:r>
      <w:r w:rsidRPr="00C33397">
        <w:t xml:space="preserve"> 202</w:t>
      </w:r>
      <w:r w:rsidR="001A3DB0" w:rsidRPr="00C33397">
        <w:t>4</w:t>
      </w:r>
      <w:r w:rsidRPr="00C33397">
        <w:t xml:space="preserve">) the highest notification rates were reported among Aboriginal and Torres Strait Islander men and women aged 15-34 years old residing in remote and very remote areas of Australia, reflecting sustained transmission associated with the infectious syphilis outbreak in Queensland, the Northern Territory, Western </w:t>
      </w:r>
      <w:proofErr w:type="gramStart"/>
      <w:r w:rsidRPr="00C33397">
        <w:t>Australia</w:t>
      </w:r>
      <w:proofErr w:type="gramEnd"/>
      <w:r w:rsidRPr="00C33397">
        <w:t xml:space="preserve"> and South Australia (see Target 3 below for further information on the outbreak).</w:t>
      </w:r>
    </w:p>
    <w:p w14:paraId="00BC8486" w14:textId="77777777" w:rsidR="00F76B27" w:rsidRPr="006D01C4" w:rsidRDefault="00F76B27" w:rsidP="00C33397">
      <w:pPr>
        <w:pStyle w:val="ListBullet"/>
      </w:pPr>
      <w:r w:rsidRPr="006D01C4">
        <w:t>Major cities</w:t>
      </w:r>
    </w:p>
    <w:p w14:paraId="22CDDE0C" w14:textId="5865E769" w:rsidR="00CA5808" w:rsidRPr="00684D52" w:rsidRDefault="00F76B27" w:rsidP="00C33397">
      <w:r w:rsidRPr="00684D52">
        <w:t>Non-Indigenous men represented the greatest proportion (</w:t>
      </w:r>
      <w:r w:rsidR="00385581" w:rsidRPr="00684D52">
        <w:t>79</w:t>
      </w:r>
      <w:r w:rsidRPr="00684D52">
        <w:t xml:space="preserve">%) of syphilis notifications in major cities across Australia. Notification rates in this population group observed </w:t>
      </w:r>
      <w:r w:rsidR="00FE5DF5" w:rsidRPr="00684D52">
        <w:t>decreases</w:t>
      </w:r>
      <w:r w:rsidRPr="00684D52">
        <w:t xml:space="preserve"> across all age groups compared to the preceding 12 months (</w:t>
      </w:r>
      <w:r w:rsidR="00FE5DF5" w:rsidRPr="00684D52">
        <w:t>Q</w:t>
      </w:r>
      <w:r w:rsidR="008943A2" w:rsidRPr="00684D52">
        <w:t>3</w:t>
      </w:r>
      <w:r w:rsidR="00FE5DF5" w:rsidRPr="00684D52">
        <w:t xml:space="preserve"> </w:t>
      </w:r>
      <w:r w:rsidR="00CA5808" w:rsidRPr="00684D52">
        <w:t xml:space="preserve">2022 </w:t>
      </w:r>
      <w:r w:rsidR="00FE5DF5" w:rsidRPr="00684D52">
        <w:t>– Q</w:t>
      </w:r>
      <w:r w:rsidR="008943A2" w:rsidRPr="00684D52">
        <w:t>2</w:t>
      </w:r>
      <w:r w:rsidRPr="00684D52">
        <w:t xml:space="preserve"> 202</w:t>
      </w:r>
      <w:r w:rsidR="00CA5808" w:rsidRPr="00684D52">
        <w:t>3</w:t>
      </w:r>
      <w:r w:rsidRPr="00684D52">
        <w:t xml:space="preserve">). Aboriginal and Torres Strait Islander </w:t>
      </w:r>
      <w:r w:rsidR="00CA5808" w:rsidRPr="00684D52">
        <w:t xml:space="preserve">men, representing </w:t>
      </w:r>
      <w:r w:rsidR="00AD42EF" w:rsidRPr="00684D52">
        <w:t>4</w:t>
      </w:r>
      <w:r w:rsidR="00CA5808" w:rsidRPr="00684D52">
        <w:t>% of notifications in major cities, also reported decreases across all age groups</w:t>
      </w:r>
      <w:r w:rsidR="007D71AB" w:rsidRPr="00684D52">
        <w:t xml:space="preserve"> </w:t>
      </w:r>
      <w:r w:rsidR="00CA5808" w:rsidRPr="00684D52">
        <w:t>compared the preceding 12 months</w:t>
      </w:r>
      <w:r w:rsidR="007D71AB" w:rsidRPr="00684D52">
        <w:t xml:space="preserve">, with the exception of </w:t>
      </w:r>
      <w:proofErr w:type="gramStart"/>
      <w:r w:rsidR="007D71AB" w:rsidRPr="00684D52">
        <w:t>35-44 year olds</w:t>
      </w:r>
      <w:proofErr w:type="gramEnd"/>
      <w:r w:rsidR="007D71AB" w:rsidRPr="00684D52">
        <w:t xml:space="preserve"> which increased by 11%.</w:t>
      </w:r>
    </w:p>
    <w:p w14:paraId="5B34B782" w14:textId="065CA745" w:rsidR="00F76B27" w:rsidRPr="00C33397" w:rsidRDefault="00CA5808" w:rsidP="00C33397">
      <w:r w:rsidRPr="00C33397">
        <w:t xml:space="preserve">Aboriginal and Torres Strait Islander women (4% of all notifications in major cities) reported the greatest increase </w:t>
      </w:r>
      <w:r w:rsidR="00F76B27" w:rsidRPr="00C33397">
        <w:t>overall</w:t>
      </w:r>
      <w:r w:rsidRPr="00C33397">
        <w:t xml:space="preserve"> </w:t>
      </w:r>
      <w:r w:rsidR="00F76B27" w:rsidRPr="00C33397">
        <w:t>compared to the preceding 12 months</w:t>
      </w:r>
      <w:r w:rsidRPr="00C33397">
        <w:t xml:space="preserve"> in </w:t>
      </w:r>
      <w:r w:rsidR="003A4FD4" w:rsidRPr="00C33397">
        <w:t>45+ year olds (150</w:t>
      </w:r>
      <w:r w:rsidR="008B55A3" w:rsidRPr="00C33397">
        <w:t>%</w:t>
      </w:r>
      <w:r w:rsidR="00A64A52" w:rsidRPr="00C33397">
        <w:t xml:space="preserve"> noting this increase was from a lower base</w:t>
      </w:r>
      <w:r w:rsidR="008B55A3" w:rsidRPr="00C33397">
        <w:t xml:space="preserve">) followed by </w:t>
      </w:r>
      <w:proofErr w:type="gramStart"/>
      <w:r w:rsidRPr="00C33397">
        <w:t>35-44 year olds</w:t>
      </w:r>
      <w:proofErr w:type="gramEnd"/>
      <w:r w:rsidRPr="00C33397">
        <w:t xml:space="preserve"> (</w:t>
      </w:r>
      <w:r w:rsidR="008B55A3" w:rsidRPr="00C33397">
        <w:t>28</w:t>
      </w:r>
      <w:r w:rsidRPr="00C33397">
        <w:t>%)</w:t>
      </w:r>
      <w:r w:rsidR="008B55A3" w:rsidRPr="00C33397">
        <w:t xml:space="preserve">. </w:t>
      </w:r>
      <w:r w:rsidR="00FE5DF5" w:rsidRPr="00C33397">
        <w:t>N</w:t>
      </w:r>
      <w:r w:rsidR="00F76B27" w:rsidRPr="00C33397">
        <w:t xml:space="preserve">on-Indigenous women </w:t>
      </w:r>
      <w:r w:rsidRPr="00C33397">
        <w:t>(13% of all notifications in major cities) reported incr</w:t>
      </w:r>
      <w:r w:rsidR="000B34E0" w:rsidRPr="00C33397">
        <w:t xml:space="preserve">eases in </w:t>
      </w:r>
      <w:proofErr w:type="gramStart"/>
      <w:r w:rsidR="000B34E0" w:rsidRPr="00C33397">
        <w:t>25-34 year olds</w:t>
      </w:r>
      <w:proofErr w:type="gramEnd"/>
      <w:r w:rsidR="000B34E0" w:rsidRPr="00C33397">
        <w:t xml:space="preserve"> (19%) </w:t>
      </w:r>
      <w:r w:rsidR="00466A2D" w:rsidRPr="00C33397">
        <w:t xml:space="preserve">and 35-44 year olds (3%) </w:t>
      </w:r>
      <w:r w:rsidR="00FE5DF5" w:rsidRPr="00C33397">
        <w:t>compared to the preceding 12 months</w:t>
      </w:r>
      <w:r w:rsidRPr="00C33397">
        <w:t xml:space="preserve"> </w:t>
      </w:r>
      <w:r w:rsidR="00F76B27" w:rsidRPr="00C33397">
        <w:t>(Figures 2a and 3a).</w:t>
      </w:r>
    </w:p>
    <w:p w14:paraId="1070E43A" w14:textId="77777777" w:rsidR="00F76B27" w:rsidRPr="00684D52" w:rsidRDefault="00F76B27" w:rsidP="00C33397">
      <w:pPr>
        <w:pStyle w:val="ListBullet"/>
      </w:pPr>
      <w:r w:rsidRPr="00684D52">
        <w:t>Inner and outer regional areas</w:t>
      </w:r>
    </w:p>
    <w:p w14:paraId="33BC472B" w14:textId="588212A4" w:rsidR="00CA5808" w:rsidRPr="00684D52" w:rsidRDefault="00F76B27" w:rsidP="00C33397">
      <w:r w:rsidRPr="00684D52">
        <w:t>Non-Indigenous men represented the greatest proportion of cases reported in the past 12 months in inner and outer regional areas (5</w:t>
      </w:r>
      <w:r w:rsidR="008067E5" w:rsidRPr="00684D52">
        <w:t>4</w:t>
      </w:r>
      <w:r w:rsidRPr="00684D52">
        <w:t>%).</w:t>
      </w:r>
      <w:r w:rsidR="00FE5DF5" w:rsidRPr="00684D52">
        <w:t xml:space="preserve"> </w:t>
      </w:r>
      <w:r w:rsidR="00CA5808" w:rsidRPr="00684D52">
        <w:t>Increases were reported in non-Indigenous</w:t>
      </w:r>
      <w:r w:rsidR="00491643" w:rsidRPr="00684D52">
        <w:t xml:space="preserve"> m</w:t>
      </w:r>
      <w:r w:rsidR="001A6873" w:rsidRPr="00684D52">
        <w:t>en</w:t>
      </w:r>
      <w:r w:rsidR="00CA5808" w:rsidRPr="00684D52">
        <w:t xml:space="preserve"> </w:t>
      </w:r>
      <w:r w:rsidR="00491643" w:rsidRPr="00684D52">
        <w:t>aged</w:t>
      </w:r>
      <w:r w:rsidR="00EF1C96" w:rsidRPr="00684D52">
        <w:t xml:space="preserve"> 45+ year olds (</w:t>
      </w:r>
      <w:r w:rsidR="00491643" w:rsidRPr="00684D52">
        <w:t xml:space="preserve">28%) and </w:t>
      </w:r>
      <w:proofErr w:type="gramStart"/>
      <w:r w:rsidR="00EF1C96" w:rsidRPr="00684D52">
        <w:t>35-44 year olds</w:t>
      </w:r>
      <w:proofErr w:type="gramEnd"/>
      <w:r w:rsidR="00EF1C96" w:rsidRPr="00684D52">
        <w:t xml:space="preserve"> (11%)</w:t>
      </w:r>
      <w:r w:rsidR="00CA5808" w:rsidRPr="00684D52">
        <w:t xml:space="preserve"> in the last 12 months compared to the preceding 12 months. Aboriginal and Torres Strait Islander men (1</w:t>
      </w:r>
      <w:r w:rsidR="001A6873" w:rsidRPr="00684D52">
        <w:t>8</w:t>
      </w:r>
      <w:r w:rsidR="00CA5808" w:rsidRPr="00684D52">
        <w:t xml:space="preserve">% of all notifications in inner/outer regional areas), reported increases across all age groups except </w:t>
      </w:r>
      <w:proofErr w:type="gramStart"/>
      <w:r w:rsidR="004D006E" w:rsidRPr="00684D52">
        <w:t>35-44</w:t>
      </w:r>
      <w:r w:rsidR="00CA5808" w:rsidRPr="00684D52">
        <w:t xml:space="preserve"> year</w:t>
      </w:r>
      <w:r w:rsidR="004D006E" w:rsidRPr="00684D52">
        <w:t xml:space="preserve"> olds</w:t>
      </w:r>
      <w:proofErr w:type="gramEnd"/>
      <w:r w:rsidR="00CA5808" w:rsidRPr="00684D52">
        <w:t xml:space="preserve">, with </w:t>
      </w:r>
      <w:r w:rsidR="0004696B" w:rsidRPr="00684D52">
        <w:t xml:space="preserve">15-24 </w:t>
      </w:r>
      <w:r w:rsidR="00CA5808" w:rsidRPr="00684D52">
        <w:t>year olds reporting the highest increase (4</w:t>
      </w:r>
      <w:r w:rsidR="0004696B" w:rsidRPr="00684D52">
        <w:t>5</w:t>
      </w:r>
      <w:r w:rsidR="00CA5808" w:rsidRPr="00684D52">
        <w:t>%), followed by 25-34 year olds (</w:t>
      </w:r>
      <w:r w:rsidR="0004696B" w:rsidRPr="00684D52">
        <w:t>22</w:t>
      </w:r>
      <w:r w:rsidR="00CA5808" w:rsidRPr="00684D52">
        <w:t xml:space="preserve">%) and </w:t>
      </w:r>
      <w:r w:rsidR="0004696B" w:rsidRPr="00684D52">
        <w:t>45+</w:t>
      </w:r>
      <w:r w:rsidR="00CA5808" w:rsidRPr="00684D52">
        <w:t xml:space="preserve"> year olds (</w:t>
      </w:r>
      <w:r w:rsidR="0004696B" w:rsidRPr="00684D52">
        <w:t>20</w:t>
      </w:r>
      <w:r w:rsidR="00CA5808" w:rsidRPr="00684D52">
        <w:t>%).</w:t>
      </w:r>
    </w:p>
    <w:p w14:paraId="55F03686" w14:textId="0621A224" w:rsidR="00F76B27" w:rsidRPr="00684D52" w:rsidRDefault="00F76B27" w:rsidP="00C33397">
      <w:r w:rsidRPr="00684D52">
        <w:t xml:space="preserve">Aboriginal and Torres Strait Islander </w:t>
      </w:r>
      <w:proofErr w:type="gramStart"/>
      <w:r w:rsidR="00CA5808" w:rsidRPr="00684D52">
        <w:t>wom</w:t>
      </w:r>
      <w:r w:rsidRPr="00684D52">
        <w:t xml:space="preserve">en </w:t>
      </w:r>
      <w:r w:rsidR="00CA5808" w:rsidRPr="00684D52">
        <w:t xml:space="preserve"> (</w:t>
      </w:r>
      <w:proofErr w:type="gramEnd"/>
      <w:r w:rsidR="00CA5808" w:rsidRPr="00684D52">
        <w:t>14% of all notifications in inner/outer regional areas) reported the greatest increase overall in 45+ year olds (</w:t>
      </w:r>
      <w:r w:rsidR="00080CB6" w:rsidRPr="00684D52">
        <w:t>80</w:t>
      </w:r>
      <w:r w:rsidR="00CA5808" w:rsidRPr="00684D52">
        <w:t>%) compared to the preceding 12 months</w:t>
      </w:r>
      <w:r w:rsidR="00080CB6" w:rsidRPr="00684D52">
        <w:t xml:space="preserve">, followed </w:t>
      </w:r>
      <w:r w:rsidR="00A85D2C" w:rsidRPr="00684D52">
        <w:t>by 15-24 year olds (10%)</w:t>
      </w:r>
      <w:r w:rsidR="00CA5808" w:rsidRPr="00684D52">
        <w:t xml:space="preserve"> but reported declines across the remaining age groups.  Non-Indigenous women (1</w:t>
      </w:r>
      <w:r w:rsidR="00A85D2C" w:rsidRPr="00684D52">
        <w:t>4</w:t>
      </w:r>
      <w:r w:rsidR="00CA5808" w:rsidRPr="00684D52">
        <w:t>% of all notification in inner/outer regional areas) reported declines across all age groups.</w:t>
      </w:r>
      <w:r w:rsidR="00FE5DF5" w:rsidRPr="00684D52">
        <w:t xml:space="preserve"> </w:t>
      </w:r>
      <w:r w:rsidRPr="00684D52">
        <w:t>(Figures 2b and 3b).</w:t>
      </w:r>
    </w:p>
    <w:p w14:paraId="7B688805" w14:textId="77777777" w:rsidR="00F76B27" w:rsidRPr="00684D52" w:rsidRDefault="00F76B27" w:rsidP="00C33397">
      <w:pPr>
        <w:pStyle w:val="ListBullet"/>
      </w:pPr>
      <w:r w:rsidRPr="00684D52">
        <w:t>Remote and very remote areas</w:t>
      </w:r>
    </w:p>
    <w:p w14:paraId="743723BF" w14:textId="4050D429" w:rsidR="00F76B27" w:rsidRPr="00684D52" w:rsidRDefault="00F76B27" w:rsidP="00C33397">
      <w:r w:rsidRPr="00684D52">
        <w:t>Aboriginal and Torres Strait Islander women and men represented 9</w:t>
      </w:r>
      <w:r w:rsidR="00120A1F" w:rsidRPr="00684D52">
        <w:t>1</w:t>
      </w:r>
      <w:r w:rsidRPr="00684D52">
        <w:t>% of cases reported over the previous 12 months in remote and very remote areas of Australia</w:t>
      </w:r>
      <w:r w:rsidR="00232AE3" w:rsidRPr="00684D52">
        <w:t>. Aboriginal and Torres Strait Islander women reported the highest proportion of cases</w:t>
      </w:r>
      <w:r w:rsidR="008049CD" w:rsidRPr="00684D52">
        <w:t xml:space="preserve"> in these areas (52%). </w:t>
      </w:r>
      <w:r w:rsidRPr="00684D52">
        <w:t xml:space="preserve">Across all remoteness areas, notification rates were highest in Aboriginal and Torres Strait Islander men and women, particularly in the </w:t>
      </w:r>
      <w:proofErr w:type="gramStart"/>
      <w:r w:rsidRPr="00684D52">
        <w:t>15-24 and 25-34 year</w:t>
      </w:r>
      <w:proofErr w:type="gramEnd"/>
      <w:r w:rsidRPr="00684D52">
        <w:t xml:space="preserve"> age groups</w:t>
      </w:r>
      <w:r w:rsidR="00F853BC" w:rsidRPr="00684D52">
        <w:t xml:space="preserve">. Although the highest </w:t>
      </w:r>
      <w:r w:rsidR="00CF5E00" w:rsidRPr="00684D52">
        <w:t>overall</w:t>
      </w:r>
      <w:r w:rsidR="00315CD7" w:rsidRPr="00684D52">
        <w:t>,</w:t>
      </w:r>
      <w:r w:rsidR="00F853BC" w:rsidRPr="00684D52">
        <w:t xml:space="preserve"> </w:t>
      </w:r>
      <w:r w:rsidR="006A7039" w:rsidRPr="00684D52">
        <w:t xml:space="preserve">notification rates have declined in </w:t>
      </w:r>
      <w:r w:rsidR="00315CD7" w:rsidRPr="00684D52">
        <w:t xml:space="preserve">Aboriginal and Torres Strait Islander men and women </w:t>
      </w:r>
      <w:r w:rsidR="00F82363" w:rsidRPr="00684D52">
        <w:t xml:space="preserve">in remote and very remote areas of Australia </w:t>
      </w:r>
      <w:r w:rsidR="00315CD7" w:rsidRPr="00684D52">
        <w:t xml:space="preserve">in </w:t>
      </w:r>
      <w:r w:rsidR="006A7039" w:rsidRPr="00684D52">
        <w:t xml:space="preserve">the previous 12 months compared the </w:t>
      </w:r>
      <w:r w:rsidR="00315CD7" w:rsidRPr="00684D52">
        <w:t>preceding</w:t>
      </w:r>
      <w:r w:rsidR="006A7039" w:rsidRPr="00684D52">
        <w:t xml:space="preserve"> 12 months across all age groups</w:t>
      </w:r>
      <w:r w:rsidR="00532E5F" w:rsidRPr="00684D52">
        <w:t>, with the exception of 25-34 year old women</w:t>
      </w:r>
      <w:r w:rsidR="00CF5E00" w:rsidRPr="00684D52">
        <w:t xml:space="preserve"> which increased by 18</w:t>
      </w:r>
      <w:proofErr w:type="gramStart"/>
      <w:r w:rsidR="00CF5E00" w:rsidRPr="00684D52">
        <w:t>%</w:t>
      </w:r>
      <w:r w:rsidR="006A7039" w:rsidRPr="00684D52">
        <w:t xml:space="preserve"> </w:t>
      </w:r>
      <w:r w:rsidRPr="00684D52">
        <w:t xml:space="preserve"> (</w:t>
      </w:r>
      <w:proofErr w:type="gramEnd"/>
      <w:r w:rsidRPr="00684D52">
        <w:t xml:space="preserve">Figures 2c and 3c).  </w:t>
      </w:r>
    </w:p>
    <w:p w14:paraId="02634104" w14:textId="77777777" w:rsidR="00F76B27" w:rsidRPr="00684D52" w:rsidRDefault="00F76B27" w:rsidP="00C33397">
      <w:pPr>
        <w:sectPr w:rsidR="00F76B27" w:rsidRPr="00684D52" w:rsidSect="00432E6F">
          <w:footnotePr>
            <w:numFmt w:val="lowerRoman"/>
          </w:footnotePr>
          <w:endnotePr>
            <w:numFmt w:val="decimal"/>
          </w:endnotePr>
          <w:pgSz w:w="11906" w:h="16838" w:code="9"/>
          <w:pgMar w:top="1136" w:right="680" w:bottom="709" w:left="851" w:header="285" w:footer="130" w:gutter="0"/>
          <w:cols w:space="720"/>
          <w:docGrid w:linePitch="360"/>
        </w:sectPr>
      </w:pPr>
      <w:r w:rsidRPr="00684D52">
        <w:t xml:space="preserve"> </w:t>
      </w:r>
    </w:p>
    <w:p w14:paraId="34C1D5D9" w14:textId="153FAFF4" w:rsidR="00F76B27" w:rsidRPr="00C33397" w:rsidRDefault="00F76B27" w:rsidP="004371FE">
      <w:pPr>
        <w:pStyle w:val="Caption"/>
      </w:pPr>
      <w:r w:rsidRPr="00C33397">
        <w:lastRenderedPageBreak/>
        <w:t xml:space="preserve">Figure 2 a-c: Notifications (n) and notification rate (per 100,000) of infectious syphilis reported in males, by Indigenous status, remoteness area, age, </w:t>
      </w:r>
      <w:r w:rsidR="00C45F2B" w:rsidRPr="00C33397">
        <w:t>quarter,</w:t>
      </w:r>
      <w:r w:rsidRPr="00C33397">
        <w:t xml:space="preserve"> and year, 2015 – Q</w:t>
      </w:r>
      <w:r w:rsidR="00207C2B" w:rsidRPr="00C33397">
        <w:t>2</w:t>
      </w:r>
      <w:r w:rsidRPr="00C33397">
        <w:t xml:space="preserve"> 202</w:t>
      </w:r>
      <w:r w:rsidR="001A3DB0" w:rsidRPr="00C33397">
        <w:t>4</w:t>
      </w:r>
      <w:r w:rsidRPr="00C33397">
        <w:t xml:space="preserve"> (a. Major cities, b. Inner and outer regional areas and c. Remote and very remote </w:t>
      </w:r>
      <w:r w:rsidR="00C45F2B" w:rsidRPr="00C33397">
        <w:t>areas) *</w:t>
      </w:r>
    </w:p>
    <w:p w14:paraId="0B35C3CC" w14:textId="1DC21E8C" w:rsidR="00F76B27" w:rsidRPr="00C33397" w:rsidRDefault="006C0F9A" w:rsidP="00C33397">
      <w:r w:rsidRPr="00C33397">
        <w:drawing>
          <wp:inline distT="0" distB="0" distL="0" distR="0" wp14:anchorId="6FDD9A73" wp14:editId="2E082AC8">
            <wp:extent cx="6268085" cy="4085536"/>
            <wp:effectExtent l="0" t="0" r="0" b="0"/>
            <wp:docPr id="8465673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67381" name="Picture 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1493" cy="4094275"/>
                    </a:xfrm>
                    <a:prstGeom prst="rect">
                      <a:avLst/>
                    </a:prstGeom>
                    <a:noFill/>
                  </pic:spPr>
                </pic:pic>
              </a:graphicData>
            </a:graphic>
          </wp:inline>
        </w:drawing>
      </w:r>
    </w:p>
    <w:p w14:paraId="25941BF4" w14:textId="25E721D6" w:rsidR="001A3DB0" w:rsidRPr="00C33397" w:rsidRDefault="006C0F9A" w:rsidP="004371FE">
      <w:r w:rsidRPr="00C33397">
        <w:drawing>
          <wp:inline distT="0" distB="0" distL="0" distR="0" wp14:anchorId="4C9CD2CB" wp14:editId="2E12F7AE">
            <wp:extent cx="6312981" cy="4114800"/>
            <wp:effectExtent l="0" t="0" r="0" b="0"/>
            <wp:docPr id="18463531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53184" name="Picture 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5106" cy="4122703"/>
                    </a:xfrm>
                    <a:prstGeom prst="rect">
                      <a:avLst/>
                    </a:prstGeom>
                    <a:noFill/>
                  </pic:spPr>
                </pic:pic>
              </a:graphicData>
            </a:graphic>
          </wp:inline>
        </w:drawing>
      </w:r>
    </w:p>
    <w:p w14:paraId="26604479" w14:textId="75AED2B4" w:rsidR="00FA372F" w:rsidRPr="00C33397" w:rsidRDefault="00AC4DA7" w:rsidP="00C33397">
      <w:r w:rsidRPr="00C33397">
        <w:lastRenderedPageBreak/>
        <w:drawing>
          <wp:inline distT="0" distB="0" distL="0" distR="0" wp14:anchorId="516E6472" wp14:editId="28B48AC1">
            <wp:extent cx="6473729" cy="4219575"/>
            <wp:effectExtent l="0" t="0" r="3810" b="0"/>
            <wp:docPr id="1386468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683" name="Picture 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1737" cy="4237831"/>
                    </a:xfrm>
                    <a:prstGeom prst="rect">
                      <a:avLst/>
                    </a:prstGeom>
                    <a:noFill/>
                  </pic:spPr>
                </pic:pic>
              </a:graphicData>
            </a:graphic>
          </wp:inline>
        </w:drawing>
      </w:r>
    </w:p>
    <w:p w14:paraId="33E671AA" w14:textId="3C66348A" w:rsidR="00F76B27" w:rsidRPr="00421ABD" w:rsidRDefault="00F76B27" w:rsidP="00C33397">
      <w:pPr>
        <w:pStyle w:val="FootnoteText"/>
      </w:pPr>
      <w:r w:rsidRPr="00421ABD">
        <w:t>*Excludes cases for whom sex, age, Indigenous status and/or residential postcode were not reported</w:t>
      </w:r>
    </w:p>
    <w:p w14:paraId="0B1F2DDF" w14:textId="2F09DED8" w:rsidR="00F76B27" w:rsidRPr="0092599C" w:rsidRDefault="00F76B27" w:rsidP="004371FE">
      <w:pPr>
        <w:pStyle w:val="Caption"/>
      </w:pPr>
      <w:r w:rsidRPr="00684D52">
        <w:t xml:space="preserve">Figure 3 a-c: Notifications (n) and notification rate (per 100,000) of infectious syphilis reported in females, by Indigenous status, remoteness area, age, </w:t>
      </w:r>
      <w:r w:rsidR="00C45F2B" w:rsidRPr="00684D52">
        <w:t>quarter,</w:t>
      </w:r>
      <w:r w:rsidRPr="00684D52">
        <w:t xml:space="preserve"> and year, 2015 – Q</w:t>
      </w:r>
      <w:r w:rsidR="004C19C6" w:rsidRPr="00684D52">
        <w:t>2</w:t>
      </w:r>
      <w:r w:rsidRPr="00684D52">
        <w:t xml:space="preserve"> </w:t>
      </w:r>
      <w:r w:rsidRPr="004371FE">
        <w:t>202</w:t>
      </w:r>
      <w:r w:rsidR="00CA5808" w:rsidRPr="004371FE">
        <w:t>4</w:t>
      </w:r>
      <w:r w:rsidRPr="00684D52">
        <w:t xml:space="preserve"> (a. Major cities, b. Inner and outer regional areas and c. Remote and very remote area* </w:t>
      </w:r>
      <w:r w:rsidR="00484415" w:rsidRPr="00684D52">
        <w:rPr>
          <w:noProof/>
        </w:rPr>
        <w:drawing>
          <wp:inline distT="0" distB="0" distL="0" distR="0" wp14:anchorId="6D0D963C" wp14:editId="313BDEF6">
            <wp:extent cx="6410325" cy="4178249"/>
            <wp:effectExtent l="0" t="0" r="0" b="0"/>
            <wp:docPr id="99463369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33694" name="Picture 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23974" cy="4187145"/>
                    </a:xfrm>
                    <a:prstGeom prst="rect">
                      <a:avLst/>
                    </a:prstGeom>
                    <a:noFill/>
                  </pic:spPr>
                </pic:pic>
              </a:graphicData>
            </a:graphic>
          </wp:inline>
        </w:drawing>
      </w:r>
    </w:p>
    <w:p w14:paraId="2960618B" w14:textId="28B6BE9D" w:rsidR="00F76B27" w:rsidRPr="004371FE" w:rsidRDefault="00484415" w:rsidP="004371FE">
      <w:r w:rsidRPr="0092599C">
        <w:lastRenderedPageBreak/>
        <w:drawing>
          <wp:inline distT="0" distB="0" distL="0" distR="0" wp14:anchorId="4B3300F2" wp14:editId="60E55CD4">
            <wp:extent cx="6356822" cy="4143375"/>
            <wp:effectExtent l="0" t="0" r="6350" b="0"/>
            <wp:docPr id="79292125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21254" name="Picture 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4989" cy="4148698"/>
                    </a:xfrm>
                    <a:prstGeom prst="rect">
                      <a:avLst/>
                    </a:prstGeom>
                    <a:noFill/>
                  </pic:spPr>
                </pic:pic>
              </a:graphicData>
            </a:graphic>
          </wp:inline>
        </w:drawing>
      </w:r>
    </w:p>
    <w:p w14:paraId="718AEA6F" w14:textId="52CB9675" w:rsidR="00F76B27" w:rsidRPr="004371FE" w:rsidRDefault="00341080" w:rsidP="004371FE">
      <w:r w:rsidRPr="0092599C">
        <w:drawing>
          <wp:inline distT="0" distB="0" distL="0" distR="0" wp14:anchorId="77A12A21" wp14:editId="5A272C92">
            <wp:extent cx="6371435" cy="4152900"/>
            <wp:effectExtent l="0" t="0" r="0" b="0"/>
            <wp:docPr id="80515420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54203" name="Picture 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0296" cy="4158675"/>
                    </a:xfrm>
                    <a:prstGeom prst="rect">
                      <a:avLst/>
                    </a:prstGeom>
                    <a:noFill/>
                  </pic:spPr>
                </pic:pic>
              </a:graphicData>
            </a:graphic>
          </wp:inline>
        </w:drawing>
      </w:r>
    </w:p>
    <w:p w14:paraId="79509576" w14:textId="6FE00401" w:rsidR="00F76B27" w:rsidRPr="004371FE" w:rsidRDefault="00F76B27" w:rsidP="004371FE">
      <w:pPr>
        <w:pStyle w:val="FootnoteText"/>
      </w:pPr>
      <w:r w:rsidRPr="004371FE">
        <w:t>*Excludes cases for whom sex, age, Indigenous status and/or residential postcode were not reported.</w:t>
      </w:r>
      <w:bookmarkEnd w:id="0"/>
    </w:p>
    <w:p w14:paraId="2382DADC" w14:textId="77777777" w:rsidR="00F76B27" w:rsidRPr="0092599C" w:rsidRDefault="00F76B27" w:rsidP="00C33397">
      <w:r w:rsidRPr="0092599C">
        <w:br w:type="page"/>
      </w:r>
    </w:p>
    <w:p w14:paraId="6E1301A9" w14:textId="6114196D" w:rsidR="00F76B27" w:rsidRPr="00684D52" w:rsidRDefault="00F76B27" w:rsidP="00C33397">
      <w:pPr>
        <w:pStyle w:val="Heading3"/>
      </w:pPr>
      <w:r w:rsidRPr="00684D52">
        <w:lastRenderedPageBreak/>
        <w:t xml:space="preserve">Indicator 1.2 </w:t>
      </w:r>
      <w:r w:rsidR="004371FE">
        <w:t>–</w:t>
      </w:r>
      <w:r w:rsidRPr="00684D52">
        <w:t xml:space="preserve"> Rate of infectious syphilis among women of reproductive age (15-44 years)</w:t>
      </w:r>
    </w:p>
    <w:p w14:paraId="6A33A521" w14:textId="38827A80" w:rsidR="00F76B27" w:rsidRPr="00D127F6" w:rsidRDefault="00F76B27" w:rsidP="00C33397">
      <w:pPr>
        <w:rPr>
          <w:rFonts w:eastAsiaTheme="minorHAnsi"/>
        </w:rPr>
      </w:pPr>
      <w:r w:rsidRPr="00C33397">
        <w:rPr>
          <w:rFonts w:eastAsiaTheme="minorHAnsi"/>
        </w:rPr>
        <w:t>Over</w:t>
      </w:r>
      <w:r w:rsidRPr="00D127F6">
        <w:rPr>
          <w:rFonts w:eastAsiaTheme="minorHAnsi"/>
        </w:rPr>
        <w:t xml:space="preserve"> the previous 12 months (Q</w:t>
      </w:r>
      <w:r w:rsidR="00EC5854" w:rsidRPr="00D127F6">
        <w:rPr>
          <w:rFonts w:eastAsiaTheme="minorHAnsi"/>
        </w:rPr>
        <w:t>3</w:t>
      </w:r>
      <w:r w:rsidR="0008627B" w:rsidRPr="00D127F6">
        <w:rPr>
          <w:rFonts w:eastAsiaTheme="minorHAnsi"/>
        </w:rPr>
        <w:t xml:space="preserve"> 2023</w:t>
      </w:r>
      <w:r w:rsidRPr="00D127F6">
        <w:rPr>
          <w:rFonts w:eastAsiaTheme="minorHAnsi"/>
        </w:rPr>
        <w:t xml:space="preserve"> – Q</w:t>
      </w:r>
      <w:r w:rsidR="00EC5854" w:rsidRPr="00D127F6">
        <w:rPr>
          <w:rFonts w:eastAsiaTheme="minorHAnsi"/>
        </w:rPr>
        <w:t>2</w:t>
      </w:r>
      <w:r w:rsidRPr="00D127F6">
        <w:rPr>
          <w:rFonts w:eastAsiaTheme="minorHAnsi"/>
        </w:rPr>
        <w:t xml:space="preserve"> 202</w:t>
      </w:r>
      <w:r w:rsidR="0008627B" w:rsidRPr="00D127F6">
        <w:rPr>
          <w:rFonts w:eastAsiaTheme="minorHAnsi"/>
        </w:rPr>
        <w:t>4</w:t>
      </w:r>
      <w:r w:rsidRPr="00D127F6">
        <w:rPr>
          <w:rFonts w:eastAsiaTheme="minorHAnsi"/>
        </w:rPr>
        <w:t>) notifications of syphilis among Aboriginal and Torres Strait Islander women aged 15-44 years were predominately in residents of remote and very remote areas of Australia, consistent with historical trends (Figure 4a). The highest notification rates, as expected, were in remote and very remote areas,</w:t>
      </w:r>
      <w:r w:rsidR="0008627B" w:rsidRPr="00D127F6">
        <w:rPr>
          <w:rFonts w:eastAsiaTheme="minorHAnsi"/>
        </w:rPr>
        <w:t xml:space="preserve"> however notification rates</w:t>
      </w:r>
      <w:r w:rsidR="008C2807" w:rsidRPr="00D127F6">
        <w:rPr>
          <w:rFonts w:eastAsiaTheme="minorHAnsi"/>
        </w:rPr>
        <w:t xml:space="preserve"> have continued to </w:t>
      </w:r>
      <w:r w:rsidR="00DF352A" w:rsidRPr="00D127F6">
        <w:rPr>
          <w:rFonts w:eastAsiaTheme="minorHAnsi"/>
        </w:rPr>
        <w:t xml:space="preserve">trend downwards, with a </w:t>
      </w:r>
      <w:r w:rsidR="00D86A40" w:rsidRPr="00D127F6">
        <w:rPr>
          <w:rFonts w:eastAsiaTheme="minorHAnsi"/>
        </w:rPr>
        <w:t>1</w:t>
      </w:r>
      <w:r w:rsidR="008C2807" w:rsidRPr="00D127F6">
        <w:rPr>
          <w:rFonts w:eastAsiaTheme="minorHAnsi"/>
        </w:rPr>
        <w:t>5</w:t>
      </w:r>
      <w:r w:rsidR="00FE5DF5" w:rsidRPr="00D127F6">
        <w:rPr>
          <w:rFonts w:eastAsiaTheme="minorHAnsi"/>
        </w:rPr>
        <w:t>%</w:t>
      </w:r>
      <w:r w:rsidR="00D86A40" w:rsidRPr="00D127F6">
        <w:rPr>
          <w:rFonts w:eastAsiaTheme="minorHAnsi"/>
        </w:rPr>
        <w:t xml:space="preserve"> decline</w:t>
      </w:r>
      <w:r w:rsidR="00FE5DF5" w:rsidRPr="00D127F6">
        <w:rPr>
          <w:rFonts w:eastAsiaTheme="minorHAnsi"/>
        </w:rPr>
        <w:t xml:space="preserve"> compared to</w:t>
      </w:r>
      <w:r w:rsidRPr="00D127F6">
        <w:rPr>
          <w:rFonts w:eastAsiaTheme="minorHAnsi"/>
        </w:rPr>
        <w:t xml:space="preserve"> the previous 12 months (Q</w:t>
      </w:r>
      <w:r w:rsidR="008C2807" w:rsidRPr="00D127F6">
        <w:rPr>
          <w:rFonts w:eastAsiaTheme="minorHAnsi"/>
        </w:rPr>
        <w:t>3</w:t>
      </w:r>
      <w:r w:rsidR="0008627B" w:rsidRPr="00D127F6">
        <w:rPr>
          <w:rFonts w:eastAsiaTheme="minorHAnsi"/>
        </w:rPr>
        <w:t xml:space="preserve"> 2022</w:t>
      </w:r>
      <w:r w:rsidRPr="00D127F6">
        <w:rPr>
          <w:rFonts w:eastAsiaTheme="minorHAnsi"/>
        </w:rPr>
        <w:t xml:space="preserve"> </w:t>
      </w:r>
      <w:r w:rsidR="00FE5DF5" w:rsidRPr="00D127F6">
        <w:rPr>
          <w:rFonts w:eastAsiaTheme="minorHAnsi"/>
        </w:rPr>
        <w:t>– Q</w:t>
      </w:r>
      <w:r w:rsidR="008C2807" w:rsidRPr="00D127F6">
        <w:rPr>
          <w:rFonts w:eastAsiaTheme="minorHAnsi"/>
        </w:rPr>
        <w:t>2</w:t>
      </w:r>
      <w:r w:rsidR="00FE5DF5" w:rsidRPr="00D127F6">
        <w:rPr>
          <w:rFonts w:eastAsiaTheme="minorHAnsi"/>
        </w:rPr>
        <w:t xml:space="preserve"> </w:t>
      </w:r>
      <w:r w:rsidRPr="00D127F6">
        <w:rPr>
          <w:rFonts w:eastAsiaTheme="minorHAnsi"/>
        </w:rPr>
        <w:t>202</w:t>
      </w:r>
      <w:r w:rsidR="0008627B" w:rsidRPr="00D127F6">
        <w:rPr>
          <w:rFonts w:eastAsiaTheme="minorHAnsi"/>
        </w:rPr>
        <w:t>3</w:t>
      </w:r>
      <w:r w:rsidRPr="00D127F6">
        <w:rPr>
          <w:rFonts w:eastAsiaTheme="minorHAnsi"/>
        </w:rPr>
        <w:t xml:space="preserve">) and </w:t>
      </w:r>
      <w:r w:rsidR="008C2807" w:rsidRPr="00D127F6">
        <w:rPr>
          <w:rFonts w:eastAsiaTheme="minorHAnsi"/>
        </w:rPr>
        <w:t>16</w:t>
      </w:r>
      <w:r w:rsidRPr="00D127F6">
        <w:rPr>
          <w:rFonts w:eastAsiaTheme="minorHAnsi"/>
        </w:rPr>
        <w:t xml:space="preserve">% compared to the 5-year mean. Aboriginal and Torres Strait Islander women residing in major cities recorded the second highest rates in the previous 12 months, increasing from the preceding 12 months by </w:t>
      </w:r>
      <w:r w:rsidR="00313029" w:rsidRPr="00D127F6">
        <w:rPr>
          <w:rFonts w:eastAsiaTheme="minorHAnsi"/>
        </w:rPr>
        <w:t>6</w:t>
      </w:r>
      <w:r w:rsidR="00FE5DF5" w:rsidRPr="00D127F6">
        <w:rPr>
          <w:rFonts w:eastAsiaTheme="minorHAnsi"/>
        </w:rPr>
        <w:t>%</w:t>
      </w:r>
      <w:r w:rsidRPr="00D127F6">
        <w:rPr>
          <w:rFonts w:eastAsiaTheme="minorHAnsi"/>
        </w:rPr>
        <w:t xml:space="preserve"> and </w:t>
      </w:r>
      <w:r w:rsidR="0008627B" w:rsidRPr="00D127F6">
        <w:rPr>
          <w:rFonts w:eastAsiaTheme="minorHAnsi"/>
        </w:rPr>
        <w:t>3</w:t>
      </w:r>
      <w:r w:rsidR="00313029" w:rsidRPr="00D127F6">
        <w:rPr>
          <w:rFonts w:eastAsiaTheme="minorHAnsi"/>
        </w:rPr>
        <w:t>1</w:t>
      </w:r>
      <w:r w:rsidRPr="00D127F6">
        <w:rPr>
          <w:rFonts w:eastAsiaTheme="minorHAnsi"/>
        </w:rPr>
        <w:t>% compared to the 5-year mean. Inner/outer regional areas r</w:t>
      </w:r>
      <w:r w:rsidR="0008627B" w:rsidRPr="00D127F6">
        <w:rPr>
          <w:rFonts w:eastAsiaTheme="minorHAnsi"/>
        </w:rPr>
        <w:t xml:space="preserve">eported a </w:t>
      </w:r>
      <w:r w:rsidRPr="00D127F6">
        <w:rPr>
          <w:rFonts w:eastAsiaTheme="minorHAnsi"/>
        </w:rPr>
        <w:t>rate</w:t>
      </w:r>
      <w:r w:rsidR="0008627B" w:rsidRPr="00D127F6">
        <w:rPr>
          <w:rFonts w:eastAsiaTheme="minorHAnsi"/>
        </w:rPr>
        <w:t xml:space="preserve"> decrease </w:t>
      </w:r>
      <w:r w:rsidRPr="00D127F6">
        <w:rPr>
          <w:rFonts w:eastAsiaTheme="minorHAnsi"/>
        </w:rPr>
        <w:t xml:space="preserve">compared to the preceding 12 months and 5-year mean, </w:t>
      </w:r>
      <w:r w:rsidR="0095104B" w:rsidRPr="00D127F6">
        <w:rPr>
          <w:rFonts w:eastAsiaTheme="minorHAnsi"/>
        </w:rPr>
        <w:t>12</w:t>
      </w:r>
      <w:r w:rsidRPr="00D127F6">
        <w:rPr>
          <w:rFonts w:eastAsiaTheme="minorHAnsi"/>
        </w:rPr>
        <w:t xml:space="preserve">% and </w:t>
      </w:r>
      <w:r w:rsidR="006D01C4" w:rsidRPr="00D127F6">
        <w:rPr>
          <w:rFonts w:eastAsiaTheme="minorHAnsi"/>
        </w:rPr>
        <w:t>2%,</w:t>
      </w:r>
      <w:r w:rsidRPr="00D127F6">
        <w:rPr>
          <w:rFonts w:eastAsiaTheme="minorHAnsi"/>
        </w:rPr>
        <w:t xml:space="preserve"> respectively.</w:t>
      </w:r>
    </w:p>
    <w:p w14:paraId="5A52E330" w14:textId="396EFAEE" w:rsidR="00F76B27" w:rsidRPr="00D127F6" w:rsidRDefault="00F76B27" w:rsidP="00C33397">
      <w:pPr>
        <w:rPr>
          <w:rFonts w:eastAsiaTheme="minorHAnsi"/>
        </w:rPr>
      </w:pPr>
      <w:r w:rsidRPr="00D127F6">
        <w:rPr>
          <w:rFonts w:eastAsiaTheme="minorHAnsi"/>
        </w:rPr>
        <w:t xml:space="preserve">Non-Indigenous women of reproductive age diagnosed with syphilis over the previous 12 months were predominately residents of major cities of Australia, consistent with historical trends (Figure 4b). Notification rates </w:t>
      </w:r>
      <w:r w:rsidR="00235BB0" w:rsidRPr="00D127F6">
        <w:rPr>
          <w:rFonts w:eastAsiaTheme="minorHAnsi"/>
        </w:rPr>
        <w:t xml:space="preserve">have continued to </w:t>
      </w:r>
      <w:r w:rsidR="00CF0CA5" w:rsidRPr="00D127F6">
        <w:rPr>
          <w:rFonts w:eastAsiaTheme="minorHAnsi"/>
        </w:rPr>
        <w:t xml:space="preserve">increase </w:t>
      </w:r>
      <w:r w:rsidRPr="00D127F6">
        <w:rPr>
          <w:rFonts w:eastAsiaTheme="minorHAnsi"/>
        </w:rPr>
        <w:t xml:space="preserve">in the previous 12 months for this group by </w:t>
      </w:r>
      <w:r w:rsidR="00235BB0" w:rsidRPr="00D127F6">
        <w:rPr>
          <w:rFonts w:eastAsiaTheme="minorHAnsi"/>
        </w:rPr>
        <w:t>9</w:t>
      </w:r>
      <w:r w:rsidRPr="00D127F6">
        <w:rPr>
          <w:rFonts w:eastAsiaTheme="minorHAnsi"/>
        </w:rPr>
        <w:t xml:space="preserve">% compared to the preceding 12 months and increased by </w:t>
      </w:r>
      <w:r w:rsidR="00CF0CA5" w:rsidRPr="00D127F6">
        <w:rPr>
          <w:rFonts w:eastAsiaTheme="minorHAnsi"/>
        </w:rPr>
        <w:t>16</w:t>
      </w:r>
      <w:r w:rsidRPr="00D127F6">
        <w:rPr>
          <w:rFonts w:eastAsiaTheme="minorHAnsi"/>
        </w:rPr>
        <w:t>% compared to the 5-year average.</w:t>
      </w:r>
      <w:r w:rsidR="00CF3401" w:rsidRPr="00D127F6">
        <w:rPr>
          <w:rFonts w:eastAsiaTheme="minorHAnsi"/>
        </w:rPr>
        <w:t xml:space="preserve"> </w:t>
      </w:r>
      <w:r w:rsidRPr="00D127F6">
        <w:rPr>
          <w:rFonts w:eastAsiaTheme="minorHAnsi"/>
        </w:rPr>
        <w:t xml:space="preserve">Notification rates in inner/outer regional areas </w:t>
      </w:r>
      <w:r w:rsidR="0008627B" w:rsidRPr="00D127F6">
        <w:rPr>
          <w:rFonts w:eastAsiaTheme="minorHAnsi"/>
        </w:rPr>
        <w:t xml:space="preserve">decreased by </w:t>
      </w:r>
      <w:r w:rsidR="00CF7BBF" w:rsidRPr="00D127F6">
        <w:rPr>
          <w:rFonts w:eastAsiaTheme="minorHAnsi"/>
        </w:rPr>
        <w:t>27</w:t>
      </w:r>
      <w:r w:rsidR="0008627B" w:rsidRPr="00D127F6">
        <w:rPr>
          <w:rFonts w:eastAsiaTheme="minorHAnsi"/>
        </w:rPr>
        <w:t>%</w:t>
      </w:r>
      <w:r w:rsidRPr="00D127F6">
        <w:rPr>
          <w:rFonts w:eastAsiaTheme="minorHAnsi"/>
        </w:rPr>
        <w:t xml:space="preserve"> between the previous 12 months and the 12 months prior and </w:t>
      </w:r>
      <w:r w:rsidR="0008627B" w:rsidRPr="00D127F6">
        <w:rPr>
          <w:rFonts w:eastAsiaTheme="minorHAnsi"/>
        </w:rPr>
        <w:t xml:space="preserve">increased by </w:t>
      </w:r>
      <w:r w:rsidR="00CF7BBF" w:rsidRPr="00D127F6">
        <w:rPr>
          <w:rFonts w:eastAsiaTheme="minorHAnsi"/>
        </w:rPr>
        <w:t>6</w:t>
      </w:r>
      <w:r w:rsidR="0008627B" w:rsidRPr="00D127F6">
        <w:rPr>
          <w:rFonts w:eastAsiaTheme="minorHAnsi"/>
        </w:rPr>
        <w:t xml:space="preserve">% </w:t>
      </w:r>
      <w:r w:rsidRPr="00D127F6">
        <w:rPr>
          <w:rFonts w:eastAsiaTheme="minorHAnsi"/>
        </w:rPr>
        <w:t>compared to the 5-year average. Notification rates in remote and very remote Australia have fluctuated, noting that</w:t>
      </w:r>
      <w:r w:rsidR="003B2D3E" w:rsidRPr="00D127F6">
        <w:rPr>
          <w:rFonts w:eastAsiaTheme="minorHAnsi"/>
        </w:rPr>
        <w:t xml:space="preserve"> changes over</w:t>
      </w:r>
      <w:r w:rsidR="00BE6946" w:rsidRPr="00D127F6">
        <w:rPr>
          <w:rFonts w:eastAsiaTheme="minorHAnsi"/>
        </w:rPr>
        <w:t xml:space="preserve"> </w:t>
      </w:r>
      <w:r w:rsidR="003B2D3E" w:rsidRPr="00D127F6">
        <w:rPr>
          <w:rFonts w:eastAsiaTheme="minorHAnsi"/>
        </w:rPr>
        <w:t xml:space="preserve">time </w:t>
      </w:r>
      <w:r w:rsidR="00312371" w:rsidRPr="00D127F6">
        <w:rPr>
          <w:rFonts w:eastAsiaTheme="minorHAnsi"/>
        </w:rPr>
        <w:t>are</w:t>
      </w:r>
      <w:r w:rsidR="00086CAF" w:rsidRPr="00D127F6">
        <w:rPr>
          <w:rFonts w:eastAsiaTheme="minorHAnsi"/>
        </w:rPr>
        <w:t xml:space="preserve"> from a lower base</w:t>
      </w:r>
      <w:r w:rsidRPr="00D127F6">
        <w:rPr>
          <w:rFonts w:eastAsiaTheme="minorHAnsi"/>
        </w:rPr>
        <w:t>.</w:t>
      </w:r>
    </w:p>
    <w:p w14:paraId="38E2A079" w14:textId="62737C2D" w:rsidR="00F76B27" w:rsidRPr="00C33397" w:rsidRDefault="00F76B27" w:rsidP="004371FE">
      <w:pPr>
        <w:pStyle w:val="Caption"/>
      </w:pPr>
      <w:r w:rsidRPr="00C33397">
        <w:t xml:space="preserve">Figure 4a-b: Notifications (n) and notification rate (per 100,000) of infectious syphilis reported in females aged 15-44 years, by Indigenous status, remoteness area, </w:t>
      </w:r>
      <w:r w:rsidR="00C45F2B" w:rsidRPr="00C33397">
        <w:t>quarter,</w:t>
      </w:r>
      <w:r w:rsidRPr="00C33397">
        <w:t xml:space="preserve"> and year, 2015 – Q</w:t>
      </w:r>
      <w:r w:rsidR="00DB640E" w:rsidRPr="00C33397">
        <w:t>2</w:t>
      </w:r>
      <w:r w:rsidRPr="00C33397">
        <w:t xml:space="preserve"> 202</w:t>
      </w:r>
      <w:r w:rsidR="00CA5808" w:rsidRPr="00C33397">
        <w:t>4</w:t>
      </w:r>
      <w:r w:rsidRPr="00C33397">
        <w:t xml:space="preserve"> (a. Aboriginal and Torres Strait Islander and b. non-</w:t>
      </w:r>
      <w:r w:rsidR="00C45F2B" w:rsidRPr="00C33397">
        <w:t>Indigenous) *</w:t>
      </w:r>
    </w:p>
    <w:p w14:paraId="69331B58" w14:textId="34B126DF" w:rsidR="00F76B27" w:rsidRPr="00C33397" w:rsidRDefault="007758F9" w:rsidP="00C33397">
      <w:r w:rsidRPr="00C33397">
        <w:drawing>
          <wp:inline distT="0" distB="0" distL="0" distR="0" wp14:anchorId="1269B18B" wp14:editId="2BE5CB09">
            <wp:extent cx="6371435" cy="4152900"/>
            <wp:effectExtent l="0" t="0" r="0" b="0"/>
            <wp:docPr id="203028540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85409" name="Picture 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2781" cy="4160295"/>
                    </a:xfrm>
                    <a:prstGeom prst="rect">
                      <a:avLst/>
                    </a:prstGeom>
                    <a:noFill/>
                  </pic:spPr>
                </pic:pic>
              </a:graphicData>
            </a:graphic>
          </wp:inline>
        </w:drawing>
      </w:r>
    </w:p>
    <w:p w14:paraId="68ACF38E" w14:textId="6A9D9830" w:rsidR="00F76B27" w:rsidRPr="00C33397" w:rsidRDefault="0051048C" w:rsidP="00C33397">
      <w:r w:rsidRPr="00C33397">
        <w:lastRenderedPageBreak/>
        <w:drawing>
          <wp:inline distT="0" distB="0" distL="0" distR="0" wp14:anchorId="25ED650C" wp14:editId="29AAE4A0">
            <wp:extent cx="6400662" cy="4171950"/>
            <wp:effectExtent l="0" t="0" r="635" b="0"/>
            <wp:docPr id="135875327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53274" name="Picture 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3441" cy="4180279"/>
                    </a:xfrm>
                    <a:prstGeom prst="rect">
                      <a:avLst/>
                    </a:prstGeom>
                    <a:noFill/>
                  </pic:spPr>
                </pic:pic>
              </a:graphicData>
            </a:graphic>
          </wp:inline>
        </w:drawing>
      </w:r>
    </w:p>
    <w:p w14:paraId="4E0880B4" w14:textId="77777777" w:rsidR="00F76B27" w:rsidRPr="0092599C" w:rsidRDefault="00F76B27" w:rsidP="00C33397">
      <w:pPr>
        <w:pStyle w:val="FootnoteText"/>
      </w:pPr>
      <w:r w:rsidRPr="0092599C">
        <w:t>*Excludes cases for whom sex, age, Indigenous status and/or residential postcode were not reported.</w:t>
      </w:r>
    </w:p>
    <w:p w14:paraId="6AF80807" w14:textId="2649764F" w:rsidR="00F76B27" w:rsidRPr="00684D52" w:rsidRDefault="00F76B27" w:rsidP="00C33397">
      <w:pPr>
        <w:pStyle w:val="Heading3"/>
      </w:pPr>
      <w:r w:rsidRPr="00684D52">
        <w:t xml:space="preserve">Indicator 1.3 </w:t>
      </w:r>
      <w:r w:rsidR="004371FE">
        <w:t>–</w:t>
      </w:r>
      <w:r w:rsidRPr="00684D52">
        <w:t xml:space="preserve"> Proportion of infectious syphilis notifications in men reporting sexual exposure with men only</w:t>
      </w:r>
    </w:p>
    <w:p w14:paraId="4858EF6D" w14:textId="71E2C2DD" w:rsidR="00F76B27" w:rsidRPr="00684D52" w:rsidRDefault="00F76B27" w:rsidP="00C33397">
      <w:pPr>
        <w:pStyle w:val="Heading3"/>
      </w:pPr>
      <w:r w:rsidRPr="00684D52">
        <w:t xml:space="preserve">Indicator 1.4 </w:t>
      </w:r>
      <w:r w:rsidR="004371FE">
        <w:t>–</w:t>
      </w:r>
      <w:r w:rsidRPr="00684D52">
        <w:t xml:space="preserve"> Proportion of infectious syphilis notifications in men reporting sexual exposure with both men and women</w:t>
      </w:r>
    </w:p>
    <w:p w14:paraId="16E5FE3E" w14:textId="77777777" w:rsidR="00F76B27" w:rsidRPr="002941CB" w:rsidRDefault="00F76B27" w:rsidP="00C33397">
      <w:r w:rsidRPr="002941CB">
        <w:t xml:space="preserve">Enhanced data (sexual exposure: same sex, opposite sex and both sexes) are used to report against indicators 1.3 and 1.4. </w:t>
      </w:r>
    </w:p>
    <w:p w14:paraId="10575B9B" w14:textId="77777777" w:rsidR="00F76B27" w:rsidRPr="002941CB" w:rsidRDefault="00F76B27" w:rsidP="00C33397">
      <w:pPr>
        <w:rPr>
          <w:rStyle w:val="Emphasis"/>
        </w:rPr>
      </w:pPr>
      <w:r w:rsidRPr="002941CB">
        <w:rPr>
          <w:rStyle w:val="Emphasis"/>
        </w:rPr>
        <w:t>Completeness of enhanced sexual exposure data</w:t>
      </w:r>
    </w:p>
    <w:p w14:paraId="0261FCF0" w14:textId="53084BBB" w:rsidR="00F76B27" w:rsidRPr="00684D52" w:rsidRDefault="00F76B27" w:rsidP="00C33397">
      <w:pPr>
        <w:rPr>
          <w:lang w:val="en-US"/>
        </w:rPr>
      </w:pPr>
      <w:r w:rsidRPr="00684D52">
        <w:rPr>
          <w:lang w:val="en-US"/>
        </w:rPr>
        <w:t>Completeness of sexual exposure in males notified with infectious syphilis fluctuated between 2015 and Q</w:t>
      </w:r>
      <w:r w:rsidR="00947279" w:rsidRPr="00684D52">
        <w:rPr>
          <w:lang w:val="en-US"/>
        </w:rPr>
        <w:t>2</w:t>
      </w:r>
      <w:r w:rsidRPr="00684D52">
        <w:rPr>
          <w:lang w:val="en-US"/>
        </w:rPr>
        <w:t xml:space="preserve"> 202</w:t>
      </w:r>
      <w:r w:rsidR="00926DC8" w:rsidRPr="00684D52">
        <w:rPr>
          <w:lang w:val="en-US"/>
        </w:rPr>
        <w:t>4</w:t>
      </w:r>
      <w:r w:rsidRPr="00684D52">
        <w:rPr>
          <w:lang w:val="en-US"/>
        </w:rPr>
        <w:t>, rang</w:t>
      </w:r>
      <w:r w:rsidR="00C45F2B" w:rsidRPr="00684D52">
        <w:rPr>
          <w:lang w:val="en-US"/>
        </w:rPr>
        <w:t>ing</w:t>
      </w:r>
      <w:r w:rsidRPr="00684D52">
        <w:rPr>
          <w:lang w:val="en-US"/>
        </w:rPr>
        <w:t xml:space="preserve"> from 63% </w:t>
      </w:r>
      <w:r w:rsidR="00C45F2B" w:rsidRPr="00684D52">
        <w:rPr>
          <w:lang w:val="en-US"/>
        </w:rPr>
        <w:t>to</w:t>
      </w:r>
      <w:r w:rsidRPr="00684D52">
        <w:rPr>
          <w:lang w:val="en-US"/>
        </w:rPr>
        <w:t xml:space="preserve"> 87% (average 7</w:t>
      </w:r>
      <w:r w:rsidR="00926DC8" w:rsidRPr="00684D52">
        <w:rPr>
          <w:lang w:val="en-US"/>
        </w:rPr>
        <w:t>3</w:t>
      </w:r>
      <w:r w:rsidRPr="00684D52">
        <w:rPr>
          <w:lang w:val="en-US"/>
        </w:rPr>
        <w:t>%).</w:t>
      </w:r>
    </w:p>
    <w:p w14:paraId="04313C70" w14:textId="52594DDF" w:rsidR="00F76B27" w:rsidRPr="00C33397" w:rsidRDefault="00F76B27" w:rsidP="00C33397">
      <w:r w:rsidRPr="00C33397">
        <w:t>Same sex only was the most frequently reported sexual exposure across all categories, representing on average 5</w:t>
      </w:r>
      <w:r w:rsidR="004A6F00" w:rsidRPr="00C33397">
        <w:t>5</w:t>
      </w:r>
      <w:r w:rsidRPr="00C33397">
        <w:t>% of notifications overall, followed by opposite sex only (1</w:t>
      </w:r>
      <w:r w:rsidR="008F1BC4" w:rsidRPr="00C33397">
        <w:t>4</w:t>
      </w:r>
      <w:r w:rsidRPr="00C33397">
        <w:t>%) and both sexes (4%). The proportion of cases reporting same sex only exposure fluctuate</w:t>
      </w:r>
      <w:r w:rsidR="00C45F2B" w:rsidRPr="00C33397">
        <w:t>d</w:t>
      </w:r>
      <w:r w:rsidRPr="00C33397">
        <w:t xml:space="preserve"> across the reporting period with the highest in 2015 (68%) and lowest in 202</w:t>
      </w:r>
      <w:r w:rsidR="00926DC8" w:rsidRPr="00C33397">
        <w:t>0</w:t>
      </w:r>
      <w:r w:rsidRPr="00C33397">
        <w:t xml:space="preserve"> (4</w:t>
      </w:r>
      <w:r w:rsidR="00926DC8" w:rsidRPr="00C33397">
        <w:t>7</w:t>
      </w:r>
      <w:r w:rsidR="00B628A5" w:rsidRPr="00C33397">
        <w:t>%) (</w:t>
      </w:r>
      <w:r w:rsidRPr="00C33397">
        <w:t>Figure 5).</w:t>
      </w:r>
    </w:p>
    <w:p w14:paraId="6FE83F79" w14:textId="0F4BB98E" w:rsidR="00F76B27" w:rsidRPr="00684D52" w:rsidRDefault="00F76B27" w:rsidP="00C33397">
      <w:pPr>
        <w:rPr>
          <w:lang w:val="en-US"/>
        </w:rPr>
      </w:pPr>
      <w:r w:rsidRPr="00684D52">
        <w:rPr>
          <w:lang w:val="en-US"/>
        </w:rPr>
        <w:t xml:space="preserve">Although men reporting sexual exposure with both men and women represented the lowest proportion of all cases during the reporting period (range 3 - 6%), this proportion increased by </w:t>
      </w:r>
      <w:r w:rsidR="00926DC8" w:rsidRPr="00684D52">
        <w:rPr>
          <w:lang w:val="en-US"/>
        </w:rPr>
        <w:t>3</w:t>
      </w:r>
      <w:r w:rsidR="00D84B77" w:rsidRPr="00684D52">
        <w:rPr>
          <w:lang w:val="en-US"/>
        </w:rPr>
        <w:t>3</w:t>
      </w:r>
      <w:r w:rsidRPr="00684D52">
        <w:rPr>
          <w:lang w:val="en-US"/>
        </w:rPr>
        <w:t>% between 2015 and 202</w:t>
      </w:r>
      <w:r w:rsidR="00B628A5" w:rsidRPr="00684D52">
        <w:rPr>
          <w:lang w:val="en-US"/>
        </w:rPr>
        <w:t>3</w:t>
      </w:r>
      <w:r w:rsidRPr="00684D52">
        <w:rPr>
          <w:lang w:val="en-US"/>
        </w:rPr>
        <w:t xml:space="preserve">. </w:t>
      </w:r>
    </w:p>
    <w:p w14:paraId="7C5768A3" w14:textId="405632F2" w:rsidR="00A85B61" w:rsidRPr="0092599C" w:rsidRDefault="00A85B61" w:rsidP="00C33397">
      <w:r w:rsidRPr="0092599C">
        <w:br w:type="page"/>
      </w:r>
    </w:p>
    <w:p w14:paraId="655C58E4" w14:textId="235A9258" w:rsidR="00F76B27" w:rsidRPr="00C33397" w:rsidRDefault="00F76B27" w:rsidP="004371FE">
      <w:pPr>
        <w:pStyle w:val="Caption"/>
      </w:pPr>
      <w:r w:rsidRPr="00C33397">
        <w:lastRenderedPageBreak/>
        <w:t>Figure 5: Number of infectious syphilis notifications among men and proportion (%) of cases by sexual exposure and year 2015 – Q</w:t>
      </w:r>
      <w:r w:rsidR="0051048C" w:rsidRPr="00C33397">
        <w:t>2</w:t>
      </w:r>
      <w:r w:rsidRPr="00C33397">
        <w:t xml:space="preserve"> 202</w:t>
      </w:r>
      <w:r w:rsidR="00926DC8" w:rsidRPr="00C33397">
        <w:t>4</w:t>
      </w:r>
      <w:r w:rsidRPr="00C33397">
        <w:t xml:space="preserve"> </w:t>
      </w:r>
    </w:p>
    <w:p w14:paraId="64652E96" w14:textId="433365C7" w:rsidR="00F76B27" w:rsidRPr="00C33397" w:rsidRDefault="00640EF0" w:rsidP="00C33397">
      <w:r w:rsidRPr="00C33397">
        <w:drawing>
          <wp:inline distT="0" distB="0" distL="0" distR="0" wp14:anchorId="7EE2A0D6" wp14:editId="6083740E">
            <wp:extent cx="6305550" cy="4109956"/>
            <wp:effectExtent l="0" t="0" r="0" b="5080"/>
            <wp:docPr id="17196269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26935" name="Picture 1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2585" cy="4121060"/>
                    </a:xfrm>
                    <a:prstGeom prst="rect">
                      <a:avLst/>
                    </a:prstGeom>
                    <a:noFill/>
                  </pic:spPr>
                </pic:pic>
              </a:graphicData>
            </a:graphic>
          </wp:inline>
        </w:drawing>
      </w:r>
    </w:p>
    <w:p w14:paraId="18B9283B" w14:textId="77777777" w:rsidR="00F76B27" w:rsidRPr="00684D52" w:rsidRDefault="00F76B27" w:rsidP="00C33397">
      <w:pPr>
        <w:pStyle w:val="Boxheading"/>
      </w:pPr>
      <w:r w:rsidRPr="00684D52">
        <w:t xml:space="preserve">Target 2: Eliminate congenital </w:t>
      </w:r>
      <w:proofErr w:type="gramStart"/>
      <w:r w:rsidRPr="00684D52">
        <w:t>syphilis</w:t>
      </w:r>
      <w:proofErr w:type="gramEnd"/>
    </w:p>
    <w:p w14:paraId="12491CF4" w14:textId="3DDAF39D" w:rsidR="00F76B27" w:rsidRPr="00684D52" w:rsidRDefault="00F76B27" w:rsidP="00C33397">
      <w:pPr>
        <w:pStyle w:val="Heading3"/>
      </w:pPr>
      <w:bookmarkStart w:id="1" w:name="_Ref525049417"/>
      <w:r w:rsidRPr="00684D52">
        <w:t xml:space="preserve">Indicator 2.1 </w:t>
      </w:r>
      <w:r w:rsidR="004371FE">
        <w:t>–</w:t>
      </w:r>
      <w:r w:rsidRPr="00684D52">
        <w:t xml:space="preserve"> Number of congenital syphilis notifications</w:t>
      </w:r>
    </w:p>
    <w:p w14:paraId="19E874FD" w14:textId="619606CE" w:rsidR="00F76B27" w:rsidRPr="00684D52" w:rsidRDefault="00F76B27" w:rsidP="00C33397">
      <w:pPr>
        <w:pStyle w:val="Heading3"/>
      </w:pPr>
      <w:r w:rsidRPr="00684D52">
        <w:t xml:space="preserve">Indicator 2.2 </w:t>
      </w:r>
      <w:r w:rsidR="004371FE">
        <w:t>–</w:t>
      </w:r>
      <w:r w:rsidRPr="00684D52">
        <w:t xml:space="preserve"> Notification rate of congenital syphilis per 100,000 live births </w:t>
      </w:r>
    </w:p>
    <w:p w14:paraId="05DCD82B" w14:textId="52690E54" w:rsidR="00F76B27" w:rsidRPr="00684D52" w:rsidRDefault="00F76B27" w:rsidP="00C33397">
      <w:pPr>
        <w:pStyle w:val="Heading3"/>
      </w:pPr>
      <w:r w:rsidRPr="00684D52">
        <w:t xml:space="preserve">Indicator 2.3 </w:t>
      </w:r>
      <w:r w:rsidR="004371FE">
        <w:t>–</w:t>
      </w:r>
      <w:r w:rsidRPr="00684D52">
        <w:t xml:space="preserve"> Number of congenital syphilis cases that were reported to have died from the </w:t>
      </w:r>
      <w:proofErr w:type="gramStart"/>
      <w:r w:rsidRPr="00684D52">
        <w:t>condition</w:t>
      </w:r>
      <w:proofErr w:type="gramEnd"/>
      <w:r w:rsidRPr="00684D52">
        <w:t xml:space="preserve"> </w:t>
      </w:r>
    </w:p>
    <w:p w14:paraId="045D9D53" w14:textId="0DFCC966" w:rsidR="00F76B27" w:rsidRPr="00D127F6" w:rsidRDefault="002415CF" w:rsidP="00C33397">
      <w:r w:rsidRPr="00D127F6">
        <w:t>Ninety</w:t>
      </w:r>
      <w:r w:rsidR="00F76B27" w:rsidRPr="00D127F6">
        <w:t>-</w:t>
      </w:r>
      <w:r w:rsidR="000D07BF" w:rsidRPr="00D127F6">
        <w:t>five</w:t>
      </w:r>
      <w:r w:rsidR="00F76B27" w:rsidRPr="00D127F6">
        <w:t xml:space="preserve"> (</w:t>
      </w:r>
      <w:r w:rsidRPr="00D127F6">
        <w:t>9</w:t>
      </w:r>
      <w:r w:rsidR="000D07BF" w:rsidRPr="00D127F6">
        <w:t>5</w:t>
      </w:r>
      <w:r w:rsidR="00F76B27" w:rsidRPr="00D127F6">
        <w:t>) cases of congenital syphilis were reported between 2016 and Q</w:t>
      </w:r>
      <w:r w:rsidR="000D07BF" w:rsidRPr="00D127F6">
        <w:t>2</w:t>
      </w:r>
      <w:r w:rsidR="00F76B27" w:rsidRPr="00D127F6">
        <w:t xml:space="preserve"> 202</w:t>
      </w:r>
      <w:r w:rsidRPr="00D127F6">
        <w:t>4</w:t>
      </w:r>
      <w:r w:rsidR="00F76B27" w:rsidRPr="00D127F6">
        <w:t xml:space="preserve">, </w:t>
      </w:r>
      <w:r w:rsidRPr="00D127F6">
        <w:t>5</w:t>
      </w:r>
      <w:r w:rsidR="000D07BF" w:rsidRPr="00D127F6">
        <w:t>2</w:t>
      </w:r>
      <w:r w:rsidR="00F76B27" w:rsidRPr="00D127F6">
        <w:t xml:space="preserve"> were reported in Aboriginal and Torres Strait Islander infants, </w:t>
      </w:r>
      <w:r w:rsidRPr="00D127F6">
        <w:t>4</w:t>
      </w:r>
      <w:r w:rsidR="00044135" w:rsidRPr="00D127F6">
        <w:t>2</w:t>
      </w:r>
      <w:r w:rsidR="00F76B27" w:rsidRPr="00D127F6">
        <w:t xml:space="preserve"> were non-Indigenous and </w:t>
      </w:r>
      <w:r w:rsidRPr="00D127F6">
        <w:t>1</w:t>
      </w:r>
      <w:r w:rsidR="00F76B27" w:rsidRPr="00D127F6">
        <w:t xml:space="preserve"> had an unknown Indigenous status (Figure 6). Among the </w:t>
      </w:r>
      <w:r w:rsidRPr="00D127F6">
        <w:t>5</w:t>
      </w:r>
      <w:r w:rsidR="006021BB" w:rsidRPr="00D127F6">
        <w:t>2</w:t>
      </w:r>
      <w:r w:rsidR="00F76B27" w:rsidRPr="00D127F6">
        <w:t xml:space="preserve"> Aboriginal and Torres Strait Islander cases, </w:t>
      </w:r>
      <w:r w:rsidR="00877C56" w:rsidRPr="00D127F6">
        <w:t>4</w:t>
      </w:r>
      <w:r w:rsidR="00773357" w:rsidRPr="00D127F6">
        <w:t>2</w:t>
      </w:r>
      <w:r w:rsidR="00F76B27" w:rsidRPr="00D127F6">
        <w:t>% (</w:t>
      </w:r>
      <w:r w:rsidRPr="00D127F6">
        <w:t>22</w:t>
      </w:r>
      <w:r w:rsidR="00F76B27" w:rsidRPr="00D127F6">
        <w:t>/</w:t>
      </w:r>
      <w:r w:rsidRPr="00D127F6">
        <w:t>5</w:t>
      </w:r>
      <w:r w:rsidR="00773357" w:rsidRPr="00D127F6">
        <w:t>2</w:t>
      </w:r>
      <w:r w:rsidR="00F76B27" w:rsidRPr="00D127F6">
        <w:t>) were residents of major cities, 2</w:t>
      </w:r>
      <w:r w:rsidR="00773357" w:rsidRPr="00D127F6">
        <w:t>7</w:t>
      </w:r>
      <w:r w:rsidR="00F76B27" w:rsidRPr="00D127F6">
        <w:t>% (1</w:t>
      </w:r>
      <w:r w:rsidR="008974FA" w:rsidRPr="00D127F6">
        <w:t>4</w:t>
      </w:r>
      <w:r w:rsidR="00F76B27" w:rsidRPr="00D127F6">
        <w:t>/</w:t>
      </w:r>
      <w:r w:rsidRPr="00D127F6">
        <w:t>5</w:t>
      </w:r>
      <w:r w:rsidR="008974FA" w:rsidRPr="00D127F6">
        <w:t>2</w:t>
      </w:r>
      <w:r w:rsidR="00F76B27" w:rsidRPr="00D127F6">
        <w:t>) from inner/outer regional areas and 3</w:t>
      </w:r>
      <w:r w:rsidRPr="00D127F6">
        <w:t>1</w:t>
      </w:r>
      <w:r w:rsidR="00F76B27" w:rsidRPr="00D127F6">
        <w:t>% (1</w:t>
      </w:r>
      <w:r w:rsidR="00791789" w:rsidRPr="00D127F6">
        <w:t>6</w:t>
      </w:r>
      <w:r w:rsidR="00F76B27" w:rsidRPr="00D127F6">
        <w:t>/</w:t>
      </w:r>
      <w:r w:rsidRPr="00D127F6">
        <w:t>5</w:t>
      </w:r>
      <w:r w:rsidR="008974FA" w:rsidRPr="00D127F6">
        <w:t>2</w:t>
      </w:r>
      <w:r w:rsidR="00F76B27" w:rsidRPr="00D127F6">
        <w:t>) from remote/very remote areas.  Eighty-</w:t>
      </w:r>
      <w:r w:rsidR="00856914" w:rsidRPr="00D127F6">
        <w:t>six</w:t>
      </w:r>
      <w:r w:rsidR="00F76B27" w:rsidRPr="00D127F6">
        <w:t xml:space="preserve"> per cent (8</w:t>
      </w:r>
      <w:r w:rsidR="00856914" w:rsidRPr="00D127F6">
        <w:t>6</w:t>
      </w:r>
      <w:r w:rsidR="00F76B27" w:rsidRPr="00D127F6">
        <w:t>%, 3</w:t>
      </w:r>
      <w:r w:rsidR="00856914" w:rsidRPr="00D127F6">
        <w:t>6</w:t>
      </w:r>
      <w:r w:rsidR="00F76B27" w:rsidRPr="00D127F6">
        <w:t>/</w:t>
      </w:r>
      <w:r w:rsidRPr="00D127F6">
        <w:t>4</w:t>
      </w:r>
      <w:r w:rsidR="00856914" w:rsidRPr="00D127F6">
        <w:t>2</w:t>
      </w:r>
      <w:r w:rsidR="00F76B27" w:rsidRPr="00D127F6">
        <w:t xml:space="preserve">) of non-Indigenous cases were residents of major cities, </w:t>
      </w:r>
      <w:r w:rsidRPr="00D127F6">
        <w:t>12</w:t>
      </w:r>
      <w:r w:rsidR="00CB36B9" w:rsidRPr="00D127F6">
        <w:t>%</w:t>
      </w:r>
      <w:r w:rsidR="00F76B27" w:rsidRPr="00D127F6">
        <w:t xml:space="preserve"> (</w:t>
      </w:r>
      <w:r w:rsidRPr="00D127F6">
        <w:t>5</w:t>
      </w:r>
      <w:r w:rsidR="00F76B27" w:rsidRPr="00D127F6">
        <w:t>/</w:t>
      </w:r>
      <w:r w:rsidRPr="00D127F6">
        <w:t>4</w:t>
      </w:r>
      <w:r w:rsidR="00856914" w:rsidRPr="00D127F6">
        <w:t>2</w:t>
      </w:r>
      <w:r w:rsidR="00F76B27" w:rsidRPr="00D127F6">
        <w:t xml:space="preserve">) from inner/outer regional areas and </w:t>
      </w:r>
      <w:r w:rsidRPr="00D127F6">
        <w:t>2</w:t>
      </w:r>
      <w:r w:rsidR="00F76B27" w:rsidRPr="00D127F6">
        <w:t>% (1/</w:t>
      </w:r>
      <w:r w:rsidRPr="00D127F6">
        <w:t>4</w:t>
      </w:r>
      <w:r w:rsidR="00856914" w:rsidRPr="00D127F6">
        <w:t>2</w:t>
      </w:r>
      <w:r w:rsidR="00F76B27" w:rsidRPr="00D127F6">
        <w:t xml:space="preserve">) had an unknown residential location. </w:t>
      </w:r>
      <w:r w:rsidRPr="00D127F6">
        <w:t xml:space="preserve">The remaining 1 </w:t>
      </w:r>
      <w:r w:rsidR="00F76B27" w:rsidRPr="00D127F6">
        <w:t>case</w:t>
      </w:r>
      <w:r w:rsidRPr="00D127F6">
        <w:t xml:space="preserve"> had an </w:t>
      </w:r>
      <w:r w:rsidR="00F76B27" w:rsidRPr="00D127F6">
        <w:t xml:space="preserve">unknown Indigenous status </w:t>
      </w:r>
      <w:r w:rsidRPr="00D127F6">
        <w:t>and unknown residential location reported.</w:t>
      </w:r>
    </w:p>
    <w:p w14:paraId="1669395E" w14:textId="77777777" w:rsidR="00F76B27" w:rsidRPr="00D127F6" w:rsidRDefault="00F76B27" w:rsidP="00C33397">
      <w:r w:rsidRPr="00D127F6">
        <w:t>Aboriginal and Torres Strait Islander infants are disproportionately represented in the notification data, with rates per 100,000 live births on average 16 times that of non-Indigenous infants, noting that rates have fluctuated in both groups over time.</w:t>
      </w:r>
    </w:p>
    <w:p w14:paraId="403CC5B2" w14:textId="04AAC87E" w:rsidR="00F76B27" w:rsidRPr="00684D52" w:rsidRDefault="002415CF" w:rsidP="00C33397">
      <w:r w:rsidRPr="00D127F6">
        <w:t>Thirty</w:t>
      </w:r>
      <w:r w:rsidR="00737382" w:rsidRPr="00D127F6">
        <w:t>-one</w:t>
      </w:r>
      <w:r w:rsidRPr="00D127F6">
        <w:t xml:space="preserve"> (3</w:t>
      </w:r>
      <w:r w:rsidR="00737382" w:rsidRPr="00D127F6">
        <w:t>1</w:t>
      </w:r>
      <w:r w:rsidRPr="00D127F6">
        <w:t>)</w:t>
      </w:r>
      <w:r w:rsidR="00F76B27" w:rsidRPr="00D127F6">
        <w:t xml:space="preserve"> congenital syphilis associated deaths were reported between 2016 and Q</w:t>
      </w:r>
      <w:r w:rsidR="00737382" w:rsidRPr="00D127F6">
        <w:t>2</w:t>
      </w:r>
      <w:r w:rsidR="00F76B27" w:rsidRPr="00D127F6">
        <w:t xml:space="preserve"> 202</w:t>
      </w:r>
      <w:r w:rsidRPr="00D127F6">
        <w:t>4</w:t>
      </w:r>
      <w:r w:rsidR="00C45F2B" w:rsidRPr="00D127F6">
        <w:t xml:space="preserve"> (3</w:t>
      </w:r>
      <w:r w:rsidRPr="00D127F6">
        <w:t>2</w:t>
      </w:r>
      <w:r w:rsidR="00C45F2B" w:rsidRPr="00D127F6">
        <w:t>% of all reported congenital syphilis cases</w:t>
      </w:r>
      <w:r w:rsidRPr="00D127F6">
        <w:t xml:space="preserve"> reported</w:t>
      </w:r>
      <w:r w:rsidR="00C45F2B" w:rsidRPr="00D127F6">
        <w:t xml:space="preserve"> during the period)</w:t>
      </w:r>
      <w:r w:rsidR="00F76B27" w:rsidRPr="00D127F6">
        <w:t>, 1</w:t>
      </w:r>
      <w:r w:rsidRPr="00D127F6">
        <w:t>9</w:t>
      </w:r>
      <w:r w:rsidR="00F76B27" w:rsidRPr="00D127F6">
        <w:t xml:space="preserve"> (6</w:t>
      </w:r>
      <w:r w:rsidR="00737382" w:rsidRPr="00D127F6">
        <w:t>1</w:t>
      </w:r>
      <w:r w:rsidR="00F76B27" w:rsidRPr="00D127F6">
        <w:t xml:space="preserve">%, </w:t>
      </w:r>
      <w:r w:rsidRPr="00D127F6">
        <w:t>19</w:t>
      </w:r>
      <w:r w:rsidR="00F76B27" w:rsidRPr="00D127F6">
        <w:t>/</w:t>
      </w:r>
      <w:r w:rsidRPr="00D127F6">
        <w:t>3</w:t>
      </w:r>
      <w:r w:rsidR="00737382" w:rsidRPr="00D127F6">
        <w:t>1</w:t>
      </w:r>
      <w:r w:rsidR="00F76B27" w:rsidRPr="00D127F6">
        <w:t xml:space="preserve">) were Aboriginal and Torres Strait Islander infants, </w:t>
      </w:r>
      <w:r w:rsidRPr="00D127F6">
        <w:t>1</w:t>
      </w:r>
      <w:r w:rsidR="00F06CD8" w:rsidRPr="00D127F6">
        <w:t>1</w:t>
      </w:r>
      <w:r w:rsidR="00F76B27" w:rsidRPr="00D127F6">
        <w:t xml:space="preserve"> (3</w:t>
      </w:r>
      <w:r w:rsidR="00F06CD8" w:rsidRPr="00D127F6">
        <w:t>5</w:t>
      </w:r>
      <w:r w:rsidR="00F76B27" w:rsidRPr="00D127F6">
        <w:t xml:space="preserve">%, </w:t>
      </w:r>
      <w:r w:rsidRPr="00D127F6">
        <w:t>1</w:t>
      </w:r>
      <w:r w:rsidR="00F06CD8" w:rsidRPr="00D127F6">
        <w:t>1</w:t>
      </w:r>
      <w:r w:rsidR="00F76B27" w:rsidRPr="00D127F6">
        <w:t>/</w:t>
      </w:r>
      <w:r w:rsidRPr="00D127F6">
        <w:t>3</w:t>
      </w:r>
      <w:r w:rsidR="00F06CD8" w:rsidRPr="00D127F6">
        <w:t>1</w:t>
      </w:r>
      <w:r w:rsidR="00F76B27" w:rsidRPr="00D127F6">
        <w:t>) were</w:t>
      </w:r>
      <w:r w:rsidR="00F76B27" w:rsidRPr="00684D52">
        <w:t xml:space="preserve"> non-Indigenous and </w:t>
      </w:r>
      <w:r w:rsidRPr="00684D52">
        <w:t>1</w:t>
      </w:r>
      <w:r w:rsidR="00F76B27" w:rsidRPr="00684D52">
        <w:t xml:space="preserve"> (</w:t>
      </w:r>
      <w:r w:rsidRPr="00684D52">
        <w:t>3</w:t>
      </w:r>
      <w:r w:rsidR="00F76B27" w:rsidRPr="00684D52">
        <w:t xml:space="preserve">%, </w:t>
      </w:r>
      <w:r w:rsidRPr="00684D52">
        <w:t>1</w:t>
      </w:r>
      <w:r w:rsidR="00F76B27" w:rsidRPr="00684D52">
        <w:t>/</w:t>
      </w:r>
      <w:r w:rsidRPr="00684D52">
        <w:t>3</w:t>
      </w:r>
      <w:r w:rsidR="00F06CD8" w:rsidRPr="00684D52">
        <w:t>1</w:t>
      </w:r>
      <w:r w:rsidR="00F76B27" w:rsidRPr="00684D52">
        <w:t xml:space="preserve">) had an unknown Indigenous status. Of the Aboriginal and Torres Strait Islander infants </w:t>
      </w:r>
      <w:r w:rsidR="00C45F2B" w:rsidRPr="00684D52">
        <w:t>who</w:t>
      </w:r>
      <w:r w:rsidR="00F76B27" w:rsidRPr="00684D52">
        <w:t xml:space="preserve"> died, </w:t>
      </w:r>
      <w:r w:rsidRPr="00684D52">
        <w:t>10</w:t>
      </w:r>
      <w:r w:rsidR="00F76B27" w:rsidRPr="00684D52">
        <w:t xml:space="preserve"> (5</w:t>
      </w:r>
      <w:r w:rsidRPr="00684D52">
        <w:t>3</w:t>
      </w:r>
      <w:r w:rsidR="00F76B27" w:rsidRPr="00684D52">
        <w:t xml:space="preserve">%, </w:t>
      </w:r>
      <w:r w:rsidRPr="00684D52">
        <w:t>10</w:t>
      </w:r>
      <w:r w:rsidR="00F76B27" w:rsidRPr="00684D52">
        <w:t>/</w:t>
      </w:r>
      <w:r w:rsidRPr="00684D52">
        <w:t>19</w:t>
      </w:r>
      <w:r w:rsidR="00F76B27" w:rsidRPr="00684D52">
        <w:t>) were reported in major cities, 4 (2</w:t>
      </w:r>
      <w:r w:rsidRPr="00684D52">
        <w:t>0</w:t>
      </w:r>
      <w:r w:rsidR="00F76B27" w:rsidRPr="00684D52">
        <w:t>%, 4/1</w:t>
      </w:r>
      <w:r w:rsidRPr="00684D52">
        <w:t>9</w:t>
      </w:r>
      <w:r w:rsidR="00F76B27" w:rsidRPr="00684D52">
        <w:t xml:space="preserve">) from inner/outer regional areas and </w:t>
      </w:r>
      <w:r w:rsidR="003F3AF4" w:rsidRPr="00684D52">
        <w:t>5</w:t>
      </w:r>
      <w:r w:rsidR="00F76B27" w:rsidRPr="00684D52">
        <w:t xml:space="preserve"> (2</w:t>
      </w:r>
      <w:r w:rsidRPr="00684D52">
        <w:t>6</w:t>
      </w:r>
      <w:r w:rsidR="00F76B27" w:rsidRPr="00684D52">
        <w:t xml:space="preserve">%, </w:t>
      </w:r>
      <w:r w:rsidR="003F3AF4" w:rsidRPr="00684D52">
        <w:t>5</w:t>
      </w:r>
      <w:r w:rsidR="00F76B27" w:rsidRPr="00684D52">
        <w:t>/1</w:t>
      </w:r>
      <w:r w:rsidRPr="00684D52">
        <w:t>9</w:t>
      </w:r>
      <w:r w:rsidR="00F76B27" w:rsidRPr="00684D52">
        <w:t xml:space="preserve">) </w:t>
      </w:r>
      <w:r w:rsidR="00F76B27" w:rsidRPr="00684D52">
        <w:lastRenderedPageBreak/>
        <w:t>from remote/very remote areas</w:t>
      </w:r>
      <w:r w:rsidRPr="00684D52">
        <w:rPr>
          <w:rStyle w:val="FootnoteReference"/>
        </w:rPr>
        <w:footnoteReference w:id="4"/>
      </w:r>
      <w:r w:rsidR="00F76B27" w:rsidRPr="00684D52">
        <w:t>.</w:t>
      </w:r>
      <w:r w:rsidRPr="00684D52">
        <w:t xml:space="preserve"> </w:t>
      </w:r>
      <w:r w:rsidR="00F76B27" w:rsidRPr="00684D52">
        <w:t xml:space="preserve">Of the non-Indigenous infants, </w:t>
      </w:r>
      <w:r w:rsidR="002216B8" w:rsidRPr="00684D52">
        <w:t>8</w:t>
      </w:r>
      <w:r w:rsidR="00F76B27" w:rsidRPr="00684D52">
        <w:t xml:space="preserve"> (</w:t>
      </w:r>
      <w:r w:rsidR="00547B01" w:rsidRPr="00684D52">
        <w:t>73</w:t>
      </w:r>
      <w:r w:rsidR="00F76B27" w:rsidRPr="00684D52">
        <w:t xml:space="preserve">%, </w:t>
      </w:r>
      <w:r w:rsidR="00547B01" w:rsidRPr="00684D52">
        <w:t>8</w:t>
      </w:r>
      <w:r w:rsidR="00F76B27" w:rsidRPr="00684D52">
        <w:t>/</w:t>
      </w:r>
      <w:r w:rsidRPr="00684D52">
        <w:t>1</w:t>
      </w:r>
      <w:r w:rsidR="008B6948" w:rsidRPr="00684D52">
        <w:t>1</w:t>
      </w:r>
      <w:r w:rsidR="00F76B27" w:rsidRPr="00684D52">
        <w:t xml:space="preserve">) were reported in major cities, </w:t>
      </w:r>
      <w:r w:rsidRPr="00684D52">
        <w:t>2</w:t>
      </w:r>
      <w:r w:rsidR="00F76B27" w:rsidRPr="00684D52">
        <w:t xml:space="preserve"> (</w:t>
      </w:r>
      <w:r w:rsidR="00D34E8D" w:rsidRPr="00684D52">
        <w:t>18</w:t>
      </w:r>
      <w:r w:rsidR="00F76B27" w:rsidRPr="00684D52">
        <w:t xml:space="preserve">%, </w:t>
      </w:r>
      <w:r w:rsidRPr="00684D52">
        <w:t>2</w:t>
      </w:r>
      <w:r w:rsidR="00F76B27" w:rsidRPr="00684D52">
        <w:t>/</w:t>
      </w:r>
      <w:r w:rsidRPr="00684D52">
        <w:t>1</w:t>
      </w:r>
      <w:r w:rsidR="00714E4C" w:rsidRPr="00684D52">
        <w:t>1</w:t>
      </w:r>
      <w:r w:rsidR="00F76B27" w:rsidRPr="00684D52">
        <w:t>) was a resident of an inner/outer regional area and the remaining case (</w:t>
      </w:r>
      <w:r w:rsidR="00307C8E" w:rsidRPr="00684D52">
        <w:t>9</w:t>
      </w:r>
      <w:r w:rsidR="00F76B27" w:rsidRPr="00684D52">
        <w:t>%, 1/</w:t>
      </w:r>
      <w:r w:rsidRPr="00684D52">
        <w:t>1</w:t>
      </w:r>
      <w:r w:rsidR="00307C8E" w:rsidRPr="00684D52">
        <w:t>1</w:t>
      </w:r>
      <w:r w:rsidR="00F76B27" w:rsidRPr="00684D52">
        <w:t xml:space="preserve">) did not have a residential area reported.  </w:t>
      </w:r>
      <w:r w:rsidRPr="00684D52">
        <w:t>The remaining</w:t>
      </w:r>
      <w:r w:rsidR="00F76B27" w:rsidRPr="00684D52">
        <w:t xml:space="preserve"> case </w:t>
      </w:r>
      <w:r w:rsidRPr="00684D52">
        <w:t>had an unknown</w:t>
      </w:r>
      <w:r w:rsidR="00F76B27" w:rsidRPr="00684D52">
        <w:t xml:space="preserve"> Indigenous status </w:t>
      </w:r>
      <w:r w:rsidRPr="00684D52">
        <w:t>and</w:t>
      </w:r>
      <w:r w:rsidR="00F76B27" w:rsidRPr="00684D52">
        <w:t xml:space="preserve"> did not have a residential location reported.</w:t>
      </w:r>
    </w:p>
    <w:p w14:paraId="76792536" w14:textId="3C30FEA6" w:rsidR="00F76B27" w:rsidRPr="00684D52" w:rsidRDefault="00F76B27" w:rsidP="00B37B2F">
      <w:pPr>
        <w:pStyle w:val="Caption"/>
      </w:pPr>
      <w:r w:rsidRPr="00684D52">
        <w:t>Figure 6: Notifications (n) and notification rate (per 100,000 live births) of congenital syphilis, by Indigenous status, remoteness area, and year, 2016 – Q</w:t>
      </w:r>
      <w:r w:rsidR="00D906DF" w:rsidRPr="00684D52">
        <w:t>2</w:t>
      </w:r>
      <w:r w:rsidRPr="00684D52">
        <w:t xml:space="preserve"> 202</w:t>
      </w:r>
      <w:r w:rsidR="002415CF" w:rsidRPr="00684D52">
        <w:t>4</w:t>
      </w:r>
      <w:r w:rsidRPr="00684D52">
        <w:t xml:space="preserve"> </w:t>
      </w:r>
    </w:p>
    <w:p w14:paraId="209589DF" w14:textId="1A8EC274" w:rsidR="00F76B27" w:rsidRPr="00D127F6" w:rsidRDefault="00D906DF" w:rsidP="00C33397">
      <w:r w:rsidRPr="00D127F6">
        <w:drawing>
          <wp:inline distT="0" distB="0" distL="0" distR="0" wp14:anchorId="1FB77851" wp14:editId="672CDC89">
            <wp:extent cx="6382385" cy="4160037"/>
            <wp:effectExtent l="0" t="0" r="0" b="0"/>
            <wp:docPr id="110124857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48578" name="Picture 1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6614" cy="4169311"/>
                    </a:xfrm>
                    <a:prstGeom prst="rect">
                      <a:avLst/>
                    </a:prstGeom>
                    <a:noFill/>
                  </pic:spPr>
                </pic:pic>
              </a:graphicData>
            </a:graphic>
          </wp:inline>
        </w:drawing>
      </w:r>
    </w:p>
    <w:p w14:paraId="23D6F03A" w14:textId="1578C510" w:rsidR="00F76B27" w:rsidRPr="00684D52" w:rsidRDefault="00F76B27" w:rsidP="00C33397">
      <w:pPr>
        <w:pStyle w:val="Heading3"/>
        <w:rPr>
          <w:lang w:val="en-US"/>
        </w:rPr>
      </w:pPr>
      <w:r w:rsidRPr="00684D52">
        <w:rPr>
          <w:lang w:val="en-US"/>
        </w:rPr>
        <w:t xml:space="preserve">Indicator 2.4 </w:t>
      </w:r>
      <w:r w:rsidR="00B37B2F">
        <w:t>–</w:t>
      </w:r>
      <w:r w:rsidRPr="00684D52">
        <w:rPr>
          <w:lang w:val="en-US"/>
        </w:rPr>
        <w:t xml:space="preserve"> Proportion of syphilis notifications among women who were pregnant at time of </w:t>
      </w:r>
      <w:proofErr w:type="gramStart"/>
      <w:r w:rsidRPr="00684D52">
        <w:rPr>
          <w:lang w:val="en-US"/>
        </w:rPr>
        <w:t>diagnosis</w:t>
      </w:r>
      <w:proofErr w:type="gramEnd"/>
      <w:r w:rsidRPr="00684D52">
        <w:rPr>
          <w:lang w:val="en-US"/>
        </w:rPr>
        <w:t xml:space="preserve"> </w:t>
      </w:r>
    </w:p>
    <w:p w14:paraId="07CAAE1A" w14:textId="6DBA3BF9" w:rsidR="00F76B27" w:rsidRPr="00C33397" w:rsidRDefault="00F76B27" w:rsidP="00C33397">
      <w:r w:rsidRPr="00C33397">
        <w:t xml:space="preserve">Pregnancy status was available from 7 jurisdictions between 2021 and </w:t>
      </w:r>
      <w:r w:rsidR="00547B01" w:rsidRPr="00C33397">
        <w:t>Q2 2024</w:t>
      </w:r>
      <w:r w:rsidRPr="00C33397">
        <w:t>, 6 in 2020 and 4 between 2017 and 2019. Given the high proportion of cases with an unknown pregnancy status and retrospective changes to the data, trends overtime should be interpreted with caution.</w:t>
      </w:r>
    </w:p>
    <w:p w14:paraId="0585C46F" w14:textId="77777777" w:rsidR="00F76B27" w:rsidRPr="002941CB" w:rsidRDefault="00F76B27" w:rsidP="00C33397">
      <w:pPr>
        <w:rPr>
          <w:rStyle w:val="Emphasis"/>
        </w:rPr>
      </w:pPr>
      <w:r w:rsidRPr="002941CB">
        <w:rPr>
          <w:rStyle w:val="Emphasis"/>
        </w:rPr>
        <w:t xml:space="preserve">Please note there may be differences with previous reports due to pregnancy status being reclassified in some women and the inclusion of new historical data from jurisdictions. </w:t>
      </w:r>
      <w:bookmarkStart w:id="2" w:name="_Hlk150411167"/>
      <w:r w:rsidRPr="002941CB">
        <w:rPr>
          <w:rStyle w:val="Emphasis"/>
        </w:rPr>
        <w:t xml:space="preserve">In addition, previous reports have included data from the NT; </w:t>
      </w:r>
      <w:proofErr w:type="gramStart"/>
      <w:r w:rsidRPr="002941CB">
        <w:rPr>
          <w:rStyle w:val="Emphasis"/>
        </w:rPr>
        <w:t>however</w:t>
      </w:r>
      <w:proofErr w:type="gramEnd"/>
      <w:r w:rsidRPr="002941CB">
        <w:rPr>
          <w:rStyle w:val="Emphasis"/>
        </w:rPr>
        <w:t xml:space="preserve"> these data have been excluded due to information systems limitations.</w:t>
      </w:r>
    </w:p>
    <w:bookmarkEnd w:id="2"/>
    <w:p w14:paraId="77CD9782" w14:textId="35769771" w:rsidR="00F76B27" w:rsidRPr="002941CB" w:rsidRDefault="00F76B27" w:rsidP="00C33397">
      <w:r w:rsidRPr="002941CB">
        <w:t xml:space="preserve">In </w:t>
      </w:r>
      <w:r w:rsidR="002415CF" w:rsidRPr="002941CB">
        <w:t xml:space="preserve">the </w:t>
      </w:r>
      <w:r w:rsidR="002A65F0" w:rsidRPr="002941CB">
        <w:t>first six months</w:t>
      </w:r>
      <w:r w:rsidR="002415CF" w:rsidRPr="002941CB">
        <w:t xml:space="preserve"> of 2024</w:t>
      </w:r>
      <w:r w:rsidRPr="002941CB">
        <w:t xml:space="preserve">, of the syphilis notifications among Aboriginal and Torres Strait Islander women of reproductive age (15-44 years), </w:t>
      </w:r>
      <w:r w:rsidR="002415CF" w:rsidRPr="002941CB">
        <w:t>1</w:t>
      </w:r>
      <w:r w:rsidR="00C10EAA" w:rsidRPr="002941CB">
        <w:t>6</w:t>
      </w:r>
      <w:r w:rsidRPr="002941CB">
        <w:t xml:space="preserve">% were pregnant at the time of diagnosis, </w:t>
      </w:r>
      <w:r w:rsidR="002415CF" w:rsidRPr="002941CB">
        <w:t>5</w:t>
      </w:r>
      <w:r w:rsidR="00C10EAA" w:rsidRPr="002941CB">
        <w:t>6</w:t>
      </w:r>
      <w:r w:rsidR="002415CF" w:rsidRPr="002941CB">
        <w:t>%</w:t>
      </w:r>
      <w:r w:rsidRPr="002941CB">
        <w:t xml:space="preserve"> were not pregnant and </w:t>
      </w:r>
      <w:r w:rsidR="00AF16F1" w:rsidRPr="002941CB">
        <w:t>28</w:t>
      </w:r>
      <w:r w:rsidRPr="002941CB">
        <w:t>% had an unknown pregnancy status (Figure 7)</w:t>
      </w:r>
      <w:r w:rsidR="00AD6ED4" w:rsidRPr="002941CB">
        <w:t>.</w:t>
      </w:r>
      <w:r w:rsidRPr="002941CB">
        <w:t xml:space="preserve"> In previous years, the proportion of Aboriginal and Torres Strait Islander women pregnant at time of syphilis diagnosis rang</w:t>
      </w:r>
      <w:r w:rsidR="002415CF" w:rsidRPr="002941CB">
        <w:t>ed</w:t>
      </w:r>
      <w:r w:rsidRPr="002941CB">
        <w:t xml:space="preserve"> between 1</w:t>
      </w:r>
      <w:r w:rsidR="00AF16F1" w:rsidRPr="002941CB">
        <w:t>5</w:t>
      </w:r>
      <w:r w:rsidRPr="002941CB">
        <w:t xml:space="preserve">% and </w:t>
      </w:r>
      <w:r w:rsidR="004A6F00" w:rsidRPr="002941CB">
        <w:t>2</w:t>
      </w:r>
      <w:r w:rsidR="00AF16F1" w:rsidRPr="002941CB">
        <w:t>1</w:t>
      </w:r>
      <w:r w:rsidRPr="002941CB">
        <w:t>%, noting that the number of jurisdictions reporting data each year varied.</w:t>
      </w:r>
    </w:p>
    <w:p w14:paraId="253A577B" w14:textId="5A596876" w:rsidR="00F76B27" w:rsidRPr="00421ABD" w:rsidRDefault="00F76B27" w:rsidP="00C33397">
      <w:r w:rsidRPr="00421ABD">
        <w:t>Among non-Indigenous women of reproductive age in</w:t>
      </w:r>
      <w:r w:rsidR="002415CF" w:rsidRPr="00421ABD">
        <w:t xml:space="preserve"> </w:t>
      </w:r>
      <w:r w:rsidR="00AF16F1" w:rsidRPr="00421ABD">
        <w:t>the first six months of</w:t>
      </w:r>
      <w:r w:rsidR="002415CF" w:rsidRPr="00421ABD">
        <w:t xml:space="preserve"> 2024, 1</w:t>
      </w:r>
      <w:r w:rsidR="00AF16F1" w:rsidRPr="00421ABD">
        <w:t>7</w:t>
      </w:r>
      <w:r w:rsidRPr="00421ABD">
        <w:t xml:space="preserve">% were pregnant at the time of diagnosis, </w:t>
      </w:r>
      <w:r w:rsidR="002415CF" w:rsidRPr="00421ABD">
        <w:t>5</w:t>
      </w:r>
      <w:r w:rsidR="00413DB4" w:rsidRPr="00421ABD">
        <w:t>8</w:t>
      </w:r>
      <w:r w:rsidRPr="00421ABD">
        <w:t xml:space="preserve">% were not pregnant and </w:t>
      </w:r>
      <w:r w:rsidR="00413DB4" w:rsidRPr="00421ABD">
        <w:t>25</w:t>
      </w:r>
      <w:r w:rsidRPr="00421ABD">
        <w:t>% had an unknown pregnancy status (Figure 7). In previous years, the proportion of non-Indigenous women pregnant at time of syphilis diagnosis ranged between 1</w:t>
      </w:r>
      <w:r w:rsidR="00B628A5" w:rsidRPr="00421ABD">
        <w:t>7</w:t>
      </w:r>
      <w:r w:rsidRPr="00421ABD">
        <w:t>% and 2</w:t>
      </w:r>
      <w:r w:rsidR="00B628A5" w:rsidRPr="00421ABD">
        <w:t>4</w:t>
      </w:r>
      <w:r w:rsidRPr="00421ABD">
        <w:t xml:space="preserve">%, noting that the number of jurisdictions reporting data each year varied. </w:t>
      </w:r>
    </w:p>
    <w:p w14:paraId="4A3AC9E6" w14:textId="0271C54E" w:rsidR="00F76B27" w:rsidRPr="00C33397" w:rsidRDefault="00F76B27" w:rsidP="00B37B2F">
      <w:pPr>
        <w:pStyle w:val="Caption"/>
      </w:pPr>
      <w:r w:rsidRPr="00B37B2F">
        <w:lastRenderedPageBreak/>
        <w:t>Figure</w:t>
      </w:r>
      <w:r w:rsidRPr="00C33397">
        <w:t xml:space="preserve"> 7: Number of syphilis notifications among women of reproductive age (15-44 years) and proportion (%) of cases pregnant at time of syphilis diagnosis, by Indigenous status and year, 2017-</w:t>
      </w:r>
      <w:r w:rsidR="00455E93" w:rsidRPr="00C33397">
        <w:t xml:space="preserve"> </w:t>
      </w:r>
      <w:r w:rsidRPr="00C33397">
        <w:t>Q</w:t>
      </w:r>
      <w:r w:rsidR="00E7479A" w:rsidRPr="00C33397">
        <w:t>2</w:t>
      </w:r>
      <w:r w:rsidRPr="00C33397">
        <w:t xml:space="preserve"> 202</w:t>
      </w:r>
      <w:r w:rsidR="002415CF" w:rsidRPr="00C33397">
        <w:t>4</w:t>
      </w:r>
    </w:p>
    <w:p w14:paraId="4C604995" w14:textId="7A0B1149" w:rsidR="00F76B27" w:rsidRPr="00D127F6" w:rsidRDefault="00A93F6E" w:rsidP="00C33397">
      <w:r w:rsidRPr="00D127F6">
        <w:drawing>
          <wp:inline distT="0" distB="0" distL="0" distR="0" wp14:anchorId="3894A5CF" wp14:editId="3F1571A6">
            <wp:extent cx="6391910" cy="4166245"/>
            <wp:effectExtent l="0" t="0" r="8890" b="5715"/>
            <wp:docPr id="76547081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70814" name="Picture 1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4669" cy="4181079"/>
                    </a:xfrm>
                    <a:prstGeom prst="rect">
                      <a:avLst/>
                    </a:prstGeom>
                    <a:noFill/>
                  </pic:spPr>
                </pic:pic>
              </a:graphicData>
            </a:graphic>
          </wp:inline>
        </w:drawing>
      </w:r>
    </w:p>
    <w:p w14:paraId="24F3A87B" w14:textId="4E260B8E" w:rsidR="00F76B27" w:rsidRPr="00684D52" w:rsidRDefault="00F76B27" w:rsidP="00C33397">
      <w:pPr>
        <w:pStyle w:val="Heading3"/>
        <w:rPr>
          <w:lang w:val="en-US"/>
        </w:rPr>
      </w:pPr>
      <w:r w:rsidRPr="00684D52">
        <w:rPr>
          <w:lang w:val="en-US"/>
        </w:rPr>
        <w:t xml:space="preserve">Indicator 2.5 </w:t>
      </w:r>
      <w:r w:rsidR="00B37B2F">
        <w:t>–</w:t>
      </w:r>
      <w:r w:rsidRPr="00684D52">
        <w:rPr>
          <w:lang w:val="en-US"/>
        </w:rPr>
        <w:t xml:space="preserve"> Number of women giving birth to an infant with congenital syphilis who were diagnosed with syphilis in pregnancy by gestation </w:t>
      </w:r>
      <w:proofErr w:type="gramStart"/>
      <w:r w:rsidRPr="00684D52">
        <w:rPr>
          <w:lang w:val="en-US"/>
        </w:rPr>
        <w:t>period</w:t>
      </w:r>
      <w:proofErr w:type="gramEnd"/>
    </w:p>
    <w:p w14:paraId="329337DF" w14:textId="2CF6D7D3" w:rsidR="00F76B27" w:rsidRPr="00684D52" w:rsidRDefault="00F76B27" w:rsidP="00C33397">
      <w:pPr>
        <w:pStyle w:val="Heading3"/>
        <w:rPr>
          <w:lang w:val="en-US"/>
        </w:rPr>
      </w:pPr>
      <w:r w:rsidRPr="00684D52">
        <w:rPr>
          <w:lang w:val="en-US"/>
        </w:rPr>
        <w:t xml:space="preserve">Indicator 2.6 </w:t>
      </w:r>
      <w:r w:rsidR="00B37B2F">
        <w:t>–</w:t>
      </w:r>
      <w:r w:rsidRPr="00684D52">
        <w:rPr>
          <w:lang w:val="en-US"/>
        </w:rPr>
        <w:t xml:space="preserve"> Number of women giving birth to an infant with congenital syphilis who were diagnosed</w:t>
      </w:r>
      <w:r w:rsidRPr="00684D52">
        <w:t xml:space="preserve"> </w:t>
      </w:r>
      <w:r w:rsidRPr="00684D52">
        <w:rPr>
          <w:lang w:val="en-US"/>
        </w:rPr>
        <w:t>with syphilis late</w:t>
      </w:r>
      <w:r w:rsidRPr="00684D52">
        <w:rPr>
          <w:rStyle w:val="FootnoteReference"/>
        </w:rPr>
        <w:footnoteReference w:id="5"/>
      </w:r>
      <w:r w:rsidRPr="00684D52">
        <w:rPr>
          <w:lang w:val="en-US"/>
        </w:rPr>
        <w:t xml:space="preserve"> in </w:t>
      </w:r>
      <w:proofErr w:type="gramStart"/>
      <w:r w:rsidRPr="00684D52">
        <w:rPr>
          <w:lang w:val="en-US"/>
        </w:rPr>
        <w:t>pregnancy</w:t>
      </w:r>
      <w:proofErr w:type="gramEnd"/>
    </w:p>
    <w:p w14:paraId="54D340E6" w14:textId="77777777" w:rsidR="00F76B27" w:rsidRPr="002941CB" w:rsidRDefault="00F76B27" w:rsidP="00C33397">
      <w:r w:rsidRPr="00421ABD">
        <w:t>Enhanced data are used to report against indicators 2.5 and 2.6.</w:t>
      </w:r>
    </w:p>
    <w:p w14:paraId="476D9E0E" w14:textId="77777777" w:rsidR="00F76B27" w:rsidRPr="00D127F6" w:rsidRDefault="00F76B27" w:rsidP="00C33397">
      <w:pPr>
        <w:rPr>
          <w:rStyle w:val="Emphasis"/>
        </w:rPr>
      </w:pPr>
      <w:r w:rsidRPr="00D127F6">
        <w:rPr>
          <w:rStyle w:val="Emphasis"/>
        </w:rPr>
        <w:t>Completeness of enhanced congenital syphilis data</w:t>
      </w:r>
    </w:p>
    <w:p w14:paraId="53556B82" w14:textId="59CFE673" w:rsidR="00F76B27" w:rsidRPr="002941CB" w:rsidRDefault="00F76B27" w:rsidP="00C33397">
      <w:r w:rsidRPr="002941CB">
        <w:t>Between 2016 and Q</w:t>
      </w:r>
      <w:r w:rsidR="00296B65" w:rsidRPr="002941CB">
        <w:t>2</w:t>
      </w:r>
      <w:r w:rsidRPr="002941CB">
        <w:t xml:space="preserve"> 202</w:t>
      </w:r>
      <w:r w:rsidR="002415CF" w:rsidRPr="002941CB">
        <w:t>4</w:t>
      </w:r>
      <w:r w:rsidRPr="002941CB">
        <w:t xml:space="preserve">, </w:t>
      </w:r>
      <w:r w:rsidR="00296B65" w:rsidRPr="002941CB">
        <w:t>100</w:t>
      </w:r>
      <w:r w:rsidRPr="002941CB">
        <w:t>% (</w:t>
      </w:r>
      <w:r w:rsidR="002415CF" w:rsidRPr="002941CB">
        <w:t>9</w:t>
      </w:r>
      <w:r w:rsidR="00296B65" w:rsidRPr="002941CB">
        <w:t>5</w:t>
      </w:r>
      <w:r w:rsidRPr="002941CB">
        <w:t>/</w:t>
      </w:r>
      <w:r w:rsidR="00503F8B" w:rsidRPr="002941CB">
        <w:t>9</w:t>
      </w:r>
      <w:r w:rsidR="00296B65" w:rsidRPr="002941CB">
        <w:t>5</w:t>
      </w:r>
      <w:r w:rsidRPr="002941CB">
        <w:t xml:space="preserve">) of congenital syphilis cases had enhanced data available, including information about the mother of the infant diagnosed with congenital syphilis. </w:t>
      </w:r>
    </w:p>
    <w:p w14:paraId="0F0A2DB3" w14:textId="5BFB9059" w:rsidR="00F76B27" w:rsidRPr="002941CB" w:rsidRDefault="00F76B27" w:rsidP="00C33397">
      <w:r w:rsidRPr="002941CB">
        <w:t xml:space="preserve">Of the </w:t>
      </w:r>
      <w:r w:rsidR="002415CF" w:rsidRPr="002941CB">
        <w:t>9</w:t>
      </w:r>
      <w:r w:rsidR="00296B65" w:rsidRPr="002941CB">
        <w:t>5</w:t>
      </w:r>
      <w:r w:rsidRPr="002941CB">
        <w:t xml:space="preserve"> congenital syphilis</w:t>
      </w:r>
      <w:r w:rsidR="002415CF" w:rsidRPr="002941CB">
        <w:t xml:space="preserve"> cases </w:t>
      </w:r>
      <w:r w:rsidRPr="002941CB">
        <w:t>between 2016 and Q</w:t>
      </w:r>
      <w:r w:rsidR="00296B65" w:rsidRPr="002941CB">
        <w:t>2</w:t>
      </w:r>
      <w:r w:rsidRPr="002941CB">
        <w:t xml:space="preserve"> 202</w:t>
      </w:r>
      <w:r w:rsidR="002415CF" w:rsidRPr="002941CB">
        <w:t>4</w:t>
      </w:r>
      <w:r w:rsidRPr="002941CB">
        <w:t xml:space="preserve">, </w:t>
      </w:r>
      <w:r w:rsidR="00E60BDB" w:rsidRPr="002941CB">
        <w:t xml:space="preserve">1 </w:t>
      </w:r>
      <w:r w:rsidR="00736338" w:rsidRPr="002941CB">
        <w:t>(</w:t>
      </w:r>
      <w:r w:rsidR="00E60BDB" w:rsidRPr="002941CB">
        <w:t xml:space="preserve">1%, </w:t>
      </w:r>
      <w:r w:rsidR="00736338" w:rsidRPr="002941CB">
        <w:t xml:space="preserve">1/95) </w:t>
      </w:r>
      <w:r w:rsidR="00BD0447" w:rsidRPr="002941CB">
        <w:t xml:space="preserve">mother giving birth to an infant with congenital syphilis </w:t>
      </w:r>
      <w:r w:rsidR="00E60BDB" w:rsidRPr="002941CB">
        <w:t xml:space="preserve">was diagnosed in the 1st trimester, </w:t>
      </w:r>
      <w:r w:rsidR="00812BDE" w:rsidRPr="002941CB">
        <w:t>10</w:t>
      </w:r>
      <w:r w:rsidRPr="002941CB">
        <w:t xml:space="preserve"> (1</w:t>
      </w:r>
      <w:r w:rsidR="00812BDE" w:rsidRPr="002941CB">
        <w:t>1</w:t>
      </w:r>
      <w:r w:rsidRPr="002941CB">
        <w:t xml:space="preserve">%, </w:t>
      </w:r>
      <w:r w:rsidR="00812BDE" w:rsidRPr="002941CB">
        <w:t>10</w:t>
      </w:r>
      <w:r w:rsidRPr="002941CB">
        <w:t>/</w:t>
      </w:r>
      <w:r w:rsidR="002415CF" w:rsidRPr="002941CB">
        <w:t>9</w:t>
      </w:r>
      <w:r w:rsidR="0045363F" w:rsidRPr="002941CB">
        <w:t>5</w:t>
      </w:r>
      <w:r w:rsidRPr="002941CB">
        <w:t>) in the 2nd trimester, 1</w:t>
      </w:r>
      <w:r w:rsidR="00D770B9" w:rsidRPr="002941CB">
        <w:t>9</w:t>
      </w:r>
      <w:r w:rsidRPr="002941CB">
        <w:t xml:space="preserve"> (2</w:t>
      </w:r>
      <w:r w:rsidR="00F8312E" w:rsidRPr="002941CB">
        <w:t>0</w:t>
      </w:r>
      <w:r w:rsidRPr="002941CB">
        <w:t>%, 1</w:t>
      </w:r>
      <w:r w:rsidR="00D770B9" w:rsidRPr="002941CB">
        <w:t>9</w:t>
      </w:r>
      <w:r w:rsidRPr="002941CB">
        <w:t>/</w:t>
      </w:r>
      <w:r w:rsidR="002415CF" w:rsidRPr="002941CB">
        <w:t>9</w:t>
      </w:r>
      <w:r w:rsidR="00F8312E" w:rsidRPr="002941CB">
        <w:t>5</w:t>
      </w:r>
      <w:r w:rsidRPr="002941CB">
        <w:t>) in the 3rd trimester, 2</w:t>
      </w:r>
      <w:r w:rsidR="00F8312E" w:rsidRPr="002941CB">
        <w:t>6</w:t>
      </w:r>
      <w:r w:rsidRPr="002941CB">
        <w:t xml:space="preserve"> (27%, 2</w:t>
      </w:r>
      <w:r w:rsidR="00F8312E" w:rsidRPr="002941CB">
        <w:t>6</w:t>
      </w:r>
      <w:r w:rsidRPr="002941CB">
        <w:t>/</w:t>
      </w:r>
      <w:r w:rsidR="00D770B9" w:rsidRPr="002941CB">
        <w:t>9</w:t>
      </w:r>
      <w:r w:rsidR="00F8312E" w:rsidRPr="002941CB">
        <w:t>5</w:t>
      </w:r>
      <w:r w:rsidRPr="002941CB">
        <w:t xml:space="preserve">) on the day of delivery, </w:t>
      </w:r>
      <w:r w:rsidR="00927788" w:rsidRPr="002941CB">
        <w:t>3</w:t>
      </w:r>
      <w:r w:rsidR="00FE3352" w:rsidRPr="002941CB">
        <w:t>4</w:t>
      </w:r>
      <w:r w:rsidRPr="002941CB">
        <w:t xml:space="preserve"> (3</w:t>
      </w:r>
      <w:r w:rsidR="002415CF" w:rsidRPr="002941CB">
        <w:t>6</w:t>
      </w:r>
      <w:r w:rsidRPr="002941CB">
        <w:t xml:space="preserve">%, </w:t>
      </w:r>
      <w:r w:rsidR="00927788" w:rsidRPr="002941CB">
        <w:t>3</w:t>
      </w:r>
      <w:r w:rsidR="00FE3352" w:rsidRPr="002941CB">
        <w:t>4</w:t>
      </w:r>
      <w:r w:rsidRPr="002941CB">
        <w:t>/</w:t>
      </w:r>
      <w:r w:rsidR="00927788" w:rsidRPr="002941CB">
        <w:t>9</w:t>
      </w:r>
      <w:r w:rsidR="00FE3352" w:rsidRPr="002941CB">
        <w:t>5</w:t>
      </w:r>
      <w:r w:rsidRPr="002941CB">
        <w:t>) post-birth and 5 (</w:t>
      </w:r>
      <w:r w:rsidR="002415CF" w:rsidRPr="002941CB">
        <w:t>5</w:t>
      </w:r>
      <w:r w:rsidRPr="002941CB">
        <w:t>%, 5/</w:t>
      </w:r>
      <w:r w:rsidR="00927788" w:rsidRPr="002941CB">
        <w:t>9</w:t>
      </w:r>
      <w:r w:rsidR="00FE3352" w:rsidRPr="002941CB">
        <w:t>5</w:t>
      </w:r>
      <w:r w:rsidRPr="002941CB">
        <w:t xml:space="preserve">) had an unknown stage of pregnancy at the time of syphilis diagnosis (Table 1). </w:t>
      </w:r>
    </w:p>
    <w:p w14:paraId="1487ECD8" w14:textId="2FD1FDA9" w:rsidR="00F76B27" w:rsidRPr="00421ABD" w:rsidRDefault="00F76B27" w:rsidP="00C33397">
      <w:r w:rsidRPr="002941CB">
        <w:t>Seventy</w:t>
      </w:r>
      <w:r w:rsidRPr="00421ABD">
        <w:t>-</w:t>
      </w:r>
      <w:r w:rsidR="00EB7008" w:rsidRPr="00421ABD">
        <w:t>nine</w:t>
      </w:r>
      <w:r w:rsidRPr="00421ABD">
        <w:t xml:space="preserve"> per cent (7</w:t>
      </w:r>
      <w:r w:rsidR="00EB7008" w:rsidRPr="00421ABD">
        <w:t>9</w:t>
      </w:r>
      <w:r w:rsidRPr="00421ABD">
        <w:t xml:space="preserve">%, </w:t>
      </w:r>
      <w:r w:rsidR="00EB7008" w:rsidRPr="00421ABD">
        <w:t>7</w:t>
      </w:r>
      <w:r w:rsidR="000E1ABC" w:rsidRPr="00421ABD">
        <w:t>5</w:t>
      </w:r>
      <w:r w:rsidRPr="00421ABD">
        <w:t>/</w:t>
      </w:r>
      <w:r w:rsidR="00EB7008" w:rsidRPr="00421ABD">
        <w:t>9</w:t>
      </w:r>
      <w:r w:rsidR="000E1ABC" w:rsidRPr="00421ABD">
        <w:t>5</w:t>
      </w:r>
      <w:r w:rsidRPr="00421ABD">
        <w:t>) of mothers giving birth to an infant with congenital syphilis were diagnosed late in pregnancy, including 1</w:t>
      </w:r>
      <w:r w:rsidR="007E37D6" w:rsidRPr="00421ABD">
        <w:t>5</w:t>
      </w:r>
      <w:r w:rsidRPr="00421ABD">
        <w:t xml:space="preserve"> mothers diagnosed in the 3</w:t>
      </w:r>
      <w:r w:rsidRPr="002941CB">
        <w:t>rd</w:t>
      </w:r>
      <w:r w:rsidRPr="00421ABD">
        <w:t xml:space="preserve"> trimester less than 30 days prior to delivery.</w:t>
      </w:r>
    </w:p>
    <w:p w14:paraId="398601FF" w14:textId="5659C49B" w:rsidR="00B731F2" w:rsidRPr="002941CB" w:rsidRDefault="00B731F2" w:rsidP="00C33397">
      <w:r w:rsidRPr="002941CB">
        <w:br w:type="page"/>
      </w:r>
    </w:p>
    <w:p w14:paraId="3D95D284" w14:textId="4BDA3C68" w:rsidR="00F76B27" w:rsidRPr="00684D52" w:rsidRDefault="00F76B27" w:rsidP="00C33397">
      <w:pPr>
        <w:pStyle w:val="Caption"/>
      </w:pPr>
      <w:r w:rsidRPr="00684D52">
        <w:lastRenderedPageBreak/>
        <w:t>Table 1: Number of women giving birth to an infant with congenital syphilis, by gestation period mother was diagnosed with syphilis and year, 2016 – Q</w:t>
      </w:r>
      <w:r w:rsidR="00B1624B" w:rsidRPr="00684D52">
        <w:t>2</w:t>
      </w:r>
      <w:r w:rsidRPr="00684D52">
        <w:t xml:space="preserve"> 202</w:t>
      </w:r>
      <w:r w:rsidR="002415CF" w:rsidRPr="00684D52">
        <w:t>4</w:t>
      </w:r>
      <w:r w:rsidRPr="00684D52">
        <w:t xml:space="preserve"> </w:t>
      </w:r>
    </w:p>
    <w:tbl>
      <w:tblPr>
        <w:tblStyle w:val="TableGrid12"/>
        <w:tblW w:w="9918" w:type="dxa"/>
        <w:tblLook w:val="0640" w:firstRow="0" w:lastRow="1" w:firstColumn="0" w:lastColumn="0" w:noHBand="1" w:noVBand="1"/>
      </w:tblPr>
      <w:tblGrid>
        <w:gridCol w:w="2357"/>
        <w:gridCol w:w="871"/>
        <w:gridCol w:w="858"/>
        <w:gridCol w:w="937"/>
        <w:gridCol w:w="784"/>
        <w:gridCol w:w="851"/>
        <w:gridCol w:w="679"/>
        <w:gridCol w:w="880"/>
        <w:gridCol w:w="772"/>
        <w:gridCol w:w="929"/>
      </w:tblGrid>
      <w:tr w:rsidR="002415CF" w:rsidRPr="0092599C" w14:paraId="203F1B6C" w14:textId="0860D647" w:rsidTr="00B37B2F">
        <w:trPr>
          <w:trHeight w:val="456"/>
        </w:trPr>
        <w:tc>
          <w:tcPr>
            <w:tcW w:w="2357" w:type="dxa"/>
            <w:shd w:val="clear" w:color="auto" w:fill="00D098" w:themeFill="background1" w:themeFillShade="F2"/>
            <w:hideMark/>
          </w:tcPr>
          <w:p w14:paraId="37B9E6B3" w14:textId="77777777" w:rsidR="002415CF" w:rsidRPr="0092599C" w:rsidRDefault="002415CF" w:rsidP="00B37B2F">
            <w:pPr>
              <w:pStyle w:val="TableHeader"/>
            </w:pPr>
            <w:proofErr w:type="gramStart"/>
            <w:r w:rsidRPr="0092599C">
              <w:t>Mothers</w:t>
            </w:r>
            <w:proofErr w:type="gramEnd"/>
            <w:r w:rsidRPr="0092599C">
              <w:t xml:space="preserve"> gestation period at syphilis diagnosis</w:t>
            </w:r>
          </w:p>
        </w:tc>
        <w:tc>
          <w:tcPr>
            <w:tcW w:w="871" w:type="dxa"/>
            <w:shd w:val="clear" w:color="auto" w:fill="00D098" w:themeFill="background1" w:themeFillShade="F2"/>
            <w:hideMark/>
          </w:tcPr>
          <w:p w14:paraId="71D42536" w14:textId="77777777" w:rsidR="002415CF" w:rsidRPr="0092599C" w:rsidRDefault="002415CF" w:rsidP="00B37B2F">
            <w:pPr>
              <w:pStyle w:val="TableHeader"/>
            </w:pPr>
            <w:r w:rsidRPr="0092599C">
              <w:t>2016</w:t>
            </w:r>
          </w:p>
        </w:tc>
        <w:tc>
          <w:tcPr>
            <w:tcW w:w="858" w:type="dxa"/>
            <w:shd w:val="clear" w:color="auto" w:fill="00D098" w:themeFill="background1" w:themeFillShade="F2"/>
            <w:hideMark/>
          </w:tcPr>
          <w:p w14:paraId="72A46DB1" w14:textId="77777777" w:rsidR="002415CF" w:rsidRPr="0092599C" w:rsidRDefault="002415CF" w:rsidP="00B37B2F">
            <w:pPr>
              <w:pStyle w:val="TableHeader"/>
            </w:pPr>
            <w:r w:rsidRPr="0092599C">
              <w:t>2017</w:t>
            </w:r>
          </w:p>
        </w:tc>
        <w:tc>
          <w:tcPr>
            <w:tcW w:w="937" w:type="dxa"/>
            <w:shd w:val="clear" w:color="auto" w:fill="00D098" w:themeFill="background1" w:themeFillShade="F2"/>
            <w:hideMark/>
          </w:tcPr>
          <w:p w14:paraId="291120DB" w14:textId="77777777" w:rsidR="002415CF" w:rsidRPr="0092599C" w:rsidRDefault="002415CF" w:rsidP="00B37B2F">
            <w:pPr>
              <w:pStyle w:val="TableHeader"/>
            </w:pPr>
            <w:r w:rsidRPr="0092599C">
              <w:t>2018</w:t>
            </w:r>
          </w:p>
        </w:tc>
        <w:tc>
          <w:tcPr>
            <w:tcW w:w="784" w:type="dxa"/>
            <w:shd w:val="clear" w:color="auto" w:fill="00D098" w:themeFill="background1" w:themeFillShade="F2"/>
            <w:hideMark/>
          </w:tcPr>
          <w:p w14:paraId="11262749" w14:textId="77777777" w:rsidR="002415CF" w:rsidRPr="0092599C" w:rsidRDefault="002415CF" w:rsidP="00B37B2F">
            <w:pPr>
              <w:pStyle w:val="TableHeader"/>
            </w:pPr>
            <w:r w:rsidRPr="0092599C">
              <w:t>2019</w:t>
            </w:r>
          </w:p>
        </w:tc>
        <w:tc>
          <w:tcPr>
            <w:tcW w:w="851" w:type="dxa"/>
            <w:shd w:val="clear" w:color="auto" w:fill="00D098" w:themeFill="background1" w:themeFillShade="F2"/>
            <w:hideMark/>
          </w:tcPr>
          <w:p w14:paraId="7FBDD80F" w14:textId="77777777" w:rsidR="002415CF" w:rsidRPr="0092599C" w:rsidRDefault="002415CF" w:rsidP="00B37B2F">
            <w:pPr>
              <w:pStyle w:val="TableHeader"/>
            </w:pPr>
            <w:r w:rsidRPr="0092599C">
              <w:t>2020</w:t>
            </w:r>
          </w:p>
        </w:tc>
        <w:tc>
          <w:tcPr>
            <w:tcW w:w="679" w:type="dxa"/>
            <w:shd w:val="clear" w:color="auto" w:fill="00D098" w:themeFill="background1" w:themeFillShade="F2"/>
            <w:hideMark/>
          </w:tcPr>
          <w:p w14:paraId="3116AEA9" w14:textId="77777777" w:rsidR="002415CF" w:rsidRPr="0092599C" w:rsidRDefault="002415CF" w:rsidP="00B37B2F">
            <w:pPr>
              <w:pStyle w:val="TableHeader"/>
            </w:pPr>
            <w:r w:rsidRPr="0092599C">
              <w:t>2021</w:t>
            </w:r>
          </w:p>
        </w:tc>
        <w:tc>
          <w:tcPr>
            <w:tcW w:w="880" w:type="dxa"/>
            <w:shd w:val="clear" w:color="auto" w:fill="00D098" w:themeFill="background1" w:themeFillShade="F2"/>
          </w:tcPr>
          <w:p w14:paraId="4E3762EF" w14:textId="77777777" w:rsidR="002415CF" w:rsidRPr="0092599C" w:rsidRDefault="002415CF" w:rsidP="00B37B2F">
            <w:pPr>
              <w:pStyle w:val="TableHeader"/>
            </w:pPr>
            <w:r w:rsidRPr="0092599C">
              <w:t>2022</w:t>
            </w:r>
          </w:p>
        </w:tc>
        <w:tc>
          <w:tcPr>
            <w:tcW w:w="772" w:type="dxa"/>
            <w:shd w:val="clear" w:color="auto" w:fill="00D098" w:themeFill="background1" w:themeFillShade="F2"/>
          </w:tcPr>
          <w:p w14:paraId="3DDB46FD" w14:textId="77777777" w:rsidR="002415CF" w:rsidRPr="0092599C" w:rsidRDefault="002415CF" w:rsidP="00B37B2F">
            <w:pPr>
              <w:pStyle w:val="TableHeader"/>
            </w:pPr>
            <w:r w:rsidRPr="0092599C">
              <w:t>2023</w:t>
            </w:r>
          </w:p>
        </w:tc>
        <w:tc>
          <w:tcPr>
            <w:tcW w:w="929" w:type="dxa"/>
            <w:shd w:val="clear" w:color="auto" w:fill="00D098" w:themeFill="background1" w:themeFillShade="F2"/>
          </w:tcPr>
          <w:p w14:paraId="060923F5" w14:textId="458993E2" w:rsidR="002415CF" w:rsidRPr="0092599C" w:rsidRDefault="002415CF" w:rsidP="00B37B2F">
            <w:pPr>
              <w:pStyle w:val="TableHeader"/>
            </w:pPr>
            <w:r w:rsidRPr="0092599C">
              <w:t>2024</w:t>
            </w:r>
          </w:p>
        </w:tc>
      </w:tr>
      <w:tr w:rsidR="006568D9" w:rsidRPr="00684D52" w14:paraId="31230E37" w14:textId="27B53064" w:rsidTr="00B37B2F">
        <w:trPr>
          <w:trHeight w:val="328"/>
        </w:trPr>
        <w:tc>
          <w:tcPr>
            <w:tcW w:w="2357" w:type="dxa"/>
            <w:hideMark/>
          </w:tcPr>
          <w:p w14:paraId="300BCAF6" w14:textId="77777777" w:rsidR="006568D9" w:rsidRPr="00B37B2F" w:rsidRDefault="006568D9" w:rsidP="00B37B2F">
            <w:pPr>
              <w:pStyle w:val="Tablecolumn1strong"/>
            </w:pPr>
            <w:r w:rsidRPr="00B37B2F">
              <w:t>1st Trimester</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F761935" w14:textId="59579AB1" w:rsidR="006568D9" w:rsidRPr="00421ABD" w:rsidRDefault="006568D9" w:rsidP="00977F2F">
            <w:pPr>
              <w:pStyle w:val="Tabletextcentre"/>
            </w:pPr>
            <w:r w:rsidRPr="00421ABD">
              <w:t>0</w:t>
            </w:r>
          </w:p>
        </w:tc>
        <w:tc>
          <w:tcPr>
            <w:tcW w:w="858" w:type="dxa"/>
            <w:tcBorders>
              <w:top w:val="single" w:sz="8" w:space="0" w:color="auto"/>
              <w:left w:val="nil"/>
              <w:bottom w:val="single" w:sz="8" w:space="0" w:color="auto"/>
              <w:right w:val="single" w:sz="8" w:space="0" w:color="auto"/>
            </w:tcBorders>
            <w:shd w:val="clear" w:color="000000" w:fill="FFFFFF"/>
            <w:vAlign w:val="center"/>
            <w:hideMark/>
          </w:tcPr>
          <w:p w14:paraId="00B1D7EE" w14:textId="0C97F888" w:rsidR="006568D9" w:rsidRPr="00421ABD" w:rsidRDefault="006568D9" w:rsidP="00977F2F">
            <w:pPr>
              <w:pStyle w:val="Tabletextcentre"/>
            </w:pPr>
            <w:r w:rsidRPr="00421ABD">
              <w:t>0</w:t>
            </w:r>
          </w:p>
        </w:tc>
        <w:tc>
          <w:tcPr>
            <w:tcW w:w="937" w:type="dxa"/>
            <w:tcBorders>
              <w:top w:val="single" w:sz="8" w:space="0" w:color="auto"/>
              <w:left w:val="nil"/>
              <w:bottom w:val="single" w:sz="8" w:space="0" w:color="auto"/>
              <w:right w:val="single" w:sz="8" w:space="0" w:color="auto"/>
            </w:tcBorders>
            <w:shd w:val="clear" w:color="000000" w:fill="FFFFFF"/>
            <w:vAlign w:val="center"/>
            <w:hideMark/>
          </w:tcPr>
          <w:p w14:paraId="41B5787D" w14:textId="7FEA655C" w:rsidR="006568D9" w:rsidRPr="00421ABD" w:rsidRDefault="006568D9" w:rsidP="00977F2F">
            <w:pPr>
              <w:pStyle w:val="Tabletextcentre"/>
            </w:pPr>
            <w:r w:rsidRPr="00421ABD">
              <w:t>0</w:t>
            </w:r>
          </w:p>
        </w:tc>
        <w:tc>
          <w:tcPr>
            <w:tcW w:w="784" w:type="dxa"/>
            <w:tcBorders>
              <w:top w:val="single" w:sz="8" w:space="0" w:color="auto"/>
              <w:left w:val="nil"/>
              <w:bottom w:val="single" w:sz="8" w:space="0" w:color="auto"/>
              <w:right w:val="single" w:sz="8" w:space="0" w:color="auto"/>
            </w:tcBorders>
            <w:shd w:val="clear" w:color="000000" w:fill="FFFFFF"/>
            <w:vAlign w:val="center"/>
            <w:hideMark/>
          </w:tcPr>
          <w:p w14:paraId="69DC21A2" w14:textId="44CBB863" w:rsidR="006568D9" w:rsidRPr="00421ABD" w:rsidRDefault="006568D9" w:rsidP="00977F2F">
            <w:pPr>
              <w:pStyle w:val="Tabletextcentre"/>
            </w:pPr>
            <w:r w:rsidRPr="00421ABD">
              <w:t>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3D03416F" w14:textId="4175ED3A" w:rsidR="006568D9" w:rsidRPr="00421ABD" w:rsidRDefault="006568D9" w:rsidP="00977F2F">
            <w:pPr>
              <w:pStyle w:val="Tabletextcentre"/>
            </w:pPr>
            <w:r w:rsidRPr="00421ABD">
              <w:t>0</w:t>
            </w:r>
          </w:p>
        </w:tc>
        <w:tc>
          <w:tcPr>
            <w:tcW w:w="679" w:type="dxa"/>
            <w:tcBorders>
              <w:top w:val="single" w:sz="8" w:space="0" w:color="auto"/>
              <w:left w:val="nil"/>
              <w:bottom w:val="single" w:sz="8" w:space="0" w:color="auto"/>
              <w:right w:val="single" w:sz="8" w:space="0" w:color="auto"/>
            </w:tcBorders>
            <w:shd w:val="clear" w:color="000000" w:fill="FFFFFF"/>
            <w:vAlign w:val="center"/>
            <w:hideMark/>
          </w:tcPr>
          <w:p w14:paraId="40F20349" w14:textId="6B5CE6D8" w:rsidR="006568D9" w:rsidRPr="00421ABD" w:rsidRDefault="006568D9" w:rsidP="00977F2F">
            <w:pPr>
              <w:pStyle w:val="Tabletextcentre"/>
            </w:pPr>
            <w:r w:rsidRPr="00421ABD">
              <w:t>0</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1F74D7B2" w14:textId="2DC828AF" w:rsidR="006568D9" w:rsidRPr="00421ABD" w:rsidRDefault="006568D9" w:rsidP="00977F2F">
            <w:pPr>
              <w:pStyle w:val="Tabletextcentre"/>
            </w:pPr>
            <w:r w:rsidRPr="00421ABD">
              <w:t>0</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608388C6" w14:textId="53FE2C9F" w:rsidR="006568D9" w:rsidRPr="00421ABD" w:rsidRDefault="006568D9" w:rsidP="00977F2F">
            <w:pPr>
              <w:pStyle w:val="Tabletextcentre"/>
            </w:pPr>
            <w:r w:rsidRPr="00421ABD">
              <w:t>0</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6D0E439E" w14:textId="553A15BD" w:rsidR="006568D9" w:rsidRPr="00421ABD" w:rsidRDefault="006568D9" w:rsidP="00977F2F">
            <w:pPr>
              <w:pStyle w:val="Tabletextcentre"/>
            </w:pPr>
            <w:r w:rsidRPr="00421ABD">
              <w:t>1</w:t>
            </w:r>
          </w:p>
        </w:tc>
      </w:tr>
      <w:tr w:rsidR="006568D9" w:rsidRPr="00684D52" w14:paraId="511BEF3B" w14:textId="5744F5B0" w:rsidTr="00B37B2F">
        <w:trPr>
          <w:trHeight w:val="360"/>
        </w:trPr>
        <w:tc>
          <w:tcPr>
            <w:tcW w:w="2357" w:type="dxa"/>
            <w:hideMark/>
          </w:tcPr>
          <w:p w14:paraId="28E5183E" w14:textId="77777777" w:rsidR="006568D9" w:rsidRPr="00B37B2F" w:rsidRDefault="006568D9" w:rsidP="00B37B2F">
            <w:pPr>
              <w:pStyle w:val="Tablecolumn1strong"/>
            </w:pPr>
            <w:r w:rsidRPr="00B37B2F">
              <w:t>2nd Trimester</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7DFC834" w14:textId="0E05EA2C" w:rsidR="006568D9" w:rsidRPr="00421ABD" w:rsidRDefault="006568D9" w:rsidP="00977F2F">
            <w:pPr>
              <w:pStyle w:val="Tabletextcentre"/>
            </w:pPr>
            <w:r w:rsidRPr="00421ABD">
              <w:t>1</w:t>
            </w:r>
          </w:p>
        </w:tc>
        <w:tc>
          <w:tcPr>
            <w:tcW w:w="858" w:type="dxa"/>
            <w:tcBorders>
              <w:top w:val="single" w:sz="8" w:space="0" w:color="auto"/>
              <w:left w:val="nil"/>
              <w:bottom w:val="single" w:sz="8" w:space="0" w:color="auto"/>
              <w:right w:val="single" w:sz="8" w:space="0" w:color="auto"/>
            </w:tcBorders>
            <w:shd w:val="clear" w:color="000000" w:fill="FFFFFF"/>
            <w:vAlign w:val="center"/>
            <w:hideMark/>
          </w:tcPr>
          <w:p w14:paraId="5F10703E" w14:textId="47B1969F" w:rsidR="006568D9" w:rsidRPr="00421ABD" w:rsidRDefault="006568D9" w:rsidP="00977F2F">
            <w:pPr>
              <w:pStyle w:val="Tabletextcentre"/>
            </w:pPr>
            <w:r w:rsidRPr="00421ABD">
              <w:t>0</w:t>
            </w:r>
          </w:p>
        </w:tc>
        <w:tc>
          <w:tcPr>
            <w:tcW w:w="937" w:type="dxa"/>
            <w:tcBorders>
              <w:top w:val="single" w:sz="8" w:space="0" w:color="auto"/>
              <w:left w:val="nil"/>
              <w:bottom w:val="single" w:sz="8" w:space="0" w:color="auto"/>
              <w:right w:val="single" w:sz="8" w:space="0" w:color="auto"/>
            </w:tcBorders>
            <w:shd w:val="clear" w:color="000000" w:fill="FFFFFF"/>
            <w:vAlign w:val="center"/>
            <w:hideMark/>
          </w:tcPr>
          <w:p w14:paraId="14AEF662" w14:textId="393A85A7" w:rsidR="006568D9" w:rsidRPr="00421ABD" w:rsidRDefault="006568D9" w:rsidP="00977F2F">
            <w:pPr>
              <w:pStyle w:val="Tabletextcentre"/>
            </w:pPr>
            <w:r w:rsidRPr="00421ABD">
              <w:t>0</w:t>
            </w:r>
          </w:p>
        </w:tc>
        <w:tc>
          <w:tcPr>
            <w:tcW w:w="784" w:type="dxa"/>
            <w:tcBorders>
              <w:top w:val="single" w:sz="8" w:space="0" w:color="auto"/>
              <w:left w:val="nil"/>
              <w:bottom w:val="single" w:sz="8" w:space="0" w:color="auto"/>
              <w:right w:val="single" w:sz="8" w:space="0" w:color="auto"/>
            </w:tcBorders>
            <w:shd w:val="clear" w:color="000000" w:fill="FFFFFF"/>
            <w:vAlign w:val="center"/>
            <w:hideMark/>
          </w:tcPr>
          <w:p w14:paraId="172ECABF" w14:textId="7465FAFC" w:rsidR="006568D9" w:rsidRPr="00421ABD" w:rsidRDefault="006568D9" w:rsidP="00977F2F">
            <w:pPr>
              <w:pStyle w:val="Tabletextcentre"/>
            </w:pPr>
            <w:r w:rsidRPr="00421ABD">
              <w:t>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7924BD40" w14:textId="39F04FE8" w:rsidR="006568D9" w:rsidRPr="00421ABD" w:rsidRDefault="006568D9" w:rsidP="00977F2F">
            <w:pPr>
              <w:pStyle w:val="Tabletextcentre"/>
            </w:pPr>
            <w:r w:rsidRPr="00421ABD">
              <w:t>1</w:t>
            </w:r>
          </w:p>
        </w:tc>
        <w:tc>
          <w:tcPr>
            <w:tcW w:w="679" w:type="dxa"/>
            <w:tcBorders>
              <w:top w:val="single" w:sz="8" w:space="0" w:color="auto"/>
              <w:left w:val="nil"/>
              <w:bottom w:val="single" w:sz="8" w:space="0" w:color="auto"/>
              <w:right w:val="single" w:sz="8" w:space="0" w:color="auto"/>
            </w:tcBorders>
            <w:shd w:val="clear" w:color="000000" w:fill="FFFFFF"/>
            <w:vAlign w:val="center"/>
            <w:hideMark/>
          </w:tcPr>
          <w:p w14:paraId="117D457A" w14:textId="66B5F9B7" w:rsidR="006568D9" w:rsidRPr="00421ABD" w:rsidRDefault="006568D9" w:rsidP="00977F2F">
            <w:pPr>
              <w:pStyle w:val="Tabletextcentre"/>
            </w:pPr>
            <w:r w:rsidRPr="00421ABD">
              <w:t>0</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0DDF0B4D" w14:textId="3AB6C93A" w:rsidR="006568D9" w:rsidRPr="00421ABD" w:rsidRDefault="006568D9" w:rsidP="00977F2F">
            <w:pPr>
              <w:pStyle w:val="Tabletextcentre"/>
            </w:pPr>
            <w:r w:rsidRPr="00421ABD">
              <w:t>3</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40C1425E" w14:textId="23DB582F" w:rsidR="006568D9" w:rsidRPr="00421ABD" w:rsidRDefault="006568D9" w:rsidP="00977F2F">
            <w:pPr>
              <w:pStyle w:val="Tabletextcentre"/>
            </w:pPr>
            <w:r w:rsidRPr="00421ABD">
              <w:t>5</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0B92535B" w14:textId="24101314" w:rsidR="006568D9" w:rsidRPr="00421ABD" w:rsidRDefault="006568D9" w:rsidP="00977F2F">
            <w:pPr>
              <w:pStyle w:val="Tabletextcentre"/>
            </w:pPr>
            <w:r w:rsidRPr="00421ABD">
              <w:t>0</w:t>
            </w:r>
          </w:p>
        </w:tc>
      </w:tr>
      <w:tr w:rsidR="006568D9" w:rsidRPr="00684D52" w14:paraId="2173C10A" w14:textId="07948B8D" w:rsidTr="00B37B2F">
        <w:trPr>
          <w:trHeight w:val="360"/>
        </w:trPr>
        <w:tc>
          <w:tcPr>
            <w:tcW w:w="2357" w:type="dxa"/>
            <w:hideMark/>
          </w:tcPr>
          <w:p w14:paraId="37B59788" w14:textId="77777777" w:rsidR="006568D9" w:rsidRPr="00B37B2F" w:rsidRDefault="006568D9" w:rsidP="00B37B2F">
            <w:pPr>
              <w:pStyle w:val="Tablecolumn1strong"/>
            </w:pPr>
            <w:r w:rsidRPr="00B37B2F">
              <w:t>3rd Trimester</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C8301DD" w14:textId="239DB547" w:rsidR="006568D9" w:rsidRPr="00421ABD" w:rsidRDefault="006568D9" w:rsidP="00977F2F">
            <w:pPr>
              <w:pStyle w:val="Tabletextcentre"/>
            </w:pPr>
            <w:r w:rsidRPr="00421ABD">
              <w:t>1</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58EB63BC" w14:textId="5E456ED1" w:rsidR="006568D9" w:rsidRPr="00421ABD" w:rsidRDefault="006568D9" w:rsidP="00977F2F">
            <w:pPr>
              <w:pStyle w:val="Tabletextcentre"/>
            </w:pPr>
            <w:r w:rsidRPr="00421ABD">
              <w:t>2</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595E0514" w14:textId="64538B37" w:rsidR="006568D9" w:rsidRPr="00421ABD" w:rsidRDefault="006568D9" w:rsidP="00977F2F">
            <w:pPr>
              <w:pStyle w:val="Tabletextcentre"/>
            </w:pPr>
            <w:r w:rsidRPr="00421ABD">
              <w:t>3</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06F5ABAF" w14:textId="3C9BFAC5" w:rsidR="006568D9" w:rsidRPr="00421ABD" w:rsidRDefault="006568D9" w:rsidP="00977F2F">
            <w:pPr>
              <w:pStyle w:val="Tabletextcentre"/>
            </w:pPr>
            <w:r w:rsidRPr="00421ABD">
              <w:t>2</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19C7FCC4" w14:textId="07D23263" w:rsidR="006568D9" w:rsidRPr="00421ABD" w:rsidRDefault="006568D9" w:rsidP="00977F2F">
            <w:pPr>
              <w:pStyle w:val="Tabletextcentre"/>
            </w:pPr>
            <w:r w:rsidRPr="00421ABD">
              <w:t>2</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2838BAC7" w14:textId="2CF475E1" w:rsidR="006568D9" w:rsidRPr="00421ABD" w:rsidRDefault="006568D9" w:rsidP="00977F2F">
            <w:pPr>
              <w:pStyle w:val="Tabletextcentre"/>
            </w:pPr>
            <w:r w:rsidRPr="00421ABD">
              <w:t>3</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23623A63" w14:textId="711640C9" w:rsidR="006568D9" w:rsidRPr="00421ABD" w:rsidRDefault="006568D9" w:rsidP="00977F2F">
            <w:pPr>
              <w:pStyle w:val="Tabletextcentre"/>
            </w:pPr>
            <w:r w:rsidRPr="00421ABD">
              <w:t>2</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0A66B67E" w14:textId="57DE21C8" w:rsidR="006568D9" w:rsidRPr="00421ABD" w:rsidRDefault="006568D9" w:rsidP="00977F2F">
            <w:pPr>
              <w:pStyle w:val="Tabletextcentre"/>
            </w:pPr>
            <w:r w:rsidRPr="00421ABD">
              <w:t>4</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68BA4A41" w14:textId="703A45D3" w:rsidR="006568D9" w:rsidRPr="00421ABD" w:rsidRDefault="006568D9" w:rsidP="00977F2F">
            <w:pPr>
              <w:pStyle w:val="Tabletextcentre"/>
            </w:pPr>
            <w:r w:rsidRPr="00421ABD">
              <w:t>0</w:t>
            </w:r>
          </w:p>
        </w:tc>
      </w:tr>
      <w:tr w:rsidR="006568D9" w:rsidRPr="00684D52" w14:paraId="0E353638" w14:textId="4DBF9BFE" w:rsidTr="00B37B2F">
        <w:trPr>
          <w:trHeight w:val="315"/>
        </w:trPr>
        <w:tc>
          <w:tcPr>
            <w:tcW w:w="2357" w:type="dxa"/>
            <w:hideMark/>
          </w:tcPr>
          <w:p w14:paraId="70C15820" w14:textId="1F92DF5D" w:rsidR="006568D9" w:rsidRPr="00B37B2F" w:rsidRDefault="006568D9" w:rsidP="00B37B2F">
            <w:pPr>
              <w:pStyle w:val="Tablecolumn1strong"/>
            </w:pPr>
            <w:r w:rsidRPr="00B37B2F">
              <w:t>At birth (Day of delivery)</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45EA602" w14:textId="32DC6C1B" w:rsidR="006568D9" w:rsidRPr="00421ABD" w:rsidRDefault="006568D9" w:rsidP="00977F2F">
            <w:pPr>
              <w:pStyle w:val="Tabletextcentre"/>
            </w:pPr>
            <w:r w:rsidRPr="00421ABD">
              <w:t>0</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7E13613B" w14:textId="3041D86B" w:rsidR="006568D9" w:rsidRPr="00421ABD" w:rsidRDefault="006568D9" w:rsidP="00977F2F">
            <w:pPr>
              <w:pStyle w:val="Tabletextcentre"/>
            </w:pPr>
            <w:r w:rsidRPr="00421ABD">
              <w:t>2</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488611B7" w14:textId="6562B50A" w:rsidR="006568D9" w:rsidRPr="00421ABD" w:rsidRDefault="006568D9" w:rsidP="00977F2F">
            <w:pPr>
              <w:pStyle w:val="Tabletextcentre"/>
            </w:pPr>
            <w:r w:rsidRPr="00421ABD">
              <w:t>2</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5A6267EE" w14:textId="1797EF84" w:rsidR="006568D9" w:rsidRPr="00421ABD" w:rsidRDefault="006568D9" w:rsidP="00977F2F">
            <w:pPr>
              <w:pStyle w:val="Tabletextcentre"/>
            </w:pPr>
            <w:r w:rsidRPr="00421ABD">
              <w:t>0</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0C39F61F" w14:textId="4E78DAA3" w:rsidR="006568D9" w:rsidRPr="00421ABD" w:rsidRDefault="006568D9" w:rsidP="00977F2F">
            <w:pPr>
              <w:pStyle w:val="Tabletextcentre"/>
            </w:pPr>
            <w:r w:rsidRPr="00421ABD">
              <w:t>6</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26A3C2E1" w14:textId="7B9A0406" w:rsidR="006568D9" w:rsidRPr="00421ABD" w:rsidRDefault="006568D9" w:rsidP="00977F2F">
            <w:pPr>
              <w:pStyle w:val="Tabletextcentre"/>
            </w:pPr>
            <w:r w:rsidRPr="00421ABD">
              <w:t>5</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7377ED61" w14:textId="397E322F" w:rsidR="006568D9" w:rsidRPr="00421ABD" w:rsidRDefault="006568D9" w:rsidP="00977F2F">
            <w:pPr>
              <w:pStyle w:val="Tabletextcentre"/>
            </w:pPr>
            <w:r w:rsidRPr="00421ABD">
              <w:t>4</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5ADA928E" w14:textId="004FAF0F" w:rsidR="006568D9" w:rsidRPr="00421ABD" w:rsidRDefault="006568D9" w:rsidP="00977F2F">
            <w:pPr>
              <w:pStyle w:val="Tabletextcentre"/>
            </w:pPr>
            <w:r w:rsidRPr="00421ABD">
              <w:t>5</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4AD04D31" w14:textId="48D82318" w:rsidR="006568D9" w:rsidRPr="00421ABD" w:rsidRDefault="006568D9" w:rsidP="00977F2F">
            <w:pPr>
              <w:pStyle w:val="Tabletextcentre"/>
            </w:pPr>
            <w:r w:rsidRPr="00421ABD">
              <w:t>2</w:t>
            </w:r>
          </w:p>
        </w:tc>
      </w:tr>
      <w:tr w:rsidR="006568D9" w:rsidRPr="00684D52" w14:paraId="6C90F2A1" w14:textId="342E3C8C" w:rsidTr="00B37B2F">
        <w:trPr>
          <w:trHeight w:val="315"/>
        </w:trPr>
        <w:tc>
          <w:tcPr>
            <w:tcW w:w="2357" w:type="dxa"/>
            <w:hideMark/>
          </w:tcPr>
          <w:p w14:paraId="2A6DB3A6" w14:textId="77777777" w:rsidR="006568D9" w:rsidRPr="00B37B2F" w:rsidRDefault="006568D9" w:rsidP="00B37B2F">
            <w:pPr>
              <w:pStyle w:val="Tablecolumn1strong"/>
            </w:pPr>
            <w:r w:rsidRPr="00B37B2F">
              <w:t>Post-birth</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D91AEB6" w14:textId="40EDEFFB" w:rsidR="006568D9" w:rsidRPr="00421ABD" w:rsidRDefault="006568D9" w:rsidP="00977F2F">
            <w:pPr>
              <w:pStyle w:val="Tabletextcentre"/>
            </w:pPr>
            <w:r w:rsidRPr="00421ABD">
              <w:t>0</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68E859ED" w14:textId="6FA3F619" w:rsidR="006568D9" w:rsidRPr="00421ABD" w:rsidRDefault="006568D9" w:rsidP="00977F2F">
            <w:pPr>
              <w:pStyle w:val="Tabletextcentre"/>
            </w:pPr>
            <w:r w:rsidRPr="00421ABD">
              <w:t>3</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34CEC2D3" w14:textId="2A268AAD" w:rsidR="006568D9" w:rsidRPr="00421ABD" w:rsidRDefault="006568D9" w:rsidP="00977F2F">
            <w:pPr>
              <w:pStyle w:val="Tabletextcentre"/>
            </w:pPr>
            <w:r w:rsidRPr="00421ABD">
              <w:t>2</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7B14D770" w14:textId="3B49ED8F" w:rsidR="006568D9" w:rsidRPr="00421ABD" w:rsidRDefault="006568D9" w:rsidP="00977F2F">
            <w:pPr>
              <w:pStyle w:val="Tabletextcentre"/>
            </w:pPr>
            <w:r w:rsidRPr="00421ABD">
              <w:t>2</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6999EC21" w14:textId="7E333953" w:rsidR="006568D9" w:rsidRPr="00421ABD" w:rsidRDefault="006568D9" w:rsidP="00977F2F">
            <w:pPr>
              <w:pStyle w:val="Tabletextcentre"/>
            </w:pPr>
            <w:r w:rsidRPr="00421ABD">
              <w:t>8</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5104A559" w14:textId="2522E9D0" w:rsidR="006568D9" w:rsidRPr="00421ABD" w:rsidRDefault="006568D9" w:rsidP="00977F2F">
            <w:pPr>
              <w:pStyle w:val="Tabletextcentre"/>
            </w:pPr>
            <w:r w:rsidRPr="00421ABD">
              <w:t>7</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3A482EBC" w14:textId="4809A5CE" w:rsidR="006568D9" w:rsidRPr="00421ABD" w:rsidRDefault="006568D9" w:rsidP="00977F2F">
            <w:pPr>
              <w:pStyle w:val="Tabletextcentre"/>
            </w:pPr>
            <w:r w:rsidRPr="00421ABD">
              <w:t>3</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7E35AF3F" w14:textId="4223735B" w:rsidR="006568D9" w:rsidRPr="00421ABD" w:rsidRDefault="006568D9" w:rsidP="00977F2F">
            <w:pPr>
              <w:pStyle w:val="Tabletextcentre"/>
            </w:pPr>
            <w:r w:rsidRPr="00421ABD">
              <w:t>6</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6CD5A857" w14:textId="466BDD53" w:rsidR="006568D9" w:rsidRPr="00421ABD" w:rsidRDefault="006568D9" w:rsidP="00977F2F">
            <w:pPr>
              <w:pStyle w:val="Tabletextcentre"/>
            </w:pPr>
            <w:r w:rsidRPr="00421ABD">
              <w:t>3</w:t>
            </w:r>
          </w:p>
        </w:tc>
      </w:tr>
      <w:tr w:rsidR="006568D9" w:rsidRPr="00684D52" w14:paraId="1C004997" w14:textId="5BA7F782" w:rsidTr="00B37B2F">
        <w:trPr>
          <w:trHeight w:val="145"/>
        </w:trPr>
        <w:tc>
          <w:tcPr>
            <w:tcW w:w="2357" w:type="dxa"/>
            <w:hideMark/>
          </w:tcPr>
          <w:p w14:paraId="0FB8F650" w14:textId="77777777" w:rsidR="006568D9" w:rsidRPr="00B37B2F" w:rsidRDefault="006568D9" w:rsidP="00B37B2F">
            <w:pPr>
              <w:pStyle w:val="Tablecolumn1strong"/>
            </w:pPr>
            <w:r w:rsidRPr="00B37B2F">
              <w:t>Unknown</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5CE1D39" w14:textId="04FAC179" w:rsidR="006568D9" w:rsidRPr="00421ABD" w:rsidRDefault="006568D9" w:rsidP="00977F2F">
            <w:pPr>
              <w:pStyle w:val="Tabletextcentre"/>
            </w:pPr>
            <w:r w:rsidRPr="00421ABD">
              <w:t>0</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0F43FC76" w14:textId="12F3EAFD" w:rsidR="006568D9" w:rsidRPr="00421ABD" w:rsidRDefault="006568D9" w:rsidP="00977F2F">
            <w:pPr>
              <w:pStyle w:val="Tabletextcentre"/>
            </w:pPr>
            <w:r w:rsidRPr="00421ABD">
              <w:t>1</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3E38EBCC" w14:textId="0C33BD94" w:rsidR="006568D9" w:rsidRPr="00421ABD" w:rsidRDefault="006568D9" w:rsidP="00977F2F">
            <w:pPr>
              <w:pStyle w:val="Tabletextcentre"/>
            </w:pPr>
            <w:r w:rsidRPr="00421ABD">
              <w:t>1</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28BABC0A" w14:textId="6F1C5503" w:rsidR="006568D9" w:rsidRPr="00421ABD" w:rsidRDefault="006568D9" w:rsidP="00977F2F">
            <w:pPr>
              <w:pStyle w:val="Tabletextcentre"/>
            </w:pPr>
            <w:r w:rsidRPr="00421ABD">
              <w:t>0</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1ECC97B0" w14:textId="7D609D34" w:rsidR="006568D9" w:rsidRPr="00421ABD" w:rsidRDefault="006568D9" w:rsidP="00977F2F">
            <w:pPr>
              <w:pStyle w:val="Tabletextcentre"/>
            </w:pPr>
            <w:r w:rsidRPr="00421ABD">
              <w:t>0</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29E3FC6D" w14:textId="702E06E8" w:rsidR="006568D9" w:rsidRPr="00421ABD" w:rsidRDefault="006568D9" w:rsidP="00977F2F">
            <w:pPr>
              <w:pStyle w:val="Tabletextcentre"/>
            </w:pPr>
            <w:r w:rsidRPr="00421ABD">
              <w:t>0</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2A57B1FF" w14:textId="1B394FC3" w:rsidR="006568D9" w:rsidRPr="00421ABD" w:rsidRDefault="006568D9" w:rsidP="00977F2F">
            <w:pPr>
              <w:pStyle w:val="Tabletextcentre"/>
            </w:pPr>
            <w:r w:rsidRPr="00421ABD">
              <w:t>3</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015459A9" w14:textId="5476C389" w:rsidR="006568D9" w:rsidRPr="00421ABD" w:rsidRDefault="006568D9" w:rsidP="00977F2F">
            <w:pPr>
              <w:pStyle w:val="Tabletextcentre"/>
            </w:pPr>
            <w:r w:rsidRPr="00421ABD">
              <w:t>0</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55CF1143" w14:textId="66597BE2" w:rsidR="006568D9" w:rsidRPr="00421ABD" w:rsidRDefault="006568D9" w:rsidP="00977F2F">
            <w:pPr>
              <w:pStyle w:val="Tabletextcentre"/>
            </w:pPr>
            <w:r w:rsidRPr="00421ABD">
              <w:t>0</w:t>
            </w:r>
          </w:p>
        </w:tc>
      </w:tr>
      <w:tr w:rsidR="006568D9" w:rsidRPr="00684D52" w14:paraId="49B0713C" w14:textId="03D62BC8" w:rsidTr="00B37B2F">
        <w:trPr>
          <w:trHeight w:val="315"/>
        </w:trPr>
        <w:tc>
          <w:tcPr>
            <w:tcW w:w="2357" w:type="dxa"/>
            <w:hideMark/>
          </w:tcPr>
          <w:p w14:paraId="5213EB3D" w14:textId="77777777" w:rsidR="006568D9" w:rsidRPr="00B37B2F" w:rsidRDefault="006568D9" w:rsidP="00B37B2F">
            <w:pPr>
              <w:pStyle w:val="Tabletotalrow"/>
            </w:pPr>
            <w:r w:rsidRPr="00B37B2F">
              <w:t>Total</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61347024" w14:textId="2026C664" w:rsidR="006568D9" w:rsidRPr="00421ABD" w:rsidRDefault="006568D9" w:rsidP="00977F2F">
            <w:pPr>
              <w:pStyle w:val="Tabletextcentre"/>
            </w:pPr>
            <w:r w:rsidRPr="00421ABD">
              <w:t>2</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33BF09AB" w14:textId="2B5D5C48" w:rsidR="006568D9" w:rsidRPr="00421ABD" w:rsidRDefault="006568D9" w:rsidP="00977F2F">
            <w:pPr>
              <w:pStyle w:val="Tabletextcentre"/>
            </w:pPr>
            <w:r w:rsidRPr="00421ABD">
              <w:t>8</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42E2B0E0" w14:textId="108B0E74" w:rsidR="006568D9" w:rsidRPr="00421ABD" w:rsidRDefault="006568D9" w:rsidP="00977F2F">
            <w:pPr>
              <w:pStyle w:val="Tabletextcentre"/>
            </w:pPr>
            <w:r w:rsidRPr="00421ABD">
              <w:t>8</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0DA84D5B" w14:textId="040D6593" w:rsidR="006568D9" w:rsidRPr="00421ABD" w:rsidRDefault="006568D9" w:rsidP="00977F2F">
            <w:pPr>
              <w:pStyle w:val="Tabletextcentre"/>
            </w:pPr>
            <w:r w:rsidRPr="00421ABD">
              <w:t>4</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0CAC5695" w14:textId="0CBF59EE" w:rsidR="006568D9" w:rsidRPr="00421ABD" w:rsidRDefault="006568D9" w:rsidP="00977F2F">
            <w:pPr>
              <w:pStyle w:val="Tabletextcentre"/>
            </w:pPr>
            <w:r w:rsidRPr="00421ABD">
              <w:t>17</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4A824049" w14:textId="574335B4" w:rsidR="006568D9" w:rsidRPr="00421ABD" w:rsidRDefault="006568D9" w:rsidP="00977F2F">
            <w:pPr>
              <w:pStyle w:val="Tabletextcentre"/>
            </w:pPr>
            <w:r w:rsidRPr="00421ABD">
              <w:t>15</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01E9062B" w14:textId="10CA55D4" w:rsidR="006568D9" w:rsidRPr="00421ABD" w:rsidRDefault="006568D9" w:rsidP="00977F2F">
            <w:pPr>
              <w:pStyle w:val="Tabletextcentre"/>
            </w:pPr>
            <w:r w:rsidRPr="00421ABD">
              <w:t>15</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639E4456" w14:textId="12751D41" w:rsidR="006568D9" w:rsidRPr="00421ABD" w:rsidRDefault="006568D9" w:rsidP="00977F2F">
            <w:pPr>
              <w:pStyle w:val="Tabletextcentre"/>
            </w:pPr>
            <w:r w:rsidRPr="00421ABD">
              <w:t>20</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4A5A5579" w14:textId="5EFB0EC9" w:rsidR="006568D9" w:rsidRPr="00421ABD" w:rsidRDefault="006568D9" w:rsidP="00977F2F">
            <w:pPr>
              <w:pStyle w:val="Tabletextcentre"/>
            </w:pPr>
            <w:r w:rsidRPr="00421ABD">
              <w:t>6</w:t>
            </w:r>
          </w:p>
        </w:tc>
      </w:tr>
      <w:tr w:rsidR="006568D9" w:rsidRPr="00684D52" w14:paraId="6AFE0E6F" w14:textId="068DD72E" w:rsidTr="00B37B2F">
        <w:trPr>
          <w:cnfStyle w:val="010000000000" w:firstRow="0" w:lastRow="1" w:firstColumn="0" w:lastColumn="0" w:oddVBand="0" w:evenVBand="0" w:oddHBand="0" w:evenHBand="0" w:firstRowFirstColumn="0" w:firstRowLastColumn="0" w:lastRowFirstColumn="0" w:lastRowLastColumn="0"/>
          <w:trHeight w:val="315"/>
        </w:trPr>
        <w:tc>
          <w:tcPr>
            <w:tcW w:w="2357" w:type="dxa"/>
            <w:shd w:val="clear" w:color="auto" w:fill="FFF5D5" w:themeFill="accent4" w:themeFillTint="33"/>
            <w:hideMark/>
          </w:tcPr>
          <w:p w14:paraId="10F4DB0C" w14:textId="77777777" w:rsidR="006568D9" w:rsidRPr="00B37B2F" w:rsidRDefault="006568D9" w:rsidP="00B37B2F">
            <w:pPr>
              <w:pStyle w:val="Tabletotalrow"/>
            </w:pPr>
            <w:r w:rsidRPr="00B37B2F">
              <w:t>Late diagnosis</w:t>
            </w:r>
          </w:p>
        </w:tc>
        <w:tc>
          <w:tcPr>
            <w:tcW w:w="871" w:type="dxa"/>
            <w:tcBorders>
              <w:top w:val="single" w:sz="8" w:space="0" w:color="auto"/>
              <w:left w:val="single" w:sz="8" w:space="0" w:color="auto"/>
              <w:bottom w:val="single" w:sz="8" w:space="0" w:color="auto"/>
              <w:right w:val="single" w:sz="8" w:space="0" w:color="auto"/>
            </w:tcBorders>
            <w:shd w:val="clear" w:color="auto" w:fill="FFF5D5" w:themeFill="accent4" w:themeFillTint="33"/>
            <w:vAlign w:val="center"/>
            <w:hideMark/>
          </w:tcPr>
          <w:p w14:paraId="1C842371" w14:textId="38E5A168" w:rsidR="006568D9" w:rsidRPr="00B37B2F" w:rsidRDefault="006568D9" w:rsidP="00B37B2F">
            <w:pPr>
              <w:pStyle w:val="Tabletotalrow"/>
            </w:pPr>
            <w:r w:rsidRPr="00B37B2F">
              <w:t>0</w:t>
            </w:r>
          </w:p>
        </w:tc>
        <w:tc>
          <w:tcPr>
            <w:tcW w:w="858"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145075DA" w14:textId="7D30030E" w:rsidR="006568D9" w:rsidRPr="00B37B2F" w:rsidRDefault="006568D9" w:rsidP="00B37B2F">
            <w:pPr>
              <w:pStyle w:val="Tabletotalrow"/>
            </w:pPr>
            <w:r w:rsidRPr="00B37B2F">
              <w:t>6</w:t>
            </w:r>
          </w:p>
        </w:tc>
        <w:tc>
          <w:tcPr>
            <w:tcW w:w="937"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6DC5F0D4" w14:textId="26BA9E10" w:rsidR="006568D9" w:rsidRPr="00B37B2F" w:rsidRDefault="006568D9" w:rsidP="00B37B2F">
            <w:pPr>
              <w:pStyle w:val="Tabletotalrow"/>
            </w:pPr>
            <w:r w:rsidRPr="00B37B2F">
              <w:t>7</w:t>
            </w:r>
          </w:p>
        </w:tc>
        <w:tc>
          <w:tcPr>
            <w:tcW w:w="784"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5DB4DD8A" w14:textId="42613E6C" w:rsidR="006568D9" w:rsidRPr="00B37B2F" w:rsidRDefault="006568D9" w:rsidP="00B37B2F">
            <w:pPr>
              <w:pStyle w:val="Tabletotalrow"/>
            </w:pPr>
            <w:r w:rsidRPr="00B37B2F">
              <w:t>3</w:t>
            </w:r>
          </w:p>
        </w:tc>
        <w:tc>
          <w:tcPr>
            <w:tcW w:w="851"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7EA3DFF4" w14:textId="6C2EDECF" w:rsidR="006568D9" w:rsidRPr="00B37B2F" w:rsidRDefault="006568D9" w:rsidP="00B37B2F">
            <w:pPr>
              <w:pStyle w:val="Tabletotalrow"/>
            </w:pPr>
            <w:r w:rsidRPr="00B37B2F">
              <w:t>15</w:t>
            </w:r>
          </w:p>
        </w:tc>
        <w:tc>
          <w:tcPr>
            <w:tcW w:w="679"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6FD39843" w14:textId="2D375ADD" w:rsidR="006568D9" w:rsidRPr="00B37B2F" w:rsidRDefault="006568D9" w:rsidP="00B37B2F">
            <w:pPr>
              <w:pStyle w:val="Tabletotalrow"/>
            </w:pPr>
            <w:r w:rsidRPr="00B37B2F">
              <w:t>15</w:t>
            </w:r>
          </w:p>
        </w:tc>
        <w:tc>
          <w:tcPr>
            <w:tcW w:w="880" w:type="dxa"/>
            <w:tcBorders>
              <w:top w:val="single" w:sz="8" w:space="0" w:color="auto"/>
              <w:left w:val="nil"/>
              <w:bottom w:val="single" w:sz="8" w:space="0" w:color="auto"/>
              <w:right w:val="single" w:sz="8" w:space="0" w:color="auto"/>
            </w:tcBorders>
            <w:shd w:val="clear" w:color="auto" w:fill="FFF5D5" w:themeFill="accent4" w:themeFillTint="33"/>
            <w:vAlign w:val="center"/>
          </w:tcPr>
          <w:p w14:paraId="23852FAA" w14:textId="4D0732A4" w:rsidR="006568D9" w:rsidRPr="00B37B2F" w:rsidRDefault="006568D9" w:rsidP="00B37B2F">
            <w:pPr>
              <w:pStyle w:val="Tabletotalrow"/>
            </w:pPr>
            <w:r w:rsidRPr="00B37B2F">
              <w:t>9</w:t>
            </w:r>
          </w:p>
        </w:tc>
        <w:tc>
          <w:tcPr>
            <w:tcW w:w="772" w:type="dxa"/>
            <w:tcBorders>
              <w:top w:val="single" w:sz="8" w:space="0" w:color="auto"/>
              <w:left w:val="nil"/>
              <w:bottom w:val="single" w:sz="8" w:space="0" w:color="auto"/>
              <w:right w:val="single" w:sz="8" w:space="0" w:color="auto"/>
            </w:tcBorders>
            <w:shd w:val="clear" w:color="auto" w:fill="FFF5D5" w:themeFill="accent4" w:themeFillTint="33"/>
            <w:vAlign w:val="center"/>
          </w:tcPr>
          <w:p w14:paraId="478240D5" w14:textId="1C5A2DBB" w:rsidR="006568D9" w:rsidRPr="00B37B2F" w:rsidRDefault="006568D9" w:rsidP="00B37B2F">
            <w:pPr>
              <w:pStyle w:val="Tabletotalrow"/>
            </w:pPr>
            <w:r w:rsidRPr="00B37B2F">
              <w:t>15</w:t>
            </w:r>
          </w:p>
        </w:tc>
        <w:tc>
          <w:tcPr>
            <w:tcW w:w="929" w:type="dxa"/>
            <w:tcBorders>
              <w:top w:val="single" w:sz="8" w:space="0" w:color="auto"/>
              <w:left w:val="nil"/>
              <w:bottom w:val="single" w:sz="8" w:space="0" w:color="auto"/>
              <w:right w:val="single" w:sz="8" w:space="0" w:color="auto"/>
            </w:tcBorders>
            <w:shd w:val="clear" w:color="auto" w:fill="FFF5D5" w:themeFill="accent4" w:themeFillTint="33"/>
            <w:vAlign w:val="center"/>
          </w:tcPr>
          <w:p w14:paraId="0A84B97C" w14:textId="6DD432C5" w:rsidR="006568D9" w:rsidRPr="00B37B2F" w:rsidRDefault="006568D9" w:rsidP="00B37B2F">
            <w:pPr>
              <w:pStyle w:val="Tabletotalrow"/>
            </w:pPr>
            <w:r w:rsidRPr="00B37B2F">
              <w:t>5</w:t>
            </w:r>
          </w:p>
        </w:tc>
      </w:tr>
    </w:tbl>
    <w:p w14:paraId="59BDDE78" w14:textId="03EF5165" w:rsidR="00F76B27" w:rsidRPr="00684D52" w:rsidRDefault="00F76B27" w:rsidP="00C33397">
      <w:pPr>
        <w:pStyle w:val="Boxheading"/>
      </w:pPr>
      <w:bookmarkStart w:id="3" w:name="_Ref512339903"/>
      <w:bookmarkEnd w:id="1"/>
      <w:r w:rsidRPr="00684D52">
        <w:t xml:space="preserve">Target 3: Control outbreaks among Aboriginal and Torres Strait Islander peoples in Queensland, the Northern Territory, Western </w:t>
      </w:r>
      <w:proofErr w:type="gramStart"/>
      <w:r w:rsidRPr="00684D52">
        <w:t>Australia</w:t>
      </w:r>
      <w:proofErr w:type="gramEnd"/>
      <w:r w:rsidRPr="00684D52">
        <w:t xml:space="preserve"> and South Australia</w:t>
      </w:r>
    </w:p>
    <w:bookmarkEnd w:id="3"/>
    <w:p w14:paraId="640C7E81" w14:textId="77777777" w:rsidR="00F76B27" w:rsidRPr="002941CB" w:rsidRDefault="00F76B27" w:rsidP="00C33397">
      <w:r w:rsidRPr="002941CB">
        <w:t xml:space="preserve">An outbreak of infectious syphilis began in northern Queensland in January 2011, extending to the Northern Territory in July 2013, the Kimberley in Western Australia in June 2014, and South Australia in November 2016. </w:t>
      </w:r>
    </w:p>
    <w:p w14:paraId="4E5DFDB1" w14:textId="017B38A6" w:rsidR="00F76B27" w:rsidRPr="002941CB" w:rsidRDefault="00F76B27" w:rsidP="00C33397">
      <w:r w:rsidRPr="002941CB">
        <w:t xml:space="preserve">The AHPC, in consultation with affected jurisdictions, Aboriginal Community Controlled Health Services (ACCHS) and key stakeholders, developed a National Strategic Approach and Action Plan to address the disproportionately high rates of syphilis and other </w:t>
      </w:r>
      <w:r w:rsidR="00C45F2B" w:rsidRPr="002941CB">
        <w:t>bloodborne viruses</w:t>
      </w:r>
      <w:r w:rsidRPr="002941CB">
        <w:t xml:space="preserve"> and </w:t>
      </w:r>
      <w:r w:rsidR="00C45F2B" w:rsidRPr="002941CB">
        <w:t>sexually transmissible infections</w:t>
      </w:r>
      <w:r w:rsidRPr="002941CB">
        <w:t xml:space="preserve"> in regional and remote Aboriginal and Torres Strait Islander communities. The Strategic Approach and Action Plan were endorsed by the Australian Health Ministers Advisory Council in December 2017.</w:t>
      </w:r>
    </w:p>
    <w:p w14:paraId="06DA5F8C" w14:textId="77777777" w:rsidR="00F76B27" w:rsidRPr="002941CB" w:rsidRDefault="00F76B27" w:rsidP="00C33397">
      <w:r w:rsidRPr="002941CB">
        <w:t xml:space="preserve">Further information on the outbreak and response activities are available on the Department of Health and Aged Care </w:t>
      </w:r>
      <w:hyperlink r:id="rId27" w:history="1">
        <w:r w:rsidRPr="002941CB">
          <w:rPr>
            <w:rStyle w:val="Hyperlink"/>
          </w:rPr>
          <w:t>website</w:t>
        </w:r>
      </w:hyperlink>
      <w:r w:rsidRPr="002941CB">
        <w:t>.</w:t>
      </w:r>
    </w:p>
    <w:p w14:paraId="02903516" w14:textId="458F9B7D" w:rsidR="00F76B27" w:rsidRPr="00684D52" w:rsidRDefault="00F76B27" w:rsidP="00C33397">
      <w:pPr>
        <w:pStyle w:val="Heading3"/>
        <w:rPr>
          <w:lang w:val="en-US"/>
        </w:rPr>
      </w:pPr>
      <w:r w:rsidRPr="00684D52">
        <w:rPr>
          <w:lang w:val="en-US"/>
        </w:rPr>
        <w:t xml:space="preserve">Indicator 3.1 </w:t>
      </w:r>
      <w:r w:rsidR="00B37B2F">
        <w:rPr>
          <w:lang w:val="en-US"/>
        </w:rPr>
        <w:t>–</w:t>
      </w:r>
      <w:r w:rsidRPr="00684D52">
        <w:rPr>
          <w:lang w:val="en-US"/>
        </w:rPr>
        <w:t xml:space="preserve"> Number of </w:t>
      </w:r>
      <w:proofErr w:type="gramStart"/>
      <w:r w:rsidRPr="00684D52">
        <w:rPr>
          <w:lang w:val="en-US"/>
        </w:rPr>
        <w:t>outbreak</w:t>
      </w:r>
      <w:proofErr w:type="gramEnd"/>
      <w:r w:rsidRPr="00684D52">
        <w:rPr>
          <w:lang w:val="en-US"/>
        </w:rPr>
        <w:t xml:space="preserve"> associated infectious syphilis notifications </w:t>
      </w:r>
    </w:p>
    <w:p w14:paraId="71513B72" w14:textId="1D67B929" w:rsidR="00F76B27" w:rsidRPr="00421ABD" w:rsidRDefault="00F76B27" w:rsidP="00C33397">
      <w:r w:rsidRPr="00421ABD">
        <w:t xml:space="preserve">Since the </w:t>
      </w:r>
      <w:r w:rsidRPr="002941CB">
        <w:t>commencement</w:t>
      </w:r>
      <w:r w:rsidRPr="00421ABD">
        <w:t xml:space="preserve"> of the outbreak on 1 January 2011 to Q</w:t>
      </w:r>
      <w:r w:rsidR="00960BC0" w:rsidRPr="00421ABD">
        <w:t>2</w:t>
      </w:r>
      <w:r w:rsidRPr="00421ABD">
        <w:t xml:space="preserve"> 202</w:t>
      </w:r>
      <w:r w:rsidR="002415CF" w:rsidRPr="00421ABD">
        <w:t>4</w:t>
      </w:r>
      <w:r w:rsidRPr="00421ABD">
        <w:t xml:space="preserve">, a total of </w:t>
      </w:r>
      <w:r w:rsidR="00094C24" w:rsidRPr="00421ABD">
        <w:t>6,092</w:t>
      </w:r>
      <w:r w:rsidRPr="00421ABD">
        <w:t xml:space="preserve"> infectious syphilis outbreak cases (category 1 and 2</w:t>
      </w:r>
      <w:r w:rsidRPr="00684D52">
        <w:rPr>
          <w:rStyle w:val="FootnoteReference"/>
        </w:rPr>
        <w:footnoteReference w:id="6"/>
      </w:r>
      <w:r w:rsidRPr="00421ABD">
        <w:t>) were reported from 4 jurisdictions (Figure 8, Table 2):</w:t>
      </w:r>
    </w:p>
    <w:p w14:paraId="546275EF" w14:textId="0D6A06D4" w:rsidR="00F76B27" w:rsidRPr="00684D52" w:rsidRDefault="00F76B27" w:rsidP="00C33397">
      <w:pPr>
        <w:pStyle w:val="ListBullet"/>
        <w:rPr>
          <w:lang w:val="en-US"/>
        </w:rPr>
      </w:pPr>
      <w:r w:rsidRPr="00684D52">
        <w:rPr>
          <w:lang w:val="en-US"/>
        </w:rPr>
        <w:t>2,</w:t>
      </w:r>
      <w:r w:rsidR="002415CF" w:rsidRPr="00684D52">
        <w:rPr>
          <w:lang w:val="en-US"/>
        </w:rPr>
        <w:t>1</w:t>
      </w:r>
      <w:r w:rsidR="00AB324F" w:rsidRPr="00684D52">
        <w:rPr>
          <w:lang w:val="en-US"/>
        </w:rPr>
        <w:t>58</w:t>
      </w:r>
      <w:r w:rsidRPr="00684D52">
        <w:rPr>
          <w:lang w:val="en-US"/>
        </w:rPr>
        <w:t xml:space="preserve"> from </w:t>
      </w:r>
      <w:proofErr w:type="gramStart"/>
      <w:r w:rsidRPr="00684D52">
        <w:rPr>
          <w:lang w:val="en-US"/>
        </w:rPr>
        <w:t>Queensland;</w:t>
      </w:r>
      <w:proofErr w:type="gramEnd"/>
    </w:p>
    <w:p w14:paraId="6053236B" w14:textId="6E66E5BF" w:rsidR="00F76B27" w:rsidRPr="00684D52" w:rsidRDefault="00F76B27" w:rsidP="00C33397">
      <w:pPr>
        <w:pStyle w:val="ListBullet"/>
        <w:rPr>
          <w:lang w:val="en-US"/>
        </w:rPr>
      </w:pPr>
      <w:r w:rsidRPr="00684D52">
        <w:rPr>
          <w:lang w:val="en-US"/>
        </w:rPr>
        <w:t>2,</w:t>
      </w:r>
      <w:r w:rsidR="00AB324F" w:rsidRPr="00684D52">
        <w:rPr>
          <w:lang w:val="en-US"/>
        </w:rPr>
        <w:t>246</w:t>
      </w:r>
      <w:r w:rsidRPr="00684D52">
        <w:rPr>
          <w:lang w:val="en-US"/>
        </w:rPr>
        <w:t xml:space="preserve"> from the Northern </w:t>
      </w:r>
      <w:proofErr w:type="gramStart"/>
      <w:r w:rsidRPr="00684D52">
        <w:rPr>
          <w:lang w:val="en-US"/>
        </w:rPr>
        <w:t>Territory;</w:t>
      </w:r>
      <w:proofErr w:type="gramEnd"/>
    </w:p>
    <w:p w14:paraId="7082B8A7" w14:textId="3D108650" w:rsidR="00F76B27" w:rsidRPr="00684D52" w:rsidRDefault="00F76B27" w:rsidP="00C33397">
      <w:pPr>
        <w:pStyle w:val="ListBullet"/>
        <w:rPr>
          <w:lang w:val="en-US"/>
        </w:rPr>
      </w:pPr>
      <w:r w:rsidRPr="00684D52">
        <w:rPr>
          <w:lang w:val="en-US"/>
        </w:rPr>
        <w:t>1,</w:t>
      </w:r>
      <w:r w:rsidR="002415CF" w:rsidRPr="00684D52">
        <w:rPr>
          <w:lang w:val="en-US"/>
        </w:rPr>
        <w:t>4</w:t>
      </w:r>
      <w:r w:rsidR="00AB324F" w:rsidRPr="00684D52">
        <w:rPr>
          <w:lang w:val="en-US"/>
        </w:rPr>
        <w:t>38</w:t>
      </w:r>
      <w:r w:rsidRPr="00684D52">
        <w:rPr>
          <w:lang w:val="en-US"/>
        </w:rPr>
        <w:t xml:space="preserve"> from Western </w:t>
      </w:r>
      <w:proofErr w:type="gramStart"/>
      <w:r w:rsidRPr="00684D52">
        <w:rPr>
          <w:lang w:val="en-US"/>
        </w:rPr>
        <w:t>Australia;</w:t>
      </w:r>
      <w:proofErr w:type="gramEnd"/>
    </w:p>
    <w:p w14:paraId="3C3D6FB1" w14:textId="363AFF1F" w:rsidR="00F76B27" w:rsidRPr="00977F2F" w:rsidRDefault="00F76B27" w:rsidP="00977F2F">
      <w:pPr>
        <w:pStyle w:val="ListBullet"/>
        <w:rPr>
          <w:lang w:val="en-US"/>
        </w:rPr>
      </w:pPr>
      <w:r w:rsidRPr="00684D52">
        <w:rPr>
          <w:lang w:val="en-US"/>
        </w:rPr>
        <w:t>2</w:t>
      </w:r>
      <w:r w:rsidR="00AB324F" w:rsidRPr="00684D52">
        <w:rPr>
          <w:lang w:val="en-US"/>
        </w:rPr>
        <w:t>50</w:t>
      </w:r>
      <w:r w:rsidRPr="00684D52">
        <w:rPr>
          <w:lang w:val="en-US"/>
        </w:rPr>
        <w:t xml:space="preserve"> from South Australia.</w:t>
      </w:r>
      <w:r w:rsidRPr="002941CB">
        <w:br w:type="page"/>
      </w:r>
    </w:p>
    <w:p w14:paraId="1BF2AFC5" w14:textId="77777777" w:rsidR="00F76B27" w:rsidRPr="00D127F6" w:rsidRDefault="00F76B27" w:rsidP="00C33397">
      <w:pPr>
        <w:sectPr w:rsidR="00F76B27" w:rsidRPr="00D127F6" w:rsidSect="002B5E45">
          <w:footnotePr>
            <w:numFmt w:val="lowerRoman"/>
          </w:footnotePr>
          <w:endnotePr>
            <w:numFmt w:val="decimal"/>
          </w:endnotePr>
          <w:pgSz w:w="11906" w:h="16838" w:code="9"/>
          <w:pgMar w:top="85" w:right="849" w:bottom="568" w:left="992" w:header="284" w:footer="284" w:gutter="0"/>
          <w:cols w:space="720"/>
          <w:docGrid w:linePitch="360"/>
        </w:sectPr>
      </w:pPr>
    </w:p>
    <w:p w14:paraId="484DE392" w14:textId="1CA0CDFD" w:rsidR="00F76B27" w:rsidRPr="0092599C" w:rsidRDefault="00F76B27" w:rsidP="00977F2F">
      <w:pPr>
        <w:pStyle w:val="Caption"/>
      </w:pPr>
      <w:r w:rsidRPr="00684D52">
        <w:lastRenderedPageBreak/>
        <w:t xml:space="preserve">Figure 8: </w:t>
      </w:r>
      <w:r w:rsidRPr="00977F2F">
        <w:t>Notifications</w:t>
      </w:r>
      <w:r w:rsidRPr="00684D52">
        <w:t xml:space="preserve"> of category 1 infectious syphilis outbreak cases notified in Aboriginal and Torres Strait Islander people residing in affected regions of Queensland, the Northern Territory, Western Australia, and South Australia from commencement of the outbreak in each jurisdiction to Q</w:t>
      </w:r>
      <w:r w:rsidR="00282D9C" w:rsidRPr="00684D52">
        <w:t>2</w:t>
      </w:r>
      <w:r w:rsidRPr="00684D52">
        <w:t xml:space="preserve"> 202</w:t>
      </w:r>
      <w:r w:rsidR="002415CF" w:rsidRPr="00684D52">
        <w:t>4</w:t>
      </w:r>
    </w:p>
    <w:p w14:paraId="6F202B0F" w14:textId="2FCB6288" w:rsidR="00282D9C" w:rsidRPr="002941CB" w:rsidRDefault="005143C4" w:rsidP="00C33397">
      <w:pPr>
        <w:sectPr w:rsidR="00282D9C" w:rsidRPr="002941CB" w:rsidSect="00B67D66">
          <w:footnotePr>
            <w:numFmt w:val="lowerRoman"/>
          </w:footnotePr>
          <w:endnotePr>
            <w:numFmt w:val="decimal"/>
          </w:endnotePr>
          <w:pgSz w:w="16838" w:h="11906" w:orient="landscape" w:code="9"/>
          <w:pgMar w:top="992" w:right="249" w:bottom="851" w:left="567" w:header="284" w:footer="284" w:gutter="0"/>
          <w:cols w:space="720"/>
          <w:docGrid w:linePitch="360"/>
        </w:sectPr>
      </w:pPr>
      <w:r w:rsidRPr="002941CB">
        <w:drawing>
          <wp:inline distT="0" distB="0" distL="0" distR="0" wp14:anchorId="7A364712" wp14:editId="2B5F5704">
            <wp:extent cx="8651985" cy="5639361"/>
            <wp:effectExtent l="0" t="0" r="0" b="0"/>
            <wp:docPr id="9339981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9810" name="Picture 1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80639" cy="5658038"/>
                    </a:xfrm>
                    <a:prstGeom prst="rect">
                      <a:avLst/>
                    </a:prstGeom>
                    <a:noFill/>
                  </pic:spPr>
                </pic:pic>
              </a:graphicData>
            </a:graphic>
          </wp:inline>
        </w:drawing>
      </w:r>
    </w:p>
    <w:p w14:paraId="4020C22E" w14:textId="719D5AF1" w:rsidR="00F76B27" w:rsidRPr="002941CB" w:rsidRDefault="00F76B27" w:rsidP="00C33397">
      <w:r w:rsidRPr="00C33397">
        <w:lastRenderedPageBreak/>
        <w:t>Across the 4 outbreak jurisdictions, 54% (3,</w:t>
      </w:r>
      <w:r w:rsidR="00CD4885" w:rsidRPr="00C33397">
        <w:t>217</w:t>
      </w:r>
      <w:r w:rsidRPr="00C33397">
        <w:t>/5,</w:t>
      </w:r>
      <w:r w:rsidR="00CD4885" w:rsidRPr="00C33397">
        <w:t>964</w:t>
      </w:r>
      <w:r w:rsidRPr="00C33397">
        <w:t xml:space="preserve">) of all </w:t>
      </w:r>
      <w:proofErr w:type="gramStart"/>
      <w:r w:rsidRPr="00C33397">
        <w:t>category</w:t>
      </w:r>
      <w:proofErr w:type="gramEnd"/>
      <w:r w:rsidRPr="00C33397">
        <w:t xml:space="preserve"> 1 cases were female and 46% (2,</w:t>
      </w:r>
      <w:r w:rsidR="009803A9" w:rsidRPr="00C33397">
        <w:t>745</w:t>
      </w:r>
      <w:r w:rsidRPr="00C33397">
        <w:t>/5,</w:t>
      </w:r>
      <w:r w:rsidR="009803A9" w:rsidRPr="00C33397">
        <w:t>964</w:t>
      </w:r>
      <w:r w:rsidRPr="00C33397">
        <w:t>) were male, with a male to female ratio of 0.</w:t>
      </w:r>
      <w:r w:rsidR="002415CF" w:rsidRPr="00C33397">
        <w:t>9</w:t>
      </w:r>
      <w:r w:rsidRPr="00C33397">
        <w:t>:1 suggesting predominately heterosexual transmission overall, noting the variability across specific outbreak regions and jurisdictions (Figure 9 a-d, Table 2).</w:t>
      </w:r>
      <w:r w:rsidR="002415CF" w:rsidRPr="00C33397">
        <w:t xml:space="preserve"> </w:t>
      </w:r>
      <w:r w:rsidR="0031699F" w:rsidRPr="00C33397">
        <w:t>One</w:t>
      </w:r>
      <w:r w:rsidR="002415CF" w:rsidRPr="00C33397">
        <w:t xml:space="preserve"> (</w:t>
      </w:r>
      <w:r w:rsidR="0031699F" w:rsidRPr="00C33397">
        <w:t>1</w:t>
      </w:r>
      <w:r w:rsidR="002415CF" w:rsidRPr="00C33397">
        <w:t>) category 1 outbreak case had no sex reported</w:t>
      </w:r>
      <w:r w:rsidR="00B42F74" w:rsidRPr="00C33397">
        <w:t xml:space="preserve"> </w:t>
      </w:r>
      <w:r w:rsidR="0031699F" w:rsidRPr="00C33397">
        <w:t xml:space="preserve">and the </w:t>
      </w:r>
      <w:r w:rsidR="0031699F" w:rsidRPr="002941CB">
        <w:t xml:space="preserve">remaining case </w:t>
      </w:r>
      <w:r w:rsidR="00476662" w:rsidRPr="002941CB">
        <w:t>reported their sex assigned at birth as another term other than male or female</w:t>
      </w:r>
      <w:r w:rsidR="002415CF" w:rsidRPr="002941CB">
        <w:t>.</w:t>
      </w:r>
    </w:p>
    <w:p w14:paraId="251B5A6A" w14:textId="15E6AFA5" w:rsidR="00F76B27" w:rsidRPr="00421ABD" w:rsidRDefault="00F76B27" w:rsidP="00C33397">
      <w:r w:rsidRPr="002941CB">
        <w:t>On 19 November 2020, the Multi-Jurisdictional Syphilis Working Group endorsed the expansion of the ‘target age group’ from 15-29 years to 15-34 year</w:t>
      </w:r>
      <w:r w:rsidR="00B628A5" w:rsidRPr="002941CB">
        <w:t>s.</w:t>
      </w:r>
      <w:r w:rsidRPr="002941CB">
        <w:footnoteReference w:id="7"/>
      </w:r>
      <w:r w:rsidRPr="002941CB">
        <w:t xml:space="preserve"> This change came into effect from February 2021. Overall, 72% (4</w:t>
      </w:r>
      <w:r w:rsidR="002415CF" w:rsidRPr="002941CB">
        <w:t>,</w:t>
      </w:r>
      <w:r w:rsidR="007164F8" w:rsidRPr="002941CB">
        <w:t>272</w:t>
      </w:r>
      <w:r w:rsidR="00D13B05" w:rsidRPr="002941CB">
        <w:t>/</w:t>
      </w:r>
      <w:r w:rsidRPr="002941CB">
        <w:t>5,</w:t>
      </w:r>
      <w:r w:rsidR="007164F8" w:rsidRPr="002941CB">
        <w:t>964</w:t>
      </w:r>
      <w:r w:rsidRPr="002941CB">
        <w:t>) of all outbreak cases were reported in 15–34-year-olds, with the proportion of cases in this age group across the outbreak period (Q1 2011 – Q</w:t>
      </w:r>
      <w:r w:rsidR="00214228" w:rsidRPr="002941CB">
        <w:t>2</w:t>
      </w:r>
      <w:r w:rsidRPr="002941CB">
        <w:t xml:space="preserve"> 202</w:t>
      </w:r>
      <w:r w:rsidR="002415CF" w:rsidRPr="002941CB">
        <w:t>4</w:t>
      </w:r>
      <w:r w:rsidRPr="002941CB">
        <w:t>) ranging between</w:t>
      </w:r>
      <w:r w:rsidRPr="00421ABD">
        <w:t xml:space="preserve"> 6</w:t>
      </w:r>
      <w:r w:rsidR="00214228" w:rsidRPr="00421ABD">
        <w:t>4</w:t>
      </w:r>
      <w:r w:rsidRPr="00421ABD">
        <w:t xml:space="preserve">% and 82% (Figure 9a-d). </w:t>
      </w:r>
    </w:p>
    <w:p w14:paraId="256869B4" w14:textId="01B562F8" w:rsidR="00F76B27" w:rsidRPr="00977F2F" w:rsidRDefault="00F76B27" w:rsidP="00977F2F">
      <w:pPr>
        <w:pStyle w:val="Caption"/>
      </w:pPr>
      <w:r w:rsidRPr="00684D52">
        <w:t>Table 2: Characteristics of infectious syphilis outbreak cases notified in Aboriginal and Torres Strait Islander people residing in affected regions</w:t>
      </w:r>
      <w:r w:rsidRPr="00D127F6">
        <w:rPr>
          <w:rStyle w:val="FootnoteReference"/>
        </w:rPr>
        <w:footnoteReference w:id="8"/>
      </w:r>
      <w:r w:rsidRPr="00684D52">
        <w:t xml:space="preserve"> of Queensland, the Northern Territory, Western Australia, and South Australia to Q</w:t>
      </w:r>
      <w:r w:rsidR="0000099D" w:rsidRPr="00684D52">
        <w:t>2</w:t>
      </w:r>
      <w:r w:rsidR="002415CF" w:rsidRPr="00684D52">
        <w:t xml:space="preserve"> </w:t>
      </w:r>
      <w:r w:rsidRPr="00977F2F">
        <w:t>202</w:t>
      </w:r>
      <w:r w:rsidR="002415CF" w:rsidRPr="00977F2F">
        <w:t>4</w:t>
      </w:r>
      <w:r w:rsidRPr="00977F2F">
        <w:t xml:space="preserve"> </w:t>
      </w:r>
    </w:p>
    <w:tbl>
      <w:tblPr>
        <w:tblStyle w:val="TableGrid12"/>
        <w:tblW w:w="0" w:type="auto"/>
        <w:tblInd w:w="-572" w:type="dxa"/>
        <w:tblLook w:val="0600" w:firstRow="0" w:lastRow="0" w:firstColumn="0" w:lastColumn="0" w:noHBand="1"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537"/>
        <w:gridCol w:w="1661"/>
        <w:gridCol w:w="1826"/>
        <w:gridCol w:w="1781"/>
        <w:gridCol w:w="1783"/>
      </w:tblGrid>
      <w:tr w:rsidR="00F76B27" w:rsidRPr="00684D52" w14:paraId="5290EB22" w14:textId="77777777" w:rsidTr="00977F2F">
        <w:trPr>
          <w:trHeight w:val="577"/>
          <w:tblHeader/>
        </w:trPr>
        <w:tc>
          <w:tcPr>
            <w:tcW w:w="0" w:type="auto"/>
            <w:tcBorders>
              <w:bottom w:val="single" w:sz="4" w:space="0" w:color="auto"/>
            </w:tcBorders>
          </w:tcPr>
          <w:p w14:paraId="31ABE606" w14:textId="77777777" w:rsidR="00F76B27" w:rsidRPr="00977F2F" w:rsidRDefault="00F76B27" w:rsidP="00977F2F">
            <w:pPr>
              <w:pStyle w:val="TableHeader"/>
            </w:pPr>
          </w:p>
        </w:tc>
        <w:tc>
          <w:tcPr>
            <w:tcW w:w="0" w:type="auto"/>
            <w:tcBorders>
              <w:bottom w:val="single" w:sz="4" w:space="0" w:color="auto"/>
            </w:tcBorders>
            <w:shd w:val="clear" w:color="auto" w:fill="7BA8F8" w:themeFill="accent1" w:themeFillTint="66"/>
          </w:tcPr>
          <w:p w14:paraId="2AA44089" w14:textId="7F32DA5A" w:rsidR="00F76B27" w:rsidRPr="00421ABD" w:rsidRDefault="00F76B27" w:rsidP="00977F2F">
            <w:pPr>
              <w:pStyle w:val="TableHeader"/>
            </w:pPr>
            <w:r w:rsidRPr="00421ABD">
              <w:t>Queensland (five HHSs)</w:t>
            </w:r>
          </w:p>
        </w:tc>
        <w:tc>
          <w:tcPr>
            <w:tcW w:w="0" w:type="auto"/>
            <w:tcBorders>
              <w:bottom w:val="single" w:sz="4" w:space="0" w:color="auto"/>
            </w:tcBorders>
            <w:shd w:val="clear" w:color="auto" w:fill="FF7373" w:themeFill="accent5" w:themeFillTint="66"/>
          </w:tcPr>
          <w:p w14:paraId="63A80B7A" w14:textId="2F1C193E" w:rsidR="00F76B27" w:rsidRPr="00421ABD" w:rsidRDefault="00F76B27" w:rsidP="00977F2F">
            <w:pPr>
              <w:pStyle w:val="TableHeader"/>
            </w:pPr>
            <w:r w:rsidRPr="00421ABD">
              <w:t>Northern Territory</w:t>
            </w:r>
            <w:r w:rsidR="00421ABD">
              <w:t xml:space="preserve"> </w:t>
            </w:r>
            <w:r w:rsidRPr="00421ABD">
              <w:t>(seven regions)</w:t>
            </w:r>
          </w:p>
        </w:tc>
        <w:tc>
          <w:tcPr>
            <w:tcW w:w="0" w:type="auto"/>
            <w:tcBorders>
              <w:bottom w:val="single" w:sz="4" w:space="0" w:color="auto"/>
            </w:tcBorders>
            <w:shd w:val="clear" w:color="auto" w:fill="FFEBAC" w:themeFill="accent4" w:themeFillTint="66"/>
          </w:tcPr>
          <w:p w14:paraId="40CD4546" w14:textId="5CEFB44B" w:rsidR="00F76B27" w:rsidRPr="00421ABD" w:rsidRDefault="00F76B27" w:rsidP="00977F2F">
            <w:pPr>
              <w:pStyle w:val="TableHeader"/>
            </w:pPr>
            <w:r w:rsidRPr="00421ABD">
              <w:t>Western Australia (three regions)</w:t>
            </w:r>
          </w:p>
        </w:tc>
        <w:tc>
          <w:tcPr>
            <w:tcW w:w="0" w:type="auto"/>
            <w:tcBorders>
              <w:bottom w:val="single" w:sz="4" w:space="0" w:color="auto"/>
            </w:tcBorders>
            <w:shd w:val="clear" w:color="auto" w:fill="FFC5C6" w:themeFill="accent6" w:themeFillTint="66"/>
          </w:tcPr>
          <w:p w14:paraId="53893A5D" w14:textId="418F5575" w:rsidR="00F76B27" w:rsidRPr="00684D52" w:rsidRDefault="00F76B27" w:rsidP="00977F2F">
            <w:pPr>
              <w:pStyle w:val="TableHeader"/>
              <w:rPr>
                <w:rFonts w:cstheme="minorHAnsi"/>
              </w:rPr>
            </w:pPr>
            <w:r w:rsidRPr="00421ABD">
              <w:t>South Australia</w:t>
            </w:r>
            <w:r w:rsidR="00421ABD">
              <w:t xml:space="preserve"> </w:t>
            </w:r>
            <w:r w:rsidRPr="00C33397">
              <w:t>(three regions)</w:t>
            </w:r>
          </w:p>
        </w:tc>
      </w:tr>
      <w:tr w:rsidR="00F76B27" w:rsidRPr="00977F2F" w14:paraId="0E51DAEC" w14:textId="77777777" w:rsidTr="00977F2F">
        <w:tc>
          <w:tcPr>
            <w:tcW w:w="0" w:type="auto"/>
            <w:tcBorders>
              <w:right w:val="nil"/>
            </w:tcBorders>
            <w:shd w:val="clear" w:color="auto" w:fill="BDD3FB" w:themeFill="accent1" w:themeFillTint="33"/>
          </w:tcPr>
          <w:p w14:paraId="1C996007" w14:textId="77777777" w:rsidR="00F76B27" w:rsidRPr="00977F2F" w:rsidRDefault="00F76B27" w:rsidP="00977F2F">
            <w:pPr>
              <w:pStyle w:val="TableHeader"/>
            </w:pPr>
            <w:r w:rsidRPr="00977F2F">
              <w:t>Category 1</w:t>
            </w:r>
          </w:p>
        </w:tc>
        <w:tc>
          <w:tcPr>
            <w:tcW w:w="0" w:type="auto"/>
            <w:tcBorders>
              <w:left w:val="nil"/>
              <w:right w:val="nil"/>
            </w:tcBorders>
            <w:shd w:val="clear" w:color="auto" w:fill="BDD3FB" w:themeFill="accent1" w:themeFillTint="33"/>
          </w:tcPr>
          <w:p w14:paraId="4305BCDE" w14:textId="77777777" w:rsidR="00F76B27" w:rsidRPr="00977F2F" w:rsidRDefault="00F76B27" w:rsidP="00977F2F">
            <w:pPr>
              <w:pStyle w:val="TableHeader"/>
            </w:pPr>
          </w:p>
        </w:tc>
        <w:tc>
          <w:tcPr>
            <w:tcW w:w="0" w:type="auto"/>
            <w:tcBorders>
              <w:left w:val="nil"/>
              <w:right w:val="nil"/>
            </w:tcBorders>
            <w:shd w:val="clear" w:color="auto" w:fill="BDD3FB" w:themeFill="accent1" w:themeFillTint="33"/>
          </w:tcPr>
          <w:p w14:paraId="4E2B5FB2" w14:textId="77777777" w:rsidR="00F76B27" w:rsidRPr="00977F2F" w:rsidRDefault="00F76B27" w:rsidP="00977F2F">
            <w:pPr>
              <w:pStyle w:val="TableHeader"/>
            </w:pPr>
          </w:p>
        </w:tc>
        <w:tc>
          <w:tcPr>
            <w:tcW w:w="0" w:type="auto"/>
            <w:tcBorders>
              <w:left w:val="nil"/>
              <w:right w:val="nil"/>
            </w:tcBorders>
            <w:shd w:val="clear" w:color="auto" w:fill="BDD3FB" w:themeFill="accent1" w:themeFillTint="33"/>
          </w:tcPr>
          <w:p w14:paraId="710321B4" w14:textId="77777777" w:rsidR="00F76B27" w:rsidRPr="00977F2F" w:rsidRDefault="00F76B27" w:rsidP="00977F2F">
            <w:pPr>
              <w:pStyle w:val="TableHeader"/>
            </w:pPr>
          </w:p>
        </w:tc>
        <w:tc>
          <w:tcPr>
            <w:tcW w:w="0" w:type="auto"/>
            <w:tcBorders>
              <w:left w:val="nil"/>
            </w:tcBorders>
            <w:shd w:val="clear" w:color="auto" w:fill="BDD3FB" w:themeFill="accent1" w:themeFillTint="33"/>
          </w:tcPr>
          <w:p w14:paraId="2030E1C4" w14:textId="77777777" w:rsidR="00F76B27" w:rsidRPr="00977F2F" w:rsidRDefault="00F76B27" w:rsidP="00977F2F">
            <w:pPr>
              <w:pStyle w:val="TableHeader"/>
            </w:pPr>
          </w:p>
        </w:tc>
      </w:tr>
      <w:tr w:rsidR="00F76B27" w:rsidRPr="00684D52" w14:paraId="27AF0180" w14:textId="77777777" w:rsidTr="00977F2F">
        <w:trPr>
          <w:trHeight w:val="567"/>
        </w:trPr>
        <w:tc>
          <w:tcPr>
            <w:tcW w:w="0" w:type="auto"/>
            <w:vAlign w:val="center"/>
          </w:tcPr>
          <w:p w14:paraId="7548447B" w14:textId="77777777" w:rsidR="00F76B27" w:rsidRPr="00421ABD" w:rsidRDefault="00F76B27" w:rsidP="00977F2F">
            <w:pPr>
              <w:pStyle w:val="Tabletext"/>
            </w:pPr>
            <w:r w:rsidRPr="00421ABD">
              <w:t>Outbreak commencement month/year</w:t>
            </w:r>
          </w:p>
        </w:tc>
        <w:tc>
          <w:tcPr>
            <w:tcW w:w="0" w:type="auto"/>
            <w:shd w:val="clear" w:color="auto" w:fill="7BA8F8" w:themeFill="accent1" w:themeFillTint="66"/>
            <w:vAlign w:val="center"/>
          </w:tcPr>
          <w:p w14:paraId="70781E16" w14:textId="77777777" w:rsidR="00F76B27" w:rsidRPr="002941CB" w:rsidRDefault="00F76B27" w:rsidP="00977F2F">
            <w:pPr>
              <w:pStyle w:val="Tabletextcentre"/>
            </w:pPr>
            <w:r w:rsidRPr="002941CB">
              <w:t>January 2011</w:t>
            </w:r>
          </w:p>
        </w:tc>
        <w:tc>
          <w:tcPr>
            <w:tcW w:w="0" w:type="auto"/>
            <w:shd w:val="clear" w:color="auto" w:fill="FF7373" w:themeFill="accent5" w:themeFillTint="66"/>
            <w:vAlign w:val="center"/>
          </w:tcPr>
          <w:p w14:paraId="4B27387D" w14:textId="77777777" w:rsidR="00F76B27" w:rsidRPr="002941CB" w:rsidRDefault="00F76B27" w:rsidP="00977F2F">
            <w:pPr>
              <w:pStyle w:val="Tabletextcentre"/>
            </w:pPr>
            <w:r w:rsidRPr="002941CB">
              <w:t>July 2013</w:t>
            </w:r>
          </w:p>
        </w:tc>
        <w:tc>
          <w:tcPr>
            <w:tcW w:w="0" w:type="auto"/>
            <w:shd w:val="clear" w:color="auto" w:fill="FFEBAC" w:themeFill="accent4" w:themeFillTint="66"/>
            <w:vAlign w:val="center"/>
          </w:tcPr>
          <w:p w14:paraId="3AAEEF0C" w14:textId="77777777" w:rsidR="00F76B27" w:rsidRPr="002941CB" w:rsidRDefault="00F76B27" w:rsidP="00977F2F">
            <w:pPr>
              <w:pStyle w:val="Tabletextcentre"/>
            </w:pPr>
            <w:r w:rsidRPr="002941CB">
              <w:t>June 2014</w:t>
            </w:r>
          </w:p>
        </w:tc>
        <w:tc>
          <w:tcPr>
            <w:tcW w:w="0" w:type="auto"/>
            <w:shd w:val="clear" w:color="auto" w:fill="FFC5C6" w:themeFill="accent6" w:themeFillTint="66"/>
            <w:vAlign w:val="center"/>
          </w:tcPr>
          <w:p w14:paraId="64157ED1" w14:textId="77777777" w:rsidR="00F76B27" w:rsidRPr="002941CB" w:rsidRDefault="00F76B27" w:rsidP="00977F2F">
            <w:pPr>
              <w:pStyle w:val="Tabletextcentre"/>
            </w:pPr>
            <w:r w:rsidRPr="002941CB">
              <w:t>November 2016</w:t>
            </w:r>
          </w:p>
        </w:tc>
      </w:tr>
      <w:tr w:rsidR="0047717B" w:rsidRPr="00684D52" w14:paraId="758394C3" w14:textId="77777777" w:rsidTr="00977F2F">
        <w:tc>
          <w:tcPr>
            <w:tcW w:w="0" w:type="auto"/>
          </w:tcPr>
          <w:p w14:paraId="7FD962B7" w14:textId="461F6287" w:rsidR="0047717B" w:rsidRPr="00977F2F" w:rsidRDefault="0047717B" w:rsidP="00977F2F">
            <w:pPr>
              <w:pStyle w:val="Tabletext"/>
            </w:pPr>
            <w:r w:rsidRPr="00977F2F">
              <w:t xml:space="preserve">Total number of cases </w:t>
            </w:r>
          </w:p>
        </w:tc>
        <w:tc>
          <w:tcPr>
            <w:tcW w:w="0" w:type="auto"/>
            <w:tcBorders>
              <w:top w:val="nil"/>
              <w:left w:val="nil"/>
              <w:bottom w:val="single" w:sz="8" w:space="0" w:color="auto"/>
              <w:right w:val="single" w:sz="8" w:space="0" w:color="auto"/>
            </w:tcBorders>
            <w:shd w:val="clear" w:color="000000" w:fill="FFFFFF"/>
            <w:vAlign w:val="center"/>
          </w:tcPr>
          <w:p w14:paraId="51ACF0CE" w14:textId="6F1D3C2D" w:rsidR="0047717B" w:rsidRPr="002941CB" w:rsidRDefault="0047717B" w:rsidP="00977F2F">
            <w:pPr>
              <w:pStyle w:val="Tabletextcentre"/>
            </w:pPr>
            <w:r w:rsidRPr="002941CB">
              <w:t>2,097</w:t>
            </w:r>
          </w:p>
        </w:tc>
        <w:tc>
          <w:tcPr>
            <w:tcW w:w="0" w:type="auto"/>
            <w:tcBorders>
              <w:top w:val="nil"/>
              <w:left w:val="nil"/>
              <w:bottom w:val="single" w:sz="8" w:space="0" w:color="auto"/>
              <w:right w:val="single" w:sz="8" w:space="0" w:color="auto"/>
            </w:tcBorders>
            <w:shd w:val="clear" w:color="000000" w:fill="FFFFFF"/>
            <w:vAlign w:val="center"/>
          </w:tcPr>
          <w:p w14:paraId="729EDF15" w14:textId="76325B6F" w:rsidR="0047717B" w:rsidRPr="002941CB" w:rsidRDefault="0047717B" w:rsidP="00977F2F">
            <w:pPr>
              <w:pStyle w:val="Tabletextcentre"/>
            </w:pPr>
            <w:r w:rsidRPr="002941CB">
              <w:t>2,203</w:t>
            </w:r>
          </w:p>
        </w:tc>
        <w:tc>
          <w:tcPr>
            <w:tcW w:w="0" w:type="auto"/>
            <w:tcBorders>
              <w:top w:val="nil"/>
              <w:left w:val="nil"/>
              <w:bottom w:val="single" w:sz="8" w:space="0" w:color="auto"/>
              <w:right w:val="single" w:sz="8" w:space="0" w:color="auto"/>
            </w:tcBorders>
            <w:shd w:val="clear" w:color="000000" w:fill="FFFFFF"/>
            <w:vAlign w:val="center"/>
          </w:tcPr>
          <w:p w14:paraId="53E11713" w14:textId="3805D81B" w:rsidR="0047717B" w:rsidRPr="002941CB" w:rsidRDefault="0047717B" w:rsidP="00977F2F">
            <w:pPr>
              <w:pStyle w:val="Tabletextcentre"/>
            </w:pPr>
            <w:r w:rsidRPr="002941CB">
              <w:t>1,431</w:t>
            </w:r>
          </w:p>
        </w:tc>
        <w:tc>
          <w:tcPr>
            <w:tcW w:w="0" w:type="auto"/>
            <w:tcBorders>
              <w:top w:val="nil"/>
              <w:left w:val="nil"/>
              <w:bottom w:val="single" w:sz="8" w:space="0" w:color="auto"/>
              <w:right w:val="single" w:sz="8" w:space="0" w:color="auto"/>
            </w:tcBorders>
            <w:shd w:val="clear" w:color="000000" w:fill="FFFFFF"/>
            <w:vAlign w:val="center"/>
          </w:tcPr>
          <w:p w14:paraId="7D3F03D9" w14:textId="68AB8B96" w:rsidR="0047717B" w:rsidRPr="002941CB" w:rsidRDefault="0047717B" w:rsidP="00977F2F">
            <w:pPr>
              <w:pStyle w:val="Tabletextcentre"/>
            </w:pPr>
            <w:r w:rsidRPr="002941CB">
              <w:t>233</w:t>
            </w:r>
          </w:p>
        </w:tc>
      </w:tr>
      <w:tr w:rsidR="0047717B" w:rsidRPr="00684D52" w14:paraId="45B22353" w14:textId="77777777" w:rsidTr="00977F2F">
        <w:tc>
          <w:tcPr>
            <w:tcW w:w="0" w:type="auto"/>
            <w:shd w:val="clear" w:color="auto" w:fill="auto"/>
          </w:tcPr>
          <w:p w14:paraId="53EF03A3" w14:textId="77777777" w:rsidR="0047717B" w:rsidRPr="00421ABD" w:rsidRDefault="0047717B" w:rsidP="00977F2F">
            <w:pPr>
              <w:pStyle w:val="Tabletext"/>
            </w:pPr>
            <w:r w:rsidRPr="00421ABD">
              <w:t xml:space="preserve">% Male / % Female </w:t>
            </w:r>
          </w:p>
        </w:tc>
        <w:tc>
          <w:tcPr>
            <w:tcW w:w="0" w:type="auto"/>
            <w:tcBorders>
              <w:top w:val="nil"/>
              <w:left w:val="nil"/>
              <w:bottom w:val="single" w:sz="8" w:space="0" w:color="auto"/>
              <w:right w:val="single" w:sz="8" w:space="0" w:color="auto"/>
            </w:tcBorders>
            <w:shd w:val="clear" w:color="000000" w:fill="FFFFFF"/>
            <w:vAlign w:val="center"/>
          </w:tcPr>
          <w:p w14:paraId="136B555D" w14:textId="3FE407F9" w:rsidR="0047717B" w:rsidRPr="002941CB" w:rsidRDefault="0047717B" w:rsidP="00977F2F">
            <w:pPr>
              <w:pStyle w:val="Tabletextcentre"/>
            </w:pPr>
            <w:r w:rsidRPr="002941CB">
              <w:t>47% / 53%</w:t>
            </w:r>
          </w:p>
        </w:tc>
        <w:tc>
          <w:tcPr>
            <w:tcW w:w="0" w:type="auto"/>
            <w:tcBorders>
              <w:top w:val="nil"/>
              <w:left w:val="nil"/>
              <w:bottom w:val="single" w:sz="8" w:space="0" w:color="auto"/>
              <w:right w:val="single" w:sz="8" w:space="0" w:color="auto"/>
            </w:tcBorders>
            <w:shd w:val="clear" w:color="000000" w:fill="FFFFFF"/>
            <w:vAlign w:val="center"/>
          </w:tcPr>
          <w:p w14:paraId="17B69FC3" w14:textId="2915A98D" w:rsidR="0047717B" w:rsidRPr="002941CB" w:rsidRDefault="0047717B" w:rsidP="00977F2F">
            <w:pPr>
              <w:pStyle w:val="Tabletextcentre"/>
            </w:pPr>
            <w:r w:rsidRPr="002941CB">
              <w:t>46% / 54%</w:t>
            </w:r>
          </w:p>
        </w:tc>
        <w:tc>
          <w:tcPr>
            <w:tcW w:w="0" w:type="auto"/>
            <w:tcBorders>
              <w:top w:val="nil"/>
              <w:left w:val="nil"/>
              <w:bottom w:val="single" w:sz="8" w:space="0" w:color="auto"/>
              <w:right w:val="single" w:sz="8" w:space="0" w:color="auto"/>
            </w:tcBorders>
            <w:shd w:val="clear" w:color="000000" w:fill="FFFFFF"/>
            <w:vAlign w:val="center"/>
          </w:tcPr>
          <w:p w14:paraId="541BC08C" w14:textId="586777DF" w:rsidR="0047717B" w:rsidRPr="002941CB" w:rsidRDefault="0047717B" w:rsidP="00977F2F">
            <w:pPr>
              <w:pStyle w:val="Tabletextcentre"/>
            </w:pPr>
            <w:r w:rsidRPr="002941CB">
              <w:t>43% / 57%</w:t>
            </w:r>
          </w:p>
        </w:tc>
        <w:tc>
          <w:tcPr>
            <w:tcW w:w="0" w:type="auto"/>
            <w:tcBorders>
              <w:top w:val="nil"/>
              <w:left w:val="nil"/>
              <w:bottom w:val="single" w:sz="8" w:space="0" w:color="auto"/>
              <w:right w:val="single" w:sz="8" w:space="0" w:color="auto"/>
            </w:tcBorders>
            <w:shd w:val="clear" w:color="000000" w:fill="FFFFFF"/>
            <w:vAlign w:val="center"/>
          </w:tcPr>
          <w:p w14:paraId="47B6AA5A" w14:textId="6FF4AB4D" w:rsidR="0047717B" w:rsidRPr="002941CB" w:rsidRDefault="0047717B" w:rsidP="00977F2F">
            <w:pPr>
              <w:pStyle w:val="Tabletextcentre"/>
            </w:pPr>
            <w:r w:rsidRPr="002941CB">
              <w:t>53% / 47%</w:t>
            </w:r>
          </w:p>
        </w:tc>
      </w:tr>
      <w:tr w:rsidR="0047717B" w:rsidRPr="00684D52" w14:paraId="54FFD3DE" w14:textId="77777777" w:rsidTr="00977F2F">
        <w:tc>
          <w:tcPr>
            <w:tcW w:w="0" w:type="auto"/>
            <w:tcBorders>
              <w:bottom w:val="single" w:sz="4" w:space="0" w:color="auto"/>
            </w:tcBorders>
            <w:shd w:val="clear" w:color="auto" w:fill="auto"/>
          </w:tcPr>
          <w:p w14:paraId="5E01FED1" w14:textId="77777777" w:rsidR="0047717B" w:rsidRPr="00421ABD" w:rsidRDefault="0047717B" w:rsidP="00977F2F">
            <w:pPr>
              <w:pStyle w:val="Tabletext"/>
            </w:pPr>
            <w:r w:rsidRPr="00421ABD">
              <w:t xml:space="preserve">% </w:t>
            </w:r>
            <w:proofErr w:type="gramStart"/>
            <w:r w:rsidRPr="00421ABD">
              <w:t>15-34 year</w:t>
            </w:r>
            <w:proofErr w:type="gramEnd"/>
            <w:r w:rsidRPr="00421ABD">
              <w:t xml:space="preserve"> age group</w:t>
            </w:r>
          </w:p>
        </w:tc>
        <w:tc>
          <w:tcPr>
            <w:tcW w:w="0" w:type="auto"/>
            <w:tcBorders>
              <w:top w:val="nil"/>
              <w:left w:val="nil"/>
              <w:bottom w:val="single" w:sz="8" w:space="0" w:color="auto"/>
              <w:right w:val="single" w:sz="8" w:space="0" w:color="auto"/>
            </w:tcBorders>
            <w:shd w:val="clear" w:color="000000" w:fill="FFFFFF"/>
            <w:vAlign w:val="center"/>
          </w:tcPr>
          <w:p w14:paraId="0D9985B3" w14:textId="354BDB19" w:rsidR="0047717B" w:rsidRPr="002941CB" w:rsidRDefault="0047717B" w:rsidP="00977F2F">
            <w:pPr>
              <w:pStyle w:val="Tabletextcentre"/>
            </w:pPr>
            <w:r w:rsidRPr="002941CB">
              <w:t>69%</w:t>
            </w:r>
          </w:p>
        </w:tc>
        <w:tc>
          <w:tcPr>
            <w:tcW w:w="0" w:type="auto"/>
            <w:tcBorders>
              <w:top w:val="nil"/>
              <w:left w:val="nil"/>
              <w:bottom w:val="single" w:sz="8" w:space="0" w:color="auto"/>
              <w:right w:val="single" w:sz="8" w:space="0" w:color="auto"/>
            </w:tcBorders>
            <w:shd w:val="clear" w:color="000000" w:fill="FFFFFF"/>
            <w:vAlign w:val="center"/>
          </w:tcPr>
          <w:p w14:paraId="55AADB79" w14:textId="253BF7F3" w:rsidR="0047717B" w:rsidRPr="002941CB" w:rsidRDefault="0047717B" w:rsidP="00977F2F">
            <w:pPr>
              <w:pStyle w:val="Tabletextcentre"/>
            </w:pPr>
            <w:r w:rsidRPr="002941CB">
              <w:t>73%</w:t>
            </w:r>
          </w:p>
        </w:tc>
        <w:tc>
          <w:tcPr>
            <w:tcW w:w="0" w:type="auto"/>
            <w:tcBorders>
              <w:top w:val="nil"/>
              <w:left w:val="nil"/>
              <w:bottom w:val="single" w:sz="8" w:space="0" w:color="auto"/>
              <w:right w:val="single" w:sz="8" w:space="0" w:color="auto"/>
            </w:tcBorders>
            <w:shd w:val="clear" w:color="000000" w:fill="FFFFFF"/>
            <w:vAlign w:val="center"/>
          </w:tcPr>
          <w:p w14:paraId="16B29AAF" w14:textId="16315711" w:rsidR="0047717B" w:rsidRPr="002941CB" w:rsidRDefault="0047717B" w:rsidP="00977F2F">
            <w:pPr>
              <w:pStyle w:val="Tabletextcentre"/>
            </w:pPr>
            <w:r w:rsidRPr="002941CB">
              <w:t>74%</w:t>
            </w:r>
          </w:p>
        </w:tc>
        <w:tc>
          <w:tcPr>
            <w:tcW w:w="0" w:type="auto"/>
            <w:tcBorders>
              <w:top w:val="nil"/>
              <w:left w:val="nil"/>
              <w:bottom w:val="single" w:sz="8" w:space="0" w:color="auto"/>
              <w:right w:val="single" w:sz="8" w:space="0" w:color="auto"/>
            </w:tcBorders>
            <w:shd w:val="clear" w:color="000000" w:fill="FFFFFF"/>
            <w:vAlign w:val="center"/>
          </w:tcPr>
          <w:p w14:paraId="5CE4EA5D" w14:textId="755E31B5" w:rsidR="0047717B" w:rsidRPr="002941CB" w:rsidRDefault="0047717B" w:rsidP="00977F2F">
            <w:pPr>
              <w:pStyle w:val="Tabletextcentre"/>
            </w:pPr>
            <w:r w:rsidRPr="002941CB">
              <w:t>62%</w:t>
            </w:r>
          </w:p>
        </w:tc>
      </w:tr>
      <w:tr w:rsidR="00F76B27" w:rsidRPr="00684D52" w14:paraId="7E96CC0F" w14:textId="77777777" w:rsidTr="00977F2F">
        <w:tc>
          <w:tcPr>
            <w:tcW w:w="0" w:type="auto"/>
            <w:tcBorders>
              <w:right w:val="nil"/>
            </w:tcBorders>
            <w:shd w:val="clear" w:color="auto" w:fill="BDD3FB" w:themeFill="accent1" w:themeFillTint="33"/>
          </w:tcPr>
          <w:p w14:paraId="756FBC91" w14:textId="77777777" w:rsidR="00F76B27" w:rsidRPr="002941CB" w:rsidRDefault="00F76B27" w:rsidP="00977F2F">
            <w:pPr>
              <w:pStyle w:val="TableHeader"/>
            </w:pPr>
            <w:r w:rsidRPr="002941CB">
              <w:t>Category 2</w:t>
            </w:r>
            <w:r w:rsidRPr="00977F2F">
              <w:rPr>
                <w:rStyle w:val="SubscripttextChar"/>
              </w:rPr>
              <w:footnoteReference w:id="9"/>
            </w:r>
          </w:p>
        </w:tc>
        <w:tc>
          <w:tcPr>
            <w:tcW w:w="0" w:type="auto"/>
            <w:tcBorders>
              <w:left w:val="nil"/>
              <w:right w:val="nil"/>
            </w:tcBorders>
            <w:shd w:val="clear" w:color="auto" w:fill="BDD3FB" w:themeFill="accent1" w:themeFillTint="33"/>
            <w:vAlign w:val="center"/>
          </w:tcPr>
          <w:p w14:paraId="5AA20D78" w14:textId="77777777" w:rsidR="00F76B27" w:rsidRPr="00C4733C" w:rsidRDefault="00F76B27" w:rsidP="00977F2F">
            <w:pPr>
              <w:pStyle w:val="TableHeader"/>
              <w:rPr>
                <w:rFonts w:cs="Arial"/>
              </w:rPr>
            </w:pPr>
          </w:p>
        </w:tc>
        <w:tc>
          <w:tcPr>
            <w:tcW w:w="0" w:type="auto"/>
            <w:tcBorders>
              <w:left w:val="nil"/>
              <w:right w:val="nil"/>
            </w:tcBorders>
            <w:shd w:val="clear" w:color="auto" w:fill="BDD3FB" w:themeFill="accent1" w:themeFillTint="33"/>
            <w:vAlign w:val="center"/>
          </w:tcPr>
          <w:p w14:paraId="15EBAC1B" w14:textId="77777777" w:rsidR="00F76B27" w:rsidRPr="00C4733C" w:rsidRDefault="00F76B27" w:rsidP="00977F2F">
            <w:pPr>
              <w:pStyle w:val="TableHeader"/>
              <w:rPr>
                <w:rFonts w:cs="Arial"/>
              </w:rPr>
            </w:pPr>
          </w:p>
        </w:tc>
        <w:tc>
          <w:tcPr>
            <w:tcW w:w="0" w:type="auto"/>
            <w:tcBorders>
              <w:left w:val="nil"/>
              <w:right w:val="nil"/>
            </w:tcBorders>
            <w:shd w:val="clear" w:color="auto" w:fill="BDD3FB" w:themeFill="accent1" w:themeFillTint="33"/>
            <w:vAlign w:val="center"/>
          </w:tcPr>
          <w:p w14:paraId="0D3656C9" w14:textId="77777777" w:rsidR="00F76B27" w:rsidRPr="00C4733C" w:rsidRDefault="00F76B27" w:rsidP="00977F2F">
            <w:pPr>
              <w:pStyle w:val="TableHeader"/>
              <w:rPr>
                <w:rFonts w:cs="Arial"/>
              </w:rPr>
            </w:pPr>
          </w:p>
        </w:tc>
        <w:tc>
          <w:tcPr>
            <w:tcW w:w="0" w:type="auto"/>
            <w:tcBorders>
              <w:left w:val="nil"/>
            </w:tcBorders>
            <w:shd w:val="clear" w:color="auto" w:fill="BDD3FB" w:themeFill="accent1" w:themeFillTint="33"/>
          </w:tcPr>
          <w:p w14:paraId="78AC21BA" w14:textId="77777777" w:rsidR="00F76B27" w:rsidRPr="00C4733C" w:rsidRDefault="00F76B27" w:rsidP="00977F2F">
            <w:pPr>
              <w:pStyle w:val="TableHeader"/>
              <w:rPr>
                <w:rFonts w:cs="Arial"/>
              </w:rPr>
            </w:pPr>
          </w:p>
        </w:tc>
      </w:tr>
      <w:tr w:rsidR="0000099D" w:rsidRPr="00684D52" w14:paraId="69A73CB5" w14:textId="77777777" w:rsidTr="00977F2F">
        <w:tc>
          <w:tcPr>
            <w:tcW w:w="0" w:type="auto"/>
            <w:shd w:val="clear" w:color="auto" w:fill="auto"/>
          </w:tcPr>
          <w:p w14:paraId="7A1F6670" w14:textId="77777777" w:rsidR="0000099D" w:rsidRPr="002941CB" w:rsidRDefault="0000099D" w:rsidP="00977F2F">
            <w:pPr>
              <w:pStyle w:val="Tabletext"/>
            </w:pPr>
            <w:r w:rsidRPr="002941CB">
              <w:t>Aboriginal and Torres Strait Islander people</w:t>
            </w:r>
            <w:r w:rsidRPr="002941CB">
              <w:footnoteReference w:id="10"/>
            </w:r>
          </w:p>
        </w:tc>
        <w:tc>
          <w:tcPr>
            <w:tcW w:w="0" w:type="auto"/>
            <w:tcBorders>
              <w:top w:val="nil"/>
              <w:left w:val="nil"/>
              <w:bottom w:val="single" w:sz="8" w:space="0" w:color="auto"/>
              <w:right w:val="single" w:sz="8" w:space="0" w:color="auto"/>
            </w:tcBorders>
            <w:shd w:val="clear" w:color="000000" w:fill="F2DCDB"/>
            <w:vAlign w:val="center"/>
          </w:tcPr>
          <w:p w14:paraId="21A9D4CB" w14:textId="013D236A" w:rsidR="0000099D" w:rsidRPr="002941CB" w:rsidRDefault="0000099D" w:rsidP="00977F2F">
            <w:pPr>
              <w:pStyle w:val="Tabletextcentre"/>
            </w:pPr>
            <w:r w:rsidRPr="002941CB">
              <w:t>16</w:t>
            </w:r>
          </w:p>
        </w:tc>
        <w:tc>
          <w:tcPr>
            <w:tcW w:w="0" w:type="auto"/>
            <w:tcBorders>
              <w:top w:val="nil"/>
              <w:left w:val="nil"/>
              <w:bottom w:val="single" w:sz="8" w:space="0" w:color="auto"/>
              <w:right w:val="single" w:sz="8" w:space="0" w:color="auto"/>
            </w:tcBorders>
            <w:shd w:val="clear" w:color="000000" w:fill="F2DCDB"/>
            <w:vAlign w:val="center"/>
          </w:tcPr>
          <w:p w14:paraId="0B553E33" w14:textId="6B92D0D4" w:rsidR="0000099D" w:rsidRPr="002941CB" w:rsidRDefault="0000099D" w:rsidP="00977F2F">
            <w:pPr>
              <w:pStyle w:val="Tabletextcentre"/>
            </w:pPr>
            <w:r w:rsidRPr="002941CB">
              <w:t>16</w:t>
            </w:r>
          </w:p>
        </w:tc>
        <w:tc>
          <w:tcPr>
            <w:tcW w:w="0" w:type="auto"/>
            <w:tcBorders>
              <w:top w:val="nil"/>
              <w:left w:val="nil"/>
              <w:bottom w:val="single" w:sz="8" w:space="0" w:color="auto"/>
              <w:right w:val="single" w:sz="8" w:space="0" w:color="auto"/>
            </w:tcBorders>
            <w:shd w:val="clear" w:color="000000" w:fill="F2DCDB"/>
            <w:vAlign w:val="center"/>
          </w:tcPr>
          <w:p w14:paraId="603FE4D2" w14:textId="2939C951" w:rsidR="0000099D" w:rsidRPr="002941CB" w:rsidRDefault="0000099D" w:rsidP="00977F2F">
            <w:pPr>
              <w:pStyle w:val="Tabletextcentre"/>
            </w:pPr>
            <w:r w:rsidRPr="002941CB">
              <w:t>7</w:t>
            </w:r>
          </w:p>
        </w:tc>
        <w:tc>
          <w:tcPr>
            <w:tcW w:w="0" w:type="auto"/>
            <w:tcBorders>
              <w:top w:val="nil"/>
              <w:left w:val="nil"/>
              <w:bottom w:val="single" w:sz="8" w:space="0" w:color="auto"/>
              <w:right w:val="single" w:sz="8" w:space="0" w:color="auto"/>
            </w:tcBorders>
            <w:shd w:val="clear" w:color="000000" w:fill="F2DCDB"/>
            <w:vAlign w:val="center"/>
          </w:tcPr>
          <w:p w14:paraId="0E3A3245" w14:textId="27433EF7" w:rsidR="0000099D" w:rsidRPr="002941CB" w:rsidRDefault="0000099D" w:rsidP="00977F2F">
            <w:pPr>
              <w:pStyle w:val="Tabletextcentre"/>
            </w:pPr>
            <w:r w:rsidRPr="002941CB">
              <w:t>0</w:t>
            </w:r>
          </w:p>
        </w:tc>
      </w:tr>
      <w:tr w:rsidR="0000099D" w:rsidRPr="00684D52" w14:paraId="4FE4EAA8" w14:textId="77777777" w:rsidTr="00977F2F">
        <w:tc>
          <w:tcPr>
            <w:tcW w:w="0" w:type="auto"/>
            <w:shd w:val="clear" w:color="auto" w:fill="auto"/>
          </w:tcPr>
          <w:p w14:paraId="4FD0DC12" w14:textId="77777777" w:rsidR="0000099D" w:rsidRPr="002941CB" w:rsidRDefault="0000099D" w:rsidP="00977F2F">
            <w:pPr>
              <w:pStyle w:val="Tabletext"/>
            </w:pPr>
            <w:r w:rsidRPr="002941CB">
              <w:t>Non-Indigenous people</w:t>
            </w:r>
            <w:r w:rsidRPr="002941CB">
              <w:footnoteReference w:id="11"/>
            </w:r>
          </w:p>
        </w:tc>
        <w:tc>
          <w:tcPr>
            <w:tcW w:w="0" w:type="auto"/>
            <w:tcBorders>
              <w:top w:val="nil"/>
              <w:left w:val="nil"/>
              <w:bottom w:val="single" w:sz="8" w:space="0" w:color="auto"/>
              <w:right w:val="single" w:sz="8" w:space="0" w:color="auto"/>
            </w:tcBorders>
            <w:shd w:val="clear" w:color="000000" w:fill="F2DCDB"/>
            <w:vAlign w:val="center"/>
          </w:tcPr>
          <w:p w14:paraId="1A978318" w14:textId="18A922E0" w:rsidR="0000099D" w:rsidRPr="002941CB" w:rsidRDefault="0000099D" w:rsidP="00977F2F">
            <w:pPr>
              <w:pStyle w:val="Tabletextcentre"/>
            </w:pPr>
            <w:r w:rsidRPr="002941CB">
              <w:t>45</w:t>
            </w:r>
          </w:p>
        </w:tc>
        <w:tc>
          <w:tcPr>
            <w:tcW w:w="0" w:type="auto"/>
            <w:tcBorders>
              <w:top w:val="nil"/>
              <w:left w:val="nil"/>
              <w:bottom w:val="single" w:sz="8" w:space="0" w:color="auto"/>
              <w:right w:val="single" w:sz="8" w:space="0" w:color="auto"/>
            </w:tcBorders>
            <w:shd w:val="clear" w:color="000000" w:fill="F2DCDB"/>
            <w:vAlign w:val="center"/>
          </w:tcPr>
          <w:p w14:paraId="418D006B" w14:textId="74ABC3D3" w:rsidR="0000099D" w:rsidRPr="002941CB" w:rsidRDefault="0000099D" w:rsidP="00977F2F">
            <w:pPr>
              <w:pStyle w:val="Tabletextcentre"/>
            </w:pPr>
            <w:r w:rsidRPr="002941CB">
              <w:t>27</w:t>
            </w:r>
          </w:p>
        </w:tc>
        <w:tc>
          <w:tcPr>
            <w:tcW w:w="0" w:type="auto"/>
            <w:tcBorders>
              <w:top w:val="nil"/>
              <w:left w:val="nil"/>
              <w:bottom w:val="single" w:sz="8" w:space="0" w:color="auto"/>
              <w:right w:val="single" w:sz="8" w:space="0" w:color="auto"/>
            </w:tcBorders>
            <w:shd w:val="clear" w:color="000000" w:fill="F2DCDB"/>
            <w:vAlign w:val="center"/>
          </w:tcPr>
          <w:p w14:paraId="5955D466" w14:textId="01DAD69A" w:rsidR="0000099D" w:rsidRPr="002941CB" w:rsidRDefault="0000099D" w:rsidP="00977F2F">
            <w:pPr>
              <w:pStyle w:val="Tabletextcentre"/>
            </w:pPr>
            <w:r w:rsidRPr="002941CB">
              <w:t>0</w:t>
            </w:r>
          </w:p>
        </w:tc>
        <w:tc>
          <w:tcPr>
            <w:tcW w:w="0" w:type="auto"/>
            <w:tcBorders>
              <w:top w:val="nil"/>
              <w:left w:val="nil"/>
              <w:bottom w:val="single" w:sz="8" w:space="0" w:color="auto"/>
              <w:right w:val="single" w:sz="8" w:space="0" w:color="auto"/>
            </w:tcBorders>
            <w:shd w:val="clear" w:color="000000" w:fill="F2DCDB"/>
            <w:vAlign w:val="center"/>
          </w:tcPr>
          <w:p w14:paraId="4CC22A7D" w14:textId="743A2022" w:rsidR="0000099D" w:rsidRPr="002941CB" w:rsidRDefault="0000099D" w:rsidP="00977F2F">
            <w:pPr>
              <w:pStyle w:val="Tabletextcentre"/>
            </w:pPr>
            <w:r w:rsidRPr="002941CB">
              <w:t>17</w:t>
            </w:r>
          </w:p>
        </w:tc>
      </w:tr>
    </w:tbl>
    <w:p w14:paraId="6D68EFCE" w14:textId="77777777" w:rsidR="00F76B27" w:rsidRPr="00421ABD" w:rsidRDefault="00F76B27" w:rsidP="00C33397">
      <w:r w:rsidRPr="00421ABD">
        <w:br w:type="page"/>
      </w:r>
    </w:p>
    <w:p w14:paraId="6DC4945D" w14:textId="08B0B275" w:rsidR="00F76B27" w:rsidRPr="0092599C" w:rsidRDefault="00F76B27" w:rsidP="00C33397">
      <w:pPr>
        <w:pStyle w:val="Caption"/>
      </w:pPr>
      <w:r w:rsidRPr="00684D52">
        <w:rPr>
          <w:lang w:val="en-US"/>
        </w:rPr>
        <w:lastRenderedPageBreak/>
        <w:t>Figure 9 a-d: Notifications (n) of category 1 outbreak associated syphilis cases, by age*, sex, jurisdiction, year, and quarter from commencement in each jurisdiction to Q</w:t>
      </w:r>
      <w:r w:rsidR="00F83AF2" w:rsidRPr="00684D52">
        <w:rPr>
          <w:lang w:val="en-US"/>
        </w:rPr>
        <w:t>2</w:t>
      </w:r>
      <w:r w:rsidRPr="00684D52">
        <w:rPr>
          <w:lang w:val="en-US"/>
        </w:rPr>
        <w:t xml:space="preserve"> 202</w:t>
      </w:r>
      <w:r w:rsidR="002415CF" w:rsidRPr="00684D52">
        <w:rPr>
          <w:lang w:val="en-US"/>
        </w:rPr>
        <w:t>4</w:t>
      </w:r>
      <w:r w:rsidR="002415CF" w:rsidRPr="00684D52">
        <w:rPr>
          <w:lang w:val="en-US"/>
        </w:rPr>
        <w:br/>
      </w:r>
      <w:r w:rsidRPr="00684D52">
        <w:rPr>
          <w:lang w:val="en-US"/>
        </w:rPr>
        <w:t>(a. Queensland, b. the Northern Territory, c. Western Australia and d. South Australia)</w:t>
      </w:r>
      <w:r w:rsidRPr="00421ABD">
        <w:rPr>
          <w:rStyle w:val="FootnoteReference"/>
        </w:rPr>
        <w:footnoteReference w:id="12"/>
      </w:r>
    </w:p>
    <w:p w14:paraId="297CAE98" w14:textId="794AF710" w:rsidR="00F76B27" w:rsidRPr="00C33397" w:rsidRDefault="00F76B27" w:rsidP="00C33397">
      <w:pPr>
        <w:pStyle w:val="ListNumber2"/>
      </w:pPr>
      <w:r w:rsidRPr="00C33397">
        <w:t>Queensland (2011 – Q</w:t>
      </w:r>
      <w:r w:rsidR="00F83AF2" w:rsidRPr="00C33397">
        <w:t>2</w:t>
      </w:r>
      <w:r w:rsidRPr="00C33397">
        <w:t xml:space="preserve"> 202</w:t>
      </w:r>
      <w:r w:rsidR="002415CF" w:rsidRPr="00C33397">
        <w:t>4</w:t>
      </w:r>
      <w:r w:rsidRPr="00C33397">
        <w:t>)</w:t>
      </w:r>
    </w:p>
    <w:p w14:paraId="2F42CBF8" w14:textId="146EF0E8" w:rsidR="00F76B27" w:rsidRPr="00421ABD" w:rsidRDefault="00E340B5" w:rsidP="00C33397">
      <w:r w:rsidRPr="00421ABD">
        <w:drawing>
          <wp:inline distT="0" distB="0" distL="0" distR="0" wp14:anchorId="4B0E3268" wp14:editId="3D8B9DC5">
            <wp:extent cx="6108395" cy="3981450"/>
            <wp:effectExtent l="0" t="0" r="6985" b="0"/>
            <wp:docPr id="123099086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90863" name="Picture 1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0299" cy="3995727"/>
                    </a:xfrm>
                    <a:prstGeom prst="rect">
                      <a:avLst/>
                    </a:prstGeom>
                    <a:noFill/>
                  </pic:spPr>
                </pic:pic>
              </a:graphicData>
            </a:graphic>
          </wp:inline>
        </w:drawing>
      </w:r>
    </w:p>
    <w:p w14:paraId="4EFA38ED" w14:textId="77777777" w:rsidR="0028242F" w:rsidRPr="00421ABD" w:rsidRDefault="0028242F" w:rsidP="00C33397">
      <w:r w:rsidRPr="00421ABD">
        <w:br w:type="page"/>
      </w:r>
    </w:p>
    <w:p w14:paraId="3097BF43" w14:textId="397EF73B" w:rsidR="00F76B27" w:rsidRPr="00C33397" w:rsidRDefault="00F76B27" w:rsidP="00C33397">
      <w:pPr>
        <w:pStyle w:val="ListNumber2"/>
      </w:pPr>
      <w:r w:rsidRPr="00C33397">
        <w:lastRenderedPageBreak/>
        <w:t>Northern Territory (2013 – Q</w:t>
      </w:r>
      <w:r w:rsidR="00F83AF2" w:rsidRPr="00C33397">
        <w:t>2</w:t>
      </w:r>
      <w:r w:rsidRPr="00C33397">
        <w:t xml:space="preserve"> 202</w:t>
      </w:r>
      <w:r w:rsidR="002415CF" w:rsidRPr="00C33397">
        <w:t>4</w:t>
      </w:r>
      <w:r w:rsidRPr="00C33397">
        <w:t>)</w:t>
      </w:r>
    </w:p>
    <w:p w14:paraId="489142D5" w14:textId="3EA6CFA4" w:rsidR="00F76B27" w:rsidRPr="00421ABD" w:rsidRDefault="00E340B5" w:rsidP="00C33397">
      <w:r w:rsidRPr="00421ABD">
        <w:drawing>
          <wp:inline distT="0" distB="0" distL="0" distR="0" wp14:anchorId="4E903D36" wp14:editId="3030512E">
            <wp:extent cx="6049941" cy="3943350"/>
            <wp:effectExtent l="0" t="0" r="8255" b="0"/>
            <wp:docPr id="34555063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50637" name="Picture 15">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2653" cy="3951635"/>
                    </a:xfrm>
                    <a:prstGeom prst="rect">
                      <a:avLst/>
                    </a:prstGeom>
                    <a:noFill/>
                  </pic:spPr>
                </pic:pic>
              </a:graphicData>
            </a:graphic>
          </wp:inline>
        </w:drawing>
      </w:r>
    </w:p>
    <w:p w14:paraId="07BDC8E3" w14:textId="5E1F76EE" w:rsidR="00F76B27" w:rsidRPr="00C33397" w:rsidRDefault="00F76B27" w:rsidP="00C33397">
      <w:pPr>
        <w:pStyle w:val="ListNumber2"/>
      </w:pPr>
      <w:r w:rsidRPr="00C33397">
        <w:t>Western Australia (2014 – Q</w:t>
      </w:r>
      <w:r w:rsidR="00F83AF2" w:rsidRPr="00C33397">
        <w:t>2</w:t>
      </w:r>
      <w:r w:rsidRPr="00C33397">
        <w:t xml:space="preserve"> 202</w:t>
      </w:r>
      <w:r w:rsidR="002415CF" w:rsidRPr="00C33397">
        <w:t>4</w:t>
      </w:r>
      <w:r w:rsidRPr="00C33397">
        <w:t>)</w:t>
      </w:r>
    </w:p>
    <w:p w14:paraId="16D06856" w14:textId="5D77620B" w:rsidR="00F76B27" w:rsidRPr="00421ABD" w:rsidRDefault="00BE5643" w:rsidP="00C33397">
      <w:r w:rsidRPr="00421ABD">
        <w:drawing>
          <wp:inline distT="0" distB="0" distL="0" distR="0" wp14:anchorId="2AC53487" wp14:editId="48A7178B">
            <wp:extent cx="6035328" cy="3933825"/>
            <wp:effectExtent l="0" t="0" r="3810" b="0"/>
            <wp:docPr id="156237442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74429" name="Picture 1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50984" cy="3944029"/>
                    </a:xfrm>
                    <a:prstGeom prst="rect">
                      <a:avLst/>
                    </a:prstGeom>
                    <a:noFill/>
                  </pic:spPr>
                </pic:pic>
              </a:graphicData>
            </a:graphic>
          </wp:inline>
        </w:drawing>
      </w:r>
    </w:p>
    <w:p w14:paraId="043706B7" w14:textId="77777777" w:rsidR="00BE5643" w:rsidRPr="00421ABD" w:rsidRDefault="00BE5643" w:rsidP="00C33397">
      <w:r w:rsidRPr="00421ABD">
        <w:br w:type="page"/>
      </w:r>
    </w:p>
    <w:p w14:paraId="543F63BD" w14:textId="2E259C19" w:rsidR="00F76B27" w:rsidRPr="00C33397" w:rsidRDefault="00F76B27" w:rsidP="00C33397">
      <w:pPr>
        <w:pStyle w:val="ListNumber2"/>
      </w:pPr>
      <w:r w:rsidRPr="00C33397">
        <w:lastRenderedPageBreak/>
        <w:t>South Australia (2016 – Q</w:t>
      </w:r>
      <w:r w:rsidR="00F83AF2" w:rsidRPr="00C33397">
        <w:t>2</w:t>
      </w:r>
      <w:r w:rsidRPr="00C33397">
        <w:t xml:space="preserve"> 202</w:t>
      </w:r>
      <w:r w:rsidR="002415CF" w:rsidRPr="00C33397">
        <w:t>4</w:t>
      </w:r>
      <w:r w:rsidRPr="00C33397">
        <w:t>)</w:t>
      </w:r>
    </w:p>
    <w:p w14:paraId="1EE221DA" w14:textId="1BE736F9" w:rsidR="00F76B27" w:rsidRPr="00D127F6" w:rsidRDefault="00BE5643" w:rsidP="00C33397">
      <w:r w:rsidRPr="00D127F6">
        <w:drawing>
          <wp:inline distT="0" distB="0" distL="0" distR="0" wp14:anchorId="08E2DD50" wp14:editId="4D3F146D">
            <wp:extent cx="5763260" cy="3756491"/>
            <wp:effectExtent l="0" t="0" r="0" b="0"/>
            <wp:docPr id="14260364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640" name="Picture 1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6012" cy="3764803"/>
                    </a:xfrm>
                    <a:prstGeom prst="rect">
                      <a:avLst/>
                    </a:prstGeom>
                    <a:noFill/>
                  </pic:spPr>
                </pic:pic>
              </a:graphicData>
            </a:graphic>
          </wp:inline>
        </w:drawing>
      </w:r>
    </w:p>
    <w:p w14:paraId="64397A04" w14:textId="77777777" w:rsidR="00F76B27" w:rsidRPr="00421ABD" w:rsidRDefault="00F76B27" w:rsidP="00C33397">
      <w:pPr>
        <w:pStyle w:val="FootnoteText"/>
      </w:pPr>
      <w:r w:rsidRPr="00421ABD">
        <w:t>*Excludes cases aged &lt;15 years of age.</w:t>
      </w:r>
    </w:p>
    <w:p w14:paraId="164508A4" w14:textId="2EF47C40" w:rsidR="00F76B27" w:rsidRPr="00421ABD" w:rsidRDefault="00F76B27" w:rsidP="00C33397">
      <w:pPr>
        <w:pStyle w:val="Heading3"/>
      </w:pPr>
      <w:r w:rsidRPr="00421ABD">
        <w:t xml:space="preserve">Indicator 3.2 </w:t>
      </w:r>
      <w:r w:rsidR="00977F2F">
        <w:t>–</w:t>
      </w:r>
      <w:r w:rsidRPr="00421ABD">
        <w:t xml:space="preserve"> Number of </w:t>
      </w:r>
      <w:proofErr w:type="gramStart"/>
      <w:r w:rsidRPr="00421ABD">
        <w:t>outbreak</w:t>
      </w:r>
      <w:proofErr w:type="gramEnd"/>
      <w:r w:rsidRPr="00421ABD">
        <w:t xml:space="preserve"> associated congenital syphilis notifications </w:t>
      </w:r>
    </w:p>
    <w:p w14:paraId="71694814" w14:textId="70A0A599" w:rsidR="00F76B27" w:rsidRPr="00421ABD" w:rsidRDefault="00F76B27" w:rsidP="00C33397">
      <w:pPr>
        <w:pStyle w:val="Heading3"/>
      </w:pPr>
      <w:r w:rsidRPr="00421ABD">
        <w:t xml:space="preserve">Indicator 3.3 </w:t>
      </w:r>
      <w:r w:rsidR="00977F2F">
        <w:t>–</w:t>
      </w:r>
      <w:r w:rsidRPr="00421ABD">
        <w:t xml:space="preserve"> Number of </w:t>
      </w:r>
      <w:proofErr w:type="gramStart"/>
      <w:r w:rsidRPr="00421ABD">
        <w:t>outbreak</w:t>
      </w:r>
      <w:proofErr w:type="gramEnd"/>
      <w:r w:rsidRPr="00421ABD">
        <w:t xml:space="preserve"> associated congenital syphilis cases that were reported to have died from the condition </w:t>
      </w:r>
    </w:p>
    <w:p w14:paraId="6EFF128F" w14:textId="19D31E47" w:rsidR="00F76B27" w:rsidRPr="00D127F6" w:rsidRDefault="00F76B27" w:rsidP="00C33397">
      <w:r w:rsidRPr="00D127F6">
        <w:t>Since the commencement of the outbreak in Q1 2011 to Q</w:t>
      </w:r>
      <w:r w:rsidR="00D8111D" w:rsidRPr="00D127F6">
        <w:t>2</w:t>
      </w:r>
      <w:r w:rsidRPr="00D127F6">
        <w:t xml:space="preserve"> 202</w:t>
      </w:r>
      <w:r w:rsidR="002415CF" w:rsidRPr="00D127F6">
        <w:t>4</w:t>
      </w:r>
      <w:r w:rsidRPr="00D127F6">
        <w:t>, there were 3</w:t>
      </w:r>
      <w:r w:rsidR="00D8111D" w:rsidRPr="00D127F6">
        <w:t>3</w:t>
      </w:r>
      <w:r w:rsidRPr="00D127F6">
        <w:t xml:space="preserve"> outbreak associated cases of congenital syphilis reported, 12 from Queensland, </w:t>
      </w:r>
      <w:r w:rsidR="0028242F" w:rsidRPr="00D127F6">
        <w:t>10</w:t>
      </w:r>
      <w:r w:rsidRPr="00D127F6">
        <w:t xml:space="preserve"> from the Northern Territory, 7 from Western Australia and </w:t>
      </w:r>
      <w:r w:rsidR="002E3729" w:rsidRPr="00D127F6">
        <w:t>4</w:t>
      </w:r>
      <w:r w:rsidRPr="00D127F6">
        <w:t xml:space="preserve"> from South Australia. </w:t>
      </w:r>
      <w:r w:rsidR="0028242F" w:rsidRPr="00D127F6">
        <w:t>Eleven</w:t>
      </w:r>
      <w:r w:rsidRPr="00D127F6">
        <w:t xml:space="preserve"> (1</w:t>
      </w:r>
      <w:r w:rsidR="0028242F" w:rsidRPr="00D127F6">
        <w:t>1</w:t>
      </w:r>
      <w:r w:rsidRPr="00D127F6">
        <w:t>) of these cases were reported to have died from the condition, 7 from Queensland</w:t>
      </w:r>
      <w:r w:rsidR="0028242F" w:rsidRPr="00D127F6">
        <w:t>, 1 from the Northern Territory</w:t>
      </w:r>
      <w:r w:rsidRPr="00D127F6">
        <w:t xml:space="preserve"> and 3 from Western Australia (Figure 10).</w:t>
      </w:r>
    </w:p>
    <w:p w14:paraId="7818BAAB" w14:textId="77777777" w:rsidR="00F76B27" w:rsidRDefault="00F76B27" w:rsidP="00C33397">
      <w:pPr>
        <w:rPr>
          <w:rStyle w:val="IntenseEmphasis"/>
        </w:rPr>
      </w:pPr>
      <w:r w:rsidRPr="00D127F6">
        <w:rPr>
          <w:rStyle w:val="IntenseEmphasis"/>
        </w:rPr>
        <w:t>Please note that two cases (1 in 2013 and 1 in 2014) previously reported as outbreak cases of congenital syphilis from the NT have been excluded from the analysis and figure 10 below as they no longer meet the outbreak case definition.</w:t>
      </w:r>
    </w:p>
    <w:p w14:paraId="17AFCB0D" w14:textId="4E0D7C80" w:rsidR="00977F2F" w:rsidRPr="00977F2F" w:rsidRDefault="00977F2F" w:rsidP="00977F2F">
      <w:r w:rsidRPr="00977F2F">
        <w:br w:type="page"/>
      </w:r>
    </w:p>
    <w:p w14:paraId="078081C3" w14:textId="4F7E4957" w:rsidR="00F76B27" w:rsidRPr="00977F2F" w:rsidRDefault="00F76B27" w:rsidP="00977F2F">
      <w:r w:rsidRPr="00977F2F">
        <w:lastRenderedPageBreak/>
        <w:t>Figure 10:  Notifications (n) of outbreak associated congenital syphilis cases and reported deaths, by jurisdiction, and year, 2011 – Q</w:t>
      </w:r>
      <w:r w:rsidR="004815C5" w:rsidRPr="00977F2F">
        <w:t>2</w:t>
      </w:r>
      <w:r w:rsidRPr="00977F2F">
        <w:t xml:space="preserve"> 202</w:t>
      </w:r>
      <w:r w:rsidR="002415CF" w:rsidRPr="00977F2F">
        <w:t>4</w:t>
      </w:r>
      <w:r w:rsidRPr="00977F2F">
        <w:t xml:space="preserve"> </w:t>
      </w:r>
    </w:p>
    <w:p w14:paraId="67FEC425" w14:textId="6969BD3E" w:rsidR="00F76B27" w:rsidRPr="00C33397" w:rsidRDefault="00CC7FA6" w:rsidP="00C33397">
      <w:r w:rsidRPr="00C33397">
        <w:drawing>
          <wp:inline distT="0" distB="0" distL="0" distR="0" wp14:anchorId="2E5DF6A2" wp14:editId="07FF66C7">
            <wp:extent cx="5786900" cy="3771900"/>
            <wp:effectExtent l="0" t="0" r="4445" b="0"/>
            <wp:docPr id="93719771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97714" name="Picture 23">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2803" cy="3775748"/>
                    </a:xfrm>
                    <a:prstGeom prst="rect">
                      <a:avLst/>
                    </a:prstGeom>
                    <a:noFill/>
                  </pic:spPr>
                </pic:pic>
              </a:graphicData>
            </a:graphic>
          </wp:inline>
        </w:drawing>
      </w:r>
    </w:p>
    <w:p w14:paraId="33B7A306" w14:textId="6FA35367" w:rsidR="00F76B27" w:rsidRPr="00D127F6" w:rsidRDefault="00F76B27" w:rsidP="00C33397">
      <w:pPr>
        <w:pStyle w:val="Heading3"/>
      </w:pPr>
      <w:r w:rsidRPr="00D127F6">
        <w:t xml:space="preserve">Indicator 3.4 </w:t>
      </w:r>
      <w:r w:rsidR="00977F2F">
        <w:t>–</w:t>
      </w:r>
      <w:r w:rsidRPr="00D127F6">
        <w:t xml:space="preserve"> Proportion of outbreak associated infectious syphilis </w:t>
      </w:r>
      <w:r w:rsidR="001F395A" w:rsidRPr="00D127F6">
        <w:t>n</w:t>
      </w:r>
      <w:r w:rsidRPr="00D127F6">
        <w:t xml:space="preserve">otifications among women who were pregnant at time of </w:t>
      </w:r>
      <w:proofErr w:type="gramStart"/>
      <w:r w:rsidRPr="00D127F6">
        <w:t>diagnosis</w:t>
      </w:r>
      <w:proofErr w:type="gramEnd"/>
    </w:p>
    <w:p w14:paraId="26F5E005" w14:textId="77777777" w:rsidR="00F76B27" w:rsidRPr="00421ABD" w:rsidRDefault="00F76B27" w:rsidP="00C33397">
      <w:r w:rsidRPr="00421ABD">
        <w:t>Pregnancy status was available for all 3 outbreak jurisdictions from 2020 onwards (Queensland, Western Australia, and South Australia). Between 2017 and 2019, pregnancy status was available for 2 out of 4 jurisdictions (Queensland and Western Australia). Given the high proportion of cases with an unknown pregnancy status and retrospective changes to the data, trends over time should be interpreted with caution.</w:t>
      </w:r>
    </w:p>
    <w:p w14:paraId="419FD431" w14:textId="77777777" w:rsidR="00F76B27" w:rsidRPr="00421ABD" w:rsidRDefault="00F76B27" w:rsidP="00C33397">
      <w:pPr>
        <w:rPr>
          <w:rStyle w:val="Emphasis"/>
        </w:rPr>
      </w:pPr>
      <w:r w:rsidRPr="00421ABD">
        <w:rPr>
          <w:rStyle w:val="Emphasis"/>
        </w:rPr>
        <w:t xml:space="preserve">Please note there may be differences with previous reports due to pregnancy status being reclassified in some women and the inclusion of new historical data from jurisdictions. In addition, previous reports have included data from the NT; </w:t>
      </w:r>
      <w:proofErr w:type="gramStart"/>
      <w:r w:rsidRPr="00421ABD">
        <w:rPr>
          <w:rStyle w:val="Emphasis"/>
        </w:rPr>
        <w:t>however</w:t>
      </w:r>
      <w:proofErr w:type="gramEnd"/>
      <w:r w:rsidRPr="00421ABD">
        <w:rPr>
          <w:rStyle w:val="Emphasis"/>
        </w:rPr>
        <w:t xml:space="preserve"> these data have been excluded due to known data issues.</w:t>
      </w:r>
    </w:p>
    <w:p w14:paraId="2B9C345E" w14:textId="1BF72A24" w:rsidR="00977F2F" w:rsidRDefault="002415CF" w:rsidP="00C33397">
      <w:r w:rsidRPr="00421ABD">
        <w:t xml:space="preserve">In the first </w:t>
      </w:r>
      <w:r w:rsidR="00257572" w:rsidRPr="00421ABD">
        <w:t>six months</w:t>
      </w:r>
      <w:r w:rsidRPr="00421ABD">
        <w:t xml:space="preserve"> of 2024</w:t>
      </w:r>
      <w:r w:rsidR="00F76B27" w:rsidRPr="00421ABD">
        <w:t xml:space="preserve"> of the outbreak associated notifications of infectious syphilis among women of reproductive age (15-44 years) reported in Queensland, Western Australia, and South Australia, </w:t>
      </w:r>
      <w:r w:rsidR="00F46748" w:rsidRPr="00421ABD">
        <w:t>10</w:t>
      </w:r>
      <w:r w:rsidR="00F76B27" w:rsidRPr="00421ABD">
        <w:t xml:space="preserve">% were pregnant, </w:t>
      </w:r>
      <w:r w:rsidR="00B628A5" w:rsidRPr="00421ABD">
        <w:t>7</w:t>
      </w:r>
      <w:r w:rsidR="00F46748" w:rsidRPr="00421ABD">
        <w:t>8</w:t>
      </w:r>
      <w:r w:rsidR="00F76B27" w:rsidRPr="00421ABD">
        <w:t xml:space="preserve">% were not pregnant and </w:t>
      </w:r>
      <w:r w:rsidR="00F46748" w:rsidRPr="00421ABD">
        <w:t>12</w:t>
      </w:r>
      <w:r w:rsidR="00F76B27" w:rsidRPr="00421ABD">
        <w:t xml:space="preserve">% had an unknown pregnancy status (Figure 11). </w:t>
      </w:r>
    </w:p>
    <w:p w14:paraId="741875FA" w14:textId="77777777" w:rsidR="00977F2F" w:rsidRPr="00977F2F" w:rsidRDefault="00977F2F" w:rsidP="00977F2F">
      <w:r w:rsidRPr="00977F2F">
        <w:br w:type="page"/>
      </w:r>
    </w:p>
    <w:p w14:paraId="2291C873" w14:textId="4F7111A6" w:rsidR="00F76B27" w:rsidRPr="0092599C" w:rsidRDefault="00F76B27" w:rsidP="00C33397">
      <w:pPr>
        <w:pStyle w:val="Caption"/>
      </w:pPr>
      <w:r w:rsidRPr="00684D52">
        <w:rPr>
          <w:lang w:val="en-US"/>
        </w:rPr>
        <w:lastRenderedPageBreak/>
        <w:t>Figure 11: Proportion (%) of outbreak associated syphilis notifications among women of reproductive age (15-44 years), by pregnancy status at time of syphilis diagnosis and year, 2017 – Q</w:t>
      </w:r>
      <w:r w:rsidR="00D10979" w:rsidRPr="00684D52">
        <w:rPr>
          <w:lang w:val="en-US"/>
        </w:rPr>
        <w:t>2</w:t>
      </w:r>
      <w:r w:rsidRPr="00684D52">
        <w:rPr>
          <w:lang w:val="en-US"/>
        </w:rPr>
        <w:t xml:space="preserve"> 202</w:t>
      </w:r>
      <w:r w:rsidR="002415CF" w:rsidRPr="00684D52">
        <w:rPr>
          <w:lang w:val="en-US"/>
        </w:rPr>
        <w:t>4</w:t>
      </w:r>
      <w:r w:rsidRPr="00684D52">
        <w:rPr>
          <w:lang w:val="en-US"/>
        </w:rPr>
        <w:t xml:space="preserve"> </w:t>
      </w:r>
    </w:p>
    <w:p w14:paraId="4DC3B67F" w14:textId="50F3E134" w:rsidR="00F76B27" w:rsidRPr="002941CB" w:rsidRDefault="00D10979" w:rsidP="00C33397">
      <w:r w:rsidRPr="002941CB">
        <w:drawing>
          <wp:inline distT="0" distB="0" distL="0" distR="0" wp14:anchorId="32423F5C" wp14:editId="2B213B39">
            <wp:extent cx="5891842" cy="3840302"/>
            <wp:effectExtent l="0" t="0" r="0" b="8255"/>
            <wp:docPr id="202467005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70055" name="Picture 18">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7468" cy="3857005"/>
                    </a:xfrm>
                    <a:prstGeom prst="rect">
                      <a:avLst/>
                    </a:prstGeom>
                    <a:noFill/>
                  </pic:spPr>
                </pic:pic>
              </a:graphicData>
            </a:graphic>
          </wp:inline>
        </w:drawing>
      </w:r>
    </w:p>
    <w:p w14:paraId="683D145B" w14:textId="51E12CB0" w:rsidR="00F76B27" w:rsidRPr="00D127F6" w:rsidRDefault="00F76B27" w:rsidP="00C33397">
      <w:pPr>
        <w:pStyle w:val="Heading3"/>
      </w:pPr>
      <w:r w:rsidRPr="00D127F6">
        <w:t xml:space="preserve">Indicator 3.5 </w:t>
      </w:r>
      <w:r w:rsidR="00977F2F">
        <w:t>–</w:t>
      </w:r>
      <w:r w:rsidRPr="00D127F6">
        <w:t xml:space="preserve"> Cumulative number of syphilis tests delivered through participating ACCHS in outbreak affected </w:t>
      </w:r>
      <w:proofErr w:type="gramStart"/>
      <w:r w:rsidRPr="00D127F6">
        <w:t>jurisdictions</w:t>
      </w:r>
      <w:proofErr w:type="gramEnd"/>
    </w:p>
    <w:p w14:paraId="0A42C852" w14:textId="27A07406" w:rsidR="00F76B27" w:rsidRPr="00D127F6" w:rsidRDefault="00F76B27" w:rsidP="00C33397">
      <w:pPr>
        <w:pStyle w:val="Heading3"/>
      </w:pPr>
      <w:r w:rsidRPr="00D127F6">
        <w:t xml:space="preserve">Indicator 3.6 </w:t>
      </w:r>
      <w:r w:rsidR="00977F2F">
        <w:t>–</w:t>
      </w:r>
      <w:r w:rsidRPr="00D127F6">
        <w:t xml:space="preserve"> Proportion of people attending participating ACCHS who received a syphilis </w:t>
      </w:r>
      <w:proofErr w:type="gramStart"/>
      <w:r w:rsidRPr="00D127F6">
        <w:t>test</w:t>
      </w:r>
      <w:proofErr w:type="gramEnd"/>
      <w:r w:rsidRPr="00D127F6">
        <w:t xml:space="preserve"> </w:t>
      </w:r>
    </w:p>
    <w:p w14:paraId="3F0B9C6C" w14:textId="77777777" w:rsidR="00F76B27" w:rsidRPr="00D127F6" w:rsidRDefault="00F76B27" w:rsidP="00D127F6">
      <w:bookmarkStart w:id="4" w:name="_Hlk150410103"/>
      <w:r w:rsidRPr="00D127F6">
        <w:t xml:space="preserve">In August 2018, the test and treat model to curb the syphilis outbreak in Aboriginal and Torres Strait Islander communities commenced at Aboriginal Community Controlled Health Services (ACCHS) in Townsville, Cairns (Queensland), and Darwin (Northern Territory). In September 2018, the second phase commenced at ACCHS in Katherine, East Arnhem (Northern Territory), and the Kimberley (Western Australia). In May 2019, the third phase commenced at additional ACCHS in West Arnhem (Northern Territory), Pilbara, Kimberley (Western Australia), Adelaide, Port Augusta, Port Lincoln, Whyalla, Yalata, Ceduna, and Coober Pedy (South Australia). In May 2020, the fourth phase commenced at ACCHS in Mt Isa (Queensland), Tennant Creek, and Alice Springs (Northern Territory). From July 2021, the National Aboriginal Community Controlled Health Organisation (NACCHO) has been commissioned to deliver the test and treat model within the prescribed syphilis outbreak regions. Additional ACCHS were selected to commence in Innisfail, Bamaga, Rockhampton, Mareeba, Palm Island (Queensland), East Arnhem, Kintore, Utopia, Barkley Region (Northern Territory), Broome, and Kalgoorlie (Western Australia). </w:t>
      </w:r>
      <w:bookmarkEnd w:id="4"/>
      <w:r w:rsidRPr="00D127F6">
        <w:t>The below data summarises syphilis testing data and coverage for participating ACCHS, noting that data are missing for some services.</w:t>
      </w:r>
    </w:p>
    <w:p w14:paraId="49E5A877" w14:textId="11665950" w:rsidR="002415CF" w:rsidRPr="00D127F6" w:rsidRDefault="00F76B27" w:rsidP="00D127F6">
      <w:pPr>
        <w:rPr>
          <w:rStyle w:val="Emphasis"/>
        </w:rPr>
      </w:pPr>
      <w:r w:rsidRPr="00D127F6">
        <w:rPr>
          <w:rStyle w:val="Emphasis"/>
        </w:rPr>
        <w:t xml:space="preserve">Please note there may be differences with previous reports due to changes in reporting periods from monthly to quarterly; retrospective revision of data </w:t>
      </w:r>
      <w:proofErr w:type="gramStart"/>
      <w:r w:rsidRPr="00D127F6">
        <w:rPr>
          <w:rStyle w:val="Emphasis"/>
        </w:rPr>
        <w:t>and;</w:t>
      </w:r>
      <w:proofErr w:type="gramEnd"/>
      <w:r w:rsidRPr="00D127F6">
        <w:rPr>
          <w:rStyle w:val="Emphasis"/>
        </w:rPr>
        <w:t xml:space="preserve"> completeness of historical data.</w:t>
      </w:r>
    </w:p>
    <w:p w14:paraId="0C639E01" w14:textId="01D72C64" w:rsidR="00F76B27" w:rsidRPr="0092599C" w:rsidRDefault="00F76B27" w:rsidP="0092599C">
      <w:r w:rsidRPr="0092599C">
        <w:lastRenderedPageBreak/>
        <w:t>As at Q</w:t>
      </w:r>
      <w:r w:rsidR="0098542F" w:rsidRPr="0092599C">
        <w:t>2</w:t>
      </w:r>
      <w:r w:rsidRPr="0092599C">
        <w:t xml:space="preserve"> 202</w:t>
      </w:r>
      <w:r w:rsidR="002415CF" w:rsidRPr="0092599C">
        <w:t>4</w:t>
      </w:r>
      <w:r w:rsidRPr="0092599C">
        <w:t>, through participating ACCHS (Figures 12 and 13 a-b):</w:t>
      </w:r>
    </w:p>
    <w:p w14:paraId="64B151AC" w14:textId="60E51474" w:rsidR="00F76B27" w:rsidRPr="00684D52" w:rsidRDefault="002415CF" w:rsidP="00421ABD">
      <w:pPr>
        <w:pStyle w:val="ListBullet"/>
      </w:pPr>
      <w:r w:rsidRPr="00684D52">
        <w:t>13</w:t>
      </w:r>
      <w:r w:rsidR="0098542F" w:rsidRPr="00684D52">
        <w:t>8</w:t>
      </w:r>
      <w:r w:rsidRPr="00684D52">
        <w:t>,</w:t>
      </w:r>
      <w:r w:rsidR="0098542F" w:rsidRPr="00684D52">
        <w:t>603</w:t>
      </w:r>
      <w:r w:rsidR="00F76B27" w:rsidRPr="00684D52">
        <w:t xml:space="preserve"> syphilis tests, point-of-care tests (</w:t>
      </w:r>
      <w:proofErr w:type="spellStart"/>
      <w:r w:rsidR="00F76B27" w:rsidRPr="00684D52">
        <w:t>PoCT</w:t>
      </w:r>
      <w:proofErr w:type="spellEnd"/>
      <w:r w:rsidR="00F76B27" w:rsidRPr="00684D52">
        <w:t xml:space="preserve">) and serological tests, were delivered from the commencement of phase 1 of the test and treat model rollout on 1 August 2018.  On average </w:t>
      </w:r>
      <w:r w:rsidR="001543BA" w:rsidRPr="00684D52">
        <w:t>5,</w:t>
      </w:r>
      <w:r w:rsidRPr="00684D52">
        <w:t>7</w:t>
      </w:r>
      <w:r w:rsidR="00AD524C" w:rsidRPr="00684D52">
        <w:t>88</w:t>
      </w:r>
      <w:r w:rsidR="00F76B27" w:rsidRPr="00684D52">
        <w:t xml:space="preserve"> new tests are performed each quarter (Figure 12).</w:t>
      </w:r>
    </w:p>
    <w:p w14:paraId="01970E00" w14:textId="7AA1FA12" w:rsidR="00F76B27" w:rsidRPr="00684D52" w:rsidRDefault="003A6B8E" w:rsidP="00421ABD">
      <w:pPr>
        <w:pStyle w:val="ListBullet"/>
      </w:pPr>
      <w:r>
        <w:t>T</w:t>
      </w:r>
      <w:r w:rsidR="00F76B27" w:rsidRPr="00684D52">
        <w:t>he quarterly testing coverage for clients attending participating services for all age groups was 1</w:t>
      </w:r>
      <w:r w:rsidR="00AE0E84" w:rsidRPr="00684D52">
        <w:t>5</w:t>
      </w:r>
      <w:r w:rsidR="00F76B27" w:rsidRPr="00684D52">
        <w:t xml:space="preserve">%, </w:t>
      </w:r>
      <w:r w:rsidR="00AE0E84" w:rsidRPr="00684D52">
        <w:t>slightly higher</w:t>
      </w:r>
      <w:r w:rsidR="001543BA" w:rsidRPr="00684D52">
        <w:t xml:space="preserve"> </w:t>
      </w:r>
      <w:r w:rsidR="00F76B27" w:rsidRPr="00684D52">
        <w:t>quarterly average for the preceding 12 months</w:t>
      </w:r>
      <w:r w:rsidR="009B4859" w:rsidRPr="00684D52">
        <w:t xml:space="preserve"> (14%)</w:t>
      </w:r>
      <w:r w:rsidR="00F76B27" w:rsidRPr="00684D52">
        <w:t xml:space="preserve"> (Figure 13a).</w:t>
      </w:r>
    </w:p>
    <w:p w14:paraId="1B00D9AA" w14:textId="06FA3CE6" w:rsidR="00F76B27" w:rsidRPr="00684D52" w:rsidRDefault="003A6B8E" w:rsidP="00421ABD">
      <w:pPr>
        <w:pStyle w:val="ListBullet"/>
      </w:pPr>
      <w:r>
        <w:t>T</w:t>
      </w:r>
      <w:r w:rsidR="00F76B27" w:rsidRPr="00684D52">
        <w:t>he quarterly testing coverage for clients attending participating services within the target age group (15-34 years) was 2</w:t>
      </w:r>
      <w:r w:rsidR="002415CF" w:rsidRPr="00684D52">
        <w:t>4</w:t>
      </w:r>
      <w:r w:rsidR="00F76B27" w:rsidRPr="00684D52">
        <w:t xml:space="preserve">%, the </w:t>
      </w:r>
      <w:r w:rsidR="001543BA" w:rsidRPr="00684D52">
        <w:t xml:space="preserve">same as the </w:t>
      </w:r>
      <w:r w:rsidR="00F76B27" w:rsidRPr="00684D52">
        <w:t>quarterly average for the preceding 12 months (Figure 13b).</w:t>
      </w:r>
    </w:p>
    <w:p w14:paraId="5DA1338C" w14:textId="51619443" w:rsidR="00F76B27" w:rsidRPr="00D127F6" w:rsidRDefault="00A61C83" w:rsidP="00421ABD">
      <w:pPr>
        <w:pStyle w:val="ListBullet"/>
      </w:pPr>
      <w:r>
        <w:t>S</w:t>
      </w:r>
      <w:r w:rsidR="00F76B27" w:rsidRPr="00684D52">
        <w:t>erology only was the most common method of syphilis diagnosis during Q</w:t>
      </w:r>
      <w:r w:rsidR="00C20360" w:rsidRPr="00684D52">
        <w:t>2</w:t>
      </w:r>
      <w:r w:rsidR="00F76B27" w:rsidRPr="00684D52">
        <w:t xml:space="preserve"> 202</w:t>
      </w:r>
      <w:r w:rsidR="002415CF" w:rsidRPr="00684D52">
        <w:t>4</w:t>
      </w:r>
      <w:r w:rsidR="00F76B27" w:rsidRPr="00684D52">
        <w:t xml:space="preserve"> (9</w:t>
      </w:r>
      <w:r w:rsidR="00C20360" w:rsidRPr="00684D52">
        <w:t>1</w:t>
      </w:r>
      <w:r w:rsidR="00F76B27" w:rsidRPr="00684D52">
        <w:t>%) consistent with historical trends (average 8</w:t>
      </w:r>
      <w:r w:rsidR="002415CF" w:rsidRPr="00684D52">
        <w:t>9</w:t>
      </w:r>
      <w:r w:rsidR="00F76B27" w:rsidRPr="00684D52">
        <w:t xml:space="preserve">%). A combination of serology and </w:t>
      </w:r>
      <w:proofErr w:type="spellStart"/>
      <w:r w:rsidR="00F76B27" w:rsidRPr="00684D52">
        <w:t>PoCT</w:t>
      </w:r>
      <w:proofErr w:type="spellEnd"/>
      <w:r w:rsidR="00F76B27" w:rsidRPr="00684D52">
        <w:t xml:space="preserve"> represented the second highest proportion (Q</w:t>
      </w:r>
      <w:r w:rsidR="0081426B" w:rsidRPr="00684D52">
        <w:t>2</w:t>
      </w:r>
      <w:r w:rsidR="002415CF" w:rsidRPr="00684D52">
        <w:t xml:space="preserve"> 2024</w:t>
      </w:r>
      <w:r w:rsidR="00F76B27" w:rsidRPr="00684D52">
        <w:t xml:space="preserve"> </w:t>
      </w:r>
      <w:r w:rsidR="0081426B" w:rsidRPr="00684D52">
        <w:t>7</w:t>
      </w:r>
      <w:r w:rsidR="00F76B27" w:rsidRPr="00684D52">
        <w:t>%; historic</w:t>
      </w:r>
      <w:r w:rsidR="002415CF" w:rsidRPr="00684D52">
        <w:t>al average</w:t>
      </w:r>
      <w:r w:rsidR="00F76B27" w:rsidRPr="00684D52">
        <w:t xml:space="preserve"> 8%) followed by </w:t>
      </w:r>
      <w:proofErr w:type="spellStart"/>
      <w:r w:rsidR="00F76B27" w:rsidRPr="00684D52">
        <w:t>PoCT</w:t>
      </w:r>
      <w:proofErr w:type="spellEnd"/>
      <w:r w:rsidR="00F76B27" w:rsidRPr="00684D52">
        <w:t xml:space="preserve"> only (Q</w:t>
      </w:r>
      <w:r w:rsidR="0081426B" w:rsidRPr="00684D52">
        <w:t>2</w:t>
      </w:r>
      <w:r w:rsidR="002415CF" w:rsidRPr="00684D52">
        <w:t xml:space="preserve"> 2024</w:t>
      </w:r>
      <w:r w:rsidR="00F76B27" w:rsidRPr="00684D52">
        <w:t xml:space="preserve"> </w:t>
      </w:r>
      <w:r w:rsidR="001543BA" w:rsidRPr="00684D52">
        <w:t>2</w:t>
      </w:r>
      <w:r w:rsidR="00F76B27" w:rsidRPr="00684D52">
        <w:t>%; historical</w:t>
      </w:r>
      <w:r w:rsidR="002415CF" w:rsidRPr="00684D52">
        <w:t xml:space="preserve"> average</w:t>
      </w:r>
      <w:r w:rsidR="00F76B27" w:rsidRPr="00684D52">
        <w:t xml:space="preserve"> 4%) (Figure 14).</w:t>
      </w:r>
    </w:p>
    <w:p w14:paraId="0C4362EF" w14:textId="77777777" w:rsidR="00F76B27" w:rsidRPr="00D127F6" w:rsidRDefault="00F76B27" w:rsidP="00D127F6">
      <w:pPr>
        <w:rPr>
          <w:rStyle w:val="Emphasis"/>
        </w:rPr>
      </w:pPr>
      <w:r w:rsidRPr="00D127F6">
        <w:rPr>
          <w:rStyle w:val="Emphasis"/>
        </w:rPr>
        <w:t>Please note that at the time of writing data were missing for some services and therefore testing numbers reported are likely to be an underestimate of all tests delivered.</w:t>
      </w:r>
    </w:p>
    <w:p w14:paraId="2C812DEF" w14:textId="79B205DD" w:rsidR="00F76B27" w:rsidRPr="0092599C" w:rsidRDefault="00F76B27" w:rsidP="00D127F6">
      <w:pPr>
        <w:pStyle w:val="Caption"/>
      </w:pPr>
      <w:r w:rsidRPr="00684D52">
        <w:rPr>
          <w:lang w:val="en-US"/>
        </w:rPr>
        <w:t>Figure 12: Cumulative number of syphilis tests (</w:t>
      </w:r>
      <w:proofErr w:type="spellStart"/>
      <w:r w:rsidRPr="00684D52">
        <w:rPr>
          <w:lang w:val="en-US"/>
        </w:rPr>
        <w:t>PoCT</w:t>
      </w:r>
      <w:proofErr w:type="spellEnd"/>
      <w:r w:rsidRPr="00684D52">
        <w:rPr>
          <w:lang w:val="en-US"/>
        </w:rPr>
        <w:t xml:space="preserve"> and/or serology) delivered through participating ACCHS to Aboriginal and Torres Strait Islander peoples, by quarter and year, Q3 2018* – Q</w:t>
      </w:r>
      <w:r w:rsidR="006371D4" w:rsidRPr="00684D52">
        <w:rPr>
          <w:lang w:val="en-US"/>
        </w:rPr>
        <w:t>2</w:t>
      </w:r>
      <w:r w:rsidRPr="00684D52">
        <w:rPr>
          <w:lang w:val="en-US"/>
        </w:rPr>
        <w:t xml:space="preserve"> 202</w:t>
      </w:r>
      <w:r w:rsidR="002415CF" w:rsidRPr="00684D52">
        <w:rPr>
          <w:lang w:val="en-US"/>
        </w:rPr>
        <w:t>4</w:t>
      </w:r>
    </w:p>
    <w:p w14:paraId="72CBE4B7" w14:textId="220BE482" w:rsidR="00F76B27" w:rsidRPr="0092599C" w:rsidRDefault="006037B9" w:rsidP="0092599C">
      <w:r w:rsidRPr="0092599C">
        <w:drawing>
          <wp:inline distT="0" distB="0" distL="0" distR="0" wp14:anchorId="38C80B28" wp14:editId="09C9C2BA">
            <wp:extent cx="5828615" cy="3800475"/>
            <wp:effectExtent l="0" t="0" r="1270" b="0"/>
            <wp:docPr id="30029443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94436" name="Picture 19">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45998" cy="3811809"/>
                    </a:xfrm>
                    <a:prstGeom prst="rect">
                      <a:avLst/>
                    </a:prstGeom>
                    <a:noFill/>
                  </pic:spPr>
                </pic:pic>
              </a:graphicData>
            </a:graphic>
          </wp:inline>
        </w:drawing>
      </w:r>
    </w:p>
    <w:p w14:paraId="131237D8" w14:textId="77777777" w:rsidR="00F76B27" w:rsidRPr="00421ABD" w:rsidRDefault="00F76B27" w:rsidP="00421ABD">
      <w:pPr>
        <w:pStyle w:val="FootnoteText"/>
      </w:pPr>
      <w:r w:rsidRPr="00421ABD">
        <w:t>*Q3 2018 includes data for August and September only.</w:t>
      </w:r>
    </w:p>
    <w:p w14:paraId="2C624543" w14:textId="77777777" w:rsidR="006037B9" w:rsidRPr="00C33397" w:rsidRDefault="006037B9" w:rsidP="00C33397">
      <w:r w:rsidRPr="00C33397">
        <w:br w:type="page"/>
      </w:r>
    </w:p>
    <w:p w14:paraId="22099A0D" w14:textId="1FB859A6" w:rsidR="00F76B27" w:rsidRPr="0092599C" w:rsidRDefault="00F76B27" w:rsidP="00D127F6">
      <w:pPr>
        <w:pStyle w:val="Caption"/>
      </w:pPr>
      <w:r w:rsidRPr="00684D52">
        <w:rPr>
          <w:lang w:val="en-US"/>
        </w:rPr>
        <w:lastRenderedPageBreak/>
        <w:t>Figure 13 a-b:  Proportion of Aboriginal and Torres Strait Islander clients attending participating ACCHS who received a syphilis test (</w:t>
      </w:r>
      <w:proofErr w:type="spellStart"/>
      <w:r w:rsidRPr="00684D52">
        <w:rPr>
          <w:lang w:val="en-US"/>
        </w:rPr>
        <w:t>PoCT</w:t>
      </w:r>
      <w:proofErr w:type="spellEnd"/>
      <w:r w:rsidRPr="00684D52">
        <w:rPr>
          <w:lang w:val="en-US"/>
        </w:rPr>
        <w:t xml:space="preserve"> and/or serology), quarter and year, Q3 2018* – Q</w:t>
      </w:r>
      <w:r w:rsidR="00855011" w:rsidRPr="00684D52">
        <w:rPr>
          <w:lang w:val="en-US"/>
        </w:rPr>
        <w:t>2</w:t>
      </w:r>
      <w:r w:rsidRPr="00684D52">
        <w:rPr>
          <w:lang w:val="en-US"/>
        </w:rPr>
        <w:t xml:space="preserve"> 202</w:t>
      </w:r>
      <w:r w:rsidR="002415CF" w:rsidRPr="00684D52">
        <w:rPr>
          <w:lang w:val="en-US"/>
        </w:rPr>
        <w:t>4</w:t>
      </w:r>
      <w:r w:rsidRPr="00421ABD">
        <w:rPr>
          <w:rStyle w:val="FootnoteReference"/>
        </w:rPr>
        <w:footnoteReference w:id="13"/>
      </w:r>
      <w:r w:rsidRPr="00684D52">
        <w:rPr>
          <w:lang w:val="en-US"/>
        </w:rPr>
        <w:t xml:space="preserve"> (a. all age groups b. target age group 15-34 years)</w:t>
      </w:r>
    </w:p>
    <w:p w14:paraId="6567A8FB" w14:textId="26063557" w:rsidR="00F76B27" w:rsidRPr="0092599C" w:rsidRDefault="00F76B27" w:rsidP="00977F2F">
      <w:pPr>
        <w:pStyle w:val="ListNumber2"/>
        <w:numPr>
          <w:ilvl w:val="0"/>
          <w:numId w:val="50"/>
        </w:numPr>
      </w:pPr>
      <w:r w:rsidRPr="0092599C">
        <w:t xml:space="preserve">All age </w:t>
      </w:r>
      <w:proofErr w:type="gramStart"/>
      <w:r w:rsidRPr="0092599C">
        <w:t>groups</w:t>
      </w:r>
      <w:proofErr w:type="gramEnd"/>
    </w:p>
    <w:p w14:paraId="54CA913B" w14:textId="285B5A8D" w:rsidR="00F76B27" w:rsidRPr="0092599C" w:rsidRDefault="00855011" w:rsidP="0092599C">
      <w:r w:rsidRPr="0092599C">
        <w:drawing>
          <wp:inline distT="0" distB="0" distL="0" distR="0" wp14:anchorId="746F2E51" wp14:editId="48490A85">
            <wp:extent cx="5536455" cy="3609975"/>
            <wp:effectExtent l="0" t="0" r="7620" b="0"/>
            <wp:docPr id="15799349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34920" name="Picture 20">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62111" cy="3626704"/>
                    </a:xfrm>
                    <a:prstGeom prst="rect">
                      <a:avLst/>
                    </a:prstGeom>
                    <a:noFill/>
                  </pic:spPr>
                </pic:pic>
              </a:graphicData>
            </a:graphic>
          </wp:inline>
        </w:drawing>
      </w:r>
    </w:p>
    <w:p w14:paraId="7A325B6C" w14:textId="08E4592A" w:rsidR="00F76B27" w:rsidRPr="0092599C" w:rsidRDefault="00F76B27" w:rsidP="00C33397">
      <w:pPr>
        <w:pStyle w:val="ListNumber2"/>
      </w:pPr>
      <w:r w:rsidRPr="0092599C">
        <w:t>Target age group (15-34 years)</w:t>
      </w:r>
    </w:p>
    <w:p w14:paraId="78EA3A03" w14:textId="162623DF" w:rsidR="00F76B27" w:rsidRPr="0092599C" w:rsidRDefault="00F33B0D" w:rsidP="0092599C">
      <w:r w:rsidRPr="0092599C">
        <w:drawing>
          <wp:inline distT="0" distB="0" distL="0" distR="0" wp14:anchorId="5A742DCA" wp14:editId="35256FC7">
            <wp:extent cx="5572125" cy="3633235"/>
            <wp:effectExtent l="0" t="0" r="0" b="5715"/>
            <wp:docPr id="157779270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92702" name="Picture 2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0005" cy="3651414"/>
                    </a:xfrm>
                    <a:prstGeom prst="rect">
                      <a:avLst/>
                    </a:prstGeom>
                    <a:noFill/>
                  </pic:spPr>
                </pic:pic>
              </a:graphicData>
            </a:graphic>
          </wp:inline>
        </w:drawing>
      </w:r>
    </w:p>
    <w:p w14:paraId="4CC087FD" w14:textId="77777777" w:rsidR="00F76B27" w:rsidRPr="002941CB" w:rsidRDefault="00F76B27" w:rsidP="00D271FA">
      <w:pPr>
        <w:pStyle w:val="FootnoteText"/>
      </w:pPr>
      <w:r w:rsidRPr="002941CB">
        <w:lastRenderedPageBreak/>
        <w:t>*Q3 2018 includes data for August and September only.</w:t>
      </w:r>
    </w:p>
    <w:p w14:paraId="112DDB57" w14:textId="648E4E07" w:rsidR="00F76B27" w:rsidRPr="0092599C" w:rsidRDefault="00F76B27" w:rsidP="00D127F6">
      <w:pPr>
        <w:pStyle w:val="Caption"/>
      </w:pPr>
      <w:r w:rsidRPr="00684D52">
        <w:rPr>
          <w:lang w:val="en-US"/>
        </w:rPr>
        <w:t>Figure 14: Syphilis tests delivered through participating ACCHS, by test type (</w:t>
      </w:r>
      <w:proofErr w:type="spellStart"/>
      <w:r w:rsidRPr="00684D52">
        <w:rPr>
          <w:lang w:val="en-US"/>
        </w:rPr>
        <w:t>PoCT</w:t>
      </w:r>
      <w:proofErr w:type="spellEnd"/>
      <w:r w:rsidRPr="00684D52">
        <w:rPr>
          <w:lang w:val="en-US"/>
        </w:rPr>
        <w:t xml:space="preserve"> only, serology only and both serology and </w:t>
      </w:r>
      <w:proofErr w:type="spellStart"/>
      <w:r w:rsidRPr="00684D52">
        <w:rPr>
          <w:lang w:val="en-US"/>
        </w:rPr>
        <w:t>PoCT</w:t>
      </w:r>
      <w:proofErr w:type="spellEnd"/>
      <w:r w:rsidRPr="00684D52">
        <w:rPr>
          <w:lang w:val="en-US"/>
        </w:rPr>
        <w:t>), by quarter and year, Q3* 2018 – Q</w:t>
      </w:r>
      <w:r w:rsidR="00163863" w:rsidRPr="00684D52">
        <w:rPr>
          <w:lang w:val="en-US"/>
        </w:rPr>
        <w:t>2</w:t>
      </w:r>
      <w:r w:rsidRPr="00684D52">
        <w:rPr>
          <w:lang w:val="en-US"/>
        </w:rPr>
        <w:t xml:space="preserve"> 202</w:t>
      </w:r>
      <w:r w:rsidR="002415CF" w:rsidRPr="00684D52">
        <w:rPr>
          <w:lang w:val="en-US"/>
        </w:rPr>
        <w:t>4</w:t>
      </w:r>
    </w:p>
    <w:p w14:paraId="274457B2" w14:textId="3906BBF2" w:rsidR="00F76B27" w:rsidRPr="0092599C" w:rsidRDefault="007F60E1" w:rsidP="0092599C">
      <w:r w:rsidRPr="0092599C">
        <w:drawing>
          <wp:inline distT="0" distB="0" distL="0" distR="0" wp14:anchorId="07463D67" wp14:editId="783DE880">
            <wp:extent cx="6179207" cy="4029075"/>
            <wp:effectExtent l="0" t="0" r="0" b="0"/>
            <wp:docPr id="85502407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24072" name="Picture 22">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8436" cy="4035093"/>
                    </a:xfrm>
                    <a:prstGeom prst="rect">
                      <a:avLst/>
                    </a:prstGeom>
                    <a:noFill/>
                  </pic:spPr>
                </pic:pic>
              </a:graphicData>
            </a:graphic>
          </wp:inline>
        </w:drawing>
      </w:r>
    </w:p>
    <w:p w14:paraId="03E51F42" w14:textId="77777777" w:rsidR="00F76B27" w:rsidRPr="002941CB" w:rsidRDefault="00F76B27" w:rsidP="002941CB">
      <w:pPr>
        <w:pStyle w:val="FootnoteText"/>
      </w:pPr>
      <w:r w:rsidRPr="002941CB">
        <w:t>*Q3 2018 includes data for August and September only.</w:t>
      </w:r>
    </w:p>
    <w:p w14:paraId="40A652F2" w14:textId="7359E4FC" w:rsidR="00F76B27" w:rsidRPr="00D127F6" w:rsidRDefault="00F76B27" w:rsidP="00D127F6">
      <w:pPr>
        <w:pStyle w:val="Heading1"/>
      </w:pPr>
      <w:r w:rsidRPr="00D127F6">
        <w:t>Methodological notes</w:t>
      </w:r>
    </w:p>
    <w:p w14:paraId="47C8DE3D" w14:textId="2E453FD3" w:rsidR="00F76B27" w:rsidRPr="00D127F6" w:rsidRDefault="00F76B27" w:rsidP="00D127F6">
      <w:bookmarkStart w:id="5" w:name="_Hlk149805975"/>
      <w:r w:rsidRPr="00D127F6">
        <w:t xml:space="preserve">Data were extracted from the NNDSS on </w:t>
      </w:r>
      <w:r w:rsidR="00946C6C" w:rsidRPr="00D127F6">
        <w:t>8 August</w:t>
      </w:r>
      <w:r w:rsidR="002415CF" w:rsidRPr="00D127F6">
        <w:t xml:space="preserve"> </w:t>
      </w:r>
      <w:r w:rsidR="00FE5DF5" w:rsidRPr="00D127F6">
        <w:t>2024</w:t>
      </w:r>
      <w:r w:rsidRPr="00D127F6">
        <w:t xml:space="preserve">, by diagnosis date. Due to the dynamic nature of the NNDSS, data in this extract are subject to retrospective revision and may vary from data reported in published NNDSS reports and reports of notification data by states and territories. </w:t>
      </w:r>
      <w:bookmarkEnd w:id="5"/>
      <w:r w:rsidRPr="00D127F6">
        <w:t>Data are</w:t>
      </w:r>
      <w:r w:rsidR="00FE5DF5" w:rsidRPr="00D127F6">
        <w:t xml:space="preserve"> to </w:t>
      </w:r>
      <w:r w:rsidR="00946C6C" w:rsidRPr="00D127F6">
        <w:t>30 June</w:t>
      </w:r>
      <w:r w:rsidR="002415CF" w:rsidRPr="00D127F6">
        <w:t xml:space="preserve"> 2024</w:t>
      </w:r>
      <w:r w:rsidRPr="00D127F6">
        <w:t xml:space="preserve"> unless otherwise specified.</w:t>
      </w:r>
    </w:p>
    <w:p w14:paraId="00029937" w14:textId="77777777" w:rsidR="00F76B27" w:rsidRPr="00D127F6" w:rsidRDefault="00F76B27" w:rsidP="00D127F6">
      <w:r w:rsidRPr="00D127F6">
        <w:t xml:space="preserve">In general,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7EBC784B" w14:textId="77777777" w:rsidR="00F76B27" w:rsidRPr="00D127F6" w:rsidRDefault="00F76B27" w:rsidP="00D127F6">
      <w:r w:rsidRPr="00D127F6">
        <w:t xml:space="preserve">In interpreting these </w:t>
      </w:r>
      <w:proofErr w:type="gramStart"/>
      <w:r w:rsidRPr="00D127F6">
        <w:t>data</w:t>
      </w:r>
      <w:proofErr w:type="gramEnd"/>
      <w:r w:rsidRPr="00D127F6">
        <w:t xml:space="preserve"> it is important to note that changes in notifications over time may not solely reflect changes in disease prevalence or incidence. Changes in testing policies; screening programs including the preferential testing of high-risk populations; the use of less invasive and more sensitive diagnostic tests; and periodic awareness campaigns, may influence the number of notifications that occur annually.</w:t>
      </w:r>
    </w:p>
    <w:p w14:paraId="1F5FC09F" w14:textId="77777777" w:rsidR="00F76B27" w:rsidRPr="00D127F6" w:rsidRDefault="00F76B27" w:rsidP="00D127F6">
      <w:pPr>
        <w:rPr>
          <w:rStyle w:val="Emphasis"/>
        </w:rPr>
      </w:pPr>
      <w:r w:rsidRPr="00D127F6">
        <w:rPr>
          <w:rStyle w:val="Emphasis"/>
        </w:rPr>
        <w:t xml:space="preserve">Data elements </w:t>
      </w:r>
    </w:p>
    <w:p w14:paraId="376D6044" w14:textId="77777777" w:rsidR="00F76B27" w:rsidRPr="00684D52" w:rsidRDefault="00F76B27" w:rsidP="00D127F6">
      <w:pPr>
        <w:pStyle w:val="ListBullet"/>
      </w:pPr>
      <w:r w:rsidRPr="00684D52">
        <w:t>‘Diagnosis year’ was used to define the period of analysis. This date represents either the onset date or where the date of onset was not known, the earliest of the specimen collection date, the notification date, or the notification received date.</w:t>
      </w:r>
    </w:p>
    <w:p w14:paraId="7A12D5A2" w14:textId="77777777" w:rsidR="00F76B27" w:rsidRPr="00684D52" w:rsidRDefault="00F76B27" w:rsidP="00D127F6">
      <w:pPr>
        <w:pStyle w:val="ListBullet"/>
      </w:pPr>
      <w:r w:rsidRPr="00684D52">
        <w:t xml:space="preserve">‘Residential postcode’ reported to the NNDSS was used to allocate notifications of infectious and congenital syphilis to </w:t>
      </w:r>
      <w:r w:rsidRPr="00421ABD">
        <w:rPr>
          <w:rStyle w:val="Emphasis"/>
        </w:rPr>
        <w:t xml:space="preserve">remoteness areas and mapped data by Statistical </w:t>
      </w:r>
      <w:r w:rsidRPr="00421ABD">
        <w:rPr>
          <w:rStyle w:val="Emphasis"/>
        </w:rPr>
        <w:lastRenderedPageBreak/>
        <w:t xml:space="preserve">Area 3 (SA3) </w:t>
      </w:r>
      <w:r w:rsidRPr="00684D52">
        <w:t>(as defined by the Australian Bureau of Statistics).  Where a postcode was not reported the notification was excluded from remoteness area and SA3 analysis.</w:t>
      </w:r>
    </w:p>
    <w:p w14:paraId="3F9AAC40" w14:textId="0ACF4C19" w:rsidR="00F76B27" w:rsidRPr="00684D52" w:rsidRDefault="00F76B27" w:rsidP="00D127F6">
      <w:pPr>
        <w:pStyle w:val="ListBullet2"/>
      </w:pPr>
      <w:r w:rsidRPr="00684D52">
        <w:t>Tasmania and Northern Territory do not have major cities as defined by the Australian Bureau of Statistics</w:t>
      </w:r>
      <w:r w:rsidR="00C45F2B" w:rsidRPr="00684D52">
        <w:t xml:space="preserve">. </w:t>
      </w:r>
      <w:r w:rsidRPr="00684D52">
        <w:t>Tasmanian “major cities” refers to inner regional areas and in the Northern Territory refers to outer regional areas</w:t>
      </w:r>
      <w:r w:rsidR="00C45F2B" w:rsidRPr="00684D52">
        <w:t xml:space="preserve">. </w:t>
      </w:r>
    </w:p>
    <w:p w14:paraId="2BCEEB98" w14:textId="77777777" w:rsidR="00F76B27" w:rsidRPr="00684D52" w:rsidRDefault="00F76B27" w:rsidP="00D127F6">
      <w:pPr>
        <w:pStyle w:val="ListBullet"/>
      </w:pPr>
      <w:r w:rsidRPr="00684D52">
        <w:t>‘Residential postcode’ usually reflects the residential location of a case at the time of testing and does not necessarily represent the place where the disease was acquired.</w:t>
      </w:r>
    </w:p>
    <w:p w14:paraId="3C30DF9D" w14:textId="77777777" w:rsidR="00F76B27" w:rsidRPr="00684D52" w:rsidRDefault="00F76B27" w:rsidP="00D127F6">
      <w:pPr>
        <w:pStyle w:val="ListBullet"/>
      </w:pPr>
      <w:r w:rsidRPr="00684D52">
        <w:t>The ‘population denominator’ used to calculate remoteness area and SA3 rates (per 100,000 population) was extracted from the Australian Bureau of Statistics Census Table Builder (based on 2016 Census data).</w:t>
      </w:r>
    </w:p>
    <w:p w14:paraId="39FF691F" w14:textId="77777777" w:rsidR="00F76B27" w:rsidRPr="00D127F6" w:rsidRDefault="00F76B27" w:rsidP="00D127F6">
      <w:pPr>
        <w:pStyle w:val="ListBullet"/>
      </w:pPr>
      <w:r w:rsidRPr="00D127F6">
        <w:t xml:space="preserve">The determination of the </w:t>
      </w:r>
      <w:r w:rsidRPr="00D127F6">
        <w:rPr>
          <w:rStyle w:val="Emphasis"/>
        </w:rPr>
        <w:t>Indigenous status</w:t>
      </w:r>
      <w:r w:rsidRPr="00D127F6">
        <w:t xml:space="preserve"> is by descent, self-identification, and community acceptance. While completeness of the Indigenous status field is generally high, it should be interpreted with caution as completeness of this field varies from year to year and jurisdiction to jurisdiction. </w:t>
      </w:r>
    </w:p>
    <w:p w14:paraId="167090FF" w14:textId="77777777" w:rsidR="00F76B27" w:rsidRPr="00D127F6" w:rsidRDefault="00F76B27" w:rsidP="00D127F6">
      <w:r w:rsidRPr="00684D52">
        <w:t xml:space="preserve">‘Syphilis testing data’ have been provided by participating ACCHS. A participating service refers </w:t>
      </w:r>
      <w:r w:rsidRPr="00D127F6">
        <w:t>to</w:t>
      </w:r>
      <w:r w:rsidRPr="00684D52">
        <w:t xml:space="preserve"> clinics currently funded by the Australian Government Department of Health and Aged Care to deliver point of care testing in syphilis outbreak regions.  Services extract data from local clinical information management systems reporting to the Australian Government Department of Health and Aged Care.  Data are provided for the reporting month, and cumulatively for the previous 12 months.  ‘Testing coverage’ is calculated using as the denominator ‘clients attending the service’ (a participating ACCHS) during the reporting period.</w:t>
      </w:r>
    </w:p>
    <w:p w14:paraId="36AF1D2B" w14:textId="77777777" w:rsidR="00F76B27" w:rsidRPr="00D127F6" w:rsidRDefault="00F76B27" w:rsidP="00D127F6">
      <w:pPr>
        <w:rPr>
          <w:rStyle w:val="Emphasis"/>
        </w:rPr>
      </w:pPr>
      <w:r w:rsidRPr="00D127F6">
        <w:rPr>
          <w:rStyle w:val="Emphasis"/>
        </w:rPr>
        <w:t>Mapped age standardised notification rates by SA3</w:t>
      </w:r>
    </w:p>
    <w:p w14:paraId="76FEDC8D" w14:textId="77777777" w:rsidR="00F76B27" w:rsidRPr="00D127F6" w:rsidRDefault="00F76B27" w:rsidP="00D127F6">
      <w:r w:rsidRPr="00D127F6">
        <w:t>Age</w:t>
      </w:r>
      <w:r w:rsidRPr="00D127F6">
        <w:noBreakHyphen/>
        <w:t xml:space="preserve">standardised notification rates were presented as geographical maps of Australia by statistical area level 3 (SA3). SA3s are geographical units defined by the ABS under the Australian Statistical Geography Standard. SA3s generally have populations between 30,000 and 130,000 persons, with some exceptions for areas with particularly low or particularly high population density. </w:t>
      </w:r>
    </w:p>
    <w:p w14:paraId="2A5FF693" w14:textId="77777777" w:rsidR="00F76B27" w:rsidRPr="00D127F6" w:rsidRDefault="00F76B27" w:rsidP="00D127F6">
      <w:r w:rsidRPr="00D127F6">
        <w:t xml:space="preserve">There are 338 SA3 spatial units under the Australian Statistical Geography Standard 2016. Four spatial SA3s representing other territories (Christmas Island, Cocos (Keeling) Islands, Jervis </w:t>
      </w:r>
      <w:proofErr w:type="gramStart"/>
      <w:r w:rsidRPr="00D127F6">
        <w:t>Bay</w:t>
      </w:r>
      <w:proofErr w:type="gramEnd"/>
      <w:r w:rsidRPr="00D127F6">
        <w:t xml:space="preserve"> and Norfolk Island) were excluded from the analysis. Where a postcode was split into more than one SA3, the entire postcode was allocated to the SA3 containing the largest proportion of the postcode.</w:t>
      </w:r>
    </w:p>
    <w:p w14:paraId="3E8327DD" w14:textId="77777777" w:rsidR="00F76B27" w:rsidRPr="00D127F6" w:rsidRDefault="00F76B27" w:rsidP="00D127F6">
      <w:r w:rsidRPr="00D127F6">
        <w:t>Crude notification rates were calculated for infectious syphilis using the 2016 ABS Census data by SA3. All crude rates were age</w:t>
      </w:r>
      <w:r w:rsidRPr="00D127F6">
        <w:noBreakHyphen/>
        <w:t>standardised using the ABS Standard Population Catalogue 31010DO003_201212.</w:t>
      </w:r>
    </w:p>
    <w:p w14:paraId="5002ECAA" w14:textId="77777777" w:rsidR="00F76B27" w:rsidRPr="00684D52" w:rsidRDefault="00F76B27" w:rsidP="00D127F6">
      <w:pPr>
        <w:rPr>
          <w:lang w:val="en-US"/>
        </w:rPr>
      </w:pPr>
      <w:r w:rsidRPr="00D127F6">
        <w:t>Ag</w:t>
      </w:r>
      <w:r w:rsidRPr="00684D52">
        <w:rPr>
          <w:lang w:val="en-US"/>
        </w:rPr>
        <w:t>e</w:t>
      </w:r>
      <w:r w:rsidRPr="00684D52">
        <w:rPr>
          <w:lang w:val="en-US"/>
        </w:rPr>
        <w:noBreakHyphen/>
      </w:r>
      <w:proofErr w:type="spellStart"/>
      <w:r w:rsidRPr="00684D52">
        <w:rPr>
          <w:lang w:val="en-US"/>
        </w:rPr>
        <w:t>standardised</w:t>
      </w:r>
      <w:proofErr w:type="spellEnd"/>
      <w:r w:rsidRPr="00684D52">
        <w:rPr>
          <w:lang w:val="en-US"/>
        </w:rPr>
        <w:t xml:space="preserve"> notification rates were </w:t>
      </w:r>
      <w:proofErr w:type="spellStart"/>
      <w:r w:rsidRPr="00684D52">
        <w:rPr>
          <w:lang w:val="en-US"/>
        </w:rPr>
        <w:t>categorised</w:t>
      </w:r>
      <w:proofErr w:type="spellEnd"/>
      <w:r w:rsidRPr="00684D52">
        <w:rPr>
          <w:lang w:val="en-US"/>
        </w:rPr>
        <w:t xml:space="preserve"> based on the standard deviation of infectious syphilis age</w:t>
      </w:r>
      <w:r w:rsidRPr="00684D52">
        <w:rPr>
          <w:lang w:val="en-US"/>
        </w:rPr>
        <w:noBreakHyphen/>
      </w:r>
      <w:proofErr w:type="spellStart"/>
      <w:r w:rsidRPr="00684D52">
        <w:rPr>
          <w:lang w:val="en-US"/>
        </w:rPr>
        <w:t>standardised</w:t>
      </w:r>
      <w:proofErr w:type="spellEnd"/>
      <w:r w:rsidRPr="00684D52">
        <w:rPr>
          <w:lang w:val="en-US"/>
        </w:rPr>
        <w:t xml:space="preserve"> notification rates across SA3s and </w:t>
      </w:r>
      <w:proofErr w:type="spellStart"/>
      <w:r w:rsidRPr="00684D52">
        <w:rPr>
          <w:lang w:val="en-US"/>
        </w:rPr>
        <w:t>colour</w:t>
      </w:r>
      <w:proofErr w:type="spellEnd"/>
      <w:r w:rsidRPr="00684D52">
        <w:rPr>
          <w:lang w:val="en-US"/>
        </w:rPr>
        <w:t xml:space="preserve"> coded (lighter </w:t>
      </w:r>
      <w:proofErr w:type="spellStart"/>
      <w:r w:rsidRPr="00684D52">
        <w:rPr>
          <w:lang w:val="en-US"/>
        </w:rPr>
        <w:t>colours</w:t>
      </w:r>
      <w:proofErr w:type="spellEnd"/>
      <w:r w:rsidRPr="00684D52">
        <w:rPr>
          <w:lang w:val="en-US"/>
        </w:rPr>
        <w:t xml:space="preserve"> representing lower rates and darker </w:t>
      </w:r>
      <w:proofErr w:type="spellStart"/>
      <w:r w:rsidRPr="00684D52">
        <w:rPr>
          <w:lang w:val="en-US"/>
        </w:rPr>
        <w:t>colours</w:t>
      </w:r>
      <w:proofErr w:type="spellEnd"/>
      <w:r w:rsidRPr="00684D52">
        <w:rPr>
          <w:lang w:val="en-US"/>
        </w:rPr>
        <w:t xml:space="preserve"> higher rates).</w:t>
      </w:r>
    </w:p>
    <w:p w14:paraId="3AA66730" w14:textId="77777777" w:rsidR="00F76B27" w:rsidRPr="002941CB" w:rsidRDefault="00F76B27" w:rsidP="002941CB">
      <w:r w:rsidRPr="002941CB">
        <w:t>Note that some rates are based on a small number of notifications, and in areas with low population density rates are based on small denominators, particularly in SA3s with population below the general ABS population threshold of 30 000 persons.</w:t>
      </w:r>
    </w:p>
    <w:p w14:paraId="2BF2651C" w14:textId="77777777" w:rsidR="00F76B27" w:rsidRPr="00D127F6" w:rsidRDefault="00F76B27" w:rsidP="00D127F6">
      <w:pPr>
        <w:rPr>
          <w:rStyle w:val="Emphasis"/>
        </w:rPr>
      </w:pPr>
      <w:r w:rsidRPr="00D127F6">
        <w:rPr>
          <w:rStyle w:val="Emphasis"/>
        </w:rPr>
        <w:t>Case definitions</w:t>
      </w:r>
    </w:p>
    <w:p w14:paraId="0D1DBF7D" w14:textId="5BA125C6" w:rsidR="00F76B27" w:rsidRPr="00C33397" w:rsidRDefault="00F76B27" w:rsidP="00D127F6">
      <w:r w:rsidRPr="002941CB">
        <w:t xml:space="preserve">The CDNA national surveillance case definitions for infectious and congenital syphilis, including any historical edits, are available at: </w:t>
      </w:r>
      <w:hyperlink r:id="rId39" w:history="1">
        <w:r w:rsidRPr="00C33397">
          <w:rPr>
            <w:rStyle w:val="Hyperlink"/>
            <w:rFonts w:cs="Arial"/>
            <w:szCs w:val="22"/>
          </w:rPr>
          <w:t>https://www.health.gov.au/casedefinitions</w:t>
        </w:r>
      </w:hyperlink>
      <w:r w:rsidRPr="00C33397">
        <w:t>.</w:t>
      </w:r>
    </w:p>
    <w:p w14:paraId="4947C97E" w14:textId="77777777" w:rsidR="00F76B27" w:rsidRPr="00D127F6" w:rsidRDefault="00F76B27" w:rsidP="00D127F6">
      <w:r w:rsidRPr="00684D52">
        <w:lastRenderedPageBreak/>
        <w:t xml:space="preserve">The outbreak case definition classifying cases reported under ‘Target 3: Control outbreaks among Aboriginal and Torres Strait Islander peoples in Queensland, the Northern Territory, </w:t>
      </w:r>
      <w:r w:rsidRPr="00D127F6">
        <w:t>Western Australia and South Australia’ is defined:</w:t>
      </w:r>
    </w:p>
    <w:p w14:paraId="6209D19F" w14:textId="77777777" w:rsidR="00F76B27" w:rsidRPr="00684D52" w:rsidRDefault="00F76B27" w:rsidP="00D127F6">
      <w:r w:rsidRPr="00D127F6">
        <w:t>N</w:t>
      </w:r>
      <w:r w:rsidRPr="00684D52">
        <w:t xml:space="preserve">ationally, an infectious syphilis outbreak case is defined as: any person who is newly diagnosed with confirmed or probable infectious syphilis according to the </w:t>
      </w:r>
      <w:r w:rsidRPr="00D127F6">
        <w:t>CDNA national surveillance case definition for infectious syphilis,</w:t>
      </w:r>
      <w:r w:rsidRPr="00684D52">
        <w:t xml:space="preserve"> </w:t>
      </w:r>
      <w:r w:rsidRPr="00C33397">
        <w:rPr>
          <w:rStyle w:val="Strong"/>
        </w:rPr>
        <w:t>AND</w:t>
      </w:r>
      <w:r w:rsidRPr="00684D52">
        <w:t>, is an Aboriginal or Torres Strait Islander person who resides in any of the following outbreak declared regions as defined and documented by that jurisdiction, at or after the dates indicated: Qld - North West Hospital and Health Service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p>
    <w:p w14:paraId="11439654" w14:textId="14EAEF1E" w:rsidR="00F76B27" w:rsidRPr="00D127F6" w:rsidRDefault="00F76B27" w:rsidP="00D127F6">
      <w:pPr>
        <w:pStyle w:val="Heading1"/>
      </w:pPr>
      <w:r w:rsidRPr="00D127F6">
        <w:t>Acknowledgements</w:t>
      </w:r>
    </w:p>
    <w:p w14:paraId="68EAC4B1" w14:textId="77777777" w:rsidR="00F76B27" w:rsidRPr="00D127F6" w:rsidRDefault="00F76B27" w:rsidP="00D127F6">
      <w:r w:rsidRPr="00D127F6">
        <w:t xml:space="preserve">We, the Department of </w:t>
      </w:r>
      <w:proofErr w:type="gramStart"/>
      <w:r w:rsidRPr="00D127F6">
        <w:t>Health</w:t>
      </w:r>
      <w:proofErr w:type="gramEnd"/>
      <w:r w:rsidRPr="00D127F6">
        <w:t xml:space="preserve"> and Aged Care, acknowledge the Traditional Owners and Custodians of Country throughout Australia. We recognise the strength and resilience of Aboriginal and Torres Strait Islander peoples and acknowledge and respect their continuing connections and relationships to country, rivers, </w:t>
      </w:r>
      <w:proofErr w:type="gramStart"/>
      <w:r w:rsidRPr="00D127F6">
        <w:t>land</w:t>
      </w:r>
      <w:proofErr w:type="gramEnd"/>
      <w:r w:rsidRPr="00D127F6">
        <w:t xml:space="preserve"> and sea. We acknowledge the ongoing contribution Aboriginal and Torres Strait Islander peoples make across the </w:t>
      </w:r>
      <w:proofErr w:type="gramStart"/>
      <w:r w:rsidRPr="00D127F6">
        <w:t>Health</w:t>
      </w:r>
      <w:proofErr w:type="gramEnd"/>
      <w:r w:rsidRPr="00D127F6">
        <w:t xml:space="preserve"> system and wider community. We also pay our respects to Elders past, present and future and extend that respect to all Traditional Custodians of this land.</w:t>
      </w:r>
    </w:p>
    <w:p w14:paraId="1188B2A4" w14:textId="77777777" w:rsidR="00F76B27" w:rsidRPr="00D127F6" w:rsidRDefault="00F76B27" w:rsidP="00D127F6">
      <w:r w:rsidRPr="00D127F6">
        <w:t xml:space="preserve">The Department of Health and Aged Care acknowledges the Communicable Diseases Network Australia; the work of public health officers involved in the collection of surveillance data; state and territory public health communicable disease surveillance managers and data managers; participating Aboriginal Community Controlled Health Services, </w:t>
      </w:r>
      <w:proofErr w:type="gramStart"/>
      <w:r w:rsidRPr="00D127F6">
        <w:t>and;</w:t>
      </w:r>
      <w:proofErr w:type="gramEnd"/>
      <w:r w:rsidRPr="00D127F6">
        <w:t xml:space="preserve"> all public and private laboratories that support laboratory surveillance in Australia.  </w:t>
      </w:r>
    </w:p>
    <w:p w14:paraId="4439E61D" w14:textId="77777777" w:rsidR="00F76B27" w:rsidRPr="00D127F6" w:rsidRDefault="00F76B27" w:rsidP="00D127F6">
      <w:pPr>
        <w:pStyle w:val="Heading1"/>
      </w:pPr>
      <w:r w:rsidRPr="00D127F6">
        <w:t>Contact</w:t>
      </w:r>
    </w:p>
    <w:p w14:paraId="45EEBEF1" w14:textId="6B436E4A" w:rsidR="00853DB5" w:rsidRPr="00D127F6" w:rsidRDefault="00F76B27" w:rsidP="00D127F6">
      <w:r w:rsidRPr="00D127F6">
        <w:t>For any further details about information contained in this report please contact Ms Amy Bright in the Communicable Diseases Epidemiology and Surveillance Section</w:t>
      </w:r>
      <w:r w:rsidR="001F395A" w:rsidRPr="00D127F6">
        <w:t xml:space="preserve"> </w:t>
      </w:r>
      <w:hyperlink r:id="rId40" w:history="1">
        <w:r w:rsidRPr="00D127F6">
          <w:rPr>
            <w:rStyle w:val="Hyperlink"/>
          </w:rPr>
          <w:t>CDESS@health.gov.au</w:t>
        </w:r>
      </w:hyperlink>
      <w:r w:rsidR="001F395A" w:rsidRPr="00D127F6">
        <w:t>.</w:t>
      </w:r>
    </w:p>
    <w:sectPr w:rsidR="00853DB5" w:rsidRPr="00D127F6" w:rsidSect="00977F2F">
      <w:headerReference w:type="default" r:id="rId41"/>
      <w:footerReference w:type="default" r:id="rId42"/>
      <w:footnotePr>
        <w:numFmt w:val="lowerRoman"/>
      </w:footnotePr>
      <w:pgSz w:w="11906" w:h="16838"/>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2B688" w14:textId="77777777" w:rsidR="0078373A" w:rsidRDefault="0078373A" w:rsidP="00934368">
      <w:r>
        <w:separator/>
      </w:r>
    </w:p>
    <w:p w14:paraId="6AA140F7" w14:textId="77777777" w:rsidR="0078373A" w:rsidRDefault="0078373A" w:rsidP="00934368"/>
  </w:endnote>
  <w:endnote w:type="continuationSeparator" w:id="0">
    <w:p w14:paraId="6D4A1DC3" w14:textId="77777777" w:rsidR="0078373A" w:rsidRDefault="0078373A" w:rsidP="00934368">
      <w:r>
        <w:continuationSeparator/>
      </w:r>
    </w:p>
    <w:p w14:paraId="4F64B022" w14:textId="77777777" w:rsidR="0078373A" w:rsidRDefault="0078373A" w:rsidP="00934368"/>
  </w:endnote>
  <w:endnote w:type="continuationNotice" w:id="1">
    <w:p w14:paraId="18AB2AA5" w14:textId="77777777" w:rsidR="0078373A" w:rsidRDefault="0078373A"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A117" w14:textId="77777777" w:rsidR="00F76B27" w:rsidRPr="005E58FB" w:rsidRDefault="00F76B27"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A3EA" w14:textId="77777777" w:rsidR="00751A23" w:rsidRPr="00751A23" w:rsidRDefault="009F4231" w:rsidP="00934368">
    <w:pPr>
      <w:pStyle w:val="Footer"/>
    </w:pPr>
    <w:r>
      <w:t>I</w:t>
    </w:r>
    <w:r w:rsidRPr="009F4231">
      <w:t xml:space="preserve">nterim Australian Centre for Disease Control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7B3D03">
          <w:rPr>
            <w:noProof/>
          </w:rPr>
          <w:t>2</w:t>
        </w:r>
        <w:r w:rsidR="00751A23"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4E860" w14:textId="3AE990BD" w:rsidR="0078373A" w:rsidRDefault="0078373A" w:rsidP="002941CB">
      <w:r>
        <w:separator/>
      </w:r>
    </w:p>
  </w:footnote>
  <w:footnote w:type="continuationSeparator" w:id="0">
    <w:p w14:paraId="3774DE3A" w14:textId="2D627562" w:rsidR="0078373A" w:rsidRDefault="0078373A" w:rsidP="002941CB">
      <w:r>
        <w:continuationSeparator/>
      </w:r>
    </w:p>
  </w:footnote>
  <w:footnote w:type="continuationNotice" w:id="1">
    <w:p w14:paraId="19102D5B" w14:textId="77777777" w:rsidR="0078373A" w:rsidRDefault="0078373A" w:rsidP="00934368"/>
  </w:footnote>
  <w:footnote w:id="2">
    <w:p w14:paraId="3E7866E7" w14:textId="77777777" w:rsidR="00D808E3" w:rsidRPr="005C3537" w:rsidRDefault="00D808E3" w:rsidP="00D808E3">
      <w:pPr>
        <w:pStyle w:val="FootnoteText"/>
        <w:rPr>
          <w:rFonts w:cs="Arial"/>
          <w:szCs w:val="16"/>
        </w:rPr>
      </w:pPr>
      <w:r w:rsidRPr="005C3537">
        <w:rPr>
          <w:rStyle w:val="FootnoteReference"/>
          <w:sz w:val="16"/>
          <w:szCs w:val="16"/>
        </w:rPr>
        <w:footnoteRef/>
      </w:r>
      <w:r w:rsidRPr="005C3537">
        <w:rPr>
          <w:rFonts w:cs="Arial"/>
          <w:szCs w:val="16"/>
        </w:rPr>
        <w:t xml:space="preserve"> Syphilis has been nationally notifiable since 1991, however prior to 2004, syphilis cases were reported under the overarching category of syphilis (all), which was inclusive of all cases of syphilis regardless of the stage of infection. From 2004, the syphilis (all) category was redefined with cases of syphilis reported under 3 new categories:  infectious syphilis (&lt;2 years duration), unspecified syphilis (unspecified or &gt;2 years duration) and congenital syphilis (</w:t>
      </w:r>
      <w:hyperlink r:id="rId1" w:history="1">
        <w:r w:rsidRPr="005C3537">
          <w:rPr>
            <w:rStyle w:val="Hyperlink"/>
            <w:rFonts w:cs="Arial"/>
            <w:szCs w:val="16"/>
            <w:lang w:eastAsia="en-AU"/>
          </w:rPr>
          <w:t>https://www.health.gov.au/resources/collections/cdna-surveillance-case-definitions</w:t>
        </w:r>
      </w:hyperlink>
      <w:r w:rsidRPr="005C3537">
        <w:rPr>
          <w:rFonts w:cs="Arial"/>
          <w:szCs w:val="16"/>
        </w:rPr>
        <w:t>).</w:t>
      </w:r>
    </w:p>
  </w:footnote>
  <w:footnote w:id="3">
    <w:p w14:paraId="2C10743A" w14:textId="77777777" w:rsidR="00D808E3" w:rsidRDefault="00D808E3" w:rsidP="00D808E3">
      <w:pPr>
        <w:pStyle w:val="FootnoteText"/>
      </w:pPr>
      <w:r w:rsidRPr="005C3537">
        <w:rPr>
          <w:rStyle w:val="FootnoteReference"/>
          <w:sz w:val="16"/>
          <w:szCs w:val="16"/>
        </w:rPr>
        <w:footnoteRef/>
      </w:r>
      <w:r w:rsidRPr="005C3537">
        <w:rPr>
          <w:rFonts w:cs="Arial"/>
          <w:szCs w:val="16"/>
        </w:rPr>
        <w:t xml:space="preserve"> ‘Late diagnosis’ is defined as a syphilis diagnosis less than 30 days prior to delivery, at birth (day of delivery) or post birth.</w:t>
      </w:r>
    </w:p>
  </w:footnote>
  <w:footnote w:id="4">
    <w:p w14:paraId="71DC4D9A" w14:textId="59B5D4CD" w:rsidR="002415CF" w:rsidRDefault="002415CF">
      <w:pPr>
        <w:pStyle w:val="FootnoteText"/>
      </w:pPr>
      <w:r>
        <w:rPr>
          <w:rStyle w:val="FootnoteReference"/>
        </w:rPr>
        <w:footnoteRef/>
      </w:r>
      <w:r>
        <w:t xml:space="preserve"> </w:t>
      </w:r>
      <w:r w:rsidRPr="002415CF">
        <w:rPr>
          <w:szCs w:val="16"/>
        </w:rPr>
        <w:t>Totals may not add up to 100% due to rounding.</w:t>
      </w:r>
    </w:p>
  </w:footnote>
  <w:footnote w:id="5">
    <w:p w14:paraId="16362B43" w14:textId="77777777" w:rsidR="00F76B27" w:rsidRPr="003D3A57" w:rsidRDefault="00F76B27" w:rsidP="00F76B27">
      <w:pPr>
        <w:pStyle w:val="FootnoteText"/>
        <w:ind w:right="-143"/>
        <w:rPr>
          <w:sz w:val="18"/>
        </w:rPr>
      </w:pPr>
      <w:r w:rsidRPr="00BB483E">
        <w:rPr>
          <w:rStyle w:val="FootnoteReference"/>
          <w:sz w:val="16"/>
        </w:rPr>
        <w:footnoteRef/>
      </w:r>
      <w:r w:rsidRPr="00BB483E">
        <w:t xml:space="preserve"> ‘Late diagnosis’ is defined as a syphilis diagnosis less than 30 days prior to delivery, at birth (day of delivery) or post birth.</w:t>
      </w:r>
    </w:p>
  </w:footnote>
  <w:footnote w:id="6">
    <w:p w14:paraId="37265D0B" w14:textId="77777777" w:rsidR="00F76B27" w:rsidRDefault="00F76B27" w:rsidP="00F76B27">
      <w:pPr>
        <w:pStyle w:val="FootnoteText"/>
      </w:pPr>
      <w:r>
        <w:rPr>
          <w:rStyle w:val="FootnoteReference"/>
        </w:rPr>
        <w:footnoteRef/>
      </w:r>
      <w:r>
        <w:t xml:space="preserve"> </w:t>
      </w:r>
      <w:r w:rsidRPr="00710643">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rPr>
        <w:t>All data are provisional and subject to change due to ongoing case investigation</w:t>
      </w:r>
      <w:r w:rsidRPr="00710643">
        <w:t>.</w:t>
      </w:r>
    </w:p>
  </w:footnote>
  <w:footnote w:id="7">
    <w:p w14:paraId="55CC2F35" w14:textId="1EEB8963" w:rsidR="00F76B27" w:rsidRPr="005B2808" w:rsidRDefault="00F76B27" w:rsidP="00F76B27">
      <w:pPr>
        <w:pStyle w:val="FootnoteText"/>
        <w:rPr>
          <w:rFonts w:cs="Arial"/>
          <w:szCs w:val="16"/>
        </w:rPr>
      </w:pPr>
      <w:r w:rsidRPr="005B2808">
        <w:rPr>
          <w:rStyle w:val="FootnoteReference"/>
          <w:sz w:val="16"/>
          <w:szCs w:val="16"/>
        </w:rPr>
        <w:footnoteRef/>
      </w:r>
      <w:r w:rsidRPr="005B2808">
        <w:rPr>
          <w:rFonts w:cs="Arial"/>
          <w:szCs w:val="16"/>
        </w:rPr>
        <w:t xml:space="preserve"> </w:t>
      </w:r>
      <w:hyperlink r:id="rId2" w:history="1">
        <w:r w:rsidRPr="0003051F">
          <w:rPr>
            <w:rStyle w:val="Hyperlink"/>
            <w:rFonts w:cs="Arial"/>
            <w:color w:val="0070C0"/>
            <w:szCs w:val="16"/>
            <w:lang w:eastAsia="en-AU"/>
          </w:rPr>
          <w:t>Multijurisdictional Syphilis Outbreak Surveillance Report: February 2021</w:t>
        </w:r>
      </w:hyperlink>
    </w:p>
  </w:footnote>
  <w:footnote w:id="8">
    <w:p w14:paraId="153BF7A5" w14:textId="77777777" w:rsidR="00F76B27" w:rsidRPr="005B2808" w:rsidRDefault="00F76B27" w:rsidP="00F76B27">
      <w:pPr>
        <w:pStyle w:val="FootnoteText"/>
        <w:rPr>
          <w:rFonts w:cs="Arial"/>
          <w:szCs w:val="16"/>
        </w:rPr>
      </w:pPr>
      <w:r w:rsidRPr="005B2808">
        <w:rPr>
          <w:rStyle w:val="FootnoteReference"/>
          <w:sz w:val="16"/>
          <w:szCs w:val="16"/>
        </w:rPr>
        <w:footnoteRef/>
      </w:r>
      <w:r w:rsidRPr="005B2808">
        <w:rPr>
          <w:rFonts w:cs="Arial"/>
          <w:szCs w:val="16"/>
        </w:rPr>
        <w:t xml:space="preserve"> Qld - North West Hospital and Health Service (HHS)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9">
    <w:p w14:paraId="3898444B" w14:textId="77777777" w:rsidR="00F76B27" w:rsidRPr="005B2808" w:rsidRDefault="00F76B27" w:rsidP="00F76B27">
      <w:pPr>
        <w:pStyle w:val="FootnoteText"/>
        <w:rPr>
          <w:rFonts w:cs="Arial"/>
          <w:szCs w:val="16"/>
        </w:rPr>
      </w:pPr>
      <w:r w:rsidRPr="005B2808">
        <w:rPr>
          <w:rStyle w:val="FootnoteReference"/>
          <w:sz w:val="16"/>
          <w:szCs w:val="16"/>
        </w:rPr>
        <w:footnoteRef/>
      </w:r>
      <w:r w:rsidRPr="005B2808">
        <w:rPr>
          <w:rFonts w:cs="Arial"/>
          <w:szCs w:val="16"/>
        </w:rPr>
        <w:t xml:space="preserve"> Category 2 cases include those that while diagnosed as per the jurisdiction in Table 2, were reported to NNDSS by the jurisdiction in which the case resides as per the </w:t>
      </w:r>
      <w:r w:rsidRPr="005B2808">
        <w:rPr>
          <w:rFonts w:cs="Arial"/>
          <w:i/>
          <w:iCs/>
          <w:szCs w:val="16"/>
        </w:rPr>
        <w:t>NNDSS Cross Border Notification Protocol</w:t>
      </w:r>
      <w:r w:rsidRPr="005B2808">
        <w:rPr>
          <w:rFonts w:cs="Arial"/>
          <w:szCs w:val="16"/>
        </w:rPr>
        <w:t>. This has been done to ensure consistency in outbreak case number reporting.</w:t>
      </w:r>
      <w:r w:rsidRPr="005B2808">
        <w:rPr>
          <w:rFonts w:cs="Arial"/>
          <w:i/>
          <w:iCs/>
          <w:szCs w:val="16"/>
        </w:rPr>
        <w:t xml:space="preserve"> </w:t>
      </w:r>
    </w:p>
  </w:footnote>
  <w:footnote w:id="10">
    <w:p w14:paraId="4480B26F" w14:textId="77777777" w:rsidR="0000099D" w:rsidRPr="005B2808" w:rsidRDefault="0000099D" w:rsidP="00F76B27">
      <w:pPr>
        <w:pStyle w:val="FootnoteText"/>
        <w:rPr>
          <w:rFonts w:cs="Arial"/>
          <w:szCs w:val="16"/>
        </w:rPr>
      </w:pPr>
      <w:r w:rsidRPr="005B2808">
        <w:rPr>
          <w:rStyle w:val="FootnoteReference"/>
          <w:sz w:val="16"/>
          <w:szCs w:val="16"/>
        </w:rPr>
        <w:footnoteRef/>
      </w:r>
      <w:r w:rsidRPr="005B2808">
        <w:rPr>
          <w:rFonts w:cs="Arial"/>
          <w:szCs w:val="16"/>
        </w:rPr>
        <w:t xml:space="preserve"> Aboriginal and Torres Strait Islander people who are sexual contacts of a confirmed outbreak case and reside outside an outbreak declared region at the time of diagnosis.</w:t>
      </w:r>
    </w:p>
  </w:footnote>
  <w:footnote w:id="11">
    <w:p w14:paraId="184A2737" w14:textId="4049A1E1" w:rsidR="0000099D" w:rsidRDefault="0000099D" w:rsidP="00F76B27">
      <w:pPr>
        <w:pStyle w:val="FootnoteText"/>
        <w:ind w:right="-141"/>
      </w:pPr>
      <w:r w:rsidRPr="005B2808">
        <w:rPr>
          <w:rStyle w:val="FootnoteReference"/>
          <w:sz w:val="16"/>
          <w:szCs w:val="16"/>
        </w:rPr>
        <w:footnoteRef/>
      </w:r>
      <w:r w:rsidRPr="005B2808">
        <w:rPr>
          <w:rFonts w:cs="Arial"/>
          <w:szCs w:val="16"/>
        </w:rPr>
        <w:t>Non-Indigenous people who are sexual contacts of a confirmed outbreak case and reside in or out of an outbreak declared region at the time of diagnosis</w:t>
      </w:r>
      <w:r>
        <w:rPr>
          <w:szCs w:val="16"/>
        </w:rPr>
        <w:t>.</w:t>
      </w:r>
    </w:p>
  </w:footnote>
  <w:footnote w:id="12">
    <w:p w14:paraId="6FCF291E" w14:textId="77777777" w:rsidR="00F76B27" w:rsidRDefault="00F76B27" w:rsidP="00F76B27">
      <w:pPr>
        <w:pStyle w:val="FootnoteText"/>
      </w:pPr>
      <w:r>
        <w:rPr>
          <w:rStyle w:val="FootnoteReference"/>
        </w:rPr>
        <w:footnoteRef/>
      </w:r>
      <w:r>
        <w:t xml:space="preserve"> </w:t>
      </w:r>
      <w:r w:rsidRPr="00EE7A6B">
        <w:t xml:space="preserve">Qld - North West Hospital and Health Service </w:t>
      </w:r>
      <w:r>
        <w:t xml:space="preserve">(HHS) </w:t>
      </w:r>
      <w:r w:rsidRPr="00EE7A6B">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3">
    <w:p w14:paraId="71470419" w14:textId="77777777" w:rsidR="00F76B27" w:rsidRDefault="00F76B27" w:rsidP="00F76B27">
      <w:pPr>
        <w:pStyle w:val="FootnoteText"/>
      </w:pPr>
      <w:r w:rsidRPr="003D3A57">
        <w:rPr>
          <w:rStyle w:val="FootnoteReference"/>
          <w:sz w:val="18"/>
        </w:rPr>
        <w:footnoteRef/>
      </w:r>
      <w:r w:rsidRPr="003D3A57">
        <w:rPr>
          <w:sz w:val="18"/>
        </w:rPr>
        <w:t xml:space="preserve"> </w:t>
      </w:r>
      <w:r w:rsidRPr="003D3A57">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7A3C" w14:textId="77777777" w:rsidR="00751A23" w:rsidRDefault="00751A23" w:rsidP="00934368">
    <w:pPr>
      <w:pStyle w:val="Header"/>
    </w:pPr>
    <w:r>
      <w:rPr>
        <w:noProof/>
        <w:lang w:eastAsia="en-AU"/>
      </w:rPr>
      <w:drawing>
        <wp:anchor distT="0" distB="0" distL="114300" distR="114300" simplePos="0" relativeHeight="251658240" behindDoc="1" locked="1" layoutInCell="1" allowOverlap="1" wp14:anchorId="25EB9D1C" wp14:editId="5AF70A5F">
          <wp:simplePos x="0" y="0"/>
          <wp:positionH relativeFrom="page">
            <wp:posOffset>0</wp:posOffset>
          </wp:positionH>
          <wp:positionV relativeFrom="page">
            <wp:align>top</wp:align>
          </wp:positionV>
          <wp:extent cx="7559040" cy="1068451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845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1457" w14:textId="14CC03D5" w:rsidR="00F76B27" w:rsidRDefault="00F76B27" w:rsidP="008B0462">
    <w:pPr>
      <w:pStyle w:val="Header"/>
      <w:tabs>
        <w:tab w:val="left" w:pos="5274"/>
      </w:tabs>
      <w:spacing w:after="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0E1A" w14:textId="77777777" w:rsidR="008E0C77" w:rsidRDefault="008E0C77"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090003"/>
    <w:lvl w:ilvl="0">
      <w:start w:val="1"/>
      <w:numFmt w:val="bullet"/>
      <w:lvlText w:val="o"/>
      <w:lvlJc w:val="left"/>
      <w:pPr>
        <w:ind w:left="926" w:hanging="360"/>
      </w:pPr>
      <w:rPr>
        <w:rFonts w:ascii="Courier New" w:hAnsi="Courier New" w:cs="Courier New" w:hint="default"/>
      </w:rPr>
    </w:lvl>
  </w:abstractNum>
  <w:abstractNum w:abstractNumId="3" w15:restartNumberingAfterBreak="0">
    <w:nsid w:val="FFFFFF7F"/>
    <w:multiLevelType w:val="singleLevel"/>
    <w:tmpl w:val="19264FBE"/>
    <w:lvl w:ilvl="0">
      <w:numFmt w:val="bullet"/>
      <w:lvlText w:val="-"/>
      <w:lvlJc w:val="left"/>
      <w:pPr>
        <w:ind w:left="643" w:hanging="360"/>
      </w:pPr>
      <w:rPr>
        <w:rFonts w:ascii="Times New Roman" w:eastAsiaTheme="minorHAnsi" w:hAnsi="Times New Roman" w:cs="Times New Roman" w:hint="default"/>
      </w:rPr>
    </w:lvl>
  </w:abstractNum>
  <w:abstractNum w:abstractNumId="4"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F24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2F417A"/>
    <w:multiLevelType w:val="hybridMultilevel"/>
    <w:tmpl w:val="F308159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363506"/>
    <w:multiLevelType w:val="hybridMultilevel"/>
    <w:tmpl w:val="6BB46046"/>
    <w:lvl w:ilvl="0" w:tplc="D9C6FECE">
      <w:numFmt w:val="bullet"/>
      <w:pStyle w:val="ListBullet"/>
      <w:lvlText w:val="-"/>
      <w:lvlJc w:val="left"/>
      <w:pPr>
        <w:ind w:left="360" w:hanging="360"/>
      </w:pPr>
      <w:rPr>
        <w:rFonts w:ascii="Times New Roman" w:eastAsiaTheme="minorHAnsi" w:hAnsi="Times New Roman"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7E7387"/>
    <w:multiLevelType w:val="hybridMultilevel"/>
    <w:tmpl w:val="8182D6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CD50FD"/>
    <w:multiLevelType w:val="hybridMultilevel"/>
    <w:tmpl w:val="2FDA383E"/>
    <w:lvl w:ilvl="0" w:tplc="50DEEB9E">
      <w:start w:val="1"/>
      <w:numFmt w:val="lowerLetter"/>
      <w:pStyle w:val="ListNumber2"/>
      <w:lvlText w:val="%1."/>
      <w:lvlJc w:val="left"/>
      <w:pPr>
        <w:ind w:left="417" w:hanging="360"/>
      </w:pPr>
      <w:rPr>
        <w:rFonts w:hint="default"/>
        <w:b/>
        <w:i w:val="0"/>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8E3438"/>
    <w:multiLevelType w:val="hybridMultilevel"/>
    <w:tmpl w:val="FE2213D2"/>
    <w:lvl w:ilvl="0" w:tplc="8DF80A28">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3C5232"/>
    <w:multiLevelType w:val="hybridMultilevel"/>
    <w:tmpl w:val="FF447C46"/>
    <w:lvl w:ilvl="0" w:tplc="C4FE01C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A17B00"/>
    <w:multiLevelType w:val="hybridMultilevel"/>
    <w:tmpl w:val="184674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28762181">
    <w:abstractNumId w:val="9"/>
  </w:num>
  <w:num w:numId="2" w16cid:durableId="1909879506">
    <w:abstractNumId w:val="28"/>
  </w:num>
  <w:num w:numId="3" w16cid:durableId="855316002">
    <w:abstractNumId w:val="32"/>
  </w:num>
  <w:num w:numId="4" w16cid:durableId="819270231">
    <w:abstractNumId w:val="10"/>
  </w:num>
  <w:num w:numId="5" w16cid:durableId="624852735">
    <w:abstractNumId w:val="10"/>
    <w:lvlOverride w:ilvl="0">
      <w:startOverride w:val="1"/>
    </w:lvlOverride>
  </w:num>
  <w:num w:numId="6" w16cid:durableId="1471367351">
    <w:abstractNumId w:val="11"/>
  </w:num>
  <w:num w:numId="7" w16cid:durableId="314646392">
    <w:abstractNumId w:val="23"/>
  </w:num>
  <w:num w:numId="8" w16cid:durableId="1499927305">
    <w:abstractNumId w:val="30"/>
  </w:num>
  <w:num w:numId="9" w16cid:durableId="251470545">
    <w:abstractNumId w:val="7"/>
  </w:num>
  <w:num w:numId="10" w16cid:durableId="716706801">
    <w:abstractNumId w:val="6"/>
  </w:num>
  <w:num w:numId="11" w16cid:durableId="1328676878">
    <w:abstractNumId w:val="5"/>
  </w:num>
  <w:num w:numId="12" w16cid:durableId="541094559">
    <w:abstractNumId w:val="4"/>
  </w:num>
  <w:num w:numId="13" w16cid:durableId="1793085349">
    <w:abstractNumId w:val="8"/>
  </w:num>
  <w:num w:numId="14" w16cid:durableId="533345085">
    <w:abstractNumId w:val="1"/>
  </w:num>
  <w:num w:numId="15" w16cid:durableId="366374500">
    <w:abstractNumId w:val="0"/>
  </w:num>
  <w:num w:numId="16" w16cid:durableId="917133387">
    <w:abstractNumId w:val="41"/>
  </w:num>
  <w:num w:numId="17" w16cid:durableId="613557283">
    <w:abstractNumId w:val="15"/>
  </w:num>
  <w:num w:numId="18" w16cid:durableId="816261399">
    <w:abstractNumId w:val="18"/>
  </w:num>
  <w:num w:numId="19" w16cid:durableId="1097212103">
    <w:abstractNumId w:val="21"/>
  </w:num>
  <w:num w:numId="20" w16cid:durableId="1939170792">
    <w:abstractNumId w:val="15"/>
  </w:num>
  <w:num w:numId="21" w16cid:durableId="28997209">
    <w:abstractNumId w:val="21"/>
  </w:num>
  <w:num w:numId="22" w16cid:durableId="1504319644">
    <w:abstractNumId w:val="41"/>
  </w:num>
  <w:num w:numId="23" w16cid:durableId="1823959635">
    <w:abstractNumId w:val="28"/>
  </w:num>
  <w:num w:numId="24" w16cid:durableId="1449813617">
    <w:abstractNumId w:val="32"/>
  </w:num>
  <w:num w:numId="25" w16cid:durableId="1444181194">
    <w:abstractNumId w:val="10"/>
  </w:num>
  <w:num w:numId="26" w16cid:durableId="605428677">
    <w:abstractNumId w:val="27"/>
  </w:num>
  <w:num w:numId="27" w16cid:durableId="40595041">
    <w:abstractNumId w:val="3"/>
  </w:num>
  <w:num w:numId="28" w16cid:durableId="1635523991">
    <w:abstractNumId w:val="14"/>
  </w:num>
  <w:num w:numId="29" w16cid:durableId="1850750014">
    <w:abstractNumId w:val="40"/>
  </w:num>
  <w:num w:numId="30" w16cid:durableId="1698968445">
    <w:abstractNumId w:val="38"/>
  </w:num>
  <w:num w:numId="31" w16cid:durableId="1934436796">
    <w:abstractNumId w:val="17"/>
  </w:num>
  <w:num w:numId="32" w16cid:durableId="1095783083">
    <w:abstractNumId w:val="31"/>
  </w:num>
  <w:num w:numId="33" w16cid:durableId="966004985">
    <w:abstractNumId w:val="37"/>
  </w:num>
  <w:num w:numId="34" w16cid:durableId="1672639581">
    <w:abstractNumId w:val="13"/>
  </w:num>
  <w:num w:numId="35" w16cid:durableId="1531800166">
    <w:abstractNumId w:val="39"/>
  </w:num>
  <w:num w:numId="36" w16cid:durableId="152527629">
    <w:abstractNumId w:val="26"/>
  </w:num>
  <w:num w:numId="37" w16cid:durableId="1190069954">
    <w:abstractNumId w:val="16"/>
  </w:num>
  <w:num w:numId="38" w16cid:durableId="54671393">
    <w:abstractNumId w:val="36"/>
  </w:num>
  <w:num w:numId="39" w16cid:durableId="419762150">
    <w:abstractNumId w:val="24"/>
  </w:num>
  <w:num w:numId="40" w16cid:durableId="458912790">
    <w:abstractNumId w:val="22"/>
  </w:num>
  <w:num w:numId="41" w16cid:durableId="1084104110">
    <w:abstractNumId w:val="25"/>
  </w:num>
  <w:num w:numId="42" w16cid:durableId="1173035480">
    <w:abstractNumId w:val="33"/>
  </w:num>
  <w:num w:numId="43" w16cid:durableId="954603087">
    <w:abstractNumId w:val="19"/>
  </w:num>
  <w:num w:numId="44" w16cid:durableId="337730606">
    <w:abstractNumId w:val="2"/>
  </w:num>
  <w:num w:numId="45" w16cid:durableId="492062660">
    <w:abstractNumId w:val="12"/>
  </w:num>
  <w:num w:numId="46" w16cid:durableId="319047288">
    <w:abstractNumId w:val="20"/>
  </w:num>
  <w:num w:numId="47" w16cid:durableId="2016346330">
    <w:abstractNumId w:val="34"/>
  </w:num>
  <w:num w:numId="48" w16cid:durableId="156504601">
    <w:abstractNumId w:val="35"/>
  </w:num>
  <w:num w:numId="49" w16cid:durableId="1871453667">
    <w:abstractNumId w:val="29"/>
  </w:num>
  <w:num w:numId="50" w16cid:durableId="850492137">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AA9"/>
    <w:rsid w:val="0000099D"/>
    <w:rsid w:val="00001F41"/>
    <w:rsid w:val="00003743"/>
    <w:rsid w:val="000047B4"/>
    <w:rsid w:val="00005712"/>
    <w:rsid w:val="00007FD8"/>
    <w:rsid w:val="000117F8"/>
    <w:rsid w:val="0001301D"/>
    <w:rsid w:val="00026139"/>
    <w:rsid w:val="00027071"/>
    <w:rsid w:val="00027601"/>
    <w:rsid w:val="0003051F"/>
    <w:rsid w:val="00033321"/>
    <w:rsid w:val="00033865"/>
    <w:rsid w:val="000338E5"/>
    <w:rsid w:val="00033ECC"/>
    <w:rsid w:val="0003422F"/>
    <w:rsid w:val="0004360C"/>
    <w:rsid w:val="00044135"/>
    <w:rsid w:val="0004696B"/>
    <w:rsid w:val="00046FF0"/>
    <w:rsid w:val="00050176"/>
    <w:rsid w:val="00062B65"/>
    <w:rsid w:val="00067456"/>
    <w:rsid w:val="00071506"/>
    <w:rsid w:val="0007154F"/>
    <w:rsid w:val="00073059"/>
    <w:rsid w:val="0007434C"/>
    <w:rsid w:val="00080CB6"/>
    <w:rsid w:val="00081AB1"/>
    <w:rsid w:val="0008627B"/>
    <w:rsid w:val="00086CAF"/>
    <w:rsid w:val="00090316"/>
    <w:rsid w:val="00093981"/>
    <w:rsid w:val="00093CD9"/>
    <w:rsid w:val="00094C24"/>
    <w:rsid w:val="000959A0"/>
    <w:rsid w:val="00095A02"/>
    <w:rsid w:val="000B067A"/>
    <w:rsid w:val="000B1540"/>
    <w:rsid w:val="000B33FD"/>
    <w:rsid w:val="000B34E0"/>
    <w:rsid w:val="000B4ABA"/>
    <w:rsid w:val="000C4B16"/>
    <w:rsid w:val="000C50C3"/>
    <w:rsid w:val="000D07BF"/>
    <w:rsid w:val="000D21F6"/>
    <w:rsid w:val="000D42C3"/>
    <w:rsid w:val="000D4500"/>
    <w:rsid w:val="000D7AEA"/>
    <w:rsid w:val="000E0012"/>
    <w:rsid w:val="000E01A9"/>
    <w:rsid w:val="000E1ABC"/>
    <w:rsid w:val="000E2C66"/>
    <w:rsid w:val="000E6E7D"/>
    <w:rsid w:val="000F123C"/>
    <w:rsid w:val="000F1361"/>
    <w:rsid w:val="000F2FED"/>
    <w:rsid w:val="0010616D"/>
    <w:rsid w:val="00110478"/>
    <w:rsid w:val="0011711B"/>
    <w:rsid w:val="001174B4"/>
    <w:rsid w:val="00117F8A"/>
    <w:rsid w:val="00120A1F"/>
    <w:rsid w:val="00120BB2"/>
    <w:rsid w:val="001212D9"/>
    <w:rsid w:val="00121B9B"/>
    <w:rsid w:val="00122A2F"/>
    <w:rsid w:val="00122ADC"/>
    <w:rsid w:val="00130F59"/>
    <w:rsid w:val="00133EC0"/>
    <w:rsid w:val="00136AFE"/>
    <w:rsid w:val="00141CE5"/>
    <w:rsid w:val="00144908"/>
    <w:rsid w:val="00144B7B"/>
    <w:rsid w:val="00146678"/>
    <w:rsid w:val="001528DA"/>
    <w:rsid w:val="00153CC6"/>
    <w:rsid w:val="001543BA"/>
    <w:rsid w:val="001571C7"/>
    <w:rsid w:val="00161094"/>
    <w:rsid w:val="00163863"/>
    <w:rsid w:val="00171DF7"/>
    <w:rsid w:val="00172A55"/>
    <w:rsid w:val="001758CD"/>
    <w:rsid w:val="0017665C"/>
    <w:rsid w:val="00177AD2"/>
    <w:rsid w:val="001815A8"/>
    <w:rsid w:val="00181675"/>
    <w:rsid w:val="001840FA"/>
    <w:rsid w:val="0018552E"/>
    <w:rsid w:val="00190079"/>
    <w:rsid w:val="00192E91"/>
    <w:rsid w:val="0019622E"/>
    <w:rsid w:val="001966A7"/>
    <w:rsid w:val="001A16C7"/>
    <w:rsid w:val="001A3DB0"/>
    <w:rsid w:val="001A4627"/>
    <w:rsid w:val="001A4979"/>
    <w:rsid w:val="001A6873"/>
    <w:rsid w:val="001A7A49"/>
    <w:rsid w:val="001B0174"/>
    <w:rsid w:val="001B15D3"/>
    <w:rsid w:val="001B1644"/>
    <w:rsid w:val="001B1F1A"/>
    <w:rsid w:val="001B3443"/>
    <w:rsid w:val="001C0326"/>
    <w:rsid w:val="001C192F"/>
    <w:rsid w:val="001C3C42"/>
    <w:rsid w:val="001D1C14"/>
    <w:rsid w:val="001D7869"/>
    <w:rsid w:val="001F2F78"/>
    <w:rsid w:val="001F395A"/>
    <w:rsid w:val="001F3BC1"/>
    <w:rsid w:val="001F7243"/>
    <w:rsid w:val="002026CD"/>
    <w:rsid w:val="002033FC"/>
    <w:rsid w:val="0020397F"/>
    <w:rsid w:val="002044BB"/>
    <w:rsid w:val="00207C2B"/>
    <w:rsid w:val="00210B09"/>
    <w:rsid w:val="00210C9E"/>
    <w:rsid w:val="00211840"/>
    <w:rsid w:val="00213C37"/>
    <w:rsid w:val="00214228"/>
    <w:rsid w:val="00220E5F"/>
    <w:rsid w:val="002212B5"/>
    <w:rsid w:val="002216B8"/>
    <w:rsid w:val="00224A58"/>
    <w:rsid w:val="0022528B"/>
    <w:rsid w:val="00226668"/>
    <w:rsid w:val="00232AE3"/>
    <w:rsid w:val="00233809"/>
    <w:rsid w:val="00235BB0"/>
    <w:rsid w:val="00240046"/>
    <w:rsid w:val="002415CF"/>
    <w:rsid w:val="00244FF7"/>
    <w:rsid w:val="0024797F"/>
    <w:rsid w:val="0025119E"/>
    <w:rsid w:val="00251269"/>
    <w:rsid w:val="002535C0"/>
    <w:rsid w:val="00254EB8"/>
    <w:rsid w:val="00257572"/>
    <w:rsid w:val="002579FE"/>
    <w:rsid w:val="00260F1A"/>
    <w:rsid w:val="0026311C"/>
    <w:rsid w:val="0026668C"/>
    <w:rsid w:val="00266AC1"/>
    <w:rsid w:val="0027114C"/>
    <w:rsid w:val="0027178C"/>
    <w:rsid w:val="002719FA"/>
    <w:rsid w:val="00272668"/>
    <w:rsid w:val="0027330B"/>
    <w:rsid w:val="002803AD"/>
    <w:rsid w:val="00281F5F"/>
    <w:rsid w:val="00282052"/>
    <w:rsid w:val="0028242F"/>
    <w:rsid w:val="00282A66"/>
    <w:rsid w:val="00282D9C"/>
    <w:rsid w:val="0028519E"/>
    <w:rsid w:val="002856A5"/>
    <w:rsid w:val="002872ED"/>
    <w:rsid w:val="002905C2"/>
    <w:rsid w:val="00291B68"/>
    <w:rsid w:val="002941CB"/>
    <w:rsid w:val="00295AF2"/>
    <w:rsid w:val="00295C91"/>
    <w:rsid w:val="00295D7B"/>
    <w:rsid w:val="00296B65"/>
    <w:rsid w:val="00297151"/>
    <w:rsid w:val="002A0910"/>
    <w:rsid w:val="002A65F0"/>
    <w:rsid w:val="002B0D6F"/>
    <w:rsid w:val="002B20E6"/>
    <w:rsid w:val="002B42A3"/>
    <w:rsid w:val="002C0CDD"/>
    <w:rsid w:val="002C3CBE"/>
    <w:rsid w:val="002C6F41"/>
    <w:rsid w:val="002E1A1D"/>
    <w:rsid w:val="002E3729"/>
    <w:rsid w:val="002E4081"/>
    <w:rsid w:val="002E572D"/>
    <w:rsid w:val="002E5B78"/>
    <w:rsid w:val="002E7F1D"/>
    <w:rsid w:val="002F3AE3"/>
    <w:rsid w:val="0030464B"/>
    <w:rsid w:val="0030786C"/>
    <w:rsid w:val="00307C8E"/>
    <w:rsid w:val="00312371"/>
    <w:rsid w:val="00312EC5"/>
    <w:rsid w:val="00313029"/>
    <w:rsid w:val="00313FA2"/>
    <w:rsid w:val="00315CD7"/>
    <w:rsid w:val="0031699F"/>
    <w:rsid w:val="003233DE"/>
    <w:rsid w:val="0032415A"/>
    <w:rsid w:val="0032466B"/>
    <w:rsid w:val="00327B44"/>
    <w:rsid w:val="003330EB"/>
    <w:rsid w:val="003339CE"/>
    <w:rsid w:val="00336605"/>
    <w:rsid w:val="00341080"/>
    <w:rsid w:val="003415FD"/>
    <w:rsid w:val="003429F0"/>
    <w:rsid w:val="003442CA"/>
    <w:rsid w:val="0035097A"/>
    <w:rsid w:val="003540A4"/>
    <w:rsid w:val="00360E4E"/>
    <w:rsid w:val="00363B23"/>
    <w:rsid w:val="00370AAA"/>
    <w:rsid w:val="00372577"/>
    <w:rsid w:val="00372DE2"/>
    <w:rsid w:val="00375F77"/>
    <w:rsid w:val="00377A78"/>
    <w:rsid w:val="00381BBE"/>
    <w:rsid w:val="00382903"/>
    <w:rsid w:val="003846FF"/>
    <w:rsid w:val="00384A20"/>
    <w:rsid w:val="00385581"/>
    <w:rsid w:val="00385AD4"/>
    <w:rsid w:val="00387924"/>
    <w:rsid w:val="0039384D"/>
    <w:rsid w:val="00393B97"/>
    <w:rsid w:val="00395C23"/>
    <w:rsid w:val="003A2E4F"/>
    <w:rsid w:val="003A33D9"/>
    <w:rsid w:val="003A4438"/>
    <w:rsid w:val="003A4FD4"/>
    <w:rsid w:val="003A5013"/>
    <w:rsid w:val="003A5078"/>
    <w:rsid w:val="003A62DD"/>
    <w:rsid w:val="003A6B8E"/>
    <w:rsid w:val="003A775A"/>
    <w:rsid w:val="003B0DAB"/>
    <w:rsid w:val="003B213A"/>
    <w:rsid w:val="003B2D3E"/>
    <w:rsid w:val="003B43AD"/>
    <w:rsid w:val="003B7029"/>
    <w:rsid w:val="003C0FEC"/>
    <w:rsid w:val="003C15B8"/>
    <w:rsid w:val="003C2AC8"/>
    <w:rsid w:val="003C46A6"/>
    <w:rsid w:val="003C5051"/>
    <w:rsid w:val="003D17F9"/>
    <w:rsid w:val="003D2290"/>
    <w:rsid w:val="003D2D88"/>
    <w:rsid w:val="003D41EA"/>
    <w:rsid w:val="003D4850"/>
    <w:rsid w:val="003D535A"/>
    <w:rsid w:val="003D6678"/>
    <w:rsid w:val="003E0B26"/>
    <w:rsid w:val="003E5265"/>
    <w:rsid w:val="003F0955"/>
    <w:rsid w:val="003F3AF4"/>
    <w:rsid w:val="003F6FE1"/>
    <w:rsid w:val="00400439"/>
    <w:rsid w:val="00400F00"/>
    <w:rsid w:val="00401642"/>
    <w:rsid w:val="00402BBF"/>
    <w:rsid w:val="00402C7C"/>
    <w:rsid w:val="00404F8B"/>
    <w:rsid w:val="00405256"/>
    <w:rsid w:val="00410031"/>
    <w:rsid w:val="004115A2"/>
    <w:rsid w:val="00413DB4"/>
    <w:rsid w:val="00415C81"/>
    <w:rsid w:val="00416731"/>
    <w:rsid w:val="00421ABD"/>
    <w:rsid w:val="00421BDD"/>
    <w:rsid w:val="00422547"/>
    <w:rsid w:val="004309E8"/>
    <w:rsid w:val="00432378"/>
    <w:rsid w:val="004371FE"/>
    <w:rsid w:val="00440057"/>
    <w:rsid w:val="00440677"/>
    <w:rsid w:val="00440D65"/>
    <w:rsid w:val="004435E6"/>
    <w:rsid w:val="00447E31"/>
    <w:rsid w:val="0045363F"/>
    <w:rsid w:val="00453923"/>
    <w:rsid w:val="00454B9B"/>
    <w:rsid w:val="00455E93"/>
    <w:rsid w:val="00457858"/>
    <w:rsid w:val="00460B0B"/>
    <w:rsid w:val="00461023"/>
    <w:rsid w:val="00462FAC"/>
    <w:rsid w:val="00464631"/>
    <w:rsid w:val="00464B79"/>
    <w:rsid w:val="00466A2D"/>
    <w:rsid w:val="00467BBF"/>
    <w:rsid w:val="00476662"/>
    <w:rsid w:val="0047717B"/>
    <w:rsid w:val="004815C5"/>
    <w:rsid w:val="004838F8"/>
    <w:rsid w:val="00484415"/>
    <w:rsid w:val="004867E2"/>
    <w:rsid w:val="00491643"/>
    <w:rsid w:val="004929A9"/>
    <w:rsid w:val="004A12F7"/>
    <w:rsid w:val="004A219D"/>
    <w:rsid w:val="004A3C5E"/>
    <w:rsid w:val="004A6F00"/>
    <w:rsid w:val="004B77D6"/>
    <w:rsid w:val="004C19C6"/>
    <w:rsid w:val="004C2FEC"/>
    <w:rsid w:val="004C5987"/>
    <w:rsid w:val="004C6BCF"/>
    <w:rsid w:val="004D006E"/>
    <w:rsid w:val="004D0E99"/>
    <w:rsid w:val="004D32CC"/>
    <w:rsid w:val="004D58BF"/>
    <w:rsid w:val="004D6819"/>
    <w:rsid w:val="004E4335"/>
    <w:rsid w:val="004E5ACF"/>
    <w:rsid w:val="004F13EE"/>
    <w:rsid w:val="004F2022"/>
    <w:rsid w:val="004F7C05"/>
    <w:rsid w:val="00501C94"/>
    <w:rsid w:val="00503F8B"/>
    <w:rsid w:val="00506432"/>
    <w:rsid w:val="0051048C"/>
    <w:rsid w:val="0051242B"/>
    <w:rsid w:val="005143C4"/>
    <w:rsid w:val="00516BB4"/>
    <w:rsid w:val="0052051D"/>
    <w:rsid w:val="00531527"/>
    <w:rsid w:val="00532E5F"/>
    <w:rsid w:val="00545EE6"/>
    <w:rsid w:val="00547B01"/>
    <w:rsid w:val="0055294B"/>
    <w:rsid w:val="005550E7"/>
    <w:rsid w:val="005564FB"/>
    <w:rsid w:val="005572C7"/>
    <w:rsid w:val="005602C6"/>
    <w:rsid w:val="0056135B"/>
    <w:rsid w:val="00563E7E"/>
    <w:rsid w:val="005650ED"/>
    <w:rsid w:val="00570A50"/>
    <w:rsid w:val="00575754"/>
    <w:rsid w:val="00591E20"/>
    <w:rsid w:val="00594327"/>
    <w:rsid w:val="00595408"/>
    <w:rsid w:val="00595E84"/>
    <w:rsid w:val="00597D79"/>
    <w:rsid w:val="005A0C59"/>
    <w:rsid w:val="005A33C7"/>
    <w:rsid w:val="005A48EB"/>
    <w:rsid w:val="005A6CFB"/>
    <w:rsid w:val="005B221B"/>
    <w:rsid w:val="005B2808"/>
    <w:rsid w:val="005B289B"/>
    <w:rsid w:val="005C3537"/>
    <w:rsid w:val="005C5AEB"/>
    <w:rsid w:val="005D45C9"/>
    <w:rsid w:val="005E0A3F"/>
    <w:rsid w:val="005E6883"/>
    <w:rsid w:val="005E772F"/>
    <w:rsid w:val="005F4ECA"/>
    <w:rsid w:val="006021BB"/>
    <w:rsid w:val="006037B9"/>
    <w:rsid w:val="006041BE"/>
    <w:rsid w:val="006043C7"/>
    <w:rsid w:val="00621B57"/>
    <w:rsid w:val="00624B52"/>
    <w:rsid w:val="00631DF4"/>
    <w:rsid w:val="00634175"/>
    <w:rsid w:val="006371D4"/>
    <w:rsid w:val="006408AC"/>
    <w:rsid w:val="00640EF0"/>
    <w:rsid w:val="0064161A"/>
    <w:rsid w:val="006511B6"/>
    <w:rsid w:val="00652742"/>
    <w:rsid w:val="006568D9"/>
    <w:rsid w:val="00657FF8"/>
    <w:rsid w:val="00670B4F"/>
    <w:rsid w:val="00670D99"/>
    <w:rsid w:val="00670E2B"/>
    <w:rsid w:val="00672743"/>
    <w:rsid w:val="006734BB"/>
    <w:rsid w:val="00681A34"/>
    <w:rsid w:val="006821EB"/>
    <w:rsid w:val="00684D52"/>
    <w:rsid w:val="00687969"/>
    <w:rsid w:val="006A7039"/>
    <w:rsid w:val="006B2286"/>
    <w:rsid w:val="006B56BB"/>
    <w:rsid w:val="006C0F9A"/>
    <w:rsid w:val="006C66F4"/>
    <w:rsid w:val="006C77A8"/>
    <w:rsid w:val="006D01C4"/>
    <w:rsid w:val="006D4098"/>
    <w:rsid w:val="006D7681"/>
    <w:rsid w:val="006D7891"/>
    <w:rsid w:val="006D7B2E"/>
    <w:rsid w:val="006E02EA"/>
    <w:rsid w:val="006E0968"/>
    <w:rsid w:val="006E2AF6"/>
    <w:rsid w:val="006E7F02"/>
    <w:rsid w:val="006F1E3C"/>
    <w:rsid w:val="00701275"/>
    <w:rsid w:val="00707F56"/>
    <w:rsid w:val="00713558"/>
    <w:rsid w:val="00714722"/>
    <w:rsid w:val="00714E4C"/>
    <w:rsid w:val="007164F8"/>
    <w:rsid w:val="00720D08"/>
    <w:rsid w:val="00722577"/>
    <w:rsid w:val="007263B9"/>
    <w:rsid w:val="007334F8"/>
    <w:rsid w:val="007339CD"/>
    <w:rsid w:val="007359D8"/>
    <w:rsid w:val="007362D4"/>
    <w:rsid w:val="00736338"/>
    <w:rsid w:val="007371C1"/>
    <w:rsid w:val="00737382"/>
    <w:rsid w:val="00741015"/>
    <w:rsid w:val="0074183F"/>
    <w:rsid w:val="00741AF6"/>
    <w:rsid w:val="00751A23"/>
    <w:rsid w:val="00755B5F"/>
    <w:rsid w:val="0076672A"/>
    <w:rsid w:val="00773357"/>
    <w:rsid w:val="00775408"/>
    <w:rsid w:val="007758F9"/>
    <w:rsid w:val="00775E45"/>
    <w:rsid w:val="00776E74"/>
    <w:rsid w:val="0078349A"/>
    <w:rsid w:val="0078373A"/>
    <w:rsid w:val="00785169"/>
    <w:rsid w:val="00791789"/>
    <w:rsid w:val="007954AB"/>
    <w:rsid w:val="00797FB9"/>
    <w:rsid w:val="007A14C5"/>
    <w:rsid w:val="007A398E"/>
    <w:rsid w:val="007A3E38"/>
    <w:rsid w:val="007A4A10"/>
    <w:rsid w:val="007B1760"/>
    <w:rsid w:val="007B3D03"/>
    <w:rsid w:val="007C6D9C"/>
    <w:rsid w:val="007C7DDB"/>
    <w:rsid w:val="007D2CC7"/>
    <w:rsid w:val="007D673D"/>
    <w:rsid w:val="007D71AB"/>
    <w:rsid w:val="007E0029"/>
    <w:rsid w:val="007E37D6"/>
    <w:rsid w:val="007E3F3F"/>
    <w:rsid w:val="007F2220"/>
    <w:rsid w:val="007F4B3E"/>
    <w:rsid w:val="007F588A"/>
    <w:rsid w:val="007F60E1"/>
    <w:rsid w:val="00800F3A"/>
    <w:rsid w:val="008034A2"/>
    <w:rsid w:val="008049CD"/>
    <w:rsid w:val="008067E5"/>
    <w:rsid w:val="008100F2"/>
    <w:rsid w:val="008127AF"/>
    <w:rsid w:val="00812B46"/>
    <w:rsid w:val="00812BDE"/>
    <w:rsid w:val="00813397"/>
    <w:rsid w:val="0081426B"/>
    <w:rsid w:val="00815700"/>
    <w:rsid w:val="00817B70"/>
    <w:rsid w:val="008264EB"/>
    <w:rsid w:val="00826B8F"/>
    <w:rsid w:val="00831E8A"/>
    <w:rsid w:val="00835C76"/>
    <w:rsid w:val="00843049"/>
    <w:rsid w:val="00847124"/>
    <w:rsid w:val="0085209B"/>
    <w:rsid w:val="00853DB5"/>
    <w:rsid w:val="00855011"/>
    <w:rsid w:val="00856914"/>
    <w:rsid w:val="00856B66"/>
    <w:rsid w:val="00861A5F"/>
    <w:rsid w:val="008644AD"/>
    <w:rsid w:val="00865735"/>
    <w:rsid w:val="00865DDB"/>
    <w:rsid w:val="00867538"/>
    <w:rsid w:val="00873D90"/>
    <w:rsid w:val="00873FC8"/>
    <w:rsid w:val="00877C56"/>
    <w:rsid w:val="0088469C"/>
    <w:rsid w:val="00884C63"/>
    <w:rsid w:val="00885908"/>
    <w:rsid w:val="00885FE1"/>
    <w:rsid w:val="008864B7"/>
    <w:rsid w:val="00887B63"/>
    <w:rsid w:val="00892633"/>
    <w:rsid w:val="00892A02"/>
    <w:rsid w:val="008943A2"/>
    <w:rsid w:val="0089677E"/>
    <w:rsid w:val="00896E8C"/>
    <w:rsid w:val="008974FA"/>
    <w:rsid w:val="008A1ABB"/>
    <w:rsid w:val="008A7438"/>
    <w:rsid w:val="008A7EE3"/>
    <w:rsid w:val="008B1334"/>
    <w:rsid w:val="008B55A3"/>
    <w:rsid w:val="008B6948"/>
    <w:rsid w:val="008C0278"/>
    <w:rsid w:val="008C24E9"/>
    <w:rsid w:val="008C2807"/>
    <w:rsid w:val="008D0533"/>
    <w:rsid w:val="008D0EA9"/>
    <w:rsid w:val="008D42CB"/>
    <w:rsid w:val="008D48C9"/>
    <w:rsid w:val="008D5B79"/>
    <w:rsid w:val="008D6381"/>
    <w:rsid w:val="008E0C77"/>
    <w:rsid w:val="008E60E9"/>
    <w:rsid w:val="008E625F"/>
    <w:rsid w:val="008F1BC4"/>
    <w:rsid w:val="008F264D"/>
    <w:rsid w:val="00907163"/>
    <w:rsid w:val="009074E1"/>
    <w:rsid w:val="009112F7"/>
    <w:rsid w:val="009122AF"/>
    <w:rsid w:val="009127BC"/>
    <w:rsid w:val="00912D54"/>
    <w:rsid w:val="0091389F"/>
    <w:rsid w:val="009208F7"/>
    <w:rsid w:val="00922517"/>
    <w:rsid w:val="00922722"/>
    <w:rsid w:val="0092599C"/>
    <w:rsid w:val="009261E6"/>
    <w:rsid w:val="009268E1"/>
    <w:rsid w:val="00926DC8"/>
    <w:rsid w:val="00927788"/>
    <w:rsid w:val="00930189"/>
    <w:rsid w:val="00934368"/>
    <w:rsid w:val="009344EF"/>
    <w:rsid w:val="00945887"/>
    <w:rsid w:val="00945E7F"/>
    <w:rsid w:val="00946C6C"/>
    <w:rsid w:val="00947279"/>
    <w:rsid w:val="0095104B"/>
    <w:rsid w:val="0095426F"/>
    <w:rsid w:val="009543E5"/>
    <w:rsid w:val="009557C1"/>
    <w:rsid w:val="00960BC0"/>
    <w:rsid w:val="00960D6E"/>
    <w:rsid w:val="009626A4"/>
    <w:rsid w:val="009706ED"/>
    <w:rsid w:val="00972BC1"/>
    <w:rsid w:val="00974B59"/>
    <w:rsid w:val="00977F2F"/>
    <w:rsid w:val="009803A9"/>
    <w:rsid w:val="0098340B"/>
    <w:rsid w:val="0098542F"/>
    <w:rsid w:val="00986830"/>
    <w:rsid w:val="00990A65"/>
    <w:rsid w:val="009924C3"/>
    <w:rsid w:val="00993102"/>
    <w:rsid w:val="009A3A74"/>
    <w:rsid w:val="009A6BAD"/>
    <w:rsid w:val="009B4859"/>
    <w:rsid w:val="009C1C99"/>
    <w:rsid w:val="009C4A39"/>
    <w:rsid w:val="009C6F10"/>
    <w:rsid w:val="009D148F"/>
    <w:rsid w:val="009D3D70"/>
    <w:rsid w:val="009E6F7E"/>
    <w:rsid w:val="009E7A57"/>
    <w:rsid w:val="009F4231"/>
    <w:rsid w:val="009F4F6A"/>
    <w:rsid w:val="009F6329"/>
    <w:rsid w:val="00A004EF"/>
    <w:rsid w:val="00A016F5"/>
    <w:rsid w:val="00A0248B"/>
    <w:rsid w:val="00A02DFD"/>
    <w:rsid w:val="00A04084"/>
    <w:rsid w:val="00A10A39"/>
    <w:rsid w:val="00A12CA1"/>
    <w:rsid w:val="00A157E4"/>
    <w:rsid w:val="00A16E36"/>
    <w:rsid w:val="00A24961"/>
    <w:rsid w:val="00A24B10"/>
    <w:rsid w:val="00A25F4E"/>
    <w:rsid w:val="00A30E9B"/>
    <w:rsid w:val="00A35EF2"/>
    <w:rsid w:val="00A40FE0"/>
    <w:rsid w:val="00A4512D"/>
    <w:rsid w:val="00A50244"/>
    <w:rsid w:val="00A56F17"/>
    <w:rsid w:val="00A61C83"/>
    <w:rsid w:val="00A627D7"/>
    <w:rsid w:val="00A62DC0"/>
    <w:rsid w:val="00A63145"/>
    <w:rsid w:val="00A64A52"/>
    <w:rsid w:val="00A656C7"/>
    <w:rsid w:val="00A6713D"/>
    <w:rsid w:val="00A705AF"/>
    <w:rsid w:val="00A72454"/>
    <w:rsid w:val="00A73065"/>
    <w:rsid w:val="00A73475"/>
    <w:rsid w:val="00A74345"/>
    <w:rsid w:val="00A77696"/>
    <w:rsid w:val="00A80557"/>
    <w:rsid w:val="00A81C1F"/>
    <w:rsid w:val="00A81D33"/>
    <w:rsid w:val="00A85B61"/>
    <w:rsid w:val="00A85D2C"/>
    <w:rsid w:val="00A91869"/>
    <w:rsid w:val="00A930AE"/>
    <w:rsid w:val="00A93F6E"/>
    <w:rsid w:val="00AA1A95"/>
    <w:rsid w:val="00AA260F"/>
    <w:rsid w:val="00AB1EE7"/>
    <w:rsid w:val="00AB324F"/>
    <w:rsid w:val="00AB3DD5"/>
    <w:rsid w:val="00AB4B37"/>
    <w:rsid w:val="00AB5762"/>
    <w:rsid w:val="00AC1B6B"/>
    <w:rsid w:val="00AC2679"/>
    <w:rsid w:val="00AC2A05"/>
    <w:rsid w:val="00AC4BE4"/>
    <w:rsid w:val="00AC4DA7"/>
    <w:rsid w:val="00AC6BF9"/>
    <w:rsid w:val="00AD05E6"/>
    <w:rsid w:val="00AD0D3F"/>
    <w:rsid w:val="00AD11E0"/>
    <w:rsid w:val="00AD1C5A"/>
    <w:rsid w:val="00AD3485"/>
    <w:rsid w:val="00AD42EF"/>
    <w:rsid w:val="00AD524C"/>
    <w:rsid w:val="00AD6ED4"/>
    <w:rsid w:val="00AE0E84"/>
    <w:rsid w:val="00AE1D7D"/>
    <w:rsid w:val="00AE2A8B"/>
    <w:rsid w:val="00AE3F64"/>
    <w:rsid w:val="00AF16F1"/>
    <w:rsid w:val="00AF5A43"/>
    <w:rsid w:val="00AF7386"/>
    <w:rsid w:val="00AF7934"/>
    <w:rsid w:val="00B00B81"/>
    <w:rsid w:val="00B04580"/>
    <w:rsid w:val="00B04B09"/>
    <w:rsid w:val="00B07516"/>
    <w:rsid w:val="00B1624B"/>
    <w:rsid w:val="00B165AF"/>
    <w:rsid w:val="00B16A51"/>
    <w:rsid w:val="00B25440"/>
    <w:rsid w:val="00B3088D"/>
    <w:rsid w:val="00B32222"/>
    <w:rsid w:val="00B3618D"/>
    <w:rsid w:val="00B36233"/>
    <w:rsid w:val="00B371EE"/>
    <w:rsid w:val="00B37B2F"/>
    <w:rsid w:val="00B42851"/>
    <w:rsid w:val="00B42F74"/>
    <w:rsid w:val="00B45AC7"/>
    <w:rsid w:val="00B47679"/>
    <w:rsid w:val="00B5372F"/>
    <w:rsid w:val="00B53F38"/>
    <w:rsid w:val="00B61129"/>
    <w:rsid w:val="00B61D08"/>
    <w:rsid w:val="00B628A5"/>
    <w:rsid w:val="00B67E7F"/>
    <w:rsid w:val="00B731F2"/>
    <w:rsid w:val="00B75A04"/>
    <w:rsid w:val="00B839B2"/>
    <w:rsid w:val="00B8751D"/>
    <w:rsid w:val="00B9209D"/>
    <w:rsid w:val="00B93AC0"/>
    <w:rsid w:val="00B94252"/>
    <w:rsid w:val="00B94805"/>
    <w:rsid w:val="00B9715A"/>
    <w:rsid w:val="00BA14BE"/>
    <w:rsid w:val="00BA2732"/>
    <w:rsid w:val="00BA293D"/>
    <w:rsid w:val="00BA49BC"/>
    <w:rsid w:val="00BA56B7"/>
    <w:rsid w:val="00BA7A1E"/>
    <w:rsid w:val="00BA7CA9"/>
    <w:rsid w:val="00BB2F6C"/>
    <w:rsid w:val="00BB3875"/>
    <w:rsid w:val="00BB483E"/>
    <w:rsid w:val="00BB5860"/>
    <w:rsid w:val="00BB6AAD"/>
    <w:rsid w:val="00BC18A5"/>
    <w:rsid w:val="00BC4A19"/>
    <w:rsid w:val="00BC4E6D"/>
    <w:rsid w:val="00BD0447"/>
    <w:rsid w:val="00BD0617"/>
    <w:rsid w:val="00BD2E9B"/>
    <w:rsid w:val="00BD2FDD"/>
    <w:rsid w:val="00BE5643"/>
    <w:rsid w:val="00BE6946"/>
    <w:rsid w:val="00BF7949"/>
    <w:rsid w:val="00BF7AD7"/>
    <w:rsid w:val="00C00930"/>
    <w:rsid w:val="00C02F47"/>
    <w:rsid w:val="00C060AD"/>
    <w:rsid w:val="00C0670D"/>
    <w:rsid w:val="00C10EAA"/>
    <w:rsid w:val="00C113BF"/>
    <w:rsid w:val="00C20360"/>
    <w:rsid w:val="00C2176E"/>
    <w:rsid w:val="00C23430"/>
    <w:rsid w:val="00C27D67"/>
    <w:rsid w:val="00C33397"/>
    <w:rsid w:val="00C364CD"/>
    <w:rsid w:val="00C45F2B"/>
    <w:rsid w:val="00C4631F"/>
    <w:rsid w:val="00C4733C"/>
    <w:rsid w:val="00C50E16"/>
    <w:rsid w:val="00C53686"/>
    <w:rsid w:val="00C55258"/>
    <w:rsid w:val="00C675DF"/>
    <w:rsid w:val="00C82EEB"/>
    <w:rsid w:val="00C95ADE"/>
    <w:rsid w:val="00C971DC"/>
    <w:rsid w:val="00CA16B7"/>
    <w:rsid w:val="00CA4BE3"/>
    <w:rsid w:val="00CA5808"/>
    <w:rsid w:val="00CA62AE"/>
    <w:rsid w:val="00CA6657"/>
    <w:rsid w:val="00CB36B9"/>
    <w:rsid w:val="00CB5B1A"/>
    <w:rsid w:val="00CC0B2D"/>
    <w:rsid w:val="00CC220B"/>
    <w:rsid w:val="00CC3D0F"/>
    <w:rsid w:val="00CC5C43"/>
    <w:rsid w:val="00CC7FA6"/>
    <w:rsid w:val="00CD02AE"/>
    <w:rsid w:val="00CD2A4F"/>
    <w:rsid w:val="00CD4885"/>
    <w:rsid w:val="00CE03CA"/>
    <w:rsid w:val="00CE22F1"/>
    <w:rsid w:val="00CE4A6C"/>
    <w:rsid w:val="00CE50F2"/>
    <w:rsid w:val="00CE6502"/>
    <w:rsid w:val="00CF0CA5"/>
    <w:rsid w:val="00CF3401"/>
    <w:rsid w:val="00CF5E00"/>
    <w:rsid w:val="00CF7BBF"/>
    <w:rsid w:val="00CF7D3C"/>
    <w:rsid w:val="00D02E59"/>
    <w:rsid w:val="00D03933"/>
    <w:rsid w:val="00D10979"/>
    <w:rsid w:val="00D127F6"/>
    <w:rsid w:val="00D13B05"/>
    <w:rsid w:val="00D147EB"/>
    <w:rsid w:val="00D15ACF"/>
    <w:rsid w:val="00D177E3"/>
    <w:rsid w:val="00D26364"/>
    <w:rsid w:val="00D271FA"/>
    <w:rsid w:val="00D34667"/>
    <w:rsid w:val="00D34E8D"/>
    <w:rsid w:val="00D401E1"/>
    <w:rsid w:val="00D408B4"/>
    <w:rsid w:val="00D423B1"/>
    <w:rsid w:val="00D43485"/>
    <w:rsid w:val="00D45D94"/>
    <w:rsid w:val="00D524C8"/>
    <w:rsid w:val="00D60E25"/>
    <w:rsid w:val="00D664D4"/>
    <w:rsid w:val="00D70E24"/>
    <w:rsid w:val="00D72B61"/>
    <w:rsid w:val="00D770B9"/>
    <w:rsid w:val="00D808E3"/>
    <w:rsid w:val="00D8111D"/>
    <w:rsid w:val="00D82A0A"/>
    <w:rsid w:val="00D84B77"/>
    <w:rsid w:val="00D86A40"/>
    <w:rsid w:val="00D906DF"/>
    <w:rsid w:val="00D94C65"/>
    <w:rsid w:val="00DA3516"/>
    <w:rsid w:val="00DA3B75"/>
    <w:rsid w:val="00DA3D1D"/>
    <w:rsid w:val="00DB0138"/>
    <w:rsid w:val="00DB0A79"/>
    <w:rsid w:val="00DB6286"/>
    <w:rsid w:val="00DB640E"/>
    <w:rsid w:val="00DB645F"/>
    <w:rsid w:val="00DB76E9"/>
    <w:rsid w:val="00DC0A67"/>
    <w:rsid w:val="00DC0EB5"/>
    <w:rsid w:val="00DC1D5E"/>
    <w:rsid w:val="00DC2313"/>
    <w:rsid w:val="00DC2AA9"/>
    <w:rsid w:val="00DC5220"/>
    <w:rsid w:val="00DC7910"/>
    <w:rsid w:val="00DD2061"/>
    <w:rsid w:val="00DD3C18"/>
    <w:rsid w:val="00DD7DAB"/>
    <w:rsid w:val="00DE3355"/>
    <w:rsid w:val="00DE6C5A"/>
    <w:rsid w:val="00DF352A"/>
    <w:rsid w:val="00DF486F"/>
    <w:rsid w:val="00DF5B5B"/>
    <w:rsid w:val="00DF7619"/>
    <w:rsid w:val="00E030E7"/>
    <w:rsid w:val="00E042D8"/>
    <w:rsid w:val="00E07EE7"/>
    <w:rsid w:val="00E1103B"/>
    <w:rsid w:val="00E17B44"/>
    <w:rsid w:val="00E2322F"/>
    <w:rsid w:val="00E258E3"/>
    <w:rsid w:val="00E27FEA"/>
    <w:rsid w:val="00E340B5"/>
    <w:rsid w:val="00E3725F"/>
    <w:rsid w:val="00E4086F"/>
    <w:rsid w:val="00E43B3C"/>
    <w:rsid w:val="00E50188"/>
    <w:rsid w:val="00E515CB"/>
    <w:rsid w:val="00E52260"/>
    <w:rsid w:val="00E60025"/>
    <w:rsid w:val="00E60BDB"/>
    <w:rsid w:val="00E639B6"/>
    <w:rsid w:val="00E6434B"/>
    <w:rsid w:val="00E6463D"/>
    <w:rsid w:val="00E72E9B"/>
    <w:rsid w:val="00E7479A"/>
    <w:rsid w:val="00E815F0"/>
    <w:rsid w:val="00E8485D"/>
    <w:rsid w:val="00E849DA"/>
    <w:rsid w:val="00E9462E"/>
    <w:rsid w:val="00EA342B"/>
    <w:rsid w:val="00EA470E"/>
    <w:rsid w:val="00EA47A7"/>
    <w:rsid w:val="00EA57EB"/>
    <w:rsid w:val="00EA592C"/>
    <w:rsid w:val="00EB3226"/>
    <w:rsid w:val="00EB7008"/>
    <w:rsid w:val="00EC213A"/>
    <w:rsid w:val="00EC2275"/>
    <w:rsid w:val="00EC5854"/>
    <w:rsid w:val="00EC6603"/>
    <w:rsid w:val="00EC7744"/>
    <w:rsid w:val="00ED0DAD"/>
    <w:rsid w:val="00ED0F46"/>
    <w:rsid w:val="00ED2373"/>
    <w:rsid w:val="00ED4B1A"/>
    <w:rsid w:val="00EE3E8A"/>
    <w:rsid w:val="00EF1C96"/>
    <w:rsid w:val="00EF47BB"/>
    <w:rsid w:val="00EF6ECA"/>
    <w:rsid w:val="00F024E1"/>
    <w:rsid w:val="00F049F6"/>
    <w:rsid w:val="00F04D7A"/>
    <w:rsid w:val="00F06C10"/>
    <w:rsid w:val="00F06CD8"/>
    <w:rsid w:val="00F1096F"/>
    <w:rsid w:val="00F12589"/>
    <w:rsid w:val="00F12595"/>
    <w:rsid w:val="00F134D9"/>
    <w:rsid w:val="00F1403D"/>
    <w:rsid w:val="00F1463F"/>
    <w:rsid w:val="00F171CC"/>
    <w:rsid w:val="00F21302"/>
    <w:rsid w:val="00F22A4C"/>
    <w:rsid w:val="00F321DE"/>
    <w:rsid w:val="00F33777"/>
    <w:rsid w:val="00F33B0D"/>
    <w:rsid w:val="00F3706F"/>
    <w:rsid w:val="00F40648"/>
    <w:rsid w:val="00F43ADF"/>
    <w:rsid w:val="00F46748"/>
    <w:rsid w:val="00F47DA2"/>
    <w:rsid w:val="00F519FC"/>
    <w:rsid w:val="00F6239D"/>
    <w:rsid w:val="00F6451E"/>
    <w:rsid w:val="00F67961"/>
    <w:rsid w:val="00F715D2"/>
    <w:rsid w:val="00F71F32"/>
    <w:rsid w:val="00F7274F"/>
    <w:rsid w:val="00F76B27"/>
    <w:rsid w:val="00F76FA8"/>
    <w:rsid w:val="00F82363"/>
    <w:rsid w:val="00F8312E"/>
    <w:rsid w:val="00F83AF2"/>
    <w:rsid w:val="00F841A6"/>
    <w:rsid w:val="00F84DC0"/>
    <w:rsid w:val="00F853BC"/>
    <w:rsid w:val="00F93F08"/>
    <w:rsid w:val="00F94951"/>
    <w:rsid w:val="00F94CED"/>
    <w:rsid w:val="00FA2CEE"/>
    <w:rsid w:val="00FA318C"/>
    <w:rsid w:val="00FA372F"/>
    <w:rsid w:val="00FA3829"/>
    <w:rsid w:val="00FA3C74"/>
    <w:rsid w:val="00FA63C8"/>
    <w:rsid w:val="00FB09CC"/>
    <w:rsid w:val="00FB59D8"/>
    <w:rsid w:val="00FB6F92"/>
    <w:rsid w:val="00FC026E"/>
    <w:rsid w:val="00FC5124"/>
    <w:rsid w:val="00FC7F0E"/>
    <w:rsid w:val="00FD4731"/>
    <w:rsid w:val="00FE3352"/>
    <w:rsid w:val="00FE5DF5"/>
    <w:rsid w:val="00FF0AB0"/>
    <w:rsid w:val="00FF18C4"/>
    <w:rsid w:val="00FF28AC"/>
    <w:rsid w:val="00FF44C1"/>
    <w:rsid w:val="00FF6E25"/>
    <w:rsid w:val="00FF7F6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D0C05"/>
  <w15:docId w15:val="{B28B8802-E558-425A-91DC-0C73ACF7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37B2F"/>
    <w:pPr>
      <w:spacing w:before="120" w:after="120" w:line="276" w:lineRule="auto"/>
    </w:pPr>
    <w:rPr>
      <w:rFonts w:ascii="Arial" w:hAnsi="Arial"/>
      <w:sz w:val="22"/>
      <w:szCs w:val="24"/>
      <w:lang w:eastAsia="en-US"/>
    </w:rPr>
  </w:style>
  <w:style w:type="paragraph" w:styleId="Heading1">
    <w:name w:val="heading 1"/>
    <w:next w:val="Normal"/>
    <w:link w:val="Heading1Char"/>
    <w:qFormat/>
    <w:rsid w:val="00E8485D"/>
    <w:pPr>
      <w:keepNext/>
      <w:spacing w:before="240" w:after="60"/>
      <w:outlineLvl w:val="0"/>
    </w:pPr>
    <w:rPr>
      <w:rFonts w:ascii="Arial" w:hAnsi="Arial" w:cs="Arial"/>
      <w:b/>
      <w:bCs/>
      <w:color w:val="033636" w:themeColor="text1"/>
      <w:kern w:val="28"/>
      <w:sz w:val="26"/>
      <w:szCs w:val="36"/>
      <w:lang w:eastAsia="en-US"/>
    </w:rPr>
  </w:style>
  <w:style w:type="paragraph" w:styleId="Heading2">
    <w:name w:val="heading 2"/>
    <w:next w:val="Normal"/>
    <w:link w:val="Heading2Char"/>
    <w:qFormat/>
    <w:rsid w:val="001174B4"/>
    <w:pPr>
      <w:keepNext/>
      <w:spacing w:before="240" w:after="60"/>
      <w:outlineLvl w:val="1"/>
    </w:pPr>
    <w:rPr>
      <w:rFonts w:ascii="Arial" w:hAnsi="Arial" w:cs="Arial"/>
      <w:b/>
      <w:bCs/>
      <w:i/>
      <w:iCs/>
      <w:color w:val="033636" w:themeColor="text1"/>
      <w:sz w:val="22"/>
      <w:szCs w:val="28"/>
      <w:lang w:eastAsia="en-US"/>
    </w:rPr>
  </w:style>
  <w:style w:type="paragraph" w:styleId="Heading3">
    <w:name w:val="heading 3"/>
    <w:next w:val="Normal"/>
    <w:link w:val="Heading3Char"/>
    <w:qFormat/>
    <w:rsid w:val="004371FE"/>
    <w:pPr>
      <w:keepNext/>
      <w:spacing w:before="180" w:after="60"/>
      <w:outlineLvl w:val="2"/>
    </w:pPr>
    <w:rPr>
      <w:rFonts w:ascii="Arial" w:hAnsi="Arial" w:cs="Arial"/>
      <w:b/>
      <w:bCs/>
      <w:color w:val="033636" w:themeColor="text1"/>
      <w:sz w:val="22"/>
      <w:szCs w:val="26"/>
      <w:lang w:eastAsia="en-US"/>
    </w:rPr>
  </w:style>
  <w:style w:type="paragraph" w:styleId="Heading4">
    <w:name w:val="heading 4"/>
    <w:next w:val="Normal"/>
    <w:link w:val="Heading4Char"/>
    <w:qFormat/>
    <w:rsid w:val="00EF47BB"/>
    <w:pPr>
      <w:keepNext/>
      <w:spacing w:before="240" w:after="60"/>
      <w:outlineLvl w:val="3"/>
    </w:pPr>
    <w:rPr>
      <w:rFonts w:ascii="Arial" w:hAnsi="Arial"/>
      <w:b/>
      <w:bCs/>
      <w:i/>
      <w:color w:val="062E74" w:themeColor="accent1" w:themeShade="BF"/>
      <w:sz w:val="24"/>
      <w:szCs w:val="28"/>
      <w:lang w:eastAsia="en-US"/>
    </w:rPr>
  </w:style>
  <w:style w:type="paragraph" w:styleId="Heading5">
    <w:name w:val="heading 5"/>
    <w:aliases w:val="Figure heading"/>
    <w:next w:val="Normal"/>
    <w:link w:val="Heading5Char"/>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link w:val="Heading6Char"/>
    <w:qFormat/>
    <w:rsid w:val="00BF7AD7"/>
    <w:pPr>
      <w:keepNext/>
      <w:spacing w:before="240" w:after="60"/>
      <w:outlineLvl w:val="5"/>
    </w:pPr>
    <w:rPr>
      <w:rFonts w:ascii="Arial" w:hAnsi="Arial"/>
      <w:b/>
      <w:bCs/>
      <w:sz w:val="22"/>
      <w:szCs w:val="22"/>
      <w:lang w:eastAsia="en-US"/>
    </w:rPr>
  </w:style>
  <w:style w:type="paragraph" w:styleId="Heading7">
    <w:name w:val="heading 7"/>
    <w:aliases w:val="Footnote"/>
    <w:next w:val="Normal"/>
    <w:link w:val="Heading7Char"/>
    <w:unhideWhenUsed/>
    <w:qFormat/>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paragraph" w:styleId="Heading8">
    <w:name w:val="heading 8"/>
    <w:basedOn w:val="BodyText"/>
    <w:next w:val="Normal"/>
    <w:link w:val="Heading8Char"/>
    <w:autoRedefine/>
    <w:qFormat/>
    <w:rsid w:val="00F76B27"/>
    <w:pPr>
      <w:keepNext/>
      <w:numPr>
        <w:numId w:val="29"/>
      </w:numPr>
      <w:autoSpaceDE w:val="0"/>
      <w:autoSpaceDN w:val="0"/>
      <w:adjustRightInd w:val="0"/>
      <w:spacing w:before="60" w:after="240" w:line="240" w:lineRule="auto"/>
      <w:ind w:left="284" w:hanging="284"/>
      <w:outlineLvl w:val="7"/>
    </w:pPr>
    <w:rPr>
      <w:rFonts w:asciiTheme="minorHAnsi" w:hAnsiTheme="minorHAnsi" w:cs="Arial"/>
      <w:b/>
      <w:sz w:val="20"/>
    </w:rPr>
  </w:style>
  <w:style w:type="paragraph" w:styleId="Heading9">
    <w:name w:val="heading 9"/>
    <w:basedOn w:val="Normal"/>
    <w:next w:val="Normal"/>
    <w:link w:val="Heading9Char"/>
    <w:unhideWhenUsed/>
    <w:qFormat/>
    <w:rsid w:val="00AF5A43"/>
    <w:pPr>
      <w:keepNext/>
      <w:keepLines/>
      <w:spacing w:before="40" w:after="0"/>
      <w:outlineLvl w:val="8"/>
    </w:pPr>
    <w:rPr>
      <w:rFonts w:asciiTheme="majorHAnsi" w:eastAsiaTheme="majorEastAsia" w:hAnsiTheme="majorHAnsi" w:cstheme="majorBidi"/>
      <w:i/>
      <w:iCs/>
      <w:color w:val="06777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77F2F"/>
    <w:rPr>
      <w:rFonts w:ascii="Arial" w:hAnsi="Arial"/>
      <w:i/>
      <w:iCs/>
      <w:color w:val="auto"/>
      <w:sz w:val="22"/>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D127F6"/>
    <w:pPr>
      <w:spacing w:before="2040" w:after="120"/>
      <w:contextualSpacing/>
    </w:pPr>
    <w:rPr>
      <w:rFonts w:ascii="Arial" w:eastAsiaTheme="majorEastAsia" w:hAnsi="Arial" w:cstheme="majorBidi"/>
      <w:b/>
      <w:color w:val="033636" w:themeColor="text1"/>
      <w:kern w:val="28"/>
      <w:sz w:val="48"/>
      <w:szCs w:val="52"/>
      <w:lang w:eastAsia="en-US"/>
    </w:rPr>
  </w:style>
  <w:style w:type="character" w:customStyle="1" w:styleId="TitleChar">
    <w:name w:val="Title Char"/>
    <w:basedOn w:val="DefaultParagraphFont"/>
    <w:link w:val="Title"/>
    <w:rsid w:val="00D127F6"/>
    <w:rPr>
      <w:rFonts w:ascii="Arial" w:eastAsiaTheme="majorEastAsia" w:hAnsi="Arial" w:cstheme="majorBidi"/>
      <w:b/>
      <w:color w:val="033636" w:themeColor="text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D127F6"/>
    <w:rPr>
      <w:b/>
      <w:bCs/>
      <w:i/>
      <w:iCs/>
      <w:color w:val="auto"/>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ListBullet"/>
    <w:qFormat/>
    <w:rsid w:val="00977F2F"/>
    <w:pPr>
      <w:numPr>
        <w:numId w:val="21"/>
      </w:numPr>
    </w:pPr>
  </w:style>
  <w:style w:type="paragraph" w:styleId="ListBullet">
    <w:name w:val="List Bullet"/>
    <w:basedOn w:val="Normal"/>
    <w:qFormat/>
    <w:rsid w:val="00977F2F"/>
    <w:pPr>
      <w:numPr>
        <w:numId w:val="20"/>
      </w:numPr>
      <w:spacing w:before="0" w:after="0" w:line="240" w:lineRule="auto"/>
      <w:ind w:left="357" w:hanging="357"/>
      <w:contextualSpacing/>
    </w:pPr>
  </w:style>
  <w:style w:type="paragraph" w:customStyle="1" w:styleId="Tabletotalrow">
    <w:name w:val="Table total row"/>
    <w:basedOn w:val="Normal"/>
    <w:link w:val="TabletotalrowChar"/>
    <w:qFormat/>
    <w:rsid w:val="00B37B2F"/>
    <w:pPr>
      <w:jc w:val="center"/>
    </w:pPr>
    <w:rPr>
      <w:rFonts w:asciiTheme="minorHAnsi" w:eastAsiaTheme="minorHAnsi" w:hAnsiTheme="minorHAnsi" w:cstheme="minorBidi"/>
    </w:rPr>
  </w:style>
  <w:style w:type="paragraph" w:styleId="ListNumber3">
    <w:name w:val="List Number 3"/>
    <w:aliases w:val="List Third Level"/>
    <w:basedOn w:val="ListNumber2"/>
    <w:rsid w:val="00BF7AD7"/>
    <w:pPr>
      <w:numPr>
        <w:numId w:val="23"/>
      </w:numPr>
      <w:tabs>
        <w:tab w:val="num" w:pos="1440"/>
      </w:tabs>
    </w:pPr>
    <w:rPr>
      <w:rFonts w:eastAsia="Cambria"/>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977F2F"/>
    <w:pPr>
      <w:spacing w:before="60" w:after="60"/>
    </w:pPr>
    <w:rPr>
      <w:rFonts w:asciiTheme="minorHAnsi" w:eastAsiaTheme="minorHAnsi" w:hAnsiTheme="minorHAnsi" w:cstheme="minorBidi"/>
      <w:b/>
      <w:color w:val="033636" w:themeColor="text1"/>
      <w:sz w:val="22"/>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BF7AD7"/>
    <w:rPr>
      <w:rFonts w:ascii="Arial" w:hAnsi="Arial"/>
      <w:szCs w:val="24"/>
      <w:lang w:eastAsia="en-US"/>
    </w:rPr>
  </w:style>
  <w:style w:type="paragraph" w:customStyle="1" w:styleId="TableHeaderWhite">
    <w:name w:val="Table Header White"/>
    <w:basedOn w:val="Normal"/>
    <w:next w:val="Tabletextleft"/>
    <w:qFormat/>
    <w:rsid w:val="00EF47BB"/>
    <w:pPr>
      <w:spacing w:before="80" w:after="80"/>
      <w:ind w:right="-314"/>
    </w:pPr>
    <w:rPr>
      <w:rFonts w:eastAsia="Cambria"/>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aliases w:val="Hyperlink - small"/>
    <w:basedOn w:val="DefaultParagraphFont"/>
    <w:qFormat/>
    <w:rsid w:val="00C33397"/>
    <w:rPr>
      <w:color w:val="083E9C" w:themeColor="accent1"/>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link w:val="TableHeaderChar"/>
    <w:qFormat/>
    <w:rsid w:val="00B37B2F"/>
    <w:pPr>
      <w:spacing w:before="80" w:after="80"/>
      <w:jc w:val="center"/>
    </w:pPr>
    <w:rPr>
      <w:rFonts w:asciiTheme="minorHAnsi" w:eastAsia="Cambria" w:hAnsiTheme="minorHAnsi"/>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uiPriority w:val="99"/>
    <w:rsid w:val="00945887"/>
    <w:pPr>
      <w:contextualSpacing/>
    </w:pPr>
    <w:rPr>
      <w:rFonts w:ascii="Arial" w:hAnsi="Arial"/>
      <w:sz w:val="16"/>
      <w:lang w:eastAsia="en-US"/>
    </w:rPr>
  </w:style>
  <w:style w:type="character" w:customStyle="1" w:styleId="FootnoteTextChar">
    <w:name w:val="Footnote Text Char"/>
    <w:basedOn w:val="DefaultParagraphFont"/>
    <w:link w:val="FootnoteText"/>
    <w:uiPriority w:val="99"/>
    <w:rsid w:val="00945887"/>
    <w:rPr>
      <w:rFonts w:ascii="Arial" w:hAnsi="Arial"/>
      <w:sz w:val="16"/>
      <w:lang w:eastAsia="en-US"/>
    </w:rPr>
  </w:style>
  <w:style w:type="paragraph" w:styleId="Caption">
    <w:name w:val="caption"/>
    <w:basedOn w:val="Normal"/>
    <w:next w:val="Normal"/>
    <w:unhideWhenUsed/>
    <w:qFormat/>
    <w:rsid w:val="004371FE"/>
    <w:pPr>
      <w:spacing w:after="200"/>
    </w:pPr>
    <w:rPr>
      <w:bCs/>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37B2F"/>
    <w:pPr>
      <w:jc w:val="center"/>
    </w:pPr>
    <w:rPr>
      <w:b w:val="0"/>
    </w:rPr>
  </w:style>
  <w:style w:type="paragraph" w:customStyle="1" w:styleId="Boxheading">
    <w:name w:val="Box heading"/>
    <w:basedOn w:val="Boxtype"/>
    <w:qFormat/>
    <w:rsid w:val="00977F2F"/>
    <w:pPr>
      <w:pBdr>
        <w:top w:val="single" w:sz="6" w:space="12" w:color="00DCA1" w:themeColor="background1"/>
      </w:pBdr>
      <w:spacing w:before="120" w:after="120" w:line="240" w:lineRule="auto"/>
    </w:pPr>
    <w:rPr>
      <w:rFonts w:cs="Times New Roman"/>
      <w:b/>
      <w:bCs/>
      <w:color w:val="055F5F" w:themeColor="text1" w:themeTint="E6"/>
      <w:sz w:val="28"/>
      <w:szCs w:val="20"/>
    </w:rPr>
  </w:style>
  <w:style w:type="paragraph" w:customStyle="1" w:styleId="Boxtype">
    <w:name w:val="Box type"/>
    <w:next w:val="Normal"/>
    <w:qFormat/>
    <w:rsid w:val="00281F5F"/>
    <w:pPr>
      <w:pBdr>
        <w:top w:val="single" w:sz="6" w:space="20" w:color="00DCA1" w:themeColor="background1"/>
        <w:left w:val="single" w:sz="6" w:space="10" w:color="00DCA1" w:themeColor="background1"/>
        <w:bottom w:val="single" w:sz="6" w:space="10" w:color="00DCA1" w:themeColor="background1"/>
        <w:right w:val="single" w:sz="6" w:space="10" w:color="00DCA1" w:themeColor="background1"/>
      </w:pBdr>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aliases w:val="Footnote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styleId="FootnoteReference">
    <w:name w:val="footnote reference"/>
    <w:uiPriority w:val="99"/>
    <w:rsid w:val="00D808E3"/>
    <w:rPr>
      <w:rFonts w:ascii="Arial" w:hAnsi="Arial" w:cs="Arial"/>
      <w:sz w:val="22"/>
      <w:szCs w:val="22"/>
      <w:vertAlign w:val="superscript"/>
      <w:lang w:val="en-AU" w:eastAsia="en-US" w:bidi="ar-SA"/>
    </w:rPr>
  </w:style>
  <w:style w:type="character" w:customStyle="1" w:styleId="Heading8Char">
    <w:name w:val="Heading 8 Char"/>
    <w:basedOn w:val="DefaultParagraphFont"/>
    <w:link w:val="Heading8"/>
    <w:rsid w:val="00F76B27"/>
    <w:rPr>
      <w:rFonts w:asciiTheme="minorHAnsi" w:hAnsiTheme="minorHAnsi" w:cs="Arial"/>
      <w:b/>
      <w:szCs w:val="24"/>
      <w:lang w:eastAsia="en-US"/>
    </w:rPr>
  </w:style>
  <w:style w:type="character" w:customStyle="1" w:styleId="Heading1Char">
    <w:name w:val="Heading 1 Char"/>
    <w:link w:val="Heading1"/>
    <w:locked/>
    <w:rsid w:val="00E8485D"/>
    <w:rPr>
      <w:rFonts w:ascii="Arial" w:hAnsi="Arial" w:cs="Arial"/>
      <w:b/>
      <w:bCs/>
      <w:color w:val="033636" w:themeColor="text1"/>
      <w:kern w:val="28"/>
      <w:sz w:val="26"/>
      <w:szCs w:val="36"/>
      <w:lang w:eastAsia="en-US"/>
    </w:rPr>
  </w:style>
  <w:style w:type="character" w:customStyle="1" w:styleId="Heading2Char">
    <w:name w:val="Heading 2 Char"/>
    <w:link w:val="Heading2"/>
    <w:locked/>
    <w:rsid w:val="001174B4"/>
    <w:rPr>
      <w:rFonts w:ascii="Arial" w:hAnsi="Arial" w:cs="Arial"/>
      <w:b/>
      <w:bCs/>
      <w:i/>
      <w:iCs/>
      <w:color w:val="033636" w:themeColor="text1"/>
      <w:sz w:val="22"/>
      <w:szCs w:val="28"/>
      <w:lang w:eastAsia="en-US"/>
    </w:rPr>
  </w:style>
  <w:style w:type="character" w:customStyle="1" w:styleId="Heading3Char">
    <w:name w:val="Heading 3 Char"/>
    <w:link w:val="Heading3"/>
    <w:locked/>
    <w:rsid w:val="004371FE"/>
    <w:rPr>
      <w:rFonts w:ascii="Arial" w:hAnsi="Arial" w:cs="Arial"/>
      <w:b/>
      <w:bCs/>
      <w:color w:val="033636" w:themeColor="text1"/>
      <w:sz w:val="22"/>
      <w:szCs w:val="26"/>
      <w:lang w:eastAsia="en-US"/>
    </w:rPr>
  </w:style>
  <w:style w:type="character" w:customStyle="1" w:styleId="Heading4Char">
    <w:name w:val="Heading 4 Char"/>
    <w:link w:val="Heading4"/>
    <w:locked/>
    <w:rsid w:val="00EF47BB"/>
    <w:rPr>
      <w:rFonts w:ascii="Arial" w:hAnsi="Arial"/>
      <w:b/>
      <w:bCs/>
      <w:i/>
      <w:color w:val="062E74" w:themeColor="accent1" w:themeShade="BF"/>
      <w:sz w:val="24"/>
      <w:szCs w:val="28"/>
      <w:lang w:eastAsia="en-US"/>
    </w:rPr>
  </w:style>
  <w:style w:type="character" w:customStyle="1" w:styleId="Heading5Char">
    <w:name w:val="Heading 5 Char"/>
    <w:aliases w:val="Figure heading Char"/>
    <w:link w:val="Heading5"/>
    <w:locked/>
    <w:rsid w:val="00F76B27"/>
    <w:rPr>
      <w:rFonts w:ascii="Arial" w:hAnsi="Arial"/>
      <w:b/>
      <w:bCs/>
      <w:iCs/>
      <w:color w:val="C55500" w:themeColor="accent2"/>
      <w:sz w:val="24"/>
      <w:szCs w:val="26"/>
      <w:lang w:eastAsia="en-US"/>
    </w:rPr>
  </w:style>
  <w:style w:type="character" w:customStyle="1" w:styleId="Heading6Char">
    <w:name w:val="Heading 6 Char"/>
    <w:link w:val="Heading6"/>
    <w:locked/>
    <w:rsid w:val="00F76B27"/>
    <w:rPr>
      <w:rFonts w:ascii="Arial" w:hAnsi="Arial"/>
      <w:b/>
      <w:bCs/>
      <w:sz w:val="22"/>
      <w:szCs w:val="22"/>
      <w:lang w:eastAsia="en-US"/>
    </w:rPr>
  </w:style>
  <w:style w:type="character" w:customStyle="1" w:styleId="TabletotalrowChar">
    <w:name w:val="Table total row Char"/>
    <w:basedOn w:val="DefaultParagraphFont"/>
    <w:link w:val="Tabletotalrow"/>
    <w:rsid w:val="00B37B2F"/>
    <w:rPr>
      <w:rFonts w:asciiTheme="minorHAnsi" w:eastAsiaTheme="minorHAnsi" w:hAnsiTheme="minorHAnsi" w:cstheme="minorBidi"/>
      <w:sz w:val="22"/>
      <w:szCs w:val="24"/>
      <w:lang w:eastAsia="en-US"/>
    </w:rPr>
  </w:style>
  <w:style w:type="paragraph" w:customStyle="1" w:styleId="Tablecolumn1strong">
    <w:name w:val="Table column 1 (strong)"/>
    <w:basedOn w:val="Normal"/>
    <w:link w:val="Tablecolumn1strongChar"/>
    <w:qFormat/>
    <w:rsid w:val="00B37B2F"/>
    <w:rPr>
      <w:rFonts w:asciiTheme="minorHAnsi" w:eastAsiaTheme="minorHAnsi" w:hAnsiTheme="minorHAnsi" w:cstheme="minorBidi"/>
      <w:b/>
    </w:rPr>
  </w:style>
  <w:style w:type="paragraph" w:styleId="TOC1">
    <w:name w:val="toc 1"/>
    <w:aliases w:val="TOC FluReport"/>
    <w:basedOn w:val="Normal"/>
    <w:next w:val="Heading3"/>
    <w:autoRedefine/>
    <w:semiHidden/>
    <w:rsid w:val="00F76B27"/>
    <w:pPr>
      <w:spacing w:before="60" w:after="240" w:line="240" w:lineRule="auto"/>
    </w:pPr>
    <w:rPr>
      <w:rFonts w:ascii="Calibri" w:hAnsi="Calibri"/>
      <w:b/>
      <w:szCs w:val="20"/>
      <w:lang w:eastAsia="en-AU"/>
    </w:rPr>
  </w:style>
  <w:style w:type="paragraph" w:styleId="TOC2">
    <w:name w:val="toc 2"/>
    <w:basedOn w:val="Normal"/>
    <w:next w:val="Normal"/>
    <w:autoRedefine/>
    <w:semiHidden/>
    <w:rsid w:val="00F76B27"/>
    <w:pPr>
      <w:spacing w:before="60" w:after="240" w:line="240" w:lineRule="auto"/>
      <w:ind w:left="240"/>
    </w:pPr>
    <w:rPr>
      <w:rFonts w:ascii="Calibri" w:hAnsi="Calibri"/>
      <w:b/>
      <w:szCs w:val="20"/>
      <w:lang w:eastAsia="en-AU"/>
    </w:rPr>
  </w:style>
  <w:style w:type="paragraph" w:styleId="TOC3">
    <w:name w:val="toc 3"/>
    <w:basedOn w:val="Normal"/>
    <w:next w:val="Normal"/>
    <w:autoRedefine/>
    <w:semiHidden/>
    <w:rsid w:val="00F76B27"/>
    <w:pPr>
      <w:spacing w:before="60" w:after="240" w:line="240" w:lineRule="auto"/>
      <w:ind w:left="480"/>
    </w:pPr>
    <w:rPr>
      <w:rFonts w:ascii="Calibri" w:hAnsi="Calibri"/>
      <w:szCs w:val="20"/>
      <w:lang w:eastAsia="en-AU"/>
    </w:rPr>
  </w:style>
  <w:style w:type="character" w:styleId="PageNumber">
    <w:name w:val="page number"/>
    <w:rsid w:val="00F76B27"/>
    <w:rPr>
      <w:rFonts w:ascii="Arial" w:hAnsi="Arial" w:cs="Arial"/>
      <w:sz w:val="22"/>
      <w:szCs w:val="22"/>
      <w:lang w:val="en-AU" w:eastAsia="en-US" w:bidi="ar-SA"/>
    </w:rPr>
  </w:style>
  <w:style w:type="paragraph" w:styleId="EndnoteText">
    <w:name w:val="endnote text"/>
    <w:basedOn w:val="Normal"/>
    <w:link w:val="EndnoteTextChar"/>
    <w:semiHidden/>
    <w:rsid w:val="00F76B27"/>
    <w:pPr>
      <w:tabs>
        <w:tab w:val="left" w:pos="340"/>
      </w:tabs>
      <w:spacing w:before="60" w:line="240" w:lineRule="auto"/>
      <w:ind w:left="340" w:hanging="340"/>
    </w:pPr>
    <w:rPr>
      <w:rFonts w:asciiTheme="minorHAnsi" w:hAnsiTheme="minorHAnsi"/>
      <w:szCs w:val="20"/>
      <w:lang w:eastAsia="en-AU"/>
    </w:rPr>
  </w:style>
  <w:style w:type="character" w:customStyle="1" w:styleId="EndnoteTextChar">
    <w:name w:val="Endnote Text Char"/>
    <w:basedOn w:val="DefaultParagraphFont"/>
    <w:link w:val="EndnoteText"/>
    <w:semiHidden/>
    <w:rsid w:val="00F76B27"/>
    <w:rPr>
      <w:rFonts w:asciiTheme="minorHAnsi" w:hAnsiTheme="minorHAnsi"/>
      <w:sz w:val="22"/>
    </w:rPr>
  </w:style>
  <w:style w:type="paragraph" w:styleId="TableofFigures">
    <w:name w:val="table of figures"/>
    <w:basedOn w:val="Normal"/>
    <w:next w:val="Normal"/>
    <w:semiHidden/>
    <w:rsid w:val="00F76B27"/>
    <w:pPr>
      <w:spacing w:before="60" w:after="240" w:line="240" w:lineRule="auto"/>
      <w:jc w:val="center"/>
    </w:pPr>
    <w:rPr>
      <w:rFonts w:ascii="Calibri" w:hAnsi="Calibri"/>
      <w:szCs w:val="20"/>
      <w:lang w:eastAsia="en-AU"/>
    </w:rPr>
  </w:style>
  <w:style w:type="character" w:styleId="EndnoteReference">
    <w:name w:val="endnote reference"/>
    <w:semiHidden/>
    <w:rsid w:val="00F76B27"/>
    <w:rPr>
      <w:rFonts w:ascii="Arial" w:hAnsi="Arial" w:cs="Arial"/>
      <w:sz w:val="22"/>
      <w:szCs w:val="22"/>
      <w:vertAlign w:val="baseline"/>
      <w:lang w:val="en-AU" w:eastAsia="en-US" w:bidi="ar-SA"/>
    </w:rPr>
  </w:style>
  <w:style w:type="character" w:styleId="FollowedHyperlink">
    <w:name w:val="FollowedHyperlink"/>
    <w:rsid w:val="00F76B27"/>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76B27"/>
    <w:pPr>
      <w:spacing w:before="60" w:after="240" w:line="240" w:lineRule="auto"/>
      <w:ind w:left="720"/>
    </w:pPr>
    <w:rPr>
      <w:rFonts w:ascii="Calibri" w:hAnsi="Calibri"/>
      <w:szCs w:val="20"/>
      <w:lang w:eastAsia="en-AU"/>
    </w:rPr>
  </w:style>
  <w:style w:type="character" w:customStyle="1" w:styleId="Tablecolumn1strongChar">
    <w:name w:val="Table column 1 (strong) Char"/>
    <w:basedOn w:val="DefaultParagraphFont"/>
    <w:link w:val="Tablecolumn1strong"/>
    <w:rsid w:val="00B37B2F"/>
    <w:rPr>
      <w:rFonts w:asciiTheme="minorHAnsi" w:eastAsiaTheme="minorHAnsi" w:hAnsiTheme="minorHAnsi" w:cstheme="minorBidi"/>
      <w:b/>
      <w:sz w:val="22"/>
      <w:szCs w:val="24"/>
      <w:lang w:eastAsia="en-US"/>
    </w:rPr>
  </w:style>
  <w:style w:type="character" w:customStyle="1" w:styleId="normalchar">
    <w:name w:val="normal_char"/>
    <w:rsid w:val="00F76B27"/>
    <w:rPr>
      <w:rFonts w:ascii="Arial" w:hAnsi="Arial" w:cs="Arial"/>
      <w:color w:val="auto"/>
      <w:sz w:val="22"/>
      <w:szCs w:val="22"/>
      <w:lang w:val="en-AU" w:eastAsia="en-US" w:bidi="ar-SA"/>
    </w:rPr>
  </w:style>
  <w:style w:type="character" w:customStyle="1" w:styleId="titre1">
    <w:name w:val="titre1"/>
    <w:rsid w:val="00F76B27"/>
    <w:rPr>
      <w:rFonts w:ascii="Arial" w:hAnsi="Arial" w:cs="Arial"/>
      <w:b/>
      <w:bCs/>
      <w:color w:val="9E0B0E"/>
      <w:sz w:val="23"/>
      <w:szCs w:val="23"/>
      <w:lang w:val="en-AU" w:eastAsia="en-US" w:bidi="ar-SA"/>
    </w:rPr>
  </w:style>
  <w:style w:type="paragraph" w:customStyle="1" w:styleId="Tabletext">
    <w:name w:val="Table text"/>
    <w:basedOn w:val="Tabletextleft"/>
    <w:link w:val="TabletextChar"/>
    <w:qFormat/>
    <w:rsid w:val="00977F2F"/>
    <w:rPr>
      <w:b w:val="0"/>
    </w:rPr>
  </w:style>
  <w:style w:type="character" w:styleId="CommentReference">
    <w:name w:val="annotation reference"/>
    <w:semiHidden/>
    <w:rsid w:val="00F76B27"/>
    <w:rPr>
      <w:rFonts w:ascii="Arial" w:hAnsi="Arial" w:cs="Arial"/>
      <w:sz w:val="16"/>
      <w:szCs w:val="16"/>
      <w:lang w:val="en-AU" w:eastAsia="en-US" w:bidi="ar-SA"/>
    </w:rPr>
  </w:style>
  <w:style w:type="paragraph" w:styleId="CommentText">
    <w:name w:val="annotation text"/>
    <w:basedOn w:val="Normal"/>
    <w:link w:val="CommentTextChar"/>
    <w:semiHidden/>
    <w:rsid w:val="00F76B27"/>
    <w:pPr>
      <w:spacing w:before="60" w:after="240" w:line="240" w:lineRule="auto"/>
    </w:pPr>
    <w:rPr>
      <w:rFonts w:asciiTheme="minorHAnsi" w:hAnsiTheme="minorHAnsi"/>
      <w:szCs w:val="20"/>
      <w:lang w:eastAsia="en-AU"/>
    </w:rPr>
  </w:style>
  <w:style w:type="character" w:customStyle="1" w:styleId="CommentTextChar">
    <w:name w:val="Comment Text Char"/>
    <w:basedOn w:val="DefaultParagraphFont"/>
    <w:link w:val="CommentText"/>
    <w:semiHidden/>
    <w:rsid w:val="00F76B27"/>
    <w:rPr>
      <w:rFonts w:asciiTheme="minorHAnsi" w:hAnsiTheme="minorHAnsi"/>
      <w:sz w:val="22"/>
    </w:rPr>
  </w:style>
  <w:style w:type="paragraph" w:styleId="CommentSubject">
    <w:name w:val="annotation subject"/>
    <w:basedOn w:val="CommentText"/>
    <w:next w:val="CommentText"/>
    <w:link w:val="CommentSubjectChar"/>
    <w:semiHidden/>
    <w:rsid w:val="00F76B27"/>
    <w:rPr>
      <w:b/>
      <w:bCs/>
    </w:rPr>
  </w:style>
  <w:style w:type="character" w:customStyle="1" w:styleId="CommentSubjectChar">
    <w:name w:val="Comment Subject Char"/>
    <w:basedOn w:val="CommentTextChar"/>
    <w:link w:val="CommentSubject"/>
    <w:semiHidden/>
    <w:rsid w:val="00F76B27"/>
    <w:rPr>
      <w:rFonts w:asciiTheme="minorHAnsi" w:hAnsiTheme="minorHAnsi"/>
      <w:b/>
      <w:bCs/>
      <w:sz w:val="22"/>
    </w:rPr>
  </w:style>
  <w:style w:type="paragraph" w:styleId="BodyText2">
    <w:name w:val="Body Text 2"/>
    <w:basedOn w:val="Normal"/>
    <w:link w:val="BodyText2Char"/>
    <w:rsid w:val="00F76B27"/>
    <w:pPr>
      <w:spacing w:before="60" w:line="480" w:lineRule="auto"/>
    </w:pPr>
    <w:rPr>
      <w:rFonts w:asciiTheme="minorHAnsi" w:hAnsiTheme="minorHAnsi"/>
      <w:lang w:eastAsia="en-AU"/>
    </w:rPr>
  </w:style>
  <w:style w:type="character" w:customStyle="1" w:styleId="BodyText2Char">
    <w:name w:val="Body Text 2 Char"/>
    <w:basedOn w:val="DefaultParagraphFont"/>
    <w:link w:val="BodyText2"/>
    <w:rsid w:val="00F76B27"/>
    <w:rPr>
      <w:rFonts w:asciiTheme="minorHAnsi" w:hAnsiTheme="minorHAnsi"/>
      <w:sz w:val="22"/>
      <w:szCs w:val="24"/>
    </w:rPr>
  </w:style>
  <w:style w:type="character" w:customStyle="1" w:styleId="TabletextleftChar">
    <w:name w:val="Table text left Char"/>
    <w:basedOn w:val="DefaultParagraphFont"/>
    <w:link w:val="Tabletextleft"/>
    <w:rsid w:val="00977F2F"/>
    <w:rPr>
      <w:rFonts w:asciiTheme="minorHAnsi" w:eastAsiaTheme="minorHAnsi" w:hAnsiTheme="minorHAnsi" w:cstheme="minorBidi"/>
      <w:b/>
      <w:color w:val="033636" w:themeColor="text1"/>
      <w:sz w:val="22"/>
      <w:szCs w:val="24"/>
      <w:lang w:eastAsia="en-US"/>
    </w:rPr>
  </w:style>
  <w:style w:type="character" w:customStyle="1" w:styleId="TabletextChar">
    <w:name w:val="Table text Char"/>
    <w:basedOn w:val="TabletextleftChar"/>
    <w:link w:val="Tabletext"/>
    <w:rsid w:val="00977F2F"/>
    <w:rPr>
      <w:rFonts w:asciiTheme="minorHAnsi" w:eastAsiaTheme="minorHAnsi" w:hAnsiTheme="minorHAnsi" w:cstheme="minorBidi"/>
      <w:b w:val="0"/>
      <w:color w:val="033636" w:themeColor="text1"/>
      <w:sz w:val="22"/>
      <w:szCs w:val="24"/>
      <w:lang w:eastAsia="en-US"/>
    </w:rPr>
  </w:style>
  <w:style w:type="paragraph" w:customStyle="1" w:styleId="Subscripttext">
    <w:name w:val="Subscript text"/>
    <w:basedOn w:val="TableHeader"/>
    <w:link w:val="SubscripttextChar"/>
    <w:qFormat/>
    <w:rsid w:val="00977F2F"/>
    <w:rPr>
      <w:rFonts w:cstheme="minorBidi"/>
      <w:vertAlign w:val="superscript"/>
    </w:rPr>
  </w:style>
  <w:style w:type="character" w:customStyle="1" w:styleId="TableHeaderChar">
    <w:name w:val="Table Header Char"/>
    <w:basedOn w:val="DefaultParagraphFont"/>
    <w:link w:val="TableHeader"/>
    <w:rsid w:val="00977F2F"/>
    <w:rPr>
      <w:rFonts w:asciiTheme="minorHAnsi" w:eastAsia="Cambria" w:hAnsiTheme="minorHAnsi"/>
      <w:b/>
      <w:sz w:val="22"/>
      <w:szCs w:val="22"/>
      <w:lang w:val="en-US" w:eastAsia="en-US"/>
    </w:rPr>
  </w:style>
  <w:style w:type="paragraph" w:customStyle="1" w:styleId="Default">
    <w:name w:val="Default"/>
    <w:rsid w:val="00F76B27"/>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F76B27"/>
    <w:pPr>
      <w:shd w:val="clear" w:color="auto" w:fill="000080"/>
      <w:spacing w:before="60" w:after="240" w:line="240" w:lineRule="auto"/>
    </w:pPr>
    <w:rPr>
      <w:rFonts w:ascii="Tahoma" w:hAnsi="Tahoma" w:cs="Tahoma"/>
      <w:szCs w:val="20"/>
      <w:lang w:eastAsia="en-AU"/>
    </w:rPr>
  </w:style>
  <w:style w:type="character" w:customStyle="1" w:styleId="DocumentMapChar">
    <w:name w:val="Document Map Char"/>
    <w:basedOn w:val="DefaultParagraphFont"/>
    <w:link w:val="DocumentMap"/>
    <w:semiHidden/>
    <w:rsid w:val="00F76B27"/>
    <w:rPr>
      <w:rFonts w:ascii="Tahoma" w:hAnsi="Tahoma" w:cs="Tahoma"/>
      <w:sz w:val="22"/>
      <w:shd w:val="clear" w:color="auto" w:fill="000080"/>
    </w:rPr>
  </w:style>
  <w:style w:type="paragraph" w:styleId="ListBullet3">
    <w:name w:val="List Bullet 3"/>
    <w:basedOn w:val="Normal"/>
    <w:rsid w:val="00F76B27"/>
    <w:pPr>
      <w:tabs>
        <w:tab w:val="left" w:pos="993"/>
        <w:tab w:val="num" w:pos="2040"/>
      </w:tabs>
      <w:spacing w:before="60" w:after="60" w:line="240" w:lineRule="auto"/>
      <w:ind w:left="2040" w:right="28" w:hanging="360"/>
    </w:pPr>
    <w:rPr>
      <w:rFonts w:asciiTheme="minorHAnsi" w:hAnsiTheme="minorHAnsi" w:cs="Arial"/>
      <w:szCs w:val="22"/>
      <w:lang w:eastAsia="en-AU"/>
    </w:rPr>
  </w:style>
  <w:style w:type="paragraph" w:styleId="ListContinue2">
    <w:name w:val="List Continue 2"/>
    <w:basedOn w:val="Normal"/>
    <w:rsid w:val="00F76B27"/>
    <w:pPr>
      <w:spacing w:before="60" w:line="240" w:lineRule="auto"/>
      <w:ind w:left="566"/>
    </w:pPr>
    <w:rPr>
      <w:rFonts w:asciiTheme="minorHAnsi" w:hAnsiTheme="minorHAnsi"/>
      <w:szCs w:val="20"/>
      <w:lang w:eastAsia="en-AU"/>
    </w:rPr>
  </w:style>
  <w:style w:type="paragraph" w:styleId="HTMLPreformatted">
    <w:name w:val="HTML Preformatted"/>
    <w:basedOn w:val="Normal"/>
    <w:link w:val="HTMLPreformattedChar"/>
    <w:rsid w:val="00F76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240" w:line="240" w:lineRule="auto"/>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F76B27"/>
    <w:rPr>
      <w:rFonts w:ascii="Courier New" w:eastAsia="Courier New" w:hAnsi="Courier New" w:cs="Courier New"/>
      <w:sz w:val="22"/>
      <w:lang w:eastAsia="en-US"/>
    </w:rPr>
  </w:style>
  <w:style w:type="character" w:customStyle="1" w:styleId="SubscripttextChar">
    <w:name w:val="Subscript text Char"/>
    <w:basedOn w:val="TableHeaderChar"/>
    <w:link w:val="Subscripttext"/>
    <w:rsid w:val="00977F2F"/>
    <w:rPr>
      <w:rFonts w:asciiTheme="minorHAnsi" w:eastAsia="Cambria" w:hAnsiTheme="minorHAnsi" w:cstheme="minorBidi"/>
      <w:b/>
      <w:sz w:val="22"/>
      <w:szCs w:val="22"/>
      <w:vertAlign w:val="superscript"/>
      <w:lang w:val="en-US" w:eastAsia="en-US"/>
    </w:rPr>
  </w:style>
  <w:style w:type="paragraph" w:styleId="ListBullet4">
    <w:name w:val="List Bullet 4"/>
    <w:basedOn w:val="BodyText"/>
    <w:rsid w:val="00F76B27"/>
    <w:pPr>
      <w:numPr>
        <w:numId w:val="28"/>
      </w:numPr>
      <w:autoSpaceDE w:val="0"/>
      <w:autoSpaceDN w:val="0"/>
      <w:adjustRightInd w:val="0"/>
      <w:spacing w:before="60" w:after="240" w:line="240" w:lineRule="auto"/>
    </w:pPr>
    <w:rPr>
      <w:rFonts w:asciiTheme="minorHAnsi" w:hAnsiTheme="minorHAnsi" w:cs="Arial"/>
      <w:color w:val="000000"/>
      <w:sz w:val="18"/>
      <w:szCs w:val="18"/>
    </w:rPr>
  </w:style>
  <w:style w:type="paragraph" w:styleId="Salutation">
    <w:name w:val="Salutation"/>
    <w:aliases w:val="Notes"/>
    <w:basedOn w:val="BodyText"/>
    <w:next w:val="Normal"/>
    <w:link w:val="SalutationChar"/>
    <w:autoRedefine/>
    <w:qFormat/>
    <w:rsid w:val="00F76B27"/>
    <w:pPr>
      <w:autoSpaceDE w:val="0"/>
      <w:autoSpaceDN w:val="0"/>
      <w:adjustRightInd w:val="0"/>
      <w:spacing w:before="60" w:after="240" w:line="240" w:lineRule="auto"/>
      <w:jc w:val="both"/>
    </w:pPr>
    <w:rPr>
      <w:rFonts w:asciiTheme="minorHAnsi" w:hAnsiTheme="minorHAnsi" w:cs="Arial"/>
      <w:b/>
      <w:szCs w:val="22"/>
    </w:rPr>
  </w:style>
  <w:style w:type="character" w:customStyle="1" w:styleId="SalutationChar">
    <w:name w:val="Salutation Char"/>
    <w:aliases w:val="Notes Char"/>
    <w:basedOn w:val="DefaultParagraphFont"/>
    <w:link w:val="Salutation"/>
    <w:rsid w:val="00F76B27"/>
    <w:rPr>
      <w:rFonts w:asciiTheme="minorHAnsi" w:hAnsiTheme="minorHAnsi" w:cs="Arial"/>
      <w:b/>
      <w:sz w:val="22"/>
      <w:szCs w:val="22"/>
      <w:lang w:eastAsia="en-US"/>
    </w:rPr>
  </w:style>
  <w:style w:type="paragraph" w:styleId="Revision">
    <w:name w:val="Revision"/>
    <w:hidden/>
    <w:uiPriority w:val="99"/>
    <w:semiHidden/>
    <w:rsid w:val="00F76B27"/>
    <w:rPr>
      <w:rFonts w:asciiTheme="minorHAnsi" w:hAnsiTheme="minorHAnsi"/>
      <w:sz w:val="22"/>
    </w:rPr>
  </w:style>
  <w:style w:type="table" w:customStyle="1" w:styleId="TableGrid12">
    <w:name w:val="Table Grid12"/>
    <w:basedOn w:val="TableNormal"/>
    <w:next w:val="TableGrid"/>
    <w:uiPriority w:val="59"/>
    <w:rsid w:val="00B37B2F"/>
    <w:rPr>
      <w:rFonts w:asciiTheme="minorHAnsi" w:eastAsiaTheme="minorHAnsi" w:hAnsiTheme="minorHAnsi" w:cstheme="minorBidi"/>
      <w:sz w:val="22"/>
      <w:szCs w:val="22"/>
      <w:lang w:eastAsia="en-U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00DCA1" w:themeFill="background1"/>
      </w:tcPr>
    </w:tblStylePr>
    <w:tblStylePr w:type="lastRow">
      <w:pPr>
        <w:jc w:val="center"/>
      </w:pPr>
      <w:rPr>
        <w:b/>
      </w:rPr>
    </w:tblStylePr>
    <w:tblStylePr w:type="firstCol">
      <w:rPr>
        <w:b/>
      </w:rPr>
    </w:tblStylePr>
    <w:tblStylePr w:type="band1Vert">
      <w:pPr>
        <w:jc w:val="center"/>
      </w:pPr>
    </w:tblStylePr>
    <w:tblStylePr w:type="band2Vert">
      <w:pPr>
        <w:jc w:val="center"/>
      </w:pPr>
    </w:tblStylePr>
  </w:style>
  <w:style w:type="character" w:styleId="UnresolvedMention">
    <w:name w:val="Unresolved Mention"/>
    <w:basedOn w:val="DefaultParagraphFont"/>
    <w:uiPriority w:val="99"/>
    <w:semiHidden/>
    <w:unhideWhenUsed/>
    <w:rsid w:val="00F76B27"/>
    <w:rPr>
      <w:color w:val="605E5C"/>
      <w:shd w:val="clear" w:color="auto" w:fill="E1DFDD"/>
    </w:rPr>
  </w:style>
  <w:style w:type="paragraph" w:styleId="ListNumber">
    <w:name w:val="List Number"/>
    <w:basedOn w:val="Normal"/>
    <w:rsid w:val="00421ABD"/>
    <w:pPr>
      <w:numPr>
        <w:numId w:val="49"/>
      </w:numPr>
      <w:tabs>
        <w:tab w:val="num" w:pos="360"/>
      </w:tabs>
      <w:spacing w:before="60" w:after="60" w:line="240" w:lineRule="auto"/>
    </w:pPr>
    <w:rPr>
      <w:szCs w:val="20"/>
      <w:lang w:eastAsia="en-AU"/>
    </w:rPr>
  </w:style>
  <w:style w:type="character" w:customStyle="1" w:styleId="Heading9Char">
    <w:name w:val="Heading 9 Char"/>
    <w:basedOn w:val="DefaultParagraphFont"/>
    <w:link w:val="Heading9"/>
    <w:rsid w:val="00AF5A43"/>
    <w:rPr>
      <w:rFonts w:asciiTheme="majorHAnsi" w:eastAsiaTheme="majorEastAsia" w:hAnsiTheme="majorHAnsi" w:cstheme="majorBidi"/>
      <w:i/>
      <w:iCs/>
      <w:color w:val="06777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44292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6255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health.gov.au/casedefinitions"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CDESS@health.gov.au"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health.gov.au/initiatives-and-programs/national-response-to-syphilis"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multijurisdictional-syphilis-outbreak-mjso-surveillance-report-february-2021" TargetMode="External"/><Relationship Id="rId1" Type="http://schemas.openxmlformats.org/officeDocument/2006/relationships/hyperlink" Target="https://www.health.gov.au/resources/collections/cdna-surveillance-case-defini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am\Downloads\DT0004059_CDC_Short%20document%20template_Option2.dotx" TargetMode="External"/></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4" ma:contentTypeDescription="Create a new document." ma:contentTypeScope="" ma:versionID="e652d678dd00129255f83f2c9d2a9d61">
  <xsd:schema xmlns:xsd="http://www.w3.org/2001/XMLSchema" xmlns:xs="http://www.w3.org/2001/XMLSchema" xmlns:p="http://schemas.microsoft.com/office/2006/metadata/properties" xmlns:ns2="593205cd-b314-4d80-8999-6842e340f377" targetNamespace="http://schemas.microsoft.com/office/2006/metadata/properties" ma:root="true" ma:fieldsID="9ab00e4ee2e75f6d523307c1ea67799e" ns2:_="">
    <xsd:import namespace="593205cd-b314-4d80-8999-6842e340f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B4113B7-066A-4CF2-B17C-E41CB3924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DT0004059_CDC_Short document template_Option2.dotx</Template>
  <TotalTime>41</TotalTime>
  <Pages>27</Pages>
  <Words>5633</Words>
  <Characters>31542</Characters>
  <Application>Microsoft Office Word</Application>
  <DocSecurity>0</DocSecurity>
  <Lines>671</Lines>
  <Paragraphs>341</Paragraphs>
  <ScaleCrop>false</ScaleCrop>
  <HeadingPairs>
    <vt:vector size="2" baseType="variant">
      <vt:variant>
        <vt:lpstr>Title</vt:lpstr>
      </vt:variant>
      <vt:variant>
        <vt:i4>1</vt:i4>
      </vt:variant>
    </vt:vector>
  </HeadingPairs>
  <TitlesOfParts>
    <vt:vector size="1" baseType="lpstr">
      <vt:lpstr>Short document template</vt:lpstr>
    </vt:vector>
  </TitlesOfParts>
  <Company/>
  <LinksUpToDate>false</LinksUpToDate>
  <CharactersWithSpaces>36834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quarterly report – April to June 2024</dc:title>
  <dc:subject>Communicable diseases</dc:subject>
  <dc:creator>Australian Goverment Department of Health and Aged Care</dc:creator>
  <cp:keywords/>
  <cp:lastModifiedBy>MASCHKE, Elvia</cp:lastModifiedBy>
  <cp:revision>8</cp:revision>
  <cp:lastPrinted>2022-06-22T22:44:00Z</cp:lastPrinted>
  <dcterms:created xsi:type="dcterms:W3CDTF">2024-09-18T05:14:00Z</dcterms:created>
  <dcterms:modified xsi:type="dcterms:W3CDTF">2024-09-18T05:47:00Z</dcterms:modified>
</cp:coreProperties>
</file>