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BAD4C3" w14:textId="7BDA4ACA" w:rsidR="00994536" w:rsidRPr="008376E2" w:rsidRDefault="00994536" w:rsidP="006B3CBE">
      <w:pPr>
        <w:pStyle w:val="Title"/>
        <w:sectPr w:rsidR="00994536" w:rsidRPr="008376E2" w:rsidSect="00994536">
          <w:footerReference w:type="default" r:id="rId11"/>
          <w:headerReference w:type="first" r:id="rId12"/>
          <w:footerReference w:type="first" r:id="rId13"/>
          <w:endnotePr>
            <w:numFmt w:val="decimal"/>
          </w:endnotePr>
          <w:type w:val="continuous"/>
          <w:pgSz w:w="11906" w:h="16838"/>
          <w:pgMar w:top="1701" w:right="1418" w:bottom="1418" w:left="1418" w:header="851" w:footer="709" w:gutter="0"/>
          <w:cols w:space="708"/>
          <w:titlePg/>
          <w:docGrid w:linePitch="360"/>
        </w:sectPr>
      </w:pPr>
      <w:r w:rsidRPr="00AA4BCB">
        <w:t>Guidelines for the treatment of</w:t>
      </w:r>
      <w:r>
        <w:t xml:space="preserve"> </w:t>
      </w:r>
      <w:r w:rsidR="00691C73" w:rsidRPr="00691C73">
        <w:t>mucopolysaccharidosis type II (MPS</w:t>
      </w:r>
      <w:r w:rsidR="004D4709">
        <w:t xml:space="preserve"> </w:t>
      </w:r>
      <w:r w:rsidR="00691C73" w:rsidRPr="00691C73">
        <w:t>II)</w:t>
      </w:r>
      <w:r w:rsidRPr="00AA4BCB">
        <w:t xml:space="preserve"> through the Life Saving Drugs Program</w:t>
      </w:r>
    </w:p>
    <w:p w14:paraId="098112A3" w14:textId="42356D34" w:rsidR="00994536" w:rsidRDefault="00994536" w:rsidP="002F4813">
      <w:pPr>
        <w:pStyle w:val="Heading1"/>
      </w:pPr>
      <w:r w:rsidRPr="00AA4BCB">
        <w:t>Life Saving Drugs Program</w:t>
      </w:r>
    </w:p>
    <w:p w14:paraId="37B4A9DE" w14:textId="39B6559E" w:rsidR="00994536" w:rsidRPr="002F4813" w:rsidRDefault="00994536" w:rsidP="002F4813">
      <w:pPr>
        <w:pStyle w:val="Heading2"/>
      </w:pPr>
      <w:r w:rsidRPr="00AA4BCB">
        <w:t>About th</w:t>
      </w:r>
      <w:r>
        <w:t>is</w:t>
      </w:r>
      <w:r w:rsidRPr="00AA4BCB">
        <w:t xml:space="preserve"> </w:t>
      </w:r>
      <w:r>
        <w:t>program</w:t>
      </w:r>
    </w:p>
    <w:p w14:paraId="28E57B66" w14:textId="446E335F" w:rsidR="00994536" w:rsidRPr="00A60C48" w:rsidRDefault="00994536" w:rsidP="00A60C48">
      <w:r w:rsidRPr="00A60C48">
        <w:t xml:space="preserve">Through the Life Saving Drugs Program (LSDP), the Australian Government provides subsidised access for eligible patients to expensive life-saving </w:t>
      </w:r>
      <w:r w:rsidR="008C7E91" w:rsidRPr="00A60C48">
        <w:t>medicines</w:t>
      </w:r>
      <w:r w:rsidRPr="00A60C48">
        <w:t>.</w:t>
      </w:r>
    </w:p>
    <w:p w14:paraId="06BBB20E" w14:textId="77777777" w:rsidR="00994536" w:rsidRDefault="00994536" w:rsidP="00994536">
      <w:pPr>
        <w:pStyle w:val="Heading2"/>
      </w:pPr>
      <w:r w:rsidRPr="00A437C2">
        <w:t>Purpose of this document</w:t>
      </w:r>
    </w:p>
    <w:p w14:paraId="0F850041" w14:textId="77777777" w:rsidR="0024511E" w:rsidRPr="00A60C48" w:rsidRDefault="00994536" w:rsidP="00A60C48">
      <w:r w:rsidRPr="00A60C48">
        <w:t xml:space="preserve">This document provides guidance for treating physicians with relevant specialist registration who wish to apply for their patients to receive access to subsidised treatment for </w:t>
      </w:r>
      <w:r w:rsidR="00691C73" w:rsidRPr="00A60C48">
        <w:t>MPS</w:t>
      </w:r>
      <w:r w:rsidR="00687DDB" w:rsidRPr="00A60C48">
        <w:t xml:space="preserve"> </w:t>
      </w:r>
      <w:r w:rsidR="00691C73" w:rsidRPr="00A60C48">
        <w:t xml:space="preserve">II </w:t>
      </w:r>
      <w:r w:rsidRPr="00A60C48">
        <w:t>through the LSDP.</w:t>
      </w:r>
      <w:r w:rsidR="00BB520C" w:rsidRPr="00A60C48">
        <w:t xml:space="preserve"> </w:t>
      </w:r>
    </w:p>
    <w:p w14:paraId="49379F24" w14:textId="3CB53A29" w:rsidR="00994536" w:rsidRPr="00A60C48" w:rsidRDefault="00994536" w:rsidP="00A60C48">
      <w:r w:rsidRPr="00A60C48">
        <w:t xml:space="preserve">It describes the criteria for general, </w:t>
      </w:r>
      <w:proofErr w:type="gramStart"/>
      <w:r w:rsidRPr="00A60C48">
        <w:t>initial</w:t>
      </w:r>
      <w:proofErr w:type="gramEnd"/>
      <w:r w:rsidRPr="00A60C48">
        <w:t xml:space="preserve"> and ongoing eligibility to access subsidised treatment and the administrative requirements associated with the initial application and annual reapplications.</w:t>
      </w:r>
    </w:p>
    <w:p w14:paraId="75E116E5" w14:textId="0504A043" w:rsidR="00994536" w:rsidRDefault="00994536" w:rsidP="00994536">
      <w:pPr>
        <w:pStyle w:val="Heading2"/>
      </w:pPr>
      <w:r w:rsidRPr="00A437C2">
        <w:t xml:space="preserve">Treatment of </w:t>
      </w:r>
      <w:r w:rsidR="00691C73" w:rsidRPr="00691C73">
        <w:t>MPS</w:t>
      </w:r>
      <w:r w:rsidR="00687DDB">
        <w:t xml:space="preserve"> </w:t>
      </w:r>
      <w:r w:rsidR="00691C73" w:rsidRPr="00691C73">
        <w:t>II</w:t>
      </w:r>
      <w:r w:rsidR="00691C73" w:rsidRPr="00A437C2">
        <w:t xml:space="preserve"> </w:t>
      </w:r>
      <w:r w:rsidRPr="00A437C2">
        <w:t>through the LSDP</w:t>
      </w:r>
    </w:p>
    <w:p w14:paraId="573841D5" w14:textId="4DEE33CC" w:rsidR="00691C73" w:rsidRPr="00A60C48" w:rsidRDefault="00CB2AA7" w:rsidP="00A60C48">
      <w:r w:rsidRPr="00A60C48">
        <w:t>S</w:t>
      </w:r>
      <w:r w:rsidR="00691C73" w:rsidRPr="00A60C48">
        <w:t>ubsidised treatment is available for eligible patients with a confirmed diagnosis of MPS</w:t>
      </w:r>
      <w:r w:rsidR="00687DDB" w:rsidRPr="00A60C48">
        <w:t xml:space="preserve"> </w:t>
      </w:r>
      <w:r w:rsidR="00691C73" w:rsidRPr="00A60C48">
        <w:t>II.</w:t>
      </w:r>
    </w:p>
    <w:p w14:paraId="5AD9004E" w14:textId="04C140DB" w:rsidR="00994536" w:rsidRPr="002F4813" w:rsidRDefault="008C7E91" w:rsidP="002F4813">
      <w:pPr>
        <w:pStyle w:val="Heading2"/>
      </w:pPr>
      <w:r>
        <w:t>Medicines</w:t>
      </w:r>
      <w:r w:rsidR="00994536" w:rsidRPr="002F4813">
        <w:t xml:space="preserve"> currently available for the treatment of </w:t>
      </w:r>
      <w:r w:rsidR="00691C73" w:rsidRPr="002F4813">
        <w:t xml:space="preserve">MPS II </w:t>
      </w:r>
      <w:r w:rsidR="00994536" w:rsidRPr="002F4813">
        <w:t xml:space="preserve">through the LSDP </w:t>
      </w:r>
    </w:p>
    <w:p w14:paraId="4DE2948E" w14:textId="49FCF01A" w:rsidR="00377ED6" w:rsidRPr="00A60C48" w:rsidRDefault="00377ED6" w:rsidP="00A60C48">
      <w:r w:rsidRPr="00A60C48">
        <w:t xml:space="preserve">There is one </w:t>
      </w:r>
      <w:proofErr w:type="gramStart"/>
      <w:r w:rsidR="008C7E91" w:rsidRPr="00A60C48">
        <w:t xml:space="preserve">medicine </w:t>
      </w:r>
      <w:r w:rsidRPr="00A60C48">
        <w:t xml:space="preserve"> currently</w:t>
      </w:r>
      <w:proofErr w:type="gramEnd"/>
      <w:r w:rsidRPr="00A60C48">
        <w:t xml:space="preserve"> subsidised through the LSDP for the treatment of MPS II.</w:t>
      </w:r>
    </w:p>
    <w:p w14:paraId="607C84D0" w14:textId="6EAC2582" w:rsidR="00377ED6" w:rsidRPr="00A60C48" w:rsidRDefault="00377ED6" w:rsidP="00A60C48">
      <w:r w:rsidRPr="00A60C48">
        <w:t xml:space="preserve">The generic name for this </w:t>
      </w:r>
      <w:r w:rsidR="008C7E91" w:rsidRPr="00A60C48">
        <w:t>medicine</w:t>
      </w:r>
      <w:r w:rsidRPr="00A60C48">
        <w:t xml:space="preserve"> is </w:t>
      </w:r>
      <w:proofErr w:type="spellStart"/>
      <w:r w:rsidRPr="00A60C48">
        <w:t>idursulfase</w:t>
      </w:r>
      <w:proofErr w:type="spellEnd"/>
      <w:r w:rsidRPr="00A60C48">
        <w:t xml:space="preserve">. The trade name for this </w:t>
      </w:r>
      <w:r w:rsidR="008C7E91" w:rsidRPr="00A60C48">
        <w:t>medicine</w:t>
      </w:r>
      <w:r w:rsidRPr="00A60C48">
        <w:t xml:space="preserve"> is </w:t>
      </w:r>
      <w:proofErr w:type="spellStart"/>
      <w:r w:rsidRPr="00A60C48">
        <w:t>Elaprase</w:t>
      </w:r>
      <w:proofErr w:type="spellEnd"/>
      <w:r w:rsidRPr="00A60C48">
        <w:t>®.</w:t>
      </w:r>
    </w:p>
    <w:p w14:paraId="66170CBD" w14:textId="645F19E5" w:rsidR="00377ED6" w:rsidRPr="00A60C48" w:rsidRDefault="00377ED6" w:rsidP="00A60C48">
      <w:r w:rsidRPr="00A60C48">
        <w:t xml:space="preserve">The Therapeutic Goods Administration (TGA) registration and Product Information for </w:t>
      </w:r>
      <w:proofErr w:type="spellStart"/>
      <w:r w:rsidRPr="00A60C48">
        <w:t>idursulfase</w:t>
      </w:r>
      <w:proofErr w:type="spellEnd"/>
      <w:r w:rsidRPr="00A60C48">
        <w:t xml:space="preserve"> (</w:t>
      </w:r>
      <w:proofErr w:type="spellStart"/>
      <w:r w:rsidRPr="00A60C48">
        <w:t>Elaprase</w:t>
      </w:r>
      <w:proofErr w:type="spellEnd"/>
      <w:r w:rsidRPr="00A60C48">
        <w:t xml:space="preserve">®) can be found on the </w:t>
      </w:r>
      <w:hyperlink r:id="rId14" w:history="1">
        <w:r w:rsidRPr="00A60C48">
          <w:rPr>
            <w:rStyle w:val="Hyperlink"/>
          </w:rPr>
          <w:t>TGA's website</w:t>
        </w:r>
      </w:hyperlink>
      <w:r w:rsidRPr="00A60C48">
        <w:t>.</w:t>
      </w:r>
    </w:p>
    <w:p w14:paraId="0469253C" w14:textId="77777777" w:rsidR="00994536" w:rsidRPr="00124426" w:rsidRDefault="00994536" w:rsidP="00994536">
      <w:pPr>
        <w:pStyle w:val="Heading2"/>
      </w:pPr>
      <w:r w:rsidRPr="00124426">
        <w:t>Dosage</w:t>
      </w:r>
    </w:p>
    <w:p w14:paraId="3348FD14" w14:textId="328DDA98" w:rsidR="007C1C52" w:rsidRPr="00A60C48" w:rsidRDefault="007C1C52" w:rsidP="00A60C48">
      <w:r w:rsidRPr="00A60C48">
        <w:t xml:space="preserve">The maximum dosage of </w:t>
      </w:r>
      <w:proofErr w:type="spellStart"/>
      <w:r w:rsidRPr="00A60C48">
        <w:t>idursulfase</w:t>
      </w:r>
      <w:proofErr w:type="spellEnd"/>
      <w:r w:rsidRPr="00A60C48">
        <w:t xml:space="preserve"> that is subsidised through the LSDP is 0.5 mg/kg weekly.</w:t>
      </w:r>
    </w:p>
    <w:p w14:paraId="5CB04281" w14:textId="371171D6" w:rsidR="00994536" w:rsidRDefault="00994536" w:rsidP="00994536">
      <w:pPr>
        <w:pStyle w:val="Heading1"/>
      </w:pPr>
      <w:r w:rsidRPr="00124426">
        <w:t>General eligibility requirements</w:t>
      </w:r>
    </w:p>
    <w:p w14:paraId="70F43C42" w14:textId="77777777" w:rsidR="00994536" w:rsidRPr="00124426" w:rsidRDefault="00994536" w:rsidP="00994536">
      <w:pPr>
        <w:pStyle w:val="Heading2"/>
      </w:pPr>
      <w:r w:rsidRPr="00124426">
        <w:t>LSDP funding conditions</w:t>
      </w:r>
    </w:p>
    <w:p w14:paraId="64B8914E" w14:textId="7A18357D" w:rsidR="00994536" w:rsidRPr="00A60C48" w:rsidRDefault="00994536" w:rsidP="00A60C48">
      <w:r w:rsidRPr="00A60C48">
        <w:t xml:space="preserve">A patient must continually meet the LSDP funding conditions </w:t>
      </w:r>
      <w:proofErr w:type="gramStart"/>
      <w:r w:rsidRPr="00A60C48">
        <w:t>in order to</w:t>
      </w:r>
      <w:proofErr w:type="gramEnd"/>
      <w:r w:rsidRPr="00A60C48">
        <w:t xml:space="preserve"> be eligible to receive access to Australian Government</w:t>
      </w:r>
      <w:r w:rsidR="00557F06" w:rsidRPr="00A60C48">
        <w:t>-</w:t>
      </w:r>
      <w:r w:rsidRPr="00A60C48">
        <w:t xml:space="preserve">subsidised treatment for </w:t>
      </w:r>
      <w:r w:rsidR="00691C73" w:rsidRPr="00A60C48">
        <w:t xml:space="preserve">MPS II </w:t>
      </w:r>
      <w:r w:rsidRPr="00A60C48">
        <w:t>through the LSDP.</w:t>
      </w:r>
    </w:p>
    <w:p w14:paraId="17AB5BBE" w14:textId="77777777" w:rsidR="00994536" w:rsidRPr="00A60C48" w:rsidRDefault="00994536" w:rsidP="00A60C48">
      <w:r w:rsidRPr="00A60C48">
        <w:lastRenderedPageBreak/>
        <w:t xml:space="preserve">The current LSDP funding conditions can be found on the </w:t>
      </w:r>
      <w:hyperlink r:id="rId15" w:history="1">
        <w:r w:rsidRPr="00A60C48">
          <w:rPr>
            <w:rStyle w:val="Hyperlink"/>
          </w:rPr>
          <w:t>program’s website</w:t>
        </w:r>
      </w:hyperlink>
      <w:r w:rsidRPr="00A60C48">
        <w:t xml:space="preserve">. </w:t>
      </w:r>
    </w:p>
    <w:p w14:paraId="0F54065F" w14:textId="77777777" w:rsidR="007C1C52" w:rsidRPr="00A60C48" w:rsidRDefault="007C1C52" w:rsidP="00A60C48">
      <w:r w:rsidRPr="00A60C48">
        <w:t>For MPS II, a patient must:</w:t>
      </w:r>
    </w:p>
    <w:p w14:paraId="01D32272" w14:textId="4A7E2588" w:rsidR="007C1C52" w:rsidRPr="00A60C48" w:rsidRDefault="007C1C52" w:rsidP="00A60C48">
      <w:pPr>
        <w:pStyle w:val="ListBullet"/>
      </w:pPr>
      <w:r w:rsidRPr="00A60C48">
        <w:t xml:space="preserve">satisfy the initial and ongoing eligibility criteria as detailed in these </w:t>
      </w:r>
      <w:proofErr w:type="gramStart"/>
      <w:r w:rsidRPr="00A60C48">
        <w:t>guidelines</w:t>
      </w:r>
      <w:proofErr w:type="gramEnd"/>
    </w:p>
    <w:p w14:paraId="0B6E2F14" w14:textId="12E0A630" w:rsidR="007C1C52" w:rsidRPr="00A60C48" w:rsidRDefault="007C1C52" w:rsidP="00A60C48">
      <w:pPr>
        <w:pStyle w:val="ListBullet"/>
      </w:pPr>
      <w:r w:rsidRPr="00A60C48">
        <w:t xml:space="preserve">participate in the evaluation of effectiveness of the </w:t>
      </w:r>
      <w:r w:rsidR="008C7E91" w:rsidRPr="00A60C48">
        <w:t>medicine</w:t>
      </w:r>
      <w:r w:rsidRPr="00A60C48">
        <w:t xml:space="preserve"> by periodic assessment, as directed by these guidelines, or have an acceptable reason not to </w:t>
      </w:r>
      <w:proofErr w:type="gramStart"/>
      <w:r w:rsidRPr="00A60C48">
        <w:t>participate</w:t>
      </w:r>
      <w:proofErr w:type="gramEnd"/>
    </w:p>
    <w:p w14:paraId="277BFBD4" w14:textId="55859CE3" w:rsidR="007C1C52" w:rsidRPr="00A60C48" w:rsidRDefault="007C1C52" w:rsidP="00A60C48">
      <w:pPr>
        <w:pStyle w:val="ListBullet"/>
      </w:pPr>
      <w:r w:rsidRPr="00A60C48">
        <w:t xml:space="preserve">not be suffering from any other medical condition, including complications or sequelae of MPS II, that might compromise the effectiveness of </w:t>
      </w:r>
      <w:proofErr w:type="spellStart"/>
      <w:r w:rsidRPr="00A60C48">
        <w:t>thetreatment</w:t>
      </w:r>
      <w:proofErr w:type="spellEnd"/>
      <w:r w:rsidRPr="00A60C48">
        <w:t>, and</w:t>
      </w:r>
    </w:p>
    <w:p w14:paraId="69793985" w14:textId="116BD417" w:rsidR="007C1C52" w:rsidRPr="00A60C48" w:rsidRDefault="007C1C52" w:rsidP="00A60C48">
      <w:pPr>
        <w:pStyle w:val="ListBullet"/>
      </w:pPr>
      <w:r w:rsidRPr="00A60C48">
        <w:t>be an Australian citizen or permanent Australian resident who qualifies for Medicare.</w:t>
      </w:r>
    </w:p>
    <w:p w14:paraId="20B2F1A4" w14:textId="77777777" w:rsidR="002616D4" w:rsidRPr="00A60C48" w:rsidRDefault="002616D4" w:rsidP="00A60C48">
      <w:r w:rsidRPr="00A60C48">
        <w:t>In most cases, participation in a clinical trial will not affect a patient’s eligibility to access LSDP medicines. However, treating physicians are required to advise the LSDP if their patient is participating in a clinical trial.</w:t>
      </w:r>
    </w:p>
    <w:p w14:paraId="14CBF2DA" w14:textId="34923E9F" w:rsidR="00994536" w:rsidRDefault="00994536" w:rsidP="007C1C52">
      <w:pPr>
        <w:pStyle w:val="Heading2"/>
      </w:pPr>
      <w:r>
        <w:t>Exclusion criteria</w:t>
      </w:r>
    </w:p>
    <w:p w14:paraId="46FA07DA" w14:textId="1C035731" w:rsidR="007C1C52" w:rsidRPr="00A60C48" w:rsidRDefault="007C1C52" w:rsidP="00A60C48">
      <w:r w:rsidRPr="00A60C48">
        <w:t xml:space="preserve">The following patients are not eligible for subsidised treatment with </w:t>
      </w:r>
      <w:proofErr w:type="spellStart"/>
      <w:r w:rsidRPr="00A60C48">
        <w:t>idursulfase</w:t>
      </w:r>
      <w:proofErr w:type="spellEnd"/>
      <w:r w:rsidRPr="00A60C48">
        <w:t>, for the treatment of MPS II through the LSDP:</w:t>
      </w:r>
    </w:p>
    <w:p w14:paraId="4A8BB5E0" w14:textId="3F6A168D" w:rsidR="007C1C52" w:rsidRPr="00A60C48" w:rsidRDefault="007C1C52" w:rsidP="00A60C48">
      <w:pPr>
        <w:pStyle w:val="ListBullet"/>
      </w:pPr>
      <w:r w:rsidRPr="00A60C48">
        <w:t xml:space="preserve">Patients with another life threatening or severe disease where the </w:t>
      </w:r>
      <w:proofErr w:type="gramStart"/>
      <w:r w:rsidRPr="00A60C48">
        <w:t>long term</w:t>
      </w:r>
      <w:proofErr w:type="gramEnd"/>
      <w:r w:rsidRPr="00A60C48">
        <w:t xml:space="preserve"> prognosis is unlikely to be influenced by</w:t>
      </w:r>
      <w:r w:rsidR="00300986" w:rsidRPr="00A60C48">
        <w:t xml:space="preserve"> enzyme replacement therapy</w:t>
      </w:r>
      <w:r w:rsidRPr="00A60C48">
        <w:t xml:space="preserve"> </w:t>
      </w:r>
      <w:r w:rsidR="00300986" w:rsidRPr="00A60C48">
        <w:t>(</w:t>
      </w:r>
      <w:r w:rsidRPr="00A60C48">
        <w:t>ERT</w:t>
      </w:r>
      <w:r w:rsidR="00300986" w:rsidRPr="00A60C48">
        <w:t>)</w:t>
      </w:r>
      <w:r w:rsidRPr="00A60C48">
        <w:t>.</w:t>
      </w:r>
    </w:p>
    <w:p w14:paraId="170361B2" w14:textId="7F89F5C3" w:rsidR="007C1C52" w:rsidRPr="00A60C48" w:rsidRDefault="00B815F6" w:rsidP="00A60C48">
      <w:pPr>
        <w:pStyle w:val="ListBullet"/>
      </w:pPr>
      <w:r w:rsidRPr="00A60C48">
        <w:t xml:space="preserve">Patients with </w:t>
      </w:r>
      <w:r w:rsidR="007C1C52" w:rsidRPr="00A60C48">
        <w:t>another medical condition that might reasonably be expected to compromise a response to ERT.</w:t>
      </w:r>
    </w:p>
    <w:p w14:paraId="2D0A0182" w14:textId="67D17A99" w:rsidR="00994536" w:rsidRPr="00CA108A" w:rsidRDefault="00994536" w:rsidP="00356E48">
      <w:pPr>
        <w:pStyle w:val="Heading1"/>
      </w:pPr>
      <w:r w:rsidRPr="00CA108A">
        <w:t>Initial eligibility requirements</w:t>
      </w:r>
    </w:p>
    <w:p w14:paraId="73E8A014" w14:textId="77777777" w:rsidR="00994536" w:rsidRDefault="00994536" w:rsidP="00994536">
      <w:pPr>
        <w:pStyle w:val="Heading2"/>
      </w:pPr>
      <w:r>
        <w:t>Diagnosis</w:t>
      </w:r>
    </w:p>
    <w:p w14:paraId="585E51C2" w14:textId="489BFD3C" w:rsidR="007C1C52" w:rsidRPr="00A60C48" w:rsidRDefault="007C1C52" w:rsidP="00A60C48">
      <w:r w:rsidRPr="00A60C48">
        <w:t>The diagnosis of MPS II must be confirmed by the demonstration of a deficiency of iduronate 2</w:t>
      </w:r>
      <w:r w:rsidR="003A1F88" w:rsidRPr="00A60C48">
        <w:noBreakHyphen/>
      </w:r>
      <w:r w:rsidRPr="00A60C48">
        <w:t xml:space="preserve">sulfatase in white blood cells with the assay performed in a NATA-accredited </w:t>
      </w:r>
      <w:proofErr w:type="gramStart"/>
      <w:r w:rsidRPr="00A60C48">
        <w:t>laboratory;</w:t>
      </w:r>
      <w:proofErr w:type="gramEnd"/>
      <w:r w:rsidRPr="00A60C48">
        <w:t xml:space="preserve"> or for siblings of a known patient, detection of a disease-causing mutation.</w:t>
      </w:r>
    </w:p>
    <w:p w14:paraId="272793BA" w14:textId="76B4CB75" w:rsidR="007C1C52" w:rsidRPr="00A60C48" w:rsidRDefault="007C1C52" w:rsidP="00A60C48">
      <w:r w:rsidRPr="00A60C48">
        <w:t>A deficiency of iduronate 2-sulfatase in white blood cells should be confirmed by either an enzyme assay in cultured skin fibroblasts or by detection of a disease-causing mutation in the iduronate 2-sulfatase gene.</w:t>
      </w:r>
    </w:p>
    <w:p w14:paraId="238A7543" w14:textId="1045D3DB" w:rsidR="007C1C52" w:rsidRPr="00A60C48" w:rsidRDefault="007C1C52" w:rsidP="00A60C48">
      <w:r w:rsidRPr="00A60C48">
        <w:t>The patient must present with at least one of the following complications of MPS</w:t>
      </w:r>
      <w:r w:rsidR="00687DDB" w:rsidRPr="00A60C48">
        <w:t xml:space="preserve"> </w:t>
      </w:r>
      <w:r w:rsidRPr="00A60C48">
        <w:t xml:space="preserve">II to be eligible for treatment with </w:t>
      </w:r>
      <w:proofErr w:type="spellStart"/>
      <w:r w:rsidRPr="00A60C48">
        <w:t>idursulfase</w:t>
      </w:r>
      <w:proofErr w:type="spellEnd"/>
      <w:r w:rsidRPr="00A60C48">
        <w:t>:</w:t>
      </w:r>
    </w:p>
    <w:p w14:paraId="3CC36BE1" w14:textId="4ADA4E37" w:rsidR="007C1C52" w:rsidRPr="00CE42B6" w:rsidRDefault="007C1C52" w:rsidP="006B3CBE">
      <w:pPr>
        <w:pStyle w:val="ListBullet"/>
      </w:pPr>
      <w:r w:rsidRPr="006B3CBE">
        <w:rPr>
          <w:rStyle w:val="Strong"/>
        </w:rPr>
        <w:t xml:space="preserve">Sleep </w:t>
      </w:r>
      <w:r w:rsidR="00A76E67" w:rsidRPr="006B3CBE">
        <w:rPr>
          <w:rStyle w:val="Strong"/>
        </w:rPr>
        <w:t>disordered breathing</w:t>
      </w:r>
      <w:r w:rsidRPr="006B3CBE">
        <w:rPr>
          <w:rStyle w:val="Strong"/>
        </w:rPr>
        <w:t>:</w:t>
      </w:r>
      <w:r w:rsidRPr="00CE42B6">
        <w:t xml:space="preserve"> Patients with an </w:t>
      </w:r>
      <w:r w:rsidR="00F1328F">
        <w:t>a</w:t>
      </w:r>
      <w:r w:rsidRPr="00CE42B6">
        <w:t>pnoea/</w:t>
      </w:r>
      <w:r w:rsidR="00F1328F">
        <w:t>h</w:t>
      </w:r>
      <w:r w:rsidRPr="00CE42B6">
        <w:t xml:space="preserve">ypopnoea </w:t>
      </w:r>
      <w:r w:rsidR="00F1328F">
        <w:t>i</w:t>
      </w:r>
      <w:r w:rsidRPr="00CE42B6">
        <w:t>ncidence of &gt;</w:t>
      </w:r>
      <w:r w:rsidR="00A76E67" w:rsidRPr="00CE42B6">
        <w:t>5</w:t>
      </w:r>
      <w:r w:rsidR="00557F06" w:rsidRPr="00CE42B6">
        <w:t> </w:t>
      </w:r>
      <w:r w:rsidRPr="00CE42B6">
        <w:t xml:space="preserve">events/hour of total sleep time or more than </w:t>
      </w:r>
      <w:r w:rsidR="00A76E67" w:rsidRPr="00CE42B6">
        <w:t>2</w:t>
      </w:r>
      <w:r w:rsidRPr="00CE42B6">
        <w:t xml:space="preserve"> severe </w:t>
      </w:r>
      <w:r w:rsidRPr="006B3CBE">
        <w:t>episodes</w:t>
      </w:r>
      <w:r w:rsidRPr="00CE42B6">
        <w:t xml:space="preserve"> of desaturation </w:t>
      </w:r>
      <w:r w:rsidR="00F024E8" w:rsidRPr="00CE42B6">
        <w:br/>
      </w:r>
      <w:r w:rsidRPr="00CE42B6">
        <w:t>(oxygen saturation &lt;80%) in an overnight sleep study.</w:t>
      </w:r>
    </w:p>
    <w:p w14:paraId="5C3D3779" w14:textId="48F5D93D" w:rsidR="007C1C52" w:rsidRPr="00CE42B6" w:rsidRDefault="007C1C52" w:rsidP="006B3CBE">
      <w:pPr>
        <w:pStyle w:val="ListBullet"/>
      </w:pPr>
      <w:r w:rsidRPr="006B3CBE">
        <w:rPr>
          <w:rStyle w:val="Strong"/>
        </w:rPr>
        <w:t xml:space="preserve">Respiratory </w:t>
      </w:r>
      <w:r w:rsidR="00A76E67" w:rsidRPr="006B3CBE">
        <w:rPr>
          <w:rStyle w:val="Strong"/>
        </w:rPr>
        <w:t>function t</w:t>
      </w:r>
      <w:r w:rsidRPr="006B3CBE">
        <w:rPr>
          <w:rStyle w:val="Strong"/>
        </w:rPr>
        <w:t>ests:</w:t>
      </w:r>
      <w:r w:rsidRPr="00CE42B6">
        <w:t xml:space="preserve"> Patients with FVC less than 80% of predicted value for height.</w:t>
      </w:r>
    </w:p>
    <w:p w14:paraId="5D0F9BC2" w14:textId="33AD51F4" w:rsidR="007C1C52" w:rsidRPr="00CE42B6" w:rsidRDefault="007C1C52" w:rsidP="006B3CBE">
      <w:pPr>
        <w:pStyle w:val="ListBullet"/>
      </w:pPr>
      <w:r w:rsidRPr="006B3CBE">
        <w:rPr>
          <w:rStyle w:val="Strong"/>
        </w:rPr>
        <w:t>Cardiac:</w:t>
      </w:r>
      <w:r w:rsidRPr="00CE42B6">
        <w:t xml:space="preserve"> Myocardial dysfunction as indicated by a reduction in ejection fraction to less than 56% (normal range 56-78%) or a </w:t>
      </w:r>
      <w:r w:rsidRPr="006B3CBE">
        <w:t>reduction</w:t>
      </w:r>
      <w:r w:rsidRPr="00CE42B6">
        <w:t xml:space="preserve"> in fraction shortening to &lt;25% </w:t>
      </w:r>
      <w:r w:rsidR="00F024E8" w:rsidRPr="00CE42B6">
        <w:br/>
      </w:r>
      <w:r w:rsidRPr="00CE42B6">
        <w:t>(normal range 25-46%).</w:t>
      </w:r>
    </w:p>
    <w:p w14:paraId="6EF58AAA" w14:textId="4C8D6EB3" w:rsidR="007C1C52" w:rsidRPr="00CE42B6" w:rsidRDefault="007C1C52" w:rsidP="006B3CBE">
      <w:pPr>
        <w:pStyle w:val="ListBullet"/>
      </w:pPr>
      <w:r w:rsidRPr="006B3CBE">
        <w:rPr>
          <w:rStyle w:val="Strong"/>
        </w:rPr>
        <w:t xml:space="preserve">Joint </w:t>
      </w:r>
      <w:r w:rsidR="00A76E67" w:rsidRPr="006B3CBE">
        <w:rPr>
          <w:rStyle w:val="Strong"/>
        </w:rPr>
        <w:t>c</w:t>
      </w:r>
      <w:r w:rsidRPr="006B3CBE">
        <w:rPr>
          <w:rStyle w:val="Strong"/>
        </w:rPr>
        <w:t>ontractures:</w:t>
      </w:r>
      <w:r w:rsidRPr="00CE42B6">
        <w:t xml:space="preserve"> Patients </w:t>
      </w:r>
      <w:r w:rsidRPr="006B3CBE">
        <w:t>developing</w:t>
      </w:r>
      <w:r w:rsidRPr="00CE42B6">
        <w:t xml:space="preserve"> restricted range of movement of joints of greater than 10 degrees from normal in shoulders, neck, hips, knees, </w:t>
      </w:r>
      <w:proofErr w:type="gramStart"/>
      <w:r w:rsidRPr="00CE42B6">
        <w:t>elbows</w:t>
      </w:r>
      <w:proofErr w:type="gramEnd"/>
      <w:r w:rsidRPr="00CE42B6">
        <w:t xml:space="preserve"> or hands.</w:t>
      </w:r>
    </w:p>
    <w:p w14:paraId="74CA52AC" w14:textId="0E4BF534" w:rsidR="007C1C52" w:rsidRPr="00A60C48" w:rsidRDefault="007C1C52" w:rsidP="00A60C48">
      <w:pPr>
        <w:pStyle w:val="ListBullet"/>
      </w:pPr>
      <w:r w:rsidRPr="00A60C48">
        <w:rPr>
          <w:rStyle w:val="Strong"/>
        </w:rPr>
        <w:t xml:space="preserve">Infants and </w:t>
      </w:r>
      <w:r w:rsidR="00A76E67" w:rsidRPr="00A60C48">
        <w:rPr>
          <w:rStyle w:val="Strong"/>
        </w:rPr>
        <w:t>c</w:t>
      </w:r>
      <w:r w:rsidRPr="00A60C48">
        <w:rPr>
          <w:rStyle w:val="Strong"/>
        </w:rPr>
        <w:t xml:space="preserve">hildren aged less than </w:t>
      </w:r>
      <w:r w:rsidR="00A76E67" w:rsidRPr="00A60C48">
        <w:rPr>
          <w:rStyle w:val="Strong"/>
        </w:rPr>
        <w:t>5</w:t>
      </w:r>
      <w:r w:rsidRPr="00A60C48">
        <w:rPr>
          <w:rStyle w:val="Strong"/>
        </w:rPr>
        <w:t xml:space="preserve"> years</w:t>
      </w:r>
      <w:r w:rsidRPr="00A60C48">
        <w:t xml:space="preserve">: Applications may be submitted for infants and children not yet demonstrating symptoms consistent with other eligibility criteria, where there has been a diagnosis of MPS II, for example by genotyping, with clear prediction of progress of the disease, or if, </w:t>
      </w:r>
      <w:proofErr w:type="gramStart"/>
      <w:r w:rsidRPr="00A60C48">
        <w:t>on the basis of</w:t>
      </w:r>
      <w:proofErr w:type="gramEnd"/>
      <w:r w:rsidRPr="00A60C48">
        <w:t xml:space="preserve"> a sibling's disease progression, severe disease can be predicted.</w:t>
      </w:r>
    </w:p>
    <w:p w14:paraId="70AAA39C" w14:textId="14CC04BE" w:rsidR="001E2E7C" w:rsidRPr="00A60C48" w:rsidRDefault="001E2E7C" w:rsidP="00A60C48">
      <w:r w:rsidRPr="00A60C48">
        <w:t xml:space="preserve">See the </w:t>
      </w:r>
      <w:hyperlink r:id="rId16" w:history="1">
        <w:r w:rsidRPr="00A60C48">
          <w:rPr>
            <w:rStyle w:val="Hyperlink"/>
          </w:rPr>
          <w:t>initial application form</w:t>
        </w:r>
      </w:hyperlink>
      <w:r w:rsidRPr="00A60C48">
        <w:t>.</w:t>
      </w:r>
    </w:p>
    <w:p w14:paraId="5D538D02" w14:textId="77777777" w:rsidR="00994536" w:rsidRDefault="00994536" w:rsidP="00994536">
      <w:pPr>
        <w:pStyle w:val="Heading1"/>
      </w:pPr>
      <w:r w:rsidRPr="004925A0">
        <w:lastRenderedPageBreak/>
        <w:t>Ongoing eligibility requirements</w:t>
      </w:r>
    </w:p>
    <w:p w14:paraId="695570F2" w14:textId="2BCE2BD8" w:rsidR="005A2370" w:rsidRPr="006B3CBE" w:rsidRDefault="005A2370" w:rsidP="006B3CBE">
      <w:r w:rsidRPr="006B3CBE">
        <w:t xml:space="preserve">The treating physician must submit the separate </w:t>
      </w:r>
      <w:hyperlink r:id="rId17" w:history="1">
        <w:r w:rsidR="009122B9" w:rsidRPr="006B3CBE">
          <w:rPr>
            <w:rStyle w:val="Hyperlink"/>
          </w:rPr>
          <w:t>reapplication form</w:t>
        </w:r>
      </w:hyperlink>
      <w:r w:rsidR="009122B9" w:rsidRPr="006B3CBE">
        <w:t xml:space="preserve"> </w:t>
      </w:r>
      <w:r w:rsidRPr="006B3CBE">
        <w:t>to the LSDP by 1 May every year if they wish their patient to continue to receive subsidised treatment through the LSDP.</w:t>
      </w:r>
    </w:p>
    <w:p w14:paraId="6569E3E9" w14:textId="7F17E925" w:rsidR="00AF1EC9" w:rsidRPr="006B3CBE" w:rsidRDefault="00AF1EC9" w:rsidP="006B3CBE">
      <w:r w:rsidRPr="006B3CBE">
        <w:t>If a reapplication is not submitted by 1 May each year without a clinical justification, the patient is at risk of having their treatment paused until the reapplication is received.</w:t>
      </w:r>
    </w:p>
    <w:p w14:paraId="35C09A90" w14:textId="5E946091" w:rsidR="00AF1EC9" w:rsidRPr="006B3CBE" w:rsidRDefault="00041038" w:rsidP="006B3CBE">
      <w:r w:rsidRPr="006B3CBE">
        <w:t xml:space="preserve">The </w:t>
      </w:r>
      <w:r w:rsidR="009122B9" w:rsidRPr="006B3CBE">
        <w:t xml:space="preserve">reapplication form </w:t>
      </w:r>
      <w:r w:rsidRPr="006B3CBE">
        <w:t>must demonstrate clinical improvement in the patient or stabilisation of the patient's condition, and evidence to support ongoing eligibility for the treatment of MPS</w:t>
      </w:r>
      <w:r w:rsidR="00AF1EC9" w:rsidRPr="006B3CBE">
        <w:t> </w:t>
      </w:r>
      <w:r w:rsidRPr="006B3CBE">
        <w:t>II must be provided.</w:t>
      </w:r>
    </w:p>
    <w:p w14:paraId="4296A1CC" w14:textId="77777777" w:rsidR="00557F06" w:rsidRPr="006B3CBE" w:rsidRDefault="00557F06" w:rsidP="006B3CBE">
      <w:r w:rsidRPr="006B3CBE">
        <w:t>The clinic letter and test results provided to support the reapplication must be no more than 12 months old at the time of each reapplication and should not have been used to support a previous application or reapplication.</w:t>
      </w:r>
    </w:p>
    <w:p w14:paraId="5A647DC0" w14:textId="395CBCB7" w:rsidR="00AA1DA3" w:rsidRPr="006B3CBE" w:rsidRDefault="00AA1DA3" w:rsidP="006B3CBE">
      <w:r w:rsidRPr="006B3CBE">
        <w:t>At the time of onset of treatment, clinicians and patients should jointly agree on criteria for cessation of the ERT using indicators that reflect lack of response to therapy or deterioration in somatic or neurological disease despite therapy.</w:t>
      </w:r>
    </w:p>
    <w:p w14:paraId="1F3A5239" w14:textId="77777777" w:rsidR="00041038" w:rsidRPr="006B3CBE" w:rsidRDefault="00041038" w:rsidP="006B3CBE">
      <w:r w:rsidRPr="006B3CBE">
        <w:t>The treating physician must declare that the patient continues to meet the eligibility criteria to receive subsidised treatment through the LSDP in accordance with these guidelines.</w:t>
      </w:r>
    </w:p>
    <w:p w14:paraId="5B9B7600" w14:textId="77777777" w:rsidR="00041038" w:rsidRPr="002F4813" w:rsidRDefault="00041038" w:rsidP="006B3CBE">
      <w:r w:rsidRPr="006B3CBE">
        <w:t>Subsidised treatment may continue unless</w:t>
      </w:r>
      <w:r w:rsidRPr="002F4813">
        <w:t xml:space="preserve"> one or more of the following situations apply:</w:t>
      </w:r>
    </w:p>
    <w:p w14:paraId="187FD3A3" w14:textId="4C1DDC1B" w:rsidR="00041038" w:rsidRPr="00CE42B6" w:rsidRDefault="00041038" w:rsidP="006B3CBE">
      <w:pPr>
        <w:pStyle w:val="ListBullet"/>
      </w:pPr>
      <w:r w:rsidRPr="00CE42B6">
        <w:t xml:space="preserve">failure to comply adequately with treatment or </w:t>
      </w:r>
      <w:proofErr w:type="gramStart"/>
      <w:r w:rsidRPr="00CE42B6">
        <w:t>measures</w:t>
      </w:r>
      <w:proofErr w:type="gramEnd"/>
    </w:p>
    <w:p w14:paraId="6C9CCCD6" w14:textId="126D9067" w:rsidR="00AF1EC9" w:rsidRPr="00CE42B6" w:rsidRDefault="00041038" w:rsidP="006B3CBE">
      <w:pPr>
        <w:pStyle w:val="ListBullet"/>
      </w:pPr>
      <w:r w:rsidRPr="00CE42B6">
        <w:t xml:space="preserve">failure to provide data, copies of test results, and the </w:t>
      </w:r>
      <w:hyperlink r:id="rId18" w:history="1">
        <w:r w:rsidRPr="00CE42B6">
          <w:rPr>
            <w:rStyle w:val="Hyperlink"/>
            <w:sz w:val="22"/>
            <w:szCs w:val="22"/>
          </w:rPr>
          <w:t>Excel spreadsheet for MPS II</w:t>
        </w:r>
      </w:hyperlink>
      <w:r w:rsidRPr="00CE42B6">
        <w:t>, evidencing the effectiveness of the therapy</w:t>
      </w:r>
      <w:r w:rsidR="00EC32A7" w:rsidRPr="00CE42B6">
        <w:t xml:space="preserve">. </w:t>
      </w:r>
      <w:r w:rsidR="00AF1EC9" w:rsidRPr="00CE42B6">
        <w:t>Test results must not be more than 12</w:t>
      </w:r>
      <w:r w:rsidR="00557F06" w:rsidRPr="00CE42B6">
        <w:t> </w:t>
      </w:r>
      <w:r w:rsidR="00AF1EC9" w:rsidRPr="00CE42B6">
        <w:t xml:space="preserve">months old at the time of reapplication to the LSDP and should not have been used to support a previous application or </w:t>
      </w:r>
      <w:proofErr w:type="gramStart"/>
      <w:r w:rsidR="00AF1EC9" w:rsidRPr="00CE42B6">
        <w:t>reapplication</w:t>
      </w:r>
      <w:proofErr w:type="gramEnd"/>
    </w:p>
    <w:p w14:paraId="0DD5BBA5" w14:textId="27552A10" w:rsidR="00041038" w:rsidRPr="00CE42B6" w:rsidRDefault="00041038" w:rsidP="006B3CBE">
      <w:pPr>
        <w:pStyle w:val="ListBullet"/>
      </w:pPr>
      <w:r w:rsidRPr="00CE42B6">
        <w:t xml:space="preserve">therapy fails to relieve or stabilise the symptoms of disease that originally resulted in the patient being approved for subsidised </w:t>
      </w:r>
      <w:proofErr w:type="gramStart"/>
      <w:r w:rsidRPr="00CE42B6">
        <w:t>treatment</w:t>
      </w:r>
      <w:proofErr w:type="gramEnd"/>
    </w:p>
    <w:p w14:paraId="34B6700B" w14:textId="7394BE63" w:rsidR="00041038" w:rsidRPr="00CE42B6" w:rsidRDefault="00041038" w:rsidP="006B3CBE">
      <w:pPr>
        <w:pStyle w:val="ListBullet"/>
      </w:pPr>
      <w:r w:rsidRPr="00CE42B6">
        <w:t xml:space="preserve">the patient has severe infusion-related adverse reactions which are not preventable by appropriate pre-medication and/or adjustment of the infusion </w:t>
      </w:r>
      <w:proofErr w:type="gramStart"/>
      <w:r w:rsidRPr="00CE42B6">
        <w:t>rate</w:t>
      </w:r>
      <w:proofErr w:type="gramEnd"/>
    </w:p>
    <w:p w14:paraId="636791C8" w14:textId="58339D0F" w:rsidR="00041038" w:rsidRPr="00CE42B6" w:rsidRDefault="00041038" w:rsidP="006B3CBE">
      <w:pPr>
        <w:pStyle w:val="ListBullet"/>
      </w:pPr>
      <w:r w:rsidRPr="00CE42B6">
        <w:t xml:space="preserve">the patient develops another life threatening or severe disease where the </w:t>
      </w:r>
      <w:proofErr w:type="gramStart"/>
      <w:r w:rsidRPr="00CE42B6">
        <w:t>long term</w:t>
      </w:r>
      <w:proofErr w:type="gramEnd"/>
      <w:r w:rsidRPr="00CE42B6">
        <w:t xml:space="preserve"> prognosis is unlikely to be influenced by ERT</w:t>
      </w:r>
    </w:p>
    <w:p w14:paraId="0A204FCF" w14:textId="77777777" w:rsidR="00041038" w:rsidRPr="00CE42B6" w:rsidRDefault="00041038" w:rsidP="006B3CBE">
      <w:pPr>
        <w:pStyle w:val="ListBullet"/>
      </w:pPr>
      <w:r w:rsidRPr="00CE42B6">
        <w:t>the patient develops another medical condition that might reasonably be expected to compromise a response to ERT; or</w:t>
      </w:r>
    </w:p>
    <w:p w14:paraId="33C4F7A5" w14:textId="77777777" w:rsidR="00041038" w:rsidRPr="00CE42B6" w:rsidRDefault="00041038" w:rsidP="006B3CBE">
      <w:pPr>
        <w:pStyle w:val="ListBullet"/>
      </w:pPr>
      <w:r w:rsidRPr="00CE42B6">
        <w:t>presentation of conditions listed in the exclusion criteria.</w:t>
      </w:r>
    </w:p>
    <w:p w14:paraId="206728B5" w14:textId="3299C76D" w:rsidR="0024511E" w:rsidRPr="00A60C48" w:rsidRDefault="00041038" w:rsidP="00A60C48">
      <w:r w:rsidRPr="00A60C48">
        <w:t xml:space="preserve">Testing is not funded or subsidised through the </w:t>
      </w:r>
      <w:proofErr w:type="gramStart"/>
      <w:r w:rsidRPr="00A60C48">
        <w:t>LSDP,</w:t>
      </w:r>
      <w:proofErr w:type="gramEnd"/>
      <w:r w:rsidRPr="00A60C48">
        <w:t xml:space="preserve"> however some tests may be subsidised through Medicare or available through the treating public hospital.</w:t>
      </w:r>
    </w:p>
    <w:p w14:paraId="363B19A4" w14:textId="77777777" w:rsidR="0024511E" w:rsidRDefault="0024511E" w:rsidP="00A60C48">
      <w:pPr>
        <w:pStyle w:val="Heading1"/>
      </w:pPr>
      <w:r w:rsidRPr="003E6D19">
        <w:t>Cessation of treatment</w:t>
      </w:r>
    </w:p>
    <w:p w14:paraId="145389B0" w14:textId="77777777" w:rsidR="0024511E" w:rsidRPr="006B3CBE" w:rsidRDefault="0024511E" w:rsidP="006B3CBE">
      <w:r w:rsidRPr="006B3CBE">
        <w:t xml:space="preserve">The treating physician should notify the LSDP immediately in writing when a patient ceases treatment, including the reason(s) for treatment cessation. </w:t>
      </w:r>
    </w:p>
    <w:p w14:paraId="63D5E7FF" w14:textId="77777777" w:rsidR="0024511E" w:rsidRDefault="0024511E" w:rsidP="0024511E">
      <w:pPr>
        <w:pStyle w:val="Heading2"/>
      </w:pPr>
      <w:r>
        <w:t>Treatment breaks</w:t>
      </w:r>
    </w:p>
    <w:p w14:paraId="20321148" w14:textId="77777777" w:rsidR="0024511E" w:rsidRPr="006B3CBE" w:rsidRDefault="0024511E" w:rsidP="006B3CBE">
      <w:r w:rsidRPr="006B3CBE">
        <w:t xml:space="preserve">Treatment breaks of up to 3 months can be taken without the requirement for submission of a new reapplication form to recommence treatment. </w:t>
      </w:r>
    </w:p>
    <w:p w14:paraId="0B7BCB9D" w14:textId="01735BF9" w:rsidR="0024511E" w:rsidRPr="00A60C48" w:rsidRDefault="0024511E" w:rsidP="00A60C48">
      <w:r w:rsidRPr="00A60C48">
        <w:t>Patients who are applying to recommence treatment following a break of longer than 3</w:t>
      </w:r>
      <w:r w:rsidR="00B815F6" w:rsidRPr="00A60C48">
        <w:t> </w:t>
      </w:r>
      <w:r w:rsidRPr="00A60C48">
        <w:t xml:space="preserve">months should submit a new </w:t>
      </w:r>
      <w:hyperlink r:id="rId19" w:history="1">
        <w:r w:rsidRPr="00A60C48">
          <w:rPr>
            <w:rStyle w:val="Hyperlink"/>
          </w:rPr>
          <w:t>reapplication form</w:t>
        </w:r>
      </w:hyperlink>
      <w:r w:rsidRPr="00A60C48">
        <w:t>.</w:t>
      </w:r>
    </w:p>
    <w:sectPr w:rsidR="0024511E" w:rsidRPr="00A60C48" w:rsidSect="00BB520C">
      <w:headerReference w:type="default" r:id="rId20"/>
      <w:endnotePr>
        <w:numFmt w:val="decimal"/>
      </w:endnotePr>
      <w:type w:val="continuous"/>
      <w:pgSz w:w="11906" w:h="16838"/>
      <w:pgMar w:top="1418" w:right="1418" w:bottom="1418" w:left="1418" w:header="85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0F92FF" w14:textId="77777777" w:rsidR="00105A16" w:rsidRDefault="00105A16" w:rsidP="006B56BB">
      <w:r>
        <w:separator/>
      </w:r>
    </w:p>
    <w:p w14:paraId="748726C3" w14:textId="77777777" w:rsidR="00105A16" w:rsidRDefault="00105A16"/>
  </w:endnote>
  <w:endnote w:type="continuationSeparator" w:id="0">
    <w:p w14:paraId="5A963EE1" w14:textId="77777777" w:rsidR="00105A16" w:rsidRDefault="00105A16" w:rsidP="006B56BB">
      <w:r>
        <w:continuationSeparator/>
      </w:r>
    </w:p>
    <w:p w14:paraId="50F7310D" w14:textId="77777777" w:rsidR="00105A16" w:rsidRDefault="00105A16"/>
  </w:endnote>
  <w:endnote w:type="continuationNotice" w:id="1">
    <w:p w14:paraId="452EF6E7" w14:textId="77777777" w:rsidR="00105A16" w:rsidRDefault="00105A1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EF73B0" w14:textId="18BDD2A3" w:rsidR="00994536" w:rsidRPr="00972E6E" w:rsidRDefault="00994536" w:rsidP="00972E6E">
    <w:pPr>
      <w:pStyle w:val="Footer"/>
      <w:tabs>
        <w:tab w:val="clear" w:pos="4513"/>
      </w:tabs>
    </w:pPr>
    <w:r>
      <w:t>Department of Health</w:t>
    </w:r>
    <w:r w:rsidR="004878AA">
      <w:t xml:space="preserve"> and Aged Care</w:t>
    </w:r>
    <w:r w:rsidR="003A1F88" w:rsidRPr="00384E56">
      <w:t xml:space="preserve"> </w:t>
    </w:r>
    <w:r w:rsidR="00F11A1D">
      <w:t>–</w:t>
    </w:r>
    <w:r w:rsidR="00EC6AA5">
      <w:t xml:space="preserve"> September 2024</w:t>
    </w:r>
    <w:r>
      <w:tab/>
    </w:r>
    <w:r w:rsidRPr="003D033A">
      <w:fldChar w:fldCharType="begin"/>
    </w:r>
    <w:r w:rsidRPr="003D033A">
      <w:instrText xml:space="preserve"> PAGE   \* MERGEFORMAT </w:instrText>
    </w:r>
    <w:r w:rsidRPr="003D033A">
      <w:fldChar w:fldCharType="separate"/>
    </w:r>
    <w:r w:rsidR="00872707">
      <w:rPr>
        <w:noProof/>
      </w:rPr>
      <w:t>2</w:t>
    </w:r>
    <w:r w:rsidRPr="003D033A">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8DA805" w14:textId="6380982B" w:rsidR="00994536" w:rsidRPr="00DE3355" w:rsidRDefault="00994536" w:rsidP="003D033A">
    <w:pPr>
      <w:pStyle w:val="Footer"/>
      <w:tabs>
        <w:tab w:val="clear" w:pos="4513"/>
      </w:tabs>
    </w:pPr>
    <w:r>
      <w:t>Department of Health</w:t>
    </w:r>
    <w:r w:rsidR="004878AA">
      <w:t xml:space="preserve"> and Aged Care</w:t>
    </w:r>
    <w:r>
      <w:t xml:space="preserve"> –</w:t>
    </w:r>
    <w:r w:rsidR="003A1F88">
      <w:t xml:space="preserve"> </w:t>
    </w:r>
    <w:sdt>
      <w:sdtPr>
        <w:id w:val="-1729214745"/>
        <w:docPartObj>
          <w:docPartGallery w:val="Page Numbers (Bottom of Page)"/>
          <w:docPartUnique/>
        </w:docPartObj>
      </w:sdtPr>
      <w:sdtEndPr/>
      <w:sdtContent>
        <w:r w:rsidR="00EC6AA5">
          <w:t>September 2024</w:t>
        </w:r>
        <w:r>
          <w:tab/>
        </w:r>
        <w:r w:rsidRPr="003D033A">
          <w:fldChar w:fldCharType="begin"/>
        </w:r>
        <w:r w:rsidRPr="003D033A">
          <w:instrText xml:space="preserve"> PAGE   \* MERGEFORMAT </w:instrText>
        </w:r>
        <w:r w:rsidRPr="003D033A">
          <w:fldChar w:fldCharType="separate"/>
        </w:r>
        <w:r w:rsidR="003170FC">
          <w:rPr>
            <w:noProof/>
          </w:rPr>
          <w:t>1</w:t>
        </w:r>
        <w:r w:rsidRPr="003D033A">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6BE003" w14:textId="77777777" w:rsidR="00105A16" w:rsidRDefault="00105A16" w:rsidP="006B56BB">
      <w:r>
        <w:separator/>
      </w:r>
    </w:p>
    <w:p w14:paraId="617DB7F1" w14:textId="77777777" w:rsidR="00105A16" w:rsidRDefault="00105A16"/>
  </w:footnote>
  <w:footnote w:type="continuationSeparator" w:id="0">
    <w:p w14:paraId="282DD7AC" w14:textId="77777777" w:rsidR="00105A16" w:rsidRDefault="00105A16" w:rsidP="006B56BB">
      <w:r>
        <w:continuationSeparator/>
      </w:r>
    </w:p>
    <w:p w14:paraId="01B79A0F" w14:textId="77777777" w:rsidR="00105A16" w:rsidRDefault="00105A16"/>
  </w:footnote>
  <w:footnote w:type="continuationNotice" w:id="1">
    <w:p w14:paraId="74304096" w14:textId="77777777" w:rsidR="00105A16" w:rsidRDefault="00105A1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44EC71" w14:textId="0D735EF8" w:rsidR="00994536" w:rsidRDefault="00E30707" w:rsidP="006369BD">
    <w:pPr>
      <w:pStyle w:val="Header"/>
    </w:pPr>
    <w:r>
      <w:rPr>
        <w:noProof/>
        <w:lang w:eastAsia="en-AU"/>
      </w:rPr>
      <w:drawing>
        <wp:inline distT="0" distB="0" distL="0" distR="0" wp14:anchorId="64108E42" wp14:editId="29A0469A">
          <wp:extent cx="5759450" cy="941705"/>
          <wp:effectExtent l="0" t="0" r="0" b="0"/>
          <wp:docPr id="13" name="Pictur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t="-9404"/>
                  <a:stretch/>
                </pic:blipFill>
                <pic:spPr bwMode="auto">
                  <a:xfrm>
                    <a:off x="0" y="0"/>
                    <a:ext cx="5759450" cy="941705"/>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270384" w14:textId="513CA929" w:rsidR="008E0C77" w:rsidRPr="00A71F59" w:rsidRDefault="006C5BF6" w:rsidP="00A71F59">
    <w:pPr>
      <w:pStyle w:val="Footer"/>
      <w:tabs>
        <w:tab w:val="clear" w:pos="4513"/>
      </w:tabs>
      <w:rPr>
        <w:sz w:val="16"/>
        <w:szCs w:val="20"/>
      </w:rPr>
    </w:pPr>
    <w:r>
      <w:rPr>
        <w:sz w:val="16"/>
      </w:rPr>
      <w:t xml:space="preserve">Guidelines for the treatment of MPS II through the LSDP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AA06BE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B06F918"/>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809C633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244CF152"/>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57A27B6A"/>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FEBE606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AA2CBC0"/>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D752FC2E"/>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9513EE"/>
    <w:multiLevelType w:val="hybridMultilevel"/>
    <w:tmpl w:val="83CA4B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03311526"/>
    <w:multiLevelType w:val="hybridMultilevel"/>
    <w:tmpl w:val="9BE888A2"/>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0A1D3ADF"/>
    <w:multiLevelType w:val="hybridMultilevel"/>
    <w:tmpl w:val="1AD4A19C"/>
    <w:lvl w:ilvl="0" w:tplc="6556FF00">
      <w:start w:val="1"/>
      <w:numFmt w:val="bullet"/>
      <w:lvlText w:val="•"/>
      <w:lvlJc w:val="left"/>
      <w:pPr>
        <w:tabs>
          <w:tab w:val="num" w:pos="720"/>
        </w:tabs>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C373906"/>
    <w:multiLevelType w:val="hybridMultilevel"/>
    <w:tmpl w:val="A71C82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2AF64C0"/>
    <w:multiLevelType w:val="hybridMultilevel"/>
    <w:tmpl w:val="D71A7C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3363506"/>
    <w:multiLevelType w:val="hybridMultilevel"/>
    <w:tmpl w:val="C55CFE62"/>
    <w:lvl w:ilvl="0" w:tplc="B722292C">
      <w:start w:val="1"/>
      <w:numFmt w:val="bullet"/>
      <w:pStyle w:val="ListBullet"/>
      <w:lvlText w:val=""/>
      <w:lvlJc w:val="left"/>
      <w:pPr>
        <w:ind w:left="360" w:hanging="360"/>
      </w:pPr>
      <w:rPr>
        <w:rFonts w:ascii="Symbol" w:hAnsi="Symbol"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3D63A0E"/>
    <w:multiLevelType w:val="hybridMultilevel"/>
    <w:tmpl w:val="E0E20100"/>
    <w:lvl w:ilvl="0" w:tplc="CFCC638E">
      <w:start w:val="1"/>
      <w:numFmt w:val="lowerLetter"/>
      <w:lvlText w:val="%1)"/>
      <w:lvlJc w:val="left"/>
      <w:pPr>
        <w:ind w:left="128" w:hanging="218"/>
      </w:pPr>
      <w:rPr>
        <w:rFonts w:ascii="Cambria" w:eastAsia="Cambria" w:hAnsi="Cambria" w:cs="Cambria" w:hint="default"/>
        <w:spacing w:val="-1"/>
        <w:w w:val="100"/>
        <w:sz w:val="20"/>
        <w:szCs w:val="20"/>
      </w:rPr>
    </w:lvl>
    <w:lvl w:ilvl="1" w:tplc="9BA6D972">
      <w:numFmt w:val="bullet"/>
      <w:lvlText w:val="•"/>
      <w:lvlJc w:val="left"/>
      <w:pPr>
        <w:ind w:left="658" w:hanging="218"/>
      </w:pPr>
      <w:rPr>
        <w:rFonts w:hint="default"/>
      </w:rPr>
    </w:lvl>
    <w:lvl w:ilvl="2" w:tplc="9A66B728">
      <w:numFmt w:val="bullet"/>
      <w:lvlText w:val="•"/>
      <w:lvlJc w:val="left"/>
      <w:pPr>
        <w:ind w:left="1196" w:hanging="218"/>
      </w:pPr>
      <w:rPr>
        <w:rFonts w:hint="default"/>
      </w:rPr>
    </w:lvl>
    <w:lvl w:ilvl="3" w:tplc="2EFE3C08">
      <w:numFmt w:val="bullet"/>
      <w:lvlText w:val="•"/>
      <w:lvlJc w:val="left"/>
      <w:pPr>
        <w:ind w:left="1735" w:hanging="218"/>
      </w:pPr>
      <w:rPr>
        <w:rFonts w:hint="default"/>
      </w:rPr>
    </w:lvl>
    <w:lvl w:ilvl="4" w:tplc="655AA630">
      <w:numFmt w:val="bullet"/>
      <w:lvlText w:val="•"/>
      <w:lvlJc w:val="left"/>
      <w:pPr>
        <w:ind w:left="2273" w:hanging="218"/>
      </w:pPr>
      <w:rPr>
        <w:rFonts w:hint="default"/>
      </w:rPr>
    </w:lvl>
    <w:lvl w:ilvl="5" w:tplc="04F6C638">
      <w:numFmt w:val="bullet"/>
      <w:lvlText w:val="•"/>
      <w:lvlJc w:val="left"/>
      <w:pPr>
        <w:ind w:left="2811" w:hanging="218"/>
      </w:pPr>
      <w:rPr>
        <w:rFonts w:hint="default"/>
      </w:rPr>
    </w:lvl>
    <w:lvl w:ilvl="6" w:tplc="CA408A7E">
      <w:numFmt w:val="bullet"/>
      <w:lvlText w:val="•"/>
      <w:lvlJc w:val="left"/>
      <w:pPr>
        <w:ind w:left="3350" w:hanging="218"/>
      </w:pPr>
      <w:rPr>
        <w:rFonts w:hint="default"/>
      </w:rPr>
    </w:lvl>
    <w:lvl w:ilvl="7" w:tplc="AA8E9EF0">
      <w:numFmt w:val="bullet"/>
      <w:lvlText w:val="•"/>
      <w:lvlJc w:val="left"/>
      <w:pPr>
        <w:ind w:left="3888" w:hanging="218"/>
      </w:pPr>
      <w:rPr>
        <w:rFonts w:hint="default"/>
      </w:rPr>
    </w:lvl>
    <w:lvl w:ilvl="8" w:tplc="EE8C21B4">
      <w:numFmt w:val="bullet"/>
      <w:lvlText w:val="•"/>
      <w:lvlJc w:val="left"/>
      <w:pPr>
        <w:ind w:left="4426" w:hanging="218"/>
      </w:pPr>
      <w:rPr>
        <w:rFonts w:hint="default"/>
      </w:rPr>
    </w:lvl>
  </w:abstractNum>
  <w:abstractNum w:abstractNumId="15" w15:restartNumberingAfterBreak="0">
    <w:nsid w:val="1A9C0953"/>
    <w:multiLevelType w:val="hybridMultilevel"/>
    <w:tmpl w:val="B99058B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1EB23D3C"/>
    <w:multiLevelType w:val="hybridMultilevel"/>
    <w:tmpl w:val="D77C3A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09414E1"/>
    <w:multiLevelType w:val="hybridMultilevel"/>
    <w:tmpl w:val="6EB6CC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0B72723"/>
    <w:multiLevelType w:val="hybridMultilevel"/>
    <w:tmpl w:val="C51073B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9" w15:restartNumberingAfterBreak="0">
    <w:nsid w:val="32A47F5D"/>
    <w:multiLevelType w:val="hybridMultilevel"/>
    <w:tmpl w:val="35BAB058"/>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20" w15:restartNumberingAfterBreak="0">
    <w:nsid w:val="34CD50FD"/>
    <w:multiLevelType w:val="hybridMultilevel"/>
    <w:tmpl w:val="B3569960"/>
    <w:lvl w:ilvl="0" w:tplc="98DA49D4">
      <w:start w:val="1"/>
      <w:numFmt w:val="bullet"/>
      <w:pStyle w:val="ListNumber2"/>
      <w:lvlText w:val=""/>
      <w:lvlJc w:val="left"/>
      <w:pPr>
        <w:ind w:left="644" w:hanging="360"/>
      </w:pPr>
      <w:rPr>
        <w:rFonts w:ascii="Symbol" w:hAnsi="Symbo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1" w15:restartNumberingAfterBreak="0">
    <w:nsid w:val="38DD2476"/>
    <w:multiLevelType w:val="hybridMultilevel"/>
    <w:tmpl w:val="199E3D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A57601F"/>
    <w:multiLevelType w:val="hybridMultilevel"/>
    <w:tmpl w:val="81B8F9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354390E"/>
    <w:multiLevelType w:val="hybridMultilevel"/>
    <w:tmpl w:val="221CF9CA"/>
    <w:lvl w:ilvl="0" w:tplc="6556FF00">
      <w:start w:val="1"/>
      <w:numFmt w:val="bullet"/>
      <w:lvlText w:val="•"/>
      <w:lvlJc w:val="left"/>
      <w:pPr>
        <w:tabs>
          <w:tab w:val="num" w:pos="720"/>
        </w:tabs>
        <w:ind w:left="720" w:hanging="360"/>
      </w:pPr>
      <w:rPr>
        <w:rFonts w:ascii="Calibri" w:hAnsi="Calibri" w:hint="default"/>
      </w:rPr>
    </w:lvl>
    <w:lvl w:ilvl="1" w:tplc="B770D50E">
      <w:start w:val="1"/>
      <w:numFmt w:val="bullet"/>
      <w:lvlText w:val="•"/>
      <w:lvlJc w:val="left"/>
      <w:pPr>
        <w:tabs>
          <w:tab w:val="num" w:pos="1440"/>
        </w:tabs>
        <w:ind w:left="1440" w:hanging="360"/>
      </w:pPr>
      <w:rPr>
        <w:rFonts w:ascii="Calibri" w:hAnsi="Calibri" w:hint="default"/>
      </w:rPr>
    </w:lvl>
    <w:lvl w:ilvl="2" w:tplc="D1AC3FE6">
      <w:start w:val="1"/>
      <w:numFmt w:val="bullet"/>
      <w:lvlText w:val=""/>
      <w:lvlJc w:val="left"/>
      <w:pPr>
        <w:tabs>
          <w:tab w:val="num" w:pos="2084"/>
        </w:tabs>
        <w:ind w:left="2084" w:hanging="284"/>
      </w:pPr>
      <w:rPr>
        <w:rFonts w:ascii="Symbol" w:hAnsi="Symbol" w:hint="default"/>
      </w:rPr>
    </w:lvl>
    <w:lvl w:ilvl="3" w:tplc="2E722BD4">
      <w:start w:val="1"/>
      <w:numFmt w:val="bullet"/>
      <w:lvlText w:val="•"/>
      <w:lvlJc w:val="left"/>
      <w:pPr>
        <w:tabs>
          <w:tab w:val="num" w:pos="2880"/>
        </w:tabs>
        <w:ind w:left="2880" w:hanging="360"/>
      </w:pPr>
      <w:rPr>
        <w:rFonts w:ascii="Calibri" w:hAnsi="Calibri" w:hint="default"/>
      </w:rPr>
    </w:lvl>
    <w:lvl w:ilvl="4" w:tplc="CDB2B8BC" w:tentative="1">
      <w:start w:val="1"/>
      <w:numFmt w:val="bullet"/>
      <w:lvlText w:val="•"/>
      <w:lvlJc w:val="left"/>
      <w:pPr>
        <w:tabs>
          <w:tab w:val="num" w:pos="3600"/>
        </w:tabs>
        <w:ind w:left="3600" w:hanging="360"/>
      </w:pPr>
      <w:rPr>
        <w:rFonts w:ascii="Calibri" w:hAnsi="Calibri" w:hint="default"/>
      </w:rPr>
    </w:lvl>
    <w:lvl w:ilvl="5" w:tplc="7D8CFA76" w:tentative="1">
      <w:start w:val="1"/>
      <w:numFmt w:val="bullet"/>
      <w:lvlText w:val="•"/>
      <w:lvlJc w:val="left"/>
      <w:pPr>
        <w:tabs>
          <w:tab w:val="num" w:pos="4320"/>
        </w:tabs>
        <w:ind w:left="4320" w:hanging="360"/>
      </w:pPr>
      <w:rPr>
        <w:rFonts w:ascii="Calibri" w:hAnsi="Calibri" w:hint="default"/>
      </w:rPr>
    </w:lvl>
    <w:lvl w:ilvl="6" w:tplc="349224D0" w:tentative="1">
      <w:start w:val="1"/>
      <w:numFmt w:val="bullet"/>
      <w:lvlText w:val="•"/>
      <w:lvlJc w:val="left"/>
      <w:pPr>
        <w:tabs>
          <w:tab w:val="num" w:pos="5040"/>
        </w:tabs>
        <w:ind w:left="5040" w:hanging="360"/>
      </w:pPr>
      <w:rPr>
        <w:rFonts w:ascii="Calibri" w:hAnsi="Calibri" w:hint="default"/>
      </w:rPr>
    </w:lvl>
    <w:lvl w:ilvl="7" w:tplc="AD2E393C" w:tentative="1">
      <w:start w:val="1"/>
      <w:numFmt w:val="bullet"/>
      <w:lvlText w:val="•"/>
      <w:lvlJc w:val="left"/>
      <w:pPr>
        <w:tabs>
          <w:tab w:val="num" w:pos="5760"/>
        </w:tabs>
        <w:ind w:left="5760" w:hanging="360"/>
      </w:pPr>
      <w:rPr>
        <w:rFonts w:ascii="Calibri" w:hAnsi="Calibri" w:hint="default"/>
      </w:rPr>
    </w:lvl>
    <w:lvl w:ilvl="8" w:tplc="22B27F60" w:tentative="1">
      <w:start w:val="1"/>
      <w:numFmt w:val="bullet"/>
      <w:lvlText w:val="•"/>
      <w:lvlJc w:val="left"/>
      <w:pPr>
        <w:tabs>
          <w:tab w:val="num" w:pos="6480"/>
        </w:tabs>
        <w:ind w:left="6480" w:hanging="360"/>
      </w:pPr>
      <w:rPr>
        <w:rFonts w:ascii="Calibri" w:hAnsi="Calibri" w:hint="default"/>
      </w:rPr>
    </w:lvl>
  </w:abstractNum>
  <w:abstractNum w:abstractNumId="24" w15:restartNumberingAfterBreak="0">
    <w:nsid w:val="51E0409D"/>
    <w:multiLevelType w:val="hybridMultilevel"/>
    <w:tmpl w:val="B9020172"/>
    <w:lvl w:ilvl="0" w:tplc="C4020892">
      <w:start w:val="1"/>
      <w:numFmt w:val="bullet"/>
      <w:pStyle w:val="ListNumber3"/>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5DF4227C"/>
    <w:multiLevelType w:val="hybridMultilevel"/>
    <w:tmpl w:val="4E989CA8"/>
    <w:lvl w:ilvl="0" w:tplc="70CCB192">
      <w:start w:val="2"/>
      <w:numFmt w:val="decimal"/>
      <w:lvlText w:val="%1"/>
      <w:lvlJc w:val="left"/>
      <w:pPr>
        <w:ind w:left="128" w:hanging="109"/>
      </w:pPr>
      <w:rPr>
        <w:rFonts w:ascii="Cambria" w:eastAsia="Cambria" w:hAnsi="Cambria" w:cs="Cambria" w:hint="default"/>
        <w:spacing w:val="-1"/>
        <w:w w:val="100"/>
        <w:position w:val="7"/>
        <w:sz w:val="14"/>
        <w:szCs w:val="14"/>
      </w:rPr>
    </w:lvl>
    <w:lvl w:ilvl="1" w:tplc="D98209E4">
      <w:numFmt w:val="bullet"/>
      <w:lvlText w:val="•"/>
      <w:lvlJc w:val="left"/>
      <w:pPr>
        <w:ind w:left="680" w:hanging="109"/>
      </w:pPr>
      <w:rPr>
        <w:rFonts w:hint="default"/>
      </w:rPr>
    </w:lvl>
    <w:lvl w:ilvl="2" w:tplc="D7D6D452">
      <w:numFmt w:val="bullet"/>
      <w:lvlText w:val="•"/>
      <w:lvlJc w:val="left"/>
      <w:pPr>
        <w:ind w:left="1240" w:hanging="109"/>
      </w:pPr>
      <w:rPr>
        <w:rFonts w:hint="default"/>
      </w:rPr>
    </w:lvl>
    <w:lvl w:ilvl="3" w:tplc="02A014CC">
      <w:numFmt w:val="bullet"/>
      <w:lvlText w:val="•"/>
      <w:lvlJc w:val="left"/>
      <w:pPr>
        <w:ind w:left="1800" w:hanging="109"/>
      </w:pPr>
      <w:rPr>
        <w:rFonts w:hint="default"/>
      </w:rPr>
    </w:lvl>
    <w:lvl w:ilvl="4" w:tplc="371C7C26">
      <w:numFmt w:val="bullet"/>
      <w:lvlText w:val="•"/>
      <w:lvlJc w:val="left"/>
      <w:pPr>
        <w:ind w:left="2360" w:hanging="109"/>
      </w:pPr>
      <w:rPr>
        <w:rFonts w:hint="default"/>
      </w:rPr>
    </w:lvl>
    <w:lvl w:ilvl="5" w:tplc="5FE8E13C">
      <w:numFmt w:val="bullet"/>
      <w:lvlText w:val="•"/>
      <w:lvlJc w:val="left"/>
      <w:pPr>
        <w:ind w:left="2920" w:hanging="109"/>
      </w:pPr>
      <w:rPr>
        <w:rFonts w:hint="default"/>
      </w:rPr>
    </w:lvl>
    <w:lvl w:ilvl="6" w:tplc="78AE2D0C">
      <w:numFmt w:val="bullet"/>
      <w:lvlText w:val="•"/>
      <w:lvlJc w:val="left"/>
      <w:pPr>
        <w:ind w:left="3480" w:hanging="109"/>
      </w:pPr>
      <w:rPr>
        <w:rFonts w:hint="default"/>
      </w:rPr>
    </w:lvl>
    <w:lvl w:ilvl="7" w:tplc="8A52DC32">
      <w:numFmt w:val="bullet"/>
      <w:lvlText w:val="•"/>
      <w:lvlJc w:val="left"/>
      <w:pPr>
        <w:ind w:left="4040" w:hanging="109"/>
      </w:pPr>
      <w:rPr>
        <w:rFonts w:hint="default"/>
      </w:rPr>
    </w:lvl>
    <w:lvl w:ilvl="8" w:tplc="0C2683CC">
      <w:numFmt w:val="bullet"/>
      <w:lvlText w:val="•"/>
      <w:lvlJc w:val="left"/>
      <w:pPr>
        <w:ind w:left="4600" w:hanging="109"/>
      </w:pPr>
      <w:rPr>
        <w:rFonts w:hint="default"/>
      </w:rPr>
    </w:lvl>
  </w:abstractNum>
  <w:abstractNum w:abstractNumId="26" w15:restartNumberingAfterBreak="0">
    <w:nsid w:val="68F41A2F"/>
    <w:multiLevelType w:val="hybridMultilevel"/>
    <w:tmpl w:val="50320C1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7" w15:restartNumberingAfterBreak="0">
    <w:nsid w:val="6BF445FC"/>
    <w:multiLevelType w:val="hybridMultilevel"/>
    <w:tmpl w:val="26669A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CF8287E"/>
    <w:multiLevelType w:val="hybridMultilevel"/>
    <w:tmpl w:val="FE2A36DA"/>
    <w:lvl w:ilvl="0" w:tplc="B6B6120E">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E4235F6"/>
    <w:multiLevelType w:val="hybridMultilevel"/>
    <w:tmpl w:val="D0F8486C"/>
    <w:lvl w:ilvl="0" w:tplc="E286E3D8">
      <w:start w:val="1"/>
      <w:numFmt w:val="lowerLetter"/>
      <w:lvlText w:val="%1)"/>
      <w:lvlJc w:val="left"/>
      <w:pPr>
        <w:ind w:left="390" w:hanging="262"/>
      </w:pPr>
      <w:rPr>
        <w:rFonts w:ascii="Cambria" w:eastAsia="Cambria" w:hAnsi="Cambria" w:cs="Cambria" w:hint="default"/>
        <w:spacing w:val="-1"/>
        <w:w w:val="100"/>
        <w:sz w:val="20"/>
        <w:szCs w:val="20"/>
      </w:rPr>
    </w:lvl>
    <w:lvl w:ilvl="1" w:tplc="6B94A202">
      <w:numFmt w:val="bullet"/>
      <w:lvlText w:val="•"/>
      <w:lvlJc w:val="left"/>
      <w:pPr>
        <w:ind w:left="907" w:hanging="262"/>
      </w:pPr>
      <w:rPr>
        <w:rFonts w:hint="default"/>
      </w:rPr>
    </w:lvl>
    <w:lvl w:ilvl="2" w:tplc="BA249430">
      <w:numFmt w:val="bullet"/>
      <w:lvlText w:val="•"/>
      <w:lvlJc w:val="left"/>
      <w:pPr>
        <w:ind w:left="1415" w:hanging="262"/>
      </w:pPr>
      <w:rPr>
        <w:rFonts w:hint="default"/>
      </w:rPr>
    </w:lvl>
    <w:lvl w:ilvl="3" w:tplc="5C105664">
      <w:numFmt w:val="bullet"/>
      <w:lvlText w:val="•"/>
      <w:lvlJc w:val="left"/>
      <w:pPr>
        <w:ind w:left="1923" w:hanging="262"/>
      </w:pPr>
      <w:rPr>
        <w:rFonts w:hint="default"/>
      </w:rPr>
    </w:lvl>
    <w:lvl w:ilvl="4" w:tplc="C22A7A08">
      <w:numFmt w:val="bullet"/>
      <w:lvlText w:val="•"/>
      <w:lvlJc w:val="left"/>
      <w:pPr>
        <w:ind w:left="2431" w:hanging="262"/>
      </w:pPr>
      <w:rPr>
        <w:rFonts w:hint="default"/>
      </w:rPr>
    </w:lvl>
    <w:lvl w:ilvl="5" w:tplc="E34C90B4">
      <w:numFmt w:val="bullet"/>
      <w:lvlText w:val="•"/>
      <w:lvlJc w:val="left"/>
      <w:pPr>
        <w:ind w:left="2938" w:hanging="262"/>
      </w:pPr>
      <w:rPr>
        <w:rFonts w:hint="default"/>
      </w:rPr>
    </w:lvl>
    <w:lvl w:ilvl="6" w:tplc="B1688CA4">
      <w:numFmt w:val="bullet"/>
      <w:lvlText w:val="•"/>
      <w:lvlJc w:val="left"/>
      <w:pPr>
        <w:ind w:left="3446" w:hanging="262"/>
      </w:pPr>
      <w:rPr>
        <w:rFonts w:hint="default"/>
      </w:rPr>
    </w:lvl>
    <w:lvl w:ilvl="7" w:tplc="FBF47A08">
      <w:numFmt w:val="bullet"/>
      <w:lvlText w:val="•"/>
      <w:lvlJc w:val="left"/>
      <w:pPr>
        <w:ind w:left="3954" w:hanging="262"/>
      </w:pPr>
      <w:rPr>
        <w:rFonts w:hint="default"/>
      </w:rPr>
    </w:lvl>
    <w:lvl w:ilvl="8" w:tplc="F24A810E">
      <w:numFmt w:val="bullet"/>
      <w:lvlText w:val="•"/>
      <w:lvlJc w:val="left"/>
      <w:pPr>
        <w:ind w:left="4462" w:hanging="262"/>
      </w:pPr>
      <w:rPr>
        <w:rFonts w:hint="default"/>
      </w:rPr>
    </w:lvl>
  </w:abstractNum>
  <w:abstractNum w:abstractNumId="30" w15:restartNumberingAfterBreak="0">
    <w:nsid w:val="753429AB"/>
    <w:multiLevelType w:val="hybridMultilevel"/>
    <w:tmpl w:val="90A20E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E391716"/>
    <w:multiLevelType w:val="hybridMultilevel"/>
    <w:tmpl w:val="DDBC3032"/>
    <w:lvl w:ilvl="0" w:tplc="F4C86310">
      <w:start w:val="1"/>
      <w:numFmt w:val="bullet"/>
      <w:pStyle w:val="ListBullet2"/>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16cid:durableId="131755638">
    <w:abstractNumId w:val="7"/>
  </w:num>
  <w:num w:numId="2" w16cid:durableId="421921888">
    <w:abstractNumId w:val="24"/>
  </w:num>
  <w:num w:numId="3" w16cid:durableId="1207136149">
    <w:abstractNumId w:val="28"/>
  </w:num>
  <w:num w:numId="4" w16cid:durableId="776220184">
    <w:abstractNumId w:val="9"/>
  </w:num>
  <w:num w:numId="5" w16cid:durableId="1226648434">
    <w:abstractNumId w:val="9"/>
    <w:lvlOverride w:ilvl="0">
      <w:startOverride w:val="1"/>
    </w:lvlOverride>
  </w:num>
  <w:num w:numId="6" w16cid:durableId="1986229975">
    <w:abstractNumId w:val="10"/>
  </w:num>
  <w:num w:numId="7" w16cid:durableId="2026982095">
    <w:abstractNumId w:val="23"/>
  </w:num>
  <w:num w:numId="8" w16cid:durableId="885482213">
    <w:abstractNumId w:val="26"/>
  </w:num>
  <w:num w:numId="9" w16cid:durableId="678122460">
    <w:abstractNumId w:val="5"/>
  </w:num>
  <w:num w:numId="10" w16cid:durableId="39861819">
    <w:abstractNumId w:val="4"/>
  </w:num>
  <w:num w:numId="11" w16cid:durableId="127012092">
    <w:abstractNumId w:val="3"/>
  </w:num>
  <w:num w:numId="12" w16cid:durableId="555242209">
    <w:abstractNumId w:val="2"/>
  </w:num>
  <w:num w:numId="13" w16cid:durableId="254098085">
    <w:abstractNumId w:val="6"/>
  </w:num>
  <w:num w:numId="14" w16cid:durableId="1432044511">
    <w:abstractNumId w:val="1"/>
  </w:num>
  <w:num w:numId="15" w16cid:durableId="1502089419">
    <w:abstractNumId w:val="0"/>
  </w:num>
  <w:num w:numId="16" w16cid:durableId="904148369">
    <w:abstractNumId w:val="31"/>
  </w:num>
  <w:num w:numId="17" w16cid:durableId="1525094399">
    <w:abstractNumId w:val="13"/>
  </w:num>
  <w:num w:numId="18" w16cid:durableId="1753114890">
    <w:abstractNumId w:val="16"/>
  </w:num>
  <w:num w:numId="19" w16cid:durableId="1129543732">
    <w:abstractNumId w:val="20"/>
  </w:num>
  <w:num w:numId="20" w16cid:durableId="1992588615">
    <w:abstractNumId w:val="27"/>
  </w:num>
  <w:num w:numId="21" w16cid:durableId="980038008">
    <w:abstractNumId w:val="17"/>
  </w:num>
  <w:num w:numId="22" w16cid:durableId="1983267381">
    <w:abstractNumId w:val="21"/>
  </w:num>
  <w:num w:numId="23" w16cid:durableId="918750838">
    <w:abstractNumId w:val="22"/>
  </w:num>
  <w:num w:numId="24" w16cid:durableId="1336179119">
    <w:abstractNumId w:val="18"/>
  </w:num>
  <w:num w:numId="25" w16cid:durableId="508493997">
    <w:abstractNumId w:val="25"/>
  </w:num>
  <w:num w:numId="26" w16cid:durableId="1313949255">
    <w:abstractNumId w:val="30"/>
  </w:num>
  <w:num w:numId="27" w16cid:durableId="843131859">
    <w:abstractNumId w:val="14"/>
  </w:num>
  <w:num w:numId="28" w16cid:durableId="2588038">
    <w:abstractNumId w:val="8"/>
  </w:num>
  <w:num w:numId="29" w16cid:durableId="1579707334">
    <w:abstractNumId w:val="11"/>
  </w:num>
  <w:num w:numId="30" w16cid:durableId="1450472571">
    <w:abstractNumId w:val="29"/>
  </w:num>
  <w:num w:numId="31" w16cid:durableId="824324863">
    <w:abstractNumId w:val="12"/>
  </w:num>
  <w:num w:numId="32" w16cid:durableId="55477744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97448212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BF28" w:allStyles="0" w:customStyles="0" w:latentStyles="0" w:stylesInUse="1" w:headingStyles="1" w:numberingStyles="0" w:tableStyles="0" w:directFormattingOnRuns="1" w:directFormattingOnParagraphs="1" w:directFormattingOnNumbering="1" w:directFormattingOnTables="1" w:clearFormatting="1" w:top3HeadingStyles="1" w:visibleStyles="0" w:alternateStyleNames="1"/>
  <w:stylePaneSortMethod w:val="0000"/>
  <w:documentProtection w:formatting="1" w:enforcement="0"/>
  <w:defaultTabStop w:val="720"/>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1C73"/>
    <w:rsid w:val="00003743"/>
    <w:rsid w:val="000047B4"/>
    <w:rsid w:val="00005712"/>
    <w:rsid w:val="00007FD8"/>
    <w:rsid w:val="000117F8"/>
    <w:rsid w:val="0001460F"/>
    <w:rsid w:val="00021132"/>
    <w:rsid w:val="00022629"/>
    <w:rsid w:val="00026139"/>
    <w:rsid w:val="00027601"/>
    <w:rsid w:val="00033321"/>
    <w:rsid w:val="000338E5"/>
    <w:rsid w:val="00033ECC"/>
    <w:rsid w:val="0003422F"/>
    <w:rsid w:val="00037B41"/>
    <w:rsid w:val="00041038"/>
    <w:rsid w:val="00046FF0"/>
    <w:rsid w:val="00050176"/>
    <w:rsid w:val="00050342"/>
    <w:rsid w:val="000505B9"/>
    <w:rsid w:val="00061F49"/>
    <w:rsid w:val="00067456"/>
    <w:rsid w:val="00071506"/>
    <w:rsid w:val="0007154F"/>
    <w:rsid w:val="00080C49"/>
    <w:rsid w:val="00081AB1"/>
    <w:rsid w:val="00090316"/>
    <w:rsid w:val="00093981"/>
    <w:rsid w:val="000B067A"/>
    <w:rsid w:val="000B1540"/>
    <w:rsid w:val="000B1E53"/>
    <w:rsid w:val="000B33FD"/>
    <w:rsid w:val="000B4ABA"/>
    <w:rsid w:val="000C4B16"/>
    <w:rsid w:val="000C50C3"/>
    <w:rsid w:val="000C5E14"/>
    <w:rsid w:val="000D21F6"/>
    <w:rsid w:val="000D4500"/>
    <w:rsid w:val="000D7AEA"/>
    <w:rsid w:val="000E2C66"/>
    <w:rsid w:val="000F123C"/>
    <w:rsid w:val="000F2FED"/>
    <w:rsid w:val="00105A16"/>
    <w:rsid w:val="0010616D"/>
    <w:rsid w:val="00110478"/>
    <w:rsid w:val="0011711B"/>
    <w:rsid w:val="00117F8A"/>
    <w:rsid w:val="00121B9B"/>
    <w:rsid w:val="00122ADC"/>
    <w:rsid w:val="00130F59"/>
    <w:rsid w:val="00133EC0"/>
    <w:rsid w:val="00141CE5"/>
    <w:rsid w:val="00144908"/>
    <w:rsid w:val="00153A16"/>
    <w:rsid w:val="001571C7"/>
    <w:rsid w:val="00161094"/>
    <w:rsid w:val="00161566"/>
    <w:rsid w:val="0016626B"/>
    <w:rsid w:val="00166574"/>
    <w:rsid w:val="0017665C"/>
    <w:rsid w:val="00177AD2"/>
    <w:rsid w:val="001815A8"/>
    <w:rsid w:val="00184087"/>
    <w:rsid w:val="001840FA"/>
    <w:rsid w:val="00190079"/>
    <w:rsid w:val="0019622E"/>
    <w:rsid w:val="001966A7"/>
    <w:rsid w:val="001A4627"/>
    <w:rsid w:val="001A4979"/>
    <w:rsid w:val="001A5665"/>
    <w:rsid w:val="001B15D3"/>
    <w:rsid w:val="001B3443"/>
    <w:rsid w:val="001C0326"/>
    <w:rsid w:val="001C192F"/>
    <w:rsid w:val="001C3C42"/>
    <w:rsid w:val="001D7869"/>
    <w:rsid w:val="001E2E7C"/>
    <w:rsid w:val="002026CD"/>
    <w:rsid w:val="002033FC"/>
    <w:rsid w:val="002044BB"/>
    <w:rsid w:val="00205541"/>
    <w:rsid w:val="00210B09"/>
    <w:rsid w:val="00210C9E"/>
    <w:rsid w:val="00211840"/>
    <w:rsid w:val="00214D17"/>
    <w:rsid w:val="00216658"/>
    <w:rsid w:val="00220812"/>
    <w:rsid w:val="00220E5F"/>
    <w:rsid w:val="002212B5"/>
    <w:rsid w:val="00226668"/>
    <w:rsid w:val="00233809"/>
    <w:rsid w:val="00236255"/>
    <w:rsid w:val="00240046"/>
    <w:rsid w:val="0024511E"/>
    <w:rsid w:val="0024797F"/>
    <w:rsid w:val="0025119E"/>
    <w:rsid w:val="00251269"/>
    <w:rsid w:val="002535C0"/>
    <w:rsid w:val="002579FE"/>
    <w:rsid w:val="002616D4"/>
    <w:rsid w:val="00262154"/>
    <w:rsid w:val="0026311C"/>
    <w:rsid w:val="00265BE1"/>
    <w:rsid w:val="0026668C"/>
    <w:rsid w:val="00266AC1"/>
    <w:rsid w:val="002701E3"/>
    <w:rsid w:val="0027178C"/>
    <w:rsid w:val="002719FA"/>
    <w:rsid w:val="00272668"/>
    <w:rsid w:val="0027330B"/>
    <w:rsid w:val="002803AD"/>
    <w:rsid w:val="00282052"/>
    <w:rsid w:val="0028519E"/>
    <w:rsid w:val="002856A5"/>
    <w:rsid w:val="002872ED"/>
    <w:rsid w:val="002905C2"/>
    <w:rsid w:val="00295AF2"/>
    <w:rsid w:val="00295C91"/>
    <w:rsid w:val="00297151"/>
    <w:rsid w:val="002B20E6"/>
    <w:rsid w:val="002B42A3"/>
    <w:rsid w:val="002C0734"/>
    <w:rsid w:val="002C0CDD"/>
    <w:rsid w:val="002C38C4"/>
    <w:rsid w:val="002E1A1D"/>
    <w:rsid w:val="002E3FAD"/>
    <w:rsid w:val="002E4081"/>
    <w:rsid w:val="002E5B78"/>
    <w:rsid w:val="002F3AE3"/>
    <w:rsid w:val="002F4813"/>
    <w:rsid w:val="00300986"/>
    <w:rsid w:val="0030464B"/>
    <w:rsid w:val="0030786C"/>
    <w:rsid w:val="003170FC"/>
    <w:rsid w:val="0032269D"/>
    <w:rsid w:val="003233DE"/>
    <w:rsid w:val="0032466B"/>
    <w:rsid w:val="003330EB"/>
    <w:rsid w:val="003415FD"/>
    <w:rsid w:val="003429F0"/>
    <w:rsid w:val="00345882"/>
    <w:rsid w:val="00345A82"/>
    <w:rsid w:val="0035097A"/>
    <w:rsid w:val="003540A4"/>
    <w:rsid w:val="00356E48"/>
    <w:rsid w:val="00357BCC"/>
    <w:rsid w:val="00360E4E"/>
    <w:rsid w:val="00370AAA"/>
    <w:rsid w:val="00375F77"/>
    <w:rsid w:val="00377ED6"/>
    <w:rsid w:val="00381BBE"/>
    <w:rsid w:val="00382903"/>
    <w:rsid w:val="0038415D"/>
    <w:rsid w:val="003846FF"/>
    <w:rsid w:val="00384E56"/>
    <w:rsid w:val="003857D4"/>
    <w:rsid w:val="00385AD4"/>
    <w:rsid w:val="00387924"/>
    <w:rsid w:val="0039384D"/>
    <w:rsid w:val="00395C23"/>
    <w:rsid w:val="003A1F88"/>
    <w:rsid w:val="003A2E4F"/>
    <w:rsid w:val="003A4438"/>
    <w:rsid w:val="003A5013"/>
    <w:rsid w:val="003A5078"/>
    <w:rsid w:val="003A62DD"/>
    <w:rsid w:val="003A775A"/>
    <w:rsid w:val="003B05B3"/>
    <w:rsid w:val="003B213A"/>
    <w:rsid w:val="003B43AD"/>
    <w:rsid w:val="003C0FEC"/>
    <w:rsid w:val="003C2AC8"/>
    <w:rsid w:val="003D033A"/>
    <w:rsid w:val="003D17F9"/>
    <w:rsid w:val="003D2D88"/>
    <w:rsid w:val="003D41EA"/>
    <w:rsid w:val="003D4850"/>
    <w:rsid w:val="003D535A"/>
    <w:rsid w:val="003E5265"/>
    <w:rsid w:val="003F0955"/>
    <w:rsid w:val="003F5F4D"/>
    <w:rsid w:val="003F646F"/>
    <w:rsid w:val="00400F00"/>
    <w:rsid w:val="004040E9"/>
    <w:rsid w:val="00404F8B"/>
    <w:rsid w:val="00405256"/>
    <w:rsid w:val="00410031"/>
    <w:rsid w:val="00415C81"/>
    <w:rsid w:val="004263C6"/>
    <w:rsid w:val="00427188"/>
    <w:rsid w:val="00432378"/>
    <w:rsid w:val="00440D65"/>
    <w:rsid w:val="004435E6"/>
    <w:rsid w:val="00447E31"/>
    <w:rsid w:val="00453923"/>
    <w:rsid w:val="00454B9B"/>
    <w:rsid w:val="004556F1"/>
    <w:rsid w:val="00457858"/>
    <w:rsid w:val="00460B0B"/>
    <w:rsid w:val="00461023"/>
    <w:rsid w:val="00462FAC"/>
    <w:rsid w:val="00464631"/>
    <w:rsid w:val="00464B79"/>
    <w:rsid w:val="00467BBF"/>
    <w:rsid w:val="004817B7"/>
    <w:rsid w:val="0048593C"/>
    <w:rsid w:val="004867E2"/>
    <w:rsid w:val="004878AA"/>
    <w:rsid w:val="004929A9"/>
    <w:rsid w:val="004A78D9"/>
    <w:rsid w:val="004C5173"/>
    <w:rsid w:val="004C6BCF"/>
    <w:rsid w:val="004D4709"/>
    <w:rsid w:val="004D58BF"/>
    <w:rsid w:val="004E4335"/>
    <w:rsid w:val="004F016B"/>
    <w:rsid w:val="004F13EE"/>
    <w:rsid w:val="004F187B"/>
    <w:rsid w:val="004F2022"/>
    <w:rsid w:val="004F7C05"/>
    <w:rsid w:val="00501C94"/>
    <w:rsid w:val="00502056"/>
    <w:rsid w:val="005021E9"/>
    <w:rsid w:val="00505DD0"/>
    <w:rsid w:val="00506432"/>
    <w:rsid w:val="0052051D"/>
    <w:rsid w:val="00545EE6"/>
    <w:rsid w:val="005550E7"/>
    <w:rsid w:val="005564FB"/>
    <w:rsid w:val="00557283"/>
    <w:rsid w:val="005572C7"/>
    <w:rsid w:val="00557F06"/>
    <w:rsid w:val="005650ED"/>
    <w:rsid w:val="00575754"/>
    <w:rsid w:val="00581FBA"/>
    <w:rsid w:val="00582A83"/>
    <w:rsid w:val="00582B07"/>
    <w:rsid w:val="00591E20"/>
    <w:rsid w:val="00595408"/>
    <w:rsid w:val="00595E84"/>
    <w:rsid w:val="005A0C59"/>
    <w:rsid w:val="005A2370"/>
    <w:rsid w:val="005A48EB"/>
    <w:rsid w:val="005A6CFB"/>
    <w:rsid w:val="005C339B"/>
    <w:rsid w:val="005C5AEB"/>
    <w:rsid w:val="005D75EA"/>
    <w:rsid w:val="005E0A3F"/>
    <w:rsid w:val="005E5643"/>
    <w:rsid w:val="005E6883"/>
    <w:rsid w:val="005E772F"/>
    <w:rsid w:val="005F4ECA"/>
    <w:rsid w:val="005F7DEE"/>
    <w:rsid w:val="006041BE"/>
    <w:rsid w:val="006043C7"/>
    <w:rsid w:val="00607F4D"/>
    <w:rsid w:val="00624B52"/>
    <w:rsid w:val="00625D7D"/>
    <w:rsid w:val="00630794"/>
    <w:rsid w:val="00631DF4"/>
    <w:rsid w:val="00634175"/>
    <w:rsid w:val="006408AC"/>
    <w:rsid w:val="006511B6"/>
    <w:rsid w:val="00657FF8"/>
    <w:rsid w:val="00670D99"/>
    <w:rsid w:val="00670E2B"/>
    <w:rsid w:val="006734BB"/>
    <w:rsid w:val="00674A53"/>
    <w:rsid w:val="0067697A"/>
    <w:rsid w:val="006821EB"/>
    <w:rsid w:val="00683366"/>
    <w:rsid w:val="00687DDB"/>
    <w:rsid w:val="00691C73"/>
    <w:rsid w:val="006B2286"/>
    <w:rsid w:val="006B3CBE"/>
    <w:rsid w:val="006B56BB"/>
    <w:rsid w:val="006C5BF6"/>
    <w:rsid w:val="006C77A8"/>
    <w:rsid w:val="006D4098"/>
    <w:rsid w:val="006D7681"/>
    <w:rsid w:val="006D7B2E"/>
    <w:rsid w:val="006E02EA"/>
    <w:rsid w:val="006E0968"/>
    <w:rsid w:val="006E2AF6"/>
    <w:rsid w:val="00701275"/>
    <w:rsid w:val="00707F56"/>
    <w:rsid w:val="0071138D"/>
    <w:rsid w:val="00712CDA"/>
    <w:rsid w:val="00713558"/>
    <w:rsid w:val="0071390A"/>
    <w:rsid w:val="00720D08"/>
    <w:rsid w:val="007263B9"/>
    <w:rsid w:val="007334F8"/>
    <w:rsid w:val="007339CD"/>
    <w:rsid w:val="007359D8"/>
    <w:rsid w:val="007362D4"/>
    <w:rsid w:val="00752298"/>
    <w:rsid w:val="007626CA"/>
    <w:rsid w:val="0076672A"/>
    <w:rsid w:val="00774AFC"/>
    <w:rsid w:val="00775E45"/>
    <w:rsid w:val="00776E74"/>
    <w:rsid w:val="00785169"/>
    <w:rsid w:val="007954AB"/>
    <w:rsid w:val="007A14C5"/>
    <w:rsid w:val="007A4A10"/>
    <w:rsid w:val="007B1760"/>
    <w:rsid w:val="007C1C52"/>
    <w:rsid w:val="007C1FDC"/>
    <w:rsid w:val="007C6D9C"/>
    <w:rsid w:val="007C7DDB"/>
    <w:rsid w:val="007D2CC7"/>
    <w:rsid w:val="007D673D"/>
    <w:rsid w:val="007E4D09"/>
    <w:rsid w:val="007F2220"/>
    <w:rsid w:val="007F4B3E"/>
    <w:rsid w:val="008127AF"/>
    <w:rsid w:val="00812B46"/>
    <w:rsid w:val="00813D8E"/>
    <w:rsid w:val="00815700"/>
    <w:rsid w:val="00815FAC"/>
    <w:rsid w:val="008264EB"/>
    <w:rsid w:val="00826B8F"/>
    <w:rsid w:val="00831E8A"/>
    <w:rsid w:val="0083250D"/>
    <w:rsid w:val="008347E5"/>
    <w:rsid w:val="00835C76"/>
    <w:rsid w:val="008376E2"/>
    <w:rsid w:val="00840564"/>
    <w:rsid w:val="00843049"/>
    <w:rsid w:val="0085209B"/>
    <w:rsid w:val="00856B66"/>
    <w:rsid w:val="008601AC"/>
    <w:rsid w:val="00861A5F"/>
    <w:rsid w:val="0086254B"/>
    <w:rsid w:val="008644AD"/>
    <w:rsid w:val="00865735"/>
    <w:rsid w:val="00865DDB"/>
    <w:rsid w:val="00867538"/>
    <w:rsid w:val="00872707"/>
    <w:rsid w:val="00873D90"/>
    <w:rsid w:val="00873FC8"/>
    <w:rsid w:val="00875142"/>
    <w:rsid w:val="00875314"/>
    <w:rsid w:val="00884C63"/>
    <w:rsid w:val="00885908"/>
    <w:rsid w:val="008864B7"/>
    <w:rsid w:val="0089677E"/>
    <w:rsid w:val="008972DE"/>
    <w:rsid w:val="008A7438"/>
    <w:rsid w:val="008B1334"/>
    <w:rsid w:val="008B25C7"/>
    <w:rsid w:val="008C0278"/>
    <w:rsid w:val="008C24E9"/>
    <w:rsid w:val="008C7E91"/>
    <w:rsid w:val="008D0533"/>
    <w:rsid w:val="008D414A"/>
    <w:rsid w:val="008D42CB"/>
    <w:rsid w:val="008D48C9"/>
    <w:rsid w:val="008D6381"/>
    <w:rsid w:val="008D6B57"/>
    <w:rsid w:val="008E0C77"/>
    <w:rsid w:val="008E625F"/>
    <w:rsid w:val="008F264D"/>
    <w:rsid w:val="009040E9"/>
    <w:rsid w:val="00905C36"/>
    <w:rsid w:val="009074E1"/>
    <w:rsid w:val="009112F7"/>
    <w:rsid w:val="009122AF"/>
    <w:rsid w:val="009122B9"/>
    <w:rsid w:val="00912D54"/>
    <w:rsid w:val="0091389F"/>
    <w:rsid w:val="009208F7"/>
    <w:rsid w:val="00921649"/>
    <w:rsid w:val="00922517"/>
    <w:rsid w:val="00922722"/>
    <w:rsid w:val="00925133"/>
    <w:rsid w:val="009261E6"/>
    <w:rsid w:val="009268E1"/>
    <w:rsid w:val="009344DE"/>
    <w:rsid w:val="00945E7F"/>
    <w:rsid w:val="009536E7"/>
    <w:rsid w:val="009557C1"/>
    <w:rsid w:val="00960D6E"/>
    <w:rsid w:val="00974B59"/>
    <w:rsid w:val="00982A88"/>
    <w:rsid w:val="0098340B"/>
    <w:rsid w:val="00986830"/>
    <w:rsid w:val="009924C3"/>
    <w:rsid w:val="00993102"/>
    <w:rsid w:val="00994536"/>
    <w:rsid w:val="009A28A4"/>
    <w:rsid w:val="009B1570"/>
    <w:rsid w:val="009C6F10"/>
    <w:rsid w:val="009D148F"/>
    <w:rsid w:val="009D2560"/>
    <w:rsid w:val="009D3D70"/>
    <w:rsid w:val="009E6F7E"/>
    <w:rsid w:val="009E7A57"/>
    <w:rsid w:val="009F4803"/>
    <w:rsid w:val="009F4F6A"/>
    <w:rsid w:val="00A05042"/>
    <w:rsid w:val="00A13EB5"/>
    <w:rsid w:val="00A14190"/>
    <w:rsid w:val="00A16E36"/>
    <w:rsid w:val="00A24961"/>
    <w:rsid w:val="00A24B10"/>
    <w:rsid w:val="00A277EF"/>
    <w:rsid w:val="00A30E9B"/>
    <w:rsid w:val="00A31F8C"/>
    <w:rsid w:val="00A4512D"/>
    <w:rsid w:val="00A50244"/>
    <w:rsid w:val="00A60C48"/>
    <w:rsid w:val="00A627D7"/>
    <w:rsid w:val="00A633A3"/>
    <w:rsid w:val="00A656C7"/>
    <w:rsid w:val="00A705AF"/>
    <w:rsid w:val="00A71F59"/>
    <w:rsid w:val="00A72454"/>
    <w:rsid w:val="00A76E67"/>
    <w:rsid w:val="00A77696"/>
    <w:rsid w:val="00A80557"/>
    <w:rsid w:val="00A81D33"/>
    <w:rsid w:val="00A8341C"/>
    <w:rsid w:val="00A837A9"/>
    <w:rsid w:val="00A930AE"/>
    <w:rsid w:val="00A9567F"/>
    <w:rsid w:val="00A963BC"/>
    <w:rsid w:val="00AA1A95"/>
    <w:rsid w:val="00AA1DA3"/>
    <w:rsid w:val="00AA260F"/>
    <w:rsid w:val="00AB1EE7"/>
    <w:rsid w:val="00AB4B37"/>
    <w:rsid w:val="00AB5762"/>
    <w:rsid w:val="00AC2679"/>
    <w:rsid w:val="00AC4BE4"/>
    <w:rsid w:val="00AD05E6"/>
    <w:rsid w:val="00AD0D3F"/>
    <w:rsid w:val="00AE1D7D"/>
    <w:rsid w:val="00AE2A8B"/>
    <w:rsid w:val="00AE3F64"/>
    <w:rsid w:val="00AF1EC9"/>
    <w:rsid w:val="00AF7386"/>
    <w:rsid w:val="00AF7934"/>
    <w:rsid w:val="00B00A9F"/>
    <w:rsid w:val="00B00B81"/>
    <w:rsid w:val="00B039C0"/>
    <w:rsid w:val="00B04580"/>
    <w:rsid w:val="00B04B09"/>
    <w:rsid w:val="00B16A51"/>
    <w:rsid w:val="00B32222"/>
    <w:rsid w:val="00B3618D"/>
    <w:rsid w:val="00B36233"/>
    <w:rsid w:val="00B42851"/>
    <w:rsid w:val="00B45AC7"/>
    <w:rsid w:val="00B5372F"/>
    <w:rsid w:val="00B61129"/>
    <w:rsid w:val="00B67C05"/>
    <w:rsid w:val="00B67E7F"/>
    <w:rsid w:val="00B815F6"/>
    <w:rsid w:val="00B82FF6"/>
    <w:rsid w:val="00B839B2"/>
    <w:rsid w:val="00B94252"/>
    <w:rsid w:val="00B94CB5"/>
    <w:rsid w:val="00B9715A"/>
    <w:rsid w:val="00B97C3B"/>
    <w:rsid w:val="00BA14BE"/>
    <w:rsid w:val="00BA2732"/>
    <w:rsid w:val="00BA293D"/>
    <w:rsid w:val="00BA392A"/>
    <w:rsid w:val="00BA49BC"/>
    <w:rsid w:val="00BA56B7"/>
    <w:rsid w:val="00BA7A1E"/>
    <w:rsid w:val="00BB2131"/>
    <w:rsid w:val="00BB2F6C"/>
    <w:rsid w:val="00BB3875"/>
    <w:rsid w:val="00BB3E79"/>
    <w:rsid w:val="00BB520C"/>
    <w:rsid w:val="00BB5860"/>
    <w:rsid w:val="00BB6AAD"/>
    <w:rsid w:val="00BB79D6"/>
    <w:rsid w:val="00BC4A19"/>
    <w:rsid w:val="00BC4E6D"/>
    <w:rsid w:val="00BC7C49"/>
    <w:rsid w:val="00BD0617"/>
    <w:rsid w:val="00BD2E9B"/>
    <w:rsid w:val="00BD7FB2"/>
    <w:rsid w:val="00BE7015"/>
    <w:rsid w:val="00C00930"/>
    <w:rsid w:val="00C060AD"/>
    <w:rsid w:val="00C113BF"/>
    <w:rsid w:val="00C2176E"/>
    <w:rsid w:val="00C23430"/>
    <w:rsid w:val="00C27D67"/>
    <w:rsid w:val="00C4631F"/>
    <w:rsid w:val="00C47CDE"/>
    <w:rsid w:val="00C50E16"/>
    <w:rsid w:val="00C55258"/>
    <w:rsid w:val="00C67C2C"/>
    <w:rsid w:val="00C82EEB"/>
    <w:rsid w:val="00C971DC"/>
    <w:rsid w:val="00CA108A"/>
    <w:rsid w:val="00CA16B7"/>
    <w:rsid w:val="00CA62AE"/>
    <w:rsid w:val="00CB2AA7"/>
    <w:rsid w:val="00CB5B1A"/>
    <w:rsid w:val="00CC220B"/>
    <w:rsid w:val="00CC5C43"/>
    <w:rsid w:val="00CD02AE"/>
    <w:rsid w:val="00CD2A4F"/>
    <w:rsid w:val="00CE03CA"/>
    <w:rsid w:val="00CE22F1"/>
    <w:rsid w:val="00CE42B6"/>
    <w:rsid w:val="00CE50F2"/>
    <w:rsid w:val="00CE60AF"/>
    <w:rsid w:val="00CE6502"/>
    <w:rsid w:val="00CF311A"/>
    <w:rsid w:val="00CF7D3C"/>
    <w:rsid w:val="00CF7F1E"/>
    <w:rsid w:val="00D01F09"/>
    <w:rsid w:val="00D147EB"/>
    <w:rsid w:val="00D16465"/>
    <w:rsid w:val="00D34667"/>
    <w:rsid w:val="00D401E1"/>
    <w:rsid w:val="00D408B4"/>
    <w:rsid w:val="00D524C8"/>
    <w:rsid w:val="00D57825"/>
    <w:rsid w:val="00D70E24"/>
    <w:rsid w:val="00D72B61"/>
    <w:rsid w:val="00D857A9"/>
    <w:rsid w:val="00DA3D1D"/>
    <w:rsid w:val="00DA6164"/>
    <w:rsid w:val="00DB6286"/>
    <w:rsid w:val="00DB645F"/>
    <w:rsid w:val="00DB76E9"/>
    <w:rsid w:val="00DC0A67"/>
    <w:rsid w:val="00DC1D5E"/>
    <w:rsid w:val="00DC5220"/>
    <w:rsid w:val="00DD2061"/>
    <w:rsid w:val="00DD7DAB"/>
    <w:rsid w:val="00DE3355"/>
    <w:rsid w:val="00DF0C60"/>
    <w:rsid w:val="00DF486F"/>
    <w:rsid w:val="00DF5B5B"/>
    <w:rsid w:val="00DF7619"/>
    <w:rsid w:val="00DF7652"/>
    <w:rsid w:val="00E042D8"/>
    <w:rsid w:val="00E07EE7"/>
    <w:rsid w:val="00E1103B"/>
    <w:rsid w:val="00E17B44"/>
    <w:rsid w:val="00E201E3"/>
    <w:rsid w:val="00E20F27"/>
    <w:rsid w:val="00E22443"/>
    <w:rsid w:val="00E243C4"/>
    <w:rsid w:val="00E27FEA"/>
    <w:rsid w:val="00E30707"/>
    <w:rsid w:val="00E36E9E"/>
    <w:rsid w:val="00E4086F"/>
    <w:rsid w:val="00E41E64"/>
    <w:rsid w:val="00E43B3C"/>
    <w:rsid w:val="00E46824"/>
    <w:rsid w:val="00E50188"/>
    <w:rsid w:val="00E50BB3"/>
    <w:rsid w:val="00E515CB"/>
    <w:rsid w:val="00E52260"/>
    <w:rsid w:val="00E639B6"/>
    <w:rsid w:val="00E6434B"/>
    <w:rsid w:val="00E6463D"/>
    <w:rsid w:val="00E72E9B"/>
    <w:rsid w:val="00E850C3"/>
    <w:rsid w:val="00E86346"/>
    <w:rsid w:val="00E87DF2"/>
    <w:rsid w:val="00E9462E"/>
    <w:rsid w:val="00EA470E"/>
    <w:rsid w:val="00EA47A7"/>
    <w:rsid w:val="00EA57EB"/>
    <w:rsid w:val="00EA6513"/>
    <w:rsid w:val="00EB3226"/>
    <w:rsid w:val="00EC213A"/>
    <w:rsid w:val="00EC32A7"/>
    <w:rsid w:val="00EC3BE0"/>
    <w:rsid w:val="00EC6AA5"/>
    <w:rsid w:val="00EC7744"/>
    <w:rsid w:val="00ED02F9"/>
    <w:rsid w:val="00ED0DAD"/>
    <w:rsid w:val="00ED0F46"/>
    <w:rsid w:val="00ED2373"/>
    <w:rsid w:val="00ED6D36"/>
    <w:rsid w:val="00EE3E8A"/>
    <w:rsid w:val="00EF58B8"/>
    <w:rsid w:val="00EF6ECA"/>
    <w:rsid w:val="00F024E1"/>
    <w:rsid w:val="00F024E8"/>
    <w:rsid w:val="00F06C10"/>
    <w:rsid w:val="00F1096F"/>
    <w:rsid w:val="00F11A1D"/>
    <w:rsid w:val="00F12589"/>
    <w:rsid w:val="00F12595"/>
    <w:rsid w:val="00F1328F"/>
    <w:rsid w:val="00F134D9"/>
    <w:rsid w:val="00F1403D"/>
    <w:rsid w:val="00F1463F"/>
    <w:rsid w:val="00F21302"/>
    <w:rsid w:val="00F321DE"/>
    <w:rsid w:val="00F33777"/>
    <w:rsid w:val="00F40648"/>
    <w:rsid w:val="00F47DA2"/>
    <w:rsid w:val="00F519FC"/>
    <w:rsid w:val="00F6239D"/>
    <w:rsid w:val="00F715D2"/>
    <w:rsid w:val="00F725EB"/>
    <w:rsid w:val="00F7274F"/>
    <w:rsid w:val="00F74E84"/>
    <w:rsid w:val="00F76FA8"/>
    <w:rsid w:val="00F93F08"/>
    <w:rsid w:val="00F94CED"/>
    <w:rsid w:val="00FA02BB"/>
    <w:rsid w:val="00FA2CEE"/>
    <w:rsid w:val="00FA318C"/>
    <w:rsid w:val="00FB4605"/>
    <w:rsid w:val="00FB6F92"/>
    <w:rsid w:val="00FB737B"/>
    <w:rsid w:val="00FC026E"/>
    <w:rsid w:val="00FC3ABD"/>
    <w:rsid w:val="00FC5124"/>
    <w:rsid w:val="00FD4731"/>
    <w:rsid w:val="00FD6768"/>
    <w:rsid w:val="00FF0AB0"/>
    <w:rsid w:val="00FF28AC"/>
    <w:rsid w:val="00FF37E2"/>
    <w:rsid w:val="00FF7F62"/>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E976C81"/>
  <w15:docId w15:val="{5D6A3808-04D2-4EA8-A858-6F28C3523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semiHidden="1" w:uiPriority="99"/>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qFormat="1"/>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A60C48"/>
    <w:pPr>
      <w:spacing w:before="120" w:after="120" w:line="276" w:lineRule="auto"/>
    </w:pPr>
    <w:rPr>
      <w:rFonts w:ascii="Arial" w:hAnsi="Arial"/>
      <w:sz w:val="22"/>
      <w:szCs w:val="24"/>
      <w:lang w:eastAsia="en-US"/>
    </w:rPr>
  </w:style>
  <w:style w:type="paragraph" w:styleId="Heading1">
    <w:name w:val="heading 1"/>
    <w:next w:val="Normal"/>
    <w:qFormat/>
    <w:rsid w:val="002F4813"/>
    <w:pPr>
      <w:keepNext/>
      <w:spacing w:before="120" w:after="120"/>
      <w:outlineLvl w:val="0"/>
    </w:pPr>
    <w:rPr>
      <w:rFonts w:ascii="Arial" w:hAnsi="Arial" w:cs="Arial"/>
      <w:bCs/>
      <w:color w:val="3F4A75"/>
      <w:kern w:val="28"/>
      <w:sz w:val="36"/>
      <w:szCs w:val="36"/>
      <w:lang w:eastAsia="en-US"/>
    </w:rPr>
  </w:style>
  <w:style w:type="paragraph" w:styleId="Heading2">
    <w:name w:val="heading 2"/>
    <w:basedOn w:val="Heading1"/>
    <w:next w:val="Paragraphtext"/>
    <w:qFormat/>
    <w:rsid w:val="002F4813"/>
    <w:pPr>
      <w:outlineLvl w:val="1"/>
    </w:pPr>
    <w:rPr>
      <w:bCs w:val="0"/>
      <w:iCs/>
      <w:color w:val="358189"/>
      <w:sz w:val="32"/>
      <w:szCs w:val="28"/>
    </w:rPr>
  </w:style>
  <w:style w:type="paragraph" w:styleId="Heading3">
    <w:name w:val="heading 3"/>
    <w:next w:val="Normal"/>
    <w:qFormat/>
    <w:rsid w:val="00DF7652"/>
    <w:pPr>
      <w:keepNext/>
      <w:spacing w:before="180" w:after="60"/>
      <w:outlineLvl w:val="2"/>
    </w:pPr>
    <w:rPr>
      <w:rFonts w:ascii="Arial" w:hAnsi="Arial" w:cs="Arial"/>
      <w:bCs/>
      <w:color w:val="358189"/>
      <w:sz w:val="24"/>
      <w:szCs w:val="26"/>
      <w:lang w:eastAsia="en-US"/>
    </w:rPr>
  </w:style>
  <w:style w:type="paragraph" w:styleId="Heading4">
    <w:name w:val="heading 4"/>
    <w:basedOn w:val="Normal"/>
    <w:next w:val="Normal"/>
    <w:qFormat/>
    <w:rsid w:val="002C38C4"/>
    <w:pPr>
      <w:keepNext/>
      <w:spacing w:before="240" w:after="60"/>
      <w:outlineLvl w:val="3"/>
    </w:pPr>
    <w:rPr>
      <w:b/>
      <w:bCs/>
      <w:i/>
      <w:color w:val="414141"/>
      <w:sz w:val="24"/>
      <w:szCs w:val="28"/>
    </w:rPr>
  </w:style>
  <w:style w:type="paragraph" w:styleId="Heading5">
    <w:name w:val="heading 5"/>
    <w:basedOn w:val="Normal"/>
    <w:next w:val="Normal"/>
    <w:rsid w:val="00A705AF"/>
    <w:pPr>
      <w:keepNext/>
      <w:spacing w:before="240" w:after="60"/>
      <w:outlineLvl w:val="4"/>
    </w:pPr>
    <w:rPr>
      <w:b/>
      <w:bCs/>
      <w:iCs/>
      <w:szCs w:val="26"/>
    </w:rPr>
  </w:style>
  <w:style w:type="paragraph" w:styleId="Heading6">
    <w:name w:val="heading 6"/>
    <w:basedOn w:val="Normal"/>
    <w:next w:val="Normal"/>
    <w:rsid w:val="00A705AF"/>
    <w:pPr>
      <w:keepNext/>
      <w:spacing w:before="240" w:after="60"/>
      <w:outlineLvl w:val="5"/>
    </w:pPr>
    <w:rPr>
      <w:b/>
      <w:bCs/>
      <w:i/>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text">
    <w:name w:val="Paragraph text"/>
    <w:basedOn w:val="Normal"/>
    <w:qFormat/>
    <w:rsid w:val="001571C7"/>
    <w:pPr>
      <w:spacing w:after="60"/>
    </w:pPr>
    <w:rPr>
      <w:color w:val="000000" w:themeColor="text1"/>
      <w:sz w:val="21"/>
    </w:rPr>
  </w:style>
  <w:style w:type="character" w:styleId="Emphasis">
    <w:name w:val="Emphasis"/>
    <w:basedOn w:val="DefaultParagraphFont"/>
    <w:rsid w:val="00A705AF"/>
    <w:rPr>
      <w:i/>
      <w:iCs/>
    </w:rPr>
  </w:style>
  <w:style w:type="character" w:styleId="Strong">
    <w:name w:val="Strong"/>
    <w:basedOn w:val="DefaultParagraphFont"/>
    <w:rsid w:val="00A705AF"/>
    <w:rPr>
      <w:b/>
      <w:bCs/>
    </w:rPr>
  </w:style>
  <w:style w:type="paragraph" w:styleId="Subtitle">
    <w:name w:val="Subtitle"/>
    <w:next w:val="Normal"/>
    <w:link w:val="SubtitleChar"/>
    <w:qFormat/>
    <w:rsid w:val="005564FB"/>
    <w:pPr>
      <w:numPr>
        <w:ilvl w:val="1"/>
      </w:numPr>
      <w:spacing w:before="120" w:after="60"/>
    </w:pPr>
    <w:rPr>
      <w:rFonts w:ascii="Arial" w:eastAsiaTheme="majorEastAsia" w:hAnsi="Arial" w:cstheme="majorBidi"/>
      <w:iCs/>
      <w:color w:val="3F4A75"/>
      <w:spacing w:val="15"/>
      <w:sz w:val="40"/>
      <w:szCs w:val="24"/>
      <w:lang w:eastAsia="en-US"/>
    </w:rPr>
  </w:style>
  <w:style w:type="character" w:customStyle="1" w:styleId="SubtitleChar">
    <w:name w:val="Subtitle Char"/>
    <w:basedOn w:val="DefaultParagraphFont"/>
    <w:link w:val="Subtitle"/>
    <w:rsid w:val="005564FB"/>
    <w:rPr>
      <w:rFonts w:ascii="Arial" w:eastAsiaTheme="majorEastAsia" w:hAnsi="Arial" w:cstheme="majorBidi"/>
      <w:iCs/>
      <w:color w:val="3F4A75"/>
      <w:spacing w:val="15"/>
      <w:sz w:val="40"/>
      <w:szCs w:val="24"/>
      <w:lang w:eastAsia="en-US"/>
    </w:rPr>
  </w:style>
  <w:style w:type="paragraph" w:styleId="Title">
    <w:name w:val="Title"/>
    <w:basedOn w:val="Normal"/>
    <w:next w:val="Paragraphtext"/>
    <w:link w:val="TitleChar"/>
    <w:qFormat/>
    <w:rsid w:val="002F4813"/>
    <w:rPr>
      <w:rFonts w:eastAsiaTheme="majorEastAsia" w:cstheme="majorBidi"/>
      <w:color w:val="3F4A75"/>
      <w:kern w:val="28"/>
      <w:sz w:val="48"/>
      <w:szCs w:val="52"/>
    </w:rPr>
  </w:style>
  <w:style w:type="character" w:customStyle="1" w:styleId="TitleChar">
    <w:name w:val="Title Char"/>
    <w:basedOn w:val="DefaultParagraphFont"/>
    <w:link w:val="Title"/>
    <w:rsid w:val="002F4813"/>
    <w:rPr>
      <w:rFonts w:ascii="Arial" w:eastAsiaTheme="majorEastAsia" w:hAnsi="Arial" w:cstheme="majorBidi"/>
      <w:color w:val="3F4A75"/>
      <w:kern w:val="28"/>
      <w:sz w:val="48"/>
      <w:szCs w:val="52"/>
      <w:lang w:eastAsia="en-US"/>
    </w:rPr>
  </w:style>
  <w:style w:type="paragraph" w:customStyle="1" w:styleId="Boxheading">
    <w:name w:val="Box heading"/>
    <w:basedOn w:val="Boxtype"/>
    <w:rsid w:val="003F5F4D"/>
    <w:pPr>
      <w:spacing w:before="240"/>
    </w:pPr>
    <w:rPr>
      <w:rFonts w:cs="Times New Roman"/>
      <w:b/>
      <w:bCs/>
      <w:caps/>
      <w:color w:val="358189"/>
      <w:szCs w:val="20"/>
    </w:rPr>
  </w:style>
  <w:style w:type="character" w:styleId="SubtleEmphasis">
    <w:name w:val="Subtle Emphasis"/>
    <w:basedOn w:val="DefaultParagraphFont"/>
    <w:uiPriority w:val="19"/>
    <w:rsid w:val="00A4512D"/>
    <w:rPr>
      <w:i/>
      <w:iCs/>
      <w:color w:val="808080" w:themeColor="text1" w:themeTint="7F"/>
    </w:rPr>
  </w:style>
  <w:style w:type="character" w:styleId="IntenseEmphasis">
    <w:name w:val="Intense Emphasis"/>
    <w:basedOn w:val="DefaultParagraphFont"/>
    <w:uiPriority w:val="21"/>
    <w:rsid w:val="00A4512D"/>
    <w:rPr>
      <w:b/>
      <w:bCs/>
      <w:i/>
      <w:iCs/>
      <w:color w:val="3F4A75" w:themeColor="accent1"/>
    </w:rPr>
  </w:style>
  <w:style w:type="paragraph" w:styleId="Quote">
    <w:name w:val="Quote"/>
    <w:next w:val="Normal"/>
    <w:link w:val="QuoteChar"/>
    <w:uiPriority w:val="29"/>
    <w:qFormat/>
    <w:rsid w:val="00545EE6"/>
    <w:pPr>
      <w:ind w:left="720"/>
    </w:pPr>
    <w:rPr>
      <w:rFonts w:ascii="Arial" w:hAnsi="Arial"/>
      <w:i/>
      <w:iCs/>
      <w:color w:val="000000" w:themeColor="text1"/>
      <w:sz w:val="22"/>
      <w:szCs w:val="24"/>
      <w:lang w:eastAsia="en-US"/>
    </w:rPr>
  </w:style>
  <w:style w:type="character" w:customStyle="1" w:styleId="QuoteChar">
    <w:name w:val="Quote Char"/>
    <w:basedOn w:val="DefaultParagraphFont"/>
    <w:link w:val="Quote"/>
    <w:uiPriority w:val="29"/>
    <w:rsid w:val="00545EE6"/>
    <w:rPr>
      <w:rFonts w:ascii="Arial" w:hAnsi="Arial"/>
      <w:i/>
      <w:iCs/>
      <w:color w:val="000000" w:themeColor="text1"/>
      <w:sz w:val="22"/>
      <w:szCs w:val="24"/>
      <w:lang w:eastAsia="en-US"/>
    </w:rPr>
  </w:style>
  <w:style w:type="paragraph" w:styleId="IntenseQuote">
    <w:name w:val="Intense Quote"/>
    <w:basedOn w:val="Normal"/>
    <w:next w:val="Normal"/>
    <w:link w:val="IntenseQuoteChar"/>
    <w:uiPriority w:val="30"/>
    <w:qFormat/>
    <w:rsid w:val="009B1570"/>
    <w:pPr>
      <w:spacing w:before="200" w:after="280"/>
      <w:ind w:right="936"/>
    </w:pPr>
    <w:rPr>
      <w:bCs/>
      <w:iCs/>
      <w:color w:val="358189"/>
      <w:sz w:val="28"/>
    </w:rPr>
  </w:style>
  <w:style w:type="character" w:customStyle="1" w:styleId="IntenseQuoteChar">
    <w:name w:val="Intense Quote Char"/>
    <w:basedOn w:val="DefaultParagraphFont"/>
    <w:link w:val="IntenseQuote"/>
    <w:uiPriority w:val="30"/>
    <w:rsid w:val="009B1570"/>
    <w:rPr>
      <w:rFonts w:ascii="Arial" w:hAnsi="Arial"/>
      <w:bCs/>
      <w:iCs/>
      <w:color w:val="358189"/>
      <w:sz w:val="28"/>
      <w:szCs w:val="24"/>
      <w:lang w:eastAsia="en-US"/>
    </w:rPr>
  </w:style>
  <w:style w:type="character" w:styleId="SubtleReference">
    <w:name w:val="Subtle Reference"/>
    <w:basedOn w:val="DefaultParagraphFont"/>
    <w:uiPriority w:val="31"/>
    <w:rsid w:val="00A4512D"/>
    <w:rPr>
      <w:smallCaps/>
      <w:color w:val="358189" w:themeColor="accent2"/>
      <w:u w:val="single"/>
    </w:rPr>
  </w:style>
  <w:style w:type="character" w:styleId="IntenseReference">
    <w:name w:val="Intense Reference"/>
    <w:basedOn w:val="DefaultParagraphFont"/>
    <w:uiPriority w:val="32"/>
    <w:rsid w:val="00A4512D"/>
    <w:rPr>
      <w:b/>
      <w:bCs/>
      <w:i/>
      <w:smallCaps/>
      <w:color w:val="358189" w:themeColor="accent2"/>
      <w:spacing w:val="5"/>
      <w:u w:val="none"/>
    </w:rPr>
  </w:style>
  <w:style w:type="paragraph" w:styleId="ListBullet2">
    <w:name w:val="List Bullet 2"/>
    <w:basedOn w:val="ListNumber2"/>
    <w:rsid w:val="00211840"/>
    <w:pPr>
      <w:numPr>
        <w:numId w:val="16"/>
      </w:numPr>
      <w:ind w:left="568" w:hanging="284"/>
    </w:pPr>
  </w:style>
  <w:style w:type="paragraph" w:styleId="ListNumber2">
    <w:name w:val="List Number 2"/>
    <w:basedOn w:val="ListBullet"/>
    <w:qFormat/>
    <w:rsid w:val="0048593C"/>
    <w:pPr>
      <w:numPr>
        <w:numId w:val="19"/>
      </w:numPr>
    </w:pPr>
  </w:style>
  <w:style w:type="paragraph" w:styleId="ListBullet">
    <w:name w:val="List Bullet"/>
    <w:basedOn w:val="Normal"/>
    <w:qFormat/>
    <w:rsid w:val="002F4813"/>
    <w:pPr>
      <w:numPr>
        <w:numId w:val="17"/>
      </w:numPr>
      <w:spacing w:before="60" w:after="60" w:line="240" w:lineRule="auto"/>
      <w:ind w:left="357" w:hanging="357"/>
    </w:pPr>
    <w:rPr>
      <w:color w:val="000000" w:themeColor="text1"/>
      <w:sz w:val="21"/>
    </w:rPr>
  </w:style>
  <w:style w:type="paragraph" w:styleId="ListParagraph">
    <w:name w:val="List Paragraph"/>
    <w:aliases w:val="BulletPoints,Footnote"/>
    <w:basedOn w:val="Normal"/>
    <w:link w:val="ListParagraphChar"/>
    <w:uiPriority w:val="34"/>
    <w:qFormat/>
    <w:rsid w:val="00A4512D"/>
    <w:pPr>
      <w:ind w:left="720"/>
      <w:contextualSpacing/>
    </w:pPr>
  </w:style>
  <w:style w:type="paragraph" w:styleId="ListNumber3">
    <w:name w:val="List Number 3"/>
    <w:aliases w:val="List Third Level"/>
    <w:basedOn w:val="ListNumber2"/>
    <w:rsid w:val="00BA56B7"/>
    <w:pPr>
      <w:numPr>
        <w:numId w:val="2"/>
      </w:numPr>
      <w:tabs>
        <w:tab w:val="num" w:pos="1440"/>
      </w:tabs>
      <w:ind w:left="924" w:hanging="357"/>
    </w:pPr>
    <w:rPr>
      <w:rFonts w:eastAsia="Cambria"/>
      <w:color w:val="auto"/>
      <w:szCs w:val="22"/>
      <w:lang w:val="en-US"/>
    </w:rPr>
  </w:style>
  <w:style w:type="paragraph" w:customStyle="1" w:styleId="ImageTitle">
    <w:name w:val="Image Title"/>
    <w:locked/>
    <w:rsid w:val="00506432"/>
    <w:pPr>
      <w:tabs>
        <w:tab w:val="num" w:pos="1080"/>
      </w:tabs>
      <w:spacing w:before="120" w:line="240" w:lineRule="exact"/>
    </w:pPr>
    <w:rPr>
      <w:rFonts w:ascii="Arial" w:hAnsi="Arial"/>
      <w:color w:val="000000" w:themeColor="text1"/>
      <w:sz w:val="22"/>
      <w:szCs w:val="24"/>
      <w:lang w:eastAsia="en-US"/>
    </w:rPr>
  </w:style>
  <w:style w:type="paragraph" w:styleId="BodyText">
    <w:name w:val="Body Text"/>
    <w:basedOn w:val="Normal"/>
    <w:link w:val="BodyTextChar"/>
    <w:uiPriority w:val="1"/>
    <w:unhideWhenUsed/>
    <w:qFormat/>
    <w:rsid w:val="003F5F4D"/>
  </w:style>
  <w:style w:type="character" w:customStyle="1" w:styleId="BodyTextChar">
    <w:name w:val="Body Text Char"/>
    <w:basedOn w:val="DefaultParagraphFont"/>
    <w:link w:val="BodyText"/>
    <w:semiHidden/>
    <w:rsid w:val="003F5F4D"/>
    <w:rPr>
      <w:rFonts w:ascii="Arial" w:hAnsi="Arial"/>
      <w:sz w:val="22"/>
      <w:szCs w:val="24"/>
      <w:lang w:eastAsia="en-US"/>
    </w:rPr>
  </w:style>
  <w:style w:type="table" w:styleId="TableGrid">
    <w:name w:val="Table Grid"/>
    <w:basedOn w:val="TableNormal"/>
    <w:locked/>
    <w:rsid w:val="003A2E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locked/>
    <w:rsid w:val="003A2E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
    <w:name w:val="Table Text"/>
    <w:autoRedefine/>
    <w:qFormat/>
    <w:locked/>
    <w:rsid w:val="000047B4"/>
    <w:pPr>
      <w:spacing w:before="60" w:after="60"/>
    </w:pPr>
    <w:rPr>
      <w:rFonts w:ascii="Arial" w:hAnsi="Arial"/>
      <w:color w:val="000000" w:themeColor="text1"/>
      <w:sz w:val="22"/>
      <w:szCs w:val="24"/>
      <w:lang w:eastAsia="en-US"/>
    </w:rPr>
  </w:style>
  <w:style w:type="table" w:styleId="TableColumns2">
    <w:name w:val="Table Columns 2"/>
    <w:basedOn w:val="TableNormal"/>
    <w:locked/>
    <w:rsid w:val="00595E84"/>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7263B9"/>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3">
    <w:name w:val="Table Colorful 3"/>
    <w:basedOn w:val="TableNormal"/>
    <w:locked/>
    <w:rsid w:val="004F13EE"/>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4F13EE"/>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4F13EE"/>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qFormat/>
    <w:locked/>
    <w:rsid w:val="003D535A"/>
    <w:pPr>
      <w:spacing w:before="120" w:after="120"/>
    </w:pPr>
    <w:rPr>
      <w:rFonts w:ascii="Arial" w:hAnsi="Arial"/>
      <w:b/>
      <w:color w:val="000000" w:themeColor="text1"/>
      <w:sz w:val="22"/>
      <w:szCs w:val="24"/>
      <w:lang w:val="en-US" w:eastAsia="en-US"/>
    </w:rPr>
  </w:style>
  <w:style w:type="paragraph" w:styleId="Header">
    <w:name w:val="header"/>
    <w:basedOn w:val="Normal"/>
    <w:link w:val="HeaderChar"/>
    <w:qFormat/>
    <w:rsid w:val="006B56BB"/>
    <w:pPr>
      <w:tabs>
        <w:tab w:val="center" w:pos="4513"/>
        <w:tab w:val="right" w:pos="9026"/>
      </w:tabs>
    </w:pPr>
  </w:style>
  <w:style w:type="character" w:customStyle="1" w:styleId="HeaderChar">
    <w:name w:val="Header Char"/>
    <w:basedOn w:val="DefaultParagraphFont"/>
    <w:link w:val="Header"/>
    <w:rsid w:val="006B56BB"/>
    <w:rPr>
      <w:rFonts w:ascii="Arial" w:hAnsi="Arial"/>
      <w:sz w:val="22"/>
      <w:szCs w:val="24"/>
      <w:lang w:eastAsia="en-US"/>
    </w:rPr>
  </w:style>
  <w:style w:type="paragraph" w:styleId="Footer">
    <w:name w:val="footer"/>
    <w:basedOn w:val="Normal"/>
    <w:link w:val="FooterChar"/>
    <w:uiPriority w:val="99"/>
    <w:qFormat/>
    <w:rsid w:val="00220E5F"/>
    <w:pPr>
      <w:tabs>
        <w:tab w:val="center" w:pos="4513"/>
        <w:tab w:val="right" w:pos="9026"/>
      </w:tabs>
    </w:pPr>
    <w:rPr>
      <w:sz w:val="20"/>
    </w:rPr>
  </w:style>
  <w:style w:type="character" w:customStyle="1" w:styleId="FooterChar">
    <w:name w:val="Footer Char"/>
    <w:basedOn w:val="DefaultParagraphFont"/>
    <w:link w:val="Footer"/>
    <w:uiPriority w:val="99"/>
    <w:rsid w:val="00220E5F"/>
    <w:rPr>
      <w:rFonts w:ascii="Arial" w:hAnsi="Arial"/>
      <w:szCs w:val="24"/>
      <w:lang w:eastAsia="en-US"/>
    </w:rPr>
  </w:style>
  <w:style w:type="paragraph" w:customStyle="1" w:styleId="TableHeaderWhite">
    <w:name w:val="Table Header White"/>
    <w:basedOn w:val="Normal"/>
    <w:next w:val="TableText"/>
    <w:qFormat/>
    <w:rsid w:val="00B16A51"/>
    <w:pPr>
      <w:spacing w:before="80" w:after="80"/>
    </w:pPr>
    <w:rPr>
      <w:rFonts w:eastAsia="Cambria"/>
      <w:color w:val="FFFFFF" w:themeColor="background1"/>
      <w:szCs w:val="22"/>
      <w:lang w:val="en-US"/>
    </w:rPr>
  </w:style>
  <w:style w:type="table" w:styleId="TableGrid7">
    <w:name w:val="Table Grid 7"/>
    <w:basedOn w:val="TableNormal"/>
    <w:locked/>
    <w:rsid w:val="00912D54"/>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912D54"/>
    <w:pPr>
      <w:spacing w:before="60" w:after="60"/>
    </w:pPr>
    <w:rPr>
      <w:rFonts w:cs="Arial"/>
      <w:b/>
      <w:sz w:val="20"/>
    </w:rPr>
  </w:style>
  <w:style w:type="paragraph" w:customStyle="1" w:styleId="FigureTitle">
    <w:name w:val="Figure Title"/>
    <w:basedOn w:val="Normal"/>
    <w:next w:val="Paragraphtext"/>
    <w:qFormat/>
    <w:rsid w:val="00DA3D1D"/>
    <w:rPr>
      <w:rFonts w:cs="Arial"/>
      <w:b/>
      <w:bCs/>
      <w:iCs/>
      <w:color w:val="000000" w:themeColor="text1"/>
      <w:szCs w:val="22"/>
    </w:rPr>
  </w:style>
  <w:style w:type="paragraph" w:customStyle="1" w:styleId="Headertext">
    <w:name w:val="Header text"/>
    <w:basedOn w:val="Normal"/>
    <w:rsid w:val="006043C7"/>
    <w:pPr>
      <w:jc w:val="right"/>
    </w:pPr>
    <w:rPr>
      <w:sz w:val="20"/>
    </w:rPr>
  </w:style>
  <w:style w:type="character" w:styleId="Hyperlink">
    <w:name w:val="Hyperlink"/>
    <w:basedOn w:val="DefaultParagraphFont"/>
    <w:uiPriority w:val="99"/>
    <w:qFormat/>
    <w:rsid w:val="00707F56"/>
    <w:rPr>
      <w:color w:val="0000FF" w:themeColor="hyperlink"/>
      <w:u w:val="single"/>
    </w:rPr>
  </w:style>
  <w:style w:type="table" w:customStyle="1" w:styleId="PHNGreyTable">
    <w:name w:val="PHN Grey Table"/>
    <w:basedOn w:val="TableNormal"/>
    <w:uiPriority w:val="99"/>
    <w:rsid w:val="00404F8B"/>
    <w:pPr>
      <w:spacing w:before="120" w:after="120"/>
    </w:pPr>
    <w:rPr>
      <w:rFonts w:ascii="Arial" w:hAnsi="Arial"/>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32373A"/>
      </w:tcPr>
    </w:tblStylePr>
  </w:style>
  <w:style w:type="paragraph" w:customStyle="1" w:styleId="Tablelistbullet">
    <w:name w:val="Table list bullet"/>
    <w:basedOn w:val="TableText"/>
    <w:qFormat/>
    <w:rsid w:val="00110478"/>
    <w:pPr>
      <w:numPr>
        <w:numId w:val="3"/>
      </w:numPr>
      <w:ind w:left="284" w:hanging="284"/>
    </w:pPr>
    <w:rPr>
      <w:szCs w:val="20"/>
    </w:rPr>
  </w:style>
  <w:style w:type="paragraph" w:customStyle="1" w:styleId="Tablelistnumber">
    <w:name w:val="Table list number"/>
    <w:basedOn w:val="TableText"/>
    <w:qFormat/>
    <w:rsid w:val="00DD2061"/>
    <w:pPr>
      <w:numPr>
        <w:numId w:val="4"/>
      </w:numPr>
    </w:pPr>
    <w:rPr>
      <w:bCs/>
      <w14:numSpacing w14:val="proportional"/>
    </w:rPr>
  </w:style>
  <w:style w:type="paragraph" w:customStyle="1" w:styleId="TableHeader">
    <w:name w:val="Table Header"/>
    <w:basedOn w:val="Normal"/>
    <w:next w:val="TableText"/>
    <w:qFormat/>
    <w:rsid w:val="00B16A51"/>
    <w:pPr>
      <w:spacing w:before="80" w:after="80"/>
    </w:pPr>
    <w:rPr>
      <w:rFonts w:eastAsia="Cambria"/>
      <w:b/>
      <w:color w:val="000000" w:themeColor="text1"/>
      <w:szCs w:val="22"/>
      <w:lang w:val="en-US"/>
    </w:rPr>
  </w:style>
  <w:style w:type="paragraph" w:customStyle="1" w:styleId="SectionHeading">
    <w:name w:val="Section Heading"/>
    <w:basedOn w:val="Heading1"/>
    <w:next w:val="Paragraphtext"/>
    <w:rsid w:val="00CE6502"/>
    <w:rPr>
      <w:szCs w:val="32"/>
    </w:rPr>
  </w:style>
  <w:style w:type="paragraph" w:styleId="FootnoteText">
    <w:name w:val="footnote text"/>
    <w:basedOn w:val="Normal"/>
    <w:link w:val="FootnoteTextChar"/>
    <w:rsid w:val="00A24961"/>
    <w:rPr>
      <w:sz w:val="20"/>
      <w:szCs w:val="20"/>
    </w:rPr>
  </w:style>
  <w:style w:type="character" w:customStyle="1" w:styleId="FootnoteTextChar">
    <w:name w:val="Footnote Text Char"/>
    <w:basedOn w:val="DefaultParagraphFont"/>
    <w:link w:val="FootnoteText"/>
    <w:rsid w:val="00A24961"/>
    <w:rPr>
      <w:rFonts w:ascii="Arial" w:hAnsi="Arial"/>
      <w:lang w:eastAsia="en-US"/>
    </w:rPr>
  </w:style>
  <w:style w:type="paragraph" w:customStyle="1" w:styleId="VisionBox">
    <w:name w:val="VisionBox"/>
    <w:basedOn w:val="Normal"/>
    <w:qFormat/>
    <w:rsid w:val="00BB5860"/>
    <w:pPr>
      <w:pBdr>
        <w:top w:val="single" w:sz="4" w:space="15" w:color="358189"/>
        <w:bottom w:val="single" w:sz="4" w:space="10" w:color="358189"/>
      </w:pBdr>
      <w:spacing w:before="240" w:after="240" w:line="340" w:lineRule="exact"/>
    </w:pPr>
    <w:rPr>
      <w:rFonts w:eastAsiaTheme="minorHAnsi"/>
      <w:color w:val="358189"/>
    </w:rPr>
  </w:style>
  <w:style w:type="paragraph" w:customStyle="1" w:styleId="Boxtype">
    <w:name w:val="Box type"/>
    <w:next w:val="Normal"/>
    <w:qFormat/>
    <w:rsid w:val="00177AD2"/>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character" w:customStyle="1" w:styleId="BoldAllCaps">
    <w:name w:val="Bold All Caps"/>
    <w:basedOn w:val="DefaultParagraphFont"/>
    <w:uiPriority w:val="1"/>
    <w:qFormat/>
    <w:rsid w:val="00177AD2"/>
    <w:rPr>
      <w:b/>
      <w:caps/>
      <w:smallCaps w:val="0"/>
      <w:color w:val="358189"/>
      <w:bdr w:val="none" w:sz="0" w:space="0" w:color="auto"/>
    </w:rPr>
  </w:style>
  <w:style w:type="paragraph" w:customStyle="1" w:styleId="PolicyStatement">
    <w:name w:val="PolicyStatement"/>
    <w:basedOn w:val="Normal"/>
    <w:qFormat/>
    <w:rsid w:val="00177AD2"/>
    <w:pPr>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2F2F2" w:themeFill="background1" w:themeFillShade="F2"/>
      <w:spacing w:before="240" w:line="260" w:lineRule="auto"/>
      <w:ind w:left="227" w:right="227"/>
    </w:pPr>
    <w:rPr>
      <w:sz w:val="21"/>
    </w:rPr>
  </w:style>
  <w:style w:type="paragraph" w:customStyle="1" w:styleId="IntroPara">
    <w:name w:val="Intro Para"/>
    <w:basedOn w:val="Title"/>
    <w:qFormat/>
    <w:rsid w:val="00E87DF2"/>
    <w:pPr>
      <w:spacing w:after="240" w:line="400" w:lineRule="auto"/>
    </w:pPr>
    <w:rPr>
      <w:color w:val="000000" w:themeColor="text1"/>
      <w:sz w:val="28"/>
    </w:rPr>
  </w:style>
  <w:style w:type="paragraph" w:customStyle="1" w:styleId="Intropara0">
    <w:name w:val="Intro para"/>
    <w:basedOn w:val="VisionBox"/>
    <w:rsid w:val="008376E2"/>
    <w:pPr>
      <w:pBdr>
        <w:top w:val="none" w:sz="0" w:space="0" w:color="auto"/>
        <w:bottom w:val="none" w:sz="0" w:space="0" w:color="auto"/>
      </w:pBdr>
      <w:spacing w:before="480" w:line="400" w:lineRule="exact"/>
    </w:pPr>
    <w:rPr>
      <w:sz w:val="28"/>
    </w:rPr>
  </w:style>
  <w:style w:type="table" w:customStyle="1" w:styleId="DepartmentofHealthtable">
    <w:name w:val="Department of Health table"/>
    <w:basedOn w:val="TableNormal"/>
    <w:uiPriority w:val="99"/>
    <w:rsid w:val="009040E9"/>
    <w:rPr>
      <w:rFonts w:ascii="Arial" w:hAnsi="Arial"/>
      <w:color w:val="000000" w:themeColor="text1"/>
      <w:sz w:val="21"/>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paragraph" w:customStyle="1" w:styleId="Tabletitle0">
    <w:name w:val="Table title"/>
    <w:basedOn w:val="Normal"/>
    <w:rsid w:val="009040E9"/>
    <w:rPr>
      <w:b/>
      <w:bCs/>
      <w:color w:val="000000" w:themeColor="text1"/>
      <w:szCs w:val="20"/>
    </w:rPr>
  </w:style>
  <w:style w:type="paragraph" w:customStyle="1" w:styleId="Tableheader0">
    <w:name w:val="Table header"/>
    <w:basedOn w:val="Normal"/>
    <w:rsid w:val="009040E9"/>
    <w:pPr>
      <w:spacing w:before="80" w:after="80"/>
    </w:pPr>
    <w:rPr>
      <w:b/>
      <w:bCs/>
      <w:color w:val="FFFFFF" w:themeColor="background1"/>
      <w:szCs w:val="20"/>
    </w:rPr>
  </w:style>
  <w:style w:type="paragraph" w:customStyle="1" w:styleId="Tabletextleft">
    <w:name w:val="Table text left"/>
    <w:basedOn w:val="Normal"/>
    <w:rsid w:val="009040E9"/>
    <w:pPr>
      <w:spacing w:before="60" w:after="60"/>
    </w:pPr>
    <w:rPr>
      <w:color w:val="000000" w:themeColor="text1"/>
      <w:sz w:val="21"/>
      <w:szCs w:val="20"/>
    </w:rPr>
  </w:style>
  <w:style w:type="paragraph" w:customStyle="1" w:styleId="TabletextRight">
    <w:name w:val="Table text Right"/>
    <w:basedOn w:val="Tabletextleft"/>
    <w:rsid w:val="009040E9"/>
    <w:pPr>
      <w:jc w:val="right"/>
    </w:pPr>
  </w:style>
  <w:style w:type="paragraph" w:customStyle="1" w:styleId="Tabletextright0">
    <w:name w:val="Table text right"/>
    <w:basedOn w:val="Tabletextleft"/>
    <w:rsid w:val="00D01F09"/>
    <w:pPr>
      <w:jc w:val="right"/>
    </w:pPr>
  </w:style>
  <w:style w:type="character" w:styleId="CommentReference">
    <w:name w:val="annotation reference"/>
    <w:basedOn w:val="DefaultParagraphFont"/>
    <w:semiHidden/>
    <w:unhideWhenUsed/>
    <w:rsid w:val="00994536"/>
    <w:rPr>
      <w:sz w:val="16"/>
      <w:szCs w:val="16"/>
    </w:rPr>
  </w:style>
  <w:style w:type="paragraph" w:styleId="CommentText">
    <w:name w:val="annotation text"/>
    <w:basedOn w:val="Normal"/>
    <w:link w:val="CommentTextChar"/>
    <w:unhideWhenUsed/>
    <w:rsid w:val="00994536"/>
    <w:rPr>
      <w:sz w:val="20"/>
      <w:szCs w:val="20"/>
    </w:rPr>
  </w:style>
  <w:style w:type="character" w:customStyle="1" w:styleId="CommentTextChar">
    <w:name w:val="Comment Text Char"/>
    <w:basedOn w:val="DefaultParagraphFont"/>
    <w:link w:val="CommentText"/>
    <w:rsid w:val="00994536"/>
    <w:rPr>
      <w:rFonts w:ascii="Arial" w:hAnsi="Arial"/>
      <w:lang w:eastAsia="en-US"/>
    </w:rPr>
  </w:style>
  <w:style w:type="paragraph" w:styleId="BalloonText">
    <w:name w:val="Balloon Text"/>
    <w:basedOn w:val="Normal"/>
    <w:link w:val="BalloonTextChar"/>
    <w:semiHidden/>
    <w:unhideWhenUsed/>
    <w:rsid w:val="00994536"/>
    <w:rPr>
      <w:rFonts w:ascii="Segoe UI" w:hAnsi="Segoe UI" w:cs="Segoe UI"/>
      <w:sz w:val="18"/>
      <w:szCs w:val="18"/>
    </w:rPr>
  </w:style>
  <w:style w:type="character" w:customStyle="1" w:styleId="BalloonTextChar">
    <w:name w:val="Balloon Text Char"/>
    <w:basedOn w:val="DefaultParagraphFont"/>
    <w:link w:val="BalloonText"/>
    <w:semiHidden/>
    <w:rsid w:val="00994536"/>
    <w:rPr>
      <w:rFonts w:ascii="Segoe UI" w:hAnsi="Segoe UI" w:cs="Segoe UI"/>
      <w:sz w:val="18"/>
      <w:szCs w:val="18"/>
      <w:lang w:eastAsia="en-US"/>
    </w:rPr>
  </w:style>
  <w:style w:type="paragraph" w:styleId="CommentSubject">
    <w:name w:val="annotation subject"/>
    <w:basedOn w:val="CommentText"/>
    <w:next w:val="CommentText"/>
    <w:link w:val="CommentSubjectChar"/>
    <w:semiHidden/>
    <w:unhideWhenUsed/>
    <w:rsid w:val="00994536"/>
    <w:rPr>
      <w:b/>
      <w:bCs/>
    </w:rPr>
  </w:style>
  <w:style w:type="character" w:customStyle="1" w:styleId="CommentSubjectChar">
    <w:name w:val="Comment Subject Char"/>
    <w:basedOn w:val="CommentTextChar"/>
    <w:link w:val="CommentSubject"/>
    <w:semiHidden/>
    <w:rsid w:val="00994536"/>
    <w:rPr>
      <w:rFonts w:ascii="Arial" w:hAnsi="Arial"/>
      <w:b/>
      <w:bCs/>
      <w:lang w:eastAsia="en-US"/>
    </w:rPr>
  </w:style>
  <w:style w:type="paragraph" w:styleId="EndnoteText">
    <w:name w:val="endnote text"/>
    <w:basedOn w:val="Normal"/>
    <w:link w:val="EndnoteTextChar"/>
    <w:semiHidden/>
    <w:unhideWhenUsed/>
    <w:rsid w:val="00691C73"/>
    <w:rPr>
      <w:sz w:val="20"/>
      <w:szCs w:val="20"/>
    </w:rPr>
  </w:style>
  <w:style w:type="character" w:customStyle="1" w:styleId="EndnoteTextChar">
    <w:name w:val="Endnote Text Char"/>
    <w:basedOn w:val="DefaultParagraphFont"/>
    <w:link w:val="EndnoteText"/>
    <w:semiHidden/>
    <w:rsid w:val="00691C73"/>
    <w:rPr>
      <w:rFonts w:ascii="Arial" w:hAnsi="Arial"/>
      <w:lang w:eastAsia="en-US"/>
    </w:rPr>
  </w:style>
  <w:style w:type="character" w:styleId="EndnoteReference">
    <w:name w:val="endnote reference"/>
    <w:basedOn w:val="DefaultParagraphFont"/>
    <w:semiHidden/>
    <w:unhideWhenUsed/>
    <w:rsid w:val="00691C73"/>
    <w:rPr>
      <w:vertAlign w:val="superscript"/>
    </w:rPr>
  </w:style>
  <w:style w:type="paragraph" w:styleId="Revision">
    <w:name w:val="Revision"/>
    <w:hidden/>
    <w:uiPriority w:val="99"/>
    <w:semiHidden/>
    <w:rsid w:val="003A1F88"/>
    <w:rPr>
      <w:rFonts w:ascii="Arial" w:hAnsi="Arial"/>
      <w:sz w:val="22"/>
      <w:szCs w:val="24"/>
      <w:lang w:eastAsia="en-US"/>
    </w:rPr>
  </w:style>
  <w:style w:type="character" w:styleId="FollowedHyperlink">
    <w:name w:val="FollowedHyperlink"/>
    <w:basedOn w:val="DefaultParagraphFont"/>
    <w:semiHidden/>
    <w:unhideWhenUsed/>
    <w:rsid w:val="00021132"/>
    <w:rPr>
      <w:color w:val="800080" w:themeColor="followedHyperlink"/>
      <w:u w:val="single"/>
    </w:rPr>
  </w:style>
  <w:style w:type="character" w:customStyle="1" w:styleId="ListParagraphChar">
    <w:name w:val="List Paragraph Char"/>
    <w:aliases w:val="BulletPoints Char,Footnote Char"/>
    <w:link w:val="ListParagraph"/>
    <w:uiPriority w:val="34"/>
    <w:locked/>
    <w:rsid w:val="00B94CB5"/>
    <w:rPr>
      <w:rFonts w:ascii="Arial" w:hAnsi="Arial"/>
      <w:sz w:val="22"/>
      <w:szCs w:val="24"/>
      <w:lang w:eastAsia="en-US"/>
    </w:rPr>
  </w:style>
  <w:style w:type="paragraph" w:styleId="NormalWeb">
    <w:name w:val="Normal (Web)"/>
    <w:basedOn w:val="Normal"/>
    <w:uiPriority w:val="99"/>
    <w:unhideWhenUsed/>
    <w:rsid w:val="00AF1EC9"/>
    <w:pPr>
      <w:spacing w:before="100" w:beforeAutospacing="1" w:after="100" w:afterAutospacing="1" w:line="240" w:lineRule="auto"/>
    </w:pPr>
    <w:rPr>
      <w:rFonts w:ascii="Times New Roman" w:hAnsi="Times New Roman"/>
      <w:sz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017586">
      <w:bodyDiv w:val="1"/>
      <w:marLeft w:val="0"/>
      <w:marRight w:val="0"/>
      <w:marTop w:val="0"/>
      <w:marBottom w:val="0"/>
      <w:divBdr>
        <w:top w:val="none" w:sz="0" w:space="0" w:color="auto"/>
        <w:left w:val="none" w:sz="0" w:space="0" w:color="auto"/>
        <w:bottom w:val="none" w:sz="0" w:space="0" w:color="auto"/>
        <w:right w:val="none" w:sz="0" w:space="0" w:color="auto"/>
      </w:divBdr>
    </w:div>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798306796">
      <w:bodyDiv w:val="1"/>
      <w:marLeft w:val="0"/>
      <w:marRight w:val="0"/>
      <w:marTop w:val="0"/>
      <w:marBottom w:val="0"/>
      <w:divBdr>
        <w:top w:val="none" w:sz="0" w:space="0" w:color="auto"/>
        <w:left w:val="none" w:sz="0" w:space="0" w:color="auto"/>
        <w:bottom w:val="none" w:sz="0" w:space="0" w:color="auto"/>
        <w:right w:val="none" w:sz="0" w:space="0" w:color="auto"/>
      </w:divBdr>
    </w:div>
    <w:div w:id="898633688">
      <w:bodyDiv w:val="1"/>
      <w:marLeft w:val="0"/>
      <w:marRight w:val="0"/>
      <w:marTop w:val="0"/>
      <w:marBottom w:val="0"/>
      <w:divBdr>
        <w:top w:val="none" w:sz="0" w:space="0" w:color="auto"/>
        <w:left w:val="none" w:sz="0" w:space="0" w:color="auto"/>
        <w:bottom w:val="none" w:sz="0" w:space="0" w:color="auto"/>
        <w:right w:val="none" w:sz="0" w:space="0" w:color="auto"/>
      </w:divBdr>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 w:id="1411198669">
      <w:bodyDiv w:val="1"/>
      <w:marLeft w:val="0"/>
      <w:marRight w:val="0"/>
      <w:marTop w:val="0"/>
      <w:marBottom w:val="0"/>
      <w:divBdr>
        <w:top w:val="none" w:sz="0" w:space="0" w:color="auto"/>
        <w:left w:val="none" w:sz="0" w:space="0" w:color="auto"/>
        <w:bottom w:val="none" w:sz="0" w:space="0" w:color="auto"/>
        <w:right w:val="none" w:sz="0" w:space="0" w:color="auto"/>
      </w:divBdr>
    </w:div>
    <w:div w:id="1581022771">
      <w:bodyDiv w:val="1"/>
      <w:marLeft w:val="0"/>
      <w:marRight w:val="0"/>
      <w:marTop w:val="0"/>
      <w:marBottom w:val="0"/>
      <w:divBdr>
        <w:top w:val="none" w:sz="0" w:space="0" w:color="auto"/>
        <w:left w:val="none" w:sz="0" w:space="0" w:color="auto"/>
        <w:bottom w:val="none" w:sz="0" w:space="0" w:color="auto"/>
        <w:right w:val="none" w:sz="0" w:space="0" w:color="auto"/>
      </w:divBdr>
    </w:div>
    <w:div w:id="1646010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yperlink" Target="https://health.gov.au/resources/publications/lsdp-mpsii-patient-test-results-spreadsheet"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health.gov.au/resources/publications/lsdp-mpsii-reapplication" TargetMode="External"/><Relationship Id="rId2" Type="http://schemas.openxmlformats.org/officeDocument/2006/relationships/customXml" Target="../customXml/item2.xml"/><Relationship Id="rId16" Type="http://schemas.openxmlformats.org/officeDocument/2006/relationships/hyperlink" Target="https://health.gov.au/resources/publications/lsdp-mpsii-initial-application"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health.gov.au/initiatives-and-programs/life-saving-drugs-program" TargetMode="External"/><Relationship Id="rId10" Type="http://schemas.openxmlformats.org/officeDocument/2006/relationships/endnotes" Target="endnotes.xml"/><Relationship Id="rId19" Type="http://schemas.openxmlformats.org/officeDocument/2006/relationships/hyperlink" Target="https://www.health.gov.au/resources/publications/life-saving-drugs-program-mucopolysaccharidosis-type-ii-mps-ii-reapplication?language=e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tga.gov.au"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A217076F0871349BCBE5A6EC7EEC4B3" ma:contentTypeVersion="12" ma:contentTypeDescription="Create a new document." ma:contentTypeScope="" ma:versionID="1d4ff37efb3388d6274b5fad02dc121c">
  <xsd:schema xmlns:xsd="http://www.w3.org/2001/XMLSchema" xmlns:xs="http://www.w3.org/2001/XMLSchema" xmlns:p="http://schemas.microsoft.com/office/2006/metadata/properties" xmlns:ns2="dcf7b372-aaaa-46d8-9da6-ade9aab953df" xmlns:ns3="236487dd-ec90-4f99-8970-1318e5f29791" targetNamespace="http://schemas.microsoft.com/office/2006/metadata/properties" ma:root="true" ma:fieldsID="a10b7c6b2bdffd3aa1d9fd76c1e6f657" ns2:_="" ns3:_="">
    <xsd:import namespace="dcf7b372-aaaa-46d8-9da6-ade9aab953df"/>
    <xsd:import namespace="236487dd-ec90-4f99-8970-1318e5f2979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f7b372-aaaa-46d8-9da6-ade9aab953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6487dd-ec90-4f99-8970-1318e5f2979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FCAFB5-863C-4C24-ACB5-1626D6CA35D8}">
  <ds:schemaRefs>
    <ds:schemaRef ds:uri="http://schemas.microsoft.com/sharepoint/v3/contenttype/forms"/>
  </ds:schemaRefs>
</ds:datastoreItem>
</file>

<file path=customXml/itemProps2.xml><?xml version="1.0" encoding="utf-8"?>
<ds:datastoreItem xmlns:ds="http://schemas.openxmlformats.org/officeDocument/2006/customXml" ds:itemID="{5A4C22D8-6EBC-4AE2-B29D-DA099E9933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f7b372-aaaa-46d8-9da6-ade9aab953df"/>
    <ds:schemaRef ds:uri="236487dd-ec90-4f99-8970-1318e5f297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20C6417-ADBB-487B-9091-DC3471F064B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1979075-053A-4A88-A913-33AC5340E7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3</Pages>
  <Words>1139</Words>
  <Characters>6941</Characters>
  <Application>Microsoft Office Word</Application>
  <DocSecurity>0</DocSecurity>
  <Lines>128</Lines>
  <Paragraphs>77</Paragraphs>
  <ScaleCrop>false</ScaleCrop>
  <HeadingPairs>
    <vt:vector size="2" baseType="variant">
      <vt:variant>
        <vt:lpstr>Title</vt:lpstr>
      </vt:variant>
      <vt:variant>
        <vt:i4>1</vt:i4>
      </vt:variant>
    </vt:vector>
  </HeadingPairs>
  <TitlesOfParts>
    <vt:vector size="1" baseType="lpstr">
      <vt:lpstr>Guidelines for the treatment of mucopolysaccharidosis type II (MPS II) through the Life Saving Drugs Program</vt:lpstr>
    </vt:vector>
  </TitlesOfParts>
  <Company/>
  <LinksUpToDate>false</LinksUpToDate>
  <CharactersWithSpaces>8003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Guidelines for the treatment of mucopolysaccharidosis type II (MPS II) through the Life Saving Drugs Program</dc:title>
  <dc:subject>Life Saving Drugs Program</dc:subject>
  <dc:creator>Australian Government Department of Health and Aged care</dc:creator>
  <cp:keywords>Chronic conditions; Medicines; Life Saving Drugs Program</cp:keywords>
  <cp:lastModifiedBy>MASCHKE, Elvia</cp:lastModifiedBy>
  <cp:revision>16</cp:revision>
  <dcterms:created xsi:type="dcterms:W3CDTF">2024-07-25T04:58:00Z</dcterms:created>
  <dcterms:modified xsi:type="dcterms:W3CDTF">2024-09-19T11:22:00Z</dcterms:modified>
</cp:coreProperties>
</file>