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DD29" w14:textId="2D538818" w:rsidR="00994536" w:rsidRPr="00BB7B17" w:rsidRDefault="00994536" w:rsidP="00BB7B17">
      <w:pPr>
        <w:pStyle w:val="Title"/>
        <w:sectPr w:rsidR="00994536" w:rsidRPr="00BB7B17" w:rsidSect="00994536">
          <w:footerReference w:type="default" r:id="rId11"/>
          <w:headerReference w:type="first" r:id="rId12"/>
          <w:footerReference w:type="first" r:id="rId13"/>
          <w:type w:val="continuous"/>
          <w:pgSz w:w="11906" w:h="16838"/>
          <w:pgMar w:top="1701" w:right="1418" w:bottom="1418" w:left="1418" w:header="851" w:footer="709" w:gutter="0"/>
          <w:cols w:space="708"/>
          <w:titlePg/>
          <w:docGrid w:linePitch="360"/>
        </w:sectPr>
      </w:pPr>
      <w:r w:rsidRPr="00BB7B17">
        <w:t xml:space="preserve">Guidelines for the treatment of </w:t>
      </w:r>
      <w:r w:rsidR="00254D7D" w:rsidRPr="00BB7B17">
        <w:t>late</w:t>
      </w:r>
      <w:r w:rsidR="001F11E9" w:rsidRPr="00BB7B17">
        <w:noBreakHyphen/>
      </w:r>
      <w:r w:rsidR="00254D7D" w:rsidRPr="00BB7B17">
        <w:t xml:space="preserve">infantile onset Batten </w:t>
      </w:r>
      <w:r w:rsidR="00210CB3" w:rsidRPr="00BB7B17">
        <w:t xml:space="preserve">disease </w:t>
      </w:r>
      <w:r w:rsidR="000A5BAB" w:rsidRPr="00BB7B17">
        <w:t>(CLN2</w:t>
      </w:r>
      <w:r w:rsidR="00210CB3" w:rsidRPr="00BB7B17">
        <w:t xml:space="preserve"> disease</w:t>
      </w:r>
      <w:r w:rsidR="000A5BAB" w:rsidRPr="00BB7B17">
        <w:t xml:space="preserve">) </w:t>
      </w:r>
      <w:r w:rsidRPr="00BB7B17">
        <w:t>through the Life Saving Drugs Program</w:t>
      </w:r>
    </w:p>
    <w:p w14:paraId="75193DFD" w14:textId="4CC99892" w:rsidR="00994536" w:rsidRDefault="00994536" w:rsidP="00994536">
      <w:pPr>
        <w:pStyle w:val="Heading1"/>
      </w:pPr>
      <w:r w:rsidRPr="00AA4BCB">
        <w:t>Life Saving Drugs Program</w:t>
      </w:r>
    </w:p>
    <w:p w14:paraId="646C19C7" w14:textId="34CB0B21" w:rsidR="00994536" w:rsidRPr="00BB7B17" w:rsidRDefault="00994536" w:rsidP="00BB7B17">
      <w:pPr>
        <w:pStyle w:val="Heading2"/>
      </w:pPr>
      <w:r w:rsidRPr="00BB7B17">
        <w:t>About this program</w:t>
      </w:r>
    </w:p>
    <w:p w14:paraId="2225E5B3" w14:textId="77FBCE1D" w:rsidR="00994536" w:rsidRPr="00BB7B17" w:rsidRDefault="00994536" w:rsidP="00BB7B17">
      <w:r w:rsidRPr="00BB7B17">
        <w:t xml:space="preserve">Through the Life Saving Drugs Program (LSDP), the Australian Government provides subsidised access for eligible patients to expensive life-saving </w:t>
      </w:r>
      <w:r w:rsidR="00E40091" w:rsidRPr="00BB7B17">
        <w:t>medicines</w:t>
      </w:r>
      <w:r w:rsidRPr="00BB7B17">
        <w:t>.</w:t>
      </w:r>
    </w:p>
    <w:p w14:paraId="22E9C7EA" w14:textId="77777777" w:rsidR="00994536" w:rsidRDefault="00994536" w:rsidP="00994536">
      <w:pPr>
        <w:pStyle w:val="Heading2"/>
      </w:pPr>
      <w:r w:rsidRPr="00A437C2">
        <w:t>Purpose of this document</w:t>
      </w:r>
    </w:p>
    <w:p w14:paraId="7DA72536" w14:textId="112D9E83" w:rsidR="00994536" w:rsidRPr="00BB7B17" w:rsidRDefault="00994536" w:rsidP="00BB7B17">
      <w:r w:rsidRPr="00BB7B17">
        <w:t xml:space="preserve">This document provides guidance for treating physicians with relevant specialist registration who wish to apply for their patients to receive access to subsidised treatment for </w:t>
      </w:r>
      <w:r w:rsidR="00254D7D" w:rsidRPr="00BB7B17">
        <w:t xml:space="preserve">CLN2 disease </w:t>
      </w:r>
      <w:r w:rsidRPr="00BB7B17">
        <w:t>through the LSDP.</w:t>
      </w:r>
    </w:p>
    <w:p w14:paraId="104B7438" w14:textId="77777777" w:rsidR="00994536" w:rsidRPr="00BB7B17" w:rsidRDefault="00994536" w:rsidP="00BB7B17">
      <w:r w:rsidRPr="00BB7B17">
        <w:t xml:space="preserve">It describes the criteria for general, </w:t>
      </w:r>
      <w:proofErr w:type="gramStart"/>
      <w:r w:rsidRPr="00BB7B17">
        <w:t>initial</w:t>
      </w:r>
      <w:proofErr w:type="gramEnd"/>
      <w:r w:rsidRPr="00BB7B17">
        <w:t xml:space="preserve"> and ongoing eligibility to access subsidised treatment and the administrative requirements associated with the initial application and annual reapplications.</w:t>
      </w:r>
    </w:p>
    <w:p w14:paraId="39B63587" w14:textId="77777777" w:rsidR="00994536" w:rsidRDefault="00994536" w:rsidP="00994536">
      <w:pPr>
        <w:pStyle w:val="Heading2"/>
      </w:pPr>
      <w:r w:rsidRPr="00A437C2">
        <w:t xml:space="preserve">Treatment of </w:t>
      </w:r>
      <w:r w:rsidR="00254D7D">
        <w:rPr>
          <w:lang w:bidi="en-AU"/>
        </w:rPr>
        <w:t>CLN2</w:t>
      </w:r>
      <w:r w:rsidR="00254D7D" w:rsidRPr="00254D7D">
        <w:rPr>
          <w:lang w:bidi="en-AU"/>
        </w:rPr>
        <w:t xml:space="preserve"> disease</w:t>
      </w:r>
      <w:r w:rsidRPr="00A437C2">
        <w:t xml:space="preserve"> through the LSDP</w:t>
      </w:r>
    </w:p>
    <w:p w14:paraId="1E3043D4" w14:textId="2E144B5D" w:rsidR="00254D7D" w:rsidRPr="00BB7B17" w:rsidRDefault="00CF2125" w:rsidP="00BB7B17">
      <w:r w:rsidRPr="00BB7B17">
        <w:t>S</w:t>
      </w:r>
      <w:r w:rsidR="00254D7D" w:rsidRPr="00BB7B17">
        <w:t>ubsidised treatment is available for eligible patients with a confirmed diagnosis of CLN2 disease.</w:t>
      </w:r>
    </w:p>
    <w:p w14:paraId="3CA6CFF1" w14:textId="3496C07A" w:rsidR="00994536" w:rsidRDefault="00E05B2F" w:rsidP="00994536">
      <w:pPr>
        <w:pStyle w:val="Heading2"/>
      </w:pPr>
      <w:r>
        <w:t xml:space="preserve">Medicines </w:t>
      </w:r>
      <w:r w:rsidR="00994536">
        <w:t xml:space="preserve">currently available for the treatment of </w:t>
      </w:r>
      <w:r w:rsidR="00254D7D">
        <w:rPr>
          <w:lang w:bidi="en-AU"/>
        </w:rPr>
        <w:t>CLN2</w:t>
      </w:r>
      <w:r w:rsidR="00254D7D" w:rsidRPr="00254D7D">
        <w:rPr>
          <w:lang w:bidi="en-AU"/>
        </w:rPr>
        <w:t xml:space="preserve"> disease</w:t>
      </w:r>
      <w:r w:rsidR="00994536">
        <w:t xml:space="preserve"> through the LSDP </w:t>
      </w:r>
    </w:p>
    <w:p w14:paraId="668425AB" w14:textId="09ED9A2E" w:rsidR="00254D7D" w:rsidRPr="00BB7B17" w:rsidRDefault="00254D7D" w:rsidP="00BB7B17">
      <w:r w:rsidRPr="00BB7B17">
        <w:t xml:space="preserve">There is one </w:t>
      </w:r>
      <w:r w:rsidR="00E05B2F" w:rsidRPr="00BB7B17">
        <w:t xml:space="preserve">medicine </w:t>
      </w:r>
      <w:r w:rsidRPr="00BB7B17">
        <w:t>currently subsidised through the LSDP for the treatment of CLN2 disease.</w:t>
      </w:r>
    </w:p>
    <w:p w14:paraId="76A5F825" w14:textId="059BCC99" w:rsidR="00254D7D" w:rsidRPr="00BB7B17" w:rsidRDefault="00254D7D" w:rsidP="00BB7B17">
      <w:r w:rsidRPr="00BB7B17">
        <w:t xml:space="preserve">The generic name for this </w:t>
      </w:r>
      <w:r w:rsidR="00E05B2F" w:rsidRPr="00BB7B17">
        <w:t xml:space="preserve">medicine </w:t>
      </w:r>
      <w:r w:rsidRPr="00BB7B17">
        <w:t xml:space="preserve">is </w:t>
      </w:r>
      <w:proofErr w:type="spellStart"/>
      <w:r w:rsidRPr="00BB7B17">
        <w:t>cerliponase</w:t>
      </w:r>
      <w:proofErr w:type="spellEnd"/>
      <w:r w:rsidRPr="00BB7B17">
        <w:t xml:space="preserve"> alfa. The trade name for this </w:t>
      </w:r>
      <w:r w:rsidR="00E05B2F" w:rsidRPr="00BB7B17">
        <w:t xml:space="preserve">medicine </w:t>
      </w:r>
      <w:r w:rsidRPr="00BB7B17">
        <w:t xml:space="preserve">is </w:t>
      </w:r>
      <w:proofErr w:type="spellStart"/>
      <w:r w:rsidRPr="00BB7B17">
        <w:t>Brineura</w:t>
      </w:r>
      <w:proofErr w:type="spellEnd"/>
      <w:r w:rsidRPr="00BB7B17">
        <w:t xml:space="preserve">®. </w:t>
      </w:r>
    </w:p>
    <w:p w14:paraId="582D9A47" w14:textId="77777777" w:rsidR="00994536" w:rsidRPr="00BB7B17" w:rsidRDefault="00994536" w:rsidP="00BB7B17">
      <w:r w:rsidRPr="00BB7B17">
        <w:t xml:space="preserve">The Therapeutic Goods Administration (TGA) registration and Product Information for </w:t>
      </w:r>
      <w:proofErr w:type="spellStart"/>
      <w:r w:rsidR="00254D7D" w:rsidRPr="00BB7B17">
        <w:t>cerliponase</w:t>
      </w:r>
      <w:proofErr w:type="spellEnd"/>
      <w:r w:rsidR="00254D7D" w:rsidRPr="00BB7B17">
        <w:t xml:space="preserve"> alfa (</w:t>
      </w:r>
      <w:proofErr w:type="spellStart"/>
      <w:r w:rsidR="00254D7D" w:rsidRPr="00BB7B17">
        <w:t>Brineura</w:t>
      </w:r>
      <w:proofErr w:type="spellEnd"/>
      <w:r w:rsidR="00254D7D" w:rsidRPr="00BB7B17">
        <w:t xml:space="preserve">®) </w:t>
      </w:r>
      <w:r w:rsidRPr="00BB7B17">
        <w:t xml:space="preserve">can be found on the </w:t>
      </w:r>
      <w:hyperlink r:id="rId14" w:history="1">
        <w:r w:rsidRPr="00BB7B17">
          <w:rPr>
            <w:rStyle w:val="Hyperlink"/>
          </w:rPr>
          <w:t>TGA's website</w:t>
        </w:r>
      </w:hyperlink>
      <w:r w:rsidRPr="00BB7B17">
        <w:t>.</w:t>
      </w:r>
    </w:p>
    <w:p w14:paraId="688472ED" w14:textId="77777777" w:rsidR="00994536" w:rsidRPr="00124426" w:rsidRDefault="00994536" w:rsidP="00994536">
      <w:pPr>
        <w:pStyle w:val="Heading2"/>
      </w:pPr>
      <w:r w:rsidRPr="00124426">
        <w:lastRenderedPageBreak/>
        <w:t>Dosage</w:t>
      </w:r>
    </w:p>
    <w:p w14:paraId="3C39E5D5" w14:textId="5804D64B" w:rsidR="00254D7D" w:rsidRPr="00BB7B17" w:rsidRDefault="00254D7D" w:rsidP="00BB7B17">
      <w:r w:rsidRPr="00BB7B17">
        <w:t xml:space="preserve">The maximum dosage of </w:t>
      </w:r>
      <w:proofErr w:type="spellStart"/>
      <w:r w:rsidRPr="00BB7B17">
        <w:t>cerliponase</w:t>
      </w:r>
      <w:proofErr w:type="spellEnd"/>
      <w:r w:rsidRPr="00BB7B17">
        <w:t xml:space="preserve"> alfa that is subsidised through the LSDP is outlined in </w:t>
      </w:r>
      <w:r w:rsidR="001F11E9" w:rsidRPr="00BB7B17">
        <w:t>Table </w:t>
      </w:r>
      <w:r w:rsidRPr="00BB7B17">
        <w:t>1</w:t>
      </w:r>
      <w:r w:rsidR="008336DE" w:rsidRPr="00BB7B17">
        <w:t xml:space="preserve"> below</w:t>
      </w:r>
      <w:r w:rsidRPr="00BB7B17">
        <w:t>. It is administered by infusion via the intracerebroventricular route every other week.</w:t>
      </w:r>
    </w:p>
    <w:p w14:paraId="039DC2B1" w14:textId="73D6A3CD" w:rsidR="00254D7D" w:rsidRDefault="00C92AAF" w:rsidP="00C92AAF">
      <w:pPr>
        <w:pStyle w:val="Caption"/>
      </w:pPr>
      <w:r>
        <w:t xml:space="preserve">Table </w:t>
      </w:r>
      <w:r w:rsidR="00971438">
        <w:fldChar w:fldCharType="begin"/>
      </w:r>
      <w:r w:rsidR="00971438">
        <w:instrText xml:space="preserve"> SEQ Table \* ARABIC </w:instrText>
      </w:r>
      <w:r w:rsidR="00971438">
        <w:fldChar w:fldCharType="separate"/>
      </w:r>
      <w:r>
        <w:rPr>
          <w:noProof/>
        </w:rPr>
        <w:t>1</w:t>
      </w:r>
      <w:r w:rsidR="00971438">
        <w:rPr>
          <w:noProof/>
        </w:rPr>
        <w:fldChar w:fldCharType="end"/>
      </w:r>
      <w:r w:rsidR="00254D7D">
        <w:t xml:space="preserve">: Dose and volume of </w:t>
      </w:r>
      <w:proofErr w:type="spellStart"/>
      <w:r w:rsidR="00254D7D">
        <w:t>cerliponase</w:t>
      </w:r>
      <w:proofErr w:type="spellEnd"/>
      <w:r w:rsidR="00254D7D">
        <w:t xml:space="preserve"> alfa based on </w:t>
      </w:r>
      <w:proofErr w:type="spellStart"/>
      <w:r w:rsidR="00254D7D">
        <w:t>cerliponase</w:t>
      </w:r>
      <w:proofErr w:type="spellEnd"/>
      <w:r w:rsidR="00254D7D">
        <w:t xml:space="preserve"> alfa (</w:t>
      </w:r>
      <w:proofErr w:type="spellStart"/>
      <w:r w:rsidR="00254D7D">
        <w:t>Brineura</w:t>
      </w:r>
      <w:proofErr w:type="spellEnd"/>
      <w:r w:rsidR="00254D7D" w:rsidRPr="00C92AAF">
        <w:rPr>
          <w:rStyle w:val="FootnoteReference"/>
        </w:rPr>
        <w:t>®</w:t>
      </w:r>
      <w:r w:rsidR="00254D7D">
        <w:t>) 30 mg/mL solution for injection.</w:t>
      </w:r>
    </w:p>
    <w:tbl>
      <w:tblPr>
        <w:tblStyle w:val="TableGrid"/>
        <w:tblW w:w="5000" w:type="pct"/>
        <w:tblLook w:val="01E0" w:firstRow="1" w:lastRow="1" w:firstColumn="1" w:lastColumn="1" w:noHBand="0" w:noVBand="0"/>
        <w:tblDescription w:val="Age group, total dose, and volume of Brineura solution. "/>
      </w:tblPr>
      <w:tblGrid>
        <w:gridCol w:w="2122"/>
        <w:gridCol w:w="3542"/>
        <w:gridCol w:w="3396"/>
      </w:tblGrid>
      <w:tr w:rsidR="00254D7D" w:rsidRPr="008336DE" w14:paraId="74F20C4F" w14:textId="77777777" w:rsidTr="00BB7B17">
        <w:trPr>
          <w:cnfStyle w:val="100000000000" w:firstRow="1" w:lastRow="0" w:firstColumn="0" w:lastColumn="0" w:oddVBand="0" w:evenVBand="0" w:oddHBand="0" w:evenHBand="0" w:firstRowFirstColumn="0" w:firstRowLastColumn="0" w:lastRowFirstColumn="0" w:lastRowLastColumn="0"/>
          <w:trHeight w:val="637"/>
        </w:trPr>
        <w:tc>
          <w:tcPr>
            <w:tcW w:w="1171" w:type="pct"/>
          </w:tcPr>
          <w:p w14:paraId="5642A431" w14:textId="3DC9598B" w:rsidR="00254D7D" w:rsidRPr="00BB7B17" w:rsidRDefault="00254D7D" w:rsidP="00BB7B17">
            <w:r w:rsidRPr="00BB7B17">
              <w:t>Age</w:t>
            </w:r>
          </w:p>
        </w:tc>
        <w:tc>
          <w:tcPr>
            <w:cnfStyle w:val="000001000000" w:firstRow="0" w:lastRow="0" w:firstColumn="0" w:lastColumn="0" w:oddVBand="0" w:evenVBand="1" w:oddHBand="0" w:evenHBand="0" w:firstRowFirstColumn="0" w:firstRowLastColumn="0" w:lastRowFirstColumn="0" w:lastRowLastColumn="0"/>
            <w:tcW w:w="1955" w:type="pct"/>
          </w:tcPr>
          <w:p w14:paraId="55A1C5DD" w14:textId="77777777" w:rsidR="00254D7D" w:rsidRPr="00BB7B17" w:rsidRDefault="00254D7D" w:rsidP="00BB7B17">
            <w:r w:rsidRPr="00BB7B17">
              <w:t>Total dose administered every other week (mg)</w:t>
            </w:r>
          </w:p>
        </w:tc>
        <w:tc>
          <w:tcPr>
            <w:cnfStyle w:val="000100000000" w:firstRow="0" w:lastRow="0" w:firstColumn="0" w:lastColumn="1" w:oddVBand="0" w:evenVBand="0" w:oddHBand="0" w:evenHBand="0" w:firstRowFirstColumn="0" w:firstRowLastColumn="0" w:lastRowFirstColumn="0" w:lastRowLastColumn="0"/>
            <w:tcW w:w="1874" w:type="pct"/>
          </w:tcPr>
          <w:p w14:paraId="3A3095DD" w14:textId="77777777" w:rsidR="00254D7D" w:rsidRPr="00BB7B17" w:rsidRDefault="00254D7D" w:rsidP="00BB7B17">
            <w:r w:rsidRPr="00BB7B17">
              <w:t xml:space="preserve">Volume of </w:t>
            </w:r>
            <w:proofErr w:type="spellStart"/>
            <w:r w:rsidRPr="00BB7B17">
              <w:t>Brineura</w:t>
            </w:r>
            <w:proofErr w:type="spellEnd"/>
            <w:r w:rsidRPr="00BB7B17">
              <w:t xml:space="preserve"> solution (mL)</w:t>
            </w:r>
          </w:p>
        </w:tc>
      </w:tr>
      <w:tr w:rsidR="00254D7D" w:rsidRPr="008336DE" w14:paraId="36ED3F9E" w14:textId="77777777" w:rsidTr="00BB7B17">
        <w:trPr>
          <w:trHeight w:val="417"/>
        </w:trPr>
        <w:tc>
          <w:tcPr>
            <w:tcW w:w="1171" w:type="pct"/>
          </w:tcPr>
          <w:p w14:paraId="04CF286A" w14:textId="77777777" w:rsidR="00254D7D" w:rsidRPr="00BB7B17" w:rsidRDefault="00254D7D" w:rsidP="00BB7B17">
            <w:r w:rsidRPr="00BB7B17">
              <w:t>Birth to &lt;6 months</w:t>
            </w:r>
          </w:p>
        </w:tc>
        <w:tc>
          <w:tcPr>
            <w:cnfStyle w:val="000001000000" w:firstRow="0" w:lastRow="0" w:firstColumn="0" w:lastColumn="0" w:oddVBand="0" w:evenVBand="1" w:oddHBand="0" w:evenHBand="0" w:firstRowFirstColumn="0" w:firstRowLastColumn="0" w:lastRowFirstColumn="0" w:lastRowLastColumn="0"/>
            <w:tcW w:w="1955" w:type="pct"/>
          </w:tcPr>
          <w:p w14:paraId="1A4E2BC6" w14:textId="77777777" w:rsidR="00254D7D" w:rsidRPr="00BB7B17" w:rsidRDefault="00254D7D" w:rsidP="00BB7B17">
            <w:r w:rsidRPr="00BB7B17">
              <w:t>100</w:t>
            </w:r>
          </w:p>
        </w:tc>
        <w:tc>
          <w:tcPr>
            <w:cnfStyle w:val="000100000000" w:firstRow="0" w:lastRow="0" w:firstColumn="0" w:lastColumn="1" w:oddVBand="0" w:evenVBand="0" w:oddHBand="0" w:evenHBand="0" w:firstRowFirstColumn="0" w:firstRowLastColumn="0" w:lastRowFirstColumn="0" w:lastRowLastColumn="0"/>
            <w:tcW w:w="1874" w:type="pct"/>
          </w:tcPr>
          <w:p w14:paraId="43F2066C" w14:textId="77777777" w:rsidR="00254D7D" w:rsidRPr="00BB7B17" w:rsidRDefault="00254D7D" w:rsidP="00BB7B17">
            <w:r w:rsidRPr="00BB7B17">
              <w:t>3.3</w:t>
            </w:r>
          </w:p>
        </w:tc>
      </w:tr>
      <w:tr w:rsidR="00254D7D" w:rsidRPr="008336DE" w14:paraId="10A6D247" w14:textId="77777777" w:rsidTr="00BB7B17">
        <w:trPr>
          <w:trHeight w:val="422"/>
        </w:trPr>
        <w:tc>
          <w:tcPr>
            <w:tcW w:w="1171" w:type="pct"/>
          </w:tcPr>
          <w:p w14:paraId="46AE56D5" w14:textId="77777777" w:rsidR="00254D7D" w:rsidRPr="00BB7B17" w:rsidRDefault="00254D7D" w:rsidP="00BB7B17">
            <w:r w:rsidRPr="00BB7B17">
              <w:t>6 months to &lt;1 year</w:t>
            </w:r>
          </w:p>
        </w:tc>
        <w:tc>
          <w:tcPr>
            <w:cnfStyle w:val="000001000000" w:firstRow="0" w:lastRow="0" w:firstColumn="0" w:lastColumn="0" w:oddVBand="0" w:evenVBand="1" w:oddHBand="0" w:evenHBand="0" w:firstRowFirstColumn="0" w:firstRowLastColumn="0" w:lastRowFirstColumn="0" w:lastRowLastColumn="0"/>
            <w:tcW w:w="1955" w:type="pct"/>
          </w:tcPr>
          <w:p w14:paraId="2945F954" w14:textId="77777777" w:rsidR="00254D7D" w:rsidRPr="00BB7B17" w:rsidRDefault="00254D7D" w:rsidP="00BB7B17">
            <w:r w:rsidRPr="00BB7B17">
              <w:t>150</w:t>
            </w:r>
          </w:p>
        </w:tc>
        <w:tc>
          <w:tcPr>
            <w:cnfStyle w:val="000100000000" w:firstRow="0" w:lastRow="0" w:firstColumn="0" w:lastColumn="1" w:oddVBand="0" w:evenVBand="0" w:oddHBand="0" w:evenHBand="0" w:firstRowFirstColumn="0" w:firstRowLastColumn="0" w:lastRowFirstColumn="0" w:lastRowLastColumn="0"/>
            <w:tcW w:w="1874" w:type="pct"/>
          </w:tcPr>
          <w:p w14:paraId="7C7ADE15" w14:textId="77777777" w:rsidR="00254D7D" w:rsidRPr="00BB7B17" w:rsidRDefault="00254D7D" w:rsidP="00BB7B17">
            <w:r w:rsidRPr="00BB7B17">
              <w:t>5</w:t>
            </w:r>
          </w:p>
        </w:tc>
      </w:tr>
      <w:tr w:rsidR="00254D7D" w:rsidRPr="008336DE" w14:paraId="14C7900E" w14:textId="77777777" w:rsidTr="00BB7B17">
        <w:trPr>
          <w:trHeight w:val="633"/>
        </w:trPr>
        <w:tc>
          <w:tcPr>
            <w:tcW w:w="1171" w:type="pct"/>
          </w:tcPr>
          <w:p w14:paraId="6ADDB100" w14:textId="77777777" w:rsidR="00254D7D" w:rsidRPr="00BB7B17" w:rsidRDefault="00254D7D" w:rsidP="00BB7B17">
            <w:r w:rsidRPr="00BB7B17">
              <w:t>1 year to &lt;2 years</w:t>
            </w:r>
          </w:p>
        </w:tc>
        <w:tc>
          <w:tcPr>
            <w:cnfStyle w:val="000001000000" w:firstRow="0" w:lastRow="0" w:firstColumn="0" w:lastColumn="0" w:oddVBand="0" w:evenVBand="1" w:oddHBand="0" w:evenHBand="0" w:firstRowFirstColumn="0" w:firstRowLastColumn="0" w:lastRowFirstColumn="0" w:lastRowLastColumn="0"/>
            <w:tcW w:w="1955" w:type="pct"/>
          </w:tcPr>
          <w:p w14:paraId="55DC4A94" w14:textId="77777777" w:rsidR="00254D7D" w:rsidRPr="00BB7B17" w:rsidRDefault="00254D7D" w:rsidP="00BB7B17">
            <w:r w:rsidRPr="00BB7B17">
              <w:t>200 (first 4 doses)</w:t>
            </w:r>
          </w:p>
          <w:p w14:paraId="7F25FA16" w14:textId="77777777" w:rsidR="00254D7D" w:rsidRPr="008336DE" w:rsidRDefault="00254D7D" w:rsidP="00BB7B17">
            <w:pPr>
              <w:rPr>
                <w:sz w:val="20"/>
              </w:rPr>
            </w:pPr>
            <w:r w:rsidRPr="00BB7B17">
              <w:t>300 (subsequent doses)</w:t>
            </w:r>
          </w:p>
        </w:tc>
        <w:tc>
          <w:tcPr>
            <w:cnfStyle w:val="000100000000" w:firstRow="0" w:lastRow="0" w:firstColumn="0" w:lastColumn="1" w:oddVBand="0" w:evenVBand="0" w:oddHBand="0" w:evenHBand="0" w:firstRowFirstColumn="0" w:firstRowLastColumn="0" w:lastRowFirstColumn="0" w:lastRowLastColumn="0"/>
            <w:tcW w:w="1874" w:type="pct"/>
          </w:tcPr>
          <w:p w14:paraId="6EF81487" w14:textId="77777777" w:rsidR="00254D7D" w:rsidRPr="00BB7B17" w:rsidRDefault="00254D7D" w:rsidP="00BB7B17">
            <w:r w:rsidRPr="00BB7B17">
              <w:t xml:space="preserve">6.7 (first 4 doses) </w:t>
            </w:r>
          </w:p>
          <w:p w14:paraId="3E3866AB" w14:textId="77777777" w:rsidR="00254D7D" w:rsidRPr="008336DE" w:rsidRDefault="00254D7D" w:rsidP="00BB7B17">
            <w:pPr>
              <w:rPr>
                <w:sz w:val="20"/>
              </w:rPr>
            </w:pPr>
            <w:r w:rsidRPr="00BB7B17">
              <w:t>10 (subsequent doses)</w:t>
            </w:r>
          </w:p>
        </w:tc>
      </w:tr>
      <w:tr w:rsidR="00254D7D" w:rsidRPr="008336DE" w14:paraId="34892463" w14:textId="77777777" w:rsidTr="00BB7B17">
        <w:trPr>
          <w:trHeight w:val="424"/>
        </w:trPr>
        <w:tc>
          <w:tcPr>
            <w:tcW w:w="1171" w:type="pct"/>
          </w:tcPr>
          <w:p w14:paraId="46EE2C12" w14:textId="77777777" w:rsidR="00254D7D" w:rsidRPr="00BB7B17" w:rsidRDefault="00254D7D" w:rsidP="00BB7B17">
            <w:r w:rsidRPr="00BB7B17">
              <w:t>2 years and older</w:t>
            </w:r>
          </w:p>
        </w:tc>
        <w:tc>
          <w:tcPr>
            <w:cnfStyle w:val="000001000000" w:firstRow="0" w:lastRow="0" w:firstColumn="0" w:lastColumn="0" w:oddVBand="0" w:evenVBand="1" w:oddHBand="0" w:evenHBand="0" w:firstRowFirstColumn="0" w:firstRowLastColumn="0" w:lastRowFirstColumn="0" w:lastRowLastColumn="0"/>
            <w:tcW w:w="1955" w:type="pct"/>
          </w:tcPr>
          <w:p w14:paraId="3A1D9737" w14:textId="77777777" w:rsidR="00254D7D" w:rsidRPr="00BB7B17" w:rsidRDefault="00254D7D" w:rsidP="00BB7B17">
            <w:r w:rsidRPr="00BB7B17">
              <w:t>300</w:t>
            </w:r>
          </w:p>
        </w:tc>
        <w:tc>
          <w:tcPr>
            <w:cnfStyle w:val="000100000000" w:firstRow="0" w:lastRow="0" w:firstColumn="0" w:lastColumn="1" w:oddVBand="0" w:evenVBand="0" w:oddHBand="0" w:evenHBand="0" w:firstRowFirstColumn="0" w:firstRowLastColumn="0" w:lastRowFirstColumn="0" w:lastRowLastColumn="0"/>
            <w:tcW w:w="1874" w:type="pct"/>
          </w:tcPr>
          <w:p w14:paraId="1C3EE94E" w14:textId="77777777" w:rsidR="00254D7D" w:rsidRPr="00BB7B17" w:rsidRDefault="00254D7D" w:rsidP="00BB7B17">
            <w:r w:rsidRPr="00BB7B17">
              <w:t>10</w:t>
            </w:r>
          </w:p>
        </w:tc>
      </w:tr>
    </w:tbl>
    <w:p w14:paraId="0C45B5A5" w14:textId="77777777" w:rsidR="00994536" w:rsidRDefault="00994536" w:rsidP="00994536">
      <w:pPr>
        <w:pStyle w:val="Heading1"/>
      </w:pPr>
      <w:r w:rsidRPr="00124426">
        <w:t>General eligibility requirements</w:t>
      </w:r>
    </w:p>
    <w:p w14:paraId="69563FF3" w14:textId="77777777" w:rsidR="00994536" w:rsidRPr="00BB7B17" w:rsidRDefault="00994536" w:rsidP="00BB7B17">
      <w:pPr>
        <w:pStyle w:val="Heading2"/>
      </w:pPr>
      <w:r w:rsidRPr="00BB7B17">
        <w:t>LSDP funding conditions</w:t>
      </w:r>
    </w:p>
    <w:p w14:paraId="2CE03248" w14:textId="0CA4AC8F" w:rsidR="00994536" w:rsidRPr="00BB7B17" w:rsidRDefault="00994536" w:rsidP="00BB7B17">
      <w:r w:rsidRPr="00BB7B17">
        <w:t xml:space="preserve">A patient must continually meet the LSDP funding conditions </w:t>
      </w:r>
      <w:proofErr w:type="gramStart"/>
      <w:r w:rsidRPr="00BB7B17">
        <w:t>in order to</w:t>
      </w:r>
      <w:proofErr w:type="gramEnd"/>
      <w:r w:rsidRPr="00BB7B17">
        <w:t xml:space="preserve"> be eligible to receive access to Australian Government</w:t>
      </w:r>
      <w:r w:rsidR="001F11E9" w:rsidRPr="00BB7B17">
        <w:t>-</w:t>
      </w:r>
      <w:r w:rsidRPr="00BB7B17">
        <w:t xml:space="preserve">subsidised treatment for </w:t>
      </w:r>
      <w:r w:rsidR="00254D7D" w:rsidRPr="00BB7B17">
        <w:t xml:space="preserve">CLN2 disease </w:t>
      </w:r>
      <w:r w:rsidRPr="00BB7B17">
        <w:t>through the LSDP.</w:t>
      </w:r>
    </w:p>
    <w:p w14:paraId="2FF5C84D" w14:textId="77777777" w:rsidR="00994536" w:rsidRPr="00BB7B17" w:rsidRDefault="00994536" w:rsidP="00BB7B17">
      <w:r w:rsidRPr="00BB7B17">
        <w:t xml:space="preserve">The current LSDP funding conditions can be found on the </w:t>
      </w:r>
      <w:hyperlink r:id="rId15" w:history="1">
        <w:r w:rsidRPr="00BB7B17">
          <w:rPr>
            <w:rStyle w:val="Hyperlink"/>
          </w:rPr>
          <w:t>program’s website</w:t>
        </w:r>
      </w:hyperlink>
      <w:r w:rsidRPr="00BB7B17">
        <w:t xml:space="preserve">. </w:t>
      </w:r>
    </w:p>
    <w:p w14:paraId="03120B24" w14:textId="77777777" w:rsidR="00254D7D" w:rsidRPr="00BB7B17" w:rsidRDefault="00254D7D" w:rsidP="00BB7B17">
      <w:r w:rsidRPr="00BB7B17">
        <w:t>For CLN2 disease, a patient must:</w:t>
      </w:r>
    </w:p>
    <w:p w14:paraId="66421D65" w14:textId="1AA8ACAE" w:rsidR="00254D7D" w:rsidRPr="00BB7B17" w:rsidRDefault="000A5BAB" w:rsidP="00BB7B17">
      <w:pPr>
        <w:pStyle w:val="ListBullet"/>
      </w:pPr>
      <w:r w:rsidRPr="00BB7B17">
        <w:t>s</w:t>
      </w:r>
      <w:r w:rsidR="00254D7D" w:rsidRPr="00BB7B17">
        <w:t xml:space="preserve">atisfy the initial and ongoing eligibility criteria as detailed in these </w:t>
      </w:r>
      <w:proofErr w:type="gramStart"/>
      <w:r w:rsidR="00254D7D" w:rsidRPr="00BB7B17">
        <w:t>Guidelines</w:t>
      </w:r>
      <w:proofErr w:type="gramEnd"/>
    </w:p>
    <w:p w14:paraId="116EAA2D" w14:textId="4CA5E260" w:rsidR="00254D7D" w:rsidRPr="00BB7B17" w:rsidRDefault="00254D7D" w:rsidP="00BB7B17">
      <w:pPr>
        <w:pStyle w:val="ListBullet"/>
      </w:pPr>
      <w:r w:rsidRPr="00BB7B17">
        <w:t xml:space="preserve">participate in the evaluation of effectiveness of the </w:t>
      </w:r>
      <w:r w:rsidR="00E05B2F" w:rsidRPr="00BB7B17">
        <w:t xml:space="preserve">medicine </w:t>
      </w:r>
      <w:r w:rsidRPr="00BB7B17">
        <w:t xml:space="preserve">by periodic assessment, as directed by these Guidelines, or have an acceptable reason not to </w:t>
      </w:r>
      <w:proofErr w:type="gramStart"/>
      <w:r w:rsidRPr="00BB7B17">
        <w:t>participate</w:t>
      </w:r>
      <w:proofErr w:type="gramEnd"/>
    </w:p>
    <w:p w14:paraId="5D833BD7" w14:textId="042C687C" w:rsidR="00254D7D" w:rsidRPr="00BB7B17" w:rsidRDefault="00254D7D" w:rsidP="00BB7B17">
      <w:pPr>
        <w:pStyle w:val="ListBullet"/>
      </w:pPr>
      <w:r w:rsidRPr="00BB7B17">
        <w:t xml:space="preserve">not be suffering from any other medical condition, including complications or sequelae of CLN2 disease, that might compromise the effectiveness of the </w:t>
      </w:r>
      <w:r w:rsidR="007B6C16" w:rsidRPr="00BB7B17">
        <w:t xml:space="preserve">medicine </w:t>
      </w:r>
      <w:r w:rsidRPr="00BB7B17">
        <w:t>treatment; and</w:t>
      </w:r>
    </w:p>
    <w:p w14:paraId="0E9B897D" w14:textId="376299BF" w:rsidR="00254D7D" w:rsidRPr="00BB7B17" w:rsidRDefault="00254D7D" w:rsidP="00BB7B17">
      <w:pPr>
        <w:pStyle w:val="ListBullet"/>
      </w:pPr>
      <w:r w:rsidRPr="00BB7B17">
        <w:t>be an Australian citizen or permanent Australian resident who qualifies for Medicare.</w:t>
      </w:r>
    </w:p>
    <w:p w14:paraId="5CB10E4D" w14:textId="237E78A6" w:rsidR="003D5852" w:rsidRPr="00BB7B17" w:rsidRDefault="003D5852" w:rsidP="00BB7B17">
      <w:r w:rsidRPr="00BB7B17">
        <w:t>In most cases, participation in a clinical trial will not affect a patient’s eligibility to access LSDP medicines. However, treating physicians are required to advise the LSDP if their patient is participating in a clinical trial.</w:t>
      </w:r>
    </w:p>
    <w:p w14:paraId="7FF646D7" w14:textId="77777777" w:rsidR="00994536" w:rsidRDefault="00994536" w:rsidP="00994536">
      <w:pPr>
        <w:pStyle w:val="Heading2"/>
      </w:pPr>
      <w:r>
        <w:t>Exclusion criteria</w:t>
      </w:r>
    </w:p>
    <w:p w14:paraId="26089C6B" w14:textId="44DFE2FE" w:rsidR="00254D7D" w:rsidRPr="00BB7B17" w:rsidRDefault="00254D7D" w:rsidP="00BB7B17">
      <w:r w:rsidRPr="00BB7B17">
        <w:t xml:space="preserve">The following patients are not eligible for subsidised treatment with </w:t>
      </w:r>
      <w:proofErr w:type="spellStart"/>
      <w:r w:rsidRPr="00BB7B17">
        <w:t>cerliponase</w:t>
      </w:r>
      <w:proofErr w:type="spellEnd"/>
      <w:r w:rsidRPr="00BB7B17">
        <w:t xml:space="preserve"> alfa for CLN2 disease through the LSDP:</w:t>
      </w:r>
    </w:p>
    <w:p w14:paraId="590CBA34" w14:textId="65FE1D5A" w:rsidR="00254D7D" w:rsidRPr="00BB7B17" w:rsidRDefault="00254D7D" w:rsidP="00BB7B17">
      <w:pPr>
        <w:pStyle w:val="ListBullet"/>
      </w:pPr>
      <w:r w:rsidRPr="00BB7B17">
        <w:lastRenderedPageBreak/>
        <w:t>Patients with another life threatening or severe disease where the long</w:t>
      </w:r>
      <w:r w:rsidR="001F11E9" w:rsidRPr="00BB7B17">
        <w:noBreakHyphen/>
      </w:r>
      <w:r w:rsidRPr="00BB7B17">
        <w:t>term prognosis is unlikely to be influenced by enzyme replacement therapy (ERT).</w:t>
      </w:r>
    </w:p>
    <w:p w14:paraId="58504244" w14:textId="124D8B67" w:rsidR="00254D7D" w:rsidRPr="00BB7B17" w:rsidRDefault="001E0D16" w:rsidP="00BB7B17">
      <w:pPr>
        <w:pStyle w:val="ListBullet"/>
      </w:pPr>
      <w:r w:rsidRPr="00BB7B17">
        <w:t xml:space="preserve">Patients with </w:t>
      </w:r>
      <w:r w:rsidR="00254D7D" w:rsidRPr="00BB7B17">
        <w:t>another medical condition that might reasonably be expected to compromise a response to ERT.</w:t>
      </w:r>
    </w:p>
    <w:p w14:paraId="1A0B21B1" w14:textId="0646278A" w:rsidR="00254D7D" w:rsidRPr="00BB7B17" w:rsidRDefault="00254D7D" w:rsidP="00BB7B17">
      <w:r w:rsidRPr="00BB7B17">
        <w:t xml:space="preserve">Note: There is no evidence of treatment benefit when patients reach an unreversed </w:t>
      </w:r>
      <w:r w:rsidR="00B46911" w:rsidRPr="00BB7B17">
        <w:t>motor language (</w:t>
      </w:r>
      <w:r w:rsidRPr="00BB7B17">
        <w:t>ML</w:t>
      </w:r>
      <w:r w:rsidR="00B46911" w:rsidRPr="00BB7B17">
        <w:t>)</w:t>
      </w:r>
      <w:r w:rsidRPr="00BB7B17">
        <w:t xml:space="preserve"> score of zero</w:t>
      </w:r>
      <w:r w:rsidR="007A15F9" w:rsidRPr="00BB7B17">
        <w:t xml:space="preserve"> (0)</w:t>
      </w:r>
      <w:r w:rsidRPr="00BB7B17">
        <w:t>.</w:t>
      </w:r>
    </w:p>
    <w:p w14:paraId="1689A47B" w14:textId="587F598C" w:rsidR="00994536" w:rsidRDefault="00994536" w:rsidP="00994536">
      <w:pPr>
        <w:pStyle w:val="Heading1"/>
      </w:pPr>
      <w:r>
        <w:t>Initial eligibility requirements</w:t>
      </w:r>
    </w:p>
    <w:p w14:paraId="3977C931" w14:textId="77777777" w:rsidR="00994536" w:rsidRPr="00BB7B17" w:rsidRDefault="00994536" w:rsidP="00BB7B17">
      <w:pPr>
        <w:pStyle w:val="Heading2"/>
      </w:pPr>
      <w:r w:rsidRPr="00BB7B17">
        <w:t>Diagnosis</w:t>
      </w:r>
    </w:p>
    <w:p w14:paraId="436E33B8" w14:textId="77777777" w:rsidR="00254D7D" w:rsidRPr="00C92AAF" w:rsidRDefault="00254D7D" w:rsidP="00C92AAF">
      <w:r w:rsidRPr="00C92AAF">
        <w:t>The diagnosis of CLN2 disease must be confirmed by the demonstration of the following tests:</w:t>
      </w:r>
    </w:p>
    <w:p w14:paraId="75C2E84A" w14:textId="04B87858" w:rsidR="00254D7D" w:rsidRPr="00BB7B17" w:rsidRDefault="00254D7D" w:rsidP="00BB7B17">
      <w:pPr>
        <w:pStyle w:val="ListBullet"/>
      </w:pPr>
      <w:proofErr w:type="spellStart"/>
      <w:r w:rsidRPr="00BB7B17">
        <w:t>Tripeptidylpeptidase</w:t>
      </w:r>
      <w:proofErr w:type="spellEnd"/>
      <w:r w:rsidRPr="00BB7B17">
        <w:t xml:space="preserve"> 1 (TPP1) enzyme deficiency: TPP1 deficiency in white blood cells or skin fibroblasts, </w:t>
      </w:r>
      <w:r w:rsidR="000A5BAB" w:rsidRPr="00BB7B17">
        <w:t>and</w:t>
      </w:r>
    </w:p>
    <w:p w14:paraId="515665E7" w14:textId="7F4F23CA" w:rsidR="00254D7D" w:rsidRPr="00BB7B17" w:rsidRDefault="00254D7D" w:rsidP="00BB7B17">
      <w:pPr>
        <w:pStyle w:val="ListBullet"/>
      </w:pPr>
      <w:r w:rsidRPr="00BB7B17">
        <w:t>Genetic test for mutations of the CLN2 gene.</w:t>
      </w:r>
    </w:p>
    <w:p w14:paraId="7A90350B" w14:textId="33DE9CEA" w:rsidR="00254D7D" w:rsidRPr="00BB7B17" w:rsidRDefault="00254D7D" w:rsidP="00BB7B17">
      <w:r w:rsidRPr="00BB7B17">
        <w:t xml:space="preserve">Initial treatment may commence based on the presence of TPP1 deficiency. Within </w:t>
      </w:r>
      <w:r w:rsidR="001F11E9" w:rsidRPr="00BB7B17">
        <w:t xml:space="preserve">8 </w:t>
      </w:r>
      <w:r w:rsidRPr="00BB7B17">
        <w:t>weeks of commencing initial treatment, results of the CLN2 disease genetic test must be forwarded to the LSDP</w:t>
      </w:r>
      <w:r w:rsidR="008336DE" w:rsidRPr="00BB7B17">
        <w:t xml:space="preserve"> for the patient</w:t>
      </w:r>
      <w:r w:rsidRPr="00BB7B17">
        <w:t xml:space="preserve"> to be considered for ongoing subsidised treatment though the LSDP.</w:t>
      </w:r>
    </w:p>
    <w:p w14:paraId="094FD6F1" w14:textId="1425AFD2" w:rsidR="00254D7D" w:rsidRPr="00BB7B17" w:rsidRDefault="00254D7D" w:rsidP="00BB7B17">
      <w:r w:rsidRPr="00BB7B17">
        <w:t xml:space="preserve">If </w:t>
      </w:r>
      <w:r w:rsidR="000A5BAB" w:rsidRPr="00BB7B17">
        <w:t>2</w:t>
      </w:r>
      <w:r w:rsidRPr="00BB7B17">
        <w:t xml:space="preserve"> pathogenic mutations are not confirmed by genetic testing</w:t>
      </w:r>
      <w:r w:rsidR="008336DE" w:rsidRPr="00BB7B17">
        <w:t>, the LSDP may undertake</w:t>
      </w:r>
      <w:r w:rsidRPr="00BB7B17">
        <w:t xml:space="preserve"> a review of the eligibility based on the TPP1 deficiency data and genetic test results</w:t>
      </w:r>
      <w:r w:rsidR="008336DE" w:rsidRPr="00BB7B17">
        <w:t xml:space="preserve">, </w:t>
      </w:r>
      <w:r w:rsidRPr="00BB7B17">
        <w:t xml:space="preserve">in consultation with one or more expert clinicians who have experience and expertise in CLN2 disease. In such cases, strong evidence of TPP1 deficiency may be accepted </w:t>
      </w:r>
      <w:r w:rsidR="008336DE" w:rsidRPr="00BB7B17">
        <w:t>to support long term eligibility,</w:t>
      </w:r>
      <w:r w:rsidRPr="00BB7B17">
        <w:t xml:space="preserve"> only after receipt of the genetic test results.</w:t>
      </w:r>
    </w:p>
    <w:p w14:paraId="56F59D69" w14:textId="1226E180" w:rsidR="00254D7D" w:rsidRPr="00BB7B17" w:rsidRDefault="00254D7D" w:rsidP="00BB7B17">
      <w:r w:rsidRPr="00BB7B17">
        <w:t>Baseline results for complications of CLN2 disease are to be provided with supporting evidence</w:t>
      </w:r>
      <w:r w:rsidR="008336DE" w:rsidRPr="00BB7B17">
        <w:t>,</w:t>
      </w:r>
      <w:r w:rsidRPr="00BB7B17">
        <w:t xml:space="preserve"> which may include but is not limited to language ability, motor ability, ML score, feeding status, seizures, </w:t>
      </w:r>
      <w:proofErr w:type="gramStart"/>
      <w:r w:rsidRPr="00BB7B17">
        <w:t>myoclonus</w:t>
      </w:r>
      <w:proofErr w:type="gramEnd"/>
      <w:r w:rsidRPr="00BB7B17">
        <w:t xml:space="preserve"> and vision.</w:t>
      </w:r>
    </w:p>
    <w:p w14:paraId="27A4B863" w14:textId="77777777" w:rsidR="001E2E7C" w:rsidRPr="00BB7B17" w:rsidRDefault="001E2E7C" w:rsidP="00BB7B17">
      <w:r w:rsidRPr="00BB7B17">
        <w:t xml:space="preserve">See the </w:t>
      </w:r>
      <w:hyperlink r:id="rId16" w:history="1">
        <w:r w:rsidRPr="00BB7B17">
          <w:rPr>
            <w:rStyle w:val="Hyperlink"/>
          </w:rPr>
          <w:t>initial application form</w:t>
        </w:r>
      </w:hyperlink>
      <w:r w:rsidRPr="00BB7B17">
        <w:t>.</w:t>
      </w:r>
    </w:p>
    <w:p w14:paraId="75426F60" w14:textId="77777777" w:rsidR="00994536" w:rsidRDefault="00994536" w:rsidP="00994536">
      <w:pPr>
        <w:pStyle w:val="Heading1"/>
      </w:pPr>
      <w:r w:rsidRPr="004925A0">
        <w:t>Ongoing eligibility requirements</w:t>
      </w:r>
    </w:p>
    <w:p w14:paraId="10B7A5AC" w14:textId="0D000567" w:rsidR="005A2370" w:rsidRPr="00BB7B17" w:rsidRDefault="005A2370" w:rsidP="00BB7B17">
      <w:r w:rsidRPr="00BB7B17">
        <w:t xml:space="preserve">The treating physician must submit the separate </w:t>
      </w:r>
      <w:hyperlink r:id="rId17" w:history="1">
        <w:r w:rsidRPr="00BB7B17">
          <w:rPr>
            <w:rStyle w:val="Hyperlink"/>
          </w:rPr>
          <w:t>reapplication form</w:t>
        </w:r>
      </w:hyperlink>
      <w:r w:rsidR="0087230C" w:rsidRPr="00BB7B17">
        <w:t xml:space="preserve"> </w:t>
      </w:r>
      <w:r w:rsidRPr="00BB7B17">
        <w:t>to the LSDP by 1 May every year if they wish their patient to continue to receive subsidised treatment through the LSDP.</w:t>
      </w:r>
    </w:p>
    <w:p w14:paraId="51646A8B" w14:textId="77777777" w:rsidR="002C50A8" w:rsidRPr="00BB7B17" w:rsidRDefault="002C50A8" w:rsidP="00BB7B17">
      <w:r w:rsidRPr="00BB7B17">
        <w:t>If a reapplication is not submitted by 1 May each year without a clinical justification, the patient is at risk of having their treatment paused until the reapplication is received.</w:t>
      </w:r>
    </w:p>
    <w:p w14:paraId="705B6B42" w14:textId="77777777" w:rsidR="00254D7D" w:rsidRPr="00BB7B17" w:rsidRDefault="00254D7D" w:rsidP="00BB7B17">
      <w:r w:rsidRPr="00BB7B17">
        <w:t>The reapplication form must demonstrate clinical stabilisation or slowing of progression of the patient's condition, and evidence to support ongoing eligibility for the treatment of CLN2 disease must be provided.</w:t>
      </w:r>
    </w:p>
    <w:p w14:paraId="7E2EB085" w14:textId="77777777" w:rsidR="00254D7D" w:rsidRPr="00BB7B17" w:rsidRDefault="00254D7D" w:rsidP="00BB7B17">
      <w:r w:rsidRPr="00BB7B17">
        <w:t>The treating physician must declare that the patient continues to meet the eligibility criteria to receive subsidised treatment through the LSDP in accordance with the guidelines.</w:t>
      </w:r>
    </w:p>
    <w:p w14:paraId="42F61CA5" w14:textId="6495ECCD" w:rsidR="0051131E" w:rsidRPr="00BB7B17" w:rsidRDefault="0051131E" w:rsidP="00BB7B17">
      <w:r w:rsidRPr="00BB7B17">
        <w:lastRenderedPageBreak/>
        <w:t>The clinic letter and test results provided to support the reapplication must be no more than 12 months old at the time of each reapplication and should not have been used to support a previous application or reapplication.</w:t>
      </w:r>
    </w:p>
    <w:p w14:paraId="6036CDBC" w14:textId="77777777" w:rsidR="00254D7D" w:rsidRPr="00BB7B17" w:rsidRDefault="00254D7D" w:rsidP="00BB7B17">
      <w:r w:rsidRPr="00BB7B17">
        <w:t>Subsidised treatment may continue unless one or more of the following situations apply:</w:t>
      </w:r>
    </w:p>
    <w:p w14:paraId="317F8309" w14:textId="77777777" w:rsidR="00254D7D" w:rsidRPr="00BB7B17" w:rsidRDefault="00254D7D" w:rsidP="00BB7B17">
      <w:pPr>
        <w:pStyle w:val="ListBullet"/>
      </w:pPr>
      <w:r w:rsidRPr="00BB7B17">
        <w:t>failure to comply adequa</w:t>
      </w:r>
      <w:r w:rsidR="00B11FDD" w:rsidRPr="00BB7B17">
        <w:t xml:space="preserve">tely with treatment or </w:t>
      </w:r>
      <w:proofErr w:type="gramStart"/>
      <w:r w:rsidR="00B11FDD" w:rsidRPr="00BB7B17">
        <w:t>measures</w:t>
      </w:r>
      <w:proofErr w:type="gramEnd"/>
    </w:p>
    <w:p w14:paraId="03D2ACAA" w14:textId="255D5271" w:rsidR="00254D7D" w:rsidRPr="00BB7B17" w:rsidRDefault="00254D7D" w:rsidP="00BB7B17">
      <w:pPr>
        <w:pStyle w:val="ListBullet"/>
      </w:pPr>
      <w:r w:rsidRPr="00BB7B17">
        <w:t xml:space="preserve">failure to provide data, copies of the test results and the </w:t>
      </w:r>
      <w:hyperlink r:id="rId18" w:history="1">
        <w:r w:rsidR="00ED6927" w:rsidRPr="008336DE">
          <w:rPr>
            <w:rStyle w:val="Hyperlink"/>
            <w:szCs w:val="22"/>
          </w:rPr>
          <w:t>Excel spreadsheet</w:t>
        </w:r>
      </w:hyperlink>
      <w:r w:rsidR="00ED6927" w:rsidRPr="00BB7B17">
        <w:t xml:space="preserve"> </w:t>
      </w:r>
      <w:r w:rsidRPr="00BB7B17">
        <w:t>for CLN2 disease evidencing t</w:t>
      </w:r>
      <w:r w:rsidR="00B11FDD" w:rsidRPr="00BB7B17">
        <w:t>he effectiveness of the therapy</w:t>
      </w:r>
      <w:r w:rsidR="00724F12" w:rsidRPr="00BB7B17">
        <w:t xml:space="preserve">. Test results must not be more than 12 months old at the time of reapplication to the LSDP and should not have been used to support a previous application or </w:t>
      </w:r>
      <w:proofErr w:type="gramStart"/>
      <w:r w:rsidR="00724F12" w:rsidRPr="00BB7B17">
        <w:t>reapplication</w:t>
      </w:r>
      <w:proofErr w:type="gramEnd"/>
    </w:p>
    <w:p w14:paraId="025759D5" w14:textId="5E9B394E" w:rsidR="00254D7D" w:rsidRPr="00BB7B17" w:rsidRDefault="00254D7D" w:rsidP="00BB7B17">
      <w:pPr>
        <w:pStyle w:val="ListBullet"/>
      </w:pPr>
      <w:r w:rsidRPr="00BB7B17">
        <w:t>the patient has severe infusion related reactions which are not preventable/manageable by appropriate (pre-</w:t>
      </w:r>
      <w:r w:rsidR="00103DFF" w:rsidRPr="00BB7B17">
        <w:t>)</w:t>
      </w:r>
      <w:r w:rsidRPr="00BB7B17">
        <w:t>medication and/or adjustment of the infusion</w:t>
      </w:r>
      <w:r w:rsidR="0005060F" w:rsidRPr="00BB7B17">
        <w:t xml:space="preserve"> </w:t>
      </w:r>
      <w:proofErr w:type="gramStart"/>
      <w:r w:rsidRPr="00BB7B17">
        <w:t>rate</w:t>
      </w:r>
      <w:proofErr w:type="gramEnd"/>
    </w:p>
    <w:p w14:paraId="6C1DEE75" w14:textId="77777777" w:rsidR="00254D7D" w:rsidRPr="00BB7B17" w:rsidRDefault="00254D7D" w:rsidP="00BB7B17">
      <w:pPr>
        <w:pStyle w:val="ListBullet"/>
      </w:pPr>
      <w:r w:rsidRPr="00BB7B17">
        <w:t>the patient develops another life threatening or severe disease where the long-term prognosis is u</w:t>
      </w:r>
      <w:r w:rsidR="00B11FDD" w:rsidRPr="00BB7B17">
        <w:t xml:space="preserve">nlikely to be influenced by </w:t>
      </w:r>
      <w:proofErr w:type="gramStart"/>
      <w:r w:rsidR="00B11FDD" w:rsidRPr="00BB7B17">
        <w:t>ERT</w:t>
      </w:r>
      <w:proofErr w:type="gramEnd"/>
    </w:p>
    <w:p w14:paraId="5351F38B" w14:textId="77777777" w:rsidR="00254D7D" w:rsidRPr="00BB7B17" w:rsidRDefault="00254D7D" w:rsidP="00BB7B17">
      <w:pPr>
        <w:pStyle w:val="ListBullet"/>
      </w:pPr>
      <w:r w:rsidRPr="00BB7B17">
        <w:t>the patient develops another medical condition that might reasonably be expected to</w:t>
      </w:r>
      <w:r w:rsidR="00B11FDD" w:rsidRPr="00BB7B17">
        <w:t xml:space="preserve"> compromise a response to </w:t>
      </w:r>
      <w:proofErr w:type="gramStart"/>
      <w:r w:rsidR="00B11FDD" w:rsidRPr="00BB7B17">
        <w:t>ERT</w:t>
      </w:r>
      <w:proofErr w:type="gramEnd"/>
    </w:p>
    <w:p w14:paraId="09F901C7" w14:textId="77777777" w:rsidR="00254D7D" w:rsidRPr="00BB7B17" w:rsidRDefault="00254D7D" w:rsidP="00BB7B17">
      <w:pPr>
        <w:pStyle w:val="ListBullet"/>
      </w:pPr>
      <w:r w:rsidRPr="00BB7B17">
        <w:t>presentation of conditions listed in the exclusion criteria.</w:t>
      </w:r>
    </w:p>
    <w:p w14:paraId="32E65CAE" w14:textId="18207B6F" w:rsidR="00C92AAF" w:rsidRPr="00BB7B17" w:rsidRDefault="00254D7D" w:rsidP="00BB7B17">
      <w:r w:rsidRPr="00BB7B17">
        <w:t xml:space="preserve">Physicians are required to inform the LSDP if patients demonstrate a sustained decline ≥2 points in the ML score over any continuous </w:t>
      </w:r>
      <w:proofErr w:type="gramStart"/>
      <w:r w:rsidRPr="00BB7B17">
        <w:t>48 week</w:t>
      </w:r>
      <w:proofErr w:type="gramEnd"/>
      <w:r w:rsidRPr="00BB7B17">
        <w:t xml:space="preserve"> period du</w:t>
      </w:r>
      <w:r w:rsidR="00B11FDD" w:rsidRPr="00BB7B17">
        <w:t>ring their treatment.</w:t>
      </w:r>
    </w:p>
    <w:p w14:paraId="691337F0" w14:textId="19497A52" w:rsidR="00B11FDD" w:rsidRPr="00BB7B17" w:rsidRDefault="00B11FDD" w:rsidP="00BB7B17">
      <w:pPr>
        <w:rPr>
          <w:rStyle w:val="Strong"/>
        </w:rPr>
      </w:pPr>
      <w:r w:rsidRPr="00BB7B17">
        <w:rPr>
          <w:rStyle w:val="Strong"/>
        </w:rPr>
        <w:t>Note:</w:t>
      </w:r>
    </w:p>
    <w:p w14:paraId="2155DB2A" w14:textId="063F4AB1" w:rsidR="00254D7D" w:rsidRPr="00BB7B17" w:rsidRDefault="00254D7D" w:rsidP="00BB7B17">
      <w:pPr>
        <w:pStyle w:val="ListBullet"/>
      </w:pPr>
      <w:r w:rsidRPr="00BB7B17">
        <w:t xml:space="preserve">There is no evidence to support benefits from ongoing treatment with </w:t>
      </w:r>
      <w:proofErr w:type="spellStart"/>
      <w:r w:rsidRPr="00BB7B17">
        <w:t>cerliponase</w:t>
      </w:r>
      <w:proofErr w:type="spellEnd"/>
      <w:r w:rsidRPr="00BB7B17">
        <w:t xml:space="preserve"> alfa for patients who have experienced a decline of ≥2 points in the ML score over any continuous </w:t>
      </w:r>
      <w:proofErr w:type="gramStart"/>
      <w:r w:rsidRPr="00BB7B17">
        <w:t>48 week</w:t>
      </w:r>
      <w:proofErr w:type="gramEnd"/>
      <w:r w:rsidRPr="00BB7B17">
        <w:t xml:space="preserve"> period during their treatment.</w:t>
      </w:r>
    </w:p>
    <w:p w14:paraId="75C5A017" w14:textId="1247BA55" w:rsidR="00254D7D" w:rsidRPr="00BB7B17" w:rsidRDefault="00254D7D" w:rsidP="00BB7B17">
      <w:pPr>
        <w:pStyle w:val="ListBullet"/>
      </w:pPr>
      <w:r w:rsidRPr="00BB7B17">
        <w:t>There is no evidence of clinical or quality of life benefit to patients with a ML score of zero</w:t>
      </w:r>
      <w:r w:rsidR="00103DFF" w:rsidRPr="00BB7B17">
        <w:t> </w:t>
      </w:r>
      <w:r w:rsidRPr="00BB7B17">
        <w:t>(0). Therefore, clinicians and families should consider the risk to benefit ratio and give serious consideration to ceasing treatment when a patient reaches an irreversible ML score of zero (0).</w:t>
      </w:r>
    </w:p>
    <w:p w14:paraId="399B7749" w14:textId="445D77C9" w:rsidR="00254D7D" w:rsidRPr="00BB7B17" w:rsidRDefault="00254D7D" w:rsidP="00BB7B17">
      <w:r w:rsidRPr="00BB7B17">
        <w:t xml:space="preserve">Testing is not funded or subsidised through the </w:t>
      </w:r>
      <w:proofErr w:type="gramStart"/>
      <w:r w:rsidRPr="00BB7B17">
        <w:t>LSDP,</w:t>
      </w:r>
      <w:proofErr w:type="gramEnd"/>
      <w:r w:rsidRPr="00BB7B17">
        <w:t xml:space="preserve"> however some tests may be subsidised through Medicare or available through the treating public hospital.</w:t>
      </w:r>
    </w:p>
    <w:p w14:paraId="663211ED" w14:textId="77777777" w:rsidR="00301759" w:rsidRPr="00BB7B17" w:rsidRDefault="00301759" w:rsidP="00BB7B17">
      <w:pPr>
        <w:pStyle w:val="Heading1"/>
      </w:pPr>
      <w:r w:rsidRPr="00BB7B17">
        <w:t>Cessation of treatment</w:t>
      </w:r>
    </w:p>
    <w:p w14:paraId="29E6937B" w14:textId="77777777" w:rsidR="00301759" w:rsidRPr="00BB7B17" w:rsidRDefault="00301759" w:rsidP="00BB7B17">
      <w:r w:rsidRPr="00BB7B17">
        <w:t xml:space="preserve">The treating physician should notify the LSDP immediately in writing when a patient ceases treatment, including the reason(s) for treatment cessation. </w:t>
      </w:r>
    </w:p>
    <w:p w14:paraId="0DB49C1F" w14:textId="77777777" w:rsidR="00301759" w:rsidRDefault="00301759" w:rsidP="00301759">
      <w:pPr>
        <w:pStyle w:val="Heading2"/>
      </w:pPr>
      <w:r>
        <w:t>Treatment breaks</w:t>
      </w:r>
    </w:p>
    <w:p w14:paraId="64D5FAD8" w14:textId="77777777" w:rsidR="00301759" w:rsidRPr="00BB7B17" w:rsidRDefault="00301759" w:rsidP="00BB7B17">
      <w:r w:rsidRPr="00BB7B17">
        <w:t xml:space="preserve">Treatment breaks of up to 3 months can be taken without the requirement for submission of a new reapplication form to recommence treatment. </w:t>
      </w:r>
    </w:p>
    <w:p w14:paraId="3E58307A" w14:textId="4A6BD752" w:rsidR="00994536" w:rsidRPr="00C92AAF" w:rsidRDefault="00301759" w:rsidP="00BB7B17">
      <w:r w:rsidRPr="00BB7B17">
        <w:t>Patients who are applying to recommence treatment following a break of longer than 3</w:t>
      </w:r>
      <w:r w:rsidR="00103DFF" w:rsidRPr="00BB7B17">
        <w:t> </w:t>
      </w:r>
      <w:r w:rsidRPr="00BB7B17">
        <w:t>months should submit a new</w:t>
      </w:r>
      <w:r w:rsidRPr="00BB7B17">
        <w:rPr>
          <w:rStyle w:val="Hyperlink"/>
        </w:rPr>
        <w:t xml:space="preserve"> </w:t>
      </w:r>
      <w:hyperlink r:id="rId19" w:history="1">
        <w:r w:rsidRPr="008336DE">
          <w:rPr>
            <w:rStyle w:val="Hyperlink"/>
            <w:szCs w:val="22"/>
          </w:rPr>
          <w:t>reapplication form</w:t>
        </w:r>
      </w:hyperlink>
      <w:r w:rsidRPr="00BB7B17">
        <w:rPr>
          <w:rStyle w:val="Hyperlink"/>
        </w:rPr>
        <w:t>.</w:t>
      </w:r>
    </w:p>
    <w:sectPr w:rsidR="00994536" w:rsidRPr="00C92AAF" w:rsidSect="00994536">
      <w:headerReference w:type="default" r:id="rId20"/>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EA14" w14:textId="77777777" w:rsidR="00FE10E6" w:rsidRDefault="00FE10E6" w:rsidP="006B56BB">
      <w:r>
        <w:separator/>
      </w:r>
    </w:p>
    <w:p w14:paraId="430EC899" w14:textId="77777777" w:rsidR="00FE10E6" w:rsidRDefault="00FE10E6"/>
  </w:endnote>
  <w:endnote w:type="continuationSeparator" w:id="0">
    <w:p w14:paraId="0E765915" w14:textId="77777777" w:rsidR="00FE10E6" w:rsidRDefault="00FE10E6" w:rsidP="006B56BB">
      <w:r>
        <w:continuationSeparator/>
      </w:r>
    </w:p>
    <w:p w14:paraId="6D44390B" w14:textId="77777777" w:rsidR="00FE10E6" w:rsidRDefault="00FE10E6"/>
  </w:endnote>
  <w:endnote w:type="continuationNotice" w:id="1">
    <w:p w14:paraId="47B4131C" w14:textId="77777777" w:rsidR="00FE10E6" w:rsidRDefault="00FE1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12FB" w14:textId="61E80575" w:rsidR="00994536" w:rsidRPr="00972E6E" w:rsidRDefault="00466943" w:rsidP="00BB7B17">
    <w:pPr>
      <w:pStyle w:val="Footer"/>
      <w:tabs>
        <w:tab w:val="clear" w:pos="4513"/>
      </w:tabs>
    </w:pPr>
    <w:r>
      <w:t>Department of Health and Aged Care – September 2024</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4267" w14:textId="77777777" w:rsidR="00466943" w:rsidRDefault="00466943" w:rsidP="00466943">
    <w:pPr>
      <w:pStyle w:val="Footer"/>
      <w:tabs>
        <w:tab w:val="clear" w:pos="4513"/>
      </w:tabs>
    </w:pPr>
    <w:r>
      <w:t>Department of Health and Aged Care – September 2024</w:t>
    </w:r>
    <w:r>
      <w:tab/>
    </w:r>
    <w:r>
      <w:fldChar w:fldCharType="begin"/>
    </w:r>
    <w:r>
      <w:instrText xml:space="preserve"> PAGE   \* MERGEFORMAT </w:instrText>
    </w:r>
    <w:r>
      <w:fldChar w:fldCharType="separate"/>
    </w:r>
    <w:r>
      <w:t>1</w:t>
    </w:r>
    <w:r>
      <w:fldChar w:fldCharType="end"/>
    </w:r>
  </w:p>
  <w:p w14:paraId="4B4E22E4" w14:textId="5CCB2F17" w:rsidR="00994536" w:rsidRPr="00DE3355" w:rsidRDefault="00994536" w:rsidP="003D033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E01D" w14:textId="77777777" w:rsidR="00FE10E6" w:rsidRDefault="00FE10E6" w:rsidP="006B56BB">
      <w:r>
        <w:separator/>
      </w:r>
    </w:p>
    <w:p w14:paraId="33167A79" w14:textId="77777777" w:rsidR="00FE10E6" w:rsidRDefault="00FE10E6"/>
  </w:footnote>
  <w:footnote w:type="continuationSeparator" w:id="0">
    <w:p w14:paraId="488072A1" w14:textId="77777777" w:rsidR="00FE10E6" w:rsidRDefault="00FE10E6" w:rsidP="006B56BB">
      <w:r>
        <w:continuationSeparator/>
      </w:r>
    </w:p>
    <w:p w14:paraId="02BA62F2" w14:textId="77777777" w:rsidR="00FE10E6" w:rsidRDefault="00FE10E6"/>
  </w:footnote>
  <w:footnote w:type="continuationNotice" w:id="1">
    <w:p w14:paraId="1EFB2717" w14:textId="77777777" w:rsidR="00FE10E6" w:rsidRDefault="00FE1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A7AE" w14:textId="6A23FE2D" w:rsidR="00CD7A28" w:rsidRPr="006369BD" w:rsidRDefault="00CD7A28" w:rsidP="006369BD">
    <w:pPr>
      <w:pStyle w:val="Header"/>
    </w:pPr>
    <w:r>
      <w:rPr>
        <w:noProof/>
        <w:lang w:eastAsia="en-AU"/>
      </w:rPr>
      <w:drawing>
        <wp:inline distT="0" distB="0" distL="0" distR="0" wp14:anchorId="107E408C" wp14:editId="4B6A210D">
          <wp:extent cx="5759450" cy="941705"/>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3EB5" w14:textId="64D8D79E" w:rsidR="008E0C77" w:rsidRPr="00A71F59" w:rsidRDefault="008336DE" w:rsidP="00A71F59">
    <w:pPr>
      <w:pStyle w:val="Footer"/>
      <w:tabs>
        <w:tab w:val="clear" w:pos="4513"/>
      </w:tabs>
      <w:rPr>
        <w:sz w:val="16"/>
        <w:szCs w:val="20"/>
      </w:rPr>
    </w:pPr>
    <w:r>
      <w:rPr>
        <w:sz w:val="16"/>
      </w:rPr>
      <w:t>Guidelines for the treatment of CLN2 disease through the LSDP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3AC9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545FC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52309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2C08F7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200359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AD0D62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392D8C"/>
    <w:multiLevelType w:val="hybridMultilevel"/>
    <w:tmpl w:val="10888A64"/>
    <w:lvl w:ilvl="0" w:tplc="BF409174">
      <w:start w:val="1"/>
      <w:numFmt w:val="decimal"/>
      <w:lvlText w:val="%1."/>
      <w:lvlJc w:val="left"/>
      <w:pPr>
        <w:ind w:left="155" w:hanging="204"/>
      </w:pPr>
      <w:rPr>
        <w:rFonts w:ascii="Cambria" w:eastAsia="Cambria" w:hAnsi="Cambria" w:cs="Cambria" w:hint="default"/>
        <w:spacing w:val="-1"/>
        <w:w w:val="95"/>
        <w:sz w:val="20"/>
        <w:szCs w:val="20"/>
        <w:lang w:val="en-AU" w:eastAsia="en-AU" w:bidi="en-AU"/>
      </w:rPr>
    </w:lvl>
    <w:lvl w:ilvl="1" w:tplc="76B098D6">
      <w:numFmt w:val="bullet"/>
      <w:lvlText w:val="•"/>
      <w:lvlJc w:val="left"/>
      <w:pPr>
        <w:ind w:left="676" w:hanging="204"/>
      </w:pPr>
      <w:rPr>
        <w:rFonts w:hint="default"/>
        <w:lang w:val="en-AU" w:eastAsia="en-AU" w:bidi="en-AU"/>
      </w:rPr>
    </w:lvl>
    <w:lvl w:ilvl="2" w:tplc="EFE4BC6C">
      <w:numFmt w:val="bullet"/>
      <w:lvlText w:val="•"/>
      <w:lvlJc w:val="left"/>
      <w:pPr>
        <w:ind w:left="1193" w:hanging="204"/>
      </w:pPr>
      <w:rPr>
        <w:rFonts w:hint="default"/>
        <w:lang w:val="en-AU" w:eastAsia="en-AU" w:bidi="en-AU"/>
      </w:rPr>
    </w:lvl>
    <w:lvl w:ilvl="3" w:tplc="2996DC0E">
      <w:numFmt w:val="bullet"/>
      <w:lvlText w:val="•"/>
      <w:lvlJc w:val="left"/>
      <w:pPr>
        <w:ind w:left="1709" w:hanging="204"/>
      </w:pPr>
      <w:rPr>
        <w:rFonts w:hint="default"/>
        <w:lang w:val="en-AU" w:eastAsia="en-AU" w:bidi="en-AU"/>
      </w:rPr>
    </w:lvl>
    <w:lvl w:ilvl="4" w:tplc="AEDCA7D6">
      <w:numFmt w:val="bullet"/>
      <w:lvlText w:val="•"/>
      <w:lvlJc w:val="left"/>
      <w:pPr>
        <w:ind w:left="2226" w:hanging="204"/>
      </w:pPr>
      <w:rPr>
        <w:rFonts w:hint="default"/>
        <w:lang w:val="en-AU" w:eastAsia="en-AU" w:bidi="en-AU"/>
      </w:rPr>
    </w:lvl>
    <w:lvl w:ilvl="5" w:tplc="2C74DB64">
      <w:numFmt w:val="bullet"/>
      <w:lvlText w:val="•"/>
      <w:lvlJc w:val="left"/>
      <w:pPr>
        <w:ind w:left="2742" w:hanging="204"/>
      </w:pPr>
      <w:rPr>
        <w:rFonts w:hint="default"/>
        <w:lang w:val="en-AU" w:eastAsia="en-AU" w:bidi="en-AU"/>
      </w:rPr>
    </w:lvl>
    <w:lvl w:ilvl="6" w:tplc="2CAAD6E8">
      <w:numFmt w:val="bullet"/>
      <w:lvlText w:val="•"/>
      <w:lvlJc w:val="left"/>
      <w:pPr>
        <w:ind w:left="3259" w:hanging="204"/>
      </w:pPr>
      <w:rPr>
        <w:rFonts w:hint="default"/>
        <w:lang w:val="en-AU" w:eastAsia="en-AU" w:bidi="en-AU"/>
      </w:rPr>
    </w:lvl>
    <w:lvl w:ilvl="7" w:tplc="18EA355A">
      <w:numFmt w:val="bullet"/>
      <w:lvlText w:val="•"/>
      <w:lvlJc w:val="left"/>
      <w:pPr>
        <w:ind w:left="3775" w:hanging="204"/>
      </w:pPr>
      <w:rPr>
        <w:rFonts w:hint="default"/>
        <w:lang w:val="en-AU" w:eastAsia="en-AU" w:bidi="en-AU"/>
      </w:rPr>
    </w:lvl>
    <w:lvl w:ilvl="8" w:tplc="49B8A1E8">
      <w:numFmt w:val="bullet"/>
      <w:lvlText w:val="•"/>
      <w:lvlJc w:val="left"/>
      <w:pPr>
        <w:ind w:left="4292" w:hanging="204"/>
      </w:pPr>
      <w:rPr>
        <w:rFonts w:hint="default"/>
        <w:lang w:val="en-AU" w:eastAsia="en-AU" w:bidi="en-AU"/>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0DD7"/>
    <w:multiLevelType w:val="hybridMultilevel"/>
    <w:tmpl w:val="39748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414E1"/>
    <w:multiLevelType w:val="hybridMultilevel"/>
    <w:tmpl w:val="6EB6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B60F37"/>
    <w:multiLevelType w:val="hybridMultilevel"/>
    <w:tmpl w:val="D8D2B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D13966"/>
    <w:multiLevelType w:val="hybridMultilevel"/>
    <w:tmpl w:val="7A826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72723"/>
    <w:multiLevelType w:val="hybridMultilevel"/>
    <w:tmpl w:val="C5107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26578D7"/>
    <w:multiLevelType w:val="hybridMultilevel"/>
    <w:tmpl w:val="516A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8DD2476"/>
    <w:multiLevelType w:val="hybridMultilevel"/>
    <w:tmpl w:val="199E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57601F"/>
    <w:multiLevelType w:val="hybridMultilevel"/>
    <w:tmpl w:val="81B8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4BC1993"/>
    <w:multiLevelType w:val="hybridMultilevel"/>
    <w:tmpl w:val="D6AC0BA6"/>
    <w:lvl w:ilvl="0" w:tplc="2C52D40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C01771"/>
    <w:multiLevelType w:val="hybridMultilevel"/>
    <w:tmpl w:val="1696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644184"/>
    <w:multiLevelType w:val="multilevel"/>
    <w:tmpl w:val="3AA41CE4"/>
    <w:lvl w:ilvl="0">
      <w:start w:val="2"/>
      <w:numFmt w:val="decimal"/>
      <w:lvlText w:val="%1"/>
      <w:lvlJc w:val="left"/>
      <w:pPr>
        <w:ind w:left="572" w:hanging="425"/>
        <w:jc w:val="right"/>
      </w:pPr>
      <w:rPr>
        <w:rFonts w:ascii="Cambria" w:eastAsia="Cambria" w:hAnsi="Cambria" w:cs="Cambria" w:hint="default"/>
        <w:b/>
        <w:bCs/>
        <w:spacing w:val="-6"/>
        <w:w w:val="100"/>
        <w:sz w:val="24"/>
        <w:szCs w:val="24"/>
        <w:lang w:val="en-AU" w:eastAsia="en-AU" w:bidi="en-AU"/>
      </w:rPr>
    </w:lvl>
    <w:lvl w:ilvl="1">
      <w:start w:val="1"/>
      <w:numFmt w:val="decimal"/>
      <w:lvlText w:val="%1.%2"/>
      <w:lvlJc w:val="left"/>
      <w:pPr>
        <w:ind w:left="726" w:hanging="572"/>
        <w:jc w:val="right"/>
      </w:pPr>
      <w:rPr>
        <w:rFonts w:ascii="Cambria" w:eastAsia="Cambria" w:hAnsi="Cambria" w:cs="Cambria" w:hint="default"/>
        <w:b/>
        <w:bCs/>
        <w:spacing w:val="-1"/>
        <w:w w:val="97"/>
        <w:sz w:val="20"/>
        <w:szCs w:val="20"/>
        <w:lang w:val="en-AU" w:eastAsia="en-AU" w:bidi="en-AU"/>
      </w:rPr>
    </w:lvl>
    <w:lvl w:ilvl="2">
      <w:start w:val="1"/>
      <w:numFmt w:val="decimal"/>
      <w:lvlText w:val="%3."/>
      <w:lvlJc w:val="left"/>
      <w:pPr>
        <w:ind w:left="686" w:hanging="284"/>
      </w:pPr>
      <w:rPr>
        <w:rFonts w:ascii="Cambria" w:eastAsia="Cambria" w:hAnsi="Cambria" w:cs="Cambria" w:hint="default"/>
        <w:spacing w:val="-1"/>
        <w:w w:val="95"/>
        <w:sz w:val="20"/>
        <w:szCs w:val="20"/>
        <w:lang w:val="en-AU" w:eastAsia="en-AU" w:bidi="en-AU"/>
      </w:rPr>
    </w:lvl>
    <w:lvl w:ilvl="3">
      <w:numFmt w:val="bullet"/>
      <w:lvlText w:val="•"/>
      <w:lvlJc w:val="left"/>
      <w:pPr>
        <w:ind w:left="980" w:hanging="284"/>
      </w:pPr>
      <w:rPr>
        <w:rFonts w:hint="default"/>
        <w:lang w:val="en-AU" w:eastAsia="en-AU" w:bidi="en-AU"/>
      </w:rPr>
    </w:lvl>
    <w:lvl w:ilvl="4">
      <w:numFmt w:val="bullet"/>
      <w:lvlText w:val="•"/>
      <w:lvlJc w:val="left"/>
      <w:pPr>
        <w:ind w:left="794" w:hanging="284"/>
      </w:pPr>
      <w:rPr>
        <w:rFonts w:hint="default"/>
        <w:lang w:val="en-AU" w:eastAsia="en-AU" w:bidi="en-AU"/>
      </w:rPr>
    </w:lvl>
    <w:lvl w:ilvl="5">
      <w:numFmt w:val="bullet"/>
      <w:lvlText w:val="•"/>
      <w:lvlJc w:val="left"/>
      <w:pPr>
        <w:ind w:left="608" w:hanging="284"/>
      </w:pPr>
      <w:rPr>
        <w:rFonts w:hint="default"/>
        <w:lang w:val="en-AU" w:eastAsia="en-AU" w:bidi="en-AU"/>
      </w:rPr>
    </w:lvl>
    <w:lvl w:ilvl="6">
      <w:numFmt w:val="bullet"/>
      <w:lvlText w:val="•"/>
      <w:lvlJc w:val="left"/>
      <w:pPr>
        <w:ind w:left="422" w:hanging="284"/>
      </w:pPr>
      <w:rPr>
        <w:rFonts w:hint="default"/>
        <w:lang w:val="en-AU" w:eastAsia="en-AU" w:bidi="en-AU"/>
      </w:rPr>
    </w:lvl>
    <w:lvl w:ilvl="7">
      <w:numFmt w:val="bullet"/>
      <w:lvlText w:val="•"/>
      <w:lvlJc w:val="left"/>
      <w:pPr>
        <w:ind w:left="236" w:hanging="284"/>
      </w:pPr>
      <w:rPr>
        <w:rFonts w:hint="default"/>
        <w:lang w:val="en-AU" w:eastAsia="en-AU" w:bidi="en-AU"/>
      </w:rPr>
    </w:lvl>
    <w:lvl w:ilvl="8">
      <w:numFmt w:val="bullet"/>
      <w:lvlText w:val="•"/>
      <w:lvlJc w:val="left"/>
      <w:pPr>
        <w:ind w:left="50" w:hanging="284"/>
      </w:pPr>
      <w:rPr>
        <w:rFonts w:hint="default"/>
        <w:lang w:val="en-AU" w:eastAsia="en-AU" w:bidi="en-AU"/>
      </w:rPr>
    </w:lvl>
  </w:abstractNum>
  <w:abstractNum w:abstractNumId="27" w15:restartNumberingAfterBreak="0">
    <w:nsid w:val="683F1418"/>
    <w:multiLevelType w:val="hybridMultilevel"/>
    <w:tmpl w:val="34ACF868"/>
    <w:lvl w:ilvl="0" w:tplc="4CF0EB06">
      <w:start w:val="1"/>
      <w:numFmt w:val="lowerLetter"/>
      <w:lvlText w:val="%1)"/>
      <w:lvlJc w:val="left"/>
      <w:pPr>
        <w:ind w:left="266" w:hanging="257"/>
      </w:pPr>
      <w:rPr>
        <w:rFonts w:ascii="Cambria" w:eastAsia="Cambria" w:hAnsi="Cambria" w:cs="Cambria" w:hint="default"/>
        <w:w w:val="97"/>
        <w:sz w:val="20"/>
        <w:szCs w:val="20"/>
        <w:lang w:val="en-AU" w:eastAsia="en-AU" w:bidi="en-AU"/>
      </w:rPr>
    </w:lvl>
    <w:lvl w:ilvl="1" w:tplc="0310C310">
      <w:numFmt w:val="bullet"/>
      <w:lvlText w:val="•"/>
      <w:lvlJc w:val="left"/>
      <w:pPr>
        <w:ind w:left="750" w:hanging="257"/>
      </w:pPr>
      <w:rPr>
        <w:rFonts w:hint="default"/>
        <w:lang w:val="en-AU" w:eastAsia="en-AU" w:bidi="en-AU"/>
      </w:rPr>
    </w:lvl>
    <w:lvl w:ilvl="2" w:tplc="EBDAA0F4">
      <w:numFmt w:val="bullet"/>
      <w:lvlText w:val="•"/>
      <w:lvlJc w:val="left"/>
      <w:pPr>
        <w:ind w:left="1241" w:hanging="257"/>
      </w:pPr>
      <w:rPr>
        <w:rFonts w:hint="default"/>
        <w:lang w:val="en-AU" w:eastAsia="en-AU" w:bidi="en-AU"/>
      </w:rPr>
    </w:lvl>
    <w:lvl w:ilvl="3" w:tplc="1C80DE76">
      <w:numFmt w:val="bullet"/>
      <w:lvlText w:val="•"/>
      <w:lvlJc w:val="left"/>
      <w:pPr>
        <w:ind w:left="1731" w:hanging="257"/>
      </w:pPr>
      <w:rPr>
        <w:rFonts w:hint="default"/>
        <w:lang w:val="en-AU" w:eastAsia="en-AU" w:bidi="en-AU"/>
      </w:rPr>
    </w:lvl>
    <w:lvl w:ilvl="4" w:tplc="141A7CFA">
      <w:numFmt w:val="bullet"/>
      <w:lvlText w:val="•"/>
      <w:lvlJc w:val="left"/>
      <w:pPr>
        <w:ind w:left="2222" w:hanging="257"/>
      </w:pPr>
      <w:rPr>
        <w:rFonts w:hint="default"/>
        <w:lang w:val="en-AU" w:eastAsia="en-AU" w:bidi="en-AU"/>
      </w:rPr>
    </w:lvl>
    <w:lvl w:ilvl="5" w:tplc="F6B298E4">
      <w:numFmt w:val="bullet"/>
      <w:lvlText w:val="•"/>
      <w:lvlJc w:val="left"/>
      <w:pPr>
        <w:ind w:left="2712" w:hanging="257"/>
      </w:pPr>
      <w:rPr>
        <w:rFonts w:hint="default"/>
        <w:lang w:val="en-AU" w:eastAsia="en-AU" w:bidi="en-AU"/>
      </w:rPr>
    </w:lvl>
    <w:lvl w:ilvl="6" w:tplc="10A4A87C">
      <w:numFmt w:val="bullet"/>
      <w:lvlText w:val="•"/>
      <w:lvlJc w:val="left"/>
      <w:pPr>
        <w:ind w:left="3203" w:hanging="257"/>
      </w:pPr>
      <w:rPr>
        <w:rFonts w:hint="default"/>
        <w:lang w:val="en-AU" w:eastAsia="en-AU" w:bidi="en-AU"/>
      </w:rPr>
    </w:lvl>
    <w:lvl w:ilvl="7" w:tplc="14A0C13A">
      <w:numFmt w:val="bullet"/>
      <w:lvlText w:val="•"/>
      <w:lvlJc w:val="left"/>
      <w:pPr>
        <w:ind w:left="3693" w:hanging="257"/>
      </w:pPr>
      <w:rPr>
        <w:rFonts w:hint="default"/>
        <w:lang w:val="en-AU" w:eastAsia="en-AU" w:bidi="en-AU"/>
      </w:rPr>
    </w:lvl>
    <w:lvl w:ilvl="8" w:tplc="55CA9566">
      <w:numFmt w:val="bullet"/>
      <w:lvlText w:val="•"/>
      <w:lvlJc w:val="left"/>
      <w:pPr>
        <w:ind w:left="4184" w:hanging="257"/>
      </w:pPr>
      <w:rPr>
        <w:rFonts w:hint="default"/>
        <w:lang w:val="en-AU" w:eastAsia="en-AU" w:bidi="en-AU"/>
      </w:rPr>
    </w:lvl>
  </w:abstractNum>
  <w:abstractNum w:abstractNumId="2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BF445FC"/>
    <w:multiLevelType w:val="hybridMultilevel"/>
    <w:tmpl w:val="2666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52346B"/>
    <w:multiLevelType w:val="hybridMultilevel"/>
    <w:tmpl w:val="5AD0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05135711">
    <w:abstractNumId w:val="7"/>
  </w:num>
  <w:num w:numId="2" w16cid:durableId="550002786">
    <w:abstractNumId w:val="24"/>
  </w:num>
  <w:num w:numId="3" w16cid:durableId="1819227864">
    <w:abstractNumId w:val="30"/>
  </w:num>
  <w:num w:numId="4" w16cid:durableId="1676417787">
    <w:abstractNumId w:val="8"/>
  </w:num>
  <w:num w:numId="5" w16cid:durableId="127020192">
    <w:abstractNumId w:val="8"/>
    <w:lvlOverride w:ilvl="0">
      <w:startOverride w:val="1"/>
    </w:lvlOverride>
  </w:num>
  <w:num w:numId="6" w16cid:durableId="721557031">
    <w:abstractNumId w:val="10"/>
  </w:num>
  <w:num w:numId="7" w16cid:durableId="986055392">
    <w:abstractNumId w:val="22"/>
  </w:num>
  <w:num w:numId="8" w16cid:durableId="1445997296">
    <w:abstractNumId w:val="28"/>
  </w:num>
  <w:num w:numId="9" w16cid:durableId="411707323">
    <w:abstractNumId w:val="5"/>
  </w:num>
  <w:num w:numId="10" w16cid:durableId="422579823">
    <w:abstractNumId w:val="4"/>
  </w:num>
  <w:num w:numId="11" w16cid:durableId="336201736">
    <w:abstractNumId w:val="3"/>
  </w:num>
  <w:num w:numId="12" w16cid:durableId="454102493">
    <w:abstractNumId w:val="2"/>
  </w:num>
  <w:num w:numId="13" w16cid:durableId="467481644">
    <w:abstractNumId w:val="6"/>
  </w:num>
  <w:num w:numId="14" w16cid:durableId="1498109371">
    <w:abstractNumId w:val="1"/>
  </w:num>
  <w:num w:numId="15" w16cid:durableId="345179143">
    <w:abstractNumId w:val="0"/>
  </w:num>
  <w:num w:numId="16" w16cid:durableId="2052417253">
    <w:abstractNumId w:val="32"/>
  </w:num>
  <w:num w:numId="17" w16cid:durableId="177084217">
    <w:abstractNumId w:val="12"/>
  </w:num>
  <w:num w:numId="18" w16cid:durableId="509295172">
    <w:abstractNumId w:val="13"/>
  </w:num>
  <w:num w:numId="19" w16cid:durableId="457842829">
    <w:abstractNumId w:val="19"/>
  </w:num>
  <w:num w:numId="20" w16cid:durableId="431820827">
    <w:abstractNumId w:val="29"/>
  </w:num>
  <w:num w:numId="21" w16cid:durableId="2052030244">
    <w:abstractNumId w:val="14"/>
  </w:num>
  <w:num w:numId="22" w16cid:durableId="1665619487">
    <w:abstractNumId w:val="20"/>
  </w:num>
  <w:num w:numId="23" w16cid:durableId="198056623">
    <w:abstractNumId w:val="21"/>
  </w:num>
  <w:num w:numId="24" w16cid:durableId="1283725736">
    <w:abstractNumId w:val="17"/>
  </w:num>
  <w:num w:numId="25" w16cid:durableId="401098256">
    <w:abstractNumId w:val="9"/>
  </w:num>
  <w:num w:numId="26" w16cid:durableId="669260117">
    <w:abstractNumId w:val="25"/>
  </w:num>
  <w:num w:numId="27" w16cid:durableId="219050799">
    <w:abstractNumId w:val="11"/>
  </w:num>
  <w:num w:numId="28" w16cid:durableId="2089039871">
    <w:abstractNumId w:val="27"/>
  </w:num>
  <w:num w:numId="29" w16cid:durableId="972521147">
    <w:abstractNumId w:val="16"/>
  </w:num>
  <w:num w:numId="30" w16cid:durableId="1827168261">
    <w:abstractNumId w:val="26"/>
  </w:num>
  <w:num w:numId="31" w16cid:durableId="851257127">
    <w:abstractNumId w:val="31"/>
  </w:num>
  <w:num w:numId="32" w16cid:durableId="1615012745">
    <w:abstractNumId w:val="18"/>
  </w:num>
  <w:num w:numId="33" w16cid:durableId="719481093">
    <w:abstractNumId w:val="23"/>
  </w:num>
  <w:num w:numId="34" w16cid:durableId="13653287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7D"/>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5060F"/>
    <w:rsid w:val="00067456"/>
    <w:rsid w:val="00071506"/>
    <w:rsid w:val="0007154F"/>
    <w:rsid w:val="00081AB1"/>
    <w:rsid w:val="00090316"/>
    <w:rsid w:val="00093865"/>
    <w:rsid w:val="00093981"/>
    <w:rsid w:val="000A5BAB"/>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3DFF"/>
    <w:rsid w:val="0010616D"/>
    <w:rsid w:val="00110478"/>
    <w:rsid w:val="0011711B"/>
    <w:rsid w:val="00117F8A"/>
    <w:rsid w:val="00121B9B"/>
    <w:rsid w:val="00122ADC"/>
    <w:rsid w:val="00125A4F"/>
    <w:rsid w:val="00130F59"/>
    <w:rsid w:val="00133EC0"/>
    <w:rsid w:val="00141CE5"/>
    <w:rsid w:val="00144908"/>
    <w:rsid w:val="001571C7"/>
    <w:rsid w:val="00161094"/>
    <w:rsid w:val="001660AE"/>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0D16"/>
    <w:rsid w:val="001E2E7C"/>
    <w:rsid w:val="001F11E9"/>
    <w:rsid w:val="002026CD"/>
    <w:rsid w:val="002033FC"/>
    <w:rsid w:val="002044BB"/>
    <w:rsid w:val="00205541"/>
    <w:rsid w:val="00210B09"/>
    <w:rsid w:val="00210C9E"/>
    <w:rsid w:val="00210CB3"/>
    <w:rsid w:val="00211840"/>
    <w:rsid w:val="00220E5F"/>
    <w:rsid w:val="002212B5"/>
    <w:rsid w:val="00226668"/>
    <w:rsid w:val="00233809"/>
    <w:rsid w:val="00240046"/>
    <w:rsid w:val="0024797F"/>
    <w:rsid w:val="0025119E"/>
    <w:rsid w:val="00251269"/>
    <w:rsid w:val="002535C0"/>
    <w:rsid w:val="00254D7D"/>
    <w:rsid w:val="002579FE"/>
    <w:rsid w:val="00260C13"/>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C50A8"/>
    <w:rsid w:val="002E1A1D"/>
    <w:rsid w:val="002E4081"/>
    <w:rsid w:val="002E5B78"/>
    <w:rsid w:val="002F3AE3"/>
    <w:rsid w:val="00301759"/>
    <w:rsid w:val="0030464B"/>
    <w:rsid w:val="0030786C"/>
    <w:rsid w:val="0032269D"/>
    <w:rsid w:val="003233DE"/>
    <w:rsid w:val="0032466B"/>
    <w:rsid w:val="003330EB"/>
    <w:rsid w:val="003415FD"/>
    <w:rsid w:val="003429F0"/>
    <w:rsid w:val="00345A82"/>
    <w:rsid w:val="0034762C"/>
    <w:rsid w:val="0035097A"/>
    <w:rsid w:val="003540A4"/>
    <w:rsid w:val="00357354"/>
    <w:rsid w:val="00357BCC"/>
    <w:rsid w:val="00360E4E"/>
    <w:rsid w:val="00370AAA"/>
    <w:rsid w:val="00375F77"/>
    <w:rsid w:val="00381BBE"/>
    <w:rsid w:val="00382073"/>
    <w:rsid w:val="00382903"/>
    <w:rsid w:val="003846FF"/>
    <w:rsid w:val="003857D4"/>
    <w:rsid w:val="00385AD4"/>
    <w:rsid w:val="00387924"/>
    <w:rsid w:val="0039384D"/>
    <w:rsid w:val="00395807"/>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D5852"/>
    <w:rsid w:val="003E5265"/>
    <w:rsid w:val="003F0955"/>
    <w:rsid w:val="003F5F4D"/>
    <w:rsid w:val="003F646F"/>
    <w:rsid w:val="00400F00"/>
    <w:rsid w:val="00404F8B"/>
    <w:rsid w:val="00405256"/>
    <w:rsid w:val="00407852"/>
    <w:rsid w:val="00410031"/>
    <w:rsid w:val="00415C81"/>
    <w:rsid w:val="00421533"/>
    <w:rsid w:val="00432378"/>
    <w:rsid w:val="00440D65"/>
    <w:rsid w:val="004435E6"/>
    <w:rsid w:val="00447E31"/>
    <w:rsid w:val="00453923"/>
    <w:rsid w:val="00454B9B"/>
    <w:rsid w:val="00457858"/>
    <w:rsid w:val="00460B0B"/>
    <w:rsid w:val="00461023"/>
    <w:rsid w:val="00462FAC"/>
    <w:rsid w:val="00464631"/>
    <w:rsid w:val="00464B79"/>
    <w:rsid w:val="00466943"/>
    <w:rsid w:val="00467BBF"/>
    <w:rsid w:val="0048593C"/>
    <w:rsid w:val="004867E2"/>
    <w:rsid w:val="004929A9"/>
    <w:rsid w:val="004A78D9"/>
    <w:rsid w:val="004C6BCF"/>
    <w:rsid w:val="004D58BF"/>
    <w:rsid w:val="004E4335"/>
    <w:rsid w:val="004F13EE"/>
    <w:rsid w:val="004F2022"/>
    <w:rsid w:val="004F7C05"/>
    <w:rsid w:val="00501C94"/>
    <w:rsid w:val="00506432"/>
    <w:rsid w:val="0051131E"/>
    <w:rsid w:val="005176A7"/>
    <w:rsid w:val="0052051D"/>
    <w:rsid w:val="00544C65"/>
    <w:rsid w:val="00545EE6"/>
    <w:rsid w:val="005550E7"/>
    <w:rsid w:val="005564FB"/>
    <w:rsid w:val="005572C7"/>
    <w:rsid w:val="005650ED"/>
    <w:rsid w:val="00575754"/>
    <w:rsid w:val="00581FBA"/>
    <w:rsid w:val="005853D8"/>
    <w:rsid w:val="00591E20"/>
    <w:rsid w:val="0059317D"/>
    <w:rsid w:val="00595408"/>
    <w:rsid w:val="00595E84"/>
    <w:rsid w:val="005A0C59"/>
    <w:rsid w:val="005A0D9D"/>
    <w:rsid w:val="005A2370"/>
    <w:rsid w:val="005A48EB"/>
    <w:rsid w:val="005A6CFB"/>
    <w:rsid w:val="005C5AEB"/>
    <w:rsid w:val="005D75EA"/>
    <w:rsid w:val="005E0A3F"/>
    <w:rsid w:val="005E6883"/>
    <w:rsid w:val="005E772F"/>
    <w:rsid w:val="005F12FF"/>
    <w:rsid w:val="005F4ECA"/>
    <w:rsid w:val="006041BE"/>
    <w:rsid w:val="006043C7"/>
    <w:rsid w:val="00624B52"/>
    <w:rsid w:val="00630794"/>
    <w:rsid w:val="00631DF4"/>
    <w:rsid w:val="00634175"/>
    <w:rsid w:val="00634464"/>
    <w:rsid w:val="006408AC"/>
    <w:rsid w:val="006511B6"/>
    <w:rsid w:val="006559D8"/>
    <w:rsid w:val="00657FF8"/>
    <w:rsid w:val="00670D99"/>
    <w:rsid w:val="00670E2B"/>
    <w:rsid w:val="006730B9"/>
    <w:rsid w:val="006734BB"/>
    <w:rsid w:val="0067697A"/>
    <w:rsid w:val="006821EB"/>
    <w:rsid w:val="006859F1"/>
    <w:rsid w:val="006B2286"/>
    <w:rsid w:val="006B56BB"/>
    <w:rsid w:val="006C4EC5"/>
    <w:rsid w:val="006C77A8"/>
    <w:rsid w:val="006D4098"/>
    <w:rsid w:val="006D7681"/>
    <w:rsid w:val="006D7B2E"/>
    <w:rsid w:val="006E02EA"/>
    <w:rsid w:val="006E0968"/>
    <w:rsid w:val="006E2AF6"/>
    <w:rsid w:val="006F3177"/>
    <w:rsid w:val="006F427D"/>
    <w:rsid w:val="00701275"/>
    <w:rsid w:val="00707F56"/>
    <w:rsid w:val="00712CDA"/>
    <w:rsid w:val="00713558"/>
    <w:rsid w:val="00720D08"/>
    <w:rsid w:val="00724F12"/>
    <w:rsid w:val="007263B9"/>
    <w:rsid w:val="007334F8"/>
    <w:rsid w:val="007339CD"/>
    <w:rsid w:val="007359D8"/>
    <w:rsid w:val="007362D4"/>
    <w:rsid w:val="00752298"/>
    <w:rsid w:val="0076672A"/>
    <w:rsid w:val="00774AB7"/>
    <w:rsid w:val="00775E45"/>
    <w:rsid w:val="00776E74"/>
    <w:rsid w:val="00785169"/>
    <w:rsid w:val="007954AB"/>
    <w:rsid w:val="007A14C5"/>
    <w:rsid w:val="007A15F9"/>
    <w:rsid w:val="007A4A10"/>
    <w:rsid w:val="007B1760"/>
    <w:rsid w:val="007B6C16"/>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36DE"/>
    <w:rsid w:val="00835C76"/>
    <w:rsid w:val="008376E2"/>
    <w:rsid w:val="00843049"/>
    <w:rsid w:val="0085209B"/>
    <w:rsid w:val="008542A4"/>
    <w:rsid w:val="00856B66"/>
    <w:rsid w:val="008601AC"/>
    <w:rsid w:val="00861A5F"/>
    <w:rsid w:val="008621A7"/>
    <w:rsid w:val="0086254B"/>
    <w:rsid w:val="008644AD"/>
    <w:rsid w:val="00865735"/>
    <w:rsid w:val="00865DDB"/>
    <w:rsid w:val="00867538"/>
    <w:rsid w:val="0087230C"/>
    <w:rsid w:val="00873D90"/>
    <w:rsid w:val="00873FC8"/>
    <w:rsid w:val="00884769"/>
    <w:rsid w:val="00884C63"/>
    <w:rsid w:val="00885908"/>
    <w:rsid w:val="008864B7"/>
    <w:rsid w:val="008955F6"/>
    <w:rsid w:val="0089677E"/>
    <w:rsid w:val="008A7333"/>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5C36"/>
    <w:rsid w:val="009074E1"/>
    <w:rsid w:val="009112F7"/>
    <w:rsid w:val="009122AF"/>
    <w:rsid w:val="00912D54"/>
    <w:rsid w:val="0091389F"/>
    <w:rsid w:val="009208F7"/>
    <w:rsid w:val="00921649"/>
    <w:rsid w:val="00922517"/>
    <w:rsid w:val="00922722"/>
    <w:rsid w:val="00925554"/>
    <w:rsid w:val="009261E6"/>
    <w:rsid w:val="009268E1"/>
    <w:rsid w:val="00926DC0"/>
    <w:rsid w:val="009344DE"/>
    <w:rsid w:val="0094220B"/>
    <w:rsid w:val="00945E7F"/>
    <w:rsid w:val="009557C1"/>
    <w:rsid w:val="00960D6E"/>
    <w:rsid w:val="00971438"/>
    <w:rsid w:val="00974B59"/>
    <w:rsid w:val="0098340B"/>
    <w:rsid w:val="00986830"/>
    <w:rsid w:val="009874EE"/>
    <w:rsid w:val="009924C3"/>
    <w:rsid w:val="00993102"/>
    <w:rsid w:val="00994536"/>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37AF"/>
    <w:rsid w:val="00A4512D"/>
    <w:rsid w:val="00A50244"/>
    <w:rsid w:val="00A60CE6"/>
    <w:rsid w:val="00A627D7"/>
    <w:rsid w:val="00A656C7"/>
    <w:rsid w:val="00A705AF"/>
    <w:rsid w:val="00A71F59"/>
    <w:rsid w:val="00A72454"/>
    <w:rsid w:val="00A77696"/>
    <w:rsid w:val="00A80557"/>
    <w:rsid w:val="00A81D33"/>
    <w:rsid w:val="00A8341C"/>
    <w:rsid w:val="00A930AE"/>
    <w:rsid w:val="00A9567F"/>
    <w:rsid w:val="00AA1A95"/>
    <w:rsid w:val="00AA260F"/>
    <w:rsid w:val="00AB1EE7"/>
    <w:rsid w:val="00AB4B37"/>
    <w:rsid w:val="00AB5762"/>
    <w:rsid w:val="00AC2679"/>
    <w:rsid w:val="00AC343A"/>
    <w:rsid w:val="00AC48B4"/>
    <w:rsid w:val="00AC4BE4"/>
    <w:rsid w:val="00AD05E6"/>
    <w:rsid w:val="00AD0D3F"/>
    <w:rsid w:val="00AE1D7D"/>
    <w:rsid w:val="00AE2A8B"/>
    <w:rsid w:val="00AE3F64"/>
    <w:rsid w:val="00AF7386"/>
    <w:rsid w:val="00AF7934"/>
    <w:rsid w:val="00B00B81"/>
    <w:rsid w:val="00B04580"/>
    <w:rsid w:val="00B04B09"/>
    <w:rsid w:val="00B11FDD"/>
    <w:rsid w:val="00B16A51"/>
    <w:rsid w:val="00B21BFD"/>
    <w:rsid w:val="00B32222"/>
    <w:rsid w:val="00B3618D"/>
    <w:rsid w:val="00B36233"/>
    <w:rsid w:val="00B42851"/>
    <w:rsid w:val="00B45AC7"/>
    <w:rsid w:val="00B46911"/>
    <w:rsid w:val="00B5372F"/>
    <w:rsid w:val="00B61129"/>
    <w:rsid w:val="00B67E7F"/>
    <w:rsid w:val="00B834AF"/>
    <w:rsid w:val="00B839B2"/>
    <w:rsid w:val="00B94252"/>
    <w:rsid w:val="00B9715A"/>
    <w:rsid w:val="00BA14BE"/>
    <w:rsid w:val="00BA2732"/>
    <w:rsid w:val="00BA293D"/>
    <w:rsid w:val="00BA49BC"/>
    <w:rsid w:val="00BA56B7"/>
    <w:rsid w:val="00BA7A1E"/>
    <w:rsid w:val="00BB2F6C"/>
    <w:rsid w:val="00BB3875"/>
    <w:rsid w:val="00BB5860"/>
    <w:rsid w:val="00BB6AAD"/>
    <w:rsid w:val="00BB7B17"/>
    <w:rsid w:val="00BC4A19"/>
    <w:rsid w:val="00BC4E6D"/>
    <w:rsid w:val="00BD0617"/>
    <w:rsid w:val="00BD2E9B"/>
    <w:rsid w:val="00BD7FB2"/>
    <w:rsid w:val="00C00930"/>
    <w:rsid w:val="00C060AD"/>
    <w:rsid w:val="00C113BF"/>
    <w:rsid w:val="00C1745E"/>
    <w:rsid w:val="00C2176E"/>
    <w:rsid w:val="00C23430"/>
    <w:rsid w:val="00C27D67"/>
    <w:rsid w:val="00C43978"/>
    <w:rsid w:val="00C4631F"/>
    <w:rsid w:val="00C47CDE"/>
    <w:rsid w:val="00C50E16"/>
    <w:rsid w:val="00C55258"/>
    <w:rsid w:val="00C67C2C"/>
    <w:rsid w:val="00C73E3A"/>
    <w:rsid w:val="00C82EEB"/>
    <w:rsid w:val="00C92AAF"/>
    <w:rsid w:val="00C971DC"/>
    <w:rsid w:val="00CA16B7"/>
    <w:rsid w:val="00CA62AE"/>
    <w:rsid w:val="00CB5B1A"/>
    <w:rsid w:val="00CC220B"/>
    <w:rsid w:val="00CC5C43"/>
    <w:rsid w:val="00CD02AE"/>
    <w:rsid w:val="00CD2A4F"/>
    <w:rsid w:val="00CD3AEE"/>
    <w:rsid w:val="00CD7A28"/>
    <w:rsid w:val="00CE03CA"/>
    <w:rsid w:val="00CE22F1"/>
    <w:rsid w:val="00CE50F2"/>
    <w:rsid w:val="00CE60AF"/>
    <w:rsid w:val="00CE6502"/>
    <w:rsid w:val="00CF2125"/>
    <w:rsid w:val="00CF7D3C"/>
    <w:rsid w:val="00D01F09"/>
    <w:rsid w:val="00D147EB"/>
    <w:rsid w:val="00D34667"/>
    <w:rsid w:val="00D401E1"/>
    <w:rsid w:val="00D408B4"/>
    <w:rsid w:val="00D524C8"/>
    <w:rsid w:val="00D70E24"/>
    <w:rsid w:val="00D72B61"/>
    <w:rsid w:val="00D9066E"/>
    <w:rsid w:val="00DA3D1D"/>
    <w:rsid w:val="00DB52B0"/>
    <w:rsid w:val="00DB6286"/>
    <w:rsid w:val="00DB645F"/>
    <w:rsid w:val="00DB76E9"/>
    <w:rsid w:val="00DC0A67"/>
    <w:rsid w:val="00DC1D5E"/>
    <w:rsid w:val="00DC5220"/>
    <w:rsid w:val="00DD2061"/>
    <w:rsid w:val="00DD7DAB"/>
    <w:rsid w:val="00DE3355"/>
    <w:rsid w:val="00DF0C60"/>
    <w:rsid w:val="00DF28AD"/>
    <w:rsid w:val="00DF486F"/>
    <w:rsid w:val="00DF5B5B"/>
    <w:rsid w:val="00DF7619"/>
    <w:rsid w:val="00DF7652"/>
    <w:rsid w:val="00E042D8"/>
    <w:rsid w:val="00E05B2F"/>
    <w:rsid w:val="00E07EE7"/>
    <w:rsid w:val="00E1103B"/>
    <w:rsid w:val="00E17B44"/>
    <w:rsid w:val="00E20F27"/>
    <w:rsid w:val="00E22443"/>
    <w:rsid w:val="00E27FEA"/>
    <w:rsid w:val="00E40091"/>
    <w:rsid w:val="00E4086F"/>
    <w:rsid w:val="00E43B3C"/>
    <w:rsid w:val="00E44842"/>
    <w:rsid w:val="00E50188"/>
    <w:rsid w:val="00E50BB3"/>
    <w:rsid w:val="00E515CB"/>
    <w:rsid w:val="00E52260"/>
    <w:rsid w:val="00E54E0E"/>
    <w:rsid w:val="00E56495"/>
    <w:rsid w:val="00E639B6"/>
    <w:rsid w:val="00E6434B"/>
    <w:rsid w:val="00E6463D"/>
    <w:rsid w:val="00E72E9B"/>
    <w:rsid w:val="00E850C3"/>
    <w:rsid w:val="00E87DF2"/>
    <w:rsid w:val="00E9462E"/>
    <w:rsid w:val="00EA155F"/>
    <w:rsid w:val="00EA1BEC"/>
    <w:rsid w:val="00EA470E"/>
    <w:rsid w:val="00EA47A7"/>
    <w:rsid w:val="00EA57EB"/>
    <w:rsid w:val="00EB3226"/>
    <w:rsid w:val="00EB484B"/>
    <w:rsid w:val="00EC213A"/>
    <w:rsid w:val="00EC5C82"/>
    <w:rsid w:val="00EC7744"/>
    <w:rsid w:val="00ED0DAD"/>
    <w:rsid w:val="00ED0F46"/>
    <w:rsid w:val="00ED2373"/>
    <w:rsid w:val="00ED6927"/>
    <w:rsid w:val="00EE3E8A"/>
    <w:rsid w:val="00EF2056"/>
    <w:rsid w:val="00EF58B8"/>
    <w:rsid w:val="00EF6ECA"/>
    <w:rsid w:val="00F024E1"/>
    <w:rsid w:val="00F06C10"/>
    <w:rsid w:val="00F1096F"/>
    <w:rsid w:val="00F12589"/>
    <w:rsid w:val="00F12595"/>
    <w:rsid w:val="00F134D9"/>
    <w:rsid w:val="00F1403D"/>
    <w:rsid w:val="00F1463F"/>
    <w:rsid w:val="00F156CE"/>
    <w:rsid w:val="00F16691"/>
    <w:rsid w:val="00F21302"/>
    <w:rsid w:val="00F321DE"/>
    <w:rsid w:val="00F33777"/>
    <w:rsid w:val="00F40648"/>
    <w:rsid w:val="00F469DA"/>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C714E"/>
    <w:rsid w:val="00FD4731"/>
    <w:rsid w:val="00FD6768"/>
    <w:rsid w:val="00FE10E6"/>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0C184"/>
  <w15:docId w15:val="{FCD67710-FCB2-4E04-976B-585E2552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B7B17"/>
    <w:pPr>
      <w:spacing w:before="120" w:after="120" w:line="276" w:lineRule="auto"/>
    </w:pPr>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BB7B17"/>
    <w:rPr>
      <w:rFonts w:eastAsiaTheme="majorEastAsia" w:cstheme="majorBidi"/>
      <w:color w:val="3F4A75"/>
      <w:kern w:val="28"/>
      <w:sz w:val="48"/>
      <w:szCs w:val="52"/>
    </w:rPr>
  </w:style>
  <w:style w:type="character" w:customStyle="1" w:styleId="TitleChar">
    <w:name w:val="Title Char"/>
    <w:basedOn w:val="DefaultParagraphFont"/>
    <w:link w:val="Title"/>
    <w:rsid w:val="00BB7B17"/>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BB7B17"/>
    <w:pPr>
      <w:numPr>
        <w:numId w:val="17"/>
      </w:numPr>
      <w:spacing w:before="60" w:after="60"/>
    </w:pPr>
    <w:rPr>
      <w:color w:val="000000" w:themeColor="text1"/>
    </w:rPr>
  </w:style>
  <w:style w:type="paragraph" w:styleId="ListParagraph">
    <w:name w:val="List Paragraph"/>
    <w:basedOn w:val="Normal"/>
    <w:uiPriority w:val="1"/>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BB7B17"/>
    <w:rPr>
      <w:rFonts w:ascii="Arial" w:hAnsi="Arial"/>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Col">
      <w:pPr>
        <w:jc w:val="right"/>
      </w:pPr>
    </w:tblStylePr>
    <w:tblStylePr w:type="band2Vert">
      <w:pPr>
        <w:jc w:val="right"/>
      </w:p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semiHidden/>
    <w:unhideWhenUsed/>
    <w:rsid w:val="00994536"/>
    <w:rPr>
      <w:sz w:val="16"/>
      <w:szCs w:val="16"/>
    </w:rPr>
  </w:style>
  <w:style w:type="paragraph" w:styleId="CommentText">
    <w:name w:val="annotation text"/>
    <w:basedOn w:val="Normal"/>
    <w:link w:val="CommentTextChar"/>
    <w:unhideWhenUsed/>
    <w:rsid w:val="00994536"/>
    <w:rPr>
      <w:sz w:val="20"/>
      <w:szCs w:val="20"/>
    </w:rPr>
  </w:style>
  <w:style w:type="character" w:customStyle="1" w:styleId="CommentTextChar">
    <w:name w:val="Comment Text Char"/>
    <w:basedOn w:val="DefaultParagraphFont"/>
    <w:link w:val="CommentText"/>
    <w:rsid w:val="00994536"/>
    <w:rPr>
      <w:rFonts w:ascii="Arial" w:hAnsi="Arial"/>
      <w:lang w:eastAsia="en-US"/>
    </w:rPr>
  </w:style>
  <w:style w:type="paragraph" w:styleId="BalloonText">
    <w:name w:val="Balloon Text"/>
    <w:basedOn w:val="Normal"/>
    <w:link w:val="BalloonTextChar"/>
    <w:semiHidden/>
    <w:unhideWhenUsed/>
    <w:rsid w:val="00994536"/>
    <w:rPr>
      <w:rFonts w:ascii="Segoe UI" w:hAnsi="Segoe UI" w:cs="Segoe UI"/>
      <w:sz w:val="18"/>
      <w:szCs w:val="18"/>
    </w:rPr>
  </w:style>
  <w:style w:type="character" w:customStyle="1" w:styleId="BalloonTextChar">
    <w:name w:val="Balloon Text Char"/>
    <w:basedOn w:val="DefaultParagraphFont"/>
    <w:link w:val="BalloonText"/>
    <w:semiHidden/>
    <w:rsid w:val="00994536"/>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994536"/>
    <w:rPr>
      <w:b/>
      <w:bCs/>
    </w:rPr>
  </w:style>
  <w:style w:type="character" w:customStyle="1" w:styleId="CommentSubjectChar">
    <w:name w:val="Comment Subject Char"/>
    <w:basedOn w:val="CommentTextChar"/>
    <w:link w:val="CommentSubject"/>
    <w:semiHidden/>
    <w:rsid w:val="00994536"/>
    <w:rPr>
      <w:rFonts w:ascii="Arial" w:hAnsi="Arial"/>
      <w:b/>
      <w:bCs/>
      <w:lang w:eastAsia="en-US"/>
    </w:rPr>
  </w:style>
  <w:style w:type="paragraph" w:customStyle="1" w:styleId="TableParagraph">
    <w:name w:val="Table Paragraph"/>
    <w:basedOn w:val="Normal"/>
    <w:uiPriority w:val="1"/>
    <w:qFormat/>
    <w:rsid w:val="00254D7D"/>
    <w:pPr>
      <w:widowControl w:val="0"/>
      <w:autoSpaceDE w:val="0"/>
      <w:autoSpaceDN w:val="0"/>
      <w:ind w:left="112"/>
    </w:pPr>
    <w:rPr>
      <w:rFonts w:ascii="Cambria" w:eastAsia="Cambria" w:hAnsi="Cambria" w:cs="Cambria"/>
      <w:szCs w:val="22"/>
      <w:lang w:eastAsia="en-AU" w:bidi="en-AU"/>
    </w:rPr>
  </w:style>
  <w:style w:type="character" w:styleId="UnresolvedMention">
    <w:name w:val="Unresolved Mention"/>
    <w:basedOn w:val="DefaultParagraphFont"/>
    <w:uiPriority w:val="99"/>
    <w:semiHidden/>
    <w:unhideWhenUsed/>
    <w:rsid w:val="00ED6927"/>
    <w:rPr>
      <w:color w:val="605E5C"/>
      <w:shd w:val="clear" w:color="auto" w:fill="E1DFDD"/>
    </w:rPr>
  </w:style>
  <w:style w:type="character" w:styleId="FollowedHyperlink">
    <w:name w:val="FollowedHyperlink"/>
    <w:basedOn w:val="DefaultParagraphFont"/>
    <w:semiHidden/>
    <w:unhideWhenUsed/>
    <w:rsid w:val="009874EE"/>
    <w:rPr>
      <w:color w:val="800080" w:themeColor="followedHyperlink"/>
      <w:u w:val="single"/>
    </w:rPr>
  </w:style>
  <w:style w:type="character" w:styleId="FootnoteReference">
    <w:name w:val="footnote reference"/>
    <w:basedOn w:val="DefaultParagraphFont"/>
    <w:unhideWhenUsed/>
    <w:rsid w:val="00C92AAF"/>
    <w:rPr>
      <w:vertAlign w:val="superscript"/>
    </w:rPr>
  </w:style>
  <w:style w:type="paragraph" w:styleId="Caption">
    <w:name w:val="caption"/>
    <w:basedOn w:val="Normal"/>
    <w:next w:val="Normal"/>
    <w:unhideWhenUsed/>
    <w:rsid w:val="00C92AAF"/>
    <w:pPr>
      <w:spacing w:before="0" w:after="200" w:line="240" w:lineRule="auto"/>
    </w:pPr>
    <w:rPr>
      <w:b/>
      <w:iCs/>
      <w:sz w:val="20"/>
      <w:szCs w:val="18"/>
    </w:rPr>
  </w:style>
  <w:style w:type="paragraph" w:styleId="Revision">
    <w:name w:val="Revision"/>
    <w:hidden/>
    <w:uiPriority w:val="99"/>
    <w:semiHidden/>
    <w:rsid w:val="00E40091"/>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340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8306796">
      <w:bodyDiv w:val="1"/>
      <w:marLeft w:val="0"/>
      <w:marRight w:val="0"/>
      <w:marTop w:val="0"/>
      <w:marBottom w:val="0"/>
      <w:divBdr>
        <w:top w:val="none" w:sz="0" w:space="0" w:color="auto"/>
        <w:left w:val="none" w:sz="0" w:space="0" w:color="auto"/>
        <w:bottom w:val="none" w:sz="0" w:space="0" w:color="auto"/>
        <w:right w:val="none" w:sz="0" w:space="0" w:color="auto"/>
      </w:divBdr>
    </w:div>
    <w:div w:id="96280421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gov.au/resources/publications/lsdp-batten-patient-test-results-spreadshe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resources/publications/life-saving-drugs-program-late-infantile-batten-disease-cln2-disease-reapplication?language=en" TargetMode="External"/><Relationship Id="rId2" Type="http://schemas.openxmlformats.org/officeDocument/2006/relationships/customXml" Target="../customXml/item2.xml"/><Relationship Id="rId16" Type="http://schemas.openxmlformats.org/officeDocument/2006/relationships/hyperlink" Target="https://health.gov.au/resources/publications/lsdp-batten-initial-applic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ealth.gov.au/initiatives-and-programs/life-saving-drugs-program" TargetMode="External"/><Relationship Id="rId10" Type="http://schemas.openxmlformats.org/officeDocument/2006/relationships/endnotes" Target="endnotes.xml"/><Relationship Id="rId19" Type="http://schemas.openxmlformats.org/officeDocument/2006/relationships/hyperlink" Target="https://www.health.gov.au/resources/publications/life-saving-drugs-program-mucopolysaccharidosis-type-ii-mps-ii-reapplication?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ga.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F15E2-5B75-4404-BCF7-A60B14051E56}">
  <ds:schemaRefs>
    <ds:schemaRef ds:uri="http://schemas.openxmlformats.org/officeDocument/2006/bibliography"/>
  </ds:schemaRefs>
</ds:datastoreItem>
</file>

<file path=customXml/itemProps2.xml><?xml version="1.0" encoding="utf-8"?>
<ds:datastoreItem xmlns:ds="http://schemas.openxmlformats.org/officeDocument/2006/customXml" ds:itemID="{5A4C22D8-6EBC-4AE2-B29D-DA099E99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Guidelines for the treatment of late infantile onset Batten disease (CLN2 disease) through the Life Saving Drugs Program</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treatment of late infantile onset Batten disease (CLN2 disease) through the Life Saving Drugs Program</dc:title>
  <dc:subject>Life Saving Drugs Program</dc:subject>
  <dc:creator>Australian Government Department of Health and Aged Care</dc:creator>
  <cp:keywords>Life Saving Drugs Program; CLN2 disease; Chronic conditions</cp:keywords>
  <cp:lastModifiedBy>MASCHKE, Elvia</cp:lastModifiedBy>
  <cp:revision>3</cp:revision>
  <dcterms:created xsi:type="dcterms:W3CDTF">2024-09-16T23:21:00Z</dcterms:created>
  <dcterms:modified xsi:type="dcterms:W3CDTF">2024-09-19T09:22:00Z</dcterms:modified>
</cp:coreProperties>
</file>