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D4887" w14:textId="77777777" w:rsidR="00994536" w:rsidRPr="0051414E" w:rsidRDefault="00994536" w:rsidP="0051414E">
      <w:pPr>
        <w:pStyle w:val="Title"/>
        <w:sectPr w:rsidR="00994536" w:rsidRPr="0051414E" w:rsidSect="00994536">
          <w:footerReference w:type="default" r:id="rId11"/>
          <w:headerReference w:type="first" r:id="rId12"/>
          <w:footerReference w:type="first" r:id="rId13"/>
          <w:type w:val="continuous"/>
          <w:pgSz w:w="11906" w:h="16838"/>
          <w:pgMar w:top="1701" w:right="1418" w:bottom="1418" w:left="1418" w:header="851" w:footer="709" w:gutter="0"/>
          <w:cols w:space="708"/>
          <w:titlePg/>
          <w:docGrid w:linePitch="360"/>
        </w:sectPr>
      </w:pPr>
      <w:r w:rsidRPr="0051414E">
        <w:t xml:space="preserve">Guidelines for the treatment of </w:t>
      </w:r>
      <w:r w:rsidR="00C041EE" w:rsidRPr="0051414E">
        <w:t>Gaucher disease</w:t>
      </w:r>
      <w:r w:rsidRPr="0051414E">
        <w:t xml:space="preserve"> through the Life Saving Drugs Program</w:t>
      </w:r>
    </w:p>
    <w:p w14:paraId="086441CB" w14:textId="4F57C215" w:rsidR="00994536" w:rsidRDefault="00994536" w:rsidP="00994536">
      <w:pPr>
        <w:pStyle w:val="Heading1"/>
      </w:pPr>
      <w:r w:rsidRPr="00AA4BCB">
        <w:t>Life Saving Drugs Program</w:t>
      </w:r>
    </w:p>
    <w:p w14:paraId="093CC34E" w14:textId="77777777" w:rsidR="00994536" w:rsidRPr="00AA4BCB" w:rsidRDefault="00994536" w:rsidP="00994536">
      <w:pPr>
        <w:pStyle w:val="Heading2"/>
      </w:pPr>
      <w:r w:rsidRPr="00AA4BCB">
        <w:t>About th</w:t>
      </w:r>
      <w:r>
        <w:t>is</w:t>
      </w:r>
      <w:r w:rsidRPr="00AA4BCB">
        <w:t xml:space="preserve"> </w:t>
      </w:r>
      <w:r>
        <w:t>program</w:t>
      </w:r>
      <w:r w:rsidRPr="00AA4BCB">
        <w:t xml:space="preserve"> </w:t>
      </w:r>
    </w:p>
    <w:p w14:paraId="7B1D4C27" w14:textId="5BDFA46E" w:rsidR="00994536" w:rsidRPr="0051414E" w:rsidRDefault="00994536" w:rsidP="0051414E">
      <w:r w:rsidRPr="0051414E">
        <w:t xml:space="preserve">Through the Life Saving Drugs Program (LSDP), the Australian Government provides subsidised access for eligible patients to expensive life-saving </w:t>
      </w:r>
      <w:r w:rsidR="005A20A4" w:rsidRPr="0051414E">
        <w:t>medicines</w:t>
      </w:r>
      <w:r w:rsidRPr="0051414E">
        <w:t>.</w:t>
      </w:r>
    </w:p>
    <w:p w14:paraId="2DFF814C" w14:textId="77777777" w:rsidR="00994536" w:rsidRDefault="00994536" w:rsidP="00994536">
      <w:pPr>
        <w:pStyle w:val="Heading2"/>
      </w:pPr>
      <w:r w:rsidRPr="00A437C2">
        <w:t>Purpose of this document</w:t>
      </w:r>
    </w:p>
    <w:p w14:paraId="3E100BEA" w14:textId="24DE1746" w:rsidR="00994536" w:rsidRPr="0051414E" w:rsidRDefault="00994536" w:rsidP="0051414E">
      <w:r w:rsidRPr="0051414E">
        <w:t xml:space="preserve">This document provides guidance for treating physicians with relevant specialist registration who wish to apply for their patients to receive access to subsidised treatment for </w:t>
      </w:r>
      <w:r w:rsidR="00C041EE" w:rsidRPr="0051414E">
        <w:t>Gaucher disease (type 1)</w:t>
      </w:r>
      <w:r w:rsidRPr="0051414E">
        <w:t xml:space="preserve"> through the LSDP.</w:t>
      </w:r>
    </w:p>
    <w:p w14:paraId="08A5D88B" w14:textId="77777777" w:rsidR="00994536" w:rsidRPr="0051414E" w:rsidRDefault="00994536" w:rsidP="0051414E">
      <w:r w:rsidRPr="0051414E">
        <w:t xml:space="preserve">It describes the criteria for general, </w:t>
      </w:r>
      <w:proofErr w:type="gramStart"/>
      <w:r w:rsidRPr="0051414E">
        <w:t>initial</w:t>
      </w:r>
      <w:proofErr w:type="gramEnd"/>
      <w:r w:rsidRPr="0051414E">
        <w:t xml:space="preserve"> and ongoing eligibility to access subsidised treatment and the administrative requirements associated with the initial application and annual reapplications.</w:t>
      </w:r>
    </w:p>
    <w:p w14:paraId="5D70F960" w14:textId="77777777" w:rsidR="00994536" w:rsidRDefault="00994536" w:rsidP="00994536">
      <w:pPr>
        <w:pStyle w:val="Heading2"/>
      </w:pPr>
      <w:r w:rsidRPr="00A437C2">
        <w:t xml:space="preserve">Treatment of </w:t>
      </w:r>
      <w:r w:rsidR="00C041EE">
        <w:t xml:space="preserve">Gaucher disease </w:t>
      </w:r>
      <w:r w:rsidRPr="00A437C2">
        <w:t>through the LSDP</w:t>
      </w:r>
    </w:p>
    <w:p w14:paraId="521BD082" w14:textId="37B8772C" w:rsidR="00C041EE" w:rsidRPr="0051414E" w:rsidRDefault="007A3404" w:rsidP="0051414E">
      <w:r w:rsidRPr="0051414E">
        <w:t>S</w:t>
      </w:r>
      <w:r w:rsidR="00C041EE" w:rsidRPr="0051414E">
        <w:t>ubsidised treatment is available for eligible patients with a confirmed diagnosis of Gaucher disease</w:t>
      </w:r>
      <w:r w:rsidR="00593119" w:rsidRPr="0051414E">
        <w:t xml:space="preserve"> (type 1)</w:t>
      </w:r>
      <w:r w:rsidR="00C041EE" w:rsidRPr="0051414E">
        <w:t xml:space="preserve">. Subsidised treatment through the LSDP is not available for patients with </w:t>
      </w:r>
      <w:r w:rsidR="00A32CB6" w:rsidRPr="0051414E">
        <w:t>t</w:t>
      </w:r>
      <w:r w:rsidR="00C041EE" w:rsidRPr="0051414E">
        <w:t xml:space="preserve">ype 2 or </w:t>
      </w:r>
      <w:r w:rsidR="00A32CB6" w:rsidRPr="0051414E">
        <w:t>t</w:t>
      </w:r>
      <w:r w:rsidR="00C041EE" w:rsidRPr="0051414E">
        <w:t>ype 3 Gaucher disease.</w:t>
      </w:r>
    </w:p>
    <w:p w14:paraId="101AF601" w14:textId="3AC0B717" w:rsidR="00994536" w:rsidRDefault="00C03098" w:rsidP="00994536">
      <w:pPr>
        <w:pStyle w:val="Heading2"/>
      </w:pPr>
      <w:r>
        <w:t>Medicines</w:t>
      </w:r>
      <w:r w:rsidR="00994536">
        <w:t xml:space="preserve"> currently available for the treatment of </w:t>
      </w:r>
      <w:r w:rsidR="00C041EE">
        <w:t>Gaucher disease</w:t>
      </w:r>
      <w:r w:rsidR="00994536">
        <w:t xml:space="preserve"> through the LSDP </w:t>
      </w:r>
    </w:p>
    <w:p w14:paraId="755C319E" w14:textId="14BDA032" w:rsidR="001F17EA" w:rsidRPr="0051414E" w:rsidRDefault="001F17EA" w:rsidP="0051414E">
      <w:r w:rsidRPr="0051414E">
        <w:t>There are</w:t>
      </w:r>
      <w:r w:rsidR="002C2938" w:rsidRPr="0051414E">
        <w:t xml:space="preserve"> </w:t>
      </w:r>
      <w:r w:rsidR="003042EF" w:rsidRPr="0051414E">
        <w:t>4</w:t>
      </w:r>
      <w:r w:rsidR="001B3D61" w:rsidRPr="0051414E">
        <w:t xml:space="preserve"> </w:t>
      </w:r>
      <w:r w:rsidR="005A20A4" w:rsidRPr="0051414E">
        <w:t xml:space="preserve">medicines </w:t>
      </w:r>
      <w:r w:rsidRPr="0051414E">
        <w:t>currently subsidised through the LSDP for the treatment of Gaucher disease (</w:t>
      </w:r>
      <w:r w:rsidR="00E22573" w:rsidRPr="0051414E">
        <w:t>type 1</w:t>
      </w:r>
      <w:r w:rsidRPr="0051414E">
        <w:t>).</w:t>
      </w:r>
    </w:p>
    <w:p w14:paraId="6CE86F82" w14:textId="5E937602" w:rsidR="001F17EA" w:rsidRPr="0051414E" w:rsidRDefault="001F17EA" w:rsidP="0051414E">
      <w:r w:rsidRPr="0051414E">
        <w:t xml:space="preserve">The generic names for these </w:t>
      </w:r>
      <w:r w:rsidR="005A20A4" w:rsidRPr="0051414E">
        <w:t>medicines</w:t>
      </w:r>
      <w:r w:rsidR="002F76FF" w:rsidRPr="0051414E">
        <w:t xml:space="preserve"> </w:t>
      </w:r>
      <w:r w:rsidRPr="0051414E">
        <w:t xml:space="preserve">are </w:t>
      </w:r>
      <w:proofErr w:type="spellStart"/>
      <w:r w:rsidRPr="0051414E">
        <w:t>imiglucerase</w:t>
      </w:r>
      <w:proofErr w:type="spellEnd"/>
      <w:r w:rsidRPr="0051414E">
        <w:t xml:space="preserve">, </w:t>
      </w:r>
      <w:proofErr w:type="spellStart"/>
      <w:r w:rsidRPr="0051414E">
        <w:t>velaglucerase</w:t>
      </w:r>
      <w:proofErr w:type="spellEnd"/>
      <w:r w:rsidR="00593119" w:rsidRPr="0051414E">
        <w:t>,</w:t>
      </w:r>
      <w:r w:rsidRPr="0051414E">
        <w:t xml:space="preserve"> </w:t>
      </w:r>
      <w:proofErr w:type="spellStart"/>
      <w:r w:rsidRPr="0051414E">
        <w:t>taliglucerase</w:t>
      </w:r>
      <w:proofErr w:type="spellEnd"/>
      <w:r w:rsidR="003042EF" w:rsidRPr="0051414E">
        <w:t xml:space="preserve"> and eliglustat.</w:t>
      </w:r>
    </w:p>
    <w:p w14:paraId="2C0ACAD5" w14:textId="5BE4D1F7" w:rsidR="001F17EA" w:rsidRPr="0051414E" w:rsidRDefault="001F17EA" w:rsidP="0051414E">
      <w:r w:rsidRPr="0051414E">
        <w:t xml:space="preserve">The trade names for these </w:t>
      </w:r>
      <w:r w:rsidR="005A20A4" w:rsidRPr="0051414E">
        <w:t>medicines</w:t>
      </w:r>
      <w:r w:rsidR="005D66AF" w:rsidRPr="0051414E">
        <w:t xml:space="preserve"> </w:t>
      </w:r>
      <w:r w:rsidRPr="0051414E">
        <w:t>are Cerezyme®, VPRIV</w:t>
      </w:r>
      <w:r w:rsidR="006F04BC" w:rsidRPr="0051414E">
        <w:t xml:space="preserve">®, </w:t>
      </w:r>
      <w:proofErr w:type="spellStart"/>
      <w:r w:rsidR="006A000F" w:rsidRPr="0051414E">
        <w:t>E</w:t>
      </w:r>
      <w:r w:rsidRPr="0051414E">
        <w:t>lelyso</w:t>
      </w:r>
      <w:proofErr w:type="spellEnd"/>
      <w:r w:rsidR="003042EF" w:rsidRPr="0051414E">
        <w:t xml:space="preserve">® and </w:t>
      </w:r>
      <w:proofErr w:type="spellStart"/>
      <w:r w:rsidR="003042EF" w:rsidRPr="0051414E">
        <w:t>Cer</w:t>
      </w:r>
      <w:r w:rsidR="00E25773" w:rsidRPr="0051414E">
        <w:t>d</w:t>
      </w:r>
      <w:r w:rsidR="003042EF" w:rsidRPr="0051414E">
        <w:t>elga</w:t>
      </w:r>
      <w:proofErr w:type="spellEnd"/>
      <w:r w:rsidR="002C2938" w:rsidRPr="0051414E">
        <w:t>®</w:t>
      </w:r>
      <w:r w:rsidRPr="0051414E">
        <w:t>.</w:t>
      </w:r>
    </w:p>
    <w:p w14:paraId="351429EB" w14:textId="71ED7A51" w:rsidR="00994536" w:rsidRPr="0051414E" w:rsidRDefault="001F17EA" w:rsidP="0051414E">
      <w:r w:rsidRPr="0051414E">
        <w:t xml:space="preserve">The Therapeutic Goods Administration (TGA) registration and Product Information for </w:t>
      </w:r>
      <w:proofErr w:type="spellStart"/>
      <w:r w:rsidRPr="0051414E">
        <w:t>imiglucerase</w:t>
      </w:r>
      <w:proofErr w:type="spellEnd"/>
      <w:r w:rsidRPr="0051414E">
        <w:t xml:space="preserve"> (Cerezyme</w:t>
      </w:r>
      <w:r w:rsidRPr="0051414E">
        <w:rPr>
          <w:rStyle w:val="FootnoteReference"/>
        </w:rPr>
        <w:t>®</w:t>
      </w:r>
      <w:r w:rsidRPr="0051414E">
        <w:t xml:space="preserve">), </w:t>
      </w:r>
      <w:proofErr w:type="spellStart"/>
      <w:r w:rsidRPr="0051414E">
        <w:t>velaglucerase</w:t>
      </w:r>
      <w:proofErr w:type="spellEnd"/>
      <w:r w:rsidRPr="0051414E">
        <w:t xml:space="preserve"> (VPRIV</w:t>
      </w:r>
      <w:r w:rsidRPr="0051414E">
        <w:rPr>
          <w:rStyle w:val="FootnoteReference"/>
        </w:rPr>
        <w:t>®</w:t>
      </w:r>
      <w:r w:rsidRPr="0051414E">
        <w:t>)</w:t>
      </w:r>
      <w:r w:rsidR="006F04BC" w:rsidRPr="0051414E">
        <w:t xml:space="preserve">, </w:t>
      </w:r>
      <w:proofErr w:type="spellStart"/>
      <w:r w:rsidRPr="0051414E">
        <w:t>taliglucerase</w:t>
      </w:r>
      <w:proofErr w:type="spellEnd"/>
      <w:r w:rsidRPr="0051414E">
        <w:t xml:space="preserve"> (</w:t>
      </w:r>
      <w:proofErr w:type="spellStart"/>
      <w:r w:rsidRPr="0051414E">
        <w:t>Elelyso</w:t>
      </w:r>
      <w:proofErr w:type="spellEnd"/>
      <w:r w:rsidRPr="0051414E">
        <w:rPr>
          <w:rStyle w:val="FootnoteReference"/>
        </w:rPr>
        <w:t>®</w:t>
      </w:r>
      <w:r w:rsidRPr="0051414E">
        <w:t xml:space="preserve">) </w:t>
      </w:r>
      <w:r w:rsidR="003042EF" w:rsidRPr="0051414E">
        <w:t>and eliglustat (</w:t>
      </w:r>
      <w:proofErr w:type="spellStart"/>
      <w:r w:rsidR="00E25773" w:rsidRPr="0051414E">
        <w:t>Cerdelga</w:t>
      </w:r>
      <w:proofErr w:type="spellEnd"/>
      <w:r w:rsidR="00F72EB5" w:rsidRPr="0051414E">
        <w:rPr>
          <w:rStyle w:val="FootnoteReference"/>
        </w:rPr>
        <w:t>®</w:t>
      </w:r>
      <w:r w:rsidR="003042EF" w:rsidRPr="0051414E">
        <w:t xml:space="preserve">) </w:t>
      </w:r>
      <w:r w:rsidRPr="0051414E">
        <w:t xml:space="preserve">can be found on the </w:t>
      </w:r>
      <w:hyperlink r:id="rId14" w:history="1">
        <w:r w:rsidRPr="00975B3A">
          <w:rPr>
            <w:rStyle w:val="Hyperlink"/>
            <w:sz w:val="22"/>
            <w:szCs w:val="22"/>
          </w:rPr>
          <w:t>TGA's website</w:t>
        </w:r>
      </w:hyperlink>
      <w:r w:rsidRPr="0051414E">
        <w:t>.</w:t>
      </w:r>
      <w:r w:rsidR="00994536" w:rsidRPr="0051414E">
        <w:t xml:space="preserve"> </w:t>
      </w:r>
    </w:p>
    <w:p w14:paraId="6198DC5C" w14:textId="77777777" w:rsidR="00994536" w:rsidRDefault="00994536" w:rsidP="00994536">
      <w:pPr>
        <w:pStyle w:val="Heading2"/>
      </w:pPr>
      <w:r>
        <w:t>Choice of treatment</w:t>
      </w:r>
    </w:p>
    <w:p w14:paraId="404A93E8" w14:textId="7D12AA3D" w:rsidR="00C52E1D" w:rsidRPr="0051414E" w:rsidRDefault="00C52E1D" w:rsidP="0051414E">
      <w:r w:rsidRPr="0051414E">
        <w:t xml:space="preserve">Treating physicians can request the most appropriate </w:t>
      </w:r>
      <w:r w:rsidR="005A20A4" w:rsidRPr="0051414E">
        <w:t xml:space="preserve">medicine </w:t>
      </w:r>
      <w:r w:rsidRPr="0051414E">
        <w:t>to treat their patient</w:t>
      </w:r>
      <w:r w:rsidR="00CC1CDA" w:rsidRPr="0051414E">
        <w:t>, where all eligibility requirements have been met</w:t>
      </w:r>
      <w:r w:rsidRPr="0051414E">
        <w:t>.</w:t>
      </w:r>
    </w:p>
    <w:p w14:paraId="081906FF" w14:textId="4BB58C98" w:rsidR="00C52E1D" w:rsidRPr="0051414E" w:rsidRDefault="00C52E1D" w:rsidP="0051414E">
      <w:r w:rsidRPr="0051414E">
        <w:t xml:space="preserve">All patients who are initiated on a </w:t>
      </w:r>
      <w:r w:rsidR="005A20A4" w:rsidRPr="0051414E">
        <w:t xml:space="preserve">medicine </w:t>
      </w:r>
      <w:r w:rsidRPr="0051414E">
        <w:t xml:space="preserve">or transitioned to a different </w:t>
      </w:r>
      <w:r w:rsidR="005A20A4" w:rsidRPr="0051414E">
        <w:t xml:space="preserve">medicine </w:t>
      </w:r>
      <w:r w:rsidRPr="0051414E">
        <w:t xml:space="preserve">through the LSDP are required to remain on the same </w:t>
      </w:r>
      <w:r w:rsidR="005A20A4" w:rsidRPr="0051414E">
        <w:t xml:space="preserve">medicine </w:t>
      </w:r>
      <w:r w:rsidRPr="0051414E">
        <w:t xml:space="preserve">for a period of at least 12 </w:t>
      </w:r>
      <w:proofErr w:type="gramStart"/>
      <w:r w:rsidRPr="0051414E">
        <w:t>months, unless</w:t>
      </w:r>
      <w:proofErr w:type="gramEnd"/>
      <w:r w:rsidRPr="0051414E">
        <w:t xml:space="preserve"> there is objective clinical evidence of ongoing clinical deterioration or significant adverse reactions.</w:t>
      </w:r>
    </w:p>
    <w:p w14:paraId="432E24B3" w14:textId="77777777" w:rsidR="00994536" w:rsidRPr="00124426" w:rsidRDefault="00994536" w:rsidP="00994536">
      <w:pPr>
        <w:pStyle w:val="Heading2"/>
      </w:pPr>
      <w:r w:rsidRPr="00124426">
        <w:lastRenderedPageBreak/>
        <w:t>Dosage</w:t>
      </w:r>
    </w:p>
    <w:p w14:paraId="5C42CC7B" w14:textId="115F800E" w:rsidR="00C52E1D" w:rsidRPr="0051414E" w:rsidRDefault="00C52E1D" w:rsidP="0051414E">
      <w:r w:rsidRPr="0051414E">
        <w:t xml:space="preserve">The maximum dosage of </w:t>
      </w:r>
      <w:proofErr w:type="spellStart"/>
      <w:r w:rsidRPr="0051414E">
        <w:t>imiglucerase</w:t>
      </w:r>
      <w:proofErr w:type="spellEnd"/>
      <w:r w:rsidRPr="0051414E">
        <w:t xml:space="preserve"> that is subsidised through the LSDP is 60 U/kg </w:t>
      </w:r>
      <w:r w:rsidR="00EB6E66" w:rsidRPr="0051414E">
        <w:br/>
      </w:r>
      <w:r w:rsidRPr="0051414E">
        <w:t>per fortnight.</w:t>
      </w:r>
    </w:p>
    <w:p w14:paraId="09AB6247" w14:textId="17C05E3F" w:rsidR="00C52E1D" w:rsidRPr="0051414E" w:rsidRDefault="00C52E1D" w:rsidP="0051414E">
      <w:r w:rsidRPr="0051414E">
        <w:t xml:space="preserve">The maximum dosage of </w:t>
      </w:r>
      <w:proofErr w:type="spellStart"/>
      <w:r w:rsidRPr="0051414E">
        <w:t>velaglucerase</w:t>
      </w:r>
      <w:proofErr w:type="spellEnd"/>
      <w:r w:rsidRPr="0051414E">
        <w:t xml:space="preserve"> that is subsidised through the LSDP is 60 U/kg </w:t>
      </w:r>
      <w:r w:rsidR="00EB6E66" w:rsidRPr="0051414E">
        <w:br/>
      </w:r>
      <w:r w:rsidRPr="0051414E">
        <w:t>per fortnight.</w:t>
      </w:r>
    </w:p>
    <w:p w14:paraId="5CED3EE5" w14:textId="49EC6377" w:rsidR="003042EF" w:rsidRPr="0051414E" w:rsidRDefault="00C52E1D" w:rsidP="0051414E">
      <w:r w:rsidRPr="0051414E">
        <w:t xml:space="preserve">The maximum dosage of </w:t>
      </w:r>
      <w:proofErr w:type="spellStart"/>
      <w:r w:rsidRPr="0051414E">
        <w:t>taliglucerase</w:t>
      </w:r>
      <w:proofErr w:type="spellEnd"/>
      <w:r w:rsidRPr="0051414E">
        <w:t xml:space="preserve"> that is subsidised through the LSDP is 60 U/kg </w:t>
      </w:r>
      <w:r w:rsidR="00EB6E66" w:rsidRPr="0051414E">
        <w:br/>
      </w:r>
      <w:r w:rsidRPr="0051414E">
        <w:t>per fortnight.</w:t>
      </w:r>
    </w:p>
    <w:p w14:paraId="2F645313" w14:textId="7C922687" w:rsidR="00035230" w:rsidRPr="0051414E" w:rsidRDefault="00236D44" w:rsidP="0051414E">
      <w:r w:rsidRPr="0051414E">
        <w:t>Dosage adjustments by down-titration can be made after 12 months for stable adult patients</w:t>
      </w:r>
      <w:r w:rsidR="002C2938" w:rsidRPr="0051414E">
        <w:t xml:space="preserve"> treated with enzyme replacement therapy (ERT)</w:t>
      </w:r>
      <w:r w:rsidRPr="0051414E">
        <w:t>. Dosage adjustments should be made on an individual basis, and may increase or decrease, based on achievement of therapeutic goals as assessed by routine comprehensive evaluations of the patient's clinical manifestations.</w:t>
      </w:r>
      <w:r w:rsidR="001F191D" w:rsidRPr="0051414E">
        <w:t xml:space="preserve"> </w:t>
      </w:r>
    </w:p>
    <w:p w14:paraId="501F6E87" w14:textId="545F0468" w:rsidR="00EE6F5B" w:rsidRPr="0051414E" w:rsidRDefault="00EE6F5B" w:rsidP="0051414E">
      <w:r w:rsidRPr="0051414E">
        <w:t xml:space="preserve">The LSDP can be advised of dosage adjustments by emailing </w:t>
      </w:r>
      <w:hyperlink r:id="rId15" w:history="1">
        <w:r w:rsidRPr="0051414E">
          <w:rPr>
            <w:rStyle w:val="Hyperlink"/>
          </w:rPr>
          <w:t>lsdp@health.gov.au</w:t>
        </w:r>
      </w:hyperlink>
      <w:r w:rsidRPr="0051414E">
        <w:t xml:space="preserve">. </w:t>
      </w:r>
    </w:p>
    <w:p w14:paraId="36D3C0DE" w14:textId="39F8FF0D" w:rsidR="00035230" w:rsidRPr="0051414E" w:rsidRDefault="00035230" w:rsidP="0051414E">
      <w:r w:rsidRPr="0051414E">
        <w:t xml:space="preserve">The maximum dosage of eliglustat that is subsidised through the LSDP is 84mg </w:t>
      </w:r>
      <w:r w:rsidR="00073986" w:rsidRPr="0051414E">
        <w:t xml:space="preserve">in an oral capsule </w:t>
      </w:r>
      <w:r w:rsidRPr="0051414E">
        <w:t>twice daily.</w:t>
      </w:r>
      <w:r w:rsidR="00E803FD" w:rsidRPr="0051414E">
        <w:t xml:space="preserve"> Before initiation of treatment with eliglustat, patients should be genotyped for CYP2D6 to determine the CYP2D6 metaboliser status</w:t>
      </w:r>
      <w:r w:rsidR="00240F0E" w:rsidRPr="0051414E">
        <w:t xml:space="preserve"> (as this will affect the dose)</w:t>
      </w:r>
      <w:r w:rsidR="00E803FD" w:rsidRPr="0051414E">
        <w:t>.</w:t>
      </w:r>
    </w:p>
    <w:p w14:paraId="2C8F7C23" w14:textId="77777777" w:rsidR="00C52E1D" w:rsidRDefault="00C52E1D" w:rsidP="00985151">
      <w:pPr>
        <w:pStyle w:val="Heading2"/>
      </w:pPr>
      <w:r>
        <w:t>Home infusion</w:t>
      </w:r>
    </w:p>
    <w:p w14:paraId="179A0D07" w14:textId="2E98476A" w:rsidR="00C52E1D" w:rsidRPr="0051414E" w:rsidRDefault="00C52E1D" w:rsidP="0051414E">
      <w:r w:rsidRPr="0051414E">
        <w:t xml:space="preserve">If a patient wishes to receive </w:t>
      </w:r>
      <w:proofErr w:type="spellStart"/>
      <w:r w:rsidRPr="0051414E">
        <w:t>imiglucerase</w:t>
      </w:r>
      <w:proofErr w:type="spellEnd"/>
      <w:r w:rsidRPr="0051414E">
        <w:t xml:space="preserve">, </w:t>
      </w:r>
      <w:proofErr w:type="spellStart"/>
      <w:r w:rsidRPr="0051414E">
        <w:t>velaglucerase</w:t>
      </w:r>
      <w:proofErr w:type="spellEnd"/>
      <w:r w:rsidRPr="0051414E">
        <w:t xml:space="preserve"> or </w:t>
      </w:r>
      <w:proofErr w:type="spellStart"/>
      <w:r w:rsidRPr="0051414E">
        <w:t>taliglucerase</w:t>
      </w:r>
      <w:proofErr w:type="spellEnd"/>
      <w:r w:rsidRPr="0051414E">
        <w:t xml:space="preserve"> through a home infusion service, the patient must have received at least 3 infusions in the hospital setting and have been assessed by the treating physician as medically stable, meaning that any infusion</w:t>
      </w:r>
      <w:r w:rsidR="00EE6F5B" w:rsidRPr="0051414E">
        <w:noBreakHyphen/>
      </w:r>
      <w:r w:rsidRPr="0051414E">
        <w:t>associated reactions are well controlled.</w:t>
      </w:r>
    </w:p>
    <w:p w14:paraId="0BF295DF" w14:textId="77777777" w:rsidR="00994536" w:rsidRDefault="00994536" w:rsidP="00994536">
      <w:pPr>
        <w:pStyle w:val="Heading1"/>
      </w:pPr>
      <w:r w:rsidRPr="00124426">
        <w:t>General eligibility requirements</w:t>
      </w:r>
    </w:p>
    <w:p w14:paraId="746C34B2" w14:textId="77777777" w:rsidR="00994536" w:rsidRPr="00124426" w:rsidRDefault="00994536" w:rsidP="00994536">
      <w:pPr>
        <w:pStyle w:val="Heading2"/>
      </w:pPr>
      <w:r w:rsidRPr="00124426">
        <w:t>LSDP funding conditions</w:t>
      </w:r>
    </w:p>
    <w:p w14:paraId="762E82B4" w14:textId="294BE3FB" w:rsidR="00994536" w:rsidRPr="0051414E" w:rsidRDefault="00994536" w:rsidP="0051414E">
      <w:r w:rsidRPr="0051414E">
        <w:t xml:space="preserve">A patient must continually meet the LSDP funding conditions to be eligible to receive access to Australian Government–subsidised treatment for </w:t>
      </w:r>
      <w:r w:rsidR="00A32CB6" w:rsidRPr="0051414E">
        <w:t>Gaucher disease (</w:t>
      </w:r>
      <w:r w:rsidR="00E22573" w:rsidRPr="0051414E">
        <w:t>type 1</w:t>
      </w:r>
      <w:r w:rsidR="00A32CB6" w:rsidRPr="0051414E">
        <w:t>)</w:t>
      </w:r>
      <w:r w:rsidRPr="0051414E">
        <w:t xml:space="preserve"> through the LSDP.</w:t>
      </w:r>
    </w:p>
    <w:p w14:paraId="71591EE9" w14:textId="77777777" w:rsidR="00994536" w:rsidRPr="0051414E" w:rsidRDefault="00994536" w:rsidP="0051414E">
      <w:r w:rsidRPr="0051414E">
        <w:t xml:space="preserve">The current LSDP funding conditions can be found on the </w:t>
      </w:r>
      <w:hyperlink r:id="rId16" w:history="1">
        <w:r w:rsidRPr="0051414E">
          <w:rPr>
            <w:rStyle w:val="Hyperlink"/>
          </w:rPr>
          <w:t>program’s website</w:t>
        </w:r>
      </w:hyperlink>
      <w:r w:rsidRPr="0051414E">
        <w:t xml:space="preserve">. </w:t>
      </w:r>
    </w:p>
    <w:p w14:paraId="35EB3E8E" w14:textId="77777777" w:rsidR="00A32CB6" w:rsidRPr="0051414E" w:rsidRDefault="00A32CB6" w:rsidP="0051414E">
      <w:r w:rsidRPr="0051414E">
        <w:t>For Gaucher disease, a patient must:</w:t>
      </w:r>
    </w:p>
    <w:p w14:paraId="4C476DBE" w14:textId="1F858639" w:rsidR="00A32CB6" w:rsidRPr="0051414E" w:rsidRDefault="00A32CB6" w:rsidP="0051414E">
      <w:pPr>
        <w:pStyle w:val="ListBullet"/>
      </w:pPr>
      <w:r w:rsidRPr="0051414E">
        <w:t xml:space="preserve">satisfy the initial and ongoing eligibility criteria as detailed in these </w:t>
      </w:r>
      <w:proofErr w:type="gramStart"/>
      <w:r w:rsidRPr="0051414E">
        <w:t>guidelines</w:t>
      </w:r>
      <w:proofErr w:type="gramEnd"/>
    </w:p>
    <w:p w14:paraId="5221463E" w14:textId="2D1B6DA7" w:rsidR="00A32CB6" w:rsidRPr="0051414E" w:rsidRDefault="00A32CB6" w:rsidP="0051414E">
      <w:pPr>
        <w:pStyle w:val="ListBullet"/>
      </w:pPr>
      <w:r w:rsidRPr="0051414E">
        <w:t xml:space="preserve">participate in the evaluation of effectiveness of the </w:t>
      </w:r>
      <w:r w:rsidR="005A20A4" w:rsidRPr="0051414E">
        <w:t xml:space="preserve">medicine </w:t>
      </w:r>
      <w:r w:rsidRPr="0051414E">
        <w:t xml:space="preserve">by periodic assessment, as directed by these guidelines, or have an acceptable reason not to </w:t>
      </w:r>
      <w:proofErr w:type="gramStart"/>
      <w:r w:rsidRPr="0051414E">
        <w:t>participate</w:t>
      </w:r>
      <w:proofErr w:type="gramEnd"/>
    </w:p>
    <w:p w14:paraId="337ADF9F" w14:textId="0A05C521" w:rsidR="00A32CB6" w:rsidRPr="0051414E" w:rsidRDefault="00A32CB6" w:rsidP="0051414E">
      <w:pPr>
        <w:pStyle w:val="ListBullet"/>
      </w:pPr>
      <w:r w:rsidRPr="0051414E">
        <w:t>not be suffering from any other medical condition, including complications or sequelae of Gaucher disease (</w:t>
      </w:r>
      <w:r w:rsidR="00E22573" w:rsidRPr="0051414E">
        <w:t>type 1</w:t>
      </w:r>
      <w:r w:rsidRPr="0051414E">
        <w:t xml:space="preserve">), that might compromise the effectiveness of the </w:t>
      </w:r>
      <w:proofErr w:type="gramStart"/>
      <w:r w:rsidRPr="0051414E">
        <w:t>treatment</w:t>
      </w:r>
      <w:proofErr w:type="gramEnd"/>
    </w:p>
    <w:p w14:paraId="68AEBEBE" w14:textId="2CC1ABD6" w:rsidR="00A32CB6" w:rsidRPr="0051414E" w:rsidRDefault="00A32CB6" w:rsidP="0051414E">
      <w:pPr>
        <w:pStyle w:val="ListBullet"/>
      </w:pPr>
      <w:r w:rsidRPr="0051414E">
        <w:t>be an Australian citizen or permanent Australian resident who qualifies for Medicare.</w:t>
      </w:r>
    </w:p>
    <w:p w14:paraId="5782A05F" w14:textId="77777777" w:rsidR="00362963" w:rsidRPr="0051414E" w:rsidRDefault="00362963" w:rsidP="0051414E">
      <w:r w:rsidRPr="0051414E">
        <w:t>In most cases, participation in a clinical trial will not affect a patient’s eligibility to access LSDP medicines. However, treating physicians are required to advise the LSDP if their patient is participating in a clinical trial.</w:t>
      </w:r>
    </w:p>
    <w:p w14:paraId="4275FD57" w14:textId="0B329F0F" w:rsidR="00994536" w:rsidRDefault="00994536" w:rsidP="00A32CB6">
      <w:pPr>
        <w:pStyle w:val="Heading2"/>
      </w:pPr>
      <w:r>
        <w:t>Exclusion criteria</w:t>
      </w:r>
    </w:p>
    <w:p w14:paraId="11D79243" w14:textId="54866295" w:rsidR="00A32CB6" w:rsidRPr="0051414E" w:rsidRDefault="00A32CB6" w:rsidP="0051414E">
      <w:r w:rsidRPr="0051414E">
        <w:t xml:space="preserve">The following patients are not eligible for subsidised treatment with </w:t>
      </w:r>
      <w:proofErr w:type="spellStart"/>
      <w:r w:rsidRPr="0051414E">
        <w:t>imiglucerase</w:t>
      </w:r>
      <w:proofErr w:type="spellEnd"/>
      <w:r w:rsidRPr="0051414E">
        <w:t xml:space="preserve">, </w:t>
      </w:r>
      <w:proofErr w:type="spellStart"/>
      <w:r w:rsidRPr="0051414E">
        <w:t>velaglucerase</w:t>
      </w:r>
      <w:proofErr w:type="spellEnd"/>
      <w:r w:rsidR="00E61673" w:rsidRPr="0051414E">
        <w:t>,</w:t>
      </w:r>
      <w:r w:rsidR="00BE3F61" w:rsidRPr="0051414E">
        <w:t xml:space="preserve"> </w:t>
      </w:r>
      <w:proofErr w:type="spellStart"/>
      <w:r w:rsidRPr="0051414E">
        <w:t>taliglucerase</w:t>
      </w:r>
      <w:proofErr w:type="spellEnd"/>
      <w:r w:rsidR="00E61673" w:rsidRPr="0051414E">
        <w:t xml:space="preserve"> or eliglustat</w:t>
      </w:r>
      <w:r w:rsidRPr="0051414E">
        <w:t xml:space="preserve"> for the treatment of Gaucher disease (</w:t>
      </w:r>
      <w:r w:rsidR="00E22573" w:rsidRPr="0051414E">
        <w:t>type 1</w:t>
      </w:r>
      <w:r w:rsidRPr="0051414E">
        <w:t>) through the LSDP:</w:t>
      </w:r>
    </w:p>
    <w:p w14:paraId="69F2C9CF" w14:textId="42D0CFBA" w:rsidR="00A32CB6" w:rsidRPr="0051414E" w:rsidRDefault="00A32CB6" w:rsidP="0051414E">
      <w:pPr>
        <w:pStyle w:val="ListBullet"/>
      </w:pPr>
      <w:r w:rsidRPr="0051414E">
        <w:t xml:space="preserve">Asymptomatic patients: the treatment of asymptomatic patients is </w:t>
      </w:r>
      <w:r w:rsidR="00584589" w:rsidRPr="0051414E">
        <w:t xml:space="preserve">generally </w:t>
      </w:r>
      <w:r w:rsidRPr="0051414E">
        <w:t xml:space="preserve">not </w:t>
      </w:r>
      <w:r w:rsidR="00584589" w:rsidRPr="0051414E">
        <w:t xml:space="preserve">approved </w:t>
      </w:r>
      <w:r w:rsidRPr="0051414E">
        <w:t xml:space="preserve">unless the disease is of sufficient severity to suggest a severe course or impending complications (this could be determined through mutation analysis in the asymptomatic </w:t>
      </w:r>
      <w:r w:rsidRPr="0051414E">
        <w:lastRenderedPageBreak/>
        <w:t>patient), or for a patient with a family history of a severe, accelerated course of the disease in childhood.</w:t>
      </w:r>
    </w:p>
    <w:p w14:paraId="67F1022F" w14:textId="5FBDF7CC" w:rsidR="00A32CB6" w:rsidRPr="0051414E" w:rsidRDefault="00A32CB6" w:rsidP="0051414E">
      <w:pPr>
        <w:pStyle w:val="ListBullet"/>
      </w:pPr>
      <w:r w:rsidRPr="0051414E">
        <w:t xml:space="preserve">Patients with </w:t>
      </w:r>
      <w:r w:rsidR="00584589" w:rsidRPr="0051414E">
        <w:t xml:space="preserve">potentially </w:t>
      </w:r>
      <w:r w:rsidRPr="0051414E">
        <w:t>confounding diagnoses, such as Hodgkin lymphoma.</w:t>
      </w:r>
    </w:p>
    <w:p w14:paraId="2FE80EDB" w14:textId="7852CB2A" w:rsidR="00A32CB6" w:rsidRPr="0051414E" w:rsidRDefault="00A32CB6" w:rsidP="0051414E">
      <w:pPr>
        <w:pStyle w:val="ListBullet"/>
      </w:pPr>
      <w:r w:rsidRPr="0051414E">
        <w:t>Patients with irreversible complications of Gaucher disease</w:t>
      </w:r>
      <w:r w:rsidR="000464CD" w:rsidRPr="0051414E">
        <w:t>.</w:t>
      </w:r>
      <w:r w:rsidRPr="0051414E">
        <w:t xml:space="preserve"> In some patients with Gaucher disease, secondary pathologic changes, such as avascular necrosis of bone, may already have occurred that would not be expected to respond to therapy. In such patients, reversal of the pathology is unlikely. Treatment of patients with significant secondary pathology would be directed at preventing further progression of the disease.</w:t>
      </w:r>
      <w:r w:rsidR="00584589" w:rsidRPr="0051414E">
        <w:t xml:space="preserve"> </w:t>
      </w:r>
      <w:r w:rsidRPr="0051414E">
        <w:t>In these cases, the extent to which symptoms, such as bone pain, are due to active progression of the disease, rather than the secondary pathology, can only be established by a trial of therapy.</w:t>
      </w:r>
    </w:p>
    <w:p w14:paraId="22FA5F1A" w14:textId="04C559B9" w:rsidR="00A32CB6" w:rsidRPr="0051414E" w:rsidRDefault="00A32CB6" w:rsidP="0051414E">
      <w:pPr>
        <w:pStyle w:val="ListBullet"/>
      </w:pPr>
      <w:r w:rsidRPr="0051414E">
        <w:t xml:space="preserve">Patients with another life threatening or severe disease where the </w:t>
      </w:r>
      <w:r w:rsidR="00A367C4" w:rsidRPr="0051414E">
        <w:t>long</w:t>
      </w:r>
      <w:r w:rsidR="00A367C4" w:rsidRPr="0051414E">
        <w:noBreakHyphen/>
        <w:t>term</w:t>
      </w:r>
      <w:r w:rsidRPr="0051414E">
        <w:t xml:space="preserve"> prognosis is unlikely to be influenced by therapy.</w:t>
      </w:r>
    </w:p>
    <w:p w14:paraId="1725B6E8" w14:textId="6AD37124" w:rsidR="00A32CB6" w:rsidRPr="0051414E" w:rsidRDefault="00775B82" w:rsidP="0051414E">
      <w:pPr>
        <w:pStyle w:val="ListBullet"/>
      </w:pPr>
      <w:r w:rsidRPr="0051414E">
        <w:t xml:space="preserve">Patients with </w:t>
      </w:r>
      <w:r w:rsidR="00A32CB6" w:rsidRPr="0051414E">
        <w:t>another medical condition that might reasonably be expected to compromise a response to therapy.</w:t>
      </w:r>
    </w:p>
    <w:p w14:paraId="1CD5686F" w14:textId="0E6FB0B1" w:rsidR="004679F8" w:rsidRPr="0051414E" w:rsidRDefault="004679F8" w:rsidP="0051414E">
      <w:pPr>
        <w:pStyle w:val="ListBullet"/>
      </w:pPr>
      <w:r w:rsidRPr="0051414E">
        <w:t>Patients with type 2 or type 3 Gaucher disease.</w:t>
      </w:r>
    </w:p>
    <w:p w14:paraId="5914350B" w14:textId="77777777" w:rsidR="00994536" w:rsidRDefault="00994536" w:rsidP="00994536">
      <w:pPr>
        <w:pStyle w:val="Heading1"/>
      </w:pPr>
      <w:r>
        <w:t>Initial eligibility requirements</w:t>
      </w:r>
    </w:p>
    <w:p w14:paraId="7743D669" w14:textId="77777777" w:rsidR="00994536" w:rsidRDefault="00994536" w:rsidP="00994536">
      <w:pPr>
        <w:pStyle w:val="Heading2"/>
      </w:pPr>
      <w:r>
        <w:t>Diagnosis</w:t>
      </w:r>
    </w:p>
    <w:p w14:paraId="176A9B87" w14:textId="74E13BC8" w:rsidR="00A32CB6" w:rsidRPr="0051414E" w:rsidRDefault="00A32CB6" w:rsidP="0051414E">
      <w:r w:rsidRPr="0051414E">
        <w:t>The diagnosis of Gaucher disease (</w:t>
      </w:r>
      <w:r w:rsidR="00E22573" w:rsidRPr="0051414E">
        <w:t>type 1</w:t>
      </w:r>
      <w:r w:rsidRPr="0051414E">
        <w:t xml:space="preserve">) must have been </w:t>
      </w:r>
      <w:r w:rsidR="0021449E" w:rsidRPr="0051414E">
        <w:t xml:space="preserve">confirmed </w:t>
      </w:r>
      <w:r w:rsidRPr="0051414E">
        <w:t xml:space="preserve">by the demonstration of specific deficiency of glucocerebrosidase enzyme activity in leukocytes or cultured skin fibroblasts, </w:t>
      </w:r>
      <w:r w:rsidR="00BF2C23" w:rsidRPr="0051414E">
        <w:t>and/</w:t>
      </w:r>
      <w:r w:rsidRPr="0051414E">
        <w:t>or by the presence of mutations in the glucocerebrosidase gene, known to result in severe deficiency of enzyme activity, in tissue or peripheral blood leukocytes.</w:t>
      </w:r>
    </w:p>
    <w:p w14:paraId="15404C7C" w14:textId="3E317A46" w:rsidR="00A32CB6" w:rsidRPr="0051414E" w:rsidRDefault="00A32CB6" w:rsidP="0051414E">
      <w:r w:rsidRPr="0051414E">
        <w:t xml:space="preserve">The patient must satisfy at least one of the following criteria to be eligible for treatment with </w:t>
      </w:r>
      <w:proofErr w:type="spellStart"/>
      <w:r w:rsidRPr="0051414E">
        <w:t>imiglucerase</w:t>
      </w:r>
      <w:proofErr w:type="spellEnd"/>
      <w:r w:rsidRPr="0051414E">
        <w:t xml:space="preserve">, </w:t>
      </w:r>
      <w:proofErr w:type="spellStart"/>
      <w:r w:rsidRPr="0051414E">
        <w:t>velaglucerase</w:t>
      </w:r>
      <w:proofErr w:type="spellEnd"/>
      <w:r w:rsidR="000464CD" w:rsidRPr="0051414E">
        <w:t>,</w:t>
      </w:r>
      <w:r w:rsidR="00E004D7" w:rsidRPr="0051414E">
        <w:t xml:space="preserve"> </w:t>
      </w:r>
      <w:proofErr w:type="spellStart"/>
      <w:r w:rsidRPr="0051414E">
        <w:t>taliglucerase</w:t>
      </w:r>
      <w:proofErr w:type="spellEnd"/>
      <w:r w:rsidR="00B253DE" w:rsidRPr="0051414E">
        <w:t xml:space="preserve"> </w:t>
      </w:r>
      <w:r w:rsidR="000464CD" w:rsidRPr="0051414E">
        <w:t>or elig</w:t>
      </w:r>
      <w:r w:rsidR="00455A06" w:rsidRPr="0051414E">
        <w:t>l</w:t>
      </w:r>
      <w:r w:rsidR="000464CD" w:rsidRPr="0051414E">
        <w:t>ustat:</w:t>
      </w:r>
    </w:p>
    <w:p w14:paraId="7524C197" w14:textId="78197570" w:rsidR="00A32CB6" w:rsidRPr="0051414E" w:rsidRDefault="00A32CB6" w:rsidP="0051414E">
      <w:r w:rsidRPr="0051414E">
        <w:t>Symptomatic Gaucher disease (</w:t>
      </w:r>
      <w:r w:rsidR="00E22573" w:rsidRPr="0051414E">
        <w:t>type 1</w:t>
      </w:r>
      <w:r w:rsidRPr="0051414E">
        <w:t>) with any of the disease manifestations listed below:</w:t>
      </w:r>
    </w:p>
    <w:p w14:paraId="5C44D6F0" w14:textId="669737CE" w:rsidR="00A32CB6" w:rsidRPr="0051414E" w:rsidRDefault="00A32CB6" w:rsidP="0051414E">
      <w:pPr>
        <w:pStyle w:val="ListBullet"/>
      </w:pPr>
      <w:r w:rsidRPr="0051414E">
        <w:rPr>
          <w:rStyle w:val="Strong"/>
        </w:rPr>
        <w:t>Skeletal</w:t>
      </w:r>
      <w:r w:rsidR="00D56E37" w:rsidRPr="0051414E">
        <w:rPr>
          <w:rStyle w:val="Strong"/>
        </w:rPr>
        <w:t xml:space="preserve"> complications</w:t>
      </w:r>
      <w:r w:rsidRPr="0051414E">
        <w:t xml:space="preserve">: Evidence of skeletal disease beyond mild osteopenia or Erlenmeyer flask deformity, as assessed by symptoms, skeletal </w:t>
      </w:r>
      <w:proofErr w:type="gramStart"/>
      <w:r w:rsidRPr="0051414E">
        <w:t>survey</w:t>
      </w:r>
      <w:proofErr w:type="gramEnd"/>
      <w:r w:rsidRPr="0051414E">
        <w:t xml:space="preserve"> and MRI.</w:t>
      </w:r>
    </w:p>
    <w:p w14:paraId="2897B431" w14:textId="57121755" w:rsidR="00A32CB6" w:rsidRPr="0051414E" w:rsidRDefault="00A32CB6" w:rsidP="0051414E">
      <w:pPr>
        <w:pStyle w:val="ListBullet"/>
      </w:pPr>
      <w:r w:rsidRPr="0051414E">
        <w:rPr>
          <w:rStyle w:val="Strong"/>
        </w:rPr>
        <w:t>Haematological complications</w:t>
      </w:r>
      <w:r w:rsidRPr="0051414E">
        <w:t xml:space="preserve">: Haemoglobin &lt;105g/L for females and &lt;115g/L for males (at least 2 measurements more than </w:t>
      </w:r>
      <w:r w:rsidR="00EE6F5B" w:rsidRPr="0051414E">
        <w:t>one</w:t>
      </w:r>
      <w:r w:rsidRPr="0051414E">
        <w:t xml:space="preserve"> month apart and having excluded other causes, e.g.</w:t>
      </w:r>
      <w:r w:rsidR="002E6899" w:rsidRPr="0051414E">
        <w:t xml:space="preserve"> </w:t>
      </w:r>
      <w:r w:rsidRPr="0051414E">
        <w:t xml:space="preserve">iron deficiency); or platelet count &lt;120 x109/L on at least 2 occasions (more than </w:t>
      </w:r>
      <w:r w:rsidR="00EE6F5B" w:rsidRPr="0051414E">
        <w:t>one</w:t>
      </w:r>
      <w:r w:rsidR="002F76FF" w:rsidRPr="0051414E">
        <w:t> </w:t>
      </w:r>
      <w:r w:rsidRPr="0051414E">
        <w:t>month apart).</w:t>
      </w:r>
    </w:p>
    <w:p w14:paraId="18178AEE" w14:textId="07E845E0" w:rsidR="00A32CB6" w:rsidRPr="0051414E" w:rsidRDefault="00A32CB6" w:rsidP="0051414E">
      <w:pPr>
        <w:pStyle w:val="ListBullet"/>
      </w:pPr>
      <w:r w:rsidRPr="0051414E">
        <w:rPr>
          <w:rStyle w:val="Strong"/>
        </w:rPr>
        <w:t>Gastrointestinal complications</w:t>
      </w:r>
      <w:r w:rsidRPr="0051414E">
        <w:t xml:space="preserve">: Liver volume (CT or MRI) 1.25 x normal; or </w:t>
      </w:r>
      <w:r w:rsidR="00A73D9D" w:rsidRPr="0051414E">
        <w:t xml:space="preserve">spleen </w:t>
      </w:r>
      <w:r w:rsidRPr="0051414E">
        <w:t>volume (CT or MRI) 5</w:t>
      </w:r>
      <w:r w:rsidR="002E6899" w:rsidRPr="0051414E">
        <w:t xml:space="preserve"> </w:t>
      </w:r>
      <w:r w:rsidRPr="0051414E">
        <w:t>x normal.</w:t>
      </w:r>
    </w:p>
    <w:p w14:paraId="62B0A723" w14:textId="45121713" w:rsidR="001C5850" w:rsidRPr="0051414E" w:rsidRDefault="00455A06" w:rsidP="0051414E">
      <w:pPr>
        <w:pStyle w:val="ListBullet"/>
      </w:pPr>
      <w:r w:rsidRPr="0051414E">
        <w:t xml:space="preserve">Patients under 16 years of age with symptomatic Gaucher disease with any relevant physical signs may be treated prior to confirmation of the type of Gaucher disease. </w:t>
      </w:r>
    </w:p>
    <w:p w14:paraId="4A9305DA" w14:textId="7B3B30B3" w:rsidR="00806C92" w:rsidRPr="0051414E" w:rsidRDefault="00806C92" w:rsidP="0051414E">
      <w:r w:rsidRPr="0051414E">
        <w:t xml:space="preserve">See the </w:t>
      </w:r>
      <w:hyperlink r:id="rId17" w:history="1">
        <w:r w:rsidRPr="0051414E">
          <w:rPr>
            <w:rStyle w:val="Hyperlink"/>
          </w:rPr>
          <w:t>initial application form</w:t>
        </w:r>
      </w:hyperlink>
      <w:r w:rsidRPr="0051414E">
        <w:t>.</w:t>
      </w:r>
    </w:p>
    <w:p w14:paraId="038F4DCD" w14:textId="050EC157" w:rsidR="00484059" w:rsidRPr="0051414E" w:rsidRDefault="00806C92" w:rsidP="0051414E">
      <w:r w:rsidRPr="0051414E">
        <w:t xml:space="preserve">Testing is not funded or subsidised through the </w:t>
      </w:r>
      <w:proofErr w:type="gramStart"/>
      <w:r w:rsidRPr="0051414E">
        <w:t>LSDP,</w:t>
      </w:r>
      <w:proofErr w:type="gramEnd"/>
      <w:r w:rsidRPr="0051414E">
        <w:t xml:space="preserve"> however some tests may be subsidised through Medicare or available through the treating public hospital.</w:t>
      </w:r>
    </w:p>
    <w:p w14:paraId="4E0191C4" w14:textId="1B1A07FF" w:rsidR="00455A06" w:rsidRDefault="00455A06" w:rsidP="008C2CAA">
      <w:pPr>
        <w:pStyle w:val="Heading2"/>
      </w:pPr>
      <w:r>
        <w:t>Eliglustat</w:t>
      </w:r>
    </w:p>
    <w:p w14:paraId="5353C759" w14:textId="77777777" w:rsidR="00584589" w:rsidRPr="0051414E" w:rsidRDefault="00056225" w:rsidP="0051414E">
      <w:bookmarkStart w:id="0" w:name="_Hlk122607443"/>
      <w:r w:rsidRPr="0051414E">
        <w:t xml:space="preserve">For treatment with eliglustat, </w:t>
      </w:r>
      <w:r w:rsidR="00240F0E" w:rsidRPr="0051414E">
        <w:t>in addition to meeting</w:t>
      </w:r>
      <w:r w:rsidRPr="0051414E">
        <w:t xml:space="preserve"> the above criteria</w:t>
      </w:r>
      <w:r w:rsidR="00240F0E" w:rsidRPr="0051414E">
        <w:t xml:space="preserve"> p</w:t>
      </w:r>
      <w:r w:rsidRPr="0051414E">
        <w:t>atient</w:t>
      </w:r>
      <w:r w:rsidR="00240F0E" w:rsidRPr="0051414E">
        <w:t>s</w:t>
      </w:r>
      <w:r w:rsidRPr="0051414E">
        <w:t xml:space="preserve"> must also</w:t>
      </w:r>
      <w:r w:rsidR="00584589" w:rsidRPr="0051414E">
        <w:t>:</w:t>
      </w:r>
    </w:p>
    <w:p w14:paraId="68C8B69A" w14:textId="42337390" w:rsidR="00584589" w:rsidRPr="00BE5F85" w:rsidRDefault="00056225" w:rsidP="0051414E">
      <w:pPr>
        <w:pStyle w:val="ListBullet"/>
      </w:pPr>
      <w:r w:rsidRPr="00BE5F85">
        <w:t xml:space="preserve">be </w:t>
      </w:r>
      <w:r w:rsidR="00007537" w:rsidRPr="00BE5F85">
        <w:t xml:space="preserve">aged </w:t>
      </w:r>
      <w:r w:rsidRPr="00BE5F85">
        <w:t>18 years</w:t>
      </w:r>
      <w:r w:rsidR="00007537" w:rsidRPr="00BE5F85">
        <w:t xml:space="preserve"> </w:t>
      </w:r>
      <w:r w:rsidR="00425B5C" w:rsidRPr="00BE5F85">
        <w:t xml:space="preserve">and </w:t>
      </w:r>
      <w:r w:rsidR="00007537" w:rsidRPr="00BE5F85">
        <w:t>over</w:t>
      </w:r>
      <w:r w:rsidR="00584589" w:rsidRPr="00BE5F85">
        <w:t>,</w:t>
      </w:r>
      <w:r w:rsidRPr="00BE5F85">
        <w:t xml:space="preserve"> and </w:t>
      </w:r>
    </w:p>
    <w:p w14:paraId="2C2B2D17" w14:textId="77777777" w:rsidR="00584589" w:rsidRPr="00BE5F85" w:rsidRDefault="00056225" w:rsidP="0051414E">
      <w:pPr>
        <w:pStyle w:val="ListBullet"/>
      </w:pPr>
      <w:r w:rsidRPr="00BE5F85">
        <w:t>have been treated with ERT for at least 12 months or be intolerant to ERT.</w:t>
      </w:r>
      <w:bookmarkEnd w:id="0"/>
      <w:r w:rsidRPr="00BE5F85">
        <w:t xml:space="preserve"> </w:t>
      </w:r>
    </w:p>
    <w:p w14:paraId="4DF6727D" w14:textId="6EAADE9D" w:rsidR="00985151" w:rsidRPr="0051414E" w:rsidRDefault="00455A06" w:rsidP="0051414E">
      <w:r w:rsidRPr="0051414E">
        <w:lastRenderedPageBreak/>
        <w:t>Patients should be genotyped for CYP2D6 to determine metaboliser status prior to receiving eliglustat (as this will affect the dose).</w:t>
      </w:r>
    </w:p>
    <w:p w14:paraId="0FB337AD" w14:textId="5F67FBD9" w:rsidR="00455A06" w:rsidRPr="0051414E" w:rsidRDefault="00305C79" w:rsidP="0051414E">
      <w:r w:rsidRPr="0051414E">
        <w:t>If these conditions are met a treating physician can request that a</w:t>
      </w:r>
      <w:r w:rsidR="00584589" w:rsidRPr="0051414E">
        <w:t xml:space="preserve"> current LSDP</w:t>
      </w:r>
      <w:r w:rsidRPr="0051414E">
        <w:t xml:space="preserve"> patient be switched to eliglustat by providing a clinic letter to the LSDP. A full application is not required for these patients. </w:t>
      </w:r>
    </w:p>
    <w:p w14:paraId="476929EB" w14:textId="07C4D438" w:rsidR="00994536" w:rsidRDefault="00994536" w:rsidP="00994536">
      <w:pPr>
        <w:pStyle w:val="Heading1"/>
      </w:pPr>
      <w:r w:rsidRPr="004925A0">
        <w:t>Ongoing eligibility requirements</w:t>
      </w:r>
    </w:p>
    <w:p w14:paraId="287A00F7" w14:textId="365DD819" w:rsidR="005A2370" w:rsidRPr="0051414E" w:rsidRDefault="005A2370" w:rsidP="0051414E">
      <w:r w:rsidRPr="0051414E">
        <w:t xml:space="preserve">The treating physician must submit the separate </w:t>
      </w:r>
      <w:hyperlink r:id="rId18" w:history="1">
        <w:r w:rsidRPr="0051414E">
          <w:rPr>
            <w:rStyle w:val="Hyperlink"/>
          </w:rPr>
          <w:t>reapplication form</w:t>
        </w:r>
      </w:hyperlink>
      <w:r w:rsidRPr="0051414E">
        <w:t xml:space="preserve"> to the LSDP by 1 May every year if they wish their patient to continue to receive subsidised treatment through the LSDP.</w:t>
      </w:r>
    </w:p>
    <w:p w14:paraId="5A6FAD61" w14:textId="2010B836" w:rsidR="00D22866" w:rsidRPr="0051414E" w:rsidRDefault="00D22866" w:rsidP="0051414E">
      <w:r w:rsidRPr="0051414E">
        <w:t>If a reapplication is not submitted by 1 May each year without a clinical justification, the patient is at risk of having their treatment paused until the reapplication is received.</w:t>
      </w:r>
    </w:p>
    <w:p w14:paraId="2112F443" w14:textId="265775E6" w:rsidR="00EF0003" w:rsidRPr="0051414E" w:rsidRDefault="00EF0003" w:rsidP="0051414E">
      <w:r w:rsidRPr="0051414E">
        <w:t xml:space="preserve">The </w:t>
      </w:r>
      <w:r w:rsidR="00D22866" w:rsidRPr="0051414E">
        <w:t xml:space="preserve">reapplication </w:t>
      </w:r>
      <w:r w:rsidRPr="0051414E">
        <w:t>must demonstrate clinical improvement in the patient or stabilisation of the patient's condition, and evidence to support ongoing eligibility for the treatment of Gaucher disease (</w:t>
      </w:r>
      <w:r w:rsidR="00E22573" w:rsidRPr="0051414E">
        <w:t>type 1</w:t>
      </w:r>
      <w:r w:rsidRPr="0051414E">
        <w:t>) must be provided.</w:t>
      </w:r>
    </w:p>
    <w:p w14:paraId="545FE226" w14:textId="77777777" w:rsidR="00EF0003" w:rsidRPr="0051414E" w:rsidRDefault="00EF0003" w:rsidP="0051414E">
      <w:r w:rsidRPr="0051414E">
        <w:t>The treating physician must declare that the patient continues to meet the eligibility criteria to receive subsidised treatment through the LSDP in accordance with the guidelines.</w:t>
      </w:r>
    </w:p>
    <w:p w14:paraId="55FDC3B7" w14:textId="11DE549E" w:rsidR="00D22866" w:rsidRPr="0051414E" w:rsidRDefault="00D22866" w:rsidP="0051414E">
      <w:r w:rsidRPr="0051414E">
        <w:t>The clinic letter and test results provided to support the reapplication must be no more than 12 months old at the time of each reapplication and should not have been used to support a previous application or reapplication.</w:t>
      </w:r>
    </w:p>
    <w:p w14:paraId="5A4469FD" w14:textId="77777777" w:rsidR="00EF0003" w:rsidRPr="0051414E" w:rsidRDefault="00EF0003" w:rsidP="0051414E">
      <w:r w:rsidRPr="0051414E">
        <w:t>Subsidised treatment may continue unless one or more of the following situations apply:</w:t>
      </w:r>
    </w:p>
    <w:p w14:paraId="40CA3CC3" w14:textId="4A6A7265" w:rsidR="00EF0003" w:rsidRPr="00BE5F85" w:rsidRDefault="009853D9" w:rsidP="0051414E">
      <w:pPr>
        <w:pStyle w:val="ListBullet"/>
      </w:pPr>
      <w:r w:rsidRPr="00BE5F85">
        <w:t xml:space="preserve">failure </w:t>
      </w:r>
      <w:r w:rsidR="00EF0003" w:rsidRPr="00BE5F85">
        <w:t xml:space="preserve">to comply adequately with treatment or </w:t>
      </w:r>
      <w:proofErr w:type="gramStart"/>
      <w:r w:rsidR="00EF0003" w:rsidRPr="00BE5F85">
        <w:t>measures</w:t>
      </w:r>
      <w:proofErr w:type="gramEnd"/>
    </w:p>
    <w:p w14:paraId="2A55BDB1" w14:textId="70B35EE3" w:rsidR="00EF0003" w:rsidRPr="00BE5F85" w:rsidRDefault="009853D9" w:rsidP="0051414E">
      <w:pPr>
        <w:pStyle w:val="ListBullet"/>
      </w:pPr>
      <w:r w:rsidRPr="00BE5F85">
        <w:t xml:space="preserve">failure </w:t>
      </w:r>
      <w:r w:rsidR="00EF0003" w:rsidRPr="00BE5F85">
        <w:t xml:space="preserve">to provide data, copies of test results and the </w:t>
      </w:r>
      <w:hyperlink r:id="rId19" w:history="1">
        <w:r w:rsidR="00D55885" w:rsidRPr="00BE5F85">
          <w:rPr>
            <w:rStyle w:val="Hyperlink"/>
            <w:sz w:val="22"/>
            <w:szCs w:val="22"/>
          </w:rPr>
          <w:t>Excel spreadsheet</w:t>
        </w:r>
      </w:hyperlink>
      <w:r w:rsidR="00D55885" w:rsidRPr="00BE5F85" w:rsidDel="00D55885">
        <w:t xml:space="preserve"> </w:t>
      </w:r>
      <w:r w:rsidR="00EF0003" w:rsidRPr="00BE5F85">
        <w:t>for Gaucher disease (</w:t>
      </w:r>
      <w:r w:rsidR="002F76FF" w:rsidRPr="00BE5F85">
        <w:t>t</w:t>
      </w:r>
      <w:r w:rsidR="00EF0003" w:rsidRPr="00BE5F85">
        <w:t>ype</w:t>
      </w:r>
      <w:r w:rsidR="001726C8" w:rsidRPr="00BE5F85">
        <w:t xml:space="preserve"> </w:t>
      </w:r>
      <w:r w:rsidR="00EF0003" w:rsidRPr="00BE5F85">
        <w:t>1), evidencing the effectiveness of the therapy</w:t>
      </w:r>
      <w:r w:rsidR="00311491" w:rsidRPr="00BE5F85">
        <w:t>.</w:t>
      </w:r>
      <w:r w:rsidR="00A73D9D" w:rsidRPr="00BE5F85">
        <w:t xml:space="preserve"> Test results must not be more than 12 months old at the time of reapplication to the LSDP and should not have been used to support a previous application or </w:t>
      </w:r>
      <w:proofErr w:type="gramStart"/>
      <w:r w:rsidR="00A73D9D" w:rsidRPr="00BE5F85">
        <w:t>reapplication</w:t>
      </w:r>
      <w:proofErr w:type="gramEnd"/>
    </w:p>
    <w:p w14:paraId="5DA879AE" w14:textId="2C4C0E45" w:rsidR="00EF0003" w:rsidRPr="00BE5F85" w:rsidRDefault="009853D9" w:rsidP="0051414E">
      <w:pPr>
        <w:pStyle w:val="ListBullet"/>
      </w:pPr>
      <w:r w:rsidRPr="00BE5F85">
        <w:t xml:space="preserve">therapy </w:t>
      </w:r>
      <w:r w:rsidR="00EF0003" w:rsidRPr="00BE5F85">
        <w:t xml:space="preserve">fails to relieve the symptoms of disease that originally resulted in the patient being approved for subsidised </w:t>
      </w:r>
      <w:proofErr w:type="gramStart"/>
      <w:r w:rsidR="00EF0003" w:rsidRPr="00BE5F85">
        <w:t>treatment</w:t>
      </w:r>
      <w:proofErr w:type="gramEnd"/>
    </w:p>
    <w:p w14:paraId="72898C8B" w14:textId="7CCC44CE" w:rsidR="00EF0003" w:rsidRPr="00BE5F85" w:rsidRDefault="009853D9" w:rsidP="0051414E">
      <w:pPr>
        <w:pStyle w:val="ListBullet"/>
      </w:pPr>
      <w:r w:rsidRPr="00BE5F85">
        <w:t xml:space="preserve">development </w:t>
      </w:r>
      <w:r w:rsidR="00EF0003" w:rsidRPr="00BE5F85">
        <w:t>of the following features consistent with a neuronopathic form of Gaucher disease:</w:t>
      </w:r>
    </w:p>
    <w:p w14:paraId="21E1B6FF" w14:textId="2AA166C5" w:rsidR="00EF0003" w:rsidRPr="0051414E" w:rsidRDefault="00EF0003" w:rsidP="0051414E">
      <w:pPr>
        <w:pStyle w:val="ListBullet2"/>
      </w:pPr>
      <w:proofErr w:type="spellStart"/>
      <w:r w:rsidRPr="0051414E">
        <w:t>opisthotonus</w:t>
      </w:r>
      <w:proofErr w:type="spellEnd"/>
    </w:p>
    <w:p w14:paraId="6B3609E9" w14:textId="009F2D7E" w:rsidR="00EF0003" w:rsidRPr="0051414E" w:rsidRDefault="00EF0003" w:rsidP="0051414E">
      <w:pPr>
        <w:pStyle w:val="ListBullet2"/>
      </w:pPr>
      <w:r w:rsidRPr="0051414E">
        <w:t>seizures</w:t>
      </w:r>
    </w:p>
    <w:p w14:paraId="13270F1B" w14:textId="646212EA" w:rsidR="00EF0003" w:rsidRPr="0051414E" w:rsidRDefault="00EF0003" w:rsidP="0051414E">
      <w:pPr>
        <w:pStyle w:val="ListBullet2"/>
      </w:pPr>
      <w:r w:rsidRPr="0051414E">
        <w:t>bulbar dysfunction (manifested by swallowing difficulties)</w:t>
      </w:r>
    </w:p>
    <w:p w14:paraId="5C7B422B" w14:textId="64B2C057" w:rsidR="00EF0003" w:rsidRPr="0051414E" w:rsidRDefault="00EF0003" w:rsidP="0051414E">
      <w:pPr>
        <w:pStyle w:val="ListBullet2"/>
      </w:pPr>
      <w:r w:rsidRPr="0051414E">
        <w:t>deteriorating intellectual function (determined by age-appropriate neuropsychological assessment), or</w:t>
      </w:r>
    </w:p>
    <w:p w14:paraId="7FA650C5" w14:textId="34908C12" w:rsidR="00EF0003" w:rsidRPr="0051414E" w:rsidRDefault="00EF0003" w:rsidP="0051414E">
      <w:pPr>
        <w:pStyle w:val="ListBullet2"/>
      </w:pPr>
      <w:r w:rsidRPr="0051414E">
        <w:t>deterioration in motor skills.</w:t>
      </w:r>
    </w:p>
    <w:p w14:paraId="7D3BAA15" w14:textId="3FA41497" w:rsidR="00EF0003" w:rsidRPr="0051414E" w:rsidRDefault="009853D9" w:rsidP="0051414E">
      <w:pPr>
        <w:pStyle w:val="ListBullet"/>
      </w:pPr>
      <w:r w:rsidRPr="00BE5F85">
        <w:t xml:space="preserve">for </w:t>
      </w:r>
      <w:r w:rsidR="00C238E1" w:rsidRPr="0051414E">
        <w:t xml:space="preserve">ERT only: </w:t>
      </w:r>
      <w:r w:rsidR="00EF0003" w:rsidRPr="0051414E">
        <w:t>the patient has severe infusion-related adverse reactions which are not preventable by appropriate pre-medication and/or adjustment of infusion rates</w:t>
      </w:r>
      <w:r w:rsidR="00C238E1" w:rsidRPr="0051414E">
        <w:t xml:space="preserve"> (</w:t>
      </w:r>
      <w:r w:rsidR="00F4092F" w:rsidRPr="0051414E">
        <w:t>does not apply for eliglustat</w:t>
      </w:r>
      <w:r w:rsidR="00C238E1" w:rsidRPr="0051414E">
        <w:t>)</w:t>
      </w:r>
    </w:p>
    <w:p w14:paraId="0DEAF0A5" w14:textId="1F3CF82A" w:rsidR="00EF0003" w:rsidRPr="0051414E" w:rsidRDefault="00EF0003" w:rsidP="0051414E">
      <w:pPr>
        <w:pStyle w:val="ListBullet"/>
      </w:pPr>
      <w:r w:rsidRPr="0051414E">
        <w:t>the patient develops another life threatening or severe disease where the long</w:t>
      </w:r>
      <w:r w:rsidR="00ED6CB7" w:rsidRPr="0051414E">
        <w:t>-</w:t>
      </w:r>
      <w:r w:rsidRPr="0051414E">
        <w:t xml:space="preserve">term prognosis is unlikely to be influenced by </w:t>
      </w:r>
      <w:proofErr w:type="gramStart"/>
      <w:r w:rsidR="00F4092F" w:rsidRPr="0051414E">
        <w:t>treatment</w:t>
      </w:r>
      <w:proofErr w:type="gramEnd"/>
    </w:p>
    <w:p w14:paraId="79AEBF54" w14:textId="65018F20" w:rsidR="00EF0003" w:rsidRPr="0051414E" w:rsidRDefault="00EF0003" w:rsidP="0051414E">
      <w:pPr>
        <w:pStyle w:val="ListBullet"/>
      </w:pPr>
      <w:r w:rsidRPr="0051414E">
        <w:t xml:space="preserve">the patient develops another medical condition that might reasonably be expected to compromise a response to </w:t>
      </w:r>
      <w:proofErr w:type="gramStart"/>
      <w:r w:rsidR="00F4092F" w:rsidRPr="0051414E">
        <w:t>treatment</w:t>
      </w:r>
      <w:proofErr w:type="gramEnd"/>
    </w:p>
    <w:p w14:paraId="4D6A9F8A" w14:textId="07DCBA90" w:rsidR="00EF0003" w:rsidRPr="00BE5F85" w:rsidRDefault="00EF0003" w:rsidP="0051414E">
      <w:pPr>
        <w:pStyle w:val="ListBullet"/>
      </w:pPr>
      <w:r w:rsidRPr="0051414E">
        <w:t>presentation</w:t>
      </w:r>
      <w:r w:rsidRPr="00BE5F85">
        <w:t xml:space="preserve"> of conditions listed in the exclusion criteria.</w:t>
      </w:r>
    </w:p>
    <w:p w14:paraId="351518DB" w14:textId="0F2F6537" w:rsidR="00D6241F" w:rsidRPr="0051414E" w:rsidRDefault="00EF0003" w:rsidP="0051414E">
      <w:r w:rsidRPr="0051414E">
        <w:t xml:space="preserve">Testing is not funded or subsidised through the </w:t>
      </w:r>
      <w:proofErr w:type="gramStart"/>
      <w:r w:rsidRPr="0051414E">
        <w:t>LSDP,</w:t>
      </w:r>
      <w:proofErr w:type="gramEnd"/>
      <w:r w:rsidRPr="0051414E">
        <w:t xml:space="preserve"> however some tests may be subsidised through Medicare or available through the treating public hospital.</w:t>
      </w:r>
    </w:p>
    <w:p w14:paraId="79EC22B9" w14:textId="2637326A" w:rsidR="00EF0003" w:rsidRDefault="00EF0003" w:rsidP="00F404BD">
      <w:pPr>
        <w:pStyle w:val="Heading2"/>
      </w:pPr>
      <w:r>
        <w:lastRenderedPageBreak/>
        <w:t>Skeletal MRI</w:t>
      </w:r>
    </w:p>
    <w:p w14:paraId="72FD1C19" w14:textId="77777777" w:rsidR="00EF0003" w:rsidRPr="0051414E" w:rsidRDefault="00EF0003" w:rsidP="0051414E">
      <w:r w:rsidRPr="0051414E">
        <w:t>Treating physicians may wish to have skeletal MRIs reviewed centrally for patients receiving subsidised therapy through the LSDP to assist with assessment of patient response to therapy.</w:t>
      </w:r>
    </w:p>
    <w:p w14:paraId="761F2A93" w14:textId="4FBDF936" w:rsidR="00EF0003" w:rsidRPr="0051414E" w:rsidRDefault="00EF0003" w:rsidP="0051414E">
      <w:r w:rsidRPr="0051414E">
        <w:t xml:space="preserve">Treating physicians must indicate which </w:t>
      </w:r>
      <w:r w:rsidR="00C03098" w:rsidRPr="0051414E">
        <w:t>medicine</w:t>
      </w:r>
      <w:r w:rsidRPr="0051414E">
        <w:t xml:space="preserve"> the patient is being treated with when filling out a referral form for a centralised MRI scan review. This will allow an invoice to be generated to the appropriate sponsor.</w:t>
      </w:r>
    </w:p>
    <w:p w14:paraId="3FD79743" w14:textId="2FB4E225" w:rsidR="00EF0003" w:rsidRPr="0051414E" w:rsidRDefault="00EF0003" w:rsidP="0051414E">
      <w:r w:rsidRPr="0051414E">
        <w:t xml:space="preserve">Costs will be met by the sponsors for an annual centralised skeletal MRI scan review for each Gaucher patient who is receiving subsidised treatment with </w:t>
      </w:r>
      <w:proofErr w:type="spellStart"/>
      <w:r w:rsidRPr="0051414E">
        <w:t>imiglucerase</w:t>
      </w:r>
      <w:proofErr w:type="spellEnd"/>
      <w:r w:rsidRPr="0051414E">
        <w:t xml:space="preserve">, </w:t>
      </w:r>
      <w:proofErr w:type="spellStart"/>
      <w:r w:rsidRPr="0051414E">
        <w:t>velaglucerase</w:t>
      </w:r>
      <w:proofErr w:type="spellEnd"/>
      <w:r w:rsidR="006C78B4" w:rsidRPr="0051414E">
        <w:t>,</w:t>
      </w:r>
      <w:r w:rsidRPr="0051414E">
        <w:t xml:space="preserve"> </w:t>
      </w:r>
      <w:proofErr w:type="spellStart"/>
      <w:r w:rsidRPr="0051414E">
        <w:t>taliglucerase</w:t>
      </w:r>
      <w:proofErr w:type="spellEnd"/>
      <w:r w:rsidRPr="0051414E">
        <w:t xml:space="preserve"> </w:t>
      </w:r>
      <w:r w:rsidR="006C78B4" w:rsidRPr="0051414E">
        <w:t xml:space="preserve">or eliglustat </w:t>
      </w:r>
      <w:r w:rsidRPr="0051414E">
        <w:t>through the LSDP.</w:t>
      </w:r>
    </w:p>
    <w:p w14:paraId="4DDD23C9" w14:textId="77777777" w:rsidR="00EF0003" w:rsidRPr="0051414E" w:rsidRDefault="00EF0003" w:rsidP="0051414E">
      <w:r w:rsidRPr="0051414E">
        <w:t>The following skeletal MRIs are suggested for a radiology assessment:</w:t>
      </w:r>
    </w:p>
    <w:p w14:paraId="37B2B1BC" w14:textId="142CC4E1" w:rsidR="00EF0003" w:rsidRPr="0051414E" w:rsidRDefault="00EF0003" w:rsidP="0051414E">
      <w:pPr>
        <w:pStyle w:val="ListBullet"/>
      </w:pPr>
      <w:r w:rsidRPr="0051414E">
        <w:t>Spine: Sagittal T1 and T2 weighted imaging of the lumbar spine (not fat suppressed); and</w:t>
      </w:r>
    </w:p>
    <w:p w14:paraId="5D59395C" w14:textId="4DBFA7C6" w:rsidR="00EF0003" w:rsidRPr="0051414E" w:rsidRDefault="00EF0003" w:rsidP="0051414E">
      <w:pPr>
        <w:pStyle w:val="ListBullet"/>
      </w:pPr>
      <w:r w:rsidRPr="0051414E">
        <w:t xml:space="preserve">Lower limbs: (hips, femora to proximal tibia) T1 weighted coronal and STIR imaging of the length of both femora (from hips to proximal tibial epiphyses, in </w:t>
      </w:r>
      <w:r w:rsidR="004206A1" w:rsidRPr="0051414E">
        <w:t xml:space="preserve">2 </w:t>
      </w:r>
      <w:proofErr w:type="gramStart"/>
      <w:r w:rsidRPr="0051414E">
        <w:t>scans</w:t>
      </w:r>
      <w:proofErr w:type="gramEnd"/>
      <w:r w:rsidRPr="0051414E">
        <w:t xml:space="preserve"> if necessary, but include the length of the femora in one coronal image if possible).</w:t>
      </w:r>
    </w:p>
    <w:p w14:paraId="1AD65FF8" w14:textId="4F799320" w:rsidR="00EF0003" w:rsidRPr="0051414E" w:rsidRDefault="00EF0003" w:rsidP="0051414E">
      <w:r w:rsidRPr="0051414E">
        <w:t>These images should be saved in DICOM format</w:t>
      </w:r>
      <w:r w:rsidR="00836846" w:rsidRPr="0051414E">
        <w:t xml:space="preserve"> </w:t>
      </w:r>
      <w:r w:rsidRPr="0051414E">
        <w:t>and sent to the appropriate contact below, based on your patient's age.</w:t>
      </w:r>
      <w:r w:rsidR="00D55FC7" w:rsidRPr="0051414E">
        <w:t xml:space="preserve"> They can be sent as a downloadable file via email, on a CD or a USB stick. </w:t>
      </w:r>
      <w:r w:rsidRPr="0051414E">
        <w:t xml:space="preserve">The </w:t>
      </w:r>
      <w:r w:rsidR="00D55FC7" w:rsidRPr="0051414E">
        <w:t xml:space="preserve">accompanying letter, </w:t>
      </w:r>
      <w:r w:rsidRPr="0051414E">
        <w:t xml:space="preserve">disc </w:t>
      </w:r>
      <w:r w:rsidR="00D55FC7" w:rsidRPr="0051414E">
        <w:t xml:space="preserve">or USB </w:t>
      </w:r>
      <w:r w:rsidRPr="0051414E">
        <w:t xml:space="preserve">should be labelled with the patient's name, date of birth, </w:t>
      </w:r>
      <w:r w:rsidR="00C03098" w:rsidRPr="0051414E">
        <w:t>medicine</w:t>
      </w:r>
      <w:r w:rsidRPr="0051414E">
        <w:t xml:space="preserve"> treatment and the date of the MRI examination.</w:t>
      </w:r>
    </w:p>
    <w:p w14:paraId="1C72DC57" w14:textId="77777777" w:rsidR="00EF0003" w:rsidRDefault="00EF0003" w:rsidP="00F573FA">
      <w:pPr>
        <w:pStyle w:val="Heading3"/>
      </w:pPr>
      <w:r>
        <w:t>For adult patients:</w:t>
      </w:r>
    </w:p>
    <w:p w14:paraId="09337759" w14:textId="340556AC" w:rsidR="00EF0003" w:rsidRPr="0051414E" w:rsidRDefault="00EF0003" w:rsidP="00985151">
      <w:pPr>
        <w:pStyle w:val="NoSpacing"/>
      </w:pPr>
      <w:r w:rsidRPr="0051414E">
        <w:rPr>
          <w:rStyle w:val="Strong"/>
        </w:rPr>
        <w:t>Contact</w:t>
      </w:r>
      <w:r w:rsidRPr="0051414E">
        <w:t xml:space="preserve">: </w:t>
      </w:r>
      <w:r w:rsidR="00D55FC7" w:rsidRPr="0051414E">
        <w:t xml:space="preserve">Ms Hayley </w:t>
      </w:r>
      <w:proofErr w:type="spellStart"/>
      <w:r w:rsidR="00D55FC7" w:rsidRPr="0051414E">
        <w:t>Iengo</w:t>
      </w:r>
      <w:proofErr w:type="spellEnd"/>
    </w:p>
    <w:p w14:paraId="4B7FB1D9" w14:textId="77777777" w:rsidR="00EF0003" w:rsidRPr="0051414E" w:rsidRDefault="00EF0003" w:rsidP="00985151">
      <w:pPr>
        <w:pStyle w:val="NoSpacing"/>
      </w:pPr>
      <w:r w:rsidRPr="0051414E">
        <w:rPr>
          <w:rStyle w:val="Strong"/>
        </w:rPr>
        <w:t>Hospital</w:t>
      </w:r>
      <w:r w:rsidRPr="0051414E">
        <w:t xml:space="preserve">: Royal Melbourne Hospital </w:t>
      </w:r>
    </w:p>
    <w:p w14:paraId="7D7BB897" w14:textId="2AE91963" w:rsidR="00EF0003" w:rsidRPr="0051414E" w:rsidRDefault="00EF0003" w:rsidP="00985151">
      <w:pPr>
        <w:pStyle w:val="NoSpacing"/>
      </w:pPr>
      <w:r w:rsidRPr="0051414E">
        <w:rPr>
          <w:rStyle w:val="Strong"/>
        </w:rPr>
        <w:t>Department</w:t>
      </w:r>
      <w:r w:rsidRPr="0051414E">
        <w:t>: Radiology Department</w:t>
      </w:r>
    </w:p>
    <w:p w14:paraId="3C500922" w14:textId="77777777" w:rsidR="00EF0003" w:rsidRPr="0051414E" w:rsidRDefault="00EF0003" w:rsidP="00985151">
      <w:pPr>
        <w:pStyle w:val="NoSpacing"/>
      </w:pPr>
      <w:r w:rsidRPr="0051414E">
        <w:rPr>
          <w:rStyle w:val="Strong"/>
        </w:rPr>
        <w:t>Address</w:t>
      </w:r>
      <w:r w:rsidRPr="0051414E">
        <w:t xml:space="preserve">: Grattan Street PARKVILLE VIC 3050 </w:t>
      </w:r>
    </w:p>
    <w:p w14:paraId="0E656189" w14:textId="62FF264B" w:rsidR="00EF0003" w:rsidRPr="0051414E" w:rsidRDefault="00EF0003" w:rsidP="0051414E">
      <w:pPr>
        <w:pStyle w:val="NoSpacing"/>
      </w:pPr>
      <w:r w:rsidRPr="0051414E">
        <w:rPr>
          <w:rStyle w:val="Strong"/>
        </w:rPr>
        <w:t>Phone</w:t>
      </w:r>
      <w:r w:rsidRPr="0051414E">
        <w:t>: (03) 9342 7255</w:t>
      </w:r>
    </w:p>
    <w:p w14:paraId="0CD84A40" w14:textId="07501DF7" w:rsidR="00D55FC7" w:rsidRPr="0051414E" w:rsidRDefault="00D55FC7" w:rsidP="0051414E">
      <w:pPr>
        <w:pStyle w:val="NoSpacing"/>
      </w:pPr>
      <w:r w:rsidRPr="0051414E">
        <w:t xml:space="preserve">Radiologists: Dr </w:t>
      </w:r>
      <w:proofErr w:type="spellStart"/>
      <w:r w:rsidRPr="0051414E">
        <w:t>Kapilan</w:t>
      </w:r>
      <w:proofErr w:type="spellEnd"/>
      <w:r w:rsidRPr="0051414E">
        <w:t xml:space="preserve"> </w:t>
      </w:r>
      <w:proofErr w:type="spellStart"/>
      <w:r w:rsidRPr="0051414E">
        <w:t>Varatharajah</w:t>
      </w:r>
      <w:proofErr w:type="spellEnd"/>
      <w:r w:rsidRPr="0051414E">
        <w:t xml:space="preserve">, Dr Sarah </w:t>
      </w:r>
      <w:proofErr w:type="spellStart"/>
      <w:r w:rsidRPr="0051414E">
        <w:t>Kalus</w:t>
      </w:r>
      <w:proofErr w:type="spellEnd"/>
      <w:r w:rsidRPr="0051414E">
        <w:t xml:space="preserve"> </w:t>
      </w:r>
    </w:p>
    <w:p w14:paraId="625B6ECD" w14:textId="5F890B72" w:rsidR="00EF0003" w:rsidRPr="0051414E" w:rsidRDefault="00EF0003" w:rsidP="00985151">
      <w:pPr>
        <w:pStyle w:val="NoSpacing"/>
      </w:pPr>
      <w:r w:rsidRPr="0051414E">
        <w:rPr>
          <w:rStyle w:val="Strong"/>
        </w:rPr>
        <w:t>Email</w:t>
      </w:r>
      <w:r w:rsidRPr="0051414E">
        <w:t xml:space="preserve">: </w:t>
      </w:r>
      <w:hyperlink r:id="rId20" w:history="1">
        <w:r w:rsidR="002C718A" w:rsidRPr="00BE5F85">
          <w:rPr>
            <w:rStyle w:val="Hyperlink"/>
            <w:sz w:val="22"/>
            <w:szCs w:val="22"/>
          </w:rPr>
          <w:t>hayley.iengo@mh.org.au</w:t>
        </w:r>
      </w:hyperlink>
      <w:r w:rsidR="002C718A" w:rsidRPr="0051414E">
        <w:t xml:space="preserve"> </w:t>
      </w:r>
    </w:p>
    <w:p w14:paraId="42C55B1E" w14:textId="77777777" w:rsidR="00EF0003" w:rsidRDefault="00EF0003" w:rsidP="00F573FA">
      <w:pPr>
        <w:pStyle w:val="Heading3"/>
      </w:pPr>
      <w:r>
        <w:t>For paediatric patients:</w:t>
      </w:r>
    </w:p>
    <w:p w14:paraId="405FBE87" w14:textId="33D522EA" w:rsidR="00EF0003" w:rsidRPr="0051414E" w:rsidRDefault="00EF0003" w:rsidP="00985151">
      <w:pPr>
        <w:pStyle w:val="NoSpacing"/>
      </w:pPr>
      <w:r w:rsidRPr="0051414E">
        <w:rPr>
          <w:rStyle w:val="Strong"/>
        </w:rPr>
        <w:t>Contact</w:t>
      </w:r>
      <w:r w:rsidRPr="0051414E">
        <w:t xml:space="preserve">: Ms </w:t>
      </w:r>
      <w:r w:rsidR="00957526" w:rsidRPr="0051414E">
        <w:t>Evelyn Johnson</w:t>
      </w:r>
      <w:r w:rsidRPr="0051414E">
        <w:t xml:space="preserve"> </w:t>
      </w:r>
    </w:p>
    <w:p w14:paraId="28455349" w14:textId="4C25DE7C" w:rsidR="00EF0003" w:rsidRPr="0051414E" w:rsidRDefault="00EF0003" w:rsidP="00985151">
      <w:pPr>
        <w:pStyle w:val="NoSpacing"/>
      </w:pPr>
      <w:r w:rsidRPr="0051414E">
        <w:rPr>
          <w:rStyle w:val="Strong"/>
        </w:rPr>
        <w:t>Hospital</w:t>
      </w:r>
      <w:r w:rsidRPr="0051414E">
        <w:t xml:space="preserve">: </w:t>
      </w:r>
      <w:r w:rsidR="00957526" w:rsidRPr="0051414E">
        <w:t xml:space="preserve">The </w:t>
      </w:r>
      <w:r w:rsidRPr="0051414E">
        <w:t>Royal Children's Hospital</w:t>
      </w:r>
      <w:r w:rsidR="00957526" w:rsidRPr="0051414E">
        <w:t xml:space="preserve"> Melbourne</w:t>
      </w:r>
    </w:p>
    <w:p w14:paraId="79F89AF0" w14:textId="77777777" w:rsidR="00EF0003" w:rsidRPr="0051414E" w:rsidRDefault="00EF0003" w:rsidP="00985151">
      <w:pPr>
        <w:pStyle w:val="NoSpacing"/>
      </w:pPr>
      <w:r w:rsidRPr="0051414E">
        <w:rPr>
          <w:rStyle w:val="Strong"/>
        </w:rPr>
        <w:t>Department</w:t>
      </w:r>
      <w:r w:rsidRPr="0051414E">
        <w:t xml:space="preserve">: Department of Medical Imaging </w:t>
      </w:r>
    </w:p>
    <w:p w14:paraId="65E0E785" w14:textId="12A935A4" w:rsidR="00EF0003" w:rsidRPr="0051414E" w:rsidRDefault="00EF0003" w:rsidP="00985151">
      <w:pPr>
        <w:pStyle w:val="NoSpacing"/>
      </w:pPr>
      <w:r w:rsidRPr="0051414E">
        <w:rPr>
          <w:rStyle w:val="Strong"/>
        </w:rPr>
        <w:t>Address</w:t>
      </w:r>
      <w:r w:rsidRPr="0051414E">
        <w:t xml:space="preserve">: </w:t>
      </w:r>
      <w:r w:rsidR="00957526" w:rsidRPr="0051414E">
        <w:t xml:space="preserve">50 </w:t>
      </w:r>
      <w:r w:rsidRPr="0051414E">
        <w:t>Flemington Road</w:t>
      </w:r>
      <w:r w:rsidR="00957526" w:rsidRPr="0051414E">
        <w:t xml:space="preserve"> </w:t>
      </w:r>
      <w:r w:rsidRPr="0051414E">
        <w:t xml:space="preserve">PARKVILLE VIC 3052 </w:t>
      </w:r>
    </w:p>
    <w:p w14:paraId="0698D2A4" w14:textId="238CA69F" w:rsidR="00EF0003" w:rsidRPr="0051414E" w:rsidRDefault="00EF0003" w:rsidP="00985151">
      <w:pPr>
        <w:pStyle w:val="NoSpacing"/>
      </w:pPr>
      <w:r w:rsidRPr="0051414E">
        <w:rPr>
          <w:rStyle w:val="Strong"/>
        </w:rPr>
        <w:t>Phone</w:t>
      </w:r>
      <w:r w:rsidRPr="0051414E">
        <w:t>: (03) 9345 5237</w:t>
      </w:r>
    </w:p>
    <w:p w14:paraId="1C18D3F6" w14:textId="3A53BCE3" w:rsidR="00A73D9D" w:rsidRPr="0051414E" w:rsidRDefault="00EF0003" w:rsidP="0051414E">
      <w:pPr>
        <w:pStyle w:val="NoSpacing"/>
      </w:pPr>
      <w:r w:rsidRPr="0051414E">
        <w:rPr>
          <w:rStyle w:val="Strong"/>
        </w:rPr>
        <w:t>Email</w:t>
      </w:r>
      <w:r w:rsidRPr="0051414E">
        <w:t xml:space="preserve">: </w:t>
      </w:r>
      <w:hyperlink r:id="rId21" w:history="1">
        <w:r w:rsidR="00A73D9D" w:rsidRPr="00BE5F85">
          <w:rPr>
            <w:rStyle w:val="Hyperlink"/>
            <w:sz w:val="22"/>
            <w:szCs w:val="22"/>
          </w:rPr>
          <w:t>evelyn.johnson@rch.org.au</w:t>
        </w:r>
      </w:hyperlink>
    </w:p>
    <w:p w14:paraId="7C179CA8" w14:textId="77777777" w:rsidR="00A73D9D" w:rsidRDefault="00A73D9D" w:rsidP="0051414E">
      <w:pPr>
        <w:pStyle w:val="Heading1"/>
      </w:pPr>
      <w:r w:rsidRPr="003E6D19">
        <w:t>Cessation of treatment</w:t>
      </w:r>
    </w:p>
    <w:p w14:paraId="30E1E1DA" w14:textId="77777777" w:rsidR="00A73D9D" w:rsidRPr="0051414E" w:rsidRDefault="00A73D9D" w:rsidP="0051414E">
      <w:r w:rsidRPr="0051414E">
        <w:t xml:space="preserve">The treating physician should notify the LSDP immediately in writing when a patient ceases treatment, including the reason(s) for treatment cessation. </w:t>
      </w:r>
    </w:p>
    <w:p w14:paraId="64A235BF" w14:textId="77777777" w:rsidR="00A73D9D" w:rsidRDefault="00A73D9D" w:rsidP="00A73D9D">
      <w:pPr>
        <w:pStyle w:val="Heading2"/>
      </w:pPr>
      <w:r>
        <w:t>Treatment breaks</w:t>
      </w:r>
    </w:p>
    <w:p w14:paraId="3DF4BA27" w14:textId="77777777" w:rsidR="00A73D9D" w:rsidRPr="0051414E" w:rsidRDefault="00A73D9D" w:rsidP="0051414E">
      <w:r w:rsidRPr="0051414E">
        <w:t xml:space="preserve">Treatment breaks of up to 3 months can be taken without the requirement for submission of a new reapplication form to recommence treatment. </w:t>
      </w:r>
    </w:p>
    <w:p w14:paraId="20027F24" w14:textId="73630F6D" w:rsidR="00A73D9D" w:rsidRPr="00985151" w:rsidRDefault="00A73D9D" w:rsidP="0051414E">
      <w:r w:rsidRPr="0051414E">
        <w:t xml:space="preserve">Patients who are applying to recommence treatment following a break of longer than 3 months should submit a new </w:t>
      </w:r>
      <w:hyperlink r:id="rId22" w:history="1">
        <w:r w:rsidRPr="0051414E">
          <w:rPr>
            <w:rStyle w:val="Hyperlink"/>
          </w:rPr>
          <w:t>reapplication form</w:t>
        </w:r>
      </w:hyperlink>
      <w:r w:rsidRPr="0051414E">
        <w:t>.</w:t>
      </w:r>
    </w:p>
    <w:sectPr w:rsidR="00A73D9D" w:rsidRPr="00985151" w:rsidSect="0051414E">
      <w:headerReference w:type="default" r:id="rId23"/>
      <w:type w:val="continuous"/>
      <w:pgSz w:w="11906" w:h="16838"/>
      <w:pgMar w:top="1701" w:right="1418" w:bottom="1418" w:left="1418" w:header="850"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441B0" w14:textId="77777777" w:rsidR="0060279F" w:rsidRDefault="0060279F" w:rsidP="006B56BB">
      <w:r>
        <w:separator/>
      </w:r>
    </w:p>
    <w:p w14:paraId="3F68DD4C" w14:textId="77777777" w:rsidR="0060279F" w:rsidRDefault="0060279F"/>
  </w:endnote>
  <w:endnote w:type="continuationSeparator" w:id="0">
    <w:p w14:paraId="248F8EE8" w14:textId="77777777" w:rsidR="0060279F" w:rsidRDefault="0060279F" w:rsidP="006B56BB">
      <w:r>
        <w:continuationSeparator/>
      </w:r>
    </w:p>
    <w:p w14:paraId="326A2390" w14:textId="77777777" w:rsidR="0060279F" w:rsidRDefault="0060279F"/>
  </w:endnote>
  <w:endnote w:type="continuationNotice" w:id="1">
    <w:p w14:paraId="1F09F261" w14:textId="77777777" w:rsidR="0060279F" w:rsidRDefault="006027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C84F7" w14:textId="4A3D6E30" w:rsidR="00994536" w:rsidRPr="00972E6E" w:rsidRDefault="00A34A48" w:rsidP="0051414E">
    <w:pPr>
      <w:pStyle w:val="Footer"/>
      <w:tabs>
        <w:tab w:val="clear" w:pos="4513"/>
      </w:tabs>
    </w:pPr>
    <w:r>
      <w:t>Department of Health and Aged Care – September 2024</w:t>
    </w:r>
    <w:r>
      <w:tab/>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35F8D" w14:textId="77777777" w:rsidR="00A34A48" w:rsidRDefault="00A34A48" w:rsidP="00A34A48">
    <w:pPr>
      <w:pStyle w:val="Footer"/>
      <w:tabs>
        <w:tab w:val="clear" w:pos="4513"/>
      </w:tabs>
    </w:pPr>
    <w:r>
      <w:t>Department of Health and Aged Care – September 2024</w:t>
    </w:r>
    <w:r>
      <w:tab/>
    </w:r>
    <w:r>
      <w:fldChar w:fldCharType="begin"/>
    </w:r>
    <w:r>
      <w:instrText xml:space="preserve"> PAGE   \* MERGEFORMAT </w:instrText>
    </w:r>
    <w:r>
      <w:fldChar w:fldCharType="separate"/>
    </w:r>
    <w:r>
      <w:t>1</w:t>
    </w:r>
    <w:r>
      <w:fldChar w:fldCharType="end"/>
    </w:r>
  </w:p>
  <w:p w14:paraId="38E6D8ED" w14:textId="48EDEBEF" w:rsidR="00994536" w:rsidRPr="00DE3355" w:rsidRDefault="00994536" w:rsidP="003D033A">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9D0D0" w14:textId="77777777" w:rsidR="0060279F" w:rsidRDefault="0060279F" w:rsidP="006B56BB">
      <w:r>
        <w:separator/>
      </w:r>
    </w:p>
    <w:p w14:paraId="21AC9CBF" w14:textId="77777777" w:rsidR="0060279F" w:rsidRDefault="0060279F"/>
  </w:footnote>
  <w:footnote w:type="continuationSeparator" w:id="0">
    <w:p w14:paraId="62706F07" w14:textId="77777777" w:rsidR="0060279F" w:rsidRDefault="0060279F" w:rsidP="006B56BB">
      <w:r>
        <w:continuationSeparator/>
      </w:r>
    </w:p>
    <w:p w14:paraId="0E605290" w14:textId="77777777" w:rsidR="0060279F" w:rsidRDefault="0060279F"/>
  </w:footnote>
  <w:footnote w:type="continuationNotice" w:id="1">
    <w:p w14:paraId="2047F016" w14:textId="77777777" w:rsidR="0060279F" w:rsidRDefault="006027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33C38" w14:textId="22296650" w:rsidR="00994536" w:rsidRDefault="000B706E" w:rsidP="006369BD">
    <w:pPr>
      <w:pStyle w:val="Header"/>
    </w:pPr>
    <w:r>
      <w:rPr>
        <w:noProof/>
        <w:lang w:eastAsia="en-AU"/>
      </w:rPr>
      <w:drawing>
        <wp:inline distT="0" distB="0" distL="0" distR="0" wp14:anchorId="4CD91877" wp14:editId="02BADAAA">
          <wp:extent cx="5759450" cy="941705"/>
          <wp:effectExtent l="0" t="0" r="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p w14:paraId="2946D70B" w14:textId="77777777" w:rsidR="00E00BD2" w:rsidRPr="006369BD" w:rsidRDefault="00E00BD2" w:rsidP="006369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B3FA4" w14:textId="098B8C1C" w:rsidR="008E0C77" w:rsidRPr="00A71F59" w:rsidRDefault="00A71F59" w:rsidP="00A71F59">
    <w:pPr>
      <w:pStyle w:val="Footer"/>
      <w:tabs>
        <w:tab w:val="clear" w:pos="4513"/>
      </w:tabs>
      <w:rPr>
        <w:sz w:val="16"/>
        <w:szCs w:val="20"/>
      </w:rPr>
    </w:pPr>
    <w:r w:rsidRPr="000B3E4A">
      <w:rPr>
        <w:sz w:val="16"/>
      </w:rPr>
      <w:t xml:space="preserve">LSDP guidelines for subsidised treatment for </w:t>
    </w:r>
    <w:r w:rsidR="00A32CB6">
      <w:rPr>
        <w:sz w:val="16"/>
      </w:rPr>
      <w:t>Gaucher disease (type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929064"/>
    <w:lvl w:ilvl="0">
      <w:start w:val="1"/>
      <w:numFmt w:val="decimal"/>
      <w:lvlText w:val="%1."/>
      <w:lvlJc w:val="left"/>
      <w:pPr>
        <w:tabs>
          <w:tab w:val="num" w:pos="7086"/>
        </w:tabs>
        <w:ind w:left="7086" w:hanging="360"/>
      </w:pPr>
    </w:lvl>
  </w:abstractNum>
  <w:abstractNum w:abstractNumId="1" w15:restartNumberingAfterBreak="0">
    <w:nsid w:val="FFFFFF7D"/>
    <w:multiLevelType w:val="singleLevel"/>
    <w:tmpl w:val="ED962CF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F74689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DCD46FD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2A6FC5C"/>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3C63CC0"/>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C62889"/>
    <w:multiLevelType w:val="hybridMultilevel"/>
    <w:tmpl w:val="7FD22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9AA7F05"/>
    <w:multiLevelType w:val="hybridMultilevel"/>
    <w:tmpl w:val="556A4766"/>
    <w:lvl w:ilvl="0" w:tplc="99C230F4">
      <w:start w:val="1"/>
      <w:numFmt w:val="lowerLetter"/>
      <w:lvlText w:val="%1)"/>
      <w:lvlJc w:val="left"/>
      <w:pPr>
        <w:ind w:left="128" w:hanging="218"/>
      </w:pPr>
      <w:rPr>
        <w:rFonts w:ascii="Cambria" w:eastAsia="Cambria" w:hAnsi="Cambria" w:cs="Cambria" w:hint="default"/>
        <w:spacing w:val="-1"/>
        <w:w w:val="100"/>
        <w:sz w:val="20"/>
        <w:szCs w:val="20"/>
      </w:rPr>
    </w:lvl>
    <w:lvl w:ilvl="1" w:tplc="45C64F4A">
      <w:numFmt w:val="bullet"/>
      <w:lvlText w:val="•"/>
      <w:lvlJc w:val="left"/>
      <w:pPr>
        <w:ind w:left="668" w:hanging="218"/>
      </w:pPr>
      <w:rPr>
        <w:rFonts w:hint="default"/>
      </w:rPr>
    </w:lvl>
    <w:lvl w:ilvl="2" w:tplc="542C9A38">
      <w:numFmt w:val="bullet"/>
      <w:lvlText w:val="•"/>
      <w:lvlJc w:val="left"/>
      <w:pPr>
        <w:ind w:left="1216" w:hanging="218"/>
      </w:pPr>
      <w:rPr>
        <w:rFonts w:hint="default"/>
      </w:rPr>
    </w:lvl>
    <w:lvl w:ilvl="3" w:tplc="C9043ED8">
      <w:numFmt w:val="bullet"/>
      <w:lvlText w:val="•"/>
      <w:lvlJc w:val="left"/>
      <w:pPr>
        <w:ind w:left="1764" w:hanging="218"/>
      </w:pPr>
      <w:rPr>
        <w:rFonts w:hint="default"/>
      </w:rPr>
    </w:lvl>
    <w:lvl w:ilvl="4" w:tplc="3D7C26DE">
      <w:numFmt w:val="bullet"/>
      <w:lvlText w:val="•"/>
      <w:lvlJc w:val="left"/>
      <w:pPr>
        <w:ind w:left="2312" w:hanging="218"/>
      </w:pPr>
      <w:rPr>
        <w:rFonts w:hint="default"/>
      </w:rPr>
    </w:lvl>
    <w:lvl w:ilvl="5" w:tplc="789A3856">
      <w:numFmt w:val="bullet"/>
      <w:lvlText w:val="•"/>
      <w:lvlJc w:val="left"/>
      <w:pPr>
        <w:ind w:left="2860" w:hanging="218"/>
      </w:pPr>
      <w:rPr>
        <w:rFonts w:hint="default"/>
      </w:rPr>
    </w:lvl>
    <w:lvl w:ilvl="6" w:tplc="8A4E5004">
      <w:numFmt w:val="bullet"/>
      <w:lvlText w:val="•"/>
      <w:lvlJc w:val="left"/>
      <w:pPr>
        <w:ind w:left="3408" w:hanging="218"/>
      </w:pPr>
      <w:rPr>
        <w:rFonts w:hint="default"/>
      </w:rPr>
    </w:lvl>
    <w:lvl w:ilvl="7" w:tplc="0B7CE194">
      <w:numFmt w:val="bullet"/>
      <w:lvlText w:val="•"/>
      <w:lvlJc w:val="left"/>
      <w:pPr>
        <w:ind w:left="3956" w:hanging="218"/>
      </w:pPr>
      <w:rPr>
        <w:rFonts w:hint="default"/>
      </w:rPr>
    </w:lvl>
    <w:lvl w:ilvl="8" w:tplc="A270471C">
      <w:numFmt w:val="bullet"/>
      <w:lvlText w:val="•"/>
      <w:lvlJc w:val="left"/>
      <w:pPr>
        <w:ind w:left="4504" w:hanging="218"/>
      </w:pPr>
      <w:rPr>
        <w:rFont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520DFA"/>
    <w:multiLevelType w:val="hybridMultilevel"/>
    <w:tmpl w:val="42BA46A0"/>
    <w:lvl w:ilvl="0" w:tplc="ED906F80">
      <w:start w:val="1"/>
      <w:numFmt w:val="lowerLetter"/>
      <w:lvlText w:val="%1)"/>
      <w:lvlJc w:val="left"/>
      <w:pPr>
        <w:ind w:left="1080" w:hanging="720"/>
      </w:pPr>
      <w:rPr>
        <w:rFonts w:hint="default"/>
      </w:rPr>
    </w:lvl>
    <w:lvl w:ilvl="1" w:tplc="ECF8811A">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3363506"/>
    <w:multiLevelType w:val="hybridMultilevel"/>
    <w:tmpl w:val="C55CFE62"/>
    <w:lvl w:ilvl="0" w:tplc="B722292C">
      <w:start w:val="1"/>
      <w:numFmt w:val="bullet"/>
      <w:pStyle w:val="ListBullet"/>
      <w:lvlText w:val=""/>
      <w:lvlJc w:val="left"/>
      <w:pPr>
        <w:ind w:left="720" w:hanging="360"/>
      </w:pPr>
      <w:rPr>
        <w:rFonts w:ascii="Symbol" w:hAnsi="Symbol" w:hint="default"/>
        <w:color w:val="000000" w:themeColor="text1"/>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9295D19"/>
    <w:multiLevelType w:val="hybridMultilevel"/>
    <w:tmpl w:val="26420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D525FA"/>
    <w:multiLevelType w:val="hybridMultilevel"/>
    <w:tmpl w:val="332A1DBE"/>
    <w:lvl w:ilvl="0" w:tplc="47168E76">
      <w:start w:val="1"/>
      <w:numFmt w:val="decimal"/>
      <w:lvlText w:val="%1."/>
      <w:lvlJc w:val="left"/>
      <w:pPr>
        <w:ind w:left="128" w:hanging="196"/>
      </w:pPr>
      <w:rPr>
        <w:rFonts w:ascii="Cambria" w:eastAsia="Cambria" w:hAnsi="Cambria" w:cs="Cambria" w:hint="default"/>
        <w:spacing w:val="-1"/>
        <w:w w:val="100"/>
        <w:sz w:val="20"/>
        <w:szCs w:val="20"/>
      </w:rPr>
    </w:lvl>
    <w:lvl w:ilvl="1" w:tplc="A9DC086A">
      <w:numFmt w:val="bullet"/>
      <w:lvlText w:val="•"/>
      <w:lvlJc w:val="left"/>
      <w:pPr>
        <w:ind w:left="668" w:hanging="196"/>
      </w:pPr>
      <w:rPr>
        <w:rFonts w:hint="default"/>
      </w:rPr>
    </w:lvl>
    <w:lvl w:ilvl="2" w:tplc="044E9B92">
      <w:numFmt w:val="bullet"/>
      <w:lvlText w:val="•"/>
      <w:lvlJc w:val="left"/>
      <w:pPr>
        <w:ind w:left="1215" w:hanging="196"/>
      </w:pPr>
      <w:rPr>
        <w:rFonts w:hint="default"/>
      </w:rPr>
    </w:lvl>
    <w:lvl w:ilvl="3" w:tplc="B2FE4786">
      <w:numFmt w:val="bullet"/>
      <w:lvlText w:val="•"/>
      <w:lvlJc w:val="left"/>
      <w:pPr>
        <w:ind w:left="1763" w:hanging="196"/>
      </w:pPr>
      <w:rPr>
        <w:rFonts w:hint="default"/>
      </w:rPr>
    </w:lvl>
    <w:lvl w:ilvl="4" w:tplc="6C30C564">
      <w:numFmt w:val="bullet"/>
      <w:lvlText w:val="•"/>
      <w:lvlJc w:val="left"/>
      <w:pPr>
        <w:ind w:left="2311" w:hanging="196"/>
      </w:pPr>
      <w:rPr>
        <w:rFonts w:hint="default"/>
      </w:rPr>
    </w:lvl>
    <w:lvl w:ilvl="5" w:tplc="20E0A2C6">
      <w:numFmt w:val="bullet"/>
      <w:lvlText w:val="•"/>
      <w:lvlJc w:val="left"/>
      <w:pPr>
        <w:ind w:left="2859" w:hanging="196"/>
      </w:pPr>
      <w:rPr>
        <w:rFonts w:hint="default"/>
      </w:rPr>
    </w:lvl>
    <w:lvl w:ilvl="6" w:tplc="1DC2138C">
      <w:numFmt w:val="bullet"/>
      <w:lvlText w:val="•"/>
      <w:lvlJc w:val="left"/>
      <w:pPr>
        <w:ind w:left="3407" w:hanging="196"/>
      </w:pPr>
      <w:rPr>
        <w:rFonts w:hint="default"/>
      </w:rPr>
    </w:lvl>
    <w:lvl w:ilvl="7" w:tplc="66DA3E98">
      <w:numFmt w:val="bullet"/>
      <w:lvlText w:val="•"/>
      <w:lvlJc w:val="left"/>
      <w:pPr>
        <w:ind w:left="3955" w:hanging="196"/>
      </w:pPr>
      <w:rPr>
        <w:rFonts w:hint="default"/>
      </w:rPr>
    </w:lvl>
    <w:lvl w:ilvl="8" w:tplc="C4C68C02">
      <w:numFmt w:val="bullet"/>
      <w:lvlText w:val="•"/>
      <w:lvlJc w:val="left"/>
      <w:pPr>
        <w:ind w:left="4503" w:hanging="196"/>
      </w:pPr>
      <w:rPr>
        <w:rFonts w:hint="default"/>
      </w:rPr>
    </w:lvl>
  </w:abstractNum>
  <w:abstractNum w:abstractNumId="16" w15:restartNumberingAfterBreak="0">
    <w:nsid w:val="1A9C0953"/>
    <w:multiLevelType w:val="hybridMultilevel"/>
    <w:tmpl w:val="B99058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CA33EE4"/>
    <w:multiLevelType w:val="hybridMultilevel"/>
    <w:tmpl w:val="D1924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09414E1"/>
    <w:multiLevelType w:val="hybridMultilevel"/>
    <w:tmpl w:val="6EB6C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E05E51"/>
    <w:multiLevelType w:val="hybridMultilevel"/>
    <w:tmpl w:val="327C0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E00739F"/>
    <w:multiLevelType w:val="hybridMultilevel"/>
    <w:tmpl w:val="E3FA7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0B72723"/>
    <w:multiLevelType w:val="hybridMultilevel"/>
    <w:tmpl w:val="C51073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15:restartNumberingAfterBreak="0">
    <w:nsid w:val="30CC4999"/>
    <w:multiLevelType w:val="hybridMultilevel"/>
    <w:tmpl w:val="63BC781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4445A44"/>
    <w:multiLevelType w:val="hybridMultilevel"/>
    <w:tmpl w:val="3CA25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38DD2476"/>
    <w:multiLevelType w:val="hybridMultilevel"/>
    <w:tmpl w:val="199E3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A57601F"/>
    <w:multiLevelType w:val="hybridMultilevel"/>
    <w:tmpl w:val="81B8F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B8C241A"/>
    <w:multiLevelType w:val="hybridMultilevel"/>
    <w:tmpl w:val="48100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30" w15:restartNumberingAfterBreak="0">
    <w:nsid w:val="44C33D4F"/>
    <w:multiLevelType w:val="hybridMultilevel"/>
    <w:tmpl w:val="9CC4B880"/>
    <w:lvl w:ilvl="0" w:tplc="B75E2E18">
      <w:start w:val="1"/>
      <w:numFmt w:val="lowerLetter"/>
      <w:lvlText w:val="%1)"/>
      <w:lvlJc w:val="left"/>
      <w:pPr>
        <w:ind w:left="128" w:hanging="218"/>
      </w:pPr>
      <w:rPr>
        <w:rFonts w:ascii="Cambria" w:eastAsia="Cambria" w:hAnsi="Cambria" w:cs="Cambria" w:hint="default"/>
        <w:spacing w:val="-1"/>
        <w:w w:val="100"/>
        <w:sz w:val="20"/>
        <w:szCs w:val="20"/>
      </w:rPr>
    </w:lvl>
    <w:lvl w:ilvl="1" w:tplc="B5726DAE">
      <w:numFmt w:val="bullet"/>
      <w:lvlText w:val="•"/>
      <w:lvlJc w:val="left"/>
      <w:pPr>
        <w:ind w:left="668" w:hanging="218"/>
      </w:pPr>
      <w:rPr>
        <w:rFonts w:hint="default"/>
      </w:rPr>
    </w:lvl>
    <w:lvl w:ilvl="2" w:tplc="3EEC5930">
      <w:numFmt w:val="bullet"/>
      <w:lvlText w:val="•"/>
      <w:lvlJc w:val="left"/>
      <w:pPr>
        <w:ind w:left="1216" w:hanging="218"/>
      </w:pPr>
      <w:rPr>
        <w:rFonts w:hint="default"/>
      </w:rPr>
    </w:lvl>
    <w:lvl w:ilvl="3" w:tplc="D87A4DC0">
      <w:numFmt w:val="bullet"/>
      <w:lvlText w:val="•"/>
      <w:lvlJc w:val="left"/>
      <w:pPr>
        <w:ind w:left="1764" w:hanging="218"/>
      </w:pPr>
      <w:rPr>
        <w:rFonts w:hint="default"/>
      </w:rPr>
    </w:lvl>
    <w:lvl w:ilvl="4" w:tplc="10C83CD6">
      <w:numFmt w:val="bullet"/>
      <w:lvlText w:val="•"/>
      <w:lvlJc w:val="left"/>
      <w:pPr>
        <w:ind w:left="2312" w:hanging="218"/>
      </w:pPr>
      <w:rPr>
        <w:rFonts w:hint="default"/>
      </w:rPr>
    </w:lvl>
    <w:lvl w:ilvl="5" w:tplc="2990D508">
      <w:numFmt w:val="bullet"/>
      <w:lvlText w:val="•"/>
      <w:lvlJc w:val="left"/>
      <w:pPr>
        <w:ind w:left="2860" w:hanging="218"/>
      </w:pPr>
      <w:rPr>
        <w:rFonts w:hint="default"/>
      </w:rPr>
    </w:lvl>
    <w:lvl w:ilvl="6" w:tplc="503A34A0">
      <w:numFmt w:val="bullet"/>
      <w:lvlText w:val="•"/>
      <w:lvlJc w:val="left"/>
      <w:pPr>
        <w:ind w:left="3408" w:hanging="218"/>
      </w:pPr>
      <w:rPr>
        <w:rFonts w:hint="default"/>
      </w:rPr>
    </w:lvl>
    <w:lvl w:ilvl="7" w:tplc="44A00846">
      <w:numFmt w:val="bullet"/>
      <w:lvlText w:val="•"/>
      <w:lvlJc w:val="left"/>
      <w:pPr>
        <w:ind w:left="3956" w:hanging="218"/>
      </w:pPr>
      <w:rPr>
        <w:rFonts w:hint="default"/>
      </w:rPr>
    </w:lvl>
    <w:lvl w:ilvl="8" w:tplc="E9144D82">
      <w:numFmt w:val="bullet"/>
      <w:lvlText w:val="•"/>
      <w:lvlJc w:val="left"/>
      <w:pPr>
        <w:ind w:left="4504" w:hanging="218"/>
      </w:pPr>
      <w:rPr>
        <w:rFonts w:hint="default"/>
      </w:rPr>
    </w:lvl>
  </w:abstractNum>
  <w:abstractNum w:abstractNumId="31" w15:restartNumberingAfterBreak="0">
    <w:nsid w:val="4548251A"/>
    <w:multiLevelType w:val="hybridMultilevel"/>
    <w:tmpl w:val="21120D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515241B"/>
    <w:multiLevelType w:val="hybridMultilevel"/>
    <w:tmpl w:val="A5FC5FE8"/>
    <w:lvl w:ilvl="0" w:tplc="B8E8407A">
      <w:start w:val="1"/>
      <w:numFmt w:val="lowerLetter"/>
      <w:lvlText w:val="%1)"/>
      <w:lvlJc w:val="left"/>
      <w:pPr>
        <w:ind w:left="128" w:hanging="218"/>
      </w:pPr>
      <w:rPr>
        <w:rFonts w:ascii="Cambria" w:eastAsia="Cambria" w:hAnsi="Cambria" w:cs="Cambria" w:hint="default"/>
        <w:spacing w:val="-1"/>
        <w:w w:val="100"/>
        <w:sz w:val="20"/>
        <w:szCs w:val="20"/>
      </w:rPr>
    </w:lvl>
    <w:lvl w:ilvl="1" w:tplc="E6EA3CBE">
      <w:numFmt w:val="bullet"/>
      <w:lvlText w:val="•"/>
      <w:lvlJc w:val="left"/>
      <w:pPr>
        <w:ind w:left="657" w:hanging="218"/>
      </w:pPr>
      <w:rPr>
        <w:rFonts w:hint="default"/>
      </w:rPr>
    </w:lvl>
    <w:lvl w:ilvl="2" w:tplc="C3D65A4A">
      <w:numFmt w:val="bullet"/>
      <w:lvlText w:val="•"/>
      <w:lvlJc w:val="left"/>
      <w:pPr>
        <w:ind w:left="1195" w:hanging="218"/>
      </w:pPr>
      <w:rPr>
        <w:rFonts w:hint="default"/>
      </w:rPr>
    </w:lvl>
    <w:lvl w:ilvl="3" w:tplc="20860850">
      <w:numFmt w:val="bullet"/>
      <w:lvlText w:val="•"/>
      <w:lvlJc w:val="left"/>
      <w:pPr>
        <w:ind w:left="1733" w:hanging="218"/>
      </w:pPr>
      <w:rPr>
        <w:rFonts w:hint="default"/>
      </w:rPr>
    </w:lvl>
    <w:lvl w:ilvl="4" w:tplc="67EC4B76">
      <w:numFmt w:val="bullet"/>
      <w:lvlText w:val="•"/>
      <w:lvlJc w:val="left"/>
      <w:pPr>
        <w:ind w:left="2270" w:hanging="218"/>
      </w:pPr>
      <w:rPr>
        <w:rFonts w:hint="default"/>
      </w:rPr>
    </w:lvl>
    <w:lvl w:ilvl="5" w:tplc="49300682">
      <w:numFmt w:val="bullet"/>
      <w:lvlText w:val="•"/>
      <w:lvlJc w:val="left"/>
      <w:pPr>
        <w:ind w:left="2808" w:hanging="218"/>
      </w:pPr>
      <w:rPr>
        <w:rFonts w:hint="default"/>
      </w:rPr>
    </w:lvl>
    <w:lvl w:ilvl="6" w:tplc="10329214">
      <w:numFmt w:val="bullet"/>
      <w:lvlText w:val="•"/>
      <w:lvlJc w:val="left"/>
      <w:pPr>
        <w:ind w:left="3346" w:hanging="218"/>
      </w:pPr>
      <w:rPr>
        <w:rFonts w:hint="default"/>
      </w:rPr>
    </w:lvl>
    <w:lvl w:ilvl="7" w:tplc="9B881BCC">
      <w:numFmt w:val="bullet"/>
      <w:lvlText w:val="•"/>
      <w:lvlJc w:val="left"/>
      <w:pPr>
        <w:ind w:left="3884" w:hanging="218"/>
      </w:pPr>
      <w:rPr>
        <w:rFonts w:hint="default"/>
      </w:rPr>
    </w:lvl>
    <w:lvl w:ilvl="8" w:tplc="D966A94C">
      <w:numFmt w:val="bullet"/>
      <w:lvlText w:val="•"/>
      <w:lvlJc w:val="left"/>
      <w:pPr>
        <w:ind w:left="4421" w:hanging="218"/>
      </w:pPr>
      <w:rPr>
        <w:rFonts w:hint="default"/>
      </w:rPr>
    </w:lvl>
  </w:abstractNum>
  <w:abstractNum w:abstractNumId="34" w15:restartNumberingAfterBreak="0">
    <w:nsid w:val="66D828A6"/>
    <w:multiLevelType w:val="multilevel"/>
    <w:tmpl w:val="B7723FE2"/>
    <w:lvl w:ilvl="0">
      <w:start w:val="1"/>
      <w:numFmt w:val="decimal"/>
      <w:lvlText w:val="%1."/>
      <w:lvlJc w:val="left"/>
      <w:pPr>
        <w:ind w:left="848" w:hanging="720"/>
      </w:pPr>
      <w:rPr>
        <w:rFonts w:ascii="Cambria" w:eastAsia="Cambria" w:hAnsi="Cambria" w:cs="Cambria" w:hint="default"/>
        <w:b/>
        <w:bCs/>
        <w:spacing w:val="-7"/>
        <w:w w:val="100"/>
        <w:sz w:val="24"/>
        <w:szCs w:val="24"/>
      </w:rPr>
    </w:lvl>
    <w:lvl w:ilvl="1">
      <w:start w:val="1"/>
      <w:numFmt w:val="decimal"/>
      <w:lvlText w:val="%1.%2"/>
      <w:lvlJc w:val="left"/>
      <w:pPr>
        <w:ind w:left="848" w:hanging="720"/>
      </w:pPr>
      <w:rPr>
        <w:rFonts w:ascii="Cambria" w:eastAsia="Cambria" w:hAnsi="Cambria" w:cs="Cambria" w:hint="default"/>
        <w:b/>
        <w:bCs/>
        <w:spacing w:val="-4"/>
        <w:w w:val="100"/>
        <w:sz w:val="20"/>
        <w:szCs w:val="20"/>
      </w:rPr>
    </w:lvl>
    <w:lvl w:ilvl="2">
      <w:numFmt w:val="bullet"/>
      <w:lvlText w:val="•"/>
      <w:lvlJc w:val="left"/>
      <w:pPr>
        <w:ind w:left="621" w:hanging="720"/>
      </w:pPr>
      <w:rPr>
        <w:rFonts w:hint="default"/>
      </w:rPr>
    </w:lvl>
    <w:lvl w:ilvl="3">
      <w:numFmt w:val="bullet"/>
      <w:lvlText w:val="•"/>
      <w:lvlJc w:val="left"/>
      <w:pPr>
        <w:ind w:left="512" w:hanging="720"/>
      </w:pPr>
      <w:rPr>
        <w:rFonts w:hint="default"/>
      </w:rPr>
    </w:lvl>
    <w:lvl w:ilvl="4">
      <w:numFmt w:val="bullet"/>
      <w:lvlText w:val="•"/>
      <w:lvlJc w:val="left"/>
      <w:pPr>
        <w:ind w:left="402" w:hanging="720"/>
      </w:pPr>
      <w:rPr>
        <w:rFonts w:hint="default"/>
      </w:rPr>
    </w:lvl>
    <w:lvl w:ilvl="5">
      <w:numFmt w:val="bullet"/>
      <w:lvlText w:val="•"/>
      <w:lvlJc w:val="left"/>
      <w:pPr>
        <w:ind w:left="293" w:hanging="720"/>
      </w:pPr>
      <w:rPr>
        <w:rFonts w:hint="default"/>
      </w:rPr>
    </w:lvl>
    <w:lvl w:ilvl="6">
      <w:numFmt w:val="bullet"/>
      <w:lvlText w:val="•"/>
      <w:lvlJc w:val="left"/>
      <w:pPr>
        <w:ind w:left="184" w:hanging="720"/>
      </w:pPr>
      <w:rPr>
        <w:rFonts w:hint="default"/>
      </w:rPr>
    </w:lvl>
    <w:lvl w:ilvl="7">
      <w:numFmt w:val="bullet"/>
      <w:lvlText w:val="•"/>
      <w:lvlJc w:val="left"/>
      <w:pPr>
        <w:ind w:left="75" w:hanging="720"/>
      </w:pPr>
      <w:rPr>
        <w:rFonts w:hint="default"/>
      </w:rPr>
    </w:lvl>
    <w:lvl w:ilvl="8">
      <w:numFmt w:val="bullet"/>
      <w:lvlText w:val="•"/>
      <w:lvlJc w:val="left"/>
      <w:pPr>
        <w:ind w:left="-35" w:hanging="720"/>
      </w:pPr>
      <w:rPr>
        <w:rFonts w:hint="default"/>
      </w:rPr>
    </w:lvl>
  </w:abstractNum>
  <w:abstractNum w:abstractNumId="35"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BF445FC"/>
    <w:multiLevelType w:val="hybridMultilevel"/>
    <w:tmpl w:val="26669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AE4265"/>
    <w:multiLevelType w:val="hybridMultilevel"/>
    <w:tmpl w:val="DA6C1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391716"/>
    <w:multiLevelType w:val="hybridMultilevel"/>
    <w:tmpl w:val="178CAD20"/>
    <w:lvl w:ilvl="0" w:tplc="0C090003">
      <w:start w:val="1"/>
      <w:numFmt w:val="bullet"/>
      <w:pStyle w:val="ListBullet2"/>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7FFB0E35"/>
    <w:multiLevelType w:val="hybridMultilevel"/>
    <w:tmpl w:val="60EA71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58392104">
    <w:abstractNumId w:val="7"/>
  </w:num>
  <w:num w:numId="2" w16cid:durableId="1263949277">
    <w:abstractNumId w:val="32"/>
  </w:num>
  <w:num w:numId="3" w16cid:durableId="1311328975">
    <w:abstractNumId w:val="37"/>
  </w:num>
  <w:num w:numId="4" w16cid:durableId="587269852">
    <w:abstractNumId w:val="9"/>
  </w:num>
  <w:num w:numId="5" w16cid:durableId="1547176943">
    <w:abstractNumId w:val="9"/>
    <w:lvlOverride w:ilvl="0">
      <w:startOverride w:val="1"/>
    </w:lvlOverride>
  </w:num>
  <w:num w:numId="6" w16cid:durableId="1153721880">
    <w:abstractNumId w:val="11"/>
  </w:num>
  <w:num w:numId="7" w16cid:durableId="1714110659">
    <w:abstractNumId w:val="29"/>
  </w:num>
  <w:num w:numId="8" w16cid:durableId="504786843">
    <w:abstractNumId w:val="35"/>
  </w:num>
  <w:num w:numId="9" w16cid:durableId="1180393619">
    <w:abstractNumId w:val="5"/>
  </w:num>
  <w:num w:numId="10" w16cid:durableId="530994599">
    <w:abstractNumId w:val="4"/>
  </w:num>
  <w:num w:numId="11" w16cid:durableId="1792091318">
    <w:abstractNumId w:val="3"/>
  </w:num>
  <w:num w:numId="12" w16cid:durableId="1554147986">
    <w:abstractNumId w:val="2"/>
  </w:num>
  <w:num w:numId="13" w16cid:durableId="821778989">
    <w:abstractNumId w:val="6"/>
  </w:num>
  <w:num w:numId="14" w16cid:durableId="121390076">
    <w:abstractNumId w:val="1"/>
  </w:num>
  <w:num w:numId="15" w16cid:durableId="856581159">
    <w:abstractNumId w:val="0"/>
  </w:num>
  <w:num w:numId="16" w16cid:durableId="2028022895">
    <w:abstractNumId w:val="39"/>
  </w:num>
  <w:num w:numId="17" w16cid:durableId="1576473540">
    <w:abstractNumId w:val="13"/>
  </w:num>
  <w:num w:numId="18" w16cid:durableId="1897623732">
    <w:abstractNumId w:val="18"/>
  </w:num>
  <w:num w:numId="19" w16cid:durableId="85811364">
    <w:abstractNumId w:val="25"/>
  </w:num>
  <w:num w:numId="20" w16cid:durableId="161774617">
    <w:abstractNumId w:val="36"/>
  </w:num>
  <w:num w:numId="21" w16cid:durableId="2072380513">
    <w:abstractNumId w:val="19"/>
  </w:num>
  <w:num w:numId="22" w16cid:durableId="206992463">
    <w:abstractNumId w:val="26"/>
  </w:num>
  <w:num w:numId="23" w16cid:durableId="1873807653">
    <w:abstractNumId w:val="27"/>
  </w:num>
  <w:num w:numId="24" w16cid:durableId="2006396729">
    <w:abstractNumId w:val="22"/>
  </w:num>
  <w:num w:numId="25" w16cid:durableId="2018772381">
    <w:abstractNumId w:val="34"/>
  </w:num>
  <w:num w:numId="26" w16cid:durableId="1238319096">
    <w:abstractNumId w:val="15"/>
  </w:num>
  <w:num w:numId="27" w16cid:durableId="1448935975">
    <w:abstractNumId w:val="24"/>
  </w:num>
  <w:num w:numId="28" w16cid:durableId="767232929">
    <w:abstractNumId w:val="33"/>
  </w:num>
  <w:num w:numId="29" w16cid:durableId="33390312">
    <w:abstractNumId w:val="21"/>
  </w:num>
  <w:num w:numId="30" w16cid:durableId="399789562">
    <w:abstractNumId w:val="30"/>
  </w:num>
  <w:num w:numId="31" w16cid:durableId="472408284">
    <w:abstractNumId w:val="38"/>
  </w:num>
  <w:num w:numId="32" w16cid:durableId="2098091792">
    <w:abstractNumId w:val="28"/>
  </w:num>
  <w:num w:numId="33" w16cid:durableId="24791422">
    <w:abstractNumId w:val="10"/>
  </w:num>
  <w:num w:numId="34" w16cid:durableId="686172063">
    <w:abstractNumId w:val="20"/>
  </w:num>
  <w:num w:numId="35" w16cid:durableId="1875656681">
    <w:abstractNumId w:val="40"/>
  </w:num>
  <w:num w:numId="36" w16cid:durableId="1210335164">
    <w:abstractNumId w:val="12"/>
  </w:num>
  <w:num w:numId="37" w16cid:durableId="1660115468">
    <w:abstractNumId w:val="17"/>
  </w:num>
  <w:num w:numId="38" w16cid:durableId="1136728164">
    <w:abstractNumId w:val="31"/>
  </w:num>
  <w:num w:numId="39" w16cid:durableId="377047901">
    <w:abstractNumId w:val="23"/>
  </w:num>
  <w:num w:numId="40" w16cid:durableId="316761253">
    <w:abstractNumId w:val="14"/>
  </w:num>
  <w:num w:numId="41" w16cid:durableId="1974482127">
    <w:abstractNumId w:val="16"/>
  </w:num>
  <w:num w:numId="42" w16cid:durableId="1503860576">
    <w:abstractNumId w:val="8"/>
  </w:num>
  <w:num w:numId="43" w16cid:durableId="645207683">
    <w:abstractNumId w:val="13"/>
  </w:num>
  <w:num w:numId="44" w16cid:durableId="5849989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5B"/>
    <w:rsid w:val="000008FD"/>
    <w:rsid w:val="00003743"/>
    <w:rsid w:val="000047B4"/>
    <w:rsid w:val="00005712"/>
    <w:rsid w:val="00007537"/>
    <w:rsid w:val="00007FD8"/>
    <w:rsid w:val="000117F8"/>
    <w:rsid w:val="00011EAF"/>
    <w:rsid w:val="0001460F"/>
    <w:rsid w:val="00022629"/>
    <w:rsid w:val="00026139"/>
    <w:rsid w:val="00027601"/>
    <w:rsid w:val="00033321"/>
    <w:rsid w:val="000338E5"/>
    <w:rsid w:val="00033ECC"/>
    <w:rsid w:val="0003422F"/>
    <w:rsid w:val="00035230"/>
    <w:rsid w:val="00035B16"/>
    <w:rsid w:val="000464CD"/>
    <w:rsid w:val="00046FF0"/>
    <w:rsid w:val="00050176"/>
    <w:rsid w:val="00050342"/>
    <w:rsid w:val="000510DE"/>
    <w:rsid w:val="00056225"/>
    <w:rsid w:val="00067456"/>
    <w:rsid w:val="00071506"/>
    <w:rsid w:val="0007154F"/>
    <w:rsid w:val="00073986"/>
    <w:rsid w:val="0007567F"/>
    <w:rsid w:val="00081AB1"/>
    <w:rsid w:val="00090316"/>
    <w:rsid w:val="0009247D"/>
    <w:rsid w:val="00093981"/>
    <w:rsid w:val="000A38A4"/>
    <w:rsid w:val="000A5027"/>
    <w:rsid w:val="000B067A"/>
    <w:rsid w:val="000B1540"/>
    <w:rsid w:val="000B1E53"/>
    <w:rsid w:val="000B33FD"/>
    <w:rsid w:val="000B4ABA"/>
    <w:rsid w:val="000B706E"/>
    <w:rsid w:val="000C4B16"/>
    <w:rsid w:val="000C50C3"/>
    <w:rsid w:val="000C5E14"/>
    <w:rsid w:val="000D21F6"/>
    <w:rsid w:val="000D4500"/>
    <w:rsid w:val="000D7AEA"/>
    <w:rsid w:val="000E06A4"/>
    <w:rsid w:val="000E2C66"/>
    <w:rsid w:val="000E7358"/>
    <w:rsid w:val="000F0D34"/>
    <w:rsid w:val="000F123C"/>
    <w:rsid w:val="000F2FED"/>
    <w:rsid w:val="0010616D"/>
    <w:rsid w:val="00110478"/>
    <w:rsid w:val="0011711B"/>
    <w:rsid w:val="00117F8A"/>
    <w:rsid w:val="00121B9B"/>
    <w:rsid w:val="00122ADC"/>
    <w:rsid w:val="00122D27"/>
    <w:rsid w:val="00124FEC"/>
    <w:rsid w:val="001278DE"/>
    <w:rsid w:val="00130F59"/>
    <w:rsid w:val="00133EC0"/>
    <w:rsid w:val="00141CE5"/>
    <w:rsid w:val="00144908"/>
    <w:rsid w:val="001571C7"/>
    <w:rsid w:val="00161094"/>
    <w:rsid w:val="001726C8"/>
    <w:rsid w:val="0017665C"/>
    <w:rsid w:val="00177AD2"/>
    <w:rsid w:val="001815A8"/>
    <w:rsid w:val="001840FA"/>
    <w:rsid w:val="00190079"/>
    <w:rsid w:val="0019622E"/>
    <w:rsid w:val="001966A7"/>
    <w:rsid w:val="001A4627"/>
    <w:rsid w:val="001A4979"/>
    <w:rsid w:val="001B15D3"/>
    <w:rsid w:val="001B3443"/>
    <w:rsid w:val="001B3D61"/>
    <w:rsid w:val="001C0326"/>
    <w:rsid w:val="001C192F"/>
    <w:rsid w:val="001C3C42"/>
    <w:rsid w:val="001C5850"/>
    <w:rsid w:val="001D545A"/>
    <w:rsid w:val="001D7869"/>
    <w:rsid w:val="001E2E7C"/>
    <w:rsid w:val="001F17EA"/>
    <w:rsid w:val="001F191D"/>
    <w:rsid w:val="001F2537"/>
    <w:rsid w:val="001F6280"/>
    <w:rsid w:val="00202391"/>
    <w:rsid w:val="002026CD"/>
    <w:rsid w:val="002033FC"/>
    <w:rsid w:val="002044BB"/>
    <w:rsid w:val="00205541"/>
    <w:rsid w:val="00210B09"/>
    <w:rsid w:val="00210C9E"/>
    <w:rsid w:val="00211840"/>
    <w:rsid w:val="0021449E"/>
    <w:rsid w:val="00217A68"/>
    <w:rsid w:val="00220495"/>
    <w:rsid w:val="00220CD9"/>
    <w:rsid w:val="00220E5F"/>
    <w:rsid w:val="002212B5"/>
    <w:rsid w:val="00226668"/>
    <w:rsid w:val="00233809"/>
    <w:rsid w:val="00236D44"/>
    <w:rsid w:val="00240046"/>
    <w:rsid w:val="00240F0E"/>
    <w:rsid w:val="0024797F"/>
    <w:rsid w:val="0025119E"/>
    <w:rsid w:val="00251269"/>
    <w:rsid w:val="002535C0"/>
    <w:rsid w:val="002579FE"/>
    <w:rsid w:val="0026311C"/>
    <w:rsid w:val="002641E4"/>
    <w:rsid w:val="0026668C"/>
    <w:rsid w:val="00266AC1"/>
    <w:rsid w:val="002701E3"/>
    <w:rsid w:val="0027178C"/>
    <w:rsid w:val="002719FA"/>
    <w:rsid w:val="00272668"/>
    <w:rsid w:val="0027330B"/>
    <w:rsid w:val="0027745D"/>
    <w:rsid w:val="002803AD"/>
    <w:rsid w:val="00282052"/>
    <w:rsid w:val="0028519E"/>
    <w:rsid w:val="002856A5"/>
    <w:rsid w:val="002872ED"/>
    <w:rsid w:val="002905C2"/>
    <w:rsid w:val="00295AF2"/>
    <w:rsid w:val="00295C91"/>
    <w:rsid w:val="00297151"/>
    <w:rsid w:val="002978AC"/>
    <w:rsid w:val="002A08E4"/>
    <w:rsid w:val="002B20E6"/>
    <w:rsid w:val="002B42A3"/>
    <w:rsid w:val="002C0734"/>
    <w:rsid w:val="002C0CDD"/>
    <w:rsid w:val="002C2938"/>
    <w:rsid w:val="002C38C4"/>
    <w:rsid w:val="002C718A"/>
    <w:rsid w:val="002D6ED6"/>
    <w:rsid w:val="002E1A1D"/>
    <w:rsid w:val="002E4081"/>
    <w:rsid w:val="002E5B78"/>
    <w:rsid w:val="002E6899"/>
    <w:rsid w:val="002F3AE3"/>
    <w:rsid w:val="002F3E5B"/>
    <w:rsid w:val="002F76FF"/>
    <w:rsid w:val="003042EF"/>
    <w:rsid w:val="0030464B"/>
    <w:rsid w:val="00305C79"/>
    <w:rsid w:val="0030786C"/>
    <w:rsid w:val="00311491"/>
    <w:rsid w:val="003144BA"/>
    <w:rsid w:val="0031493C"/>
    <w:rsid w:val="00321D8C"/>
    <w:rsid w:val="003221F3"/>
    <w:rsid w:val="0032269D"/>
    <w:rsid w:val="003233DE"/>
    <w:rsid w:val="0032466B"/>
    <w:rsid w:val="003330EB"/>
    <w:rsid w:val="00337D35"/>
    <w:rsid w:val="003415FD"/>
    <w:rsid w:val="003429F0"/>
    <w:rsid w:val="00345A82"/>
    <w:rsid w:val="003507D4"/>
    <w:rsid w:val="0035097A"/>
    <w:rsid w:val="003540A4"/>
    <w:rsid w:val="003561AB"/>
    <w:rsid w:val="00357BCC"/>
    <w:rsid w:val="00360E4E"/>
    <w:rsid w:val="00361199"/>
    <w:rsid w:val="00362963"/>
    <w:rsid w:val="00362BF0"/>
    <w:rsid w:val="00370AAA"/>
    <w:rsid w:val="00373763"/>
    <w:rsid w:val="00375F77"/>
    <w:rsid w:val="0037719D"/>
    <w:rsid w:val="0038090D"/>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05B3"/>
    <w:rsid w:val="003B213A"/>
    <w:rsid w:val="003B43AD"/>
    <w:rsid w:val="003B5F95"/>
    <w:rsid w:val="003C0FEC"/>
    <w:rsid w:val="003C2AC8"/>
    <w:rsid w:val="003D033A"/>
    <w:rsid w:val="003D10CC"/>
    <w:rsid w:val="003D17F9"/>
    <w:rsid w:val="003D2D88"/>
    <w:rsid w:val="003D41EA"/>
    <w:rsid w:val="003D4850"/>
    <w:rsid w:val="003D535A"/>
    <w:rsid w:val="003E5265"/>
    <w:rsid w:val="003F0955"/>
    <w:rsid w:val="003F5F4D"/>
    <w:rsid w:val="003F646F"/>
    <w:rsid w:val="00400F00"/>
    <w:rsid w:val="00402369"/>
    <w:rsid w:val="0040304B"/>
    <w:rsid w:val="00404F8B"/>
    <w:rsid w:val="0040514E"/>
    <w:rsid w:val="00405256"/>
    <w:rsid w:val="00410031"/>
    <w:rsid w:val="004126EB"/>
    <w:rsid w:val="00415C81"/>
    <w:rsid w:val="004206A1"/>
    <w:rsid w:val="00421F9C"/>
    <w:rsid w:val="00425B5C"/>
    <w:rsid w:val="00432378"/>
    <w:rsid w:val="00440D65"/>
    <w:rsid w:val="004435E6"/>
    <w:rsid w:val="00447E31"/>
    <w:rsid w:val="00453923"/>
    <w:rsid w:val="00454B9B"/>
    <w:rsid w:val="00455A06"/>
    <w:rsid w:val="00455B62"/>
    <w:rsid w:val="00457858"/>
    <w:rsid w:val="00460B0B"/>
    <w:rsid w:val="00461023"/>
    <w:rsid w:val="00462FAC"/>
    <w:rsid w:val="00464631"/>
    <w:rsid w:val="00464B79"/>
    <w:rsid w:val="004679F8"/>
    <w:rsid w:val="00467BBF"/>
    <w:rsid w:val="00484059"/>
    <w:rsid w:val="0048593C"/>
    <w:rsid w:val="004867E2"/>
    <w:rsid w:val="004929A9"/>
    <w:rsid w:val="004A78D9"/>
    <w:rsid w:val="004B4EA9"/>
    <w:rsid w:val="004B5CB4"/>
    <w:rsid w:val="004C3E0D"/>
    <w:rsid w:val="004C6BCF"/>
    <w:rsid w:val="004D58BF"/>
    <w:rsid w:val="004E0A09"/>
    <w:rsid w:val="004E10CC"/>
    <w:rsid w:val="004E4335"/>
    <w:rsid w:val="004E52BE"/>
    <w:rsid w:val="004F13EE"/>
    <w:rsid w:val="004F2022"/>
    <w:rsid w:val="004F7C05"/>
    <w:rsid w:val="005001D7"/>
    <w:rsid w:val="00501C94"/>
    <w:rsid w:val="00503584"/>
    <w:rsid w:val="00506432"/>
    <w:rsid w:val="0051414E"/>
    <w:rsid w:val="0052051D"/>
    <w:rsid w:val="00530EE6"/>
    <w:rsid w:val="00535FDF"/>
    <w:rsid w:val="00537995"/>
    <w:rsid w:val="00537BB8"/>
    <w:rsid w:val="00543C85"/>
    <w:rsid w:val="00545EE6"/>
    <w:rsid w:val="00551441"/>
    <w:rsid w:val="005550E7"/>
    <w:rsid w:val="005564FB"/>
    <w:rsid w:val="005572C7"/>
    <w:rsid w:val="005650ED"/>
    <w:rsid w:val="005756AA"/>
    <w:rsid w:val="00575754"/>
    <w:rsid w:val="00581FBA"/>
    <w:rsid w:val="00584589"/>
    <w:rsid w:val="00591E20"/>
    <w:rsid w:val="00593119"/>
    <w:rsid w:val="00595120"/>
    <w:rsid w:val="00595408"/>
    <w:rsid w:val="00595E84"/>
    <w:rsid w:val="0059652B"/>
    <w:rsid w:val="00597F94"/>
    <w:rsid w:val="005A0C59"/>
    <w:rsid w:val="005A20A4"/>
    <w:rsid w:val="005A2370"/>
    <w:rsid w:val="005A48EB"/>
    <w:rsid w:val="005A6CFB"/>
    <w:rsid w:val="005B0C46"/>
    <w:rsid w:val="005C5AEB"/>
    <w:rsid w:val="005C79E2"/>
    <w:rsid w:val="005D66AF"/>
    <w:rsid w:val="005D75EA"/>
    <w:rsid w:val="005E0A3F"/>
    <w:rsid w:val="005E1AB9"/>
    <w:rsid w:val="005E6883"/>
    <w:rsid w:val="005E772F"/>
    <w:rsid w:val="005F4ECA"/>
    <w:rsid w:val="0060279F"/>
    <w:rsid w:val="00603086"/>
    <w:rsid w:val="006041BE"/>
    <w:rsid w:val="006043C7"/>
    <w:rsid w:val="00611CFB"/>
    <w:rsid w:val="00624B52"/>
    <w:rsid w:val="00630794"/>
    <w:rsid w:val="00631DF4"/>
    <w:rsid w:val="00634175"/>
    <w:rsid w:val="006408AC"/>
    <w:rsid w:val="006511B6"/>
    <w:rsid w:val="00657FF8"/>
    <w:rsid w:val="00670D99"/>
    <w:rsid w:val="00670E2B"/>
    <w:rsid w:val="006734BB"/>
    <w:rsid w:val="0067697A"/>
    <w:rsid w:val="006777AC"/>
    <w:rsid w:val="006821EB"/>
    <w:rsid w:val="00687359"/>
    <w:rsid w:val="00693D7F"/>
    <w:rsid w:val="006A000F"/>
    <w:rsid w:val="006B2286"/>
    <w:rsid w:val="006B56BB"/>
    <w:rsid w:val="006C77A8"/>
    <w:rsid w:val="006C78B4"/>
    <w:rsid w:val="006D4098"/>
    <w:rsid w:val="006D7681"/>
    <w:rsid w:val="006D7B2E"/>
    <w:rsid w:val="006E02EA"/>
    <w:rsid w:val="006E0968"/>
    <w:rsid w:val="006E2AF6"/>
    <w:rsid w:val="006F04BC"/>
    <w:rsid w:val="00701275"/>
    <w:rsid w:val="007078D9"/>
    <w:rsid w:val="00707F56"/>
    <w:rsid w:val="00712CDA"/>
    <w:rsid w:val="00713558"/>
    <w:rsid w:val="00720D08"/>
    <w:rsid w:val="007263B9"/>
    <w:rsid w:val="007334F8"/>
    <w:rsid w:val="007339CD"/>
    <w:rsid w:val="007359D8"/>
    <w:rsid w:val="007362D4"/>
    <w:rsid w:val="00752298"/>
    <w:rsid w:val="007622D7"/>
    <w:rsid w:val="0076672A"/>
    <w:rsid w:val="00773B66"/>
    <w:rsid w:val="00775B82"/>
    <w:rsid w:val="00775E45"/>
    <w:rsid w:val="00776E74"/>
    <w:rsid w:val="00785169"/>
    <w:rsid w:val="007954AB"/>
    <w:rsid w:val="007A05DF"/>
    <w:rsid w:val="007A14C5"/>
    <w:rsid w:val="007A3404"/>
    <w:rsid w:val="007A4A10"/>
    <w:rsid w:val="007B1760"/>
    <w:rsid w:val="007C1FDC"/>
    <w:rsid w:val="007C6D9C"/>
    <w:rsid w:val="007C7DDB"/>
    <w:rsid w:val="007D2CC7"/>
    <w:rsid w:val="007D673D"/>
    <w:rsid w:val="007E0744"/>
    <w:rsid w:val="007E4D09"/>
    <w:rsid w:val="007F2220"/>
    <w:rsid w:val="007F4B3E"/>
    <w:rsid w:val="00806C92"/>
    <w:rsid w:val="008127AF"/>
    <w:rsid w:val="00812B46"/>
    <w:rsid w:val="00815700"/>
    <w:rsid w:val="008264EB"/>
    <w:rsid w:val="00826B8F"/>
    <w:rsid w:val="00831E8A"/>
    <w:rsid w:val="00835C76"/>
    <w:rsid w:val="00836846"/>
    <w:rsid w:val="008376E2"/>
    <w:rsid w:val="00840B1A"/>
    <w:rsid w:val="00843049"/>
    <w:rsid w:val="0085209B"/>
    <w:rsid w:val="00856B66"/>
    <w:rsid w:val="008601AC"/>
    <w:rsid w:val="00861A5F"/>
    <w:rsid w:val="0086254B"/>
    <w:rsid w:val="0086418D"/>
    <w:rsid w:val="008644AD"/>
    <w:rsid w:val="00865735"/>
    <w:rsid w:val="00865DDB"/>
    <w:rsid w:val="00867538"/>
    <w:rsid w:val="008720E1"/>
    <w:rsid w:val="00873D90"/>
    <w:rsid w:val="00873FC8"/>
    <w:rsid w:val="00884C63"/>
    <w:rsid w:val="00885908"/>
    <w:rsid w:val="008864B7"/>
    <w:rsid w:val="008952B1"/>
    <w:rsid w:val="0089677E"/>
    <w:rsid w:val="008A7438"/>
    <w:rsid w:val="008B1334"/>
    <w:rsid w:val="008B25C7"/>
    <w:rsid w:val="008B3AEF"/>
    <w:rsid w:val="008B712F"/>
    <w:rsid w:val="008C0278"/>
    <w:rsid w:val="008C24E9"/>
    <w:rsid w:val="008C2CAA"/>
    <w:rsid w:val="008C5DCC"/>
    <w:rsid w:val="008D0533"/>
    <w:rsid w:val="008D42CB"/>
    <w:rsid w:val="008D48C9"/>
    <w:rsid w:val="008D6381"/>
    <w:rsid w:val="008D6B57"/>
    <w:rsid w:val="008E0C77"/>
    <w:rsid w:val="008E625F"/>
    <w:rsid w:val="008F264D"/>
    <w:rsid w:val="009040E9"/>
    <w:rsid w:val="00905C36"/>
    <w:rsid w:val="009074E1"/>
    <w:rsid w:val="009112F7"/>
    <w:rsid w:val="00911D1E"/>
    <w:rsid w:val="009122AF"/>
    <w:rsid w:val="00912D54"/>
    <w:rsid w:val="0091389F"/>
    <w:rsid w:val="009169CA"/>
    <w:rsid w:val="009208F7"/>
    <w:rsid w:val="00921649"/>
    <w:rsid w:val="00922517"/>
    <w:rsid w:val="00922722"/>
    <w:rsid w:val="009261E6"/>
    <w:rsid w:val="009268E1"/>
    <w:rsid w:val="009344DE"/>
    <w:rsid w:val="00945BF3"/>
    <w:rsid w:val="00945E7F"/>
    <w:rsid w:val="009557C1"/>
    <w:rsid w:val="00957526"/>
    <w:rsid w:val="00960D6E"/>
    <w:rsid w:val="00974B59"/>
    <w:rsid w:val="00975B3A"/>
    <w:rsid w:val="0098340B"/>
    <w:rsid w:val="00985151"/>
    <w:rsid w:val="009853D9"/>
    <w:rsid w:val="00986830"/>
    <w:rsid w:val="009924C3"/>
    <w:rsid w:val="00993102"/>
    <w:rsid w:val="00994536"/>
    <w:rsid w:val="00997F9F"/>
    <w:rsid w:val="009A285C"/>
    <w:rsid w:val="009A3698"/>
    <w:rsid w:val="009B1570"/>
    <w:rsid w:val="009C6F10"/>
    <w:rsid w:val="009C7F4F"/>
    <w:rsid w:val="009D148F"/>
    <w:rsid w:val="009D3D70"/>
    <w:rsid w:val="009D6AB9"/>
    <w:rsid w:val="009E6F7E"/>
    <w:rsid w:val="009E7A57"/>
    <w:rsid w:val="009F4803"/>
    <w:rsid w:val="009F4F6A"/>
    <w:rsid w:val="009F5CB6"/>
    <w:rsid w:val="009F7BFD"/>
    <w:rsid w:val="00A04BE5"/>
    <w:rsid w:val="00A12C2D"/>
    <w:rsid w:val="00A13EB5"/>
    <w:rsid w:val="00A16E36"/>
    <w:rsid w:val="00A24961"/>
    <w:rsid w:val="00A24B10"/>
    <w:rsid w:val="00A25EE3"/>
    <w:rsid w:val="00A277EF"/>
    <w:rsid w:val="00A30E9B"/>
    <w:rsid w:val="00A32CB6"/>
    <w:rsid w:val="00A34A48"/>
    <w:rsid w:val="00A367C4"/>
    <w:rsid w:val="00A4512D"/>
    <w:rsid w:val="00A45296"/>
    <w:rsid w:val="00A473C8"/>
    <w:rsid w:val="00A50244"/>
    <w:rsid w:val="00A627D7"/>
    <w:rsid w:val="00A656C7"/>
    <w:rsid w:val="00A705AF"/>
    <w:rsid w:val="00A71F59"/>
    <w:rsid w:val="00A72454"/>
    <w:rsid w:val="00A73D9D"/>
    <w:rsid w:val="00A77696"/>
    <w:rsid w:val="00A80557"/>
    <w:rsid w:val="00A81D33"/>
    <w:rsid w:val="00A8341C"/>
    <w:rsid w:val="00A91442"/>
    <w:rsid w:val="00A930AE"/>
    <w:rsid w:val="00A940D7"/>
    <w:rsid w:val="00A9567F"/>
    <w:rsid w:val="00AA1A95"/>
    <w:rsid w:val="00AA260F"/>
    <w:rsid w:val="00AB1EE7"/>
    <w:rsid w:val="00AB33D7"/>
    <w:rsid w:val="00AB4B37"/>
    <w:rsid w:val="00AB5762"/>
    <w:rsid w:val="00AC2379"/>
    <w:rsid w:val="00AC2679"/>
    <w:rsid w:val="00AC4BE4"/>
    <w:rsid w:val="00AD05E6"/>
    <w:rsid w:val="00AD0D3F"/>
    <w:rsid w:val="00AE1D7D"/>
    <w:rsid w:val="00AE2A8B"/>
    <w:rsid w:val="00AE3F64"/>
    <w:rsid w:val="00AF7386"/>
    <w:rsid w:val="00AF7934"/>
    <w:rsid w:val="00B00B81"/>
    <w:rsid w:val="00B04580"/>
    <w:rsid w:val="00B04B09"/>
    <w:rsid w:val="00B16A51"/>
    <w:rsid w:val="00B22188"/>
    <w:rsid w:val="00B253DE"/>
    <w:rsid w:val="00B32222"/>
    <w:rsid w:val="00B3618D"/>
    <w:rsid w:val="00B36233"/>
    <w:rsid w:val="00B42851"/>
    <w:rsid w:val="00B45AC7"/>
    <w:rsid w:val="00B4785B"/>
    <w:rsid w:val="00B5372F"/>
    <w:rsid w:val="00B61129"/>
    <w:rsid w:val="00B67E7F"/>
    <w:rsid w:val="00B821CD"/>
    <w:rsid w:val="00B839B2"/>
    <w:rsid w:val="00B94252"/>
    <w:rsid w:val="00B9715A"/>
    <w:rsid w:val="00BA14BE"/>
    <w:rsid w:val="00BA2732"/>
    <w:rsid w:val="00BA293D"/>
    <w:rsid w:val="00BA49BC"/>
    <w:rsid w:val="00BA56B7"/>
    <w:rsid w:val="00BA7A1E"/>
    <w:rsid w:val="00BB047C"/>
    <w:rsid w:val="00BB11FE"/>
    <w:rsid w:val="00BB2E65"/>
    <w:rsid w:val="00BB2F6C"/>
    <w:rsid w:val="00BB3875"/>
    <w:rsid w:val="00BB3F6E"/>
    <w:rsid w:val="00BB5860"/>
    <w:rsid w:val="00BB6AAD"/>
    <w:rsid w:val="00BB7681"/>
    <w:rsid w:val="00BC4A19"/>
    <w:rsid w:val="00BC4E6D"/>
    <w:rsid w:val="00BD0617"/>
    <w:rsid w:val="00BD1C9C"/>
    <w:rsid w:val="00BD2E9B"/>
    <w:rsid w:val="00BD479F"/>
    <w:rsid w:val="00BD6A2D"/>
    <w:rsid w:val="00BD7FB2"/>
    <w:rsid w:val="00BE3F61"/>
    <w:rsid w:val="00BE5F85"/>
    <w:rsid w:val="00BF2C23"/>
    <w:rsid w:val="00C00930"/>
    <w:rsid w:val="00C03098"/>
    <w:rsid w:val="00C041EE"/>
    <w:rsid w:val="00C05789"/>
    <w:rsid w:val="00C060AD"/>
    <w:rsid w:val="00C113BF"/>
    <w:rsid w:val="00C178C3"/>
    <w:rsid w:val="00C207A5"/>
    <w:rsid w:val="00C2176E"/>
    <w:rsid w:val="00C23430"/>
    <w:rsid w:val="00C234EE"/>
    <w:rsid w:val="00C238E1"/>
    <w:rsid w:val="00C27D67"/>
    <w:rsid w:val="00C35EB0"/>
    <w:rsid w:val="00C42049"/>
    <w:rsid w:val="00C4631F"/>
    <w:rsid w:val="00C47CDE"/>
    <w:rsid w:val="00C50E16"/>
    <w:rsid w:val="00C52E1D"/>
    <w:rsid w:val="00C55258"/>
    <w:rsid w:val="00C67C2C"/>
    <w:rsid w:val="00C82E8C"/>
    <w:rsid w:val="00C82EEB"/>
    <w:rsid w:val="00C9188F"/>
    <w:rsid w:val="00C971DC"/>
    <w:rsid w:val="00CA16B7"/>
    <w:rsid w:val="00CA62AE"/>
    <w:rsid w:val="00CB0012"/>
    <w:rsid w:val="00CB5B1A"/>
    <w:rsid w:val="00CC1CDA"/>
    <w:rsid w:val="00CC220B"/>
    <w:rsid w:val="00CC5C43"/>
    <w:rsid w:val="00CD02AE"/>
    <w:rsid w:val="00CD2A4F"/>
    <w:rsid w:val="00CE03CA"/>
    <w:rsid w:val="00CE1476"/>
    <w:rsid w:val="00CE22F1"/>
    <w:rsid w:val="00CE50F2"/>
    <w:rsid w:val="00CE60AF"/>
    <w:rsid w:val="00CE6502"/>
    <w:rsid w:val="00CF7D3C"/>
    <w:rsid w:val="00D01F09"/>
    <w:rsid w:val="00D147EB"/>
    <w:rsid w:val="00D22866"/>
    <w:rsid w:val="00D33E05"/>
    <w:rsid w:val="00D34667"/>
    <w:rsid w:val="00D401E1"/>
    <w:rsid w:val="00D408B4"/>
    <w:rsid w:val="00D524C8"/>
    <w:rsid w:val="00D55885"/>
    <w:rsid w:val="00D55FC7"/>
    <w:rsid w:val="00D56E37"/>
    <w:rsid w:val="00D609CA"/>
    <w:rsid w:val="00D6241F"/>
    <w:rsid w:val="00D70E24"/>
    <w:rsid w:val="00D72B61"/>
    <w:rsid w:val="00D90331"/>
    <w:rsid w:val="00DA3D1D"/>
    <w:rsid w:val="00DB0149"/>
    <w:rsid w:val="00DB3E71"/>
    <w:rsid w:val="00DB5CEF"/>
    <w:rsid w:val="00DB61CC"/>
    <w:rsid w:val="00DB6286"/>
    <w:rsid w:val="00DB645F"/>
    <w:rsid w:val="00DB76E9"/>
    <w:rsid w:val="00DC0A67"/>
    <w:rsid w:val="00DC1D5E"/>
    <w:rsid w:val="00DC5220"/>
    <w:rsid w:val="00DD2061"/>
    <w:rsid w:val="00DD7DAB"/>
    <w:rsid w:val="00DE3355"/>
    <w:rsid w:val="00DF0C60"/>
    <w:rsid w:val="00DF486F"/>
    <w:rsid w:val="00DF4D77"/>
    <w:rsid w:val="00DF5B5B"/>
    <w:rsid w:val="00DF7619"/>
    <w:rsid w:val="00DF7652"/>
    <w:rsid w:val="00E004D7"/>
    <w:rsid w:val="00E00BD2"/>
    <w:rsid w:val="00E015D7"/>
    <w:rsid w:val="00E042D8"/>
    <w:rsid w:val="00E05362"/>
    <w:rsid w:val="00E07EE7"/>
    <w:rsid w:val="00E1103B"/>
    <w:rsid w:val="00E17B44"/>
    <w:rsid w:val="00E20F27"/>
    <w:rsid w:val="00E22443"/>
    <w:rsid w:val="00E22573"/>
    <w:rsid w:val="00E2324D"/>
    <w:rsid w:val="00E25773"/>
    <w:rsid w:val="00E27FEA"/>
    <w:rsid w:val="00E4086F"/>
    <w:rsid w:val="00E43B3C"/>
    <w:rsid w:val="00E50188"/>
    <w:rsid w:val="00E50BB3"/>
    <w:rsid w:val="00E515CB"/>
    <w:rsid w:val="00E52260"/>
    <w:rsid w:val="00E61673"/>
    <w:rsid w:val="00E639B6"/>
    <w:rsid w:val="00E6434B"/>
    <w:rsid w:val="00E6463D"/>
    <w:rsid w:val="00E710F8"/>
    <w:rsid w:val="00E7269B"/>
    <w:rsid w:val="00E72E9B"/>
    <w:rsid w:val="00E76ADC"/>
    <w:rsid w:val="00E803FD"/>
    <w:rsid w:val="00E84735"/>
    <w:rsid w:val="00E850C3"/>
    <w:rsid w:val="00E8557C"/>
    <w:rsid w:val="00E87609"/>
    <w:rsid w:val="00E87DF2"/>
    <w:rsid w:val="00E9462E"/>
    <w:rsid w:val="00E97021"/>
    <w:rsid w:val="00EA06C3"/>
    <w:rsid w:val="00EA470E"/>
    <w:rsid w:val="00EA47A7"/>
    <w:rsid w:val="00EA4C1E"/>
    <w:rsid w:val="00EA57EB"/>
    <w:rsid w:val="00EB3226"/>
    <w:rsid w:val="00EB54A0"/>
    <w:rsid w:val="00EB5698"/>
    <w:rsid w:val="00EB6E66"/>
    <w:rsid w:val="00EB712C"/>
    <w:rsid w:val="00EC213A"/>
    <w:rsid w:val="00EC7744"/>
    <w:rsid w:val="00EC7E80"/>
    <w:rsid w:val="00ED0DAD"/>
    <w:rsid w:val="00ED0F46"/>
    <w:rsid w:val="00ED2373"/>
    <w:rsid w:val="00ED6CB7"/>
    <w:rsid w:val="00EE2288"/>
    <w:rsid w:val="00EE3E8A"/>
    <w:rsid w:val="00EE6F5B"/>
    <w:rsid w:val="00EE7C03"/>
    <w:rsid w:val="00EF0003"/>
    <w:rsid w:val="00EF2C3A"/>
    <w:rsid w:val="00EF5145"/>
    <w:rsid w:val="00EF58B8"/>
    <w:rsid w:val="00EF6ECA"/>
    <w:rsid w:val="00F024E1"/>
    <w:rsid w:val="00F06C10"/>
    <w:rsid w:val="00F0763E"/>
    <w:rsid w:val="00F1096F"/>
    <w:rsid w:val="00F12589"/>
    <w:rsid w:val="00F12595"/>
    <w:rsid w:val="00F134D9"/>
    <w:rsid w:val="00F1403D"/>
    <w:rsid w:val="00F1463F"/>
    <w:rsid w:val="00F170E6"/>
    <w:rsid w:val="00F21302"/>
    <w:rsid w:val="00F321DE"/>
    <w:rsid w:val="00F33777"/>
    <w:rsid w:val="00F36440"/>
    <w:rsid w:val="00F404BD"/>
    <w:rsid w:val="00F40648"/>
    <w:rsid w:val="00F4092F"/>
    <w:rsid w:val="00F44500"/>
    <w:rsid w:val="00F45914"/>
    <w:rsid w:val="00F47DA2"/>
    <w:rsid w:val="00F519FC"/>
    <w:rsid w:val="00F5317B"/>
    <w:rsid w:val="00F539BB"/>
    <w:rsid w:val="00F573FA"/>
    <w:rsid w:val="00F6239D"/>
    <w:rsid w:val="00F708AC"/>
    <w:rsid w:val="00F715D2"/>
    <w:rsid w:val="00F7274F"/>
    <w:rsid w:val="00F72EB5"/>
    <w:rsid w:val="00F735D2"/>
    <w:rsid w:val="00F74E84"/>
    <w:rsid w:val="00F76FA8"/>
    <w:rsid w:val="00F84640"/>
    <w:rsid w:val="00F93F08"/>
    <w:rsid w:val="00F94CED"/>
    <w:rsid w:val="00FA02BB"/>
    <w:rsid w:val="00FA2CEE"/>
    <w:rsid w:val="00FA318C"/>
    <w:rsid w:val="00FB4ADF"/>
    <w:rsid w:val="00FB6F92"/>
    <w:rsid w:val="00FC026E"/>
    <w:rsid w:val="00FC0D87"/>
    <w:rsid w:val="00FC5124"/>
    <w:rsid w:val="00FD16FA"/>
    <w:rsid w:val="00FD4731"/>
    <w:rsid w:val="00FD6768"/>
    <w:rsid w:val="00FF0AB0"/>
    <w:rsid w:val="00FF28AC"/>
    <w:rsid w:val="00FF7913"/>
    <w:rsid w:val="00FF7F6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BBE49D"/>
  <w15:docId w15:val="{E96C943D-ADE9-4352-8189-F1C5C2F2C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1414E"/>
    <w:pPr>
      <w:spacing w:before="120" w:after="120"/>
    </w:pPr>
    <w:rPr>
      <w:rFonts w:ascii="Arial" w:hAnsi="Arial"/>
      <w:sz w:val="21"/>
      <w:szCs w:val="24"/>
      <w:lang w:eastAsia="en-US"/>
    </w:rPr>
  </w:style>
  <w:style w:type="paragraph" w:styleId="Heading1">
    <w:name w:val="heading 1"/>
    <w:basedOn w:val="Normal"/>
    <w:next w:val="Normal"/>
    <w:qFormat/>
    <w:rsid w:val="0051414E"/>
    <w:pPr>
      <w:keepNext/>
      <w:outlineLvl w:val="0"/>
    </w:pPr>
    <w:rPr>
      <w:rFonts w:cs="Arial"/>
      <w:bCs/>
      <w:color w:val="3F4A75"/>
      <w:kern w:val="28"/>
      <w:sz w:val="36"/>
      <w:szCs w:val="36"/>
    </w:rPr>
  </w:style>
  <w:style w:type="paragraph" w:styleId="Heading2">
    <w:name w:val="heading 2"/>
    <w:next w:val="Paragraphtext"/>
    <w:link w:val="Heading2Char"/>
    <w:qFormat/>
    <w:rsid w:val="0051414E"/>
    <w:pPr>
      <w:keepNext/>
      <w:spacing w:before="120" w:after="120"/>
      <w:outlineLvl w:val="1"/>
    </w:pPr>
    <w:rPr>
      <w:rFonts w:ascii="Arial" w:hAnsi="Arial" w:cs="Arial"/>
      <w:bCs/>
      <w:iCs/>
      <w:color w:val="358189"/>
      <w:sz w:val="32"/>
      <w:szCs w:val="28"/>
      <w:lang w:eastAsia="en-US"/>
    </w:rPr>
  </w:style>
  <w:style w:type="paragraph" w:styleId="Heading3">
    <w:name w:val="heading 3"/>
    <w:next w:val="Normal"/>
    <w:qFormat/>
    <w:rsid w:val="00DF7652"/>
    <w:pPr>
      <w:keepNext/>
      <w:spacing w:before="180" w:after="60"/>
      <w:outlineLvl w:val="2"/>
    </w:pPr>
    <w:rPr>
      <w:rFonts w:ascii="Arial" w:hAnsi="Arial" w:cs="Arial"/>
      <w:bCs/>
      <w:color w:val="358189"/>
      <w:sz w:val="24"/>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after="60"/>
    </w:pPr>
    <w:rPr>
      <w:color w:val="000000" w:themeColor="text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1414E"/>
    <w:rPr>
      <w:rFonts w:eastAsiaTheme="majorEastAsia" w:cstheme="majorBidi"/>
      <w:color w:val="3F4A75"/>
      <w:kern w:val="28"/>
      <w:sz w:val="48"/>
      <w:szCs w:val="52"/>
    </w:rPr>
  </w:style>
  <w:style w:type="character" w:customStyle="1" w:styleId="TitleChar">
    <w:name w:val="Title Char"/>
    <w:basedOn w:val="DefaultParagraphFont"/>
    <w:link w:val="Title"/>
    <w:rsid w:val="0051414E"/>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51414E"/>
    <w:pPr>
      <w:numPr>
        <w:numId w:val="17"/>
      </w:numPr>
      <w:spacing w:before="60" w:after="60" w:line="276" w:lineRule="auto"/>
      <w:ind w:left="714" w:hanging="357"/>
    </w:pPr>
    <w:rPr>
      <w:color w:val="000000" w:themeColor="text1"/>
    </w:rPr>
  </w:style>
  <w:style w:type="paragraph" w:styleId="ListParagraph">
    <w:name w:val="List Paragraph"/>
    <w:basedOn w:val="Normal"/>
    <w:uiPriority w:val="34"/>
    <w:qFormat/>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uiPriority w:val="1"/>
    <w:unhideWhenUsed/>
    <w:qFormat/>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character" w:styleId="CommentReference">
    <w:name w:val="annotation reference"/>
    <w:basedOn w:val="DefaultParagraphFont"/>
    <w:semiHidden/>
    <w:unhideWhenUsed/>
    <w:rsid w:val="00994536"/>
    <w:rPr>
      <w:sz w:val="16"/>
      <w:szCs w:val="16"/>
    </w:rPr>
  </w:style>
  <w:style w:type="paragraph" w:styleId="CommentText">
    <w:name w:val="annotation text"/>
    <w:basedOn w:val="Normal"/>
    <w:link w:val="CommentTextChar"/>
    <w:unhideWhenUsed/>
    <w:rsid w:val="00994536"/>
    <w:rPr>
      <w:sz w:val="20"/>
      <w:szCs w:val="20"/>
    </w:rPr>
  </w:style>
  <w:style w:type="character" w:customStyle="1" w:styleId="CommentTextChar">
    <w:name w:val="Comment Text Char"/>
    <w:basedOn w:val="DefaultParagraphFont"/>
    <w:link w:val="CommentText"/>
    <w:rsid w:val="00994536"/>
    <w:rPr>
      <w:rFonts w:ascii="Arial" w:hAnsi="Arial"/>
      <w:lang w:eastAsia="en-US"/>
    </w:rPr>
  </w:style>
  <w:style w:type="paragraph" w:styleId="BalloonText">
    <w:name w:val="Balloon Text"/>
    <w:basedOn w:val="Normal"/>
    <w:link w:val="BalloonTextChar"/>
    <w:semiHidden/>
    <w:unhideWhenUsed/>
    <w:rsid w:val="00994536"/>
    <w:rPr>
      <w:rFonts w:ascii="Segoe UI" w:hAnsi="Segoe UI" w:cs="Segoe UI"/>
      <w:sz w:val="18"/>
      <w:szCs w:val="18"/>
    </w:rPr>
  </w:style>
  <w:style w:type="character" w:customStyle="1" w:styleId="BalloonTextChar">
    <w:name w:val="Balloon Text Char"/>
    <w:basedOn w:val="DefaultParagraphFont"/>
    <w:link w:val="BalloonText"/>
    <w:semiHidden/>
    <w:rsid w:val="00994536"/>
    <w:rPr>
      <w:rFonts w:ascii="Segoe UI" w:hAnsi="Segoe UI" w:cs="Segoe UI"/>
      <w:sz w:val="18"/>
      <w:szCs w:val="18"/>
      <w:lang w:eastAsia="en-US"/>
    </w:rPr>
  </w:style>
  <w:style w:type="paragraph" w:styleId="CommentSubject">
    <w:name w:val="annotation subject"/>
    <w:basedOn w:val="CommentText"/>
    <w:next w:val="CommentText"/>
    <w:link w:val="CommentSubjectChar"/>
    <w:semiHidden/>
    <w:unhideWhenUsed/>
    <w:rsid w:val="00994536"/>
    <w:rPr>
      <w:b/>
      <w:bCs/>
    </w:rPr>
  </w:style>
  <w:style w:type="character" w:customStyle="1" w:styleId="CommentSubjectChar">
    <w:name w:val="Comment Subject Char"/>
    <w:basedOn w:val="CommentTextChar"/>
    <w:link w:val="CommentSubject"/>
    <w:semiHidden/>
    <w:rsid w:val="00994536"/>
    <w:rPr>
      <w:rFonts w:ascii="Arial" w:hAnsi="Arial"/>
      <w:b/>
      <w:bCs/>
      <w:lang w:eastAsia="en-US"/>
    </w:rPr>
  </w:style>
  <w:style w:type="character" w:styleId="FollowedHyperlink">
    <w:name w:val="FollowedHyperlink"/>
    <w:basedOn w:val="DefaultParagraphFont"/>
    <w:semiHidden/>
    <w:unhideWhenUsed/>
    <w:rsid w:val="00E004D7"/>
    <w:rPr>
      <w:color w:val="800080" w:themeColor="followedHyperlink"/>
      <w:u w:val="single"/>
    </w:rPr>
  </w:style>
  <w:style w:type="character" w:styleId="UnresolvedMention">
    <w:name w:val="Unresolved Mention"/>
    <w:basedOn w:val="DefaultParagraphFont"/>
    <w:uiPriority w:val="99"/>
    <w:semiHidden/>
    <w:unhideWhenUsed/>
    <w:rsid w:val="00D55885"/>
    <w:rPr>
      <w:color w:val="605E5C"/>
      <w:shd w:val="clear" w:color="auto" w:fill="E1DFDD"/>
    </w:rPr>
  </w:style>
  <w:style w:type="character" w:customStyle="1" w:styleId="normaltextrun1">
    <w:name w:val="normaltextrun1"/>
    <w:basedOn w:val="DefaultParagraphFont"/>
    <w:rsid w:val="00035230"/>
  </w:style>
  <w:style w:type="character" w:styleId="FootnoteReference">
    <w:name w:val="footnote reference"/>
    <w:basedOn w:val="DefaultParagraphFont"/>
    <w:unhideWhenUsed/>
    <w:rsid w:val="00985151"/>
    <w:rPr>
      <w:vertAlign w:val="superscript"/>
    </w:rPr>
  </w:style>
  <w:style w:type="paragraph" w:styleId="NoSpacing">
    <w:name w:val="No Spacing"/>
    <w:uiPriority w:val="1"/>
    <w:rsid w:val="00985151"/>
    <w:rPr>
      <w:rFonts w:ascii="Arial" w:hAnsi="Arial"/>
      <w:sz w:val="21"/>
      <w:szCs w:val="24"/>
      <w:lang w:eastAsia="en-US"/>
    </w:rPr>
  </w:style>
  <w:style w:type="paragraph" w:styleId="Revision">
    <w:name w:val="Revision"/>
    <w:hidden/>
    <w:uiPriority w:val="99"/>
    <w:semiHidden/>
    <w:rsid w:val="008720E1"/>
    <w:rPr>
      <w:rFonts w:ascii="Arial" w:hAnsi="Arial"/>
      <w:sz w:val="21"/>
      <w:szCs w:val="24"/>
      <w:lang w:eastAsia="en-US"/>
    </w:rPr>
  </w:style>
  <w:style w:type="character" w:customStyle="1" w:styleId="Heading2Char">
    <w:name w:val="Heading 2 Char"/>
    <w:basedOn w:val="DefaultParagraphFont"/>
    <w:link w:val="Heading2"/>
    <w:rsid w:val="0051414E"/>
    <w:rPr>
      <w:rFonts w:ascii="Arial" w:hAnsi="Arial" w:cs="Arial"/>
      <w:bCs/>
      <w:iCs/>
      <w:color w:val="358189"/>
      <w:sz w:val="32"/>
      <w:szCs w:val="28"/>
      <w:lang w:eastAsia="en-US"/>
    </w:rPr>
  </w:style>
  <w:style w:type="paragraph" w:styleId="NormalWeb">
    <w:name w:val="Normal (Web)"/>
    <w:basedOn w:val="Normal"/>
    <w:uiPriority w:val="99"/>
    <w:unhideWhenUsed/>
    <w:rsid w:val="00D22866"/>
    <w:pPr>
      <w:spacing w:before="100" w:beforeAutospacing="1" w:after="100" w:afterAutospacing="1"/>
    </w:pPr>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94882">
      <w:bodyDiv w:val="1"/>
      <w:marLeft w:val="0"/>
      <w:marRight w:val="0"/>
      <w:marTop w:val="0"/>
      <w:marBottom w:val="0"/>
      <w:divBdr>
        <w:top w:val="none" w:sz="0" w:space="0" w:color="auto"/>
        <w:left w:val="none" w:sz="0" w:space="0" w:color="auto"/>
        <w:bottom w:val="none" w:sz="0" w:space="0" w:color="auto"/>
        <w:right w:val="none" w:sz="0" w:space="0" w:color="auto"/>
      </w:divBdr>
    </w:div>
    <w:div w:id="338625899">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64254719">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98306796">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799495988">
      <w:bodyDiv w:val="1"/>
      <w:marLeft w:val="0"/>
      <w:marRight w:val="0"/>
      <w:marTop w:val="0"/>
      <w:marBottom w:val="0"/>
      <w:divBdr>
        <w:top w:val="none" w:sz="0" w:space="0" w:color="auto"/>
        <w:left w:val="none" w:sz="0" w:space="0" w:color="auto"/>
        <w:bottom w:val="none" w:sz="0" w:space="0" w:color="auto"/>
        <w:right w:val="none" w:sz="0" w:space="0" w:color="auto"/>
      </w:divBdr>
    </w:div>
    <w:div w:id="214075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health.gov.au/resources/publications/life-saving-drugs-program-pompe-disease-reapplication" TargetMode="External"/><Relationship Id="rId3" Type="http://schemas.openxmlformats.org/officeDocument/2006/relationships/customXml" Target="../customXml/item3.xml"/><Relationship Id="rId21" Type="http://schemas.openxmlformats.org/officeDocument/2006/relationships/hyperlink" Target="mailto:evelyn.johnson@rch.org.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gov.au/resources/publications/life-saving-drugs-program-gaucher-disease-type-1-initial-application?language=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health.gov.au/initiatives-and-programs/life-saving-drugs-program" TargetMode="External"/><Relationship Id="rId20" Type="http://schemas.openxmlformats.org/officeDocument/2006/relationships/hyperlink" Target="mailto:hayley.iengo@mh.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LSDP@health.gov.au"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health.gov.au/resources/publications/lsdp-gaucher-patient-test-results-spreadshe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ga.gov.au" TargetMode="External"/><Relationship Id="rId22" Type="http://schemas.openxmlformats.org/officeDocument/2006/relationships/hyperlink" Target="https://health.gov.au/resources/publications/lsdp-pompe-reapplic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C2A819CB59D445BC542FC74A93BAF0" ma:contentTypeVersion="4" ma:contentTypeDescription="Create a new document." ma:contentTypeScope="" ma:versionID="935f65dd7768ec4741abd48bc4f3d966">
  <xsd:schema xmlns:xsd="http://www.w3.org/2001/XMLSchema" xmlns:xs="http://www.w3.org/2001/XMLSchema" xmlns:p="http://schemas.microsoft.com/office/2006/metadata/properties" xmlns:ns3="c3fed9b0-a7e4-489f-878e-693e98540b45" targetNamespace="http://schemas.microsoft.com/office/2006/metadata/properties" ma:root="true" ma:fieldsID="e3770b5c3adea412d89e73b151800b43" ns3:_="">
    <xsd:import namespace="c3fed9b0-a7e4-489f-878e-693e98540b4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fed9b0-a7e4-489f-878e-693e98540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DA2473-BA47-4DCD-BFC2-D3460A18F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fed9b0-a7e4-489f-878e-693e98540b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63B635-FB2E-4C69-9A82-5C52B94D6E31}">
  <ds:schemaRefs>
    <ds:schemaRef ds:uri="http://schemas.openxmlformats.org/officeDocument/2006/bibliography"/>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2071</Words>
  <Characters>11810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Life Saving Drugs Program – Gaucher disease (type 1) – Guidelines</vt:lpstr>
    </vt:vector>
  </TitlesOfParts>
  <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Saving Drugs Program – Gaucher disease (type 1) – Guidelines</dc:title>
  <dc:subject>Life Saving Drugs Program</dc:subject>
  <dc:creator>Australian Government Department of Health and Aged Care</dc:creator>
  <cp:keywords>Chronic conditions; Medicines; Life Saving Drugs Program</cp:keywords>
  <cp:lastModifiedBy>MASCHKE, Elvia</cp:lastModifiedBy>
  <cp:revision>2</cp:revision>
  <dcterms:created xsi:type="dcterms:W3CDTF">2024-09-13T04:52:00Z</dcterms:created>
  <dcterms:modified xsi:type="dcterms:W3CDTF">2024-09-13T04:52:00Z</dcterms:modified>
</cp:coreProperties>
</file>