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AECF" w14:textId="245F4CB6" w:rsidR="00D17D78" w:rsidRDefault="00D17D78" w:rsidP="00FA02BB">
      <w:pPr>
        <w:pStyle w:val="Heading1"/>
        <w:rPr>
          <w:rFonts w:eastAsiaTheme="majorEastAsia" w:cstheme="majorBidi"/>
          <w:bCs w:val="0"/>
          <w:sz w:val="52"/>
          <w:szCs w:val="52"/>
        </w:rPr>
      </w:pPr>
      <w:r w:rsidRPr="00D17D78">
        <w:rPr>
          <w:rFonts w:eastAsiaTheme="majorEastAsia" w:cstheme="majorBidi"/>
          <w:bCs w:val="0"/>
          <w:sz w:val="52"/>
          <w:szCs w:val="52"/>
        </w:rPr>
        <w:t xml:space="preserve">Innovative </w:t>
      </w:r>
      <w:r w:rsidR="00557580">
        <w:rPr>
          <w:rFonts w:eastAsiaTheme="majorEastAsia" w:cstheme="majorBidi"/>
          <w:bCs w:val="0"/>
          <w:sz w:val="52"/>
          <w:szCs w:val="52"/>
        </w:rPr>
        <w:t>M</w:t>
      </w:r>
      <w:r w:rsidRPr="00D17D78">
        <w:rPr>
          <w:rFonts w:eastAsiaTheme="majorEastAsia" w:cstheme="majorBidi"/>
          <w:bCs w:val="0"/>
          <w:sz w:val="52"/>
          <w:szCs w:val="52"/>
        </w:rPr>
        <w:t>odel</w:t>
      </w:r>
      <w:r w:rsidR="00557580">
        <w:rPr>
          <w:rFonts w:eastAsiaTheme="majorEastAsia" w:cstheme="majorBidi"/>
          <w:bCs w:val="0"/>
          <w:sz w:val="52"/>
          <w:szCs w:val="52"/>
        </w:rPr>
        <w:t>s</w:t>
      </w:r>
      <w:r w:rsidRPr="00D17D78">
        <w:rPr>
          <w:rFonts w:eastAsiaTheme="majorEastAsia" w:cstheme="majorBidi"/>
          <w:bCs w:val="0"/>
          <w:sz w:val="52"/>
          <w:szCs w:val="52"/>
        </w:rPr>
        <w:t xml:space="preserve"> of </w:t>
      </w:r>
      <w:r w:rsidR="00557580">
        <w:rPr>
          <w:rFonts w:eastAsiaTheme="majorEastAsia" w:cstheme="majorBidi"/>
          <w:bCs w:val="0"/>
          <w:sz w:val="52"/>
          <w:szCs w:val="52"/>
        </w:rPr>
        <w:t>C</w:t>
      </w:r>
      <w:r w:rsidRPr="00D17D78">
        <w:rPr>
          <w:rFonts w:eastAsiaTheme="majorEastAsia" w:cstheme="majorBidi"/>
          <w:bCs w:val="0"/>
          <w:sz w:val="52"/>
          <w:szCs w:val="52"/>
        </w:rPr>
        <w:t xml:space="preserve">are </w:t>
      </w:r>
      <w:r w:rsidR="00557580">
        <w:rPr>
          <w:rFonts w:eastAsiaTheme="majorEastAsia" w:cstheme="majorBidi"/>
          <w:bCs w:val="0"/>
          <w:sz w:val="52"/>
          <w:szCs w:val="52"/>
        </w:rPr>
        <w:t>P</w:t>
      </w:r>
      <w:r w:rsidRPr="00D17D78">
        <w:rPr>
          <w:rFonts w:eastAsiaTheme="majorEastAsia" w:cstheme="majorBidi"/>
          <w:bCs w:val="0"/>
          <w:sz w:val="52"/>
          <w:szCs w:val="52"/>
        </w:rPr>
        <w:t>rogram</w:t>
      </w:r>
    </w:p>
    <w:p w14:paraId="1E4A00A9" w14:textId="50B23275" w:rsidR="00FA02BB" w:rsidRPr="00FA521C" w:rsidRDefault="00FA02BB" w:rsidP="00FA521C">
      <w:pPr>
        <w:pStyle w:val="Heading2"/>
      </w:pPr>
      <w:r w:rsidRPr="00FA521C">
        <w:t>About th</w:t>
      </w:r>
      <w:r w:rsidR="00D17D78" w:rsidRPr="00FA521C">
        <w:t xml:space="preserve">e </w:t>
      </w:r>
      <w:r w:rsidR="00936FFA" w:rsidRPr="00FA521C">
        <w:t>P</w:t>
      </w:r>
      <w:r w:rsidR="00D17D78" w:rsidRPr="00FA521C">
        <w:t>rogram</w:t>
      </w:r>
    </w:p>
    <w:p w14:paraId="5B092E2D" w14:textId="6E677C6B" w:rsidR="00687756" w:rsidRDefault="00D17D78" w:rsidP="00FA521C">
      <w:r>
        <w:t>The Innovative Models of Care Program (IMOC) address</w:t>
      </w:r>
      <w:r w:rsidR="005C639E">
        <w:t>es</w:t>
      </w:r>
      <w:r>
        <w:t xml:space="preserve"> chronic workforce shortages and improve</w:t>
      </w:r>
      <w:r w:rsidR="00946B4F">
        <w:t>s</w:t>
      </w:r>
      <w:r>
        <w:t xml:space="preserve"> patient access in rural, </w:t>
      </w:r>
      <w:r w:rsidR="00F10AE6">
        <w:t>regional,</w:t>
      </w:r>
      <w:r>
        <w:t xml:space="preserve"> and remote locations.</w:t>
      </w:r>
      <w:r w:rsidR="009006B3">
        <w:t xml:space="preserve"> </w:t>
      </w:r>
    </w:p>
    <w:p w14:paraId="3E9DD983" w14:textId="3414F484" w:rsidR="00687756" w:rsidRDefault="00687756" w:rsidP="00FA521C">
      <w:r>
        <w:t xml:space="preserve">The </w:t>
      </w:r>
      <w:r w:rsidR="009006B3">
        <w:t>IMOC</w:t>
      </w:r>
      <w:r>
        <w:t xml:space="preserve"> </w:t>
      </w:r>
      <w:r w:rsidR="00936FFA">
        <w:t>P</w:t>
      </w:r>
      <w:r>
        <w:t>rogram:</w:t>
      </w:r>
    </w:p>
    <w:p w14:paraId="68982700" w14:textId="77777777" w:rsidR="00687756" w:rsidRPr="00FA521C" w:rsidRDefault="009006B3" w:rsidP="00FA521C">
      <w:pPr>
        <w:pStyle w:val="ListBullet"/>
      </w:pPr>
      <w:r w:rsidRPr="00FA521C">
        <w:t>trials new</w:t>
      </w:r>
      <w:r w:rsidR="00687756" w:rsidRPr="00FA521C">
        <w:t>,</w:t>
      </w:r>
      <w:r w:rsidRPr="00FA521C">
        <w:t xml:space="preserve"> multidisciplinary models of primary care</w:t>
      </w:r>
    </w:p>
    <w:p w14:paraId="23CC529B" w14:textId="04FC304C" w:rsidR="00687756" w:rsidRPr="00FA521C" w:rsidRDefault="00687756" w:rsidP="00FA521C">
      <w:pPr>
        <w:pStyle w:val="ListBullet"/>
      </w:pPr>
      <w:r w:rsidRPr="00FA521C">
        <w:t xml:space="preserve">finds </w:t>
      </w:r>
      <w:r w:rsidR="009006B3" w:rsidRPr="00FA521C">
        <w:t xml:space="preserve">which models work where and </w:t>
      </w:r>
      <w:proofErr w:type="gramStart"/>
      <w:r w:rsidR="009006B3" w:rsidRPr="00FA521C">
        <w:t>why</w:t>
      </w:r>
      <w:proofErr w:type="gramEnd"/>
    </w:p>
    <w:p w14:paraId="1808157C" w14:textId="4ED31A4C" w:rsidR="00D17D78" w:rsidRPr="00FA521C" w:rsidRDefault="00687756" w:rsidP="00FA521C">
      <w:pPr>
        <w:pStyle w:val="ListBullet"/>
      </w:pPr>
      <w:r w:rsidRPr="00FA521C">
        <w:t xml:space="preserve">tests </w:t>
      </w:r>
      <w:r w:rsidR="009006B3" w:rsidRPr="00FA521C">
        <w:t>whether they are financially sustainable.</w:t>
      </w:r>
    </w:p>
    <w:p w14:paraId="092CF178" w14:textId="126A45DB" w:rsidR="00D17D78" w:rsidRDefault="00D17D78" w:rsidP="00704FB0">
      <w:r>
        <w:t>IMOC aims to attract and keep rural health professionals. It also encourages:</w:t>
      </w:r>
    </w:p>
    <w:p w14:paraId="1C383DA5" w14:textId="4FAA554E" w:rsidR="00D17D78" w:rsidRPr="00FA521C" w:rsidRDefault="00D17D78" w:rsidP="00FA521C">
      <w:pPr>
        <w:pStyle w:val="ListBullet"/>
      </w:pPr>
      <w:r w:rsidRPr="00FA521C">
        <w:t>health professionals to</w:t>
      </w:r>
      <w:r w:rsidR="00557580" w:rsidRPr="00FA521C">
        <w:t xml:space="preserve"> work to</w:t>
      </w:r>
      <w:r w:rsidRPr="00FA521C">
        <w:t xml:space="preserve"> their full scope of </w:t>
      </w:r>
      <w:proofErr w:type="gramStart"/>
      <w:r w:rsidRPr="00FA521C">
        <w:t>practice</w:t>
      </w:r>
      <w:proofErr w:type="gramEnd"/>
    </w:p>
    <w:p w14:paraId="34A1AD7F" w14:textId="77777777" w:rsidR="00D17D78" w:rsidRPr="00FA521C" w:rsidRDefault="00D17D78" w:rsidP="00FA521C">
      <w:pPr>
        <w:pStyle w:val="ListBullet"/>
      </w:pPr>
      <w:r w:rsidRPr="00FA521C">
        <w:t>multidisciplinary team-based models of care</w:t>
      </w:r>
    </w:p>
    <w:p w14:paraId="3989B0B6" w14:textId="77777777" w:rsidR="00D17D78" w:rsidRPr="00FA521C" w:rsidRDefault="00D17D78" w:rsidP="00FA521C">
      <w:pPr>
        <w:pStyle w:val="ListBullet"/>
      </w:pPr>
      <w:r w:rsidRPr="00FA521C">
        <w:t>different employment models for health care professionals</w:t>
      </w:r>
    </w:p>
    <w:p w14:paraId="724D0C35" w14:textId="77777777" w:rsidR="00D17D78" w:rsidRPr="00FA521C" w:rsidRDefault="00D17D78" w:rsidP="00FA521C">
      <w:pPr>
        <w:pStyle w:val="ListBullet"/>
      </w:pPr>
      <w:r w:rsidRPr="00FA521C">
        <w:t>sharing of healthcare resources between small, connected communities.</w:t>
      </w:r>
    </w:p>
    <w:p w14:paraId="10DA4225" w14:textId="77777777" w:rsidR="00637255" w:rsidRPr="00FA521C" w:rsidRDefault="00637255" w:rsidP="00FA521C">
      <w:pPr>
        <w:pStyle w:val="Heading2"/>
      </w:pPr>
      <w:r w:rsidRPr="00FA521C">
        <w:t xml:space="preserve">Program </w:t>
      </w:r>
      <w:proofErr w:type="gramStart"/>
      <w:r w:rsidRPr="00FA521C">
        <w:t>trials</w:t>
      </w:r>
      <w:proofErr w:type="gramEnd"/>
    </w:p>
    <w:p w14:paraId="202846B5" w14:textId="358659CD" w:rsidR="00D17D78" w:rsidRDefault="00D17D78" w:rsidP="00FA521C">
      <w:r>
        <w:t xml:space="preserve">The </w:t>
      </w:r>
      <w:r w:rsidR="00936FFA">
        <w:t>P</w:t>
      </w:r>
      <w:r>
        <w:t xml:space="preserve">rogram has funded </w:t>
      </w:r>
      <w:r w:rsidR="00F10AE6">
        <w:t>several</w:t>
      </w:r>
      <w:r w:rsidR="00704FB0">
        <w:t xml:space="preserve"> trials</w:t>
      </w:r>
      <w:r>
        <w:t>:</w:t>
      </w:r>
    </w:p>
    <w:p w14:paraId="442D493F" w14:textId="44D64056" w:rsidR="00D17D78" w:rsidRPr="00FA521C" w:rsidRDefault="00D17D78" w:rsidP="00FA521C">
      <w:r w:rsidRPr="00FA521C">
        <w:rPr>
          <w:rStyle w:val="Strong"/>
        </w:rPr>
        <w:t>2020–21</w:t>
      </w:r>
      <w:r w:rsidRPr="00FA521C">
        <w:t>: funding awarded to the New South Wales Rural Doctors Network</w:t>
      </w:r>
      <w:r w:rsidR="00863D9F" w:rsidRPr="00FA521C">
        <w:t xml:space="preserve"> (RDN)</w:t>
      </w:r>
      <w:r w:rsidRPr="00FA521C">
        <w:t xml:space="preserve"> for 5 trials across Western and Southern NSW (Round 1)</w:t>
      </w:r>
      <w:r w:rsidR="003F3312" w:rsidRPr="00FA521C">
        <w:t xml:space="preserve">. </w:t>
      </w:r>
    </w:p>
    <w:p w14:paraId="185FD845" w14:textId="77777777" w:rsidR="00D17D78" w:rsidRPr="00FA521C" w:rsidRDefault="00D17D78" w:rsidP="00FA521C">
      <w:r w:rsidRPr="00FA521C">
        <w:rPr>
          <w:rStyle w:val="Strong"/>
        </w:rPr>
        <w:t>2021–22</w:t>
      </w:r>
      <w:r w:rsidRPr="00FA521C">
        <w:t xml:space="preserve">: funding awarded to GP Down South to trial a model of care in the Warren Blackwood region of Western Australia (Round 2). </w:t>
      </w:r>
    </w:p>
    <w:p w14:paraId="2FF89580" w14:textId="344A607E" w:rsidR="00D17D78" w:rsidRPr="00FA521C" w:rsidRDefault="00973791" w:rsidP="00FA521C">
      <w:r w:rsidRPr="00FA521C">
        <w:rPr>
          <w:rStyle w:val="Strong"/>
        </w:rPr>
        <w:t>2022</w:t>
      </w:r>
      <w:r w:rsidR="007F7E75" w:rsidRPr="00FA521C">
        <w:rPr>
          <w:rStyle w:val="Strong"/>
        </w:rPr>
        <w:t>–</w:t>
      </w:r>
      <w:r w:rsidRPr="00FA521C">
        <w:rPr>
          <w:rStyle w:val="Strong"/>
        </w:rPr>
        <w:t>23</w:t>
      </w:r>
      <w:r w:rsidR="00D17D78" w:rsidRPr="00FA521C">
        <w:t xml:space="preserve">: funding awarded to Beechworth Health Service and Outback Futures Ltd (Round 3). </w:t>
      </w:r>
    </w:p>
    <w:p w14:paraId="6E8C1F72" w14:textId="246488BC" w:rsidR="00D17D78" w:rsidRPr="00FA521C" w:rsidRDefault="00973791" w:rsidP="00FA521C">
      <w:r w:rsidRPr="00FA521C">
        <w:rPr>
          <w:rStyle w:val="Strong"/>
        </w:rPr>
        <w:t>2023</w:t>
      </w:r>
      <w:r w:rsidR="007F7E75" w:rsidRPr="00FA521C">
        <w:rPr>
          <w:rStyle w:val="Strong"/>
        </w:rPr>
        <w:t>–</w:t>
      </w:r>
      <w:r w:rsidRPr="00FA521C">
        <w:rPr>
          <w:rStyle w:val="Strong"/>
        </w:rPr>
        <w:t>24</w:t>
      </w:r>
      <w:r w:rsidR="00D17D78" w:rsidRPr="00FA521C">
        <w:t xml:space="preserve">: funding awarded to </w:t>
      </w:r>
      <w:r w:rsidR="00F10AE6" w:rsidRPr="00FA521C">
        <w:t>6</w:t>
      </w:r>
      <w:r w:rsidR="00D17D78" w:rsidRPr="00FA521C">
        <w:t xml:space="preserve"> organisations (Round 4). </w:t>
      </w:r>
    </w:p>
    <w:p w14:paraId="109F515A" w14:textId="4D8867B2" w:rsidR="00FA02BB" w:rsidRPr="00FA521C" w:rsidRDefault="00973791" w:rsidP="00FA521C">
      <w:r w:rsidRPr="00FA521C">
        <w:rPr>
          <w:rStyle w:val="Strong"/>
        </w:rPr>
        <w:t>2023</w:t>
      </w:r>
      <w:r w:rsidR="007F7E75" w:rsidRPr="00FA521C">
        <w:rPr>
          <w:rStyle w:val="Strong"/>
        </w:rPr>
        <w:t>–24</w:t>
      </w:r>
      <w:r w:rsidR="00D17D78" w:rsidRPr="00FA521C">
        <w:t xml:space="preserve">: </w:t>
      </w:r>
      <w:r w:rsidRPr="00FA521C">
        <w:t xml:space="preserve">final round of </w:t>
      </w:r>
      <w:r w:rsidR="00D17D78" w:rsidRPr="00FA521C">
        <w:t>funding awarded to 11 organisations (Round 5).</w:t>
      </w:r>
      <w:r w:rsidR="00FA02BB" w:rsidRPr="00FA521C">
        <w:t xml:space="preserve"> </w:t>
      </w:r>
    </w:p>
    <w:p w14:paraId="3E978303" w14:textId="77777777" w:rsidR="00D00533" w:rsidRPr="00FA521C" w:rsidRDefault="00973791" w:rsidP="00FA521C">
      <w:pPr>
        <w:pStyle w:val="Heading2"/>
      </w:pPr>
      <w:r w:rsidRPr="00FA521C">
        <w:lastRenderedPageBreak/>
        <w:t>Trial learnings</w:t>
      </w:r>
      <w:r w:rsidR="00557580" w:rsidRPr="00FA521C">
        <w:t xml:space="preserve"> </w:t>
      </w:r>
    </w:p>
    <w:p w14:paraId="72976746" w14:textId="60F9182B" w:rsidR="00094F1D" w:rsidRDefault="00863D9F" w:rsidP="00D00533">
      <w:pPr>
        <w:pStyle w:val="ListBullet"/>
        <w:numPr>
          <w:ilvl w:val="0"/>
          <w:numId w:val="0"/>
        </w:numPr>
        <w:spacing w:before="120"/>
      </w:pPr>
      <w:r>
        <w:t>The</w:t>
      </w:r>
      <w:r w:rsidR="00B306D1">
        <w:t xml:space="preserve"> Round 1 RDN trials have provided many lessons</w:t>
      </w:r>
      <w:r w:rsidR="00120497">
        <w:t>, including:</w:t>
      </w:r>
    </w:p>
    <w:p w14:paraId="2099C6A1" w14:textId="77777777" w:rsidR="00D00533" w:rsidRDefault="00D00533" w:rsidP="001F2554">
      <w:pPr>
        <w:pStyle w:val="ListBullet"/>
        <w:sectPr w:rsidR="00D00533" w:rsidSect="00687756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711257B1" w14:textId="278E43F3" w:rsidR="00C87F63" w:rsidRPr="00FA521C" w:rsidRDefault="00B306D1" w:rsidP="00FA521C">
      <w:pPr>
        <w:pStyle w:val="ListBullet"/>
      </w:pPr>
      <w:r w:rsidRPr="001F2554">
        <w:t xml:space="preserve">Involve the </w:t>
      </w:r>
      <w:r w:rsidR="00D00533">
        <w:t xml:space="preserve">community </w:t>
      </w:r>
      <w:r w:rsidR="00AA041D" w:rsidRPr="00FA521C">
        <w:t xml:space="preserve">in </w:t>
      </w:r>
      <w:r w:rsidR="00C87F63" w:rsidRPr="00FA521C">
        <w:t xml:space="preserve">the </w:t>
      </w:r>
      <w:r w:rsidR="00AA041D" w:rsidRPr="00FA521C">
        <w:t xml:space="preserve">co-design process from the start. </w:t>
      </w:r>
    </w:p>
    <w:p w14:paraId="28C865C1" w14:textId="1631E9E9" w:rsidR="00AA041D" w:rsidRPr="00FA521C" w:rsidRDefault="00082D2E" w:rsidP="00FA521C">
      <w:pPr>
        <w:pStyle w:val="ListBullet"/>
      </w:pPr>
      <w:r w:rsidRPr="00FA521C">
        <w:t xml:space="preserve">Use </w:t>
      </w:r>
      <w:r w:rsidR="00AA041D" w:rsidRPr="00FA521C">
        <w:t>partner organisations</w:t>
      </w:r>
      <w:r w:rsidRPr="00FA521C">
        <w:t xml:space="preserve"> </w:t>
      </w:r>
      <w:r w:rsidR="00A35BD8" w:rsidRPr="00FA521C">
        <w:t>with</w:t>
      </w:r>
      <w:r w:rsidR="00AA041D" w:rsidRPr="00FA521C">
        <w:t xml:space="preserve"> existing relationships and trusted working arrangement</w:t>
      </w:r>
      <w:r w:rsidR="00C87F63" w:rsidRPr="00FA521C">
        <w:t>s</w:t>
      </w:r>
      <w:r w:rsidR="00AA041D" w:rsidRPr="00FA521C">
        <w:t>.</w:t>
      </w:r>
    </w:p>
    <w:p w14:paraId="2AF47741" w14:textId="4D24D3EA" w:rsidR="00AA041D" w:rsidRPr="00FA521C" w:rsidRDefault="00082D2E" w:rsidP="00FA521C">
      <w:pPr>
        <w:pStyle w:val="ListBullet"/>
      </w:pPr>
      <w:r w:rsidRPr="00FA521C">
        <w:t>C</w:t>
      </w:r>
      <w:r w:rsidR="00AA041D" w:rsidRPr="00FA521C">
        <w:t xml:space="preserve">ommunities </w:t>
      </w:r>
      <w:r w:rsidR="00FB5B55" w:rsidRPr="00FA521C">
        <w:t>that</w:t>
      </w:r>
      <w:r w:rsidRPr="00FA521C">
        <w:t xml:space="preserve"> </w:t>
      </w:r>
      <w:r w:rsidR="00CE0286" w:rsidRPr="00FA521C">
        <w:t>decide</w:t>
      </w:r>
      <w:r w:rsidR="00AA041D" w:rsidRPr="00FA521C">
        <w:t xml:space="preserve"> </w:t>
      </w:r>
      <w:r w:rsidR="005C639E" w:rsidRPr="00FA521C">
        <w:t xml:space="preserve">they need </w:t>
      </w:r>
      <w:r w:rsidR="00F141A5" w:rsidRPr="00FA521C">
        <w:t xml:space="preserve">change </w:t>
      </w:r>
      <w:r w:rsidR="00C87F63" w:rsidRPr="00FA521C">
        <w:t xml:space="preserve">are </w:t>
      </w:r>
      <w:r w:rsidR="00CE0286" w:rsidRPr="00FA521C">
        <w:t>often</w:t>
      </w:r>
      <w:r w:rsidRPr="00FA521C">
        <w:t xml:space="preserve"> </w:t>
      </w:r>
      <w:r w:rsidR="00AA041D" w:rsidRPr="00FA521C">
        <w:t xml:space="preserve">ready </w:t>
      </w:r>
      <w:r w:rsidR="00222D32" w:rsidRPr="00FA521C">
        <w:t xml:space="preserve">to try </w:t>
      </w:r>
      <w:r w:rsidR="008E29EC" w:rsidRPr="00FA521C">
        <w:t>something new.</w:t>
      </w:r>
    </w:p>
    <w:p w14:paraId="7F8FBFCB" w14:textId="09184D43" w:rsidR="00AA041D" w:rsidRPr="00FA521C" w:rsidRDefault="005C639E" w:rsidP="00FA521C">
      <w:pPr>
        <w:pStyle w:val="ListBullet"/>
      </w:pPr>
      <w:r w:rsidRPr="00FA521C">
        <w:t>Involve</w:t>
      </w:r>
      <w:r w:rsidR="008E29EC" w:rsidRPr="00FA521C">
        <w:t xml:space="preserve"> the </w:t>
      </w:r>
      <w:r w:rsidR="00D44FDE" w:rsidRPr="00FA521C">
        <w:t>c</w:t>
      </w:r>
      <w:r w:rsidR="00AA041D" w:rsidRPr="00FA521C">
        <w:t>ommunity throughout the project.</w:t>
      </w:r>
    </w:p>
    <w:p w14:paraId="48BDBE04" w14:textId="79BA2BC5" w:rsidR="00AA041D" w:rsidRPr="00FA521C" w:rsidRDefault="00082D2E" w:rsidP="00FA521C">
      <w:pPr>
        <w:pStyle w:val="ListBullet"/>
      </w:pPr>
      <w:r w:rsidRPr="00FA521C">
        <w:t xml:space="preserve">Make sure the </w:t>
      </w:r>
      <w:r w:rsidR="00FB5B55" w:rsidRPr="00FA521C">
        <w:t xml:space="preserve">project </w:t>
      </w:r>
      <w:r w:rsidR="00D44FDE" w:rsidRPr="00FA521C">
        <w:t>t</w:t>
      </w:r>
      <w:r w:rsidR="00AA041D" w:rsidRPr="00FA521C">
        <w:t xml:space="preserve">imeframes </w:t>
      </w:r>
      <w:r w:rsidR="00CE0286" w:rsidRPr="00FA521C">
        <w:t>match</w:t>
      </w:r>
      <w:r w:rsidR="00D44FDE" w:rsidRPr="00FA521C">
        <w:t xml:space="preserve"> to the</w:t>
      </w:r>
      <w:r w:rsidR="00AA041D" w:rsidRPr="00FA521C">
        <w:t xml:space="preserve"> project scope.</w:t>
      </w:r>
    </w:p>
    <w:p w14:paraId="322F6F41" w14:textId="2641E426" w:rsidR="00AA041D" w:rsidRPr="00FA521C" w:rsidRDefault="00CE0286" w:rsidP="00FA521C">
      <w:pPr>
        <w:pStyle w:val="ListBullet"/>
      </w:pPr>
      <w:r w:rsidRPr="00FA521C">
        <w:t>Often</w:t>
      </w:r>
      <w:r w:rsidR="00AA041D" w:rsidRPr="00FA521C">
        <w:t xml:space="preserve"> one organisation </w:t>
      </w:r>
      <w:r w:rsidR="00A54AEA" w:rsidRPr="00FA521C">
        <w:t xml:space="preserve">will </w:t>
      </w:r>
      <w:r w:rsidR="00D44FDE" w:rsidRPr="00FA521C">
        <w:t xml:space="preserve">take </w:t>
      </w:r>
      <w:r w:rsidR="00AA041D" w:rsidRPr="00FA521C">
        <w:t xml:space="preserve">a lead role in </w:t>
      </w:r>
      <w:r w:rsidRPr="00FA521C">
        <w:t>developing the model</w:t>
      </w:r>
      <w:r w:rsidR="00A54AEA" w:rsidRPr="00FA521C">
        <w:t>,</w:t>
      </w:r>
      <w:r w:rsidR="00AA041D" w:rsidRPr="00FA521C">
        <w:t xml:space="preserve"> with strong support from other project partners.</w:t>
      </w:r>
    </w:p>
    <w:p w14:paraId="60CBD53F" w14:textId="3A27DB97" w:rsidR="00AA041D" w:rsidRPr="00FA521C" w:rsidRDefault="00082D2E" w:rsidP="00FA521C">
      <w:pPr>
        <w:pStyle w:val="ListBullet"/>
      </w:pPr>
      <w:r w:rsidRPr="00FA521C">
        <w:t>St</w:t>
      </w:r>
      <w:r w:rsidR="00AA041D" w:rsidRPr="00FA521C">
        <w:t xml:space="preserve">rong governance </w:t>
      </w:r>
      <w:r w:rsidR="00545654" w:rsidRPr="00FA521C">
        <w:t xml:space="preserve">helps to </w:t>
      </w:r>
      <w:r w:rsidR="004037AE" w:rsidRPr="00FA521C">
        <w:t>keep the</w:t>
      </w:r>
      <w:r w:rsidR="00AA041D" w:rsidRPr="00FA521C">
        <w:t xml:space="preserve"> project objectives </w:t>
      </w:r>
      <w:r w:rsidR="00545654" w:rsidRPr="00FA521C">
        <w:t xml:space="preserve">clear </w:t>
      </w:r>
      <w:r w:rsidR="00AA041D" w:rsidRPr="00FA521C">
        <w:t>and</w:t>
      </w:r>
      <w:r w:rsidR="004037AE" w:rsidRPr="00FA521C">
        <w:t xml:space="preserve"> the processes</w:t>
      </w:r>
      <w:r w:rsidR="00AA041D" w:rsidRPr="00FA521C">
        <w:t xml:space="preserve"> consistent </w:t>
      </w:r>
      <w:r w:rsidR="004037AE" w:rsidRPr="00FA521C">
        <w:t xml:space="preserve">throughout </w:t>
      </w:r>
      <w:r w:rsidR="00AA041D" w:rsidRPr="00FA521C">
        <w:t xml:space="preserve">the trial. </w:t>
      </w:r>
    </w:p>
    <w:p w14:paraId="06C0BA6A" w14:textId="089D6D45" w:rsidR="00AA041D" w:rsidRPr="001F2554" w:rsidRDefault="004037AE" w:rsidP="00FA521C">
      <w:pPr>
        <w:pStyle w:val="ListBullet"/>
      </w:pPr>
      <w:r w:rsidRPr="00FA521C">
        <w:t>A</w:t>
      </w:r>
      <w:r w:rsidR="00D44FDE" w:rsidRPr="00FA521C">
        <w:t xml:space="preserve">wareness of </w:t>
      </w:r>
      <w:r w:rsidR="00AA041D" w:rsidRPr="00FA521C">
        <w:t>community health system</w:t>
      </w:r>
      <w:r w:rsidR="00D44FDE" w:rsidRPr="00FA521C">
        <w:t>s</w:t>
      </w:r>
      <w:r w:rsidR="00AA041D" w:rsidRPr="00FA521C">
        <w:t xml:space="preserve"> (health literacy</w:t>
      </w:r>
      <w:r w:rsidR="00D44FDE" w:rsidRPr="00FA521C">
        <w:t xml:space="preserve">) </w:t>
      </w:r>
      <w:r w:rsidR="001F2554" w:rsidRPr="00FA521C">
        <w:t xml:space="preserve">can </w:t>
      </w:r>
      <w:r w:rsidR="00D44FDE" w:rsidRPr="00FA521C">
        <w:t>help</w:t>
      </w:r>
      <w:r w:rsidR="00082D2E" w:rsidRPr="00FA521C">
        <w:t xml:space="preserve"> reduce</w:t>
      </w:r>
      <w:r w:rsidR="00AA041D" w:rsidRPr="00FA521C">
        <w:t xml:space="preserve"> </w:t>
      </w:r>
      <w:r w:rsidR="00D44FDE" w:rsidRPr="00FA521C">
        <w:t xml:space="preserve">project </w:t>
      </w:r>
      <w:r w:rsidR="00AA041D" w:rsidRPr="00FA521C">
        <w:t>barriers</w:t>
      </w:r>
      <w:r w:rsidR="00AA041D" w:rsidRPr="001F2554">
        <w:t>.</w:t>
      </w:r>
    </w:p>
    <w:p w14:paraId="1FAFCB66" w14:textId="3C287208" w:rsidR="00AA041D" w:rsidRPr="001F2554" w:rsidRDefault="00082D2E" w:rsidP="00FA521C">
      <w:pPr>
        <w:pStyle w:val="ListBullet"/>
      </w:pPr>
      <w:r w:rsidRPr="001F2554">
        <w:t>Plan for c</w:t>
      </w:r>
      <w:r w:rsidR="00AA041D" w:rsidRPr="001F2554">
        <w:t>ommon barriers includ</w:t>
      </w:r>
      <w:r w:rsidRPr="001F2554">
        <w:t>ing</w:t>
      </w:r>
      <w:r w:rsidR="00AA041D" w:rsidRPr="001F2554">
        <w:t xml:space="preserve"> project timelines, difficulty recruiting personnel, and a lack of community ownership</w:t>
      </w:r>
      <w:r w:rsidR="004A3D8B">
        <w:t>.</w:t>
      </w:r>
    </w:p>
    <w:p w14:paraId="297240EA" w14:textId="3F46DE00" w:rsidR="00863D9F" w:rsidRPr="001F2554" w:rsidRDefault="00F141A5" w:rsidP="00FA521C">
      <w:pPr>
        <w:pStyle w:val="ListBullet"/>
      </w:pPr>
      <w:r>
        <w:t>Find</w:t>
      </w:r>
      <w:r w:rsidR="00863D9F">
        <w:t xml:space="preserve"> common themes </w:t>
      </w:r>
      <w:r w:rsidR="00FB5B55">
        <w:t xml:space="preserve">to </w:t>
      </w:r>
      <w:r w:rsidR="004C7135">
        <w:t xml:space="preserve">make </w:t>
      </w:r>
      <w:r w:rsidR="00FB5B55">
        <w:t>sure</w:t>
      </w:r>
      <w:r w:rsidR="00863D9F">
        <w:t xml:space="preserve"> place-based planning and co-design</w:t>
      </w:r>
      <w:r w:rsidR="004C7135">
        <w:t xml:space="preserve"> are successful</w:t>
      </w:r>
      <w:r w:rsidR="00863D9F">
        <w:t>.</w:t>
      </w:r>
    </w:p>
    <w:p w14:paraId="1F311D5D" w14:textId="0DEAE89E" w:rsidR="00863D9F" w:rsidRDefault="00863D9F" w:rsidP="00FA521C">
      <w:pPr>
        <w:pStyle w:val="ListBullet"/>
      </w:pPr>
      <w:r>
        <w:t>Increas</w:t>
      </w:r>
      <w:r w:rsidR="0010001C">
        <w:t>ing</w:t>
      </w:r>
      <w:r>
        <w:t xml:space="preserve"> community access to GP services provides service-level continuity of care, and quality healthcare</w:t>
      </w:r>
      <w:r w:rsidR="0010001C">
        <w:t xml:space="preserve"> </w:t>
      </w:r>
      <w:r w:rsidR="005C639E">
        <w:t>when it is needed.</w:t>
      </w:r>
    </w:p>
    <w:p w14:paraId="3A402FC8" w14:textId="685A1C44" w:rsidR="00863D9F" w:rsidRDefault="00863D9F" w:rsidP="00FA521C">
      <w:pPr>
        <w:pStyle w:val="ListBullet"/>
      </w:pPr>
      <w:r>
        <w:t>Reduc</w:t>
      </w:r>
      <w:r w:rsidR="00F141A5">
        <w:t>ed</w:t>
      </w:r>
      <w:r>
        <w:t xml:space="preserve"> hospitalisations </w:t>
      </w:r>
      <w:r w:rsidR="006230EA">
        <w:t xml:space="preserve">can </w:t>
      </w:r>
      <w:r w:rsidR="00F141A5">
        <w:t>lead</w:t>
      </w:r>
      <w:r>
        <w:t xml:space="preserve"> to improved patient experience</w:t>
      </w:r>
      <w:r w:rsidR="00FB5B55">
        <w:t>s</w:t>
      </w:r>
      <w:r>
        <w:t xml:space="preserve"> and a smoother </w:t>
      </w:r>
      <w:r w:rsidR="00FB5B55">
        <w:t>experience for healthcare providers.</w:t>
      </w:r>
    </w:p>
    <w:p w14:paraId="4B75F1EF" w14:textId="6790138B" w:rsidR="00863D9F" w:rsidRDefault="00863D9F" w:rsidP="00FA521C">
      <w:pPr>
        <w:pStyle w:val="ListBullet"/>
      </w:pPr>
      <w:r>
        <w:t>Telehealth</w:t>
      </w:r>
      <w:r w:rsidR="00FB5B55">
        <w:t xml:space="preserve"> </w:t>
      </w:r>
      <w:r w:rsidR="006230EA">
        <w:t xml:space="preserve">can </w:t>
      </w:r>
      <w:r w:rsidR="00FB5B55">
        <w:t>help</w:t>
      </w:r>
      <w:r>
        <w:t xml:space="preserve"> access to these services by reducing </w:t>
      </w:r>
      <w:r w:rsidR="00FB5B55">
        <w:t xml:space="preserve">patients’ </w:t>
      </w:r>
      <w:r>
        <w:t>travel.</w:t>
      </w:r>
    </w:p>
    <w:p w14:paraId="06CF3558" w14:textId="06E8BA14" w:rsidR="00863D9F" w:rsidRDefault="00863D9F" w:rsidP="00FA521C">
      <w:pPr>
        <w:pStyle w:val="ListBullet"/>
      </w:pPr>
      <w:r>
        <w:t xml:space="preserve">Patients </w:t>
      </w:r>
      <w:r w:rsidR="00FB5B55">
        <w:t>experience more positive health outcomes when they are more engaged</w:t>
      </w:r>
      <w:r>
        <w:t xml:space="preserve"> in their own health, </w:t>
      </w:r>
      <w:r w:rsidR="00FB5B55">
        <w:t xml:space="preserve">have </w:t>
      </w:r>
      <w:r>
        <w:t xml:space="preserve">improved access to care, and </w:t>
      </w:r>
      <w:r w:rsidR="00FE4FB4">
        <w:t>less</w:t>
      </w:r>
      <w:r>
        <w:t xml:space="preserve"> treatment delays</w:t>
      </w:r>
      <w:r w:rsidR="00FB5B55">
        <w:t>.</w:t>
      </w:r>
      <w:r>
        <w:t xml:space="preserve"> </w:t>
      </w:r>
    </w:p>
    <w:p w14:paraId="7D0114BF" w14:textId="304BF321" w:rsidR="001F2554" w:rsidRDefault="00863D9F" w:rsidP="00FA521C">
      <w:pPr>
        <w:pStyle w:val="ListBullet"/>
      </w:pPr>
      <w:r>
        <w:t xml:space="preserve">Innovative models can </w:t>
      </w:r>
      <w:r w:rsidR="00CE0286">
        <w:t>give</w:t>
      </w:r>
      <w:r>
        <w:t xml:space="preserve"> health practitioners flexibility, work-life balance, and rewarding professional experiences.</w:t>
      </w:r>
    </w:p>
    <w:p w14:paraId="4665D260" w14:textId="77777777" w:rsidR="00D00533" w:rsidRPr="00FA521C" w:rsidRDefault="00D00533" w:rsidP="00FA521C">
      <w:pPr>
        <w:pStyle w:val="Tablelistbullet"/>
        <w:sectPr w:rsidR="00D00533" w:rsidRPr="00FA521C" w:rsidSect="00D00533">
          <w:type w:val="continuous"/>
          <w:pgSz w:w="16838" w:h="11906" w:orient="landscape"/>
          <w:pgMar w:top="1418" w:right="1418" w:bottom="1276" w:left="1418" w:header="709" w:footer="709" w:gutter="0"/>
          <w:cols w:num="2" w:space="708"/>
          <w:titlePg/>
          <w:docGrid w:linePitch="360"/>
        </w:sectPr>
      </w:pPr>
    </w:p>
    <w:p w14:paraId="72D1AC80" w14:textId="3853DCA6" w:rsidR="00863D9F" w:rsidRPr="00704FB0" w:rsidRDefault="001F2554" w:rsidP="001F2554">
      <w:pPr>
        <w:spacing w:before="0" w:after="0"/>
      </w:pPr>
      <w:r>
        <w:t xml:space="preserve">These lessons will help organisations and communities </w:t>
      </w:r>
      <w:r w:rsidR="00A35BD8">
        <w:t>work together to</w:t>
      </w:r>
      <w:r>
        <w:t xml:space="preserve"> </w:t>
      </w:r>
      <w:r w:rsidR="00CE0286">
        <w:t>provide</w:t>
      </w:r>
      <w:r>
        <w:t xml:space="preserve"> community-based healthcare solutions for rural</w:t>
      </w:r>
      <w:r w:rsidR="00A35BD8">
        <w:t xml:space="preserve">, </w:t>
      </w:r>
      <w:proofErr w:type="gramStart"/>
      <w:r w:rsidR="00A35BD8">
        <w:t>regional</w:t>
      </w:r>
      <w:proofErr w:type="gramEnd"/>
      <w:r>
        <w:t xml:space="preserve"> and remote areas.</w:t>
      </w:r>
    </w:p>
    <w:p w14:paraId="2AEB1613" w14:textId="77777777" w:rsidR="00D00533" w:rsidRPr="00FA521C" w:rsidRDefault="00D00533" w:rsidP="00FA521C">
      <w:r>
        <w:br w:type="page"/>
      </w:r>
    </w:p>
    <w:p w14:paraId="3561D6CD" w14:textId="1E7EA6CD" w:rsidR="00DF0C60" w:rsidRPr="00FA521C" w:rsidRDefault="005C639E" w:rsidP="00FA521C">
      <w:pPr>
        <w:pStyle w:val="Heading2"/>
      </w:pPr>
      <w:r w:rsidRPr="00FA521C">
        <w:lastRenderedPageBreak/>
        <w:t>Results</w:t>
      </w:r>
      <w:r w:rsidR="00D17D78" w:rsidRPr="00FA521C">
        <w:t xml:space="preserve"> </w:t>
      </w:r>
      <w:r w:rsidR="00704FB0" w:rsidRPr="00FA521C">
        <w:t>from the first round of IMOC trials</w:t>
      </w:r>
      <w:r w:rsidR="00D17D78" w:rsidRPr="00FA521C">
        <w:t xml:space="preserve"> </w:t>
      </w:r>
    </w:p>
    <w:p w14:paraId="057A3F62" w14:textId="794BC598" w:rsidR="00637255" w:rsidRPr="00FA521C" w:rsidRDefault="00637255" w:rsidP="00FA521C">
      <w:r w:rsidRPr="00FA521C">
        <w:t xml:space="preserve">The IMOC Program is helping us find effective ways to </w:t>
      </w:r>
      <w:r w:rsidR="005C639E" w:rsidRPr="00FA521C">
        <w:t>provide</w:t>
      </w:r>
      <w:r w:rsidRPr="00FA521C">
        <w:t xml:space="preserve"> primary health care to people who live outside of major centres. See below for an outcome summary for the first round of IMOC funding. </w:t>
      </w:r>
    </w:p>
    <w:tbl>
      <w:tblPr>
        <w:tblStyle w:val="TableGrid"/>
        <w:tblW w:w="15636" w:type="dxa"/>
        <w:tblInd w:w="-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3832"/>
        <w:gridCol w:w="137"/>
        <w:gridCol w:w="147"/>
        <w:gridCol w:w="102"/>
        <w:gridCol w:w="975"/>
        <w:gridCol w:w="102"/>
        <w:gridCol w:w="3730"/>
        <w:gridCol w:w="239"/>
        <w:gridCol w:w="249"/>
        <w:gridCol w:w="1077"/>
        <w:gridCol w:w="3969"/>
      </w:tblGrid>
      <w:tr w:rsidR="00704FB0" w:rsidRPr="00CC6352" w14:paraId="51EC884B" w14:textId="77777777" w:rsidTr="00FA521C">
        <w:trPr>
          <w:trHeight w:val="222"/>
        </w:trPr>
        <w:tc>
          <w:tcPr>
            <w:tcW w:w="1077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3DDE3BF6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11AF3066" w14:textId="77777777" w:rsidR="00D17D78" w:rsidRPr="00193D14" w:rsidRDefault="00D17D78" w:rsidP="00551776">
            <w:pPr>
              <w:spacing w:before="0" w:after="0"/>
              <w:rPr>
                <w:rFonts w:cs="Arial"/>
                <w:b/>
                <w:bCs/>
                <w:color w:val="FFFFFF" w:themeColor="background1"/>
                <w:sz w:val="24"/>
              </w:rPr>
            </w:pPr>
            <w:r w:rsidRPr="00193D14">
              <w:rPr>
                <w:rFonts w:cs="Arial"/>
                <w:b/>
                <w:bCs/>
                <w:color w:val="FFFFFF" w:themeColor="background1"/>
                <w:sz w:val="24"/>
              </w:rPr>
              <w:t>The 4 Ts</w:t>
            </w:r>
          </w:p>
        </w:tc>
        <w:tc>
          <w:tcPr>
            <w:tcW w:w="249" w:type="dxa"/>
            <w:gridSpan w:val="2"/>
            <w:tcBorders>
              <w:left w:val="single" w:sz="4" w:space="0" w:color="00727D"/>
              <w:right w:val="single" w:sz="4" w:space="0" w:color="3F4A75"/>
            </w:tcBorders>
          </w:tcPr>
          <w:p w14:paraId="08E07F57" w14:textId="77777777" w:rsidR="00D17D78" w:rsidRPr="00193D14" w:rsidRDefault="00D17D78" w:rsidP="00551776">
            <w:pPr>
              <w:spacing w:before="0" w:after="0"/>
              <w:rPr>
                <w:rFonts w:cs="Arial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shd w:val="clear" w:color="auto" w:fill="3F4A75"/>
            <w:vAlign w:val="center"/>
          </w:tcPr>
          <w:p w14:paraId="2781EE9E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shd w:val="clear" w:color="auto" w:fill="3F4A75"/>
            <w:vAlign w:val="center"/>
          </w:tcPr>
          <w:p w14:paraId="3EABFE36" w14:textId="77777777" w:rsidR="00D17D78" w:rsidRPr="00193D14" w:rsidRDefault="00D17D78" w:rsidP="00551776">
            <w:pPr>
              <w:spacing w:before="0" w:after="0"/>
              <w:rPr>
                <w:rFonts w:cs="Arial"/>
                <w:b/>
                <w:bCs/>
                <w:color w:val="FFFFFF" w:themeColor="background1"/>
                <w:sz w:val="24"/>
              </w:rPr>
            </w:pPr>
            <w:r w:rsidRPr="00193D14">
              <w:rPr>
                <w:rFonts w:cs="Arial"/>
                <w:b/>
                <w:bCs/>
                <w:color w:val="FFFFFF" w:themeColor="background1"/>
                <w:sz w:val="24"/>
              </w:rPr>
              <w:t>Canola fields</w:t>
            </w:r>
          </w:p>
        </w:tc>
        <w:tc>
          <w:tcPr>
            <w:tcW w:w="249" w:type="dxa"/>
            <w:tcBorders>
              <w:left w:val="single" w:sz="4" w:space="0" w:color="3F4A75"/>
              <w:right w:val="single" w:sz="4" w:space="0" w:color="00727D"/>
            </w:tcBorders>
            <w:shd w:val="clear" w:color="auto" w:fill="auto"/>
          </w:tcPr>
          <w:p w14:paraId="67443D26" w14:textId="77777777" w:rsidR="00D17D78" w:rsidRPr="00193D14" w:rsidRDefault="00D17D78" w:rsidP="00551776">
            <w:pPr>
              <w:spacing w:before="0" w:after="0"/>
              <w:rPr>
                <w:rFonts w:cs="Arial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3FEACB59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</w:tcPr>
          <w:p w14:paraId="2D87E86E" w14:textId="77777777" w:rsidR="00D17D78" w:rsidRPr="00193D14" w:rsidRDefault="00D17D78" w:rsidP="00551776">
            <w:pPr>
              <w:spacing w:before="0" w:after="0"/>
              <w:rPr>
                <w:rFonts w:cs="Arial"/>
                <w:b/>
                <w:bCs/>
                <w:color w:val="FFFFFF" w:themeColor="background1"/>
                <w:sz w:val="24"/>
              </w:rPr>
            </w:pPr>
            <w:r w:rsidRPr="00193D14">
              <w:rPr>
                <w:rFonts w:cs="Arial"/>
                <w:b/>
                <w:bCs/>
                <w:color w:val="FFFFFF" w:themeColor="background1"/>
                <w:sz w:val="24"/>
              </w:rPr>
              <w:t>Lachlan Valley</w:t>
            </w:r>
          </w:p>
        </w:tc>
      </w:tr>
      <w:tr w:rsidR="00704FB0" w:rsidRPr="00CC6352" w14:paraId="764EAF9A" w14:textId="77777777" w:rsidTr="00FA521C">
        <w:trPr>
          <w:trHeight w:val="534"/>
        </w:trPr>
        <w:tc>
          <w:tcPr>
            <w:tcW w:w="1077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7A359842" w14:textId="77777777" w:rsidR="00D17D78" w:rsidRPr="00094F1D" w:rsidRDefault="00D17D78" w:rsidP="00FA521C">
            <w:pPr>
              <w:pStyle w:val="TableText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507070FB" wp14:editId="04AB3ACF">
                  <wp:extent cx="360000" cy="360000"/>
                  <wp:effectExtent l="0" t="0" r="2540" b="0"/>
                  <wp:docPr id="6" name="Graphic 6" descr="Map with pi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p with pin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1F1535" w14:textId="77777777" w:rsidR="00D17D78" w:rsidRPr="00094F1D" w:rsidRDefault="00D17D78" w:rsidP="00FA521C">
            <w:pPr>
              <w:pStyle w:val="TableText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3969" w:type="dxa"/>
            <w:gridSpan w:val="2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vAlign w:val="center"/>
          </w:tcPr>
          <w:p w14:paraId="447D8E8F" w14:textId="31CD4A3C" w:rsidR="00D17D78" w:rsidRPr="009A4C34" w:rsidRDefault="00D17D78" w:rsidP="00FA521C">
            <w:pPr>
              <w:pStyle w:val="TableText"/>
            </w:pPr>
            <w:r w:rsidRPr="009A4C34">
              <w:t xml:space="preserve">Tottenham, Tullamore, </w:t>
            </w:r>
            <w:proofErr w:type="gramStart"/>
            <w:r w:rsidRPr="009A4C34">
              <w:t>Trundle</w:t>
            </w:r>
            <w:proofErr w:type="gramEnd"/>
            <w:r w:rsidRPr="009A4C34">
              <w:t xml:space="preserve"> and Trangie</w:t>
            </w:r>
          </w:p>
        </w:tc>
        <w:tc>
          <w:tcPr>
            <w:tcW w:w="249" w:type="dxa"/>
            <w:gridSpan w:val="2"/>
            <w:tcBorders>
              <w:left w:val="single" w:sz="4" w:space="0" w:color="00727D"/>
              <w:right w:val="single" w:sz="4" w:space="0" w:color="3F4A75"/>
            </w:tcBorders>
          </w:tcPr>
          <w:p w14:paraId="1FD2EAFA" w14:textId="77777777" w:rsidR="00D17D78" w:rsidRPr="00CC6352" w:rsidRDefault="00D17D78" w:rsidP="00FA521C">
            <w:pPr>
              <w:pStyle w:val="TableText"/>
              <w:rPr>
                <w:rFonts w:cs="Arial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shd w:val="clear" w:color="auto" w:fill="3F4A75"/>
            <w:vAlign w:val="center"/>
          </w:tcPr>
          <w:p w14:paraId="798D494A" w14:textId="77777777" w:rsidR="00D17D78" w:rsidRPr="00094F1D" w:rsidRDefault="00D17D78" w:rsidP="00FA521C">
            <w:pPr>
              <w:pStyle w:val="TableText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37FBC0B6" wp14:editId="501CD1B8">
                  <wp:extent cx="360000" cy="360000"/>
                  <wp:effectExtent l="0" t="0" r="2540" b="0"/>
                  <wp:docPr id="33" name="Graphic 33" descr="Map with pi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p with pin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419F3C" w14:textId="77777777" w:rsidR="00D17D78" w:rsidRPr="00094F1D" w:rsidRDefault="00D17D78" w:rsidP="00FA521C">
            <w:pPr>
              <w:pStyle w:val="TableTex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3969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vAlign w:val="center"/>
          </w:tcPr>
          <w:p w14:paraId="3C86844F" w14:textId="77777777" w:rsidR="00D17D78" w:rsidRPr="009A4C34" w:rsidRDefault="00D17D78" w:rsidP="00FA521C">
            <w:pPr>
              <w:pStyle w:val="TableText"/>
            </w:pPr>
            <w:r w:rsidRPr="00A731F5">
              <w:t>Canowindra</w:t>
            </w:r>
          </w:p>
        </w:tc>
        <w:tc>
          <w:tcPr>
            <w:tcW w:w="249" w:type="dxa"/>
            <w:tcBorders>
              <w:left w:val="single" w:sz="4" w:space="0" w:color="3F4A75"/>
              <w:right w:val="single" w:sz="4" w:space="0" w:color="00727D"/>
            </w:tcBorders>
            <w:shd w:val="clear" w:color="auto" w:fill="auto"/>
          </w:tcPr>
          <w:p w14:paraId="0F8E976E" w14:textId="77777777" w:rsidR="00D17D78" w:rsidRPr="00CC6352" w:rsidRDefault="00D17D78" w:rsidP="00FA521C">
            <w:pPr>
              <w:pStyle w:val="TableText"/>
              <w:rPr>
                <w:rFonts w:cs="Arial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6C540A6F" w14:textId="77777777" w:rsidR="00D17D78" w:rsidRPr="00094F1D" w:rsidRDefault="00D17D78" w:rsidP="00FA521C">
            <w:pPr>
              <w:pStyle w:val="TableText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7CA6643F" wp14:editId="1660AE04">
                  <wp:extent cx="360000" cy="360000"/>
                  <wp:effectExtent l="0" t="0" r="2540" b="0"/>
                  <wp:docPr id="69" name="Graphic 69" descr="Map with pi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p with pin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213C5B" w14:textId="77777777" w:rsidR="00D17D78" w:rsidRPr="00094F1D" w:rsidRDefault="00D17D78" w:rsidP="00FA521C">
            <w:pPr>
              <w:pStyle w:val="TableText"/>
              <w:rPr>
                <w:rFonts w:cs="Arial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3969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vAlign w:val="center"/>
          </w:tcPr>
          <w:p w14:paraId="69156EF6" w14:textId="2BA5A7BB" w:rsidR="00D17D78" w:rsidRPr="009A4C34" w:rsidRDefault="007F7E75" w:rsidP="00FA521C">
            <w:pPr>
              <w:pStyle w:val="TableText"/>
            </w:pPr>
            <w:r w:rsidRPr="007F7E75">
              <w:t xml:space="preserve">Condobolin, </w:t>
            </w:r>
            <w:proofErr w:type="gramStart"/>
            <w:r w:rsidRPr="007F7E75">
              <w:t>Parkes</w:t>
            </w:r>
            <w:proofErr w:type="gramEnd"/>
            <w:r w:rsidRPr="007F7E75">
              <w:t xml:space="preserve"> and Forbes</w:t>
            </w:r>
          </w:p>
        </w:tc>
      </w:tr>
      <w:tr w:rsidR="00704FB0" w:rsidRPr="00CC6352" w14:paraId="3548FC8F" w14:textId="77777777" w:rsidTr="00FA521C">
        <w:trPr>
          <w:trHeight w:val="204"/>
        </w:trPr>
        <w:tc>
          <w:tcPr>
            <w:tcW w:w="1077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43B397CA" w14:textId="77777777" w:rsidR="00D17D78" w:rsidRPr="00094F1D" w:rsidRDefault="00D17D78" w:rsidP="00FA521C">
            <w:pPr>
              <w:pStyle w:val="TableText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16007CF0" wp14:editId="2BC5C07B">
                  <wp:extent cx="360000" cy="360000"/>
                  <wp:effectExtent l="0" t="0" r="2540" b="2540"/>
                  <wp:docPr id="8" name="Graphic 8" descr="Badge Ques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Badge Question Mark with solid fil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D2E923" w14:textId="77777777" w:rsidR="00D17D78" w:rsidRPr="00094F1D" w:rsidRDefault="00D17D78" w:rsidP="00FA521C">
            <w:pPr>
              <w:pStyle w:val="TableText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Problem</w:t>
            </w:r>
          </w:p>
        </w:tc>
        <w:tc>
          <w:tcPr>
            <w:tcW w:w="3969" w:type="dxa"/>
            <w:gridSpan w:val="2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vAlign w:val="center"/>
          </w:tcPr>
          <w:p w14:paraId="4546CBDD" w14:textId="56CC6020" w:rsidR="00D17D78" w:rsidRPr="009A4C34" w:rsidRDefault="00D17D78" w:rsidP="00FA521C">
            <w:pPr>
              <w:pStyle w:val="TableText"/>
              <w:rPr>
                <w:b/>
                <w:bCs/>
              </w:rPr>
            </w:pPr>
            <w:r w:rsidRPr="009A4C34">
              <w:t xml:space="preserve">Four </w:t>
            </w:r>
            <w:r w:rsidR="00D974CF">
              <w:t xml:space="preserve">small, neighbouring </w:t>
            </w:r>
            <w:r w:rsidRPr="009A4C34">
              <w:t xml:space="preserve">towns with no </w:t>
            </w:r>
            <w:r w:rsidR="00D974CF">
              <w:t>GPs</w:t>
            </w:r>
            <w:r w:rsidRPr="009A4C34">
              <w:t xml:space="preserve">, leaving a gap in healthcare for all </w:t>
            </w:r>
            <w:r w:rsidR="00817249">
              <w:t>4</w:t>
            </w:r>
            <w:r w:rsidR="00817249" w:rsidRPr="009A4C34">
              <w:t xml:space="preserve"> </w:t>
            </w:r>
            <w:r w:rsidRPr="009A4C34">
              <w:t>communities</w:t>
            </w:r>
          </w:p>
        </w:tc>
        <w:tc>
          <w:tcPr>
            <w:tcW w:w="249" w:type="dxa"/>
            <w:gridSpan w:val="2"/>
            <w:tcBorders>
              <w:left w:val="single" w:sz="4" w:space="0" w:color="00727D"/>
              <w:right w:val="single" w:sz="4" w:space="0" w:color="3F4A75"/>
            </w:tcBorders>
          </w:tcPr>
          <w:p w14:paraId="4807C98E" w14:textId="77777777" w:rsidR="00D17D78" w:rsidRPr="00CC6352" w:rsidRDefault="00D17D78" w:rsidP="00FA521C">
            <w:pPr>
              <w:pStyle w:val="TableText"/>
              <w:rPr>
                <w:rFonts w:cs="Arial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shd w:val="clear" w:color="auto" w:fill="3F4A75"/>
            <w:vAlign w:val="center"/>
          </w:tcPr>
          <w:p w14:paraId="6DCC387B" w14:textId="77777777" w:rsidR="00D17D78" w:rsidRPr="00094F1D" w:rsidRDefault="00D17D78" w:rsidP="00FA521C">
            <w:pPr>
              <w:pStyle w:val="TableText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5C75F87D" wp14:editId="34CAAA07">
                  <wp:extent cx="360000" cy="360000"/>
                  <wp:effectExtent l="0" t="0" r="2540" b="2540"/>
                  <wp:docPr id="9" name="Graphic 9" descr="Badge Ques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Badge Question Mark with solid fil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9FB61A" w14:textId="77777777" w:rsidR="00D17D78" w:rsidRPr="00094F1D" w:rsidRDefault="00D17D78" w:rsidP="00FA521C">
            <w:pPr>
              <w:pStyle w:val="TableTex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Problem</w:t>
            </w:r>
          </w:p>
        </w:tc>
        <w:tc>
          <w:tcPr>
            <w:tcW w:w="3969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vAlign w:val="center"/>
          </w:tcPr>
          <w:p w14:paraId="6019E12E" w14:textId="799090DA" w:rsidR="00D17D78" w:rsidRPr="009A4C34" w:rsidRDefault="00D17D78" w:rsidP="00FA521C">
            <w:pPr>
              <w:pStyle w:val="TableText"/>
              <w:rPr>
                <w:rFonts w:cs="Arial"/>
                <w:szCs w:val="20"/>
              </w:rPr>
            </w:pPr>
            <w:r w:rsidRPr="009A4C34">
              <w:rPr>
                <w:rFonts w:cs="Arial"/>
                <w:szCs w:val="20"/>
              </w:rPr>
              <w:t xml:space="preserve">An ageing GP workforce combined with high-risk patients </w:t>
            </w:r>
            <w:r w:rsidR="00817249">
              <w:rPr>
                <w:rFonts w:cs="Arial"/>
                <w:szCs w:val="20"/>
              </w:rPr>
              <w:t>who live with</w:t>
            </w:r>
            <w:r w:rsidRPr="009A4C34">
              <w:rPr>
                <w:rFonts w:cs="Arial"/>
                <w:szCs w:val="20"/>
              </w:rPr>
              <w:t xml:space="preserve"> chronic health conditions.</w:t>
            </w:r>
          </w:p>
        </w:tc>
        <w:tc>
          <w:tcPr>
            <w:tcW w:w="249" w:type="dxa"/>
            <w:tcBorders>
              <w:left w:val="single" w:sz="4" w:space="0" w:color="3F4A75"/>
              <w:right w:val="single" w:sz="4" w:space="0" w:color="00727D"/>
            </w:tcBorders>
            <w:shd w:val="clear" w:color="auto" w:fill="auto"/>
          </w:tcPr>
          <w:p w14:paraId="5BE08477" w14:textId="77777777" w:rsidR="00D17D78" w:rsidRDefault="00D17D78" w:rsidP="00FA521C">
            <w:pPr>
              <w:pStyle w:val="TableText"/>
              <w:rPr>
                <w:rFonts w:cs="Arial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4F46B281" w14:textId="77777777" w:rsidR="00D17D78" w:rsidRPr="00094F1D" w:rsidRDefault="00D17D78" w:rsidP="00FA521C">
            <w:pPr>
              <w:pStyle w:val="TableText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5DE9A77B" wp14:editId="67CB0AD3">
                  <wp:extent cx="360000" cy="360000"/>
                  <wp:effectExtent l="0" t="0" r="2540" b="2540"/>
                  <wp:docPr id="3" name="Graphic 3" descr="Badge Ques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Badge Question Mark with solid fil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3AE091" w14:textId="77777777" w:rsidR="00D17D78" w:rsidRPr="00094F1D" w:rsidRDefault="00D17D78" w:rsidP="00FA521C">
            <w:pPr>
              <w:pStyle w:val="TableText"/>
              <w:rPr>
                <w:rFonts w:cs="Arial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Problem</w:t>
            </w:r>
          </w:p>
        </w:tc>
        <w:tc>
          <w:tcPr>
            <w:tcW w:w="3969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vAlign w:val="center"/>
          </w:tcPr>
          <w:p w14:paraId="7BC6157B" w14:textId="2A2A92B5" w:rsidR="00D17D78" w:rsidRPr="00FA521C" w:rsidRDefault="00D17D78" w:rsidP="00FA521C">
            <w:pPr>
              <w:pStyle w:val="TableText"/>
            </w:pPr>
            <w:r w:rsidRPr="00FA521C">
              <w:t>Health workforce shortages across three towns</w:t>
            </w:r>
          </w:p>
          <w:p w14:paraId="793304B8" w14:textId="3F922757" w:rsidR="00D17D78" w:rsidRPr="00FA521C" w:rsidRDefault="00D17D78" w:rsidP="00FA521C">
            <w:pPr>
              <w:pStyle w:val="TableText"/>
            </w:pPr>
            <w:r w:rsidRPr="00FA521C">
              <w:t>A gap in healthcare and long wait time</w:t>
            </w:r>
            <w:r w:rsidR="000A5318" w:rsidRPr="00FA521C">
              <w:t>s</w:t>
            </w:r>
            <w:r w:rsidRPr="00FA521C">
              <w:t xml:space="preserve"> to see a GP</w:t>
            </w:r>
          </w:p>
        </w:tc>
      </w:tr>
      <w:tr w:rsidR="00704FB0" w:rsidRPr="00CC6352" w14:paraId="649C5DA2" w14:textId="77777777" w:rsidTr="00FA521C">
        <w:trPr>
          <w:trHeight w:val="465"/>
        </w:trPr>
        <w:tc>
          <w:tcPr>
            <w:tcW w:w="1077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4C0DBB36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736B2521" wp14:editId="707C5314">
                  <wp:extent cx="360000" cy="360000"/>
                  <wp:effectExtent l="0" t="0" r="2540" b="2540"/>
                  <wp:docPr id="7" name="Graphic 7" descr="Lights 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Lights On with solid fil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D3E879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Solution</w:t>
            </w:r>
          </w:p>
        </w:tc>
        <w:tc>
          <w:tcPr>
            <w:tcW w:w="3969" w:type="dxa"/>
            <w:gridSpan w:val="2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vAlign w:val="center"/>
          </w:tcPr>
          <w:p w14:paraId="671D3276" w14:textId="77777777" w:rsidR="00817249" w:rsidRPr="00FA521C" w:rsidRDefault="00817249" w:rsidP="00FA521C">
            <w:pPr>
              <w:pStyle w:val="Tablelistbullet"/>
            </w:pPr>
            <w:r w:rsidRPr="00FA521C">
              <w:t>A part-time primary care clinic in the Multi-Purpose Service hospital</w:t>
            </w:r>
          </w:p>
          <w:p w14:paraId="6625BF71" w14:textId="77777777" w:rsidR="00817249" w:rsidRPr="00FA521C" w:rsidRDefault="00817249" w:rsidP="00FA521C">
            <w:pPr>
              <w:pStyle w:val="Tablelistbullet"/>
            </w:pPr>
            <w:r w:rsidRPr="00FA521C">
              <w:t>Single employer model for all health staff</w:t>
            </w:r>
          </w:p>
          <w:p w14:paraId="6D8A4C56" w14:textId="3EFE8701" w:rsidR="00D17D78" w:rsidRPr="00FA521C" w:rsidRDefault="00D17D78" w:rsidP="00FA521C">
            <w:pPr>
              <w:pStyle w:val="Tablelistbullet"/>
            </w:pPr>
            <w:r w:rsidRPr="00FA521C">
              <w:t>Sharing doctors between the towns</w:t>
            </w:r>
          </w:p>
        </w:tc>
        <w:tc>
          <w:tcPr>
            <w:tcW w:w="249" w:type="dxa"/>
            <w:gridSpan w:val="2"/>
            <w:tcBorders>
              <w:left w:val="single" w:sz="4" w:space="0" w:color="00727D"/>
              <w:right w:val="single" w:sz="4" w:space="0" w:color="3F4A75"/>
            </w:tcBorders>
          </w:tcPr>
          <w:p w14:paraId="6D9F6C09" w14:textId="77777777" w:rsidR="00D17D78" w:rsidRPr="00CC6352" w:rsidRDefault="00D17D78" w:rsidP="00551776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shd w:val="clear" w:color="auto" w:fill="3F4A75"/>
            <w:vAlign w:val="center"/>
          </w:tcPr>
          <w:p w14:paraId="18008B96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6C8C1C46" wp14:editId="5625ACEE">
                  <wp:extent cx="360000" cy="360000"/>
                  <wp:effectExtent l="0" t="0" r="2540" b="2540"/>
                  <wp:docPr id="10" name="Graphic 10" descr="Lights 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Lights On with solid fil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F7A5C6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Solution</w:t>
            </w:r>
          </w:p>
        </w:tc>
        <w:tc>
          <w:tcPr>
            <w:tcW w:w="3969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vAlign w:val="center"/>
          </w:tcPr>
          <w:p w14:paraId="229F842F" w14:textId="77777777" w:rsidR="00D17D78" w:rsidRPr="009A4C34" w:rsidRDefault="00D17D78" w:rsidP="00551776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9A4C34">
              <w:rPr>
                <w:rFonts w:cs="Arial"/>
                <w:sz w:val="20"/>
                <w:szCs w:val="20"/>
              </w:rPr>
              <w:t>A multidisciplinary team-based care model led by GPs. The team coordinates the care of patients with chronic health conditions.</w:t>
            </w:r>
          </w:p>
        </w:tc>
        <w:tc>
          <w:tcPr>
            <w:tcW w:w="249" w:type="dxa"/>
            <w:tcBorders>
              <w:left w:val="single" w:sz="4" w:space="0" w:color="3F4A75"/>
              <w:right w:val="single" w:sz="4" w:space="0" w:color="00727D"/>
            </w:tcBorders>
            <w:shd w:val="clear" w:color="auto" w:fill="auto"/>
          </w:tcPr>
          <w:p w14:paraId="5C9EBE16" w14:textId="77777777" w:rsidR="00D17D78" w:rsidRPr="00CC6352" w:rsidRDefault="00D17D78" w:rsidP="00551776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50EF48FA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7E67F7E8" wp14:editId="759E6A20">
                  <wp:extent cx="360000" cy="360000"/>
                  <wp:effectExtent l="0" t="0" r="2540" b="2540"/>
                  <wp:docPr id="70" name="Graphic 70" descr="Lights 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Lights On with solid fil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CF89BF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Solution</w:t>
            </w:r>
          </w:p>
        </w:tc>
        <w:tc>
          <w:tcPr>
            <w:tcW w:w="3969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vAlign w:val="center"/>
          </w:tcPr>
          <w:p w14:paraId="62E41F94" w14:textId="5B6E11D6" w:rsidR="00D17D78" w:rsidRPr="009A4C34" w:rsidRDefault="00D17D78" w:rsidP="00551776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9A4C34">
              <w:rPr>
                <w:rFonts w:cs="Arial"/>
                <w:sz w:val="20"/>
                <w:szCs w:val="20"/>
              </w:rPr>
              <w:t xml:space="preserve">Co-design of a shared </w:t>
            </w:r>
            <w:r w:rsidR="00D974CF">
              <w:rPr>
                <w:rFonts w:cs="Arial"/>
                <w:sz w:val="20"/>
                <w:szCs w:val="20"/>
              </w:rPr>
              <w:t>health workforce</w:t>
            </w:r>
            <w:r w:rsidR="00D974CF" w:rsidRPr="009A4C34">
              <w:rPr>
                <w:rFonts w:cs="Arial"/>
                <w:sz w:val="20"/>
                <w:szCs w:val="20"/>
              </w:rPr>
              <w:t xml:space="preserve"> </w:t>
            </w:r>
            <w:r w:rsidRPr="009A4C34">
              <w:rPr>
                <w:rFonts w:cs="Arial"/>
                <w:sz w:val="20"/>
                <w:szCs w:val="20"/>
              </w:rPr>
              <w:t>model of care across the region</w:t>
            </w:r>
          </w:p>
        </w:tc>
      </w:tr>
      <w:tr w:rsidR="00704FB0" w:rsidRPr="00CC6352" w14:paraId="6B44F24D" w14:textId="77777777" w:rsidTr="00FA521C">
        <w:trPr>
          <w:trHeight w:val="669"/>
        </w:trPr>
        <w:tc>
          <w:tcPr>
            <w:tcW w:w="1077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5DC10D21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595A4EBA" wp14:editId="788B0E35">
                  <wp:extent cx="360000" cy="360000"/>
                  <wp:effectExtent l="0" t="0" r="2540" b="0"/>
                  <wp:docPr id="5" name="Graphic 5" descr="Fenc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Fence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219FCD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Barriers</w:t>
            </w:r>
          </w:p>
        </w:tc>
        <w:tc>
          <w:tcPr>
            <w:tcW w:w="3969" w:type="dxa"/>
            <w:gridSpan w:val="2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vAlign w:val="center"/>
          </w:tcPr>
          <w:p w14:paraId="09713D75" w14:textId="3E23833C" w:rsidR="00FF6833" w:rsidRPr="00FA521C" w:rsidRDefault="00D17D78" w:rsidP="00FA521C">
            <w:pPr>
              <w:pStyle w:val="Tablelistbullet"/>
            </w:pPr>
            <w:r w:rsidRPr="00FA521C">
              <w:t xml:space="preserve">Difficult to find enough </w:t>
            </w:r>
            <w:proofErr w:type="gramStart"/>
            <w:r w:rsidRPr="00FA521C">
              <w:t>doctors</w:t>
            </w:r>
            <w:proofErr w:type="gramEnd"/>
          </w:p>
          <w:p w14:paraId="626743F7" w14:textId="28AF2D7D" w:rsidR="00D17D78" w:rsidRPr="00FA521C" w:rsidRDefault="00817249" w:rsidP="00FA521C">
            <w:pPr>
              <w:pStyle w:val="Tablelistbullet"/>
            </w:pPr>
            <w:r w:rsidRPr="00FA521C">
              <w:t xml:space="preserve">Requires funding contributions additional to Medicare benefits, </w:t>
            </w:r>
            <w:proofErr w:type="gramStart"/>
            <w:r w:rsidRPr="00FA521C">
              <w:t>in order to</w:t>
            </w:r>
            <w:proofErr w:type="gramEnd"/>
            <w:r w:rsidRPr="00FA521C">
              <w:t xml:space="preserve"> fill market gaps </w:t>
            </w:r>
          </w:p>
        </w:tc>
        <w:tc>
          <w:tcPr>
            <w:tcW w:w="249" w:type="dxa"/>
            <w:gridSpan w:val="2"/>
            <w:tcBorders>
              <w:left w:val="single" w:sz="4" w:space="0" w:color="00727D"/>
              <w:right w:val="single" w:sz="4" w:space="0" w:color="3F4A75"/>
            </w:tcBorders>
          </w:tcPr>
          <w:p w14:paraId="2EA73CD0" w14:textId="77777777" w:rsidR="00D17D78" w:rsidRPr="00A12E45" w:rsidRDefault="00D17D78" w:rsidP="00551776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shd w:val="clear" w:color="auto" w:fill="3F4A75"/>
            <w:vAlign w:val="center"/>
          </w:tcPr>
          <w:p w14:paraId="60D4C87C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09AD02E4" wp14:editId="4D548D37">
                  <wp:extent cx="360000" cy="360000"/>
                  <wp:effectExtent l="0" t="0" r="2540" b="0"/>
                  <wp:docPr id="11" name="Graphic 11" descr="Fenc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Fence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1C1D7A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Barriers</w:t>
            </w:r>
          </w:p>
        </w:tc>
        <w:tc>
          <w:tcPr>
            <w:tcW w:w="3969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vAlign w:val="center"/>
          </w:tcPr>
          <w:p w14:paraId="77A3C8C1" w14:textId="3CF0599D" w:rsidR="00D17D78" w:rsidRPr="00FA521C" w:rsidRDefault="00D17D78" w:rsidP="00FA521C">
            <w:pPr>
              <w:pStyle w:val="Tablelistbullet"/>
            </w:pPr>
            <w:r w:rsidRPr="00FA521C">
              <w:t>No shared IT systems across the team</w:t>
            </w:r>
          </w:p>
          <w:p w14:paraId="6159827B" w14:textId="506E9253" w:rsidR="00D17D78" w:rsidRPr="00FA521C" w:rsidRDefault="00D17D78" w:rsidP="00FA521C">
            <w:pPr>
              <w:pStyle w:val="Tablelistbullet"/>
            </w:pPr>
            <w:r w:rsidRPr="00FA521C">
              <w:t>Changes in deliberate team-based care personnel</w:t>
            </w:r>
          </w:p>
        </w:tc>
        <w:tc>
          <w:tcPr>
            <w:tcW w:w="249" w:type="dxa"/>
            <w:tcBorders>
              <w:left w:val="single" w:sz="4" w:space="0" w:color="3F4A75"/>
              <w:right w:val="single" w:sz="4" w:space="0" w:color="00727D"/>
            </w:tcBorders>
            <w:shd w:val="clear" w:color="auto" w:fill="auto"/>
          </w:tcPr>
          <w:p w14:paraId="41EF97F4" w14:textId="77777777" w:rsidR="00D17D78" w:rsidRPr="00A54376" w:rsidRDefault="00D17D78" w:rsidP="00551776">
            <w:pPr>
              <w:pStyle w:val="ListParagraph"/>
              <w:spacing w:before="0" w:after="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1FA53B5E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3FBA4D26" wp14:editId="692E804C">
                  <wp:extent cx="360000" cy="360000"/>
                  <wp:effectExtent l="0" t="0" r="2540" b="0"/>
                  <wp:docPr id="71" name="Graphic 71" descr="Fenc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Fence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E342D1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Barriers</w:t>
            </w:r>
          </w:p>
        </w:tc>
        <w:tc>
          <w:tcPr>
            <w:tcW w:w="3969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vAlign w:val="center"/>
          </w:tcPr>
          <w:p w14:paraId="49871235" w14:textId="282B8414" w:rsidR="00D17D78" w:rsidRPr="00FA521C" w:rsidRDefault="00D17D78" w:rsidP="00FA521C">
            <w:pPr>
              <w:pStyle w:val="Tablelistbullet"/>
            </w:pPr>
            <w:r w:rsidRPr="00FA521C">
              <w:t xml:space="preserve">Not enough GPs who can supervise which limits use of </w:t>
            </w:r>
            <w:r w:rsidR="007F7E75" w:rsidRPr="00FA521C">
              <w:t>international medical graduates</w:t>
            </w:r>
            <w:r w:rsidR="007F7E75" w:rsidRPr="00FA521C" w:rsidDel="007F7E75">
              <w:t xml:space="preserve"> </w:t>
            </w:r>
            <w:r w:rsidRPr="00FA521C">
              <w:t xml:space="preserve">and </w:t>
            </w:r>
            <w:proofErr w:type="gramStart"/>
            <w:r w:rsidRPr="00FA521C">
              <w:t>registrars</w:t>
            </w:r>
            <w:proofErr w:type="gramEnd"/>
          </w:p>
          <w:p w14:paraId="5DD263A1" w14:textId="58960B5E" w:rsidR="00D17D78" w:rsidRPr="00FA521C" w:rsidRDefault="00D974CF" w:rsidP="00FA521C">
            <w:pPr>
              <w:pStyle w:val="Tablelistbullet"/>
            </w:pPr>
            <w:r w:rsidRPr="00FA521C">
              <w:t>Time required to establish cooperation between</w:t>
            </w:r>
            <w:r w:rsidR="00D11989" w:rsidRPr="00FA521C">
              <w:t xml:space="preserve"> towns</w:t>
            </w:r>
          </w:p>
        </w:tc>
      </w:tr>
      <w:tr w:rsidR="00704FB0" w:rsidRPr="00CC6352" w14:paraId="62B2348F" w14:textId="77777777" w:rsidTr="00FA521C">
        <w:trPr>
          <w:trHeight w:val="446"/>
        </w:trPr>
        <w:tc>
          <w:tcPr>
            <w:tcW w:w="1077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4F105381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37FCC71D" wp14:editId="776F85C3">
                  <wp:extent cx="360000" cy="360000"/>
                  <wp:effectExtent l="0" t="0" r="2540" b="0"/>
                  <wp:docPr id="4" name="Graphic 4" descr="Use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Users with solid fill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606C7B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Enablers</w:t>
            </w:r>
          </w:p>
        </w:tc>
        <w:tc>
          <w:tcPr>
            <w:tcW w:w="3969" w:type="dxa"/>
            <w:gridSpan w:val="2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vAlign w:val="center"/>
          </w:tcPr>
          <w:p w14:paraId="6D22C060" w14:textId="2BD752C4" w:rsidR="00817249" w:rsidRPr="00FA521C" w:rsidRDefault="00817249" w:rsidP="00FA521C">
            <w:pPr>
              <w:pStyle w:val="Tablelistbullet"/>
            </w:pPr>
            <w:r w:rsidRPr="00FA521C">
              <w:t xml:space="preserve">Locations are close </w:t>
            </w:r>
            <w:proofErr w:type="gramStart"/>
            <w:r w:rsidRPr="00FA521C">
              <w:t>together</w:t>
            </w:r>
            <w:proofErr w:type="gramEnd"/>
          </w:p>
          <w:p w14:paraId="693B2147" w14:textId="6B1AAAE1" w:rsidR="00817249" w:rsidRPr="00FA521C" w:rsidRDefault="00817249" w:rsidP="00FA521C">
            <w:pPr>
              <w:pStyle w:val="Tablelistbullet"/>
            </w:pPr>
            <w:r w:rsidRPr="00FA521C">
              <w:t xml:space="preserve">Telehealth services when local doctors are not </w:t>
            </w:r>
            <w:proofErr w:type="gramStart"/>
            <w:r w:rsidRPr="00FA521C">
              <w:t>available</w:t>
            </w:r>
            <w:proofErr w:type="gramEnd"/>
          </w:p>
          <w:p w14:paraId="1C7896A8" w14:textId="73FA60A6" w:rsidR="00817249" w:rsidRPr="00FA521C" w:rsidRDefault="00817249" w:rsidP="00FA521C">
            <w:pPr>
              <w:pStyle w:val="Tablelistbullet"/>
            </w:pPr>
            <w:r w:rsidRPr="00FA521C">
              <w:t>Integrated office functions across locations</w:t>
            </w:r>
          </w:p>
          <w:p w14:paraId="4E2E84BF" w14:textId="7FD9ECEC" w:rsidR="00D17D78" w:rsidRPr="00FA521C" w:rsidRDefault="00D17D78" w:rsidP="00FA521C">
            <w:pPr>
              <w:pStyle w:val="Tablelistbullet"/>
            </w:pPr>
            <w:r w:rsidRPr="00FA521C">
              <w:t xml:space="preserve">Community groups that help make healthcare </w:t>
            </w:r>
            <w:proofErr w:type="gramStart"/>
            <w:r w:rsidRPr="00FA521C">
              <w:t>decisions</w:t>
            </w:r>
            <w:proofErr w:type="gramEnd"/>
            <w:r w:rsidRPr="00FA521C">
              <w:t xml:space="preserve"> </w:t>
            </w:r>
          </w:p>
          <w:p w14:paraId="69A779F6" w14:textId="3ADF9DBB" w:rsidR="00D17D78" w:rsidRPr="00FA521C" w:rsidRDefault="00D17D78" w:rsidP="00FA521C">
            <w:pPr>
              <w:pStyle w:val="Tablelistbullet"/>
            </w:pPr>
            <w:r w:rsidRPr="00FA521C">
              <w:t>Education to help explain how healthcare works</w:t>
            </w:r>
          </w:p>
        </w:tc>
        <w:tc>
          <w:tcPr>
            <w:tcW w:w="249" w:type="dxa"/>
            <w:gridSpan w:val="2"/>
            <w:tcBorders>
              <w:left w:val="single" w:sz="4" w:space="0" w:color="00727D"/>
              <w:right w:val="single" w:sz="4" w:space="0" w:color="3F4A75"/>
            </w:tcBorders>
          </w:tcPr>
          <w:p w14:paraId="58FEC5C1" w14:textId="77777777" w:rsidR="00D17D78" w:rsidRPr="00A12E45" w:rsidRDefault="00D17D78" w:rsidP="00551776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shd w:val="clear" w:color="auto" w:fill="3F4A75"/>
            <w:vAlign w:val="center"/>
          </w:tcPr>
          <w:p w14:paraId="40F572D3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0C6B8F11" wp14:editId="155C3128">
                  <wp:extent cx="360000" cy="360000"/>
                  <wp:effectExtent l="0" t="0" r="2540" b="0"/>
                  <wp:docPr id="12" name="Graphic 12" descr="Use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Users with solid fill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42F035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Enablers</w:t>
            </w:r>
          </w:p>
        </w:tc>
        <w:tc>
          <w:tcPr>
            <w:tcW w:w="3969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vAlign w:val="center"/>
          </w:tcPr>
          <w:p w14:paraId="22F9E9E1" w14:textId="0F3EEDB8" w:rsidR="00E6149F" w:rsidRPr="00FA521C" w:rsidRDefault="00D17D78" w:rsidP="00FA521C">
            <w:pPr>
              <w:pStyle w:val="Tablelistbullet"/>
            </w:pPr>
            <w:r w:rsidRPr="00FA521C">
              <w:t xml:space="preserve">An understanding of the integrated care model  </w:t>
            </w:r>
          </w:p>
          <w:p w14:paraId="5A05D5C7" w14:textId="7C3253C7" w:rsidR="00D17D78" w:rsidRPr="00FA521C" w:rsidRDefault="00E6149F" w:rsidP="00FA521C">
            <w:pPr>
              <w:pStyle w:val="Tablelistbullet"/>
            </w:pPr>
            <w:r w:rsidRPr="00FA521C">
              <w:t>H</w:t>
            </w:r>
            <w:r w:rsidR="00D17D78" w:rsidRPr="00FA521C">
              <w:t>ealth practitioners who work w</w:t>
            </w:r>
            <w:r w:rsidR="00817249" w:rsidRPr="00FA521C">
              <w:t>e</w:t>
            </w:r>
            <w:r w:rsidR="00D17D78" w:rsidRPr="00FA521C">
              <w:t>ll together</w:t>
            </w:r>
          </w:p>
        </w:tc>
        <w:tc>
          <w:tcPr>
            <w:tcW w:w="249" w:type="dxa"/>
            <w:tcBorders>
              <w:left w:val="single" w:sz="4" w:space="0" w:color="3F4A75"/>
              <w:right w:val="single" w:sz="4" w:space="0" w:color="00727D"/>
            </w:tcBorders>
            <w:shd w:val="clear" w:color="auto" w:fill="auto"/>
          </w:tcPr>
          <w:p w14:paraId="2CE719CC" w14:textId="77777777" w:rsidR="00D17D78" w:rsidRPr="00A54376" w:rsidRDefault="00D17D78" w:rsidP="00551776">
            <w:pPr>
              <w:pStyle w:val="ListParagraph"/>
              <w:spacing w:before="0" w:after="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38D56D2B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0CD684EE" wp14:editId="1CB6572F">
                  <wp:extent cx="360000" cy="360000"/>
                  <wp:effectExtent l="0" t="0" r="2540" b="0"/>
                  <wp:docPr id="14" name="Graphic 14" descr="Use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Users with solid fill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9DE17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Enablers</w:t>
            </w:r>
          </w:p>
        </w:tc>
        <w:tc>
          <w:tcPr>
            <w:tcW w:w="3969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vAlign w:val="center"/>
          </w:tcPr>
          <w:p w14:paraId="5159FF88" w14:textId="77777777" w:rsidR="00D17D78" w:rsidRPr="00FA521C" w:rsidRDefault="00D17D78" w:rsidP="00FA521C">
            <w:pPr>
              <w:pStyle w:val="Tablelistbullet"/>
            </w:pPr>
            <w:r w:rsidRPr="00FA521C">
              <w:t>Regional GP recruitment campaign</w:t>
            </w:r>
          </w:p>
          <w:p w14:paraId="04ACE2E5" w14:textId="107912AB" w:rsidR="00D17D78" w:rsidRPr="00FA521C" w:rsidRDefault="00D17D78" w:rsidP="00FA521C">
            <w:pPr>
              <w:pStyle w:val="Tablelistbullet"/>
            </w:pPr>
            <w:r w:rsidRPr="00FA521C">
              <w:t xml:space="preserve">Collaborative governance </w:t>
            </w:r>
            <w:r w:rsidR="00D974CF" w:rsidRPr="00FA521C">
              <w:t xml:space="preserve">and </w:t>
            </w:r>
            <w:r w:rsidRPr="00FA521C">
              <w:t>improved communication</w:t>
            </w:r>
          </w:p>
          <w:p w14:paraId="7789208A" w14:textId="0FCDD668" w:rsidR="00D17D78" w:rsidRPr="00FA521C" w:rsidRDefault="00D17D78" w:rsidP="00FA521C">
            <w:pPr>
              <w:pStyle w:val="Tablelistbullet"/>
            </w:pPr>
            <w:r w:rsidRPr="00FA521C">
              <w:t>Engagement and advice from National Rural Health Commissioner</w:t>
            </w:r>
          </w:p>
        </w:tc>
      </w:tr>
      <w:tr w:rsidR="00704FB0" w:rsidRPr="00CC6352" w14:paraId="4A20C893" w14:textId="77777777" w:rsidTr="00FA521C">
        <w:trPr>
          <w:trHeight w:val="77"/>
        </w:trPr>
        <w:tc>
          <w:tcPr>
            <w:tcW w:w="1077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6997377A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1A3B6CCF" wp14:editId="74CA06A8">
                  <wp:extent cx="360000" cy="360000"/>
                  <wp:effectExtent l="0" t="0" r="0" b="2540"/>
                  <wp:docPr id="15" name="Graphic 15" descr="Doll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Dollar with solid fill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821E1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Funding and resources</w:t>
            </w:r>
          </w:p>
        </w:tc>
        <w:tc>
          <w:tcPr>
            <w:tcW w:w="3969" w:type="dxa"/>
            <w:gridSpan w:val="2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vAlign w:val="center"/>
          </w:tcPr>
          <w:p w14:paraId="12ACA08C" w14:textId="5CFB17F3" w:rsidR="00FF6833" w:rsidRPr="00FA521C" w:rsidRDefault="00D17D78" w:rsidP="00FA521C">
            <w:pPr>
              <w:pStyle w:val="Tablelistbullet"/>
            </w:pPr>
            <w:r w:rsidRPr="00FA521C">
              <w:t>Council of Australian Governments (COAG) Section 19(2) Exemptions Initiative</w:t>
            </w:r>
            <w:r w:rsidR="00DA3AAA" w:rsidRPr="00FA521C">
              <w:t xml:space="preserve"> – b</w:t>
            </w:r>
            <w:r w:rsidR="00807740" w:rsidRPr="00FA521C">
              <w:t>ulk</w:t>
            </w:r>
            <w:r w:rsidRPr="00FA521C">
              <w:t xml:space="preserve"> bill</w:t>
            </w:r>
            <w:r w:rsidR="00807740" w:rsidRPr="00FA521C">
              <w:t>ing</w:t>
            </w:r>
            <w:r w:rsidRPr="00FA521C">
              <w:t xml:space="preserve"> the Medicare Benefits Schedule for eligible services</w:t>
            </w:r>
            <w:r w:rsidR="00807740" w:rsidRPr="00FA521C">
              <w:t>.</w:t>
            </w:r>
          </w:p>
          <w:p w14:paraId="5A1000DF" w14:textId="15DE1D7F" w:rsidR="00FF6833" w:rsidRPr="00FA521C" w:rsidRDefault="00D17D78" w:rsidP="00FA521C">
            <w:pPr>
              <w:pStyle w:val="Tablelistbullet"/>
            </w:pPr>
            <w:r w:rsidRPr="00FA521C">
              <w:t>Existing multi-purpose services infrastructure and resources</w:t>
            </w:r>
          </w:p>
          <w:p w14:paraId="1255C62E" w14:textId="7CAEFF64" w:rsidR="00817249" w:rsidRPr="00FA521C" w:rsidRDefault="00817249" w:rsidP="00FA521C">
            <w:pPr>
              <w:pStyle w:val="Tablelistbullet"/>
            </w:pPr>
            <w:r w:rsidRPr="00FA521C">
              <w:t>In-kind resources from community groups and project partners</w:t>
            </w:r>
          </w:p>
        </w:tc>
        <w:tc>
          <w:tcPr>
            <w:tcW w:w="249" w:type="dxa"/>
            <w:gridSpan w:val="2"/>
            <w:tcBorders>
              <w:left w:val="single" w:sz="4" w:space="0" w:color="00727D"/>
              <w:right w:val="single" w:sz="4" w:space="0" w:color="3F4A75"/>
            </w:tcBorders>
          </w:tcPr>
          <w:p w14:paraId="7FA0922C" w14:textId="77777777" w:rsidR="00D17D78" w:rsidRPr="00A54376" w:rsidRDefault="00D17D78" w:rsidP="00551776">
            <w:pPr>
              <w:pStyle w:val="ListParagraph"/>
              <w:spacing w:before="0" w:after="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shd w:val="clear" w:color="auto" w:fill="3F4A75"/>
            <w:vAlign w:val="center"/>
          </w:tcPr>
          <w:p w14:paraId="4E149C6B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056E437C" wp14:editId="721FA79D">
                  <wp:extent cx="360000" cy="360000"/>
                  <wp:effectExtent l="0" t="0" r="0" b="2540"/>
                  <wp:docPr id="13" name="Graphic 13" descr="Doll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Dollar with solid fill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Funding and resources</w:t>
            </w:r>
          </w:p>
        </w:tc>
        <w:tc>
          <w:tcPr>
            <w:tcW w:w="3969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vAlign w:val="center"/>
          </w:tcPr>
          <w:p w14:paraId="07C18739" w14:textId="256452F4" w:rsidR="00D17D78" w:rsidRPr="00FA521C" w:rsidRDefault="00D00533" w:rsidP="00FA521C">
            <w:pPr>
              <w:pStyle w:val="Tablelistbullet"/>
            </w:pPr>
            <w:r w:rsidRPr="00FA521C">
              <w:t xml:space="preserve">Medicare Benefits Schedule billing </w:t>
            </w:r>
            <w:r w:rsidR="00D17D78" w:rsidRPr="00FA521C">
              <w:t>of patient health care plans</w:t>
            </w:r>
            <w:r w:rsidR="00E6149F" w:rsidRPr="00FA521C">
              <w:t xml:space="preserve"> and case conferences</w:t>
            </w:r>
          </w:p>
          <w:p w14:paraId="266D3AB9" w14:textId="07D22F11" w:rsidR="00D17D78" w:rsidRPr="00FA521C" w:rsidRDefault="00D17D78" w:rsidP="00FA521C">
            <w:pPr>
              <w:pStyle w:val="Tablelistbullet"/>
            </w:pPr>
            <w:r w:rsidRPr="00FA521C">
              <w:t>Nearby health teams working in the Local Health District, NSW Ambulance, and pharmacy</w:t>
            </w:r>
          </w:p>
        </w:tc>
        <w:tc>
          <w:tcPr>
            <w:tcW w:w="249" w:type="dxa"/>
            <w:tcBorders>
              <w:left w:val="single" w:sz="4" w:space="0" w:color="3F4A75"/>
              <w:right w:val="single" w:sz="4" w:space="0" w:color="00727D"/>
            </w:tcBorders>
          </w:tcPr>
          <w:p w14:paraId="47729AB5" w14:textId="77777777" w:rsidR="00D17D78" w:rsidRPr="00A54376" w:rsidRDefault="00D17D78" w:rsidP="00551776">
            <w:pPr>
              <w:pStyle w:val="ListParagraph"/>
              <w:spacing w:before="0" w:after="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12A5E0E2" w14:textId="77777777" w:rsidR="00D17D78" w:rsidRPr="00094F1D" w:rsidRDefault="00D17D78" w:rsidP="00551776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094F1D">
              <w:rPr>
                <w:noProof/>
                <w:sz w:val="18"/>
                <w:szCs w:val="18"/>
              </w:rPr>
              <w:drawing>
                <wp:inline distT="0" distB="0" distL="0" distR="0" wp14:anchorId="436E1B62" wp14:editId="721D676C">
                  <wp:extent cx="360000" cy="360000"/>
                  <wp:effectExtent l="0" t="0" r="0" b="2540"/>
                  <wp:docPr id="72" name="Graphic 72" descr="Doll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Dollar with solid fill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br/>
              <w:t>Funding and resources</w:t>
            </w:r>
          </w:p>
        </w:tc>
        <w:tc>
          <w:tcPr>
            <w:tcW w:w="3969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vAlign w:val="center"/>
          </w:tcPr>
          <w:p w14:paraId="00B0EA63" w14:textId="1035E55C" w:rsidR="00D17D78" w:rsidRPr="00FA521C" w:rsidRDefault="00D00533" w:rsidP="00FA521C">
            <w:pPr>
              <w:pStyle w:val="Tablelistbullet"/>
            </w:pPr>
            <w:r w:rsidRPr="00FA521C">
              <w:t xml:space="preserve">Medicare Benefits Schedule </w:t>
            </w:r>
            <w:r w:rsidR="00D17D78" w:rsidRPr="00FA521C">
              <w:t>billing</w:t>
            </w:r>
            <w:r w:rsidR="00FF6833" w:rsidRPr="00FA521C">
              <w:t>.</w:t>
            </w:r>
          </w:p>
          <w:p w14:paraId="1E1C98DB" w14:textId="0A4EE8FB" w:rsidR="00D17D78" w:rsidRPr="00FA521C" w:rsidRDefault="00D17D78" w:rsidP="00FA521C">
            <w:pPr>
              <w:pStyle w:val="Tablelistbullet"/>
            </w:pPr>
            <w:r w:rsidRPr="00FA521C">
              <w:t xml:space="preserve">Recruitment support from the </w:t>
            </w:r>
            <w:r w:rsidR="00D974CF" w:rsidRPr="00FA521C">
              <w:t xml:space="preserve">Rural Doctors Network </w:t>
            </w:r>
            <w:r w:rsidRPr="00FA521C">
              <w:t>and partners</w:t>
            </w:r>
          </w:p>
        </w:tc>
      </w:tr>
      <w:tr w:rsidR="00704FB0" w:rsidRPr="00CC6352" w14:paraId="4EA1928F" w14:textId="77777777" w:rsidTr="00FA521C">
        <w:tblPrEx>
          <w:tblCellMar>
            <w:left w:w="108" w:type="dxa"/>
            <w:right w:w="108" w:type="dxa"/>
          </w:tblCellMar>
        </w:tblPrEx>
        <w:trPr>
          <w:gridAfter w:val="4"/>
          <w:wAfter w:w="5534" w:type="dxa"/>
          <w:trHeight w:val="298"/>
        </w:trPr>
        <w:tc>
          <w:tcPr>
            <w:tcW w:w="1077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43E48D37" w14:textId="77777777" w:rsidR="00704FB0" w:rsidRPr="00094F1D" w:rsidRDefault="00704FB0" w:rsidP="00551776">
            <w:pPr>
              <w:spacing w:before="0" w:after="0"/>
              <w:jc w:val="center"/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32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320A4249" w14:textId="77777777" w:rsidR="00704FB0" w:rsidRPr="003F6802" w:rsidRDefault="00704FB0" w:rsidP="00551776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4"/>
              </w:rPr>
              <w:t>Snowy Valleys trial</w:t>
            </w:r>
          </w:p>
        </w:tc>
        <w:tc>
          <w:tcPr>
            <w:tcW w:w="284" w:type="dxa"/>
            <w:gridSpan w:val="2"/>
            <w:tcBorders>
              <w:left w:val="single" w:sz="4" w:space="0" w:color="00727D"/>
              <w:right w:val="single" w:sz="4" w:space="0" w:color="3F4A75"/>
            </w:tcBorders>
          </w:tcPr>
          <w:p w14:paraId="4E9DB30D" w14:textId="77777777" w:rsidR="00704FB0" w:rsidRPr="00A54376" w:rsidRDefault="00704FB0" w:rsidP="00551776">
            <w:pPr>
              <w:pStyle w:val="ListParagraph"/>
              <w:spacing w:before="0" w:after="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shd w:val="clear" w:color="auto" w:fill="3F4A75"/>
            <w:vAlign w:val="center"/>
          </w:tcPr>
          <w:p w14:paraId="12EACCF9" w14:textId="77777777" w:rsidR="00704FB0" w:rsidRPr="00094F1D" w:rsidRDefault="00704FB0" w:rsidP="00551776">
            <w:pPr>
              <w:spacing w:before="0" w:after="0"/>
              <w:jc w:val="center"/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shd w:val="clear" w:color="auto" w:fill="3F4A75"/>
            <w:vAlign w:val="center"/>
          </w:tcPr>
          <w:p w14:paraId="54C6185D" w14:textId="77777777" w:rsidR="00704FB0" w:rsidRPr="003F6802" w:rsidRDefault="00704FB0" w:rsidP="00551776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4"/>
              </w:rPr>
              <w:t>Wentworth trial</w:t>
            </w:r>
          </w:p>
        </w:tc>
      </w:tr>
      <w:tr w:rsidR="00866B42" w:rsidRPr="00CC6352" w14:paraId="26E0D719" w14:textId="77777777" w:rsidTr="00FA521C">
        <w:tblPrEx>
          <w:tblCellMar>
            <w:left w:w="108" w:type="dxa"/>
            <w:right w:w="108" w:type="dxa"/>
          </w:tblCellMar>
        </w:tblPrEx>
        <w:trPr>
          <w:gridAfter w:val="4"/>
          <w:wAfter w:w="5534" w:type="dxa"/>
          <w:trHeight w:val="1135"/>
        </w:trPr>
        <w:tc>
          <w:tcPr>
            <w:tcW w:w="1077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27804B92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6D159EDB" wp14:editId="717C24E0">
                  <wp:extent cx="360000" cy="360000"/>
                  <wp:effectExtent l="0" t="0" r="2540" b="0"/>
                  <wp:docPr id="82" name="Graphic 82" descr="Map with pi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p with pin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DFEEC9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noProof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3832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vAlign w:val="center"/>
          </w:tcPr>
          <w:p w14:paraId="4CD8918D" w14:textId="104C8FF9" w:rsidR="00866B42" w:rsidRPr="009A4C34" w:rsidRDefault="00866B42" w:rsidP="00FA521C">
            <w:pPr>
              <w:pStyle w:val="TableText"/>
            </w:pPr>
            <w:r w:rsidRPr="0094464B">
              <w:t>Tumut, Tumbarumba, Batlow,</w:t>
            </w:r>
            <w:r>
              <w:t xml:space="preserve"> Gundagai, </w:t>
            </w:r>
            <w:proofErr w:type="gramStart"/>
            <w:r>
              <w:t>Finley</w:t>
            </w:r>
            <w:proofErr w:type="gramEnd"/>
            <w:r w:rsidRPr="0094464B">
              <w:t xml:space="preserve"> and Adelong</w:t>
            </w:r>
          </w:p>
        </w:tc>
        <w:tc>
          <w:tcPr>
            <w:tcW w:w="284" w:type="dxa"/>
            <w:gridSpan w:val="2"/>
            <w:tcBorders>
              <w:left w:val="single" w:sz="4" w:space="0" w:color="00727D"/>
              <w:right w:val="single" w:sz="4" w:space="0" w:color="3F4A75"/>
            </w:tcBorders>
          </w:tcPr>
          <w:p w14:paraId="2B54A3DE" w14:textId="77777777" w:rsidR="00866B42" w:rsidRPr="00A54376" w:rsidRDefault="00866B42" w:rsidP="00866B42">
            <w:pPr>
              <w:pStyle w:val="ListParagraph"/>
              <w:spacing w:before="0" w:after="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shd w:val="clear" w:color="auto" w:fill="3F4A75"/>
            <w:vAlign w:val="center"/>
          </w:tcPr>
          <w:p w14:paraId="691F46B9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429FA62D" wp14:editId="01B6EF7B">
                  <wp:extent cx="360000" cy="360000"/>
                  <wp:effectExtent l="0" t="0" r="2540" b="0"/>
                  <wp:docPr id="88" name="Graphic 88" descr="Map with pi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p with pin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E9278E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noProof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3832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vAlign w:val="center"/>
          </w:tcPr>
          <w:p w14:paraId="5E9F788E" w14:textId="64D2D07A" w:rsidR="00866B42" w:rsidRPr="009A4C34" w:rsidRDefault="00866B42" w:rsidP="00FA521C">
            <w:pPr>
              <w:pStyle w:val="TableText"/>
            </w:pPr>
            <w:r w:rsidRPr="00A731F5">
              <w:t>Wentworth, Dareton, Buronga, and Gol Gol</w:t>
            </w:r>
          </w:p>
        </w:tc>
      </w:tr>
      <w:tr w:rsidR="00866B42" w:rsidRPr="00CC6352" w14:paraId="576BD1EA" w14:textId="77777777" w:rsidTr="00FA521C">
        <w:tblPrEx>
          <w:tblCellMar>
            <w:left w:w="108" w:type="dxa"/>
            <w:right w:w="108" w:type="dxa"/>
          </w:tblCellMar>
        </w:tblPrEx>
        <w:trPr>
          <w:gridAfter w:val="4"/>
          <w:wAfter w:w="5534" w:type="dxa"/>
          <w:trHeight w:val="1135"/>
        </w:trPr>
        <w:tc>
          <w:tcPr>
            <w:tcW w:w="1077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1AA8A90F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620E0112" wp14:editId="4E4C0301">
                  <wp:extent cx="360000" cy="360000"/>
                  <wp:effectExtent l="0" t="0" r="2540" b="2540"/>
                  <wp:docPr id="83" name="Graphic 83" descr="Badge Ques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Badge Question Mark with solid fil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A6928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noProof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Problem</w:t>
            </w:r>
          </w:p>
        </w:tc>
        <w:tc>
          <w:tcPr>
            <w:tcW w:w="3832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vAlign w:val="center"/>
          </w:tcPr>
          <w:p w14:paraId="34511307" w14:textId="77777777" w:rsidR="00866B42" w:rsidRPr="00FA521C" w:rsidRDefault="00866B42" w:rsidP="00FA521C">
            <w:pPr>
              <w:pStyle w:val="Tablelistbullet"/>
            </w:pPr>
            <w:r w:rsidRPr="00FA521C">
              <w:t>Chronic disease health issues in the community including respiratory illness and diabetes</w:t>
            </w:r>
          </w:p>
        </w:tc>
        <w:tc>
          <w:tcPr>
            <w:tcW w:w="284" w:type="dxa"/>
            <w:gridSpan w:val="2"/>
            <w:tcBorders>
              <w:left w:val="single" w:sz="4" w:space="0" w:color="00727D"/>
              <w:right w:val="single" w:sz="4" w:space="0" w:color="3F4A75"/>
            </w:tcBorders>
          </w:tcPr>
          <w:p w14:paraId="2553B1CF" w14:textId="77777777" w:rsidR="00866B42" w:rsidRPr="00A54376" w:rsidRDefault="00866B42" w:rsidP="00866B42">
            <w:pPr>
              <w:pStyle w:val="ListParagraph"/>
              <w:spacing w:before="0" w:after="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shd w:val="clear" w:color="auto" w:fill="3F4A75"/>
            <w:vAlign w:val="center"/>
          </w:tcPr>
          <w:p w14:paraId="16D929DE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551C2AAF" wp14:editId="349E55F0">
                  <wp:extent cx="360000" cy="360000"/>
                  <wp:effectExtent l="0" t="0" r="2540" b="2540"/>
                  <wp:docPr id="89" name="Graphic 89" descr="Badge Ques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Badge Question Mark with solid fil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27F10F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noProof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Problem</w:t>
            </w:r>
          </w:p>
        </w:tc>
        <w:tc>
          <w:tcPr>
            <w:tcW w:w="3832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vAlign w:val="center"/>
          </w:tcPr>
          <w:p w14:paraId="2B5783E6" w14:textId="4FB71476" w:rsidR="00866B42" w:rsidRPr="00FA521C" w:rsidRDefault="00866B42" w:rsidP="00FA521C">
            <w:pPr>
              <w:pStyle w:val="Tablelistbullet"/>
            </w:pPr>
            <w:r w:rsidRPr="00FA521C">
              <w:t>General practices closed in Wentworth. With a population of 1500, the closure left a gap in primary healthcare</w:t>
            </w:r>
          </w:p>
        </w:tc>
      </w:tr>
      <w:tr w:rsidR="00866B42" w:rsidRPr="00CC6352" w14:paraId="6E3CD898" w14:textId="77777777" w:rsidTr="00FA521C">
        <w:tblPrEx>
          <w:tblCellMar>
            <w:left w:w="108" w:type="dxa"/>
            <w:right w:w="108" w:type="dxa"/>
          </w:tblCellMar>
        </w:tblPrEx>
        <w:trPr>
          <w:gridAfter w:val="4"/>
          <w:wAfter w:w="5534" w:type="dxa"/>
          <w:trHeight w:val="1135"/>
        </w:trPr>
        <w:tc>
          <w:tcPr>
            <w:tcW w:w="1077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5E60E329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3953B446" wp14:editId="5B37C455">
                  <wp:extent cx="360000" cy="360000"/>
                  <wp:effectExtent l="0" t="0" r="2540" b="2540"/>
                  <wp:docPr id="84" name="Graphic 84" descr="Lights 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Lights On with solid fil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77DFA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noProof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Solution</w:t>
            </w:r>
          </w:p>
        </w:tc>
        <w:tc>
          <w:tcPr>
            <w:tcW w:w="3832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vAlign w:val="center"/>
          </w:tcPr>
          <w:p w14:paraId="42A8B0BE" w14:textId="643BEC11" w:rsidR="00866B42" w:rsidRPr="00FA521C" w:rsidRDefault="00866B42" w:rsidP="00FA521C">
            <w:pPr>
              <w:pStyle w:val="Tablelistbullet"/>
            </w:pPr>
            <w:r w:rsidRPr="00FA521C">
              <w:t>A team of health professionals consult a group of patients with a common health condition, involving peer-to-peer sharing</w:t>
            </w:r>
          </w:p>
        </w:tc>
        <w:tc>
          <w:tcPr>
            <w:tcW w:w="284" w:type="dxa"/>
            <w:gridSpan w:val="2"/>
            <w:tcBorders>
              <w:left w:val="single" w:sz="4" w:space="0" w:color="00727D"/>
              <w:right w:val="single" w:sz="4" w:space="0" w:color="3F4A75"/>
            </w:tcBorders>
          </w:tcPr>
          <w:p w14:paraId="5C914974" w14:textId="77777777" w:rsidR="00866B42" w:rsidRPr="00A54376" w:rsidRDefault="00866B42" w:rsidP="00866B42">
            <w:pPr>
              <w:pStyle w:val="ListParagraph"/>
              <w:spacing w:before="0" w:after="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shd w:val="clear" w:color="auto" w:fill="3F4A75"/>
            <w:vAlign w:val="center"/>
          </w:tcPr>
          <w:p w14:paraId="4CBBDE93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0573E818" wp14:editId="4A9B93D2">
                  <wp:extent cx="360000" cy="360000"/>
                  <wp:effectExtent l="0" t="0" r="2540" b="2540"/>
                  <wp:docPr id="90" name="Graphic 90" descr="Lights 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Lights On with solid fil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569BC5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noProof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Solution</w:t>
            </w:r>
          </w:p>
        </w:tc>
        <w:tc>
          <w:tcPr>
            <w:tcW w:w="3832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vAlign w:val="center"/>
          </w:tcPr>
          <w:p w14:paraId="3BA2C3C3" w14:textId="5552245C" w:rsidR="00866B42" w:rsidRPr="00FA521C" w:rsidRDefault="00866B42" w:rsidP="00FA521C">
            <w:pPr>
              <w:pStyle w:val="Tablelistbullet"/>
            </w:pPr>
            <w:r w:rsidRPr="00FA521C">
              <w:t>AMS-led primary care clinic for the whole community, networked sites, salaried model for GPs</w:t>
            </w:r>
          </w:p>
        </w:tc>
      </w:tr>
      <w:tr w:rsidR="00866B42" w:rsidRPr="00CC6352" w14:paraId="2A4AA72F" w14:textId="77777777" w:rsidTr="00FA521C">
        <w:tblPrEx>
          <w:tblCellMar>
            <w:left w:w="108" w:type="dxa"/>
            <w:right w:w="108" w:type="dxa"/>
          </w:tblCellMar>
        </w:tblPrEx>
        <w:trPr>
          <w:gridAfter w:val="4"/>
          <w:wAfter w:w="5534" w:type="dxa"/>
          <w:trHeight w:val="1135"/>
        </w:trPr>
        <w:tc>
          <w:tcPr>
            <w:tcW w:w="1077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2F4E275F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4D82B47B" wp14:editId="2A52C0AE">
                  <wp:extent cx="360000" cy="360000"/>
                  <wp:effectExtent l="0" t="0" r="2540" b="0"/>
                  <wp:docPr id="85" name="Graphic 85" descr="Fenc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Fence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492D91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noProof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Barriers</w:t>
            </w:r>
          </w:p>
        </w:tc>
        <w:tc>
          <w:tcPr>
            <w:tcW w:w="3832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vAlign w:val="center"/>
          </w:tcPr>
          <w:p w14:paraId="173E2569" w14:textId="2D1469ED" w:rsidR="007F3A69" w:rsidRPr="00FA521C" w:rsidRDefault="007F3A69" w:rsidP="00FA521C">
            <w:pPr>
              <w:pStyle w:val="Tablelistbullet"/>
            </w:pPr>
            <w:r w:rsidRPr="00FA521C">
              <w:t xml:space="preserve">To be financially viable appointments require 8+ </w:t>
            </w:r>
            <w:proofErr w:type="gramStart"/>
            <w:r w:rsidRPr="00FA521C">
              <w:t>participants</w:t>
            </w:r>
            <w:proofErr w:type="gramEnd"/>
          </w:p>
          <w:p w14:paraId="37967198" w14:textId="4998A34E" w:rsidR="00866B42" w:rsidRPr="00FA521C" w:rsidRDefault="00866B42" w:rsidP="00FA521C">
            <w:pPr>
              <w:pStyle w:val="Tablelistbullet"/>
            </w:pPr>
            <w:r w:rsidRPr="00FA521C">
              <w:t xml:space="preserve">Group appointment may not appeal to some </w:t>
            </w:r>
            <w:proofErr w:type="gramStart"/>
            <w:r w:rsidRPr="00FA521C">
              <w:t>people</w:t>
            </w:r>
            <w:proofErr w:type="gramEnd"/>
          </w:p>
          <w:p w14:paraId="74211B66" w14:textId="7FBDC97D" w:rsidR="00866B42" w:rsidRPr="00FA521C" w:rsidRDefault="00866B42" w:rsidP="00FA521C">
            <w:pPr>
              <w:pStyle w:val="Tablelistbullet"/>
            </w:pPr>
            <w:r w:rsidRPr="00FA521C">
              <w:t>GP’s providing care to non-regular patients</w:t>
            </w:r>
          </w:p>
        </w:tc>
        <w:tc>
          <w:tcPr>
            <w:tcW w:w="284" w:type="dxa"/>
            <w:gridSpan w:val="2"/>
            <w:tcBorders>
              <w:left w:val="single" w:sz="4" w:space="0" w:color="00727D"/>
              <w:right w:val="single" w:sz="4" w:space="0" w:color="3F4A75"/>
            </w:tcBorders>
          </w:tcPr>
          <w:p w14:paraId="35251CD4" w14:textId="77777777" w:rsidR="00866B42" w:rsidRPr="00A54376" w:rsidRDefault="00866B42" w:rsidP="00866B42">
            <w:pPr>
              <w:pStyle w:val="ListParagraph"/>
              <w:spacing w:before="0" w:after="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shd w:val="clear" w:color="auto" w:fill="3F4A75"/>
            <w:vAlign w:val="center"/>
          </w:tcPr>
          <w:p w14:paraId="6BCFC5C2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43B69F90" wp14:editId="501434AC">
                  <wp:extent cx="360000" cy="360000"/>
                  <wp:effectExtent l="0" t="0" r="2540" b="0"/>
                  <wp:docPr id="91" name="Graphic 91" descr="Fenc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Fence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E28E07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noProof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Barriers</w:t>
            </w:r>
          </w:p>
        </w:tc>
        <w:tc>
          <w:tcPr>
            <w:tcW w:w="3832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vAlign w:val="center"/>
          </w:tcPr>
          <w:p w14:paraId="3A6F6169" w14:textId="77777777" w:rsidR="00866B42" w:rsidRPr="00FA521C" w:rsidRDefault="00866B42" w:rsidP="00FA521C">
            <w:pPr>
              <w:pStyle w:val="Tablelistbullet"/>
            </w:pPr>
            <w:r w:rsidRPr="00FA521C">
              <w:t>Recruiting and retaining health workforce</w:t>
            </w:r>
          </w:p>
          <w:p w14:paraId="5DF8BBD4" w14:textId="77777777" w:rsidR="00866B42" w:rsidRPr="00FA521C" w:rsidRDefault="00866B42" w:rsidP="00FA521C">
            <w:pPr>
              <w:pStyle w:val="Tablelistbullet"/>
            </w:pPr>
            <w:r w:rsidRPr="00FA521C">
              <w:t>Community acceptance of AMS offering their GP services</w:t>
            </w:r>
          </w:p>
        </w:tc>
      </w:tr>
      <w:tr w:rsidR="00866B42" w:rsidRPr="00CC6352" w14:paraId="4B1821B8" w14:textId="77777777" w:rsidTr="00FA521C">
        <w:tblPrEx>
          <w:tblCellMar>
            <w:left w:w="108" w:type="dxa"/>
            <w:right w:w="108" w:type="dxa"/>
          </w:tblCellMar>
        </w:tblPrEx>
        <w:trPr>
          <w:gridAfter w:val="4"/>
          <w:wAfter w:w="5534" w:type="dxa"/>
          <w:trHeight w:val="1135"/>
        </w:trPr>
        <w:tc>
          <w:tcPr>
            <w:tcW w:w="1077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0CFC7086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323590C3" wp14:editId="4BFF605B">
                  <wp:extent cx="360000" cy="360000"/>
                  <wp:effectExtent l="0" t="0" r="2540" b="0"/>
                  <wp:docPr id="86" name="Graphic 86" descr="Use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Users with solid fill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756BDE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noProof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Enablers</w:t>
            </w:r>
          </w:p>
        </w:tc>
        <w:tc>
          <w:tcPr>
            <w:tcW w:w="3832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vAlign w:val="center"/>
          </w:tcPr>
          <w:p w14:paraId="55B89AE5" w14:textId="77777777" w:rsidR="00866B42" w:rsidRPr="00FA521C" w:rsidRDefault="00866B42" w:rsidP="00FA521C">
            <w:pPr>
              <w:pStyle w:val="Tablelistbullet"/>
            </w:pPr>
            <w:r w:rsidRPr="00FA521C">
              <w:t>Supportive practice and project management</w:t>
            </w:r>
          </w:p>
          <w:p w14:paraId="261B2A5F" w14:textId="77777777" w:rsidR="00866B42" w:rsidRPr="00FA521C" w:rsidRDefault="00866B42" w:rsidP="00FA521C">
            <w:pPr>
              <w:pStyle w:val="Tablelistbullet"/>
            </w:pPr>
            <w:r w:rsidRPr="00FA521C">
              <w:t>Collaboration between health practitioners</w:t>
            </w:r>
          </w:p>
          <w:p w14:paraId="17819637" w14:textId="1B1E2A7C" w:rsidR="00866B42" w:rsidRPr="00FA521C" w:rsidRDefault="00866B42" w:rsidP="00FA521C">
            <w:pPr>
              <w:pStyle w:val="Tablelistbullet"/>
            </w:pPr>
            <w:r w:rsidRPr="00FA521C">
              <w:t>Community engagement and health system education</w:t>
            </w:r>
          </w:p>
        </w:tc>
        <w:tc>
          <w:tcPr>
            <w:tcW w:w="284" w:type="dxa"/>
            <w:gridSpan w:val="2"/>
            <w:tcBorders>
              <w:left w:val="single" w:sz="4" w:space="0" w:color="00727D"/>
              <w:right w:val="single" w:sz="4" w:space="0" w:color="3F4A75"/>
            </w:tcBorders>
          </w:tcPr>
          <w:p w14:paraId="616C7333" w14:textId="77777777" w:rsidR="00866B42" w:rsidRPr="00A54376" w:rsidRDefault="00866B42" w:rsidP="00866B42">
            <w:pPr>
              <w:pStyle w:val="ListParagraph"/>
              <w:spacing w:before="0" w:after="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shd w:val="clear" w:color="auto" w:fill="3F4A75"/>
            <w:vAlign w:val="center"/>
          </w:tcPr>
          <w:p w14:paraId="188C66B6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1F2062E5" wp14:editId="387EAAE2">
                  <wp:extent cx="360000" cy="360000"/>
                  <wp:effectExtent l="0" t="0" r="2540" b="0"/>
                  <wp:docPr id="92" name="Graphic 92" descr="Use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Users with solid fill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4D1F45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noProof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Enablers</w:t>
            </w:r>
          </w:p>
        </w:tc>
        <w:tc>
          <w:tcPr>
            <w:tcW w:w="3832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vAlign w:val="center"/>
          </w:tcPr>
          <w:p w14:paraId="72B57B05" w14:textId="77777777" w:rsidR="00866B42" w:rsidRPr="00FA521C" w:rsidRDefault="00866B42" w:rsidP="00FA521C">
            <w:pPr>
              <w:pStyle w:val="Tablelistbullet"/>
            </w:pPr>
            <w:r w:rsidRPr="00FA521C">
              <w:t>Partnerships with the council and Rural Doctors Network</w:t>
            </w:r>
          </w:p>
          <w:p w14:paraId="373D70AB" w14:textId="77777777" w:rsidR="00866B42" w:rsidRPr="00FA521C" w:rsidRDefault="00866B42" w:rsidP="00FA521C">
            <w:pPr>
              <w:pStyle w:val="Tablelistbullet"/>
            </w:pPr>
            <w:r w:rsidRPr="00FA521C">
              <w:t xml:space="preserve">Commitment from </w:t>
            </w:r>
            <w:proofErr w:type="spellStart"/>
            <w:r w:rsidRPr="00FA521C">
              <w:t>Coomealla</w:t>
            </w:r>
            <w:proofErr w:type="spellEnd"/>
            <w:r w:rsidRPr="00FA521C">
              <w:t xml:space="preserve"> Health Aboriginal Corporation staff and Board</w:t>
            </w:r>
          </w:p>
        </w:tc>
      </w:tr>
      <w:tr w:rsidR="00866B42" w:rsidRPr="00CC6352" w14:paraId="1EC3126A" w14:textId="77777777" w:rsidTr="00FA521C">
        <w:tblPrEx>
          <w:tblCellMar>
            <w:left w:w="108" w:type="dxa"/>
            <w:right w:w="108" w:type="dxa"/>
          </w:tblCellMar>
        </w:tblPrEx>
        <w:trPr>
          <w:gridAfter w:val="4"/>
          <w:wAfter w:w="5534" w:type="dxa"/>
          <w:trHeight w:val="1135"/>
        </w:trPr>
        <w:tc>
          <w:tcPr>
            <w:tcW w:w="1077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shd w:val="clear" w:color="auto" w:fill="00727D"/>
            <w:vAlign w:val="center"/>
          </w:tcPr>
          <w:p w14:paraId="77D26243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6E6E62B6" wp14:editId="1BCDCC51">
                  <wp:extent cx="360000" cy="360000"/>
                  <wp:effectExtent l="0" t="0" r="0" b="2540"/>
                  <wp:docPr id="87" name="Graphic 87" descr="Doll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Dollar with solid fill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109D0C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noProof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Funding and resources</w:t>
            </w:r>
          </w:p>
        </w:tc>
        <w:tc>
          <w:tcPr>
            <w:tcW w:w="3832" w:type="dxa"/>
            <w:tcBorders>
              <w:top w:val="single" w:sz="4" w:space="0" w:color="00727D"/>
              <w:left w:val="single" w:sz="4" w:space="0" w:color="00727D"/>
              <w:bottom w:val="single" w:sz="4" w:space="0" w:color="00727D"/>
              <w:right w:val="single" w:sz="4" w:space="0" w:color="00727D"/>
            </w:tcBorders>
            <w:vAlign w:val="center"/>
          </w:tcPr>
          <w:p w14:paraId="6165C72C" w14:textId="77777777" w:rsidR="00866B42" w:rsidRPr="00FA521C" w:rsidRDefault="00866B42" w:rsidP="00FA521C">
            <w:pPr>
              <w:pStyle w:val="Tablelistbullet"/>
            </w:pPr>
            <w:r w:rsidRPr="00FA521C">
              <w:t>Medicare Benefits Schedule group billing</w:t>
            </w:r>
          </w:p>
        </w:tc>
        <w:tc>
          <w:tcPr>
            <w:tcW w:w="284" w:type="dxa"/>
            <w:gridSpan w:val="2"/>
            <w:tcBorders>
              <w:left w:val="single" w:sz="4" w:space="0" w:color="00727D"/>
              <w:right w:val="single" w:sz="4" w:space="0" w:color="3F4A75"/>
            </w:tcBorders>
          </w:tcPr>
          <w:p w14:paraId="1896DFD1" w14:textId="77777777" w:rsidR="00866B42" w:rsidRPr="00A54376" w:rsidRDefault="00866B42" w:rsidP="00866B42">
            <w:pPr>
              <w:pStyle w:val="ListParagraph"/>
              <w:spacing w:before="0" w:after="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shd w:val="clear" w:color="auto" w:fill="3F4A75"/>
            <w:vAlign w:val="center"/>
          </w:tcPr>
          <w:p w14:paraId="6F151FED" w14:textId="77777777" w:rsidR="00866B42" w:rsidRPr="00094F1D" w:rsidRDefault="00866B42" w:rsidP="00866B42">
            <w:pPr>
              <w:spacing w:before="0" w:after="0"/>
              <w:jc w:val="center"/>
              <w:rPr>
                <w:rFonts w:cs="Arial"/>
                <w:noProof/>
                <w:color w:val="FFFFFF" w:themeColor="background1"/>
                <w:sz w:val="18"/>
                <w:szCs w:val="18"/>
              </w:rPr>
            </w:pPr>
            <w:r w:rsidRPr="00094F1D">
              <w:rPr>
                <w:rFonts w:cs="Arial"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4123FDFE" wp14:editId="1CD3C674">
                  <wp:extent cx="360000" cy="360000"/>
                  <wp:effectExtent l="0" t="0" r="0" b="2540"/>
                  <wp:docPr id="93" name="Graphic 93" descr="Doll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Dollar with solid fill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4F1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Funding and resources</w:t>
            </w:r>
          </w:p>
        </w:tc>
        <w:tc>
          <w:tcPr>
            <w:tcW w:w="3832" w:type="dxa"/>
            <w:gridSpan w:val="2"/>
            <w:tcBorders>
              <w:top w:val="single" w:sz="4" w:space="0" w:color="3F4A75"/>
              <w:left w:val="single" w:sz="4" w:space="0" w:color="3F4A75"/>
              <w:bottom w:val="single" w:sz="4" w:space="0" w:color="3F4A75"/>
              <w:right w:val="single" w:sz="4" w:space="0" w:color="3F4A75"/>
            </w:tcBorders>
            <w:vAlign w:val="center"/>
          </w:tcPr>
          <w:p w14:paraId="1876C07C" w14:textId="0B514075" w:rsidR="00866B42" w:rsidRPr="00FA521C" w:rsidRDefault="00866B42" w:rsidP="00FA521C">
            <w:pPr>
              <w:pStyle w:val="Tablelistbullet"/>
            </w:pPr>
            <w:r w:rsidRPr="00FA521C">
              <w:t>Medicare Benefits Schedule group billing</w:t>
            </w:r>
          </w:p>
        </w:tc>
      </w:tr>
    </w:tbl>
    <w:p w14:paraId="3CA63D48" w14:textId="78CA8814" w:rsidR="00637255" w:rsidRPr="00FA521C" w:rsidRDefault="007352E4" w:rsidP="00FA521C">
      <w:pPr>
        <w:pStyle w:val="Heading3"/>
      </w:pPr>
      <w:r w:rsidRPr="00FA521C">
        <w:t>More</w:t>
      </w:r>
      <w:r w:rsidR="00637255" w:rsidRPr="00FA521C">
        <w:t xml:space="preserve"> information</w:t>
      </w:r>
    </w:p>
    <w:p w14:paraId="5089C5A7" w14:textId="6406AACE" w:rsidR="003F5F4D" w:rsidRPr="00637255" w:rsidRDefault="00637255" w:rsidP="00FA521C">
      <w:r w:rsidRPr="00637255">
        <w:t xml:space="preserve">Visit </w:t>
      </w:r>
      <w:hyperlink r:id="rId27" w:history="1">
        <w:r w:rsidR="009006B3" w:rsidRPr="009006B3">
          <w:rPr>
            <w:rStyle w:val="Hyperlink"/>
          </w:rPr>
          <w:t>www.health.gov.au/our-work/imoc-program</w:t>
        </w:r>
      </w:hyperlink>
      <w:r w:rsidR="00973791">
        <w:t xml:space="preserve"> </w:t>
      </w:r>
    </w:p>
    <w:sectPr w:rsidR="003F5F4D" w:rsidRPr="00637255" w:rsidSect="00807740">
      <w:type w:val="continuous"/>
      <w:pgSz w:w="16838" w:h="11906" w:orient="landscape"/>
      <w:pgMar w:top="56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3413" w14:textId="77777777" w:rsidR="0014625A" w:rsidRDefault="0014625A" w:rsidP="006B56BB">
      <w:r>
        <w:separator/>
      </w:r>
    </w:p>
    <w:p w14:paraId="742E98D6" w14:textId="77777777" w:rsidR="0014625A" w:rsidRDefault="0014625A"/>
  </w:endnote>
  <w:endnote w:type="continuationSeparator" w:id="0">
    <w:p w14:paraId="3128C325" w14:textId="77777777" w:rsidR="0014625A" w:rsidRDefault="0014625A" w:rsidP="006B56BB">
      <w:r>
        <w:continuationSeparator/>
      </w:r>
    </w:p>
    <w:p w14:paraId="03D322BC" w14:textId="77777777" w:rsidR="0014625A" w:rsidRDefault="0014625A"/>
  </w:endnote>
  <w:endnote w:type="continuationNotice" w:id="1">
    <w:p w14:paraId="481CFCB0" w14:textId="77777777" w:rsidR="0014625A" w:rsidRDefault="00146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EE83" w14:textId="1C9FDB79" w:rsidR="00D07414" w:rsidRPr="00765998" w:rsidRDefault="00FA5B36" w:rsidP="00765998">
    <w:pPr>
      <w:pStyle w:val="Footer"/>
      <w:tabs>
        <w:tab w:val="clear" w:pos="0"/>
        <w:tab w:val="clear" w:pos="9026"/>
        <w:tab w:val="right" w:pos="13948"/>
      </w:tabs>
      <w:jc w:val="left"/>
    </w:pPr>
    <w:r>
      <w:t xml:space="preserve">Department of Health and Aged Care </w:t>
    </w:r>
    <w:r w:rsidR="000D4FB1">
      <w:t>–</w:t>
    </w:r>
    <w:r w:rsidR="00765998">
      <w:t xml:space="preserve"> </w:t>
    </w:r>
    <w:r w:rsidR="00557580" w:rsidRPr="009F6B37">
      <w:t xml:space="preserve">Innovative </w:t>
    </w:r>
    <w:r w:rsidR="00557580">
      <w:t>M</w:t>
    </w:r>
    <w:r w:rsidR="00557580" w:rsidRPr="009F6B37">
      <w:t>odel</w:t>
    </w:r>
    <w:r w:rsidR="00557580">
      <w:t>s</w:t>
    </w:r>
    <w:r w:rsidR="00557580" w:rsidRPr="009F6B37">
      <w:t xml:space="preserve"> of </w:t>
    </w:r>
    <w:r w:rsidR="00557580">
      <w:t>C</w:t>
    </w:r>
    <w:r w:rsidR="00557580" w:rsidRPr="009F6B37">
      <w:t xml:space="preserve">are </w:t>
    </w:r>
    <w:r w:rsidR="00557580">
      <w:t>P</w:t>
    </w:r>
    <w:r w:rsidR="00557580" w:rsidRPr="009F6B37">
      <w:t>rogram</w:t>
    </w:r>
    <w:sdt>
      <w:sdtPr>
        <w:id w:val="-2026089629"/>
        <w:docPartObj>
          <w:docPartGallery w:val="Page Numbers (Bottom of Page)"/>
          <w:docPartUnique/>
        </w:docPartObj>
      </w:sdtPr>
      <w:sdtContent>
        <w:r w:rsidR="00557580">
          <w:tab/>
        </w:r>
        <w:r w:rsidR="00557580" w:rsidRPr="003D033A">
          <w:fldChar w:fldCharType="begin"/>
        </w:r>
        <w:r w:rsidR="00557580" w:rsidRPr="003D033A">
          <w:instrText xml:space="preserve"> PAGE   \* MERGEFORMAT </w:instrText>
        </w:r>
        <w:r w:rsidR="00557580" w:rsidRPr="003D033A">
          <w:fldChar w:fldCharType="separate"/>
        </w:r>
        <w:r w:rsidR="00557580">
          <w:t>1</w:t>
        </w:r>
        <w:r w:rsidR="00557580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F6DA" w14:textId="275923A6" w:rsidR="00765998" w:rsidRDefault="00FA5B36" w:rsidP="00765998">
    <w:pPr>
      <w:pStyle w:val="Footer"/>
      <w:tabs>
        <w:tab w:val="clear" w:pos="0"/>
        <w:tab w:val="clear" w:pos="9026"/>
        <w:tab w:val="right" w:pos="13948"/>
      </w:tabs>
      <w:jc w:val="left"/>
    </w:pPr>
    <w:r>
      <w:t xml:space="preserve">Department of Health and Aged Care </w:t>
    </w:r>
    <w:r w:rsidR="0036794D">
      <w:t>–</w:t>
    </w:r>
    <w:r w:rsidR="00765998">
      <w:t xml:space="preserve"> </w:t>
    </w:r>
    <w:r w:rsidR="009F6B37" w:rsidRPr="009F6B37">
      <w:t xml:space="preserve">Innovative </w:t>
    </w:r>
    <w:r w:rsidR="00557580">
      <w:t>M</w:t>
    </w:r>
    <w:r w:rsidR="009F6B37" w:rsidRPr="009F6B37">
      <w:t>odel</w:t>
    </w:r>
    <w:r w:rsidR="00557580">
      <w:t>s</w:t>
    </w:r>
    <w:r w:rsidR="009F6B37" w:rsidRPr="009F6B37">
      <w:t xml:space="preserve"> of </w:t>
    </w:r>
    <w:r w:rsidR="00557580">
      <w:t>C</w:t>
    </w:r>
    <w:r w:rsidR="009F6B37" w:rsidRPr="009F6B37">
      <w:t xml:space="preserve">are </w:t>
    </w:r>
    <w:r w:rsidR="00557580">
      <w:t>P</w:t>
    </w:r>
    <w:r w:rsidR="009F6B37" w:rsidRPr="009F6B37">
      <w:t>rogram</w:t>
    </w:r>
    <w:sdt>
      <w:sdtPr>
        <w:id w:val="-471054190"/>
        <w:docPartObj>
          <w:docPartGallery w:val="Page Numbers (Bottom of Page)"/>
          <w:docPartUnique/>
        </w:docPartObj>
      </w:sdtPr>
      <w:sdtContent>
        <w:r w:rsidR="00765998">
          <w:tab/>
        </w:r>
        <w:r w:rsidR="00765998" w:rsidRPr="003D033A">
          <w:fldChar w:fldCharType="begin"/>
        </w:r>
        <w:r w:rsidR="00765998" w:rsidRPr="003D033A">
          <w:instrText xml:space="preserve"> PAGE   \* MERGEFORMAT </w:instrText>
        </w:r>
        <w:r w:rsidR="00765998" w:rsidRPr="003D033A">
          <w:fldChar w:fldCharType="separate"/>
        </w:r>
        <w:r w:rsidR="00765998">
          <w:t>1</w:t>
        </w:r>
        <w:r w:rsidR="00765998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5679" w14:textId="77777777" w:rsidR="0014625A" w:rsidRDefault="0014625A" w:rsidP="006B56BB">
      <w:r>
        <w:separator/>
      </w:r>
    </w:p>
    <w:p w14:paraId="29A4561F" w14:textId="77777777" w:rsidR="0014625A" w:rsidRDefault="0014625A"/>
  </w:footnote>
  <w:footnote w:type="continuationSeparator" w:id="0">
    <w:p w14:paraId="359DE4B8" w14:textId="77777777" w:rsidR="0014625A" w:rsidRDefault="0014625A" w:rsidP="006B56BB">
      <w:r>
        <w:continuationSeparator/>
      </w:r>
    </w:p>
    <w:p w14:paraId="055C293C" w14:textId="77777777" w:rsidR="0014625A" w:rsidRDefault="0014625A"/>
  </w:footnote>
  <w:footnote w:type="continuationNotice" w:id="1">
    <w:p w14:paraId="007E1181" w14:textId="77777777" w:rsidR="0014625A" w:rsidRDefault="001462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4FAB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EB60" w14:textId="77777777" w:rsidR="00765998" w:rsidRDefault="008B0752">
    <w:pPr>
      <w:pStyle w:val="Header"/>
    </w:pPr>
    <w:r>
      <w:rPr>
        <w:noProof/>
      </w:rPr>
      <w:drawing>
        <wp:inline distT="0" distB="0" distL="0" distR="0" wp14:anchorId="2EADF76D" wp14:editId="62F9E770">
          <wp:extent cx="8890000" cy="930384"/>
          <wp:effectExtent l="0" t="0" r="0" b="0"/>
          <wp:docPr id="2" name="Picture 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0" r="12"/>
                  <a:stretch/>
                </pic:blipFill>
                <pic:spPr bwMode="auto">
                  <a:xfrm>
                    <a:off x="0" y="0"/>
                    <a:ext cx="8890000" cy="930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1CC6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7C1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9D616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742C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DA8B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8342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374EFC3E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661E7"/>
    <w:multiLevelType w:val="hybridMultilevel"/>
    <w:tmpl w:val="A014A436"/>
    <w:lvl w:ilvl="0" w:tplc="D96CA02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43364"/>
    <w:multiLevelType w:val="hybridMultilevel"/>
    <w:tmpl w:val="E90E74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F9218A"/>
    <w:multiLevelType w:val="hybridMultilevel"/>
    <w:tmpl w:val="B4D2587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87595"/>
    <w:multiLevelType w:val="hybridMultilevel"/>
    <w:tmpl w:val="0852844A"/>
    <w:lvl w:ilvl="0" w:tplc="9FBC5ED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4B93191D"/>
    <w:multiLevelType w:val="hybridMultilevel"/>
    <w:tmpl w:val="21AE7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C82F59"/>
    <w:multiLevelType w:val="hybridMultilevel"/>
    <w:tmpl w:val="5CDCF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C92E29"/>
    <w:multiLevelType w:val="hybridMultilevel"/>
    <w:tmpl w:val="373421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C45A40"/>
    <w:multiLevelType w:val="hybridMultilevel"/>
    <w:tmpl w:val="01B4B320"/>
    <w:lvl w:ilvl="0" w:tplc="9FBC5ED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54F37"/>
    <w:multiLevelType w:val="hybridMultilevel"/>
    <w:tmpl w:val="8BB07962"/>
    <w:lvl w:ilvl="0" w:tplc="02CEE42C">
      <w:start w:val="1"/>
      <w:numFmt w:val="bullet"/>
      <w:pStyle w:val="Table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F8287E"/>
    <w:multiLevelType w:val="hybridMultilevel"/>
    <w:tmpl w:val="F64076A0"/>
    <w:lvl w:ilvl="0" w:tplc="B6B61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037D5"/>
    <w:multiLevelType w:val="hybridMultilevel"/>
    <w:tmpl w:val="591C16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3C7300"/>
    <w:multiLevelType w:val="hybridMultilevel"/>
    <w:tmpl w:val="156C35E2"/>
    <w:lvl w:ilvl="0" w:tplc="0C0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9" w15:restartNumberingAfterBreak="0">
    <w:nsid w:val="7D877964"/>
    <w:multiLevelType w:val="hybridMultilevel"/>
    <w:tmpl w:val="17B02C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49714951">
    <w:abstractNumId w:val="7"/>
  </w:num>
  <w:num w:numId="2" w16cid:durableId="978993025">
    <w:abstractNumId w:val="20"/>
  </w:num>
  <w:num w:numId="3" w16cid:durableId="2126190776">
    <w:abstractNumId w:val="26"/>
  </w:num>
  <w:num w:numId="4" w16cid:durableId="281958947">
    <w:abstractNumId w:val="8"/>
  </w:num>
  <w:num w:numId="5" w16cid:durableId="968315718">
    <w:abstractNumId w:val="8"/>
    <w:lvlOverride w:ilvl="0">
      <w:startOverride w:val="1"/>
    </w:lvlOverride>
  </w:num>
  <w:num w:numId="6" w16cid:durableId="540291909">
    <w:abstractNumId w:val="9"/>
  </w:num>
  <w:num w:numId="7" w16cid:durableId="688989805">
    <w:abstractNumId w:val="17"/>
  </w:num>
  <w:num w:numId="8" w16cid:durableId="1558396252">
    <w:abstractNumId w:val="25"/>
  </w:num>
  <w:num w:numId="9" w16cid:durableId="1228608924">
    <w:abstractNumId w:val="5"/>
  </w:num>
  <w:num w:numId="10" w16cid:durableId="772942754">
    <w:abstractNumId w:val="4"/>
  </w:num>
  <w:num w:numId="11" w16cid:durableId="667831207">
    <w:abstractNumId w:val="3"/>
  </w:num>
  <w:num w:numId="12" w16cid:durableId="1527404855">
    <w:abstractNumId w:val="2"/>
  </w:num>
  <w:num w:numId="13" w16cid:durableId="1902599416">
    <w:abstractNumId w:val="6"/>
  </w:num>
  <w:num w:numId="14" w16cid:durableId="561450091">
    <w:abstractNumId w:val="1"/>
  </w:num>
  <w:num w:numId="15" w16cid:durableId="1576089098">
    <w:abstractNumId w:val="0"/>
  </w:num>
  <w:num w:numId="16" w16cid:durableId="199324748">
    <w:abstractNumId w:val="30"/>
  </w:num>
  <w:num w:numId="17" w16cid:durableId="25446275">
    <w:abstractNumId w:val="10"/>
  </w:num>
  <w:num w:numId="18" w16cid:durableId="1281571126">
    <w:abstractNumId w:val="14"/>
  </w:num>
  <w:num w:numId="19" w16cid:durableId="763838685">
    <w:abstractNumId w:val="16"/>
  </w:num>
  <w:num w:numId="20" w16cid:durableId="1682660945">
    <w:abstractNumId w:val="10"/>
  </w:num>
  <w:num w:numId="21" w16cid:durableId="322897377">
    <w:abstractNumId w:val="16"/>
  </w:num>
  <w:num w:numId="22" w16cid:durableId="1593851851">
    <w:abstractNumId w:val="30"/>
  </w:num>
  <w:num w:numId="23" w16cid:durableId="663510714">
    <w:abstractNumId w:val="20"/>
  </w:num>
  <w:num w:numId="24" w16cid:durableId="194124381">
    <w:abstractNumId w:val="26"/>
  </w:num>
  <w:num w:numId="25" w16cid:durableId="429475986">
    <w:abstractNumId w:val="8"/>
  </w:num>
  <w:num w:numId="26" w16cid:durableId="1836649535">
    <w:abstractNumId w:val="19"/>
  </w:num>
  <w:num w:numId="27" w16cid:durableId="292561776">
    <w:abstractNumId w:val="18"/>
  </w:num>
  <w:num w:numId="28" w16cid:durableId="936592980">
    <w:abstractNumId w:val="15"/>
  </w:num>
  <w:num w:numId="29" w16cid:durableId="366294732">
    <w:abstractNumId w:val="23"/>
  </w:num>
  <w:num w:numId="30" w16cid:durableId="1599828019">
    <w:abstractNumId w:val="29"/>
  </w:num>
  <w:num w:numId="31" w16cid:durableId="690186627">
    <w:abstractNumId w:val="24"/>
  </w:num>
  <w:num w:numId="32" w16cid:durableId="632441674">
    <w:abstractNumId w:val="12"/>
  </w:num>
  <w:num w:numId="33" w16cid:durableId="140928750">
    <w:abstractNumId w:val="27"/>
  </w:num>
  <w:num w:numId="34" w16cid:durableId="43330675">
    <w:abstractNumId w:val="22"/>
  </w:num>
  <w:num w:numId="35" w16cid:durableId="1934777219">
    <w:abstractNumId w:val="21"/>
  </w:num>
  <w:num w:numId="36" w16cid:durableId="2016107993">
    <w:abstractNumId w:val="10"/>
  </w:num>
  <w:num w:numId="37" w16cid:durableId="109979943">
    <w:abstractNumId w:val="10"/>
  </w:num>
  <w:num w:numId="38" w16cid:durableId="1969705968">
    <w:abstractNumId w:val="10"/>
  </w:num>
  <w:num w:numId="39" w16cid:durableId="2118209697">
    <w:abstractNumId w:val="10"/>
  </w:num>
  <w:num w:numId="40" w16cid:durableId="2510315">
    <w:abstractNumId w:val="11"/>
  </w:num>
  <w:num w:numId="41" w16cid:durableId="1658073125">
    <w:abstractNumId w:val="13"/>
  </w:num>
  <w:num w:numId="42" w16cid:durableId="1790512067">
    <w:abstractNumId w:val="10"/>
  </w:num>
  <w:num w:numId="43" w16cid:durableId="881677226">
    <w:abstractNumId w:val="10"/>
  </w:num>
  <w:num w:numId="44" w16cid:durableId="1721434951">
    <w:abstractNumId w:val="10"/>
  </w:num>
  <w:num w:numId="45" w16cid:durableId="18600007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80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49E4"/>
    <w:rsid w:val="00064BE4"/>
    <w:rsid w:val="00067456"/>
    <w:rsid w:val="00071506"/>
    <w:rsid w:val="0007154F"/>
    <w:rsid w:val="00081AB1"/>
    <w:rsid w:val="000829A8"/>
    <w:rsid w:val="00082D2E"/>
    <w:rsid w:val="00090316"/>
    <w:rsid w:val="00093981"/>
    <w:rsid w:val="00094F1D"/>
    <w:rsid w:val="000A2E0A"/>
    <w:rsid w:val="000A3ED2"/>
    <w:rsid w:val="000A5318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4FB1"/>
    <w:rsid w:val="000D72AE"/>
    <w:rsid w:val="000D7AEA"/>
    <w:rsid w:val="000E2C66"/>
    <w:rsid w:val="000F123C"/>
    <w:rsid w:val="000F2FED"/>
    <w:rsid w:val="0010001C"/>
    <w:rsid w:val="0010616D"/>
    <w:rsid w:val="00110478"/>
    <w:rsid w:val="0011711B"/>
    <w:rsid w:val="00117F8A"/>
    <w:rsid w:val="00120497"/>
    <w:rsid w:val="00121B9B"/>
    <w:rsid w:val="00122ADC"/>
    <w:rsid w:val="001301DC"/>
    <w:rsid w:val="00130F59"/>
    <w:rsid w:val="00133EC0"/>
    <w:rsid w:val="00134DC1"/>
    <w:rsid w:val="00141CE5"/>
    <w:rsid w:val="00144908"/>
    <w:rsid w:val="0014625A"/>
    <w:rsid w:val="001472B9"/>
    <w:rsid w:val="001571C7"/>
    <w:rsid w:val="00161094"/>
    <w:rsid w:val="0017359A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C703D"/>
    <w:rsid w:val="001D2020"/>
    <w:rsid w:val="001D7869"/>
    <w:rsid w:val="001F2554"/>
    <w:rsid w:val="001F4599"/>
    <w:rsid w:val="002026CD"/>
    <w:rsid w:val="002033FC"/>
    <w:rsid w:val="002044BB"/>
    <w:rsid w:val="002064A0"/>
    <w:rsid w:val="00210B09"/>
    <w:rsid w:val="00210C9E"/>
    <w:rsid w:val="00211840"/>
    <w:rsid w:val="00220E5F"/>
    <w:rsid w:val="002212B5"/>
    <w:rsid w:val="00222D32"/>
    <w:rsid w:val="002251C3"/>
    <w:rsid w:val="00226668"/>
    <w:rsid w:val="00233809"/>
    <w:rsid w:val="00240046"/>
    <w:rsid w:val="0024797F"/>
    <w:rsid w:val="0025119E"/>
    <w:rsid w:val="00251269"/>
    <w:rsid w:val="002535C0"/>
    <w:rsid w:val="0025664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D4B10"/>
    <w:rsid w:val="002E1A1D"/>
    <w:rsid w:val="002E4081"/>
    <w:rsid w:val="002E5B78"/>
    <w:rsid w:val="002F3AE3"/>
    <w:rsid w:val="0030464B"/>
    <w:rsid w:val="0030786C"/>
    <w:rsid w:val="0031060B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6794D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31C3"/>
    <w:rsid w:val="003E5265"/>
    <w:rsid w:val="003F0955"/>
    <w:rsid w:val="003F3312"/>
    <w:rsid w:val="003F5F4D"/>
    <w:rsid w:val="003F646F"/>
    <w:rsid w:val="00400F00"/>
    <w:rsid w:val="004037AE"/>
    <w:rsid w:val="00404F8B"/>
    <w:rsid w:val="00405256"/>
    <w:rsid w:val="00410031"/>
    <w:rsid w:val="00415AE5"/>
    <w:rsid w:val="00415C81"/>
    <w:rsid w:val="00432378"/>
    <w:rsid w:val="004363AC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3D8B"/>
    <w:rsid w:val="004A5540"/>
    <w:rsid w:val="004A78D9"/>
    <w:rsid w:val="004C6BCF"/>
    <w:rsid w:val="004C7135"/>
    <w:rsid w:val="004D58BF"/>
    <w:rsid w:val="004E4335"/>
    <w:rsid w:val="004F13EE"/>
    <w:rsid w:val="004F2022"/>
    <w:rsid w:val="004F7C05"/>
    <w:rsid w:val="00501C94"/>
    <w:rsid w:val="00506432"/>
    <w:rsid w:val="0052051D"/>
    <w:rsid w:val="00545654"/>
    <w:rsid w:val="00545EE6"/>
    <w:rsid w:val="005550E7"/>
    <w:rsid w:val="005564FB"/>
    <w:rsid w:val="005572C7"/>
    <w:rsid w:val="00557580"/>
    <w:rsid w:val="005650ED"/>
    <w:rsid w:val="00575754"/>
    <w:rsid w:val="00581FBA"/>
    <w:rsid w:val="00591E20"/>
    <w:rsid w:val="00595408"/>
    <w:rsid w:val="00595E84"/>
    <w:rsid w:val="00595F81"/>
    <w:rsid w:val="005A0362"/>
    <w:rsid w:val="005A0C59"/>
    <w:rsid w:val="005A48EB"/>
    <w:rsid w:val="005A6CFB"/>
    <w:rsid w:val="005C5AEB"/>
    <w:rsid w:val="005C639E"/>
    <w:rsid w:val="005E0A3F"/>
    <w:rsid w:val="005E6883"/>
    <w:rsid w:val="005E772F"/>
    <w:rsid w:val="005F4ECA"/>
    <w:rsid w:val="006041BE"/>
    <w:rsid w:val="006043C7"/>
    <w:rsid w:val="006230EA"/>
    <w:rsid w:val="00624B52"/>
    <w:rsid w:val="00630794"/>
    <w:rsid w:val="00631DF4"/>
    <w:rsid w:val="00634175"/>
    <w:rsid w:val="00637255"/>
    <w:rsid w:val="006408AC"/>
    <w:rsid w:val="006511B6"/>
    <w:rsid w:val="00657FF8"/>
    <w:rsid w:val="00670D99"/>
    <w:rsid w:val="00670E2B"/>
    <w:rsid w:val="006734BB"/>
    <w:rsid w:val="0067697A"/>
    <w:rsid w:val="006821EB"/>
    <w:rsid w:val="00687756"/>
    <w:rsid w:val="006877E6"/>
    <w:rsid w:val="006B2286"/>
    <w:rsid w:val="006B56BB"/>
    <w:rsid w:val="006C2ABE"/>
    <w:rsid w:val="006C77A8"/>
    <w:rsid w:val="006D4098"/>
    <w:rsid w:val="006D7681"/>
    <w:rsid w:val="006D7B2E"/>
    <w:rsid w:val="006E02EA"/>
    <w:rsid w:val="006E0968"/>
    <w:rsid w:val="006E2AF6"/>
    <w:rsid w:val="006F67DB"/>
    <w:rsid w:val="00701275"/>
    <w:rsid w:val="00702EFE"/>
    <w:rsid w:val="00704FB0"/>
    <w:rsid w:val="00707F56"/>
    <w:rsid w:val="00713558"/>
    <w:rsid w:val="00720D08"/>
    <w:rsid w:val="007263B9"/>
    <w:rsid w:val="007334F8"/>
    <w:rsid w:val="007339CD"/>
    <w:rsid w:val="007352E4"/>
    <w:rsid w:val="007359D8"/>
    <w:rsid w:val="007362D4"/>
    <w:rsid w:val="00765998"/>
    <w:rsid w:val="0076672A"/>
    <w:rsid w:val="00775E45"/>
    <w:rsid w:val="00776E74"/>
    <w:rsid w:val="00785169"/>
    <w:rsid w:val="007954AB"/>
    <w:rsid w:val="007A14C5"/>
    <w:rsid w:val="007A4A10"/>
    <w:rsid w:val="007B1760"/>
    <w:rsid w:val="007B1B55"/>
    <w:rsid w:val="007C1FDC"/>
    <w:rsid w:val="007C3F6E"/>
    <w:rsid w:val="007C6D9C"/>
    <w:rsid w:val="007C7DDB"/>
    <w:rsid w:val="007D2CC7"/>
    <w:rsid w:val="007D3655"/>
    <w:rsid w:val="007D673D"/>
    <w:rsid w:val="007E4D09"/>
    <w:rsid w:val="007F2220"/>
    <w:rsid w:val="007F3A69"/>
    <w:rsid w:val="007F4B3E"/>
    <w:rsid w:val="007F7E75"/>
    <w:rsid w:val="00807740"/>
    <w:rsid w:val="008127AF"/>
    <w:rsid w:val="00812B46"/>
    <w:rsid w:val="00815700"/>
    <w:rsid w:val="00817249"/>
    <w:rsid w:val="008264EB"/>
    <w:rsid w:val="00826B8F"/>
    <w:rsid w:val="00831E8A"/>
    <w:rsid w:val="00835C76"/>
    <w:rsid w:val="008372BE"/>
    <w:rsid w:val="008376E2"/>
    <w:rsid w:val="00843049"/>
    <w:rsid w:val="008500A5"/>
    <w:rsid w:val="0085209B"/>
    <w:rsid w:val="00856B66"/>
    <w:rsid w:val="008601AC"/>
    <w:rsid w:val="00861A5F"/>
    <w:rsid w:val="00863D9F"/>
    <w:rsid w:val="008644AD"/>
    <w:rsid w:val="00865735"/>
    <w:rsid w:val="00865DDB"/>
    <w:rsid w:val="00866B42"/>
    <w:rsid w:val="00867538"/>
    <w:rsid w:val="00873D90"/>
    <w:rsid w:val="00873FC8"/>
    <w:rsid w:val="00884C63"/>
    <w:rsid w:val="00885908"/>
    <w:rsid w:val="008864B7"/>
    <w:rsid w:val="0089677E"/>
    <w:rsid w:val="008A42A5"/>
    <w:rsid w:val="008A7438"/>
    <w:rsid w:val="008B0752"/>
    <w:rsid w:val="008B1334"/>
    <w:rsid w:val="008B25C7"/>
    <w:rsid w:val="008B316C"/>
    <w:rsid w:val="008B343A"/>
    <w:rsid w:val="008C0278"/>
    <w:rsid w:val="008C24E9"/>
    <w:rsid w:val="008D0533"/>
    <w:rsid w:val="008D42CB"/>
    <w:rsid w:val="008D48C9"/>
    <w:rsid w:val="008D6381"/>
    <w:rsid w:val="008E0C77"/>
    <w:rsid w:val="008E29EC"/>
    <w:rsid w:val="008E625F"/>
    <w:rsid w:val="008F264D"/>
    <w:rsid w:val="009006B3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36FFA"/>
    <w:rsid w:val="00937606"/>
    <w:rsid w:val="00945E7F"/>
    <w:rsid w:val="00946B4F"/>
    <w:rsid w:val="009557C1"/>
    <w:rsid w:val="00960D6E"/>
    <w:rsid w:val="00973791"/>
    <w:rsid w:val="00974B59"/>
    <w:rsid w:val="0098340B"/>
    <w:rsid w:val="00986830"/>
    <w:rsid w:val="009919C3"/>
    <w:rsid w:val="009924C3"/>
    <w:rsid w:val="00993102"/>
    <w:rsid w:val="009B1570"/>
    <w:rsid w:val="009C6F10"/>
    <w:rsid w:val="009D04A6"/>
    <w:rsid w:val="009D148F"/>
    <w:rsid w:val="009D3D70"/>
    <w:rsid w:val="009E6F7E"/>
    <w:rsid w:val="009E7A57"/>
    <w:rsid w:val="009F1488"/>
    <w:rsid w:val="009F4803"/>
    <w:rsid w:val="009F4F6A"/>
    <w:rsid w:val="009F6B37"/>
    <w:rsid w:val="00A13EB5"/>
    <w:rsid w:val="00A16E36"/>
    <w:rsid w:val="00A24961"/>
    <w:rsid w:val="00A24B10"/>
    <w:rsid w:val="00A277EF"/>
    <w:rsid w:val="00A30E9B"/>
    <w:rsid w:val="00A35BD8"/>
    <w:rsid w:val="00A4512D"/>
    <w:rsid w:val="00A50244"/>
    <w:rsid w:val="00A54AEA"/>
    <w:rsid w:val="00A627D7"/>
    <w:rsid w:val="00A656C7"/>
    <w:rsid w:val="00A705AF"/>
    <w:rsid w:val="00A72454"/>
    <w:rsid w:val="00A77696"/>
    <w:rsid w:val="00A80557"/>
    <w:rsid w:val="00A81D33"/>
    <w:rsid w:val="00A829D2"/>
    <w:rsid w:val="00A8341C"/>
    <w:rsid w:val="00A90011"/>
    <w:rsid w:val="00A930AE"/>
    <w:rsid w:val="00AA041D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06D1"/>
    <w:rsid w:val="00B32222"/>
    <w:rsid w:val="00B3618D"/>
    <w:rsid w:val="00B36233"/>
    <w:rsid w:val="00B42851"/>
    <w:rsid w:val="00B45AC7"/>
    <w:rsid w:val="00B5372F"/>
    <w:rsid w:val="00B61129"/>
    <w:rsid w:val="00B64B76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0FFB"/>
    <w:rsid w:val="00BC4A19"/>
    <w:rsid w:val="00BC4E6D"/>
    <w:rsid w:val="00BD0617"/>
    <w:rsid w:val="00BD2E9B"/>
    <w:rsid w:val="00BD7FB2"/>
    <w:rsid w:val="00BE2F5C"/>
    <w:rsid w:val="00C00930"/>
    <w:rsid w:val="00C060AD"/>
    <w:rsid w:val="00C113BF"/>
    <w:rsid w:val="00C13AD1"/>
    <w:rsid w:val="00C2176E"/>
    <w:rsid w:val="00C23430"/>
    <w:rsid w:val="00C26430"/>
    <w:rsid w:val="00C27D67"/>
    <w:rsid w:val="00C30ECA"/>
    <w:rsid w:val="00C4631F"/>
    <w:rsid w:val="00C47CDE"/>
    <w:rsid w:val="00C50E16"/>
    <w:rsid w:val="00C55258"/>
    <w:rsid w:val="00C82EEB"/>
    <w:rsid w:val="00C87F63"/>
    <w:rsid w:val="00C971DC"/>
    <w:rsid w:val="00CA16B7"/>
    <w:rsid w:val="00CA62AE"/>
    <w:rsid w:val="00CB5B1A"/>
    <w:rsid w:val="00CC220B"/>
    <w:rsid w:val="00CC5C43"/>
    <w:rsid w:val="00CD02AE"/>
    <w:rsid w:val="00CD2A4F"/>
    <w:rsid w:val="00CE0286"/>
    <w:rsid w:val="00CE03CA"/>
    <w:rsid w:val="00CE22F1"/>
    <w:rsid w:val="00CE50F2"/>
    <w:rsid w:val="00CE6502"/>
    <w:rsid w:val="00CF7D3C"/>
    <w:rsid w:val="00D00533"/>
    <w:rsid w:val="00D01F09"/>
    <w:rsid w:val="00D03AA0"/>
    <w:rsid w:val="00D07414"/>
    <w:rsid w:val="00D11989"/>
    <w:rsid w:val="00D147EB"/>
    <w:rsid w:val="00D17D78"/>
    <w:rsid w:val="00D34667"/>
    <w:rsid w:val="00D401E1"/>
    <w:rsid w:val="00D408B4"/>
    <w:rsid w:val="00D44FDE"/>
    <w:rsid w:val="00D524C8"/>
    <w:rsid w:val="00D632C3"/>
    <w:rsid w:val="00D70E24"/>
    <w:rsid w:val="00D72B61"/>
    <w:rsid w:val="00D96664"/>
    <w:rsid w:val="00D974CF"/>
    <w:rsid w:val="00DA3AAA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149F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0AE6"/>
    <w:rsid w:val="00F12589"/>
    <w:rsid w:val="00F12595"/>
    <w:rsid w:val="00F134D9"/>
    <w:rsid w:val="00F1403D"/>
    <w:rsid w:val="00F141A5"/>
    <w:rsid w:val="00F1463F"/>
    <w:rsid w:val="00F21302"/>
    <w:rsid w:val="00F321DE"/>
    <w:rsid w:val="00F33777"/>
    <w:rsid w:val="00F40648"/>
    <w:rsid w:val="00F44EDC"/>
    <w:rsid w:val="00F47DA2"/>
    <w:rsid w:val="00F519FC"/>
    <w:rsid w:val="00F51D04"/>
    <w:rsid w:val="00F5790B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A521C"/>
    <w:rsid w:val="00FA5B36"/>
    <w:rsid w:val="00FB5B55"/>
    <w:rsid w:val="00FB6F92"/>
    <w:rsid w:val="00FC026E"/>
    <w:rsid w:val="00FC5124"/>
    <w:rsid w:val="00FD4731"/>
    <w:rsid w:val="00FD6768"/>
    <w:rsid w:val="00FE4FB4"/>
    <w:rsid w:val="00FF0AB0"/>
    <w:rsid w:val="00FF28AC"/>
    <w:rsid w:val="00FF6833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B1C32F"/>
  <w15:docId w15:val="{F75BC2EF-526B-47A5-A7E1-31F21F56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A521C"/>
    <w:pPr>
      <w:spacing w:before="120" w:after="120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B64B7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B64B7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64B7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B64B7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B64B7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B64B7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64B7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64B76"/>
    <w:rPr>
      <w:i/>
      <w:iCs/>
    </w:rPr>
  </w:style>
  <w:style w:type="character" w:styleId="Strong">
    <w:name w:val="Strong"/>
    <w:basedOn w:val="DefaultParagraphFont"/>
    <w:rsid w:val="00B64B76"/>
    <w:rPr>
      <w:b/>
      <w:bCs/>
    </w:rPr>
  </w:style>
  <w:style w:type="paragraph" w:styleId="Subtitle">
    <w:name w:val="Subtitle"/>
    <w:next w:val="Normal"/>
    <w:link w:val="SubtitleChar"/>
    <w:qFormat/>
    <w:rsid w:val="00B64B7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64B7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B64B76"/>
    <w:pPr>
      <w:spacing w:before="480" w:after="120"/>
      <w:contextualSpacing/>
    </w:pPr>
    <w:rPr>
      <w:rFonts w:ascii="Arial" w:eastAsiaTheme="majorEastAsia" w:hAnsi="Arial" w:cstheme="majorBidi"/>
      <w:b/>
      <w:color w:val="3F4A7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B64B76"/>
    <w:rPr>
      <w:rFonts w:ascii="Arial" w:eastAsiaTheme="majorEastAsia" w:hAnsi="Arial" w:cstheme="majorBidi"/>
      <w:b/>
      <w:color w:val="3F4A75"/>
      <w:kern w:val="28"/>
      <w:sz w:val="52"/>
      <w:szCs w:val="52"/>
      <w:lang w:eastAsia="en-US"/>
    </w:rPr>
  </w:style>
  <w:style w:type="paragraph" w:customStyle="1" w:styleId="Boxheading">
    <w:name w:val="Box heading"/>
    <w:basedOn w:val="Boxtype"/>
    <w:qFormat/>
    <w:rsid w:val="00B64B7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B64B7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64B7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B64B7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64B7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64B7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B7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64B7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64B7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B64B76"/>
    <w:pPr>
      <w:numPr>
        <w:numId w:val="22"/>
      </w:numPr>
    </w:pPr>
  </w:style>
  <w:style w:type="paragraph" w:styleId="ListNumber2">
    <w:name w:val="List Number 2"/>
    <w:basedOn w:val="ListBullet"/>
    <w:qFormat/>
    <w:rsid w:val="00B64B76"/>
    <w:pPr>
      <w:numPr>
        <w:numId w:val="21"/>
      </w:numPr>
    </w:pPr>
  </w:style>
  <w:style w:type="paragraph" w:styleId="ListBullet">
    <w:name w:val="List Bullet"/>
    <w:basedOn w:val="Normal"/>
    <w:qFormat/>
    <w:rsid w:val="00B64B7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Recommendation,List Paragraph1,List Paragraph11,Bullet Point,Bullet point,Bulletr List Paragraph,Content descriptions,FooterText,L,List Bullet 1,List Paragraph2,List Paragraph21,Listeafsnit1,NFP GP Bulleted List,Paragraphe de liste1,リスト段落"/>
    <w:basedOn w:val="Normal"/>
    <w:link w:val="ListParagraphChar"/>
    <w:uiPriority w:val="34"/>
    <w:qFormat/>
    <w:rsid w:val="00B64B7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64B7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B64B7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B64B76"/>
  </w:style>
  <w:style w:type="character" w:customStyle="1" w:styleId="BodyTextChar">
    <w:name w:val="Body Text Char"/>
    <w:basedOn w:val="DefaultParagraphFont"/>
    <w:link w:val="BodyText"/>
    <w:semiHidden/>
    <w:rsid w:val="00B64B7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B6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64B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FA521C"/>
    <w:pPr>
      <w:spacing w:before="60" w:after="60"/>
      <w:contextualSpacing/>
    </w:pPr>
    <w:rPr>
      <w:rFonts w:ascii="Arial" w:hAnsi="Arial"/>
      <w:color w:val="000000" w:themeColor="text1"/>
      <w:szCs w:val="24"/>
      <w:lang w:eastAsia="en-US"/>
    </w:rPr>
  </w:style>
  <w:style w:type="table" w:styleId="TableColumns2">
    <w:name w:val="Table Columns 2"/>
    <w:basedOn w:val="TableNormal"/>
    <w:locked/>
    <w:rsid w:val="00B64B7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64B7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B64B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64B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64B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64B7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64B7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64B7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64B7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4B7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64B7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B64B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64B7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64B7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B64B7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B64B7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B64B7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ListParagraph"/>
    <w:qFormat/>
    <w:rsid w:val="00FA521C"/>
    <w:pPr>
      <w:numPr>
        <w:numId w:val="31"/>
      </w:numPr>
      <w:spacing w:before="0" w:after="0"/>
      <w:ind w:left="178" w:hanging="182"/>
    </w:pPr>
    <w:rPr>
      <w:rFonts w:cs="Arial"/>
      <w:sz w:val="20"/>
      <w:szCs w:val="20"/>
    </w:rPr>
  </w:style>
  <w:style w:type="paragraph" w:customStyle="1" w:styleId="Tablelistnumber">
    <w:name w:val="Table list number"/>
    <w:basedOn w:val="Tabletextleft"/>
    <w:qFormat/>
    <w:rsid w:val="00B64B7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B64B7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B64B76"/>
    <w:rPr>
      <w:szCs w:val="32"/>
    </w:rPr>
  </w:style>
  <w:style w:type="paragraph" w:styleId="FootnoteText">
    <w:name w:val="footnote text"/>
    <w:link w:val="FootnoteTextChar"/>
    <w:rsid w:val="00B64B7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64B7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64B7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B64B7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64B7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B64B7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B64B7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B64B7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B64B76"/>
    <w:pPr>
      <w:jc w:val="right"/>
    </w:pPr>
  </w:style>
  <w:style w:type="paragraph" w:styleId="BalloonText">
    <w:name w:val="Balloon Text"/>
    <w:basedOn w:val="Normal"/>
    <w:link w:val="BalloonTextChar"/>
    <w:rsid w:val="00B64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B7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B64B7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B64B76"/>
  </w:style>
  <w:style w:type="character" w:customStyle="1" w:styleId="Heading7Char">
    <w:name w:val="Heading 7 Char"/>
    <w:basedOn w:val="DefaultParagraphFont"/>
    <w:link w:val="Heading7"/>
    <w:semiHidden/>
    <w:rsid w:val="00B64B7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B64B7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64B7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B64B7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B64B76"/>
    <w:pPr>
      <w:jc w:val="center"/>
    </w:pPr>
  </w:style>
  <w:style w:type="paragraph" w:customStyle="1" w:styleId="TableTextright1">
    <w:name w:val="Table Text right"/>
    <w:basedOn w:val="Tabletextleft"/>
    <w:rsid w:val="00B64B7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B64B7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B64B76"/>
    <w:pPr>
      <w:spacing w:before="3120"/>
      <w:jc w:val="center"/>
    </w:pPr>
    <w:rPr>
      <w:b/>
      <w:bCs/>
      <w:sz w:val="24"/>
      <w:szCs w:val="20"/>
    </w:rPr>
  </w:style>
  <w:style w:type="character" w:customStyle="1" w:styleId="ListParagraphChar">
    <w:name w:val="List Paragraph Char"/>
    <w:aliases w:val="Recommendation Char,List Paragraph1 Char,List Paragraph11 Char,Bullet Point Char,Bullet point Char,Bulletr List Paragraph Char,Content descriptions Char,FooterText Char,L Char,List Bullet 1 Char,List Paragraph2 Char,Listeafsnit1 Char"/>
    <w:basedOn w:val="DefaultParagraphFont"/>
    <w:link w:val="ListParagraph"/>
    <w:uiPriority w:val="34"/>
    <w:qFormat/>
    <w:locked/>
    <w:rsid w:val="00D17D78"/>
    <w:rPr>
      <w:rFonts w:ascii="Arial" w:hAnsi="Arial"/>
      <w:color w:val="000000" w:themeColor="text1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372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63D9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63D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3D9F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3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3D9F"/>
    <w:rPr>
      <w:rFonts w:ascii="Arial" w:hAnsi="Arial"/>
      <w:b/>
      <w:bCs/>
      <w:color w:val="000000" w:themeColor="text1"/>
      <w:lang w:eastAsia="en-US"/>
    </w:rPr>
  </w:style>
  <w:style w:type="paragraph" w:styleId="Revision">
    <w:name w:val="Revision"/>
    <w:hidden/>
    <w:uiPriority w:val="99"/>
    <w:semiHidden/>
    <w:rsid w:val="00863D9F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svg"/><Relationship Id="rId26" Type="http://schemas.openxmlformats.org/officeDocument/2006/relationships/image" Target="media/image13.sv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3.svg"/><Relationship Id="rId20" Type="http://schemas.openxmlformats.org/officeDocument/2006/relationships/image" Target="media/image7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1.sv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9.svg"/><Relationship Id="rId27" Type="http://schemas.openxmlformats.org/officeDocument/2006/relationships/hyperlink" Target="http://www.health.gov.au/our-work/imoc-progra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744FD6D-E51B-4CB4-BACA-0244514965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B348CD5327D214F8E60E8D7EB332B4E" ma:contentTypeVersion="" ma:contentTypeDescription="PDMS Document Site Content Type" ma:contentTypeScope="" ma:versionID="3309918b537c39fc645b505de7c92d22">
  <xsd:schema xmlns:xsd="http://www.w3.org/2001/XMLSchema" xmlns:xs="http://www.w3.org/2001/XMLSchema" xmlns:p="http://schemas.microsoft.com/office/2006/metadata/properties" xmlns:ns2="E744FD6D-E51B-4CB4-BACA-02445149650B" targetNamespace="http://schemas.microsoft.com/office/2006/metadata/properties" ma:root="true" ma:fieldsID="1e56c2e5172aa3067013b8eb5857c405" ns2:_="">
    <xsd:import namespace="E744FD6D-E51B-4CB4-BACA-02445149650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4FD6D-E51B-4CB4-BACA-02445149650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E744FD6D-E51B-4CB4-BACA-02445149650B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AFE34-63A0-4D1B-9775-047E009F7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4FD6D-E51B-4CB4-BACA-024451496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C302A5-2A8A-4052-A27B-A6924B27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5936</Characters>
  <Application>Microsoft Office Word</Application>
  <DocSecurity>0</DocSecurity>
  <Lines>131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Innovative Models of Care Program</vt:lpstr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Innovative Models of Care Program</dc:title>
  <dc:subject>Rural health</dc:subject>
  <dc:creator>Australian Government Department of Health and Aged Care</dc:creator>
  <cp:lastModifiedBy>MASCHKE, Elvia</cp:lastModifiedBy>
  <cp:revision>2</cp:revision>
  <cp:lastPrinted>2024-09-09T01:08:00Z</cp:lastPrinted>
  <dcterms:created xsi:type="dcterms:W3CDTF">2024-09-13T01:53:00Z</dcterms:created>
  <dcterms:modified xsi:type="dcterms:W3CDTF">2024-09-13T01:53:00Z</dcterms:modified>
</cp:coreProperties>
</file>